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7F823" w14:textId="77777777" w:rsidR="004A6121" w:rsidRDefault="004A6121" w:rsidP="004A6121">
      <w:pPr>
        <w:pStyle w:val="paragraph"/>
        <w:spacing w:before="0" w:beforeAutospacing="0" w:after="0" w:afterAutospacing="0"/>
        <w:textAlignment w:val="baseline"/>
        <w:rPr>
          <w:rFonts w:ascii="Segoe UI" w:hAnsi="Segoe UI" w:cs="Segoe UI"/>
          <w:color w:val="0A1D30"/>
          <w:sz w:val="18"/>
          <w:szCs w:val="18"/>
        </w:rPr>
      </w:pPr>
      <w:r>
        <w:rPr>
          <w:rStyle w:val="normaltextrun"/>
          <w:rFonts w:ascii="Calibri" w:hAnsi="Calibri" w:cs="Calibri"/>
          <w:color w:val="0A1D30"/>
          <w:sz w:val="52"/>
          <w:szCs w:val="52"/>
        </w:rPr>
        <w:t>Australian Apprenticeships Incentive System </w:t>
      </w:r>
      <w:r>
        <w:rPr>
          <w:rStyle w:val="eop"/>
          <w:rFonts w:ascii="Calibri" w:hAnsi="Calibri" w:cs="Calibri"/>
          <w:color w:val="0A1D30"/>
          <w:sz w:val="52"/>
          <w:szCs w:val="52"/>
        </w:rPr>
        <w:t> </w:t>
      </w:r>
    </w:p>
    <w:p w14:paraId="6367375F" w14:textId="3062FA53" w:rsidR="004A6121" w:rsidRDefault="004A6121" w:rsidP="004A612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40"/>
          <w:szCs w:val="40"/>
        </w:rPr>
        <w:t>Factsheet</w:t>
      </w:r>
      <w:r>
        <w:rPr>
          <w:rStyle w:val="eop"/>
          <w:rFonts w:ascii="Calibri" w:hAnsi="Calibri" w:cs="Calibri"/>
          <w:sz w:val="40"/>
          <w:szCs w:val="40"/>
        </w:rPr>
        <w:t> </w:t>
      </w:r>
    </w:p>
    <w:p w14:paraId="75F1782F" w14:textId="77777777" w:rsidR="002F1BB6" w:rsidRDefault="002F1BB6" w:rsidP="004A6121">
      <w:pPr>
        <w:pStyle w:val="paragraph"/>
        <w:spacing w:before="0" w:beforeAutospacing="0" w:after="0" w:afterAutospacing="0"/>
        <w:textAlignment w:val="baseline"/>
        <w:rPr>
          <w:rStyle w:val="normaltextrun"/>
          <w:rFonts w:ascii="Calibri" w:hAnsi="Calibri" w:cs="Calibri"/>
          <w:b/>
          <w:bCs/>
          <w:color w:val="156082"/>
          <w:sz w:val="18"/>
          <w:szCs w:val="18"/>
        </w:rPr>
      </w:pPr>
    </w:p>
    <w:p w14:paraId="09C41D7E" w14:textId="29C14143" w:rsidR="004A6121" w:rsidRDefault="004A6121" w:rsidP="004A6121">
      <w:pPr>
        <w:pStyle w:val="paragraph"/>
        <w:spacing w:before="0" w:beforeAutospacing="0" w:after="0" w:afterAutospacing="0"/>
        <w:textAlignment w:val="baseline"/>
        <w:rPr>
          <w:rFonts w:ascii="Segoe UI" w:hAnsi="Segoe UI" w:cs="Segoe UI"/>
          <w:b/>
          <w:bCs/>
          <w:color w:val="156082"/>
          <w:sz w:val="18"/>
          <w:szCs w:val="18"/>
        </w:rPr>
      </w:pPr>
      <w:r>
        <w:rPr>
          <w:rStyle w:val="normaltextrun"/>
          <w:rFonts w:ascii="Calibri" w:hAnsi="Calibri" w:cs="Calibri"/>
          <w:b/>
          <w:bCs/>
          <w:color w:val="156082"/>
          <w:sz w:val="18"/>
          <w:szCs w:val="18"/>
        </w:rPr>
        <w:t>Last Updated 1 July 2024</w:t>
      </w:r>
      <w:r>
        <w:rPr>
          <w:rStyle w:val="eop"/>
          <w:rFonts w:ascii="Calibri" w:hAnsi="Calibri" w:cs="Calibri"/>
          <w:b/>
          <w:bCs/>
          <w:color w:val="156082"/>
          <w:sz w:val="18"/>
          <w:szCs w:val="18"/>
        </w:rPr>
        <w:t> </w:t>
      </w:r>
    </w:p>
    <w:p w14:paraId="43AC266B" w14:textId="77777777" w:rsidR="004A6121" w:rsidRDefault="004A6121" w:rsidP="004A6121">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3E4AA0D3" w14:textId="77777777" w:rsidR="004A6121" w:rsidRDefault="004A6121" w:rsidP="008F2986">
      <w:pPr>
        <w:pStyle w:val="paragraph"/>
        <w:spacing w:before="0" w:beforeAutospacing="0" w:after="200" w:afterAutospacing="0" w:line="360" w:lineRule="auto"/>
        <w:textAlignment w:val="baseline"/>
        <w:rPr>
          <w:rStyle w:val="eop"/>
          <w:rFonts w:ascii="Calibri" w:hAnsi="Calibri" w:cs="Calibri"/>
          <w:sz w:val="22"/>
          <w:szCs w:val="22"/>
        </w:rPr>
      </w:pPr>
      <w:r>
        <w:rPr>
          <w:rStyle w:val="normaltextrun"/>
          <w:rFonts w:ascii="Calibri" w:hAnsi="Calibri" w:cs="Calibri"/>
          <w:sz w:val="22"/>
          <w:szCs w:val="22"/>
        </w:rPr>
        <w:t>Apprenticeships play a key role in building a more inclusive and sustainable economy, ensuring Australians receive quality training while in employment. </w:t>
      </w:r>
      <w:r>
        <w:rPr>
          <w:rStyle w:val="eop"/>
          <w:rFonts w:ascii="Calibri" w:hAnsi="Calibri" w:cs="Calibri"/>
          <w:sz w:val="22"/>
          <w:szCs w:val="22"/>
        </w:rPr>
        <w:t> </w:t>
      </w:r>
    </w:p>
    <w:p w14:paraId="5008A335" w14:textId="77777777" w:rsidR="004A6121" w:rsidRPr="00505CDD" w:rsidRDefault="004A6121" w:rsidP="008F2986">
      <w:pPr>
        <w:pStyle w:val="paragraph"/>
        <w:spacing w:before="0" w:beforeAutospacing="0" w:after="200" w:afterAutospacing="0" w:line="360" w:lineRule="auto"/>
        <w:textAlignment w:val="baseline"/>
        <w:rPr>
          <w:rStyle w:val="normaltextrun"/>
          <w:rFonts w:ascii="Calibri" w:hAnsi="Calibri" w:cs="Calibri"/>
          <w:sz w:val="22"/>
          <w:szCs w:val="22"/>
        </w:rPr>
      </w:pPr>
      <w:r>
        <w:rPr>
          <w:rStyle w:val="normaltextrun"/>
          <w:rFonts w:ascii="Calibri" w:hAnsi="Calibri" w:cs="Calibri"/>
          <w:sz w:val="22"/>
          <w:szCs w:val="22"/>
        </w:rPr>
        <w:t xml:space="preserve">From </w:t>
      </w:r>
      <w:r w:rsidRPr="00505CDD">
        <w:rPr>
          <w:rStyle w:val="normaltextrun"/>
          <w:rFonts w:ascii="Calibri" w:hAnsi="Calibri" w:cs="Calibri"/>
          <w:sz w:val="22"/>
          <w:szCs w:val="22"/>
        </w:rPr>
        <w:t>1 July 2024</w:t>
      </w:r>
      <w:r>
        <w:rPr>
          <w:rStyle w:val="normaltextrun"/>
          <w:rFonts w:ascii="Calibri" w:hAnsi="Calibri" w:cs="Calibri"/>
          <w:sz w:val="22"/>
          <w:szCs w:val="22"/>
        </w:rPr>
        <w:t xml:space="preserve"> the Incentive System will move to Phase 2 and provide financial supports towards Australian Apprenticeships in priority occupations as listed on the Australian Apprenticeships Priority List (Priority List).</w:t>
      </w:r>
      <w:r w:rsidRPr="008F2986">
        <w:rPr>
          <w:rStyle w:val="normaltextrun"/>
          <w:rFonts w:ascii="Calibri" w:hAnsi="Calibri" w:cs="Calibri"/>
          <w:sz w:val="22"/>
          <w:szCs w:val="22"/>
        </w:rPr>
        <w:t> </w:t>
      </w:r>
    </w:p>
    <w:p w14:paraId="7669F8F3" w14:textId="65FAD8E8" w:rsidR="004A6121" w:rsidRDefault="004A6121" w:rsidP="004A6121">
      <w:pPr>
        <w:pStyle w:val="paragraph"/>
        <w:spacing w:before="0" w:beforeAutospacing="0" w:after="0" w:afterAutospacing="0"/>
        <w:textAlignment w:val="baseline"/>
        <w:rPr>
          <w:rStyle w:val="eop"/>
          <w:rFonts w:ascii="Calibri" w:hAnsi="Calibri" w:cs="Calibri"/>
          <w:color w:val="1C2638"/>
          <w:sz w:val="32"/>
          <w:szCs w:val="32"/>
        </w:rPr>
      </w:pPr>
      <w:r>
        <w:rPr>
          <w:rStyle w:val="normaltextrun"/>
          <w:rFonts w:ascii="Calibri" w:hAnsi="Calibri" w:cs="Calibri"/>
          <w:b/>
          <w:bCs/>
          <w:color w:val="1C2638"/>
          <w:sz w:val="32"/>
          <w:szCs w:val="32"/>
        </w:rPr>
        <w:t>Overview of the Incentive System </w:t>
      </w:r>
      <w:r>
        <w:rPr>
          <w:rStyle w:val="eop"/>
          <w:rFonts w:ascii="Calibri" w:hAnsi="Calibri" w:cs="Calibri"/>
          <w:color w:val="1C2638"/>
          <w:sz w:val="32"/>
          <w:szCs w:val="32"/>
        </w:rPr>
        <w:t> </w:t>
      </w:r>
    </w:p>
    <w:p w14:paraId="09CBA1F2" w14:textId="77777777" w:rsidR="002F1BB6" w:rsidRDefault="002F1BB6" w:rsidP="004A6121">
      <w:pPr>
        <w:pStyle w:val="paragraph"/>
        <w:spacing w:before="0" w:beforeAutospacing="0" w:after="0" w:afterAutospacing="0"/>
        <w:textAlignment w:val="baseline"/>
        <w:rPr>
          <w:rFonts w:ascii="Segoe UI" w:hAnsi="Segoe UI" w:cs="Segoe UI"/>
          <w:sz w:val="18"/>
          <w:szCs w:val="18"/>
        </w:rPr>
      </w:pPr>
    </w:p>
    <w:p w14:paraId="5A80742B" w14:textId="4D75C1B8" w:rsidR="004A6121" w:rsidRPr="00997F58" w:rsidRDefault="004A6121" w:rsidP="00997F58">
      <w:pPr>
        <w:pStyle w:val="paragraph"/>
        <w:spacing w:before="0" w:beforeAutospacing="0" w:after="200" w:afterAutospacing="0" w:line="360" w:lineRule="auto"/>
        <w:textAlignment w:val="baseline"/>
        <w:rPr>
          <w:rStyle w:val="normaltextrun"/>
        </w:rPr>
      </w:pPr>
      <w:r>
        <w:rPr>
          <w:rStyle w:val="normaltextrun"/>
          <w:rFonts w:ascii="Calibri" w:hAnsi="Calibri" w:cs="Calibri"/>
          <w:sz w:val="22"/>
          <w:szCs w:val="22"/>
        </w:rPr>
        <w:t xml:space="preserve">Government financial support under the Incentive System focuses on priority occupations, ensuring support is targeted to the skills in demand in the Australian economy. Priority occupations are listed on the </w:t>
      </w:r>
      <w:hyperlink r:id="rId7" w:tgtFrame="_blank" w:history="1">
        <w:r w:rsidRPr="00373332">
          <w:rPr>
            <w:rStyle w:val="Hyperlink"/>
            <w:rFonts w:ascii="Calibri" w:hAnsi="Calibri" w:cs="Calibri"/>
            <w:sz w:val="22"/>
            <w:szCs w:val="22"/>
          </w:rPr>
          <w:t>Australian Apprenticeships Priority List</w:t>
        </w:r>
      </w:hyperlink>
      <w:r>
        <w:rPr>
          <w:rStyle w:val="normaltextrun"/>
          <w:rFonts w:ascii="Calibri" w:hAnsi="Calibri" w:cs="Calibri"/>
          <w:sz w:val="22"/>
          <w:szCs w:val="22"/>
        </w:rPr>
        <w:t xml:space="preserve"> (Priority List), which is be updated in January each year. The Priority List is based on analysis of the occupations in current shortage and future demand over the next five years and, which are most likely to involve an Australian Apprenticeship entry pathway. </w:t>
      </w:r>
      <w:r w:rsidRPr="00997F58">
        <w:rPr>
          <w:rStyle w:val="normaltextrun"/>
        </w:rPr>
        <w:t> </w:t>
      </w:r>
    </w:p>
    <w:p w14:paraId="0CF5730F" w14:textId="77777777" w:rsidR="004A6121" w:rsidRDefault="004A6121" w:rsidP="004A6121">
      <w:pPr>
        <w:pStyle w:val="paragraph"/>
        <w:spacing w:before="0" w:beforeAutospacing="0" w:after="0" w:afterAutospacing="0"/>
        <w:textAlignment w:val="baseline"/>
        <w:rPr>
          <w:rStyle w:val="eop"/>
          <w:rFonts w:ascii="Calibri" w:hAnsi="Calibri" w:cs="Calibri"/>
          <w:color w:val="1C2638"/>
          <w:sz w:val="32"/>
          <w:szCs w:val="32"/>
        </w:rPr>
      </w:pPr>
      <w:r>
        <w:rPr>
          <w:rStyle w:val="normaltextrun"/>
          <w:rFonts w:ascii="Calibri" w:hAnsi="Calibri" w:cs="Calibri"/>
          <w:b/>
          <w:bCs/>
          <w:color w:val="1C2638"/>
          <w:sz w:val="32"/>
          <w:szCs w:val="32"/>
        </w:rPr>
        <w:t>Payments available under the Incentives System</w:t>
      </w:r>
      <w:r>
        <w:rPr>
          <w:rStyle w:val="eop"/>
          <w:rFonts w:ascii="Calibri" w:hAnsi="Calibri" w:cs="Calibri"/>
          <w:color w:val="1C2638"/>
          <w:sz w:val="32"/>
          <w:szCs w:val="32"/>
        </w:rPr>
        <w:t> </w:t>
      </w:r>
    </w:p>
    <w:p w14:paraId="639453C3" w14:textId="77777777" w:rsidR="002F1BB6" w:rsidRDefault="002F1BB6" w:rsidP="004A6121">
      <w:pPr>
        <w:pStyle w:val="paragraph"/>
        <w:spacing w:before="0" w:beforeAutospacing="0" w:after="0" w:afterAutospacing="0"/>
        <w:textAlignment w:val="baseline"/>
        <w:rPr>
          <w:rFonts w:ascii="Segoe UI" w:hAnsi="Segoe UI" w:cs="Segoe UI"/>
          <w:sz w:val="18"/>
          <w:szCs w:val="18"/>
        </w:rPr>
      </w:pPr>
    </w:p>
    <w:p w14:paraId="3F4BCD55" w14:textId="77777777" w:rsidR="004A6121" w:rsidRDefault="004A6121" w:rsidP="004A6121">
      <w:pPr>
        <w:pStyle w:val="paragraph"/>
        <w:spacing w:before="0" w:beforeAutospacing="0" w:after="0" w:afterAutospacing="0"/>
        <w:textAlignment w:val="baseline"/>
        <w:rPr>
          <w:rStyle w:val="eop"/>
          <w:rFonts w:ascii="Calibri" w:hAnsi="Calibri" w:cs="Calibri"/>
          <w:color w:val="1C2638"/>
        </w:rPr>
      </w:pPr>
      <w:r>
        <w:rPr>
          <w:rStyle w:val="normaltextrun"/>
          <w:rFonts w:ascii="Calibri" w:hAnsi="Calibri" w:cs="Calibri"/>
          <w:b/>
          <w:bCs/>
          <w:color w:val="1C2638"/>
        </w:rPr>
        <w:t>Employer Payments</w:t>
      </w:r>
      <w:r>
        <w:rPr>
          <w:rStyle w:val="eop"/>
          <w:rFonts w:ascii="Calibri" w:hAnsi="Calibri" w:cs="Calibri"/>
          <w:color w:val="1C2638"/>
        </w:rPr>
        <w:t> </w:t>
      </w:r>
    </w:p>
    <w:p w14:paraId="5ADF5FF2" w14:textId="77777777" w:rsidR="002F1BB6" w:rsidRDefault="002F1BB6" w:rsidP="004A6121">
      <w:pPr>
        <w:pStyle w:val="paragraph"/>
        <w:spacing w:before="0" w:beforeAutospacing="0" w:after="0" w:afterAutospacing="0"/>
        <w:textAlignment w:val="baseline"/>
        <w:rPr>
          <w:rFonts w:ascii="Segoe UI" w:hAnsi="Segoe UI" w:cs="Segoe UI"/>
          <w:sz w:val="18"/>
          <w:szCs w:val="18"/>
        </w:rPr>
      </w:pPr>
    </w:p>
    <w:p w14:paraId="5A110946" w14:textId="37B223F4" w:rsidR="004A6121" w:rsidRDefault="004A6121" w:rsidP="00D35F20">
      <w:pPr>
        <w:pStyle w:val="paragraph"/>
        <w:spacing w:before="0" w:beforeAutospacing="0" w:after="200" w:afterAutospacing="0" w:line="360" w:lineRule="auto"/>
        <w:textAlignment w:val="baseline"/>
        <w:rPr>
          <w:rFonts w:ascii="Segoe UI" w:hAnsi="Segoe UI" w:cs="Segoe UI"/>
          <w:sz w:val="18"/>
          <w:szCs w:val="18"/>
        </w:rPr>
      </w:pPr>
      <w:r>
        <w:rPr>
          <w:rStyle w:val="normaltextrun"/>
          <w:rFonts w:ascii="Calibri" w:hAnsi="Calibri" w:cs="Calibri"/>
          <w:sz w:val="22"/>
          <w:szCs w:val="22"/>
        </w:rPr>
        <w:t xml:space="preserve">The </w:t>
      </w:r>
      <w:r>
        <w:rPr>
          <w:rStyle w:val="normaltextrun"/>
          <w:rFonts w:ascii="Calibri" w:hAnsi="Calibri" w:cs="Calibri"/>
          <w:b/>
          <w:bCs/>
          <w:sz w:val="22"/>
          <w:szCs w:val="22"/>
        </w:rPr>
        <w:t>Priority Hiring Incentive</w:t>
      </w:r>
      <w:r>
        <w:rPr>
          <w:rStyle w:val="normaltextrun"/>
          <w:rFonts w:ascii="Calibri" w:hAnsi="Calibri" w:cs="Calibri"/>
          <w:sz w:val="22"/>
          <w:szCs w:val="22"/>
        </w:rPr>
        <w:t xml:space="preserve"> provides up to $5,000 for eligible priority occupation employers of Australian Apprentices undertaking an apprenticeship towards an occupation listed on the </w:t>
      </w:r>
      <w:hyperlink r:id="rId8" w:tgtFrame="_blank" w:history="1">
        <w:r>
          <w:rPr>
            <w:rStyle w:val="normaltextrun"/>
            <w:rFonts w:ascii="Calibri" w:hAnsi="Calibri" w:cs="Calibri"/>
            <w:color w:val="404246"/>
            <w:sz w:val="22"/>
            <w:szCs w:val="22"/>
            <w:u w:val="single"/>
          </w:rPr>
          <w:t>Australian Apprenticeships Priority List.</w:t>
        </w:r>
      </w:hyperlink>
      <w:r w:rsidR="008F2986">
        <w:rPr>
          <w:rFonts w:ascii="Segoe UI" w:hAnsi="Segoe UI" w:cs="Segoe UI"/>
          <w:sz w:val="18"/>
          <w:szCs w:val="18"/>
        </w:rPr>
        <w:t xml:space="preserve"> </w:t>
      </w:r>
      <w:r>
        <w:rPr>
          <w:rStyle w:val="normaltextrun"/>
          <w:rFonts w:ascii="Calibri" w:hAnsi="Calibri" w:cs="Calibri"/>
          <w:sz w:val="22"/>
          <w:szCs w:val="22"/>
        </w:rPr>
        <w:t>In the first year of an apprenticeship, the Priority Hiring Incentive is paid over two instalments of: </w:t>
      </w:r>
      <w:r>
        <w:rPr>
          <w:rStyle w:val="eop"/>
          <w:rFonts w:ascii="Calibri" w:hAnsi="Calibri" w:cs="Calibri"/>
          <w:sz w:val="22"/>
          <w:szCs w:val="22"/>
        </w:rPr>
        <w:t> </w:t>
      </w:r>
    </w:p>
    <w:p w14:paraId="5A9DA2A3" w14:textId="77777777" w:rsidR="004A6121" w:rsidRDefault="004A6121" w:rsidP="008F2986">
      <w:pPr>
        <w:pStyle w:val="paragraph"/>
        <w:numPr>
          <w:ilvl w:val="0"/>
          <w:numId w:val="15"/>
        </w:numPr>
        <w:spacing w:before="0" w:beforeAutospacing="0" w:after="0" w:afterAutospacing="0"/>
        <w:ind w:left="1797" w:firstLine="0"/>
        <w:contextualSpacing/>
        <w:textAlignment w:val="baseline"/>
        <w:rPr>
          <w:rFonts w:ascii="Calibri" w:hAnsi="Calibri" w:cs="Calibri"/>
          <w:sz w:val="22"/>
          <w:szCs w:val="22"/>
        </w:rPr>
      </w:pPr>
      <w:r>
        <w:rPr>
          <w:rStyle w:val="normaltextrun"/>
          <w:rFonts w:ascii="Calibri" w:hAnsi="Calibri" w:cs="Calibri"/>
          <w:sz w:val="22"/>
          <w:szCs w:val="22"/>
        </w:rPr>
        <w:t>$2,000 at 6 months and $3,000 at 12 months (full- time)   </w:t>
      </w:r>
      <w:r>
        <w:rPr>
          <w:rStyle w:val="eop"/>
          <w:rFonts w:ascii="Calibri" w:hAnsi="Calibri" w:cs="Calibri"/>
          <w:sz w:val="22"/>
          <w:szCs w:val="22"/>
        </w:rPr>
        <w:t> </w:t>
      </w:r>
    </w:p>
    <w:p w14:paraId="6C7529BE" w14:textId="77777777" w:rsidR="004A6121" w:rsidRDefault="004A6121" w:rsidP="008F2986">
      <w:pPr>
        <w:pStyle w:val="paragraph"/>
        <w:numPr>
          <w:ilvl w:val="0"/>
          <w:numId w:val="16"/>
        </w:numPr>
        <w:spacing w:before="0" w:beforeAutospacing="0" w:after="0" w:afterAutospacing="0"/>
        <w:ind w:left="1797" w:firstLine="0"/>
        <w:contextualSpacing/>
        <w:textAlignment w:val="baseline"/>
        <w:rPr>
          <w:rFonts w:ascii="Calibri" w:hAnsi="Calibri" w:cs="Calibri"/>
          <w:sz w:val="22"/>
          <w:szCs w:val="22"/>
        </w:rPr>
      </w:pPr>
      <w:r>
        <w:rPr>
          <w:rStyle w:val="normaltextrun"/>
          <w:rFonts w:ascii="Calibri" w:hAnsi="Calibri" w:cs="Calibri"/>
          <w:sz w:val="22"/>
          <w:szCs w:val="22"/>
        </w:rPr>
        <w:t>$1,000 at 6 months and $1,500 at 12 months (part-time) </w:t>
      </w:r>
      <w:r>
        <w:rPr>
          <w:rStyle w:val="eop"/>
          <w:rFonts w:ascii="Calibri" w:hAnsi="Calibri" w:cs="Calibri"/>
          <w:sz w:val="22"/>
          <w:szCs w:val="22"/>
        </w:rPr>
        <w:t> </w:t>
      </w:r>
    </w:p>
    <w:p w14:paraId="690AA6D6" w14:textId="77777777" w:rsidR="002F1BB6" w:rsidRDefault="002F1BB6" w:rsidP="004A6121">
      <w:pPr>
        <w:pStyle w:val="paragraph"/>
        <w:spacing w:before="0" w:beforeAutospacing="0" w:after="0" w:afterAutospacing="0"/>
        <w:textAlignment w:val="baseline"/>
        <w:rPr>
          <w:rStyle w:val="normaltextrun"/>
          <w:rFonts w:ascii="Calibri" w:hAnsi="Calibri" w:cs="Calibri"/>
          <w:b/>
          <w:bCs/>
          <w:color w:val="1C2638"/>
        </w:rPr>
      </w:pPr>
    </w:p>
    <w:p w14:paraId="582C392D" w14:textId="77777777" w:rsidR="002F1BB6" w:rsidRDefault="002F1BB6" w:rsidP="004A6121">
      <w:pPr>
        <w:pStyle w:val="paragraph"/>
        <w:spacing w:before="0" w:beforeAutospacing="0" w:after="0" w:afterAutospacing="0"/>
        <w:textAlignment w:val="baseline"/>
        <w:rPr>
          <w:rStyle w:val="normaltextrun"/>
          <w:rFonts w:ascii="Calibri" w:hAnsi="Calibri" w:cs="Calibri"/>
          <w:b/>
          <w:bCs/>
          <w:color w:val="1C2638"/>
        </w:rPr>
      </w:pPr>
    </w:p>
    <w:p w14:paraId="41E6383B" w14:textId="77777777" w:rsidR="002F1BB6" w:rsidRDefault="002F1BB6" w:rsidP="004A6121">
      <w:pPr>
        <w:pStyle w:val="paragraph"/>
        <w:spacing w:before="0" w:beforeAutospacing="0" w:after="0" w:afterAutospacing="0"/>
        <w:textAlignment w:val="baseline"/>
        <w:rPr>
          <w:rStyle w:val="normaltextrun"/>
          <w:rFonts w:ascii="Calibri" w:hAnsi="Calibri" w:cs="Calibri"/>
          <w:b/>
          <w:bCs/>
          <w:color w:val="1C2638"/>
        </w:rPr>
      </w:pPr>
    </w:p>
    <w:p w14:paraId="65CF58C1" w14:textId="339A4F70" w:rsidR="004A6121" w:rsidRDefault="004A6121" w:rsidP="008F2986">
      <w:pPr>
        <w:pStyle w:val="paragraph"/>
        <w:spacing w:before="0" w:beforeAutospacing="0" w:after="200" w:afterAutospacing="0" w:line="360" w:lineRule="auto"/>
        <w:textAlignment w:val="baseline"/>
        <w:rPr>
          <w:rFonts w:ascii="Segoe UI" w:hAnsi="Segoe UI" w:cs="Segoe UI"/>
          <w:sz w:val="18"/>
          <w:szCs w:val="18"/>
        </w:rPr>
      </w:pPr>
      <w:r>
        <w:rPr>
          <w:rStyle w:val="normaltextrun"/>
          <w:rFonts w:ascii="Calibri" w:hAnsi="Calibri" w:cs="Calibri"/>
          <w:b/>
          <w:bCs/>
          <w:color w:val="1C2638"/>
        </w:rPr>
        <w:t>Australian Apprentice Payments</w:t>
      </w:r>
      <w:r>
        <w:rPr>
          <w:rStyle w:val="eop"/>
          <w:rFonts w:ascii="Calibri" w:hAnsi="Calibri" w:cs="Calibri"/>
          <w:color w:val="1C2638"/>
        </w:rPr>
        <w:t> </w:t>
      </w:r>
    </w:p>
    <w:p w14:paraId="5E8CD255" w14:textId="77777777" w:rsidR="004A6121" w:rsidRDefault="004A6121" w:rsidP="008F2986">
      <w:pPr>
        <w:pStyle w:val="paragraph"/>
        <w:spacing w:before="0" w:beforeAutospacing="0" w:after="200" w:afterAutospacing="0" w:line="360" w:lineRule="auto"/>
        <w:textAlignment w:val="baseline"/>
        <w:rPr>
          <w:rFonts w:ascii="Segoe UI" w:hAnsi="Segoe UI" w:cs="Segoe UI"/>
          <w:sz w:val="18"/>
          <w:szCs w:val="18"/>
        </w:rPr>
      </w:pPr>
      <w:r>
        <w:rPr>
          <w:rStyle w:val="normaltextrun"/>
          <w:rFonts w:ascii="Calibri" w:hAnsi="Calibri" w:cs="Calibri"/>
          <w:sz w:val="22"/>
          <w:szCs w:val="22"/>
        </w:rPr>
        <w:t xml:space="preserve">The </w:t>
      </w:r>
      <w:r>
        <w:rPr>
          <w:rStyle w:val="normaltextrun"/>
          <w:rFonts w:ascii="Calibri" w:hAnsi="Calibri" w:cs="Calibri"/>
          <w:b/>
          <w:bCs/>
          <w:sz w:val="22"/>
          <w:szCs w:val="22"/>
        </w:rPr>
        <w:t>Australian Apprentice Training Support Payment</w:t>
      </w:r>
      <w:r>
        <w:rPr>
          <w:rStyle w:val="normaltextrun"/>
          <w:rFonts w:ascii="Calibri" w:hAnsi="Calibri" w:cs="Calibri"/>
          <w:sz w:val="22"/>
          <w:szCs w:val="22"/>
        </w:rPr>
        <w:t xml:space="preserve"> provides up to $5,000 for eligible Australian Apprentices in an occupation listed on the </w:t>
      </w:r>
      <w:hyperlink r:id="rId9" w:tgtFrame="_blank" w:history="1">
        <w:r>
          <w:rPr>
            <w:rStyle w:val="normaltextrun"/>
            <w:rFonts w:ascii="Calibri" w:hAnsi="Calibri" w:cs="Calibri"/>
            <w:color w:val="404246"/>
            <w:sz w:val="22"/>
            <w:szCs w:val="22"/>
            <w:u w:val="single"/>
          </w:rPr>
          <w:t>Australian Apprenticeship Priority List</w:t>
        </w:r>
      </w:hyperlink>
      <w:r>
        <w:rPr>
          <w:rStyle w:val="normaltextrun"/>
          <w:rFonts w:ascii="Calibri" w:hAnsi="Calibri" w:cs="Calibri"/>
          <w:sz w:val="22"/>
          <w:szCs w:val="22"/>
        </w:rPr>
        <w:t xml:space="preserve"> paid over 4 instalments:</w:t>
      </w:r>
      <w:r>
        <w:rPr>
          <w:rStyle w:val="eop"/>
          <w:rFonts w:ascii="Calibri" w:hAnsi="Calibri" w:cs="Calibri"/>
          <w:sz w:val="22"/>
          <w:szCs w:val="22"/>
        </w:rPr>
        <w:t> </w:t>
      </w:r>
    </w:p>
    <w:p w14:paraId="5B6DE822" w14:textId="77777777" w:rsidR="004A6121" w:rsidRDefault="004A6121" w:rsidP="004A6121">
      <w:pPr>
        <w:pStyle w:val="paragraph"/>
        <w:numPr>
          <w:ilvl w:val="0"/>
          <w:numId w:val="17"/>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$1,750 at 6 &amp; 12 months and $750 at 18 &amp; 24 months (full-time) </w:t>
      </w:r>
      <w:r>
        <w:rPr>
          <w:rStyle w:val="eop"/>
          <w:rFonts w:ascii="Calibri" w:hAnsi="Calibri" w:cs="Calibri"/>
          <w:sz w:val="22"/>
          <w:szCs w:val="22"/>
        </w:rPr>
        <w:t> </w:t>
      </w:r>
    </w:p>
    <w:p w14:paraId="58206479" w14:textId="77777777" w:rsidR="004C5306" w:rsidRDefault="004A6121" w:rsidP="004A6121">
      <w:pPr>
        <w:pStyle w:val="paragraph"/>
        <w:numPr>
          <w:ilvl w:val="0"/>
          <w:numId w:val="18"/>
        </w:numPr>
        <w:spacing w:before="0" w:beforeAutospacing="0" w:after="0" w:afterAutospacing="0"/>
        <w:ind w:left="1800" w:firstLine="0"/>
        <w:textAlignment w:val="baseline"/>
        <w:rPr>
          <w:rStyle w:val="normaltextrun"/>
          <w:rFonts w:ascii="Calibri" w:hAnsi="Calibri" w:cs="Calibri"/>
          <w:sz w:val="22"/>
          <w:szCs w:val="22"/>
        </w:rPr>
      </w:pPr>
      <w:r>
        <w:rPr>
          <w:rStyle w:val="normaltextrun"/>
          <w:rFonts w:ascii="Calibri" w:hAnsi="Calibri" w:cs="Calibri"/>
          <w:sz w:val="22"/>
          <w:szCs w:val="22"/>
        </w:rPr>
        <w:t>$875 at 6 &amp; 12 months and$375 at 18 &amp; 24 months (part time)  </w:t>
      </w:r>
    </w:p>
    <w:p w14:paraId="226F57B7" w14:textId="1B6DA35A" w:rsidR="004A6121" w:rsidRDefault="004A6121" w:rsidP="004C5306">
      <w:pPr>
        <w:pStyle w:val="paragraph"/>
        <w:spacing w:before="0" w:beforeAutospacing="0" w:after="0" w:afterAutospacing="0"/>
        <w:ind w:left="1800"/>
        <w:textAlignment w:val="baseline"/>
        <w:rPr>
          <w:rFonts w:ascii="Calibri" w:hAnsi="Calibri" w:cs="Calibri"/>
          <w:sz w:val="22"/>
          <w:szCs w:val="22"/>
        </w:rPr>
      </w:pPr>
      <w:r>
        <w:rPr>
          <w:rStyle w:val="eop"/>
          <w:rFonts w:ascii="Calibri" w:hAnsi="Calibri" w:cs="Calibri"/>
          <w:sz w:val="22"/>
          <w:szCs w:val="22"/>
        </w:rPr>
        <w:t> </w:t>
      </w:r>
    </w:p>
    <w:p w14:paraId="18CD8412" w14:textId="77777777" w:rsidR="004C5306" w:rsidRDefault="004C5306" w:rsidP="004C5306">
      <w:pPr>
        <w:pStyle w:val="paragraph"/>
        <w:shd w:val="clear" w:color="auto" w:fill="FFFFFF"/>
        <w:spacing w:before="0" w:beforeAutospacing="0" w:after="200" w:afterAutospacing="0" w:line="360" w:lineRule="auto"/>
        <w:textAlignment w:val="baseline"/>
        <w:rPr>
          <w:rStyle w:val="eop"/>
          <w:rFonts w:ascii="Calibri" w:hAnsi="Calibri" w:cs="Calibri"/>
          <w:sz w:val="22"/>
          <w:szCs w:val="22"/>
        </w:rPr>
      </w:pPr>
    </w:p>
    <w:p w14:paraId="150D6345" w14:textId="61CD3740" w:rsidR="004A6121" w:rsidRDefault="004A6121" w:rsidP="004C5306">
      <w:pPr>
        <w:pStyle w:val="paragraph"/>
        <w:shd w:val="clear" w:color="auto" w:fill="FFFFFF"/>
        <w:spacing w:before="0" w:beforeAutospacing="0" w:after="200" w:afterAutospacing="0" w:line="360" w:lineRule="auto"/>
        <w:textAlignment w:val="baseline"/>
        <w:rPr>
          <w:rFonts w:ascii="Segoe UI" w:hAnsi="Segoe UI" w:cs="Segoe UI"/>
          <w:sz w:val="18"/>
          <w:szCs w:val="18"/>
        </w:rPr>
      </w:pPr>
      <w:r>
        <w:rPr>
          <w:rStyle w:val="eop"/>
          <w:rFonts w:ascii="Calibri" w:hAnsi="Calibri" w:cs="Calibri"/>
          <w:sz w:val="22"/>
          <w:szCs w:val="22"/>
        </w:rPr>
        <w:t> </w:t>
      </w:r>
      <w:r>
        <w:rPr>
          <w:rStyle w:val="normaltextrun"/>
          <w:rFonts w:ascii="Calibri" w:hAnsi="Calibri" w:cs="Calibri"/>
          <w:sz w:val="22"/>
          <w:szCs w:val="22"/>
        </w:rPr>
        <w:t xml:space="preserve">The </w:t>
      </w:r>
      <w:r>
        <w:rPr>
          <w:rStyle w:val="normaltextrun"/>
          <w:rFonts w:ascii="Calibri" w:hAnsi="Calibri" w:cs="Calibri"/>
          <w:b/>
          <w:bCs/>
          <w:sz w:val="22"/>
          <w:szCs w:val="22"/>
        </w:rPr>
        <w:t>New Energy Apprentice Support Payment</w:t>
      </w:r>
      <w:r>
        <w:rPr>
          <w:rStyle w:val="normaltextrun"/>
          <w:rFonts w:ascii="Calibri" w:hAnsi="Calibri" w:cs="Calibri"/>
          <w:sz w:val="22"/>
          <w:szCs w:val="22"/>
        </w:rPr>
        <w:t xml:space="preserve"> will be available to eligible Australian Apprentices, where their employer can provide </w:t>
      </w:r>
      <w:r>
        <w:rPr>
          <w:rStyle w:val="normaltextrun"/>
          <w:rFonts w:ascii="Calibri" w:hAnsi="Calibri" w:cs="Calibri"/>
          <w:b/>
          <w:bCs/>
          <w:sz w:val="22"/>
          <w:szCs w:val="22"/>
        </w:rPr>
        <w:t>meaningful exposure, experience</w:t>
      </w:r>
      <w:r>
        <w:rPr>
          <w:rStyle w:val="normaltextrun"/>
          <w:rFonts w:ascii="Calibri" w:hAnsi="Calibri" w:cs="Calibri"/>
          <w:sz w:val="22"/>
          <w:szCs w:val="22"/>
        </w:rPr>
        <w:t xml:space="preserve">, and </w:t>
      </w:r>
      <w:r>
        <w:rPr>
          <w:rStyle w:val="normaltextrun"/>
          <w:rFonts w:ascii="Calibri" w:hAnsi="Calibri" w:cs="Calibri"/>
          <w:b/>
          <w:bCs/>
          <w:sz w:val="22"/>
          <w:szCs w:val="22"/>
        </w:rPr>
        <w:t>work</w:t>
      </w:r>
      <w:r>
        <w:rPr>
          <w:rStyle w:val="normaltextrun"/>
          <w:rFonts w:ascii="Calibri" w:hAnsi="Calibri" w:cs="Calibri"/>
          <w:sz w:val="22"/>
          <w:szCs w:val="22"/>
        </w:rPr>
        <w:t xml:space="preserve"> in a clean energy sector role, of up to $10,000 for a full-time apprenticeship and up to $5,000 for a part-time apprenticeship over the life of the Australian Apprenticeship. Payments are made according to the following schedule and rates: </w:t>
      </w:r>
      <w:r>
        <w:rPr>
          <w:rStyle w:val="eop"/>
          <w:rFonts w:ascii="Calibri" w:hAnsi="Calibri" w:cs="Calibri"/>
          <w:sz w:val="22"/>
          <w:szCs w:val="22"/>
        </w:rPr>
        <w:t> </w:t>
      </w:r>
    </w:p>
    <w:p w14:paraId="3DA61673" w14:textId="77777777" w:rsidR="004A6121" w:rsidRDefault="004A6121" w:rsidP="004A6121">
      <w:pPr>
        <w:pStyle w:val="paragraph"/>
        <w:numPr>
          <w:ilvl w:val="0"/>
          <w:numId w:val="19"/>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$2,000 at 6,12,24 and 36 months and on completion (full-time) </w:t>
      </w:r>
      <w:r>
        <w:rPr>
          <w:rStyle w:val="eop"/>
          <w:rFonts w:ascii="Calibri" w:hAnsi="Calibri" w:cs="Calibri"/>
          <w:sz w:val="22"/>
          <w:szCs w:val="22"/>
        </w:rPr>
        <w:t> </w:t>
      </w:r>
    </w:p>
    <w:p w14:paraId="27B7FF16" w14:textId="77777777" w:rsidR="004A6121" w:rsidRDefault="004A6121" w:rsidP="004A6121">
      <w:pPr>
        <w:pStyle w:val="paragraph"/>
        <w:numPr>
          <w:ilvl w:val="0"/>
          <w:numId w:val="20"/>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$1,000 at 6,12,24 and 36 months and on completion (part-time) </w:t>
      </w:r>
      <w:r>
        <w:rPr>
          <w:rStyle w:val="eop"/>
          <w:rFonts w:ascii="Calibri" w:hAnsi="Calibri" w:cs="Calibri"/>
          <w:sz w:val="22"/>
          <w:szCs w:val="22"/>
        </w:rPr>
        <w:t> </w:t>
      </w:r>
    </w:p>
    <w:p w14:paraId="58C1C981" w14:textId="77777777" w:rsidR="004A6121" w:rsidRDefault="004A6121" w:rsidP="004A612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1C2638"/>
        </w:rPr>
        <w:t> </w:t>
      </w:r>
    </w:p>
    <w:p w14:paraId="6818C2F1" w14:textId="77777777" w:rsidR="004C5306" w:rsidRDefault="004C5306" w:rsidP="004C5306">
      <w:pPr>
        <w:pStyle w:val="paragraph"/>
        <w:shd w:val="clear" w:color="auto" w:fill="FFFFFF"/>
        <w:spacing w:before="0" w:beforeAutospacing="0" w:after="200" w:afterAutospacing="0" w:line="360" w:lineRule="auto"/>
        <w:textAlignment w:val="baseline"/>
        <w:rPr>
          <w:rStyle w:val="normaltextrun"/>
          <w:rFonts w:ascii="Calibri" w:hAnsi="Calibri" w:cs="Calibri"/>
          <w:b/>
          <w:bCs/>
          <w:sz w:val="22"/>
          <w:szCs w:val="22"/>
        </w:rPr>
      </w:pPr>
    </w:p>
    <w:p w14:paraId="2373D2AB" w14:textId="1F5056A5" w:rsidR="004C5306" w:rsidRPr="004C5306" w:rsidRDefault="004A6121" w:rsidP="004C5306">
      <w:pPr>
        <w:pStyle w:val="paragraph"/>
        <w:shd w:val="clear" w:color="auto" w:fill="FFFFFF"/>
        <w:spacing w:before="0" w:beforeAutospacing="0" w:after="200" w:afterAutospacing="0" w:line="360" w:lineRule="auto"/>
        <w:textAlignment w:val="baseline"/>
        <w:rPr>
          <w:rStyle w:val="normaltextrun"/>
          <w:b/>
          <w:bCs/>
          <w:sz w:val="22"/>
          <w:szCs w:val="22"/>
        </w:rPr>
      </w:pPr>
      <w:r w:rsidRPr="004C5306">
        <w:rPr>
          <w:rStyle w:val="normaltextrun"/>
          <w:rFonts w:ascii="Calibri" w:hAnsi="Calibri" w:cs="Calibri"/>
          <w:b/>
          <w:bCs/>
          <w:sz w:val="22"/>
          <w:szCs w:val="22"/>
        </w:rPr>
        <w:t>Australian Apprenticeship Support Loans</w:t>
      </w:r>
      <w:r w:rsidRPr="004C5306">
        <w:rPr>
          <w:rStyle w:val="normaltextrun"/>
          <w:b/>
          <w:bCs/>
          <w:sz w:val="22"/>
          <w:szCs w:val="22"/>
        </w:rPr>
        <w:t> </w:t>
      </w:r>
    </w:p>
    <w:p w14:paraId="77A53620" w14:textId="5E0C9317" w:rsidR="004A6121" w:rsidRPr="008F2986" w:rsidRDefault="004A6121" w:rsidP="004C5306">
      <w:pPr>
        <w:pStyle w:val="paragraph"/>
        <w:shd w:val="clear" w:color="auto" w:fill="FFFFFF"/>
        <w:spacing w:before="0" w:beforeAutospacing="0" w:after="200" w:afterAutospacing="0" w:line="360" w:lineRule="auto"/>
        <w:textAlignment w:val="baseline"/>
        <w:rPr>
          <w:rStyle w:val="normaltextrun"/>
          <w:rFonts w:ascii="Calibri" w:hAnsi="Calibri" w:cs="Calibri"/>
          <w:sz w:val="22"/>
          <w:szCs w:val="22"/>
        </w:rPr>
      </w:pPr>
      <w:r w:rsidRPr="004C5306">
        <w:rPr>
          <w:rStyle w:val="normaltextrun"/>
          <w:rFonts w:ascii="Calibri" w:hAnsi="Calibri" w:cs="Calibri"/>
          <w:sz w:val="22"/>
          <w:szCs w:val="22"/>
        </w:rPr>
        <w:t>The Australian Apprenticeship Support Loans will be available for all apprentices and trainees in</w:t>
      </w:r>
      <w:r>
        <w:rPr>
          <w:rStyle w:val="normaltextrun"/>
          <w:rFonts w:ascii="Calibri" w:hAnsi="Calibri" w:cs="Calibri"/>
          <w:sz w:val="22"/>
          <w:szCs w:val="22"/>
        </w:rPr>
        <w:t xml:space="preserve"> occupations on the Priority List. It will provide income contingent loans of up to $25,643 in 2024-25, to help recipients meet day to day costs while undertaking their studies. The measure will also enable backdating of payments to provide immediate support to recipients. You will start repaying your Australian Apprenticeship Support Loan once you have reached the compulsory repayment threshold of $54,435 (for 2024-25). Repayments are made through the income tax system (like a university HELP loan).</w:t>
      </w:r>
      <w:r w:rsidRPr="008F2986">
        <w:rPr>
          <w:rStyle w:val="normaltextrun"/>
        </w:rPr>
        <w:t> </w:t>
      </w:r>
    </w:p>
    <w:p w14:paraId="05F4048F" w14:textId="77777777" w:rsidR="004C5306" w:rsidRDefault="004C5306" w:rsidP="00826ADA">
      <w:pPr>
        <w:pStyle w:val="paragraph"/>
        <w:shd w:val="clear" w:color="auto" w:fill="FFFFFF"/>
        <w:spacing w:before="0" w:beforeAutospacing="0" w:after="200" w:afterAutospacing="0" w:line="360" w:lineRule="auto"/>
        <w:textAlignment w:val="baseline"/>
        <w:rPr>
          <w:rStyle w:val="normaltextrun"/>
          <w:sz w:val="22"/>
          <w:szCs w:val="22"/>
        </w:rPr>
      </w:pPr>
    </w:p>
    <w:p w14:paraId="2B904611" w14:textId="77777777" w:rsidR="004C5306" w:rsidRDefault="004C5306" w:rsidP="00826ADA">
      <w:pPr>
        <w:pStyle w:val="paragraph"/>
        <w:shd w:val="clear" w:color="auto" w:fill="FFFFFF"/>
        <w:spacing w:before="0" w:beforeAutospacing="0" w:after="200" w:afterAutospacing="0" w:line="360" w:lineRule="auto"/>
        <w:textAlignment w:val="baseline"/>
        <w:rPr>
          <w:rStyle w:val="normaltextrun"/>
          <w:sz w:val="22"/>
          <w:szCs w:val="22"/>
        </w:rPr>
      </w:pPr>
    </w:p>
    <w:p w14:paraId="471E89FD" w14:textId="553D4BC2" w:rsidR="004A6121" w:rsidRDefault="004A6121" w:rsidP="00826ADA">
      <w:pPr>
        <w:pStyle w:val="paragraph"/>
        <w:shd w:val="clear" w:color="auto" w:fill="FFFFFF"/>
        <w:spacing w:before="0" w:beforeAutospacing="0" w:after="200" w:afterAutospacing="0" w:line="360" w:lineRule="auto"/>
        <w:textAlignment w:val="baseline"/>
        <w:rPr>
          <w:rFonts w:ascii="Segoe UI" w:hAnsi="Segoe UI" w:cs="Segoe UI"/>
          <w:sz w:val="18"/>
          <w:szCs w:val="18"/>
        </w:rPr>
      </w:pPr>
      <w:r w:rsidRPr="008F2986">
        <w:rPr>
          <w:rStyle w:val="normaltextrun"/>
          <w:sz w:val="22"/>
          <w:szCs w:val="22"/>
        </w:rPr>
        <w:t> </w:t>
      </w:r>
      <w:r>
        <w:rPr>
          <w:rStyle w:val="normaltextrun"/>
          <w:rFonts w:ascii="Calibri" w:hAnsi="Calibri" w:cs="Calibri"/>
          <w:b/>
          <w:bCs/>
          <w:color w:val="1C2638"/>
        </w:rPr>
        <w:t xml:space="preserve">Living Away </w:t>
      </w:r>
      <w:proofErr w:type="gramStart"/>
      <w:r>
        <w:rPr>
          <w:rStyle w:val="normaltextrun"/>
          <w:rFonts w:ascii="Calibri" w:hAnsi="Calibri" w:cs="Calibri"/>
          <w:b/>
          <w:bCs/>
          <w:color w:val="1C2638"/>
        </w:rPr>
        <w:t>From</w:t>
      </w:r>
      <w:proofErr w:type="gramEnd"/>
      <w:r>
        <w:rPr>
          <w:rStyle w:val="normaltextrun"/>
          <w:rFonts w:ascii="Calibri" w:hAnsi="Calibri" w:cs="Calibri"/>
          <w:b/>
          <w:bCs/>
          <w:color w:val="1C2638"/>
        </w:rPr>
        <w:t xml:space="preserve"> Home Allowance and Disability Australian Apprentice Wage Support</w:t>
      </w:r>
      <w:r>
        <w:rPr>
          <w:rStyle w:val="eop"/>
          <w:rFonts w:ascii="Calibri" w:hAnsi="Calibri" w:cs="Calibri"/>
          <w:color w:val="1C2638"/>
        </w:rPr>
        <w:t> </w:t>
      </w:r>
    </w:p>
    <w:p w14:paraId="79A08839" w14:textId="77777777" w:rsidR="004A6121" w:rsidRPr="00826ADA" w:rsidRDefault="004A6121" w:rsidP="00826ADA">
      <w:pPr>
        <w:pStyle w:val="paragraph"/>
        <w:shd w:val="clear" w:color="auto" w:fill="FFFFFF"/>
        <w:spacing w:before="0" w:beforeAutospacing="0" w:after="200" w:afterAutospacing="0" w:line="360" w:lineRule="auto"/>
        <w:textAlignment w:val="baseline"/>
        <w:rPr>
          <w:rStyle w:val="normaltextrun"/>
          <w:rFonts w:ascii="Calibri" w:hAnsi="Calibri" w:cs="Calibri"/>
          <w:sz w:val="22"/>
          <w:szCs w:val="22"/>
        </w:rPr>
      </w:pPr>
      <w:r>
        <w:rPr>
          <w:rStyle w:val="normaltextrun"/>
          <w:rFonts w:ascii="Calibri" w:hAnsi="Calibri" w:cs="Calibri"/>
          <w:sz w:val="22"/>
          <w:szCs w:val="22"/>
        </w:rPr>
        <w:t xml:space="preserve">There will be continued support available to Apprentices who are required to move away from home to take up or remain in an apprenticeship, through a continuation of the Living Away </w:t>
      </w:r>
      <w:proofErr w:type="gramStart"/>
      <w:r>
        <w:rPr>
          <w:rStyle w:val="normaltextrun"/>
          <w:rFonts w:ascii="Calibri" w:hAnsi="Calibri" w:cs="Calibri"/>
          <w:sz w:val="22"/>
          <w:szCs w:val="22"/>
        </w:rPr>
        <w:t>From</w:t>
      </w:r>
      <w:proofErr w:type="gramEnd"/>
      <w:r>
        <w:rPr>
          <w:rStyle w:val="normaltextrun"/>
          <w:rFonts w:ascii="Calibri" w:hAnsi="Calibri" w:cs="Calibri"/>
          <w:sz w:val="22"/>
          <w:szCs w:val="22"/>
        </w:rPr>
        <w:t xml:space="preserve"> Home Allowance. There will also continue to be additional support for apprentices with disability, through the Disability Australian Apprenticeship Wage Support. </w:t>
      </w:r>
      <w:r w:rsidRPr="00826ADA">
        <w:rPr>
          <w:rStyle w:val="normaltextrun"/>
        </w:rPr>
        <w:t> </w:t>
      </w:r>
    </w:p>
    <w:p w14:paraId="1E96E054" w14:textId="7D5F8C5B" w:rsidR="004A6121" w:rsidRDefault="004A6121" w:rsidP="00826ADA">
      <w:pPr>
        <w:pStyle w:val="paragraph"/>
        <w:spacing w:before="0" w:beforeAutospacing="0" w:after="200" w:afterAutospacing="0" w:line="360" w:lineRule="auto"/>
        <w:textAlignment w:val="baseline"/>
        <w:rPr>
          <w:rFonts w:ascii="Segoe UI" w:hAnsi="Segoe UI" w:cs="Segoe UI"/>
          <w:sz w:val="18"/>
          <w:szCs w:val="18"/>
        </w:rPr>
      </w:pPr>
      <w:r>
        <w:rPr>
          <w:rStyle w:val="normaltextrun"/>
          <w:rFonts w:ascii="Calibri" w:hAnsi="Calibri" w:cs="Calibri"/>
          <w:b/>
          <w:bCs/>
          <w:color w:val="1C2638"/>
        </w:rPr>
        <w:t>Apprentices and Employers who commenced or recommenced prior to 30 June 2024 will continue to receive the support through grandfathering arrangements as below:</w:t>
      </w:r>
      <w:r>
        <w:rPr>
          <w:rStyle w:val="eop"/>
          <w:rFonts w:ascii="Calibri" w:hAnsi="Calibri" w:cs="Calibri"/>
          <w:color w:val="1C2638"/>
        </w:rPr>
        <w:t> </w:t>
      </w:r>
    </w:p>
    <w:p w14:paraId="1D28C677" w14:textId="77777777" w:rsidR="004A6121" w:rsidRDefault="004A6121" w:rsidP="0048611F">
      <w:pPr>
        <w:pStyle w:val="paragraph"/>
        <w:numPr>
          <w:ilvl w:val="0"/>
          <w:numId w:val="21"/>
        </w:numPr>
        <w:shd w:val="clear" w:color="auto" w:fill="FFFFFF"/>
        <w:spacing w:before="0" w:beforeAutospacing="0" w:after="200" w:afterAutospacing="0" w:line="360" w:lineRule="auto"/>
        <w:ind w:left="1418" w:hanging="425"/>
        <w:textAlignment w:val="baseline"/>
        <w:rPr>
          <w:rFonts w:ascii="Calibri" w:hAnsi="Calibri" w:cs="Calibri"/>
          <w:sz w:val="22"/>
          <w:szCs w:val="22"/>
        </w:rPr>
      </w:pPr>
      <w:r>
        <w:rPr>
          <w:rStyle w:val="normaltextrun"/>
          <w:rFonts w:ascii="Calibri" w:hAnsi="Calibri" w:cs="Calibri"/>
          <w:sz w:val="22"/>
          <w:szCs w:val="22"/>
        </w:rPr>
        <w:t>The Priority Wage Subsidy provides up to 3 years of assistance to employers. Eligible employers can be reimbursed a percentage of wages paid on a quarterly basis.</w:t>
      </w:r>
      <w:r>
        <w:rPr>
          <w:rStyle w:val="eop"/>
          <w:rFonts w:ascii="Calibri" w:hAnsi="Calibri" w:cs="Calibri"/>
          <w:sz w:val="22"/>
          <w:szCs w:val="22"/>
        </w:rPr>
        <w:t> </w:t>
      </w:r>
    </w:p>
    <w:p w14:paraId="405295CD" w14:textId="77777777" w:rsidR="004A6121" w:rsidRDefault="004A6121" w:rsidP="0048611F">
      <w:pPr>
        <w:pStyle w:val="paragraph"/>
        <w:numPr>
          <w:ilvl w:val="0"/>
          <w:numId w:val="22"/>
        </w:numPr>
        <w:shd w:val="clear" w:color="auto" w:fill="FFFFFF"/>
        <w:spacing w:before="0" w:beforeAutospacing="0" w:after="200" w:afterAutospacing="0" w:line="360" w:lineRule="auto"/>
        <w:ind w:left="1418" w:hanging="425"/>
        <w:textAlignment w:val="baseline"/>
        <w:rPr>
          <w:rFonts w:ascii="Calibri" w:hAnsi="Calibri" w:cs="Calibri"/>
          <w:sz w:val="22"/>
          <w:szCs w:val="22"/>
        </w:rPr>
      </w:pPr>
      <w:r>
        <w:rPr>
          <w:rStyle w:val="normaltextrun"/>
          <w:rFonts w:ascii="Calibri" w:hAnsi="Calibri" w:cs="Calibri"/>
          <w:sz w:val="22"/>
          <w:szCs w:val="22"/>
        </w:rPr>
        <w:t>The Hiring Incentive is available to eligible employers of Australian Apprentices in occupations not listed on the Priority List. It is paid in two instalments at 6 and 12 months after commencement.</w:t>
      </w:r>
      <w:r>
        <w:rPr>
          <w:rStyle w:val="eop"/>
          <w:rFonts w:ascii="Calibri" w:hAnsi="Calibri" w:cs="Calibri"/>
          <w:sz w:val="22"/>
          <w:szCs w:val="22"/>
        </w:rPr>
        <w:t> </w:t>
      </w:r>
    </w:p>
    <w:p w14:paraId="3B49B9C2" w14:textId="77777777" w:rsidR="004A6121" w:rsidRDefault="004A6121" w:rsidP="00826ADA">
      <w:pPr>
        <w:pStyle w:val="paragraph"/>
        <w:spacing w:before="0" w:beforeAutospacing="0" w:after="200" w:afterAutospacing="0" w:line="360" w:lineRule="auto"/>
        <w:textAlignment w:val="baseline"/>
        <w:rPr>
          <w:rFonts w:ascii="Segoe UI" w:hAnsi="Segoe UI" w:cs="Segoe UI"/>
          <w:sz w:val="18"/>
          <w:szCs w:val="18"/>
        </w:rPr>
      </w:pPr>
      <w:r>
        <w:rPr>
          <w:rStyle w:val="normaltextrun"/>
          <w:rFonts w:ascii="Calibri" w:hAnsi="Calibri" w:cs="Calibri"/>
          <w:sz w:val="22"/>
          <w:szCs w:val="22"/>
        </w:rPr>
        <w:t xml:space="preserve">Further information can be found in the </w:t>
      </w:r>
      <w:hyperlink r:id="rId10" w:tgtFrame="_blank" w:history="1">
        <w:r>
          <w:rPr>
            <w:rStyle w:val="normaltextrun"/>
            <w:rFonts w:ascii="Calibri" w:hAnsi="Calibri" w:cs="Calibri"/>
            <w:color w:val="404246"/>
            <w:sz w:val="22"/>
            <w:szCs w:val="22"/>
            <w:u w:val="single"/>
          </w:rPr>
          <w:t>Incentive System Guidelines</w:t>
        </w:r>
      </w:hyperlink>
      <w:r>
        <w:rPr>
          <w:rStyle w:val="normaltextrun"/>
          <w:rFonts w:ascii="Calibri" w:hAnsi="Calibri" w:cs="Calibri"/>
          <w:sz w:val="22"/>
          <w:szCs w:val="22"/>
        </w:rPr>
        <w:t>. To determine your eligibility and information about applying, contact an Apprentice Connect Australia Provider.</w:t>
      </w:r>
      <w:r>
        <w:rPr>
          <w:rStyle w:val="eop"/>
          <w:rFonts w:ascii="Calibri" w:hAnsi="Calibri" w:cs="Calibri"/>
          <w:sz w:val="22"/>
          <w:szCs w:val="22"/>
        </w:rPr>
        <w:t> </w:t>
      </w:r>
    </w:p>
    <w:p w14:paraId="2650D08D" w14:textId="77777777" w:rsidR="004A6121" w:rsidRPr="004A6121" w:rsidRDefault="004A6121" w:rsidP="00826ADA">
      <w:pPr>
        <w:spacing w:after="200" w:line="360" w:lineRule="auto"/>
      </w:pPr>
    </w:p>
    <w:sectPr w:rsidR="004A6121" w:rsidRPr="004A6121" w:rsidSect="00347322">
      <w:headerReference w:type="default" r:id="rId11"/>
      <w:pgSz w:w="11906" w:h="16838"/>
      <w:pgMar w:top="3544" w:right="1440" w:bottom="1134" w:left="1440" w:header="1701" w:footer="12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054B0" w14:textId="77777777" w:rsidR="004D7620" w:rsidRDefault="004D7620" w:rsidP="00C16E76">
      <w:r>
        <w:separator/>
      </w:r>
    </w:p>
  </w:endnote>
  <w:endnote w:type="continuationSeparator" w:id="0">
    <w:p w14:paraId="636F49BF" w14:textId="77777777" w:rsidR="004D7620" w:rsidRDefault="004D7620" w:rsidP="00C1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E6723" w14:textId="77777777" w:rsidR="004D7620" w:rsidRDefault="004D7620" w:rsidP="00C16E76">
      <w:r>
        <w:separator/>
      </w:r>
    </w:p>
  </w:footnote>
  <w:footnote w:type="continuationSeparator" w:id="0">
    <w:p w14:paraId="19B2935E" w14:textId="77777777" w:rsidR="004D7620" w:rsidRDefault="004D7620" w:rsidP="00C16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FFB2C" w14:textId="2E1386E6" w:rsidR="00F50BF2" w:rsidRDefault="00812E87" w:rsidP="00C16E76">
    <w:pPr>
      <w:pStyle w:val="Header"/>
    </w:pPr>
    <w:r>
      <w:rPr>
        <w:noProof/>
      </w:rPr>
      <w:drawing>
        <wp:anchor distT="0" distB="0" distL="114300" distR="114300" simplePos="0" relativeHeight="251658240" behindDoc="1" locked="0" layoutInCell="1" allowOverlap="1" wp14:anchorId="48EA4C59" wp14:editId="41E050D9">
          <wp:simplePos x="0" y="0"/>
          <wp:positionH relativeFrom="page">
            <wp:align>left</wp:align>
          </wp:positionH>
          <wp:positionV relativeFrom="paragraph">
            <wp:posOffset>-1080135</wp:posOffset>
          </wp:positionV>
          <wp:extent cx="7553325" cy="106965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3325" cy="10696575"/>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768E0"/>
    <w:multiLevelType w:val="hybridMultilevel"/>
    <w:tmpl w:val="6088A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537F81"/>
    <w:multiLevelType w:val="hybridMultilevel"/>
    <w:tmpl w:val="B6707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4056F3"/>
    <w:multiLevelType w:val="multilevel"/>
    <w:tmpl w:val="F82652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A12379E"/>
    <w:multiLevelType w:val="hybridMultilevel"/>
    <w:tmpl w:val="C8700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087E41"/>
    <w:multiLevelType w:val="multilevel"/>
    <w:tmpl w:val="D10A1B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4B676BC"/>
    <w:multiLevelType w:val="hybridMultilevel"/>
    <w:tmpl w:val="92F2E2D0"/>
    <w:lvl w:ilvl="0" w:tplc="C3621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700B26"/>
    <w:multiLevelType w:val="multilevel"/>
    <w:tmpl w:val="E8D26F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92D3AC5"/>
    <w:multiLevelType w:val="hybridMultilevel"/>
    <w:tmpl w:val="3E524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C012D17"/>
    <w:multiLevelType w:val="hybridMultilevel"/>
    <w:tmpl w:val="15ACA762"/>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9" w15:restartNumberingAfterBreak="0">
    <w:nsid w:val="3F642156"/>
    <w:multiLevelType w:val="hybridMultilevel"/>
    <w:tmpl w:val="38D0080C"/>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0" w15:restartNumberingAfterBreak="0">
    <w:nsid w:val="413307E5"/>
    <w:multiLevelType w:val="multilevel"/>
    <w:tmpl w:val="120A66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1594850"/>
    <w:multiLevelType w:val="multilevel"/>
    <w:tmpl w:val="AE1037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5E06F67"/>
    <w:multiLevelType w:val="multilevel"/>
    <w:tmpl w:val="225EC5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71C1352"/>
    <w:multiLevelType w:val="multilevel"/>
    <w:tmpl w:val="EB74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071715"/>
    <w:multiLevelType w:val="hybridMultilevel"/>
    <w:tmpl w:val="208C041E"/>
    <w:lvl w:ilvl="0" w:tplc="33C446C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F17F3F"/>
    <w:multiLevelType w:val="hybridMultilevel"/>
    <w:tmpl w:val="5FD28492"/>
    <w:lvl w:ilvl="0" w:tplc="4E36C4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1B3F10"/>
    <w:multiLevelType w:val="hybridMultilevel"/>
    <w:tmpl w:val="104C9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657CAB"/>
    <w:multiLevelType w:val="hybridMultilevel"/>
    <w:tmpl w:val="0908C2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8B4815"/>
    <w:multiLevelType w:val="hybridMultilevel"/>
    <w:tmpl w:val="1774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9C19F6"/>
    <w:multiLevelType w:val="hybridMultilevel"/>
    <w:tmpl w:val="661A6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7420D8"/>
    <w:multiLevelType w:val="multilevel"/>
    <w:tmpl w:val="8444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9465933">
    <w:abstractNumId w:val="15"/>
  </w:num>
  <w:num w:numId="2" w16cid:durableId="194732527">
    <w:abstractNumId w:val="7"/>
  </w:num>
  <w:num w:numId="3" w16cid:durableId="1717579252">
    <w:abstractNumId w:val="17"/>
  </w:num>
  <w:num w:numId="4" w16cid:durableId="729763709">
    <w:abstractNumId w:val="16"/>
  </w:num>
  <w:num w:numId="5" w16cid:durableId="626546588">
    <w:abstractNumId w:val="3"/>
  </w:num>
  <w:num w:numId="6" w16cid:durableId="195431915">
    <w:abstractNumId w:val="18"/>
  </w:num>
  <w:num w:numId="7" w16cid:durableId="436172517">
    <w:abstractNumId w:val="14"/>
  </w:num>
  <w:num w:numId="8" w16cid:durableId="1934168164">
    <w:abstractNumId w:val="19"/>
  </w:num>
  <w:num w:numId="9" w16cid:durableId="2007399065">
    <w:abstractNumId w:val="1"/>
  </w:num>
  <w:num w:numId="10" w16cid:durableId="513424633">
    <w:abstractNumId w:val="9"/>
  </w:num>
  <w:num w:numId="11" w16cid:durableId="1572229823">
    <w:abstractNumId w:val="8"/>
  </w:num>
  <w:num w:numId="12" w16cid:durableId="832525901">
    <w:abstractNumId w:val="5"/>
  </w:num>
  <w:num w:numId="13" w16cid:durableId="529801317">
    <w:abstractNumId w:val="0"/>
  </w:num>
  <w:num w:numId="14" w16cid:durableId="76832522">
    <w:abstractNumId w:val="5"/>
  </w:num>
  <w:num w:numId="15" w16cid:durableId="1185098358">
    <w:abstractNumId w:val="12"/>
  </w:num>
  <w:num w:numId="16" w16cid:durableId="25110099">
    <w:abstractNumId w:val="4"/>
  </w:num>
  <w:num w:numId="17" w16cid:durableId="1600678028">
    <w:abstractNumId w:val="10"/>
  </w:num>
  <w:num w:numId="18" w16cid:durableId="1330982323">
    <w:abstractNumId w:val="11"/>
  </w:num>
  <w:num w:numId="19" w16cid:durableId="62728938">
    <w:abstractNumId w:val="2"/>
  </w:num>
  <w:num w:numId="20" w16cid:durableId="1168866461">
    <w:abstractNumId w:val="6"/>
  </w:num>
  <w:num w:numId="21" w16cid:durableId="1018432720">
    <w:abstractNumId w:val="13"/>
  </w:num>
  <w:num w:numId="22" w16cid:durableId="6171771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AA"/>
    <w:rsid w:val="0001113B"/>
    <w:rsid w:val="00012F2E"/>
    <w:rsid w:val="00027B4A"/>
    <w:rsid w:val="00121945"/>
    <w:rsid w:val="00191E29"/>
    <w:rsid w:val="00195A4E"/>
    <w:rsid w:val="00196EE4"/>
    <w:rsid w:val="00242AF7"/>
    <w:rsid w:val="002E331B"/>
    <w:rsid w:val="002F1BB6"/>
    <w:rsid w:val="00317892"/>
    <w:rsid w:val="00341D84"/>
    <w:rsid w:val="00347322"/>
    <w:rsid w:val="0035660C"/>
    <w:rsid w:val="00373332"/>
    <w:rsid w:val="003D4848"/>
    <w:rsid w:val="003F1AEF"/>
    <w:rsid w:val="00441F99"/>
    <w:rsid w:val="00442F44"/>
    <w:rsid w:val="0048611F"/>
    <w:rsid w:val="004A6121"/>
    <w:rsid w:val="004C5306"/>
    <w:rsid w:val="004D7620"/>
    <w:rsid w:val="004F77FC"/>
    <w:rsid w:val="00505CDD"/>
    <w:rsid w:val="006121F9"/>
    <w:rsid w:val="00613C47"/>
    <w:rsid w:val="00635F14"/>
    <w:rsid w:val="006D04EB"/>
    <w:rsid w:val="007704AA"/>
    <w:rsid w:val="00797A7E"/>
    <w:rsid w:val="00812E87"/>
    <w:rsid w:val="00824F0D"/>
    <w:rsid w:val="00826ADA"/>
    <w:rsid w:val="0085666C"/>
    <w:rsid w:val="008D5BFC"/>
    <w:rsid w:val="008F2986"/>
    <w:rsid w:val="008F623F"/>
    <w:rsid w:val="0094397B"/>
    <w:rsid w:val="0095041D"/>
    <w:rsid w:val="00997F58"/>
    <w:rsid w:val="009A6087"/>
    <w:rsid w:val="009A6AFC"/>
    <w:rsid w:val="009E1A23"/>
    <w:rsid w:val="00A17F27"/>
    <w:rsid w:val="00A25988"/>
    <w:rsid w:val="00A354B5"/>
    <w:rsid w:val="00A53D89"/>
    <w:rsid w:val="00AF5310"/>
    <w:rsid w:val="00BD0CCC"/>
    <w:rsid w:val="00C16E76"/>
    <w:rsid w:val="00D02EF7"/>
    <w:rsid w:val="00D23F11"/>
    <w:rsid w:val="00D30F5B"/>
    <w:rsid w:val="00D35F20"/>
    <w:rsid w:val="00D63DCF"/>
    <w:rsid w:val="00DB4CE8"/>
    <w:rsid w:val="00E05717"/>
    <w:rsid w:val="00EC0E9E"/>
    <w:rsid w:val="00F50BF2"/>
    <w:rsid w:val="00F52C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46F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E76"/>
    <w:pPr>
      <w:spacing w:after="0" w:line="240" w:lineRule="auto"/>
      <w:contextualSpacing/>
    </w:pPr>
    <w:rPr>
      <w:kern w:val="0"/>
      <w:szCs w:val="20"/>
      <w14:ligatures w14:val="none"/>
    </w:rPr>
  </w:style>
  <w:style w:type="paragraph" w:styleId="Heading1">
    <w:name w:val="heading 1"/>
    <w:basedOn w:val="Normal"/>
    <w:next w:val="Normal"/>
    <w:link w:val="Heading1Char"/>
    <w:uiPriority w:val="9"/>
    <w:qFormat/>
    <w:rsid w:val="00347322"/>
    <w:pPr>
      <w:spacing w:before="160" w:after="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4AA"/>
    <w:pPr>
      <w:tabs>
        <w:tab w:val="center" w:pos="4513"/>
        <w:tab w:val="right" w:pos="9026"/>
      </w:tabs>
    </w:pPr>
  </w:style>
  <w:style w:type="character" w:customStyle="1" w:styleId="HeaderChar">
    <w:name w:val="Header Char"/>
    <w:basedOn w:val="DefaultParagraphFont"/>
    <w:link w:val="Header"/>
    <w:uiPriority w:val="99"/>
    <w:rsid w:val="007704AA"/>
  </w:style>
  <w:style w:type="paragraph" w:styleId="Footer">
    <w:name w:val="footer"/>
    <w:basedOn w:val="Normal"/>
    <w:link w:val="FooterChar"/>
    <w:uiPriority w:val="99"/>
    <w:unhideWhenUsed/>
    <w:rsid w:val="007704AA"/>
    <w:pPr>
      <w:tabs>
        <w:tab w:val="center" w:pos="4513"/>
        <w:tab w:val="right" w:pos="9026"/>
      </w:tabs>
    </w:pPr>
  </w:style>
  <w:style w:type="character" w:customStyle="1" w:styleId="FooterChar">
    <w:name w:val="Footer Char"/>
    <w:basedOn w:val="DefaultParagraphFont"/>
    <w:link w:val="Footer"/>
    <w:uiPriority w:val="99"/>
    <w:rsid w:val="007704AA"/>
  </w:style>
  <w:style w:type="paragraph" w:styleId="ListParagraph">
    <w:name w:val="List Paragraph"/>
    <w:aliases w:val="List Paragraph - bullets,Recommendation,L,Bullet point,List Paragraph1,List Paragraph11,List Paragraph2,List Bullet Cab,Bulletr List Paragraph,FooterText,List Paragraph21,Listeafsnit1,Paragraphe de liste1,Parágrafo da Lista1,列出段,numbered"/>
    <w:basedOn w:val="Normal"/>
    <w:link w:val="ListParagraphChar"/>
    <w:uiPriority w:val="34"/>
    <w:qFormat/>
    <w:rsid w:val="00BD0CCC"/>
    <w:pPr>
      <w:numPr>
        <w:numId w:val="7"/>
      </w:numPr>
      <w:spacing w:after="160" w:line="259" w:lineRule="auto"/>
    </w:pPr>
    <w:rPr>
      <w:kern w:val="2"/>
      <w:szCs w:val="22"/>
      <w14:ligatures w14:val="standardContextual"/>
    </w:rPr>
  </w:style>
  <w:style w:type="character" w:customStyle="1" w:styleId="ListParagraphChar">
    <w:name w:val="List Paragraph Char"/>
    <w:aliases w:val="List Paragraph - bullets Char,Recommendation Char,L Char,Bullet point Char,List Paragraph1 Char,List Paragraph11 Char,List Paragraph2 Char,List Bullet Cab Char,Bulletr List Paragraph Char,FooterText Char,List Paragraph21 Char"/>
    <w:basedOn w:val="DefaultParagraphFont"/>
    <w:link w:val="ListParagraph"/>
    <w:uiPriority w:val="34"/>
    <w:rsid w:val="00BD0CCC"/>
  </w:style>
  <w:style w:type="table" w:customStyle="1" w:styleId="DESE">
    <w:name w:val="DESE"/>
    <w:basedOn w:val="TableNormal"/>
    <w:uiPriority w:val="99"/>
    <w:rsid w:val="00D63DCF"/>
    <w:pPr>
      <w:spacing w:before="100" w:beforeAutospacing="1" w:after="100" w:afterAutospacing="1"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character" w:customStyle="1" w:styleId="Heading1Char">
    <w:name w:val="Heading 1 Char"/>
    <w:basedOn w:val="DefaultParagraphFont"/>
    <w:link w:val="Heading1"/>
    <w:uiPriority w:val="9"/>
    <w:rsid w:val="00347322"/>
    <w:rPr>
      <w:b/>
      <w:bCs/>
      <w:kern w:val="0"/>
      <w:sz w:val="28"/>
      <w:szCs w:val="28"/>
      <w14:ligatures w14:val="none"/>
    </w:rPr>
  </w:style>
  <w:style w:type="paragraph" w:styleId="Title">
    <w:name w:val="Title"/>
    <w:basedOn w:val="Normal"/>
    <w:next w:val="Normal"/>
    <w:link w:val="TitleChar"/>
    <w:uiPriority w:val="10"/>
    <w:qFormat/>
    <w:rsid w:val="00347322"/>
    <w:pPr>
      <w:spacing w:before="120" w:after="120"/>
      <w:jc w:val="center"/>
    </w:pPr>
    <w:rPr>
      <w:b/>
      <w:bCs/>
      <w:sz w:val="36"/>
      <w:szCs w:val="36"/>
    </w:rPr>
  </w:style>
  <w:style w:type="character" w:customStyle="1" w:styleId="TitleChar">
    <w:name w:val="Title Char"/>
    <w:basedOn w:val="DefaultParagraphFont"/>
    <w:link w:val="Title"/>
    <w:uiPriority w:val="10"/>
    <w:rsid w:val="00347322"/>
    <w:rPr>
      <w:b/>
      <w:bCs/>
      <w:kern w:val="0"/>
      <w:sz w:val="36"/>
      <w:szCs w:val="36"/>
      <w14:ligatures w14:val="none"/>
    </w:rPr>
  </w:style>
  <w:style w:type="paragraph" w:customStyle="1" w:styleId="paragraph">
    <w:name w:val="paragraph"/>
    <w:basedOn w:val="Normal"/>
    <w:rsid w:val="004A6121"/>
    <w:pPr>
      <w:spacing w:before="100" w:beforeAutospacing="1" w:after="100" w:afterAutospacing="1"/>
      <w:contextualSpacing w:val="0"/>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A6121"/>
  </w:style>
  <w:style w:type="character" w:customStyle="1" w:styleId="eop">
    <w:name w:val="eop"/>
    <w:basedOn w:val="DefaultParagraphFont"/>
    <w:rsid w:val="004A6121"/>
  </w:style>
  <w:style w:type="character" w:styleId="Hyperlink">
    <w:name w:val="Hyperlink"/>
    <w:basedOn w:val="DefaultParagraphFont"/>
    <w:uiPriority w:val="99"/>
    <w:unhideWhenUsed/>
    <w:rsid w:val="00373332"/>
    <w:rPr>
      <w:color w:val="0563C1" w:themeColor="hyperlink"/>
      <w:u w:val="single"/>
    </w:rPr>
  </w:style>
  <w:style w:type="character" w:styleId="UnresolvedMention">
    <w:name w:val="Unresolved Mention"/>
    <w:basedOn w:val="DefaultParagraphFont"/>
    <w:uiPriority w:val="99"/>
    <w:semiHidden/>
    <w:unhideWhenUsed/>
    <w:rsid w:val="00373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20241">
      <w:bodyDiv w:val="1"/>
      <w:marLeft w:val="0"/>
      <w:marRight w:val="0"/>
      <w:marTop w:val="0"/>
      <w:marBottom w:val="0"/>
      <w:divBdr>
        <w:top w:val="none" w:sz="0" w:space="0" w:color="auto"/>
        <w:left w:val="none" w:sz="0" w:space="0" w:color="auto"/>
        <w:bottom w:val="none" w:sz="0" w:space="0" w:color="auto"/>
        <w:right w:val="none" w:sz="0" w:space="0" w:color="auto"/>
      </w:divBdr>
      <w:divsChild>
        <w:div w:id="245967588">
          <w:marLeft w:val="0"/>
          <w:marRight w:val="0"/>
          <w:marTop w:val="0"/>
          <w:marBottom w:val="0"/>
          <w:divBdr>
            <w:top w:val="none" w:sz="0" w:space="0" w:color="auto"/>
            <w:left w:val="none" w:sz="0" w:space="0" w:color="auto"/>
            <w:bottom w:val="none" w:sz="0" w:space="0" w:color="auto"/>
            <w:right w:val="none" w:sz="0" w:space="0" w:color="auto"/>
          </w:divBdr>
          <w:divsChild>
            <w:div w:id="816729944">
              <w:marLeft w:val="0"/>
              <w:marRight w:val="0"/>
              <w:marTop w:val="0"/>
              <w:marBottom w:val="0"/>
              <w:divBdr>
                <w:top w:val="none" w:sz="0" w:space="0" w:color="auto"/>
                <w:left w:val="none" w:sz="0" w:space="0" w:color="auto"/>
                <w:bottom w:val="none" w:sz="0" w:space="0" w:color="auto"/>
                <w:right w:val="none" w:sz="0" w:space="0" w:color="auto"/>
              </w:divBdr>
            </w:div>
            <w:div w:id="198931608">
              <w:marLeft w:val="0"/>
              <w:marRight w:val="0"/>
              <w:marTop w:val="0"/>
              <w:marBottom w:val="0"/>
              <w:divBdr>
                <w:top w:val="none" w:sz="0" w:space="0" w:color="auto"/>
                <w:left w:val="none" w:sz="0" w:space="0" w:color="auto"/>
                <w:bottom w:val="none" w:sz="0" w:space="0" w:color="auto"/>
                <w:right w:val="none" w:sz="0" w:space="0" w:color="auto"/>
              </w:divBdr>
            </w:div>
            <w:div w:id="255287547">
              <w:marLeft w:val="0"/>
              <w:marRight w:val="0"/>
              <w:marTop w:val="0"/>
              <w:marBottom w:val="0"/>
              <w:divBdr>
                <w:top w:val="none" w:sz="0" w:space="0" w:color="auto"/>
                <w:left w:val="none" w:sz="0" w:space="0" w:color="auto"/>
                <w:bottom w:val="none" w:sz="0" w:space="0" w:color="auto"/>
                <w:right w:val="none" w:sz="0" w:space="0" w:color="auto"/>
              </w:divBdr>
            </w:div>
            <w:div w:id="658390435">
              <w:marLeft w:val="0"/>
              <w:marRight w:val="0"/>
              <w:marTop w:val="0"/>
              <w:marBottom w:val="0"/>
              <w:divBdr>
                <w:top w:val="none" w:sz="0" w:space="0" w:color="auto"/>
                <w:left w:val="none" w:sz="0" w:space="0" w:color="auto"/>
                <w:bottom w:val="none" w:sz="0" w:space="0" w:color="auto"/>
                <w:right w:val="none" w:sz="0" w:space="0" w:color="auto"/>
              </w:divBdr>
            </w:div>
            <w:div w:id="624772647">
              <w:marLeft w:val="0"/>
              <w:marRight w:val="0"/>
              <w:marTop w:val="0"/>
              <w:marBottom w:val="0"/>
              <w:divBdr>
                <w:top w:val="none" w:sz="0" w:space="0" w:color="auto"/>
                <w:left w:val="none" w:sz="0" w:space="0" w:color="auto"/>
                <w:bottom w:val="none" w:sz="0" w:space="0" w:color="auto"/>
                <w:right w:val="none" w:sz="0" w:space="0" w:color="auto"/>
              </w:divBdr>
            </w:div>
            <w:div w:id="1689133215">
              <w:marLeft w:val="0"/>
              <w:marRight w:val="0"/>
              <w:marTop w:val="0"/>
              <w:marBottom w:val="0"/>
              <w:divBdr>
                <w:top w:val="none" w:sz="0" w:space="0" w:color="auto"/>
                <w:left w:val="none" w:sz="0" w:space="0" w:color="auto"/>
                <w:bottom w:val="none" w:sz="0" w:space="0" w:color="auto"/>
                <w:right w:val="none" w:sz="0" w:space="0" w:color="auto"/>
              </w:divBdr>
            </w:div>
            <w:div w:id="177813685">
              <w:marLeft w:val="0"/>
              <w:marRight w:val="0"/>
              <w:marTop w:val="0"/>
              <w:marBottom w:val="0"/>
              <w:divBdr>
                <w:top w:val="none" w:sz="0" w:space="0" w:color="auto"/>
                <w:left w:val="none" w:sz="0" w:space="0" w:color="auto"/>
                <w:bottom w:val="none" w:sz="0" w:space="0" w:color="auto"/>
                <w:right w:val="none" w:sz="0" w:space="0" w:color="auto"/>
              </w:divBdr>
            </w:div>
            <w:div w:id="285624419">
              <w:marLeft w:val="0"/>
              <w:marRight w:val="0"/>
              <w:marTop w:val="0"/>
              <w:marBottom w:val="0"/>
              <w:divBdr>
                <w:top w:val="none" w:sz="0" w:space="0" w:color="auto"/>
                <w:left w:val="none" w:sz="0" w:space="0" w:color="auto"/>
                <w:bottom w:val="none" w:sz="0" w:space="0" w:color="auto"/>
                <w:right w:val="none" w:sz="0" w:space="0" w:color="auto"/>
              </w:divBdr>
            </w:div>
            <w:div w:id="332732138">
              <w:marLeft w:val="0"/>
              <w:marRight w:val="0"/>
              <w:marTop w:val="0"/>
              <w:marBottom w:val="0"/>
              <w:divBdr>
                <w:top w:val="none" w:sz="0" w:space="0" w:color="auto"/>
                <w:left w:val="none" w:sz="0" w:space="0" w:color="auto"/>
                <w:bottom w:val="none" w:sz="0" w:space="0" w:color="auto"/>
                <w:right w:val="none" w:sz="0" w:space="0" w:color="auto"/>
              </w:divBdr>
            </w:div>
            <w:div w:id="234055394">
              <w:marLeft w:val="0"/>
              <w:marRight w:val="0"/>
              <w:marTop w:val="0"/>
              <w:marBottom w:val="0"/>
              <w:divBdr>
                <w:top w:val="none" w:sz="0" w:space="0" w:color="auto"/>
                <w:left w:val="none" w:sz="0" w:space="0" w:color="auto"/>
                <w:bottom w:val="none" w:sz="0" w:space="0" w:color="auto"/>
                <w:right w:val="none" w:sz="0" w:space="0" w:color="auto"/>
              </w:divBdr>
            </w:div>
            <w:div w:id="72090683">
              <w:marLeft w:val="0"/>
              <w:marRight w:val="0"/>
              <w:marTop w:val="0"/>
              <w:marBottom w:val="0"/>
              <w:divBdr>
                <w:top w:val="none" w:sz="0" w:space="0" w:color="auto"/>
                <w:left w:val="none" w:sz="0" w:space="0" w:color="auto"/>
                <w:bottom w:val="none" w:sz="0" w:space="0" w:color="auto"/>
                <w:right w:val="none" w:sz="0" w:space="0" w:color="auto"/>
              </w:divBdr>
            </w:div>
            <w:div w:id="874850641">
              <w:marLeft w:val="0"/>
              <w:marRight w:val="0"/>
              <w:marTop w:val="0"/>
              <w:marBottom w:val="0"/>
              <w:divBdr>
                <w:top w:val="none" w:sz="0" w:space="0" w:color="auto"/>
                <w:left w:val="none" w:sz="0" w:space="0" w:color="auto"/>
                <w:bottom w:val="none" w:sz="0" w:space="0" w:color="auto"/>
                <w:right w:val="none" w:sz="0" w:space="0" w:color="auto"/>
              </w:divBdr>
            </w:div>
            <w:div w:id="1767656539">
              <w:marLeft w:val="0"/>
              <w:marRight w:val="0"/>
              <w:marTop w:val="0"/>
              <w:marBottom w:val="0"/>
              <w:divBdr>
                <w:top w:val="none" w:sz="0" w:space="0" w:color="auto"/>
                <w:left w:val="none" w:sz="0" w:space="0" w:color="auto"/>
                <w:bottom w:val="none" w:sz="0" w:space="0" w:color="auto"/>
                <w:right w:val="none" w:sz="0" w:space="0" w:color="auto"/>
              </w:divBdr>
            </w:div>
            <w:div w:id="1709334529">
              <w:marLeft w:val="0"/>
              <w:marRight w:val="0"/>
              <w:marTop w:val="0"/>
              <w:marBottom w:val="0"/>
              <w:divBdr>
                <w:top w:val="none" w:sz="0" w:space="0" w:color="auto"/>
                <w:left w:val="none" w:sz="0" w:space="0" w:color="auto"/>
                <w:bottom w:val="none" w:sz="0" w:space="0" w:color="auto"/>
                <w:right w:val="none" w:sz="0" w:space="0" w:color="auto"/>
              </w:divBdr>
            </w:div>
            <w:div w:id="988629462">
              <w:marLeft w:val="0"/>
              <w:marRight w:val="0"/>
              <w:marTop w:val="0"/>
              <w:marBottom w:val="0"/>
              <w:divBdr>
                <w:top w:val="none" w:sz="0" w:space="0" w:color="auto"/>
                <w:left w:val="none" w:sz="0" w:space="0" w:color="auto"/>
                <w:bottom w:val="none" w:sz="0" w:space="0" w:color="auto"/>
                <w:right w:val="none" w:sz="0" w:space="0" w:color="auto"/>
              </w:divBdr>
            </w:div>
            <w:div w:id="181365245">
              <w:marLeft w:val="0"/>
              <w:marRight w:val="0"/>
              <w:marTop w:val="0"/>
              <w:marBottom w:val="0"/>
              <w:divBdr>
                <w:top w:val="none" w:sz="0" w:space="0" w:color="auto"/>
                <w:left w:val="none" w:sz="0" w:space="0" w:color="auto"/>
                <w:bottom w:val="none" w:sz="0" w:space="0" w:color="auto"/>
                <w:right w:val="none" w:sz="0" w:space="0" w:color="auto"/>
              </w:divBdr>
            </w:div>
            <w:div w:id="1945379586">
              <w:marLeft w:val="0"/>
              <w:marRight w:val="0"/>
              <w:marTop w:val="0"/>
              <w:marBottom w:val="0"/>
              <w:divBdr>
                <w:top w:val="none" w:sz="0" w:space="0" w:color="auto"/>
                <w:left w:val="none" w:sz="0" w:space="0" w:color="auto"/>
                <w:bottom w:val="none" w:sz="0" w:space="0" w:color="auto"/>
                <w:right w:val="none" w:sz="0" w:space="0" w:color="auto"/>
              </w:divBdr>
            </w:div>
          </w:divsChild>
        </w:div>
        <w:div w:id="1603412371">
          <w:marLeft w:val="0"/>
          <w:marRight w:val="0"/>
          <w:marTop w:val="0"/>
          <w:marBottom w:val="0"/>
          <w:divBdr>
            <w:top w:val="none" w:sz="0" w:space="0" w:color="auto"/>
            <w:left w:val="none" w:sz="0" w:space="0" w:color="auto"/>
            <w:bottom w:val="none" w:sz="0" w:space="0" w:color="auto"/>
            <w:right w:val="none" w:sz="0" w:space="0" w:color="auto"/>
          </w:divBdr>
          <w:divsChild>
            <w:div w:id="1854800905">
              <w:marLeft w:val="0"/>
              <w:marRight w:val="0"/>
              <w:marTop w:val="0"/>
              <w:marBottom w:val="0"/>
              <w:divBdr>
                <w:top w:val="none" w:sz="0" w:space="0" w:color="auto"/>
                <w:left w:val="none" w:sz="0" w:space="0" w:color="auto"/>
                <w:bottom w:val="none" w:sz="0" w:space="0" w:color="auto"/>
                <w:right w:val="none" w:sz="0" w:space="0" w:color="auto"/>
              </w:divBdr>
            </w:div>
            <w:div w:id="1131092774">
              <w:marLeft w:val="0"/>
              <w:marRight w:val="0"/>
              <w:marTop w:val="0"/>
              <w:marBottom w:val="0"/>
              <w:divBdr>
                <w:top w:val="none" w:sz="0" w:space="0" w:color="auto"/>
                <w:left w:val="none" w:sz="0" w:space="0" w:color="auto"/>
                <w:bottom w:val="none" w:sz="0" w:space="0" w:color="auto"/>
                <w:right w:val="none" w:sz="0" w:space="0" w:color="auto"/>
              </w:divBdr>
            </w:div>
            <w:div w:id="427311300">
              <w:marLeft w:val="0"/>
              <w:marRight w:val="0"/>
              <w:marTop w:val="0"/>
              <w:marBottom w:val="0"/>
              <w:divBdr>
                <w:top w:val="none" w:sz="0" w:space="0" w:color="auto"/>
                <w:left w:val="none" w:sz="0" w:space="0" w:color="auto"/>
                <w:bottom w:val="none" w:sz="0" w:space="0" w:color="auto"/>
                <w:right w:val="none" w:sz="0" w:space="0" w:color="auto"/>
              </w:divBdr>
            </w:div>
            <w:div w:id="1985696389">
              <w:marLeft w:val="0"/>
              <w:marRight w:val="0"/>
              <w:marTop w:val="0"/>
              <w:marBottom w:val="0"/>
              <w:divBdr>
                <w:top w:val="none" w:sz="0" w:space="0" w:color="auto"/>
                <w:left w:val="none" w:sz="0" w:space="0" w:color="auto"/>
                <w:bottom w:val="none" w:sz="0" w:space="0" w:color="auto"/>
                <w:right w:val="none" w:sz="0" w:space="0" w:color="auto"/>
              </w:divBdr>
            </w:div>
            <w:div w:id="1254363258">
              <w:marLeft w:val="0"/>
              <w:marRight w:val="0"/>
              <w:marTop w:val="0"/>
              <w:marBottom w:val="0"/>
              <w:divBdr>
                <w:top w:val="none" w:sz="0" w:space="0" w:color="auto"/>
                <w:left w:val="none" w:sz="0" w:space="0" w:color="auto"/>
                <w:bottom w:val="none" w:sz="0" w:space="0" w:color="auto"/>
                <w:right w:val="none" w:sz="0" w:space="0" w:color="auto"/>
              </w:divBdr>
            </w:div>
            <w:div w:id="318047953">
              <w:marLeft w:val="0"/>
              <w:marRight w:val="0"/>
              <w:marTop w:val="0"/>
              <w:marBottom w:val="0"/>
              <w:divBdr>
                <w:top w:val="none" w:sz="0" w:space="0" w:color="auto"/>
                <w:left w:val="none" w:sz="0" w:space="0" w:color="auto"/>
                <w:bottom w:val="none" w:sz="0" w:space="0" w:color="auto"/>
                <w:right w:val="none" w:sz="0" w:space="0" w:color="auto"/>
              </w:divBdr>
            </w:div>
            <w:div w:id="451364998">
              <w:marLeft w:val="0"/>
              <w:marRight w:val="0"/>
              <w:marTop w:val="0"/>
              <w:marBottom w:val="0"/>
              <w:divBdr>
                <w:top w:val="none" w:sz="0" w:space="0" w:color="auto"/>
                <w:left w:val="none" w:sz="0" w:space="0" w:color="auto"/>
                <w:bottom w:val="none" w:sz="0" w:space="0" w:color="auto"/>
                <w:right w:val="none" w:sz="0" w:space="0" w:color="auto"/>
              </w:divBdr>
            </w:div>
            <w:div w:id="1360549554">
              <w:marLeft w:val="0"/>
              <w:marRight w:val="0"/>
              <w:marTop w:val="0"/>
              <w:marBottom w:val="0"/>
              <w:divBdr>
                <w:top w:val="none" w:sz="0" w:space="0" w:color="auto"/>
                <w:left w:val="none" w:sz="0" w:space="0" w:color="auto"/>
                <w:bottom w:val="none" w:sz="0" w:space="0" w:color="auto"/>
                <w:right w:val="none" w:sz="0" w:space="0" w:color="auto"/>
              </w:divBdr>
            </w:div>
            <w:div w:id="194192802">
              <w:marLeft w:val="0"/>
              <w:marRight w:val="0"/>
              <w:marTop w:val="0"/>
              <w:marBottom w:val="0"/>
              <w:divBdr>
                <w:top w:val="none" w:sz="0" w:space="0" w:color="auto"/>
                <w:left w:val="none" w:sz="0" w:space="0" w:color="auto"/>
                <w:bottom w:val="none" w:sz="0" w:space="0" w:color="auto"/>
                <w:right w:val="none" w:sz="0" w:space="0" w:color="auto"/>
              </w:divBdr>
            </w:div>
            <w:div w:id="1186096279">
              <w:marLeft w:val="0"/>
              <w:marRight w:val="0"/>
              <w:marTop w:val="0"/>
              <w:marBottom w:val="0"/>
              <w:divBdr>
                <w:top w:val="none" w:sz="0" w:space="0" w:color="auto"/>
                <w:left w:val="none" w:sz="0" w:space="0" w:color="auto"/>
                <w:bottom w:val="none" w:sz="0" w:space="0" w:color="auto"/>
                <w:right w:val="none" w:sz="0" w:space="0" w:color="auto"/>
              </w:divBdr>
            </w:div>
            <w:div w:id="420837243">
              <w:marLeft w:val="0"/>
              <w:marRight w:val="0"/>
              <w:marTop w:val="0"/>
              <w:marBottom w:val="0"/>
              <w:divBdr>
                <w:top w:val="none" w:sz="0" w:space="0" w:color="auto"/>
                <w:left w:val="none" w:sz="0" w:space="0" w:color="auto"/>
                <w:bottom w:val="none" w:sz="0" w:space="0" w:color="auto"/>
                <w:right w:val="none" w:sz="0" w:space="0" w:color="auto"/>
              </w:divBdr>
            </w:div>
            <w:div w:id="1249849310">
              <w:marLeft w:val="0"/>
              <w:marRight w:val="0"/>
              <w:marTop w:val="0"/>
              <w:marBottom w:val="0"/>
              <w:divBdr>
                <w:top w:val="none" w:sz="0" w:space="0" w:color="auto"/>
                <w:left w:val="none" w:sz="0" w:space="0" w:color="auto"/>
                <w:bottom w:val="none" w:sz="0" w:space="0" w:color="auto"/>
                <w:right w:val="none" w:sz="0" w:space="0" w:color="auto"/>
              </w:divBdr>
            </w:div>
            <w:div w:id="909581510">
              <w:marLeft w:val="0"/>
              <w:marRight w:val="0"/>
              <w:marTop w:val="0"/>
              <w:marBottom w:val="0"/>
              <w:divBdr>
                <w:top w:val="none" w:sz="0" w:space="0" w:color="auto"/>
                <w:left w:val="none" w:sz="0" w:space="0" w:color="auto"/>
                <w:bottom w:val="none" w:sz="0" w:space="0" w:color="auto"/>
                <w:right w:val="none" w:sz="0" w:space="0" w:color="auto"/>
              </w:divBdr>
            </w:div>
            <w:div w:id="201884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wr.gov.au/australian-apprenticeships/resources/about-australian-apprenticeships-priority-li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wr.gov.au/skills-support-individuals/resources/appendix-australian-apprenticeship-priority-list-1-january-20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ewr.gov.au/skills-support-individuals/resources/australian-apprenticeships-incentive-system-guidelines" TargetMode="External"/><Relationship Id="rId4" Type="http://schemas.openxmlformats.org/officeDocument/2006/relationships/webSettings" Target="webSettings.xml"/><Relationship Id="rId9" Type="http://schemas.openxmlformats.org/officeDocument/2006/relationships/hyperlink" Target="https://www.dewr.gov.au/skills-support-individuals/resources/appendix-australian-apprenticeship-priority-list-1-january-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4110</Characters>
  <Application>Microsoft Office Word</Application>
  <DocSecurity>4</DocSecurity>
  <Lines>73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Apprenticeships Incentive System Factsheet</dc:title>
  <dc:subject/>
  <dc:creator/>
  <cp:keywords/>
  <dc:description/>
  <cp:lastModifiedBy/>
  <cp:revision>1</cp:revision>
  <dcterms:created xsi:type="dcterms:W3CDTF">2024-07-01T04:00:00Z</dcterms:created>
  <dcterms:modified xsi:type="dcterms:W3CDTF">2024-07-01T04:00:00Z</dcterms:modified>
</cp:coreProperties>
</file>