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9CC1" w14:textId="77777777" w:rsidR="00216776" w:rsidRPr="00D43738" w:rsidRDefault="00216776" w:rsidP="00216776">
      <w:pPr>
        <w:pStyle w:val="Title"/>
        <w:rPr>
          <w:sz w:val="40"/>
          <w:szCs w:val="40"/>
        </w:rPr>
      </w:pPr>
      <w:bookmarkStart w:id="0" w:name="_GoBack"/>
      <w:bookmarkEnd w:id="0"/>
      <w:r w:rsidRPr="00D43738">
        <w:rPr>
          <w:sz w:val="40"/>
          <w:szCs w:val="40"/>
        </w:rPr>
        <w:t>Terms of Reference</w:t>
      </w:r>
      <w:r>
        <w:rPr>
          <w:sz w:val="40"/>
          <w:szCs w:val="40"/>
        </w:rPr>
        <w:t>:</w:t>
      </w:r>
      <w:r w:rsidRPr="00D43738">
        <w:rPr>
          <w:sz w:val="40"/>
          <w:szCs w:val="40"/>
        </w:rPr>
        <w:t xml:space="preserve"> </w:t>
      </w:r>
      <w:r>
        <w:rPr>
          <w:sz w:val="40"/>
          <w:szCs w:val="40"/>
        </w:rPr>
        <w:t>Review of Security of Payment</w:t>
      </w:r>
      <w:r w:rsidR="007E16AF">
        <w:rPr>
          <w:sz w:val="40"/>
          <w:szCs w:val="40"/>
        </w:rPr>
        <w:t>s</w:t>
      </w:r>
      <w:r>
        <w:rPr>
          <w:sz w:val="40"/>
          <w:szCs w:val="40"/>
        </w:rPr>
        <w:t xml:space="preserve"> </w:t>
      </w:r>
      <w:r w:rsidR="009563AB">
        <w:rPr>
          <w:sz w:val="40"/>
          <w:szCs w:val="40"/>
        </w:rPr>
        <w:t>Laws</w:t>
      </w:r>
    </w:p>
    <w:p w14:paraId="6CEA9CC2" w14:textId="77777777" w:rsidR="00216776" w:rsidRPr="00FE2748" w:rsidRDefault="00216776" w:rsidP="00216776">
      <w:pPr>
        <w:pStyle w:val="Heading1"/>
        <w:spacing w:before="240"/>
        <w:rPr>
          <w:rFonts w:ascii="Times New Roman" w:hAnsi="Times New Roman" w:cs="Times New Roman"/>
        </w:rPr>
      </w:pPr>
      <w:r w:rsidRPr="003F3A4E">
        <w:rPr>
          <w:rStyle w:val="Emphasis"/>
        </w:rPr>
        <w:t>Background</w:t>
      </w:r>
    </w:p>
    <w:p w14:paraId="6CEA9CC3" w14:textId="77777777" w:rsidR="009563AB" w:rsidRDefault="009563AB" w:rsidP="00216776">
      <w:pPr>
        <w:rPr>
          <w:rFonts w:ascii="Times New Roman" w:hAnsi="Times New Roman" w:cs="Times New Roman"/>
        </w:rPr>
      </w:pPr>
      <w:r w:rsidRPr="009563AB">
        <w:rPr>
          <w:rFonts w:ascii="Times New Roman" w:hAnsi="Times New Roman" w:cs="Times New Roman"/>
        </w:rPr>
        <w:t>The lack of consistent security of payment across jurisdictions has been identified by various reviews and inquiries as an ongoing issue in the building and construction industry.</w:t>
      </w:r>
    </w:p>
    <w:p w14:paraId="6CEA9CC4" w14:textId="77777777" w:rsidR="00216776" w:rsidRPr="00FE2748" w:rsidRDefault="009563AB" w:rsidP="00216776">
      <w:pPr>
        <w:rPr>
          <w:rFonts w:ascii="Times New Roman" w:hAnsi="Times New Roman" w:cs="Times New Roman"/>
        </w:rPr>
      </w:pPr>
      <w:r w:rsidRPr="009563AB">
        <w:rPr>
          <w:rFonts w:ascii="Times New Roman" w:hAnsi="Times New Roman" w:cs="Times New Roman"/>
        </w:rPr>
        <w:t>The Senate Economic References Committee on insolvency in the Australian construction industry heard evidence, that while well-intentioned, the often vastly different security of payment laws operating in each jurisdiction are not working as well as intended and there are barriers to access. The Committee also found that it is a fundamental right of anyone that performs work in accordance with a contract to be paid without delay for the work they have done.</w:t>
      </w:r>
    </w:p>
    <w:p w14:paraId="6CEA9CC5" w14:textId="77777777" w:rsidR="00216776" w:rsidRPr="00FE2748" w:rsidRDefault="00216776" w:rsidP="00216776">
      <w:pPr>
        <w:pStyle w:val="Heading1"/>
        <w:spacing w:before="240"/>
        <w:rPr>
          <w:i/>
          <w:iCs/>
        </w:rPr>
      </w:pPr>
      <w:r w:rsidRPr="00855359">
        <w:rPr>
          <w:rStyle w:val="Emphasis"/>
        </w:rPr>
        <w:t>The</w:t>
      </w:r>
      <w:r w:rsidRPr="003F3A4E">
        <w:rPr>
          <w:rStyle w:val="Emphasis"/>
          <w:rFonts w:ascii="Times New Roman" w:hAnsi="Times New Roman" w:cs="Times New Roman"/>
        </w:rPr>
        <w:t xml:space="preserve"> Review</w:t>
      </w:r>
    </w:p>
    <w:p w14:paraId="6CEA9CC6" w14:textId="77777777" w:rsidR="00216776" w:rsidRPr="00FE2748" w:rsidRDefault="00216776" w:rsidP="00216776">
      <w:pPr>
        <w:rPr>
          <w:rFonts w:ascii="Times New Roman" w:hAnsi="Times New Roman" w:cs="Times New Roman"/>
        </w:rPr>
      </w:pPr>
      <w:r w:rsidRPr="00D43738">
        <w:rPr>
          <w:rFonts w:ascii="Times New Roman" w:hAnsi="Times New Roman" w:cs="Times New Roman"/>
        </w:rPr>
        <w:t>The Review will</w:t>
      </w:r>
      <w:r w:rsidRPr="00FE2748">
        <w:rPr>
          <w:rFonts w:ascii="Times New Roman" w:hAnsi="Times New Roman" w:cs="Times New Roman"/>
        </w:rPr>
        <w:t>:</w:t>
      </w:r>
    </w:p>
    <w:p w14:paraId="6CEA9CC7" w14:textId="77777777" w:rsidR="009563AB" w:rsidRPr="009563AB" w:rsidRDefault="009563AB" w:rsidP="009563AB">
      <w:pPr>
        <w:pStyle w:val="ListParagraph"/>
        <w:numPr>
          <w:ilvl w:val="0"/>
          <w:numId w:val="1"/>
        </w:numPr>
        <w:spacing w:after="120" w:line="240" w:lineRule="auto"/>
        <w:ind w:left="714" w:hanging="357"/>
        <w:contextualSpacing w:val="0"/>
        <w:rPr>
          <w:rFonts w:ascii="Times New Roman" w:hAnsi="Times New Roman" w:cs="Times New Roman"/>
        </w:rPr>
      </w:pPr>
      <w:r w:rsidRPr="009563AB">
        <w:rPr>
          <w:rFonts w:ascii="Times New Roman" w:hAnsi="Times New Roman" w:cs="Times New Roman"/>
        </w:rPr>
        <w:t>examine security of payment legislation of all jurisdictions to identify areas of best practice for the construction industry</w:t>
      </w:r>
    </w:p>
    <w:p w14:paraId="6CEA9CC8" w14:textId="77777777" w:rsidR="00216776" w:rsidRPr="009563AB" w:rsidRDefault="009563AB" w:rsidP="009563AB">
      <w:pPr>
        <w:pStyle w:val="ListParagraph"/>
        <w:numPr>
          <w:ilvl w:val="0"/>
          <w:numId w:val="1"/>
        </w:numPr>
        <w:spacing w:after="120" w:line="240" w:lineRule="auto"/>
        <w:ind w:left="714" w:hanging="357"/>
        <w:contextualSpacing w:val="0"/>
        <w:rPr>
          <w:rFonts w:ascii="Times New Roman" w:hAnsi="Times New Roman" w:cs="Times New Roman"/>
        </w:rPr>
      </w:pPr>
      <w:r w:rsidRPr="009563AB">
        <w:rPr>
          <w:rFonts w:ascii="Times New Roman" w:hAnsi="Times New Roman" w:cs="Times New Roman"/>
        </w:rPr>
        <w:t>take into account any reviews and inquiries that have recently been conducted in relation to security of payment, including the December 2015 report by the Senate Economic References Committee on insolvency in the Australian construction industry and the draft legislation developed by the 2003 Cole Royal Commission into the Building and Construction Industry</w:t>
      </w:r>
    </w:p>
    <w:p w14:paraId="6CEA9CC9" w14:textId="77777777" w:rsidR="00216776" w:rsidRPr="009563AB" w:rsidRDefault="009563AB" w:rsidP="009563AB">
      <w:pPr>
        <w:pStyle w:val="ListParagraph"/>
        <w:numPr>
          <w:ilvl w:val="0"/>
          <w:numId w:val="1"/>
        </w:numPr>
        <w:spacing w:after="120" w:line="240" w:lineRule="auto"/>
        <w:ind w:left="714" w:hanging="357"/>
        <w:contextualSpacing w:val="0"/>
        <w:rPr>
          <w:rFonts w:ascii="Times New Roman" w:hAnsi="Times New Roman" w:cs="Times New Roman"/>
        </w:rPr>
      </w:pPr>
      <w:r w:rsidRPr="009563AB">
        <w:rPr>
          <w:rFonts w:ascii="Times New Roman" w:hAnsi="Times New Roman" w:cs="Times New Roman"/>
        </w:rPr>
        <w:t>consult with business, governments, unions and interested parties and the Security of Payments Working Group</w:t>
      </w:r>
      <w:r>
        <w:rPr>
          <w:rFonts w:ascii="Times New Roman" w:hAnsi="Times New Roman" w:cs="Times New Roman"/>
        </w:rPr>
        <w:t>, and</w:t>
      </w:r>
    </w:p>
    <w:p w14:paraId="6CEA9CCA" w14:textId="77777777" w:rsidR="00216776" w:rsidRPr="009563AB" w:rsidRDefault="009563AB" w:rsidP="009563AB">
      <w:pPr>
        <w:pStyle w:val="ListParagraph"/>
        <w:numPr>
          <w:ilvl w:val="0"/>
          <w:numId w:val="1"/>
        </w:numPr>
        <w:spacing w:after="120" w:line="240" w:lineRule="auto"/>
        <w:ind w:left="714" w:hanging="357"/>
        <w:contextualSpacing w:val="0"/>
        <w:rPr>
          <w:rFonts w:ascii="Times New Roman" w:hAnsi="Times New Roman" w:cs="Times New Roman"/>
        </w:rPr>
      </w:pPr>
      <w:r w:rsidRPr="009563AB">
        <w:rPr>
          <w:rFonts w:ascii="Times New Roman" w:hAnsi="Times New Roman" w:cs="Times New Roman"/>
        </w:rPr>
        <w:t>consider how to prevent various types of contractual clauses that restrict contractors in the construction industry from obtaining payments for work that has been completed</w:t>
      </w:r>
      <w:r>
        <w:rPr>
          <w:rFonts w:ascii="Times New Roman" w:hAnsi="Times New Roman" w:cs="Times New Roman"/>
        </w:rPr>
        <w:t>.</w:t>
      </w:r>
    </w:p>
    <w:p w14:paraId="6CEA9CCB" w14:textId="77777777" w:rsidR="00216776" w:rsidRPr="00FE2748" w:rsidRDefault="009563AB" w:rsidP="00216776">
      <w:pPr>
        <w:spacing w:before="120"/>
        <w:rPr>
          <w:rFonts w:ascii="Times New Roman" w:hAnsi="Times New Roman" w:cs="Times New Roman"/>
        </w:rPr>
      </w:pPr>
      <w:r w:rsidRPr="009563AB">
        <w:rPr>
          <w:rFonts w:ascii="Times New Roman" w:hAnsi="Times New Roman" w:cs="Times New Roman"/>
        </w:rPr>
        <w:t>In making recommendations, the Review should consider other models including the model that operated in the Queensland jurisdiction prior to 2014.</w:t>
      </w:r>
    </w:p>
    <w:p w14:paraId="6CEA9CCC" w14:textId="77777777" w:rsidR="00A01FE8" w:rsidRDefault="009563AB">
      <w:r w:rsidRPr="009563AB">
        <w:rPr>
          <w:rFonts w:ascii="Times New Roman" w:hAnsi="Times New Roman"/>
        </w:rPr>
        <w:t>The Review is to provide a progress report to the Minister for Employment by 30</w:t>
      </w:r>
      <w:r>
        <w:rPr>
          <w:rFonts w:ascii="Times New Roman" w:hAnsi="Times New Roman"/>
        </w:rPr>
        <w:t> </w:t>
      </w:r>
      <w:r w:rsidRPr="009563AB">
        <w:rPr>
          <w:rFonts w:ascii="Times New Roman" w:hAnsi="Times New Roman"/>
        </w:rPr>
        <w:t>September</w:t>
      </w:r>
      <w:r>
        <w:rPr>
          <w:rFonts w:ascii="Times New Roman" w:hAnsi="Times New Roman"/>
        </w:rPr>
        <w:t> </w:t>
      </w:r>
      <w:r w:rsidRPr="009563AB">
        <w:rPr>
          <w:rFonts w:ascii="Times New Roman" w:hAnsi="Times New Roman"/>
        </w:rPr>
        <w:t xml:space="preserve">2017 with the final report, which includes recommendations, provided </w:t>
      </w:r>
      <w:r>
        <w:rPr>
          <w:rFonts w:ascii="Times New Roman" w:hAnsi="Times New Roman"/>
        </w:rPr>
        <w:t>to the Minster no later than 31 </w:t>
      </w:r>
      <w:r w:rsidRPr="009563AB">
        <w:rPr>
          <w:rFonts w:ascii="Times New Roman" w:hAnsi="Times New Roman"/>
        </w:rPr>
        <w:t>December</w:t>
      </w:r>
      <w:r>
        <w:rPr>
          <w:rFonts w:ascii="Times New Roman" w:hAnsi="Times New Roman"/>
        </w:rPr>
        <w:t> </w:t>
      </w:r>
      <w:r w:rsidRPr="009563AB">
        <w:rPr>
          <w:rFonts w:ascii="Times New Roman" w:hAnsi="Times New Roman"/>
        </w:rPr>
        <w:t>2017.</w:t>
      </w:r>
    </w:p>
    <w:sectPr w:rsidR="00A01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346E6"/>
    <w:multiLevelType w:val="hybridMultilevel"/>
    <w:tmpl w:val="6554B49C"/>
    <w:lvl w:ilvl="0" w:tplc="64C664A0">
      <w:start w:val="1"/>
      <w:numFmt w:val="bullet"/>
      <w:lvlText w:val=""/>
      <w:lvlJc w:val="left"/>
      <w:pPr>
        <w:ind w:left="765" w:hanging="360"/>
      </w:pPr>
      <w:rPr>
        <w:rFonts w:ascii="Symbol" w:hAnsi="Symbol" w:hint="default"/>
      </w:rPr>
    </w:lvl>
    <w:lvl w:ilvl="1" w:tplc="B898166E">
      <w:start w:val="1"/>
      <w:numFmt w:val="bullet"/>
      <w:lvlText w:val="o"/>
      <w:lvlJc w:val="left"/>
      <w:pPr>
        <w:ind w:left="1485" w:hanging="360"/>
      </w:pPr>
      <w:rPr>
        <w:rFonts w:ascii="Courier New" w:hAnsi="Courier New" w:cs="Courier New" w:hint="default"/>
      </w:rPr>
    </w:lvl>
    <w:lvl w:ilvl="2" w:tplc="E3F6D734">
      <w:start w:val="1"/>
      <w:numFmt w:val="bullet"/>
      <w:lvlText w:val=""/>
      <w:lvlJc w:val="left"/>
      <w:pPr>
        <w:ind w:left="2205" w:hanging="360"/>
      </w:pPr>
      <w:rPr>
        <w:rFonts w:ascii="Wingdings" w:hAnsi="Wingdings" w:hint="default"/>
      </w:rPr>
    </w:lvl>
    <w:lvl w:ilvl="3" w:tplc="A04E3920">
      <w:start w:val="1"/>
      <w:numFmt w:val="bullet"/>
      <w:lvlText w:val=""/>
      <w:lvlJc w:val="left"/>
      <w:pPr>
        <w:ind w:left="2925" w:hanging="360"/>
      </w:pPr>
      <w:rPr>
        <w:rFonts w:ascii="Symbol" w:hAnsi="Symbol" w:hint="default"/>
      </w:rPr>
    </w:lvl>
    <w:lvl w:ilvl="4" w:tplc="CB24D872">
      <w:start w:val="1"/>
      <w:numFmt w:val="bullet"/>
      <w:lvlText w:val="o"/>
      <w:lvlJc w:val="left"/>
      <w:pPr>
        <w:ind w:left="3645" w:hanging="360"/>
      </w:pPr>
      <w:rPr>
        <w:rFonts w:ascii="Courier New" w:hAnsi="Courier New" w:cs="Courier New" w:hint="default"/>
      </w:rPr>
    </w:lvl>
    <w:lvl w:ilvl="5" w:tplc="19901094">
      <w:start w:val="1"/>
      <w:numFmt w:val="bullet"/>
      <w:lvlText w:val=""/>
      <w:lvlJc w:val="left"/>
      <w:pPr>
        <w:ind w:left="4365" w:hanging="360"/>
      </w:pPr>
      <w:rPr>
        <w:rFonts w:ascii="Wingdings" w:hAnsi="Wingdings" w:hint="default"/>
      </w:rPr>
    </w:lvl>
    <w:lvl w:ilvl="6" w:tplc="5BC2A65A">
      <w:start w:val="1"/>
      <w:numFmt w:val="bullet"/>
      <w:lvlText w:val=""/>
      <w:lvlJc w:val="left"/>
      <w:pPr>
        <w:ind w:left="5085" w:hanging="360"/>
      </w:pPr>
      <w:rPr>
        <w:rFonts w:ascii="Symbol" w:hAnsi="Symbol" w:hint="default"/>
      </w:rPr>
    </w:lvl>
    <w:lvl w:ilvl="7" w:tplc="76749D02">
      <w:start w:val="1"/>
      <w:numFmt w:val="bullet"/>
      <w:lvlText w:val="o"/>
      <w:lvlJc w:val="left"/>
      <w:pPr>
        <w:ind w:left="5805" w:hanging="360"/>
      </w:pPr>
      <w:rPr>
        <w:rFonts w:ascii="Courier New" w:hAnsi="Courier New" w:cs="Courier New" w:hint="default"/>
      </w:rPr>
    </w:lvl>
    <w:lvl w:ilvl="8" w:tplc="BBDEE7D0">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76"/>
    <w:rsid w:val="00216776"/>
    <w:rsid w:val="003C5DF7"/>
    <w:rsid w:val="007E16AF"/>
    <w:rsid w:val="009563AB"/>
    <w:rsid w:val="00A01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9CC1"/>
  <w15:docId w15:val="{5824B157-A7AE-4F8C-B552-3450001F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76"/>
  </w:style>
  <w:style w:type="paragraph" w:styleId="Heading1">
    <w:name w:val="heading 1"/>
    <w:basedOn w:val="Normal"/>
    <w:next w:val="Normal"/>
    <w:link w:val="Heading1Char"/>
    <w:uiPriority w:val="9"/>
    <w:qFormat/>
    <w:rsid w:val="00216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77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6776"/>
    <w:pPr>
      <w:ind w:left="720"/>
      <w:contextualSpacing/>
    </w:pPr>
  </w:style>
  <w:style w:type="character" w:styleId="Emphasis">
    <w:name w:val="Emphasis"/>
    <w:basedOn w:val="DefaultParagraphFont"/>
    <w:uiPriority w:val="20"/>
    <w:qFormat/>
    <w:rsid w:val="00216776"/>
    <w:rPr>
      <w:i/>
      <w:iCs/>
    </w:rPr>
  </w:style>
  <w:style w:type="paragraph" w:styleId="Title">
    <w:name w:val="Title"/>
    <w:basedOn w:val="Normal"/>
    <w:next w:val="Normal"/>
    <w:link w:val="TitleChar"/>
    <w:qFormat/>
    <w:rsid w:val="002167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1677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22D8CE-645F-4047-B261-6977FA92B485}"/>
</file>

<file path=customXml/itemProps2.xml><?xml version="1.0" encoding="utf-8"?>
<ds:datastoreItem xmlns:ds="http://schemas.openxmlformats.org/officeDocument/2006/customXml" ds:itemID="{5AE6C899-0A80-41BC-B765-9B819F86BE81}"/>
</file>

<file path=customXml/itemProps3.xml><?xml version="1.0" encoding="utf-8"?>
<ds:datastoreItem xmlns:ds="http://schemas.openxmlformats.org/officeDocument/2006/customXml" ds:itemID="{3A07A204-ECF0-44B4-9440-A7266FA1F38E}"/>
</file>

<file path=docProps/app.xml><?xml version="1.0" encoding="utf-8"?>
<Properties xmlns="http://schemas.openxmlformats.org/officeDocument/2006/extended-properties" xmlns:vt="http://schemas.openxmlformats.org/officeDocument/2006/docPropsVTypes">
  <Template>A88449CE.dotm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Review of Security of Payments Laws</dc:title>
  <dc:creator>Daniel Kirby</dc:creator>
  <cp:lastModifiedBy>KIRBY,Daniel</cp:lastModifiedBy>
  <cp:revision>2</cp:revision>
  <dcterms:created xsi:type="dcterms:W3CDTF">2018-04-22T23:52:00Z</dcterms:created>
  <dcterms:modified xsi:type="dcterms:W3CDTF">2018-04-22T23:52:00Z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0x0101006F44B46CD48E7D439D0376E9A76A2E31</vt:lpwstr>
  </property>
  <property fmtid="{D5CDD505-2E9C-101B-9397-08002B2CF9AE}" pid="5" name="Order">
    <vt:r8>718000</vt:r8>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