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rawings/drawing1.xml" ContentType="application/vnd.openxmlformats-officedocument.drawingml.chartshapes+xml"/>
  <Override PartName="/word/drawings/drawing3.xml" ContentType="application/vnd.openxmlformats-officedocument.drawingml.chartshapes+xml"/>
  <Override PartName="/word/drawings/drawing2.xml" ContentType="application/vnd.openxmlformats-officedocument.drawingml.chartshapes+xml"/>
  <Override PartName="/word/document.xml" ContentType="application/vnd.openxmlformats-officedocument.wordprocessingml.document.main+xml"/>
  <Override PartName="/word/header12.xml" ContentType="application/vnd.openxmlformats-officedocument.wordprocessingml.header+xml"/>
  <Override PartName="/word/header20.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header19.xml" ContentType="application/vnd.openxmlformats-officedocument.wordprocessingml.header+xml"/>
  <Override PartName="/word/header18.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9.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8.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Override11.xml" ContentType="application/vnd.openxmlformats-officedocument.themeOverride+xml"/>
  <Override PartName="/word/theme/themeOverride10.xml" ContentType="application/vnd.openxmlformats-officedocument.themeOverride+xml"/>
  <Override PartName="/word/charts/chart12.xml" ContentType="application/vnd.openxmlformats-officedocument.drawingml.chart+xml"/>
  <Override PartName="/word/charts/chart13.xml" ContentType="application/vnd.openxmlformats-officedocument.drawingml.chart+xml"/>
  <Override PartName="/word/theme/themeOverride9.xml" ContentType="application/vnd.openxmlformats-officedocument.themeOverride+xml"/>
  <Override PartName="/word/theme/theme1.xml" ContentType="application/vnd.openxmlformats-officedocument.theme+xml"/>
  <Override PartName="/word/charts/chart9.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2.xml" ContentType="application/vnd.openxmlformats-officedocument.drawingml.chart+xml"/>
  <Override PartName="/word/theme/themeOverride1.xml" ContentType="application/vnd.openxmlformats-officedocument.themeOverride+xml"/>
  <Override PartName="/word/charts/chart1.xml" ContentType="application/vnd.openxmlformats-officedocument.drawingml.chart+xml"/>
  <Override PartName="/word/charts/chart11.xml" ContentType="application/vnd.openxmlformats-officedocument.drawingml.chart+xml"/>
  <Override PartName="/word/charts/chart4.xml" ContentType="application/vnd.openxmlformats-officedocument.drawingml.chart+xml"/>
  <Override PartName="/word/theme/themeOverride7.xml" ContentType="application/vnd.openxmlformats-officedocument.themeOverride+xml"/>
  <Override PartName="/word/charts/chart10.xml" ContentType="application/vnd.openxmlformats-officedocument.drawingml.chart+xml"/>
  <Override PartName="/word/theme/themeOverride8.xml" ContentType="application/vnd.openxmlformats-officedocument.themeOverride+xml"/>
  <Override PartName="/word/theme/themeOverride4.xml" ContentType="application/vnd.openxmlformats-officedocument.themeOverride+xml"/>
  <Override PartName="/word/charts/chart8.xml" ContentType="application/vnd.openxmlformats-officedocument.drawingml.chart+xml"/>
  <Override PartName="/word/charts/chart5.xml" ContentType="application/vnd.openxmlformats-officedocument.drawingml.chart+xml"/>
  <Override PartName="/word/theme/themeOverride6.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6AB" w:rsidRDefault="00744A57">
      <w:pPr>
        <w:spacing w:after="120"/>
        <w:ind w:hanging="709"/>
      </w:pPr>
      <w:bookmarkStart w:id="0" w:name="_GoBack"/>
      <w:bookmarkEnd w:id="0"/>
      <w:r>
        <w:rPr>
          <w:noProof/>
        </w:rPr>
        <w:drawing>
          <wp:anchor distT="0" distB="0" distL="114300" distR="114300" simplePos="0" relativeHeight="251698176" behindDoc="0" locked="0" layoutInCell="1" allowOverlap="1">
            <wp:simplePos x="0" y="0"/>
            <wp:positionH relativeFrom="column">
              <wp:posOffset>-935355</wp:posOffset>
            </wp:positionH>
            <wp:positionV relativeFrom="page">
              <wp:posOffset>2665</wp:posOffset>
            </wp:positionV>
            <wp:extent cx="7571530" cy="10686553"/>
            <wp:effectExtent l="0" t="0" r="0" b="635"/>
            <wp:wrapNone/>
            <wp:docPr id="14" name="Picture 14" descr="Safety, Rehabilitation and Compensation Act Review.  Report of the Comcare Scheme's Performance, Governance and Financial Framework." title="Titl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71530" cy="10686553"/>
                    </a:xfrm>
                    <a:prstGeom prst="rect">
                      <a:avLst/>
                    </a:prstGeom>
                    <a:noFill/>
                    <a:ln>
                      <a:noFill/>
                    </a:ln>
                  </pic:spPr>
                </pic:pic>
              </a:graphicData>
            </a:graphic>
          </wp:anchor>
        </w:drawing>
      </w:r>
      <w:r w:rsidR="006E46AB">
        <w:br w:type="page"/>
      </w:r>
    </w:p>
    <w:p w:rsidR="006A7684" w:rsidRPr="00614766" w:rsidRDefault="006A7684" w:rsidP="00614766">
      <w:pPr>
        <w:autoSpaceDE w:val="0"/>
        <w:autoSpaceDN w:val="0"/>
        <w:spacing w:after="120"/>
        <w:rPr>
          <w:rFonts w:asciiTheme="minorHAnsi" w:hAnsiTheme="minorHAnsi" w:cstheme="minorHAnsi"/>
        </w:rPr>
      </w:pPr>
      <w:bookmarkStart w:id="1" w:name="_Toc341777843"/>
      <w:bookmarkStart w:id="2" w:name="_Toc341780603"/>
      <w:r w:rsidRPr="00614766">
        <w:rPr>
          <w:rFonts w:asciiTheme="minorHAnsi" w:hAnsiTheme="minorHAnsi" w:cstheme="minorHAnsi"/>
        </w:rPr>
        <w:lastRenderedPageBreak/>
        <w:t xml:space="preserve">ISBN </w:t>
      </w:r>
      <w:r w:rsidR="00FE24F4" w:rsidRPr="00614766">
        <w:rPr>
          <w:rFonts w:asciiTheme="minorHAnsi" w:hAnsiTheme="minorHAnsi" w:cstheme="minorHAnsi"/>
        </w:rPr>
        <w:t>978-1-74361-052-7 [PDF]</w:t>
      </w:r>
    </w:p>
    <w:p w:rsidR="006A7684" w:rsidRPr="00614766" w:rsidRDefault="006A7684" w:rsidP="00614766">
      <w:pPr>
        <w:autoSpaceDE w:val="0"/>
        <w:autoSpaceDN w:val="0"/>
        <w:spacing w:after="120"/>
        <w:rPr>
          <w:rFonts w:asciiTheme="minorHAnsi" w:hAnsiTheme="minorHAnsi" w:cstheme="minorHAnsi"/>
        </w:rPr>
      </w:pPr>
      <w:r w:rsidRPr="00614766">
        <w:rPr>
          <w:rFonts w:asciiTheme="minorHAnsi" w:hAnsiTheme="minorHAnsi" w:cstheme="minorHAnsi"/>
        </w:rPr>
        <w:t xml:space="preserve">ISBN </w:t>
      </w:r>
      <w:r w:rsidR="00FE24F4" w:rsidRPr="00614766">
        <w:rPr>
          <w:rFonts w:asciiTheme="minorHAnsi" w:hAnsiTheme="minorHAnsi" w:cstheme="minorHAnsi"/>
        </w:rPr>
        <w:t>978-1-74361-053-4 [DOCX]</w:t>
      </w:r>
    </w:p>
    <w:p w:rsidR="006A7684" w:rsidRPr="00614766" w:rsidRDefault="006A7684" w:rsidP="00614766">
      <w:pPr>
        <w:autoSpaceDE w:val="0"/>
        <w:autoSpaceDN w:val="0"/>
        <w:spacing w:after="120"/>
        <w:rPr>
          <w:rFonts w:asciiTheme="minorHAnsi" w:hAnsiTheme="minorHAnsi" w:cstheme="minorHAnsi"/>
          <w:bCs/>
          <w:color w:val="000000"/>
        </w:rPr>
      </w:pPr>
      <w:r w:rsidRPr="00614766">
        <w:rPr>
          <w:rFonts w:asciiTheme="minorHAnsi" w:hAnsiTheme="minorHAnsi" w:cstheme="minorHAnsi"/>
          <w:bCs/>
          <w:color w:val="000000"/>
        </w:rPr>
        <w:t xml:space="preserve">Copyright Notice </w:t>
      </w:r>
    </w:p>
    <w:p w:rsidR="006A7684" w:rsidRPr="00614766" w:rsidRDefault="006A7684" w:rsidP="00614766">
      <w:pPr>
        <w:autoSpaceDE w:val="0"/>
        <w:autoSpaceDN w:val="0"/>
        <w:spacing w:after="120"/>
        <w:rPr>
          <w:rFonts w:asciiTheme="minorHAnsi" w:hAnsiTheme="minorHAnsi" w:cstheme="minorHAnsi"/>
          <w:color w:val="000000"/>
        </w:rPr>
      </w:pPr>
      <w:r w:rsidRPr="00614766">
        <w:rPr>
          <w:rFonts w:asciiTheme="minorHAnsi" w:hAnsiTheme="minorHAnsi" w:cstheme="minorHAnsi"/>
          <w:bCs/>
          <w:color w:val="000000"/>
        </w:rPr>
        <w:t xml:space="preserve">Content </w:t>
      </w:r>
    </w:p>
    <w:p w:rsidR="006A7684" w:rsidRPr="00614766" w:rsidRDefault="006A7684" w:rsidP="00614766">
      <w:pPr>
        <w:autoSpaceDE w:val="0"/>
        <w:autoSpaceDN w:val="0"/>
        <w:spacing w:after="120"/>
        <w:rPr>
          <w:rFonts w:asciiTheme="minorHAnsi" w:hAnsiTheme="minorHAnsi" w:cstheme="minorHAnsi"/>
          <w:color w:val="000000"/>
        </w:rPr>
      </w:pPr>
      <w:r w:rsidRPr="00614766">
        <w:rPr>
          <w:rFonts w:asciiTheme="minorHAnsi" w:hAnsiTheme="minorHAnsi" w:cstheme="minorHAnsi"/>
          <w:color w:val="000000"/>
        </w:rPr>
        <w:t xml:space="preserve">© Commonwealth of Australia 2013 </w:t>
      </w:r>
    </w:p>
    <w:p w:rsidR="006A7684" w:rsidRPr="00614766" w:rsidRDefault="006A7684" w:rsidP="00614766">
      <w:pPr>
        <w:autoSpaceDE w:val="0"/>
        <w:autoSpaceDN w:val="0"/>
        <w:spacing w:after="120"/>
        <w:rPr>
          <w:rFonts w:asciiTheme="minorHAnsi" w:hAnsiTheme="minorHAnsi" w:cstheme="minorHAnsi"/>
          <w:sz w:val="22"/>
          <w:szCs w:val="22"/>
        </w:rPr>
      </w:pPr>
      <w:r w:rsidRPr="00614766">
        <w:rPr>
          <w:rFonts w:asciiTheme="minorHAnsi" w:hAnsiTheme="minorHAnsi" w:cstheme="minorHAnsi"/>
          <w:color w:val="000000"/>
          <w:sz w:val="22"/>
          <w:szCs w:val="22"/>
        </w:rPr>
        <w:t>With the exception of the Commonwealth Coat of Arms, any material protected by a trade mark, and where otherwise noted, this work is licensed under a Creative Commons Attribution 3.0 Australia licence (</w:t>
      </w:r>
      <w:r w:rsidRPr="00595D4E">
        <w:rPr>
          <w:rFonts w:asciiTheme="minorHAnsi" w:hAnsiTheme="minorHAnsi" w:cstheme="minorHAnsi"/>
          <w:b/>
          <w:sz w:val="22"/>
          <w:szCs w:val="22"/>
        </w:rPr>
        <w:t>http://creativecommons.org/licenses/by/3.0/au/</w:t>
      </w:r>
      <w:r w:rsidRPr="00614766">
        <w:rPr>
          <w:rFonts w:asciiTheme="minorHAnsi" w:hAnsiTheme="minorHAnsi" w:cstheme="minorHAnsi"/>
          <w:color w:val="000000"/>
          <w:sz w:val="22"/>
          <w:szCs w:val="22"/>
        </w:rPr>
        <w:t xml:space="preserve">). </w:t>
      </w:r>
    </w:p>
    <w:p w:rsidR="006A7684" w:rsidRPr="00614766" w:rsidRDefault="006A7684" w:rsidP="00614766">
      <w:pPr>
        <w:autoSpaceDE w:val="0"/>
        <w:autoSpaceDN w:val="0"/>
        <w:spacing w:after="120"/>
        <w:rPr>
          <w:rFonts w:asciiTheme="minorHAnsi" w:hAnsiTheme="minorHAnsi" w:cstheme="minorHAnsi"/>
          <w:color w:val="000000"/>
          <w:sz w:val="22"/>
          <w:szCs w:val="22"/>
        </w:rPr>
      </w:pPr>
      <w:r w:rsidRPr="00614766">
        <w:rPr>
          <w:rFonts w:asciiTheme="minorHAnsi" w:hAnsiTheme="minorHAnsi" w:cstheme="minorHAnsi"/>
          <w:color w:val="000000"/>
          <w:sz w:val="22"/>
          <w:szCs w:val="22"/>
        </w:rPr>
        <w:t xml:space="preserve">The details of the relevant licence conditions are available on the Creative Commons website (accessible using the links provided) as is the full legal code for the CC BY 3 AU licence. </w:t>
      </w:r>
    </w:p>
    <w:p w:rsidR="006A7684" w:rsidRPr="00614766" w:rsidRDefault="006A7684" w:rsidP="00614766">
      <w:pPr>
        <w:spacing w:after="120"/>
        <w:rPr>
          <w:rFonts w:asciiTheme="minorHAnsi" w:hAnsiTheme="minorHAnsi" w:cstheme="minorHAnsi"/>
          <w:sz w:val="22"/>
          <w:szCs w:val="22"/>
        </w:rPr>
      </w:pPr>
      <w:r w:rsidRPr="00614766">
        <w:rPr>
          <w:rFonts w:asciiTheme="minorHAnsi" w:hAnsiTheme="minorHAnsi" w:cstheme="minorHAnsi"/>
          <w:noProof/>
          <w:sz w:val="22"/>
          <w:szCs w:val="22"/>
        </w:rPr>
        <w:drawing>
          <wp:inline distT="0" distB="0" distL="0" distR="0" wp14:anchorId="65440A59" wp14:editId="7E4DDD8F">
            <wp:extent cx="847725" cy="285750"/>
            <wp:effectExtent l="0" t="0" r="9525" b="0"/>
            <wp:docPr id="5" name="Picture 5" descr="cid:image003.png@01CE1F05.C3136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CE1F05.C31369D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847725" cy="285750"/>
                    </a:xfrm>
                    <a:prstGeom prst="rect">
                      <a:avLst/>
                    </a:prstGeom>
                    <a:noFill/>
                    <a:ln>
                      <a:noFill/>
                    </a:ln>
                  </pic:spPr>
                </pic:pic>
              </a:graphicData>
            </a:graphic>
          </wp:inline>
        </w:drawing>
      </w:r>
    </w:p>
    <w:p w:rsidR="006A7684" w:rsidRPr="00595D4E" w:rsidRDefault="006A7684" w:rsidP="00614766">
      <w:pPr>
        <w:autoSpaceDE w:val="0"/>
        <w:autoSpaceDN w:val="0"/>
        <w:spacing w:after="120"/>
        <w:rPr>
          <w:rFonts w:asciiTheme="minorHAnsi" w:hAnsiTheme="minorHAnsi" w:cstheme="minorHAnsi"/>
          <w:color w:val="000000"/>
        </w:rPr>
      </w:pPr>
      <w:r w:rsidRPr="00595D4E">
        <w:rPr>
          <w:rFonts w:asciiTheme="minorHAnsi" w:hAnsiTheme="minorHAnsi" w:cstheme="minorHAnsi"/>
          <w:bCs/>
          <w:color w:val="000000"/>
        </w:rPr>
        <w:t xml:space="preserve">Use of the Coat of Arms </w:t>
      </w:r>
    </w:p>
    <w:p w:rsidR="006A7684" w:rsidRPr="00614766" w:rsidRDefault="006A7684" w:rsidP="00614766">
      <w:pPr>
        <w:autoSpaceDE w:val="0"/>
        <w:autoSpaceDN w:val="0"/>
        <w:spacing w:after="120"/>
        <w:rPr>
          <w:rFonts w:asciiTheme="minorHAnsi" w:hAnsiTheme="minorHAnsi" w:cstheme="minorHAnsi"/>
          <w:color w:val="000000"/>
          <w:sz w:val="22"/>
          <w:szCs w:val="22"/>
        </w:rPr>
      </w:pPr>
      <w:r w:rsidRPr="00614766">
        <w:rPr>
          <w:rFonts w:asciiTheme="minorHAnsi" w:hAnsiTheme="minorHAnsi" w:cstheme="minorHAnsi"/>
          <w:color w:val="000000"/>
          <w:sz w:val="22"/>
          <w:szCs w:val="22"/>
        </w:rPr>
        <w:t xml:space="preserve">The terms under which the Coat of Arms can be used are detailed on the following website: </w:t>
      </w:r>
      <w:r w:rsidRPr="00595D4E">
        <w:rPr>
          <w:rFonts w:asciiTheme="minorHAnsi" w:hAnsiTheme="minorHAnsi" w:cstheme="minorHAnsi"/>
          <w:b/>
          <w:sz w:val="22"/>
          <w:szCs w:val="22"/>
        </w:rPr>
        <w:t>http://www.itsanhonour.gov.au/coat-arms/</w:t>
      </w:r>
      <w:r w:rsidRPr="00614766">
        <w:rPr>
          <w:rFonts w:asciiTheme="minorHAnsi" w:hAnsiTheme="minorHAnsi" w:cstheme="minorHAnsi"/>
          <w:color w:val="000000"/>
          <w:sz w:val="22"/>
          <w:szCs w:val="22"/>
        </w:rPr>
        <w:t xml:space="preserve">. </w:t>
      </w:r>
    </w:p>
    <w:p w:rsidR="006A7684" w:rsidRPr="00595D4E" w:rsidRDefault="006A7684" w:rsidP="00614766">
      <w:pPr>
        <w:spacing w:after="120"/>
        <w:rPr>
          <w:rFonts w:asciiTheme="minorHAnsi" w:hAnsiTheme="minorHAnsi" w:cstheme="minorHAnsi"/>
          <w:b/>
          <w:color w:val="000000"/>
          <w:sz w:val="22"/>
          <w:szCs w:val="22"/>
        </w:rPr>
      </w:pPr>
      <w:r w:rsidRPr="00595D4E">
        <w:rPr>
          <w:rFonts w:asciiTheme="minorHAnsi" w:hAnsiTheme="minorHAnsi" w:cstheme="minorHAnsi"/>
          <w:b/>
          <w:color w:val="000000"/>
          <w:sz w:val="22"/>
          <w:szCs w:val="22"/>
        </w:rPr>
        <w:t>Content from this report should be attributed as the Department of Education, Employment and Workplace Relations (DEEWR).</w:t>
      </w:r>
    </w:p>
    <w:p w:rsidR="006A7684" w:rsidRPr="00595D4E" w:rsidRDefault="006A7684" w:rsidP="00614766">
      <w:pPr>
        <w:spacing w:after="120"/>
        <w:rPr>
          <w:rFonts w:asciiTheme="minorHAnsi" w:hAnsiTheme="minorHAnsi" w:cstheme="minorHAnsi"/>
          <w:b/>
          <w:bCs/>
          <w:color w:val="000000"/>
        </w:rPr>
      </w:pPr>
      <w:r w:rsidRPr="00595D4E">
        <w:rPr>
          <w:rFonts w:asciiTheme="minorHAnsi" w:hAnsiTheme="minorHAnsi" w:cstheme="minorHAnsi"/>
          <w:b/>
          <w:bCs/>
          <w:color w:val="000000"/>
        </w:rPr>
        <w:t>Disclaimer:</w:t>
      </w:r>
    </w:p>
    <w:p w:rsidR="006A7684" w:rsidRPr="00614766" w:rsidRDefault="006A7684" w:rsidP="00614766">
      <w:pPr>
        <w:autoSpaceDE w:val="0"/>
        <w:autoSpaceDN w:val="0"/>
        <w:spacing w:after="120"/>
        <w:rPr>
          <w:rFonts w:asciiTheme="minorHAnsi" w:hAnsiTheme="minorHAnsi" w:cstheme="minorHAnsi"/>
          <w:color w:val="000000"/>
          <w:sz w:val="22"/>
          <w:szCs w:val="22"/>
        </w:rPr>
      </w:pPr>
      <w:r w:rsidRPr="00614766">
        <w:rPr>
          <w:rFonts w:asciiTheme="minorHAnsi" w:hAnsiTheme="minorHAnsi" w:cstheme="minorHAnsi"/>
          <w:color w:val="000000"/>
          <w:sz w:val="22"/>
          <w:szCs w:val="22"/>
        </w:rPr>
        <w:t>The material contained in this report has been developed by the Safety, Rehabilitation and Compensation Act Review. The views and opinions expressed in the materials do not necessarily reflect the views or have the endorsement of the Australian Government or of any minister, or indicate the Australian Government’s commitment to a particular course of action. While care has been taken to ensure that information contained in this report is true and correct at the time of publication, changes in circumstances after the time of publication may impact on the accuracy of this information. The Australian Government and the Safety, Rehabilitation and Compensation Act Review give no warranty or assurance, and make no representation as to the accuracy of any information or advice contained, or that it is suitable for your intended use.</w:t>
      </w:r>
    </w:p>
    <w:p w:rsidR="006A7684" w:rsidRPr="00595D4E" w:rsidRDefault="006A7684" w:rsidP="00614766">
      <w:pPr>
        <w:autoSpaceDE w:val="0"/>
        <w:autoSpaceDN w:val="0"/>
        <w:spacing w:after="120"/>
        <w:rPr>
          <w:rFonts w:asciiTheme="minorHAnsi" w:hAnsiTheme="minorHAnsi" w:cstheme="minorHAnsi"/>
          <w:b/>
          <w:bCs/>
          <w:color w:val="000000"/>
        </w:rPr>
      </w:pPr>
      <w:r w:rsidRPr="00595D4E">
        <w:rPr>
          <w:rFonts w:asciiTheme="minorHAnsi" w:hAnsiTheme="minorHAnsi" w:cstheme="minorHAnsi"/>
          <w:b/>
          <w:bCs/>
          <w:color w:val="000000"/>
        </w:rPr>
        <w:t>For enquiries please contact:</w:t>
      </w:r>
    </w:p>
    <w:p w:rsidR="006A7684" w:rsidRPr="00614766" w:rsidRDefault="006A7684" w:rsidP="00595D4E">
      <w:pPr>
        <w:autoSpaceDE w:val="0"/>
        <w:autoSpaceDN w:val="0"/>
        <w:rPr>
          <w:rFonts w:asciiTheme="minorHAnsi" w:hAnsiTheme="minorHAnsi" w:cstheme="minorHAnsi"/>
          <w:color w:val="000000"/>
          <w:sz w:val="22"/>
          <w:szCs w:val="22"/>
        </w:rPr>
      </w:pPr>
      <w:r w:rsidRPr="00614766">
        <w:rPr>
          <w:rFonts w:asciiTheme="minorHAnsi" w:hAnsiTheme="minorHAnsi" w:cstheme="minorHAnsi"/>
          <w:color w:val="000000"/>
          <w:sz w:val="22"/>
          <w:szCs w:val="22"/>
        </w:rPr>
        <w:t>Safety and Compensation Policy Branch</w:t>
      </w:r>
    </w:p>
    <w:p w:rsidR="006A7684" w:rsidRPr="00614766" w:rsidRDefault="006A7684" w:rsidP="00595D4E">
      <w:pPr>
        <w:autoSpaceDE w:val="0"/>
        <w:autoSpaceDN w:val="0"/>
        <w:rPr>
          <w:rFonts w:asciiTheme="minorHAnsi" w:hAnsiTheme="minorHAnsi" w:cstheme="minorHAnsi"/>
          <w:color w:val="000000"/>
          <w:sz w:val="22"/>
          <w:szCs w:val="22"/>
        </w:rPr>
      </w:pPr>
      <w:r w:rsidRPr="00614766">
        <w:rPr>
          <w:rFonts w:asciiTheme="minorHAnsi" w:hAnsiTheme="minorHAnsi" w:cstheme="minorHAnsi"/>
          <w:color w:val="000000"/>
          <w:sz w:val="22"/>
          <w:szCs w:val="22"/>
        </w:rPr>
        <w:t>Department of Education, Employment and Workplace Relations</w:t>
      </w:r>
    </w:p>
    <w:p w:rsidR="006A7684" w:rsidRPr="00614766" w:rsidRDefault="006A7684" w:rsidP="00595D4E">
      <w:pPr>
        <w:autoSpaceDE w:val="0"/>
        <w:autoSpaceDN w:val="0"/>
        <w:rPr>
          <w:rFonts w:asciiTheme="minorHAnsi" w:hAnsiTheme="minorHAnsi" w:cstheme="minorHAnsi"/>
          <w:color w:val="000000"/>
          <w:sz w:val="22"/>
          <w:szCs w:val="22"/>
        </w:rPr>
      </w:pPr>
      <w:r w:rsidRPr="00614766">
        <w:rPr>
          <w:rFonts w:asciiTheme="minorHAnsi" w:hAnsiTheme="minorHAnsi" w:cstheme="minorHAnsi"/>
          <w:color w:val="000000"/>
          <w:sz w:val="22"/>
          <w:szCs w:val="22"/>
        </w:rPr>
        <w:t>GPO Box 9880</w:t>
      </w:r>
    </w:p>
    <w:p w:rsidR="006A7684" w:rsidRPr="00614766" w:rsidRDefault="006A7684" w:rsidP="00595D4E">
      <w:pPr>
        <w:autoSpaceDE w:val="0"/>
        <w:autoSpaceDN w:val="0"/>
        <w:rPr>
          <w:rFonts w:asciiTheme="minorHAnsi" w:hAnsiTheme="minorHAnsi" w:cstheme="minorHAnsi"/>
          <w:color w:val="000000"/>
          <w:sz w:val="22"/>
          <w:szCs w:val="22"/>
        </w:rPr>
      </w:pPr>
      <w:r w:rsidRPr="00614766">
        <w:rPr>
          <w:rFonts w:asciiTheme="minorHAnsi" w:hAnsiTheme="minorHAnsi" w:cstheme="minorHAnsi"/>
          <w:color w:val="000000"/>
          <w:sz w:val="22"/>
          <w:szCs w:val="22"/>
        </w:rPr>
        <w:t>CANBERRA CITY ACT 2601</w:t>
      </w:r>
    </w:p>
    <w:p w:rsidR="00595D4E" w:rsidRDefault="00595D4E" w:rsidP="00614766">
      <w:pPr>
        <w:autoSpaceDE w:val="0"/>
        <w:autoSpaceDN w:val="0"/>
        <w:spacing w:after="120"/>
        <w:rPr>
          <w:rFonts w:asciiTheme="minorHAnsi" w:hAnsiTheme="minorHAnsi" w:cstheme="minorHAnsi"/>
          <w:b/>
          <w:color w:val="000000"/>
          <w:sz w:val="22"/>
          <w:szCs w:val="22"/>
        </w:rPr>
      </w:pPr>
    </w:p>
    <w:p w:rsidR="006A7684" w:rsidRPr="00614766" w:rsidRDefault="006A7684" w:rsidP="00595D4E">
      <w:pPr>
        <w:autoSpaceDE w:val="0"/>
        <w:autoSpaceDN w:val="0"/>
        <w:rPr>
          <w:rFonts w:asciiTheme="minorHAnsi" w:hAnsiTheme="minorHAnsi" w:cstheme="minorHAnsi"/>
          <w:b/>
          <w:color w:val="000000"/>
          <w:sz w:val="22"/>
          <w:szCs w:val="22"/>
        </w:rPr>
      </w:pPr>
      <w:r w:rsidRPr="00614766">
        <w:rPr>
          <w:rFonts w:asciiTheme="minorHAnsi" w:hAnsiTheme="minorHAnsi" w:cstheme="minorHAnsi"/>
          <w:b/>
          <w:color w:val="000000"/>
          <w:sz w:val="22"/>
          <w:szCs w:val="22"/>
        </w:rPr>
        <w:t>The report can be accessed via the DEEWR website at:</w:t>
      </w:r>
    </w:p>
    <w:p w:rsidR="006A7684" w:rsidRPr="00614766" w:rsidRDefault="006A7684" w:rsidP="00595D4E">
      <w:pPr>
        <w:autoSpaceDE w:val="0"/>
        <w:autoSpaceDN w:val="0"/>
        <w:rPr>
          <w:rFonts w:asciiTheme="minorHAnsi" w:hAnsiTheme="minorHAnsi" w:cstheme="minorHAnsi"/>
          <w:color w:val="000000"/>
          <w:sz w:val="22"/>
          <w:szCs w:val="22"/>
        </w:rPr>
      </w:pPr>
      <w:r w:rsidRPr="00614766">
        <w:rPr>
          <w:rFonts w:asciiTheme="minorHAnsi" w:hAnsiTheme="minorHAnsi" w:cstheme="minorHAnsi"/>
          <w:color w:val="000000"/>
          <w:sz w:val="22"/>
          <w:szCs w:val="22"/>
        </w:rPr>
        <w:t>http://www.deewr.gov.au</w:t>
      </w:r>
    </w:p>
    <w:p w:rsidR="006A7684" w:rsidRDefault="006A7684" w:rsidP="006A7684"/>
    <w:p w:rsidR="006B06D8" w:rsidRDefault="006B06D8">
      <w:pPr>
        <w:spacing w:after="120"/>
        <w:ind w:hanging="709"/>
        <w:rPr>
          <w:rStyle w:val="Emphasis"/>
          <w:rFonts w:ascii="Calibri" w:eastAsiaTheme="majorEastAsia" w:hAnsi="Calibri" w:cs="Calibri"/>
          <w:i w:val="0"/>
          <w:sz w:val="22"/>
          <w:szCs w:val="22"/>
        </w:rPr>
      </w:pPr>
      <w:r>
        <w:rPr>
          <w:rStyle w:val="Emphasis"/>
          <w:rFonts w:ascii="Calibri" w:eastAsiaTheme="majorEastAsia" w:hAnsi="Calibri" w:cs="Calibri"/>
          <w:bCs/>
          <w:i w:val="0"/>
          <w:caps/>
          <w:sz w:val="22"/>
          <w:szCs w:val="22"/>
        </w:rPr>
        <w:br w:type="page"/>
      </w:r>
    </w:p>
    <w:p w:rsidR="00111216" w:rsidRPr="005D4DF3" w:rsidRDefault="00111216" w:rsidP="00111216">
      <w:pPr>
        <w:pStyle w:val="HawkeReviewheading"/>
        <w:spacing w:before="0" w:beforeAutospacing="0" w:after="120" w:afterAutospacing="0"/>
        <w:rPr>
          <w:rStyle w:val="Emphasis"/>
          <w:rFonts w:ascii="Calibri" w:eastAsiaTheme="majorEastAsia" w:hAnsi="Calibri" w:cs="Calibri"/>
          <w:i w:val="0"/>
          <w:iCs w:val="0"/>
          <w:color w:val="auto"/>
          <w:kern w:val="0"/>
          <w:sz w:val="22"/>
          <w:szCs w:val="22"/>
        </w:rPr>
      </w:pPr>
      <w:bookmarkStart w:id="3" w:name="_Toc342578208"/>
      <w:r w:rsidRPr="005D4DF3">
        <w:rPr>
          <w:rStyle w:val="Emphasis"/>
          <w:rFonts w:ascii="Calibri" w:eastAsiaTheme="majorEastAsia" w:hAnsi="Calibri" w:cs="Calibri"/>
          <w:bCs w:val="0"/>
          <w:i w:val="0"/>
          <w:caps w:val="0"/>
          <w:color w:val="auto"/>
          <w:kern w:val="0"/>
          <w:sz w:val="22"/>
          <w:szCs w:val="22"/>
        </w:rPr>
        <w:lastRenderedPageBreak/>
        <w:t>THE HON BILL SHORTEN MP</w:t>
      </w:r>
      <w:bookmarkEnd w:id="1"/>
      <w:bookmarkEnd w:id="2"/>
      <w:bookmarkEnd w:id="3"/>
    </w:p>
    <w:p w:rsidR="00111216" w:rsidRPr="005D4DF3" w:rsidRDefault="00111216" w:rsidP="00111216">
      <w:pPr>
        <w:pStyle w:val="HawkeReviewheading"/>
        <w:spacing w:before="0" w:beforeAutospacing="0" w:after="120" w:afterAutospacing="0"/>
        <w:rPr>
          <w:rStyle w:val="Emphasis"/>
          <w:rFonts w:ascii="Calibri" w:eastAsiaTheme="majorEastAsia" w:hAnsi="Calibri" w:cs="Calibri"/>
          <w:i w:val="0"/>
          <w:iCs w:val="0"/>
          <w:color w:val="auto"/>
          <w:kern w:val="0"/>
          <w:sz w:val="22"/>
          <w:szCs w:val="22"/>
        </w:rPr>
      </w:pPr>
      <w:bookmarkStart w:id="4" w:name="_Toc341777844"/>
      <w:bookmarkStart w:id="5" w:name="_Toc341780604"/>
      <w:bookmarkStart w:id="6" w:name="_Toc342578209"/>
      <w:r w:rsidRPr="005D4DF3">
        <w:rPr>
          <w:rStyle w:val="Emphasis"/>
          <w:rFonts w:ascii="Calibri" w:eastAsiaTheme="majorEastAsia" w:hAnsi="Calibri" w:cs="Calibri"/>
          <w:bCs w:val="0"/>
          <w:i w:val="0"/>
          <w:caps w:val="0"/>
          <w:color w:val="auto"/>
          <w:kern w:val="0"/>
          <w:sz w:val="22"/>
          <w:szCs w:val="22"/>
        </w:rPr>
        <w:t>Minister for Employment and Workplace Relations</w:t>
      </w:r>
      <w:bookmarkEnd w:id="4"/>
      <w:bookmarkEnd w:id="5"/>
      <w:bookmarkEnd w:id="6"/>
    </w:p>
    <w:p w:rsidR="00111216" w:rsidRPr="005D4DF3" w:rsidRDefault="00111216" w:rsidP="00111216">
      <w:pPr>
        <w:pStyle w:val="HawkeReviewheading"/>
        <w:spacing w:before="0" w:beforeAutospacing="0" w:after="120" w:afterAutospacing="0"/>
        <w:rPr>
          <w:rStyle w:val="Emphasis"/>
          <w:rFonts w:ascii="Calibri" w:eastAsiaTheme="majorEastAsia" w:hAnsi="Calibri" w:cs="Calibri"/>
          <w:i w:val="0"/>
          <w:iCs w:val="0"/>
          <w:color w:val="auto"/>
          <w:kern w:val="0"/>
          <w:sz w:val="22"/>
          <w:szCs w:val="22"/>
        </w:rPr>
      </w:pPr>
      <w:bookmarkStart w:id="7" w:name="_Toc341777845"/>
      <w:bookmarkStart w:id="8" w:name="_Toc341780605"/>
      <w:bookmarkStart w:id="9" w:name="_Toc342578210"/>
      <w:r w:rsidRPr="005D4DF3">
        <w:rPr>
          <w:rStyle w:val="Emphasis"/>
          <w:rFonts w:ascii="Calibri" w:eastAsiaTheme="majorEastAsia" w:hAnsi="Calibri" w:cs="Calibri"/>
          <w:bCs w:val="0"/>
          <w:i w:val="0"/>
          <w:caps w:val="0"/>
          <w:color w:val="auto"/>
          <w:kern w:val="0"/>
          <w:sz w:val="22"/>
          <w:szCs w:val="22"/>
        </w:rPr>
        <w:t>Parliament House</w:t>
      </w:r>
      <w:bookmarkEnd w:id="7"/>
      <w:bookmarkEnd w:id="8"/>
      <w:bookmarkEnd w:id="9"/>
    </w:p>
    <w:p w:rsidR="00111216" w:rsidRPr="005D4DF3" w:rsidRDefault="00111216" w:rsidP="00111216">
      <w:pPr>
        <w:pStyle w:val="HawkeReviewheading"/>
        <w:spacing w:before="0" w:beforeAutospacing="0" w:after="120" w:afterAutospacing="0"/>
        <w:rPr>
          <w:rStyle w:val="Emphasis"/>
          <w:rFonts w:ascii="Calibri" w:eastAsiaTheme="majorEastAsia" w:hAnsi="Calibri" w:cs="Calibri"/>
          <w:i w:val="0"/>
          <w:iCs w:val="0"/>
          <w:color w:val="auto"/>
          <w:kern w:val="0"/>
          <w:sz w:val="22"/>
          <w:szCs w:val="22"/>
        </w:rPr>
      </w:pPr>
      <w:bookmarkStart w:id="10" w:name="_Toc341777846"/>
      <w:bookmarkStart w:id="11" w:name="_Toc341780606"/>
      <w:bookmarkStart w:id="12" w:name="_Toc342578211"/>
      <w:r w:rsidRPr="005D4DF3">
        <w:rPr>
          <w:rStyle w:val="Emphasis"/>
          <w:rFonts w:ascii="Calibri" w:eastAsiaTheme="majorEastAsia" w:hAnsi="Calibri" w:cs="Calibri"/>
          <w:bCs w:val="0"/>
          <w:i w:val="0"/>
          <w:caps w:val="0"/>
          <w:color w:val="auto"/>
          <w:kern w:val="0"/>
          <w:sz w:val="22"/>
          <w:szCs w:val="22"/>
        </w:rPr>
        <w:t>CANBERRA ACT 2600</w:t>
      </w:r>
      <w:bookmarkEnd w:id="10"/>
      <w:bookmarkEnd w:id="11"/>
      <w:bookmarkEnd w:id="12"/>
    </w:p>
    <w:p w:rsidR="00111216" w:rsidRPr="005D4DF3" w:rsidRDefault="00111216" w:rsidP="00111216">
      <w:pPr>
        <w:pStyle w:val="HawkeReviewheading"/>
        <w:rPr>
          <w:rStyle w:val="Emphasis"/>
          <w:rFonts w:ascii="Calibri" w:eastAsiaTheme="majorEastAsia" w:hAnsi="Calibri" w:cs="Calibri"/>
          <w:i w:val="0"/>
          <w:iCs w:val="0"/>
          <w:color w:val="auto"/>
          <w:kern w:val="0"/>
          <w:sz w:val="22"/>
          <w:szCs w:val="22"/>
        </w:rPr>
      </w:pPr>
    </w:p>
    <w:p w:rsidR="00111216" w:rsidRPr="005D4DF3" w:rsidRDefault="00111216" w:rsidP="00111216">
      <w:pPr>
        <w:pStyle w:val="HawkeReviewheading"/>
        <w:rPr>
          <w:rStyle w:val="Emphasis"/>
          <w:rFonts w:ascii="Calibri" w:eastAsiaTheme="majorEastAsia" w:hAnsi="Calibri" w:cs="Calibri"/>
          <w:i w:val="0"/>
          <w:iCs w:val="0"/>
          <w:color w:val="auto"/>
          <w:kern w:val="0"/>
          <w:sz w:val="22"/>
          <w:szCs w:val="22"/>
        </w:rPr>
      </w:pPr>
      <w:bookmarkStart w:id="13" w:name="_Toc341777847"/>
      <w:bookmarkStart w:id="14" w:name="_Toc341780607"/>
      <w:bookmarkStart w:id="15" w:name="_Toc342578212"/>
      <w:r w:rsidRPr="005D4DF3">
        <w:rPr>
          <w:rStyle w:val="Emphasis"/>
          <w:rFonts w:ascii="Calibri" w:eastAsiaTheme="majorEastAsia" w:hAnsi="Calibri" w:cs="Calibri"/>
          <w:bCs w:val="0"/>
          <w:i w:val="0"/>
          <w:caps w:val="0"/>
          <w:color w:val="auto"/>
          <w:kern w:val="0"/>
          <w:sz w:val="22"/>
          <w:szCs w:val="22"/>
        </w:rPr>
        <w:t>Dear Minister</w:t>
      </w:r>
      <w:bookmarkEnd w:id="13"/>
      <w:bookmarkEnd w:id="14"/>
      <w:bookmarkEnd w:id="15"/>
    </w:p>
    <w:p w:rsidR="00111216" w:rsidRPr="005D4DF3" w:rsidRDefault="00111216" w:rsidP="00111216">
      <w:pPr>
        <w:pStyle w:val="HawkeReviewheading"/>
        <w:rPr>
          <w:rStyle w:val="Emphasis"/>
          <w:rFonts w:ascii="Calibri" w:eastAsiaTheme="majorEastAsia" w:hAnsi="Calibri" w:cs="Calibri"/>
          <w:i w:val="0"/>
          <w:iCs w:val="0"/>
          <w:color w:val="auto"/>
          <w:kern w:val="0"/>
          <w:sz w:val="22"/>
          <w:szCs w:val="22"/>
        </w:rPr>
      </w:pPr>
      <w:bookmarkStart w:id="16" w:name="_Toc341777848"/>
      <w:bookmarkStart w:id="17" w:name="_Toc341780608"/>
      <w:bookmarkStart w:id="18" w:name="_Toc342578213"/>
      <w:r w:rsidRPr="005D4DF3">
        <w:rPr>
          <w:rStyle w:val="Emphasis"/>
          <w:rFonts w:ascii="Calibri" w:eastAsiaTheme="majorEastAsia" w:hAnsi="Calibri" w:cs="Calibri"/>
          <w:bCs w:val="0"/>
          <w:i w:val="0"/>
          <w:caps w:val="0"/>
          <w:color w:val="auto"/>
          <w:kern w:val="0"/>
          <w:sz w:val="22"/>
          <w:szCs w:val="22"/>
        </w:rPr>
        <w:t xml:space="preserve">I am pleased to provide you with </w:t>
      </w:r>
      <w:r w:rsidR="002516A0">
        <w:rPr>
          <w:rStyle w:val="Emphasis"/>
          <w:rFonts w:ascii="Calibri" w:eastAsiaTheme="majorEastAsia" w:hAnsi="Calibri" w:cs="Calibri"/>
          <w:bCs w:val="0"/>
          <w:i w:val="0"/>
          <w:caps w:val="0"/>
          <w:color w:val="auto"/>
          <w:kern w:val="0"/>
          <w:sz w:val="22"/>
          <w:szCs w:val="22"/>
        </w:rPr>
        <w:t>a</w:t>
      </w:r>
      <w:r w:rsidR="002516A0" w:rsidRPr="005D4DF3">
        <w:rPr>
          <w:rStyle w:val="Emphasis"/>
          <w:rFonts w:ascii="Calibri" w:eastAsiaTheme="majorEastAsia" w:hAnsi="Calibri" w:cs="Calibri"/>
          <w:bCs w:val="0"/>
          <w:i w:val="0"/>
          <w:caps w:val="0"/>
          <w:color w:val="auto"/>
          <w:kern w:val="0"/>
          <w:sz w:val="22"/>
          <w:szCs w:val="22"/>
        </w:rPr>
        <w:t xml:space="preserve"> </w:t>
      </w:r>
      <w:r w:rsidRPr="005D4DF3">
        <w:rPr>
          <w:rStyle w:val="Emphasis"/>
          <w:rFonts w:ascii="Calibri" w:eastAsiaTheme="majorEastAsia" w:hAnsi="Calibri" w:cs="Calibri"/>
          <w:bCs w:val="0"/>
          <w:i w:val="0"/>
          <w:caps w:val="0"/>
          <w:color w:val="auto"/>
          <w:kern w:val="0"/>
          <w:sz w:val="22"/>
          <w:szCs w:val="22"/>
        </w:rPr>
        <w:t>Report of</w:t>
      </w:r>
      <w:r w:rsidR="002516A0">
        <w:rPr>
          <w:rStyle w:val="Emphasis"/>
          <w:rFonts w:ascii="Calibri" w:eastAsiaTheme="majorEastAsia" w:hAnsi="Calibri" w:cs="Calibri"/>
          <w:bCs w:val="0"/>
          <w:i w:val="0"/>
          <w:caps w:val="0"/>
          <w:color w:val="auto"/>
          <w:kern w:val="0"/>
          <w:sz w:val="22"/>
          <w:szCs w:val="22"/>
        </w:rPr>
        <w:t xml:space="preserve"> my part of</w:t>
      </w:r>
      <w:r w:rsidRPr="005D4DF3">
        <w:rPr>
          <w:rStyle w:val="Emphasis"/>
          <w:rFonts w:ascii="Calibri" w:eastAsiaTheme="majorEastAsia" w:hAnsi="Calibri" w:cs="Calibri"/>
          <w:bCs w:val="0"/>
          <w:i w:val="0"/>
          <w:caps w:val="0"/>
          <w:color w:val="auto"/>
          <w:kern w:val="0"/>
          <w:sz w:val="22"/>
          <w:szCs w:val="22"/>
        </w:rPr>
        <w:t xml:space="preserve"> the Review of the Performance, Governance and Financial Framework of the Comcare scheme (the Review) in accordance with your media release of 24 July 2012.</w:t>
      </w:r>
      <w:bookmarkEnd w:id="16"/>
      <w:bookmarkEnd w:id="17"/>
      <w:bookmarkEnd w:id="18"/>
    </w:p>
    <w:p w:rsidR="00111216" w:rsidRPr="005D4DF3" w:rsidRDefault="00111216" w:rsidP="00111216">
      <w:pPr>
        <w:pStyle w:val="HawkeReviewheading"/>
        <w:rPr>
          <w:rStyle w:val="Emphasis"/>
          <w:rFonts w:ascii="Calibri" w:eastAsiaTheme="majorEastAsia" w:hAnsi="Calibri" w:cs="Calibri"/>
          <w:i w:val="0"/>
          <w:iCs w:val="0"/>
          <w:color w:val="auto"/>
          <w:kern w:val="0"/>
          <w:sz w:val="22"/>
          <w:szCs w:val="22"/>
        </w:rPr>
      </w:pPr>
      <w:bookmarkStart w:id="19" w:name="_Toc341777849"/>
      <w:bookmarkStart w:id="20" w:name="_Toc341780609"/>
      <w:bookmarkStart w:id="21" w:name="_Toc342578214"/>
      <w:r w:rsidRPr="005D4DF3">
        <w:rPr>
          <w:rStyle w:val="Emphasis"/>
          <w:rFonts w:ascii="Calibri" w:eastAsiaTheme="majorEastAsia" w:hAnsi="Calibri" w:cs="Calibri"/>
          <w:bCs w:val="0"/>
          <w:i w:val="0"/>
          <w:caps w:val="0"/>
          <w:color w:val="auto"/>
          <w:kern w:val="0"/>
          <w:sz w:val="22"/>
          <w:szCs w:val="22"/>
        </w:rPr>
        <w:t>The Review was tasked with ensuring that the Comcare scheme is exemplary in its scheme design as well as in its service delivery. It was also to ensure that the federal workers’ compensation arrangements reflect contemporary social models and best practice, taking into account arrangements within Australian and overseas accident compensation schemes.</w:t>
      </w:r>
      <w:bookmarkEnd w:id="19"/>
      <w:bookmarkEnd w:id="20"/>
      <w:bookmarkEnd w:id="21"/>
    </w:p>
    <w:p w:rsidR="00111216" w:rsidRPr="005D4DF3" w:rsidRDefault="00111216" w:rsidP="00111216">
      <w:pPr>
        <w:pStyle w:val="HawkeReviewheading"/>
        <w:rPr>
          <w:rStyle w:val="Emphasis"/>
          <w:rFonts w:ascii="Calibri" w:eastAsiaTheme="majorEastAsia" w:hAnsi="Calibri" w:cs="Calibri"/>
          <w:i w:val="0"/>
          <w:iCs w:val="0"/>
          <w:color w:val="auto"/>
          <w:kern w:val="0"/>
          <w:sz w:val="22"/>
          <w:szCs w:val="22"/>
        </w:rPr>
      </w:pPr>
      <w:bookmarkStart w:id="22" w:name="_Toc341777850"/>
      <w:bookmarkStart w:id="23" w:name="_Toc341780610"/>
      <w:bookmarkStart w:id="24" w:name="_Toc342578215"/>
      <w:r w:rsidRPr="005D4DF3">
        <w:rPr>
          <w:rStyle w:val="Emphasis"/>
          <w:rFonts w:ascii="Calibri" w:eastAsiaTheme="majorEastAsia" w:hAnsi="Calibri" w:cs="Calibri"/>
          <w:bCs w:val="0"/>
          <w:i w:val="0"/>
          <w:caps w:val="0"/>
          <w:color w:val="auto"/>
          <w:kern w:val="0"/>
          <w:sz w:val="22"/>
          <w:szCs w:val="22"/>
        </w:rPr>
        <w:t xml:space="preserve">This Report deals with </w:t>
      </w:r>
      <w:r w:rsidR="000015D6">
        <w:rPr>
          <w:rStyle w:val="Emphasis"/>
          <w:rFonts w:ascii="Calibri" w:eastAsiaTheme="majorEastAsia" w:hAnsi="Calibri" w:cs="Calibri"/>
          <w:bCs w:val="0"/>
          <w:i w:val="0"/>
          <w:caps w:val="0"/>
          <w:color w:val="auto"/>
          <w:kern w:val="0"/>
          <w:sz w:val="22"/>
          <w:szCs w:val="22"/>
        </w:rPr>
        <w:t xml:space="preserve">my part of </w:t>
      </w:r>
      <w:r w:rsidRPr="005D4DF3">
        <w:rPr>
          <w:rStyle w:val="Emphasis"/>
          <w:rFonts w:ascii="Calibri" w:eastAsiaTheme="majorEastAsia" w:hAnsi="Calibri" w:cs="Calibri"/>
          <w:bCs w:val="0"/>
          <w:i w:val="0"/>
          <w:caps w:val="0"/>
          <w:color w:val="auto"/>
          <w:kern w:val="0"/>
          <w:sz w:val="22"/>
          <w:szCs w:val="22"/>
        </w:rPr>
        <w:t>the terms of reference relating to:</w:t>
      </w:r>
      <w:bookmarkEnd w:id="22"/>
      <w:bookmarkEnd w:id="23"/>
      <w:bookmarkEnd w:id="24"/>
    </w:p>
    <w:p w:rsidR="00111216" w:rsidRPr="005D4DF3" w:rsidRDefault="00111216" w:rsidP="00111216">
      <w:pPr>
        <w:pStyle w:val="HawkeReviewheading"/>
        <w:numPr>
          <w:ilvl w:val="0"/>
          <w:numId w:val="20"/>
        </w:numPr>
        <w:spacing w:after="120" w:afterAutospacing="0"/>
        <w:ind w:left="714" w:hanging="357"/>
        <w:rPr>
          <w:rStyle w:val="Emphasis"/>
          <w:rFonts w:ascii="Calibri" w:eastAsiaTheme="majorEastAsia" w:hAnsi="Calibri" w:cs="Calibri"/>
          <w:i w:val="0"/>
          <w:iCs w:val="0"/>
          <w:color w:val="auto"/>
          <w:kern w:val="0"/>
          <w:sz w:val="22"/>
          <w:szCs w:val="22"/>
        </w:rPr>
      </w:pPr>
      <w:bookmarkStart w:id="25" w:name="_Toc341777851"/>
      <w:bookmarkStart w:id="26" w:name="_Toc341780611"/>
      <w:bookmarkStart w:id="27" w:name="_Toc342578216"/>
      <w:r w:rsidRPr="005D4DF3">
        <w:rPr>
          <w:rStyle w:val="Emphasis"/>
          <w:rFonts w:ascii="Calibri" w:eastAsiaTheme="majorEastAsia" w:hAnsi="Calibri" w:cs="Calibri"/>
          <w:bCs w:val="0"/>
          <w:i w:val="0"/>
          <w:caps w:val="0"/>
          <w:color w:val="auto"/>
          <w:kern w:val="0"/>
          <w:sz w:val="22"/>
          <w:szCs w:val="22"/>
        </w:rPr>
        <w:t>the performance of the Comcare scheme and ways to improve its performance; and</w:t>
      </w:r>
      <w:bookmarkEnd w:id="25"/>
      <w:bookmarkEnd w:id="26"/>
      <w:bookmarkEnd w:id="27"/>
    </w:p>
    <w:p w:rsidR="00111216" w:rsidRPr="005D4DF3" w:rsidRDefault="00111216" w:rsidP="00111216">
      <w:pPr>
        <w:pStyle w:val="HawkeReviewheading"/>
        <w:numPr>
          <w:ilvl w:val="0"/>
          <w:numId w:val="20"/>
        </w:numPr>
        <w:spacing w:after="120" w:afterAutospacing="0"/>
        <w:ind w:left="714" w:hanging="357"/>
        <w:rPr>
          <w:rStyle w:val="Emphasis"/>
          <w:rFonts w:ascii="Calibri" w:eastAsiaTheme="majorEastAsia" w:hAnsi="Calibri" w:cs="Calibri"/>
          <w:i w:val="0"/>
          <w:iCs w:val="0"/>
          <w:color w:val="auto"/>
          <w:kern w:val="0"/>
          <w:sz w:val="22"/>
          <w:szCs w:val="22"/>
        </w:rPr>
      </w:pPr>
      <w:bookmarkStart w:id="28" w:name="_Toc341777852"/>
      <w:bookmarkStart w:id="29" w:name="_Toc341780612"/>
      <w:bookmarkStart w:id="30" w:name="_Toc342578217"/>
      <w:proofErr w:type="gramStart"/>
      <w:r w:rsidRPr="005D4DF3">
        <w:rPr>
          <w:rStyle w:val="Emphasis"/>
          <w:rFonts w:ascii="Calibri" w:eastAsiaTheme="majorEastAsia" w:hAnsi="Calibri" w:cs="Calibri"/>
          <w:bCs w:val="0"/>
          <w:i w:val="0"/>
          <w:caps w:val="0"/>
          <w:color w:val="auto"/>
          <w:kern w:val="0"/>
          <w:sz w:val="22"/>
          <w:szCs w:val="22"/>
        </w:rPr>
        <w:t>the</w:t>
      </w:r>
      <w:proofErr w:type="gramEnd"/>
      <w:r w:rsidRPr="005D4DF3">
        <w:rPr>
          <w:rStyle w:val="Emphasis"/>
          <w:rFonts w:ascii="Calibri" w:eastAsiaTheme="majorEastAsia" w:hAnsi="Calibri" w:cs="Calibri"/>
          <w:bCs w:val="0"/>
          <w:i w:val="0"/>
          <w:caps w:val="0"/>
          <w:color w:val="auto"/>
          <w:kern w:val="0"/>
          <w:sz w:val="22"/>
          <w:szCs w:val="22"/>
        </w:rPr>
        <w:t xml:space="preserve"> financial and governance framework of the Comcare scheme.</w:t>
      </w:r>
      <w:bookmarkEnd w:id="28"/>
      <w:bookmarkEnd w:id="29"/>
      <w:bookmarkEnd w:id="30"/>
    </w:p>
    <w:p w:rsidR="000015D6" w:rsidRDefault="00111216" w:rsidP="00111216">
      <w:pPr>
        <w:pStyle w:val="HawkeReviewheading"/>
        <w:spacing w:after="120" w:afterAutospacing="0"/>
        <w:rPr>
          <w:rStyle w:val="Emphasis"/>
          <w:rFonts w:ascii="Calibri" w:eastAsiaTheme="majorEastAsia" w:hAnsi="Calibri" w:cs="Calibri"/>
          <w:bCs w:val="0"/>
          <w:i w:val="0"/>
          <w:caps w:val="0"/>
          <w:color w:val="auto"/>
          <w:kern w:val="0"/>
          <w:sz w:val="22"/>
          <w:szCs w:val="22"/>
        </w:rPr>
      </w:pPr>
      <w:bookmarkStart w:id="31" w:name="_Toc341777853"/>
      <w:bookmarkStart w:id="32" w:name="_Toc341780613"/>
      <w:bookmarkStart w:id="33" w:name="_Toc342578218"/>
      <w:r w:rsidRPr="005D4DF3">
        <w:rPr>
          <w:rStyle w:val="Emphasis"/>
          <w:rFonts w:ascii="Calibri" w:eastAsiaTheme="majorEastAsia" w:hAnsi="Calibri" w:cs="Calibri"/>
          <w:bCs w:val="0"/>
          <w:i w:val="0"/>
          <w:caps w:val="0"/>
          <w:color w:val="auto"/>
          <w:kern w:val="0"/>
          <w:sz w:val="22"/>
          <w:szCs w:val="22"/>
        </w:rPr>
        <w:t xml:space="preserve">The Review has consulted with Comcare scheme </w:t>
      </w:r>
      <w:r w:rsidR="000015D6">
        <w:rPr>
          <w:rStyle w:val="Emphasis"/>
          <w:rFonts w:ascii="Calibri" w:eastAsiaTheme="majorEastAsia" w:hAnsi="Calibri" w:cs="Calibri"/>
          <w:bCs w:val="0"/>
          <w:i w:val="0"/>
          <w:caps w:val="0"/>
          <w:color w:val="auto"/>
          <w:kern w:val="0"/>
          <w:sz w:val="22"/>
          <w:szCs w:val="22"/>
        </w:rPr>
        <w:t>stakeholders</w:t>
      </w:r>
      <w:r w:rsidR="000015D6" w:rsidRPr="005D4DF3">
        <w:rPr>
          <w:rStyle w:val="Emphasis"/>
          <w:rFonts w:ascii="Calibri" w:eastAsiaTheme="majorEastAsia" w:hAnsi="Calibri" w:cs="Calibri"/>
          <w:bCs w:val="0"/>
          <w:i w:val="0"/>
          <w:caps w:val="0"/>
          <w:color w:val="auto"/>
          <w:kern w:val="0"/>
          <w:sz w:val="22"/>
          <w:szCs w:val="22"/>
        </w:rPr>
        <w:t xml:space="preserve"> and</w:t>
      </w:r>
      <w:r w:rsidRPr="005D4DF3">
        <w:rPr>
          <w:rStyle w:val="Emphasis"/>
          <w:rFonts w:ascii="Calibri" w:eastAsiaTheme="majorEastAsia" w:hAnsi="Calibri" w:cs="Calibri"/>
          <w:bCs w:val="0"/>
          <w:i w:val="0"/>
          <w:caps w:val="0"/>
          <w:color w:val="auto"/>
          <w:kern w:val="0"/>
          <w:sz w:val="22"/>
          <w:szCs w:val="22"/>
        </w:rPr>
        <w:t xml:space="preserve"> considered their views in </w:t>
      </w:r>
      <w:r w:rsidR="000015D6">
        <w:rPr>
          <w:rStyle w:val="Emphasis"/>
          <w:rFonts w:ascii="Calibri" w:eastAsiaTheme="majorEastAsia" w:hAnsi="Calibri" w:cs="Calibri"/>
          <w:bCs w:val="0"/>
          <w:i w:val="0"/>
          <w:caps w:val="0"/>
          <w:color w:val="auto"/>
          <w:kern w:val="0"/>
          <w:sz w:val="22"/>
          <w:szCs w:val="22"/>
        </w:rPr>
        <w:t>arriving at</w:t>
      </w:r>
      <w:r w:rsidR="000015D6" w:rsidRPr="005D4DF3">
        <w:rPr>
          <w:rStyle w:val="Emphasis"/>
          <w:rFonts w:ascii="Calibri" w:eastAsiaTheme="majorEastAsia" w:hAnsi="Calibri" w:cs="Calibri"/>
          <w:bCs w:val="0"/>
          <w:i w:val="0"/>
          <w:caps w:val="0"/>
          <w:color w:val="auto"/>
          <w:kern w:val="0"/>
          <w:sz w:val="22"/>
          <w:szCs w:val="22"/>
        </w:rPr>
        <w:t xml:space="preserve"> </w:t>
      </w:r>
      <w:r w:rsidRPr="005D4DF3">
        <w:rPr>
          <w:rStyle w:val="Emphasis"/>
          <w:rFonts w:ascii="Calibri" w:eastAsiaTheme="majorEastAsia" w:hAnsi="Calibri" w:cs="Calibri"/>
          <w:bCs w:val="0"/>
          <w:i w:val="0"/>
          <w:caps w:val="0"/>
          <w:color w:val="auto"/>
          <w:kern w:val="0"/>
          <w:sz w:val="22"/>
          <w:szCs w:val="22"/>
        </w:rPr>
        <w:t xml:space="preserve">the recommendations </w:t>
      </w:r>
      <w:r w:rsidR="000015D6">
        <w:rPr>
          <w:rStyle w:val="Emphasis"/>
          <w:rFonts w:ascii="Calibri" w:eastAsiaTheme="majorEastAsia" w:hAnsi="Calibri" w:cs="Calibri"/>
          <w:bCs w:val="0"/>
          <w:i w:val="0"/>
          <w:caps w:val="0"/>
          <w:color w:val="auto"/>
          <w:kern w:val="0"/>
          <w:sz w:val="22"/>
          <w:szCs w:val="22"/>
        </w:rPr>
        <w:t>enunciated</w:t>
      </w:r>
      <w:r w:rsidR="000015D6" w:rsidRPr="005D4DF3">
        <w:rPr>
          <w:rStyle w:val="Emphasis"/>
          <w:rFonts w:ascii="Calibri" w:eastAsiaTheme="majorEastAsia" w:hAnsi="Calibri" w:cs="Calibri"/>
          <w:bCs w:val="0"/>
          <w:i w:val="0"/>
          <w:caps w:val="0"/>
          <w:color w:val="auto"/>
          <w:kern w:val="0"/>
          <w:sz w:val="22"/>
          <w:szCs w:val="22"/>
        </w:rPr>
        <w:t xml:space="preserve"> </w:t>
      </w:r>
      <w:r w:rsidRPr="005D4DF3">
        <w:rPr>
          <w:rStyle w:val="Emphasis"/>
          <w:rFonts w:ascii="Calibri" w:eastAsiaTheme="majorEastAsia" w:hAnsi="Calibri" w:cs="Calibri"/>
          <w:bCs w:val="0"/>
          <w:i w:val="0"/>
          <w:caps w:val="0"/>
          <w:color w:val="auto"/>
          <w:kern w:val="0"/>
          <w:sz w:val="22"/>
          <w:szCs w:val="22"/>
        </w:rPr>
        <w:t>in this Report.</w:t>
      </w:r>
      <w:bookmarkEnd w:id="31"/>
      <w:bookmarkEnd w:id="32"/>
      <w:bookmarkEnd w:id="33"/>
    </w:p>
    <w:p w:rsidR="00E10566" w:rsidRDefault="00760B4B" w:rsidP="00584ADA">
      <w:pPr>
        <w:pStyle w:val="HawkeReviewheading"/>
        <w:spacing w:after="120" w:afterAutospacing="0"/>
        <w:rPr>
          <w:rStyle w:val="Emphasis"/>
          <w:rFonts w:ascii="Calibri" w:eastAsiaTheme="majorEastAsia" w:hAnsi="Calibri" w:cs="Calibri"/>
          <w:bCs w:val="0"/>
          <w:i w:val="0"/>
          <w:caps w:val="0"/>
          <w:color w:val="auto"/>
          <w:kern w:val="0"/>
          <w:sz w:val="22"/>
          <w:szCs w:val="22"/>
        </w:rPr>
      </w:pPr>
      <w:bookmarkStart w:id="34" w:name="_Toc341777854"/>
      <w:bookmarkStart w:id="35" w:name="_Toc341780614"/>
      <w:bookmarkStart w:id="36" w:name="_Toc342578219"/>
      <w:r>
        <w:rPr>
          <w:rStyle w:val="Emphasis"/>
          <w:rFonts w:ascii="Calibri" w:eastAsiaTheme="majorEastAsia" w:hAnsi="Calibri" w:cs="Calibri"/>
          <w:bCs w:val="0"/>
          <w:i w:val="0"/>
          <w:caps w:val="0"/>
          <w:color w:val="auto"/>
          <w:kern w:val="0"/>
          <w:sz w:val="22"/>
          <w:szCs w:val="22"/>
        </w:rPr>
        <w:t xml:space="preserve">In essence, the </w:t>
      </w:r>
      <w:r w:rsidR="00DF7A31">
        <w:rPr>
          <w:rStyle w:val="Emphasis"/>
          <w:rFonts w:ascii="Calibri" w:eastAsiaTheme="majorEastAsia" w:hAnsi="Calibri" w:cs="Calibri"/>
          <w:bCs w:val="0"/>
          <w:i w:val="0"/>
          <w:caps w:val="0"/>
          <w:color w:val="auto"/>
          <w:kern w:val="0"/>
          <w:sz w:val="22"/>
          <w:szCs w:val="22"/>
        </w:rPr>
        <w:t>Review found</w:t>
      </w:r>
      <w:r w:rsidR="00E10566">
        <w:rPr>
          <w:rStyle w:val="Emphasis"/>
          <w:rFonts w:ascii="Calibri" w:eastAsiaTheme="majorEastAsia" w:hAnsi="Calibri" w:cs="Calibri"/>
          <w:bCs w:val="0"/>
          <w:i w:val="0"/>
          <w:caps w:val="0"/>
          <w:color w:val="auto"/>
          <w:kern w:val="0"/>
          <w:sz w:val="22"/>
          <w:szCs w:val="22"/>
        </w:rPr>
        <w:t xml:space="preserve"> the Comcare scheme to be working </w:t>
      </w:r>
      <w:r w:rsidR="002516A0">
        <w:rPr>
          <w:rStyle w:val="Emphasis"/>
          <w:rFonts w:ascii="Calibri" w:eastAsiaTheme="majorEastAsia" w:hAnsi="Calibri" w:cs="Calibri"/>
          <w:bCs w:val="0"/>
          <w:i w:val="0"/>
          <w:caps w:val="0"/>
          <w:color w:val="auto"/>
          <w:kern w:val="0"/>
          <w:sz w:val="22"/>
          <w:szCs w:val="22"/>
        </w:rPr>
        <w:t>satisfactorily.</w:t>
      </w:r>
      <w:r w:rsidR="00E10566">
        <w:rPr>
          <w:rStyle w:val="Emphasis"/>
          <w:rFonts w:ascii="Calibri" w:eastAsiaTheme="majorEastAsia" w:hAnsi="Calibri" w:cs="Calibri"/>
          <w:bCs w:val="0"/>
          <w:i w:val="0"/>
          <w:caps w:val="0"/>
          <w:color w:val="auto"/>
          <w:kern w:val="0"/>
          <w:sz w:val="22"/>
          <w:szCs w:val="22"/>
        </w:rPr>
        <w:t xml:space="preserve"> </w:t>
      </w:r>
      <w:r w:rsidR="002516A0">
        <w:rPr>
          <w:rStyle w:val="Emphasis"/>
          <w:rFonts w:ascii="Calibri" w:eastAsiaTheme="majorEastAsia" w:hAnsi="Calibri" w:cs="Calibri"/>
          <w:bCs w:val="0"/>
          <w:i w:val="0"/>
          <w:caps w:val="0"/>
          <w:color w:val="auto"/>
          <w:kern w:val="0"/>
          <w:sz w:val="22"/>
          <w:szCs w:val="22"/>
        </w:rPr>
        <w:t>T</w:t>
      </w:r>
      <w:r w:rsidR="00E10566">
        <w:rPr>
          <w:rStyle w:val="Emphasis"/>
          <w:rFonts w:ascii="Calibri" w:eastAsiaTheme="majorEastAsia" w:hAnsi="Calibri" w:cs="Calibri"/>
          <w:bCs w:val="0"/>
          <w:i w:val="0"/>
          <w:caps w:val="0"/>
          <w:color w:val="auto"/>
          <w:kern w:val="0"/>
          <w:sz w:val="22"/>
          <w:szCs w:val="22"/>
        </w:rPr>
        <w:t>he recent deterioration in return to work outcomes and financial performance has led to premium increases</w:t>
      </w:r>
      <w:r w:rsidR="002516A0">
        <w:rPr>
          <w:rStyle w:val="Emphasis"/>
          <w:rFonts w:ascii="Calibri" w:eastAsiaTheme="majorEastAsia" w:hAnsi="Calibri" w:cs="Calibri"/>
          <w:bCs w:val="0"/>
          <w:i w:val="0"/>
          <w:caps w:val="0"/>
          <w:color w:val="auto"/>
          <w:kern w:val="0"/>
          <w:sz w:val="22"/>
          <w:szCs w:val="22"/>
        </w:rPr>
        <w:t xml:space="preserve"> and</w:t>
      </w:r>
      <w:r w:rsidR="00E10566">
        <w:rPr>
          <w:rStyle w:val="Emphasis"/>
          <w:rFonts w:ascii="Calibri" w:eastAsiaTheme="majorEastAsia" w:hAnsi="Calibri" w:cs="Calibri"/>
          <w:bCs w:val="0"/>
          <w:i w:val="0"/>
          <w:caps w:val="0"/>
          <w:color w:val="auto"/>
          <w:kern w:val="0"/>
          <w:sz w:val="22"/>
          <w:szCs w:val="22"/>
        </w:rPr>
        <w:t xml:space="preserve"> there are issues arising from the terms of reference that require attention to restore the Comcare scheme to its rightful status in accordance with paragraph two above.</w:t>
      </w:r>
      <w:bookmarkEnd w:id="34"/>
      <w:bookmarkEnd w:id="35"/>
      <w:bookmarkEnd w:id="36"/>
    </w:p>
    <w:p w:rsidR="000015D6" w:rsidRDefault="000015D6" w:rsidP="00111216">
      <w:pPr>
        <w:pStyle w:val="HawkeReviewheading"/>
        <w:spacing w:after="120" w:afterAutospacing="0"/>
        <w:rPr>
          <w:rStyle w:val="Emphasis"/>
          <w:rFonts w:ascii="Calibri" w:eastAsiaTheme="majorEastAsia" w:hAnsi="Calibri" w:cs="Calibri"/>
          <w:bCs w:val="0"/>
          <w:i w:val="0"/>
          <w:caps w:val="0"/>
          <w:color w:val="auto"/>
          <w:kern w:val="0"/>
          <w:sz w:val="22"/>
          <w:szCs w:val="22"/>
        </w:rPr>
      </w:pPr>
      <w:bookmarkStart w:id="37" w:name="_Toc341777855"/>
      <w:bookmarkStart w:id="38" w:name="_Toc341780615"/>
      <w:bookmarkStart w:id="39" w:name="_Toc342578220"/>
      <w:r>
        <w:rPr>
          <w:rStyle w:val="Emphasis"/>
          <w:rFonts w:ascii="Calibri" w:eastAsiaTheme="majorEastAsia" w:hAnsi="Calibri" w:cs="Calibri"/>
          <w:bCs w:val="0"/>
          <w:i w:val="0"/>
          <w:caps w:val="0"/>
          <w:color w:val="auto"/>
          <w:kern w:val="0"/>
          <w:sz w:val="22"/>
          <w:szCs w:val="22"/>
        </w:rPr>
        <w:t xml:space="preserve">I have taken the liberty of forwarding an embargoed copy to Mr Peter Hanks QC for his consideration while awaiting </w:t>
      </w:r>
      <w:r w:rsidR="002516A0">
        <w:rPr>
          <w:rStyle w:val="Emphasis"/>
          <w:rFonts w:ascii="Calibri" w:eastAsiaTheme="majorEastAsia" w:hAnsi="Calibri" w:cs="Calibri"/>
          <w:bCs w:val="0"/>
          <w:i w:val="0"/>
          <w:caps w:val="0"/>
          <w:color w:val="auto"/>
          <w:kern w:val="0"/>
          <w:sz w:val="22"/>
          <w:szCs w:val="22"/>
        </w:rPr>
        <w:t>your consideration of this report</w:t>
      </w:r>
      <w:r>
        <w:rPr>
          <w:rStyle w:val="Emphasis"/>
          <w:rFonts w:ascii="Calibri" w:eastAsiaTheme="majorEastAsia" w:hAnsi="Calibri" w:cs="Calibri"/>
          <w:bCs w:val="0"/>
          <w:i w:val="0"/>
          <w:caps w:val="0"/>
          <w:color w:val="auto"/>
          <w:kern w:val="0"/>
          <w:sz w:val="22"/>
          <w:szCs w:val="22"/>
        </w:rPr>
        <w:t>.</w:t>
      </w:r>
      <w:bookmarkEnd w:id="37"/>
      <w:bookmarkEnd w:id="38"/>
      <w:bookmarkEnd w:id="39"/>
    </w:p>
    <w:p w:rsidR="000015D6" w:rsidRDefault="000015D6" w:rsidP="00111216">
      <w:pPr>
        <w:pStyle w:val="HawkeReviewheading"/>
        <w:spacing w:after="120" w:afterAutospacing="0"/>
        <w:rPr>
          <w:rStyle w:val="Emphasis"/>
          <w:rFonts w:ascii="Calibri" w:eastAsiaTheme="majorEastAsia" w:hAnsi="Calibri" w:cs="Calibri"/>
          <w:bCs w:val="0"/>
          <w:i w:val="0"/>
          <w:caps w:val="0"/>
          <w:color w:val="auto"/>
          <w:kern w:val="0"/>
          <w:sz w:val="22"/>
          <w:szCs w:val="22"/>
        </w:rPr>
      </w:pPr>
      <w:bookmarkStart w:id="40" w:name="_Toc341777856"/>
      <w:bookmarkStart w:id="41" w:name="_Toc341780616"/>
      <w:bookmarkStart w:id="42" w:name="_Toc342578221"/>
      <w:r>
        <w:rPr>
          <w:rStyle w:val="Emphasis"/>
          <w:rFonts w:ascii="Calibri" w:eastAsiaTheme="majorEastAsia" w:hAnsi="Calibri" w:cs="Calibri"/>
          <w:bCs w:val="0"/>
          <w:i w:val="0"/>
          <w:caps w:val="0"/>
          <w:color w:val="auto"/>
          <w:kern w:val="0"/>
          <w:sz w:val="22"/>
          <w:szCs w:val="22"/>
        </w:rPr>
        <w:t xml:space="preserve">May I take this opportunity to </w:t>
      </w:r>
      <w:r w:rsidR="002516A0">
        <w:rPr>
          <w:rStyle w:val="Emphasis"/>
          <w:rFonts w:ascii="Calibri" w:eastAsiaTheme="majorEastAsia" w:hAnsi="Calibri" w:cs="Calibri"/>
          <w:bCs w:val="0"/>
          <w:i w:val="0"/>
          <w:caps w:val="0"/>
          <w:color w:val="auto"/>
          <w:kern w:val="0"/>
          <w:sz w:val="22"/>
          <w:szCs w:val="22"/>
        </w:rPr>
        <w:t>express</w:t>
      </w:r>
      <w:r>
        <w:rPr>
          <w:rStyle w:val="Emphasis"/>
          <w:rFonts w:ascii="Calibri" w:eastAsiaTheme="majorEastAsia" w:hAnsi="Calibri" w:cs="Calibri"/>
          <w:bCs w:val="0"/>
          <w:i w:val="0"/>
          <w:caps w:val="0"/>
          <w:color w:val="auto"/>
          <w:kern w:val="0"/>
          <w:sz w:val="22"/>
          <w:szCs w:val="22"/>
        </w:rPr>
        <w:t xml:space="preserve"> my appreciation for the Review Secretariat who undertook much of the research and drafting of the </w:t>
      </w:r>
      <w:proofErr w:type="gramStart"/>
      <w:r>
        <w:rPr>
          <w:rStyle w:val="Emphasis"/>
          <w:rFonts w:ascii="Calibri" w:eastAsiaTheme="majorEastAsia" w:hAnsi="Calibri" w:cs="Calibri"/>
          <w:bCs w:val="0"/>
          <w:i w:val="0"/>
          <w:caps w:val="0"/>
          <w:color w:val="auto"/>
          <w:kern w:val="0"/>
          <w:sz w:val="22"/>
          <w:szCs w:val="22"/>
        </w:rPr>
        <w:t>Repor</w:t>
      </w:r>
      <w:r w:rsidR="00063416">
        <w:rPr>
          <w:rStyle w:val="Emphasis"/>
          <w:rFonts w:ascii="Calibri" w:eastAsiaTheme="majorEastAsia" w:hAnsi="Calibri" w:cs="Calibri"/>
          <w:bCs w:val="0"/>
          <w:i w:val="0"/>
          <w:caps w:val="0"/>
          <w:color w:val="auto"/>
          <w:kern w:val="0"/>
          <w:sz w:val="22"/>
          <w:szCs w:val="22"/>
        </w:rPr>
        <w:t>t</w:t>
      </w:r>
      <w:r w:rsidR="005C56C6">
        <w:rPr>
          <w:rStyle w:val="Emphasis"/>
          <w:rFonts w:ascii="Calibri" w:eastAsiaTheme="majorEastAsia" w:hAnsi="Calibri" w:cs="Calibri"/>
          <w:bCs w:val="0"/>
          <w:i w:val="0"/>
          <w:caps w:val="0"/>
          <w:color w:val="auto"/>
          <w:kern w:val="0"/>
          <w:sz w:val="22"/>
          <w:szCs w:val="22"/>
        </w:rPr>
        <w:t>.</w:t>
      </w:r>
      <w:proofErr w:type="gramEnd"/>
      <w:r w:rsidR="008B228F">
        <w:rPr>
          <w:rStyle w:val="Emphasis"/>
          <w:rFonts w:ascii="Calibri" w:eastAsiaTheme="majorEastAsia" w:hAnsi="Calibri" w:cs="Calibri"/>
          <w:bCs w:val="0"/>
          <w:i w:val="0"/>
          <w:caps w:val="0"/>
          <w:color w:val="auto"/>
          <w:kern w:val="0"/>
          <w:sz w:val="22"/>
          <w:szCs w:val="22"/>
        </w:rPr>
        <w:t xml:space="preserve"> </w:t>
      </w:r>
      <w:r w:rsidR="005C56C6">
        <w:rPr>
          <w:rStyle w:val="Emphasis"/>
          <w:rFonts w:ascii="Calibri" w:eastAsiaTheme="majorEastAsia" w:hAnsi="Calibri" w:cs="Calibri"/>
          <w:bCs w:val="0"/>
          <w:i w:val="0"/>
          <w:caps w:val="0"/>
          <w:color w:val="auto"/>
          <w:kern w:val="0"/>
          <w:sz w:val="22"/>
          <w:szCs w:val="22"/>
        </w:rPr>
        <w:t xml:space="preserve"> </w:t>
      </w:r>
      <w:r>
        <w:rPr>
          <w:rStyle w:val="Emphasis"/>
          <w:rFonts w:ascii="Calibri" w:eastAsiaTheme="majorEastAsia" w:hAnsi="Calibri" w:cs="Calibri"/>
          <w:bCs w:val="0"/>
          <w:i w:val="0"/>
          <w:caps w:val="0"/>
          <w:color w:val="auto"/>
          <w:kern w:val="0"/>
          <w:sz w:val="22"/>
          <w:szCs w:val="22"/>
        </w:rPr>
        <w:t xml:space="preserve">Any errors, omissions or </w:t>
      </w:r>
      <w:r w:rsidR="00E10566">
        <w:rPr>
          <w:rStyle w:val="Emphasis"/>
          <w:rFonts w:ascii="Calibri" w:eastAsiaTheme="majorEastAsia" w:hAnsi="Calibri" w:cs="Calibri"/>
          <w:bCs w:val="0"/>
          <w:i w:val="0"/>
          <w:caps w:val="0"/>
          <w:color w:val="auto"/>
          <w:kern w:val="0"/>
          <w:sz w:val="22"/>
          <w:szCs w:val="22"/>
        </w:rPr>
        <w:t>oversights</w:t>
      </w:r>
      <w:r w:rsidR="00FB7F70">
        <w:rPr>
          <w:rStyle w:val="Emphasis"/>
          <w:rFonts w:ascii="Calibri" w:eastAsiaTheme="majorEastAsia" w:hAnsi="Calibri" w:cs="Calibri"/>
          <w:bCs w:val="0"/>
          <w:i w:val="0"/>
          <w:caps w:val="0"/>
          <w:color w:val="auto"/>
          <w:kern w:val="0"/>
          <w:sz w:val="22"/>
          <w:szCs w:val="22"/>
        </w:rPr>
        <w:t xml:space="preserve"> </w:t>
      </w:r>
      <w:r>
        <w:rPr>
          <w:rStyle w:val="Emphasis"/>
          <w:rFonts w:ascii="Calibri" w:eastAsiaTheme="majorEastAsia" w:hAnsi="Calibri" w:cs="Calibri"/>
          <w:bCs w:val="0"/>
          <w:i w:val="0"/>
          <w:caps w:val="0"/>
          <w:color w:val="auto"/>
          <w:kern w:val="0"/>
          <w:sz w:val="22"/>
          <w:szCs w:val="22"/>
        </w:rPr>
        <w:t>are my responsibility.</w:t>
      </w:r>
      <w:bookmarkEnd w:id="40"/>
      <w:bookmarkEnd w:id="41"/>
      <w:bookmarkEnd w:id="42"/>
    </w:p>
    <w:p w:rsidR="000015D6" w:rsidRDefault="000015D6" w:rsidP="00111216">
      <w:pPr>
        <w:pStyle w:val="HawkeReviewheading"/>
        <w:spacing w:after="120" w:afterAutospacing="0"/>
        <w:rPr>
          <w:rStyle w:val="Emphasis"/>
          <w:rFonts w:ascii="Calibri" w:eastAsiaTheme="majorEastAsia" w:hAnsi="Calibri" w:cs="Calibri"/>
          <w:bCs w:val="0"/>
          <w:i w:val="0"/>
          <w:caps w:val="0"/>
          <w:color w:val="auto"/>
          <w:kern w:val="0"/>
          <w:sz w:val="22"/>
          <w:szCs w:val="22"/>
        </w:rPr>
      </w:pPr>
      <w:bookmarkStart w:id="43" w:name="_Toc341777857"/>
      <w:bookmarkStart w:id="44" w:name="_Toc341780617"/>
      <w:bookmarkStart w:id="45" w:name="_Toc342578222"/>
      <w:r>
        <w:rPr>
          <w:rStyle w:val="Emphasis"/>
          <w:rFonts w:ascii="Calibri" w:eastAsiaTheme="majorEastAsia" w:hAnsi="Calibri" w:cs="Calibri"/>
          <w:bCs w:val="0"/>
          <w:i w:val="0"/>
          <w:caps w:val="0"/>
          <w:color w:val="auto"/>
          <w:kern w:val="0"/>
          <w:sz w:val="22"/>
          <w:szCs w:val="22"/>
        </w:rPr>
        <w:t xml:space="preserve">Yours </w:t>
      </w:r>
      <w:r w:rsidR="00442F19">
        <w:rPr>
          <w:rStyle w:val="Emphasis"/>
          <w:rFonts w:ascii="Calibri" w:eastAsiaTheme="majorEastAsia" w:hAnsi="Calibri" w:cs="Calibri"/>
          <w:bCs w:val="0"/>
          <w:i w:val="0"/>
          <w:caps w:val="0"/>
          <w:color w:val="auto"/>
          <w:kern w:val="0"/>
          <w:sz w:val="22"/>
          <w:szCs w:val="22"/>
        </w:rPr>
        <w:t>s</w:t>
      </w:r>
      <w:r>
        <w:rPr>
          <w:rStyle w:val="Emphasis"/>
          <w:rFonts w:ascii="Calibri" w:eastAsiaTheme="majorEastAsia" w:hAnsi="Calibri" w:cs="Calibri"/>
          <w:bCs w:val="0"/>
          <w:i w:val="0"/>
          <w:caps w:val="0"/>
          <w:color w:val="auto"/>
          <w:kern w:val="0"/>
          <w:sz w:val="22"/>
          <w:szCs w:val="22"/>
        </w:rPr>
        <w:t>incerely</w:t>
      </w:r>
      <w:bookmarkEnd w:id="43"/>
      <w:bookmarkEnd w:id="44"/>
      <w:bookmarkEnd w:id="45"/>
    </w:p>
    <w:p w:rsidR="00744A57" w:rsidRDefault="00744A57" w:rsidP="000D7C1C">
      <w:pPr>
        <w:pStyle w:val="HawkeReviewheading"/>
        <w:spacing w:before="0" w:beforeAutospacing="0" w:after="0" w:afterAutospacing="0"/>
        <w:ind w:left="-284"/>
        <w:rPr>
          <w:rStyle w:val="Emphasis"/>
          <w:rFonts w:ascii="Calibri" w:eastAsiaTheme="majorEastAsia" w:hAnsi="Calibri" w:cs="Calibri"/>
          <w:bCs w:val="0"/>
          <w:i w:val="0"/>
          <w:caps w:val="0"/>
          <w:color w:val="auto"/>
          <w:kern w:val="0"/>
          <w:sz w:val="22"/>
          <w:szCs w:val="22"/>
        </w:rPr>
      </w:pPr>
      <w:bookmarkStart w:id="46" w:name="_Toc342578223"/>
      <w:r w:rsidRPr="000D7C1C">
        <w:rPr>
          <w:rFonts w:ascii="Calibri" w:eastAsiaTheme="majorEastAsia" w:hAnsi="Calibri" w:cs="Calibri"/>
          <w:bCs w:val="0"/>
          <w:iCs/>
          <w:caps w:val="0"/>
          <w:noProof/>
          <w:color w:val="auto"/>
          <w:kern w:val="0"/>
          <w:sz w:val="22"/>
          <w:szCs w:val="22"/>
        </w:rPr>
        <w:drawing>
          <wp:inline distT="0" distB="0" distL="0" distR="0" wp14:anchorId="1CC3217B" wp14:editId="04E83AE3">
            <wp:extent cx="1717482" cy="421288"/>
            <wp:effectExtent l="0" t="0" r="0" b="0"/>
            <wp:docPr id="15" name="Picture 15" title="Allan Hawk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20138" cy="421940"/>
                    </a:xfrm>
                    <a:prstGeom prst="rect">
                      <a:avLst/>
                    </a:prstGeom>
                    <a:noFill/>
                    <a:ln>
                      <a:noFill/>
                    </a:ln>
                  </pic:spPr>
                </pic:pic>
              </a:graphicData>
            </a:graphic>
          </wp:inline>
        </w:drawing>
      </w:r>
      <w:bookmarkEnd w:id="46"/>
    </w:p>
    <w:p w:rsidR="000015D6" w:rsidRDefault="000015D6" w:rsidP="00111216">
      <w:pPr>
        <w:pStyle w:val="HawkeReviewheading"/>
        <w:spacing w:after="120" w:afterAutospacing="0"/>
        <w:rPr>
          <w:rStyle w:val="Emphasis"/>
          <w:rFonts w:ascii="Calibri" w:eastAsiaTheme="majorEastAsia" w:hAnsi="Calibri" w:cs="Calibri"/>
          <w:bCs w:val="0"/>
          <w:i w:val="0"/>
          <w:caps w:val="0"/>
          <w:color w:val="auto"/>
          <w:kern w:val="0"/>
          <w:sz w:val="22"/>
          <w:szCs w:val="22"/>
        </w:rPr>
      </w:pPr>
      <w:bookmarkStart w:id="47" w:name="_Toc341777858"/>
      <w:bookmarkStart w:id="48" w:name="_Toc341780618"/>
      <w:bookmarkStart w:id="49" w:name="_Toc342578224"/>
      <w:r>
        <w:rPr>
          <w:rStyle w:val="Emphasis"/>
          <w:rFonts w:ascii="Calibri" w:eastAsiaTheme="majorEastAsia" w:hAnsi="Calibri" w:cs="Calibri"/>
          <w:bCs w:val="0"/>
          <w:i w:val="0"/>
          <w:caps w:val="0"/>
          <w:color w:val="auto"/>
          <w:kern w:val="0"/>
          <w:sz w:val="22"/>
          <w:szCs w:val="22"/>
        </w:rPr>
        <w:t>Allan Hawke AC</w:t>
      </w:r>
      <w:bookmarkEnd w:id="47"/>
      <w:bookmarkEnd w:id="48"/>
      <w:bookmarkEnd w:id="49"/>
    </w:p>
    <w:p w:rsidR="000015D6" w:rsidRPr="0037358F" w:rsidRDefault="002516A0" w:rsidP="00111216">
      <w:pPr>
        <w:pStyle w:val="HawkeReviewheading"/>
        <w:spacing w:after="120" w:afterAutospacing="0"/>
        <w:rPr>
          <w:rStyle w:val="Emphasis"/>
          <w:rFonts w:ascii="Calibri" w:eastAsiaTheme="majorEastAsia" w:hAnsi="Calibri" w:cs="Calibri"/>
          <w:bCs w:val="0"/>
          <w:i w:val="0"/>
          <w:caps w:val="0"/>
          <w:color w:val="auto"/>
          <w:kern w:val="0"/>
          <w:sz w:val="22"/>
          <w:szCs w:val="22"/>
        </w:rPr>
        <w:sectPr w:rsidR="000015D6" w:rsidRPr="0037358F" w:rsidSect="00F5040B">
          <w:headerReference w:type="even" r:id="rId14"/>
          <w:footerReference w:type="default" r:id="rId15"/>
          <w:headerReference w:type="first" r:id="rId16"/>
          <w:pgSz w:w="11906" w:h="16838"/>
          <w:pgMar w:top="1440" w:right="1440" w:bottom="1440" w:left="1440" w:header="708" w:footer="708" w:gutter="0"/>
          <w:cols w:space="708"/>
          <w:docGrid w:linePitch="360"/>
        </w:sectPr>
      </w:pPr>
      <w:bookmarkStart w:id="50" w:name="_Toc341777859"/>
      <w:bookmarkStart w:id="51" w:name="_Toc341780619"/>
      <w:bookmarkStart w:id="52" w:name="_Toc342578225"/>
      <w:r>
        <w:rPr>
          <w:rStyle w:val="Emphasis"/>
          <w:rFonts w:ascii="Calibri" w:eastAsiaTheme="majorEastAsia" w:hAnsi="Calibri" w:cs="Calibri"/>
          <w:bCs w:val="0"/>
          <w:i w:val="0"/>
          <w:caps w:val="0"/>
          <w:color w:val="auto"/>
          <w:kern w:val="0"/>
          <w:sz w:val="22"/>
          <w:szCs w:val="22"/>
        </w:rPr>
        <w:t>7 December</w:t>
      </w:r>
      <w:r w:rsidR="000015D6">
        <w:rPr>
          <w:rStyle w:val="Emphasis"/>
          <w:rFonts w:ascii="Calibri" w:eastAsiaTheme="majorEastAsia" w:hAnsi="Calibri" w:cs="Calibri"/>
          <w:bCs w:val="0"/>
          <w:i w:val="0"/>
          <w:caps w:val="0"/>
          <w:color w:val="auto"/>
          <w:kern w:val="0"/>
          <w:sz w:val="22"/>
          <w:szCs w:val="22"/>
        </w:rPr>
        <w:t xml:space="preserve"> 2012</w:t>
      </w:r>
      <w:bookmarkEnd w:id="50"/>
      <w:bookmarkEnd w:id="51"/>
      <w:bookmarkEnd w:id="52"/>
    </w:p>
    <w:p w:rsidR="00111216" w:rsidRPr="00BB5495" w:rsidRDefault="00111216" w:rsidP="00BB5495">
      <w:pPr>
        <w:pStyle w:val="HawkeReviewsubheading"/>
        <w:spacing w:before="0" w:after="120"/>
        <w:rPr>
          <w:rFonts w:ascii="Arial Bold" w:hAnsi="Arial Bold" w:cs="Calibri"/>
          <w:iCs/>
          <w:szCs w:val="23"/>
        </w:rPr>
      </w:pPr>
      <w:bookmarkStart w:id="53" w:name="_Toc341777860"/>
      <w:bookmarkStart w:id="54" w:name="_Toc341780620"/>
      <w:bookmarkStart w:id="55" w:name="_Toc342578226"/>
      <w:r w:rsidRPr="00BB5495">
        <w:rPr>
          <w:rFonts w:ascii="Arial Bold" w:hAnsi="Arial Bold" w:cs="Calibri"/>
          <w:b w:val="0"/>
          <w:iCs/>
          <w:szCs w:val="23"/>
        </w:rPr>
        <w:lastRenderedPageBreak/>
        <w:t>abbreviations and Defined terms</w:t>
      </w:r>
      <w:bookmarkEnd w:id="53"/>
      <w:bookmarkEnd w:id="54"/>
      <w:bookmarkEnd w:id="55"/>
    </w:p>
    <w:tbl>
      <w:tblPr>
        <w:tblW w:w="0" w:type="auto"/>
        <w:tblLook w:val="04A0" w:firstRow="1" w:lastRow="0" w:firstColumn="1" w:lastColumn="0" w:noHBand="0" w:noVBand="1"/>
      </w:tblPr>
      <w:tblGrid>
        <w:gridCol w:w="3652"/>
        <w:gridCol w:w="5306"/>
      </w:tblGrid>
      <w:tr w:rsidR="00AA4E0B" w:rsidRPr="005D4DF3" w:rsidTr="00111216">
        <w:tc>
          <w:tcPr>
            <w:tcW w:w="3652" w:type="dxa"/>
          </w:tcPr>
          <w:p w:rsidR="00AA4E0B" w:rsidRPr="005D4DF3" w:rsidRDefault="00AA4E0B" w:rsidP="00111216">
            <w:pPr>
              <w:pStyle w:val="HawkeReviewheading"/>
              <w:spacing w:after="120" w:afterAutospacing="0"/>
              <w:rPr>
                <w:rStyle w:val="Emphasis"/>
                <w:rFonts w:ascii="Calibri" w:eastAsiaTheme="majorEastAsia" w:hAnsi="Calibri" w:cs="Calibri"/>
                <w:bCs w:val="0"/>
                <w:i w:val="0"/>
                <w:caps w:val="0"/>
                <w:color w:val="auto"/>
                <w:kern w:val="0"/>
                <w:sz w:val="22"/>
                <w:szCs w:val="22"/>
              </w:rPr>
            </w:pPr>
            <w:bookmarkStart w:id="56" w:name="_Toc341777861"/>
            <w:bookmarkStart w:id="57" w:name="_Toc341780621"/>
            <w:bookmarkStart w:id="58" w:name="_Toc342578227"/>
            <w:r>
              <w:rPr>
                <w:rStyle w:val="Emphasis"/>
                <w:rFonts w:ascii="Calibri" w:eastAsiaTheme="majorEastAsia" w:hAnsi="Calibri" w:cs="Calibri"/>
                <w:bCs w:val="0"/>
                <w:i w:val="0"/>
                <w:caps w:val="0"/>
                <w:color w:val="auto"/>
                <w:kern w:val="0"/>
                <w:sz w:val="22"/>
                <w:szCs w:val="22"/>
              </w:rPr>
              <w:t>10PP</w:t>
            </w:r>
            <w:bookmarkEnd w:id="56"/>
            <w:bookmarkEnd w:id="57"/>
            <w:bookmarkEnd w:id="58"/>
          </w:p>
        </w:tc>
        <w:tc>
          <w:tcPr>
            <w:tcW w:w="5306" w:type="dxa"/>
          </w:tcPr>
          <w:p w:rsidR="00AA4E0B" w:rsidRPr="005D4DF3" w:rsidRDefault="00AA4E0B" w:rsidP="00AA4E0B">
            <w:pPr>
              <w:pStyle w:val="HawkeReviewheading"/>
              <w:spacing w:after="120" w:afterAutospacing="0"/>
              <w:rPr>
                <w:rStyle w:val="Emphasis"/>
                <w:rFonts w:ascii="Calibri" w:eastAsiaTheme="majorEastAsia" w:hAnsi="Calibri" w:cs="Calibri"/>
                <w:bCs w:val="0"/>
                <w:i w:val="0"/>
                <w:caps w:val="0"/>
                <w:color w:val="auto"/>
                <w:kern w:val="0"/>
                <w:sz w:val="22"/>
                <w:szCs w:val="22"/>
              </w:rPr>
            </w:pPr>
            <w:bookmarkStart w:id="59" w:name="_Toc341777862"/>
            <w:bookmarkStart w:id="60" w:name="_Toc341780622"/>
            <w:bookmarkStart w:id="61" w:name="_Toc342578228"/>
            <w:r>
              <w:rPr>
                <w:rStyle w:val="Emphasis"/>
                <w:rFonts w:ascii="Calibri" w:eastAsiaTheme="majorEastAsia" w:hAnsi="Calibri" w:cs="Calibri"/>
                <w:bCs w:val="0"/>
                <w:i w:val="0"/>
                <w:caps w:val="0"/>
                <w:color w:val="auto"/>
                <w:kern w:val="0"/>
                <w:sz w:val="22"/>
                <w:szCs w:val="22"/>
              </w:rPr>
              <w:t>Ten Point Plan</w:t>
            </w:r>
            <w:r w:rsidR="0049756C">
              <w:rPr>
                <w:rStyle w:val="Emphasis"/>
                <w:rFonts w:ascii="Calibri" w:eastAsiaTheme="majorEastAsia" w:hAnsi="Calibri" w:cs="Calibri"/>
                <w:bCs w:val="0"/>
                <w:i w:val="0"/>
                <w:caps w:val="0"/>
                <w:color w:val="auto"/>
                <w:kern w:val="0"/>
                <w:sz w:val="22"/>
                <w:szCs w:val="22"/>
              </w:rPr>
              <w:t>.</w:t>
            </w:r>
            <w:bookmarkEnd w:id="59"/>
            <w:bookmarkEnd w:id="60"/>
            <w:bookmarkEnd w:id="61"/>
          </w:p>
        </w:tc>
      </w:tr>
      <w:tr w:rsidR="00111216" w:rsidRPr="005D4DF3" w:rsidTr="00111216">
        <w:tc>
          <w:tcPr>
            <w:tcW w:w="3652" w:type="dxa"/>
          </w:tcPr>
          <w:p w:rsidR="00111216" w:rsidRPr="005D4DF3" w:rsidRDefault="00111216" w:rsidP="00111216">
            <w:pPr>
              <w:pStyle w:val="HawkeReviewheading"/>
              <w:spacing w:after="120" w:afterAutospacing="0"/>
              <w:rPr>
                <w:rStyle w:val="Emphasis"/>
                <w:rFonts w:ascii="Calibri" w:eastAsiaTheme="majorEastAsia" w:hAnsi="Calibri" w:cs="Calibri"/>
                <w:bCs w:val="0"/>
                <w:i w:val="0"/>
                <w:iCs w:val="0"/>
                <w:caps w:val="0"/>
                <w:color w:val="auto"/>
                <w:kern w:val="0"/>
                <w:sz w:val="22"/>
                <w:szCs w:val="22"/>
              </w:rPr>
            </w:pPr>
            <w:bookmarkStart w:id="62" w:name="_Toc341777863"/>
            <w:bookmarkStart w:id="63" w:name="_Toc341780623"/>
            <w:bookmarkStart w:id="64" w:name="_Toc342578229"/>
            <w:r w:rsidRPr="005D4DF3">
              <w:rPr>
                <w:rStyle w:val="Emphasis"/>
                <w:rFonts w:ascii="Calibri" w:eastAsiaTheme="majorEastAsia" w:hAnsi="Calibri" w:cs="Calibri"/>
                <w:bCs w:val="0"/>
                <w:i w:val="0"/>
                <w:caps w:val="0"/>
                <w:color w:val="auto"/>
                <w:kern w:val="0"/>
                <w:sz w:val="22"/>
                <w:szCs w:val="22"/>
              </w:rPr>
              <w:t>ACT Government</w:t>
            </w:r>
            <w:bookmarkEnd w:id="62"/>
            <w:bookmarkEnd w:id="63"/>
            <w:bookmarkEnd w:id="64"/>
          </w:p>
        </w:tc>
        <w:tc>
          <w:tcPr>
            <w:tcW w:w="5306" w:type="dxa"/>
          </w:tcPr>
          <w:p w:rsidR="00111216" w:rsidRPr="005D4DF3" w:rsidRDefault="00111216" w:rsidP="004306FE">
            <w:pPr>
              <w:pStyle w:val="HawkeReviewheading"/>
              <w:spacing w:after="120" w:afterAutospacing="0"/>
              <w:rPr>
                <w:rStyle w:val="Emphasis"/>
                <w:rFonts w:ascii="Calibri" w:eastAsiaTheme="majorEastAsia" w:hAnsi="Calibri" w:cs="Calibri"/>
                <w:bCs w:val="0"/>
                <w:i w:val="0"/>
                <w:iCs w:val="0"/>
                <w:caps w:val="0"/>
                <w:color w:val="auto"/>
                <w:kern w:val="0"/>
                <w:sz w:val="22"/>
                <w:szCs w:val="22"/>
              </w:rPr>
            </w:pPr>
            <w:bookmarkStart w:id="65" w:name="_Toc341777864"/>
            <w:bookmarkStart w:id="66" w:name="_Toc341780624"/>
            <w:bookmarkStart w:id="67" w:name="_Toc342578230"/>
            <w:r w:rsidRPr="005D4DF3">
              <w:rPr>
                <w:rStyle w:val="Emphasis"/>
                <w:rFonts w:ascii="Calibri" w:eastAsiaTheme="majorEastAsia" w:hAnsi="Calibri" w:cs="Calibri"/>
                <w:bCs w:val="0"/>
                <w:i w:val="0"/>
                <w:caps w:val="0"/>
                <w:color w:val="auto"/>
                <w:kern w:val="0"/>
                <w:sz w:val="22"/>
                <w:szCs w:val="22"/>
              </w:rPr>
              <w:t xml:space="preserve">Australian Capital Territory Government. The ACT Government is covered by the provisions of the </w:t>
            </w:r>
            <w:r w:rsidR="004306FE" w:rsidRPr="004306FE">
              <w:rPr>
                <w:rStyle w:val="Emphasis"/>
                <w:rFonts w:ascii="Calibri" w:eastAsiaTheme="majorEastAsia" w:hAnsi="Calibri" w:cs="Calibri"/>
                <w:bCs w:val="0"/>
                <w:caps w:val="0"/>
                <w:color w:val="auto"/>
                <w:kern w:val="0"/>
                <w:sz w:val="22"/>
                <w:szCs w:val="22"/>
              </w:rPr>
              <w:t>Safety, Rehabilitation and Compensation Act 1988</w:t>
            </w:r>
            <w:r w:rsidRPr="005D4DF3">
              <w:rPr>
                <w:rStyle w:val="Emphasis"/>
                <w:rFonts w:ascii="Calibri" w:eastAsiaTheme="majorEastAsia" w:hAnsi="Calibri" w:cs="Calibri"/>
                <w:bCs w:val="0"/>
                <w:i w:val="0"/>
                <w:caps w:val="0"/>
                <w:color w:val="auto"/>
                <w:kern w:val="0"/>
                <w:sz w:val="22"/>
                <w:szCs w:val="22"/>
              </w:rPr>
              <w:t xml:space="preserve"> and pays premiums to Comcare.</w:t>
            </w:r>
            <w:bookmarkEnd w:id="65"/>
            <w:bookmarkEnd w:id="66"/>
            <w:bookmarkEnd w:id="67"/>
          </w:p>
        </w:tc>
      </w:tr>
      <w:tr w:rsidR="008C53CA" w:rsidRPr="005D4DF3" w:rsidTr="00111216">
        <w:tc>
          <w:tcPr>
            <w:tcW w:w="3652" w:type="dxa"/>
          </w:tcPr>
          <w:p w:rsidR="008C53CA" w:rsidRDefault="008C53CA" w:rsidP="00111216">
            <w:pPr>
              <w:pStyle w:val="HawkeReviewheading"/>
              <w:spacing w:after="120" w:afterAutospacing="0"/>
              <w:rPr>
                <w:rStyle w:val="Emphasis"/>
                <w:rFonts w:ascii="Calibri" w:eastAsiaTheme="majorEastAsia" w:hAnsi="Calibri" w:cs="Calibri"/>
                <w:bCs w:val="0"/>
                <w:i w:val="0"/>
                <w:caps w:val="0"/>
                <w:color w:val="auto"/>
                <w:kern w:val="0"/>
                <w:sz w:val="22"/>
                <w:szCs w:val="22"/>
              </w:rPr>
            </w:pPr>
            <w:bookmarkStart w:id="68" w:name="_Toc341777865"/>
            <w:bookmarkStart w:id="69" w:name="_Toc341780625"/>
            <w:bookmarkStart w:id="70" w:name="_Toc342578231"/>
            <w:r>
              <w:rPr>
                <w:rStyle w:val="Emphasis"/>
                <w:rFonts w:ascii="Calibri" w:eastAsiaTheme="majorEastAsia" w:hAnsi="Calibri" w:cs="Calibri"/>
                <w:bCs w:val="0"/>
                <w:i w:val="0"/>
                <w:caps w:val="0"/>
                <w:color w:val="auto"/>
                <w:kern w:val="0"/>
                <w:sz w:val="22"/>
                <w:szCs w:val="22"/>
              </w:rPr>
              <w:t>AAT</w:t>
            </w:r>
            <w:bookmarkEnd w:id="68"/>
            <w:bookmarkEnd w:id="69"/>
            <w:bookmarkEnd w:id="70"/>
          </w:p>
        </w:tc>
        <w:tc>
          <w:tcPr>
            <w:tcW w:w="5306" w:type="dxa"/>
          </w:tcPr>
          <w:p w:rsidR="008C53CA" w:rsidRDefault="008C53CA" w:rsidP="004306FE">
            <w:pPr>
              <w:pStyle w:val="HawkeReviewheading"/>
              <w:spacing w:after="120" w:afterAutospacing="0"/>
              <w:rPr>
                <w:rStyle w:val="Emphasis"/>
                <w:rFonts w:ascii="Calibri" w:eastAsiaTheme="majorEastAsia" w:hAnsi="Calibri" w:cs="Calibri"/>
                <w:bCs w:val="0"/>
                <w:i w:val="0"/>
                <w:caps w:val="0"/>
                <w:color w:val="auto"/>
                <w:kern w:val="0"/>
                <w:sz w:val="22"/>
                <w:szCs w:val="22"/>
              </w:rPr>
            </w:pPr>
            <w:bookmarkStart w:id="71" w:name="_Toc341777866"/>
            <w:bookmarkStart w:id="72" w:name="_Toc341780626"/>
            <w:bookmarkStart w:id="73" w:name="_Toc342578232"/>
            <w:r>
              <w:rPr>
                <w:rStyle w:val="Emphasis"/>
                <w:rFonts w:ascii="Calibri" w:eastAsiaTheme="majorEastAsia" w:hAnsi="Calibri" w:cs="Calibri"/>
                <w:bCs w:val="0"/>
                <w:i w:val="0"/>
                <w:caps w:val="0"/>
                <w:color w:val="auto"/>
                <w:kern w:val="0"/>
                <w:sz w:val="22"/>
                <w:szCs w:val="22"/>
              </w:rPr>
              <w:t>Administrative Appeals Tribunal.</w:t>
            </w:r>
            <w:bookmarkEnd w:id="71"/>
            <w:bookmarkEnd w:id="72"/>
            <w:bookmarkEnd w:id="73"/>
          </w:p>
        </w:tc>
      </w:tr>
      <w:tr w:rsidR="003F7AAF" w:rsidRPr="005D4DF3" w:rsidTr="00111216">
        <w:tc>
          <w:tcPr>
            <w:tcW w:w="3652" w:type="dxa"/>
          </w:tcPr>
          <w:p w:rsidR="003F7AAF" w:rsidRPr="005D4DF3" w:rsidRDefault="003F7AAF" w:rsidP="00111216">
            <w:pPr>
              <w:pStyle w:val="HawkeReviewheading"/>
              <w:spacing w:after="120" w:afterAutospacing="0"/>
              <w:rPr>
                <w:rStyle w:val="Emphasis"/>
                <w:rFonts w:ascii="Calibri" w:eastAsiaTheme="majorEastAsia" w:hAnsi="Calibri" w:cs="Calibri"/>
                <w:bCs w:val="0"/>
                <w:i w:val="0"/>
                <w:caps w:val="0"/>
                <w:color w:val="auto"/>
                <w:kern w:val="0"/>
                <w:sz w:val="22"/>
                <w:szCs w:val="22"/>
              </w:rPr>
            </w:pPr>
            <w:bookmarkStart w:id="74" w:name="_Toc341777867"/>
            <w:bookmarkStart w:id="75" w:name="_Toc341780627"/>
            <w:bookmarkStart w:id="76" w:name="_Toc342578233"/>
            <w:r>
              <w:rPr>
                <w:rStyle w:val="Emphasis"/>
                <w:rFonts w:ascii="Calibri" w:eastAsiaTheme="majorEastAsia" w:hAnsi="Calibri" w:cs="Calibri"/>
                <w:bCs w:val="0"/>
                <w:i w:val="0"/>
                <w:caps w:val="0"/>
                <w:color w:val="auto"/>
                <w:kern w:val="0"/>
                <w:sz w:val="22"/>
                <w:szCs w:val="22"/>
              </w:rPr>
              <w:t>ADF</w:t>
            </w:r>
            <w:bookmarkEnd w:id="74"/>
            <w:bookmarkEnd w:id="75"/>
            <w:bookmarkEnd w:id="76"/>
          </w:p>
        </w:tc>
        <w:tc>
          <w:tcPr>
            <w:tcW w:w="5306" w:type="dxa"/>
          </w:tcPr>
          <w:p w:rsidR="003F7AAF" w:rsidRPr="005D4DF3" w:rsidRDefault="003F7AAF" w:rsidP="004306FE">
            <w:pPr>
              <w:pStyle w:val="HawkeReviewheading"/>
              <w:spacing w:after="120" w:afterAutospacing="0"/>
              <w:rPr>
                <w:rStyle w:val="Emphasis"/>
                <w:rFonts w:ascii="Calibri" w:eastAsiaTheme="majorEastAsia" w:hAnsi="Calibri" w:cs="Calibri"/>
                <w:bCs w:val="0"/>
                <w:i w:val="0"/>
                <w:caps w:val="0"/>
                <w:color w:val="auto"/>
                <w:kern w:val="0"/>
                <w:sz w:val="22"/>
                <w:szCs w:val="22"/>
              </w:rPr>
            </w:pPr>
            <w:bookmarkStart w:id="77" w:name="_Toc341777868"/>
            <w:bookmarkStart w:id="78" w:name="_Toc341780628"/>
            <w:bookmarkStart w:id="79" w:name="_Toc342578234"/>
            <w:r>
              <w:rPr>
                <w:rStyle w:val="Emphasis"/>
                <w:rFonts w:ascii="Calibri" w:eastAsiaTheme="majorEastAsia" w:hAnsi="Calibri" w:cs="Calibri"/>
                <w:bCs w:val="0"/>
                <w:i w:val="0"/>
                <w:caps w:val="0"/>
                <w:color w:val="auto"/>
                <w:kern w:val="0"/>
                <w:sz w:val="22"/>
                <w:szCs w:val="22"/>
              </w:rPr>
              <w:t>Australian Defence Force</w:t>
            </w:r>
            <w:r w:rsidR="00E16888">
              <w:rPr>
                <w:rStyle w:val="Emphasis"/>
                <w:rFonts w:ascii="Calibri" w:eastAsiaTheme="majorEastAsia" w:hAnsi="Calibri" w:cs="Calibri"/>
                <w:bCs w:val="0"/>
                <w:i w:val="0"/>
                <w:caps w:val="0"/>
                <w:color w:val="auto"/>
                <w:kern w:val="0"/>
                <w:sz w:val="22"/>
                <w:szCs w:val="22"/>
              </w:rPr>
              <w:t>.</w:t>
            </w:r>
            <w:bookmarkEnd w:id="77"/>
            <w:bookmarkEnd w:id="78"/>
            <w:bookmarkEnd w:id="79"/>
          </w:p>
        </w:tc>
      </w:tr>
      <w:tr w:rsidR="00F91EEC" w:rsidRPr="005D4DF3" w:rsidTr="00111216">
        <w:tc>
          <w:tcPr>
            <w:tcW w:w="3652" w:type="dxa"/>
          </w:tcPr>
          <w:p w:rsidR="00F91EEC" w:rsidRDefault="00F91EEC" w:rsidP="00111216">
            <w:pPr>
              <w:pStyle w:val="HawkeReviewheading"/>
              <w:spacing w:after="120" w:afterAutospacing="0"/>
              <w:rPr>
                <w:rStyle w:val="Emphasis"/>
                <w:rFonts w:ascii="Calibri" w:eastAsiaTheme="majorEastAsia" w:hAnsi="Calibri" w:cs="Calibri"/>
                <w:bCs w:val="0"/>
                <w:i w:val="0"/>
                <w:caps w:val="0"/>
                <w:color w:val="auto"/>
                <w:kern w:val="0"/>
                <w:sz w:val="22"/>
                <w:szCs w:val="22"/>
              </w:rPr>
            </w:pPr>
            <w:bookmarkStart w:id="80" w:name="_Toc341777869"/>
            <w:bookmarkStart w:id="81" w:name="_Toc341780629"/>
            <w:bookmarkStart w:id="82" w:name="_Toc342578235"/>
            <w:r>
              <w:rPr>
                <w:rStyle w:val="Emphasis"/>
                <w:rFonts w:ascii="Calibri" w:eastAsiaTheme="majorEastAsia" w:hAnsi="Calibri" w:cs="Calibri"/>
                <w:bCs w:val="0"/>
                <w:i w:val="0"/>
                <w:caps w:val="0"/>
                <w:color w:val="auto"/>
                <w:kern w:val="0"/>
                <w:sz w:val="22"/>
                <w:szCs w:val="22"/>
              </w:rPr>
              <w:t>APS</w:t>
            </w:r>
            <w:bookmarkEnd w:id="80"/>
            <w:bookmarkEnd w:id="81"/>
            <w:bookmarkEnd w:id="82"/>
          </w:p>
        </w:tc>
        <w:tc>
          <w:tcPr>
            <w:tcW w:w="5306" w:type="dxa"/>
          </w:tcPr>
          <w:p w:rsidR="00F91EEC" w:rsidRDefault="00F91EEC" w:rsidP="004306FE">
            <w:pPr>
              <w:pStyle w:val="HawkeReviewheading"/>
              <w:spacing w:after="120" w:afterAutospacing="0"/>
              <w:rPr>
                <w:rStyle w:val="Emphasis"/>
                <w:rFonts w:ascii="Calibri" w:eastAsiaTheme="majorEastAsia" w:hAnsi="Calibri" w:cs="Calibri"/>
                <w:bCs w:val="0"/>
                <w:i w:val="0"/>
                <w:caps w:val="0"/>
                <w:color w:val="auto"/>
                <w:kern w:val="0"/>
                <w:sz w:val="22"/>
                <w:szCs w:val="22"/>
              </w:rPr>
            </w:pPr>
            <w:bookmarkStart w:id="83" w:name="_Toc341777870"/>
            <w:bookmarkStart w:id="84" w:name="_Toc341780630"/>
            <w:bookmarkStart w:id="85" w:name="_Toc342578236"/>
            <w:r>
              <w:rPr>
                <w:rStyle w:val="Emphasis"/>
                <w:rFonts w:ascii="Calibri" w:eastAsiaTheme="majorEastAsia" w:hAnsi="Calibri" w:cs="Calibri"/>
                <w:bCs w:val="0"/>
                <w:i w:val="0"/>
                <w:caps w:val="0"/>
                <w:color w:val="auto"/>
                <w:kern w:val="0"/>
                <w:sz w:val="22"/>
                <w:szCs w:val="22"/>
              </w:rPr>
              <w:t>Australian Public Service</w:t>
            </w:r>
            <w:r w:rsidR="00E16888">
              <w:rPr>
                <w:rStyle w:val="Emphasis"/>
                <w:rFonts w:ascii="Calibri" w:eastAsiaTheme="majorEastAsia" w:hAnsi="Calibri" w:cs="Calibri"/>
                <w:bCs w:val="0"/>
                <w:i w:val="0"/>
                <w:caps w:val="0"/>
                <w:color w:val="auto"/>
                <w:kern w:val="0"/>
                <w:sz w:val="22"/>
                <w:szCs w:val="22"/>
              </w:rPr>
              <w:t>.</w:t>
            </w:r>
            <w:bookmarkEnd w:id="83"/>
            <w:bookmarkEnd w:id="84"/>
            <w:bookmarkEnd w:id="85"/>
          </w:p>
        </w:tc>
      </w:tr>
      <w:tr w:rsidR="00111216" w:rsidRPr="005D4DF3" w:rsidTr="00111216">
        <w:tc>
          <w:tcPr>
            <w:tcW w:w="3652" w:type="dxa"/>
          </w:tcPr>
          <w:p w:rsidR="00111216" w:rsidRPr="005D4DF3" w:rsidRDefault="00111216" w:rsidP="00111216">
            <w:pPr>
              <w:pStyle w:val="HawkeReviewheading"/>
              <w:spacing w:after="120" w:afterAutospacing="0"/>
              <w:rPr>
                <w:rStyle w:val="Emphasis"/>
                <w:rFonts w:ascii="Calibri" w:eastAsiaTheme="majorEastAsia" w:hAnsi="Calibri" w:cs="Calibri"/>
                <w:bCs w:val="0"/>
                <w:i w:val="0"/>
                <w:iCs w:val="0"/>
                <w:caps w:val="0"/>
                <w:color w:val="auto"/>
                <w:kern w:val="0"/>
                <w:sz w:val="22"/>
                <w:szCs w:val="22"/>
              </w:rPr>
            </w:pPr>
            <w:bookmarkStart w:id="86" w:name="_Toc341777871"/>
            <w:bookmarkStart w:id="87" w:name="_Toc341780631"/>
            <w:bookmarkStart w:id="88" w:name="_Toc342578237"/>
            <w:r w:rsidRPr="005D4DF3">
              <w:rPr>
                <w:rStyle w:val="Emphasis"/>
                <w:rFonts w:ascii="Calibri" w:eastAsiaTheme="majorEastAsia" w:hAnsi="Calibri" w:cs="Calibri"/>
                <w:bCs w:val="0"/>
                <w:i w:val="0"/>
                <w:caps w:val="0"/>
                <w:color w:val="auto"/>
                <w:kern w:val="0"/>
                <w:sz w:val="22"/>
                <w:szCs w:val="22"/>
              </w:rPr>
              <w:t>Australian Government agencies</w:t>
            </w:r>
            <w:bookmarkEnd w:id="86"/>
            <w:bookmarkEnd w:id="87"/>
            <w:bookmarkEnd w:id="88"/>
          </w:p>
        </w:tc>
        <w:tc>
          <w:tcPr>
            <w:tcW w:w="5306" w:type="dxa"/>
          </w:tcPr>
          <w:p w:rsidR="00111216" w:rsidRPr="005D4DF3" w:rsidRDefault="00111216" w:rsidP="004306FE">
            <w:pPr>
              <w:pStyle w:val="HawkeReviewheading"/>
              <w:spacing w:after="120" w:afterAutospacing="0"/>
              <w:rPr>
                <w:rStyle w:val="Emphasis"/>
                <w:rFonts w:ascii="Calibri" w:eastAsiaTheme="majorEastAsia" w:hAnsi="Calibri" w:cs="Calibri"/>
                <w:bCs w:val="0"/>
                <w:i w:val="0"/>
                <w:iCs w:val="0"/>
                <w:caps w:val="0"/>
                <w:color w:val="auto"/>
                <w:kern w:val="0"/>
                <w:sz w:val="22"/>
                <w:szCs w:val="22"/>
              </w:rPr>
            </w:pPr>
            <w:bookmarkStart w:id="89" w:name="_Toc341777872"/>
            <w:bookmarkStart w:id="90" w:name="_Toc341780632"/>
            <w:bookmarkStart w:id="91" w:name="_Toc342578238"/>
            <w:r w:rsidRPr="005D4DF3">
              <w:rPr>
                <w:rStyle w:val="Emphasis"/>
                <w:rFonts w:ascii="Calibri" w:eastAsiaTheme="majorEastAsia" w:hAnsi="Calibri" w:cs="Calibri"/>
                <w:bCs w:val="0"/>
                <w:i w:val="0"/>
                <w:caps w:val="0"/>
                <w:color w:val="auto"/>
                <w:kern w:val="0"/>
                <w:sz w:val="22"/>
                <w:szCs w:val="22"/>
              </w:rPr>
              <w:t xml:space="preserve">Includes relevant </w:t>
            </w:r>
            <w:r w:rsidR="004306FE" w:rsidRPr="004306FE">
              <w:rPr>
                <w:rStyle w:val="Emphasis"/>
                <w:rFonts w:ascii="Calibri" w:eastAsiaTheme="majorEastAsia" w:hAnsi="Calibri" w:cs="Calibri"/>
                <w:bCs w:val="0"/>
                <w:caps w:val="0"/>
                <w:color w:val="auto"/>
                <w:kern w:val="0"/>
                <w:sz w:val="22"/>
                <w:szCs w:val="22"/>
              </w:rPr>
              <w:t>Financial Management and Accountability Act 1997</w:t>
            </w:r>
            <w:r w:rsidR="004306FE" w:rsidRPr="005D4DF3">
              <w:rPr>
                <w:rStyle w:val="Emphasis"/>
                <w:rFonts w:ascii="Calibri" w:eastAsiaTheme="majorEastAsia" w:hAnsi="Calibri" w:cs="Calibri"/>
                <w:bCs w:val="0"/>
                <w:i w:val="0"/>
                <w:caps w:val="0"/>
                <w:color w:val="auto"/>
                <w:kern w:val="0"/>
                <w:sz w:val="22"/>
                <w:szCs w:val="22"/>
              </w:rPr>
              <w:t xml:space="preserve"> </w:t>
            </w:r>
            <w:r w:rsidRPr="005D4DF3">
              <w:rPr>
                <w:rStyle w:val="Emphasis"/>
                <w:rFonts w:ascii="Calibri" w:eastAsiaTheme="majorEastAsia" w:hAnsi="Calibri" w:cs="Calibri"/>
                <w:bCs w:val="0"/>
                <w:i w:val="0"/>
                <w:caps w:val="0"/>
                <w:color w:val="auto"/>
                <w:kern w:val="0"/>
                <w:sz w:val="22"/>
                <w:szCs w:val="22"/>
              </w:rPr>
              <w:t xml:space="preserve">and </w:t>
            </w:r>
            <w:r w:rsidR="004306FE" w:rsidRPr="004306FE">
              <w:rPr>
                <w:rStyle w:val="Emphasis"/>
                <w:rFonts w:ascii="Calibri" w:eastAsiaTheme="majorEastAsia" w:hAnsi="Calibri" w:cs="Calibri"/>
                <w:bCs w:val="0"/>
                <w:caps w:val="0"/>
                <w:color w:val="auto"/>
                <w:kern w:val="0"/>
                <w:sz w:val="22"/>
                <w:szCs w:val="22"/>
              </w:rPr>
              <w:t>Commonwealth Authorities and Companies Act 1997</w:t>
            </w:r>
            <w:r w:rsidRPr="005D4DF3">
              <w:rPr>
                <w:rStyle w:val="Emphasis"/>
                <w:rFonts w:ascii="Calibri" w:eastAsiaTheme="majorEastAsia" w:hAnsi="Calibri" w:cs="Calibri"/>
                <w:bCs w:val="0"/>
                <w:i w:val="0"/>
                <w:caps w:val="0"/>
                <w:color w:val="auto"/>
                <w:kern w:val="0"/>
                <w:sz w:val="22"/>
                <w:szCs w:val="22"/>
              </w:rPr>
              <w:t xml:space="preserve"> bodies who pay premiums under the Comcare scheme.</w:t>
            </w:r>
            <w:bookmarkEnd w:id="89"/>
            <w:bookmarkEnd w:id="90"/>
            <w:bookmarkEnd w:id="91"/>
          </w:p>
        </w:tc>
      </w:tr>
      <w:tr w:rsidR="00111216" w:rsidRPr="005D4DF3" w:rsidTr="00111216">
        <w:tc>
          <w:tcPr>
            <w:tcW w:w="3652" w:type="dxa"/>
          </w:tcPr>
          <w:p w:rsidR="00111216" w:rsidRPr="005D4DF3" w:rsidRDefault="00111216" w:rsidP="00111216">
            <w:pPr>
              <w:pStyle w:val="HawkeReviewheading"/>
              <w:spacing w:after="120" w:afterAutospacing="0"/>
              <w:rPr>
                <w:rStyle w:val="Emphasis"/>
                <w:rFonts w:ascii="Calibri" w:eastAsiaTheme="majorEastAsia" w:hAnsi="Calibri" w:cs="Calibri"/>
                <w:bCs w:val="0"/>
                <w:i w:val="0"/>
                <w:iCs w:val="0"/>
                <w:caps w:val="0"/>
                <w:color w:val="auto"/>
                <w:kern w:val="0"/>
                <w:sz w:val="22"/>
                <w:szCs w:val="22"/>
              </w:rPr>
            </w:pPr>
            <w:bookmarkStart w:id="92" w:name="_Toc341777873"/>
            <w:bookmarkStart w:id="93" w:name="_Toc341780633"/>
            <w:bookmarkStart w:id="94" w:name="_Toc342578239"/>
            <w:r w:rsidRPr="005D4DF3">
              <w:rPr>
                <w:rStyle w:val="Emphasis"/>
                <w:rFonts w:ascii="Calibri" w:eastAsiaTheme="majorEastAsia" w:hAnsi="Calibri" w:cs="Calibri"/>
                <w:bCs w:val="0"/>
                <w:i w:val="0"/>
                <w:caps w:val="0"/>
                <w:color w:val="auto"/>
                <w:kern w:val="0"/>
                <w:sz w:val="22"/>
                <w:szCs w:val="22"/>
              </w:rPr>
              <w:t>CAC Act</w:t>
            </w:r>
            <w:bookmarkEnd w:id="92"/>
            <w:bookmarkEnd w:id="93"/>
            <w:bookmarkEnd w:id="94"/>
          </w:p>
        </w:tc>
        <w:tc>
          <w:tcPr>
            <w:tcW w:w="5306" w:type="dxa"/>
          </w:tcPr>
          <w:p w:rsidR="00111216" w:rsidRPr="005D4DF3" w:rsidRDefault="00111216" w:rsidP="00111216">
            <w:pPr>
              <w:pStyle w:val="HawkeReviewheading"/>
              <w:spacing w:after="120" w:afterAutospacing="0"/>
              <w:rPr>
                <w:rStyle w:val="Emphasis"/>
                <w:rFonts w:ascii="Calibri" w:eastAsiaTheme="majorEastAsia" w:hAnsi="Calibri" w:cs="Calibri"/>
                <w:bCs w:val="0"/>
                <w:iCs w:val="0"/>
                <w:caps w:val="0"/>
                <w:color w:val="auto"/>
                <w:kern w:val="0"/>
                <w:sz w:val="22"/>
                <w:szCs w:val="22"/>
              </w:rPr>
            </w:pPr>
            <w:bookmarkStart w:id="95" w:name="_Toc341777874"/>
            <w:bookmarkStart w:id="96" w:name="_Toc341780634"/>
            <w:bookmarkStart w:id="97" w:name="_Toc342578240"/>
            <w:r w:rsidRPr="005D4DF3">
              <w:rPr>
                <w:rStyle w:val="Emphasis"/>
                <w:rFonts w:ascii="Calibri" w:eastAsiaTheme="majorEastAsia" w:hAnsi="Calibri" w:cs="Calibri"/>
                <w:bCs w:val="0"/>
                <w:caps w:val="0"/>
                <w:color w:val="auto"/>
                <w:kern w:val="0"/>
                <w:sz w:val="22"/>
                <w:szCs w:val="22"/>
              </w:rPr>
              <w:t>Commonwealth Authorities and Companies Act 1997</w:t>
            </w:r>
            <w:r w:rsidR="0049756C">
              <w:rPr>
                <w:rStyle w:val="Emphasis"/>
                <w:rFonts w:ascii="Calibri" w:eastAsiaTheme="majorEastAsia" w:hAnsi="Calibri" w:cs="Calibri"/>
                <w:bCs w:val="0"/>
                <w:caps w:val="0"/>
                <w:color w:val="auto"/>
                <w:kern w:val="0"/>
                <w:sz w:val="22"/>
                <w:szCs w:val="22"/>
              </w:rPr>
              <w:t>.</w:t>
            </w:r>
            <w:bookmarkEnd w:id="95"/>
            <w:bookmarkEnd w:id="96"/>
            <w:bookmarkEnd w:id="97"/>
          </w:p>
        </w:tc>
      </w:tr>
      <w:tr w:rsidR="002002CC" w:rsidRPr="005D4DF3" w:rsidTr="00111216">
        <w:tc>
          <w:tcPr>
            <w:tcW w:w="3652" w:type="dxa"/>
          </w:tcPr>
          <w:p w:rsidR="002002CC" w:rsidRPr="005D4DF3" w:rsidRDefault="002002CC" w:rsidP="00111216">
            <w:pPr>
              <w:pStyle w:val="HawkeReviewheading"/>
              <w:spacing w:after="120" w:afterAutospacing="0"/>
              <w:rPr>
                <w:rStyle w:val="Emphasis"/>
                <w:rFonts w:ascii="Calibri" w:eastAsiaTheme="majorEastAsia" w:hAnsi="Calibri" w:cs="Calibri"/>
                <w:bCs w:val="0"/>
                <w:i w:val="0"/>
                <w:caps w:val="0"/>
                <w:color w:val="auto"/>
                <w:kern w:val="0"/>
                <w:sz w:val="22"/>
                <w:szCs w:val="22"/>
              </w:rPr>
            </w:pPr>
            <w:bookmarkStart w:id="98" w:name="_Toc341777875"/>
            <w:bookmarkStart w:id="99" w:name="_Toc341780635"/>
            <w:bookmarkStart w:id="100" w:name="_Toc342578241"/>
            <w:r>
              <w:rPr>
                <w:rStyle w:val="Emphasis"/>
                <w:rFonts w:ascii="Calibri" w:eastAsiaTheme="majorEastAsia" w:hAnsi="Calibri" w:cs="Calibri"/>
                <w:bCs w:val="0"/>
                <w:i w:val="0"/>
                <w:caps w:val="0"/>
                <w:color w:val="auto"/>
                <w:kern w:val="0"/>
                <w:sz w:val="22"/>
                <w:szCs w:val="22"/>
              </w:rPr>
              <w:t>CASA</w:t>
            </w:r>
            <w:bookmarkEnd w:id="98"/>
            <w:bookmarkEnd w:id="99"/>
            <w:bookmarkEnd w:id="100"/>
          </w:p>
        </w:tc>
        <w:tc>
          <w:tcPr>
            <w:tcW w:w="5306" w:type="dxa"/>
          </w:tcPr>
          <w:p w:rsidR="002002CC" w:rsidRPr="005D4DF3" w:rsidRDefault="002002CC" w:rsidP="002002CC">
            <w:pPr>
              <w:pStyle w:val="HawkeReviewheading"/>
              <w:spacing w:after="120" w:afterAutospacing="0"/>
              <w:rPr>
                <w:rStyle w:val="Emphasis"/>
                <w:rFonts w:ascii="Calibri" w:eastAsiaTheme="majorEastAsia" w:hAnsi="Calibri" w:cs="Calibri"/>
                <w:bCs w:val="0"/>
                <w:i w:val="0"/>
                <w:caps w:val="0"/>
                <w:color w:val="auto"/>
                <w:kern w:val="0"/>
                <w:sz w:val="22"/>
                <w:szCs w:val="22"/>
              </w:rPr>
            </w:pPr>
            <w:bookmarkStart w:id="101" w:name="_Toc341777876"/>
            <w:bookmarkStart w:id="102" w:name="_Toc341780636"/>
            <w:bookmarkStart w:id="103" w:name="_Toc342578242"/>
            <w:r>
              <w:rPr>
                <w:rStyle w:val="Emphasis"/>
                <w:rFonts w:ascii="Calibri" w:eastAsiaTheme="majorEastAsia" w:hAnsi="Calibri" w:cs="Calibri"/>
                <w:bCs w:val="0"/>
                <w:i w:val="0"/>
                <w:caps w:val="0"/>
                <w:color w:val="auto"/>
                <w:kern w:val="0"/>
                <w:sz w:val="22"/>
                <w:szCs w:val="22"/>
              </w:rPr>
              <w:t>Civil Aviation Safety Authority</w:t>
            </w:r>
            <w:r w:rsidR="0049756C">
              <w:rPr>
                <w:rStyle w:val="Emphasis"/>
                <w:rFonts w:ascii="Calibri" w:eastAsiaTheme="majorEastAsia" w:hAnsi="Calibri" w:cs="Calibri"/>
                <w:bCs w:val="0"/>
                <w:i w:val="0"/>
                <w:caps w:val="0"/>
                <w:color w:val="auto"/>
                <w:kern w:val="0"/>
                <w:sz w:val="22"/>
                <w:szCs w:val="22"/>
              </w:rPr>
              <w:t>.</w:t>
            </w:r>
            <w:bookmarkEnd w:id="101"/>
            <w:bookmarkEnd w:id="102"/>
            <w:bookmarkEnd w:id="103"/>
          </w:p>
        </w:tc>
      </w:tr>
      <w:tr w:rsidR="006630DD" w:rsidRPr="005D4DF3" w:rsidTr="00111216">
        <w:tc>
          <w:tcPr>
            <w:tcW w:w="3652" w:type="dxa"/>
          </w:tcPr>
          <w:p w:rsidR="006630DD" w:rsidRPr="005D4DF3" w:rsidRDefault="006630DD" w:rsidP="00111216">
            <w:pPr>
              <w:pStyle w:val="HawkeReviewheading"/>
              <w:spacing w:after="120" w:afterAutospacing="0"/>
              <w:rPr>
                <w:rStyle w:val="Emphasis"/>
                <w:rFonts w:ascii="Calibri" w:eastAsiaTheme="majorEastAsia" w:hAnsi="Calibri" w:cs="Calibri"/>
                <w:bCs w:val="0"/>
                <w:i w:val="0"/>
                <w:caps w:val="0"/>
                <w:color w:val="auto"/>
                <w:kern w:val="0"/>
                <w:sz w:val="22"/>
                <w:szCs w:val="22"/>
              </w:rPr>
            </w:pPr>
            <w:bookmarkStart w:id="104" w:name="_Toc342578243"/>
            <w:r>
              <w:rPr>
                <w:rStyle w:val="Emphasis"/>
                <w:rFonts w:ascii="Calibri" w:eastAsiaTheme="majorEastAsia" w:hAnsi="Calibri" w:cs="Calibri"/>
                <w:bCs w:val="0"/>
                <w:i w:val="0"/>
                <w:caps w:val="0"/>
                <w:color w:val="auto"/>
                <w:kern w:val="0"/>
                <w:sz w:val="22"/>
                <w:szCs w:val="22"/>
              </w:rPr>
              <w:t>CCRF</w:t>
            </w:r>
            <w:bookmarkEnd w:id="104"/>
          </w:p>
        </w:tc>
        <w:tc>
          <w:tcPr>
            <w:tcW w:w="5306" w:type="dxa"/>
          </w:tcPr>
          <w:p w:rsidR="006630DD" w:rsidRPr="005D4DF3" w:rsidRDefault="006630DD" w:rsidP="004306FE">
            <w:pPr>
              <w:pStyle w:val="HawkeReviewheading"/>
              <w:spacing w:after="120" w:afterAutospacing="0"/>
              <w:rPr>
                <w:rStyle w:val="Emphasis"/>
                <w:rFonts w:ascii="Calibri" w:eastAsiaTheme="majorEastAsia" w:hAnsi="Calibri" w:cs="Calibri"/>
                <w:bCs w:val="0"/>
                <w:i w:val="0"/>
                <w:caps w:val="0"/>
                <w:color w:val="auto"/>
                <w:kern w:val="0"/>
                <w:sz w:val="22"/>
                <w:szCs w:val="22"/>
              </w:rPr>
            </w:pPr>
            <w:bookmarkStart w:id="105" w:name="_Toc342578244"/>
            <w:r>
              <w:rPr>
                <w:rStyle w:val="Emphasis"/>
                <w:rFonts w:ascii="Calibri" w:eastAsiaTheme="majorEastAsia" w:hAnsi="Calibri" w:cs="Calibri"/>
                <w:bCs w:val="0"/>
                <w:i w:val="0"/>
                <w:caps w:val="0"/>
                <w:color w:val="auto"/>
                <w:kern w:val="0"/>
                <w:sz w:val="22"/>
                <w:szCs w:val="22"/>
              </w:rPr>
              <w:t>Comcare Retained Fund</w:t>
            </w:r>
            <w:r w:rsidR="00D17E18">
              <w:rPr>
                <w:rStyle w:val="Emphasis"/>
                <w:rFonts w:ascii="Calibri" w:eastAsiaTheme="majorEastAsia" w:hAnsi="Calibri" w:cs="Calibri"/>
                <w:bCs w:val="0"/>
                <w:i w:val="0"/>
                <w:caps w:val="0"/>
                <w:color w:val="auto"/>
                <w:kern w:val="0"/>
                <w:sz w:val="22"/>
                <w:szCs w:val="22"/>
              </w:rPr>
              <w:t>.</w:t>
            </w:r>
            <w:bookmarkEnd w:id="105"/>
          </w:p>
        </w:tc>
      </w:tr>
      <w:tr w:rsidR="00111216" w:rsidRPr="005D4DF3" w:rsidTr="00111216">
        <w:tc>
          <w:tcPr>
            <w:tcW w:w="3652" w:type="dxa"/>
          </w:tcPr>
          <w:p w:rsidR="00111216" w:rsidRPr="005D4DF3" w:rsidRDefault="00111216" w:rsidP="00111216">
            <w:pPr>
              <w:pStyle w:val="HawkeReviewheading"/>
              <w:spacing w:after="120" w:afterAutospacing="0"/>
              <w:rPr>
                <w:rStyle w:val="Emphasis"/>
                <w:rFonts w:ascii="Calibri" w:eastAsiaTheme="majorEastAsia" w:hAnsi="Calibri" w:cs="Calibri"/>
                <w:bCs w:val="0"/>
                <w:i w:val="0"/>
                <w:iCs w:val="0"/>
                <w:caps w:val="0"/>
                <w:color w:val="auto"/>
                <w:kern w:val="0"/>
                <w:sz w:val="22"/>
                <w:szCs w:val="22"/>
              </w:rPr>
            </w:pPr>
            <w:bookmarkStart w:id="106" w:name="_Toc341777877"/>
            <w:bookmarkStart w:id="107" w:name="_Toc341780637"/>
            <w:bookmarkStart w:id="108" w:name="_Toc342578245"/>
            <w:r w:rsidRPr="005D4DF3">
              <w:rPr>
                <w:rStyle w:val="Emphasis"/>
                <w:rFonts w:ascii="Calibri" w:eastAsiaTheme="majorEastAsia" w:hAnsi="Calibri" w:cs="Calibri"/>
                <w:bCs w:val="0"/>
                <w:i w:val="0"/>
                <w:caps w:val="0"/>
                <w:color w:val="auto"/>
                <w:kern w:val="0"/>
                <w:sz w:val="22"/>
                <w:szCs w:val="22"/>
              </w:rPr>
              <w:t>Comcare</w:t>
            </w:r>
            <w:bookmarkEnd w:id="106"/>
            <w:bookmarkEnd w:id="107"/>
            <w:bookmarkEnd w:id="108"/>
          </w:p>
        </w:tc>
        <w:tc>
          <w:tcPr>
            <w:tcW w:w="5306" w:type="dxa"/>
          </w:tcPr>
          <w:p w:rsidR="00111216" w:rsidRPr="005D4DF3" w:rsidRDefault="00111216" w:rsidP="004306FE">
            <w:pPr>
              <w:pStyle w:val="HawkeReviewheading"/>
              <w:spacing w:after="120" w:afterAutospacing="0"/>
              <w:rPr>
                <w:rStyle w:val="Emphasis"/>
                <w:rFonts w:ascii="Calibri" w:eastAsiaTheme="majorEastAsia" w:hAnsi="Calibri" w:cs="Calibri"/>
                <w:bCs w:val="0"/>
                <w:i w:val="0"/>
                <w:iCs w:val="0"/>
                <w:caps w:val="0"/>
                <w:color w:val="auto"/>
                <w:kern w:val="0"/>
                <w:sz w:val="22"/>
                <w:szCs w:val="22"/>
              </w:rPr>
            </w:pPr>
            <w:bookmarkStart w:id="109" w:name="_Toc341777878"/>
            <w:bookmarkStart w:id="110" w:name="_Toc341780638"/>
            <w:bookmarkStart w:id="111" w:name="_Toc342578246"/>
            <w:r w:rsidRPr="005D4DF3">
              <w:rPr>
                <w:rStyle w:val="Emphasis"/>
                <w:rFonts w:ascii="Calibri" w:eastAsiaTheme="majorEastAsia" w:hAnsi="Calibri" w:cs="Calibri"/>
                <w:bCs w:val="0"/>
                <w:i w:val="0"/>
                <w:caps w:val="0"/>
                <w:color w:val="auto"/>
                <w:kern w:val="0"/>
                <w:sz w:val="22"/>
                <w:szCs w:val="22"/>
              </w:rPr>
              <w:t xml:space="preserve">The organisation as established pursuant to </w:t>
            </w:r>
            <w:r w:rsidR="00920A03">
              <w:rPr>
                <w:rStyle w:val="Emphasis"/>
                <w:rFonts w:ascii="Calibri" w:eastAsiaTheme="majorEastAsia" w:hAnsi="Calibri" w:cs="Calibri"/>
                <w:bCs w:val="0"/>
                <w:i w:val="0"/>
                <w:caps w:val="0"/>
                <w:color w:val="auto"/>
                <w:kern w:val="0"/>
                <w:sz w:val="22"/>
                <w:szCs w:val="22"/>
              </w:rPr>
              <w:t>Section</w:t>
            </w:r>
            <w:r w:rsidRPr="005D4DF3">
              <w:rPr>
                <w:rStyle w:val="Emphasis"/>
                <w:rFonts w:ascii="Calibri" w:eastAsiaTheme="majorEastAsia" w:hAnsi="Calibri" w:cs="Calibri"/>
                <w:bCs w:val="0"/>
                <w:i w:val="0"/>
                <w:caps w:val="0"/>
                <w:color w:val="auto"/>
                <w:kern w:val="0"/>
                <w:sz w:val="22"/>
                <w:szCs w:val="22"/>
              </w:rPr>
              <w:t xml:space="preserve"> 74 of the </w:t>
            </w:r>
            <w:r w:rsidRPr="005D4DF3">
              <w:rPr>
                <w:rStyle w:val="Emphasis"/>
                <w:rFonts w:ascii="Calibri" w:eastAsiaTheme="majorEastAsia" w:hAnsi="Calibri" w:cs="Calibri"/>
                <w:bCs w:val="0"/>
                <w:caps w:val="0"/>
                <w:color w:val="auto"/>
                <w:kern w:val="0"/>
                <w:sz w:val="22"/>
                <w:szCs w:val="22"/>
              </w:rPr>
              <w:t>Safety, Rehabilitation and Compensation Act 198</w:t>
            </w:r>
            <w:r w:rsidR="004306FE">
              <w:rPr>
                <w:rStyle w:val="Emphasis"/>
                <w:rFonts w:ascii="Calibri" w:eastAsiaTheme="majorEastAsia" w:hAnsi="Calibri" w:cs="Calibri"/>
                <w:bCs w:val="0"/>
                <w:caps w:val="0"/>
                <w:color w:val="auto"/>
                <w:kern w:val="0"/>
                <w:sz w:val="22"/>
                <w:szCs w:val="22"/>
              </w:rPr>
              <w:t>8</w:t>
            </w:r>
            <w:r w:rsidRPr="005D4DF3">
              <w:rPr>
                <w:rStyle w:val="Emphasis"/>
                <w:rFonts w:ascii="Calibri" w:eastAsiaTheme="majorEastAsia" w:hAnsi="Calibri" w:cs="Calibri"/>
                <w:bCs w:val="0"/>
                <w:caps w:val="0"/>
                <w:color w:val="auto"/>
                <w:kern w:val="0"/>
                <w:sz w:val="22"/>
                <w:szCs w:val="22"/>
              </w:rPr>
              <w:t>.</w:t>
            </w:r>
            <w:bookmarkEnd w:id="109"/>
            <w:bookmarkEnd w:id="110"/>
            <w:bookmarkEnd w:id="111"/>
          </w:p>
        </w:tc>
      </w:tr>
      <w:tr w:rsidR="00111216" w:rsidRPr="005D4DF3" w:rsidTr="00111216">
        <w:tc>
          <w:tcPr>
            <w:tcW w:w="3652" w:type="dxa"/>
          </w:tcPr>
          <w:p w:rsidR="00111216" w:rsidRPr="005D4DF3" w:rsidRDefault="00111216" w:rsidP="00111216">
            <w:pPr>
              <w:pStyle w:val="HawkeReviewheading"/>
              <w:spacing w:after="120" w:afterAutospacing="0"/>
              <w:rPr>
                <w:rStyle w:val="Emphasis"/>
                <w:rFonts w:ascii="Calibri" w:eastAsiaTheme="majorEastAsia" w:hAnsi="Calibri" w:cs="Calibri"/>
                <w:bCs w:val="0"/>
                <w:i w:val="0"/>
                <w:iCs w:val="0"/>
                <w:caps w:val="0"/>
                <w:color w:val="auto"/>
                <w:kern w:val="0"/>
                <w:sz w:val="22"/>
                <w:szCs w:val="22"/>
              </w:rPr>
            </w:pPr>
            <w:bookmarkStart w:id="112" w:name="_Toc341777879"/>
            <w:bookmarkStart w:id="113" w:name="_Toc341780639"/>
            <w:bookmarkStart w:id="114" w:name="_Toc342578247"/>
            <w:r w:rsidRPr="005D4DF3">
              <w:rPr>
                <w:rStyle w:val="Emphasis"/>
                <w:rFonts w:ascii="Calibri" w:eastAsiaTheme="majorEastAsia" w:hAnsi="Calibri" w:cs="Calibri"/>
                <w:bCs w:val="0"/>
                <w:i w:val="0"/>
                <w:caps w:val="0"/>
                <w:color w:val="auto"/>
                <w:kern w:val="0"/>
                <w:sz w:val="22"/>
                <w:szCs w:val="22"/>
              </w:rPr>
              <w:t>Comcare scheme</w:t>
            </w:r>
            <w:bookmarkEnd w:id="112"/>
            <w:bookmarkEnd w:id="113"/>
            <w:bookmarkEnd w:id="114"/>
          </w:p>
        </w:tc>
        <w:tc>
          <w:tcPr>
            <w:tcW w:w="5306" w:type="dxa"/>
          </w:tcPr>
          <w:p w:rsidR="00111216" w:rsidRPr="005D4DF3" w:rsidRDefault="00111216" w:rsidP="004306FE">
            <w:pPr>
              <w:pStyle w:val="HawkeReviewheading"/>
              <w:spacing w:after="120" w:afterAutospacing="0"/>
              <w:rPr>
                <w:rStyle w:val="Emphasis"/>
                <w:rFonts w:ascii="Calibri" w:eastAsiaTheme="majorEastAsia" w:hAnsi="Calibri" w:cs="Calibri"/>
                <w:bCs w:val="0"/>
                <w:i w:val="0"/>
                <w:iCs w:val="0"/>
                <w:caps w:val="0"/>
                <w:color w:val="auto"/>
                <w:kern w:val="0"/>
                <w:sz w:val="22"/>
                <w:szCs w:val="22"/>
              </w:rPr>
            </w:pPr>
            <w:bookmarkStart w:id="115" w:name="_Toc341777880"/>
            <w:bookmarkStart w:id="116" w:name="_Toc341780640"/>
            <w:bookmarkStart w:id="117" w:name="_Toc342578248"/>
            <w:r w:rsidRPr="005D4DF3">
              <w:rPr>
                <w:rStyle w:val="Emphasis"/>
                <w:rFonts w:ascii="Calibri" w:eastAsiaTheme="majorEastAsia" w:hAnsi="Calibri" w:cs="Calibri"/>
                <w:bCs w:val="0"/>
                <w:i w:val="0"/>
                <w:caps w:val="0"/>
                <w:color w:val="auto"/>
                <w:kern w:val="0"/>
                <w:sz w:val="22"/>
                <w:szCs w:val="22"/>
              </w:rPr>
              <w:t xml:space="preserve">All arrangements covered by </w:t>
            </w:r>
            <w:r w:rsidRPr="005D4DF3">
              <w:rPr>
                <w:rStyle w:val="Emphasis"/>
                <w:rFonts w:ascii="Calibri" w:eastAsiaTheme="majorEastAsia" w:hAnsi="Calibri" w:cs="Calibri"/>
                <w:bCs w:val="0"/>
                <w:caps w:val="0"/>
                <w:color w:val="auto"/>
                <w:kern w:val="0"/>
                <w:sz w:val="22"/>
                <w:szCs w:val="22"/>
              </w:rPr>
              <w:t xml:space="preserve">the Safety, Rehabilitation and Compensation Act </w:t>
            </w:r>
            <w:r w:rsidR="004306FE" w:rsidRPr="005D4DF3">
              <w:rPr>
                <w:rStyle w:val="Emphasis"/>
                <w:rFonts w:ascii="Calibri" w:eastAsiaTheme="majorEastAsia" w:hAnsi="Calibri" w:cs="Calibri"/>
                <w:bCs w:val="0"/>
                <w:caps w:val="0"/>
                <w:color w:val="auto"/>
                <w:kern w:val="0"/>
                <w:sz w:val="22"/>
                <w:szCs w:val="22"/>
              </w:rPr>
              <w:t>198</w:t>
            </w:r>
            <w:r w:rsidR="004306FE">
              <w:rPr>
                <w:rStyle w:val="Emphasis"/>
                <w:rFonts w:ascii="Calibri" w:eastAsiaTheme="majorEastAsia" w:hAnsi="Calibri" w:cs="Calibri"/>
                <w:bCs w:val="0"/>
                <w:caps w:val="0"/>
                <w:color w:val="auto"/>
                <w:kern w:val="0"/>
                <w:sz w:val="22"/>
                <w:szCs w:val="22"/>
              </w:rPr>
              <w:t>8</w:t>
            </w:r>
            <w:r w:rsidRPr="005D4DF3">
              <w:rPr>
                <w:rStyle w:val="Emphasis"/>
                <w:rFonts w:ascii="Calibri" w:eastAsiaTheme="majorEastAsia" w:hAnsi="Calibri" w:cs="Calibri"/>
                <w:bCs w:val="0"/>
                <w:i w:val="0"/>
                <w:caps w:val="0"/>
                <w:color w:val="auto"/>
                <w:kern w:val="0"/>
                <w:sz w:val="22"/>
                <w:szCs w:val="22"/>
              </w:rPr>
              <w:t>, including self insurance arrangements.</w:t>
            </w:r>
            <w:bookmarkEnd w:id="115"/>
            <w:bookmarkEnd w:id="116"/>
            <w:bookmarkEnd w:id="117"/>
          </w:p>
        </w:tc>
      </w:tr>
      <w:tr w:rsidR="0034266C" w:rsidRPr="005D4DF3" w:rsidTr="00111216">
        <w:tc>
          <w:tcPr>
            <w:tcW w:w="3652" w:type="dxa"/>
          </w:tcPr>
          <w:p w:rsidR="0034266C" w:rsidRPr="004C2C1A" w:rsidRDefault="009B1702" w:rsidP="00111216">
            <w:pPr>
              <w:pStyle w:val="HawkeReviewheading"/>
              <w:spacing w:after="120" w:afterAutospacing="0"/>
              <w:rPr>
                <w:rStyle w:val="Emphasis"/>
                <w:rFonts w:ascii="Calibri" w:eastAsiaTheme="majorEastAsia" w:hAnsi="Calibri" w:cs="Calibri"/>
                <w:bCs w:val="0"/>
                <w:i w:val="0"/>
                <w:caps w:val="0"/>
                <w:color w:val="auto"/>
                <w:kern w:val="0"/>
                <w:sz w:val="22"/>
                <w:szCs w:val="22"/>
              </w:rPr>
            </w:pPr>
            <w:bookmarkStart w:id="118" w:name="_Toc341777881"/>
            <w:bookmarkStart w:id="119" w:name="_Toc341780641"/>
            <w:bookmarkStart w:id="120" w:name="_Toc342578249"/>
            <w:r>
              <w:rPr>
                <w:rStyle w:val="Emphasis"/>
                <w:rFonts w:ascii="Calibri" w:eastAsiaTheme="majorEastAsia" w:hAnsi="Calibri" w:cs="Calibri"/>
                <w:bCs w:val="0"/>
                <w:i w:val="0"/>
                <w:caps w:val="0"/>
                <w:color w:val="auto"/>
                <w:kern w:val="0"/>
                <w:sz w:val="22"/>
                <w:szCs w:val="22"/>
              </w:rPr>
              <w:t>CRF</w:t>
            </w:r>
            <w:bookmarkEnd w:id="118"/>
            <w:bookmarkEnd w:id="119"/>
            <w:bookmarkEnd w:id="120"/>
          </w:p>
        </w:tc>
        <w:tc>
          <w:tcPr>
            <w:tcW w:w="5306" w:type="dxa"/>
          </w:tcPr>
          <w:p w:rsidR="0034266C" w:rsidRPr="005D4DF3" w:rsidRDefault="0034266C" w:rsidP="00111216">
            <w:pPr>
              <w:pStyle w:val="HawkeReviewheading"/>
              <w:spacing w:after="120" w:afterAutospacing="0"/>
              <w:rPr>
                <w:rStyle w:val="Emphasis"/>
                <w:rFonts w:ascii="Calibri" w:eastAsiaTheme="majorEastAsia" w:hAnsi="Calibri" w:cs="Calibri"/>
                <w:bCs w:val="0"/>
                <w:i w:val="0"/>
                <w:caps w:val="0"/>
                <w:color w:val="auto"/>
                <w:kern w:val="0"/>
                <w:sz w:val="22"/>
                <w:szCs w:val="22"/>
              </w:rPr>
            </w:pPr>
            <w:bookmarkStart w:id="121" w:name="_Toc341777882"/>
            <w:bookmarkStart w:id="122" w:name="_Toc341780642"/>
            <w:bookmarkStart w:id="123" w:name="_Toc342578250"/>
            <w:r>
              <w:rPr>
                <w:rStyle w:val="Emphasis"/>
                <w:rFonts w:ascii="Calibri" w:eastAsiaTheme="majorEastAsia" w:hAnsi="Calibri" w:cs="Calibri"/>
                <w:bCs w:val="0"/>
                <w:i w:val="0"/>
                <w:caps w:val="0"/>
                <w:color w:val="auto"/>
                <w:kern w:val="0"/>
                <w:sz w:val="22"/>
                <w:szCs w:val="22"/>
              </w:rPr>
              <w:t>Consolidated Revenue Fund</w:t>
            </w:r>
            <w:r w:rsidR="0049756C">
              <w:rPr>
                <w:rStyle w:val="Emphasis"/>
                <w:rFonts w:ascii="Calibri" w:eastAsiaTheme="majorEastAsia" w:hAnsi="Calibri" w:cs="Calibri"/>
                <w:bCs w:val="0"/>
                <w:i w:val="0"/>
                <w:caps w:val="0"/>
                <w:color w:val="auto"/>
                <w:kern w:val="0"/>
                <w:sz w:val="22"/>
                <w:szCs w:val="22"/>
              </w:rPr>
              <w:t>.</w:t>
            </w:r>
            <w:bookmarkEnd w:id="121"/>
            <w:bookmarkEnd w:id="122"/>
            <w:bookmarkEnd w:id="123"/>
          </w:p>
        </w:tc>
      </w:tr>
      <w:tr w:rsidR="00AA4E0B" w:rsidRPr="005D4DF3" w:rsidTr="00111216">
        <w:tc>
          <w:tcPr>
            <w:tcW w:w="3652" w:type="dxa"/>
          </w:tcPr>
          <w:p w:rsidR="00AA4E0B" w:rsidRPr="006F7EAC" w:rsidRDefault="00AA4E0B" w:rsidP="000B5FA8">
            <w:pPr>
              <w:pStyle w:val="HawkeReviewheading"/>
              <w:spacing w:after="120" w:afterAutospacing="0"/>
              <w:rPr>
                <w:rFonts w:ascii="Calibri" w:hAnsi="Calibri" w:cs="Calibri"/>
                <w:color w:val="auto"/>
                <w:sz w:val="22"/>
                <w:szCs w:val="22"/>
              </w:rPr>
            </w:pPr>
            <w:bookmarkStart w:id="124" w:name="_Toc341777883"/>
            <w:bookmarkStart w:id="125" w:name="_Toc341780643"/>
            <w:bookmarkStart w:id="126" w:name="_Toc342578251"/>
            <w:r>
              <w:rPr>
                <w:rFonts w:ascii="Calibri" w:hAnsi="Calibri" w:cs="Calibri"/>
                <w:color w:val="auto"/>
                <w:sz w:val="22"/>
                <w:szCs w:val="22"/>
              </w:rPr>
              <w:t>CSO</w:t>
            </w:r>
            <w:bookmarkEnd w:id="124"/>
            <w:bookmarkEnd w:id="125"/>
            <w:bookmarkEnd w:id="126"/>
          </w:p>
        </w:tc>
        <w:tc>
          <w:tcPr>
            <w:tcW w:w="5306" w:type="dxa"/>
          </w:tcPr>
          <w:p w:rsidR="00AA4E0B" w:rsidRDefault="00AA4E0B" w:rsidP="00111216">
            <w:pPr>
              <w:pStyle w:val="HawkeReviewheading"/>
              <w:spacing w:after="120" w:afterAutospacing="0"/>
              <w:rPr>
                <w:rStyle w:val="Emphasis"/>
                <w:rFonts w:ascii="Calibri" w:eastAsiaTheme="majorEastAsia" w:hAnsi="Calibri" w:cs="Calibri"/>
                <w:bCs w:val="0"/>
                <w:i w:val="0"/>
                <w:caps w:val="0"/>
                <w:color w:val="auto"/>
                <w:kern w:val="0"/>
                <w:sz w:val="22"/>
                <w:szCs w:val="22"/>
              </w:rPr>
            </w:pPr>
            <w:bookmarkStart w:id="127" w:name="_Toc341777884"/>
            <w:bookmarkStart w:id="128" w:name="_Toc341780644"/>
            <w:bookmarkStart w:id="129" w:name="_Toc342578252"/>
            <w:r>
              <w:rPr>
                <w:rStyle w:val="Emphasis"/>
                <w:rFonts w:ascii="Calibri" w:eastAsiaTheme="majorEastAsia" w:hAnsi="Calibri" w:cs="Calibri"/>
                <w:bCs w:val="0"/>
                <w:i w:val="0"/>
                <w:caps w:val="0"/>
                <w:color w:val="auto"/>
                <w:kern w:val="0"/>
                <w:sz w:val="22"/>
                <w:szCs w:val="22"/>
              </w:rPr>
              <w:t>Claims Service Officer</w:t>
            </w:r>
            <w:r w:rsidR="0049756C">
              <w:rPr>
                <w:rStyle w:val="Emphasis"/>
                <w:rFonts w:ascii="Calibri" w:eastAsiaTheme="majorEastAsia" w:hAnsi="Calibri" w:cs="Calibri"/>
                <w:bCs w:val="0"/>
                <w:i w:val="0"/>
                <w:caps w:val="0"/>
                <w:color w:val="auto"/>
                <w:kern w:val="0"/>
                <w:sz w:val="22"/>
                <w:szCs w:val="22"/>
              </w:rPr>
              <w:t>.</w:t>
            </w:r>
            <w:bookmarkEnd w:id="127"/>
            <w:bookmarkEnd w:id="128"/>
            <w:bookmarkEnd w:id="129"/>
          </w:p>
        </w:tc>
      </w:tr>
      <w:tr w:rsidR="000B5FA8" w:rsidRPr="005D4DF3" w:rsidTr="00111216">
        <w:tc>
          <w:tcPr>
            <w:tcW w:w="3652" w:type="dxa"/>
          </w:tcPr>
          <w:p w:rsidR="000B5FA8" w:rsidRPr="004C2C1A" w:rsidRDefault="00A533F6" w:rsidP="000B5FA8">
            <w:pPr>
              <w:pStyle w:val="HawkeReviewheading"/>
              <w:spacing w:after="120" w:afterAutospacing="0"/>
              <w:rPr>
                <w:rStyle w:val="Emphasis"/>
                <w:rFonts w:ascii="Calibri" w:eastAsiaTheme="majorEastAsia" w:hAnsi="Calibri" w:cs="Calibri"/>
                <w:bCs w:val="0"/>
                <w:i w:val="0"/>
                <w:caps w:val="0"/>
                <w:color w:val="auto"/>
                <w:kern w:val="0"/>
                <w:sz w:val="22"/>
                <w:szCs w:val="22"/>
              </w:rPr>
            </w:pPr>
            <w:bookmarkStart w:id="130" w:name="_Toc341777885"/>
            <w:bookmarkStart w:id="131" w:name="_Toc341780645"/>
            <w:bookmarkStart w:id="132" w:name="_Toc342578253"/>
            <w:r w:rsidRPr="0037358F">
              <w:rPr>
                <w:rFonts w:ascii="Calibri" w:hAnsi="Calibri" w:cs="Calibri"/>
                <w:color w:val="auto"/>
                <w:sz w:val="22"/>
                <w:szCs w:val="22"/>
              </w:rPr>
              <w:t>DAKPI</w:t>
            </w:r>
            <w:bookmarkEnd w:id="130"/>
            <w:bookmarkEnd w:id="131"/>
            <w:bookmarkEnd w:id="132"/>
          </w:p>
        </w:tc>
        <w:tc>
          <w:tcPr>
            <w:tcW w:w="5306" w:type="dxa"/>
          </w:tcPr>
          <w:p w:rsidR="000B5FA8" w:rsidRPr="005D4DF3" w:rsidRDefault="000B5FA8" w:rsidP="00111216">
            <w:pPr>
              <w:pStyle w:val="HawkeReviewheading"/>
              <w:spacing w:after="120" w:afterAutospacing="0"/>
              <w:rPr>
                <w:rStyle w:val="Emphasis"/>
                <w:rFonts w:ascii="Calibri" w:eastAsiaTheme="majorEastAsia" w:hAnsi="Calibri" w:cs="Calibri"/>
                <w:bCs w:val="0"/>
                <w:i w:val="0"/>
                <w:caps w:val="0"/>
                <w:color w:val="auto"/>
                <w:kern w:val="0"/>
                <w:sz w:val="22"/>
                <w:szCs w:val="22"/>
              </w:rPr>
            </w:pPr>
            <w:bookmarkStart w:id="133" w:name="_Toc341777886"/>
            <w:bookmarkStart w:id="134" w:name="_Toc341780646"/>
            <w:bookmarkStart w:id="135" w:name="_Toc342578254"/>
            <w:r>
              <w:rPr>
                <w:rStyle w:val="Emphasis"/>
                <w:rFonts w:ascii="Calibri" w:eastAsiaTheme="majorEastAsia" w:hAnsi="Calibri" w:cs="Calibri"/>
                <w:bCs w:val="0"/>
                <w:i w:val="0"/>
                <w:caps w:val="0"/>
                <w:color w:val="auto"/>
                <w:kern w:val="0"/>
                <w:sz w:val="22"/>
                <w:szCs w:val="22"/>
              </w:rPr>
              <w:t>Determining Authority Key Performance Indicator</w:t>
            </w:r>
            <w:r w:rsidR="0049756C">
              <w:rPr>
                <w:rStyle w:val="Emphasis"/>
                <w:rFonts w:ascii="Calibri" w:eastAsiaTheme="majorEastAsia" w:hAnsi="Calibri" w:cs="Calibri"/>
                <w:bCs w:val="0"/>
                <w:i w:val="0"/>
                <w:caps w:val="0"/>
                <w:color w:val="auto"/>
                <w:kern w:val="0"/>
                <w:sz w:val="22"/>
                <w:szCs w:val="22"/>
              </w:rPr>
              <w:t>.</w:t>
            </w:r>
            <w:bookmarkEnd w:id="133"/>
            <w:bookmarkEnd w:id="134"/>
            <w:bookmarkEnd w:id="135"/>
          </w:p>
        </w:tc>
      </w:tr>
      <w:tr w:rsidR="00111216" w:rsidRPr="005D4DF3" w:rsidTr="00111216">
        <w:tc>
          <w:tcPr>
            <w:tcW w:w="3652" w:type="dxa"/>
          </w:tcPr>
          <w:p w:rsidR="00111216" w:rsidRPr="004C2C1A" w:rsidRDefault="009B1702" w:rsidP="00111216">
            <w:pPr>
              <w:pStyle w:val="HawkeReviewheading"/>
              <w:spacing w:after="120" w:afterAutospacing="0"/>
              <w:rPr>
                <w:rStyle w:val="Emphasis"/>
                <w:rFonts w:ascii="Calibri" w:eastAsiaTheme="majorEastAsia" w:hAnsi="Calibri" w:cs="Calibri"/>
                <w:bCs w:val="0"/>
                <w:i w:val="0"/>
                <w:iCs w:val="0"/>
                <w:caps w:val="0"/>
                <w:color w:val="auto"/>
                <w:kern w:val="0"/>
                <w:sz w:val="22"/>
                <w:szCs w:val="22"/>
              </w:rPr>
            </w:pPr>
            <w:bookmarkStart w:id="136" w:name="_Toc341777887"/>
            <w:bookmarkStart w:id="137" w:name="_Toc341780647"/>
            <w:bookmarkStart w:id="138" w:name="_Toc342578255"/>
            <w:r>
              <w:rPr>
                <w:rStyle w:val="Emphasis"/>
                <w:rFonts w:ascii="Calibri" w:eastAsiaTheme="majorEastAsia" w:hAnsi="Calibri" w:cs="Calibri"/>
                <w:bCs w:val="0"/>
                <w:i w:val="0"/>
                <w:caps w:val="0"/>
                <w:color w:val="auto"/>
                <w:kern w:val="0"/>
                <w:sz w:val="22"/>
                <w:szCs w:val="22"/>
              </w:rPr>
              <w:t>DEEWR</w:t>
            </w:r>
            <w:bookmarkEnd w:id="136"/>
            <w:bookmarkEnd w:id="137"/>
            <w:bookmarkEnd w:id="138"/>
          </w:p>
        </w:tc>
        <w:tc>
          <w:tcPr>
            <w:tcW w:w="5306" w:type="dxa"/>
          </w:tcPr>
          <w:p w:rsidR="00111216" w:rsidRPr="005D4DF3" w:rsidRDefault="00111216" w:rsidP="00111216">
            <w:pPr>
              <w:pStyle w:val="HawkeReviewheading"/>
              <w:spacing w:after="120" w:afterAutospacing="0"/>
              <w:rPr>
                <w:rStyle w:val="Emphasis"/>
                <w:rFonts w:ascii="Calibri" w:eastAsiaTheme="majorEastAsia" w:hAnsi="Calibri" w:cs="Calibri"/>
                <w:bCs w:val="0"/>
                <w:i w:val="0"/>
                <w:iCs w:val="0"/>
                <w:caps w:val="0"/>
                <w:color w:val="auto"/>
                <w:kern w:val="0"/>
                <w:sz w:val="22"/>
                <w:szCs w:val="22"/>
              </w:rPr>
            </w:pPr>
            <w:bookmarkStart w:id="139" w:name="_Toc341777888"/>
            <w:bookmarkStart w:id="140" w:name="_Toc341780648"/>
            <w:bookmarkStart w:id="141" w:name="_Toc342578256"/>
            <w:r w:rsidRPr="005D4DF3">
              <w:rPr>
                <w:rStyle w:val="Emphasis"/>
                <w:rFonts w:ascii="Calibri" w:eastAsiaTheme="majorEastAsia" w:hAnsi="Calibri" w:cs="Calibri"/>
                <w:bCs w:val="0"/>
                <w:i w:val="0"/>
                <w:caps w:val="0"/>
                <w:color w:val="auto"/>
                <w:kern w:val="0"/>
                <w:sz w:val="22"/>
                <w:szCs w:val="22"/>
              </w:rPr>
              <w:t>Department of Education, Employment and Workplace Relations</w:t>
            </w:r>
            <w:r w:rsidR="0049756C">
              <w:rPr>
                <w:rStyle w:val="Emphasis"/>
                <w:rFonts w:ascii="Calibri" w:eastAsiaTheme="majorEastAsia" w:hAnsi="Calibri" w:cs="Calibri"/>
                <w:bCs w:val="0"/>
                <w:i w:val="0"/>
                <w:caps w:val="0"/>
                <w:color w:val="auto"/>
                <w:kern w:val="0"/>
                <w:sz w:val="22"/>
                <w:szCs w:val="22"/>
              </w:rPr>
              <w:t>.</w:t>
            </w:r>
            <w:bookmarkEnd w:id="139"/>
            <w:bookmarkEnd w:id="140"/>
            <w:bookmarkEnd w:id="141"/>
          </w:p>
        </w:tc>
      </w:tr>
      <w:tr w:rsidR="000B5FA8" w:rsidRPr="005D4DF3" w:rsidTr="00111216">
        <w:tc>
          <w:tcPr>
            <w:tcW w:w="3652" w:type="dxa"/>
          </w:tcPr>
          <w:p w:rsidR="000B5FA8" w:rsidRPr="004C2C1A" w:rsidRDefault="009B1702" w:rsidP="00111216">
            <w:pPr>
              <w:pStyle w:val="HawkeReviewheading"/>
              <w:spacing w:after="120" w:afterAutospacing="0"/>
              <w:rPr>
                <w:rStyle w:val="Emphasis"/>
                <w:rFonts w:ascii="Calibri" w:eastAsiaTheme="majorEastAsia" w:hAnsi="Calibri" w:cs="Calibri"/>
                <w:bCs w:val="0"/>
                <w:i w:val="0"/>
                <w:caps w:val="0"/>
                <w:color w:val="auto"/>
                <w:kern w:val="0"/>
                <w:sz w:val="22"/>
                <w:szCs w:val="22"/>
              </w:rPr>
            </w:pPr>
            <w:bookmarkStart w:id="142" w:name="_Toc341777889"/>
            <w:bookmarkStart w:id="143" w:name="_Toc341780649"/>
            <w:bookmarkStart w:id="144" w:name="_Toc342578257"/>
            <w:r>
              <w:rPr>
                <w:rStyle w:val="Emphasis"/>
                <w:rFonts w:ascii="Calibri" w:eastAsiaTheme="majorEastAsia" w:hAnsi="Calibri" w:cs="Calibri"/>
                <w:bCs w:val="0"/>
                <w:i w:val="0"/>
                <w:caps w:val="0"/>
                <w:color w:val="auto"/>
                <w:kern w:val="0"/>
                <w:sz w:val="22"/>
                <w:szCs w:val="22"/>
              </w:rPr>
              <w:t>DVA</w:t>
            </w:r>
            <w:bookmarkEnd w:id="142"/>
            <w:bookmarkEnd w:id="143"/>
            <w:bookmarkEnd w:id="144"/>
          </w:p>
        </w:tc>
        <w:tc>
          <w:tcPr>
            <w:tcW w:w="5306" w:type="dxa"/>
          </w:tcPr>
          <w:p w:rsidR="000B5FA8" w:rsidRPr="005D4DF3" w:rsidRDefault="000B5FA8" w:rsidP="00111216">
            <w:pPr>
              <w:pStyle w:val="HawkeReviewheading"/>
              <w:spacing w:after="120" w:afterAutospacing="0"/>
              <w:rPr>
                <w:rStyle w:val="Emphasis"/>
                <w:rFonts w:ascii="Calibri" w:eastAsiaTheme="majorEastAsia" w:hAnsi="Calibri" w:cs="Calibri"/>
                <w:bCs w:val="0"/>
                <w:i w:val="0"/>
                <w:caps w:val="0"/>
                <w:color w:val="auto"/>
                <w:kern w:val="0"/>
                <w:sz w:val="22"/>
                <w:szCs w:val="22"/>
              </w:rPr>
            </w:pPr>
            <w:bookmarkStart w:id="145" w:name="_Toc341777890"/>
            <w:bookmarkStart w:id="146" w:name="_Toc341780650"/>
            <w:bookmarkStart w:id="147" w:name="_Toc342578258"/>
            <w:r>
              <w:rPr>
                <w:rStyle w:val="Emphasis"/>
                <w:rFonts w:ascii="Calibri" w:eastAsiaTheme="majorEastAsia" w:hAnsi="Calibri" w:cs="Calibri"/>
                <w:bCs w:val="0"/>
                <w:i w:val="0"/>
                <w:caps w:val="0"/>
                <w:color w:val="auto"/>
                <w:kern w:val="0"/>
                <w:sz w:val="22"/>
                <w:szCs w:val="22"/>
              </w:rPr>
              <w:t>Department of Veterans’ Affairs</w:t>
            </w:r>
            <w:r w:rsidR="0049756C">
              <w:rPr>
                <w:rStyle w:val="Emphasis"/>
                <w:rFonts w:ascii="Calibri" w:eastAsiaTheme="majorEastAsia" w:hAnsi="Calibri" w:cs="Calibri"/>
                <w:bCs w:val="0"/>
                <w:i w:val="0"/>
                <w:caps w:val="0"/>
                <w:color w:val="auto"/>
                <w:kern w:val="0"/>
                <w:sz w:val="22"/>
                <w:szCs w:val="22"/>
              </w:rPr>
              <w:t>.</w:t>
            </w:r>
            <w:bookmarkEnd w:id="145"/>
            <w:bookmarkEnd w:id="146"/>
            <w:bookmarkEnd w:id="147"/>
          </w:p>
        </w:tc>
      </w:tr>
      <w:tr w:rsidR="00111216" w:rsidRPr="005D4DF3" w:rsidTr="00111216">
        <w:tc>
          <w:tcPr>
            <w:tcW w:w="3652" w:type="dxa"/>
          </w:tcPr>
          <w:p w:rsidR="00111216" w:rsidRPr="004C2C1A" w:rsidRDefault="009B1702" w:rsidP="00111216">
            <w:pPr>
              <w:pStyle w:val="HawkeReviewheading"/>
              <w:spacing w:after="120" w:afterAutospacing="0"/>
              <w:rPr>
                <w:rStyle w:val="Emphasis"/>
                <w:rFonts w:ascii="Calibri" w:eastAsiaTheme="majorEastAsia" w:hAnsi="Calibri" w:cs="Calibri"/>
                <w:bCs w:val="0"/>
                <w:i w:val="0"/>
                <w:iCs w:val="0"/>
                <w:caps w:val="0"/>
                <w:color w:val="auto"/>
                <w:kern w:val="0"/>
                <w:sz w:val="22"/>
                <w:szCs w:val="22"/>
              </w:rPr>
            </w:pPr>
            <w:bookmarkStart w:id="148" w:name="_Toc341777891"/>
            <w:bookmarkStart w:id="149" w:name="_Toc341780651"/>
            <w:bookmarkStart w:id="150" w:name="_Toc342578259"/>
            <w:r>
              <w:rPr>
                <w:rStyle w:val="Emphasis"/>
                <w:rFonts w:ascii="Calibri" w:eastAsiaTheme="majorEastAsia" w:hAnsi="Calibri" w:cs="Calibri"/>
                <w:bCs w:val="0"/>
                <w:i w:val="0"/>
                <w:caps w:val="0"/>
                <w:color w:val="auto"/>
                <w:kern w:val="0"/>
                <w:sz w:val="22"/>
                <w:szCs w:val="22"/>
              </w:rPr>
              <w:t>Disease claims</w:t>
            </w:r>
            <w:bookmarkEnd w:id="148"/>
            <w:bookmarkEnd w:id="149"/>
            <w:bookmarkEnd w:id="150"/>
          </w:p>
        </w:tc>
        <w:tc>
          <w:tcPr>
            <w:tcW w:w="5306" w:type="dxa"/>
          </w:tcPr>
          <w:p w:rsidR="00111216" w:rsidRPr="005D4DF3" w:rsidRDefault="00111216" w:rsidP="00584ADA">
            <w:pPr>
              <w:pStyle w:val="HawkeReviewheading"/>
              <w:spacing w:after="120" w:afterAutospacing="0"/>
              <w:rPr>
                <w:rStyle w:val="Emphasis"/>
                <w:rFonts w:ascii="Calibri" w:eastAsiaTheme="majorEastAsia" w:hAnsi="Calibri" w:cs="Calibri"/>
                <w:i w:val="0"/>
                <w:iCs w:val="0"/>
              </w:rPr>
            </w:pPr>
            <w:bookmarkStart w:id="151" w:name="_Toc341777892"/>
            <w:bookmarkStart w:id="152" w:name="_Toc341780652"/>
            <w:bookmarkStart w:id="153" w:name="_Toc342578260"/>
            <w:r w:rsidRPr="005D4DF3">
              <w:rPr>
                <w:rStyle w:val="Emphasis"/>
                <w:rFonts w:ascii="Calibri" w:eastAsiaTheme="majorEastAsia" w:hAnsi="Calibri" w:cs="Calibri"/>
                <w:bCs w:val="0"/>
                <w:i w:val="0"/>
                <w:caps w:val="0"/>
                <w:color w:val="auto"/>
                <w:kern w:val="0"/>
                <w:sz w:val="22"/>
                <w:szCs w:val="22"/>
              </w:rPr>
              <w:t>Claims usually arising from repeated or long term exposure to an agent or event, including mental disease/stress claims</w:t>
            </w:r>
            <w:r w:rsidR="0049756C">
              <w:rPr>
                <w:rStyle w:val="Emphasis"/>
                <w:rFonts w:ascii="Calibri" w:eastAsiaTheme="majorEastAsia" w:hAnsi="Calibri" w:cs="Calibri"/>
                <w:bCs w:val="0"/>
                <w:i w:val="0"/>
                <w:caps w:val="0"/>
                <w:color w:val="auto"/>
                <w:kern w:val="0"/>
                <w:sz w:val="22"/>
                <w:szCs w:val="22"/>
              </w:rPr>
              <w:t>.</w:t>
            </w:r>
            <w:bookmarkEnd w:id="151"/>
            <w:bookmarkEnd w:id="152"/>
            <w:bookmarkEnd w:id="153"/>
          </w:p>
        </w:tc>
      </w:tr>
      <w:tr w:rsidR="00111216" w:rsidRPr="005D4DF3" w:rsidTr="00111216">
        <w:tc>
          <w:tcPr>
            <w:tcW w:w="3652" w:type="dxa"/>
          </w:tcPr>
          <w:p w:rsidR="00111216" w:rsidRPr="004C2C1A" w:rsidRDefault="009B1702" w:rsidP="00111216">
            <w:pPr>
              <w:pStyle w:val="HawkeReviewheading"/>
              <w:spacing w:after="120" w:afterAutospacing="0"/>
              <w:rPr>
                <w:rStyle w:val="Emphasis"/>
                <w:rFonts w:ascii="Calibri" w:eastAsiaTheme="majorEastAsia" w:hAnsi="Calibri" w:cs="Calibri"/>
                <w:bCs w:val="0"/>
                <w:i w:val="0"/>
                <w:iCs w:val="0"/>
                <w:caps w:val="0"/>
                <w:color w:val="auto"/>
                <w:kern w:val="0"/>
                <w:sz w:val="22"/>
                <w:szCs w:val="22"/>
              </w:rPr>
            </w:pPr>
            <w:bookmarkStart w:id="154" w:name="_Toc341777893"/>
            <w:bookmarkStart w:id="155" w:name="_Toc341780653"/>
            <w:bookmarkStart w:id="156" w:name="_Toc342578261"/>
            <w:r>
              <w:rPr>
                <w:rStyle w:val="Emphasis"/>
                <w:rFonts w:ascii="Calibri" w:eastAsiaTheme="majorEastAsia" w:hAnsi="Calibri" w:cs="Calibri"/>
                <w:bCs w:val="0"/>
                <w:i w:val="0"/>
                <w:caps w:val="0"/>
                <w:color w:val="auto"/>
                <w:kern w:val="0"/>
                <w:sz w:val="22"/>
                <w:szCs w:val="22"/>
              </w:rPr>
              <w:t>FMA Act</w:t>
            </w:r>
            <w:bookmarkEnd w:id="154"/>
            <w:bookmarkEnd w:id="155"/>
            <w:bookmarkEnd w:id="156"/>
          </w:p>
        </w:tc>
        <w:tc>
          <w:tcPr>
            <w:tcW w:w="5306" w:type="dxa"/>
          </w:tcPr>
          <w:p w:rsidR="00111216" w:rsidRPr="005D4DF3" w:rsidRDefault="00111216" w:rsidP="00111216">
            <w:pPr>
              <w:pStyle w:val="HawkeReviewheading"/>
              <w:spacing w:after="120" w:afterAutospacing="0"/>
              <w:rPr>
                <w:rStyle w:val="Emphasis"/>
                <w:rFonts w:ascii="Calibri" w:eastAsiaTheme="majorEastAsia" w:hAnsi="Calibri" w:cs="Calibri"/>
                <w:bCs w:val="0"/>
                <w:iCs w:val="0"/>
                <w:caps w:val="0"/>
                <w:color w:val="auto"/>
                <w:kern w:val="0"/>
                <w:sz w:val="22"/>
                <w:szCs w:val="22"/>
              </w:rPr>
            </w:pPr>
            <w:bookmarkStart w:id="157" w:name="_Toc341777894"/>
            <w:bookmarkStart w:id="158" w:name="_Toc341780654"/>
            <w:bookmarkStart w:id="159" w:name="_Toc342578262"/>
            <w:r w:rsidRPr="005D4DF3">
              <w:rPr>
                <w:rStyle w:val="Emphasis"/>
                <w:rFonts w:ascii="Calibri" w:eastAsiaTheme="majorEastAsia" w:hAnsi="Calibri" w:cs="Calibri"/>
                <w:bCs w:val="0"/>
                <w:caps w:val="0"/>
                <w:color w:val="auto"/>
                <w:kern w:val="0"/>
                <w:sz w:val="22"/>
                <w:szCs w:val="22"/>
              </w:rPr>
              <w:t>Financial Management and Accountability Act 1997</w:t>
            </w:r>
            <w:r w:rsidR="0049756C">
              <w:rPr>
                <w:rStyle w:val="Emphasis"/>
                <w:rFonts w:ascii="Calibri" w:eastAsiaTheme="majorEastAsia" w:hAnsi="Calibri" w:cs="Calibri"/>
                <w:bCs w:val="0"/>
                <w:caps w:val="0"/>
                <w:color w:val="auto"/>
                <w:kern w:val="0"/>
                <w:sz w:val="22"/>
                <w:szCs w:val="22"/>
              </w:rPr>
              <w:t>.</w:t>
            </w:r>
            <w:bookmarkEnd w:id="157"/>
            <w:bookmarkEnd w:id="158"/>
            <w:bookmarkEnd w:id="159"/>
          </w:p>
        </w:tc>
      </w:tr>
      <w:tr w:rsidR="004D137C" w:rsidRPr="005D4DF3" w:rsidTr="00111216">
        <w:tc>
          <w:tcPr>
            <w:tcW w:w="3652" w:type="dxa"/>
          </w:tcPr>
          <w:p w:rsidR="004D137C" w:rsidRDefault="004D137C" w:rsidP="00111216">
            <w:pPr>
              <w:pStyle w:val="HawkeReviewheading"/>
              <w:spacing w:after="120" w:afterAutospacing="0"/>
              <w:rPr>
                <w:rStyle w:val="Emphasis"/>
                <w:rFonts w:ascii="Calibri" w:eastAsiaTheme="majorEastAsia" w:hAnsi="Calibri" w:cs="Calibri"/>
                <w:bCs w:val="0"/>
                <w:i w:val="0"/>
                <w:caps w:val="0"/>
                <w:color w:val="auto"/>
                <w:kern w:val="0"/>
                <w:sz w:val="22"/>
                <w:szCs w:val="22"/>
              </w:rPr>
            </w:pPr>
            <w:bookmarkStart w:id="160" w:name="_Toc341777895"/>
            <w:bookmarkStart w:id="161" w:name="_Toc341780655"/>
            <w:bookmarkStart w:id="162" w:name="_Toc342578263"/>
            <w:r>
              <w:rPr>
                <w:rStyle w:val="Emphasis"/>
                <w:rFonts w:ascii="Calibri" w:eastAsiaTheme="majorEastAsia" w:hAnsi="Calibri" w:cs="Calibri"/>
                <w:bCs w:val="0"/>
                <w:i w:val="0"/>
                <w:caps w:val="0"/>
                <w:color w:val="auto"/>
                <w:kern w:val="0"/>
                <w:sz w:val="22"/>
                <w:szCs w:val="22"/>
              </w:rPr>
              <w:t>FTE</w:t>
            </w:r>
            <w:bookmarkEnd w:id="160"/>
            <w:bookmarkEnd w:id="161"/>
            <w:bookmarkEnd w:id="162"/>
          </w:p>
        </w:tc>
        <w:tc>
          <w:tcPr>
            <w:tcW w:w="5306" w:type="dxa"/>
          </w:tcPr>
          <w:p w:rsidR="004D137C" w:rsidRPr="005D4DF3" w:rsidRDefault="004D137C" w:rsidP="00111216">
            <w:pPr>
              <w:pStyle w:val="HawkeReviewheading"/>
              <w:spacing w:after="120" w:afterAutospacing="0"/>
              <w:rPr>
                <w:rStyle w:val="Emphasis"/>
                <w:rFonts w:ascii="Calibri" w:eastAsiaTheme="majorEastAsia" w:hAnsi="Calibri" w:cs="Calibri"/>
                <w:bCs w:val="0"/>
                <w:i w:val="0"/>
                <w:caps w:val="0"/>
                <w:color w:val="auto"/>
                <w:kern w:val="0"/>
                <w:sz w:val="22"/>
                <w:szCs w:val="22"/>
              </w:rPr>
            </w:pPr>
            <w:bookmarkStart w:id="163" w:name="_Toc341777896"/>
            <w:bookmarkStart w:id="164" w:name="_Toc341780656"/>
            <w:bookmarkStart w:id="165" w:name="_Toc342578264"/>
            <w:r>
              <w:rPr>
                <w:rStyle w:val="Emphasis"/>
                <w:rFonts w:ascii="Calibri" w:eastAsiaTheme="majorEastAsia" w:hAnsi="Calibri" w:cs="Calibri"/>
                <w:bCs w:val="0"/>
                <w:i w:val="0"/>
                <w:caps w:val="0"/>
                <w:color w:val="auto"/>
                <w:kern w:val="0"/>
                <w:sz w:val="22"/>
                <w:szCs w:val="22"/>
              </w:rPr>
              <w:t>Full Time Equivalent</w:t>
            </w:r>
            <w:r w:rsidR="0049756C">
              <w:rPr>
                <w:rStyle w:val="Emphasis"/>
                <w:rFonts w:ascii="Calibri" w:eastAsiaTheme="majorEastAsia" w:hAnsi="Calibri" w:cs="Calibri"/>
                <w:bCs w:val="0"/>
                <w:i w:val="0"/>
                <w:caps w:val="0"/>
                <w:color w:val="auto"/>
                <w:kern w:val="0"/>
                <w:sz w:val="22"/>
                <w:szCs w:val="22"/>
              </w:rPr>
              <w:t>.</w:t>
            </w:r>
            <w:bookmarkEnd w:id="163"/>
            <w:bookmarkEnd w:id="164"/>
            <w:bookmarkEnd w:id="165"/>
          </w:p>
        </w:tc>
      </w:tr>
      <w:tr w:rsidR="00111216" w:rsidRPr="005D4DF3" w:rsidTr="00111216">
        <w:tc>
          <w:tcPr>
            <w:tcW w:w="3652" w:type="dxa"/>
          </w:tcPr>
          <w:p w:rsidR="00111216" w:rsidRPr="004C2C1A" w:rsidRDefault="009B1702" w:rsidP="00111216">
            <w:pPr>
              <w:pStyle w:val="HawkeReviewheading"/>
              <w:spacing w:after="120" w:afterAutospacing="0"/>
              <w:rPr>
                <w:rStyle w:val="Emphasis"/>
                <w:rFonts w:ascii="Calibri" w:eastAsiaTheme="majorEastAsia" w:hAnsi="Calibri" w:cs="Calibri"/>
                <w:bCs w:val="0"/>
                <w:i w:val="0"/>
                <w:iCs w:val="0"/>
                <w:caps w:val="0"/>
                <w:color w:val="auto"/>
                <w:kern w:val="0"/>
                <w:sz w:val="22"/>
                <w:szCs w:val="22"/>
              </w:rPr>
            </w:pPr>
            <w:bookmarkStart w:id="166" w:name="_Toc341777897"/>
            <w:bookmarkStart w:id="167" w:name="_Toc341780657"/>
            <w:bookmarkStart w:id="168" w:name="_Toc342578265"/>
            <w:r>
              <w:rPr>
                <w:rStyle w:val="Emphasis"/>
                <w:rFonts w:ascii="Calibri" w:eastAsiaTheme="majorEastAsia" w:hAnsi="Calibri" w:cs="Calibri"/>
                <w:bCs w:val="0"/>
                <w:i w:val="0"/>
                <w:caps w:val="0"/>
                <w:color w:val="auto"/>
                <w:kern w:val="0"/>
                <w:sz w:val="22"/>
                <w:szCs w:val="22"/>
              </w:rPr>
              <w:t>Licensees</w:t>
            </w:r>
            <w:bookmarkEnd w:id="166"/>
            <w:bookmarkEnd w:id="167"/>
            <w:bookmarkEnd w:id="168"/>
          </w:p>
        </w:tc>
        <w:tc>
          <w:tcPr>
            <w:tcW w:w="5306" w:type="dxa"/>
          </w:tcPr>
          <w:p w:rsidR="00111216" w:rsidRPr="005D4DF3" w:rsidRDefault="00111216" w:rsidP="00111216">
            <w:pPr>
              <w:pStyle w:val="HawkeReviewheading"/>
              <w:spacing w:after="120" w:afterAutospacing="0"/>
              <w:rPr>
                <w:rStyle w:val="Emphasis"/>
                <w:rFonts w:ascii="Calibri" w:eastAsiaTheme="majorEastAsia" w:hAnsi="Calibri" w:cs="Calibri"/>
                <w:bCs w:val="0"/>
                <w:i w:val="0"/>
                <w:iCs w:val="0"/>
                <w:caps w:val="0"/>
                <w:color w:val="auto"/>
                <w:kern w:val="0"/>
                <w:sz w:val="22"/>
                <w:szCs w:val="22"/>
              </w:rPr>
            </w:pPr>
            <w:bookmarkStart w:id="169" w:name="_Toc341777898"/>
            <w:bookmarkStart w:id="170" w:name="_Toc341780658"/>
            <w:bookmarkStart w:id="171" w:name="_Toc342578266"/>
            <w:r w:rsidRPr="005D4DF3">
              <w:rPr>
                <w:rStyle w:val="Emphasis"/>
                <w:rFonts w:ascii="Calibri" w:eastAsiaTheme="majorEastAsia" w:hAnsi="Calibri" w:cs="Calibri"/>
                <w:bCs w:val="0"/>
                <w:i w:val="0"/>
                <w:caps w:val="0"/>
                <w:color w:val="auto"/>
                <w:kern w:val="0"/>
                <w:sz w:val="22"/>
                <w:szCs w:val="22"/>
              </w:rPr>
              <w:t xml:space="preserve">Corporations granted a self insurance licence pursuant to the provisions of the </w:t>
            </w:r>
            <w:r w:rsidR="004306FE" w:rsidRPr="004306FE">
              <w:rPr>
                <w:rStyle w:val="Emphasis"/>
                <w:rFonts w:ascii="Calibri" w:eastAsiaTheme="majorEastAsia" w:hAnsi="Calibri" w:cs="Calibri"/>
                <w:bCs w:val="0"/>
                <w:caps w:val="0"/>
                <w:color w:val="auto"/>
                <w:kern w:val="0"/>
                <w:sz w:val="22"/>
                <w:szCs w:val="22"/>
              </w:rPr>
              <w:t>Safety, Rehabilitation and Compensation Act 1988</w:t>
            </w:r>
            <w:r w:rsidRPr="005D4DF3">
              <w:rPr>
                <w:rStyle w:val="Emphasis"/>
                <w:rFonts w:ascii="Calibri" w:eastAsiaTheme="majorEastAsia" w:hAnsi="Calibri" w:cs="Calibri"/>
                <w:bCs w:val="0"/>
                <w:i w:val="0"/>
                <w:caps w:val="0"/>
                <w:color w:val="auto"/>
                <w:kern w:val="0"/>
                <w:sz w:val="22"/>
                <w:szCs w:val="22"/>
              </w:rPr>
              <w:t>.</w:t>
            </w:r>
            <w:bookmarkEnd w:id="169"/>
            <w:bookmarkEnd w:id="170"/>
            <w:bookmarkEnd w:id="171"/>
          </w:p>
        </w:tc>
      </w:tr>
      <w:tr w:rsidR="00177508" w:rsidRPr="005D4DF3" w:rsidTr="00111216">
        <w:tc>
          <w:tcPr>
            <w:tcW w:w="3652" w:type="dxa"/>
          </w:tcPr>
          <w:p w:rsidR="00177508" w:rsidRPr="006F7EAC" w:rsidRDefault="00177508" w:rsidP="00FB0AF8">
            <w:pPr>
              <w:pStyle w:val="HawkeReviewheading"/>
              <w:spacing w:after="120" w:afterAutospacing="0"/>
              <w:rPr>
                <w:rFonts w:ascii="Calibri" w:hAnsi="Calibri" w:cs="Calibri"/>
                <w:color w:val="auto"/>
                <w:sz w:val="22"/>
                <w:szCs w:val="22"/>
              </w:rPr>
            </w:pPr>
            <w:bookmarkStart w:id="172" w:name="_Toc341777899"/>
            <w:bookmarkStart w:id="173" w:name="_Toc341780659"/>
            <w:bookmarkStart w:id="174" w:name="_Toc342578267"/>
            <w:r>
              <w:rPr>
                <w:rFonts w:ascii="Calibri" w:hAnsi="Calibri" w:cs="Calibri"/>
                <w:color w:val="auto"/>
                <w:sz w:val="22"/>
                <w:szCs w:val="22"/>
              </w:rPr>
              <w:t>LIP</w:t>
            </w:r>
            <w:bookmarkEnd w:id="172"/>
            <w:bookmarkEnd w:id="173"/>
            <w:bookmarkEnd w:id="174"/>
          </w:p>
        </w:tc>
        <w:tc>
          <w:tcPr>
            <w:tcW w:w="5306" w:type="dxa"/>
          </w:tcPr>
          <w:p w:rsidR="00177508" w:rsidRPr="00B501AA" w:rsidRDefault="007502DE" w:rsidP="00177508">
            <w:pPr>
              <w:pStyle w:val="HawkeReviewheading"/>
              <w:spacing w:after="120" w:afterAutospacing="0"/>
              <w:rPr>
                <w:rStyle w:val="Emphasis"/>
                <w:rFonts w:ascii="Calibri" w:eastAsiaTheme="majorEastAsia" w:hAnsi="Calibri" w:cs="Calibri"/>
                <w:bCs w:val="0"/>
                <w:i w:val="0"/>
                <w:caps w:val="0"/>
                <w:color w:val="auto"/>
                <w:kern w:val="0"/>
                <w:sz w:val="22"/>
                <w:szCs w:val="22"/>
              </w:rPr>
            </w:pPr>
            <w:bookmarkStart w:id="175" w:name="_Toc341777900"/>
            <w:bookmarkStart w:id="176" w:name="_Toc341780660"/>
            <w:bookmarkStart w:id="177" w:name="_Toc342578268"/>
            <w:r w:rsidRPr="005D15C9">
              <w:rPr>
                <w:rStyle w:val="Emphasis"/>
                <w:rFonts w:ascii="Calibri" w:eastAsiaTheme="majorEastAsia" w:hAnsi="Calibri" w:cs="Calibri"/>
                <w:bCs w:val="0"/>
                <w:i w:val="0"/>
                <w:caps w:val="0"/>
                <w:color w:val="auto"/>
                <w:kern w:val="0"/>
                <w:sz w:val="22"/>
                <w:szCs w:val="22"/>
              </w:rPr>
              <w:t>Licensee Improvement Program</w:t>
            </w:r>
            <w:r w:rsidR="0049756C" w:rsidRPr="00B501AA">
              <w:rPr>
                <w:rStyle w:val="Emphasis"/>
                <w:rFonts w:ascii="Calibri" w:eastAsiaTheme="majorEastAsia" w:hAnsi="Calibri" w:cs="Calibri"/>
                <w:bCs w:val="0"/>
                <w:i w:val="0"/>
                <w:caps w:val="0"/>
                <w:color w:val="auto"/>
                <w:kern w:val="0"/>
                <w:sz w:val="22"/>
                <w:szCs w:val="22"/>
              </w:rPr>
              <w:t>.</w:t>
            </w:r>
            <w:bookmarkEnd w:id="175"/>
            <w:bookmarkEnd w:id="176"/>
            <w:bookmarkEnd w:id="177"/>
          </w:p>
        </w:tc>
      </w:tr>
      <w:tr w:rsidR="00E740AC" w:rsidRPr="005D4DF3" w:rsidTr="00111216">
        <w:tc>
          <w:tcPr>
            <w:tcW w:w="3652" w:type="dxa"/>
          </w:tcPr>
          <w:p w:rsidR="00E740AC" w:rsidRPr="00FB7F70" w:rsidRDefault="00E740AC" w:rsidP="00FB0AF8">
            <w:pPr>
              <w:pStyle w:val="HawkeReviewheading"/>
              <w:spacing w:after="120" w:afterAutospacing="0"/>
              <w:rPr>
                <w:rFonts w:ascii="Calibri" w:hAnsi="Calibri" w:cs="Calibri"/>
                <w:color w:val="auto"/>
                <w:sz w:val="22"/>
                <w:szCs w:val="22"/>
              </w:rPr>
            </w:pPr>
            <w:bookmarkStart w:id="178" w:name="_Toc341777901"/>
            <w:bookmarkStart w:id="179" w:name="_Toc341780661"/>
            <w:bookmarkStart w:id="180" w:name="_Toc342578269"/>
            <w:r>
              <w:rPr>
                <w:rFonts w:ascii="Calibri" w:hAnsi="Calibri" w:cs="Calibri"/>
                <w:color w:val="auto"/>
                <w:sz w:val="22"/>
                <w:szCs w:val="22"/>
              </w:rPr>
              <w:t>MRCA</w:t>
            </w:r>
            <w:bookmarkEnd w:id="178"/>
            <w:bookmarkEnd w:id="179"/>
            <w:bookmarkEnd w:id="180"/>
          </w:p>
        </w:tc>
        <w:tc>
          <w:tcPr>
            <w:tcW w:w="5306" w:type="dxa"/>
          </w:tcPr>
          <w:p w:rsidR="00E740AC" w:rsidRPr="00E740AC" w:rsidRDefault="00E740AC" w:rsidP="00111216">
            <w:pPr>
              <w:pStyle w:val="HawkeReviewheading"/>
              <w:spacing w:after="120" w:afterAutospacing="0"/>
              <w:rPr>
                <w:rStyle w:val="Emphasis"/>
                <w:rFonts w:ascii="Calibri" w:eastAsiaTheme="majorEastAsia" w:hAnsi="Calibri" w:cs="Calibri"/>
                <w:bCs w:val="0"/>
                <w:caps w:val="0"/>
                <w:color w:val="auto"/>
                <w:kern w:val="0"/>
                <w:sz w:val="22"/>
                <w:szCs w:val="22"/>
              </w:rPr>
            </w:pPr>
            <w:bookmarkStart w:id="181" w:name="_Toc341777902"/>
            <w:bookmarkStart w:id="182" w:name="_Toc341780662"/>
            <w:bookmarkStart w:id="183" w:name="_Toc342578270"/>
            <w:r w:rsidRPr="00E740AC">
              <w:rPr>
                <w:rStyle w:val="Emphasis"/>
                <w:rFonts w:ascii="Calibri" w:eastAsiaTheme="majorEastAsia" w:hAnsi="Calibri" w:cs="Calibri"/>
                <w:bCs w:val="0"/>
                <w:caps w:val="0"/>
                <w:color w:val="auto"/>
                <w:kern w:val="0"/>
                <w:sz w:val="22"/>
                <w:szCs w:val="22"/>
              </w:rPr>
              <w:t>Military Rehabilitation and Compensation Act 2004</w:t>
            </w:r>
            <w:r w:rsidR="00E16888">
              <w:rPr>
                <w:rStyle w:val="Emphasis"/>
                <w:rFonts w:ascii="Calibri" w:eastAsiaTheme="majorEastAsia" w:hAnsi="Calibri" w:cs="Calibri"/>
                <w:bCs w:val="0"/>
                <w:caps w:val="0"/>
                <w:color w:val="auto"/>
                <w:kern w:val="0"/>
                <w:sz w:val="22"/>
                <w:szCs w:val="22"/>
              </w:rPr>
              <w:t>.</w:t>
            </w:r>
            <w:bookmarkEnd w:id="181"/>
            <w:bookmarkEnd w:id="182"/>
            <w:bookmarkEnd w:id="183"/>
          </w:p>
        </w:tc>
      </w:tr>
      <w:tr w:rsidR="000B5FA8" w:rsidRPr="005D4DF3" w:rsidTr="00111216">
        <w:tc>
          <w:tcPr>
            <w:tcW w:w="3652" w:type="dxa"/>
          </w:tcPr>
          <w:p w:rsidR="000B5FA8" w:rsidRPr="0037358F" w:rsidRDefault="00A533F6" w:rsidP="00FB0AF8">
            <w:pPr>
              <w:pStyle w:val="HawkeReviewheading"/>
              <w:spacing w:after="120" w:afterAutospacing="0"/>
              <w:rPr>
                <w:rFonts w:ascii="Calibri" w:hAnsi="Calibri" w:cs="Calibri"/>
                <w:color w:val="auto"/>
                <w:sz w:val="22"/>
                <w:szCs w:val="22"/>
              </w:rPr>
            </w:pPr>
            <w:bookmarkStart w:id="184" w:name="_Toc341777903"/>
            <w:bookmarkStart w:id="185" w:name="_Toc341780663"/>
            <w:bookmarkStart w:id="186" w:name="_Toc342578271"/>
            <w:r w:rsidRPr="0037358F">
              <w:rPr>
                <w:rFonts w:ascii="Calibri" w:hAnsi="Calibri" w:cs="Calibri"/>
                <w:color w:val="auto"/>
                <w:sz w:val="22"/>
                <w:szCs w:val="22"/>
              </w:rPr>
              <w:t>MRCC</w:t>
            </w:r>
            <w:bookmarkEnd w:id="184"/>
            <w:bookmarkEnd w:id="185"/>
            <w:bookmarkEnd w:id="186"/>
          </w:p>
        </w:tc>
        <w:tc>
          <w:tcPr>
            <w:tcW w:w="5306" w:type="dxa"/>
          </w:tcPr>
          <w:p w:rsidR="000B5FA8" w:rsidRPr="005B71F1" w:rsidRDefault="000B5FA8" w:rsidP="00111216">
            <w:pPr>
              <w:pStyle w:val="HawkeReviewheading"/>
              <w:spacing w:after="120" w:afterAutospacing="0"/>
              <w:rPr>
                <w:rStyle w:val="Emphasis"/>
                <w:rFonts w:ascii="Calibri" w:eastAsiaTheme="majorEastAsia" w:hAnsi="Calibri" w:cs="Calibri"/>
                <w:bCs w:val="0"/>
                <w:i w:val="0"/>
                <w:caps w:val="0"/>
                <w:color w:val="auto"/>
                <w:kern w:val="0"/>
                <w:sz w:val="22"/>
                <w:szCs w:val="22"/>
              </w:rPr>
            </w:pPr>
            <w:bookmarkStart w:id="187" w:name="_Toc341777904"/>
            <w:bookmarkStart w:id="188" w:name="_Toc341780664"/>
            <w:bookmarkStart w:id="189" w:name="_Toc342578272"/>
            <w:r w:rsidRPr="005B71F1">
              <w:rPr>
                <w:rStyle w:val="Emphasis"/>
                <w:rFonts w:ascii="Calibri" w:eastAsiaTheme="majorEastAsia" w:hAnsi="Calibri" w:cs="Calibri"/>
                <w:bCs w:val="0"/>
                <w:i w:val="0"/>
                <w:caps w:val="0"/>
                <w:color w:val="auto"/>
                <w:kern w:val="0"/>
                <w:sz w:val="22"/>
                <w:szCs w:val="22"/>
              </w:rPr>
              <w:t>Military Rehabilitation and Compensation Commission</w:t>
            </w:r>
            <w:r w:rsidR="0049756C">
              <w:rPr>
                <w:rStyle w:val="Emphasis"/>
                <w:rFonts w:ascii="Calibri" w:eastAsiaTheme="majorEastAsia" w:hAnsi="Calibri" w:cs="Calibri"/>
                <w:bCs w:val="0"/>
                <w:i w:val="0"/>
                <w:caps w:val="0"/>
                <w:color w:val="auto"/>
                <w:kern w:val="0"/>
                <w:sz w:val="22"/>
                <w:szCs w:val="22"/>
              </w:rPr>
              <w:t>.</w:t>
            </w:r>
            <w:bookmarkEnd w:id="187"/>
            <w:bookmarkEnd w:id="188"/>
            <w:bookmarkEnd w:id="189"/>
          </w:p>
        </w:tc>
      </w:tr>
    </w:tbl>
    <w:p w:rsidR="002516A0" w:rsidRDefault="002516A0">
      <w:bookmarkStart w:id="190" w:name="_Toc341777905"/>
      <w:bookmarkStart w:id="191" w:name="_Toc341780665"/>
      <w:r>
        <w:rPr>
          <w:bCs/>
          <w:caps/>
        </w:rPr>
        <w:br w:type="page"/>
      </w:r>
    </w:p>
    <w:tbl>
      <w:tblPr>
        <w:tblW w:w="0" w:type="auto"/>
        <w:tblLook w:val="04A0" w:firstRow="1" w:lastRow="0" w:firstColumn="1" w:lastColumn="0" w:noHBand="0" w:noVBand="1"/>
      </w:tblPr>
      <w:tblGrid>
        <w:gridCol w:w="3652"/>
        <w:gridCol w:w="5306"/>
      </w:tblGrid>
      <w:tr w:rsidR="00111216" w:rsidRPr="005D4DF3" w:rsidTr="00111216">
        <w:tc>
          <w:tcPr>
            <w:tcW w:w="3652" w:type="dxa"/>
          </w:tcPr>
          <w:p w:rsidR="00111216" w:rsidRPr="005D4DF3" w:rsidRDefault="00111216" w:rsidP="00111216">
            <w:pPr>
              <w:pStyle w:val="HawkeReviewheading"/>
              <w:spacing w:after="120" w:afterAutospacing="0"/>
              <w:rPr>
                <w:rStyle w:val="Emphasis"/>
                <w:rFonts w:ascii="Calibri" w:eastAsiaTheme="majorEastAsia" w:hAnsi="Calibri" w:cs="Calibri"/>
                <w:bCs w:val="0"/>
                <w:i w:val="0"/>
                <w:iCs w:val="0"/>
                <w:caps w:val="0"/>
                <w:color w:val="auto"/>
                <w:kern w:val="0"/>
                <w:sz w:val="22"/>
                <w:szCs w:val="22"/>
              </w:rPr>
            </w:pPr>
            <w:bookmarkStart w:id="192" w:name="_Toc342578273"/>
            <w:r w:rsidRPr="005D4DF3">
              <w:rPr>
                <w:rStyle w:val="Emphasis"/>
                <w:rFonts w:ascii="Calibri" w:eastAsiaTheme="majorEastAsia" w:hAnsi="Calibri" w:cs="Calibri"/>
                <w:bCs w:val="0"/>
                <w:i w:val="0"/>
                <w:caps w:val="0"/>
                <w:color w:val="auto"/>
                <w:kern w:val="0"/>
                <w:sz w:val="22"/>
                <w:szCs w:val="22"/>
              </w:rPr>
              <w:lastRenderedPageBreak/>
              <w:t>Premium payers</w:t>
            </w:r>
            <w:bookmarkEnd w:id="190"/>
            <w:bookmarkEnd w:id="191"/>
            <w:bookmarkEnd w:id="192"/>
          </w:p>
        </w:tc>
        <w:tc>
          <w:tcPr>
            <w:tcW w:w="5306" w:type="dxa"/>
          </w:tcPr>
          <w:p w:rsidR="00111216" w:rsidRPr="005D4DF3" w:rsidRDefault="00111216" w:rsidP="00111216">
            <w:pPr>
              <w:pStyle w:val="HawkeReviewheading"/>
              <w:spacing w:after="120" w:afterAutospacing="0"/>
              <w:rPr>
                <w:rStyle w:val="Emphasis"/>
                <w:rFonts w:ascii="Calibri" w:eastAsiaTheme="majorEastAsia" w:hAnsi="Calibri" w:cs="Calibri"/>
                <w:bCs w:val="0"/>
                <w:i w:val="0"/>
                <w:iCs w:val="0"/>
                <w:caps w:val="0"/>
                <w:color w:val="auto"/>
                <w:kern w:val="0"/>
                <w:sz w:val="22"/>
                <w:szCs w:val="22"/>
              </w:rPr>
            </w:pPr>
            <w:bookmarkStart w:id="193" w:name="_Toc341777906"/>
            <w:bookmarkStart w:id="194" w:name="_Toc341780666"/>
            <w:bookmarkStart w:id="195" w:name="_Toc342578274"/>
            <w:r w:rsidRPr="005D4DF3">
              <w:rPr>
                <w:rStyle w:val="Emphasis"/>
                <w:rFonts w:ascii="Calibri" w:eastAsiaTheme="majorEastAsia" w:hAnsi="Calibri" w:cs="Calibri"/>
                <w:bCs w:val="0"/>
                <w:i w:val="0"/>
                <w:caps w:val="0"/>
                <w:color w:val="auto"/>
                <w:kern w:val="0"/>
                <w:sz w:val="22"/>
                <w:szCs w:val="22"/>
              </w:rPr>
              <w:t>Australian Government agencies and the ACT Government who pay premiums to Comcare.</w:t>
            </w:r>
            <w:bookmarkEnd w:id="193"/>
            <w:bookmarkEnd w:id="194"/>
            <w:bookmarkEnd w:id="195"/>
          </w:p>
        </w:tc>
      </w:tr>
      <w:tr w:rsidR="0034266C" w:rsidRPr="005D4DF3" w:rsidTr="00111216">
        <w:tc>
          <w:tcPr>
            <w:tcW w:w="3652" w:type="dxa"/>
          </w:tcPr>
          <w:p w:rsidR="0034266C" w:rsidRPr="005D4DF3" w:rsidRDefault="0034266C" w:rsidP="00111216">
            <w:pPr>
              <w:pStyle w:val="HawkeReviewheading"/>
              <w:spacing w:after="120" w:afterAutospacing="0"/>
              <w:rPr>
                <w:rStyle w:val="Emphasis"/>
                <w:rFonts w:ascii="Calibri" w:eastAsiaTheme="majorEastAsia" w:hAnsi="Calibri" w:cs="Calibri"/>
                <w:bCs w:val="0"/>
                <w:i w:val="0"/>
                <w:caps w:val="0"/>
                <w:color w:val="auto"/>
                <w:kern w:val="0"/>
                <w:sz w:val="22"/>
                <w:szCs w:val="22"/>
              </w:rPr>
            </w:pPr>
            <w:bookmarkStart w:id="196" w:name="_Toc341777907"/>
            <w:bookmarkStart w:id="197" w:name="_Toc341780667"/>
            <w:bookmarkStart w:id="198" w:name="_Toc342578275"/>
            <w:r>
              <w:rPr>
                <w:rStyle w:val="Emphasis"/>
                <w:rFonts w:ascii="Calibri" w:eastAsiaTheme="majorEastAsia" w:hAnsi="Calibri" w:cs="Calibri"/>
                <w:bCs w:val="0"/>
                <w:i w:val="0"/>
                <w:caps w:val="0"/>
                <w:color w:val="auto"/>
                <w:kern w:val="0"/>
                <w:sz w:val="22"/>
                <w:szCs w:val="22"/>
              </w:rPr>
              <w:t>Premium scheme</w:t>
            </w:r>
            <w:bookmarkEnd w:id="196"/>
            <w:bookmarkEnd w:id="197"/>
            <w:bookmarkEnd w:id="198"/>
          </w:p>
        </w:tc>
        <w:tc>
          <w:tcPr>
            <w:tcW w:w="5306" w:type="dxa"/>
          </w:tcPr>
          <w:p w:rsidR="0034266C" w:rsidRPr="005D4DF3" w:rsidRDefault="0034266C" w:rsidP="00111216">
            <w:pPr>
              <w:pStyle w:val="HawkeReviewheading"/>
              <w:spacing w:after="120" w:afterAutospacing="0"/>
              <w:rPr>
                <w:rStyle w:val="Emphasis"/>
                <w:rFonts w:ascii="Calibri" w:eastAsiaTheme="majorEastAsia" w:hAnsi="Calibri" w:cs="Calibri"/>
                <w:bCs w:val="0"/>
                <w:i w:val="0"/>
                <w:caps w:val="0"/>
                <w:color w:val="auto"/>
                <w:kern w:val="0"/>
                <w:sz w:val="22"/>
                <w:szCs w:val="22"/>
              </w:rPr>
            </w:pPr>
            <w:bookmarkStart w:id="199" w:name="_Toc341777908"/>
            <w:bookmarkStart w:id="200" w:name="_Toc341780668"/>
            <w:bookmarkStart w:id="201" w:name="_Toc342578276"/>
            <w:r>
              <w:rPr>
                <w:rStyle w:val="Emphasis"/>
                <w:rFonts w:ascii="Calibri" w:eastAsiaTheme="majorEastAsia" w:hAnsi="Calibri" w:cs="Calibri"/>
                <w:bCs w:val="0"/>
                <w:i w:val="0"/>
                <w:caps w:val="0"/>
                <w:color w:val="auto"/>
                <w:kern w:val="0"/>
                <w:sz w:val="22"/>
                <w:szCs w:val="22"/>
              </w:rPr>
              <w:t>That part of the Comcare scheme that deals with the premium payers</w:t>
            </w:r>
            <w:r w:rsidR="0049756C">
              <w:rPr>
                <w:rStyle w:val="Emphasis"/>
                <w:rFonts w:ascii="Calibri" w:eastAsiaTheme="majorEastAsia" w:hAnsi="Calibri" w:cs="Calibri"/>
                <w:bCs w:val="0"/>
                <w:i w:val="0"/>
                <w:caps w:val="0"/>
                <w:color w:val="auto"/>
                <w:kern w:val="0"/>
                <w:sz w:val="22"/>
                <w:szCs w:val="22"/>
              </w:rPr>
              <w:t>.</w:t>
            </w:r>
            <w:bookmarkEnd w:id="199"/>
            <w:bookmarkEnd w:id="200"/>
            <w:bookmarkEnd w:id="201"/>
          </w:p>
        </w:tc>
      </w:tr>
      <w:tr w:rsidR="00AA4E0B" w:rsidRPr="005D4DF3" w:rsidTr="00111216">
        <w:tc>
          <w:tcPr>
            <w:tcW w:w="3652" w:type="dxa"/>
          </w:tcPr>
          <w:p w:rsidR="00AA4E0B" w:rsidRDefault="00AA4E0B" w:rsidP="00111216">
            <w:pPr>
              <w:pStyle w:val="HawkeReviewheading"/>
              <w:spacing w:after="120" w:afterAutospacing="0"/>
              <w:rPr>
                <w:rStyle w:val="Emphasis"/>
                <w:rFonts w:ascii="Calibri" w:eastAsiaTheme="majorEastAsia" w:hAnsi="Calibri" w:cs="Calibri"/>
                <w:bCs w:val="0"/>
                <w:i w:val="0"/>
                <w:caps w:val="0"/>
                <w:color w:val="auto"/>
                <w:kern w:val="0"/>
                <w:sz w:val="22"/>
                <w:szCs w:val="22"/>
              </w:rPr>
            </w:pPr>
            <w:bookmarkStart w:id="202" w:name="_Toc341777909"/>
            <w:bookmarkStart w:id="203" w:name="_Toc341780669"/>
            <w:bookmarkStart w:id="204" w:name="_Toc342578277"/>
            <w:r>
              <w:rPr>
                <w:rStyle w:val="Emphasis"/>
                <w:rFonts w:ascii="Calibri" w:eastAsiaTheme="majorEastAsia" w:hAnsi="Calibri" w:cs="Calibri"/>
                <w:bCs w:val="0"/>
                <w:i w:val="0"/>
                <w:caps w:val="0"/>
                <w:color w:val="auto"/>
                <w:kern w:val="0"/>
                <w:sz w:val="22"/>
                <w:szCs w:val="22"/>
              </w:rPr>
              <w:t>PSE</w:t>
            </w:r>
            <w:bookmarkEnd w:id="202"/>
            <w:bookmarkEnd w:id="203"/>
            <w:bookmarkEnd w:id="204"/>
          </w:p>
        </w:tc>
        <w:tc>
          <w:tcPr>
            <w:tcW w:w="5306" w:type="dxa"/>
          </w:tcPr>
          <w:p w:rsidR="00AA4E0B" w:rsidRDefault="00AA4E0B" w:rsidP="00111216">
            <w:pPr>
              <w:pStyle w:val="HawkeReviewheading"/>
              <w:spacing w:after="120" w:afterAutospacing="0"/>
              <w:rPr>
                <w:rStyle w:val="Emphasis"/>
                <w:rFonts w:ascii="Calibri" w:eastAsiaTheme="majorEastAsia" w:hAnsi="Calibri" w:cs="Calibri"/>
                <w:bCs w:val="0"/>
                <w:i w:val="0"/>
                <w:caps w:val="0"/>
                <w:color w:val="auto"/>
                <w:kern w:val="0"/>
                <w:sz w:val="22"/>
                <w:szCs w:val="22"/>
              </w:rPr>
            </w:pPr>
            <w:bookmarkStart w:id="205" w:name="_Toc341777910"/>
            <w:bookmarkStart w:id="206" w:name="_Toc341780670"/>
            <w:bookmarkStart w:id="207" w:name="_Toc342578278"/>
            <w:r>
              <w:rPr>
                <w:rStyle w:val="Emphasis"/>
                <w:rFonts w:ascii="Calibri" w:eastAsiaTheme="majorEastAsia" w:hAnsi="Calibri" w:cs="Calibri"/>
                <w:bCs w:val="0"/>
                <w:i w:val="0"/>
                <w:caps w:val="0"/>
                <w:color w:val="auto"/>
                <w:kern w:val="0"/>
                <w:sz w:val="22"/>
                <w:szCs w:val="22"/>
              </w:rPr>
              <w:t>Project Service Excellence</w:t>
            </w:r>
            <w:r w:rsidR="0049756C">
              <w:rPr>
                <w:rStyle w:val="Emphasis"/>
                <w:rFonts w:ascii="Calibri" w:eastAsiaTheme="majorEastAsia" w:hAnsi="Calibri" w:cs="Calibri"/>
                <w:bCs w:val="0"/>
                <w:i w:val="0"/>
                <w:caps w:val="0"/>
                <w:color w:val="auto"/>
                <w:kern w:val="0"/>
                <w:sz w:val="22"/>
                <w:szCs w:val="22"/>
              </w:rPr>
              <w:t>.</w:t>
            </w:r>
            <w:bookmarkEnd w:id="205"/>
            <w:bookmarkEnd w:id="206"/>
            <w:bookmarkEnd w:id="207"/>
          </w:p>
        </w:tc>
      </w:tr>
      <w:tr w:rsidR="00AA4E0B" w:rsidRPr="005D4DF3" w:rsidTr="00111216">
        <w:tc>
          <w:tcPr>
            <w:tcW w:w="3652" w:type="dxa"/>
          </w:tcPr>
          <w:p w:rsidR="00AA4E0B" w:rsidRPr="005D4DF3" w:rsidRDefault="00AA4E0B" w:rsidP="00111216">
            <w:pPr>
              <w:pStyle w:val="HawkeReviewheading"/>
              <w:spacing w:after="120" w:afterAutospacing="0"/>
              <w:rPr>
                <w:rStyle w:val="Emphasis"/>
                <w:rFonts w:ascii="Calibri" w:eastAsiaTheme="majorEastAsia" w:hAnsi="Calibri" w:cs="Calibri"/>
                <w:bCs w:val="0"/>
                <w:i w:val="0"/>
                <w:caps w:val="0"/>
                <w:color w:val="auto"/>
                <w:kern w:val="0"/>
                <w:sz w:val="22"/>
                <w:szCs w:val="22"/>
              </w:rPr>
            </w:pPr>
            <w:bookmarkStart w:id="208" w:name="_Toc341777911"/>
            <w:bookmarkStart w:id="209" w:name="_Toc341780671"/>
            <w:bookmarkStart w:id="210" w:name="_Toc342578279"/>
            <w:r>
              <w:rPr>
                <w:rStyle w:val="Emphasis"/>
                <w:rFonts w:ascii="Calibri" w:eastAsiaTheme="majorEastAsia" w:hAnsi="Calibri" w:cs="Calibri"/>
                <w:bCs w:val="0"/>
                <w:i w:val="0"/>
                <w:caps w:val="0"/>
                <w:color w:val="auto"/>
                <w:kern w:val="0"/>
                <w:sz w:val="22"/>
                <w:szCs w:val="22"/>
              </w:rPr>
              <w:t>RSSG</w:t>
            </w:r>
            <w:bookmarkEnd w:id="208"/>
            <w:bookmarkEnd w:id="209"/>
            <w:bookmarkEnd w:id="210"/>
          </w:p>
        </w:tc>
        <w:tc>
          <w:tcPr>
            <w:tcW w:w="5306" w:type="dxa"/>
          </w:tcPr>
          <w:p w:rsidR="00AA4E0B" w:rsidRPr="00AA4E0B" w:rsidRDefault="00AA4E0B" w:rsidP="00111216">
            <w:pPr>
              <w:pStyle w:val="HawkeReviewheading"/>
              <w:spacing w:after="120" w:afterAutospacing="0"/>
              <w:rPr>
                <w:rStyle w:val="Emphasis"/>
                <w:rFonts w:ascii="Calibri" w:eastAsiaTheme="majorEastAsia" w:hAnsi="Calibri" w:cs="Calibri"/>
                <w:bCs w:val="0"/>
                <w:i w:val="0"/>
                <w:caps w:val="0"/>
                <w:color w:val="auto"/>
                <w:kern w:val="0"/>
                <w:sz w:val="22"/>
                <w:szCs w:val="22"/>
              </w:rPr>
            </w:pPr>
            <w:bookmarkStart w:id="211" w:name="_Toc341777912"/>
            <w:bookmarkStart w:id="212" w:name="_Toc341780672"/>
            <w:bookmarkStart w:id="213" w:name="_Toc342578280"/>
            <w:r>
              <w:rPr>
                <w:rStyle w:val="Emphasis"/>
                <w:rFonts w:ascii="Calibri" w:eastAsiaTheme="majorEastAsia" w:hAnsi="Calibri" w:cs="Calibri"/>
                <w:bCs w:val="0"/>
                <w:i w:val="0"/>
                <w:caps w:val="0"/>
                <w:color w:val="auto"/>
                <w:kern w:val="0"/>
                <w:sz w:val="22"/>
                <w:szCs w:val="22"/>
              </w:rPr>
              <w:t>Recovery and Support Services Group</w:t>
            </w:r>
            <w:r w:rsidR="0049756C">
              <w:rPr>
                <w:rStyle w:val="Emphasis"/>
                <w:rFonts w:ascii="Calibri" w:eastAsiaTheme="majorEastAsia" w:hAnsi="Calibri" w:cs="Calibri"/>
                <w:bCs w:val="0"/>
                <w:i w:val="0"/>
                <w:caps w:val="0"/>
                <w:color w:val="auto"/>
                <w:kern w:val="0"/>
                <w:sz w:val="22"/>
                <w:szCs w:val="22"/>
              </w:rPr>
              <w:t>.</w:t>
            </w:r>
            <w:bookmarkEnd w:id="211"/>
            <w:bookmarkEnd w:id="212"/>
            <w:bookmarkEnd w:id="213"/>
          </w:p>
        </w:tc>
      </w:tr>
      <w:tr w:rsidR="00F73551" w:rsidRPr="005D4DF3" w:rsidTr="00111216">
        <w:tc>
          <w:tcPr>
            <w:tcW w:w="3652" w:type="dxa"/>
          </w:tcPr>
          <w:p w:rsidR="00F73551" w:rsidRDefault="00F73551" w:rsidP="00111216">
            <w:pPr>
              <w:pStyle w:val="HawkeReviewheading"/>
              <w:spacing w:after="120" w:afterAutospacing="0"/>
              <w:rPr>
                <w:rStyle w:val="Emphasis"/>
                <w:rFonts w:ascii="Calibri" w:eastAsiaTheme="majorEastAsia" w:hAnsi="Calibri" w:cs="Calibri"/>
                <w:bCs w:val="0"/>
                <w:i w:val="0"/>
                <w:caps w:val="0"/>
                <w:color w:val="auto"/>
                <w:kern w:val="0"/>
                <w:sz w:val="22"/>
                <w:szCs w:val="22"/>
              </w:rPr>
            </w:pPr>
            <w:bookmarkStart w:id="214" w:name="_Toc341777913"/>
            <w:bookmarkStart w:id="215" w:name="_Toc341780673"/>
            <w:bookmarkStart w:id="216" w:name="_Toc342578281"/>
            <w:r>
              <w:rPr>
                <w:rStyle w:val="Emphasis"/>
                <w:rFonts w:ascii="Calibri" w:eastAsiaTheme="majorEastAsia" w:hAnsi="Calibri" w:cs="Calibri"/>
                <w:bCs w:val="0"/>
                <w:i w:val="0"/>
                <w:caps w:val="0"/>
                <w:color w:val="auto"/>
                <w:kern w:val="0"/>
                <w:sz w:val="22"/>
                <w:szCs w:val="22"/>
              </w:rPr>
              <w:t>RTW</w:t>
            </w:r>
            <w:bookmarkEnd w:id="214"/>
            <w:bookmarkEnd w:id="215"/>
            <w:bookmarkEnd w:id="216"/>
          </w:p>
        </w:tc>
        <w:tc>
          <w:tcPr>
            <w:tcW w:w="5306" w:type="dxa"/>
          </w:tcPr>
          <w:p w:rsidR="00F73551" w:rsidRDefault="00F73551" w:rsidP="00111216">
            <w:pPr>
              <w:pStyle w:val="HawkeReviewheading"/>
              <w:spacing w:after="120" w:afterAutospacing="0"/>
              <w:rPr>
                <w:rStyle w:val="Emphasis"/>
                <w:rFonts w:ascii="Calibri" w:eastAsiaTheme="majorEastAsia" w:hAnsi="Calibri" w:cs="Calibri"/>
                <w:bCs w:val="0"/>
                <w:i w:val="0"/>
                <w:caps w:val="0"/>
                <w:color w:val="auto"/>
                <w:kern w:val="0"/>
                <w:sz w:val="22"/>
                <w:szCs w:val="22"/>
              </w:rPr>
            </w:pPr>
            <w:bookmarkStart w:id="217" w:name="_Toc341777914"/>
            <w:bookmarkStart w:id="218" w:name="_Toc341780674"/>
            <w:bookmarkStart w:id="219" w:name="_Toc342578282"/>
            <w:r>
              <w:rPr>
                <w:rStyle w:val="Emphasis"/>
                <w:rFonts w:ascii="Calibri" w:eastAsiaTheme="majorEastAsia" w:hAnsi="Calibri" w:cs="Calibri"/>
                <w:bCs w:val="0"/>
                <w:i w:val="0"/>
                <w:caps w:val="0"/>
                <w:color w:val="auto"/>
                <w:kern w:val="0"/>
                <w:sz w:val="22"/>
                <w:szCs w:val="22"/>
              </w:rPr>
              <w:t>Return to Work</w:t>
            </w:r>
            <w:r w:rsidR="0049756C">
              <w:rPr>
                <w:rStyle w:val="Emphasis"/>
                <w:rFonts w:ascii="Calibri" w:eastAsiaTheme="majorEastAsia" w:hAnsi="Calibri" w:cs="Calibri"/>
                <w:bCs w:val="0"/>
                <w:i w:val="0"/>
                <w:caps w:val="0"/>
                <w:color w:val="auto"/>
                <w:kern w:val="0"/>
                <w:sz w:val="22"/>
                <w:szCs w:val="22"/>
              </w:rPr>
              <w:t>.</w:t>
            </w:r>
            <w:bookmarkEnd w:id="217"/>
            <w:bookmarkEnd w:id="218"/>
            <w:bookmarkEnd w:id="219"/>
          </w:p>
        </w:tc>
      </w:tr>
      <w:tr w:rsidR="00111216" w:rsidRPr="005D4DF3" w:rsidTr="00111216">
        <w:tc>
          <w:tcPr>
            <w:tcW w:w="3652" w:type="dxa"/>
          </w:tcPr>
          <w:p w:rsidR="00111216" w:rsidRPr="005D4DF3" w:rsidRDefault="00111216" w:rsidP="00111216">
            <w:pPr>
              <w:pStyle w:val="HawkeReviewheading"/>
              <w:spacing w:after="120" w:afterAutospacing="0"/>
              <w:rPr>
                <w:rStyle w:val="Emphasis"/>
                <w:rFonts w:ascii="Calibri" w:eastAsiaTheme="majorEastAsia" w:hAnsi="Calibri" w:cs="Calibri"/>
                <w:bCs w:val="0"/>
                <w:i w:val="0"/>
                <w:iCs w:val="0"/>
                <w:caps w:val="0"/>
                <w:color w:val="auto"/>
                <w:kern w:val="0"/>
                <w:sz w:val="22"/>
                <w:szCs w:val="22"/>
              </w:rPr>
            </w:pPr>
            <w:bookmarkStart w:id="220" w:name="_Toc341777915"/>
            <w:bookmarkStart w:id="221" w:name="_Toc341780675"/>
            <w:bookmarkStart w:id="222" w:name="_Toc342578283"/>
            <w:r w:rsidRPr="005D4DF3">
              <w:rPr>
                <w:rStyle w:val="Emphasis"/>
                <w:rFonts w:ascii="Calibri" w:eastAsiaTheme="majorEastAsia" w:hAnsi="Calibri" w:cs="Calibri"/>
                <w:bCs w:val="0"/>
                <w:i w:val="0"/>
                <w:caps w:val="0"/>
                <w:color w:val="auto"/>
                <w:kern w:val="0"/>
                <w:sz w:val="22"/>
                <w:szCs w:val="22"/>
              </w:rPr>
              <w:t>SRC Act</w:t>
            </w:r>
            <w:bookmarkEnd w:id="220"/>
            <w:bookmarkEnd w:id="221"/>
            <w:bookmarkEnd w:id="222"/>
          </w:p>
        </w:tc>
        <w:tc>
          <w:tcPr>
            <w:tcW w:w="5306" w:type="dxa"/>
          </w:tcPr>
          <w:p w:rsidR="00111216" w:rsidRPr="005D4DF3" w:rsidRDefault="00111216" w:rsidP="00111216">
            <w:pPr>
              <w:pStyle w:val="HawkeReviewheading"/>
              <w:spacing w:after="120" w:afterAutospacing="0"/>
              <w:rPr>
                <w:rStyle w:val="Emphasis"/>
                <w:rFonts w:ascii="Calibri" w:eastAsiaTheme="majorEastAsia" w:hAnsi="Calibri" w:cs="Calibri"/>
                <w:bCs w:val="0"/>
                <w:iCs w:val="0"/>
                <w:caps w:val="0"/>
                <w:color w:val="auto"/>
                <w:kern w:val="0"/>
                <w:sz w:val="22"/>
                <w:szCs w:val="22"/>
              </w:rPr>
            </w:pPr>
            <w:bookmarkStart w:id="223" w:name="_Toc341777916"/>
            <w:bookmarkStart w:id="224" w:name="_Toc341780676"/>
            <w:bookmarkStart w:id="225" w:name="_Toc342578284"/>
            <w:r w:rsidRPr="005D4DF3">
              <w:rPr>
                <w:rStyle w:val="Emphasis"/>
                <w:rFonts w:ascii="Calibri" w:eastAsiaTheme="majorEastAsia" w:hAnsi="Calibri" w:cs="Calibri"/>
                <w:bCs w:val="0"/>
                <w:caps w:val="0"/>
                <w:color w:val="auto"/>
                <w:kern w:val="0"/>
                <w:sz w:val="22"/>
                <w:szCs w:val="22"/>
              </w:rPr>
              <w:t>Safety, Rehabilitation and Compensation Act 1988</w:t>
            </w:r>
            <w:r w:rsidR="0049756C">
              <w:rPr>
                <w:rStyle w:val="Emphasis"/>
                <w:rFonts w:ascii="Calibri" w:eastAsiaTheme="majorEastAsia" w:hAnsi="Calibri" w:cs="Calibri"/>
                <w:bCs w:val="0"/>
                <w:caps w:val="0"/>
                <w:color w:val="auto"/>
                <w:kern w:val="0"/>
                <w:sz w:val="22"/>
                <w:szCs w:val="22"/>
              </w:rPr>
              <w:t>.</w:t>
            </w:r>
            <w:bookmarkEnd w:id="223"/>
            <w:bookmarkEnd w:id="224"/>
            <w:bookmarkEnd w:id="225"/>
          </w:p>
        </w:tc>
      </w:tr>
      <w:tr w:rsidR="00111216" w:rsidRPr="005D4DF3" w:rsidTr="00111216">
        <w:tc>
          <w:tcPr>
            <w:tcW w:w="3652" w:type="dxa"/>
          </w:tcPr>
          <w:p w:rsidR="00111216" w:rsidRPr="005D4DF3" w:rsidRDefault="00111216" w:rsidP="00111216">
            <w:pPr>
              <w:pStyle w:val="HawkeReviewheading"/>
              <w:spacing w:after="120" w:afterAutospacing="0"/>
              <w:rPr>
                <w:rStyle w:val="Emphasis"/>
                <w:rFonts w:ascii="Calibri" w:eastAsiaTheme="majorEastAsia" w:hAnsi="Calibri" w:cs="Calibri"/>
                <w:bCs w:val="0"/>
                <w:i w:val="0"/>
                <w:iCs w:val="0"/>
                <w:caps w:val="0"/>
                <w:color w:val="auto"/>
                <w:kern w:val="0"/>
                <w:sz w:val="22"/>
                <w:szCs w:val="22"/>
              </w:rPr>
            </w:pPr>
            <w:bookmarkStart w:id="226" w:name="_Toc341777917"/>
            <w:bookmarkStart w:id="227" w:name="_Toc341780677"/>
            <w:bookmarkStart w:id="228" w:name="_Toc342578285"/>
            <w:r w:rsidRPr="005D4DF3">
              <w:rPr>
                <w:rStyle w:val="Emphasis"/>
                <w:rFonts w:ascii="Calibri" w:eastAsiaTheme="majorEastAsia" w:hAnsi="Calibri" w:cs="Calibri"/>
                <w:bCs w:val="0"/>
                <w:i w:val="0"/>
                <w:caps w:val="0"/>
                <w:color w:val="auto"/>
                <w:kern w:val="0"/>
                <w:sz w:val="22"/>
                <w:szCs w:val="22"/>
              </w:rPr>
              <w:t>SRCC</w:t>
            </w:r>
            <w:bookmarkEnd w:id="226"/>
            <w:bookmarkEnd w:id="227"/>
            <w:bookmarkEnd w:id="228"/>
          </w:p>
        </w:tc>
        <w:tc>
          <w:tcPr>
            <w:tcW w:w="5306" w:type="dxa"/>
          </w:tcPr>
          <w:p w:rsidR="00111216" w:rsidRPr="005D4DF3" w:rsidRDefault="00111216" w:rsidP="00111216">
            <w:pPr>
              <w:pStyle w:val="HawkeReviewheading"/>
              <w:spacing w:after="120" w:afterAutospacing="0"/>
              <w:rPr>
                <w:rStyle w:val="Emphasis"/>
                <w:rFonts w:ascii="Calibri" w:eastAsiaTheme="majorEastAsia" w:hAnsi="Calibri" w:cs="Calibri"/>
                <w:bCs w:val="0"/>
                <w:i w:val="0"/>
                <w:iCs w:val="0"/>
                <w:caps w:val="0"/>
                <w:color w:val="auto"/>
                <w:kern w:val="0"/>
                <w:sz w:val="22"/>
                <w:szCs w:val="22"/>
              </w:rPr>
            </w:pPr>
            <w:bookmarkStart w:id="229" w:name="_Toc341777918"/>
            <w:bookmarkStart w:id="230" w:name="_Toc341780678"/>
            <w:bookmarkStart w:id="231" w:name="_Toc342578286"/>
            <w:r w:rsidRPr="005D4DF3">
              <w:rPr>
                <w:rStyle w:val="Emphasis"/>
                <w:rFonts w:ascii="Calibri" w:eastAsiaTheme="majorEastAsia" w:hAnsi="Calibri" w:cs="Calibri"/>
                <w:bCs w:val="0"/>
                <w:i w:val="0"/>
                <w:caps w:val="0"/>
                <w:color w:val="auto"/>
                <w:kern w:val="0"/>
                <w:sz w:val="22"/>
                <w:szCs w:val="22"/>
              </w:rPr>
              <w:t>Safety Rehabilitation and Compensation Commission</w:t>
            </w:r>
            <w:r w:rsidR="0049756C">
              <w:rPr>
                <w:rStyle w:val="Emphasis"/>
                <w:rFonts w:ascii="Calibri" w:eastAsiaTheme="majorEastAsia" w:hAnsi="Calibri" w:cs="Calibri"/>
                <w:bCs w:val="0"/>
                <w:i w:val="0"/>
                <w:caps w:val="0"/>
                <w:color w:val="auto"/>
                <w:kern w:val="0"/>
                <w:sz w:val="22"/>
                <w:szCs w:val="22"/>
              </w:rPr>
              <w:t>.</w:t>
            </w:r>
            <w:bookmarkEnd w:id="229"/>
            <w:bookmarkEnd w:id="230"/>
            <w:bookmarkEnd w:id="231"/>
          </w:p>
        </w:tc>
      </w:tr>
      <w:tr w:rsidR="0083186A" w:rsidRPr="005D4DF3" w:rsidTr="00111216">
        <w:tc>
          <w:tcPr>
            <w:tcW w:w="3652" w:type="dxa"/>
          </w:tcPr>
          <w:p w:rsidR="0083186A" w:rsidRPr="005D4DF3" w:rsidRDefault="0083186A" w:rsidP="00111216">
            <w:pPr>
              <w:pStyle w:val="HawkeReviewheading"/>
              <w:spacing w:after="120" w:afterAutospacing="0"/>
              <w:rPr>
                <w:rStyle w:val="Emphasis"/>
                <w:rFonts w:ascii="Calibri" w:eastAsiaTheme="majorEastAsia" w:hAnsi="Calibri" w:cs="Calibri"/>
                <w:bCs w:val="0"/>
                <w:i w:val="0"/>
                <w:caps w:val="0"/>
                <w:color w:val="auto"/>
                <w:kern w:val="0"/>
                <w:sz w:val="22"/>
                <w:szCs w:val="22"/>
              </w:rPr>
            </w:pPr>
            <w:bookmarkStart w:id="232" w:name="_Toc341777919"/>
            <w:bookmarkStart w:id="233" w:name="_Toc341780679"/>
            <w:bookmarkStart w:id="234" w:name="_Toc342578287"/>
            <w:r>
              <w:rPr>
                <w:rStyle w:val="Emphasis"/>
                <w:rFonts w:ascii="Calibri" w:eastAsiaTheme="majorEastAsia" w:hAnsi="Calibri" w:cs="Calibri"/>
                <w:bCs w:val="0"/>
                <w:i w:val="0"/>
                <w:caps w:val="0"/>
                <w:color w:val="auto"/>
                <w:kern w:val="0"/>
                <w:sz w:val="22"/>
                <w:szCs w:val="22"/>
              </w:rPr>
              <w:t>SRCOLA Act</w:t>
            </w:r>
            <w:bookmarkEnd w:id="232"/>
            <w:bookmarkEnd w:id="233"/>
            <w:bookmarkEnd w:id="234"/>
          </w:p>
        </w:tc>
        <w:tc>
          <w:tcPr>
            <w:tcW w:w="5306" w:type="dxa"/>
          </w:tcPr>
          <w:p w:rsidR="0083186A" w:rsidRPr="00EE496B" w:rsidRDefault="00FB7F70" w:rsidP="005B71F1">
            <w:pPr>
              <w:pStyle w:val="HawkeReviewheading"/>
              <w:spacing w:after="120" w:afterAutospacing="0"/>
              <w:rPr>
                <w:rStyle w:val="Emphasis"/>
                <w:rFonts w:ascii="Calibri" w:eastAsiaTheme="majorEastAsia" w:hAnsi="Calibri" w:cs="Calibri"/>
                <w:bCs w:val="0"/>
                <w:caps w:val="0"/>
                <w:color w:val="auto"/>
                <w:kern w:val="0"/>
                <w:sz w:val="22"/>
                <w:szCs w:val="22"/>
              </w:rPr>
            </w:pPr>
            <w:bookmarkStart w:id="235" w:name="_Toc341777920"/>
            <w:bookmarkStart w:id="236" w:name="_Toc341780680"/>
            <w:bookmarkStart w:id="237" w:name="_Toc342578288"/>
            <w:r w:rsidRPr="00EE496B">
              <w:rPr>
                <w:rStyle w:val="Emphasis"/>
                <w:rFonts w:ascii="Calibri" w:eastAsiaTheme="majorEastAsia" w:hAnsi="Calibri" w:cs="Calibri"/>
                <w:bCs w:val="0"/>
                <w:caps w:val="0"/>
                <w:color w:val="auto"/>
                <w:kern w:val="0"/>
                <w:sz w:val="22"/>
                <w:szCs w:val="22"/>
              </w:rPr>
              <w:t xml:space="preserve">Safety, Rehabilitation and </w:t>
            </w:r>
            <w:r w:rsidR="005B71F1" w:rsidRPr="00EE496B">
              <w:rPr>
                <w:rStyle w:val="Emphasis"/>
                <w:rFonts w:ascii="Calibri" w:eastAsiaTheme="majorEastAsia" w:hAnsi="Calibri" w:cs="Calibri"/>
                <w:bCs w:val="0"/>
                <w:caps w:val="0"/>
                <w:color w:val="auto"/>
                <w:kern w:val="0"/>
                <w:sz w:val="22"/>
                <w:szCs w:val="22"/>
              </w:rPr>
              <w:t>C</w:t>
            </w:r>
            <w:r w:rsidR="007502DE" w:rsidRPr="00EE496B">
              <w:rPr>
                <w:rStyle w:val="Emphasis"/>
                <w:rFonts w:ascii="Calibri" w:eastAsiaTheme="majorEastAsia" w:hAnsi="Calibri" w:cs="Calibri"/>
                <w:bCs w:val="0"/>
                <w:caps w:val="0"/>
                <w:color w:val="auto"/>
                <w:kern w:val="0"/>
                <w:sz w:val="22"/>
                <w:szCs w:val="22"/>
              </w:rPr>
              <w:t>ompensation and Other Legislation Amendment Act 2007</w:t>
            </w:r>
            <w:r w:rsidR="0049756C" w:rsidRPr="00EE496B">
              <w:rPr>
                <w:rStyle w:val="Emphasis"/>
                <w:rFonts w:ascii="Calibri" w:eastAsiaTheme="majorEastAsia" w:hAnsi="Calibri" w:cs="Calibri"/>
                <w:bCs w:val="0"/>
                <w:caps w:val="0"/>
                <w:color w:val="auto"/>
                <w:kern w:val="0"/>
                <w:sz w:val="22"/>
                <w:szCs w:val="22"/>
              </w:rPr>
              <w:t>.</w:t>
            </w:r>
            <w:bookmarkEnd w:id="235"/>
            <w:bookmarkEnd w:id="236"/>
            <w:bookmarkEnd w:id="237"/>
          </w:p>
        </w:tc>
      </w:tr>
      <w:tr w:rsidR="00111216" w:rsidRPr="005D4DF3" w:rsidTr="00111216">
        <w:tc>
          <w:tcPr>
            <w:tcW w:w="3652" w:type="dxa"/>
          </w:tcPr>
          <w:p w:rsidR="00111216" w:rsidRPr="005D4DF3" w:rsidRDefault="00111216" w:rsidP="00111216">
            <w:pPr>
              <w:pStyle w:val="HawkeReviewheading"/>
              <w:spacing w:after="120" w:afterAutospacing="0"/>
              <w:rPr>
                <w:rStyle w:val="Emphasis"/>
                <w:rFonts w:ascii="Calibri" w:eastAsiaTheme="majorEastAsia" w:hAnsi="Calibri" w:cs="Calibri"/>
                <w:bCs w:val="0"/>
                <w:i w:val="0"/>
                <w:iCs w:val="0"/>
                <w:caps w:val="0"/>
                <w:color w:val="auto"/>
                <w:kern w:val="0"/>
                <w:sz w:val="22"/>
                <w:szCs w:val="22"/>
              </w:rPr>
            </w:pPr>
            <w:bookmarkStart w:id="238" w:name="_Toc341777921"/>
            <w:bookmarkStart w:id="239" w:name="_Toc341780681"/>
            <w:bookmarkStart w:id="240" w:name="_Toc342578289"/>
            <w:r w:rsidRPr="005D4DF3">
              <w:rPr>
                <w:rStyle w:val="Emphasis"/>
                <w:rFonts w:ascii="Calibri" w:eastAsiaTheme="majorEastAsia" w:hAnsi="Calibri" w:cs="Calibri"/>
                <w:bCs w:val="0"/>
                <w:i w:val="0"/>
                <w:caps w:val="0"/>
                <w:color w:val="auto"/>
                <w:kern w:val="0"/>
                <w:sz w:val="22"/>
                <w:szCs w:val="22"/>
              </w:rPr>
              <w:t>WHS Act</w:t>
            </w:r>
            <w:bookmarkEnd w:id="238"/>
            <w:bookmarkEnd w:id="239"/>
            <w:bookmarkEnd w:id="240"/>
          </w:p>
        </w:tc>
        <w:tc>
          <w:tcPr>
            <w:tcW w:w="5306" w:type="dxa"/>
          </w:tcPr>
          <w:p w:rsidR="00111216" w:rsidRPr="005D4DF3" w:rsidRDefault="00111216" w:rsidP="00111216">
            <w:pPr>
              <w:pStyle w:val="HawkeReviewheading"/>
              <w:spacing w:after="120" w:afterAutospacing="0"/>
              <w:rPr>
                <w:rStyle w:val="Emphasis"/>
                <w:rFonts w:ascii="Calibri" w:eastAsiaTheme="majorEastAsia" w:hAnsi="Calibri" w:cs="Calibri"/>
                <w:bCs w:val="0"/>
                <w:iCs w:val="0"/>
                <w:caps w:val="0"/>
                <w:color w:val="auto"/>
                <w:kern w:val="0"/>
                <w:sz w:val="22"/>
                <w:szCs w:val="22"/>
              </w:rPr>
            </w:pPr>
            <w:bookmarkStart w:id="241" w:name="_Toc341777922"/>
            <w:bookmarkStart w:id="242" w:name="_Toc341780682"/>
            <w:bookmarkStart w:id="243" w:name="_Toc342578290"/>
            <w:r w:rsidRPr="005D4DF3">
              <w:rPr>
                <w:rStyle w:val="Emphasis"/>
                <w:rFonts w:ascii="Calibri" w:eastAsiaTheme="majorEastAsia" w:hAnsi="Calibri" w:cs="Calibri"/>
                <w:bCs w:val="0"/>
                <w:caps w:val="0"/>
                <w:color w:val="auto"/>
                <w:kern w:val="0"/>
                <w:sz w:val="22"/>
                <w:szCs w:val="22"/>
              </w:rPr>
              <w:t>Work Health and Safety Act 2011</w:t>
            </w:r>
            <w:r w:rsidR="0049756C">
              <w:rPr>
                <w:rStyle w:val="Emphasis"/>
                <w:rFonts w:ascii="Calibri" w:eastAsiaTheme="majorEastAsia" w:hAnsi="Calibri" w:cs="Calibri"/>
                <w:bCs w:val="0"/>
                <w:caps w:val="0"/>
                <w:color w:val="auto"/>
                <w:kern w:val="0"/>
                <w:sz w:val="22"/>
                <w:szCs w:val="22"/>
              </w:rPr>
              <w:t>.</w:t>
            </w:r>
            <w:bookmarkEnd w:id="241"/>
            <w:bookmarkEnd w:id="242"/>
            <w:bookmarkEnd w:id="243"/>
          </w:p>
        </w:tc>
      </w:tr>
      <w:tr w:rsidR="00111216" w:rsidRPr="005D4DF3" w:rsidTr="00111216">
        <w:tc>
          <w:tcPr>
            <w:tcW w:w="3652" w:type="dxa"/>
          </w:tcPr>
          <w:p w:rsidR="00111216" w:rsidRPr="005D4DF3" w:rsidRDefault="00111216" w:rsidP="00111216">
            <w:pPr>
              <w:pStyle w:val="HawkeReviewheading"/>
              <w:spacing w:after="120" w:afterAutospacing="0"/>
              <w:rPr>
                <w:rStyle w:val="Emphasis"/>
                <w:rFonts w:ascii="Calibri" w:eastAsiaTheme="majorEastAsia" w:hAnsi="Calibri" w:cs="Calibri"/>
                <w:bCs w:val="0"/>
                <w:i w:val="0"/>
                <w:iCs w:val="0"/>
                <w:caps w:val="0"/>
                <w:color w:val="auto"/>
                <w:kern w:val="0"/>
                <w:sz w:val="22"/>
                <w:szCs w:val="22"/>
              </w:rPr>
            </w:pPr>
          </w:p>
        </w:tc>
        <w:tc>
          <w:tcPr>
            <w:tcW w:w="5306" w:type="dxa"/>
          </w:tcPr>
          <w:p w:rsidR="00111216" w:rsidRPr="005D4DF3" w:rsidRDefault="00111216" w:rsidP="00111216">
            <w:pPr>
              <w:pStyle w:val="HawkeReviewheading"/>
              <w:spacing w:after="120" w:afterAutospacing="0"/>
              <w:rPr>
                <w:rStyle w:val="Emphasis"/>
                <w:rFonts w:ascii="Calibri" w:eastAsiaTheme="majorEastAsia" w:hAnsi="Calibri" w:cs="Calibri"/>
                <w:bCs w:val="0"/>
                <w:i w:val="0"/>
                <w:iCs w:val="0"/>
                <w:caps w:val="0"/>
                <w:color w:val="auto"/>
                <w:kern w:val="0"/>
                <w:sz w:val="22"/>
                <w:szCs w:val="22"/>
              </w:rPr>
            </w:pPr>
          </w:p>
        </w:tc>
      </w:tr>
      <w:tr w:rsidR="00111216" w:rsidRPr="005D4DF3" w:rsidTr="00111216">
        <w:tc>
          <w:tcPr>
            <w:tcW w:w="3652" w:type="dxa"/>
          </w:tcPr>
          <w:p w:rsidR="00111216" w:rsidRPr="005D4DF3" w:rsidRDefault="00111216" w:rsidP="00111216">
            <w:pPr>
              <w:pStyle w:val="HawkeReviewheading"/>
              <w:spacing w:after="120" w:afterAutospacing="0"/>
              <w:rPr>
                <w:rStyle w:val="Emphasis"/>
                <w:rFonts w:ascii="Calibri" w:eastAsiaTheme="majorEastAsia" w:hAnsi="Calibri" w:cs="Calibri"/>
                <w:bCs w:val="0"/>
                <w:i w:val="0"/>
                <w:iCs w:val="0"/>
                <w:caps w:val="0"/>
                <w:color w:val="auto"/>
                <w:kern w:val="0"/>
                <w:sz w:val="22"/>
                <w:szCs w:val="22"/>
              </w:rPr>
            </w:pPr>
          </w:p>
        </w:tc>
        <w:tc>
          <w:tcPr>
            <w:tcW w:w="5306" w:type="dxa"/>
          </w:tcPr>
          <w:p w:rsidR="00111216" w:rsidRPr="005D4DF3" w:rsidRDefault="00111216" w:rsidP="00111216">
            <w:pPr>
              <w:pStyle w:val="HawkeReviewheading"/>
              <w:spacing w:after="120" w:afterAutospacing="0"/>
              <w:rPr>
                <w:rStyle w:val="Emphasis"/>
                <w:rFonts w:ascii="Calibri" w:eastAsiaTheme="majorEastAsia" w:hAnsi="Calibri" w:cs="Calibri"/>
                <w:bCs w:val="0"/>
                <w:i w:val="0"/>
                <w:iCs w:val="0"/>
                <w:caps w:val="0"/>
                <w:color w:val="auto"/>
                <w:kern w:val="0"/>
                <w:sz w:val="22"/>
                <w:szCs w:val="22"/>
              </w:rPr>
            </w:pPr>
          </w:p>
        </w:tc>
      </w:tr>
      <w:tr w:rsidR="00111216" w:rsidRPr="005D4DF3" w:rsidTr="00111216">
        <w:tc>
          <w:tcPr>
            <w:tcW w:w="3652" w:type="dxa"/>
          </w:tcPr>
          <w:p w:rsidR="00111216" w:rsidRPr="005D4DF3" w:rsidRDefault="00111216" w:rsidP="00111216">
            <w:pPr>
              <w:pStyle w:val="HawkeReviewheading"/>
              <w:spacing w:after="120" w:afterAutospacing="0"/>
              <w:rPr>
                <w:rStyle w:val="Emphasis"/>
                <w:rFonts w:ascii="Calibri" w:eastAsiaTheme="majorEastAsia" w:hAnsi="Calibri" w:cs="Calibri"/>
                <w:bCs w:val="0"/>
                <w:i w:val="0"/>
                <w:iCs w:val="0"/>
                <w:caps w:val="0"/>
                <w:color w:val="auto"/>
                <w:kern w:val="0"/>
                <w:sz w:val="22"/>
                <w:szCs w:val="22"/>
              </w:rPr>
            </w:pPr>
          </w:p>
        </w:tc>
        <w:tc>
          <w:tcPr>
            <w:tcW w:w="5306" w:type="dxa"/>
          </w:tcPr>
          <w:p w:rsidR="00111216" w:rsidRPr="005D4DF3" w:rsidRDefault="00111216" w:rsidP="00111216">
            <w:pPr>
              <w:pStyle w:val="HawkeReviewheading"/>
              <w:spacing w:after="120" w:afterAutospacing="0"/>
              <w:rPr>
                <w:rStyle w:val="Emphasis"/>
                <w:rFonts w:ascii="Calibri" w:eastAsiaTheme="majorEastAsia" w:hAnsi="Calibri" w:cs="Calibri"/>
                <w:bCs w:val="0"/>
                <w:i w:val="0"/>
                <w:iCs w:val="0"/>
                <w:caps w:val="0"/>
                <w:color w:val="auto"/>
                <w:kern w:val="0"/>
                <w:sz w:val="22"/>
                <w:szCs w:val="22"/>
              </w:rPr>
            </w:pPr>
          </w:p>
        </w:tc>
      </w:tr>
      <w:tr w:rsidR="00111216" w:rsidRPr="005D4DF3" w:rsidTr="00111216">
        <w:tc>
          <w:tcPr>
            <w:tcW w:w="3652" w:type="dxa"/>
          </w:tcPr>
          <w:p w:rsidR="00111216" w:rsidRPr="005D4DF3" w:rsidRDefault="00111216" w:rsidP="00111216">
            <w:pPr>
              <w:pStyle w:val="HawkeReviewheading"/>
              <w:spacing w:after="120" w:afterAutospacing="0"/>
              <w:rPr>
                <w:rStyle w:val="Emphasis"/>
                <w:rFonts w:ascii="Calibri" w:eastAsiaTheme="majorEastAsia" w:hAnsi="Calibri" w:cs="Calibri"/>
                <w:bCs w:val="0"/>
                <w:i w:val="0"/>
                <w:iCs w:val="0"/>
                <w:caps w:val="0"/>
                <w:color w:val="auto"/>
                <w:kern w:val="0"/>
                <w:sz w:val="22"/>
                <w:szCs w:val="22"/>
              </w:rPr>
            </w:pPr>
          </w:p>
        </w:tc>
        <w:tc>
          <w:tcPr>
            <w:tcW w:w="5306" w:type="dxa"/>
          </w:tcPr>
          <w:p w:rsidR="00111216" w:rsidRPr="005D4DF3" w:rsidRDefault="00111216" w:rsidP="00111216">
            <w:pPr>
              <w:pStyle w:val="HawkeReviewheading"/>
              <w:spacing w:after="120" w:afterAutospacing="0"/>
              <w:rPr>
                <w:rStyle w:val="Emphasis"/>
                <w:rFonts w:ascii="Calibri" w:eastAsiaTheme="majorEastAsia" w:hAnsi="Calibri" w:cs="Calibri"/>
                <w:bCs w:val="0"/>
                <w:i w:val="0"/>
                <w:iCs w:val="0"/>
                <w:caps w:val="0"/>
                <w:color w:val="auto"/>
                <w:kern w:val="0"/>
                <w:sz w:val="22"/>
                <w:szCs w:val="22"/>
              </w:rPr>
            </w:pPr>
          </w:p>
        </w:tc>
      </w:tr>
      <w:tr w:rsidR="00111216" w:rsidRPr="005D4DF3" w:rsidTr="00111216">
        <w:tc>
          <w:tcPr>
            <w:tcW w:w="3652" w:type="dxa"/>
          </w:tcPr>
          <w:p w:rsidR="00111216" w:rsidRPr="005D4DF3" w:rsidRDefault="00111216" w:rsidP="00111216">
            <w:pPr>
              <w:pStyle w:val="HawkeReviewheading"/>
              <w:spacing w:after="120" w:afterAutospacing="0"/>
              <w:rPr>
                <w:rStyle w:val="Emphasis"/>
                <w:rFonts w:ascii="Calibri" w:eastAsiaTheme="majorEastAsia" w:hAnsi="Calibri" w:cs="Calibri"/>
                <w:bCs w:val="0"/>
                <w:i w:val="0"/>
                <w:iCs w:val="0"/>
                <w:caps w:val="0"/>
                <w:color w:val="auto"/>
                <w:kern w:val="0"/>
                <w:sz w:val="22"/>
                <w:szCs w:val="22"/>
              </w:rPr>
            </w:pPr>
          </w:p>
        </w:tc>
        <w:tc>
          <w:tcPr>
            <w:tcW w:w="5306" w:type="dxa"/>
          </w:tcPr>
          <w:p w:rsidR="00111216" w:rsidRPr="005D4DF3" w:rsidRDefault="00111216" w:rsidP="00111216">
            <w:pPr>
              <w:pStyle w:val="HawkeReviewheading"/>
              <w:spacing w:after="120" w:afterAutospacing="0"/>
              <w:rPr>
                <w:rStyle w:val="Emphasis"/>
                <w:rFonts w:ascii="Calibri" w:eastAsiaTheme="majorEastAsia" w:hAnsi="Calibri" w:cs="Calibri"/>
                <w:bCs w:val="0"/>
                <w:i w:val="0"/>
                <w:iCs w:val="0"/>
                <w:caps w:val="0"/>
                <w:color w:val="auto"/>
                <w:kern w:val="0"/>
                <w:sz w:val="22"/>
                <w:szCs w:val="22"/>
              </w:rPr>
            </w:pPr>
          </w:p>
        </w:tc>
      </w:tr>
      <w:tr w:rsidR="00111216" w:rsidRPr="005D4DF3" w:rsidTr="00111216">
        <w:tc>
          <w:tcPr>
            <w:tcW w:w="3652" w:type="dxa"/>
          </w:tcPr>
          <w:p w:rsidR="00111216" w:rsidRPr="005D4DF3" w:rsidRDefault="00111216" w:rsidP="00111216">
            <w:pPr>
              <w:pStyle w:val="HawkeReviewheading"/>
              <w:spacing w:after="120" w:afterAutospacing="0"/>
              <w:rPr>
                <w:rStyle w:val="Emphasis"/>
                <w:rFonts w:ascii="Calibri" w:eastAsiaTheme="majorEastAsia" w:hAnsi="Calibri" w:cs="Calibri"/>
                <w:bCs w:val="0"/>
                <w:i w:val="0"/>
                <w:iCs w:val="0"/>
                <w:caps w:val="0"/>
                <w:color w:val="auto"/>
                <w:kern w:val="0"/>
                <w:sz w:val="22"/>
                <w:szCs w:val="22"/>
              </w:rPr>
            </w:pPr>
          </w:p>
        </w:tc>
        <w:tc>
          <w:tcPr>
            <w:tcW w:w="5306" w:type="dxa"/>
          </w:tcPr>
          <w:p w:rsidR="00111216" w:rsidRPr="005D4DF3" w:rsidRDefault="00111216" w:rsidP="00111216">
            <w:pPr>
              <w:pStyle w:val="HawkeReviewheading"/>
              <w:spacing w:after="120" w:afterAutospacing="0"/>
              <w:rPr>
                <w:rStyle w:val="Emphasis"/>
                <w:rFonts w:ascii="Calibri" w:eastAsiaTheme="majorEastAsia" w:hAnsi="Calibri" w:cs="Calibri"/>
                <w:bCs w:val="0"/>
                <w:i w:val="0"/>
                <w:iCs w:val="0"/>
                <w:caps w:val="0"/>
                <w:color w:val="auto"/>
                <w:kern w:val="0"/>
                <w:sz w:val="22"/>
                <w:szCs w:val="22"/>
              </w:rPr>
            </w:pPr>
          </w:p>
        </w:tc>
      </w:tr>
      <w:tr w:rsidR="00111216" w:rsidRPr="005D4DF3" w:rsidTr="00111216">
        <w:tc>
          <w:tcPr>
            <w:tcW w:w="3652" w:type="dxa"/>
          </w:tcPr>
          <w:p w:rsidR="00111216" w:rsidRPr="005D4DF3" w:rsidRDefault="00111216" w:rsidP="00111216">
            <w:pPr>
              <w:pStyle w:val="HawkeReviewheading"/>
              <w:spacing w:after="120" w:afterAutospacing="0"/>
              <w:rPr>
                <w:rStyle w:val="Emphasis"/>
                <w:rFonts w:ascii="Calibri" w:eastAsiaTheme="majorEastAsia" w:hAnsi="Calibri" w:cs="Calibri"/>
                <w:bCs w:val="0"/>
                <w:i w:val="0"/>
                <w:iCs w:val="0"/>
                <w:caps w:val="0"/>
                <w:color w:val="auto"/>
                <w:kern w:val="0"/>
                <w:sz w:val="22"/>
                <w:szCs w:val="22"/>
              </w:rPr>
            </w:pPr>
          </w:p>
        </w:tc>
        <w:tc>
          <w:tcPr>
            <w:tcW w:w="5306" w:type="dxa"/>
          </w:tcPr>
          <w:p w:rsidR="00111216" w:rsidRPr="005D4DF3" w:rsidRDefault="00111216" w:rsidP="00111216">
            <w:pPr>
              <w:pStyle w:val="HawkeReviewheading"/>
              <w:spacing w:after="120" w:afterAutospacing="0"/>
              <w:rPr>
                <w:rStyle w:val="Emphasis"/>
                <w:rFonts w:ascii="Calibri" w:eastAsiaTheme="majorEastAsia" w:hAnsi="Calibri" w:cs="Calibri"/>
                <w:bCs w:val="0"/>
                <w:i w:val="0"/>
                <w:iCs w:val="0"/>
                <w:caps w:val="0"/>
                <w:color w:val="auto"/>
                <w:kern w:val="0"/>
                <w:sz w:val="22"/>
                <w:szCs w:val="22"/>
              </w:rPr>
            </w:pPr>
          </w:p>
        </w:tc>
      </w:tr>
      <w:tr w:rsidR="00111216" w:rsidRPr="005D4DF3" w:rsidTr="00111216">
        <w:tc>
          <w:tcPr>
            <w:tcW w:w="3652" w:type="dxa"/>
          </w:tcPr>
          <w:p w:rsidR="00111216" w:rsidRPr="005D4DF3" w:rsidRDefault="00111216" w:rsidP="00111216">
            <w:pPr>
              <w:pStyle w:val="HawkeReviewheading"/>
              <w:spacing w:after="120" w:afterAutospacing="0"/>
              <w:rPr>
                <w:rStyle w:val="Emphasis"/>
                <w:rFonts w:ascii="Calibri" w:eastAsiaTheme="majorEastAsia" w:hAnsi="Calibri" w:cs="Calibri"/>
                <w:bCs w:val="0"/>
                <w:i w:val="0"/>
                <w:iCs w:val="0"/>
                <w:caps w:val="0"/>
                <w:color w:val="auto"/>
                <w:kern w:val="0"/>
                <w:sz w:val="22"/>
                <w:szCs w:val="22"/>
              </w:rPr>
            </w:pPr>
          </w:p>
        </w:tc>
        <w:tc>
          <w:tcPr>
            <w:tcW w:w="5306" w:type="dxa"/>
          </w:tcPr>
          <w:p w:rsidR="00111216" w:rsidRPr="005D4DF3" w:rsidRDefault="00111216" w:rsidP="00111216">
            <w:pPr>
              <w:pStyle w:val="HawkeReviewheading"/>
              <w:spacing w:after="120" w:afterAutospacing="0"/>
              <w:rPr>
                <w:rStyle w:val="Emphasis"/>
                <w:rFonts w:ascii="Calibri" w:eastAsiaTheme="majorEastAsia" w:hAnsi="Calibri" w:cs="Calibri"/>
                <w:bCs w:val="0"/>
                <w:i w:val="0"/>
                <w:iCs w:val="0"/>
                <w:caps w:val="0"/>
                <w:color w:val="auto"/>
                <w:kern w:val="0"/>
                <w:sz w:val="22"/>
                <w:szCs w:val="22"/>
              </w:rPr>
            </w:pPr>
          </w:p>
        </w:tc>
      </w:tr>
    </w:tbl>
    <w:p w:rsidR="00111216" w:rsidRDefault="00111216" w:rsidP="00111216">
      <w:pPr>
        <w:pStyle w:val="HawkeReviewheading"/>
        <w:spacing w:after="120"/>
        <w:rPr>
          <w:rStyle w:val="Emphasis"/>
          <w:rFonts w:ascii="Calibri" w:eastAsiaTheme="majorEastAsia" w:hAnsi="Calibri" w:cs="Calibri"/>
          <w:bCs w:val="0"/>
          <w:i w:val="0"/>
          <w:iCs w:val="0"/>
          <w:caps w:val="0"/>
          <w:color w:val="auto"/>
          <w:kern w:val="0"/>
          <w:sz w:val="22"/>
          <w:szCs w:val="22"/>
        </w:rPr>
      </w:pPr>
    </w:p>
    <w:p w:rsidR="00111216" w:rsidRDefault="00111216" w:rsidP="00111216">
      <w:pPr>
        <w:pStyle w:val="HawkeReviewheading"/>
        <w:spacing w:after="120"/>
        <w:rPr>
          <w:rStyle w:val="Emphasis"/>
          <w:rFonts w:ascii="Calibri" w:eastAsiaTheme="majorEastAsia" w:hAnsi="Calibri" w:cs="Calibri"/>
          <w:bCs w:val="0"/>
          <w:i w:val="0"/>
          <w:iCs w:val="0"/>
          <w:caps w:val="0"/>
          <w:color w:val="auto"/>
          <w:kern w:val="0"/>
          <w:sz w:val="22"/>
          <w:szCs w:val="22"/>
        </w:rPr>
      </w:pPr>
    </w:p>
    <w:p w:rsidR="00111216" w:rsidRDefault="00111216" w:rsidP="00111216">
      <w:pPr>
        <w:pStyle w:val="HawkeReviewheading"/>
        <w:spacing w:after="120" w:afterAutospacing="0"/>
        <w:rPr>
          <w:rStyle w:val="Emphasis"/>
          <w:rFonts w:ascii="Calibri" w:eastAsiaTheme="majorEastAsia" w:hAnsi="Calibri" w:cs="Calibri"/>
          <w:bCs w:val="0"/>
          <w:i w:val="0"/>
          <w:iCs w:val="0"/>
          <w:caps w:val="0"/>
          <w:color w:val="auto"/>
          <w:kern w:val="0"/>
          <w:sz w:val="22"/>
          <w:szCs w:val="22"/>
        </w:rPr>
        <w:sectPr w:rsidR="00111216" w:rsidSect="00F5040B">
          <w:headerReference w:type="even" r:id="rId17"/>
          <w:footerReference w:type="default" r:id="rId18"/>
          <w:headerReference w:type="first" r:id="rId19"/>
          <w:pgSz w:w="11906" w:h="16838"/>
          <w:pgMar w:top="1440" w:right="1440" w:bottom="1440" w:left="1440" w:header="708" w:footer="708" w:gutter="0"/>
          <w:pgNumType w:fmt="lowerRoman" w:start="1"/>
          <w:cols w:space="708"/>
          <w:docGrid w:linePitch="360"/>
        </w:sectPr>
      </w:pPr>
    </w:p>
    <w:p w:rsidR="00111216" w:rsidRPr="00BB5495" w:rsidRDefault="00111216" w:rsidP="0007577B">
      <w:pPr>
        <w:pStyle w:val="HawkeReviewChapterHeading"/>
        <w:spacing w:after="240"/>
        <w:rPr>
          <w:rStyle w:val="Emphasis"/>
          <w:rFonts w:ascii="Cambria" w:eastAsiaTheme="majorEastAsia" w:hAnsi="Cambria"/>
          <w:i w:val="0"/>
        </w:rPr>
      </w:pPr>
      <w:bookmarkStart w:id="244" w:name="_Toc341777923"/>
      <w:bookmarkStart w:id="245" w:name="_Toc341780683"/>
      <w:bookmarkStart w:id="246" w:name="_Toc342578291"/>
      <w:r w:rsidRPr="00BB5495">
        <w:rPr>
          <w:rStyle w:val="Emphasis"/>
          <w:rFonts w:ascii="Cambria" w:eastAsiaTheme="majorEastAsia" w:hAnsi="Cambria"/>
          <w:i w:val="0"/>
        </w:rPr>
        <w:lastRenderedPageBreak/>
        <w:t>Contents</w:t>
      </w:r>
      <w:bookmarkEnd w:id="244"/>
      <w:bookmarkEnd w:id="245"/>
      <w:bookmarkEnd w:id="246"/>
    </w:p>
    <w:sdt>
      <w:sdtPr>
        <w:rPr>
          <w:b/>
          <w:bCs/>
          <w:i/>
          <w:iCs/>
        </w:rPr>
        <w:id w:val="-1932190770"/>
        <w:docPartObj>
          <w:docPartGallery w:val="Table of Contents"/>
          <w:docPartUnique/>
        </w:docPartObj>
      </w:sdtPr>
      <w:sdtEndPr>
        <w:rPr>
          <w:rFonts w:ascii="Calibri" w:hAnsi="Calibri" w:cs="Calibri"/>
          <w:b w:val="0"/>
          <w:bCs w:val="0"/>
          <w:noProof/>
        </w:rPr>
      </w:sdtEndPr>
      <w:sdtContent>
        <w:p w:rsidR="000472AF" w:rsidRDefault="00A02309" w:rsidP="00C710E7">
          <w:pPr>
            <w:pStyle w:val="TOC1"/>
            <w:rPr>
              <w:rFonts w:asciiTheme="minorHAnsi" w:eastAsiaTheme="minorEastAsia" w:hAnsiTheme="minorHAnsi" w:cstheme="minorBidi"/>
              <w:noProof/>
              <w:sz w:val="22"/>
              <w:szCs w:val="22"/>
            </w:rPr>
          </w:pPr>
          <w:r w:rsidRPr="009F00DD">
            <w:rPr>
              <w:rFonts w:eastAsiaTheme="majorEastAsia"/>
              <w:color w:val="365F91" w:themeColor="accent1" w:themeShade="BF"/>
              <w:sz w:val="28"/>
              <w:szCs w:val="28"/>
              <w:lang w:val="en-US" w:eastAsia="ja-JP"/>
            </w:rPr>
            <w:fldChar w:fldCharType="begin"/>
          </w:r>
          <w:r w:rsidR="005946E4" w:rsidRPr="009F00DD">
            <w:instrText xml:space="preserve"> TOC \o "1-3" \h \z \u </w:instrText>
          </w:r>
          <w:r w:rsidRPr="009F00DD">
            <w:rPr>
              <w:rFonts w:eastAsiaTheme="majorEastAsia"/>
              <w:color w:val="365F91" w:themeColor="accent1" w:themeShade="BF"/>
              <w:sz w:val="28"/>
              <w:szCs w:val="28"/>
              <w:lang w:val="en-US" w:eastAsia="ja-JP"/>
            </w:rPr>
            <w:fldChar w:fldCharType="separate"/>
          </w:r>
        </w:p>
        <w:p w:rsidR="000472AF" w:rsidRDefault="00AD7BEF">
          <w:pPr>
            <w:pStyle w:val="TOC2"/>
            <w:rPr>
              <w:rFonts w:eastAsiaTheme="minorEastAsia"/>
              <w:noProof/>
              <w:lang w:eastAsia="en-AU"/>
            </w:rPr>
          </w:pPr>
          <w:hyperlink w:anchor="_Toc342578292" w:history="1">
            <w:r w:rsidR="000472AF" w:rsidRPr="00C710E7">
              <w:rPr>
                <w:rStyle w:val="Hyperlink"/>
                <w:rFonts w:ascii="Calibri" w:eastAsiaTheme="majorEastAsia" w:hAnsi="Calibri" w:cs="Calibri"/>
                <w:b/>
                <w:iCs/>
                <w:noProof/>
              </w:rPr>
              <w:t>Executive Summary</w:t>
            </w:r>
            <w:r w:rsidR="000472AF">
              <w:rPr>
                <w:noProof/>
                <w:webHidden/>
              </w:rPr>
              <w:tab/>
            </w:r>
            <w:r w:rsidR="00A02309" w:rsidRPr="00C710E7">
              <w:rPr>
                <w:rStyle w:val="Hyperlink"/>
                <w:rFonts w:ascii="Calibri" w:eastAsiaTheme="majorEastAsia" w:hAnsi="Calibri" w:cs="Calibri"/>
                <w:iCs/>
                <w:noProof/>
                <w:webHidden/>
              </w:rPr>
              <w:fldChar w:fldCharType="begin"/>
            </w:r>
            <w:r w:rsidR="000472AF" w:rsidRPr="00C710E7">
              <w:rPr>
                <w:rStyle w:val="Hyperlink"/>
                <w:rFonts w:ascii="Calibri" w:eastAsiaTheme="majorEastAsia" w:hAnsi="Calibri" w:cs="Calibri"/>
                <w:iCs/>
                <w:noProof/>
                <w:webHidden/>
              </w:rPr>
              <w:instrText xml:space="preserve"> PAGEREF _Toc342578292 \h </w:instrText>
            </w:r>
            <w:r w:rsidR="00A02309" w:rsidRPr="00C710E7">
              <w:rPr>
                <w:rStyle w:val="Hyperlink"/>
                <w:rFonts w:ascii="Calibri" w:eastAsiaTheme="majorEastAsia" w:hAnsi="Calibri" w:cs="Calibri"/>
                <w:iCs/>
                <w:noProof/>
                <w:webHidden/>
              </w:rPr>
            </w:r>
            <w:r w:rsidR="00A02309" w:rsidRPr="00C710E7">
              <w:rPr>
                <w:rStyle w:val="Hyperlink"/>
                <w:rFonts w:ascii="Calibri" w:eastAsiaTheme="majorEastAsia" w:hAnsi="Calibri" w:cs="Calibri"/>
                <w:iCs/>
                <w:noProof/>
                <w:webHidden/>
              </w:rPr>
              <w:fldChar w:fldCharType="separate"/>
            </w:r>
            <w:r w:rsidR="00E1141B">
              <w:rPr>
                <w:rStyle w:val="Hyperlink"/>
                <w:rFonts w:ascii="Calibri" w:eastAsiaTheme="majorEastAsia" w:hAnsi="Calibri" w:cs="Calibri"/>
                <w:iCs/>
                <w:noProof/>
                <w:webHidden/>
              </w:rPr>
              <w:t>1</w:t>
            </w:r>
            <w:r w:rsidR="00A02309" w:rsidRPr="00C710E7">
              <w:rPr>
                <w:rStyle w:val="Hyperlink"/>
                <w:rFonts w:ascii="Calibri" w:eastAsiaTheme="majorEastAsia" w:hAnsi="Calibri" w:cs="Calibri"/>
                <w:iCs/>
                <w:noProof/>
                <w:webHidden/>
              </w:rPr>
              <w:fldChar w:fldCharType="end"/>
            </w:r>
          </w:hyperlink>
        </w:p>
        <w:p w:rsidR="000472AF" w:rsidRDefault="00AD7BEF">
          <w:pPr>
            <w:pStyle w:val="TOC2"/>
            <w:rPr>
              <w:rFonts w:eastAsiaTheme="minorEastAsia"/>
              <w:noProof/>
              <w:lang w:eastAsia="en-AU"/>
            </w:rPr>
          </w:pPr>
          <w:hyperlink w:anchor="_Toc342578294" w:history="1">
            <w:r w:rsidR="000472AF" w:rsidRPr="00C710E7">
              <w:rPr>
                <w:rStyle w:val="Hyperlink"/>
                <w:rFonts w:ascii="Calibri" w:eastAsiaTheme="majorEastAsia" w:hAnsi="Calibri" w:cs="Calibri"/>
                <w:b/>
                <w:iCs/>
                <w:noProof/>
              </w:rPr>
              <w:t>Recommendations</w:t>
            </w:r>
            <w:r w:rsidR="000472AF">
              <w:rPr>
                <w:noProof/>
                <w:webHidden/>
              </w:rPr>
              <w:tab/>
            </w:r>
            <w:r w:rsidR="00A02309" w:rsidRPr="00C710E7">
              <w:rPr>
                <w:rStyle w:val="Hyperlink"/>
                <w:rFonts w:ascii="Calibri" w:eastAsiaTheme="majorEastAsia" w:hAnsi="Calibri" w:cs="Calibri"/>
                <w:iCs/>
                <w:noProof/>
                <w:webHidden/>
              </w:rPr>
              <w:fldChar w:fldCharType="begin"/>
            </w:r>
            <w:r w:rsidR="000472AF" w:rsidRPr="00C710E7">
              <w:rPr>
                <w:rStyle w:val="Hyperlink"/>
                <w:rFonts w:ascii="Calibri" w:eastAsiaTheme="majorEastAsia" w:hAnsi="Calibri" w:cs="Calibri"/>
                <w:iCs/>
                <w:noProof/>
                <w:webHidden/>
              </w:rPr>
              <w:instrText xml:space="preserve"> PAGEREF _Toc342578294 \h </w:instrText>
            </w:r>
            <w:r w:rsidR="00A02309" w:rsidRPr="00C710E7">
              <w:rPr>
                <w:rStyle w:val="Hyperlink"/>
                <w:rFonts w:ascii="Calibri" w:eastAsiaTheme="majorEastAsia" w:hAnsi="Calibri" w:cs="Calibri"/>
                <w:iCs/>
                <w:noProof/>
                <w:webHidden/>
              </w:rPr>
            </w:r>
            <w:r w:rsidR="00A02309" w:rsidRPr="00C710E7">
              <w:rPr>
                <w:rStyle w:val="Hyperlink"/>
                <w:rFonts w:ascii="Calibri" w:eastAsiaTheme="majorEastAsia" w:hAnsi="Calibri" w:cs="Calibri"/>
                <w:iCs/>
                <w:noProof/>
                <w:webHidden/>
              </w:rPr>
              <w:fldChar w:fldCharType="separate"/>
            </w:r>
            <w:r w:rsidR="00E1141B">
              <w:rPr>
                <w:rStyle w:val="Hyperlink"/>
                <w:rFonts w:ascii="Calibri" w:eastAsiaTheme="majorEastAsia" w:hAnsi="Calibri" w:cs="Calibri"/>
                <w:iCs/>
                <w:noProof/>
                <w:webHidden/>
              </w:rPr>
              <w:t>3</w:t>
            </w:r>
            <w:r w:rsidR="00A02309" w:rsidRPr="00C710E7">
              <w:rPr>
                <w:rStyle w:val="Hyperlink"/>
                <w:rFonts w:ascii="Calibri" w:eastAsiaTheme="majorEastAsia" w:hAnsi="Calibri" w:cs="Calibri"/>
                <w:iCs/>
                <w:noProof/>
                <w:webHidden/>
              </w:rPr>
              <w:fldChar w:fldCharType="end"/>
            </w:r>
          </w:hyperlink>
        </w:p>
        <w:p w:rsidR="000472AF" w:rsidRDefault="00AD7BEF">
          <w:pPr>
            <w:pStyle w:val="TOC2"/>
            <w:rPr>
              <w:rFonts w:eastAsiaTheme="minorEastAsia"/>
              <w:noProof/>
              <w:lang w:eastAsia="en-AU"/>
            </w:rPr>
          </w:pPr>
          <w:hyperlink w:anchor="_Toc342578295" w:history="1">
            <w:r w:rsidR="000472AF" w:rsidRPr="00C710E7">
              <w:rPr>
                <w:rStyle w:val="Hyperlink"/>
                <w:rFonts w:ascii="Calibri" w:eastAsiaTheme="majorEastAsia" w:hAnsi="Calibri" w:cs="Calibri"/>
                <w:b/>
                <w:iCs/>
                <w:noProof/>
              </w:rPr>
              <w:t>Chapter 1 – Background to the Review</w:t>
            </w:r>
            <w:r w:rsidR="000472AF">
              <w:rPr>
                <w:noProof/>
                <w:webHidden/>
              </w:rPr>
              <w:tab/>
            </w:r>
            <w:r w:rsidR="00A02309" w:rsidRPr="00C710E7">
              <w:rPr>
                <w:rStyle w:val="Hyperlink"/>
                <w:rFonts w:ascii="Calibri" w:eastAsiaTheme="majorEastAsia" w:hAnsi="Calibri" w:cs="Calibri"/>
                <w:iCs/>
                <w:noProof/>
                <w:webHidden/>
              </w:rPr>
              <w:fldChar w:fldCharType="begin"/>
            </w:r>
            <w:r w:rsidR="000472AF" w:rsidRPr="00C710E7">
              <w:rPr>
                <w:rStyle w:val="Hyperlink"/>
                <w:rFonts w:ascii="Calibri" w:eastAsiaTheme="majorEastAsia" w:hAnsi="Calibri" w:cs="Calibri"/>
                <w:iCs/>
                <w:noProof/>
                <w:webHidden/>
              </w:rPr>
              <w:instrText xml:space="preserve"> PAGEREF _Toc342578295 \h </w:instrText>
            </w:r>
            <w:r w:rsidR="00A02309" w:rsidRPr="00C710E7">
              <w:rPr>
                <w:rStyle w:val="Hyperlink"/>
                <w:rFonts w:ascii="Calibri" w:eastAsiaTheme="majorEastAsia" w:hAnsi="Calibri" w:cs="Calibri"/>
                <w:iCs/>
                <w:noProof/>
                <w:webHidden/>
              </w:rPr>
            </w:r>
            <w:r w:rsidR="00A02309" w:rsidRPr="00C710E7">
              <w:rPr>
                <w:rStyle w:val="Hyperlink"/>
                <w:rFonts w:ascii="Calibri" w:eastAsiaTheme="majorEastAsia" w:hAnsi="Calibri" w:cs="Calibri"/>
                <w:iCs/>
                <w:noProof/>
                <w:webHidden/>
              </w:rPr>
              <w:fldChar w:fldCharType="separate"/>
            </w:r>
            <w:r w:rsidR="00E1141B">
              <w:rPr>
                <w:rStyle w:val="Hyperlink"/>
                <w:rFonts w:ascii="Calibri" w:eastAsiaTheme="majorEastAsia" w:hAnsi="Calibri" w:cs="Calibri"/>
                <w:iCs/>
                <w:noProof/>
                <w:webHidden/>
              </w:rPr>
              <w:t>9</w:t>
            </w:r>
            <w:r w:rsidR="00A02309" w:rsidRPr="00C710E7">
              <w:rPr>
                <w:rStyle w:val="Hyperlink"/>
                <w:rFonts w:ascii="Calibri" w:eastAsiaTheme="majorEastAsia" w:hAnsi="Calibri" w:cs="Calibri"/>
                <w:iCs/>
                <w:noProof/>
                <w:webHidden/>
              </w:rPr>
              <w:fldChar w:fldCharType="end"/>
            </w:r>
          </w:hyperlink>
        </w:p>
        <w:p w:rsidR="000472AF" w:rsidRDefault="00AD7BEF" w:rsidP="00C710E7">
          <w:pPr>
            <w:pStyle w:val="TOC1"/>
            <w:rPr>
              <w:rFonts w:asciiTheme="minorHAnsi" w:eastAsiaTheme="minorEastAsia" w:hAnsiTheme="minorHAnsi" w:cstheme="minorBidi"/>
              <w:noProof/>
            </w:rPr>
          </w:pPr>
          <w:hyperlink w:anchor="_Toc342578296" w:history="1">
            <w:r w:rsidR="000472AF" w:rsidRPr="00C710E7">
              <w:rPr>
                <w:rStyle w:val="Hyperlink"/>
                <w:rFonts w:ascii="Calibri" w:eastAsiaTheme="majorEastAsia" w:hAnsi="Calibri" w:cs="Calibri"/>
                <w:iCs/>
                <w:noProof/>
                <w:sz w:val="22"/>
                <w:szCs w:val="22"/>
                <w:lang w:eastAsia="en-US"/>
              </w:rPr>
              <w:t>Safety, Rehabilitation and Compensation Act Review - Terms of Reference</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_Toc342578296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9</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Default="00AD7BEF" w:rsidP="00C710E7">
          <w:pPr>
            <w:pStyle w:val="TOC1"/>
            <w:rPr>
              <w:rFonts w:asciiTheme="minorHAnsi" w:eastAsiaTheme="minorEastAsia" w:hAnsiTheme="minorHAnsi" w:cstheme="minorBidi"/>
              <w:noProof/>
              <w:sz w:val="22"/>
              <w:szCs w:val="22"/>
            </w:rPr>
          </w:pPr>
          <w:hyperlink w:anchor="_Toc342578297" w:history="1">
            <w:r w:rsidR="000472AF" w:rsidRPr="00C710E7">
              <w:rPr>
                <w:rStyle w:val="Hyperlink"/>
                <w:rFonts w:ascii="Calibri" w:eastAsiaTheme="majorEastAsia" w:hAnsi="Calibri" w:cs="Calibri"/>
                <w:iCs/>
                <w:noProof/>
                <w:sz w:val="22"/>
                <w:szCs w:val="22"/>
                <w:lang w:eastAsia="en-US"/>
              </w:rPr>
              <w:t>Scope of the Report</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_Toc342578297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10</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Default="00AD7BEF" w:rsidP="00C710E7">
          <w:pPr>
            <w:pStyle w:val="TOC1"/>
            <w:rPr>
              <w:rFonts w:asciiTheme="minorHAnsi" w:eastAsiaTheme="minorEastAsia" w:hAnsiTheme="minorHAnsi" w:cstheme="minorBidi"/>
              <w:noProof/>
              <w:sz w:val="22"/>
              <w:szCs w:val="22"/>
            </w:rPr>
          </w:pPr>
          <w:hyperlink w:anchor="_Toc342578298" w:history="1">
            <w:r w:rsidR="000472AF" w:rsidRPr="00C710E7">
              <w:rPr>
                <w:rStyle w:val="Hyperlink"/>
                <w:rFonts w:ascii="Calibri" w:eastAsiaTheme="majorEastAsia" w:hAnsi="Calibri" w:cs="Calibri"/>
                <w:iCs/>
                <w:noProof/>
                <w:sz w:val="22"/>
                <w:szCs w:val="22"/>
                <w:lang w:eastAsia="en-US"/>
              </w:rPr>
              <w:t>The Review Process</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_Toc342578298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10</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Default="00AD7BEF" w:rsidP="00C710E7">
          <w:pPr>
            <w:pStyle w:val="TOC1"/>
            <w:rPr>
              <w:rFonts w:asciiTheme="minorHAnsi" w:eastAsiaTheme="minorEastAsia" w:hAnsiTheme="minorHAnsi" w:cstheme="minorBidi"/>
              <w:noProof/>
              <w:sz w:val="22"/>
              <w:szCs w:val="22"/>
            </w:rPr>
          </w:pPr>
          <w:hyperlink w:anchor="_Toc342578299" w:history="1">
            <w:r w:rsidR="000472AF" w:rsidRPr="00C710E7">
              <w:rPr>
                <w:rStyle w:val="Hyperlink"/>
                <w:rFonts w:ascii="Calibri" w:eastAsiaTheme="majorEastAsia" w:hAnsi="Calibri" w:cs="Calibri"/>
                <w:iCs/>
                <w:noProof/>
                <w:sz w:val="22"/>
                <w:szCs w:val="22"/>
                <w:lang w:eastAsia="en-US"/>
              </w:rPr>
              <w:t>The Comcare Scheme</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_Toc342578299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11</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Default="00AD7BEF" w:rsidP="00C710E7">
          <w:pPr>
            <w:pStyle w:val="TOC1"/>
            <w:rPr>
              <w:rFonts w:asciiTheme="minorHAnsi" w:eastAsiaTheme="minorEastAsia" w:hAnsiTheme="minorHAnsi" w:cstheme="minorBidi"/>
              <w:noProof/>
              <w:sz w:val="22"/>
              <w:szCs w:val="22"/>
            </w:rPr>
          </w:pPr>
          <w:hyperlink w:anchor="_Toc342578300" w:history="1">
            <w:r w:rsidR="000472AF" w:rsidRPr="00C710E7">
              <w:rPr>
                <w:rStyle w:val="Hyperlink"/>
                <w:rFonts w:ascii="Calibri" w:eastAsiaTheme="majorEastAsia" w:hAnsi="Calibri" w:cs="Calibri"/>
                <w:iCs/>
                <w:noProof/>
                <w:sz w:val="22"/>
                <w:szCs w:val="22"/>
                <w:lang w:eastAsia="en-US"/>
              </w:rPr>
              <w:t xml:space="preserve">Moratorium on Granting Self Insurance </w:t>
            </w:r>
            <w:r w:rsidR="00E1141B">
              <w:rPr>
                <w:rStyle w:val="Hyperlink"/>
                <w:rFonts w:ascii="Calibri" w:eastAsiaTheme="majorEastAsia" w:hAnsi="Calibri" w:cs="Calibri"/>
                <w:iCs/>
                <w:noProof/>
                <w:sz w:val="22"/>
                <w:szCs w:val="22"/>
                <w:lang w:eastAsia="en-US"/>
              </w:rPr>
              <w:t>Licence</w:t>
            </w:r>
            <w:r w:rsidR="000472AF" w:rsidRPr="00C710E7">
              <w:rPr>
                <w:rStyle w:val="Hyperlink"/>
                <w:rFonts w:ascii="Calibri" w:eastAsiaTheme="majorEastAsia" w:hAnsi="Calibri" w:cs="Calibri"/>
                <w:iCs/>
                <w:noProof/>
                <w:sz w:val="22"/>
                <w:szCs w:val="22"/>
                <w:lang w:eastAsia="en-US"/>
              </w:rPr>
              <w:t>s</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_Toc342578300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12</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Default="00AD7BEF" w:rsidP="00C710E7">
          <w:pPr>
            <w:pStyle w:val="TOC1"/>
            <w:rPr>
              <w:rFonts w:asciiTheme="minorHAnsi" w:eastAsiaTheme="minorEastAsia" w:hAnsiTheme="minorHAnsi" w:cstheme="minorBidi"/>
              <w:noProof/>
            </w:rPr>
          </w:pPr>
          <w:hyperlink w:anchor="_Toc342578301" w:history="1">
            <w:r w:rsidR="000472AF" w:rsidRPr="00C710E7">
              <w:rPr>
                <w:rStyle w:val="Hyperlink"/>
                <w:rFonts w:ascii="Calibri" w:eastAsiaTheme="majorEastAsia" w:hAnsi="Calibri" w:cs="Calibri"/>
                <w:iCs/>
                <w:noProof/>
                <w:sz w:val="22"/>
                <w:szCs w:val="22"/>
                <w:lang w:eastAsia="en-US"/>
              </w:rPr>
              <w:t>Role of the Safety, Rehabilitation and Compensation Commission (SRCC)</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_Toc342578301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13</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Default="00AD7BEF" w:rsidP="00C710E7">
          <w:pPr>
            <w:pStyle w:val="TOC1"/>
            <w:rPr>
              <w:rFonts w:asciiTheme="minorHAnsi" w:eastAsiaTheme="minorEastAsia" w:hAnsiTheme="minorHAnsi" w:cstheme="minorBidi"/>
              <w:noProof/>
              <w:sz w:val="22"/>
              <w:szCs w:val="22"/>
            </w:rPr>
          </w:pPr>
          <w:hyperlink w:anchor="_Toc342578302" w:history="1">
            <w:r w:rsidR="000472AF" w:rsidRPr="00C710E7">
              <w:rPr>
                <w:rStyle w:val="Hyperlink"/>
                <w:rFonts w:ascii="Calibri" w:eastAsiaTheme="majorEastAsia" w:hAnsi="Calibri" w:cs="Calibri"/>
                <w:iCs/>
                <w:noProof/>
                <w:sz w:val="22"/>
                <w:szCs w:val="22"/>
                <w:lang w:eastAsia="en-US"/>
              </w:rPr>
              <w:t>Comcare’s Role</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_Toc342578302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14</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Default="00AD7BEF" w:rsidP="00926EEB">
          <w:pPr>
            <w:pStyle w:val="TOC3"/>
            <w:ind w:left="426"/>
            <w:rPr>
              <w:rFonts w:asciiTheme="minorHAnsi" w:eastAsiaTheme="minorEastAsia" w:hAnsiTheme="minorHAnsi" w:cstheme="minorBidi"/>
              <w:noProof/>
              <w:sz w:val="22"/>
              <w:szCs w:val="22"/>
            </w:rPr>
          </w:pPr>
          <w:hyperlink w:anchor="_Toc342578303" w:history="1">
            <w:r w:rsidR="000472AF" w:rsidRPr="00C710E7">
              <w:rPr>
                <w:rStyle w:val="Hyperlink"/>
                <w:rFonts w:ascii="Calibri" w:eastAsiaTheme="majorEastAsia" w:hAnsi="Calibri" w:cs="Calibri"/>
                <w:iCs/>
                <w:noProof/>
                <w:sz w:val="22"/>
                <w:szCs w:val="22"/>
                <w:lang w:eastAsia="en-US"/>
              </w:rPr>
              <w:t>Department of Veterans’ Affairs (DVA)</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_Toc342578303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16</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Default="00AD7BEF" w:rsidP="00926EEB">
          <w:pPr>
            <w:pStyle w:val="TOC3"/>
            <w:ind w:left="426"/>
            <w:rPr>
              <w:rFonts w:asciiTheme="minorHAnsi" w:eastAsiaTheme="minorEastAsia" w:hAnsiTheme="minorHAnsi" w:cstheme="minorBidi"/>
              <w:noProof/>
              <w:sz w:val="22"/>
              <w:szCs w:val="22"/>
            </w:rPr>
          </w:pPr>
          <w:hyperlink w:anchor="_Toc342578304" w:history="1">
            <w:r w:rsidR="000472AF" w:rsidRPr="00C710E7">
              <w:rPr>
                <w:rStyle w:val="Hyperlink"/>
                <w:rFonts w:ascii="Calibri" w:eastAsiaTheme="majorEastAsia" w:hAnsi="Calibri" w:cs="Calibri"/>
                <w:iCs/>
                <w:noProof/>
                <w:sz w:val="22"/>
                <w:szCs w:val="22"/>
                <w:lang w:eastAsia="en-US"/>
              </w:rPr>
              <w:t>Employers</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_Toc342578304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18</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Default="00AD7BEF" w:rsidP="00C710E7">
          <w:pPr>
            <w:pStyle w:val="TOC3"/>
            <w:rPr>
              <w:rFonts w:asciiTheme="minorHAnsi" w:eastAsiaTheme="minorEastAsia" w:hAnsiTheme="minorHAnsi" w:cstheme="minorBidi"/>
              <w:noProof/>
              <w:sz w:val="22"/>
              <w:szCs w:val="22"/>
            </w:rPr>
          </w:pPr>
          <w:hyperlink w:anchor="_Toc342578305" w:history="1">
            <w:r w:rsidR="00996ED4">
              <w:rPr>
                <w:rStyle w:val="Hyperlink"/>
                <w:rFonts w:ascii="Calibri" w:eastAsiaTheme="majorEastAsia" w:hAnsi="Calibri" w:cs="Calibri"/>
                <w:iCs/>
                <w:noProof/>
                <w:sz w:val="22"/>
                <w:szCs w:val="22"/>
                <w:lang w:eastAsia="en-US"/>
              </w:rPr>
              <w:t>Australian Government</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_Toc342578305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18</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Default="00AD7BEF" w:rsidP="00C710E7">
          <w:pPr>
            <w:pStyle w:val="TOC3"/>
            <w:rPr>
              <w:rFonts w:asciiTheme="minorHAnsi" w:eastAsiaTheme="minorEastAsia" w:hAnsiTheme="minorHAnsi" w:cstheme="minorBidi"/>
              <w:noProof/>
              <w:sz w:val="22"/>
              <w:szCs w:val="22"/>
            </w:rPr>
          </w:pPr>
          <w:hyperlink w:anchor="_Toc342578306" w:history="1">
            <w:r w:rsidR="000472AF" w:rsidRPr="00C710E7">
              <w:rPr>
                <w:rStyle w:val="Hyperlink"/>
                <w:rFonts w:ascii="Calibri" w:eastAsiaTheme="majorEastAsia" w:hAnsi="Calibri" w:cs="Calibri"/>
                <w:iCs/>
                <w:noProof/>
                <w:sz w:val="22"/>
                <w:szCs w:val="22"/>
                <w:lang w:eastAsia="en-US"/>
              </w:rPr>
              <w:t>ACT Government</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_Toc342578306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18</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Default="00AD7BEF" w:rsidP="00C710E7">
          <w:pPr>
            <w:pStyle w:val="TOC3"/>
            <w:rPr>
              <w:rFonts w:asciiTheme="minorHAnsi" w:eastAsiaTheme="minorEastAsia" w:hAnsiTheme="minorHAnsi" w:cstheme="minorBidi"/>
              <w:noProof/>
              <w:sz w:val="22"/>
              <w:szCs w:val="22"/>
            </w:rPr>
          </w:pPr>
          <w:hyperlink w:anchor="_Toc342578307" w:history="1">
            <w:r w:rsidR="000472AF" w:rsidRPr="00C710E7">
              <w:rPr>
                <w:rStyle w:val="Hyperlink"/>
                <w:rFonts w:ascii="Calibri" w:eastAsiaTheme="majorEastAsia" w:hAnsi="Calibri" w:cs="Calibri"/>
                <w:iCs/>
                <w:noProof/>
                <w:sz w:val="22"/>
                <w:szCs w:val="22"/>
                <w:lang w:eastAsia="en-US"/>
              </w:rPr>
              <w:t>Licensed SELF Insurers</w:t>
            </w:r>
            <w:r w:rsidR="000472AF">
              <w:rPr>
                <w:noProof/>
                <w:webHidden/>
              </w:rPr>
              <w:tab/>
            </w:r>
            <w:r w:rsidR="00A02309">
              <w:rPr>
                <w:noProof/>
                <w:webHidden/>
              </w:rPr>
              <w:fldChar w:fldCharType="begin"/>
            </w:r>
            <w:r w:rsidR="000472AF">
              <w:rPr>
                <w:noProof/>
                <w:webHidden/>
              </w:rPr>
              <w:instrText xml:space="preserve"> PAGEREF _Toc342578307 \h </w:instrText>
            </w:r>
            <w:r w:rsidR="00A02309">
              <w:rPr>
                <w:noProof/>
                <w:webHidden/>
              </w:rPr>
            </w:r>
            <w:r w:rsidR="00A02309">
              <w:rPr>
                <w:noProof/>
                <w:webHidden/>
              </w:rPr>
              <w:fldChar w:fldCharType="separate"/>
            </w:r>
            <w:r w:rsidR="00E1141B">
              <w:rPr>
                <w:noProof/>
                <w:webHidden/>
              </w:rPr>
              <w:t>18</w:t>
            </w:r>
            <w:r w:rsidR="00A02309">
              <w:rPr>
                <w:noProof/>
                <w:webHidden/>
              </w:rPr>
              <w:fldChar w:fldCharType="end"/>
            </w:r>
          </w:hyperlink>
        </w:p>
        <w:p w:rsidR="000472AF" w:rsidRDefault="00AD7BEF" w:rsidP="00926EEB">
          <w:pPr>
            <w:pStyle w:val="TOC3"/>
            <w:ind w:left="426"/>
            <w:rPr>
              <w:rFonts w:asciiTheme="minorHAnsi" w:eastAsiaTheme="minorEastAsia" w:hAnsiTheme="minorHAnsi" w:cstheme="minorBidi"/>
              <w:noProof/>
              <w:sz w:val="22"/>
              <w:szCs w:val="22"/>
            </w:rPr>
          </w:pPr>
          <w:hyperlink w:anchor="_Toc342578308" w:history="1">
            <w:r w:rsidR="000472AF" w:rsidRPr="00C710E7">
              <w:rPr>
                <w:rStyle w:val="Hyperlink"/>
                <w:rFonts w:ascii="Calibri" w:eastAsiaTheme="majorEastAsia" w:hAnsi="Calibri" w:cs="Calibri"/>
                <w:iCs/>
                <w:noProof/>
                <w:sz w:val="22"/>
                <w:szCs w:val="22"/>
                <w:lang w:eastAsia="en-US"/>
              </w:rPr>
              <w:t>Employees</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_Toc342578308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19</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Default="00AD7BEF" w:rsidP="00C710E7">
          <w:pPr>
            <w:pStyle w:val="TOC1"/>
            <w:rPr>
              <w:rFonts w:asciiTheme="minorHAnsi" w:eastAsiaTheme="minorEastAsia" w:hAnsiTheme="minorHAnsi" w:cstheme="minorBidi"/>
              <w:noProof/>
              <w:sz w:val="22"/>
              <w:szCs w:val="22"/>
            </w:rPr>
          </w:pPr>
          <w:hyperlink w:anchor="_Toc342578309" w:history="1">
            <w:r w:rsidR="000472AF" w:rsidRPr="00C710E7">
              <w:rPr>
                <w:rStyle w:val="Hyperlink"/>
                <w:rFonts w:ascii="Calibri" w:eastAsiaTheme="majorEastAsia" w:hAnsi="Calibri" w:cs="Calibri"/>
                <w:iCs/>
                <w:noProof/>
                <w:sz w:val="22"/>
                <w:szCs w:val="22"/>
                <w:lang w:eastAsia="en-US"/>
              </w:rPr>
              <w:t>International Comparisons</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_Toc342578309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20</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Default="00AD7BEF">
          <w:pPr>
            <w:pStyle w:val="TOC2"/>
            <w:rPr>
              <w:rFonts w:eastAsiaTheme="minorEastAsia"/>
              <w:noProof/>
              <w:lang w:eastAsia="en-AU"/>
            </w:rPr>
          </w:pPr>
          <w:hyperlink w:anchor="_Toc342578311" w:history="1">
            <w:r w:rsidR="000472AF" w:rsidRPr="00C710E7">
              <w:rPr>
                <w:rStyle w:val="Hyperlink"/>
                <w:rFonts w:ascii="Calibri" w:eastAsiaTheme="majorEastAsia" w:hAnsi="Calibri" w:cs="Calibri"/>
                <w:b/>
                <w:iCs/>
                <w:noProof/>
              </w:rPr>
              <w:t>Chapter 2: The Comcare Scheme’s Performance and Ways to Improve its Operation</w:t>
            </w:r>
            <w:r w:rsidR="000472AF">
              <w:rPr>
                <w:noProof/>
                <w:webHidden/>
              </w:rPr>
              <w:tab/>
            </w:r>
            <w:r w:rsidR="00A02309" w:rsidRPr="00C710E7">
              <w:rPr>
                <w:rStyle w:val="Hyperlink"/>
                <w:rFonts w:ascii="Calibri" w:eastAsiaTheme="majorEastAsia" w:hAnsi="Calibri" w:cs="Calibri"/>
                <w:iCs/>
                <w:noProof/>
                <w:webHidden/>
              </w:rPr>
              <w:fldChar w:fldCharType="begin"/>
            </w:r>
            <w:r w:rsidR="000472AF" w:rsidRPr="00C710E7">
              <w:rPr>
                <w:rStyle w:val="Hyperlink"/>
                <w:rFonts w:ascii="Calibri" w:eastAsiaTheme="majorEastAsia" w:hAnsi="Calibri" w:cs="Calibri"/>
                <w:iCs/>
                <w:noProof/>
                <w:webHidden/>
              </w:rPr>
              <w:instrText xml:space="preserve"> PAGEREF _Toc342578311 \h </w:instrText>
            </w:r>
            <w:r w:rsidR="00A02309" w:rsidRPr="00C710E7">
              <w:rPr>
                <w:rStyle w:val="Hyperlink"/>
                <w:rFonts w:ascii="Calibri" w:eastAsiaTheme="majorEastAsia" w:hAnsi="Calibri" w:cs="Calibri"/>
                <w:iCs/>
                <w:noProof/>
                <w:webHidden/>
              </w:rPr>
            </w:r>
            <w:r w:rsidR="00A02309" w:rsidRPr="00C710E7">
              <w:rPr>
                <w:rStyle w:val="Hyperlink"/>
                <w:rFonts w:ascii="Calibri" w:eastAsiaTheme="majorEastAsia" w:hAnsi="Calibri" w:cs="Calibri"/>
                <w:iCs/>
                <w:noProof/>
                <w:webHidden/>
              </w:rPr>
              <w:fldChar w:fldCharType="separate"/>
            </w:r>
            <w:r w:rsidR="00E1141B">
              <w:rPr>
                <w:rStyle w:val="Hyperlink"/>
                <w:rFonts w:ascii="Calibri" w:eastAsiaTheme="majorEastAsia" w:hAnsi="Calibri" w:cs="Calibri"/>
                <w:iCs/>
                <w:noProof/>
                <w:webHidden/>
              </w:rPr>
              <w:t>23</w:t>
            </w:r>
            <w:r w:rsidR="00A02309" w:rsidRPr="00C710E7">
              <w:rPr>
                <w:rStyle w:val="Hyperlink"/>
                <w:rFonts w:ascii="Calibri" w:eastAsiaTheme="majorEastAsia" w:hAnsi="Calibri" w:cs="Calibri"/>
                <w:iCs/>
                <w:noProof/>
                <w:webHidden/>
              </w:rPr>
              <w:fldChar w:fldCharType="end"/>
            </w:r>
          </w:hyperlink>
        </w:p>
        <w:p w:rsidR="000472AF" w:rsidRDefault="00AD7BEF" w:rsidP="00C710E7">
          <w:pPr>
            <w:pStyle w:val="TOC1"/>
            <w:rPr>
              <w:rFonts w:asciiTheme="minorHAnsi" w:eastAsiaTheme="minorEastAsia" w:hAnsiTheme="minorHAnsi" w:cstheme="minorBidi"/>
              <w:noProof/>
              <w:sz w:val="22"/>
              <w:szCs w:val="22"/>
            </w:rPr>
          </w:pPr>
          <w:hyperlink w:anchor="_Toc342578315" w:history="1">
            <w:r w:rsidR="000472AF" w:rsidRPr="00C710E7">
              <w:rPr>
                <w:rStyle w:val="Hyperlink"/>
                <w:rFonts w:ascii="Calibri" w:eastAsiaTheme="majorEastAsia" w:hAnsi="Calibri" w:cs="Calibri"/>
                <w:iCs/>
                <w:noProof/>
                <w:sz w:val="22"/>
                <w:szCs w:val="22"/>
                <w:lang w:eastAsia="en-US"/>
              </w:rPr>
              <w:t xml:space="preserve">Comcare </w:t>
            </w:r>
            <w:r w:rsidR="00996ED4">
              <w:rPr>
                <w:rStyle w:val="Hyperlink"/>
                <w:rFonts w:ascii="Calibri" w:eastAsiaTheme="majorEastAsia" w:hAnsi="Calibri" w:cs="Calibri"/>
                <w:iCs/>
                <w:noProof/>
                <w:sz w:val="22"/>
                <w:szCs w:val="22"/>
                <w:lang w:eastAsia="en-US"/>
              </w:rPr>
              <w:t>S</w:t>
            </w:r>
            <w:r w:rsidR="000472AF" w:rsidRPr="00C710E7">
              <w:rPr>
                <w:rStyle w:val="Hyperlink"/>
                <w:rFonts w:ascii="Calibri" w:eastAsiaTheme="majorEastAsia" w:hAnsi="Calibri" w:cs="Calibri"/>
                <w:iCs/>
                <w:noProof/>
                <w:sz w:val="22"/>
                <w:szCs w:val="22"/>
                <w:lang w:eastAsia="en-US"/>
              </w:rPr>
              <w:t>cheme Performance</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_Toc342578315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23</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Default="00AD7BEF" w:rsidP="00C710E7">
          <w:pPr>
            <w:pStyle w:val="TOC3"/>
            <w:rPr>
              <w:rFonts w:asciiTheme="minorHAnsi" w:eastAsiaTheme="minorEastAsia" w:hAnsiTheme="minorHAnsi" w:cstheme="minorBidi"/>
              <w:noProof/>
              <w:sz w:val="22"/>
              <w:szCs w:val="22"/>
            </w:rPr>
          </w:pPr>
          <w:hyperlink w:anchor="_Toc342578316" w:history="1">
            <w:r w:rsidR="000472AF" w:rsidRPr="00C710E7">
              <w:rPr>
                <w:rStyle w:val="Hyperlink"/>
                <w:rFonts w:ascii="Calibri" w:eastAsiaTheme="majorEastAsia" w:hAnsi="Calibri" w:cs="Calibri"/>
                <w:iCs/>
                <w:noProof/>
                <w:sz w:val="22"/>
                <w:szCs w:val="22"/>
                <w:lang w:eastAsia="en-US"/>
              </w:rPr>
              <w:t xml:space="preserve">History of </w:t>
            </w:r>
            <w:r w:rsidR="00996ED4">
              <w:rPr>
                <w:rStyle w:val="Hyperlink"/>
                <w:rFonts w:ascii="Calibri" w:eastAsiaTheme="majorEastAsia" w:hAnsi="Calibri" w:cs="Calibri"/>
                <w:iCs/>
                <w:noProof/>
                <w:sz w:val="22"/>
                <w:szCs w:val="22"/>
                <w:lang w:eastAsia="en-US"/>
              </w:rPr>
              <w:t>S</w:t>
            </w:r>
            <w:r w:rsidR="000472AF" w:rsidRPr="00C710E7">
              <w:rPr>
                <w:rStyle w:val="Hyperlink"/>
                <w:rFonts w:ascii="Calibri" w:eastAsiaTheme="majorEastAsia" w:hAnsi="Calibri" w:cs="Calibri"/>
                <w:iCs/>
                <w:noProof/>
                <w:sz w:val="22"/>
                <w:szCs w:val="22"/>
                <w:lang w:eastAsia="en-US"/>
              </w:rPr>
              <w:t xml:space="preserve">cheme </w:t>
            </w:r>
            <w:r w:rsidR="00996ED4">
              <w:rPr>
                <w:rStyle w:val="Hyperlink"/>
                <w:rFonts w:ascii="Calibri" w:eastAsiaTheme="majorEastAsia" w:hAnsi="Calibri" w:cs="Calibri"/>
                <w:iCs/>
                <w:noProof/>
                <w:sz w:val="22"/>
                <w:szCs w:val="22"/>
                <w:lang w:eastAsia="en-US"/>
              </w:rPr>
              <w:t>P</w:t>
            </w:r>
            <w:r w:rsidR="000472AF" w:rsidRPr="00C710E7">
              <w:rPr>
                <w:rStyle w:val="Hyperlink"/>
                <w:rFonts w:ascii="Calibri" w:eastAsiaTheme="majorEastAsia" w:hAnsi="Calibri" w:cs="Calibri"/>
                <w:iCs/>
                <w:noProof/>
                <w:sz w:val="22"/>
                <w:szCs w:val="22"/>
                <w:lang w:eastAsia="en-US"/>
              </w:rPr>
              <w:t>erformance</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_Toc342578316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23</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Pr="00C710E7" w:rsidRDefault="00AD7BEF" w:rsidP="00C710E7">
          <w:pPr>
            <w:pStyle w:val="TOC1"/>
            <w:rPr>
              <w:rStyle w:val="Hyperlink"/>
              <w:rFonts w:ascii="Calibri" w:eastAsiaTheme="majorEastAsia" w:hAnsi="Calibri" w:cs="Calibri"/>
              <w:iCs/>
              <w:noProof/>
              <w:lang w:eastAsia="en-US"/>
            </w:rPr>
          </w:pPr>
          <w:hyperlink w:anchor="_Toc342578321" w:history="1">
            <w:r w:rsidR="00996ED4" w:rsidRPr="00996ED4">
              <w:rPr>
                <w:rStyle w:val="Hyperlink"/>
                <w:rFonts w:ascii="Calibri" w:eastAsiaTheme="majorEastAsia" w:hAnsi="Calibri" w:cs="Calibri"/>
                <w:iCs/>
                <w:noProof/>
                <w:sz w:val="22"/>
                <w:szCs w:val="22"/>
                <w:lang w:eastAsia="en-US"/>
              </w:rPr>
              <w:t xml:space="preserve">Scheme Regulation </w:t>
            </w:r>
            <w:r w:rsidR="00996ED4">
              <w:rPr>
                <w:rStyle w:val="Hyperlink"/>
                <w:rFonts w:ascii="Calibri" w:eastAsiaTheme="majorEastAsia" w:hAnsi="Calibri" w:cs="Calibri"/>
                <w:iCs/>
                <w:noProof/>
                <w:sz w:val="22"/>
                <w:szCs w:val="22"/>
                <w:lang w:eastAsia="en-US"/>
              </w:rPr>
              <w:t>O</w:t>
            </w:r>
            <w:r w:rsidR="000472AF" w:rsidRPr="00C710E7">
              <w:rPr>
                <w:rStyle w:val="Hyperlink"/>
                <w:rFonts w:ascii="Calibri" w:eastAsiaTheme="majorEastAsia" w:hAnsi="Calibri" w:cs="Calibri"/>
                <w:iCs/>
                <w:noProof/>
                <w:sz w:val="22"/>
                <w:szCs w:val="22"/>
                <w:lang w:eastAsia="en-US"/>
              </w:rPr>
              <w:t>verview</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_Toc342578321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25</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Pr="00C710E7" w:rsidRDefault="00AD7BEF" w:rsidP="00C710E7">
          <w:pPr>
            <w:pStyle w:val="TOC3"/>
            <w:rPr>
              <w:rStyle w:val="Hyperlink"/>
              <w:rFonts w:ascii="Calibri" w:eastAsiaTheme="majorEastAsia" w:hAnsi="Calibri" w:cs="Calibri"/>
              <w:iCs/>
              <w:noProof/>
              <w:lang w:eastAsia="en-US"/>
            </w:rPr>
          </w:pPr>
          <w:hyperlink w:anchor="_Toc342578348" w:history="1">
            <w:r w:rsidR="000472AF" w:rsidRPr="00C710E7">
              <w:rPr>
                <w:rStyle w:val="Hyperlink"/>
                <w:rFonts w:ascii="Calibri" w:eastAsiaTheme="majorEastAsia" w:hAnsi="Calibri" w:cs="Calibri"/>
                <w:iCs/>
                <w:noProof/>
                <w:sz w:val="22"/>
                <w:szCs w:val="22"/>
                <w:lang w:eastAsia="en-US"/>
              </w:rPr>
              <w:t>SRCC Membership</w:t>
            </w:r>
            <w:r w:rsidR="000472AF" w:rsidRPr="00C710E7">
              <w:rPr>
                <w:rStyle w:val="Hyperlink"/>
                <w:rFonts w:ascii="Calibri" w:eastAsiaTheme="majorEastAsia" w:hAnsi="Calibri" w:cs="Calibri"/>
                <w:iCs/>
                <w:noProof/>
                <w:webHidden/>
                <w:sz w:val="22"/>
                <w:szCs w:val="22"/>
                <w:lang w:eastAsia="en-US"/>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_Toc342578348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28</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Default="00AD7BEF" w:rsidP="00C710E7">
          <w:pPr>
            <w:pStyle w:val="TOC3"/>
            <w:rPr>
              <w:rFonts w:asciiTheme="minorHAnsi" w:eastAsiaTheme="minorEastAsia" w:hAnsiTheme="minorHAnsi" w:cstheme="minorBidi"/>
              <w:noProof/>
              <w:sz w:val="22"/>
              <w:szCs w:val="22"/>
            </w:rPr>
          </w:pPr>
          <w:hyperlink w:anchor="_Toc342578354" w:history="1">
            <w:r w:rsidR="00996ED4">
              <w:rPr>
                <w:rStyle w:val="Hyperlink"/>
                <w:rFonts w:ascii="Calibri" w:eastAsiaTheme="majorEastAsia" w:hAnsi="Calibri" w:cs="Calibri"/>
                <w:iCs/>
                <w:noProof/>
                <w:sz w:val="22"/>
                <w:szCs w:val="22"/>
                <w:lang w:eastAsia="en-US"/>
              </w:rPr>
              <w:t>S</w:t>
            </w:r>
            <w:r w:rsidR="000472AF" w:rsidRPr="00C710E7">
              <w:rPr>
                <w:rStyle w:val="Hyperlink"/>
                <w:rFonts w:ascii="Calibri" w:eastAsiaTheme="majorEastAsia" w:hAnsi="Calibri" w:cs="Calibri"/>
                <w:iCs/>
                <w:noProof/>
                <w:sz w:val="22"/>
                <w:szCs w:val="22"/>
                <w:lang w:eastAsia="en-US"/>
              </w:rPr>
              <w:t xml:space="preserve">elf </w:t>
            </w:r>
            <w:r w:rsidR="00996ED4">
              <w:rPr>
                <w:rStyle w:val="Hyperlink"/>
                <w:rFonts w:ascii="Calibri" w:eastAsiaTheme="majorEastAsia" w:hAnsi="Calibri" w:cs="Calibri"/>
                <w:iCs/>
                <w:noProof/>
                <w:sz w:val="22"/>
                <w:szCs w:val="22"/>
                <w:lang w:eastAsia="en-US"/>
              </w:rPr>
              <w:t>I</w:t>
            </w:r>
            <w:r w:rsidR="000472AF" w:rsidRPr="00C710E7">
              <w:rPr>
                <w:rStyle w:val="Hyperlink"/>
                <w:rFonts w:ascii="Calibri" w:eastAsiaTheme="majorEastAsia" w:hAnsi="Calibri" w:cs="Calibri"/>
                <w:iCs/>
                <w:noProof/>
                <w:sz w:val="22"/>
                <w:szCs w:val="22"/>
                <w:lang w:eastAsia="en-US"/>
              </w:rPr>
              <w:t xml:space="preserve">nsurance </w:t>
            </w:r>
            <w:r w:rsidR="00996ED4">
              <w:rPr>
                <w:rStyle w:val="Hyperlink"/>
                <w:rFonts w:ascii="Calibri" w:eastAsiaTheme="majorEastAsia" w:hAnsi="Calibri" w:cs="Calibri"/>
                <w:iCs/>
                <w:noProof/>
                <w:sz w:val="22"/>
                <w:szCs w:val="22"/>
                <w:lang w:eastAsia="en-US"/>
              </w:rPr>
              <w:t>R</w:t>
            </w:r>
            <w:r w:rsidR="000472AF" w:rsidRPr="00C710E7">
              <w:rPr>
                <w:rStyle w:val="Hyperlink"/>
                <w:rFonts w:ascii="Calibri" w:eastAsiaTheme="majorEastAsia" w:hAnsi="Calibri" w:cs="Calibri"/>
                <w:iCs/>
                <w:noProof/>
                <w:sz w:val="22"/>
                <w:szCs w:val="22"/>
                <w:lang w:eastAsia="en-US"/>
              </w:rPr>
              <w:t xml:space="preserve">egulatory </w:t>
            </w:r>
            <w:r w:rsidR="00996ED4">
              <w:rPr>
                <w:rStyle w:val="Hyperlink"/>
                <w:rFonts w:ascii="Calibri" w:eastAsiaTheme="majorEastAsia" w:hAnsi="Calibri" w:cs="Calibri"/>
                <w:iCs/>
                <w:noProof/>
                <w:sz w:val="22"/>
                <w:szCs w:val="22"/>
                <w:lang w:eastAsia="en-US"/>
              </w:rPr>
              <w:t>F</w:t>
            </w:r>
            <w:r w:rsidR="000472AF" w:rsidRPr="00C710E7">
              <w:rPr>
                <w:rStyle w:val="Hyperlink"/>
                <w:rFonts w:ascii="Calibri" w:eastAsiaTheme="majorEastAsia" w:hAnsi="Calibri" w:cs="Calibri"/>
                <w:iCs/>
                <w:noProof/>
                <w:sz w:val="22"/>
                <w:szCs w:val="22"/>
                <w:lang w:eastAsia="en-US"/>
              </w:rPr>
              <w:t>ramework</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_Toc342578354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29</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Default="00AD7BEF" w:rsidP="00926EEB">
          <w:pPr>
            <w:pStyle w:val="TOC1"/>
            <w:ind w:left="567"/>
            <w:rPr>
              <w:rFonts w:asciiTheme="minorHAnsi" w:eastAsiaTheme="minorEastAsia" w:hAnsiTheme="minorHAnsi" w:cstheme="minorBidi"/>
              <w:noProof/>
              <w:sz w:val="22"/>
              <w:szCs w:val="22"/>
            </w:rPr>
          </w:pPr>
          <w:hyperlink w:anchor="_Toc342578390" w:history="1">
            <w:r w:rsidR="00996ED4">
              <w:rPr>
                <w:rStyle w:val="Hyperlink"/>
                <w:rFonts w:ascii="Calibri" w:eastAsiaTheme="majorEastAsia" w:hAnsi="Calibri" w:cs="Calibri"/>
                <w:iCs/>
                <w:noProof/>
                <w:sz w:val="22"/>
                <w:szCs w:val="22"/>
                <w:lang w:eastAsia="en-US"/>
              </w:rPr>
              <w:t>T</w:t>
            </w:r>
            <w:r w:rsidR="000472AF" w:rsidRPr="00C710E7">
              <w:rPr>
                <w:rStyle w:val="Hyperlink"/>
                <w:rFonts w:ascii="Calibri" w:eastAsiaTheme="majorEastAsia" w:hAnsi="Calibri" w:cs="Calibri"/>
                <w:iCs/>
                <w:noProof/>
                <w:sz w:val="22"/>
                <w:szCs w:val="22"/>
                <w:lang w:eastAsia="en-US"/>
              </w:rPr>
              <w:t xml:space="preserve">he </w:t>
            </w:r>
            <w:r w:rsidR="00926EEB">
              <w:rPr>
                <w:rStyle w:val="Hyperlink"/>
                <w:rFonts w:ascii="Calibri" w:eastAsiaTheme="majorEastAsia" w:hAnsi="Calibri" w:cs="Calibri"/>
                <w:iCs/>
                <w:noProof/>
                <w:sz w:val="22"/>
                <w:szCs w:val="22"/>
                <w:lang w:eastAsia="en-US"/>
              </w:rPr>
              <w:t>P</w:t>
            </w:r>
            <w:r w:rsidR="00926EEB" w:rsidRPr="00C710E7">
              <w:rPr>
                <w:rStyle w:val="Hyperlink"/>
                <w:rFonts w:ascii="Calibri" w:eastAsiaTheme="majorEastAsia" w:hAnsi="Calibri" w:cs="Calibri"/>
                <w:iCs/>
                <w:noProof/>
                <w:sz w:val="22"/>
                <w:szCs w:val="22"/>
                <w:lang w:eastAsia="en-US"/>
              </w:rPr>
              <w:t xml:space="preserve">erformance </w:t>
            </w:r>
            <w:r w:rsidR="000472AF" w:rsidRPr="00C710E7">
              <w:rPr>
                <w:rStyle w:val="Hyperlink"/>
                <w:rFonts w:ascii="Calibri" w:eastAsiaTheme="majorEastAsia" w:hAnsi="Calibri" w:cs="Calibri"/>
                <w:iCs/>
                <w:noProof/>
                <w:sz w:val="22"/>
                <w:szCs w:val="22"/>
                <w:lang w:eastAsia="en-US"/>
              </w:rPr>
              <w:t>of Determining Authorities</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_Toc342578390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35</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Default="00AD7BEF" w:rsidP="00C710E7">
          <w:pPr>
            <w:pStyle w:val="TOC3"/>
            <w:rPr>
              <w:rFonts w:asciiTheme="minorHAnsi" w:eastAsiaTheme="minorEastAsia" w:hAnsiTheme="minorHAnsi" w:cstheme="minorBidi"/>
              <w:noProof/>
              <w:sz w:val="22"/>
              <w:szCs w:val="22"/>
            </w:rPr>
          </w:pPr>
          <w:hyperlink w:anchor="_Toc342578393" w:history="1">
            <w:r w:rsidR="000472AF" w:rsidRPr="00C710E7">
              <w:rPr>
                <w:rStyle w:val="Hyperlink"/>
                <w:rFonts w:ascii="Calibri" w:eastAsiaTheme="majorEastAsia" w:hAnsi="Calibri" w:cs="Calibri"/>
                <w:iCs/>
                <w:noProof/>
                <w:sz w:val="22"/>
                <w:szCs w:val="22"/>
                <w:lang w:eastAsia="en-US"/>
              </w:rPr>
              <w:t xml:space="preserve">Rehabilitation </w:t>
            </w:r>
            <w:r w:rsidR="00996ED4">
              <w:rPr>
                <w:rStyle w:val="Hyperlink"/>
                <w:rFonts w:ascii="Calibri" w:eastAsiaTheme="majorEastAsia" w:hAnsi="Calibri" w:cs="Calibri"/>
                <w:iCs/>
                <w:noProof/>
                <w:sz w:val="22"/>
                <w:szCs w:val="22"/>
                <w:lang w:eastAsia="en-US"/>
              </w:rPr>
              <w:t>M</w:t>
            </w:r>
            <w:r w:rsidR="000472AF" w:rsidRPr="00C710E7">
              <w:rPr>
                <w:rStyle w:val="Hyperlink"/>
                <w:rFonts w:ascii="Calibri" w:eastAsiaTheme="majorEastAsia" w:hAnsi="Calibri" w:cs="Calibri"/>
                <w:iCs/>
                <w:noProof/>
                <w:sz w:val="22"/>
                <w:szCs w:val="22"/>
                <w:lang w:eastAsia="en-US"/>
              </w:rPr>
              <w:t xml:space="preserve">anagement </w:t>
            </w:r>
            <w:r w:rsidR="00996ED4">
              <w:rPr>
                <w:rStyle w:val="Hyperlink"/>
                <w:rFonts w:ascii="Calibri" w:eastAsiaTheme="majorEastAsia" w:hAnsi="Calibri" w:cs="Calibri"/>
                <w:iCs/>
                <w:noProof/>
                <w:sz w:val="22"/>
                <w:szCs w:val="22"/>
                <w:lang w:eastAsia="en-US"/>
              </w:rPr>
              <w:t>S</w:t>
            </w:r>
            <w:r w:rsidR="000472AF" w:rsidRPr="00C710E7">
              <w:rPr>
                <w:rStyle w:val="Hyperlink"/>
                <w:rFonts w:ascii="Calibri" w:eastAsiaTheme="majorEastAsia" w:hAnsi="Calibri" w:cs="Calibri"/>
                <w:iCs/>
                <w:noProof/>
                <w:sz w:val="22"/>
                <w:szCs w:val="22"/>
                <w:lang w:eastAsia="en-US"/>
              </w:rPr>
              <w:t>ystems</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_Toc342578393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44</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Default="00AD7BEF" w:rsidP="00C710E7">
          <w:pPr>
            <w:pStyle w:val="TOC3"/>
            <w:rPr>
              <w:rFonts w:asciiTheme="minorHAnsi" w:eastAsiaTheme="minorEastAsia" w:hAnsiTheme="minorHAnsi" w:cstheme="minorBidi"/>
              <w:noProof/>
              <w:sz w:val="22"/>
              <w:szCs w:val="22"/>
            </w:rPr>
          </w:pPr>
          <w:hyperlink w:anchor="_Toc342578394" w:history="1">
            <w:r w:rsidR="000472AF" w:rsidRPr="00C710E7">
              <w:rPr>
                <w:rStyle w:val="Hyperlink"/>
                <w:rFonts w:ascii="Calibri" w:eastAsiaTheme="majorEastAsia" w:hAnsi="Calibri" w:cs="Calibri"/>
                <w:iCs/>
                <w:noProof/>
                <w:sz w:val="22"/>
                <w:szCs w:val="22"/>
                <w:lang w:eastAsia="en-US"/>
              </w:rPr>
              <w:t>A National Rehabilitation Framework?</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_Toc342578394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45</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Default="00AD7BEF" w:rsidP="00C710E7">
          <w:pPr>
            <w:pStyle w:val="TOC1"/>
            <w:rPr>
              <w:rFonts w:asciiTheme="minorHAnsi" w:eastAsiaTheme="minorEastAsia" w:hAnsiTheme="minorHAnsi" w:cstheme="minorBidi"/>
              <w:noProof/>
              <w:sz w:val="22"/>
              <w:szCs w:val="22"/>
            </w:rPr>
          </w:pPr>
          <w:hyperlink w:anchor="_Toc342578395" w:history="1">
            <w:r w:rsidR="000472AF" w:rsidRPr="00C710E7">
              <w:rPr>
                <w:rStyle w:val="Hyperlink"/>
                <w:rFonts w:ascii="Calibri" w:eastAsiaTheme="majorEastAsia" w:hAnsi="Calibri" w:cs="Calibri"/>
                <w:iCs/>
                <w:noProof/>
                <w:sz w:val="22"/>
                <w:szCs w:val="22"/>
                <w:lang w:eastAsia="en-US"/>
              </w:rPr>
              <w:t>C</w:t>
            </w:r>
            <w:r w:rsidR="00996ED4">
              <w:rPr>
                <w:rStyle w:val="Hyperlink"/>
                <w:rFonts w:ascii="Calibri" w:eastAsiaTheme="majorEastAsia" w:hAnsi="Calibri" w:cs="Calibri"/>
                <w:iCs/>
                <w:noProof/>
                <w:sz w:val="22"/>
                <w:szCs w:val="22"/>
                <w:lang w:eastAsia="en-US"/>
              </w:rPr>
              <w:t>omcare’s</w:t>
            </w:r>
            <w:r w:rsidR="000472AF" w:rsidRPr="00C710E7">
              <w:rPr>
                <w:rStyle w:val="Hyperlink"/>
                <w:rFonts w:ascii="Calibri" w:eastAsiaTheme="majorEastAsia" w:hAnsi="Calibri" w:cs="Calibri"/>
                <w:iCs/>
                <w:noProof/>
                <w:sz w:val="22"/>
                <w:szCs w:val="22"/>
                <w:lang w:eastAsia="en-US"/>
              </w:rPr>
              <w:t xml:space="preserve"> Recovery and Support Services</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_Toc342578395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46</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Default="00AD7BEF" w:rsidP="00C710E7">
          <w:pPr>
            <w:pStyle w:val="TOC3"/>
            <w:rPr>
              <w:rFonts w:asciiTheme="minorHAnsi" w:eastAsiaTheme="minorEastAsia" w:hAnsiTheme="minorHAnsi" w:cstheme="minorBidi"/>
              <w:noProof/>
              <w:sz w:val="22"/>
              <w:szCs w:val="22"/>
            </w:rPr>
          </w:pPr>
          <w:hyperlink w:anchor="_Toc342578396" w:history="1">
            <w:r w:rsidR="000472AF" w:rsidRPr="00C710E7">
              <w:rPr>
                <w:rStyle w:val="Hyperlink"/>
                <w:rFonts w:ascii="Calibri" w:eastAsiaTheme="majorEastAsia" w:hAnsi="Calibri" w:cs="Calibri"/>
                <w:iCs/>
                <w:noProof/>
                <w:sz w:val="22"/>
                <w:szCs w:val="22"/>
                <w:lang w:eastAsia="en-US"/>
              </w:rPr>
              <w:t>Comcare’s Performance as a Premium Paying Employer</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_Toc342578396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46</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Default="00AD7BEF" w:rsidP="00C710E7">
          <w:pPr>
            <w:pStyle w:val="TOC3"/>
            <w:rPr>
              <w:rFonts w:asciiTheme="minorHAnsi" w:eastAsiaTheme="minorEastAsia" w:hAnsiTheme="minorHAnsi" w:cstheme="minorBidi"/>
              <w:noProof/>
              <w:sz w:val="22"/>
              <w:szCs w:val="22"/>
            </w:rPr>
          </w:pPr>
          <w:hyperlink w:anchor="_Toc342578397" w:history="1">
            <w:r w:rsidR="00996ED4" w:rsidRPr="00996ED4">
              <w:rPr>
                <w:rStyle w:val="Hyperlink"/>
                <w:rFonts w:ascii="Calibri" w:eastAsiaTheme="majorEastAsia" w:hAnsi="Calibri" w:cs="Calibri"/>
                <w:iCs/>
                <w:noProof/>
                <w:sz w:val="22"/>
                <w:szCs w:val="22"/>
                <w:lang w:eastAsia="en-US"/>
              </w:rPr>
              <w:t xml:space="preserve">Key </w:t>
            </w:r>
            <w:r w:rsidR="00996ED4">
              <w:rPr>
                <w:rStyle w:val="Hyperlink"/>
                <w:rFonts w:ascii="Calibri" w:eastAsiaTheme="majorEastAsia" w:hAnsi="Calibri" w:cs="Calibri"/>
                <w:iCs/>
                <w:noProof/>
                <w:sz w:val="22"/>
                <w:szCs w:val="22"/>
                <w:lang w:eastAsia="en-US"/>
              </w:rPr>
              <w:t>I</w:t>
            </w:r>
            <w:r w:rsidR="000472AF" w:rsidRPr="00C710E7">
              <w:rPr>
                <w:rStyle w:val="Hyperlink"/>
                <w:rFonts w:ascii="Calibri" w:eastAsiaTheme="majorEastAsia" w:hAnsi="Calibri" w:cs="Calibri"/>
                <w:iCs/>
                <w:noProof/>
                <w:sz w:val="22"/>
                <w:szCs w:val="22"/>
                <w:lang w:eastAsia="en-US"/>
              </w:rPr>
              <w:t xml:space="preserve">ssues </w:t>
            </w:r>
            <w:r w:rsidR="00996ED4">
              <w:rPr>
                <w:rStyle w:val="Hyperlink"/>
                <w:rFonts w:ascii="Calibri" w:eastAsiaTheme="majorEastAsia" w:hAnsi="Calibri" w:cs="Calibri"/>
                <w:iCs/>
                <w:noProof/>
                <w:sz w:val="22"/>
                <w:szCs w:val="22"/>
                <w:lang w:eastAsia="en-US"/>
              </w:rPr>
              <w:t>I</w:t>
            </w:r>
            <w:r w:rsidR="00996ED4" w:rsidRPr="00996ED4">
              <w:rPr>
                <w:rStyle w:val="Hyperlink"/>
                <w:rFonts w:ascii="Calibri" w:eastAsiaTheme="majorEastAsia" w:hAnsi="Calibri" w:cs="Calibri"/>
                <w:iCs/>
                <w:noProof/>
                <w:sz w:val="22"/>
                <w:szCs w:val="22"/>
                <w:lang w:eastAsia="en-US"/>
              </w:rPr>
              <w:t xml:space="preserve">mpacting recent </w:t>
            </w:r>
            <w:r w:rsidR="00996ED4">
              <w:rPr>
                <w:rStyle w:val="Hyperlink"/>
                <w:rFonts w:ascii="Calibri" w:eastAsiaTheme="majorEastAsia" w:hAnsi="Calibri" w:cs="Calibri"/>
                <w:iCs/>
                <w:noProof/>
                <w:sz w:val="22"/>
                <w:szCs w:val="22"/>
                <w:lang w:eastAsia="en-US"/>
              </w:rPr>
              <w:t>P</w:t>
            </w:r>
            <w:r w:rsidR="00996ED4" w:rsidRPr="00996ED4">
              <w:rPr>
                <w:rStyle w:val="Hyperlink"/>
                <w:rFonts w:ascii="Calibri" w:eastAsiaTheme="majorEastAsia" w:hAnsi="Calibri" w:cs="Calibri"/>
                <w:iCs/>
                <w:noProof/>
                <w:sz w:val="22"/>
                <w:szCs w:val="22"/>
                <w:lang w:eastAsia="en-US"/>
              </w:rPr>
              <w:t xml:space="preserve">remium </w:t>
            </w:r>
            <w:r w:rsidR="00996ED4">
              <w:rPr>
                <w:rStyle w:val="Hyperlink"/>
                <w:rFonts w:ascii="Calibri" w:eastAsiaTheme="majorEastAsia" w:hAnsi="Calibri" w:cs="Calibri"/>
                <w:iCs/>
                <w:noProof/>
                <w:sz w:val="22"/>
                <w:szCs w:val="22"/>
                <w:lang w:eastAsia="en-US"/>
              </w:rPr>
              <w:t>S</w:t>
            </w:r>
            <w:r w:rsidR="000472AF" w:rsidRPr="00C710E7">
              <w:rPr>
                <w:rStyle w:val="Hyperlink"/>
                <w:rFonts w:ascii="Calibri" w:eastAsiaTheme="majorEastAsia" w:hAnsi="Calibri" w:cs="Calibri"/>
                <w:iCs/>
                <w:noProof/>
                <w:sz w:val="22"/>
                <w:szCs w:val="22"/>
                <w:lang w:eastAsia="en-US"/>
              </w:rPr>
              <w:t xml:space="preserve">cheme </w:t>
            </w:r>
            <w:r w:rsidR="00996ED4">
              <w:rPr>
                <w:rStyle w:val="Hyperlink"/>
                <w:rFonts w:ascii="Calibri" w:eastAsiaTheme="majorEastAsia" w:hAnsi="Calibri" w:cs="Calibri"/>
                <w:iCs/>
                <w:noProof/>
                <w:sz w:val="22"/>
                <w:szCs w:val="22"/>
                <w:lang w:eastAsia="en-US"/>
              </w:rPr>
              <w:t>P</w:t>
            </w:r>
            <w:r w:rsidR="000472AF" w:rsidRPr="00C710E7">
              <w:rPr>
                <w:rStyle w:val="Hyperlink"/>
                <w:rFonts w:ascii="Calibri" w:eastAsiaTheme="majorEastAsia" w:hAnsi="Calibri" w:cs="Calibri"/>
                <w:iCs/>
                <w:noProof/>
                <w:sz w:val="22"/>
                <w:szCs w:val="22"/>
                <w:lang w:eastAsia="en-US"/>
              </w:rPr>
              <w:t>erformance</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_Toc342578397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51</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Default="00AD7BEF" w:rsidP="00C710E7">
          <w:pPr>
            <w:pStyle w:val="TOC1"/>
            <w:rPr>
              <w:rFonts w:asciiTheme="minorHAnsi" w:eastAsiaTheme="minorEastAsia" w:hAnsiTheme="minorHAnsi" w:cstheme="minorBidi"/>
              <w:noProof/>
              <w:sz w:val="22"/>
              <w:szCs w:val="22"/>
            </w:rPr>
          </w:pPr>
          <w:hyperlink w:anchor="_Toc342578398" w:history="1">
            <w:r w:rsidR="000472AF" w:rsidRPr="00C710E7">
              <w:rPr>
                <w:rStyle w:val="Hyperlink"/>
                <w:rFonts w:ascii="Calibri" w:eastAsiaTheme="majorEastAsia" w:hAnsi="Calibri" w:cs="Calibri"/>
                <w:iCs/>
                <w:noProof/>
                <w:sz w:val="22"/>
                <w:szCs w:val="22"/>
                <w:lang w:eastAsia="en-US"/>
              </w:rPr>
              <w:t xml:space="preserve">Recent </w:t>
            </w:r>
            <w:r w:rsidR="00926EEB">
              <w:rPr>
                <w:rStyle w:val="Hyperlink"/>
                <w:rFonts w:ascii="Calibri" w:eastAsiaTheme="majorEastAsia" w:hAnsi="Calibri" w:cs="Calibri"/>
                <w:iCs/>
                <w:noProof/>
                <w:sz w:val="22"/>
                <w:szCs w:val="22"/>
                <w:lang w:eastAsia="en-US"/>
              </w:rPr>
              <w:t>C</w:t>
            </w:r>
            <w:r w:rsidR="00926EEB" w:rsidRPr="00C710E7">
              <w:rPr>
                <w:rStyle w:val="Hyperlink"/>
                <w:rFonts w:ascii="Calibri" w:eastAsiaTheme="majorEastAsia" w:hAnsi="Calibri" w:cs="Calibri"/>
                <w:iCs/>
                <w:noProof/>
                <w:sz w:val="22"/>
                <w:szCs w:val="22"/>
                <w:lang w:eastAsia="en-US"/>
              </w:rPr>
              <w:t xml:space="preserve">omcare </w:t>
            </w:r>
            <w:r w:rsidR="00C710E7">
              <w:rPr>
                <w:rStyle w:val="Hyperlink"/>
                <w:rFonts w:ascii="Calibri" w:eastAsiaTheme="majorEastAsia" w:hAnsi="Calibri" w:cs="Calibri"/>
                <w:iCs/>
                <w:noProof/>
                <w:sz w:val="22"/>
                <w:szCs w:val="22"/>
                <w:lang w:eastAsia="en-US"/>
              </w:rPr>
              <w:t>Initiatives</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_Toc342578398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53</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Default="00AD7BEF" w:rsidP="00C710E7">
          <w:pPr>
            <w:pStyle w:val="TOC3"/>
            <w:rPr>
              <w:rFonts w:asciiTheme="minorHAnsi" w:eastAsiaTheme="minorEastAsia" w:hAnsiTheme="minorHAnsi" w:cstheme="minorBidi"/>
              <w:noProof/>
              <w:sz w:val="22"/>
              <w:szCs w:val="22"/>
            </w:rPr>
          </w:pPr>
          <w:hyperlink w:anchor="_Toc342578399" w:history="1">
            <w:r w:rsidR="000472AF" w:rsidRPr="00C710E7">
              <w:rPr>
                <w:rStyle w:val="Hyperlink"/>
                <w:rFonts w:ascii="Calibri" w:eastAsiaTheme="majorEastAsia" w:hAnsi="Calibri" w:cs="Calibri"/>
                <w:iCs/>
                <w:noProof/>
                <w:sz w:val="22"/>
                <w:szCs w:val="22"/>
                <w:lang w:eastAsia="en-US"/>
              </w:rPr>
              <w:t>Project Service Excellence</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_Toc342578399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53</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Default="00AD7BEF" w:rsidP="00C710E7">
          <w:pPr>
            <w:pStyle w:val="TOC3"/>
            <w:rPr>
              <w:rFonts w:asciiTheme="minorHAnsi" w:eastAsiaTheme="minorEastAsia" w:hAnsiTheme="minorHAnsi" w:cstheme="minorBidi"/>
              <w:noProof/>
              <w:sz w:val="22"/>
              <w:szCs w:val="22"/>
            </w:rPr>
          </w:pPr>
          <w:hyperlink w:anchor="_Toc342578402" w:history="1">
            <w:r w:rsidR="000472AF" w:rsidRPr="00C710E7">
              <w:rPr>
                <w:rStyle w:val="Hyperlink"/>
                <w:rFonts w:ascii="Calibri" w:eastAsiaTheme="majorEastAsia" w:hAnsi="Calibri" w:cs="Calibri"/>
                <w:iCs/>
                <w:noProof/>
                <w:sz w:val="22"/>
                <w:szCs w:val="22"/>
                <w:lang w:eastAsia="en-US"/>
              </w:rPr>
              <w:t>The Ten-Point Plan</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_Toc342578402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57</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Default="00AD7BEF" w:rsidP="00C710E7">
          <w:pPr>
            <w:pStyle w:val="TOC3"/>
            <w:rPr>
              <w:rFonts w:asciiTheme="minorHAnsi" w:eastAsiaTheme="minorEastAsia" w:hAnsiTheme="minorHAnsi" w:cstheme="minorBidi"/>
              <w:noProof/>
              <w:sz w:val="22"/>
              <w:szCs w:val="22"/>
            </w:rPr>
          </w:pPr>
          <w:hyperlink w:anchor="_Toc342578403" w:history="1">
            <w:r w:rsidR="000472AF" w:rsidRPr="00C710E7">
              <w:rPr>
                <w:rStyle w:val="Hyperlink"/>
                <w:rFonts w:ascii="Calibri" w:eastAsiaTheme="majorEastAsia" w:hAnsi="Calibri" w:cs="Calibri"/>
                <w:iCs/>
                <w:noProof/>
                <w:sz w:val="22"/>
                <w:szCs w:val="22"/>
                <w:lang w:eastAsia="en-US"/>
              </w:rPr>
              <w:t>Audit</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_Toc342578403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59</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Default="00AD7BEF" w:rsidP="00C710E7">
          <w:pPr>
            <w:pStyle w:val="TOC3"/>
            <w:rPr>
              <w:rFonts w:asciiTheme="minorHAnsi" w:eastAsiaTheme="minorEastAsia" w:hAnsiTheme="minorHAnsi" w:cstheme="minorBidi"/>
              <w:noProof/>
            </w:rPr>
          </w:pPr>
          <w:hyperlink w:anchor="_Toc342578404" w:history="1">
            <w:r w:rsidR="00C710E7">
              <w:rPr>
                <w:rStyle w:val="Hyperlink"/>
                <w:rFonts w:ascii="Calibri" w:eastAsiaTheme="majorEastAsia" w:hAnsi="Calibri" w:cs="Calibri"/>
                <w:iCs/>
                <w:noProof/>
                <w:sz w:val="22"/>
                <w:szCs w:val="22"/>
                <w:lang w:eastAsia="en-US"/>
              </w:rPr>
              <w:t>I</w:t>
            </w:r>
            <w:r w:rsidR="000472AF" w:rsidRPr="00C710E7">
              <w:rPr>
                <w:rStyle w:val="Hyperlink"/>
                <w:rFonts w:ascii="Calibri" w:eastAsiaTheme="majorEastAsia" w:hAnsi="Calibri" w:cs="Calibri"/>
                <w:iCs/>
                <w:noProof/>
                <w:sz w:val="22"/>
                <w:szCs w:val="22"/>
                <w:lang w:eastAsia="en-US"/>
              </w:rPr>
              <w:t>mprovement</w:t>
            </w:r>
            <w:r w:rsidR="00C710E7">
              <w:rPr>
                <w:rStyle w:val="Hyperlink"/>
                <w:rFonts w:ascii="Calibri" w:eastAsiaTheme="majorEastAsia" w:hAnsi="Calibri" w:cs="Calibri"/>
                <w:iCs/>
                <w:noProof/>
                <w:sz w:val="22"/>
                <w:szCs w:val="22"/>
                <w:lang w:eastAsia="en-US"/>
              </w:rPr>
              <w:t>s</w:t>
            </w:r>
            <w:r w:rsidR="000472AF" w:rsidRPr="00C710E7">
              <w:rPr>
                <w:rStyle w:val="Hyperlink"/>
                <w:rFonts w:ascii="Calibri" w:eastAsiaTheme="majorEastAsia" w:hAnsi="Calibri" w:cs="Calibri"/>
                <w:iCs/>
                <w:noProof/>
                <w:sz w:val="22"/>
                <w:szCs w:val="22"/>
                <w:lang w:eastAsia="en-US"/>
              </w:rPr>
              <w:t xml:space="preserve"> to the </w:t>
            </w:r>
            <w:r w:rsidR="00C710E7">
              <w:rPr>
                <w:rStyle w:val="Hyperlink"/>
                <w:rFonts w:ascii="Calibri" w:eastAsiaTheme="majorEastAsia" w:hAnsi="Calibri" w:cs="Calibri"/>
                <w:iCs/>
                <w:noProof/>
                <w:sz w:val="22"/>
                <w:szCs w:val="22"/>
                <w:lang w:eastAsia="en-US"/>
              </w:rPr>
              <w:t>D</w:t>
            </w:r>
            <w:r w:rsidR="000472AF" w:rsidRPr="00C710E7">
              <w:rPr>
                <w:rStyle w:val="Hyperlink"/>
                <w:rFonts w:ascii="Calibri" w:eastAsiaTheme="majorEastAsia" w:hAnsi="Calibri" w:cs="Calibri"/>
                <w:iCs/>
                <w:noProof/>
                <w:sz w:val="22"/>
                <w:szCs w:val="22"/>
                <w:lang w:eastAsia="en-US"/>
              </w:rPr>
              <w:t xml:space="preserve">elivery of </w:t>
            </w:r>
            <w:r w:rsidR="00C710E7">
              <w:rPr>
                <w:rStyle w:val="Hyperlink"/>
                <w:rFonts w:ascii="Calibri" w:eastAsiaTheme="majorEastAsia" w:hAnsi="Calibri" w:cs="Calibri"/>
                <w:iCs/>
                <w:noProof/>
                <w:sz w:val="22"/>
                <w:szCs w:val="22"/>
                <w:lang w:eastAsia="en-US"/>
              </w:rPr>
              <w:t>C</w:t>
            </w:r>
            <w:r w:rsidR="000472AF" w:rsidRPr="00C710E7">
              <w:rPr>
                <w:rStyle w:val="Hyperlink"/>
                <w:rFonts w:ascii="Calibri" w:eastAsiaTheme="majorEastAsia" w:hAnsi="Calibri" w:cs="Calibri"/>
                <w:iCs/>
                <w:noProof/>
                <w:sz w:val="22"/>
                <w:szCs w:val="22"/>
                <w:lang w:eastAsia="en-US"/>
              </w:rPr>
              <w:t xml:space="preserve">omcare's </w:t>
            </w:r>
            <w:r w:rsidR="00C710E7">
              <w:rPr>
                <w:rStyle w:val="Hyperlink"/>
                <w:rFonts w:ascii="Calibri" w:eastAsiaTheme="majorEastAsia" w:hAnsi="Calibri" w:cs="Calibri"/>
                <w:iCs/>
                <w:noProof/>
                <w:sz w:val="22"/>
                <w:szCs w:val="22"/>
                <w:lang w:eastAsia="en-US"/>
              </w:rPr>
              <w:t>R</w:t>
            </w:r>
            <w:r w:rsidR="000472AF" w:rsidRPr="00C710E7">
              <w:rPr>
                <w:rStyle w:val="Hyperlink"/>
                <w:rFonts w:ascii="Calibri" w:eastAsiaTheme="majorEastAsia" w:hAnsi="Calibri" w:cs="Calibri"/>
                <w:iCs/>
                <w:noProof/>
                <w:sz w:val="22"/>
                <w:szCs w:val="22"/>
                <w:lang w:eastAsia="en-US"/>
              </w:rPr>
              <w:t xml:space="preserve">ecovery and </w:t>
            </w:r>
            <w:r w:rsidR="00C710E7">
              <w:rPr>
                <w:rStyle w:val="Hyperlink"/>
                <w:rFonts w:ascii="Calibri" w:eastAsiaTheme="majorEastAsia" w:hAnsi="Calibri" w:cs="Calibri"/>
                <w:iCs/>
                <w:noProof/>
                <w:sz w:val="22"/>
                <w:szCs w:val="22"/>
                <w:lang w:eastAsia="en-US"/>
              </w:rPr>
              <w:t>S</w:t>
            </w:r>
            <w:r w:rsidR="000472AF" w:rsidRPr="00C710E7">
              <w:rPr>
                <w:rStyle w:val="Hyperlink"/>
                <w:rFonts w:ascii="Calibri" w:eastAsiaTheme="majorEastAsia" w:hAnsi="Calibri" w:cs="Calibri"/>
                <w:iCs/>
                <w:noProof/>
                <w:sz w:val="22"/>
                <w:szCs w:val="22"/>
                <w:lang w:eastAsia="en-US"/>
              </w:rPr>
              <w:t xml:space="preserve">upport </w:t>
            </w:r>
            <w:r w:rsidR="00C710E7">
              <w:rPr>
                <w:rStyle w:val="Hyperlink"/>
                <w:rFonts w:ascii="Calibri" w:eastAsiaTheme="majorEastAsia" w:hAnsi="Calibri" w:cs="Calibri"/>
                <w:iCs/>
                <w:noProof/>
                <w:sz w:val="22"/>
                <w:szCs w:val="22"/>
                <w:lang w:eastAsia="en-US"/>
              </w:rPr>
              <w:t>S</w:t>
            </w:r>
            <w:r w:rsidR="000472AF" w:rsidRPr="00C710E7">
              <w:rPr>
                <w:rStyle w:val="Hyperlink"/>
                <w:rFonts w:ascii="Calibri" w:eastAsiaTheme="majorEastAsia" w:hAnsi="Calibri" w:cs="Calibri"/>
                <w:iCs/>
                <w:noProof/>
                <w:sz w:val="22"/>
                <w:szCs w:val="22"/>
                <w:lang w:eastAsia="en-US"/>
              </w:rPr>
              <w:t>ervices</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_Toc342578404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61</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Default="00AD7BEF" w:rsidP="00C710E7">
          <w:pPr>
            <w:pStyle w:val="TOC3"/>
            <w:rPr>
              <w:rFonts w:asciiTheme="minorHAnsi" w:eastAsiaTheme="minorEastAsia" w:hAnsiTheme="minorHAnsi" w:cstheme="minorBidi"/>
              <w:noProof/>
              <w:sz w:val="22"/>
              <w:szCs w:val="22"/>
            </w:rPr>
          </w:pPr>
          <w:hyperlink w:anchor="_Toc342578406" w:history="1">
            <w:r w:rsidR="000472AF" w:rsidRPr="00C710E7">
              <w:rPr>
                <w:rStyle w:val="Hyperlink"/>
                <w:rFonts w:ascii="Calibri" w:eastAsiaTheme="majorEastAsia" w:hAnsi="Calibri" w:cs="Calibri"/>
                <w:iCs/>
                <w:noProof/>
                <w:sz w:val="22"/>
                <w:szCs w:val="22"/>
                <w:lang w:eastAsia="en-US"/>
              </w:rPr>
              <w:t xml:space="preserve">An </w:t>
            </w:r>
            <w:r w:rsidR="00C710E7">
              <w:rPr>
                <w:rStyle w:val="Hyperlink"/>
                <w:rFonts w:ascii="Calibri" w:eastAsiaTheme="majorEastAsia" w:hAnsi="Calibri" w:cs="Calibri"/>
                <w:iCs/>
                <w:noProof/>
                <w:sz w:val="22"/>
                <w:szCs w:val="22"/>
                <w:lang w:eastAsia="en-US"/>
              </w:rPr>
              <w:t>E</w:t>
            </w:r>
            <w:r w:rsidR="000472AF" w:rsidRPr="00C710E7">
              <w:rPr>
                <w:rStyle w:val="Hyperlink"/>
                <w:rFonts w:ascii="Calibri" w:eastAsiaTheme="majorEastAsia" w:hAnsi="Calibri" w:cs="Calibri"/>
                <w:iCs/>
                <w:noProof/>
                <w:sz w:val="22"/>
                <w:szCs w:val="22"/>
                <w:lang w:eastAsia="en-US"/>
              </w:rPr>
              <w:t xml:space="preserve">ffective </w:t>
            </w:r>
            <w:r w:rsidR="00C710E7">
              <w:rPr>
                <w:rStyle w:val="Hyperlink"/>
                <w:rFonts w:ascii="Calibri" w:eastAsiaTheme="majorEastAsia" w:hAnsi="Calibri" w:cs="Calibri"/>
                <w:iCs/>
                <w:noProof/>
                <w:sz w:val="22"/>
                <w:szCs w:val="22"/>
                <w:lang w:eastAsia="en-US"/>
              </w:rPr>
              <w:t>C</w:t>
            </w:r>
            <w:r w:rsidR="000472AF" w:rsidRPr="00C710E7">
              <w:rPr>
                <w:rStyle w:val="Hyperlink"/>
                <w:rFonts w:ascii="Calibri" w:eastAsiaTheme="majorEastAsia" w:hAnsi="Calibri" w:cs="Calibri"/>
                <w:iCs/>
                <w:noProof/>
                <w:sz w:val="22"/>
                <w:szCs w:val="22"/>
                <w:lang w:eastAsia="en-US"/>
              </w:rPr>
              <w:t xml:space="preserve">laims </w:t>
            </w:r>
            <w:r w:rsidR="00C710E7">
              <w:rPr>
                <w:rStyle w:val="Hyperlink"/>
                <w:rFonts w:ascii="Calibri" w:eastAsiaTheme="majorEastAsia" w:hAnsi="Calibri" w:cs="Calibri"/>
                <w:iCs/>
                <w:noProof/>
                <w:sz w:val="22"/>
                <w:szCs w:val="22"/>
                <w:lang w:eastAsia="en-US"/>
              </w:rPr>
              <w:t>M</w:t>
            </w:r>
            <w:r w:rsidR="000472AF" w:rsidRPr="00C710E7">
              <w:rPr>
                <w:rStyle w:val="Hyperlink"/>
                <w:rFonts w:ascii="Calibri" w:eastAsiaTheme="majorEastAsia" w:hAnsi="Calibri" w:cs="Calibri"/>
                <w:iCs/>
                <w:noProof/>
                <w:sz w:val="22"/>
                <w:szCs w:val="22"/>
                <w:lang w:eastAsia="en-US"/>
              </w:rPr>
              <w:t xml:space="preserve">anagement </w:t>
            </w:r>
            <w:r w:rsidR="00C710E7">
              <w:rPr>
                <w:rStyle w:val="Hyperlink"/>
                <w:rFonts w:ascii="Calibri" w:eastAsiaTheme="majorEastAsia" w:hAnsi="Calibri" w:cs="Calibri"/>
                <w:iCs/>
                <w:noProof/>
                <w:sz w:val="22"/>
                <w:szCs w:val="22"/>
                <w:lang w:eastAsia="en-US"/>
              </w:rPr>
              <w:t>S</w:t>
            </w:r>
            <w:r w:rsidR="000472AF" w:rsidRPr="00C710E7">
              <w:rPr>
                <w:rStyle w:val="Hyperlink"/>
                <w:rFonts w:ascii="Calibri" w:eastAsiaTheme="majorEastAsia" w:hAnsi="Calibri" w:cs="Calibri"/>
                <w:iCs/>
                <w:noProof/>
                <w:sz w:val="22"/>
                <w:szCs w:val="22"/>
                <w:lang w:eastAsia="en-US"/>
              </w:rPr>
              <w:t>ystem</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_Toc342578406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63</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Default="00AD7BEF" w:rsidP="00C710E7">
          <w:pPr>
            <w:pStyle w:val="TOC3"/>
            <w:rPr>
              <w:rFonts w:asciiTheme="minorHAnsi" w:eastAsiaTheme="minorEastAsia" w:hAnsiTheme="minorHAnsi" w:cstheme="minorBidi"/>
              <w:noProof/>
              <w:sz w:val="22"/>
              <w:szCs w:val="22"/>
            </w:rPr>
          </w:pPr>
          <w:hyperlink w:anchor="_Toc342578407" w:history="1">
            <w:r w:rsidR="00C710E7">
              <w:rPr>
                <w:rStyle w:val="Hyperlink"/>
                <w:rFonts w:ascii="Calibri" w:eastAsiaTheme="majorEastAsia" w:hAnsi="Calibri" w:cs="Calibri"/>
                <w:iCs/>
                <w:noProof/>
                <w:sz w:val="22"/>
                <w:szCs w:val="22"/>
                <w:lang w:eastAsia="en-US"/>
              </w:rPr>
              <w:t>O</w:t>
            </w:r>
            <w:r w:rsidR="000472AF" w:rsidRPr="00C710E7">
              <w:rPr>
                <w:rStyle w:val="Hyperlink"/>
                <w:rFonts w:ascii="Calibri" w:eastAsiaTheme="majorEastAsia" w:hAnsi="Calibri" w:cs="Calibri"/>
                <w:iCs/>
                <w:noProof/>
                <w:sz w:val="22"/>
                <w:szCs w:val="22"/>
                <w:lang w:eastAsia="en-US"/>
              </w:rPr>
              <w:t xml:space="preserve">ngoing </w:t>
            </w:r>
            <w:r w:rsidR="00C710E7">
              <w:rPr>
                <w:rStyle w:val="Hyperlink"/>
                <w:rFonts w:ascii="Calibri" w:eastAsiaTheme="majorEastAsia" w:hAnsi="Calibri" w:cs="Calibri"/>
                <w:iCs/>
                <w:noProof/>
                <w:sz w:val="22"/>
                <w:szCs w:val="22"/>
                <w:lang w:eastAsia="en-US"/>
              </w:rPr>
              <w:t>C</w:t>
            </w:r>
            <w:r w:rsidR="000472AF" w:rsidRPr="00C710E7">
              <w:rPr>
                <w:rStyle w:val="Hyperlink"/>
                <w:rFonts w:ascii="Calibri" w:eastAsiaTheme="majorEastAsia" w:hAnsi="Calibri" w:cs="Calibri"/>
                <w:iCs/>
                <w:noProof/>
                <w:sz w:val="22"/>
                <w:szCs w:val="22"/>
                <w:lang w:eastAsia="en-US"/>
              </w:rPr>
              <w:t xml:space="preserve">laims </w:t>
            </w:r>
            <w:r w:rsidR="00C710E7">
              <w:rPr>
                <w:rStyle w:val="Hyperlink"/>
                <w:rFonts w:ascii="Calibri" w:eastAsiaTheme="majorEastAsia" w:hAnsi="Calibri" w:cs="Calibri"/>
                <w:iCs/>
                <w:noProof/>
                <w:sz w:val="22"/>
                <w:szCs w:val="22"/>
                <w:lang w:eastAsia="en-US"/>
              </w:rPr>
              <w:t>M</w:t>
            </w:r>
            <w:r w:rsidR="000472AF" w:rsidRPr="00C710E7">
              <w:rPr>
                <w:rStyle w:val="Hyperlink"/>
                <w:rFonts w:ascii="Calibri" w:eastAsiaTheme="majorEastAsia" w:hAnsi="Calibri" w:cs="Calibri"/>
                <w:iCs/>
                <w:noProof/>
                <w:sz w:val="22"/>
                <w:szCs w:val="22"/>
                <w:lang w:eastAsia="en-US"/>
              </w:rPr>
              <w:t>anagement</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_Toc342578407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64</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Default="00AD7BEF" w:rsidP="00C710E7">
          <w:pPr>
            <w:pStyle w:val="TOC3"/>
            <w:rPr>
              <w:rFonts w:asciiTheme="minorHAnsi" w:eastAsiaTheme="minorEastAsia" w:hAnsiTheme="minorHAnsi" w:cstheme="minorBidi"/>
              <w:noProof/>
              <w:sz w:val="22"/>
              <w:szCs w:val="22"/>
            </w:rPr>
          </w:pPr>
          <w:hyperlink w:anchor="_Toc342578408" w:history="1">
            <w:r w:rsidR="000472AF" w:rsidRPr="00C710E7">
              <w:rPr>
                <w:rStyle w:val="Hyperlink"/>
                <w:rFonts w:ascii="Calibri" w:eastAsiaTheme="majorEastAsia" w:hAnsi="Calibri" w:cs="Calibri"/>
                <w:iCs/>
                <w:noProof/>
                <w:sz w:val="22"/>
                <w:szCs w:val="22"/>
                <w:lang w:eastAsia="en-US"/>
              </w:rPr>
              <w:t xml:space="preserve">Incapacity </w:t>
            </w:r>
            <w:r w:rsidR="00C710E7">
              <w:rPr>
                <w:rStyle w:val="Hyperlink"/>
                <w:rFonts w:ascii="Calibri" w:eastAsiaTheme="majorEastAsia" w:hAnsi="Calibri" w:cs="Calibri"/>
                <w:iCs/>
                <w:noProof/>
                <w:sz w:val="22"/>
                <w:szCs w:val="22"/>
                <w:lang w:eastAsia="en-US"/>
              </w:rPr>
              <w:t>P</w:t>
            </w:r>
            <w:r w:rsidR="000472AF" w:rsidRPr="00C710E7">
              <w:rPr>
                <w:rStyle w:val="Hyperlink"/>
                <w:rFonts w:ascii="Calibri" w:eastAsiaTheme="majorEastAsia" w:hAnsi="Calibri" w:cs="Calibri"/>
                <w:iCs/>
                <w:noProof/>
                <w:sz w:val="22"/>
                <w:szCs w:val="22"/>
                <w:lang w:eastAsia="en-US"/>
              </w:rPr>
              <w:t>ayments</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_Toc342578408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65</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Default="00AD7BEF">
          <w:pPr>
            <w:pStyle w:val="TOC2"/>
            <w:rPr>
              <w:rFonts w:eastAsiaTheme="minorEastAsia"/>
              <w:noProof/>
              <w:lang w:eastAsia="en-AU"/>
            </w:rPr>
          </w:pPr>
          <w:hyperlink w:anchor="_Toc342578409" w:history="1">
            <w:r w:rsidR="000472AF" w:rsidRPr="00C710E7">
              <w:rPr>
                <w:rStyle w:val="Hyperlink"/>
                <w:rFonts w:ascii="Calibri" w:eastAsiaTheme="majorEastAsia" w:hAnsi="Calibri" w:cs="Calibri"/>
                <w:b/>
                <w:iCs/>
                <w:noProof/>
              </w:rPr>
              <w:t>Chapter 3 – Comcare’s Governance</w:t>
            </w:r>
            <w:r w:rsidR="000472AF">
              <w:rPr>
                <w:noProof/>
                <w:webHidden/>
              </w:rPr>
              <w:tab/>
            </w:r>
            <w:r w:rsidR="00A02309" w:rsidRPr="00C710E7">
              <w:rPr>
                <w:rStyle w:val="Hyperlink"/>
                <w:rFonts w:ascii="Calibri" w:eastAsiaTheme="majorEastAsia" w:hAnsi="Calibri" w:cs="Calibri"/>
                <w:iCs/>
                <w:noProof/>
                <w:webHidden/>
              </w:rPr>
              <w:fldChar w:fldCharType="begin"/>
            </w:r>
            <w:r w:rsidR="000472AF" w:rsidRPr="00C710E7">
              <w:rPr>
                <w:rStyle w:val="Hyperlink"/>
                <w:rFonts w:ascii="Calibri" w:eastAsiaTheme="majorEastAsia" w:hAnsi="Calibri" w:cs="Calibri"/>
                <w:iCs/>
                <w:noProof/>
                <w:webHidden/>
              </w:rPr>
              <w:instrText xml:space="preserve"> PAGEREF _Toc342578409 \h </w:instrText>
            </w:r>
            <w:r w:rsidR="00A02309" w:rsidRPr="00C710E7">
              <w:rPr>
                <w:rStyle w:val="Hyperlink"/>
                <w:rFonts w:ascii="Calibri" w:eastAsiaTheme="majorEastAsia" w:hAnsi="Calibri" w:cs="Calibri"/>
                <w:iCs/>
                <w:noProof/>
                <w:webHidden/>
              </w:rPr>
            </w:r>
            <w:r w:rsidR="00A02309" w:rsidRPr="00C710E7">
              <w:rPr>
                <w:rStyle w:val="Hyperlink"/>
                <w:rFonts w:ascii="Calibri" w:eastAsiaTheme="majorEastAsia" w:hAnsi="Calibri" w:cs="Calibri"/>
                <w:iCs/>
                <w:noProof/>
                <w:webHidden/>
              </w:rPr>
              <w:fldChar w:fldCharType="separate"/>
            </w:r>
            <w:r w:rsidR="00E1141B">
              <w:rPr>
                <w:rStyle w:val="Hyperlink"/>
                <w:rFonts w:ascii="Calibri" w:eastAsiaTheme="majorEastAsia" w:hAnsi="Calibri" w:cs="Calibri"/>
                <w:iCs/>
                <w:noProof/>
                <w:webHidden/>
              </w:rPr>
              <w:t>66</w:t>
            </w:r>
            <w:r w:rsidR="00A02309" w:rsidRPr="00C710E7">
              <w:rPr>
                <w:rStyle w:val="Hyperlink"/>
                <w:rFonts w:ascii="Calibri" w:eastAsiaTheme="majorEastAsia" w:hAnsi="Calibri" w:cs="Calibri"/>
                <w:iCs/>
                <w:noProof/>
                <w:webHidden/>
              </w:rPr>
              <w:fldChar w:fldCharType="end"/>
            </w:r>
          </w:hyperlink>
        </w:p>
        <w:p w:rsidR="000472AF" w:rsidRDefault="00AD7BEF" w:rsidP="00C710E7">
          <w:pPr>
            <w:pStyle w:val="TOC1"/>
            <w:rPr>
              <w:rFonts w:asciiTheme="minorHAnsi" w:eastAsiaTheme="minorEastAsia" w:hAnsiTheme="minorHAnsi" w:cstheme="minorBidi"/>
              <w:noProof/>
              <w:sz w:val="22"/>
              <w:szCs w:val="22"/>
            </w:rPr>
          </w:pPr>
          <w:hyperlink w:anchor="_Toc342578411" w:history="1">
            <w:r w:rsidR="000472AF" w:rsidRPr="00C710E7">
              <w:rPr>
                <w:rStyle w:val="Hyperlink"/>
                <w:rFonts w:ascii="Calibri" w:eastAsiaTheme="majorEastAsia" w:hAnsi="Calibri" w:cs="Calibri"/>
                <w:iCs/>
                <w:noProof/>
                <w:sz w:val="22"/>
                <w:szCs w:val="22"/>
                <w:lang w:eastAsia="en-US"/>
              </w:rPr>
              <w:t>Governance Arrangements</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_Toc342578411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66</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Default="00AD7BEF" w:rsidP="00C710E7">
          <w:pPr>
            <w:pStyle w:val="TOC3"/>
            <w:rPr>
              <w:rFonts w:asciiTheme="minorHAnsi" w:eastAsiaTheme="minorEastAsia" w:hAnsiTheme="minorHAnsi" w:cstheme="minorBidi"/>
              <w:noProof/>
              <w:sz w:val="22"/>
              <w:szCs w:val="22"/>
            </w:rPr>
          </w:pPr>
          <w:hyperlink w:anchor="_Toc342578412" w:history="1">
            <w:r w:rsidR="000472AF" w:rsidRPr="00C710E7">
              <w:rPr>
                <w:rStyle w:val="Hyperlink"/>
                <w:rFonts w:ascii="Calibri" w:eastAsiaTheme="majorEastAsia" w:hAnsi="Calibri" w:cs="Calibri"/>
                <w:iCs/>
                <w:noProof/>
                <w:sz w:val="22"/>
                <w:szCs w:val="22"/>
                <w:lang w:eastAsia="en-US"/>
              </w:rPr>
              <w:t>Background of CAC Act and FMA Act bodies</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_Toc342578412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66</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Default="00AD7BEF" w:rsidP="00C710E7">
          <w:pPr>
            <w:pStyle w:val="TOC3"/>
            <w:rPr>
              <w:rFonts w:asciiTheme="minorHAnsi" w:eastAsiaTheme="minorEastAsia" w:hAnsiTheme="minorHAnsi" w:cstheme="minorBidi"/>
              <w:noProof/>
              <w:sz w:val="22"/>
              <w:szCs w:val="22"/>
            </w:rPr>
          </w:pPr>
          <w:hyperlink w:anchor="_Toc342578413" w:history="1">
            <w:r w:rsidR="000472AF" w:rsidRPr="00C710E7">
              <w:rPr>
                <w:rStyle w:val="Hyperlink"/>
                <w:rFonts w:ascii="Calibri" w:eastAsiaTheme="majorEastAsia" w:hAnsi="Calibri" w:cs="Calibri"/>
                <w:iCs/>
                <w:noProof/>
                <w:sz w:val="22"/>
                <w:szCs w:val="22"/>
                <w:lang w:eastAsia="en-US"/>
              </w:rPr>
              <w:t xml:space="preserve">Comcare as a CAC Act </w:t>
            </w:r>
            <w:r w:rsidR="00926EEB">
              <w:rPr>
                <w:rStyle w:val="Hyperlink"/>
                <w:rFonts w:ascii="Calibri" w:eastAsiaTheme="majorEastAsia" w:hAnsi="Calibri" w:cs="Calibri"/>
                <w:iCs/>
                <w:noProof/>
                <w:sz w:val="22"/>
                <w:szCs w:val="22"/>
                <w:lang w:eastAsia="en-US"/>
              </w:rPr>
              <w:t>B</w:t>
            </w:r>
            <w:r w:rsidR="00926EEB" w:rsidRPr="00C710E7">
              <w:rPr>
                <w:rStyle w:val="Hyperlink"/>
                <w:rFonts w:ascii="Calibri" w:eastAsiaTheme="majorEastAsia" w:hAnsi="Calibri" w:cs="Calibri"/>
                <w:iCs/>
                <w:noProof/>
                <w:sz w:val="22"/>
                <w:szCs w:val="22"/>
                <w:lang w:eastAsia="en-US"/>
              </w:rPr>
              <w:t>ody</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_Toc342578413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67</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Default="00AD7BEF" w:rsidP="00C710E7">
          <w:pPr>
            <w:pStyle w:val="TOC3"/>
            <w:rPr>
              <w:rFonts w:asciiTheme="minorHAnsi" w:eastAsiaTheme="minorEastAsia" w:hAnsiTheme="minorHAnsi" w:cstheme="minorBidi"/>
              <w:noProof/>
              <w:sz w:val="22"/>
              <w:szCs w:val="22"/>
            </w:rPr>
          </w:pPr>
          <w:hyperlink w:anchor="_Toc342578414" w:history="1">
            <w:r w:rsidR="000472AF" w:rsidRPr="00C710E7">
              <w:rPr>
                <w:rStyle w:val="Hyperlink"/>
                <w:rFonts w:ascii="Calibri" w:eastAsiaTheme="majorEastAsia" w:hAnsi="Calibri" w:cs="Calibri"/>
                <w:iCs/>
                <w:noProof/>
                <w:sz w:val="22"/>
                <w:szCs w:val="22"/>
                <w:lang w:eastAsia="en-US"/>
              </w:rPr>
              <w:t>Establishment of a Comcare Board</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_Toc342578414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68</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Default="00AD7BEF">
          <w:pPr>
            <w:pStyle w:val="TOC2"/>
            <w:rPr>
              <w:rFonts w:eastAsiaTheme="minorEastAsia"/>
              <w:noProof/>
              <w:lang w:eastAsia="en-AU"/>
            </w:rPr>
          </w:pPr>
          <w:hyperlink w:anchor="_Toc342578415" w:history="1">
            <w:r w:rsidR="000472AF" w:rsidRPr="00C710E7">
              <w:rPr>
                <w:rStyle w:val="Hyperlink"/>
                <w:rFonts w:ascii="Calibri" w:eastAsiaTheme="majorEastAsia" w:hAnsi="Calibri" w:cs="Calibri"/>
                <w:b/>
                <w:iCs/>
                <w:noProof/>
              </w:rPr>
              <w:t>Chapter 4 - Financial Framework</w:t>
            </w:r>
            <w:r w:rsidR="000472AF">
              <w:rPr>
                <w:noProof/>
                <w:webHidden/>
              </w:rPr>
              <w:tab/>
            </w:r>
            <w:r w:rsidR="00A02309" w:rsidRPr="00C710E7">
              <w:rPr>
                <w:rStyle w:val="Hyperlink"/>
                <w:rFonts w:ascii="Calibri" w:eastAsiaTheme="majorEastAsia" w:hAnsi="Calibri" w:cs="Calibri"/>
                <w:iCs/>
                <w:noProof/>
                <w:webHidden/>
              </w:rPr>
              <w:fldChar w:fldCharType="begin"/>
            </w:r>
            <w:r w:rsidR="000472AF" w:rsidRPr="00C710E7">
              <w:rPr>
                <w:rStyle w:val="Hyperlink"/>
                <w:rFonts w:ascii="Calibri" w:eastAsiaTheme="majorEastAsia" w:hAnsi="Calibri" w:cs="Calibri"/>
                <w:iCs/>
                <w:noProof/>
                <w:webHidden/>
              </w:rPr>
              <w:instrText xml:space="preserve"> PAGEREF _Toc342578415 \h </w:instrText>
            </w:r>
            <w:r w:rsidR="00A02309" w:rsidRPr="00C710E7">
              <w:rPr>
                <w:rStyle w:val="Hyperlink"/>
                <w:rFonts w:ascii="Calibri" w:eastAsiaTheme="majorEastAsia" w:hAnsi="Calibri" w:cs="Calibri"/>
                <w:iCs/>
                <w:noProof/>
                <w:webHidden/>
              </w:rPr>
            </w:r>
            <w:r w:rsidR="00A02309" w:rsidRPr="00C710E7">
              <w:rPr>
                <w:rStyle w:val="Hyperlink"/>
                <w:rFonts w:ascii="Calibri" w:eastAsiaTheme="majorEastAsia" w:hAnsi="Calibri" w:cs="Calibri"/>
                <w:iCs/>
                <w:noProof/>
                <w:webHidden/>
              </w:rPr>
              <w:fldChar w:fldCharType="separate"/>
            </w:r>
            <w:r w:rsidR="00E1141B">
              <w:rPr>
                <w:rStyle w:val="Hyperlink"/>
                <w:rFonts w:ascii="Calibri" w:eastAsiaTheme="majorEastAsia" w:hAnsi="Calibri" w:cs="Calibri"/>
                <w:iCs/>
                <w:noProof/>
                <w:webHidden/>
              </w:rPr>
              <w:t>73</w:t>
            </w:r>
            <w:r w:rsidR="00A02309" w:rsidRPr="00C710E7">
              <w:rPr>
                <w:rStyle w:val="Hyperlink"/>
                <w:rFonts w:ascii="Calibri" w:eastAsiaTheme="majorEastAsia" w:hAnsi="Calibri" w:cs="Calibri"/>
                <w:iCs/>
                <w:noProof/>
                <w:webHidden/>
              </w:rPr>
              <w:fldChar w:fldCharType="end"/>
            </w:r>
          </w:hyperlink>
        </w:p>
        <w:p w:rsidR="000472AF" w:rsidRDefault="00AD7BEF" w:rsidP="00C710E7">
          <w:pPr>
            <w:pStyle w:val="TOC1"/>
            <w:rPr>
              <w:rFonts w:asciiTheme="minorHAnsi" w:eastAsiaTheme="minorEastAsia" w:hAnsiTheme="minorHAnsi" w:cstheme="minorBidi"/>
              <w:noProof/>
              <w:sz w:val="22"/>
              <w:szCs w:val="22"/>
            </w:rPr>
          </w:pPr>
          <w:hyperlink w:anchor="_Toc342578416" w:history="1">
            <w:r w:rsidR="000472AF" w:rsidRPr="00C710E7">
              <w:rPr>
                <w:rStyle w:val="Hyperlink"/>
                <w:rFonts w:ascii="Calibri" w:eastAsiaTheme="majorEastAsia" w:hAnsi="Calibri" w:cs="Calibri"/>
                <w:iCs/>
                <w:noProof/>
                <w:sz w:val="22"/>
                <w:szCs w:val="22"/>
                <w:lang w:eastAsia="en-US"/>
              </w:rPr>
              <w:t>Comcare’s Funding Sources</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_Toc342578416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73</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Default="00AD7BEF" w:rsidP="00C710E7">
          <w:pPr>
            <w:pStyle w:val="TOC1"/>
            <w:rPr>
              <w:rFonts w:asciiTheme="minorHAnsi" w:eastAsiaTheme="minorEastAsia" w:hAnsiTheme="minorHAnsi" w:cstheme="minorBidi"/>
              <w:noProof/>
              <w:sz w:val="22"/>
              <w:szCs w:val="22"/>
            </w:rPr>
          </w:pPr>
          <w:hyperlink w:anchor="_Toc342578417" w:history="1">
            <w:r w:rsidR="000472AF" w:rsidRPr="00C710E7">
              <w:rPr>
                <w:rStyle w:val="Hyperlink"/>
                <w:rFonts w:ascii="Calibri" w:eastAsiaTheme="majorEastAsia" w:hAnsi="Calibri" w:cs="Calibri"/>
                <w:iCs/>
                <w:noProof/>
                <w:sz w:val="22"/>
                <w:szCs w:val="22"/>
                <w:lang w:eastAsia="en-US"/>
              </w:rPr>
              <w:t>Prudential Management</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_Toc342578417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74</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Default="00AD7BEF" w:rsidP="00C710E7">
          <w:pPr>
            <w:pStyle w:val="TOC3"/>
            <w:rPr>
              <w:rFonts w:asciiTheme="minorHAnsi" w:eastAsiaTheme="minorEastAsia" w:hAnsiTheme="minorHAnsi" w:cstheme="minorBidi"/>
              <w:noProof/>
            </w:rPr>
          </w:pPr>
          <w:hyperlink w:anchor="_Toc342578418" w:history="1">
            <w:r w:rsidR="000472AF" w:rsidRPr="00C710E7">
              <w:rPr>
                <w:rStyle w:val="Hyperlink"/>
                <w:rFonts w:ascii="Calibri" w:eastAsiaTheme="majorEastAsia" w:hAnsi="Calibri" w:cs="Calibri"/>
                <w:iCs/>
                <w:noProof/>
                <w:sz w:val="22"/>
                <w:szCs w:val="22"/>
                <w:lang w:eastAsia="en-US"/>
              </w:rPr>
              <w:t xml:space="preserve">The SRCC and Comcare’s </w:t>
            </w:r>
            <w:r w:rsidR="00C710E7">
              <w:rPr>
                <w:rStyle w:val="Hyperlink"/>
                <w:rFonts w:ascii="Calibri" w:eastAsiaTheme="majorEastAsia" w:hAnsi="Calibri" w:cs="Calibri"/>
                <w:iCs/>
                <w:noProof/>
                <w:sz w:val="22"/>
                <w:szCs w:val="22"/>
                <w:lang w:eastAsia="en-US"/>
              </w:rPr>
              <w:t>M</w:t>
            </w:r>
            <w:r w:rsidR="000472AF" w:rsidRPr="00C710E7">
              <w:rPr>
                <w:rStyle w:val="Hyperlink"/>
                <w:rFonts w:ascii="Calibri" w:eastAsiaTheme="majorEastAsia" w:hAnsi="Calibri" w:cs="Calibri"/>
                <w:iCs/>
                <w:noProof/>
                <w:sz w:val="22"/>
                <w:szCs w:val="22"/>
                <w:lang w:eastAsia="en-US"/>
              </w:rPr>
              <w:t>anagement of</w:t>
            </w:r>
            <w:r w:rsidR="00C710E7">
              <w:rPr>
                <w:rStyle w:val="Hyperlink"/>
                <w:rFonts w:ascii="Calibri" w:eastAsiaTheme="majorEastAsia" w:hAnsi="Calibri" w:cs="Calibri"/>
                <w:iCs/>
                <w:noProof/>
                <w:sz w:val="22"/>
                <w:szCs w:val="22"/>
                <w:lang w:eastAsia="en-US"/>
              </w:rPr>
              <w:t>F</w:t>
            </w:r>
            <w:r w:rsidR="000472AF" w:rsidRPr="00C710E7">
              <w:rPr>
                <w:rStyle w:val="Hyperlink"/>
                <w:rFonts w:ascii="Calibri" w:eastAsiaTheme="majorEastAsia" w:hAnsi="Calibri" w:cs="Calibri"/>
                <w:iCs/>
                <w:noProof/>
                <w:sz w:val="22"/>
                <w:szCs w:val="22"/>
                <w:lang w:eastAsia="en-US"/>
              </w:rPr>
              <w:t xml:space="preserve">inancial </w:t>
            </w:r>
            <w:r w:rsidR="00C710E7">
              <w:rPr>
                <w:rStyle w:val="Hyperlink"/>
                <w:rFonts w:ascii="Calibri" w:eastAsiaTheme="majorEastAsia" w:hAnsi="Calibri" w:cs="Calibri"/>
                <w:iCs/>
                <w:noProof/>
                <w:sz w:val="22"/>
                <w:szCs w:val="22"/>
                <w:lang w:eastAsia="en-US"/>
              </w:rPr>
              <w:t>R</w:t>
            </w:r>
            <w:r w:rsidR="000472AF" w:rsidRPr="00C710E7">
              <w:rPr>
                <w:rStyle w:val="Hyperlink"/>
                <w:rFonts w:ascii="Calibri" w:eastAsiaTheme="majorEastAsia" w:hAnsi="Calibri" w:cs="Calibri"/>
                <w:iCs/>
                <w:noProof/>
                <w:sz w:val="22"/>
                <w:szCs w:val="22"/>
                <w:lang w:eastAsia="en-US"/>
              </w:rPr>
              <w:t xml:space="preserve">isk </w:t>
            </w:r>
            <w:r w:rsidR="00C710E7">
              <w:rPr>
                <w:rStyle w:val="Hyperlink"/>
                <w:rFonts w:ascii="Calibri" w:eastAsiaTheme="majorEastAsia" w:hAnsi="Calibri" w:cs="Calibri"/>
                <w:iCs/>
                <w:noProof/>
                <w:sz w:val="22"/>
                <w:szCs w:val="22"/>
                <w:lang w:eastAsia="en-US"/>
              </w:rPr>
              <w:t>A</w:t>
            </w:r>
            <w:r w:rsidR="000472AF" w:rsidRPr="00C710E7">
              <w:rPr>
                <w:rStyle w:val="Hyperlink"/>
                <w:rFonts w:ascii="Calibri" w:eastAsiaTheme="majorEastAsia" w:hAnsi="Calibri" w:cs="Calibri"/>
                <w:iCs/>
                <w:noProof/>
                <w:sz w:val="22"/>
                <w:szCs w:val="22"/>
                <w:lang w:eastAsia="en-US"/>
              </w:rPr>
              <w:t xml:space="preserve">ssociated with </w:t>
            </w:r>
            <w:r w:rsidR="00C710E7">
              <w:rPr>
                <w:rStyle w:val="Hyperlink"/>
                <w:rFonts w:ascii="Calibri" w:eastAsiaTheme="majorEastAsia" w:hAnsi="Calibri" w:cs="Calibri"/>
                <w:iCs/>
                <w:noProof/>
                <w:sz w:val="22"/>
                <w:szCs w:val="22"/>
                <w:lang w:eastAsia="en-US"/>
              </w:rPr>
              <w:t>L</w:t>
            </w:r>
            <w:r w:rsidR="000472AF" w:rsidRPr="00C710E7">
              <w:rPr>
                <w:rStyle w:val="Hyperlink"/>
                <w:rFonts w:ascii="Calibri" w:eastAsiaTheme="majorEastAsia" w:hAnsi="Calibri" w:cs="Calibri"/>
                <w:iCs/>
                <w:noProof/>
                <w:sz w:val="22"/>
                <w:szCs w:val="22"/>
                <w:lang w:eastAsia="en-US"/>
              </w:rPr>
              <w:t>icensees</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_Toc342578418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79</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Default="00AD7BEF" w:rsidP="00C710E7">
          <w:pPr>
            <w:pStyle w:val="TOC1"/>
            <w:rPr>
              <w:rFonts w:asciiTheme="minorHAnsi" w:eastAsiaTheme="minorEastAsia" w:hAnsiTheme="minorHAnsi" w:cstheme="minorBidi"/>
              <w:noProof/>
              <w:sz w:val="22"/>
              <w:szCs w:val="22"/>
            </w:rPr>
          </w:pPr>
          <w:hyperlink w:anchor="_Toc342578419" w:history="1">
            <w:r w:rsidR="000472AF" w:rsidRPr="00C710E7">
              <w:rPr>
                <w:rStyle w:val="Hyperlink"/>
                <w:rFonts w:ascii="Calibri" w:eastAsiaTheme="majorEastAsia" w:hAnsi="Calibri" w:cs="Calibri"/>
                <w:iCs/>
                <w:noProof/>
                <w:sz w:val="22"/>
                <w:szCs w:val="22"/>
                <w:lang w:eastAsia="en-US"/>
              </w:rPr>
              <w:t>The Premium Framework</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_Toc342578419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80</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Default="00AD7BEF" w:rsidP="00C710E7">
          <w:pPr>
            <w:pStyle w:val="TOC3"/>
            <w:rPr>
              <w:rFonts w:asciiTheme="minorHAnsi" w:eastAsiaTheme="minorEastAsia" w:hAnsiTheme="minorHAnsi" w:cstheme="minorBidi"/>
              <w:noProof/>
              <w:sz w:val="22"/>
              <w:szCs w:val="22"/>
            </w:rPr>
          </w:pPr>
          <w:hyperlink w:anchor="_Toc342578420" w:history="1">
            <w:r w:rsidR="000472AF" w:rsidRPr="00C710E7">
              <w:rPr>
                <w:rStyle w:val="Hyperlink"/>
                <w:rFonts w:ascii="Calibri" w:eastAsiaTheme="majorEastAsia" w:hAnsi="Calibri" w:cs="Calibri"/>
                <w:iCs/>
                <w:noProof/>
                <w:sz w:val="22"/>
                <w:szCs w:val="22"/>
                <w:lang w:eastAsia="en-US"/>
              </w:rPr>
              <w:t>Legislative Provisions and SRCC Guidelines</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_Toc342578420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80</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Default="00AD7BEF" w:rsidP="00C710E7">
          <w:pPr>
            <w:pStyle w:val="TOC3"/>
            <w:rPr>
              <w:rFonts w:asciiTheme="minorHAnsi" w:eastAsiaTheme="minorEastAsia" w:hAnsiTheme="minorHAnsi" w:cstheme="minorBidi"/>
              <w:noProof/>
              <w:sz w:val="22"/>
              <w:szCs w:val="22"/>
            </w:rPr>
          </w:pPr>
          <w:hyperlink w:anchor="_Toc342578421" w:history="1">
            <w:r w:rsidR="000472AF" w:rsidRPr="00C710E7">
              <w:rPr>
                <w:rStyle w:val="Hyperlink"/>
                <w:rFonts w:ascii="Calibri" w:eastAsiaTheme="majorEastAsia" w:hAnsi="Calibri" w:cs="Calibri"/>
                <w:iCs/>
                <w:noProof/>
                <w:sz w:val="22"/>
                <w:szCs w:val="22"/>
                <w:lang w:eastAsia="en-US"/>
              </w:rPr>
              <w:t>The Premium Process</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_Toc342578421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81</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Default="00AD7BEF" w:rsidP="00C710E7">
          <w:pPr>
            <w:pStyle w:val="TOC3"/>
            <w:rPr>
              <w:rFonts w:asciiTheme="minorHAnsi" w:eastAsiaTheme="minorEastAsia" w:hAnsiTheme="minorHAnsi" w:cstheme="minorBidi"/>
              <w:noProof/>
              <w:sz w:val="22"/>
              <w:szCs w:val="22"/>
            </w:rPr>
          </w:pPr>
          <w:hyperlink w:anchor="_Toc342578422" w:history="1">
            <w:r w:rsidR="000472AF" w:rsidRPr="00C710E7">
              <w:rPr>
                <w:rStyle w:val="Hyperlink"/>
                <w:rFonts w:ascii="Calibri" w:eastAsiaTheme="majorEastAsia" w:hAnsi="Calibri" w:cs="Calibri"/>
                <w:iCs/>
                <w:noProof/>
                <w:sz w:val="22"/>
                <w:szCs w:val="22"/>
                <w:lang w:eastAsia="en-US"/>
              </w:rPr>
              <w:t>Recent Premium Increases</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_Toc342578422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84</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Default="00AD7BEF" w:rsidP="00C710E7">
          <w:pPr>
            <w:pStyle w:val="TOC3"/>
            <w:rPr>
              <w:rFonts w:asciiTheme="minorHAnsi" w:eastAsiaTheme="minorEastAsia" w:hAnsiTheme="minorHAnsi" w:cstheme="minorBidi"/>
              <w:noProof/>
              <w:sz w:val="22"/>
              <w:szCs w:val="22"/>
            </w:rPr>
          </w:pPr>
          <w:hyperlink w:anchor="_Toc342578423" w:history="1">
            <w:r w:rsidR="000472AF" w:rsidRPr="00C710E7">
              <w:rPr>
                <w:rStyle w:val="Hyperlink"/>
                <w:rFonts w:ascii="Calibri" w:eastAsiaTheme="majorEastAsia" w:hAnsi="Calibri" w:cs="Calibri"/>
                <w:iCs/>
                <w:noProof/>
                <w:sz w:val="22"/>
                <w:szCs w:val="22"/>
                <w:lang w:eastAsia="en-US"/>
              </w:rPr>
              <w:t xml:space="preserve">The Financial Viability of the </w:t>
            </w:r>
            <w:r w:rsidR="00C710E7">
              <w:rPr>
                <w:rStyle w:val="Hyperlink"/>
                <w:rFonts w:ascii="Calibri" w:eastAsiaTheme="majorEastAsia" w:hAnsi="Calibri" w:cs="Calibri"/>
                <w:iCs/>
                <w:noProof/>
                <w:sz w:val="22"/>
                <w:szCs w:val="22"/>
                <w:lang w:eastAsia="en-US"/>
              </w:rPr>
              <w:t>P</w:t>
            </w:r>
            <w:r w:rsidR="000472AF" w:rsidRPr="00C710E7">
              <w:rPr>
                <w:rStyle w:val="Hyperlink"/>
                <w:rFonts w:ascii="Calibri" w:eastAsiaTheme="majorEastAsia" w:hAnsi="Calibri" w:cs="Calibri"/>
                <w:iCs/>
                <w:noProof/>
                <w:sz w:val="22"/>
                <w:szCs w:val="22"/>
                <w:lang w:eastAsia="en-US"/>
              </w:rPr>
              <w:t xml:space="preserve">remium </w:t>
            </w:r>
            <w:r w:rsidR="00C710E7">
              <w:rPr>
                <w:rStyle w:val="Hyperlink"/>
                <w:rFonts w:ascii="Calibri" w:eastAsiaTheme="majorEastAsia" w:hAnsi="Calibri" w:cs="Calibri"/>
                <w:iCs/>
                <w:noProof/>
                <w:sz w:val="22"/>
                <w:szCs w:val="22"/>
                <w:lang w:eastAsia="en-US"/>
              </w:rPr>
              <w:t>F</w:t>
            </w:r>
            <w:r w:rsidR="000472AF" w:rsidRPr="00C710E7">
              <w:rPr>
                <w:rStyle w:val="Hyperlink"/>
                <w:rFonts w:ascii="Calibri" w:eastAsiaTheme="majorEastAsia" w:hAnsi="Calibri" w:cs="Calibri"/>
                <w:iCs/>
                <w:noProof/>
                <w:sz w:val="22"/>
                <w:szCs w:val="22"/>
                <w:lang w:eastAsia="en-US"/>
              </w:rPr>
              <w:t>unded Scheme</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_Toc342578423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86</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Default="00AD7BEF">
          <w:pPr>
            <w:pStyle w:val="TOC2"/>
            <w:rPr>
              <w:rFonts w:eastAsiaTheme="minorEastAsia"/>
              <w:noProof/>
              <w:lang w:eastAsia="en-AU"/>
            </w:rPr>
          </w:pPr>
          <w:hyperlink w:anchor="_Toc342578424" w:history="1">
            <w:r w:rsidR="000472AF" w:rsidRPr="00C710E7">
              <w:rPr>
                <w:rStyle w:val="Hyperlink"/>
                <w:rFonts w:ascii="Calibri" w:eastAsiaTheme="majorEastAsia" w:hAnsi="Calibri" w:cs="Calibri"/>
                <w:b/>
                <w:iCs/>
                <w:noProof/>
              </w:rPr>
              <w:t>Annexes</w:t>
            </w:r>
            <w:r w:rsidR="000472AF">
              <w:rPr>
                <w:noProof/>
                <w:webHidden/>
              </w:rPr>
              <w:tab/>
            </w:r>
            <w:r w:rsidR="00A02309" w:rsidRPr="00C710E7">
              <w:rPr>
                <w:rStyle w:val="Hyperlink"/>
                <w:rFonts w:ascii="Calibri" w:eastAsiaTheme="majorEastAsia" w:hAnsi="Calibri" w:cs="Calibri"/>
                <w:iCs/>
                <w:noProof/>
                <w:webHidden/>
              </w:rPr>
              <w:fldChar w:fldCharType="begin"/>
            </w:r>
            <w:r w:rsidR="000472AF" w:rsidRPr="00C710E7">
              <w:rPr>
                <w:rStyle w:val="Hyperlink"/>
                <w:rFonts w:ascii="Calibri" w:eastAsiaTheme="majorEastAsia" w:hAnsi="Calibri" w:cs="Calibri"/>
                <w:iCs/>
                <w:noProof/>
                <w:webHidden/>
              </w:rPr>
              <w:instrText xml:space="preserve"> PAGEREF _Toc342578424 \h </w:instrText>
            </w:r>
            <w:r w:rsidR="00A02309" w:rsidRPr="00C710E7">
              <w:rPr>
                <w:rStyle w:val="Hyperlink"/>
                <w:rFonts w:ascii="Calibri" w:eastAsiaTheme="majorEastAsia" w:hAnsi="Calibri" w:cs="Calibri"/>
                <w:iCs/>
                <w:noProof/>
                <w:webHidden/>
              </w:rPr>
            </w:r>
            <w:r w:rsidR="00A02309" w:rsidRPr="00C710E7">
              <w:rPr>
                <w:rStyle w:val="Hyperlink"/>
                <w:rFonts w:ascii="Calibri" w:eastAsiaTheme="majorEastAsia" w:hAnsi="Calibri" w:cs="Calibri"/>
                <w:iCs/>
                <w:noProof/>
                <w:webHidden/>
              </w:rPr>
              <w:fldChar w:fldCharType="separate"/>
            </w:r>
            <w:r w:rsidR="00E1141B">
              <w:rPr>
                <w:rStyle w:val="Hyperlink"/>
                <w:rFonts w:ascii="Calibri" w:eastAsiaTheme="majorEastAsia" w:hAnsi="Calibri" w:cs="Calibri"/>
                <w:iCs/>
                <w:noProof/>
                <w:webHidden/>
              </w:rPr>
              <w:t>88</w:t>
            </w:r>
            <w:r w:rsidR="00A02309" w:rsidRPr="00C710E7">
              <w:rPr>
                <w:rStyle w:val="Hyperlink"/>
                <w:rFonts w:ascii="Calibri" w:eastAsiaTheme="majorEastAsia" w:hAnsi="Calibri" w:cs="Calibri"/>
                <w:iCs/>
                <w:noProof/>
                <w:webHidden/>
              </w:rPr>
              <w:fldChar w:fldCharType="end"/>
            </w:r>
          </w:hyperlink>
        </w:p>
        <w:p w:rsidR="000472AF" w:rsidRDefault="00AD7BEF" w:rsidP="00C710E7">
          <w:pPr>
            <w:pStyle w:val="TOC1"/>
            <w:rPr>
              <w:rFonts w:asciiTheme="minorHAnsi" w:eastAsiaTheme="minorEastAsia" w:hAnsiTheme="minorHAnsi" w:cstheme="minorBidi"/>
              <w:noProof/>
            </w:rPr>
          </w:pPr>
          <w:hyperlink w:anchor="_Toc342578425" w:history="1">
            <w:r w:rsidR="000472AF" w:rsidRPr="00C710E7">
              <w:rPr>
                <w:rStyle w:val="Hyperlink"/>
                <w:rFonts w:ascii="Calibri" w:eastAsiaTheme="majorEastAsia" w:hAnsi="Calibri" w:cs="Calibri"/>
                <w:iCs/>
                <w:noProof/>
                <w:sz w:val="22"/>
                <w:szCs w:val="22"/>
                <w:lang w:eastAsia="en-US"/>
              </w:rPr>
              <w:t>Annex A - Safety, Rehabilitation and Compensation Act 1988 (SRC Act) Review - Terms of Reference</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_Toc342578425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89</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Default="00AD7BEF" w:rsidP="00C710E7">
          <w:pPr>
            <w:pStyle w:val="TOC1"/>
            <w:rPr>
              <w:rFonts w:asciiTheme="minorHAnsi" w:eastAsiaTheme="minorEastAsia" w:hAnsiTheme="minorHAnsi" w:cstheme="minorBidi"/>
              <w:noProof/>
              <w:sz w:val="22"/>
              <w:szCs w:val="22"/>
            </w:rPr>
          </w:pPr>
          <w:hyperlink w:anchor="_Toc342578426" w:history="1">
            <w:r w:rsidR="00C710E7">
              <w:rPr>
                <w:rStyle w:val="Hyperlink"/>
                <w:rFonts w:ascii="Calibri" w:eastAsiaTheme="majorEastAsia" w:hAnsi="Calibri" w:cs="Calibri"/>
                <w:iCs/>
                <w:noProof/>
                <w:sz w:val="22"/>
                <w:szCs w:val="22"/>
                <w:lang w:eastAsia="en-US"/>
              </w:rPr>
              <w:t>A</w:t>
            </w:r>
            <w:r w:rsidR="000472AF" w:rsidRPr="00C710E7">
              <w:rPr>
                <w:rStyle w:val="Hyperlink"/>
                <w:rFonts w:ascii="Calibri" w:eastAsiaTheme="majorEastAsia" w:hAnsi="Calibri" w:cs="Calibri"/>
                <w:iCs/>
                <w:noProof/>
                <w:sz w:val="22"/>
                <w:szCs w:val="22"/>
                <w:lang w:eastAsia="en-US"/>
              </w:rPr>
              <w:t xml:space="preserve">nnex </w:t>
            </w:r>
            <w:r w:rsidR="00C710E7">
              <w:rPr>
                <w:rStyle w:val="Hyperlink"/>
                <w:rFonts w:ascii="Calibri" w:eastAsiaTheme="majorEastAsia" w:hAnsi="Calibri" w:cs="Calibri"/>
                <w:iCs/>
                <w:noProof/>
                <w:sz w:val="22"/>
                <w:szCs w:val="22"/>
                <w:lang w:eastAsia="en-US"/>
              </w:rPr>
              <w:t>B</w:t>
            </w:r>
            <w:r w:rsidR="000472AF" w:rsidRPr="00C710E7">
              <w:rPr>
                <w:rStyle w:val="Hyperlink"/>
                <w:rFonts w:ascii="Calibri" w:eastAsiaTheme="majorEastAsia" w:hAnsi="Calibri" w:cs="Calibri"/>
                <w:iCs/>
                <w:noProof/>
                <w:sz w:val="22"/>
                <w:szCs w:val="22"/>
                <w:lang w:eastAsia="en-US"/>
              </w:rPr>
              <w:t xml:space="preserve"> - List of Consultations</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_Toc342578426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90</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Default="00AD7BEF" w:rsidP="00C710E7">
          <w:pPr>
            <w:pStyle w:val="TOC1"/>
            <w:rPr>
              <w:rFonts w:asciiTheme="minorHAnsi" w:eastAsiaTheme="minorEastAsia" w:hAnsiTheme="minorHAnsi" w:cstheme="minorBidi"/>
              <w:noProof/>
            </w:rPr>
          </w:pPr>
          <w:hyperlink w:anchor="_Toc342578427" w:history="1">
            <w:r w:rsidR="00C710E7">
              <w:rPr>
                <w:rStyle w:val="Hyperlink"/>
                <w:rFonts w:ascii="Calibri" w:eastAsiaTheme="majorEastAsia" w:hAnsi="Calibri" w:cs="Calibri"/>
                <w:iCs/>
                <w:noProof/>
                <w:sz w:val="22"/>
                <w:szCs w:val="22"/>
                <w:lang w:eastAsia="en-US"/>
              </w:rPr>
              <w:t>A</w:t>
            </w:r>
            <w:r w:rsidR="000472AF" w:rsidRPr="00C710E7">
              <w:rPr>
                <w:rStyle w:val="Hyperlink"/>
                <w:rFonts w:ascii="Calibri" w:eastAsiaTheme="majorEastAsia" w:hAnsi="Calibri" w:cs="Calibri"/>
                <w:iCs/>
                <w:noProof/>
                <w:sz w:val="22"/>
                <w:szCs w:val="22"/>
                <w:lang w:eastAsia="en-US"/>
              </w:rPr>
              <w:t xml:space="preserve">nnex </w:t>
            </w:r>
            <w:r w:rsidR="00C710E7">
              <w:rPr>
                <w:rStyle w:val="Hyperlink"/>
                <w:rFonts w:ascii="Calibri" w:eastAsiaTheme="majorEastAsia" w:hAnsi="Calibri" w:cs="Calibri"/>
                <w:iCs/>
                <w:noProof/>
                <w:sz w:val="22"/>
                <w:szCs w:val="22"/>
                <w:lang w:eastAsia="en-US"/>
              </w:rPr>
              <w:t>C</w:t>
            </w:r>
            <w:r w:rsidR="000472AF" w:rsidRPr="00C710E7">
              <w:rPr>
                <w:rStyle w:val="Hyperlink"/>
                <w:rFonts w:ascii="Calibri" w:eastAsiaTheme="majorEastAsia" w:hAnsi="Calibri" w:cs="Calibri"/>
                <w:iCs/>
                <w:noProof/>
                <w:sz w:val="22"/>
                <w:szCs w:val="22"/>
                <w:lang w:eastAsia="en-US"/>
              </w:rPr>
              <w:t xml:space="preserve"> - SRCC’s Accountability responsibilities under the SRC Act and WHS Act</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_Toc342578427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92</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Default="00AD7BEF" w:rsidP="00C710E7">
          <w:pPr>
            <w:pStyle w:val="TOC1"/>
            <w:rPr>
              <w:rFonts w:asciiTheme="minorHAnsi" w:eastAsiaTheme="minorEastAsia" w:hAnsiTheme="minorHAnsi" w:cstheme="minorBidi"/>
              <w:noProof/>
              <w:sz w:val="22"/>
              <w:szCs w:val="22"/>
            </w:rPr>
          </w:pPr>
          <w:hyperlink w:anchor="_Toc342578428" w:history="1">
            <w:r w:rsidR="00C710E7">
              <w:rPr>
                <w:rStyle w:val="Hyperlink"/>
                <w:rFonts w:ascii="Calibri" w:eastAsiaTheme="majorEastAsia" w:hAnsi="Calibri" w:cs="Calibri"/>
                <w:iCs/>
                <w:noProof/>
                <w:sz w:val="22"/>
                <w:szCs w:val="22"/>
                <w:lang w:eastAsia="en-US"/>
              </w:rPr>
              <w:t>A</w:t>
            </w:r>
            <w:r w:rsidR="000472AF" w:rsidRPr="00C710E7">
              <w:rPr>
                <w:rStyle w:val="Hyperlink"/>
                <w:rFonts w:ascii="Calibri" w:eastAsiaTheme="majorEastAsia" w:hAnsi="Calibri" w:cs="Calibri"/>
                <w:iCs/>
                <w:noProof/>
                <w:sz w:val="22"/>
                <w:szCs w:val="22"/>
                <w:lang w:eastAsia="en-US"/>
              </w:rPr>
              <w:t xml:space="preserve">nnex </w:t>
            </w:r>
            <w:r w:rsidR="00C710E7">
              <w:rPr>
                <w:rStyle w:val="Hyperlink"/>
                <w:rFonts w:ascii="Calibri" w:eastAsiaTheme="majorEastAsia" w:hAnsi="Calibri" w:cs="Calibri"/>
                <w:iCs/>
                <w:noProof/>
                <w:sz w:val="22"/>
                <w:szCs w:val="22"/>
                <w:lang w:eastAsia="en-US"/>
              </w:rPr>
              <w:t>D</w:t>
            </w:r>
            <w:r w:rsidR="000472AF" w:rsidRPr="00C710E7">
              <w:rPr>
                <w:rStyle w:val="Hyperlink"/>
                <w:rFonts w:ascii="Calibri" w:eastAsiaTheme="majorEastAsia" w:hAnsi="Calibri" w:cs="Calibri"/>
                <w:iCs/>
                <w:noProof/>
                <w:sz w:val="22"/>
                <w:szCs w:val="22"/>
                <w:lang w:eastAsia="en-US"/>
              </w:rPr>
              <w:t xml:space="preserve"> - List of Current Licensees</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_Toc342578428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94</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Default="00AD7BEF" w:rsidP="00C710E7">
          <w:pPr>
            <w:pStyle w:val="TOC1"/>
            <w:rPr>
              <w:rFonts w:asciiTheme="minorHAnsi" w:eastAsiaTheme="minorEastAsia" w:hAnsiTheme="minorHAnsi" w:cstheme="minorBidi"/>
              <w:noProof/>
              <w:sz w:val="22"/>
              <w:szCs w:val="22"/>
            </w:rPr>
          </w:pPr>
          <w:hyperlink w:anchor="_Toc342578429" w:history="1">
            <w:r w:rsidR="00C710E7">
              <w:rPr>
                <w:rStyle w:val="Hyperlink"/>
                <w:rFonts w:ascii="Calibri" w:eastAsiaTheme="majorEastAsia" w:hAnsi="Calibri" w:cs="Calibri"/>
                <w:iCs/>
                <w:noProof/>
                <w:sz w:val="22"/>
                <w:szCs w:val="22"/>
                <w:lang w:eastAsia="en-US"/>
              </w:rPr>
              <w:t>A</w:t>
            </w:r>
            <w:r w:rsidR="000472AF" w:rsidRPr="00C710E7">
              <w:rPr>
                <w:rStyle w:val="Hyperlink"/>
                <w:rFonts w:ascii="Calibri" w:eastAsiaTheme="majorEastAsia" w:hAnsi="Calibri" w:cs="Calibri"/>
                <w:iCs/>
                <w:noProof/>
                <w:sz w:val="22"/>
                <w:szCs w:val="22"/>
                <w:lang w:eastAsia="en-US"/>
              </w:rPr>
              <w:t xml:space="preserve">nnex </w:t>
            </w:r>
            <w:r w:rsidR="00C710E7">
              <w:rPr>
                <w:rStyle w:val="Hyperlink"/>
                <w:rFonts w:ascii="Calibri" w:eastAsiaTheme="majorEastAsia" w:hAnsi="Calibri" w:cs="Calibri"/>
                <w:iCs/>
                <w:noProof/>
                <w:sz w:val="22"/>
                <w:szCs w:val="22"/>
                <w:lang w:eastAsia="en-US"/>
              </w:rPr>
              <w:t>E</w:t>
            </w:r>
            <w:r w:rsidR="000472AF" w:rsidRPr="00C710E7">
              <w:rPr>
                <w:rStyle w:val="Hyperlink"/>
                <w:rFonts w:ascii="Calibri" w:eastAsiaTheme="majorEastAsia" w:hAnsi="Calibri" w:cs="Calibri"/>
                <w:iCs/>
                <w:noProof/>
                <w:sz w:val="22"/>
                <w:szCs w:val="22"/>
                <w:lang w:eastAsia="en-US"/>
              </w:rPr>
              <w:t xml:space="preserve"> - Premium Sector KPI Scorecard</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_Toc342578429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96</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Default="00AD7BEF" w:rsidP="00C710E7">
          <w:pPr>
            <w:pStyle w:val="TOC1"/>
            <w:rPr>
              <w:rFonts w:asciiTheme="minorHAnsi" w:eastAsiaTheme="minorEastAsia" w:hAnsiTheme="minorHAnsi" w:cstheme="minorBidi"/>
              <w:noProof/>
              <w:sz w:val="22"/>
              <w:szCs w:val="22"/>
            </w:rPr>
          </w:pPr>
          <w:hyperlink w:anchor="_Toc342578430" w:history="1">
            <w:r w:rsidR="00C710E7">
              <w:rPr>
                <w:rStyle w:val="Hyperlink"/>
                <w:rFonts w:ascii="Calibri" w:eastAsiaTheme="majorEastAsia" w:hAnsi="Calibri" w:cs="Calibri"/>
                <w:iCs/>
                <w:noProof/>
                <w:sz w:val="22"/>
                <w:szCs w:val="22"/>
                <w:lang w:eastAsia="en-US"/>
              </w:rPr>
              <w:t>A</w:t>
            </w:r>
            <w:r w:rsidR="000472AF" w:rsidRPr="00C710E7">
              <w:rPr>
                <w:rStyle w:val="Hyperlink"/>
                <w:rFonts w:ascii="Calibri" w:eastAsiaTheme="majorEastAsia" w:hAnsi="Calibri" w:cs="Calibri"/>
                <w:iCs/>
                <w:noProof/>
                <w:sz w:val="22"/>
                <w:szCs w:val="22"/>
                <w:lang w:eastAsia="en-US"/>
              </w:rPr>
              <w:t xml:space="preserve">nnex </w:t>
            </w:r>
            <w:r w:rsidR="00C710E7">
              <w:rPr>
                <w:rStyle w:val="Hyperlink"/>
                <w:rFonts w:ascii="Calibri" w:eastAsiaTheme="majorEastAsia" w:hAnsi="Calibri" w:cs="Calibri"/>
                <w:iCs/>
                <w:noProof/>
                <w:sz w:val="22"/>
                <w:szCs w:val="22"/>
                <w:lang w:eastAsia="en-US"/>
              </w:rPr>
              <w:t>F</w:t>
            </w:r>
            <w:r w:rsidR="000472AF" w:rsidRPr="00C710E7">
              <w:rPr>
                <w:rStyle w:val="Hyperlink"/>
                <w:rFonts w:ascii="Calibri" w:eastAsiaTheme="majorEastAsia" w:hAnsi="Calibri" w:cs="Calibri"/>
                <w:iCs/>
                <w:noProof/>
                <w:sz w:val="22"/>
                <w:szCs w:val="22"/>
                <w:lang w:eastAsia="en-US"/>
              </w:rPr>
              <w:t xml:space="preserve"> - Comcare Scheme and Headline KPIs</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_Toc342578430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98</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Default="00AD7BEF" w:rsidP="00C710E7">
          <w:pPr>
            <w:pStyle w:val="TOC1"/>
            <w:rPr>
              <w:rFonts w:asciiTheme="minorHAnsi" w:eastAsiaTheme="minorEastAsia" w:hAnsiTheme="minorHAnsi" w:cstheme="minorBidi"/>
              <w:noProof/>
              <w:sz w:val="22"/>
              <w:szCs w:val="22"/>
            </w:rPr>
          </w:pPr>
          <w:hyperlink w:anchor="_Toc342578431" w:history="1">
            <w:r w:rsidR="00C710E7">
              <w:rPr>
                <w:rStyle w:val="Hyperlink"/>
                <w:rFonts w:ascii="Calibri" w:eastAsiaTheme="majorEastAsia" w:hAnsi="Calibri" w:cs="Calibri"/>
                <w:iCs/>
                <w:noProof/>
                <w:sz w:val="22"/>
                <w:szCs w:val="22"/>
                <w:lang w:eastAsia="en-US"/>
              </w:rPr>
              <w:t>A</w:t>
            </w:r>
            <w:r w:rsidR="000472AF" w:rsidRPr="00C710E7">
              <w:rPr>
                <w:rStyle w:val="Hyperlink"/>
                <w:rFonts w:ascii="Calibri" w:eastAsiaTheme="majorEastAsia" w:hAnsi="Calibri" w:cs="Calibri"/>
                <w:iCs/>
                <w:noProof/>
                <w:sz w:val="22"/>
                <w:szCs w:val="22"/>
                <w:lang w:eastAsia="en-US"/>
              </w:rPr>
              <w:t xml:space="preserve">nnex G - Comcover – an </w:t>
            </w:r>
            <w:r w:rsidR="00C710E7">
              <w:rPr>
                <w:rStyle w:val="Hyperlink"/>
                <w:rFonts w:ascii="Calibri" w:eastAsiaTheme="majorEastAsia" w:hAnsi="Calibri" w:cs="Calibri"/>
                <w:iCs/>
                <w:noProof/>
                <w:sz w:val="22"/>
                <w:szCs w:val="22"/>
                <w:lang w:eastAsia="en-US"/>
              </w:rPr>
              <w:t>I</w:t>
            </w:r>
            <w:r w:rsidR="000472AF" w:rsidRPr="00C710E7">
              <w:rPr>
                <w:rStyle w:val="Hyperlink"/>
                <w:rFonts w:ascii="Calibri" w:eastAsiaTheme="majorEastAsia" w:hAnsi="Calibri" w:cs="Calibri"/>
                <w:iCs/>
                <w:noProof/>
                <w:sz w:val="22"/>
                <w:szCs w:val="22"/>
                <w:lang w:eastAsia="en-US"/>
              </w:rPr>
              <w:t xml:space="preserve">nsurance </w:t>
            </w:r>
            <w:r w:rsidR="00C710E7">
              <w:rPr>
                <w:rStyle w:val="Hyperlink"/>
                <w:rFonts w:ascii="Calibri" w:eastAsiaTheme="majorEastAsia" w:hAnsi="Calibri" w:cs="Calibri"/>
                <w:iCs/>
                <w:noProof/>
                <w:sz w:val="22"/>
                <w:szCs w:val="22"/>
                <w:lang w:eastAsia="en-US"/>
              </w:rPr>
              <w:t>S</w:t>
            </w:r>
            <w:r w:rsidR="000472AF" w:rsidRPr="00C710E7">
              <w:rPr>
                <w:rStyle w:val="Hyperlink"/>
                <w:rFonts w:ascii="Calibri" w:eastAsiaTheme="majorEastAsia" w:hAnsi="Calibri" w:cs="Calibri"/>
                <w:iCs/>
                <w:noProof/>
                <w:sz w:val="22"/>
                <w:szCs w:val="22"/>
                <w:lang w:eastAsia="en-US"/>
              </w:rPr>
              <w:t xml:space="preserve">cheme </w:t>
            </w:r>
            <w:r w:rsidR="00C710E7">
              <w:rPr>
                <w:rStyle w:val="Hyperlink"/>
                <w:rFonts w:ascii="Calibri" w:eastAsiaTheme="majorEastAsia" w:hAnsi="Calibri" w:cs="Calibri"/>
                <w:iCs/>
                <w:noProof/>
                <w:sz w:val="22"/>
                <w:szCs w:val="22"/>
                <w:lang w:eastAsia="en-US"/>
              </w:rPr>
              <w:t>W</w:t>
            </w:r>
            <w:r w:rsidR="000472AF" w:rsidRPr="00C710E7">
              <w:rPr>
                <w:rStyle w:val="Hyperlink"/>
                <w:rFonts w:ascii="Calibri" w:eastAsiaTheme="majorEastAsia" w:hAnsi="Calibri" w:cs="Calibri"/>
                <w:iCs/>
                <w:noProof/>
                <w:sz w:val="22"/>
                <w:szCs w:val="22"/>
                <w:lang w:eastAsia="en-US"/>
              </w:rPr>
              <w:t xml:space="preserve">ithin an FMA Act </w:t>
            </w:r>
            <w:r w:rsidR="00C710E7">
              <w:rPr>
                <w:rStyle w:val="Hyperlink"/>
                <w:rFonts w:ascii="Calibri" w:eastAsiaTheme="majorEastAsia" w:hAnsi="Calibri" w:cs="Calibri"/>
                <w:iCs/>
                <w:noProof/>
                <w:sz w:val="22"/>
                <w:szCs w:val="22"/>
                <w:lang w:eastAsia="en-US"/>
              </w:rPr>
              <w:t>A</w:t>
            </w:r>
            <w:r w:rsidR="000472AF" w:rsidRPr="00C710E7">
              <w:rPr>
                <w:rStyle w:val="Hyperlink"/>
                <w:rFonts w:ascii="Calibri" w:eastAsiaTheme="majorEastAsia" w:hAnsi="Calibri" w:cs="Calibri"/>
                <w:iCs/>
                <w:noProof/>
                <w:sz w:val="22"/>
                <w:szCs w:val="22"/>
                <w:lang w:eastAsia="en-US"/>
              </w:rPr>
              <w:t>gency</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_Toc342578431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102</w:t>
            </w:r>
            <w:r w:rsidR="00A02309" w:rsidRPr="00C710E7">
              <w:rPr>
                <w:rStyle w:val="Hyperlink"/>
                <w:rFonts w:ascii="Calibri" w:eastAsiaTheme="majorEastAsia" w:hAnsi="Calibri" w:cs="Calibri"/>
                <w:iCs/>
                <w:noProof/>
                <w:webHidden/>
                <w:sz w:val="22"/>
                <w:szCs w:val="22"/>
                <w:lang w:eastAsia="en-US"/>
              </w:rPr>
              <w:fldChar w:fldCharType="end"/>
            </w:r>
          </w:hyperlink>
        </w:p>
        <w:p w:rsidR="000472AF" w:rsidRDefault="00AD7BEF" w:rsidP="00C710E7">
          <w:pPr>
            <w:pStyle w:val="TOC1"/>
            <w:rPr>
              <w:rFonts w:asciiTheme="minorHAnsi" w:eastAsiaTheme="minorEastAsia" w:hAnsiTheme="minorHAnsi" w:cstheme="minorBidi"/>
              <w:noProof/>
              <w:sz w:val="22"/>
              <w:szCs w:val="22"/>
            </w:rPr>
          </w:pPr>
          <w:hyperlink w:anchor="_Toc342578432" w:history="1">
            <w:r w:rsidR="000472AF" w:rsidRPr="00C710E7">
              <w:rPr>
                <w:rStyle w:val="Hyperlink"/>
                <w:rFonts w:ascii="Calibri" w:eastAsiaTheme="majorEastAsia" w:hAnsi="Calibri" w:cs="Calibri"/>
                <w:iCs/>
                <w:noProof/>
                <w:sz w:val="22"/>
                <w:szCs w:val="22"/>
                <w:lang w:eastAsia="en-US"/>
              </w:rPr>
              <w:t>Annex H - Civil Aviation Safety Authority – A CAC Act Body</w:t>
            </w:r>
            <w:r w:rsidR="000472AF">
              <w:rPr>
                <w:noProof/>
                <w:webHidden/>
              </w:rPr>
              <w:tab/>
            </w:r>
            <w:r w:rsidR="00A02309" w:rsidRPr="00C710E7">
              <w:rPr>
                <w:rStyle w:val="Hyperlink"/>
                <w:rFonts w:ascii="Calibri" w:eastAsiaTheme="majorEastAsia" w:hAnsi="Calibri" w:cs="Calibri"/>
                <w:iCs/>
                <w:noProof/>
                <w:webHidden/>
                <w:sz w:val="22"/>
                <w:szCs w:val="22"/>
                <w:lang w:eastAsia="en-US"/>
              </w:rPr>
              <w:fldChar w:fldCharType="begin"/>
            </w:r>
            <w:r w:rsidR="000472AF" w:rsidRPr="00C710E7">
              <w:rPr>
                <w:rStyle w:val="Hyperlink"/>
                <w:rFonts w:ascii="Calibri" w:eastAsiaTheme="majorEastAsia" w:hAnsi="Calibri" w:cs="Calibri"/>
                <w:iCs/>
                <w:noProof/>
                <w:webHidden/>
                <w:sz w:val="22"/>
                <w:szCs w:val="22"/>
                <w:lang w:eastAsia="en-US"/>
              </w:rPr>
              <w:instrText xml:space="preserve"> PAGEREF _Toc342578432 \h </w:instrText>
            </w:r>
            <w:r w:rsidR="00A02309" w:rsidRPr="00C710E7">
              <w:rPr>
                <w:rStyle w:val="Hyperlink"/>
                <w:rFonts w:ascii="Calibri" w:eastAsiaTheme="majorEastAsia" w:hAnsi="Calibri" w:cs="Calibri"/>
                <w:iCs/>
                <w:noProof/>
                <w:webHidden/>
                <w:sz w:val="22"/>
                <w:szCs w:val="22"/>
                <w:lang w:eastAsia="en-US"/>
              </w:rPr>
            </w:r>
            <w:r w:rsidR="00A02309" w:rsidRPr="00C710E7">
              <w:rPr>
                <w:rStyle w:val="Hyperlink"/>
                <w:rFonts w:ascii="Calibri" w:eastAsiaTheme="majorEastAsia" w:hAnsi="Calibri" w:cs="Calibri"/>
                <w:iCs/>
                <w:noProof/>
                <w:webHidden/>
                <w:sz w:val="22"/>
                <w:szCs w:val="22"/>
                <w:lang w:eastAsia="en-US"/>
              </w:rPr>
              <w:fldChar w:fldCharType="separate"/>
            </w:r>
            <w:r w:rsidR="00E1141B">
              <w:rPr>
                <w:rStyle w:val="Hyperlink"/>
                <w:rFonts w:ascii="Calibri" w:eastAsiaTheme="majorEastAsia" w:hAnsi="Calibri" w:cs="Calibri"/>
                <w:iCs/>
                <w:noProof/>
                <w:webHidden/>
                <w:sz w:val="22"/>
                <w:szCs w:val="22"/>
                <w:lang w:eastAsia="en-US"/>
              </w:rPr>
              <w:t>103</w:t>
            </w:r>
            <w:r w:rsidR="00A02309" w:rsidRPr="00C710E7">
              <w:rPr>
                <w:rStyle w:val="Hyperlink"/>
                <w:rFonts w:ascii="Calibri" w:eastAsiaTheme="majorEastAsia" w:hAnsi="Calibri" w:cs="Calibri"/>
                <w:iCs/>
                <w:noProof/>
                <w:webHidden/>
                <w:sz w:val="22"/>
                <w:szCs w:val="22"/>
                <w:lang w:eastAsia="en-US"/>
              </w:rPr>
              <w:fldChar w:fldCharType="end"/>
            </w:r>
          </w:hyperlink>
        </w:p>
        <w:p w:rsidR="005946E4" w:rsidRPr="009F00DD" w:rsidRDefault="00A02309">
          <w:pPr>
            <w:rPr>
              <w:rFonts w:ascii="Calibri" w:hAnsi="Calibri" w:cs="Calibri"/>
            </w:rPr>
          </w:pPr>
          <w:r w:rsidRPr="009F00DD">
            <w:rPr>
              <w:rFonts w:ascii="Calibri" w:hAnsi="Calibri" w:cs="Calibri"/>
              <w:b/>
              <w:bCs/>
              <w:noProof/>
            </w:rPr>
            <w:fldChar w:fldCharType="end"/>
          </w:r>
        </w:p>
      </w:sdtContent>
    </w:sdt>
    <w:p w:rsidR="00665579" w:rsidRPr="009F00DD" w:rsidRDefault="00665579" w:rsidP="00111216">
      <w:pPr>
        <w:spacing w:after="120"/>
        <w:rPr>
          <w:rStyle w:val="Emphasis"/>
          <w:rFonts w:ascii="Calibri" w:eastAsiaTheme="majorEastAsia" w:hAnsi="Calibri" w:cs="Calibri"/>
          <w:i w:val="0"/>
          <w:iCs w:val="0"/>
          <w:sz w:val="22"/>
          <w:szCs w:val="22"/>
        </w:rPr>
      </w:pPr>
    </w:p>
    <w:p w:rsidR="00111216" w:rsidRDefault="00111216" w:rsidP="00111216">
      <w:pPr>
        <w:spacing w:after="120"/>
        <w:rPr>
          <w:rStyle w:val="Emphasis"/>
          <w:rFonts w:ascii="Calibri" w:eastAsiaTheme="majorEastAsia" w:hAnsi="Calibri" w:cs="Calibri"/>
          <w:i w:val="0"/>
          <w:iCs w:val="0"/>
          <w:sz w:val="28"/>
          <w:szCs w:val="28"/>
        </w:rPr>
        <w:sectPr w:rsidR="00111216" w:rsidSect="00F5040B">
          <w:pgSz w:w="11906" w:h="16838"/>
          <w:pgMar w:top="1440" w:right="1440" w:bottom="1440" w:left="1440" w:header="708" w:footer="708" w:gutter="0"/>
          <w:pgNumType w:fmt="lowerRoman"/>
          <w:cols w:space="708"/>
          <w:docGrid w:linePitch="360"/>
        </w:sectPr>
      </w:pPr>
    </w:p>
    <w:p w:rsidR="00111216" w:rsidRPr="0007577B" w:rsidRDefault="00111216" w:rsidP="0007577B">
      <w:pPr>
        <w:pStyle w:val="HawkeReviewChapterHeading"/>
        <w:spacing w:after="240"/>
        <w:rPr>
          <w:rStyle w:val="Emphasis"/>
          <w:rFonts w:ascii="Cambria" w:eastAsiaTheme="majorEastAsia" w:hAnsi="Cambria"/>
          <w:i w:val="0"/>
        </w:rPr>
      </w:pPr>
      <w:bookmarkStart w:id="247" w:name="_Toc341777924"/>
      <w:bookmarkStart w:id="248" w:name="_Toc342578292"/>
      <w:r w:rsidRPr="005D4DF3">
        <w:rPr>
          <w:rStyle w:val="Emphasis"/>
          <w:rFonts w:ascii="Cambria" w:eastAsiaTheme="majorEastAsia" w:hAnsi="Cambria"/>
          <w:i w:val="0"/>
        </w:rPr>
        <w:lastRenderedPageBreak/>
        <w:t>Executive Summary</w:t>
      </w:r>
      <w:bookmarkEnd w:id="247"/>
      <w:bookmarkEnd w:id="248"/>
    </w:p>
    <w:p w:rsidR="00111216" w:rsidRPr="00DC2473" w:rsidRDefault="00111216" w:rsidP="00111216">
      <w:pPr>
        <w:pStyle w:val="HawkeReviewbody"/>
        <w:spacing w:before="0" w:beforeAutospacing="0" w:after="120" w:line="240" w:lineRule="auto"/>
        <w:rPr>
          <w:rStyle w:val="Emphasis"/>
          <w:rFonts w:ascii="Calibri" w:eastAsiaTheme="majorEastAsia" w:hAnsi="Calibri" w:cs="Calibri"/>
          <w:i w:val="0"/>
          <w:sz w:val="22"/>
          <w:szCs w:val="22"/>
        </w:rPr>
      </w:pPr>
      <w:r w:rsidRPr="005D4DF3">
        <w:rPr>
          <w:rStyle w:val="Emphasis"/>
          <w:rFonts w:ascii="Calibri" w:eastAsiaTheme="majorEastAsia" w:hAnsi="Calibri" w:cs="Calibri"/>
          <w:i w:val="0"/>
          <w:sz w:val="22"/>
          <w:szCs w:val="22"/>
        </w:rPr>
        <w:t>The Hon Bill Shorten MP, Minister for Employment and Workplace Relations</w:t>
      </w:r>
      <w:r w:rsidR="00BF6539">
        <w:rPr>
          <w:rStyle w:val="Emphasis"/>
          <w:rFonts w:ascii="Calibri" w:eastAsiaTheme="majorEastAsia" w:hAnsi="Calibri" w:cs="Calibri"/>
          <w:i w:val="0"/>
          <w:sz w:val="22"/>
          <w:szCs w:val="22"/>
        </w:rPr>
        <w:t>’</w:t>
      </w:r>
      <w:r w:rsidRPr="005D4DF3">
        <w:rPr>
          <w:rStyle w:val="Emphasis"/>
          <w:rFonts w:ascii="Calibri" w:eastAsiaTheme="majorEastAsia" w:hAnsi="Calibri" w:cs="Calibri"/>
          <w:i w:val="0"/>
          <w:sz w:val="22"/>
          <w:szCs w:val="22"/>
        </w:rPr>
        <w:t xml:space="preserve"> media statement o</w:t>
      </w:r>
      <w:r w:rsidR="00BF6539">
        <w:rPr>
          <w:rStyle w:val="Emphasis"/>
          <w:rFonts w:ascii="Calibri" w:eastAsiaTheme="majorEastAsia" w:hAnsi="Calibri" w:cs="Calibri"/>
          <w:i w:val="0"/>
          <w:sz w:val="22"/>
          <w:szCs w:val="22"/>
        </w:rPr>
        <w:t>f</w:t>
      </w:r>
      <w:r w:rsidRPr="005D4DF3">
        <w:rPr>
          <w:rStyle w:val="Emphasis"/>
          <w:rFonts w:ascii="Calibri" w:eastAsiaTheme="majorEastAsia" w:hAnsi="Calibri" w:cs="Calibri"/>
          <w:i w:val="0"/>
          <w:sz w:val="22"/>
          <w:szCs w:val="22"/>
        </w:rPr>
        <w:t xml:space="preserve"> </w:t>
      </w:r>
      <w:r w:rsidR="00DC2473">
        <w:rPr>
          <w:rStyle w:val="Emphasis"/>
          <w:rFonts w:ascii="Calibri" w:eastAsiaTheme="majorEastAsia" w:hAnsi="Calibri" w:cs="Calibri"/>
          <w:i w:val="0"/>
          <w:sz w:val="22"/>
          <w:szCs w:val="22"/>
        </w:rPr>
        <w:t xml:space="preserve">  </w:t>
      </w:r>
      <w:r w:rsidRPr="005D4DF3">
        <w:rPr>
          <w:rStyle w:val="Emphasis"/>
          <w:rFonts w:ascii="Calibri" w:eastAsiaTheme="majorEastAsia" w:hAnsi="Calibri" w:cs="Calibri"/>
          <w:i w:val="0"/>
          <w:sz w:val="22"/>
          <w:szCs w:val="22"/>
        </w:rPr>
        <w:t>24 July 2012 announc</w:t>
      </w:r>
      <w:r w:rsidR="00BF6539">
        <w:rPr>
          <w:rStyle w:val="Emphasis"/>
          <w:rFonts w:ascii="Calibri" w:eastAsiaTheme="majorEastAsia" w:hAnsi="Calibri" w:cs="Calibri"/>
          <w:i w:val="0"/>
          <w:sz w:val="22"/>
          <w:szCs w:val="22"/>
        </w:rPr>
        <w:t>ed</w:t>
      </w:r>
      <w:r w:rsidRPr="005D4DF3">
        <w:rPr>
          <w:rStyle w:val="Emphasis"/>
          <w:rFonts w:ascii="Calibri" w:eastAsiaTheme="majorEastAsia" w:hAnsi="Calibri" w:cs="Calibri"/>
          <w:i w:val="0"/>
          <w:sz w:val="22"/>
          <w:szCs w:val="22"/>
        </w:rPr>
        <w:t xml:space="preserve"> that the Federal Workers’ Compensation Scheme was to be</w:t>
      </w:r>
      <w:r w:rsidR="00BF6539">
        <w:rPr>
          <w:rStyle w:val="Emphasis"/>
          <w:rFonts w:ascii="Calibri" w:eastAsiaTheme="majorEastAsia" w:hAnsi="Calibri" w:cs="Calibri"/>
          <w:i w:val="0"/>
          <w:sz w:val="22"/>
          <w:szCs w:val="22"/>
        </w:rPr>
        <w:t xml:space="preserve"> reviewed and</w:t>
      </w:r>
      <w:r w:rsidRPr="005D4DF3">
        <w:rPr>
          <w:rStyle w:val="Emphasis"/>
          <w:rFonts w:ascii="Calibri" w:eastAsiaTheme="majorEastAsia" w:hAnsi="Calibri" w:cs="Calibri"/>
          <w:i w:val="0"/>
          <w:sz w:val="22"/>
          <w:szCs w:val="22"/>
        </w:rPr>
        <w:t xml:space="preserve"> modernised. The aim of the review is to modernise the federal workers’ compensation scheme to ensure injured workers are given every opportunity to return to health, independence and work as quickly as possible after a workplace injury.</w:t>
      </w:r>
    </w:p>
    <w:p w:rsidR="00111216" w:rsidRDefault="00111216" w:rsidP="00111216">
      <w:pPr>
        <w:pStyle w:val="HawkeReviewbody"/>
        <w:spacing w:before="0" w:beforeAutospacing="0" w:after="120" w:line="240" w:lineRule="auto"/>
        <w:rPr>
          <w:rFonts w:ascii="Calibri" w:hAnsi="Calibri" w:cs="Calibri"/>
          <w:sz w:val="22"/>
          <w:szCs w:val="22"/>
        </w:rPr>
      </w:pPr>
      <w:r w:rsidRPr="00D6779C">
        <w:rPr>
          <w:rFonts w:ascii="Calibri" w:hAnsi="Calibri" w:cs="Calibri"/>
          <w:sz w:val="22"/>
          <w:szCs w:val="22"/>
        </w:rPr>
        <w:t>This Report covers issues announced as part of the review</w:t>
      </w:r>
      <w:r w:rsidR="00BF6539">
        <w:rPr>
          <w:rFonts w:ascii="Calibri" w:hAnsi="Calibri" w:cs="Calibri"/>
          <w:sz w:val="22"/>
          <w:szCs w:val="22"/>
        </w:rPr>
        <w:t>,</w:t>
      </w:r>
      <w:r w:rsidRPr="00D6779C">
        <w:rPr>
          <w:rFonts w:ascii="Calibri" w:hAnsi="Calibri" w:cs="Calibri"/>
          <w:sz w:val="22"/>
          <w:szCs w:val="22"/>
        </w:rPr>
        <w:t xml:space="preserve"> relating to</w:t>
      </w:r>
      <w:r w:rsidR="00BF6539">
        <w:rPr>
          <w:rFonts w:ascii="Calibri" w:hAnsi="Calibri" w:cs="Calibri"/>
          <w:sz w:val="22"/>
          <w:szCs w:val="22"/>
        </w:rPr>
        <w:t xml:space="preserve"> the Comcare </w:t>
      </w:r>
      <w:proofErr w:type="gramStart"/>
      <w:r w:rsidR="00BF6539">
        <w:rPr>
          <w:rFonts w:ascii="Calibri" w:hAnsi="Calibri" w:cs="Calibri"/>
          <w:sz w:val="22"/>
          <w:szCs w:val="22"/>
        </w:rPr>
        <w:t>scheme’s</w:t>
      </w:r>
      <w:proofErr w:type="gramEnd"/>
      <w:r w:rsidRPr="00D6779C">
        <w:rPr>
          <w:rFonts w:ascii="Calibri" w:hAnsi="Calibri" w:cs="Calibri"/>
          <w:sz w:val="22"/>
          <w:szCs w:val="22"/>
        </w:rPr>
        <w:t>:</w:t>
      </w:r>
    </w:p>
    <w:p w:rsidR="00111216" w:rsidRDefault="00111216" w:rsidP="00111216">
      <w:pPr>
        <w:numPr>
          <w:ilvl w:val="0"/>
          <w:numId w:val="16"/>
        </w:numPr>
        <w:spacing w:after="120"/>
        <w:rPr>
          <w:rFonts w:ascii="Calibri" w:hAnsi="Calibri" w:cs="Calibri"/>
          <w:sz w:val="22"/>
          <w:szCs w:val="22"/>
        </w:rPr>
      </w:pPr>
      <w:r w:rsidRPr="00D6779C">
        <w:rPr>
          <w:rFonts w:ascii="Calibri" w:hAnsi="Calibri" w:cs="Calibri"/>
          <w:sz w:val="22"/>
          <w:szCs w:val="22"/>
        </w:rPr>
        <w:t>performance  and ways to improve its operation; and</w:t>
      </w:r>
    </w:p>
    <w:p w:rsidR="00111216" w:rsidRDefault="00111216" w:rsidP="00111216">
      <w:pPr>
        <w:numPr>
          <w:ilvl w:val="0"/>
          <w:numId w:val="16"/>
        </w:numPr>
        <w:spacing w:after="120"/>
        <w:rPr>
          <w:rFonts w:ascii="Calibri" w:hAnsi="Calibri" w:cs="Calibri"/>
          <w:sz w:val="22"/>
          <w:szCs w:val="22"/>
        </w:rPr>
      </w:pPr>
      <w:proofErr w:type="gramStart"/>
      <w:r w:rsidRPr="00D6779C">
        <w:rPr>
          <w:rFonts w:ascii="Calibri" w:hAnsi="Calibri" w:cs="Calibri"/>
          <w:sz w:val="22"/>
          <w:szCs w:val="22"/>
        </w:rPr>
        <w:t>financial</w:t>
      </w:r>
      <w:proofErr w:type="gramEnd"/>
      <w:r w:rsidRPr="00D6779C">
        <w:rPr>
          <w:rFonts w:ascii="Calibri" w:hAnsi="Calibri" w:cs="Calibri"/>
          <w:sz w:val="22"/>
          <w:szCs w:val="22"/>
        </w:rPr>
        <w:t xml:space="preserve"> and governance framework.</w:t>
      </w:r>
    </w:p>
    <w:p w:rsidR="00111216" w:rsidRDefault="00111216" w:rsidP="00111216">
      <w:pPr>
        <w:pStyle w:val="HawkeReviewbody"/>
        <w:spacing w:before="0" w:beforeAutospacing="0" w:after="120" w:line="240" w:lineRule="auto"/>
        <w:rPr>
          <w:rFonts w:ascii="Calibri" w:hAnsi="Calibri" w:cs="Calibri"/>
          <w:sz w:val="22"/>
          <w:szCs w:val="22"/>
        </w:rPr>
      </w:pPr>
      <w:r>
        <w:rPr>
          <w:rFonts w:ascii="Calibri" w:hAnsi="Calibri" w:cs="Calibri"/>
          <w:sz w:val="22"/>
          <w:szCs w:val="22"/>
        </w:rPr>
        <w:t xml:space="preserve">The Review found </w:t>
      </w:r>
      <w:r w:rsidR="00BF6539">
        <w:rPr>
          <w:rFonts w:ascii="Calibri" w:hAnsi="Calibri" w:cs="Calibri"/>
          <w:sz w:val="22"/>
          <w:szCs w:val="22"/>
        </w:rPr>
        <w:t>that the</w:t>
      </w:r>
      <w:r>
        <w:rPr>
          <w:rFonts w:ascii="Calibri" w:hAnsi="Calibri" w:cs="Calibri"/>
          <w:sz w:val="22"/>
          <w:szCs w:val="22"/>
        </w:rPr>
        <w:t xml:space="preserve"> Comcare scheme is working </w:t>
      </w:r>
      <w:r w:rsidR="002516A0">
        <w:rPr>
          <w:rFonts w:ascii="Calibri" w:hAnsi="Calibri" w:cs="Calibri"/>
          <w:sz w:val="22"/>
          <w:szCs w:val="22"/>
        </w:rPr>
        <w:t>satisfactorily. R</w:t>
      </w:r>
      <w:r>
        <w:rPr>
          <w:rFonts w:ascii="Calibri" w:hAnsi="Calibri" w:cs="Calibri"/>
          <w:sz w:val="22"/>
          <w:szCs w:val="22"/>
        </w:rPr>
        <w:t>ecent deterioration in return to work and financial performance has led to premium increases -</w:t>
      </w:r>
      <w:r w:rsidR="004306FE">
        <w:rPr>
          <w:rFonts w:ascii="Calibri" w:hAnsi="Calibri" w:cs="Calibri"/>
          <w:sz w:val="22"/>
          <w:szCs w:val="22"/>
        </w:rPr>
        <w:t xml:space="preserve"> </w:t>
      </w:r>
      <w:r>
        <w:rPr>
          <w:rFonts w:ascii="Calibri" w:hAnsi="Calibri" w:cs="Calibri"/>
          <w:sz w:val="22"/>
          <w:szCs w:val="22"/>
        </w:rPr>
        <w:t xml:space="preserve">something that has been a feature of most other workers’ compensation schemes in Australia in recent times. The recommendations included in this Report focus on </w:t>
      </w:r>
      <w:r w:rsidR="004306FE">
        <w:rPr>
          <w:rFonts w:ascii="Calibri" w:hAnsi="Calibri" w:cs="Calibri"/>
          <w:sz w:val="22"/>
          <w:szCs w:val="22"/>
        </w:rPr>
        <w:t xml:space="preserve">identifying </w:t>
      </w:r>
      <w:r>
        <w:rPr>
          <w:rFonts w:ascii="Calibri" w:hAnsi="Calibri" w:cs="Calibri"/>
          <w:sz w:val="22"/>
          <w:szCs w:val="22"/>
        </w:rPr>
        <w:t>opportunities for improvement. Implementing these recommendations will assist the Comcare scheme in its efforts to improve overall performance and achieve best practice in workers’ compensation arrangements in Australia.</w:t>
      </w:r>
    </w:p>
    <w:p w:rsidR="00111216" w:rsidRDefault="00111216" w:rsidP="00111216">
      <w:pPr>
        <w:pStyle w:val="HawkeReviewbody"/>
        <w:spacing w:before="0" w:beforeAutospacing="0" w:after="120" w:line="240" w:lineRule="auto"/>
        <w:rPr>
          <w:rFonts w:ascii="Calibri" w:hAnsi="Calibri" w:cs="Calibri"/>
          <w:sz w:val="22"/>
          <w:szCs w:val="22"/>
        </w:rPr>
      </w:pPr>
      <w:r w:rsidRPr="00D6779C">
        <w:rPr>
          <w:rFonts w:ascii="Calibri" w:hAnsi="Calibri" w:cs="Calibri"/>
          <w:sz w:val="22"/>
          <w:szCs w:val="22"/>
        </w:rPr>
        <w:t xml:space="preserve">The Report </w:t>
      </w:r>
      <w:r w:rsidR="00BF6539">
        <w:rPr>
          <w:rFonts w:ascii="Calibri" w:hAnsi="Calibri" w:cs="Calibri"/>
          <w:sz w:val="22"/>
          <w:szCs w:val="22"/>
        </w:rPr>
        <w:t>comprises</w:t>
      </w:r>
      <w:r w:rsidRPr="00D6779C">
        <w:rPr>
          <w:rFonts w:ascii="Calibri" w:hAnsi="Calibri" w:cs="Calibri"/>
          <w:sz w:val="22"/>
          <w:szCs w:val="22"/>
        </w:rPr>
        <w:t xml:space="preserve"> </w:t>
      </w:r>
      <w:r>
        <w:rPr>
          <w:rFonts w:ascii="Calibri" w:hAnsi="Calibri" w:cs="Calibri"/>
          <w:sz w:val="22"/>
          <w:szCs w:val="22"/>
        </w:rPr>
        <w:t>four</w:t>
      </w:r>
      <w:r w:rsidRPr="00D6779C">
        <w:rPr>
          <w:rFonts w:ascii="Calibri" w:hAnsi="Calibri" w:cs="Calibri"/>
          <w:sz w:val="22"/>
          <w:szCs w:val="22"/>
        </w:rPr>
        <w:t xml:space="preserve"> Chapters.</w:t>
      </w:r>
    </w:p>
    <w:p w:rsidR="00111216" w:rsidRDefault="00111216" w:rsidP="00111216">
      <w:pPr>
        <w:pStyle w:val="HawkeReviewbody"/>
        <w:spacing w:before="0" w:beforeAutospacing="0" w:after="120" w:line="240" w:lineRule="auto"/>
        <w:rPr>
          <w:rFonts w:ascii="Calibri" w:hAnsi="Calibri" w:cs="Calibri"/>
          <w:sz w:val="22"/>
          <w:szCs w:val="22"/>
        </w:rPr>
      </w:pPr>
      <w:r w:rsidRPr="00D6779C">
        <w:rPr>
          <w:rFonts w:ascii="Calibri" w:hAnsi="Calibri" w:cs="Calibri"/>
          <w:sz w:val="22"/>
          <w:szCs w:val="22"/>
        </w:rPr>
        <w:t xml:space="preserve">Chapter </w:t>
      </w:r>
      <w:proofErr w:type="gramStart"/>
      <w:r w:rsidRPr="00D6779C">
        <w:rPr>
          <w:rFonts w:ascii="Calibri" w:hAnsi="Calibri" w:cs="Calibri"/>
          <w:sz w:val="22"/>
          <w:szCs w:val="22"/>
        </w:rPr>
        <w:t>One</w:t>
      </w:r>
      <w:proofErr w:type="gramEnd"/>
      <w:r w:rsidRPr="00D6779C">
        <w:rPr>
          <w:rFonts w:ascii="Calibri" w:hAnsi="Calibri" w:cs="Calibri"/>
          <w:sz w:val="22"/>
          <w:szCs w:val="22"/>
        </w:rPr>
        <w:t xml:space="preserve"> provides an overview of the roles and responsibilities of the various parties involved in the </w:t>
      </w:r>
      <w:r>
        <w:rPr>
          <w:rFonts w:ascii="Calibri" w:hAnsi="Calibri" w:cs="Calibri"/>
          <w:sz w:val="22"/>
          <w:szCs w:val="22"/>
        </w:rPr>
        <w:t xml:space="preserve">Comcare </w:t>
      </w:r>
      <w:r w:rsidRPr="00D6779C">
        <w:rPr>
          <w:rFonts w:ascii="Calibri" w:hAnsi="Calibri" w:cs="Calibri"/>
          <w:sz w:val="22"/>
          <w:szCs w:val="22"/>
        </w:rPr>
        <w:t>scheme</w:t>
      </w:r>
      <w:r w:rsidR="002516A0">
        <w:rPr>
          <w:rFonts w:ascii="Calibri" w:hAnsi="Calibri" w:cs="Calibri"/>
          <w:sz w:val="22"/>
          <w:szCs w:val="22"/>
        </w:rPr>
        <w:t>’s operation</w:t>
      </w:r>
      <w:r w:rsidRPr="00D6779C">
        <w:rPr>
          <w:rFonts w:ascii="Calibri" w:hAnsi="Calibri" w:cs="Calibri"/>
          <w:sz w:val="22"/>
          <w:szCs w:val="22"/>
        </w:rPr>
        <w:t>.</w:t>
      </w:r>
    </w:p>
    <w:p w:rsidR="00111216" w:rsidRDefault="00111216" w:rsidP="00111216">
      <w:pPr>
        <w:pStyle w:val="HawkeReviewbody"/>
        <w:spacing w:before="0" w:beforeAutospacing="0" w:after="120" w:line="240" w:lineRule="auto"/>
        <w:rPr>
          <w:rFonts w:ascii="Calibri" w:hAnsi="Calibri" w:cs="Calibri"/>
          <w:sz w:val="22"/>
          <w:szCs w:val="22"/>
        </w:rPr>
      </w:pPr>
      <w:r w:rsidRPr="00D6779C">
        <w:rPr>
          <w:rFonts w:ascii="Calibri" w:hAnsi="Calibri" w:cs="Calibri"/>
          <w:sz w:val="22"/>
          <w:szCs w:val="22"/>
        </w:rPr>
        <w:t>Chapter Two examin</w:t>
      </w:r>
      <w:r>
        <w:rPr>
          <w:rFonts w:ascii="Calibri" w:hAnsi="Calibri" w:cs="Calibri"/>
          <w:sz w:val="22"/>
          <w:szCs w:val="22"/>
        </w:rPr>
        <w:t xml:space="preserve">es </w:t>
      </w:r>
      <w:r w:rsidRPr="00D6779C">
        <w:rPr>
          <w:rFonts w:ascii="Calibri" w:hAnsi="Calibri" w:cs="Calibri"/>
          <w:sz w:val="22"/>
          <w:szCs w:val="22"/>
        </w:rPr>
        <w:t>the regulatory arrangements of the S</w:t>
      </w:r>
      <w:r>
        <w:rPr>
          <w:rFonts w:ascii="Calibri" w:hAnsi="Calibri" w:cs="Calibri"/>
          <w:sz w:val="22"/>
          <w:szCs w:val="22"/>
        </w:rPr>
        <w:t>afety, Rehabilitation and Compensation Commission (S</w:t>
      </w:r>
      <w:r w:rsidRPr="00D6779C">
        <w:rPr>
          <w:rFonts w:ascii="Calibri" w:hAnsi="Calibri" w:cs="Calibri"/>
          <w:sz w:val="22"/>
          <w:szCs w:val="22"/>
        </w:rPr>
        <w:t>RCC</w:t>
      </w:r>
      <w:r>
        <w:rPr>
          <w:rFonts w:ascii="Calibri" w:hAnsi="Calibri" w:cs="Calibri"/>
          <w:sz w:val="22"/>
          <w:szCs w:val="22"/>
        </w:rPr>
        <w:t>)</w:t>
      </w:r>
      <w:r w:rsidRPr="00D6779C">
        <w:rPr>
          <w:rFonts w:ascii="Calibri" w:hAnsi="Calibri" w:cs="Calibri"/>
          <w:sz w:val="22"/>
          <w:szCs w:val="22"/>
        </w:rPr>
        <w:t xml:space="preserve"> and Comcare</w:t>
      </w:r>
      <w:r w:rsidR="00FB0AF8">
        <w:rPr>
          <w:rFonts w:ascii="Calibri" w:hAnsi="Calibri" w:cs="Calibri"/>
          <w:sz w:val="22"/>
          <w:szCs w:val="22"/>
        </w:rPr>
        <w:t>,</w:t>
      </w:r>
      <w:r w:rsidRPr="00D6779C">
        <w:rPr>
          <w:rFonts w:ascii="Calibri" w:hAnsi="Calibri" w:cs="Calibri"/>
          <w:sz w:val="22"/>
          <w:szCs w:val="22"/>
        </w:rPr>
        <w:t xml:space="preserve"> and examines the challenges that </w:t>
      </w:r>
      <w:r w:rsidR="00DC2473">
        <w:rPr>
          <w:rFonts w:ascii="Calibri" w:hAnsi="Calibri" w:cs="Calibri"/>
          <w:sz w:val="22"/>
          <w:szCs w:val="22"/>
        </w:rPr>
        <w:t xml:space="preserve">exist with </w:t>
      </w:r>
      <w:r w:rsidRPr="00D6779C">
        <w:rPr>
          <w:rFonts w:ascii="Calibri" w:hAnsi="Calibri" w:cs="Calibri"/>
          <w:sz w:val="22"/>
          <w:szCs w:val="22"/>
        </w:rPr>
        <w:t>regulatory role</w:t>
      </w:r>
      <w:r w:rsidR="00DC2473">
        <w:rPr>
          <w:rFonts w:ascii="Calibri" w:hAnsi="Calibri" w:cs="Calibri"/>
          <w:sz w:val="22"/>
          <w:szCs w:val="22"/>
        </w:rPr>
        <w:t>s being shared by SRCC and Comcare</w:t>
      </w:r>
      <w:r w:rsidRPr="00D6779C">
        <w:rPr>
          <w:rFonts w:ascii="Calibri" w:hAnsi="Calibri" w:cs="Calibri"/>
          <w:sz w:val="22"/>
          <w:szCs w:val="22"/>
        </w:rPr>
        <w:t xml:space="preserve">. </w:t>
      </w:r>
      <w:r w:rsidR="00BF6539">
        <w:rPr>
          <w:rFonts w:ascii="Calibri" w:hAnsi="Calibri" w:cs="Calibri"/>
          <w:sz w:val="22"/>
          <w:szCs w:val="22"/>
        </w:rPr>
        <w:t>R</w:t>
      </w:r>
      <w:r w:rsidRPr="00D6779C">
        <w:rPr>
          <w:rFonts w:ascii="Calibri" w:hAnsi="Calibri" w:cs="Calibri"/>
          <w:sz w:val="22"/>
          <w:szCs w:val="22"/>
        </w:rPr>
        <w:t xml:space="preserve">ecommendations </w:t>
      </w:r>
      <w:r w:rsidR="002555F4">
        <w:rPr>
          <w:rFonts w:ascii="Calibri" w:hAnsi="Calibri" w:cs="Calibri"/>
          <w:sz w:val="22"/>
          <w:szCs w:val="22"/>
        </w:rPr>
        <w:t xml:space="preserve">are </w:t>
      </w:r>
      <w:r w:rsidRPr="00D6779C">
        <w:rPr>
          <w:rFonts w:ascii="Calibri" w:hAnsi="Calibri" w:cs="Calibri"/>
          <w:sz w:val="22"/>
          <w:szCs w:val="22"/>
        </w:rPr>
        <w:t xml:space="preserve">aimed at improving and strengthening the regulatory arrangements </w:t>
      </w:r>
      <w:r w:rsidR="002555F4">
        <w:rPr>
          <w:rFonts w:ascii="Calibri" w:hAnsi="Calibri" w:cs="Calibri"/>
          <w:sz w:val="22"/>
          <w:szCs w:val="22"/>
        </w:rPr>
        <w:t>for</w:t>
      </w:r>
      <w:r w:rsidRPr="00D6779C">
        <w:rPr>
          <w:rFonts w:ascii="Calibri" w:hAnsi="Calibri" w:cs="Calibri"/>
          <w:sz w:val="22"/>
          <w:szCs w:val="22"/>
        </w:rPr>
        <w:t xml:space="preserve"> the Comcare Scheme.</w:t>
      </w:r>
    </w:p>
    <w:p w:rsidR="00111216" w:rsidRDefault="00111216" w:rsidP="00111216">
      <w:pPr>
        <w:pStyle w:val="HawkeReviewbody"/>
        <w:spacing w:before="0" w:beforeAutospacing="0" w:after="120" w:line="240" w:lineRule="auto"/>
        <w:rPr>
          <w:rFonts w:ascii="Calibri" w:hAnsi="Calibri" w:cs="Calibri"/>
          <w:sz w:val="22"/>
          <w:szCs w:val="22"/>
        </w:rPr>
      </w:pPr>
      <w:r w:rsidRPr="00D6779C">
        <w:rPr>
          <w:rFonts w:ascii="Calibri" w:hAnsi="Calibri" w:cs="Calibri"/>
          <w:sz w:val="22"/>
          <w:szCs w:val="22"/>
        </w:rPr>
        <w:t>Chapter</w:t>
      </w:r>
      <w:r>
        <w:rPr>
          <w:rFonts w:ascii="Calibri" w:hAnsi="Calibri" w:cs="Calibri"/>
          <w:sz w:val="22"/>
          <w:szCs w:val="22"/>
        </w:rPr>
        <w:t xml:space="preserve"> Two</w:t>
      </w:r>
      <w:r w:rsidRPr="00D6779C">
        <w:rPr>
          <w:rFonts w:ascii="Calibri" w:hAnsi="Calibri" w:cs="Calibri"/>
          <w:sz w:val="22"/>
          <w:szCs w:val="22"/>
        </w:rPr>
        <w:t xml:space="preserve"> further discusses the role of the SRCC in monitoring the performance of determining authorities, including Comcare, under the Comcare scheme</w:t>
      </w:r>
      <w:r w:rsidR="00FB0AF8">
        <w:rPr>
          <w:rFonts w:ascii="Calibri" w:hAnsi="Calibri" w:cs="Calibri"/>
          <w:sz w:val="22"/>
          <w:szCs w:val="22"/>
        </w:rPr>
        <w:t>,</w:t>
      </w:r>
      <w:r w:rsidRPr="00D6779C">
        <w:rPr>
          <w:rFonts w:ascii="Calibri" w:hAnsi="Calibri" w:cs="Calibri"/>
          <w:sz w:val="22"/>
          <w:szCs w:val="22"/>
        </w:rPr>
        <w:t xml:space="preserve"> and the challenges </w:t>
      </w:r>
      <w:r w:rsidR="00FB0AF8">
        <w:rPr>
          <w:rFonts w:ascii="Calibri" w:hAnsi="Calibri" w:cs="Calibri"/>
          <w:sz w:val="22"/>
          <w:szCs w:val="22"/>
        </w:rPr>
        <w:t>the SRCC</w:t>
      </w:r>
      <w:r w:rsidR="00FB0AF8" w:rsidRPr="00D6779C">
        <w:rPr>
          <w:rFonts w:ascii="Calibri" w:hAnsi="Calibri" w:cs="Calibri"/>
          <w:sz w:val="22"/>
          <w:szCs w:val="22"/>
        </w:rPr>
        <w:t xml:space="preserve"> </w:t>
      </w:r>
      <w:r w:rsidRPr="00D6779C">
        <w:rPr>
          <w:rFonts w:ascii="Calibri" w:hAnsi="Calibri" w:cs="Calibri"/>
          <w:sz w:val="22"/>
          <w:szCs w:val="22"/>
        </w:rPr>
        <w:t>faces in providing regulatory oversight of Comcare in particular. This is important as both the SRCC and Comcare share the scheme regulatory role and the SRCC relies on Comcare to carry out its regulatory functions. Th</w:t>
      </w:r>
      <w:r>
        <w:rPr>
          <w:rFonts w:ascii="Calibri" w:hAnsi="Calibri" w:cs="Calibri"/>
          <w:sz w:val="22"/>
          <w:szCs w:val="22"/>
        </w:rPr>
        <w:t>is</w:t>
      </w:r>
      <w:r w:rsidRPr="00D6779C">
        <w:rPr>
          <w:rFonts w:ascii="Calibri" w:hAnsi="Calibri" w:cs="Calibri"/>
          <w:sz w:val="22"/>
          <w:szCs w:val="22"/>
        </w:rPr>
        <w:t xml:space="preserve"> Chapter also reviews the regulatory framework for licensees and compares it to </w:t>
      </w:r>
      <w:r w:rsidR="00FB0AF8">
        <w:rPr>
          <w:rFonts w:ascii="Calibri" w:hAnsi="Calibri" w:cs="Calibri"/>
          <w:sz w:val="22"/>
          <w:szCs w:val="22"/>
        </w:rPr>
        <w:t>the framework</w:t>
      </w:r>
      <w:r w:rsidR="00FB0AF8" w:rsidRPr="00D6779C">
        <w:rPr>
          <w:rFonts w:ascii="Calibri" w:hAnsi="Calibri" w:cs="Calibri"/>
          <w:sz w:val="22"/>
          <w:szCs w:val="22"/>
        </w:rPr>
        <w:t xml:space="preserve"> </w:t>
      </w:r>
      <w:r w:rsidRPr="00D6779C">
        <w:rPr>
          <w:rFonts w:ascii="Calibri" w:hAnsi="Calibri" w:cs="Calibri"/>
          <w:sz w:val="22"/>
          <w:szCs w:val="22"/>
        </w:rPr>
        <w:t>for Comcare as a determining authority for the premium paying scheme.</w:t>
      </w:r>
      <w:r>
        <w:rPr>
          <w:rFonts w:ascii="Calibri" w:hAnsi="Calibri" w:cs="Calibri"/>
          <w:sz w:val="22"/>
          <w:szCs w:val="22"/>
        </w:rPr>
        <w:t xml:space="preserve"> </w:t>
      </w:r>
      <w:r w:rsidR="00BF6539">
        <w:rPr>
          <w:rFonts w:ascii="Calibri" w:hAnsi="Calibri" w:cs="Calibri"/>
          <w:sz w:val="22"/>
          <w:szCs w:val="22"/>
        </w:rPr>
        <w:t>T</w:t>
      </w:r>
      <w:r w:rsidRPr="00D6779C">
        <w:rPr>
          <w:rFonts w:ascii="Calibri" w:hAnsi="Calibri" w:cs="Calibri"/>
          <w:sz w:val="22"/>
          <w:szCs w:val="22"/>
        </w:rPr>
        <w:t xml:space="preserve">he performance of the Comcare scheme </w:t>
      </w:r>
      <w:r w:rsidR="00BF6539">
        <w:rPr>
          <w:rFonts w:ascii="Calibri" w:hAnsi="Calibri" w:cs="Calibri"/>
          <w:sz w:val="22"/>
          <w:szCs w:val="22"/>
        </w:rPr>
        <w:t xml:space="preserve">is examined </w:t>
      </w:r>
      <w:r w:rsidR="00F62990" w:rsidRPr="00D6779C">
        <w:rPr>
          <w:rFonts w:ascii="Calibri" w:hAnsi="Calibri" w:cs="Calibri"/>
          <w:sz w:val="22"/>
          <w:szCs w:val="22"/>
        </w:rPr>
        <w:t>and the</w:t>
      </w:r>
      <w:r w:rsidRPr="00D6779C">
        <w:rPr>
          <w:rFonts w:ascii="Calibri" w:hAnsi="Calibri" w:cs="Calibri"/>
          <w:sz w:val="22"/>
          <w:szCs w:val="22"/>
        </w:rPr>
        <w:t xml:space="preserve"> performance outcomes of the premium paying scheme</w:t>
      </w:r>
      <w:r w:rsidR="00BF6539">
        <w:rPr>
          <w:rFonts w:ascii="Calibri" w:hAnsi="Calibri" w:cs="Calibri"/>
          <w:sz w:val="22"/>
          <w:szCs w:val="22"/>
        </w:rPr>
        <w:t xml:space="preserve"> are co</w:t>
      </w:r>
      <w:r w:rsidR="004F510A">
        <w:rPr>
          <w:rFonts w:ascii="Calibri" w:hAnsi="Calibri" w:cs="Calibri"/>
          <w:sz w:val="22"/>
          <w:szCs w:val="22"/>
        </w:rPr>
        <w:t>m</w:t>
      </w:r>
      <w:r w:rsidR="00BF6539">
        <w:rPr>
          <w:rFonts w:ascii="Calibri" w:hAnsi="Calibri" w:cs="Calibri"/>
          <w:sz w:val="22"/>
          <w:szCs w:val="22"/>
        </w:rPr>
        <w:t>pared</w:t>
      </w:r>
      <w:r w:rsidRPr="00D6779C">
        <w:rPr>
          <w:rFonts w:ascii="Calibri" w:hAnsi="Calibri" w:cs="Calibri"/>
          <w:sz w:val="22"/>
          <w:szCs w:val="22"/>
        </w:rPr>
        <w:t xml:space="preserve"> to that of the licensees.</w:t>
      </w:r>
      <w:r w:rsidR="004F510A">
        <w:rPr>
          <w:rFonts w:ascii="Calibri" w:hAnsi="Calibri" w:cs="Calibri"/>
          <w:sz w:val="22"/>
          <w:szCs w:val="22"/>
        </w:rPr>
        <w:t xml:space="preserve"> </w:t>
      </w:r>
      <w:r w:rsidR="00BF6539">
        <w:rPr>
          <w:rFonts w:ascii="Calibri" w:hAnsi="Calibri" w:cs="Calibri"/>
          <w:sz w:val="22"/>
          <w:szCs w:val="22"/>
        </w:rPr>
        <w:t>T</w:t>
      </w:r>
      <w:r w:rsidRPr="00D6779C">
        <w:rPr>
          <w:rFonts w:ascii="Calibri" w:hAnsi="Calibri" w:cs="Calibri"/>
          <w:sz w:val="22"/>
          <w:szCs w:val="22"/>
        </w:rPr>
        <w:t>he effectiveness of Comcare’s recovery and support services</w:t>
      </w:r>
      <w:r w:rsidR="00BF6539">
        <w:rPr>
          <w:rFonts w:ascii="Calibri" w:hAnsi="Calibri" w:cs="Calibri"/>
          <w:sz w:val="22"/>
          <w:szCs w:val="22"/>
        </w:rPr>
        <w:t xml:space="preserve"> are also reviewed</w:t>
      </w:r>
      <w:r w:rsidRPr="00D6779C">
        <w:rPr>
          <w:rFonts w:ascii="Calibri" w:hAnsi="Calibri" w:cs="Calibri"/>
          <w:sz w:val="22"/>
          <w:szCs w:val="22"/>
        </w:rPr>
        <w:t>.</w:t>
      </w:r>
    </w:p>
    <w:p w:rsidR="00173FC9" w:rsidRPr="0035512E" w:rsidRDefault="00111216" w:rsidP="003678BA">
      <w:pPr>
        <w:spacing w:before="120" w:after="120"/>
        <w:outlineLvl w:val="0"/>
        <w:rPr>
          <w:rFonts w:ascii="Calibri" w:eastAsiaTheme="minorHAnsi" w:hAnsi="Calibri" w:cs="Calibri"/>
          <w:sz w:val="22"/>
          <w:lang w:eastAsia="en-US"/>
        </w:rPr>
      </w:pPr>
      <w:bookmarkStart w:id="249" w:name="_Toc341777925"/>
      <w:bookmarkStart w:id="250" w:name="_Toc341780685"/>
      <w:bookmarkStart w:id="251" w:name="_Toc342578293"/>
      <w:r w:rsidRPr="00D6779C">
        <w:rPr>
          <w:rFonts w:ascii="Calibri" w:hAnsi="Calibri" w:cs="Calibri"/>
          <w:sz w:val="22"/>
          <w:szCs w:val="22"/>
        </w:rPr>
        <w:t xml:space="preserve">As a </w:t>
      </w:r>
      <w:r>
        <w:rPr>
          <w:rFonts w:ascii="Calibri" w:hAnsi="Calibri" w:cs="Calibri"/>
          <w:i/>
          <w:sz w:val="22"/>
          <w:szCs w:val="22"/>
        </w:rPr>
        <w:t xml:space="preserve">Commonwealth Authorities and Companies Act 1997 </w:t>
      </w:r>
      <w:r>
        <w:rPr>
          <w:rFonts w:ascii="Calibri" w:hAnsi="Calibri" w:cs="Calibri"/>
          <w:sz w:val="22"/>
          <w:szCs w:val="22"/>
        </w:rPr>
        <w:t>(</w:t>
      </w:r>
      <w:r w:rsidRPr="00D6779C">
        <w:rPr>
          <w:rFonts w:ascii="Calibri" w:hAnsi="Calibri" w:cs="Calibri"/>
          <w:sz w:val="22"/>
          <w:szCs w:val="22"/>
        </w:rPr>
        <w:t>CAC Act</w:t>
      </w:r>
      <w:r>
        <w:rPr>
          <w:rFonts w:ascii="Calibri" w:hAnsi="Calibri" w:cs="Calibri"/>
          <w:sz w:val="22"/>
          <w:szCs w:val="22"/>
        </w:rPr>
        <w:t>)</w:t>
      </w:r>
      <w:r w:rsidRPr="00D6779C">
        <w:rPr>
          <w:rFonts w:ascii="Calibri" w:hAnsi="Calibri" w:cs="Calibri"/>
          <w:sz w:val="22"/>
          <w:szCs w:val="22"/>
        </w:rPr>
        <w:t xml:space="preserve"> body, Comcare is unique as its functions centre on both service delivery and regulation, compared with the </w:t>
      </w:r>
      <w:r w:rsidR="00A410CC" w:rsidRPr="00D6779C">
        <w:rPr>
          <w:rFonts w:ascii="Calibri" w:hAnsi="Calibri" w:cs="Calibri"/>
          <w:sz w:val="22"/>
          <w:szCs w:val="22"/>
        </w:rPr>
        <w:t xml:space="preserve">entrepreneurial </w:t>
      </w:r>
      <w:r w:rsidR="00A410CC">
        <w:rPr>
          <w:rFonts w:ascii="Calibri" w:hAnsi="Calibri" w:cs="Calibri"/>
          <w:sz w:val="22"/>
          <w:szCs w:val="22"/>
        </w:rPr>
        <w:t xml:space="preserve">or </w:t>
      </w:r>
      <w:r w:rsidRPr="00D6779C">
        <w:rPr>
          <w:rFonts w:ascii="Calibri" w:hAnsi="Calibri" w:cs="Calibri"/>
          <w:sz w:val="22"/>
          <w:szCs w:val="22"/>
        </w:rPr>
        <w:t xml:space="preserve">commercial activity typical of such bodies.  </w:t>
      </w:r>
      <w:r w:rsidR="00173FC9">
        <w:rPr>
          <w:rFonts w:ascii="Calibri" w:hAnsi="Calibri" w:cs="Calibri"/>
          <w:sz w:val="22"/>
          <w:szCs w:val="22"/>
        </w:rPr>
        <w:t xml:space="preserve">Chapter Three </w:t>
      </w:r>
      <w:r w:rsidR="00173FC9" w:rsidRPr="0035512E">
        <w:rPr>
          <w:rFonts w:ascii="Calibri" w:eastAsiaTheme="minorHAnsi" w:hAnsi="Calibri" w:cs="Calibri"/>
          <w:sz w:val="22"/>
          <w:lang w:eastAsia="en-US"/>
        </w:rPr>
        <w:t xml:space="preserve">reviews Comcare’s governance structure and current status as a CAC Act body.  </w:t>
      </w:r>
      <w:r w:rsidR="00A410CC">
        <w:rPr>
          <w:rFonts w:ascii="Calibri" w:eastAsiaTheme="minorHAnsi" w:hAnsi="Calibri" w:cs="Calibri"/>
          <w:sz w:val="22"/>
          <w:lang w:eastAsia="en-US"/>
        </w:rPr>
        <w:t>T</w:t>
      </w:r>
      <w:r w:rsidR="00173FC9" w:rsidRPr="0035512E">
        <w:rPr>
          <w:rFonts w:ascii="Calibri" w:eastAsiaTheme="minorHAnsi" w:hAnsi="Calibri" w:cs="Calibri"/>
          <w:sz w:val="22"/>
          <w:lang w:eastAsia="en-US"/>
        </w:rPr>
        <w:t>he respective attributes of CAC Act and</w:t>
      </w:r>
      <w:r w:rsidR="00267983" w:rsidRPr="00267983">
        <w:rPr>
          <w:rFonts w:ascii="Calibri" w:eastAsiaTheme="majorEastAsia" w:hAnsi="Calibri" w:cs="Calibri"/>
          <w:bCs/>
          <w:i/>
          <w:iCs/>
          <w:caps/>
          <w:sz w:val="22"/>
          <w:szCs w:val="22"/>
        </w:rPr>
        <w:t xml:space="preserve"> </w:t>
      </w:r>
      <w:r w:rsidR="00267983" w:rsidRPr="00267983">
        <w:rPr>
          <w:rFonts w:ascii="Calibri" w:eastAsiaTheme="minorHAnsi" w:hAnsi="Calibri" w:cs="Calibri"/>
          <w:bCs/>
          <w:i/>
          <w:iCs/>
          <w:sz w:val="22"/>
          <w:lang w:eastAsia="en-US"/>
        </w:rPr>
        <w:t>Financial Management and Accountability Act 1997</w:t>
      </w:r>
      <w:r w:rsidR="00267983">
        <w:rPr>
          <w:rFonts w:ascii="Calibri" w:eastAsiaTheme="minorHAnsi" w:hAnsi="Calibri" w:cs="Calibri"/>
          <w:sz w:val="22"/>
          <w:lang w:eastAsia="en-US"/>
        </w:rPr>
        <w:t xml:space="preserve"> (</w:t>
      </w:r>
      <w:r w:rsidR="00173FC9" w:rsidRPr="0035512E">
        <w:rPr>
          <w:rFonts w:ascii="Calibri" w:eastAsiaTheme="minorHAnsi" w:hAnsi="Calibri" w:cs="Calibri"/>
          <w:sz w:val="22"/>
          <w:lang w:eastAsia="en-US"/>
        </w:rPr>
        <w:t>FMA Act</w:t>
      </w:r>
      <w:r w:rsidR="00267983">
        <w:rPr>
          <w:rFonts w:ascii="Calibri" w:eastAsiaTheme="minorHAnsi" w:hAnsi="Calibri" w:cs="Calibri"/>
          <w:sz w:val="22"/>
          <w:lang w:eastAsia="en-US"/>
        </w:rPr>
        <w:t>)</w:t>
      </w:r>
      <w:r w:rsidR="00173FC9" w:rsidRPr="0035512E">
        <w:rPr>
          <w:rFonts w:ascii="Calibri" w:eastAsiaTheme="minorHAnsi" w:hAnsi="Calibri" w:cs="Calibri"/>
          <w:sz w:val="22"/>
          <w:lang w:eastAsia="en-US"/>
        </w:rPr>
        <w:t xml:space="preserve"> bodies </w:t>
      </w:r>
      <w:r w:rsidR="00A410CC">
        <w:rPr>
          <w:rFonts w:ascii="Calibri" w:eastAsiaTheme="minorHAnsi" w:hAnsi="Calibri" w:cs="Calibri"/>
          <w:sz w:val="22"/>
          <w:lang w:eastAsia="en-US"/>
        </w:rPr>
        <w:t xml:space="preserve">are analysed </w:t>
      </w:r>
      <w:r w:rsidR="00173FC9" w:rsidRPr="0035512E">
        <w:rPr>
          <w:rFonts w:ascii="Calibri" w:eastAsiaTheme="minorHAnsi" w:hAnsi="Calibri" w:cs="Calibri"/>
          <w:sz w:val="22"/>
          <w:lang w:eastAsia="en-US"/>
        </w:rPr>
        <w:t>and opportunities for improving Comcare’s governance structure are identified.</w:t>
      </w:r>
      <w:bookmarkEnd w:id="249"/>
      <w:bookmarkEnd w:id="250"/>
      <w:bookmarkEnd w:id="251"/>
    </w:p>
    <w:p w:rsidR="00111216" w:rsidRDefault="00111216" w:rsidP="00111216">
      <w:pPr>
        <w:pStyle w:val="HawkeReviewbody"/>
        <w:spacing w:before="0" w:beforeAutospacing="0" w:after="120" w:line="240" w:lineRule="auto"/>
        <w:rPr>
          <w:rFonts w:ascii="Calibri" w:hAnsi="Calibri" w:cs="Calibri"/>
          <w:sz w:val="22"/>
          <w:szCs w:val="22"/>
        </w:rPr>
      </w:pPr>
      <w:r>
        <w:rPr>
          <w:rFonts w:ascii="Calibri" w:hAnsi="Calibri" w:cs="Calibri"/>
          <w:sz w:val="22"/>
          <w:szCs w:val="22"/>
        </w:rPr>
        <w:t xml:space="preserve">Chapter Four discusses Comcare’s financial arrangements. </w:t>
      </w:r>
      <w:r w:rsidRPr="00D6779C">
        <w:rPr>
          <w:rFonts w:ascii="Calibri" w:hAnsi="Calibri" w:cs="Calibri"/>
          <w:sz w:val="22"/>
          <w:szCs w:val="22"/>
        </w:rPr>
        <w:t>Comcare recently reported a considerable operating loss, which led to significant increase</w:t>
      </w:r>
      <w:r w:rsidR="00A410CC">
        <w:rPr>
          <w:rFonts w:ascii="Calibri" w:hAnsi="Calibri" w:cs="Calibri"/>
          <w:sz w:val="22"/>
          <w:szCs w:val="22"/>
        </w:rPr>
        <w:t>s</w:t>
      </w:r>
      <w:r w:rsidRPr="00D6779C">
        <w:rPr>
          <w:rFonts w:ascii="Calibri" w:hAnsi="Calibri" w:cs="Calibri"/>
          <w:sz w:val="22"/>
          <w:szCs w:val="22"/>
        </w:rPr>
        <w:t xml:space="preserve"> in the premiums payable by </w:t>
      </w:r>
      <w:r>
        <w:rPr>
          <w:rFonts w:ascii="Calibri" w:hAnsi="Calibri" w:cs="Calibri"/>
          <w:sz w:val="22"/>
          <w:szCs w:val="22"/>
        </w:rPr>
        <w:t>Australian</w:t>
      </w:r>
      <w:r w:rsidRPr="00D6779C">
        <w:rPr>
          <w:rFonts w:ascii="Calibri" w:hAnsi="Calibri" w:cs="Calibri"/>
          <w:sz w:val="22"/>
          <w:szCs w:val="22"/>
        </w:rPr>
        <w:t xml:space="preserve"> Government agencies and the </w:t>
      </w:r>
      <w:r>
        <w:rPr>
          <w:rFonts w:ascii="Calibri" w:hAnsi="Calibri" w:cs="Calibri"/>
          <w:sz w:val="22"/>
          <w:szCs w:val="22"/>
        </w:rPr>
        <w:t>Australian Capital Territory (</w:t>
      </w:r>
      <w:r w:rsidRPr="00D6779C">
        <w:rPr>
          <w:rFonts w:ascii="Calibri" w:hAnsi="Calibri" w:cs="Calibri"/>
          <w:sz w:val="22"/>
          <w:szCs w:val="22"/>
        </w:rPr>
        <w:t>ACT</w:t>
      </w:r>
      <w:r>
        <w:rPr>
          <w:rFonts w:ascii="Calibri" w:hAnsi="Calibri" w:cs="Calibri"/>
          <w:sz w:val="22"/>
          <w:szCs w:val="22"/>
        </w:rPr>
        <w:t>)</w:t>
      </w:r>
      <w:r w:rsidRPr="00D6779C">
        <w:rPr>
          <w:rFonts w:ascii="Calibri" w:hAnsi="Calibri" w:cs="Calibri"/>
          <w:sz w:val="22"/>
          <w:szCs w:val="22"/>
        </w:rPr>
        <w:t xml:space="preserve"> Government (the premium payers).  This increase is</w:t>
      </w:r>
      <w:r w:rsidR="00A410CC">
        <w:rPr>
          <w:rFonts w:ascii="Calibri" w:hAnsi="Calibri" w:cs="Calibri"/>
          <w:sz w:val="22"/>
          <w:szCs w:val="22"/>
        </w:rPr>
        <w:t xml:space="preserve"> intended to put</w:t>
      </w:r>
      <w:r w:rsidRPr="00D6779C">
        <w:rPr>
          <w:rFonts w:ascii="Calibri" w:hAnsi="Calibri" w:cs="Calibri"/>
          <w:sz w:val="22"/>
          <w:szCs w:val="22"/>
        </w:rPr>
        <w:t xml:space="preserve"> Comcare in a better financial position to meet outstanding claims liabilities in coming years. In light of this, Chapter </w:t>
      </w:r>
      <w:r>
        <w:rPr>
          <w:rFonts w:ascii="Calibri" w:hAnsi="Calibri" w:cs="Calibri"/>
          <w:sz w:val="22"/>
          <w:szCs w:val="22"/>
        </w:rPr>
        <w:t>Four</w:t>
      </w:r>
      <w:r w:rsidRPr="00D6779C">
        <w:rPr>
          <w:rFonts w:ascii="Calibri" w:hAnsi="Calibri" w:cs="Calibri"/>
          <w:sz w:val="22"/>
          <w:szCs w:val="22"/>
        </w:rPr>
        <w:t xml:space="preserve"> addresses Comcare’s premium framework</w:t>
      </w:r>
      <w:r w:rsidR="00A410CC">
        <w:rPr>
          <w:rFonts w:ascii="Calibri" w:hAnsi="Calibri" w:cs="Calibri"/>
          <w:sz w:val="22"/>
          <w:szCs w:val="22"/>
        </w:rPr>
        <w:t>,</w:t>
      </w:r>
      <w:r w:rsidRPr="00D6779C">
        <w:rPr>
          <w:rFonts w:ascii="Calibri" w:hAnsi="Calibri" w:cs="Calibri"/>
          <w:sz w:val="22"/>
          <w:szCs w:val="22"/>
        </w:rPr>
        <w:t xml:space="preserve"> including how premiums are determined and distributed across premium payers and when they are notified and required to pay.  At present, premium payers report conflicts between the timing of the development and finalisation of Comcare’s premiums and finalisation of their financial year budgets, </w:t>
      </w:r>
      <w:r w:rsidRPr="00D6779C">
        <w:rPr>
          <w:rFonts w:ascii="Calibri" w:hAnsi="Calibri" w:cs="Calibri"/>
          <w:sz w:val="22"/>
          <w:szCs w:val="22"/>
        </w:rPr>
        <w:lastRenderedPageBreak/>
        <w:t>which presents a budgeting challenge for them.  Similar issues are reportedly experienced by self-insured licensees in relation to the licensing fees paid to Comcare.</w:t>
      </w:r>
    </w:p>
    <w:p w:rsidR="00111216" w:rsidRDefault="00111216" w:rsidP="00111216">
      <w:pPr>
        <w:pStyle w:val="HawkeReviewbody"/>
        <w:spacing w:before="0" w:beforeAutospacing="0" w:after="120" w:line="240" w:lineRule="auto"/>
        <w:rPr>
          <w:rFonts w:ascii="Calibri" w:hAnsi="Calibri" w:cs="Calibri"/>
          <w:sz w:val="22"/>
          <w:szCs w:val="22"/>
        </w:rPr>
      </w:pPr>
      <w:r w:rsidRPr="00D6779C">
        <w:rPr>
          <w:rFonts w:ascii="Calibri" w:hAnsi="Calibri" w:cs="Calibri"/>
          <w:sz w:val="22"/>
          <w:szCs w:val="22"/>
        </w:rPr>
        <w:t xml:space="preserve">Finally, Chapter </w:t>
      </w:r>
      <w:r>
        <w:rPr>
          <w:rFonts w:ascii="Calibri" w:hAnsi="Calibri" w:cs="Calibri"/>
          <w:sz w:val="22"/>
          <w:szCs w:val="22"/>
        </w:rPr>
        <w:t>Four</w:t>
      </w:r>
      <w:r w:rsidRPr="00D6779C">
        <w:rPr>
          <w:rFonts w:ascii="Calibri" w:hAnsi="Calibri" w:cs="Calibri"/>
          <w:sz w:val="22"/>
          <w:szCs w:val="22"/>
        </w:rPr>
        <w:t xml:space="preserve"> explores </w:t>
      </w:r>
      <w:r w:rsidR="00A410CC">
        <w:rPr>
          <w:rFonts w:ascii="Calibri" w:hAnsi="Calibri" w:cs="Calibri"/>
          <w:sz w:val="22"/>
          <w:szCs w:val="22"/>
        </w:rPr>
        <w:t>Comcare’s</w:t>
      </w:r>
      <w:r w:rsidR="00A410CC" w:rsidRPr="00D6779C">
        <w:rPr>
          <w:rFonts w:ascii="Calibri" w:hAnsi="Calibri" w:cs="Calibri"/>
          <w:sz w:val="22"/>
          <w:szCs w:val="22"/>
        </w:rPr>
        <w:t xml:space="preserve"> </w:t>
      </w:r>
      <w:r w:rsidRPr="00D6779C">
        <w:rPr>
          <w:rFonts w:ascii="Calibri" w:hAnsi="Calibri" w:cs="Calibri"/>
          <w:sz w:val="22"/>
          <w:szCs w:val="22"/>
        </w:rPr>
        <w:t xml:space="preserve">prudential management arrangements for the premium-funded scheme. Unlike insurance companies operating in the private insurance sector who are subject to the requirements of the Australian Prudential Regulation Authority (ARPA), Comcare is not subject to the supervision of a specific regulatory body </w:t>
      </w:r>
      <w:r w:rsidR="00A410CC">
        <w:rPr>
          <w:rFonts w:ascii="Calibri" w:hAnsi="Calibri" w:cs="Calibri"/>
          <w:sz w:val="22"/>
          <w:szCs w:val="22"/>
        </w:rPr>
        <w:t xml:space="preserve">in this area </w:t>
      </w:r>
      <w:r w:rsidRPr="00D6779C">
        <w:rPr>
          <w:rFonts w:ascii="Calibri" w:hAnsi="Calibri" w:cs="Calibri"/>
          <w:sz w:val="22"/>
          <w:szCs w:val="22"/>
        </w:rPr>
        <w:t xml:space="preserve">and so </w:t>
      </w:r>
      <w:r w:rsidR="00A410CC">
        <w:rPr>
          <w:rFonts w:ascii="Calibri" w:hAnsi="Calibri" w:cs="Calibri"/>
          <w:sz w:val="22"/>
          <w:szCs w:val="22"/>
        </w:rPr>
        <w:t xml:space="preserve">it </w:t>
      </w:r>
      <w:r w:rsidRPr="00D6779C">
        <w:rPr>
          <w:rFonts w:ascii="Calibri" w:hAnsi="Calibri" w:cs="Calibri"/>
          <w:sz w:val="22"/>
          <w:szCs w:val="22"/>
        </w:rPr>
        <w:t>needs to establish its own prudential framework.</w:t>
      </w:r>
    </w:p>
    <w:p w:rsidR="00111216" w:rsidRPr="0007577B" w:rsidRDefault="00111216" w:rsidP="0007577B">
      <w:pPr>
        <w:pStyle w:val="HawkeReviewChapterHeading"/>
        <w:spacing w:after="240"/>
        <w:rPr>
          <w:rStyle w:val="Emphasis"/>
          <w:rFonts w:ascii="Cambria" w:eastAsiaTheme="majorEastAsia" w:hAnsi="Cambria"/>
          <w:i w:val="0"/>
        </w:rPr>
      </w:pPr>
      <w:bookmarkStart w:id="252" w:name="_Toc341777926"/>
      <w:bookmarkStart w:id="253" w:name="_Toc342578294"/>
      <w:r w:rsidRPr="005D4DF3">
        <w:rPr>
          <w:rStyle w:val="Emphasis"/>
          <w:rFonts w:ascii="Cambria" w:eastAsiaTheme="majorEastAsia" w:hAnsi="Cambria"/>
          <w:i w:val="0"/>
        </w:rPr>
        <w:lastRenderedPageBreak/>
        <w:t>Recommendations</w:t>
      </w:r>
      <w:bookmarkEnd w:id="252"/>
      <w:bookmarkEnd w:id="253"/>
    </w:p>
    <w:p w:rsidR="00A0719D" w:rsidRPr="00A0719D" w:rsidRDefault="00A0719D" w:rsidP="00A0719D">
      <w:pPr>
        <w:spacing w:after="200" w:line="276" w:lineRule="auto"/>
        <w:rPr>
          <w:rFonts w:ascii="Calibri" w:eastAsia="Calibri" w:hAnsi="Calibri"/>
          <w:b/>
          <w:sz w:val="22"/>
          <w:szCs w:val="22"/>
          <w:lang w:eastAsia="en-US"/>
        </w:rPr>
      </w:pPr>
      <w:r w:rsidRPr="00A0719D">
        <w:rPr>
          <w:rFonts w:ascii="Calibri" w:eastAsia="Calibri" w:hAnsi="Calibri"/>
          <w:b/>
          <w:sz w:val="22"/>
          <w:szCs w:val="22"/>
          <w:lang w:eastAsia="en-US"/>
        </w:rPr>
        <w:t>Recommendation 1</w:t>
      </w:r>
    </w:p>
    <w:p w:rsidR="00A0719D" w:rsidRPr="00A0719D" w:rsidRDefault="00A0719D" w:rsidP="00A0719D">
      <w:pPr>
        <w:spacing w:after="200" w:line="276" w:lineRule="auto"/>
        <w:rPr>
          <w:rFonts w:ascii="Calibri" w:eastAsia="Calibri" w:hAnsi="Calibri"/>
          <w:sz w:val="22"/>
          <w:szCs w:val="22"/>
          <w:lang w:eastAsia="en-US"/>
        </w:rPr>
      </w:pPr>
      <w:r w:rsidRPr="00A0719D">
        <w:rPr>
          <w:rFonts w:ascii="Calibri" w:eastAsia="Calibri" w:hAnsi="Calibri"/>
          <w:sz w:val="22"/>
          <w:szCs w:val="22"/>
          <w:lang w:eastAsia="en-US"/>
        </w:rPr>
        <w:t xml:space="preserve">That the Minister for Employment and Workplace Relations confer with the Minister for Veterans’ Affairs to appoint the CEO of Comcare as an ex-officio member of the </w:t>
      </w:r>
      <w:r w:rsidR="009C3262">
        <w:rPr>
          <w:rFonts w:ascii="Calibri" w:eastAsia="Calibri" w:hAnsi="Calibri"/>
          <w:sz w:val="22"/>
          <w:szCs w:val="22"/>
          <w:lang w:eastAsia="en-US"/>
        </w:rPr>
        <w:t>Military Rehabilitation and Compensation Commission (</w:t>
      </w:r>
      <w:r w:rsidRPr="00A0719D">
        <w:rPr>
          <w:rFonts w:ascii="Calibri" w:eastAsia="Calibri" w:hAnsi="Calibri"/>
          <w:sz w:val="22"/>
          <w:szCs w:val="22"/>
          <w:lang w:eastAsia="en-US"/>
        </w:rPr>
        <w:t>MRCC</w:t>
      </w:r>
      <w:r w:rsidR="009C3262">
        <w:rPr>
          <w:rFonts w:ascii="Calibri" w:eastAsia="Calibri" w:hAnsi="Calibri"/>
          <w:sz w:val="22"/>
          <w:szCs w:val="22"/>
          <w:lang w:eastAsia="en-US"/>
        </w:rPr>
        <w:t>)</w:t>
      </w:r>
      <w:r w:rsidRPr="00A0719D">
        <w:rPr>
          <w:rFonts w:ascii="Calibri" w:eastAsia="Calibri" w:hAnsi="Calibri"/>
          <w:sz w:val="22"/>
          <w:szCs w:val="22"/>
          <w:lang w:eastAsia="en-US"/>
        </w:rPr>
        <w:t xml:space="preserve"> or a non-ADF member of the Department of Defence, with responsibilities to liaise with Comcare.</w:t>
      </w:r>
    </w:p>
    <w:p w:rsidR="00A0719D" w:rsidRPr="00A0719D" w:rsidRDefault="00A0719D" w:rsidP="00A0719D">
      <w:pPr>
        <w:spacing w:after="200" w:line="276" w:lineRule="auto"/>
        <w:rPr>
          <w:rFonts w:ascii="Calibri" w:eastAsia="Calibri" w:hAnsi="Calibri"/>
          <w:b/>
          <w:bCs/>
          <w:sz w:val="22"/>
          <w:szCs w:val="22"/>
          <w:lang w:eastAsia="en-US"/>
        </w:rPr>
      </w:pPr>
      <w:r w:rsidRPr="00A0719D">
        <w:rPr>
          <w:rFonts w:ascii="Calibri" w:eastAsia="Calibri" w:hAnsi="Calibri"/>
          <w:b/>
          <w:sz w:val="22"/>
          <w:szCs w:val="22"/>
          <w:lang w:eastAsia="en-US"/>
        </w:rPr>
        <w:t>Recommendation 2</w:t>
      </w:r>
    </w:p>
    <w:p w:rsidR="00A0719D" w:rsidRPr="00A0719D" w:rsidRDefault="009C3262" w:rsidP="00A0719D">
      <w:pPr>
        <w:spacing w:after="200" w:line="276" w:lineRule="auto"/>
        <w:rPr>
          <w:rFonts w:ascii="Calibri" w:eastAsia="Calibri" w:hAnsi="Calibri"/>
          <w:sz w:val="22"/>
          <w:szCs w:val="22"/>
          <w:lang w:eastAsia="en-US"/>
        </w:rPr>
      </w:pPr>
      <w:r>
        <w:rPr>
          <w:rFonts w:ascii="Calibri" w:eastAsia="Calibri" w:hAnsi="Calibri"/>
          <w:bCs/>
          <w:sz w:val="22"/>
          <w:szCs w:val="22"/>
          <w:lang w:eastAsia="en-US"/>
        </w:rPr>
        <w:t>The Department of Employment and Workplace Relations (</w:t>
      </w:r>
      <w:r w:rsidR="00A0719D" w:rsidRPr="00A0719D">
        <w:rPr>
          <w:rFonts w:ascii="Calibri" w:eastAsia="Calibri" w:hAnsi="Calibri"/>
          <w:bCs/>
          <w:sz w:val="22"/>
          <w:szCs w:val="22"/>
          <w:lang w:eastAsia="en-US"/>
        </w:rPr>
        <w:t>DEEWR</w:t>
      </w:r>
      <w:r>
        <w:rPr>
          <w:rFonts w:ascii="Calibri" w:eastAsia="Calibri" w:hAnsi="Calibri"/>
          <w:bCs/>
          <w:sz w:val="22"/>
          <w:szCs w:val="22"/>
          <w:lang w:eastAsia="en-US"/>
        </w:rPr>
        <w:t>)</w:t>
      </w:r>
      <w:r w:rsidR="00A0719D" w:rsidRPr="00A0719D">
        <w:rPr>
          <w:rFonts w:ascii="Calibri" w:eastAsia="Calibri" w:hAnsi="Calibri"/>
          <w:bCs/>
          <w:sz w:val="22"/>
          <w:szCs w:val="22"/>
          <w:lang w:eastAsia="en-US"/>
        </w:rPr>
        <w:t xml:space="preserve"> </w:t>
      </w:r>
      <w:r w:rsidR="00A0719D" w:rsidRPr="00A0719D">
        <w:rPr>
          <w:rFonts w:ascii="Calibri" w:eastAsia="Calibri" w:hAnsi="Calibri"/>
          <w:sz w:val="22"/>
          <w:szCs w:val="22"/>
          <w:lang w:eastAsia="en-US"/>
        </w:rPr>
        <w:t xml:space="preserve">should provide administrative support to the </w:t>
      </w:r>
      <w:r w:rsidR="002A0336">
        <w:rPr>
          <w:rFonts w:ascii="Calibri" w:eastAsia="Calibri" w:hAnsi="Calibri"/>
          <w:sz w:val="22"/>
          <w:szCs w:val="22"/>
          <w:lang w:eastAsia="en-US"/>
        </w:rPr>
        <w:t>Safety Rehabilitation and Compensation Commission (</w:t>
      </w:r>
      <w:r w:rsidR="00A0719D" w:rsidRPr="00A0719D">
        <w:rPr>
          <w:rFonts w:ascii="Calibri" w:eastAsia="Calibri" w:hAnsi="Calibri"/>
          <w:sz w:val="22"/>
          <w:szCs w:val="22"/>
          <w:lang w:eastAsia="en-US"/>
        </w:rPr>
        <w:t>SRCC</w:t>
      </w:r>
      <w:r w:rsidR="002A0336">
        <w:rPr>
          <w:rFonts w:ascii="Calibri" w:eastAsia="Calibri" w:hAnsi="Calibri"/>
          <w:sz w:val="22"/>
          <w:szCs w:val="22"/>
          <w:lang w:eastAsia="en-US"/>
        </w:rPr>
        <w:t>)</w:t>
      </w:r>
      <w:r w:rsidR="00A0719D" w:rsidRPr="00A0719D">
        <w:rPr>
          <w:rFonts w:ascii="Calibri" w:eastAsia="Calibri" w:hAnsi="Calibri"/>
          <w:sz w:val="22"/>
          <w:szCs w:val="22"/>
          <w:lang w:eastAsia="en-US"/>
        </w:rPr>
        <w:t xml:space="preserve"> to provide a separation of powers from the body (Comcare) that the SRCC is regulating.</w:t>
      </w:r>
    </w:p>
    <w:p w:rsidR="00A0719D" w:rsidRPr="00A0719D" w:rsidRDefault="00A0719D" w:rsidP="00A0719D">
      <w:pPr>
        <w:spacing w:after="200" w:line="276" w:lineRule="auto"/>
        <w:rPr>
          <w:rFonts w:ascii="Calibri" w:eastAsia="Calibri" w:hAnsi="Calibri"/>
          <w:sz w:val="22"/>
          <w:szCs w:val="22"/>
          <w:lang w:eastAsia="en-US"/>
        </w:rPr>
      </w:pPr>
      <w:r w:rsidRPr="00A0719D">
        <w:rPr>
          <w:rFonts w:ascii="Calibri" w:eastAsia="Calibri" w:hAnsi="Calibri"/>
          <w:b/>
          <w:sz w:val="22"/>
          <w:szCs w:val="22"/>
          <w:lang w:eastAsia="en-US"/>
        </w:rPr>
        <w:t>Recommendation 3</w:t>
      </w:r>
    </w:p>
    <w:p w:rsidR="00A0719D" w:rsidRPr="00A0719D" w:rsidRDefault="00A0719D" w:rsidP="00A0719D">
      <w:pPr>
        <w:spacing w:after="200" w:line="276" w:lineRule="auto"/>
        <w:rPr>
          <w:rFonts w:ascii="Calibri" w:eastAsia="Calibri" w:hAnsi="Calibri"/>
          <w:sz w:val="22"/>
          <w:szCs w:val="22"/>
          <w:lang w:eastAsia="en-US"/>
        </w:rPr>
      </w:pPr>
      <w:r w:rsidRPr="00A0719D">
        <w:rPr>
          <w:rFonts w:ascii="Calibri" w:eastAsia="Calibri" w:hAnsi="Calibri"/>
          <w:sz w:val="22"/>
          <w:szCs w:val="22"/>
          <w:lang w:eastAsia="en-US"/>
        </w:rPr>
        <w:t>The SRCC should establish a more robust regulatory framework to monitor the claims management performance of Comcare as a determining authority, using relevant aspects of the arrangements currently in place for licensees.</w:t>
      </w:r>
    </w:p>
    <w:p w:rsidR="00A0719D" w:rsidRPr="00A0719D" w:rsidRDefault="00A0719D" w:rsidP="00A0719D">
      <w:pPr>
        <w:spacing w:after="200" w:line="276" w:lineRule="auto"/>
        <w:rPr>
          <w:rFonts w:ascii="Calibri" w:eastAsia="Calibri" w:hAnsi="Calibri"/>
          <w:sz w:val="22"/>
          <w:szCs w:val="22"/>
          <w:lang w:eastAsia="en-US"/>
        </w:rPr>
      </w:pPr>
      <w:r w:rsidRPr="00A0719D">
        <w:rPr>
          <w:rFonts w:ascii="Calibri" w:eastAsia="Calibri" w:hAnsi="Calibri"/>
          <w:b/>
          <w:sz w:val="22"/>
          <w:szCs w:val="22"/>
          <w:lang w:eastAsia="en-US"/>
        </w:rPr>
        <w:t>Recommendation 4</w:t>
      </w:r>
    </w:p>
    <w:p w:rsidR="00A0719D" w:rsidRPr="00A0719D" w:rsidRDefault="00A0719D" w:rsidP="00A0719D">
      <w:pPr>
        <w:spacing w:after="200" w:line="276" w:lineRule="auto"/>
        <w:ind w:left="709" w:hanging="709"/>
        <w:rPr>
          <w:rFonts w:ascii="Calibri" w:eastAsia="Calibri" w:hAnsi="Calibri"/>
          <w:sz w:val="22"/>
          <w:szCs w:val="22"/>
          <w:lang w:eastAsia="en-US"/>
        </w:rPr>
      </w:pPr>
      <w:r w:rsidRPr="00A0719D">
        <w:rPr>
          <w:rFonts w:ascii="Calibri" w:eastAsia="Calibri" w:hAnsi="Calibri"/>
          <w:sz w:val="22"/>
          <w:szCs w:val="22"/>
          <w:lang w:eastAsia="en-US"/>
        </w:rPr>
        <w:t>4(a):</w:t>
      </w:r>
      <w:r w:rsidRPr="00A0719D">
        <w:rPr>
          <w:rFonts w:ascii="Calibri" w:eastAsia="Calibri" w:hAnsi="Calibri"/>
          <w:sz w:val="22"/>
          <w:szCs w:val="22"/>
          <w:lang w:eastAsia="en-US"/>
        </w:rPr>
        <w:tab/>
        <w:t xml:space="preserve">The Minister </w:t>
      </w:r>
      <w:proofErr w:type="gramStart"/>
      <w:r w:rsidRPr="00A0719D">
        <w:rPr>
          <w:rFonts w:ascii="Calibri" w:eastAsia="Calibri" w:hAnsi="Calibri"/>
          <w:sz w:val="22"/>
          <w:szCs w:val="22"/>
          <w:lang w:eastAsia="en-US"/>
        </w:rPr>
        <w:t>appoint</w:t>
      </w:r>
      <w:proofErr w:type="gramEnd"/>
      <w:r w:rsidRPr="00A0719D">
        <w:rPr>
          <w:rFonts w:ascii="Calibri" w:eastAsia="Calibri" w:hAnsi="Calibri"/>
          <w:sz w:val="22"/>
          <w:szCs w:val="22"/>
          <w:lang w:eastAsia="en-US"/>
        </w:rPr>
        <w:t xml:space="preserve"> a member other than from DEEWR to represent the Australian Government premium payers on the SRCC.</w:t>
      </w:r>
    </w:p>
    <w:p w:rsidR="00A0719D" w:rsidRPr="00A0719D" w:rsidRDefault="00A0719D" w:rsidP="00A0719D">
      <w:pPr>
        <w:spacing w:after="200" w:line="276" w:lineRule="auto"/>
        <w:ind w:left="709" w:hanging="709"/>
        <w:rPr>
          <w:rFonts w:ascii="Calibri" w:eastAsia="Calibri" w:hAnsi="Calibri"/>
          <w:sz w:val="22"/>
          <w:szCs w:val="22"/>
          <w:lang w:eastAsia="en-US"/>
        </w:rPr>
      </w:pPr>
      <w:r w:rsidRPr="00A0719D">
        <w:rPr>
          <w:rFonts w:ascii="Calibri" w:eastAsia="Calibri" w:hAnsi="Calibri"/>
          <w:sz w:val="22"/>
          <w:szCs w:val="22"/>
          <w:lang w:eastAsia="en-US"/>
        </w:rPr>
        <w:t>4(b):</w:t>
      </w:r>
      <w:r w:rsidRPr="00A0719D">
        <w:rPr>
          <w:rFonts w:ascii="Calibri" w:eastAsia="Calibri" w:hAnsi="Calibri"/>
          <w:b/>
          <w:sz w:val="22"/>
          <w:szCs w:val="22"/>
          <w:lang w:eastAsia="en-US"/>
        </w:rPr>
        <w:tab/>
      </w:r>
      <w:r w:rsidRPr="00A0719D">
        <w:rPr>
          <w:rFonts w:ascii="Calibri" w:eastAsia="Calibri" w:hAnsi="Calibri"/>
          <w:sz w:val="22"/>
          <w:szCs w:val="22"/>
          <w:lang w:eastAsia="en-US"/>
        </w:rPr>
        <w:t>DEEWR continue to be a</w:t>
      </w:r>
      <w:r w:rsidR="00077A07">
        <w:rPr>
          <w:rFonts w:ascii="Calibri" w:eastAsia="Calibri" w:hAnsi="Calibri"/>
          <w:sz w:val="22"/>
          <w:szCs w:val="22"/>
          <w:lang w:eastAsia="en-US"/>
        </w:rPr>
        <w:t>n</w:t>
      </w:r>
      <w:r w:rsidRPr="00A0719D">
        <w:rPr>
          <w:rFonts w:ascii="Calibri" w:eastAsia="Calibri" w:hAnsi="Calibri"/>
          <w:sz w:val="22"/>
          <w:szCs w:val="22"/>
          <w:lang w:eastAsia="en-US"/>
        </w:rPr>
        <w:t xml:space="preserve"> </w:t>
      </w:r>
      <w:r w:rsidR="00077A07">
        <w:rPr>
          <w:rFonts w:ascii="Calibri" w:eastAsia="Calibri" w:hAnsi="Calibri"/>
          <w:sz w:val="22"/>
          <w:szCs w:val="22"/>
          <w:lang w:eastAsia="en-US"/>
        </w:rPr>
        <w:t xml:space="preserve">SRCC </w:t>
      </w:r>
      <w:r w:rsidRPr="00A0719D">
        <w:rPr>
          <w:rFonts w:ascii="Calibri" w:eastAsia="Calibri" w:hAnsi="Calibri"/>
          <w:sz w:val="22"/>
          <w:szCs w:val="22"/>
          <w:lang w:eastAsia="en-US"/>
        </w:rPr>
        <w:t>member in its capacity as the policy “owner” of the SRC Act.</w:t>
      </w:r>
    </w:p>
    <w:p w:rsidR="00A0719D" w:rsidRPr="00A0719D" w:rsidRDefault="00A0719D" w:rsidP="00A0719D">
      <w:pPr>
        <w:spacing w:after="200" w:line="276" w:lineRule="auto"/>
        <w:rPr>
          <w:rFonts w:ascii="Calibri" w:eastAsia="Calibri" w:hAnsi="Calibri"/>
          <w:b/>
          <w:sz w:val="22"/>
          <w:szCs w:val="22"/>
          <w:lang w:eastAsia="en-US"/>
        </w:rPr>
      </w:pPr>
      <w:r w:rsidRPr="00A0719D">
        <w:rPr>
          <w:rFonts w:ascii="Calibri" w:eastAsia="Calibri" w:hAnsi="Calibri"/>
          <w:b/>
          <w:sz w:val="22"/>
          <w:szCs w:val="22"/>
          <w:lang w:eastAsia="en-US"/>
        </w:rPr>
        <w:t>Recommendation 5</w:t>
      </w:r>
    </w:p>
    <w:p w:rsidR="00A0719D" w:rsidRPr="00A0719D" w:rsidRDefault="00A0719D" w:rsidP="00A0719D">
      <w:pPr>
        <w:spacing w:after="200" w:line="276" w:lineRule="auto"/>
        <w:rPr>
          <w:rFonts w:ascii="Calibri" w:eastAsia="Calibri" w:hAnsi="Calibri"/>
          <w:sz w:val="22"/>
          <w:szCs w:val="22"/>
          <w:lang w:eastAsia="en-US"/>
        </w:rPr>
      </w:pPr>
      <w:r w:rsidRPr="00A0719D">
        <w:rPr>
          <w:rFonts w:ascii="Calibri" w:eastAsia="Calibri" w:hAnsi="Calibri"/>
          <w:sz w:val="22"/>
          <w:szCs w:val="22"/>
          <w:lang w:eastAsia="en-US"/>
        </w:rPr>
        <w:t xml:space="preserve">The SRCC should establish a consistent year-to-year approach to the methodology it uses for setting the </w:t>
      </w:r>
      <w:r w:rsidR="000A5586">
        <w:rPr>
          <w:rFonts w:ascii="Calibri" w:eastAsia="Calibri" w:hAnsi="Calibri"/>
          <w:sz w:val="22"/>
          <w:szCs w:val="22"/>
          <w:lang w:eastAsia="en-US"/>
        </w:rPr>
        <w:t>licence</w:t>
      </w:r>
      <w:r w:rsidRPr="00A0719D">
        <w:rPr>
          <w:rFonts w:ascii="Calibri" w:eastAsia="Calibri" w:hAnsi="Calibri"/>
          <w:sz w:val="22"/>
          <w:szCs w:val="22"/>
          <w:lang w:eastAsia="en-US"/>
        </w:rPr>
        <w:t xml:space="preserve"> fees for each tier status under the Licensee I</w:t>
      </w:r>
      <w:r w:rsidR="00DD2824">
        <w:rPr>
          <w:rFonts w:ascii="Calibri" w:eastAsia="Calibri" w:hAnsi="Calibri"/>
          <w:sz w:val="22"/>
          <w:szCs w:val="22"/>
          <w:lang w:eastAsia="en-US"/>
        </w:rPr>
        <w:t>mprovement</w:t>
      </w:r>
      <w:r w:rsidRPr="00A0719D">
        <w:rPr>
          <w:rFonts w:ascii="Calibri" w:eastAsia="Calibri" w:hAnsi="Calibri"/>
          <w:sz w:val="22"/>
          <w:szCs w:val="22"/>
          <w:lang w:eastAsia="en-US"/>
        </w:rPr>
        <w:t xml:space="preserve"> Program (LIP) and engage in an education campaign to explain this to the licensees.</w:t>
      </w:r>
    </w:p>
    <w:p w:rsidR="00A0719D" w:rsidRPr="00A0719D" w:rsidRDefault="00A0719D" w:rsidP="00A0719D">
      <w:pPr>
        <w:spacing w:after="200" w:line="276" w:lineRule="auto"/>
        <w:rPr>
          <w:rFonts w:ascii="Calibri" w:eastAsia="Calibri" w:hAnsi="Calibri"/>
          <w:sz w:val="22"/>
          <w:szCs w:val="22"/>
          <w:lang w:eastAsia="en-US"/>
        </w:rPr>
      </w:pPr>
      <w:r w:rsidRPr="00A0719D">
        <w:rPr>
          <w:rFonts w:ascii="Calibri" w:eastAsia="Calibri" w:hAnsi="Calibri"/>
          <w:b/>
          <w:sz w:val="22"/>
          <w:szCs w:val="22"/>
          <w:lang w:eastAsia="en-US"/>
        </w:rPr>
        <w:t>Recommendation 6</w:t>
      </w:r>
    </w:p>
    <w:p w:rsidR="00A0719D" w:rsidRPr="00A0719D" w:rsidRDefault="00A0719D" w:rsidP="00A0719D">
      <w:pPr>
        <w:spacing w:after="200" w:line="276" w:lineRule="auto"/>
        <w:rPr>
          <w:rFonts w:ascii="Calibri" w:eastAsia="Calibri" w:hAnsi="Calibri"/>
          <w:sz w:val="22"/>
          <w:szCs w:val="22"/>
          <w:lang w:eastAsia="en-US"/>
        </w:rPr>
      </w:pPr>
      <w:r w:rsidRPr="00A0719D">
        <w:rPr>
          <w:rFonts w:ascii="Calibri" w:eastAsia="Calibri" w:hAnsi="Calibri"/>
          <w:sz w:val="22"/>
          <w:szCs w:val="22"/>
          <w:lang w:eastAsia="en-US"/>
        </w:rPr>
        <w:t xml:space="preserve">The </w:t>
      </w:r>
      <w:r w:rsidR="00E855FB" w:rsidRPr="000D7C1C">
        <w:rPr>
          <w:rFonts w:ascii="Calibri" w:eastAsia="Calibri" w:hAnsi="Calibri"/>
          <w:i/>
          <w:sz w:val="22"/>
          <w:szCs w:val="22"/>
          <w:lang w:eastAsia="en-US"/>
        </w:rPr>
        <w:t>Safety, Rehabilitation and Compensation Act 1988</w:t>
      </w:r>
      <w:r w:rsidRPr="00A0719D">
        <w:rPr>
          <w:rFonts w:ascii="Calibri" w:eastAsia="Calibri" w:hAnsi="Calibri"/>
          <w:sz w:val="22"/>
          <w:szCs w:val="22"/>
          <w:lang w:eastAsia="en-US"/>
        </w:rPr>
        <w:t xml:space="preserve"> (the SRC Act) should be amended to allow the SRCC </w:t>
      </w:r>
      <w:r w:rsidR="003C16D7">
        <w:rPr>
          <w:rFonts w:ascii="Calibri" w:eastAsia="Calibri" w:hAnsi="Calibri"/>
          <w:sz w:val="22"/>
          <w:szCs w:val="22"/>
          <w:lang w:eastAsia="en-US"/>
        </w:rPr>
        <w:t>to grant</w:t>
      </w:r>
      <w:r w:rsidR="003C16D7" w:rsidRPr="00A0719D">
        <w:rPr>
          <w:rFonts w:ascii="Calibri" w:eastAsia="Calibri" w:hAnsi="Calibri"/>
          <w:sz w:val="22"/>
          <w:szCs w:val="22"/>
          <w:lang w:eastAsia="en-US"/>
        </w:rPr>
        <w:t xml:space="preserve"> </w:t>
      </w:r>
      <w:r w:rsidRPr="00A0719D">
        <w:rPr>
          <w:rFonts w:ascii="Calibri" w:eastAsia="Calibri" w:hAnsi="Calibri"/>
          <w:sz w:val="22"/>
          <w:szCs w:val="22"/>
          <w:lang w:eastAsia="en-US"/>
        </w:rPr>
        <w:t xml:space="preserve">group </w:t>
      </w:r>
      <w:r w:rsidR="000A5586">
        <w:rPr>
          <w:rFonts w:ascii="Calibri" w:eastAsia="Calibri" w:hAnsi="Calibri"/>
          <w:sz w:val="22"/>
          <w:szCs w:val="22"/>
          <w:lang w:eastAsia="en-US"/>
        </w:rPr>
        <w:t>licence</w:t>
      </w:r>
      <w:r w:rsidRPr="00A0719D">
        <w:rPr>
          <w:rFonts w:ascii="Calibri" w:eastAsia="Calibri" w:hAnsi="Calibri"/>
          <w:sz w:val="22"/>
          <w:szCs w:val="22"/>
          <w:lang w:eastAsia="en-US"/>
        </w:rPr>
        <w:t>s to companies of licenced self-insurers with more than one entity, subject to satisfying all prudential requirements, in order to reduce administrative costs for scheme participation.</w:t>
      </w:r>
    </w:p>
    <w:p w:rsidR="00A0719D" w:rsidRPr="00A0719D" w:rsidRDefault="00A0719D" w:rsidP="00A0719D">
      <w:pPr>
        <w:spacing w:after="200" w:line="276" w:lineRule="auto"/>
        <w:rPr>
          <w:rFonts w:ascii="Calibri" w:eastAsia="Calibri" w:hAnsi="Calibri"/>
          <w:b/>
          <w:sz w:val="22"/>
          <w:szCs w:val="22"/>
          <w:lang w:eastAsia="en-US"/>
        </w:rPr>
      </w:pPr>
      <w:r w:rsidRPr="00A0719D">
        <w:rPr>
          <w:rFonts w:ascii="Calibri" w:eastAsia="Calibri" w:hAnsi="Calibri"/>
          <w:b/>
          <w:sz w:val="22"/>
          <w:szCs w:val="22"/>
          <w:lang w:eastAsia="en-US"/>
        </w:rPr>
        <w:t>Recommendation 7</w:t>
      </w:r>
    </w:p>
    <w:p w:rsidR="00A0719D" w:rsidRPr="00A0719D" w:rsidRDefault="00A0719D" w:rsidP="00A0719D">
      <w:pPr>
        <w:spacing w:after="200" w:line="276" w:lineRule="auto"/>
        <w:rPr>
          <w:rFonts w:ascii="Calibri" w:eastAsia="Calibri" w:hAnsi="Calibri"/>
          <w:sz w:val="22"/>
          <w:szCs w:val="22"/>
          <w:lang w:eastAsia="en-US"/>
        </w:rPr>
      </w:pPr>
      <w:r w:rsidRPr="00A0719D">
        <w:rPr>
          <w:rFonts w:ascii="Calibri" w:eastAsia="Calibri" w:hAnsi="Calibri"/>
          <w:sz w:val="22"/>
          <w:szCs w:val="22"/>
          <w:lang w:eastAsia="en-US"/>
        </w:rPr>
        <w:t>The moratorium and competition test should be lifted, allowing national employers to join the Comcare scheme.</w:t>
      </w:r>
    </w:p>
    <w:p w:rsidR="009C3262" w:rsidRDefault="009C3262">
      <w:pPr>
        <w:spacing w:after="120"/>
        <w:ind w:hanging="709"/>
        <w:rPr>
          <w:rFonts w:ascii="Calibri" w:eastAsia="Calibri" w:hAnsi="Calibri"/>
          <w:b/>
          <w:sz w:val="22"/>
          <w:szCs w:val="22"/>
          <w:lang w:eastAsia="en-US"/>
        </w:rPr>
      </w:pPr>
      <w:r>
        <w:rPr>
          <w:rFonts w:ascii="Calibri" w:eastAsia="Calibri" w:hAnsi="Calibri"/>
          <w:b/>
          <w:sz w:val="22"/>
          <w:szCs w:val="22"/>
          <w:lang w:eastAsia="en-US"/>
        </w:rPr>
        <w:br w:type="page"/>
      </w:r>
    </w:p>
    <w:p w:rsidR="00A0719D" w:rsidRPr="00A0719D" w:rsidRDefault="00A0719D" w:rsidP="00A0719D">
      <w:pPr>
        <w:spacing w:after="200" w:line="276" w:lineRule="auto"/>
        <w:rPr>
          <w:rFonts w:ascii="Calibri" w:eastAsia="Calibri" w:hAnsi="Calibri"/>
          <w:b/>
          <w:sz w:val="22"/>
          <w:szCs w:val="22"/>
          <w:lang w:eastAsia="en-US"/>
        </w:rPr>
      </w:pPr>
      <w:r w:rsidRPr="00A0719D">
        <w:rPr>
          <w:rFonts w:ascii="Calibri" w:eastAsia="Calibri" w:hAnsi="Calibri"/>
          <w:b/>
          <w:sz w:val="22"/>
          <w:szCs w:val="22"/>
          <w:lang w:eastAsia="en-US"/>
        </w:rPr>
        <w:lastRenderedPageBreak/>
        <w:t>Recommendation 8</w:t>
      </w:r>
    </w:p>
    <w:p w:rsidR="00A0719D" w:rsidRPr="00A0719D" w:rsidRDefault="00A0719D" w:rsidP="00A0719D">
      <w:pPr>
        <w:spacing w:after="200" w:line="276" w:lineRule="auto"/>
        <w:rPr>
          <w:rFonts w:ascii="Calibri" w:eastAsia="Calibri" w:hAnsi="Calibri"/>
          <w:sz w:val="22"/>
          <w:szCs w:val="22"/>
          <w:lang w:eastAsia="en-US"/>
        </w:rPr>
      </w:pPr>
      <w:r w:rsidRPr="00A0719D">
        <w:rPr>
          <w:rFonts w:ascii="Calibri" w:eastAsia="Calibri" w:hAnsi="Calibri"/>
          <w:sz w:val="22"/>
          <w:szCs w:val="22"/>
          <w:lang w:eastAsia="en-US"/>
        </w:rPr>
        <w:t xml:space="preserve">The </w:t>
      </w:r>
      <w:r w:rsidR="002A0336">
        <w:rPr>
          <w:rFonts w:ascii="Calibri" w:eastAsia="Calibri" w:hAnsi="Calibri"/>
          <w:sz w:val="22"/>
          <w:szCs w:val="22"/>
          <w:lang w:eastAsia="en-US"/>
        </w:rPr>
        <w:t>SRCC should</w:t>
      </w:r>
      <w:r w:rsidRPr="00A0719D">
        <w:rPr>
          <w:rFonts w:ascii="Calibri" w:eastAsia="Calibri" w:hAnsi="Calibri"/>
          <w:sz w:val="22"/>
          <w:szCs w:val="22"/>
          <w:lang w:eastAsia="en-US"/>
        </w:rPr>
        <w:t xml:space="preserve"> establish a process to satisfy itself that each applicant for self insurance under the SRC Act meets the criteria associated with determining that they are a national employer.</w:t>
      </w:r>
    </w:p>
    <w:p w:rsidR="00A0719D" w:rsidRPr="00A0719D" w:rsidRDefault="00A0719D" w:rsidP="00A0719D">
      <w:pPr>
        <w:spacing w:after="200" w:line="276" w:lineRule="auto"/>
        <w:rPr>
          <w:rFonts w:ascii="Calibri" w:eastAsia="Calibri" w:hAnsi="Calibri"/>
          <w:b/>
          <w:sz w:val="22"/>
          <w:szCs w:val="22"/>
          <w:lang w:eastAsia="en-US"/>
        </w:rPr>
      </w:pPr>
      <w:r w:rsidRPr="00A0719D">
        <w:rPr>
          <w:rFonts w:ascii="Calibri" w:eastAsia="Calibri" w:hAnsi="Calibri"/>
          <w:b/>
          <w:sz w:val="22"/>
          <w:szCs w:val="22"/>
          <w:lang w:eastAsia="en-US"/>
        </w:rPr>
        <w:t>Recommendation 9</w:t>
      </w:r>
    </w:p>
    <w:p w:rsidR="00A0719D" w:rsidRPr="00A0719D" w:rsidRDefault="00A0719D" w:rsidP="00A0719D">
      <w:pPr>
        <w:spacing w:after="200" w:line="276" w:lineRule="auto"/>
        <w:rPr>
          <w:rFonts w:ascii="Calibri" w:eastAsia="Calibri" w:hAnsi="Calibri"/>
          <w:sz w:val="22"/>
          <w:szCs w:val="22"/>
          <w:lang w:eastAsia="en-US"/>
        </w:rPr>
      </w:pPr>
      <w:r w:rsidRPr="00A0719D">
        <w:rPr>
          <w:rFonts w:ascii="Calibri" w:eastAsia="Calibri" w:hAnsi="Calibri"/>
          <w:sz w:val="22"/>
          <w:szCs w:val="22"/>
          <w:lang w:eastAsia="en-US"/>
        </w:rPr>
        <w:t xml:space="preserve">The SRC Act </w:t>
      </w:r>
      <w:proofErr w:type="gramStart"/>
      <w:r w:rsidRPr="00A0719D">
        <w:rPr>
          <w:rFonts w:ascii="Calibri" w:eastAsia="Calibri" w:hAnsi="Calibri"/>
          <w:sz w:val="22"/>
          <w:szCs w:val="22"/>
          <w:lang w:eastAsia="en-US"/>
        </w:rPr>
        <w:t>be</w:t>
      </w:r>
      <w:proofErr w:type="gramEnd"/>
      <w:r w:rsidRPr="00A0719D">
        <w:rPr>
          <w:rFonts w:ascii="Calibri" w:eastAsia="Calibri" w:hAnsi="Calibri"/>
          <w:sz w:val="22"/>
          <w:szCs w:val="22"/>
          <w:lang w:eastAsia="en-US"/>
        </w:rPr>
        <w:t xml:space="preserve"> amended to allow the ACT Government and other SRC Act premium payers to apply and be approved as a determining authority, subject to meeting the same audit and performance reporting requirements for licensees under the Comcare Scheme.</w:t>
      </w:r>
    </w:p>
    <w:p w:rsidR="00A0719D" w:rsidRPr="00A0719D" w:rsidRDefault="00A0719D" w:rsidP="00A0719D">
      <w:pPr>
        <w:spacing w:after="200" w:line="276" w:lineRule="auto"/>
        <w:rPr>
          <w:rFonts w:ascii="Calibri" w:eastAsia="Calibri" w:hAnsi="Calibri"/>
          <w:b/>
          <w:sz w:val="22"/>
          <w:szCs w:val="22"/>
          <w:lang w:eastAsia="en-US"/>
        </w:rPr>
      </w:pPr>
      <w:r w:rsidRPr="00A0719D">
        <w:rPr>
          <w:rFonts w:ascii="Calibri" w:eastAsia="Calibri" w:hAnsi="Calibri"/>
          <w:b/>
          <w:sz w:val="22"/>
          <w:szCs w:val="22"/>
          <w:lang w:eastAsia="en-US"/>
        </w:rPr>
        <w:t>Recommendation 10</w:t>
      </w:r>
    </w:p>
    <w:p w:rsidR="00A0719D" w:rsidRPr="00A0719D" w:rsidRDefault="00A0719D" w:rsidP="00A0719D">
      <w:pPr>
        <w:spacing w:after="200" w:line="276" w:lineRule="auto"/>
        <w:rPr>
          <w:rFonts w:ascii="Calibri" w:eastAsia="Calibri" w:hAnsi="Calibri"/>
          <w:sz w:val="22"/>
          <w:szCs w:val="22"/>
          <w:lang w:eastAsia="en-US"/>
        </w:rPr>
      </w:pPr>
      <w:r w:rsidRPr="00A0719D">
        <w:rPr>
          <w:rFonts w:ascii="Calibri" w:eastAsia="Calibri" w:hAnsi="Calibri"/>
          <w:sz w:val="22"/>
          <w:szCs w:val="22"/>
          <w:lang w:eastAsia="en-US"/>
        </w:rPr>
        <w:t xml:space="preserve">Comcare and the Department of Finance and Deregulation collaborate to develop the appropriate financial framework to support recommendation </w:t>
      </w:r>
      <w:r w:rsidR="009C3262">
        <w:rPr>
          <w:rFonts w:ascii="Calibri" w:eastAsia="Calibri" w:hAnsi="Calibri"/>
          <w:sz w:val="22"/>
          <w:szCs w:val="22"/>
          <w:lang w:eastAsia="en-US"/>
        </w:rPr>
        <w:t>9</w:t>
      </w:r>
      <w:r w:rsidRPr="00A0719D">
        <w:rPr>
          <w:rFonts w:ascii="Calibri" w:eastAsia="Calibri" w:hAnsi="Calibri"/>
          <w:sz w:val="22"/>
          <w:szCs w:val="22"/>
          <w:lang w:eastAsia="en-US"/>
        </w:rPr>
        <w:t>.</w:t>
      </w:r>
    </w:p>
    <w:p w:rsidR="00A0719D" w:rsidRPr="00A0719D" w:rsidRDefault="00A0719D" w:rsidP="00A0719D">
      <w:pPr>
        <w:spacing w:after="200" w:line="276" w:lineRule="auto"/>
        <w:rPr>
          <w:rFonts w:ascii="Calibri" w:eastAsia="Calibri" w:hAnsi="Calibri"/>
          <w:b/>
          <w:sz w:val="22"/>
          <w:szCs w:val="22"/>
          <w:lang w:eastAsia="en-US"/>
        </w:rPr>
      </w:pPr>
      <w:r w:rsidRPr="00A0719D">
        <w:rPr>
          <w:rFonts w:ascii="Calibri" w:eastAsia="Calibri" w:hAnsi="Calibri"/>
          <w:b/>
          <w:sz w:val="22"/>
          <w:szCs w:val="22"/>
          <w:lang w:eastAsia="en-US"/>
        </w:rPr>
        <w:t>Recommendation 11</w:t>
      </w:r>
    </w:p>
    <w:p w:rsidR="00A0719D" w:rsidRPr="00A0719D" w:rsidRDefault="00A0719D" w:rsidP="00A0719D">
      <w:pPr>
        <w:spacing w:after="200" w:line="276" w:lineRule="auto"/>
        <w:rPr>
          <w:rFonts w:ascii="Calibri" w:eastAsia="Calibri" w:hAnsi="Calibri"/>
          <w:sz w:val="22"/>
          <w:szCs w:val="22"/>
          <w:lang w:eastAsia="en-US"/>
        </w:rPr>
      </w:pPr>
      <w:r w:rsidRPr="00A0719D">
        <w:rPr>
          <w:rFonts w:ascii="Calibri" w:eastAsia="Calibri" w:hAnsi="Calibri"/>
          <w:sz w:val="22"/>
          <w:szCs w:val="22"/>
          <w:lang w:eastAsia="en-US"/>
        </w:rPr>
        <w:t xml:space="preserve">Comcare review its position following the </w:t>
      </w:r>
      <w:r w:rsidRPr="00A0719D">
        <w:rPr>
          <w:rFonts w:ascii="Calibri" w:eastAsia="Calibri" w:hAnsi="Calibri"/>
          <w:i/>
          <w:sz w:val="22"/>
          <w:szCs w:val="22"/>
          <w:lang w:eastAsia="en-US"/>
        </w:rPr>
        <w:t>Hardin</w:t>
      </w:r>
      <w:r w:rsidRPr="00A0719D">
        <w:rPr>
          <w:rFonts w:ascii="Calibri" w:eastAsia="Calibri" w:hAnsi="Calibri"/>
          <w:sz w:val="22"/>
          <w:szCs w:val="22"/>
          <w:lang w:eastAsia="en-US"/>
        </w:rPr>
        <w:t xml:space="preserve"> decision and consider implementing a revised policy that recognises Comcare’s role in supporting premium payers’ rehabilitation processes, in an administrative capacity.</w:t>
      </w:r>
    </w:p>
    <w:p w:rsidR="00A0719D" w:rsidRPr="00A0719D" w:rsidRDefault="00A0719D" w:rsidP="00A0719D">
      <w:pPr>
        <w:spacing w:after="200" w:line="276" w:lineRule="auto"/>
        <w:rPr>
          <w:rFonts w:ascii="Calibri" w:eastAsia="Calibri" w:hAnsi="Calibri"/>
          <w:sz w:val="22"/>
          <w:szCs w:val="22"/>
          <w:lang w:eastAsia="en-US"/>
        </w:rPr>
      </w:pPr>
      <w:r w:rsidRPr="00A0719D">
        <w:rPr>
          <w:rFonts w:ascii="Calibri" w:eastAsia="Calibri" w:hAnsi="Calibri"/>
          <w:b/>
          <w:sz w:val="22"/>
          <w:szCs w:val="22"/>
          <w:lang w:eastAsia="en-US"/>
        </w:rPr>
        <w:t>Recommendation 12</w:t>
      </w:r>
    </w:p>
    <w:p w:rsidR="00A0719D" w:rsidRPr="00A0719D" w:rsidRDefault="00A0719D" w:rsidP="00A0719D">
      <w:pPr>
        <w:spacing w:after="200" w:line="276" w:lineRule="auto"/>
        <w:rPr>
          <w:rFonts w:ascii="Calibri" w:eastAsia="Calibri" w:hAnsi="Calibri"/>
          <w:sz w:val="22"/>
          <w:szCs w:val="22"/>
          <w:lang w:eastAsia="en-US"/>
        </w:rPr>
      </w:pPr>
      <w:r w:rsidRPr="00A0719D">
        <w:rPr>
          <w:rFonts w:ascii="Calibri" w:eastAsia="Calibri" w:hAnsi="Calibri"/>
          <w:sz w:val="22"/>
          <w:szCs w:val="22"/>
          <w:lang w:eastAsia="en-US"/>
        </w:rPr>
        <w:t xml:space="preserve">Further consideration </w:t>
      </w:r>
      <w:proofErr w:type="gramStart"/>
      <w:r w:rsidRPr="00A0719D">
        <w:rPr>
          <w:rFonts w:ascii="Calibri" w:eastAsia="Calibri" w:hAnsi="Calibri"/>
          <w:sz w:val="22"/>
          <w:szCs w:val="22"/>
          <w:lang w:eastAsia="en-US"/>
        </w:rPr>
        <w:t>be</w:t>
      </w:r>
      <w:proofErr w:type="gramEnd"/>
      <w:r w:rsidRPr="00A0719D">
        <w:rPr>
          <w:rFonts w:ascii="Calibri" w:eastAsia="Calibri" w:hAnsi="Calibri"/>
          <w:sz w:val="22"/>
          <w:szCs w:val="22"/>
          <w:lang w:eastAsia="en-US"/>
        </w:rPr>
        <w:t xml:space="preserve"> given to clarifying Comcare’s role in rehabilitation under the SRC Act, as part of the Hanks Review.</w:t>
      </w:r>
    </w:p>
    <w:p w:rsidR="00A0719D" w:rsidRPr="00A0719D" w:rsidRDefault="00A0719D" w:rsidP="00A0719D">
      <w:pPr>
        <w:spacing w:after="200" w:line="276" w:lineRule="auto"/>
        <w:rPr>
          <w:rFonts w:ascii="Calibri" w:eastAsia="Calibri" w:hAnsi="Calibri"/>
          <w:sz w:val="22"/>
          <w:szCs w:val="22"/>
          <w:lang w:eastAsia="en-US"/>
        </w:rPr>
      </w:pPr>
      <w:r w:rsidRPr="00A0719D">
        <w:rPr>
          <w:rFonts w:ascii="Calibri" w:eastAsia="Calibri" w:hAnsi="Calibri"/>
          <w:b/>
          <w:sz w:val="22"/>
          <w:szCs w:val="22"/>
          <w:lang w:eastAsia="en-US"/>
        </w:rPr>
        <w:t>Recommendation 13</w:t>
      </w:r>
    </w:p>
    <w:p w:rsidR="00A0719D" w:rsidRPr="00A0719D" w:rsidRDefault="00A0719D" w:rsidP="00A0719D">
      <w:pPr>
        <w:spacing w:after="200" w:line="276" w:lineRule="auto"/>
        <w:rPr>
          <w:rFonts w:ascii="Calibri" w:eastAsia="Calibri" w:hAnsi="Calibri"/>
          <w:sz w:val="22"/>
          <w:szCs w:val="22"/>
          <w:lang w:eastAsia="en-US"/>
        </w:rPr>
      </w:pPr>
      <w:r w:rsidRPr="00A0719D">
        <w:rPr>
          <w:rFonts w:ascii="Calibri" w:eastAsia="Calibri" w:hAnsi="Calibri"/>
          <w:sz w:val="22"/>
          <w:szCs w:val="22"/>
          <w:lang w:eastAsia="en-US"/>
        </w:rPr>
        <w:t>In order to improve rehabilitation and return to work outcomes for the premium payers, Comcare should deploy an audit program to selected premium payers against the requirements of the rehabilitation management systems tool, and work with them to improve their rehabilitation management systems to a comparable level of the licensees, and report progress to the SRCC.</w:t>
      </w:r>
    </w:p>
    <w:p w:rsidR="00A0719D" w:rsidRPr="00A0719D" w:rsidRDefault="00A0719D" w:rsidP="00A0719D">
      <w:pPr>
        <w:spacing w:after="200" w:line="276" w:lineRule="auto"/>
        <w:rPr>
          <w:rFonts w:ascii="Calibri" w:eastAsia="Calibri" w:hAnsi="Calibri"/>
          <w:sz w:val="22"/>
          <w:szCs w:val="22"/>
          <w:lang w:eastAsia="en-US"/>
        </w:rPr>
      </w:pPr>
      <w:r w:rsidRPr="00A0719D">
        <w:rPr>
          <w:rFonts w:ascii="Calibri" w:eastAsia="Calibri" w:hAnsi="Calibri"/>
          <w:b/>
          <w:sz w:val="22"/>
          <w:szCs w:val="22"/>
          <w:lang w:eastAsia="en-US"/>
        </w:rPr>
        <w:t>Recommendation 14</w:t>
      </w:r>
    </w:p>
    <w:p w:rsidR="00A0719D" w:rsidRPr="00A0719D" w:rsidRDefault="00A0719D" w:rsidP="00A0719D">
      <w:pPr>
        <w:spacing w:after="200" w:line="276" w:lineRule="auto"/>
        <w:rPr>
          <w:rFonts w:ascii="Calibri" w:eastAsia="Calibri" w:hAnsi="Calibri"/>
          <w:sz w:val="22"/>
          <w:szCs w:val="22"/>
          <w:lang w:eastAsia="en-US"/>
        </w:rPr>
      </w:pPr>
      <w:r w:rsidRPr="00A0719D">
        <w:rPr>
          <w:rFonts w:ascii="Calibri" w:eastAsia="Calibri" w:hAnsi="Calibri"/>
          <w:sz w:val="22"/>
          <w:szCs w:val="22"/>
          <w:lang w:eastAsia="en-US"/>
        </w:rPr>
        <w:t xml:space="preserve">The SRCC should modify the LIP and tier model to provide a framework so that the level of regulatory contribution paid by premium payers is linked to their rehabilitation performance. </w:t>
      </w:r>
      <w:r w:rsidRPr="00A0719D" w:rsidDel="009B7421">
        <w:rPr>
          <w:rFonts w:ascii="Calibri" w:eastAsia="Calibri" w:hAnsi="Calibri"/>
          <w:sz w:val="22"/>
          <w:szCs w:val="22"/>
          <w:lang w:eastAsia="en-US"/>
        </w:rPr>
        <w:t xml:space="preserve"> </w:t>
      </w:r>
      <w:r w:rsidRPr="00A0719D">
        <w:rPr>
          <w:rFonts w:ascii="Calibri" w:eastAsia="Calibri" w:hAnsi="Calibri"/>
          <w:sz w:val="22"/>
          <w:szCs w:val="22"/>
          <w:lang w:eastAsia="en-US"/>
        </w:rPr>
        <w:t>This would provide a direct incentive for improvements to rehabilitation performance.</w:t>
      </w:r>
    </w:p>
    <w:p w:rsidR="00A0719D" w:rsidRPr="00A0719D" w:rsidRDefault="00A0719D" w:rsidP="00A0719D">
      <w:pPr>
        <w:spacing w:after="200" w:line="276" w:lineRule="auto"/>
        <w:rPr>
          <w:rFonts w:ascii="Calibri" w:eastAsia="Calibri" w:hAnsi="Calibri"/>
          <w:b/>
          <w:sz w:val="22"/>
          <w:szCs w:val="22"/>
          <w:lang w:eastAsia="en-US"/>
        </w:rPr>
      </w:pPr>
      <w:r w:rsidRPr="00A0719D">
        <w:rPr>
          <w:rFonts w:ascii="Calibri" w:eastAsia="Calibri" w:hAnsi="Calibri"/>
          <w:b/>
          <w:sz w:val="22"/>
          <w:szCs w:val="22"/>
          <w:lang w:eastAsia="en-US"/>
        </w:rPr>
        <w:t>Recommendation 15</w:t>
      </w:r>
    </w:p>
    <w:p w:rsidR="00A0719D" w:rsidRPr="00A0719D" w:rsidRDefault="00A0719D" w:rsidP="00A0719D">
      <w:pPr>
        <w:spacing w:after="200" w:line="276" w:lineRule="auto"/>
        <w:rPr>
          <w:rFonts w:ascii="Calibri" w:eastAsia="Calibri" w:hAnsi="Calibri"/>
          <w:sz w:val="22"/>
          <w:szCs w:val="22"/>
          <w:lang w:eastAsia="en-US"/>
        </w:rPr>
      </w:pPr>
      <w:r w:rsidRPr="00A0719D">
        <w:rPr>
          <w:rFonts w:ascii="Calibri" w:eastAsia="Calibri" w:hAnsi="Calibri"/>
          <w:sz w:val="22"/>
          <w:szCs w:val="22"/>
          <w:lang w:eastAsia="en-US"/>
        </w:rPr>
        <w:t>That the Minister for Employment and Workplace Relations consult his State and Territory counterparts about establishing a National Rehabilitation framework for injured workers aimed at optimising the return to work opportunities of injured workers throughout Australia.</w:t>
      </w:r>
    </w:p>
    <w:p w:rsidR="009C3262" w:rsidRDefault="009C3262">
      <w:pPr>
        <w:spacing w:after="120"/>
        <w:ind w:hanging="709"/>
        <w:rPr>
          <w:rFonts w:ascii="Calibri" w:eastAsia="Calibri" w:hAnsi="Calibri"/>
          <w:b/>
          <w:sz w:val="22"/>
          <w:szCs w:val="22"/>
          <w:lang w:eastAsia="en-US"/>
        </w:rPr>
      </w:pPr>
      <w:r>
        <w:rPr>
          <w:rFonts w:ascii="Calibri" w:eastAsia="Calibri" w:hAnsi="Calibri"/>
          <w:b/>
          <w:sz w:val="22"/>
          <w:szCs w:val="22"/>
          <w:lang w:eastAsia="en-US"/>
        </w:rPr>
        <w:br w:type="page"/>
      </w:r>
    </w:p>
    <w:p w:rsidR="00A0719D" w:rsidRPr="00A0719D" w:rsidRDefault="00A0719D" w:rsidP="00A0719D">
      <w:pPr>
        <w:spacing w:after="200" w:line="276" w:lineRule="auto"/>
        <w:rPr>
          <w:rFonts w:ascii="Calibri" w:eastAsia="Calibri" w:hAnsi="Calibri"/>
          <w:b/>
          <w:sz w:val="22"/>
          <w:szCs w:val="22"/>
          <w:lang w:eastAsia="en-US"/>
        </w:rPr>
      </w:pPr>
      <w:r w:rsidRPr="00A0719D">
        <w:rPr>
          <w:rFonts w:ascii="Calibri" w:eastAsia="Calibri" w:hAnsi="Calibri"/>
          <w:b/>
          <w:sz w:val="22"/>
          <w:szCs w:val="22"/>
          <w:lang w:eastAsia="en-US"/>
        </w:rPr>
        <w:lastRenderedPageBreak/>
        <w:t>Recommendation 16</w:t>
      </w:r>
    </w:p>
    <w:p w:rsidR="00A0719D" w:rsidRPr="00A0719D" w:rsidRDefault="00A0719D" w:rsidP="00A0719D">
      <w:pPr>
        <w:spacing w:after="200" w:line="276" w:lineRule="auto"/>
        <w:rPr>
          <w:rFonts w:ascii="Calibri" w:eastAsia="Calibri" w:hAnsi="Calibri"/>
          <w:sz w:val="22"/>
          <w:szCs w:val="22"/>
          <w:lang w:eastAsia="en-US"/>
        </w:rPr>
      </w:pPr>
      <w:r w:rsidRPr="00A0719D">
        <w:rPr>
          <w:rFonts w:ascii="Calibri" w:eastAsia="Calibri" w:hAnsi="Calibri"/>
          <w:sz w:val="22"/>
          <w:szCs w:val="22"/>
          <w:lang w:eastAsia="en-US"/>
        </w:rPr>
        <w:t>As the claims manager for the premium paying side of the scheme, Comcare should continue to take steps to proactively manage its claims. As a priority, Comcare should continue to implement strategies to reduce the likelihood and severity of workplace injuries in Comcare and share their learning with other Commonwealth agencies in line with Comcare’s Strategy 2015 objectives to “improve return to work practices by sharing best practice and case studies”.</w:t>
      </w:r>
    </w:p>
    <w:p w:rsidR="00A0719D" w:rsidRPr="00A0719D" w:rsidRDefault="00A0719D" w:rsidP="00A0719D">
      <w:pPr>
        <w:spacing w:after="200" w:line="276" w:lineRule="auto"/>
        <w:rPr>
          <w:rFonts w:ascii="Calibri" w:eastAsia="Calibri" w:hAnsi="Calibri"/>
          <w:sz w:val="22"/>
          <w:szCs w:val="22"/>
          <w:lang w:eastAsia="en-US"/>
        </w:rPr>
      </w:pPr>
      <w:r w:rsidRPr="00A0719D">
        <w:rPr>
          <w:rFonts w:ascii="Calibri" w:eastAsia="Calibri" w:hAnsi="Calibri"/>
          <w:b/>
          <w:sz w:val="22"/>
          <w:szCs w:val="22"/>
          <w:lang w:eastAsia="en-US"/>
        </w:rPr>
        <w:t>Recommendation 17</w:t>
      </w:r>
    </w:p>
    <w:p w:rsidR="00A0719D" w:rsidRPr="00A0719D" w:rsidRDefault="00A0719D" w:rsidP="00A0719D">
      <w:pPr>
        <w:spacing w:after="200" w:line="276" w:lineRule="auto"/>
        <w:rPr>
          <w:rFonts w:ascii="Calibri" w:eastAsia="Calibri" w:hAnsi="Calibri"/>
          <w:sz w:val="22"/>
          <w:szCs w:val="22"/>
          <w:lang w:eastAsia="en-US"/>
        </w:rPr>
      </w:pPr>
      <w:r w:rsidRPr="00A0719D">
        <w:rPr>
          <w:rFonts w:ascii="Calibri" w:eastAsia="Calibri" w:hAnsi="Calibri"/>
          <w:sz w:val="22"/>
          <w:szCs w:val="22"/>
          <w:lang w:eastAsia="en-US"/>
        </w:rPr>
        <w:t>Comcare review initial claims acceptance rates in order to determine the reasons for the increase in injury claims acceptance rates.</w:t>
      </w:r>
    </w:p>
    <w:p w:rsidR="00A0719D" w:rsidRPr="00A0719D" w:rsidRDefault="00A0719D" w:rsidP="00A0719D">
      <w:pPr>
        <w:spacing w:after="200" w:line="276" w:lineRule="auto"/>
        <w:rPr>
          <w:rFonts w:ascii="Calibri" w:eastAsia="Calibri" w:hAnsi="Calibri"/>
          <w:sz w:val="22"/>
          <w:szCs w:val="22"/>
          <w:lang w:eastAsia="en-US"/>
        </w:rPr>
      </w:pPr>
      <w:r w:rsidRPr="00A0719D">
        <w:rPr>
          <w:rFonts w:ascii="Calibri" w:eastAsia="Calibri" w:hAnsi="Calibri"/>
          <w:b/>
          <w:sz w:val="22"/>
          <w:szCs w:val="22"/>
          <w:lang w:eastAsia="en-US"/>
        </w:rPr>
        <w:t>Recommendation 18</w:t>
      </w:r>
    </w:p>
    <w:p w:rsidR="00A0719D" w:rsidRPr="00A0719D" w:rsidRDefault="00A0719D" w:rsidP="00A0719D">
      <w:pPr>
        <w:spacing w:after="200" w:line="276" w:lineRule="auto"/>
        <w:ind w:left="709" w:hanging="709"/>
        <w:rPr>
          <w:rFonts w:ascii="Calibri" w:eastAsia="Calibri" w:hAnsi="Calibri"/>
          <w:sz w:val="22"/>
          <w:szCs w:val="22"/>
          <w:lang w:eastAsia="en-US"/>
        </w:rPr>
      </w:pPr>
      <w:r w:rsidRPr="00A0719D">
        <w:rPr>
          <w:rFonts w:ascii="Calibri" w:eastAsia="Calibri" w:hAnsi="Calibri"/>
          <w:sz w:val="22"/>
          <w:szCs w:val="22"/>
          <w:lang w:eastAsia="en-US"/>
        </w:rPr>
        <w:t>18(a):</w:t>
      </w:r>
      <w:r w:rsidRPr="00A0719D">
        <w:rPr>
          <w:rFonts w:ascii="Calibri" w:eastAsia="Calibri" w:hAnsi="Calibri"/>
          <w:sz w:val="22"/>
          <w:szCs w:val="22"/>
          <w:lang w:eastAsia="en-US"/>
        </w:rPr>
        <w:tab/>
        <w:t>Comcare should establish a reporting and monitoring framework that assesses performance improvements to measure the ongoing effectiveness of its claims management outcomes and report to SRCC.</w:t>
      </w:r>
    </w:p>
    <w:p w:rsidR="00A0719D" w:rsidRPr="00A0719D" w:rsidRDefault="00A0719D" w:rsidP="00A0719D">
      <w:pPr>
        <w:spacing w:after="200" w:line="276" w:lineRule="auto"/>
        <w:ind w:left="709" w:hanging="709"/>
        <w:rPr>
          <w:rFonts w:ascii="Calibri" w:eastAsia="Calibri" w:hAnsi="Calibri"/>
          <w:sz w:val="22"/>
          <w:szCs w:val="22"/>
          <w:lang w:eastAsia="en-US"/>
        </w:rPr>
      </w:pPr>
      <w:r w:rsidRPr="00A0719D">
        <w:rPr>
          <w:rFonts w:ascii="Calibri" w:eastAsia="Calibri" w:hAnsi="Calibri"/>
          <w:sz w:val="22"/>
          <w:szCs w:val="22"/>
          <w:lang w:eastAsia="en-US"/>
        </w:rPr>
        <w:t>18(b):</w:t>
      </w:r>
      <w:r w:rsidRPr="00A0719D">
        <w:rPr>
          <w:rFonts w:ascii="Calibri" w:eastAsia="Calibri" w:hAnsi="Calibri"/>
          <w:sz w:val="22"/>
          <w:szCs w:val="22"/>
          <w:lang w:eastAsia="en-US"/>
        </w:rPr>
        <w:tab/>
        <w:t>Comcare should provide</w:t>
      </w:r>
      <w:r w:rsidR="00920A03">
        <w:rPr>
          <w:rFonts w:ascii="Calibri" w:eastAsia="Calibri" w:hAnsi="Calibri"/>
          <w:sz w:val="22"/>
          <w:szCs w:val="22"/>
          <w:lang w:eastAsia="en-US"/>
        </w:rPr>
        <w:t xml:space="preserve"> </w:t>
      </w:r>
      <w:r w:rsidRPr="00A0719D">
        <w:rPr>
          <w:rFonts w:ascii="Calibri" w:eastAsia="Calibri" w:hAnsi="Calibri"/>
          <w:sz w:val="22"/>
          <w:szCs w:val="22"/>
          <w:lang w:eastAsia="en-US"/>
        </w:rPr>
        <w:t xml:space="preserve">a comprehensive training program for its </w:t>
      </w:r>
      <w:r w:rsidR="00056539">
        <w:rPr>
          <w:rFonts w:ascii="Calibri" w:eastAsia="Calibri" w:hAnsi="Calibri"/>
          <w:sz w:val="22"/>
          <w:szCs w:val="22"/>
          <w:lang w:eastAsia="en-US"/>
        </w:rPr>
        <w:t>Claims Service Officers (</w:t>
      </w:r>
      <w:r w:rsidRPr="00A0719D">
        <w:rPr>
          <w:rFonts w:ascii="Calibri" w:eastAsia="Calibri" w:hAnsi="Calibri"/>
          <w:sz w:val="22"/>
          <w:szCs w:val="22"/>
          <w:lang w:eastAsia="en-US"/>
        </w:rPr>
        <w:t>CSOs</w:t>
      </w:r>
      <w:r w:rsidR="00056539">
        <w:rPr>
          <w:rFonts w:ascii="Calibri" w:eastAsia="Calibri" w:hAnsi="Calibri"/>
          <w:sz w:val="22"/>
          <w:szCs w:val="22"/>
          <w:lang w:eastAsia="en-US"/>
        </w:rPr>
        <w:t>)</w:t>
      </w:r>
      <w:r w:rsidRPr="00A0719D">
        <w:rPr>
          <w:rFonts w:ascii="Calibri" w:eastAsia="Calibri" w:hAnsi="Calibri"/>
          <w:sz w:val="22"/>
          <w:szCs w:val="22"/>
          <w:lang w:eastAsia="en-US"/>
        </w:rPr>
        <w:t xml:space="preserve"> to arm them with the necessary skills and support tools for their roles.</w:t>
      </w:r>
    </w:p>
    <w:p w:rsidR="00A0719D" w:rsidRPr="00A0719D" w:rsidRDefault="00A0719D" w:rsidP="00A0719D">
      <w:pPr>
        <w:spacing w:after="200" w:line="276" w:lineRule="auto"/>
        <w:rPr>
          <w:rFonts w:ascii="Calibri" w:eastAsia="Calibri" w:hAnsi="Calibri"/>
          <w:b/>
          <w:sz w:val="22"/>
          <w:szCs w:val="22"/>
          <w:lang w:eastAsia="en-US"/>
        </w:rPr>
      </w:pPr>
      <w:r w:rsidRPr="00A0719D">
        <w:rPr>
          <w:rFonts w:ascii="Calibri" w:eastAsia="Calibri" w:hAnsi="Calibri"/>
          <w:b/>
          <w:sz w:val="22"/>
          <w:szCs w:val="22"/>
          <w:lang w:eastAsia="en-US"/>
        </w:rPr>
        <w:t>Recommendation 19</w:t>
      </w:r>
    </w:p>
    <w:p w:rsidR="00A0719D" w:rsidRPr="00A0719D" w:rsidRDefault="00A0719D" w:rsidP="00A0719D">
      <w:pPr>
        <w:spacing w:after="200" w:line="276" w:lineRule="auto"/>
        <w:rPr>
          <w:rFonts w:ascii="Calibri" w:eastAsia="Calibri" w:hAnsi="Calibri"/>
          <w:sz w:val="22"/>
          <w:szCs w:val="22"/>
          <w:lang w:eastAsia="en-US"/>
        </w:rPr>
      </w:pPr>
      <w:r w:rsidRPr="00A0719D">
        <w:rPr>
          <w:rFonts w:ascii="Calibri" w:eastAsia="Calibri" w:hAnsi="Calibri"/>
          <w:sz w:val="22"/>
          <w:szCs w:val="22"/>
          <w:lang w:eastAsia="en-US"/>
        </w:rPr>
        <w:t>Comcare collaborate with premium payers to develop a shared understanding of the processes to be adopted and the outcomes to be achieved by the High Risk Claims Management initiative.</w:t>
      </w:r>
    </w:p>
    <w:p w:rsidR="00A0719D" w:rsidRPr="00A0719D" w:rsidRDefault="00A0719D" w:rsidP="00A0719D">
      <w:pPr>
        <w:spacing w:after="200" w:line="276" w:lineRule="auto"/>
        <w:rPr>
          <w:rFonts w:ascii="Calibri" w:eastAsia="Calibri" w:hAnsi="Calibri"/>
          <w:sz w:val="22"/>
          <w:szCs w:val="22"/>
          <w:lang w:eastAsia="en-US"/>
        </w:rPr>
      </w:pPr>
      <w:r w:rsidRPr="00A0719D">
        <w:rPr>
          <w:rFonts w:ascii="Calibri" w:eastAsia="Calibri" w:hAnsi="Calibri"/>
          <w:b/>
          <w:sz w:val="22"/>
          <w:szCs w:val="22"/>
          <w:lang w:eastAsia="en-US"/>
        </w:rPr>
        <w:t>Recommendation 20</w:t>
      </w:r>
    </w:p>
    <w:p w:rsidR="00A0719D" w:rsidRPr="00A0719D" w:rsidRDefault="00A0719D" w:rsidP="00A0719D">
      <w:pPr>
        <w:spacing w:after="200" w:line="276" w:lineRule="auto"/>
        <w:rPr>
          <w:rFonts w:ascii="Calibri" w:eastAsia="Calibri" w:hAnsi="Calibri"/>
          <w:sz w:val="22"/>
          <w:szCs w:val="22"/>
          <w:lang w:eastAsia="en-US"/>
        </w:rPr>
      </w:pPr>
      <w:r w:rsidRPr="00A0719D">
        <w:rPr>
          <w:rFonts w:ascii="Calibri" w:eastAsia="Calibri" w:hAnsi="Calibri"/>
          <w:sz w:val="22"/>
          <w:szCs w:val="22"/>
          <w:lang w:eastAsia="en-US"/>
        </w:rPr>
        <w:t>Comcare expand its Clinical Panel resources to enable more timely treatment reviews of all current and new claims.</w:t>
      </w:r>
    </w:p>
    <w:p w:rsidR="00A0719D" w:rsidRPr="00A0719D" w:rsidRDefault="00A0719D" w:rsidP="00A0719D">
      <w:pPr>
        <w:spacing w:after="200" w:line="276" w:lineRule="auto"/>
        <w:rPr>
          <w:rFonts w:ascii="Calibri" w:eastAsia="Calibri" w:hAnsi="Calibri"/>
          <w:sz w:val="22"/>
          <w:szCs w:val="22"/>
          <w:lang w:eastAsia="en-US"/>
        </w:rPr>
      </w:pPr>
      <w:r w:rsidRPr="00A0719D">
        <w:rPr>
          <w:rFonts w:ascii="Calibri" w:eastAsia="Calibri" w:hAnsi="Calibri"/>
          <w:sz w:val="22"/>
          <w:szCs w:val="22"/>
          <w:lang w:eastAsia="en-US"/>
        </w:rPr>
        <w:t>The Hanks Review should consider reviewing the medical treatment provisions of the SRC Act to provide a stronger emphasis on the provision of evidence based treatment.</w:t>
      </w:r>
    </w:p>
    <w:p w:rsidR="00A0719D" w:rsidRPr="00A0719D" w:rsidRDefault="00A0719D" w:rsidP="00A0719D">
      <w:pPr>
        <w:spacing w:after="200" w:line="276" w:lineRule="auto"/>
        <w:rPr>
          <w:rFonts w:ascii="Calibri" w:eastAsia="Calibri" w:hAnsi="Calibri"/>
          <w:sz w:val="22"/>
          <w:szCs w:val="22"/>
          <w:lang w:eastAsia="en-US"/>
        </w:rPr>
      </w:pPr>
      <w:r w:rsidRPr="00A0719D">
        <w:rPr>
          <w:rFonts w:ascii="Calibri" w:eastAsia="Calibri" w:hAnsi="Calibri"/>
          <w:b/>
          <w:sz w:val="22"/>
          <w:szCs w:val="22"/>
          <w:lang w:eastAsia="en-US"/>
        </w:rPr>
        <w:t>Recommendation 21</w:t>
      </w:r>
    </w:p>
    <w:p w:rsidR="00A0719D" w:rsidRPr="00A0719D" w:rsidRDefault="00A0719D" w:rsidP="00A0719D">
      <w:pPr>
        <w:spacing w:after="200" w:line="276" w:lineRule="auto"/>
        <w:rPr>
          <w:rFonts w:ascii="Calibri" w:eastAsia="Calibri" w:hAnsi="Calibri"/>
          <w:sz w:val="22"/>
          <w:szCs w:val="22"/>
          <w:lang w:eastAsia="en-US"/>
        </w:rPr>
      </w:pPr>
      <w:r w:rsidRPr="00A0719D">
        <w:rPr>
          <w:rFonts w:ascii="Calibri" w:eastAsia="Calibri" w:hAnsi="Calibri"/>
          <w:sz w:val="22"/>
          <w:szCs w:val="22"/>
          <w:lang w:eastAsia="en-US"/>
        </w:rPr>
        <w:t>As part of the enhanced regulatory framework for Comcare proposed in this Report, Audit Committee reports should be made available to the SRCC.</w:t>
      </w:r>
    </w:p>
    <w:p w:rsidR="00A0719D" w:rsidRPr="00A0719D" w:rsidRDefault="00A0719D" w:rsidP="00A0719D">
      <w:pPr>
        <w:spacing w:after="200" w:line="276" w:lineRule="auto"/>
        <w:rPr>
          <w:rFonts w:ascii="Calibri" w:eastAsia="Calibri" w:hAnsi="Calibri"/>
          <w:sz w:val="22"/>
          <w:szCs w:val="22"/>
          <w:lang w:eastAsia="en-US"/>
        </w:rPr>
      </w:pPr>
      <w:r w:rsidRPr="00A0719D">
        <w:rPr>
          <w:rFonts w:ascii="Calibri" w:eastAsia="Calibri" w:hAnsi="Calibri"/>
          <w:b/>
          <w:sz w:val="22"/>
          <w:szCs w:val="22"/>
          <w:lang w:eastAsia="en-US"/>
        </w:rPr>
        <w:t>Recommendation 22</w:t>
      </w:r>
    </w:p>
    <w:p w:rsidR="00A0719D" w:rsidRPr="00A0719D" w:rsidRDefault="00A0719D" w:rsidP="00A0719D">
      <w:pPr>
        <w:spacing w:after="200" w:line="276" w:lineRule="auto"/>
        <w:ind w:left="709" w:hanging="709"/>
        <w:rPr>
          <w:rFonts w:ascii="Calibri" w:eastAsia="Calibri" w:hAnsi="Calibri"/>
          <w:sz w:val="22"/>
          <w:szCs w:val="22"/>
          <w:lang w:eastAsia="en-US"/>
        </w:rPr>
      </w:pPr>
      <w:r w:rsidRPr="00A0719D">
        <w:rPr>
          <w:rFonts w:ascii="Calibri" w:eastAsia="Calibri" w:hAnsi="Calibri"/>
          <w:sz w:val="22"/>
          <w:szCs w:val="22"/>
          <w:lang w:eastAsia="en-US"/>
        </w:rPr>
        <w:t>22(a):</w:t>
      </w:r>
      <w:r w:rsidRPr="00A0719D">
        <w:rPr>
          <w:rFonts w:ascii="Calibri" w:eastAsia="Calibri" w:hAnsi="Calibri"/>
          <w:sz w:val="22"/>
          <w:szCs w:val="22"/>
          <w:lang w:eastAsia="en-US"/>
        </w:rPr>
        <w:tab/>
        <w:t xml:space="preserve">All the KPI results reported to the SRCC should be made available to premium payers through publication on </w:t>
      </w:r>
      <w:r w:rsidR="00056539">
        <w:rPr>
          <w:rFonts w:ascii="Calibri" w:eastAsia="Calibri" w:hAnsi="Calibri"/>
          <w:sz w:val="22"/>
          <w:szCs w:val="22"/>
          <w:lang w:eastAsia="en-US"/>
        </w:rPr>
        <w:t>Customer Information System (</w:t>
      </w:r>
      <w:r w:rsidRPr="00A0719D">
        <w:rPr>
          <w:rFonts w:ascii="Calibri" w:eastAsia="Calibri" w:hAnsi="Calibri"/>
          <w:sz w:val="22"/>
          <w:szCs w:val="22"/>
          <w:lang w:eastAsia="en-US"/>
        </w:rPr>
        <w:t>CIS</w:t>
      </w:r>
      <w:r w:rsidR="00056539">
        <w:rPr>
          <w:rFonts w:ascii="Calibri" w:eastAsia="Calibri" w:hAnsi="Calibri"/>
          <w:sz w:val="22"/>
          <w:szCs w:val="22"/>
          <w:lang w:eastAsia="en-US"/>
        </w:rPr>
        <w:t>)</w:t>
      </w:r>
      <w:r w:rsidRPr="00A0719D">
        <w:rPr>
          <w:rFonts w:ascii="Calibri" w:eastAsia="Calibri" w:hAnsi="Calibri"/>
          <w:sz w:val="22"/>
          <w:szCs w:val="22"/>
          <w:lang w:eastAsia="en-US"/>
        </w:rPr>
        <w:t>. This should include a comparison of performance of the premium payer side of the scheme and the licensees to enable premium payers to compare their individual performance with broader Comcare scheme trends.</w:t>
      </w:r>
    </w:p>
    <w:p w:rsidR="00A0719D" w:rsidRPr="00A0719D" w:rsidRDefault="00A0719D" w:rsidP="00A0719D">
      <w:pPr>
        <w:spacing w:after="200" w:line="276" w:lineRule="auto"/>
        <w:ind w:left="709" w:hanging="709"/>
        <w:rPr>
          <w:rFonts w:ascii="Calibri" w:eastAsia="Calibri" w:hAnsi="Calibri"/>
          <w:sz w:val="22"/>
          <w:szCs w:val="22"/>
          <w:lang w:eastAsia="en-US"/>
        </w:rPr>
      </w:pPr>
      <w:r w:rsidRPr="00A0719D">
        <w:rPr>
          <w:rFonts w:ascii="Calibri" w:eastAsia="Calibri" w:hAnsi="Calibri"/>
          <w:sz w:val="22"/>
          <w:szCs w:val="22"/>
          <w:lang w:eastAsia="en-US"/>
        </w:rPr>
        <w:lastRenderedPageBreak/>
        <w:t>22(b):</w:t>
      </w:r>
      <w:r w:rsidRPr="00A0719D">
        <w:rPr>
          <w:rFonts w:ascii="Calibri" w:eastAsia="Calibri" w:hAnsi="Calibri"/>
          <w:sz w:val="22"/>
          <w:szCs w:val="22"/>
          <w:lang w:eastAsia="en-US"/>
        </w:rPr>
        <w:tab/>
        <w:t>Comcare should consider implementing a process to auto-generate key reports for selected premium payers and provide these reports to nominated staff in order to ensure senior management awareness of performance trends.</w:t>
      </w:r>
    </w:p>
    <w:p w:rsidR="00A0719D" w:rsidRPr="00A0719D" w:rsidRDefault="00A0719D" w:rsidP="00A0719D">
      <w:pPr>
        <w:spacing w:after="200" w:line="276" w:lineRule="auto"/>
        <w:ind w:left="709" w:hanging="709"/>
        <w:rPr>
          <w:rFonts w:ascii="Calibri" w:eastAsia="Calibri" w:hAnsi="Calibri"/>
          <w:sz w:val="22"/>
          <w:szCs w:val="22"/>
          <w:lang w:eastAsia="en-US"/>
        </w:rPr>
      </w:pPr>
      <w:r w:rsidRPr="00A0719D">
        <w:rPr>
          <w:rFonts w:ascii="Calibri" w:eastAsia="Calibri" w:hAnsi="Calibri"/>
          <w:sz w:val="22"/>
          <w:szCs w:val="22"/>
          <w:lang w:eastAsia="en-US"/>
        </w:rPr>
        <w:t>22(c):</w:t>
      </w:r>
      <w:r w:rsidRPr="00A0719D">
        <w:rPr>
          <w:rFonts w:ascii="Calibri" w:eastAsia="Calibri" w:hAnsi="Calibri"/>
          <w:sz w:val="22"/>
          <w:szCs w:val="22"/>
          <w:lang w:eastAsia="en-US"/>
        </w:rPr>
        <w:tab/>
        <w:t xml:space="preserve">Reports should be developed to monitor and report on performance against the SRCC endorsed </w:t>
      </w:r>
      <w:r w:rsidR="00A87CB1">
        <w:rPr>
          <w:rFonts w:ascii="Calibri" w:eastAsia="Calibri" w:hAnsi="Calibri"/>
          <w:sz w:val="22"/>
          <w:szCs w:val="22"/>
          <w:lang w:eastAsia="en-US"/>
        </w:rPr>
        <w:t>Key P</w:t>
      </w:r>
      <w:r w:rsidR="00056539">
        <w:rPr>
          <w:rFonts w:ascii="Calibri" w:eastAsia="Calibri" w:hAnsi="Calibri"/>
          <w:sz w:val="22"/>
          <w:szCs w:val="22"/>
          <w:lang w:eastAsia="en-US"/>
        </w:rPr>
        <w:t>erformance Indicators (</w:t>
      </w:r>
      <w:r w:rsidRPr="00A0719D">
        <w:rPr>
          <w:rFonts w:ascii="Calibri" w:eastAsia="Calibri" w:hAnsi="Calibri"/>
          <w:sz w:val="22"/>
          <w:szCs w:val="22"/>
          <w:lang w:eastAsia="en-US"/>
        </w:rPr>
        <w:t>KPIs</w:t>
      </w:r>
      <w:r w:rsidR="00056539">
        <w:rPr>
          <w:rFonts w:ascii="Calibri" w:eastAsia="Calibri" w:hAnsi="Calibri"/>
          <w:sz w:val="22"/>
          <w:szCs w:val="22"/>
          <w:lang w:eastAsia="en-US"/>
        </w:rPr>
        <w:t>)</w:t>
      </w:r>
      <w:r w:rsidRPr="00A0719D">
        <w:rPr>
          <w:rFonts w:ascii="Calibri" w:eastAsia="Calibri" w:hAnsi="Calibri"/>
          <w:sz w:val="22"/>
          <w:szCs w:val="22"/>
          <w:lang w:eastAsia="en-US"/>
        </w:rPr>
        <w:t xml:space="preserve"> and targets at an individual premium payer level. The KPI results for each premium payer and licensee should be made available to them through </w:t>
      </w:r>
      <w:r w:rsidR="00A87CB1">
        <w:rPr>
          <w:rFonts w:ascii="Calibri" w:eastAsia="Calibri" w:hAnsi="Calibri"/>
          <w:sz w:val="22"/>
          <w:szCs w:val="22"/>
          <w:lang w:eastAsia="en-US"/>
        </w:rPr>
        <w:t xml:space="preserve">the </w:t>
      </w:r>
      <w:r w:rsidRPr="00A0719D">
        <w:rPr>
          <w:rFonts w:ascii="Calibri" w:eastAsia="Calibri" w:hAnsi="Calibri"/>
          <w:sz w:val="22"/>
          <w:szCs w:val="22"/>
          <w:lang w:eastAsia="en-US"/>
        </w:rPr>
        <w:t>CIS, along with a comparison with the premium payer side of the scheme and licensees.</w:t>
      </w:r>
    </w:p>
    <w:p w:rsidR="00A0719D" w:rsidRPr="00A0719D" w:rsidRDefault="00A0719D" w:rsidP="00A0719D">
      <w:pPr>
        <w:spacing w:after="200" w:line="276" w:lineRule="auto"/>
        <w:ind w:left="709" w:hanging="709"/>
        <w:rPr>
          <w:rFonts w:ascii="Calibri" w:eastAsia="Calibri" w:hAnsi="Calibri"/>
          <w:sz w:val="22"/>
          <w:szCs w:val="22"/>
          <w:lang w:eastAsia="en-US"/>
        </w:rPr>
      </w:pPr>
      <w:r w:rsidRPr="00A0719D">
        <w:rPr>
          <w:rFonts w:ascii="Calibri" w:eastAsia="Calibri" w:hAnsi="Calibri"/>
          <w:sz w:val="22"/>
          <w:szCs w:val="22"/>
          <w:lang w:eastAsia="en-US"/>
        </w:rPr>
        <w:t>22(d):</w:t>
      </w:r>
      <w:r w:rsidRPr="00A0719D">
        <w:rPr>
          <w:rFonts w:ascii="Calibri" w:eastAsia="Calibri" w:hAnsi="Calibri"/>
          <w:sz w:val="22"/>
          <w:szCs w:val="22"/>
          <w:lang w:eastAsia="en-US"/>
        </w:rPr>
        <w:tab/>
        <w:t>The individual KPI outcomes should be communicated with premium payers and Comcare should work with premium payers to develop and implement plans to improve performance on a case by case basis.</w:t>
      </w:r>
    </w:p>
    <w:p w:rsidR="00A0719D" w:rsidRPr="00A0719D" w:rsidRDefault="00A0719D" w:rsidP="00A0719D">
      <w:pPr>
        <w:spacing w:after="200" w:line="276" w:lineRule="auto"/>
        <w:rPr>
          <w:rFonts w:ascii="Calibri" w:eastAsia="Calibri" w:hAnsi="Calibri"/>
          <w:sz w:val="22"/>
          <w:szCs w:val="22"/>
          <w:lang w:eastAsia="en-US"/>
        </w:rPr>
      </w:pPr>
      <w:r w:rsidRPr="00A0719D">
        <w:rPr>
          <w:rFonts w:ascii="Calibri" w:eastAsia="Calibri" w:hAnsi="Calibri"/>
          <w:b/>
          <w:sz w:val="22"/>
          <w:szCs w:val="22"/>
          <w:lang w:eastAsia="en-US"/>
        </w:rPr>
        <w:t>Recommendation 23</w:t>
      </w:r>
    </w:p>
    <w:p w:rsidR="00A0719D" w:rsidRPr="00A0719D" w:rsidRDefault="00A0719D" w:rsidP="00A0719D">
      <w:pPr>
        <w:spacing w:after="200" w:line="276" w:lineRule="auto"/>
        <w:ind w:left="709" w:hanging="709"/>
        <w:rPr>
          <w:rFonts w:ascii="Calibri" w:eastAsia="Calibri" w:hAnsi="Calibri"/>
          <w:sz w:val="22"/>
          <w:szCs w:val="22"/>
          <w:lang w:eastAsia="en-US"/>
        </w:rPr>
      </w:pPr>
      <w:r w:rsidRPr="00A0719D">
        <w:rPr>
          <w:rFonts w:ascii="Calibri" w:eastAsia="Calibri" w:hAnsi="Calibri"/>
          <w:sz w:val="22"/>
          <w:szCs w:val="22"/>
          <w:lang w:eastAsia="en-US"/>
        </w:rPr>
        <w:t>23(a):</w:t>
      </w:r>
      <w:r w:rsidRPr="00A0719D">
        <w:rPr>
          <w:rFonts w:ascii="Calibri" w:eastAsia="Calibri" w:hAnsi="Calibri"/>
          <w:sz w:val="22"/>
          <w:szCs w:val="22"/>
          <w:lang w:eastAsia="en-US"/>
        </w:rPr>
        <w:tab/>
        <w:t xml:space="preserve">In order to improve claims management outcomes for the premium payer side of the scheme, SRCC should, as part of its improved regulatory framework for Comcare, develop and implement a detailed and structured program to regularly audit </w:t>
      </w:r>
      <w:r w:rsidR="00A87CB1">
        <w:rPr>
          <w:rFonts w:ascii="Calibri" w:eastAsia="Calibri" w:hAnsi="Calibri"/>
          <w:sz w:val="22"/>
          <w:szCs w:val="22"/>
          <w:lang w:eastAsia="en-US"/>
        </w:rPr>
        <w:t xml:space="preserve">and improve </w:t>
      </w:r>
      <w:r w:rsidRPr="00A0719D">
        <w:rPr>
          <w:rFonts w:ascii="Calibri" w:eastAsia="Calibri" w:hAnsi="Calibri"/>
          <w:sz w:val="22"/>
          <w:szCs w:val="22"/>
          <w:lang w:eastAsia="en-US"/>
        </w:rPr>
        <w:t>the claims management systems tool and claims management systems.</w:t>
      </w:r>
    </w:p>
    <w:p w:rsidR="00A0719D" w:rsidRPr="00A0719D" w:rsidRDefault="00A0719D" w:rsidP="00A0719D">
      <w:pPr>
        <w:spacing w:after="200" w:line="276" w:lineRule="auto"/>
        <w:ind w:left="709" w:hanging="709"/>
        <w:rPr>
          <w:rFonts w:ascii="Calibri" w:eastAsia="Calibri" w:hAnsi="Calibri"/>
          <w:sz w:val="22"/>
          <w:szCs w:val="22"/>
          <w:lang w:eastAsia="en-US"/>
        </w:rPr>
      </w:pPr>
      <w:r w:rsidRPr="00A0719D">
        <w:rPr>
          <w:rFonts w:ascii="Calibri" w:eastAsia="Calibri" w:hAnsi="Calibri"/>
          <w:sz w:val="22"/>
          <w:szCs w:val="22"/>
          <w:lang w:eastAsia="en-US"/>
        </w:rPr>
        <w:t>23(b):</w:t>
      </w:r>
      <w:r w:rsidRPr="00A0719D">
        <w:rPr>
          <w:rFonts w:ascii="Calibri" w:eastAsia="Calibri" w:hAnsi="Calibri"/>
          <w:sz w:val="22"/>
          <w:szCs w:val="22"/>
          <w:lang w:eastAsia="en-US"/>
        </w:rPr>
        <w:tab/>
        <w:t>Comcare implement a follow up claims management systems audit conducted by an external firm with experience in conducting similar audits with licensees.</w:t>
      </w:r>
    </w:p>
    <w:p w:rsidR="00A0719D" w:rsidRPr="00A0719D" w:rsidRDefault="00A0719D" w:rsidP="00A0719D">
      <w:pPr>
        <w:spacing w:after="200" w:line="276" w:lineRule="auto"/>
        <w:rPr>
          <w:rFonts w:ascii="Calibri" w:eastAsia="Calibri" w:hAnsi="Calibri"/>
          <w:sz w:val="22"/>
          <w:szCs w:val="22"/>
          <w:lang w:eastAsia="en-US"/>
        </w:rPr>
      </w:pPr>
      <w:r w:rsidRPr="00A0719D">
        <w:rPr>
          <w:rFonts w:ascii="Calibri" w:eastAsia="Calibri" w:hAnsi="Calibri"/>
          <w:b/>
          <w:sz w:val="22"/>
          <w:szCs w:val="22"/>
          <w:lang w:eastAsia="en-US"/>
        </w:rPr>
        <w:t>Recommendation 24</w:t>
      </w:r>
    </w:p>
    <w:p w:rsidR="00A0719D" w:rsidRPr="00A0719D" w:rsidRDefault="00A0719D" w:rsidP="00A0719D">
      <w:pPr>
        <w:spacing w:after="200" w:line="276" w:lineRule="auto"/>
        <w:rPr>
          <w:rFonts w:ascii="Calibri" w:eastAsia="Calibri" w:hAnsi="Calibri"/>
          <w:sz w:val="22"/>
          <w:szCs w:val="22"/>
          <w:lang w:eastAsia="en-US"/>
        </w:rPr>
      </w:pPr>
      <w:r w:rsidRPr="00A0719D">
        <w:rPr>
          <w:rFonts w:ascii="Calibri" w:eastAsia="Calibri" w:hAnsi="Calibri"/>
          <w:sz w:val="22"/>
          <w:szCs w:val="22"/>
          <w:lang w:eastAsia="en-US"/>
        </w:rPr>
        <w:t>Comcare commission an independent performance audit of its ongoing claims management, focussing on:</w:t>
      </w:r>
    </w:p>
    <w:p w:rsidR="00A0719D" w:rsidRPr="00A0719D" w:rsidRDefault="00A0719D" w:rsidP="009C3262">
      <w:pPr>
        <w:numPr>
          <w:ilvl w:val="0"/>
          <w:numId w:val="34"/>
        </w:numPr>
        <w:spacing w:after="200" w:line="276" w:lineRule="auto"/>
        <w:ind w:left="426" w:hanging="426"/>
        <w:rPr>
          <w:rFonts w:ascii="Calibri" w:eastAsia="Calibri" w:hAnsi="Calibri"/>
          <w:sz w:val="22"/>
          <w:szCs w:val="22"/>
          <w:lang w:eastAsia="en-US"/>
        </w:rPr>
      </w:pPr>
      <w:r w:rsidRPr="00A0719D">
        <w:rPr>
          <w:rFonts w:ascii="Calibri" w:eastAsia="Calibri" w:hAnsi="Calibri"/>
          <w:sz w:val="22"/>
          <w:szCs w:val="22"/>
          <w:lang w:eastAsia="en-US"/>
        </w:rPr>
        <w:t>aggravations of pre-existing conditions; and</w:t>
      </w:r>
    </w:p>
    <w:p w:rsidR="00A0719D" w:rsidRPr="00A0719D" w:rsidRDefault="00A0719D" w:rsidP="009C3262">
      <w:pPr>
        <w:numPr>
          <w:ilvl w:val="0"/>
          <w:numId w:val="34"/>
        </w:numPr>
        <w:spacing w:after="200" w:line="276" w:lineRule="auto"/>
        <w:ind w:left="426" w:hanging="426"/>
        <w:rPr>
          <w:rFonts w:ascii="Calibri" w:eastAsia="Calibri" w:hAnsi="Calibri"/>
          <w:sz w:val="22"/>
          <w:szCs w:val="22"/>
          <w:lang w:eastAsia="en-US"/>
        </w:rPr>
      </w:pPr>
      <w:proofErr w:type="gramStart"/>
      <w:r w:rsidRPr="00A0719D">
        <w:rPr>
          <w:rFonts w:ascii="Calibri" w:eastAsia="Calibri" w:hAnsi="Calibri"/>
          <w:sz w:val="22"/>
          <w:szCs w:val="22"/>
          <w:lang w:eastAsia="en-US"/>
        </w:rPr>
        <w:t>secondary</w:t>
      </w:r>
      <w:proofErr w:type="gramEnd"/>
      <w:r w:rsidRPr="00A0719D">
        <w:rPr>
          <w:rFonts w:ascii="Calibri" w:eastAsia="Calibri" w:hAnsi="Calibri"/>
          <w:sz w:val="22"/>
          <w:szCs w:val="22"/>
          <w:lang w:eastAsia="en-US"/>
        </w:rPr>
        <w:t xml:space="preserve"> medical conditions and the like.</w:t>
      </w:r>
    </w:p>
    <w:p w:rsidR="00A0719D" w:rsidRPr="00A0719D" w:rsidRDefault="00A0719D" w:rsidP="00A0719D">
      <w:pPr>
        <w:spacing w:after="200" w:line="276" w:lineRule="auto"/>
        <w:rPr>
          <w:rFonts w:ascii="Calibri" w:eastAsia="Calibri" w:hAnsi="Calibri"/>
          <w:sz w:val="22"/>
          <w:szCs w:val="22"/>
          <w:lang w:eastAsia="en-US"/>
        </w:rPr>
      </w:pPr>
      <w:r w:rsidRPr="00A0719D">
        <w:rPr>
          <w:rFonts w:ascii="Calibri" w:eastAsia="Calibri" w:hAnsi="Calibri"/>
          <w:sz w:val="22"/>
          <w:szCs w:val="22"/>
          <w:lang w:eastAsia="en-US"/>
        </w:rPr>
        <w:t>This audit should contain an examination of better practice in this area.</w:t>
      </w:r>
    </w:p>
    <w:p w:rsidR="00A0719D" w:rsidRPr="00A0719D" w:rsidRDefault="00A0719D" w:rsidP="00A0719D">
      <w:pPr>
        <w:spacing w:after="200" w:line="276" w:lineRule="auto"/>
        <w:rPr>
          <w:rFonts w:ascii="Calibri" w:eastAsia="Calibri" w:hAnsi="Calibri"/>
          <w:sz w:val="22"/>
          <w:szCs w:val="22"/>
          <w:lang w:eastAsia="en-US"/>
        </w:rPr>
      </w:pPr>
      <w:r w:rsidRPr="00A0719D">
        <w:rPr>
          <w:rFonts w:ascii="Calibri" w:eastAsia="Calibri" w:hAnsi="Calibri"/>
          <w:sz w:val="22"/>
          <w:szCs w:val="22"/>
          <w:lang w:eastAsia="en-US"/>
        </w:rPr>
        <w:t>Comcare should develop KPIs that monitor performance in the ongoing management of claims.</w:t>
      </w:r>
    </w:p>
    <w:p w:rsidR="00A0719D" w:rsidRPr="00A0719D" w:rsidRDefault="00A0719D" w:rsidP="00A0719D">
      <w:pPr>
        <w:spacing w:after="200" w:line="276" w:lineRule="auto"/>
        <w:rPr>
          <w:rFonts w:ascii="Calibri" w:eastAsia="Calibri" w:hAnsi="Calibri"/>
          <w:sz w:val="22"/>
          <w:szCs w:val="22"/>
          <w:lang w:eastAsia="en-US"/>
        </w:rPr>
      </w:pPr>
      <w:r w:rsidRPr="00A0719D">
        <w:rPr>
          <w:rFonts w:ascii="Calibri" w:eastAsia="Calibri" w:hAnsi="Calibri"/>
          <w:b/>
          <w:sz w:val="22"/>
          <w:szCs w:val="22"/>
          <w:lang w:eastAsia="en-US"/>
        </w:rPr>
        <w:t>Recommendation 25</w:t>
      </w:r>
    </w:p>
    <w:p w:rsidR="00A0719D" w:rsidRPr="00A0719D" w:rsidRDefault="00A0719D" w:rsidP="00A0719D">
      <w:pPr>
        <w:spacing w:after="200" w:line="276" w:lineRule="auto"/>
        <w:rPr>
          <w:rFonts w:ascii="Calibri" w:eastAsia="Calibri" w:hAnsi="Calibri"/>
          <w:sz w:val="22"/>
          <w:szCs w:val="22"/>
          <w:lang w:eastAsia="en-US"/>
        </w:rPr>
      </w:pPr>
      <w:r w:rsidRPr="00A0719D">
        <w:rPr>
          <w:rFonts w:ascii="Calibri" w:eastAsia="Calibri" w:hAnsi="Calibri"/>
          <w:sz w:val="22"/>
          <w:szCs w:val="22"/>
          <w:lang w:eastAsia="en-US"/>
        </w:rPr>
        <w:t>Comcare commission an independent performance audit of its calculation of incapacity payments, in particular:</w:t>
      </w:r>
    </w:p>
    <w:p w:rsidR="00A0719D" w:rsidRPr="00A0719D" w:rsidRDefault="00A0719D" w:rsidP="00A0719D">
      <w:pPr>
        <w:numPr>
          <w:ilvl w:val="0"/>
          <w:numId w:val="34"/>
        </w:numPr>
        <w:spacing w:after="200" w:line="276" w:lineRule="auto"/>
        <w:ind w:left="426" w:hanging="426"/>
        <w:rPr>
          <w:rFonts w:ascii="Calibri" w:eastAsia="Calibri" w:hAnsi="Calibri"/>
          <w:sz w:val="22"/>
          <w:szCs w:val="22"/>
          <w:lang w:eastAsia="en-US"/>
        </w:rPr>
      </w:pPr>
      <w:r w:rsidRPr="00A0719D">
        <w:rPr>
          <w:rFonts w:ascii="Calibri" w:eastAsia="Calibri" w:hAnsi="Calibri"/>
          <w:sz w:val="22"/>
          <w:szCs w:val="22"/>
          <w:lang w:eastAsia="en-US"/>
        </w:rPr>
        <w:t>initial calculations;</w:t>
      </w:r>
    </w:p>
    <w:p w:rsidR="00A0719D" w:rsidRPr="00A0719D" w:rsidRDefault="00920A03" w:rsidP="00A0719D">
      <w:pPr>
        <w:numPr>
          <w:ilvl w:val="0"/>
          <w:numId w:val="34"/>
        </w:numPr>
        <w:spacing w:after="200" w:line="276" w:lineRule="auto"/>
        <w:ind w:left="426" w:hanging="426"/>
        <w:rPr>
          <w:rFonts w:ascii="Calibri" w:eastAsia="Calibri" w:hAnsi="Calibri"/>
          <w:sz w:val="22"/>
          <w:szCs w:val="22"/>
          <w:lang w:eastAsia="en-US"/>
        </w:rPr>
      </w:pPr>
      <w:r>
        <w:rPr>
          <w:rFonts w:ascii="Calibri" w:eastAsia="Calibri" w:hAnsi="Calibri"/>
          <w:sz w:val="22"/>
          <w:szCs w:val="22"/>
          <w:lang w:eastAsia="en-US"/>
        </w:rPr>
        <w:t xml:space="preserve">calculations made under Section </w:t>
      </w:r>
      <w:r w:rsidR="00A0719D" w:rsidRPr="00A0719D">
        <w:rPr>
          <w:rFonts w:ascii="Calibri" w:eastAsia="Calibri" w:hAnsi="Calibri"/>
          <w:sz w:val="22"/>
          <w:szCs w:val="22"/>
          <w:lang w:eastAsia="en-US"/>
        </w:rPr>
        <w:t>20, 21, 21A; and</w:t>
      </w:r>
    </w:p>
    <w:p w:rsidR="00A0719D" w:rsidRPr="00A0719D" w:rsidRDefault="00A0719D" w:rsidP="00A0719D">
      <w:pPr>
        <w:numPr>
          <w:ilvl w:val="0"/>
          <w:numId w:val="34"/>
        </w:numPr>
        <w:spacing w:after="200" w:line="276" w:lineRule="auto"/>
        <w:ind w:left="426" w:hanging="426"/>
        <w:rPr>
          <w:rFonts w:ascii="Calibri" w:eastAsia="Calibri" w:hAnsi="Calibri"/>
          <w:sz w:val="22"/>
          <w:szCs w:val="22"/>
          <w:lang w:eastAsia="en-US"/>
        </w:rPr>
      </w:pPr>
      <w:proofErr w:type="gramStart"/>
      <w:r w:rsidRPr="00A0719D">
        <w:rPr>
          <w:rFonts w:ascii="Calibri" w:eastAsia="Calibri" w:hAnsi="Calibri"/>
          <w:sz w:val="22"/>
          <w:szCs w:val="22"/>
          <w:lang w:eastAsia="en-US"/>
        </w:rPr>
        <w:t>supporting</w:t>
      </w:r>
      <w:proofErr w:type="gramEnd"/>
      <w:r w:rsidRPr="00A0719D">
        <w:rPr>
          <w:rFonts w:ascii="Calibri" w:eastAsia="Calibri" w:hAnsi="Calibri"/>
          <w:sz w:val="22"/>
          <w:szCs w:val="22"/>
          <w:lang w:eastAsia="en-US"/>
        </w:rPr>
        <w:t xml:space="preserve"> processes such as </w:t>
      </w:r>
      <w:r w:rsidR="00920A03">
        <w:rPr>
          <w:rFonts w:ascii="Calibri" w:eastAsia="Calibri" w:hAnsi="Calibri"/>
          <w:sz w:val="22"/>
          <w:szCs w:val="22"/>
          <w:lang w:eastAsia="en-US"/>
        </w:rPr>
        <w:t>Section</w:t>
      </w:r>
      <w:r w:rsidRPr="00A0719D">
        <w:rPr>
          <w:rFonts w:ascii="Calibri" w:eastAsia="Calibri" w:hAnsi="Calibri"/>
          <w:sz w:val="22"/>
          <w:szCs w:val="22"/>
          <w:lang w:eastAsia="en-US"/>
        </w:rPr>
        <w:t xml:space="preserve"> 8 determinations and notifications under </w:t>
      </w:r>
      <w:r w:rsidR="00920A03">
        <w:rPr>
          <w:rFonts w:ascii="Calibri" w:eastAsia="Calibri" w:hAnsi="Calibri"/>
          <w:sz w:val="22"/>
          <w:szCs w:val="22"/>
          <w:lang w:eastAsia="en-US"/>
        </w:rPr>
        <w:t>Section</w:t>
      </w:r>
      <w:r w:rsidR="00912BD9">
        <w:rPr>
          <w:rFonts w:ascii="Calibri" w:eastAsia="Calibri" w:hAnsi="Calibri"/>
          <w:sz w:val="22"/>
          <w:szCs w:val="22"/>
          <w:lang w:eastAsia="en-US"/>
        </w:rPr>
        <w:t xml:space="preserve"> </w:t>
      </w:r>
      <w:r w:rsidRPr="00A0719D">
        <w:rPr>
          <w:rFonts w:ascii="Calibri" w:eastAsia="Calibri" w:hAnsi="Calibri"/>
          <w:sz w:val="22"/>
          <w:szCs w:val="22"/>
          <w:lang w:eastAsia="en-US"/>
        </w:rPr>
        <w:t>114B.</w:t>
      </w:r>
    </w:p>
    <w:p w:rsidR="00A0719D" w:rsidRPr="00A0719D" w:rsidRDefault="00A0719D" w:rsidP="00A0719D">
      <w:pPr>
        <w:spacing w:after="200" w:line="276" w:lineRule="auto"/>
        <w:rPr>
          <w:rFonts w:ascii="Calibri" w:eastAsia="Calibri" w:hAnsi="Calibri"/>
          <w:sz w:val="22"/>
          <w:szCs w:val="22"/>
          <w:lang w:eastAsia="en-US"/>
        </w:rPr>
      </w:pPr>
      <w:r w:rsidRPr="00A0719D">
        <w:rPr>
          <w:rFonts w:ascii="Calibri" w:eastAsia="Calibri" w:hAnsi="Calibri"/>
          <w:sz w:val="22"/>
          <w:szCs w:val="22"/>
          <w:lang w:eastAsia="en-US"/>
        </w:rPr>
        <w:t>This audit should also contain an examination of better practice in this area.</w:t>
      </w:r>
    </w:p>
    <w:p w:rsidR="0073626D" w:rsidRDefault="0073626D" w:rsidP="00A0719D">
      <w:pPr>
        <w:spacing w:after="200" w:line="276" w:lineRule="auto"/>
        <w:rPr>
          <w:rFonts w:ascii="Calibri" w:eastAsia="Calibri" w:hAnsi="Calibri"/>
          <w:b/>
          <w:sz w:val="22"/>
          <w:szCs w:val="22"/>
          <w:lang w:eastAsia="en-US"/>
        </w:rPr>
      </w:pPr>
    </w:p>
    <w:p w:rsidR="00A0719D" w:rsidRPr="00A0719D" w:rsidRDefault="00A0719D" w:rsidP="00A0719D">
      <w:pPr>
        <w:spacing w:after="200" w:line="276" w:lineRule="auto"/>
        <w:rPr>
          <w:rFonts w:ascii="Calibri" w:eastAsia="Calibri" w:hAnsi="Calibri"/>
          <w:b/>
          <w:sz w:val="22"/>
          <w:szCs w:val="22"/>
          <w:lang w:eastAsia="en-US"/>
        </w:rPr>
      </w:pPr>
      <w:r w:rsidRPr="00A0719D">
        <w:rPr>
          <w:rFonts w:ascii="Calibri" w:eastAsia="Calibri" w:hAnsi="Calibri"/>
          <w:b/>
          <w:sz w:val="22"/>
          <w:szCs w:val="22"/>
          <w:lang w:eastAsia="en-US"/>
        </w:rPr>
        <w:lastRenderedPageBreak/>
        <w:t xml:space="preserve">Recommendation </w:t>
      </w:r>
      <w:r w:rsidR="0073626D" w:rsidRPr="00A0719D">
        <w:rPr>
          <w:rFonts w:ascii="Calibri" w:eastAsia="Calibri" w:hAnsi="Calibri"/>
          <w:b/>
          <w:sz w:val="22"/>
          <w:szCs w:val="22"/>
          <w:lang w:eastAsia="en-US"/>
        </w:rPr>
        <w:t>2</w:t>
      </w:r>
      <w:r w:rsidR="0073626D">
        <w:rPr>
          <w:rFonts w:ascii="Calibri" w:eastAsia="Calibri" w:hAnsi="Calibri"/>
          <w:b/>
          <w:sz w:val="22"/>
          <w:szCs w:val="22"/>
          <w:lang w:eastAsia="en-US"/>
        </w:rPr>
        <w:t>6</w:t>
      </w:r>
    </w:p>
    <w:p w:rsidR="00A0719D" w:rsidRPr="00A0719D" w:rsidRDefault="00A0719D" w:rsidP="009C3262">
      <w:pPr>
        <w:spacing w:after="200" w:line="276" w:lineRule="auto"/>
        <w:ind w:left="426" w:hanging="426"/>
        <w:rPr>
          <w:rFonts w:ascii="Calibri" w:eastAsia="Calibri" w:hAnsi="Calibri"/>
          <w:sz w:val="22"/>
          <w:szCs w:val="22"/>
          <w:lang w:eastAsia="en-US"/>
        </w:rPr>
      </w:pPr>
      <w:r w:rsidRPr="00A0719D">
        <w:rPr>
          <w:rFonts w:ascii="Calibri" w:eastAsia="Calibri" w:hAnsi="Calibri"/>
          <w:sz w:val="22"/>
          <w:szCs w:val="22"/>
          <w:lang w:eastAsia="en-US"/>
        </w:rPr>
        <w:t>•</w:t>
      </w:r>
      <w:r w:rsidRPr="00A0719D">
        <w:rPr>
          <w:rFonts w:ascii="Calibri" w:eastAsia="Calibri" w:hAnsi="Calibri"/>
          <w:sz w:val="22"/>
          <w:szCs w:val="22"/>
          <w:lang w:eastAsia="en-US"/>
        </w:rPr>
        <w:tab/>
        <w:t xml:space="preserve">Comcare </w:t>
      </w:r>
      <w:proofErr w:type="gramStart"/>
      <w:r w:rsidRPr="00A0719D">
        <w:rPr>
          <w:rFonts w:ascii="Calibri" w:eastAsia="Calibri" w:hAnsi="Calibri"/>
          <w:sz w:val="22"/>
          <w:szCs w:val="22"/>
          <w:lang w:eastAsia="en-US"/>
        </w:rPr>
        <w:t>be</w:t>
      </w:r>
      <w:proofErr w:type="gramEnd"/>
      <w:r w:rsidRPr="00A0719D">
        <w:rPr>
          <w:rFonts w:ascii="Calibri" w:eastAsia="Calibri" w:hAnsi="Calibri"/>
          <w:sz w:val="22"/>
          <w:szCs w:val="22"/>
          <w:lang w:eastAsia="en-US"/>
        </w:rPr>
        <w:t xml:space="preserve"> converted to an FMA Act agency to resolve the complexities and inconsistencies around Comcare as a CAC Act body, while allowing Comcare to retain as little or as much independence to conduct its business as the Government deems appropriate.</w:t>
      </w:r>
    </w:p>
    <w:p w:rsidR="00A0719D" w:rsidRPr="00A0719D" w:rsidRDefault="00A0719D" w:rsidP="009C3262">
      <w:pPr>
        <w:spacing w:after="200" w:line="276" w:lineRule="auto"/>
        <w:ind w:left="426" w:hanging="426"/>
        <w:rPr>
          <w:rFonts w:ascii="Calibri" w:eastAsia="Calibri" w:hAnsi="Calibri"/>
          <w:sz w:val="22"/>
          <w:szCs w:val="22"/>
          <w:lang w:eastAsia="en-US"/>
        </w:rPr>
      </w:pPr>
      <w:r w:rsidRPr="00A0719D">
        <w:rPr>
          <w:rFonts w:ascii="Calibri" w:eastAsia="Calibri" w:hAnsi="Calibri"/>
          <w:sz w:val="22"/>
          <w:szCs w:val="22"/>
          <w:lang w:eastAsia="en-US"/>
        </w:rPr>
        <w:t>•</w:t>
      </w:r>
      <w:r w:rsidRPr="00A0719D">
        <w:rPr>
          <w:rFonts w:ascii="Calibri" w:eastAsia="Calibri" w:hAnsi="Calibri"/>
          <w:sz w:val="22"/>
          <w:szCs w:val="22"/>
          <w:lang w:eastAsia="en-US"/>
        </w:rPr>
        <w:tab/>
        <w:t>As part of converting Comcare to an FMA Act agency, consideration be given to establishing an advisory board, made up of industry experts, for the purposes of advising and supporting the Chief Executive.</w:t>
      </w:r>
    </w:p>
    <w:p w:rsidR="00A0719D" w:rsidRPr="00A0719D" w:rsidRDefault="00A0719D" w:rsidP="00A0719D">
      <w:pPr>
        <w:spacing w:after="200" w:line="276" w:lineRule="auto"/>
        <w:rPr>
          <w:rFonts w:ascii="Calibri" w:eastAsia="Calibri" w:hAnsi="Calibri"/>
          <w:b/>
          <w:sz w:val="22"/>
          <w:szCs w:val="22"/>
          <w:lang w:eastAsia="en-US"/>
        </w:rPr>
      </w:pPr>
      <w:r w:rsidRPr="00A0719D">
        <w:rPr>
          <w:rFonts w:ascii="Calibri" w:eastAsia="Calibri" w:hAnsi="Calibri"/>
          <w:b/>
          <w:sz w:val="22"/>
          <w:szCs w:val="22"/>
          <w:lang w:eastAsia="en-US"/>
        </w:rPr>
        <w:t xml:space="preserve">Recommendation </w:t>
      </w:r>
      <w:r w:rsidR="0073626D" w:rsidRPr="00A0719D">
        <w:rPr>
          <w:rFonts w:ascii="Calibri" w:eastAsia="Calibri" w:hAnsi="Calibri"/>
          <w:b/>
          <w:sz w:val="22"/>
          <w:szCs w:val="22"/>
          <w:lang w:eastAsia="en-US"/>
        </w:rPr>
        <w:t>2</w:t>
      </w:r>
      <w:r w:rsidR="0073626D">
        <w:rPr>
          <w:rFonts w:ascii="Calibri" w:eastAsia="Calibri" w:hAnsi="Calibri"/>
          <w:b/>
          <w:sz w:val="22"/>
          <w:szCs w:val="22"/>
          <w:lang w:eastAsia="en-US"/>
        </w:rPr>
        <w:t>7</w:t>
      </w:r>
    </w:p>
    <w:p w:rsidR="00A0719D" w:rsidRPr="00A0719D" w:rsidRDefault="00A0719D" w:rsidP="009C3262">
      <w:pPr>
        <w:numPr>
          <w:ilvl w:val="0"/>
          <w:numId w:val="36"/>
        </w:numPr>
        <w:spacing w:after="200" w:line="276" w:lineRule="auto"/>
        <w:ind w:left="426" w:hanging="426"/>
        <w:rPr>
          <w:rFonts w:ascii="Calibri" w:eastAsia="Calibri" w:hAnsi="Calibri"/>
          <w:sz w:val="22"/>
          <w:szCs w:val="22"/>
          <w:lang w:eastAsia="en-US"/>
        </w:rPr>
      </w:pPr>
      <w:r w:rsidRPr="00A0719D">
        <w:rPr>
          <w:rFonts w:ascii="Calibri" w:eastAsia="Calibri" w:hAnsi="Calibri"/>
          <w:sz w:val="22"/>
          <w:szCs w:val="22"/>
          <w:lang w:eastAsia="en-US"/>
        </w:rPr>
        <w:t>The Commonwealth Government’s role in providing supplementary funding to Comcare when its liabilities exceed its assets should be clearly established;</w:t>
      </w:r>
    </w:p>
    <w:p w:rsidR="00A0719D" w:rsidRPr="00A0719D" w:rsidRDefault="00A0719D" w:rsidP="009C3262">
      <w:pPr>
        <w:numPr>
          <w:ilvl w:val="0"/>
          <w:numId w:val="36"/>
        </w:numPr>
        <w:spacing w:after="200" w:line="276" w:lineRule="auto"/>
        <w:ind w:left="426" w:hanging="426"/>
        <w:rPr>
          <w:rFonts w:ascii="Calibri" w:eastAsia="Calibri" w:hAnsi="Calibri"/>
          <w:sz w:val="22"/>
          <w:szCs w:val="22"/>
          <w:lang w:eastAsia="en-US"/>
        </w:rPr>
      </w:pPr>
      <w:r w:rsidRPr="00A0719D">
        <w:rPr>
          <w:rFonts w:ascii="Calibri" w:eastAsia="Calibri" w:hAnsi="Calibri"/>
          <w:sz w:val="22"/>
          <w:szCs w:val="22"/>
          <w:lang w:eastAsia="en-US"/>
        </w:rPr>
        <w:t>Comcare should work with DEEWR to finalise the prudential management strategy;</w:t>
      </w:r>
    </w:p>
    <w:p w:rsidR="00A0719D" w:rsidRPr="00A0719D" w:rsidRDefault="00A0719D" w:rsidP="009C3262">
      <w:pPr>
        <w:numPr>
          <w:ilvl w:val="0"/>
          <w:numId w:val="36"/>
        </w:numPr>
        <w:spacing w:after="200" w:line="276" w:lineRule="auto"/>
        <w:ind w:left="426" w:hanging="426"/>
        <w:rPr>
          <w:rFonts w:ascii="Calibri" w:eastAsia="Calibri" w:hAnsi="Calibri"/>
          <w:sz w:val="22"/>
          <w:szCs w:val="22"/>
          <w:lang w:eastAsia="en-US"/>
        </w:rPr>
      </w:pPr>
      <w:r w:rsidRPr="00A0719D">
        <w:rPr>
          <w:rFonts w:ascii="Calibri" w:eastAsia="Calibri" w:hAnsi="Calibri"/>
          <w:sz w:val="22"/>
          <w:szCs w:val="22"/>
          <w:lang w:eastAsia="en-US"/>
        </w:rPr>
        <w:t xml:space="preserve">Consideration should be given to amending the SRC Act to enable Comcare to recognise the full value of the premium fund assets in the CRF in its financial statements; </w:t>
      </w:r>
    </w:p>
    <w:p w:rsidR="00A0719D" w:rsidRPr="00A0719D" w:rsidRDefault="00A0719D" w:rsidP="009C3262">
      <w:pPr>
        <w:numPr>
          <w:ilvl w:val="0"/>
          <w:numId w:val="36"/>
        </w:numPr>
        <w:spacing w:after="200" w:line="276" w:lineRule="auto"/>
        <w:ind w:left="426" w:hanging="426"/>
        <w:rPr>
          <w:rFonts w:ascii="Calibri" w:eastAsia="Calibri" w:hAnsi="Calibri"/>
          <w:sz w:val="22"/>
          <w:szCs w:val="22"/>
          <w:lang w:eastAsia="en-US"/>
        </w:rPr>
      </w:pPr>
      <w:r w:rsidRPr="00A0719D">
        <w:rPr>
          <w:rFonts w:ascii="Calibri" w:eastAsia="Calibri" w:hAnsi="Calibri"/>
          <w:sz w:val="22"/>
          <w:szCs w:val="22"/>
          <w:lang w:eastAsia="en-US"/>
        </w:rPr>
        <w:t>Comcare should report a 75 per cent probability of sufficiency for its liability reserving basis in its financial reports; and</w:t>
      </w:r>
    </w:p>
    <w:p w:rsidR="00A0719D" w:rsidRPr="00A0719D" w:rsidRDefault="00A0719D" w:rsidP="009C3262">
      <w:pPr>
        <w:numPr>
          <w:ilvl w:val="0"/>
          <w:numId w:val="36"/>
        </w:numPr>
        <w:spacing w:after="200" w:line="276" w:lineRule="auto"/>
        <w:ind w:left="426" w:hanging="426"/>
        <w:rPr>
          <w:rFonts w:ascii="Calibri" w:eastAsia="Calibri" w:hAnsi="Calibri"/>
          <w:sz w:val="22"/>
          <w:szCs w:val="22"/>
          <w:lang w:eastAsia="en-US"/>
        </w:rPr>
      </w:pPr>
      <w:r w:rsidRPr="00A0719D">
        <w:rPr>
          <w:rFonts w:ascii="Calibri" w:eastAsia="Calibri" w:hAnsi="Calibri"/>
          <w:sz w:val="22"/>
          <w:szCs w:val="22"/>
          <w:lang w:eastAsia="en-US"/>
        </w:rPr>
        <w:t xml:space="preserve">The SRC Act should be amended to make it clear to what extent the Government is able to provide supplementary funding to the Comcare premium-funded scheme (over and above the provisions in </w:t>
      </w:r>
      <w:r w:rsidR="00920A03">
        <w:rPr>
          <w:rFonts w:ascii="Calibri" w:eastAsia="Calibri" w:hAnsi="Calibri"/>
          <w:sz w:val="22"/>
          <w:szCs w:val="22"/>
          <w:lang w:eastAsia="en-US"/>
        </w:rPr>
        <w:t>Section</w:t>
      </w:r>
      <w:r w:rsidRPr="00A0719D">
        <w:rPr>
          <w:rFonts w:ascii="Calibri" w:eastAsia="Calibri" w:hAnsi="Calibri"/>
          <w:sz w:val="22"/>
          <w:szCs w:val="22"/>
          <w:lang w:eastAsia="en-US"/>
        </w:rPr>
        <w:t xml:space="preserve"> </w:t>
      </w:r>
      <w:proofErr w:type="gramStart"/>
      <w:r w:rsidRPr="00A0719D">
        <w:rPr>
          <w:rFonts w:ascii="Calibri" w:eastAsia="Calibri" w:hAnsi="Calibri"/>
          <w:sz w:val="22"/>
          <w:szCs w:val="22"/>
          <w:lang w:eastAsia="en-US"/>
        </w:rPr>
        <w:t>90C(</w:t>
      </w:r>
      <w:proofErr w:type="gramEnd"/>
      <w:r w:rsidRPr="00A0719D">
        <w:rPr>
          <w:rFonts w:ascii="Calibri" w:eastAsia="Calibri" w:hAnsi="Calibri"/>
          <w:sz w:val="22"/>
          <w:szCs w:val="22"/>
          <w:lang w:eastAsia="en-US"/>
        </w:rPr>
        <w:t>3)) in the event of a catastrophe.</w:t>
      </w:r>
    </w:p>
    <w:p w:rsidR="00A0719D" w:rsidRPr="00A0719D" w:rsidRDefault="00A0719D" w:rsidP="00A0719D">
      <w:pPr>
        <w:spacing w:after="200" w:line="276" w:lineRule="auto"/>
        <w:rPr>
          <w:rFonts w:ascii="Calibri" w:eastAsia="Calibri" w:hAnsi="Calibri"/>
          <w:b/>
          <w:sz w:val="22"/>
          <w:szCs w:val="22"/>
          <w:lang w:eastAsia="en-US"/>
        </w:rPr>
      </w:pPr>
      <w:r w:rsidRPr="00A0719D">
        <w:rPr>
          <w:rFonts w:ascii="Calibri" w:eastAsia="Calibri" w:hAnsi="Calibri"/>
          <w:b/>
          <w:sz w:val="22"/>
          <w:szCs w:val="22"/>
          <w:lang w:eastAsia="en-US"/>
        </w:rPr>
        <w:t xml:space="preserve">Recommendation </w:t>
      </w:r>
      <w:r w:rsidR="0073626D" w:rsidRPr="00A0719D">
        <w:rPr>
          <w:rFonts w:ascii="Calibri" w:eastAsia="Calibri" w:hAnsi="Calibri"/>
          <w:b/>
          <w:sz w:val="22"/>
          <w:szCs w:val="22"/>
          <w:lang w:eastAsia="en-US"/>
        </w:rPr>
        <w:t>2</w:t>
      </w:r>
      <w:r w:rsidR="0073626D">
        <w:rPr>
          <w:rFonts w:ascii="Calibri" w:eastAsia="Calibri" w:hAnsi="Calibri"/>
          <w:b/>
          <w:sz w:val="22"/>
          <w:szCs w:val="22"/>
          <w:lang w:eastAsia="en-US"/>
        </w:rPr>
        <w:t>8</w:t>
      </w:r>
    </w:p>
    <w:p w:rsidR="00A0719D" w:rsidRPr="00A0719D" w:rsidRDefault="00A0719D" w:rsidP="00A0719D">
      <w:pPr>
        <w:spacing w:after="200" w:line="276" w:lineRule="auto"/>
        <w:rPr>
          <w:rFonts w:ascii="Calibri" w:eastAsia="Calibri" w:hAnsi="Calibri"/>
          <w:sz w:val="22"/>
          <w:szCs w:val="22"/>
          <w:lang w:eastAsia="en-US"/>
        </w:rPr>
      </w:pPr>
      <w:r w:rsidRPr="00A0719D">
        <w:rPr>
          <w:rFonts w:ascii="Calibri" w:eastAsia="Calibri" w:hAnsi="Calibri"/>
          <w:sz w:val="22"/>
          <w:szCs w:val="22"/>
          <w:lang w:eastAsia="en-US"/>
        </w:rPr>
        <w:t>Comcare should establish two separate funds (one for the Commonwealth and one for the ACT) in the interests of transparency and to enhance the incentives and price signals.</w:t>
      </w:r>
    </w:p>
    <w:p w:rsidR="00A0719D" w:rsidRPr="00A0719D" w:rsidRDefault="00A0719D" w:rsidP="00A0719D">
      <w:pPr>
        <w:spacing w:after="200" w:line="276" w:lineRule="auto"/>
        <w:rPr>
          <w:rFonts w:ascii="Calibri" w:eastAsia="Calibri" w:hAnsi="Calibri"/>
          <w:b/>
          <w:sz w:val="22"/>
          <w:szCs w:val="22"/>
          <w:lang w:eastAsia="en-US"/>
        </w:rPr>
      </w:pPr>
      <w:r w:rsidRPr="00A0719D">
        <w:rPr>
          <w:rFonts w:ascii="Calibri" w:eastAsia="Calibri" w:hAnsi="Calibri"/>
          <w:b/>
          <w:sz w:val="22"/>
          <w:szCs w:val="22"/>
          <w:lang w:eastAsia="en-US"/>
        </w:rPr>
        <w:t xml:space="preserve">Recommendation </w:t>
      </w:r>
      <w:r w:rsidR="0073626D">
        <w:rPr>
          <w:rFonts w:ascii="Calibri" w:eastAsia="Calibri" w:hAnsi="Calibri"/>
          <w:b/>
          <w:sz w:val="22"/>
          <w:szCs w:val="22"/>
          <w:lang w:eastAsia="en-US"/>
        </w:rPr>
        <w:t>29</w:t>
      </w:r>
    </w:p>
    <w:p w:rsidR="00A0719D" w:rsidRPr="00A0719D" w:rsidRDefault="00A0719D" w:rsidP="00A0719D">
      <w:pPr>
        <w:spacing w:after="200" w:line="276" w:lineRule="auto"/>
        <w:rPr>
          <w:rFonts w:ascii="Calibri" w:eastAsia="Calibri" w:hAnsi="Calibri"/>
          <w:b/>
          <w:sz w:val="22"/>
          <w:szCs w:val="22"/>
          <w:lang w:eastAsia="en-US"/>
        </w:rPr>
      </w:pPr>
      <w:r w:rsidRPr="00A0719D">
        <w:rPr>
          <w:rFonts w:ascii="Calibri" w:eastAsia="Calibri" w:hAnsi="Calibri"/>
          <w:sz w:val="22"/>
          <w:szCs w:val="22"/>
          <w:lang w:eastAsia="en-US"/>
        </w:rPr>
        <w:t xml:space="preserve">Comcare </w:t>
      </w:r>
      <w:r w:rsidR="001611C9">
        <w:rPr>
          <w:rFonts w:ascii="Calibri" w:eastAsia="Calibri" w:hAnsi="Calibri"/>
          <w:sz w:val="22"/>
          <w:szCs w:val="22"/>
          <w:lang w:eastAsia="en-US"/>
        </w:rPr>
        <w:t>conduct</w:t>
      </w:r>
      <w:r w:rsidRPr="00A0719D">
        <w:rPr>
          <w:rFonts w:ascii="Calibri" w:eastAsia="Calibri" w:hAnsi="Calibri"/>
          <w:sz w:val="22"/>
          <w:szCs w:val="22"/>
          <w:lang w:eastAsia="en-US"/>
        </w:rPr>
        <w:t xml:space="preserve"> an information campaign to ensure premium paying agencies have a better understanding of the Premium Framework, especially the inputs into and the methodology used to calculate premiums and the distribution of premiums across agencies.</w:t>
      </w:r>
    </w:p>
    <w:p w:rsidR="00A0719D" w:rsidRPr="00A0719D" w:rsidRDefault="00A0719D" w:rsidP="00A0719D">
      <w:pPr>
        <w:spacing w:after="200" w:line="276" w:lineRule="auto"/>
        <w:rPr>
          <w:rFonts w:ascii="Calibri" w:eastAsia="Calibri" w:hAnsi="Calibri"/>
          <w:b/>
          <w:sz w:val="22"/>
          <w:szCs w:val="22"/>
          <w:lang w:eastAsia="en-US"/>
        </w:rPr>
      </w:pPr>
      <w:r w:rsidRPr="00A0719D">
        <w:rPr>
          <w:rFonts w:ascii="Calibri" w:eastAsia="Calibri" w:hAnsi="Calibri"/>
          <w:b/>
          <w:sz w:val="22"/>
          <w:szCs w:val="22"/>
          <w:lang w:eastAsia="en-US"/>
        </w:rPr>
        <w:t xml:space="preserve">Recommendation </w:t>
      </w:r>
      <w:r w:rsidR="0073626D" w:rsidRPr="00A0719D">
        <w:rPr>
          <w:rFonts w:ascii="Calibri" w:eastAsia="Calibri" w:hAnsi="Calibri"/>
          <w:b/>
          <w:sz w:val="22"/>
          <w:szCs w:val="22"/>
          <w:lang w:eastAsia="en-US"/>
        </w:rPr>
        <w:t>3</w:t>
      </w:r>
      <w:r w:rsidR="0073626D">
        <w:rPr>
          <w:rFonts w:ascii="Calibri" w:eastAsia="Calibri" w:hAnsi="Calibri"/>
          <w:b/>
          <w:sz w:val="22"/>
          <w:szCs w:val="22"/>
          <w:lang w:eastAsia="en-US"/>
        </w:rPr>
        <w:t>0</w:t>
      </w:r>
    </w:p>
    <w:p w:rsidR="00A0719D" w:rsidRPr="00A0719D" w:rsidRDefault="00A0719D" w:rsidP="00A0719D">
      <w:pPr>
        <w:spacing w:after="200" w:line="276" w:lineRule="auto"/>
        <w:rPr>
          <w:rFonts w:ascii="Calibri" w:eastAsia="Calibri" w:hAnsi="Calibri"/>
          <w:b/>
          <w:sz w:val="22"/>
          <w:szCs w:val="22"/>
          <w:lang w:eastAsia="en-US"/>
        </w:rPr>
      </w:pPr>
      <w:r w:rsidRPr="00A0719D">
        <w:rPr>
          <w:rFonts w:ascii="Calibri" w:eastAsia="Calibri" w:hAnsi="Calibri"/>
          <w:sz w:val="22"/>
          <w:szCs w:val="22"/>
          <w:lang w:eastAsia="en-US"/>
        </w:rPr>
        <w:t>In order to assist stakeholders with their budgeting processes, Comcare should develop an estimating tool for use by premium paying stakeholders throughout the financial year to help them understand their likely premium requirements for the upcoming financial year and also consider bringing forward the timing of the premium determination.</w:t>
      </w:r>
    </w:p>
    <w:p w:rsidR="00A0719D" w:rsidRPr="00A0719D" w:rsidRDefault="00A0719D" w:rsidP="00A0719D">
      <w:pPr>
        <w:spacing w:after="200" w:line="276" w:lineRule="auto"/>
        <w:rPr>
          <w:rFonts w:ascii="Calibri" w:eastAsia="Calibri" w:hAnsi="Calibri"/>
          <w:b/>
          <w:sz w:val="22"/>
          <w:szCs w:val="22"/>
          <w:lang w:eastAsia="en-US"/>
        </w:rPr>
      </w:pPr>
      <w:r w:rsidRPr="00A0719D">
        <w:rPr>
          <w:rFonts w:ascii="Calibri" w:eastAsia="Calibri" w:hAnsi="Calibri"/>
          <w:b/>
          <w:sz w:val="22"/>
          <w:szCs w:val="22"/>
          <w:lang w:eastAsia="en-US"/>
        </w:rPr>
        <w:t xml:space="preserve">Recommendation </w:t>
      </w:r>
      <w:r w:rsidR="0073626D" w:rsidRPr="00A0719D">
        <w:rPr>
          <w:rFonts w:ascii="Calibri" w:eastAsia="Calibri" w:hAnsi="Calibri"/>
          <w:b/>
          <w:sz w:val="22"/>
          <w:szCs w:val="22"/>
          <w:lang w:eastAsia="en-US"/>
        </w:rPr>
        <w:t>3</w:t>
      </w:r>
      <w:r w:rsidR="0073626D">
        <w:rPr>
          <w:rFonts w:ascii="Calibri" w:eastAsia="Calibri" w:hAnsi="Calibri"/>
          <w:b/>
          <w:sz w:val="22"/>
          <w:szCs w:val="22"/>
          <w:lang w:eastAsia="en-US"/>
        </w:rPr>
        <w:t>1</w:t>
      </w:r>
    </w:p>
    <w:p w:rsidR="00A0719D" w:rsidRPr="00A0719D" w:rsidRDefault="00A0719D" w:rsidP="00A0719D">
      <w:pPr>
        <w:spacing w:after="200" w:line="276" w:lineRule="auto"/>
        <w:rPr>
          <w:rFonts w:ascii="Calibri" w:eastAsia="Calibri" w:hAnsi="Calibri"/>
          <w:b/>
          <w:sz w:val="22"/>
          <w:szCs w:val="22"/>
          <w:lang w:eastAsia="en-US"/>
        </w:rPr>
      </w:pPr>
      <w:proofErr w:type="gramStart"/>
      <w:r w:rsidRPr="00A0719D">
        <w:rPr>
          <w:rFonts w:ascii="Calibri" w:eastAsia="Calibri" w:hAnsi="Calibri"/>
          <w:sz w:val="22"/>
          <w:szCs w:val="22"/>
          <w:lang w:eastAsia="en-US"/>
        </w:rPr>
        <w:t>Comcare to review its current methodology for determining the yearly licensing fees for licensees and engage in a communication campaign to better educate self-insured licensees on the methodology used.</w:t>
      </w:r>
      <w:proofErr w:type="gramEnd"/>
    </w:p>
    <w:p w:rsidR="00A0719D" w:rsidRPr="00A0719D" w:rsidRDefault="00A0719D" w:rsidP="00A0719D">
      <w:pPr>
        <w:spacing w:after="200" w:line="276" w:lineRule="auto"/>
        <w:rPr>
          <w:rFonts w:ascii="Calibri" w:eastAsia="Calibri" w:hAnsi="Calibri"/>
          <w:b/>
          <w:sz w:val="22"/>
          <w:szCs w:val="22"/>
          <w:lang w:eastAsia="en-US"/>
        </w:rPr>
      </w:pPr>
      <w:r w:rsidRPr="00A0719D">
        <w:rPr>
          <w:rFonts w:ascii="Calibri" w:eastAsia="Calibri" w:hAnsi="Calibri"/>
          <w:b/>
          <w:sz w:val="22"/>
          <w:szCs w:val="22"/>
          <w:lang w:eastAsia="en-US"/>
        </w:rPr>
        <w:lastRenderedPageBreak/>
        <w:t xml:space="preserve">Recommendation </w:t>
      </w:r>
      <w:r w:rsidR="0073626D" w:rsidRPr="00A0719D">
        <w:rPr>
          <w:rFonts w:ascii="Calibri" w:eastAsia="Calibri" w:hAnsi="Calibri"/>
          <w:b/>
          <w:sz w:val="22"/>
          <w:szCs w:val="22"/>
          <w:lang w:eastAsia="en-US"/>
        </w:rPr>
        <w:t>3</w:t>
      </w:r>
      <w:r w:rsidR="0073626D">
        <w:rPr>
          <w:rFonts w:ascii="Calibri" w:eastAsia="Calibri" w:hAnsi="Calibri"/>
          <w:b/>
          <w:sz w:val="22"/>
          <w:szCs w:val="22"/>
          <w:lang w:eastAsia="en-US"/>
        </w:rPr>
        <w:t>2</w:t>
      </w:r>
    </w:p>
    <w:p w:rsidR="00A0719D" w:rsidRPr="00A0719D" w:rsidRDefault="00A0719D" w:rsidP="00A0719D">
      <w:pPr>
        <w:spacing w:after="200" w:line="276" w:lineRule="auto"/>
        <w:rPr>
          <w:rFonts w:ascii="Calibri" w:eastAsia="Calibri" w:hAnsi="Calibri"/>
          <w:sz w:val="22"/>
          <w:szCs w:val="22"/>
          <w:lang w:eastAsia="en-US"/>
        </w:rPr>
      </w:pPr>
      <w:r w:rsidRPr="00A0719D">
        <w:rPr>
          <w:rFonts w:ascii="Calibri" w:eastAsia="Calibri" w:hAnsi="Calibri"/>
          <w:sz w:val="22"/>
          <w:szCs w:val="22"/>
          <w:lang w:eastAsia="en-US"/>
        </w:rPr>
        <w:t>Comcare to introduce the practice of notifying self-insured licensees no later than 31 January of the current financial year of the licensing fees to be paid to enable the organisation to budget appropriately for their workers’ compensation expenses.</w:t>
      </w:r>
    </w:p>
    <w:p w:rsidR="00A0719D" w:rsidRPr="00A0719D" w:rsidRDefault="00A0719D" w:rsidP="00A0719D">
      <w:pPr>
        <w:spacing w:after="200" w:line="276" w:lineRule="auto"/>
        <w:rPr>
          <w:rFonts w:ascii="Calibri" w:eastAsia="Calibri" w:hAnsi="Calibri"/>
          <w:b/>
          <w:sz w:val="22"/>
          <w:szCs w:val="22"/>
          <w:lang w:eastAsia="en-US"/>
        </w:rPr>
      </w:pPr>
      <w:r w:rsidRPr="00A0719D">
        <w:rPr>
          <w:rFonts w:ascii="Calibri" w:eastAsia="Calibri" w:hAnsi="Calibri"/>
          <w:b/>
          <w:sz w:val="22"/>
          <w:szCs w:val="22"/>
          <w:lang w:eastAsia="en-US"/>
        </w:rPr>
        <w:t xml:space="preserve">Recommendation </w:t>
      </w:r>
      <w:r w:rsidR="0073626D" w:rsidRPr="00A0719D">
        <w:rPr>
          <w:rFonts w:ascii="Calibri" w:eastAsia="Calibri" w:hAnsi="Calibri"/>
          <w:b/>
          <w:sz w:val="22"/>
          <w:szCs w:val="22"/>
          <w:lang w:eastAsia="en-US"/>
        </w:rPr>
        <w:t>3</w:t>
      </w:r>
      <w:r w:rsidR="0073626D">
        <w:rPr>
          <w:rFonts w:ascii="Calibri" w:eastAsia="Calibri" w:hAnsi="Calibri"/>
          <w:b/>
          <w:sz w:val="22"/>
          <w:szCs w:val="22"/>
          <w:lang w:eastAsia="en-US"/>
        </w:rPr>
        <w:t>3</w:t>
      </w:r>
    </w:p>
    <w:p w:rsidR="00A0719D" w:rsidRPr="00A0719D" w:rsidRDefault="00A0719D" w:rsidP="00A0719D">
      <w:pPr>
        <w:spacing w:after="200" w:line="276" w:lineRule="auto"/>
        <w:rPr>
          <w:rFonts w:ascii="Calibri" w:eastAsia="Calibri" w:hAnsi="Calibri"/>
          <w:sz w:val="22"/>
          <w:szCs w:val="22"/>
          <w:lang w:eastAsia="en-US"/>
        </w:rPr>
      </w:pPr>
      <w:r w:rsidRPr="00A0719D">
        <w:rPr>
          <w:rFonts w:ascii="Calibri" w:eastAsia="Calibri" w:hAnsi="Calibri"/>
          <w:sz w:val="22"/>
          <w:szCs w:val="22"/>
          <w:lang w:eastAsia="en-US"/>
        </w:rPr>
        <w:t>Comcare should seek to have the Minister for Finance and Deregulation reconsider the current notional interest rates applied to the CRF in an effort improve their ability to keep pace with the increasing costs of claims liabilities.</w:t>
      </w:r>
    </w:p>
    <w:p w:rsidR="00C50E48" w:rsidRPr="00CA434F" w:rsidRDefault="00C50E48" w:rsidP="00C50E48">
      <w:pPr>
        <w:keepNext/>
        <w:pageBreakBefore/>
        <w:pBdr>
          <w:bottom w:val="single" w:sz="4" w:space="1" w:color="auto"/>
        </w:pBdr>
        <w:spacing w:after="240"/>
        <w:ind w:right="-142"/>
        <w:outlineLvl w:val="1"/>
        <w:rPr>
          <w:rFonts w:ascii="Cambria" w:eastAsiaTheme="majorEastAsia" w:hAnsi="Cambria" w:cstheme="majorHAnsi"/>
          <w:iCs/>
          <w:color w:val="1F497D" w:themeColor="text2"/>
          <w:kern w:val="32"/>
          <w:sz w:val="44"/>
          <w:szCs w:val="44"/>
        </w:rPr>
      </w:pPr>
      <w:bookmarkStart w:id="254" w:name="_Toc341777927"/>
      <w:bookmarkStart w:id="255" w:name="_Toc342578295"/>
      <w:r w:rsidRPr="00CA434F">
        <w:rPr>
          <w:rFonts w:ascii="Cambria" w:eastAsiaTheme="majorEastAsia" w:hAnsi="Cambria" w:cstheme="majorHAnsi"/>
          <w:iCs/>
          <w:color w:val="1F497D" w:themeColor="text2"/>
          <w:kern w:val="32"/>
          <w:sz w:val="44"/>
          <w:szCs w:val="44"/>
        </w:rPr>
        <w:lastRenderedPageBreak/>
        <w:t>Chapter 1 – Background to the Review</w:t>
      </w:r>
      <w:bookmarkEnd w:id="254"/>
      <w:bookmarkEnd w:id="255"/>
    </w:p>
    <w:p w:rsidR="00C50E48" w:rsidRPr="00C50E48" w:rsidRDefault="00C50E48" w:rsidP="00C50E48">
      <w:pPr>
        <w:spacing w:before="100" w:beforeAutospacing="1" w:after="100" w:afterAutospacing="1"/>
        <w:outlineLvl w:val="0"/>
        <w:rPr>
          <w:rFonts w:ascii="Arial" w:hAnsi="Arial"/>
          <w:bCs/>
          <w:caps/>
          <w:color w:val="1F497D" w:themeColor="text2"/>
          <w:kern w:val="36"/>
          <w:sz w:val="28"/>
          <w:szCs w:val="28"/>
        </w:rPr>
      </w:pPr>
      <w:bookmarkStart w:id="256" w:name="_Toc341777928"/>
      <w:bookmarkStart w:id="257" w:name="_Toc342578296"/>
      <w:r w:rsidRPr="00C50E48">
        <w:rPr>
          <w:rFonts w:ascii="Arial" w:hAnsi="Arial"/>
          <w:bCs/>
          <w:iCs/>
          <w:caps/>
          <w:color w:val="1F497D" w:themeColor="text2"/>
          <w:kern w:val="36"/>
          <w:sz w:val="28"/>
          <w:szCs w:val="28"/>
        </w:rPr>
        <w:t xml:space="preserve">Safety, Rehabilitation and Compensation Act Review - </w:t>
      </w:r>
      <w:r w:rsidRPr="00C50E48">
        <w:rPr>
          <w:rFonts w:ascii="Arial" w:hAnsi="Arial"/>
          <w:bCs/>
          <w:caps/>
          <w:color w:val="1F497D" w:themeColor="text2"/>
          <w:kern w:val="36"/>
          <w:sz w:val="28"/>
          <w:szCs w:val="28"/>
        </w:rPr>
        <w:t>Terms</w:t>
      </w:r>
      <w:r w:rsidRPr="00C50E48">
        <w:rPr>
          <w:rFonts w:ascii="Arial" w:hAnsi="Arial"/>
          <w:bCs/>
          <w:iCs/>
          <w:caps/>
          <w:color w:val="1F497D" w:themeColor="text2"/>
          <w:kern w:val="36"/>
          <w:sz w:val="28"/>
          <w:szCs w:val="28"/>
        </w:rPr>
        <w:t xml:space="preserve"> of Reference</w:t>
      </w:r>
      <w:bookmarkEnd w:id="256"/>
      <w:bookmarkEnd w:id="257"/>
    </w:p>
    <w:p w:rsidR="00C50E48" w:rsidRPr="00CA434F" w:rsidRDefault="00C50E48" w:rsidP="00C50E48">
      <w:pPr>
        <w:numPr>
          <w:ilvl w:val="0"/>
          <w:numId w:val="3"/>
        </w:numPr>
        <w:spacing w:after="120"/>
        <w:ind w:left="709" w:hanging="709"/>
        <w:rPr>
          <w:rFonts w:ascii="Calibri" w:eastAsiaTheme="majorEastAsia" w:hAnsi="Calibri" w:cs="Calibri"/>
          <w:sz w:val="22"/>
          <w:szCs w:val="22"/>
        </w:rPr>
      </w:pPr>
      <w:r w:rsidRPr="00CA434F">
        <w:rPr>
          <w:rFonts w:ascii="Calibri" w:eastAsiaTheme="majorEastAsia" w:hAnsi="Calibri" w:cs="Calibri"/>
          <w:iCs/>
          <w:sz w:val="22"/>
          <w:szCs w:val="22"/>
        </w:rPr>
        <w:t xml:space="preserve">The Hon Bill Shorten MP, Minister for Employment and Workplace Relations, issued a media statement on 24 July 2012 announcing </w:t>
      </w:r>
      <w:r w:rsidRPr="00CA434F">
        <w:rPr>
          <w:rFonts w:ascii="Calibri" w:hAnsi="Calibri" w:cs="Calibri"/>
          <w:sz w:val="22"/>
          <w:szCs w:val="22"/>
        </w:rPr>
        <w:t>a review with the</w:t>
      </w:r>
      <w:r w:rsidRPr="00CA434F">
        <w:rPr>
          <w:rFonts w:ascii="Calibri" w:eastAsiaTheme="majorEastAsia" w:hAnsi="Calibri" w:cs="Calibri"/>
          <w:iCs/>
          <w:sz w:val="22"/>
          <w:szCs w:val="22"/>
        </w:rPr>
        <w:t xml:space="preserve"> aim of modernising the federal workers’ compensation scheme</w:t>
      </w:r>
      <w:r w:rsidR="007176A5">
        <w:rPr>
          <w:rFonts w:ascii="Calibri" w:eastAsiaTheme="majorEastAsia" w:hAnsi="Calibri" w:cs="Calibri"/>
          <w:iCs/>
          <w:sz w:val="22"/>
          <w:szCs w:val="22"/>
        </w:rPr>
        <w:t>.  This is</w:t>
      </w:r>
      <w:r w:rsidRPr="00CA434F">
        <w:rPr>
          <w:rFonts w:ascii="Calibri" w:eastAsiaTheme="majorEastAsia" w:hAnsi="Calibri" w:cs="Calibri"/>
          <w:iCs/>
          <w:sz w:val="22"/>
          <w:szCs w:val="22"/>
        </w:rPr>
        <w:t xml:space="preserve"> to ensure injured workers are given every opportunity to return to health, independence and work as quickly as possible after a workplace injury, so that the compensation system does not create needless disability.</w:t>
      </w:r>
    </w:p>
    <w:p w:rsidR="00C50E48" w:rsidRPr="00CA434F" w:rsidRDefault="00C50E48" w:rsidP="00C50E48">
      <w:pPr>
        <w:numPr>
          <w:ilvl w:val="0"/>
          <w:numId w:val="3"/>
        </w:numPr>
        <w:spacing w:after="120"/>
        <w:ind w:left="709" w:hanging="709"/>
        <w:rPr>
          <w:rFonts w:ascii="Calibri" w:eastAsiaTheme="majorEastAsia" w:hAnsi="Calibri" w:cs="Calibri"/>
          <w:sz w:val="22"/>
          <w:szCs w:val="22"/>
        </w:rPr>
      </w:pPr>
      <w:r w:rsidRPr="00CA434F">
        <w:rPr>
          <w:rFonts w:ascii="Calibri" w:eastAsiaTheme="majorEastAsia" w:hAnsi="Calibri" w:cs="Calibri"/>
          <w:iCs/>
          <w:sz w:val="22"/>
          <w:szCs w:val="22"/>
        </w:rPr>
        <w:t xml:space="preserve">A copy of the Terms of Reference (ToR) for the review is at </w:t>
      </w:r>
      <w:r w:rsidRPr="0035663E">
        <w:rPr>
          <w:rFonts w:ascii="Calibri" w:eastAsiaTheme="majorEastAsia" w:hAnsi="Calibri" w:cs="Calibri"/>
          <w:iCs/>
          <w:sz w:val="22"/>
          <w:szCs w:val="22"/>
          <w:u w:val="single"/>
        </w:rPr>
        <w:t>Annex A</w:t>
      </w:r>
      <w:r w:rsidRPr="00CA434F">
        <w:rPr>
          <w:rFonts w:ascii="Calibri" w:eastAsiaTheme="majorEastAsia" w:hAnsi="Calibri" w:cs="Calibri"/>
          <w:iCs/>
          <w:sz w:val="22"/>
          <w:szCs w:val="22"/>
        </w:rPr>
        <w:t>.</w:t>
      </w:r>
    </w:p>
    <w:p w:rsidR="00C50E48" w:rsidRPr="00CA434F" w:rsidRDefault="00C50E48" w:rsidP="00C50E48">
      <w:pPr>
        <w:numPr>
          <w:ilvl w:val="0"/>
          <w:numId w:val="3"/>
        </w:numPr>
        <w:spacing w:after="120"/>
        <w:ind w:left="709" w:hanging="709"/>
        <w:rPr>
          <w:rFonts w:ascii="Calibri" w:eastAsiaTheme="majorEastAsia" w:hAnsi="Calibri" w:cs="Calibri"/>
          <w:sz w:val="22"/>
          <w:szCs w:val="22"/>
        </w:rPr>
      </w:pPr>
      <w:r w:rsidRPr="00CA434F">
        <w:rPr>
          <w:rFonts w:ascii="Calibri" w:eastAsiaTheme="majorEastAsia" w:hAnsi="Calibri" w:cs="Calibri"/>
          <w:iCs/>
          <w:sz w:val="22"/>
          <w:szCs w:val="22"/>
        </w:rPr>
        <w:t xml:space="preserve">The </w:t>
      </w:r>
      <w:r w:rsidR="00573B66">
        <w:rPr>
          <w:rFonts w:ascii="Calibri" w:eastAsiaTheme="majorEastAsia" w:hAnsi="Calibri" w:cs="Calibri"/>
          <w:i/>
          <w:iCs/>
          <w:sz w:val="22"/>
          <w:szCs w:val="22"/>
        </w:rPr>
        <w:t>Safety, Rehabilitation and Compensation Act 1988</w:t>
      </w:r>
      <w:r w:rsidR="00D02DBA">
        <w:rPr>
          <w:rFonts w:ascii="Calibri" w:eastAsiaTheme="majorEastAsia" w:hAnsi="Calibri" w:cs="Calibri"/>
          <w:iCs/>
          <w:sz w:val="22"/>
          <w:szCs w:val="22"/>
        </w:rPr>
        <w:t xml:space="preserve"> (the </w:t>
      </w:r>
      <w:r w:rsidRPr="00CA434F">
        <w:rPr>
          <w:rFonts w:ascii="Calibri" w:eastAsiaTheme="majorEastAsia" w:hAnsi="Calibri" w:cs="Calibri"/>
          <w:iCs/>
          <w:sz w:val="22"/>
          <w:szCs w:val="22"/>
        </w:rPr>
        <w:t>SRC Act</w:t>
      </w:r>
      <w:r w:rsidR="00D02DBA">
        <w:rPr>
          <w:rFonts w:ascii="Calibri" w:eastAsiaTheme="majorEastAsia" w:hAnsi="Calibri" w:cs="Calibri"/>
          <w:iCs/>
          <w:sz w:val="22"/>
          <w:szCs w:val="22"/>
        </w:rPr>
        <w:t>)</w:t>
      </w:r>
      <w:r w:rsidRPr="00CA434F">
        <w:rPr>
          <w:rFonts w:ascii="Calibri" w:eastAsiaTheme="majorEastAsia" w:hAnsi="Calibri" w:cs="Calibri"/>
          <w:iCs/>
          <w:sz w:val="22"/>
          <w:szCs w:val="22"/>
        </w:rPr>
        <w:t xml:space="preserve"> provides rehabilitation and compensation support to injured Australian workers. </w:t>
      </w:r>
      <w:r w:rsidR="007176A5">
        <w:rPr>
          <w:rFonts w:ascii="Calibri" w:eastAsiaTheme="majorEastAsia" w:hAnsi="Calibri" w:cs="Calibri"/>
          <w:iCs/>
          <w:sz w:val="22"/>
          <w:szCs w:val="22"/>
        </w:rPr>
        <w:t xml:space="preserve">The </w:t>
      </w:r>
      <w:r w:rsidR="00503430">
        <w:rPr>
          <w:rFonts w:ascii="Calibri" w:eastAsiaTheme="majorEastAsia" w:hAnsi="Calibri" w:cs="Calibri"/>
          <w:iCs/>
          <w:sz w:val="22"/>
          <w:szCs w:val="22"/>
        </w:rPr>
        <w:t xml:space="preserve">SRC </w:t>
      </w:r>
      <w:r w:rsidR="007176A5">
        <w:rPr>
          <w:rFonts w:ascii="Calibri" w:eastAsiaTheme="majorEastAsia" w:hAnsi="Calibri" w:cs="Calibri"/>
          <w:iCs/>
          <w:sz w:val="22"/>
          <w:szCs w:val="22"/>
        </w:rPr>
        <w:t>Act</w:t>
      </w:r>
      <w:r w:rsidRPr="00CA434F">
        <w:rPr>
          <w:rFonts w:ascii="Calibri" w:eastAsiaTheme="majorEastAsia" w:hAnsi="Calibri" w:cs="Calibri"/>
          <w:iCs/>
          <w:sz w:val="22"/>
          <w:szCs w:val="22"/>
        </w:rPr>
        <w:t xml:space="preserve"> also covers employees of a small number of private corporations who self-insure under the </w:t>
      </w:r>
      <w:r w:rsidR="00D02DBA" w:rsidRPr="00CA434F">
        <w:rPr>
          <w:rFonts w:ascii="Calibri" w:eastAsiaTheme="majorEastAsia" w:hAnsi="Calibri" w:cs="Calibri"/>
          <w:iCs/>
          <w:sz w:val="22"/>
          <w:szCs w:val="22"/>
        </w:rPr>
        <w:t>Co</w:t>
      </w:r>
      <w:r w:rsidR="00D02DBA">
        <w:rPr>
          <w:rFonts w:ascii="Calibri" w:eastAsiaTheme="majorEastAsia" w:hAnsi="Calibri" w:cs="Calibri"/>
          <w:iCs/>
          <w:sz w:val="22"/>
          <w:szCs w:val="22"/>
        </w:rPr>
        <w:t>mcare</w:t>
      </w:r>
      <w:r w:rsidR="00D02DBA" w:rsidRPr="00CA434F">
        <w:rPr>
          <w:rFonts w:ascii="Calibri" w:eastAsiaTheme="majorEastAsia" w:hAnsi="Calibri" w:cs="Calibri"/>
          <w:iCs/>
          <w:sz w:val="22"/>
          <w:szCs w:val="22"/>
        </w:rPr>
        <w:t xml:space="preserve"> </w:t>
      </w:r>
      <w:r w:rsidRPr="00CA434F">
        <w:rPr>
          <w:rFonts w:ascii="Calibri" w:eastAsiaTheme="majorEastAsia" w:hAnsi="Calibri" w:cs="Calibri"/>
          <w:iCs/>
          <w:sz w:val="22"/>
          <w:szCs w:val="22"/>
        </w:rPr>
        <w:t xml:space="preserve">scheme, and employees of the </w:t>
      </w:r>
      <w:r w:rsidR="001611C9">
        <w:rPr>
          <w:rFonts w:ascii="Calibri" w:eastAsiaTheme="majorEastAsia" w:hAnsi="Calibri" w:cs="Calibri"/>
          <w:iCs/>
          <w:sz w:val="22"/>
          <w:szCs w:val="22"/>
        </w:rPr>
        <w:t xml:space="preserve">Commonwealth and </w:t>
      </w:r>
      <w:r w:rsidRPr="00CA434F">
        <w:rPr>
          <w:rFonts w:ascii="Calibri" w:eastAsiaTheme="majorEastAsia" w:hAnsi="Calibri" w:cs="Calibri"/>
          <w:iCs/>
          <w:sz w:val="22"/>
          <w:szCs w:val="22"/>
        </w:rPr>
        <w:t>ACT Government.</w:t>
      </w:r>
    </w:p>
    <w:p w:rsidR="00C50E48" w:rsidRPr="00CA434F" w:rsidRDefault="00C50E48" w:rsidP="00C50E48">
      <w:pPr>
        <w:numPr>
          <w:ilvl w:val="0"/>
          <w:numId w:val="3"/>
        </w:numPr>
        <w:spacing w:after="120"/>
        <w:ind w:left="709" w:hanging="709"/>
        <w:rPr>
          <w:rFonts w:ascii="Calibri" w:eastAsiaTheme="majorEastAsia" w:hAnsi="Calibri" w:cs="Calibri"/>
          <w:kern w:val="32"/>
          <w:sz w:val="22"/>
          <w:szCs w:val="22"/>
        </w:rPr>
      </w:pPr>
      <w:r w:rsidRPr="00CA434F">
        <w:rPr>
          <w:rFonts w:ascii="Calibri" w:eastAsiaTheme="majorEastAsia" w:hAnsi="Calibri" w:cs="Calibri"/>
          <w:iCs/>
          <w:sz w:val="22"/>
          <w:szCs w:val="22"/>
        </w:rPr>
        <w:t xml:space="preserve">The impact of workplace harm on workers and their families is significant.  </w:t>
      </w:r>
      <w:r w:rsidR="00A410CC">
        <w:rPr>
          <w:rFonts w:ascii="Calibri" w:eastAsiaTheme="majorEastAsia" w:hAnsi="Calibri" w:cs="Calibri"/>
          <w:iCs/>
          <w:sz w:val="22"/>
          <w:szCs w:val="22"/>
        </w:rPr>
        <w:t>T</w:t>
      </w:r>
      <w:r w:rsidRPr="00CA434F">
        <w:rPr>
          <w:rFonts w:ascii="Calibri" w:eastAsiaTheme="majorEastAsia" w:hAnsi="Calibri" w:cs="Calibri"/>
          <w:iCs/>
          <w:sz w:val="22"/>
          <w:szCs w:val="22"/>
        </w:rPr>
        <w:t xml:space="preserve">he Australian Government is committed to </w:t>
      </w:r>
      <w:r w:rsidR="00DD2824" w:rsidRPr="00CA434F">
        <w:rPr>
          <w:rFonts w:ascii="Calibri" w:eastAsiaTheme="majorEastAsia" w:hAnsi="Calibri" w:cs="Calibri"/>
          <w:iCs/>
          <w:sz w:val="22"/>
          <w:szCs w:val="22"/>
        </w:rPr>
        <w:t>ensuring the</w:t>
      </w:r>
      <w:r w:rsidRPr="00CA434F">
        <w:rPr>
          <w:rFonts w:ascii="Calibri" w:eastAsiaTheme="majorEastAsia" w:hAnsi="Calibri" w:cs="Calibri"/>
          <w:iCs/>
          <w:sz w:val="22"/>
          <w:szCs w:val="22"/>
        </w:rPr>
        <w:t xml:space="preserve"> SRC Act provides fair and appropriate workers’ compensation arrangements for all workers covered by that legislation.</w:t>
      </w:r>
    </w:p>
    <w:p w:rsidR="00C50E48" w:rsidRPr="00CA434F" w:rsidRDefault="00C50E48" w:rsidP="00C50E48">
      <w:pPr>
        <w:numPr>
          <w:ilvl w:val="0"/>
          <w:numId w:val="3"/>
        </w:numPr>
        <w:spacing w:after="120"/>
        <w:ind w:left="709" w:hanging="709"/>
        <w:rPr>
          <w:rFonts w:ascii="Calibri" w:hAnsi="Calibri" w:cs="Calibri"/>
          <w:sz w:val="22"/>
          <w:szCs w:val="22"/>
        </w:rPr>
      </w:pPr>
      <w:r w:rsidRPr="00CA434F">
        <w:rPr>
          <w:rFonts w:ascii="Calibri" w:eastAsiaTheme="majorEastAsia" w:hAnsi="Calibri" w:cs="Calibri"/>
          <w:iCs/>
          <w:sz w:val="22"/>
          <w:szCs w:val="22"/>
        </w:rPr>
        <w:t>The Government believes that the Comcare scheme should be exemplary in its design as well as in its service delivery.  To ensure that federal workers’ compensation arrangements reflect contemporary social models and best practice, the review will take into account arrangement</w:t>
      </w:r>
      <w:r w:rsidRPr="00CA434F">
        <w:rPr>
          <w:rFonts w:ascii="Calibri" w:hAnsi="Calibri" w:cs="Calibri"/>
          <w:sz w:val="22"/>
          <w:szCs w:val="22"/>
        </w:rPr>
        <w:t>s</w:t>
      </w:r>
      <w:r w:rsidRPr="00CA434F">
        <w:rPr>
          <w:rFonts w:ascii="Calibri" w:eastAsiaTheme="majorEastAsia" w:hAnsi="Calibri" w:cs="Calibri"/>
          <w:iCs/>
          <w:sz w:val="22"/>
          <w:szCs w:val="22"/>
        </w:rPr>
        <w:t xml:space="preserve"> within Australia and overseas workers</w:t>
      </w:r>
      <w:r w:rsidR="007176A5">
        <w:rPr>
          <w:rFonts w:ascii="Calibri" w:eastAsiaTheme="majorEastAsia" w:hAnsi="Calibri" w:cs="Calibri"/>
          <w:iCs/>
          <w:sz w:val="22"/>
          <w:szCs w:val="22"/>
        </w:rPr>
        <w:t>’</w:t>
      </w:r>
      <w:r w:rsidRPr="00CA434F">
        <w:rPr>
          <w:rFonts w:ascii="Calibri" w:eastAsiaTheme="majorEastAsia" w:hAnsi="Calibri" w:cs="Calibri"/>
          <w:iCs/>
          <w:sz w:val="22"/>
          <w:szCs w:val="22"/>
        </w:rPr>
        <w:t xml:space="preserve"> compensation schemes.</w:t>
      </w:r>
    </w:p>
    <w:p w:rsidR="00C50E48" w:rsidRPr="00CA434F" w:rsidRDefault="00C50E48" w:rsidP="00C50E48">
      <w:pPr>
        <w:numPr>
          <w:ilvl w:val="0"/>
          <w:numId w:val="3"/>
        </w:numPr>
        <w:spacing w:after="120"/>
        <w:ind w:left="709" w:hanging="709"/>
        <w:rPr>
          <w:rFonts w:ascii="Calibri" w:hAnsi="Calibri" w:cs="Calibri"/>
          <w:sz w:val="22"/>
          <w:szCs w:val="22"/>
        </w:rPr>
      </w:pPr>
      <w:r w:rsidRPr="00CA434F">
        <w:rPr>
          <w:rFonts w:ascii="Calibri" w:hAnsi="Calibri" w:cs="Calibri"/>
          <w:iCs/>
          <w:sz w:val="22"/>
          <w:szCs w:val="22"/>
        </w:rPr>
        <w:t xml:space="preserve">Mr Peter Hanks QC was appointed to review the legislative provisions of the SRC Act, with a view to updating the legislation and operation of the scheme, including any legislative anomalies and updates that need to be addressed. Mr </w:t>
      </w:r>
      <w:r w:rsidR="00A410CC" w:rsidRPr="00CA434F">
        <w:rPr>
          <w:rFonts w:ascii="Calibri" w:hAnsi="Calibri" w:cs="Calibri"/>
          <w:iCs/>
          <w:sz w:val="22"/>
          <w:szCs w:val="22"/>
        </w:rPr>
        <w:t>Hanks is</w:t>
      </w:r>
      <w:r w:rsidRPr="00CA434F">
        <w:rPr>
          <w:rFonts w:ascii="Calibri" w:hAnsi="Calibri" w:cs="Calibri"/>
          <w:iCs/>
          <w:sz w:val="22"/>
          <w:szCs w:val="22"/>
        </w:rPr>
        <w:t xml:space="preserve"> expected to report to the Government in February 2013.</w:t>
      </w:r>
    </w:p>
    <w:p w:rsidR="00C50E48" w:rsidRPr="00CA434F" w:rsidRDefault="00C50E48" w:rsidP="00C50E48">
      <w:pPr>
        <w:numPr>
          <w:ilvl w:val="0"/>
          <w:numId w:val="3"/>
        </w:numPr>
        <w:spacing w:after="120"/>
        <w:ind w:left="709" w:hanging="709"/>
        <w:rPr>
          <w:rFonts w:ascii="Calibri" w:hAnsi="Calibri" w:cs="Calibri"/>
          <w:sz w:val="22"/>
          <w:szCs w:val="22"/>
        </w:rPr>
      </w:pPr>
      <w:r w:rsidRPr="00CA434F">
        <w:rPr>
          <w:rFonts w:ascii="Calibri" w:eastAsiaTheme="majorEastAsia" w:hAnsi="Calibri" w:cs="Calibri"/>
          <w:iCs/>
          <w:sz w:val="22"/>
          <w:szCs w:val="22"/>
        </w:rPr>
        <w:t>The Government tasked me to review the performance, governance and financial framework of the Comcare scheme and make recommendations on ways to improve the scheme’s operation and, specifically</w:t>
      </w:r>
      <w:r w:rsidR="00976B28">
        <w:rPr>
          <w:rFonts w:ascii="Calibri" w:eastAsiaTheme="majorEastAsia" w:hAnsi="Calibri" w:cs="Calibri"/>
          <w:iCs/>
          <w:sz w:val="22"/>
          <w:szCs w:val="22"/>
        </w:rPr>
        <w:t>,</w:t>
      </w:r>
      <w:r w:rsidRPr="00CA434F">
        <w:rPr>
          <w:rFonts w:ascii="Calibri" w:eastAsiaTheme="majorEastAsia" w:hAnsi="Calibri" w:cs="Calibri"/>
          <w:iCs/>
          <w:sz w:val="22"/>
          <w:szCs w:val="22"/>
        </w:rPr>
        <w:t xml:space="preserve"> to report on the following matters:</w:t>
      </w:r>
    </w:p>
    <w:p w:rsidR="00C50E48" w:rsidRPr="00C50E48" w:rsidRDefault="00C50E48" w:rsidP="00C50E48">
      <w:pPr>
        <w:numPr>
          <w:ilvl w:val="0"/>
          <w:numId w:val="18"/>
        </w:numPr>
        <w:spacing w:after="120"/>
        <w:ind w:left="1134" w:hanging="425"/>
        <w:rPr>
          <w:rFonts w:ascii="Calibri" w:hAnsi="Calibri" w:cs="Calibri"/>
          <w:sz w:val="22"/>
          <w:szCs w:val="22"/>
        </w:rPr>
      </w:pPr>
      <w:r w:rsidRPr="00C50E48">
        <w:rPr>
          <w:rFonts w:ascii="Calibri" w:hAnsi="Calibri" w:cs="Calibri"/>
          <w:sz w:val="22"/>
          <w:szCs w:val="22"/>
        </w:rPr>
        <w:t>an examination of the different outcomes achieved by private and public sector employers concerning the recovery and return to work of injured workers;</w:t>
      </w:r>
    </w:p>
    <w:p w:rsidR="00C50E48" w:rsidRPr="00C50E48" w:rsidRDefault="00C50E48" w:rsidP="00C50E48">
      <w:pPr>
        <w:numPr>
          <w:ilvl w:val="0"/>
          <w:numId w:val="18"/>
        </w:numPr>
        <w:spacing w:after="120"/>
        <w:ind w:left="1134" w:hanging="425"/>
        <w:rPr>
          <w:rFonts w:ascii="Calibri" w:hAnsi="Calibri" w:cs="Calibri"/>
          <w:sz w:val="22"/>
          <w:szCs w:val="22"/>
        </w:rPr>
      </w:pPr>
      <w:r w:rsidRPr="00C50E48">
        <w:rPr>
          <w:rFonts w:ascii="Calibri" w:hAnsi="Calibri" w:cs="Calibri"/>
          <w:sz w:val="22"/>
          <w:szCs w:val="22"/>
        </w:rPr>
        <w:t>improved delivery of recovery and support services by Comcare;</w:t>
      </w:r>
    </w:p>
    <w:p w:rsidR="00C50E48" w:rsidRPr="00C50E48" w:rsidRDefault="00C50E48" w:rsidP="00C50E48">
      <w:pPr>
        <w:numPr>
          <w:ilvl w:val="0"/>
          <w:numId w:val="18"/>
        </w:numPr>
        <w:spacing w:after="120"/>
        <w:ind w:left="1134" w:hanging="425"/>
        <w:rPr>
          <w:rFonts w:ascii="Calibri" w:hAnsi="Calibri" w:cs="Calibri"/>
          <w:sz w:val="22"/>
          <w:szCs w:val="22"/>
        </w:rPr>
      </w:pPr>
      <w:r w:rsidRPr="00C50E48">
        <w:rPr>
          <w:rFonts w:ascii="Calibri" w:hAnsi="Calibri" w:cs="Calibri"/>
          <w:sz w:val="22"/>
          <w:szCs w:val="22"/>
        </w:rPr>
        <w:t>the financial sustainability of the scheme;</w:t>
      </w:r>
    </w:p>
    <w:p w:rsidR="00C50E48" w:rsidRPr="00C50E48" w:rsidRDefault="00C50E48" w:rsidP="00C50E48">
      <w:pPr>
        <w:numPr>
          <w:ilvl w:val="0"/>
          <w:numId w:val="18"/>
        </w:numPr>
        <w:spacing w:after="120"/>
        <w:ind w:left="1134" w:hanging="425"/>
        <w:rPr>
          <w:rFonts w:ascii="Calibri" w:hAnsi="Calibri" w:cs="Calibri"/>
          <w:sz w:val="22"/>
          <w:szCs w:val="22"/>
        </w:rPr>
      </w:pPr>
      <w:r w:rsidRPr="00C50E48">
        <w:rPr>
          <w:rFonts w:ascii="Calibri" w:hAnsi="Calibri" w:cs="Calibri"/>
          <w:sz w:val="22"/>
          <w:szCs w:val="22"/>
        </w:rPr>
        <w:t>a premium framework that improves and rewards scheme performance;</w:t>
      </w:r>
    </w:p>
    <w:p w:rsidR="00C50E48" w:rsidRPr="00C50E48" w:rsidRDefault="00C50E48" w:rsidP="00C50E48">
      <w:pPr>
        <w:numPr>
          <w:ilvl w:val="0"/>
          <w:numId w:val="18"/>
        </w:numPr>
        <w:spacing w:after="120"/>
        <w:ind w:left="1134" w:hanging="425"/>
        <w:rPr>
          <w:rFonts w:ascii="Calibri" w:hAnsi="Calibri" w:cs="Calibri"/>
          <w:sz w:val="22"/>
          <w:szCs w:val="22"/>
        </w:rPr>
      </w:pPr>
      <w:r w:rsidRPr="00C50E48">
        <w:rPr>
          <w:rFonts w:ascii="Calibri" w:hAnsi="Calibri" w:cs="Calibri"/>
          <w:sz w:val="22"/>
          <w:szCs w:val="22"/>
        </w:rPr>
        <w:t>the governance arrangements for Comcare; and</w:t>
      </w:r>
    </w:p>
    <w:p w:rsidR="00C50E48" w:rsidRPr="00C50E48" w:rsidRDefault="00DD2824" w:rsidP="00C50E48">
      <w:pPr>
        <w:numPr>
          <w:ilvl w:val="0"/>
          <w:numId w:val="18"/>
        </w:numPr>
        <w:spacing w:after="120"/>
        <w:ind w:left="1134" w:hanging="425"/>
        <w:rPr>
          <w:rFonts w:ascii="Calibri" w:hAnsi="Calibri" w:cs="Calibri"/>
          <w:sz w:val="22"/>
          <w:szCs w:val="22"/>
        </w:rPr>
      </w:pPr>
      <w:proofErr w:type="gramStart"/>
      <w:r w:rsidRPr="00C50E48">
        <w:rPr>
          <w:rFonts w:ascii="Calibri" w:hAnsi="Calibri" w:cs="Calibri"/>
          <w:sz w:val="22"/>
          <w:szCs w:val="22"/>
        </w:rPr>
        <w:t>ensuring</w:t>
      </w:r>
      <w:proofErr w:type="gramEnd"/>
      <w:r w:rsidRPr="00C50E48">
        <w:rPr>
          <w:rFonts w:ascii="Calibri" w:hAnsi="Calibri" w:cs="Calibri"/>
          <w:sz w:val="22"/>
          <w:szCs w:val="22"/>
        </w:rPr>
        <w:t xml:space="preserve"> the</w:t>
      </w:r>
      <w:r w:rsidR="00C50E48" w:rsidRPr="00C50E48">
        <w:rPr>
          <w:rFonts w:ascii="Calibri" w:hAnsi="Calibri" w:cs="Calibri"/>
          <w:sz w:val="22"/>
          <w:szCs w:val="22"/>
        </w:rPr>
        <w:t xml:space="preserve"> financial framework is consistent with contemporary prudential management practice.</w:t>
      </w:r>
    </w:p>
    <w:p w:rsidR="00C50E48" w:rsidRPr="00CA434F" w:rsidRDefault="00C50E48" w:rsidP="00C50E48">
      <w:pPr>
        <w:numPr>
          <w:ilvl w:val="0"/>
          <w:numId w:val="3"/>
        </w:numPr>
        <w:spacing w:after="120"/>
        <w:ind w:left="709" w:hanging="709"/>
        <w:rPr>
          <w:rFonts w:ascii="Calibri" w:eastAsiaTheme="majorEastAsia" w:hAnsi="Calibri" w:cs="Calibri"/>
          <w:iCs/>
          <w:sz w:val="22"/>
          <w:szCs w:val="22"/>
        </w:rPr>
      </w:pPr>
      <w:r w:rsidRPr="00CA434F">
        <w:rPr>
          <w:rFonts w:ascii="Calibri" w:hAnsi="Calibri" w:cs="Calibri"/>
          <w:vanish/>
          <w:sz w:val="22"/>
          <w:szCs w:val="22"/>
        </w:rPr>
        <w:t>The</w:t>
      </w:r>
      <w:r>
        <w:rPr>
          <w:rFonts w:ascii="Calibri" w:hAnsi="Calibri" w:cs="Calibri"/>
          <w:vanish/>
          <w:sz w:val="22"/>
          <w:szCs w:val="22"/>
        </w:rPr>
        <w:t xml:space="preserve"> </w:t>
      </w:r>
      <w:r w:rsidRPr="00CA434F">
        <w:rPr>
          <w:rFonts w:ascii="Calibri" w:eastAsiaTheme="majorEastAsia" w:hAnsi="Calibri" w:cs="Calibri"/>
          <w:iCs/>
          <w:sz w:val="22"/>
          <w:szCs w:val="22"/>
        </w:rPr>
        <w:t xml:space="preserve">Outcomes of this </w:t>
      </w:r>
      <w:r w:rsidR="00976B28">
        <w:rPr>
          <w:rFonts w:ascii="Calibri" w:eastAsiaTheme="majorEastAsia" w:hAnsi="Calibri" w:cs="Calibri"/>
          <w:iCs/>
          <w:sz w:val="22"/>
          <w:szCs w:val="22"/>
        </w:rPr>
        <w:t>part of the review</w:t>
      </w:r>
      <w:r w:rsidRPr="00CA434F">
        <w:rPr>
          <w:rFonts w:ascii="Calibri" w:eastAsiaTheme="majorEastAsia" w:hAnsi="Calibri" w:cs="Calibri"/>
          <w:iCs/>
          <w:sz w:val="22"/>
          <w:szCs w:val="22"/>
        </w:rPr>
        <w:t xml:space="preserve"> will be considered by Mr Hanks in his final report. The review will not consider any reduction in the existing benefits afforded to workers covered under the </w:t>
      </w:r>
      <w:r w:rsidR="00503430">
        <w:rPr>
          <w:rFonts w:ascii="Calibri" w:eastAsiaTheme="majorEastAsia" w:hAnsi="Calibri" w:cs="Calibri"/>
          <w:iCs/>
          <w:sz w:val="22"/>
          <w:szCs w:val="22"/>
        </w:rPr>
        <w:t>Comcare S</w:t>
      </w:r>
      <w:r w:rsidRPr="00CA434F">
        <w:rPr>
          <w:rFonts w:ascii="Calibri" w:eastAsiaTheme="majorEastAsia" w:hAnsi="Calibri" w:cs="Calibri"/>
          <w:iCs/>
          <w:sz w:val="22"/>
          <w:szCs w:val="22"/>
        </w:rPr>
        <w:t>cheme, but will seek to improve it further to achieve fair and equitable outcomes for injured workers with a strong focus on rehabilitation.</w:t>
      </w:r>
    </w:p>
    <w:p w:rsidR="00C50E48" w:rsidRPr="00DF7A31" w:rsidRDefault="00C50E48" w:rsidP="00C50E48">
      <w:pPr>
        <w:spacing w:after="120"/>
        <w:ind w:hanging="709"/>
        <w:rPr>
          <w:rFonts w:ascii="Calibri" w:eastAsiaTheme="majorEastAsia" w:hAnsi="Calibri" w:cs="Calibri"/>
          <w:iCs/>
          <w:sz w:val="22"/>
          <w:szCs w:val="22"/>
        </w:rPr>
      </w:pPr>
      <w:r w:rsidRPr="00C50E48">
        <w:rPr>
          <w:iCs/>
          <w:sz w:val="28"/>
          <w:szCs w:val="28"/>
        </w:rPr>
        <w:br w:type="page"/>
      </w:r>
    </w:p>
    <w:p w:rsidR="00C50E48" w:rsidRPr="00C50E48" w:rsidRDefault="00C50E48" w:rsidP="00C50E48">
      <w:pPr>
        <w:spacing w:before="100" w:beforeAutospacing="1" w:after="100" w:afterAutospacing="1"/>
        <w:outlineLvl w:val="0"/>
        <w:rPr>
          <w:rFonts w:ascii="Arial" w:hAnsi="Arial"/>
          <w:bCs/>
          <w:iCs/>
          <w:caps/>
          <w:color w:val="1F497D" w:themeColor="text2"/>
          <w:kern w:val="36"/>
          <w:sz w:val="28"/>
          <w:szCs w:val="28"/>
        </w:rPr>
      </w:pPr>
      <w:bookmarkStart w:id="258" w:name="_Toc341777929"/>
      <w:bookmarkStart w:id="259" w:name="_Toc342578297"/>
      <w:r w:rsidRPr="00C50E48">
        <w:rPr>
          <w:rFonts w:ascii="Arial" w:hAnsi="Arial"/>
          <w:bCs/>
          <w:iCs/>
          <w:caps/>
          <w:color w:val="1F497D" w:themeColor="text2"/>
          <w:kern w:val="36"/>
          <w:sz w:val="28"/>
          <w:szCs w:val="28"/>
        </w:rPr>
        <w:lastRenderedPageBreak/>
        <w:t>Scope of the Report</w:t>
      </w:r>
      <w:bookmarkEnd w:id="258"/>
      <w:bookmarkEnd w:id="259"/>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 xml:space="preserve">This Report only covers aspects of </w:t>
      </w:r>
      <w:r w:rsidR="00173FC9" w:rsidRPr="00C50E48">
        <w:rPr>
          <w:rFonts w:ascii="Calibri" w:hAnsi="Calibri" w:cs="Calibri"/>
          <w:sz w:val="22"/>
          <w:szCs w:val="22"/>
        </w:rPr>
        <w:t>the Comcare</w:t>
      </w:r>
      <w:r w:rsidRPr="00C50E48">
        <w:rPr>
          <w:rFonts w:ascii="Calibri" w:hAnsi="Calibri" w:cs="Calibri"/>
          <w:sz w:val="22"/>
          <w:szCs w:val="22"/>
        </w:rPr>
        <w:t xml:space="preserve"> scheme’s </w:t>
      </w:r>
      <w:r w:rsidR="00173FC9" w:rsidRPr="00C50E48">
        <w:rPr>
          <w:rFonts w:ascii="Calibri" w:hAnsi="Calibri" w:cs="Calibri"/>
          <w:sz w:val="22"/>
          <w:szCs w:val="22"/>
        </w:rPr>
        <w:t>operations covered</w:t>
      </w:r>
      <w:r w:rsidRPr="00C50E48">
        <w:rPr>
          <w:rFonts w:ascii="Calibri" w:hAnsi="Calibri" w:cs="Calibri"/>
          <w:sz w:val="22"/>
          <w:szCs w:val="22"/>
        </w:rPr>
        <w:t xml:space="preserve"> by the SRC Act. It focuses on an examination of the structural and governance arrangements, current regulatory arrangements and the prudential and financial structures that apply to the premium payers and licensees.</w:t>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The Report therefore does not cover issues relating to the following:</w:t>
      </w:r>
    </w:p>
    <w:p w:rsidR="00C50E48" w:rsidRPr="00C50E48" w:rsidRDefault="00C50E48" w:rsidP="00C50E48">
      <w:pPr>
        <w:numPr>
          <w:ilvl w:val="0"/>
          <w:numId w:val="18"/>
        </w:numPr>
        <w:spacing w:after="120"/>
        <w:ind w:left="1134" w:hanging="425"/>
        <w:rPr>
          <w:rFonts w:ascii="Calibri" w:hAnsi="Calibri" w:cs="Calibri"/>
          <w:sz w:val="22"/>
          <w:szCs w:val="22"/>
        </w:rPr>
      </w:pPr>
      <w:r w:rsidRPr="00C50E48">
        <w:rPr>
          <w:rFonts w:ascii="Calibri" w:hAnsi="Calibri" w:cs="Calibri"/>
          <w:sz w:val="22"/>
          <w:szCs w:val="22"/>
        </w:rPr>
        <w:t>the regulation of work health and safety matters under the</w:t>
      </w:r>
      <w:r w:rsidR="00503430">
        <w:rPr>
          <w:rFonts w:ascii="Calibri" w:hAnsi="Calibri" w:cs="Calibri"/>
          <w:sz w:val="22"/>
          <w:szCs w:val="22"/>
        </w:rPr>
        <w:t xml:space="preserve"> Commonwealth</w:t>
      </w:r>
      <w:r w:rsidRPr="00C50E48">
        <w:rPr>
          <w:rFonts w:ascii="Calibri" w:hAnsi="Calibri" w:cs="Calibri"/>
          <w:sz w:val="22"/>
          <w:szCs w:val="22"/>
        </w:rPr>
        <w:t xml:space="preserve"> </w:t>
      </w:r>
      <w:r w:rsidRPr="00C50E48">
        <w:rPr>
          <w:rFonts w:ascii="Calibri" w:hAnsi="Calibri" w:cs="Calibri"/>
          <w:i/>
          <w:sz w:val="22"/>
          <w:szCs w:val="22"/>
        </w:rPr>
        <w:t>Work Health and Safety Act, 2011</w:t>
      </w:r>
      <w:r w:rsidRPr="00C50E48">
        <w:rPr>
          <w:rFonts w:ascii="Calibri" w:hAnsi="Calibri" w:cs="Calibri"/>
          <w:sz w:val="22"/>
          <w:szCs w:val="22"/>
        </w:rPr>
        <w:t xml:space="preserve"> (WHS Act);</w:t>
      </w:r>
    </w:p>
    <w:p w:rsidR="00C50E48" w:rsidRPr="00C50E48" w:rsidRDefault="00C50E48" w:rsidP="00C50E48">
      <w:pPr>
        <w:numPr>
          <w:ilvl w:val="0"/>
          <w:numId w:val="18"/>
        </w:numPr>
        <w:spacing w:after="120"/>
        <w:ind w:left="1134" w:hanging="425"/>
        <w:rPr>
          <w:rFonts w:ascii="Calibri" w:hAnsi="Calibri" w:cs="Calibri"/>
          <w:sz w:val="22"/>
          <w:szCs w:val="22"/>
        </w:rPr>
      </w:pPr>
      <w:r w:rsidRPr="00C50E48">
        <w:rPr>
          <w:rFonts w:ascii="Calibri" w:hAnsi="Calibri" w:cs="Calibri"/>
          <w:sz w:val="22"/>
          <w:szCs w:val="22"/>
        </w:rPr>
        <w:t>the Seacare scheme’s governance arrangements; or</w:t>
      </w:r>
    </w:p>
    <w:p w:rsidR="00C50E48" w:rsidRPr="00C50E48" w:rsidRDefault="00C50E48" w:rsidP="00C50E48">
      <w:pPr>
        <w:numPr>
          <w:ilvl w:val="0"/>
          <w:numId w:val="18"/>
        </w:numPr>
        <w:spacing w:after="120"/>
        <w:ind w:left="1134" w:hanging="425"/>
        <w:rPr>
          <w:rFonts w:ascii="Calibri" w:hAnsi="Calibri" w:cs="Calibri"/>
          <w:sz w:val="22"/>
          <w:szCs w:val="22"/>
        </w:rPr>
      </w:pPr>
      <w:r w:rsidRPr="00C50E48">
        <w:rPr>
          <w:rFonts w:ascii="Calibri" w:hAnsi="Calibri" w:cs="Calibri"/>
          <w:sz w:val="22"/>
          <w:szCs w:val="22"/>
        </w:rPr>
        <w:t>Comcare’s oversight of the Commonwealth Government’s asbestos liabilities.</w:t>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Following consideration by the Council of Australian Governments, new Workplace Health and Safety laws were enacted</w:t>
      </w:r>
      <w:r w:rsidR="00173FC9">
        <w:rPr>
          <w:rFonts w:ascii="Calibri" w:hAnsi="Calibri" w:cs="Calibri"/>
          <w:sz w:val="22"/>
          <w:szCs w:val="22"/>
        </w:rPr>
        <w:t xml:space="preserve"> </w:t>
      </w:r>
      <w:r w:rsidRPr="00C50E48">
        <w:rPr>
          <w:rFonts w:ascii="Calibri" w:hAnsi="Calibri" w:cs="Calibri"/>
          <w:sz w:val="22"/>
          <w:szCs w:val="22"/>
        </w:rPr>
        <w:t xml:space="preserve">by the Commonwealth Government on 1 January </w:t>
      </w:r>
      <w:r w:rsidR="00F23E52">
        <w:rPr>
          <w:rFonts w:ascii="Calibri" w:hAnsi="Calibri" w:cs="Calibri"/>
          <w:sz w:val="22"/>
          <w:szCs w:val="22"/>
        </w:rPr>
        <w:t>2012</w:t>
      </w:r>
      <w:r w:rsidRPr="00C50E48">
        <w:rPr>
          <w:rFonts w:ascii="Calibri" w:hAnsi="Calibri" w:cs="Calibri"/>
          <w:sz w:val="22"/>
          <w:szCs w:val="22"/>
        </w:rPr>
        <w:t>. All the States and Territories except Victoria and Western Australia have passed similar legislation in their respective jurisdictions.</w:t>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A separate review of the national compensation scheme for seafarers, announced by Minister Shorten on 16 October 2012, is being carried out by Mr Robin Stewart-Crompton. That review will also report to the Government in February 2013.</w:t>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In September 2012, Minister Shorten announced the establishment of the Office of Asbestos Safety</w:t>
      </w:r>
      <w:r w:rsidR="00F23E52">
        <w:rPr>
          <w:rFonts w:ascii="Calibri" w:hAnsi="Calibri" w:cs="Calibri"/>
          <w:sz w:val="22"/>
          <w:szCs w:val="22"/>
        </w:rPr>
        <w:t xml:space="preserve"> (OAS)</w:t>
      </w:r>
      <w:r w:rsidRPr="00C50E48">
        <w:rPr>
          <w:rFonts w:ascii="Calibri" w:hAnsi="Calibri" w:cs="Calibri"/>
          <w:sz w:val="22"/>
          <w:szCs w:val="22"/>
        </w:rPr>
        <w:t xml:space="preserve"> in response to a recommendation of the Asbestos Management Review Report which was delivered in July 2012.  The report contains 12 recommendations for a national strategic plan to improve asbestos awareness and management arrangements across all sectors of the Australian community. The report noted that asbestos issues are regulated by each level of government in Australia, and highlighted the need for a measure to improve coordination between government agencies. Initially, the primary function of the </w:t>
      </w:r>
      <w:r w:rsidR="00F23E52">
        <w:rPr>
          <w:rFonts w:ascii="Calibri" w:hAnsi="Calibri" w:cs="Calibri"/>
          <w:sz w:val="22"/>
          <w:szCs w:val="22"/>
        </w:rPr>
        <w:t>OAS</w:t>
      </w:r>
      <w:r w:rsidRPr="00C50E48">
        <w:rPr>
          <w:rFonts w:ascii="Calibri" w:hAnsi="Calibri" w:cs="Calibri"/>
          <w:sz w:val="22"/>
          <w:szCs w:val="22"/>
        </w:rPr>
        <w:t xml:space="preserve"> will be to work with state, territory and local governments to develop a national strategic plan by 30 June 2013.  This report does not seek to revisit or address any of the specific issues arising from the Asbestos Management Review.</w:t>
      </w:r>
    </w:p>
    <w:p w:rsidR="00C50E48" w:rsidRPr="00C50E48" w:rsidRDefault="00C50E48" w:rsidP="00C50E48">
      <w:pPr>
        <w:spacing w:before="100" w:beforeAutospacing="1" w:after="100" w:afterAutospacing="1"/>
        <w:outlineLvl w:val="0"/>
        <w:rPr>
          <w:rFonts w:ascii="Arial" w:hAnsi="Arial"/>
          <w:bCs/>
          <w:iCs/>
          <w:caps/>
          <w:color w:val="1F497D" w:themeColor="text2"/>
          <w:kern w:val="36"/>
          <w:sz w:val="28"/>
          <w:szCs w:val="28"/>
        </w:rPr>
      </w:pPr>
      <w:bookmarkStart w:id="260" w:name="_Toc341777930"/>
      <w:bookmarkStart w:id="261" w:name="_Toc342578298"/>
      <w:r w:rsidRPr="00C50E48">
        <w:rPr>
          <w:rFonts w:ascii="Arial" w:hAnsi="Arial"/>
          <w:bCs/>
          <w:iCs/>
          <w:caps/>
          <w:color w:val="1F497D" w:themeColor="text2"/>
          <w:kern w:val="36"/>
          <w:sz w:val="28"/>
          <w:szCs w:val="28"/>
        </w:rPr>
        <w:t>The Review Process</w:t>
      </w:r>
      <w:bookmarkEnd w:id="260"/>
      <w:bookmarkEnd w:id="261"/>
    </w:p>
    <w:p w:rsidR="00C50E48" w:rsidRPr="00CA434F" w:rsidRDefault="00C50E48" w:rsidP="00C50E48">
      <w:pPr>
        <w:numPr>
          <w:ilvl w:val="0"/>
          <w:numId w:val="3"/>
        </w:numPr>
        <w:spacing w:after="120"/>
        <w:ind w:left="709" w:hanging="709"/>
        <w:rPr>
          <w:rFonts w:ascii="Calibri" w:eastAsiaTheme="majorEastAsia" w:hAnsi="Calibri" w:cs="Calibri"/>
          <w:kern w:val="32"/>
          <w:sz w:val="22"/>
          <w:szCs w:val="22"/>
        </w:rPr>
      </w:pPr>
      <w:r w:rsidRPr="00CA434F">
        <w:rPr>
          <w:rFonts w:ascii="Calibri" w:eastAsiaTheme="majorEastAsia" w:hAnsi="Calibri" w:cs="Calibri"/>
          <w:iCs/>
          <w:sz w:val="22"/>
          <w:szCs w:val="22"/>
        </w:rPr>
        <w:t>This review of the Comcare scheme’s performance, governance and financial framework was conducted in three phases:</w:t>
      </w:r>
    </w:p>
    <w:p w:rsidR="00C50E48" w:rsidRPr="00CA434F" w:rsidRDefault="00C50E48" w:rsidP="00C50E48">
      <w:pPr>
        <w:numPr>
          <w:ilvl w:val="0"/>
          <w:numId w:val="18"/>
        </w:numPr>
        <w:spacing w:after="120"/>
        <w:ind w:left="1134" w:hanging="425"/>
        <w:rPr>
          <w:rFonts w:ascii="Calibri" w:eastAsiaTheme="majorEastAsia" w:hAnsi="Calibri" w:cs="Calibri"/>
          <w:kern w:val="32"/>
          <w:sz w:val="22"/>
          <w:szCs w:val="22"/>
        </w:rPr>
      </w:pPr>
      <w:r w:rsidRPr="00CA434F">
        <w:rPr>
          <w:rFonts w:ascii="Calibri" w:hAnsi="Calibri" w:cs="Calibri"/>
          <w:sz w:val="22"/>
          <w:szCs w:val="22"/>
        </w:rPr>
        <w:t>p</w:t>
      </w:r>
      <w:r w:rsidRPr="00CA434F">
        <w:rPr>
          <w:rFonts w:ascii="Calibri" w:eastAsiaTheme="majorEastAsia" w:hAnsi="Calibri" w:cs="Calibri"/>
          <w:iCs/>
          <w:sz w:val="22"/>
          <w:szCs w:val="22"/>
        </w:rPr>
        <w:t>lanning – the first phase consisted of research, data gathering and consultation with key stakeholders, including representatives from Australian Government agencies, unions and business that self-insure under the SRC Act, to identify major issues and to refine the scope of the review;</w:t>
      </w:r>
    </w:p>
    <w:p w:rsidR="00C50E48" w:rsidRPr="00CA434F" w:rsidRDefault="00C50E48" w:rsidP="00C50E48">
      <w:pPr>
        <w:numPr>
          <w:ilvl w:val="0"/>
          <w:numId w:val="18"/>
        </w:numPr>
        <w:spacing w:after="120"/>
        <w:ind w:left="1134" w:hanging="425"/>
        <w:rPr>
          <w:rFonts w:ascii="Calibri" w:eastAsiaTheme="majorEastAsia" w:hAnsi="Calibri" w:cs="Calibri"/>
          <w:kern w:val="32"/>
          <w:sz w:val="22"/>
          <w:szCs w:val="22"/>
        </w:rPr>
      </w:pPr>
      <w:r w:rsidRPr="00CA434F">
        <w:rPr>
          <w:rFonts w:ascii="Calibri" w:hAnsi="Calibri" w:cs="Calibri"/>
          <w:sz w:val="22"/>
          <w:szCs w:val="22"/>
        </w:rPr>
        <w:t>d</w:t>
      </w:r>
      <w:r w:rsidRPr="00CA434F">
        <w:rPr>
          <w:rFonts w:ascii="Calibri" w:eastAsiaTheme="majorEastAsia" w:hAnsi="Calibri" w:cs="Calibri"/>
          <w:iCs/>
          <w:sz w:val="22"/>
          <w:szCs w:val="22"/>
        </w:rPr>
        <w:t>evelopment – the second phase  involved circulation of an exposure draft  and discussion with some key stakeholders; and</w:t>
      </w:r>
    </w:p>
    <w:p w:rsidR="00C50E48" w:rsidRPr="00CA434F" w:rsidRDefault="00C50E48" w:rsidP="00C50E48">
      <w:pPr>
        <w:numPr>
          <w:ilvl w:val="0"/>
          <w:numId w:val="18"/>
        </w:numPr>
        <w:spacing w:after="120"/>
        <w:ind w:left="1134" w:hanging="425"/>
        <w:rPr>
          <w:rFonts w:ascii="Calibri" w:eastAsiaTheme="majorEastAsia" w:hAnsi="Calibri" w:cs="Calibri"/>
          <w:kern w:val="32"/>
          <w:sz w:val="22"/>
          <w:szCs w:val="22"/>
        </w:rPr>
      </w:pPr>
      <w:proofErr w:type="gramStart"/>
      <w:r w:rsidRPr="00CA434F">
        <w:rPr>
          <w:rFonts w:ascii="Calibri" w:eastAsiaTheme="majorEastAsia" w:hAnsi="Calibri" w:cs="Calibri"/>
          <w:iCs/>
          <w:sz w:val="22"/>
          <w:szCs w:val="22"/>
        </w:rPr>
        <w:t>finalisation</w:t>
      </w:r>
      <w:proofErr w:type="gramEnd"/>
      <w:r w:rsidRPr="00CA434F">
        <w:rPr>
          <w:rFonts w:ascii="Calibri" w:eastAsiaTheme="majorEastAsia" w:hAnsi="Calibri" w:cs="Calibri"/>
          <w:iCs/>
          <w:sz w:val="22"/>
          <w:szCs w:val="22"/>
        </w:rPr>
        <w:t xml:space="preserve"> – </w:t>
      </w:r>
      <w:r w:rsidRPr="00CA434F">
        <w:rPr>
          <w:rFonts w:ascii="Calibri" w:hAnsi="Calibri" w:cs="Calibri"/>
          <w:sz w:val="22"/>
          <w:szCs w:val="22"/>
        </w:rPr>
        <w:t xml:space="preserve">the </w:t>
      </w:r>
      <w:r w:rsidRPr="00CA434F">
        <w:rPr>
          <w:rFonts w:ascii="Calibri" w:eastAsiaTheme="majorEastAsia" w:hAnsi="Calibri" w:cs="Calibri"/>
          <w:iCs/>
          <w:sz w:val="22"/>
          <w:szCs w:val="22"/>
        </w:rPr>
        <w:t xml:space="preserve"> final phase concentrated on refining this report and its associated recommendations.</w:t>
      </w:r>
    </w:p>
    <w:p w:rsidR="00C50E48" w:rsidRPr="00C50E48" w:rsidRDefault="00C50E48" w:rsidP="00C50E48">
      <w:pPr>
        <w:numPr>
          <w:ilvl w:val="0"/>
          <w:numId w:val="3"/>
        </w:numPr>
        <w:spacing w:after="120"/>
        <w:ind w:left="709" w:hanging="709"/>
        <w:rPr>
          <w:rFonts w:asciiTheme="minorHAnsi" w:eastAsiaTheme="majorEastAsia" w:hAnsiTheme="minorHAnsi" w:cstheme="minorHAnsi"/>
          <w:kern w:val="32"/>
          <w:sz w:val="22"/>
          <w:szCs w:val="22"/>
        </w:rPr>
      </w:pPr>
      <w:r w:rsidRPr="00CA434F">
        <w:rPr>
          <w:rFonts w:asciiTheme="minorHAnsi" w:eastAsiaTheme="majorEastAsia" w:hAnsiTheme="minorHAnsi" w:cstheme="minorHAnsi"/>
          <w:iCs/>
          <w:sz w:val="22"/>
          <w:szCs w:val="22"/>
        </w:rPr>
        <w:t xml:space="preserve">Organisations and </w:t>
      </w:r>
      <w:r w:rsidR="00173FC9" w:rsidRPr="00CA434F">
        <w:rPr>
          <w:rFonts w:asciiTheme="minorHAnsi" w:eastAsiaTheme="majorEastAsia" w:hAnsiTheme="minorHAnsi" w:cstheme="minorHAnsi"/>
          <w:iCs/>
          <w:sz w:val="22"/>
          <w:szCs w:val="22"/>
        </w:rPr>
        <w:t>individuals invited</w:t>
      </w:r>
      <w:r w:rsidRPr="00CA434F">
        <w:rPr>
          <w:rFonts w:asciiTheme="minorHAnsi" w:eastAsiaTheme="majorEastAsia" w:hAnsiTheme="minorHAnsi" w:cstheme="minorHAnsi"/>
          <w:iCs/>
          <w:sz w:val="22"/>
          <w:szCs w:val="22"/>
        </w:rPr>
        <w:t xml:space="preserve"> for face-to-face consultations or via video or teleconference are listed at </w:t>
      </w:r>
      <w:r w:rsidRPr="0035663E">
        <w:rPr>
          <w:rFonts w:asciiTheme="minorHAnsi" w:eastAsiaTheme="majorEastAsia" w:hAnsiTheme="minorHAnsi" w:cstheme="minorHAnsi"/>
          <w:iCs/>
          <w:sz w:val="22"/>
          <w:szCs w:val="22"/>
          <w:u w:val="single"/>
        </w:rPr>
        <w:t>Annex B</w:t>
      </w:r>
      <w:r w:rsidRPr="00C50E48">
        <w:rPr>
          <w:rFonts w:asciiTheme="minorHAnsi" w:eastAsiaTheme="majorEastAsia" w:hAnsiTheme="minorHAnsi" w:cstheme="minorHAnsi"/>
          <w:i/>
          <w:iCs/>
          <w:sz w:val="22"/>
          <w:szCs w:val="22"/>
        </w:rPr>
        <w:t>.</w:t>
      </w:r>
    </w:p>
    <w:p w:rsidR="00C50E48" w:rsidRPr="00C50E48" w:rsidRDefault="00C50E48" w:rsidP="00C50E48">
      <w:pPr>
        <w:spacing w:after="120"/>
        <w:ind w:hanging="709"/>
        <w:rPr>
          <w:rFonts w:ascii="Calibri" w:eastAsiaTheme="majorEastAsia" w:hAnsi="Calibri" w:cs="Calibri"/>
          <w:iCs/>
          <w:sz w:val="22"/>
          <w:szCs w:val="22"/>
        </w:rPr>
      </w:pPr>
      <w:r w:rsidRPr="00C50E48">
        <w:rPr>
          <w:rFonts w:eastAsiaTheme="majorEastAsia" w:cstheme="majorHAnsi"/>
          <w:i/>
          <w:iCs/>
          <w:sz w:val="28"/>
          <w:szCs w:val="28"/>
        </w:rPr>
        <w:br w:type="page"/>
      </w:r>
    </w:p>
    <w:p w:rsidR="00C50E48" w:rsidRPr="00C50E48" w:rsidRDefault="00C50E48" w:rsidP="00C50E48">
      <w:pPr>
        <w:spacing w:before="100" w:beforeAutospacing="1" w:after="100" w:afterAutospacing="1"/>
        <w:outlineLvl w:val="0"/>
        <w:rPr>
          <w:rFonts w:ascii="Arial" w:hAnsi="Arial"/>
          <w:bCs/>
          <w:iCs/>
          <w:caps/>
          <w:color w:val="1F497D" w:themeColor="text2"/>
          <w:kern w:val="36"/>
          <w:sz w:val="28"/>
          <w:szCs w:val="28"/>
        </w:rPr>
      </w:pPr>
      <w:bookmarkStart w:id="262" w:name="_Toc341777931"/>
      <w:bookmarkStart w:id="263" w:name="_Toc342578299"/>
      <w:r w:rsidRPr="00C50E48">
        <w:rPr>
          <w:rFonts w:ascii="Arial" w:hAnsi="Arial"/>
          <w:bCs/>
          <w:iCs/>
          <w:caps/>
          <w:color w:val="1F497D" w:themeColor="text2"/>
          <w:kern w:val="36"/>
          <w:sz w:val="28"/>
          <w:szCs w:val="28"/>
        </w:rPr>
        <w:lastRenderedPageBreak/>
        <w:t>The Comcare Scheme</w:t>
      </w:r>
      <w:bookmarkEnd w:id="262"/>
      <w:bookmarkEnd w:id="263"/>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 xml:space="preserve">Following enactment of the SRC Act, Comcare was established as a premium-funded workers’ compensation and rehabilitation scheme from 1 July 1989 to provide coverage for all Commonwealth and Australian Capital Territory (ACT) </w:t>
      </w:r>
      <w:r w:rsidR="00B63F07">
        <w:rPr>
          <w:rFonts w:ascii="Calibri" w:hAnsi="Calibri" w:cs="Calibri"/>
          <w:sz w:val="22"/>
          <w:szCs w:val="22"/>
        </w:rPr>
        <w:t>G</w:t>
      </w:r>
      <w:r w:rsidR="00B63F07" w:rsidRPr="00C50E48">
        <w:rPr>
          <w:rFonts w:ascii="Calibri" w:hAnsi="Calibri" w:cs="Calibri"/>
          <w:sz w:val="22"/>
          <w:szCs w:val="22"/>
        </w:rPr>
        <w:t xml:space="preserve">overnment </w:t>
      </w:r>
      <w:r w:rsidRPr="00C50E48">
        <w:rPr>
          <w:rFonts w:ascii="Calibri" w:hAnsi="Calibri" w:cs="Calibri"/>
          <w:sz w:val="22"/>
          <w:szCs w:val="22"/>
        </w:rPr>
        <w:t xml:space="preserve">employees. During the Second Reading Speech, the then Minister for Social Security, the Hon Brian Howe MP, emphasised the importance of ensuring the </w:t>
      </w:r>
      <w:r w:rsidR="00503430">
        <w:rPr>
          <w:rFonts w:ascii="Calibri" w:hAnsi="Calibri" w:cs="Calibri"/>
          <w:sz w:val="22"/>
          <w:szCs w:val="22"/>
        </w:rPr>
        <w:t>Comcare S</w:t>
      </w:r>
      <w:r w:rsidRPr="00C50E48">
        <w:rPr>
          <w:rFonts w:ascii="Calibri" w:hAnsi="Calibri" w:cs="Calibri"/>
          <w:sz w:val="22"/>
          <w:szCs w:val="22"/>
        </w:rPr>
        <w:t xml:space="preserve">cheme was funded through contributions </w:t>
      </w:r>
      <w:r w:rsidR="00002F4D">
        <w:rPr>
          <w:rFonts w:ascii="Calibri" w:hAnsi="Calibri" w:cs="Calibri"/>
          <w:sz w:val="22"/>
          <w:szCs w:val="22"/>
        </w:rPr>
        <w:t>from</w:t>
      </w:r>
      <w:r w:rsidRPr="00C50E48">
        <w:rPr>
          <w:rFonts w:ascii="Calibri" w:hAnsi="Calibri" w:cs="Calibri"/>
          <w:sz w:val="22"/>
          <w:szCs w:val="22"/>
        </w:rPr>
        <w:t xml:space="preserve"> the various departments and authorities based on their claims record. </w:t>
      </w:r>
      <w:r w:rsidR="001A4551">
        <w:rPr>
          <w:rFonts w:ascii="Calibri" w:hAnsi="Calibri" w:cs="Calibri"/>
          <w:sz w:val="22"/>
          <w:szCs w:val="22"/>
        </w:rPr>
        <w:t>T</w:t>
      </w:r>
      <w:r w:rsidRPr="00C50E48">
        <w:rPr>
          <w:rFonts w:ascii="Calibri" w:hAnsi="Calibri" w:cs="Calibri"/>
          <w:sz w:val="22"/>
          <w:szCs w:val="22"/>
        </w:rPr>
        <w:t xml:space="preserve">he new scheme </w:t>
      </w:r>
      <w:r w:rsidR="001A4551">
        <w:rPr>
          <w:rFonts w:ascii="Calibri" w:hAnsi="Calibri" w:cs="Calibri"/>
          <w:sz w:val="22"/>
          <w:szCs w:val="22"/>
        </w:rPr>
        <w:t>was also intended to</w:t>
      </w:r>
      <w:r w:rsidR="001A4551" w:rsidRPr="00C50E48">
        <w:rPr>
          <w:rFonts w:ascii="Calibri" w:hAnsi="Calibri" w:cs="Calibri"/>
          <w:sz w:val="22"/>
          <w:szCs w:val="22"/>
        </w:rPr>
        <w:t xml:space="preserve"> </w:t>
      </w:r>
      <w:r w:rsidRPr="00C50E48">
        <w:rPr>
          <w:rFonts w:ascii="Calibri" w:hAnsi="Calibri" w:cs="Calibri"/>
          <w:sz w:val="22"/>
          <w:szCs w:val="22"/>
        </w:rPr>
        <w:t>focus on the rehabilitation of injured employees.</w:t>
      </w:r>
      <w:r w:rsidRPr="00C50E48">
        <w:rPr>
          <w:rFonts w:ascii="Calibri" w:hAnsi="Calibri" w:cs="Calibri"/>
          <w:sz w:val="22"/>
          <w:szCs w:val="22"/>
          <w:vertAlign w:val="superscript"/>
        </w:rPr>
        <w:footnoteReference w:id="2"/>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The SRC Act was amended in 1992 to enable certain corporations to apply to have their workers’ compensation arrangements covered by the Comcare scheme as a licensed authority. This was limited to Commonwealth authorities, former Commonwealth authorities and corporations that are in competition with a Commonwealth authority or former Commonwealth authority.</w:t>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 xml:space="preserve">Since 2004, a number of private sector entities have sought and gained approval as licensees under the Comcare scheme. In order to gain coverage as a licensee, corporations must first be declared by the Minister for Employment and Workplace Relations as being eligible to apply for a </w:t>
      </w:r>
      <w:r w:rsidR="000A5586">
        <w:rPr>
          <w:rFonts w:ascii="Calibri" w:hAnsi="Calibri" w:cs="Calibri"/>
          <w:sz w:val="22"/>
          <w:szCs w:val="22"/>
        </w:rPr>
        <w:t>licence</w:t>
      </w:r>
      <w:r w:rsidRPr="00C50E48">
        <w:rPr>
          <w:rFonts w:ascii="Calibri" w:hAnsi="Calibri" w:cs="Calibri"/>
          <w:sz w:val="22"/>
          <w:szCs w:val="22"/>
        </w:rPr>
        <w:t>.</w:t>
      </w:r>
      <w:r w:rsidRPr="00C50E48">
        <w:rPr>
          <w:rFonts w:ascii="Calibri" w:hAnsi="Calibri" w:cs="Calibri"/>
          <w:sz w:val="22"/>
          <w:szCs w:val="22"/>
          <w:vertAlign w:val="superscript"/>
        </w:rPr>
        <w:footnoteReference w:id="3"/>
      </w:r>
      <w:r w:rsidRPr="00C50E48">
        <w:rPr>
          <w:rFonts w:ascii="Calibri" w:hAnsi="Calibri" w:cs="Calibri"/>
          <w:sz w:val="22"/>
          <w:szCs w:val="22"/>
        </w:rPr>
        <w:t xml:space="preserve"> Once declared as eligible, a corporation can apply to the Safety Rehabilitation and Compensation Commission (SRCC) for a self-insurer </w:t>
      </w:r>
      <w:r w:rsidR="000A5586">
        <w:rPr>
          <w:rFonts w:ascii="Calibri" w:hAnsi="Calibri" w:cs="Calibri"/>
          <w:sz w:val="22"/>
          <w:szCs w:val="22"/>
        </w:rPr>
        <w:t>licence</w:t>
      </w:r>
      <w:r w:rsidRPr="00C50E48">
        <w:rPr>
          <w:rFonts w:ascii="Calibri" w:hAnsi="Calibri" w:cs="Calibri"/>
          <w:sz w:val="22"/>
          <w:szCs w:val="22"/>
        </w:rPr>
        <w:t>.</w:t>
      </w:r>
      <w:r w:rsidRPr="00C50E48">
        <w:rPr>
          <w:rFonts w:ascii="Calibri" w:hAnsi="Calibri" w:cs="Calibri"/>
          <w:sz w:val="22"/>
          <w:szCs w:val="22"/>
          <w:vertAlign w:val="superscript"/>
        </w:rPr>
        <w:footnoteReference w:id="4"/>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 xml:space="preserve">Following the SRCC’s decision to grant Optus a self-insurer </w:t>
      </w:r>
      <w:r w:rsidR="000A5586">
        <w:rPr>
          <w:rFonts w:ascii="Calibri" w:hAnsi="Calibri" w:cs="Calibri"/>
          <w:sz w:val="22"/>
          <w:szCs w:val="22"/>
        </w:rPr>
        <w:t>licence</w:t>
      </w:r>
      <w:r w:rsidRPr="00C50E48">
        <w:rPr>
          <w:rFonts w:ascii="Calibri" w:hAnsi="Calibri" w:cs="Calibri"/>
          <w:sz w:val="22"/>
          <w:szCs w:val="22"/>
        </w:rPr>
        <w:t xml:space="preserve">, the Victorian Government challenged the constitutional validity of the self insurance provisions of the SRC Act in the Courts. In </w:t>
      </w:r>
      <w:r w:rsidRPr="00C50E48">
        <w:rPr>
          <w:rFonts w:ascii="Calibri" w:hAnsi="Calibri" w:cs="Calibri"/>
          <w:i/>
          <w:sz w:val="22"/>
          <w:szCs w:val="22"/>
        </w:rPr>
        <w:t>Attorney General (Vic) v Andrews,</w:t>
      </w:r>
      <w:r w:rsidRPr="00C50E48">
        <w:rPr>
          <w:rFonts w:ascii="Calibri" w:hAnsi="Calibri" w:cs="Calibri"/>
          <w:i/>
          <w:sz w:val="22"/>
          <w:szCs w:val="22"/>
          <w:vertAlign w:val="superscript"/>
        </w:rPr>
        <w:footnoteReference w:id="5"/>
      </w:r>
      <w:r w:rsidRPr="00C50E48">
        <w:rPr>
          <w:rFonts w:ascii="Calibri" w:hAnsi="Calibri" w:cs="Calibri"/>
          <w:sz w:val="22"/>
          <w:szCs w:val="22"/>
        </w:rPr>
        <w:t xml:space="preserve"> the High Court affirmed the constitutional validity of the SRC provisions enabling large private corporations to seek and be granted self-insurance status under the Comcare scheme.</w:t>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The Comcare scheme has</w:t>
      </w:r>
      <w:r w:rsidR="001A4551">
        <w:rPr>
          <w:rFonts w:ascii="Calibri" w:hAnsi="Calibri" w:cs="Calibri"/>
          <w:sz w:val="22"/>
          <w:szCs w:val="22"/>
        </w:rPr>
        <w:t xml:space="preserve"> thus</w:t>
      </w:r>
      <w:r w:rsidRPr="00C50E48">
        <w:rPr>
          <w:rFonts w:ascii="Calibri" w:hAnsi="Calibri" w:cs="Calibri"/>
          <w:sz w:val="22"/>
          <w:szCs w:val="22"/>
        </w:rPr>
        <w:t xml:space="preserve"> evolved to support two categories of employers:</w:t>
      </w:r>
    </w:p>
    <w:p w:rsidR="00C50E48" w:rsidRPr="00C50E48" w:rsidRDefault="00C50E48" w:rsidP="00C50E48">
      <w:pPr>
        <w:numPr>
          <w:ilvl w:val="0"/>
          <w:numId w:val="18"/>
        </w:numPr>
        <w:spacing w:after="120"/>
        <w:ind w:left="1134" w:hanging="425"/>
        <w:rPr>
          <w:rFonts w:ascii="Calibri" w:hAnsi="Calibri" w:cs="Calibri"/>
          <w:sz w:val="22"/>
          <w:szCs w:val="22"/>
        </w:rPr>
      </w:pPr>
      <w:r w:rsidRPr="00C50E48">
        <w:rPr>
          <w:rFonts w:ascii="Calibri" w:hAnsi="Calibri" w:cs="Calibri"/>
          <w:sz w:val="22"/>
          <w:szCs w:val="22"/>
        </w:rPr>
        <w:t>premium payers; and</w:t>
      </w:r>
    </w:p>
    <w:p w:rsidR="00C50E48" w:rsidRPr="00C50E48" w:rsidRDefault="00C50E48" w:rsidP="00C50E48">
      <w:pPr>
        <w:numPr>
          <w:ilvl w:val="0"/>
          <w:numId w:val="18"/>
        </w:numPr>
        <w:spacing w:after="120"/>
        <w:ind w:left="1134" w:hanging="425"/>
        <w:rPr>
          <w:rFonts w:ascii="Calibri" w:hAnsi="Calibri" w:cs="Calibri"/>
          <w:sz w:val="22"/>
          <w:szCs w:val="22"/>
        </w:rPr>
      </w:pPr>
      <w:proofErr w:type="gramStart"/>
      <w:r w:rsidRPr="00C50E48">
        <w:rPr>
          <w:rFonts w:ascii="Calibri" w:hAnsi="Calibri" w:cs="Calibri"/>
          <w:sz w:val="22"/>
          <w:szCs w:val="22"/>
        </w:rPr>
        <w:t>licensees</w:t>
      </w:r>
      <w:proofErr w:type="gramEnd"/>
      <w:r w:rsidRPr="00C50E48">
        <w:rPr>
          <w:rFonts w:ascii="Calibri" w:hAnsi="Calibri" w:cs="Calibri"/>
          <w:sz w:val="22"/>
          <w:szCs w:val="22"/>
        </w:rPr>
        <w:t>.</w:t>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The Comcare scheme’s aim is to:</w:t>
      </w:r>
    </w:p>
    <w:p w:rsidR="00C50E48" w:rsidRPr="00C50E48" w:rsidRDefault="00C50E48" w:rsidP="00C50E48">
      <w:pPr>
        <w:numPr>
          <w:ilvl w:val="1"/>
          <w:numId w:val="4"/>
        </w:numPr>
        <w:spacing w:after="120"/>
        <w:ind w:left="1134" w:hanging="425"/>
        <w:rPr>
          <w:rFonts w:ascii="Calibri" w:hAnsi="Calibri" w:cs="Calibri"/>
          <w:sz w:val="22"/>
          <w:szCs w:val="22"/>
        </w:rPr>
      </w:pPr>
      <w:r w:rsidRPr="00C50E48">
        <w:rPr>
          <w:rFonts w:ascii="Calibri" w:hAnsi="Calibri" w:cs="Calibri"/>
          <w:sz w:val="22"/>
          <w:szCs w:val="22"/>
        </w:rPr>
        <w:t>prevent workplace harm to workers;</w:t>
      </w:r>
    </w:p>
    <w:p w:rsidR="00C50E48" w:rsidRPr="00C50E48" w:rsidRDefault="00C50E48" w:rsidP="00C50E48">
      <w:pPr>
        <w:numPr>
          <w:ilvl w:val="1"/>
          <w:numId w:val="4"/>
        </w:numPr>
        <w:spacing w:after="120"/>
        <w:ind w:left="1134" w:hanging="425"/>
        <w:rPr>
          <w:rFonts w:ascii="Calibri" w:hAnsi="Calibri" w:cs="Calibri"/>
          <w:sz w:val="22"/>
          <w:szCs w:val="22"/>
        </w:rPr>
      </w:pPr>
      <w:r w:rsidRPr="00C50E48">
        <w:rPr>
          <w:rFonts w:ascii="Calibri" w:hAnsi="Calibri" w:cs="Calibri"/>
          <w:sz w:val="22"/>
          <w:szCs w:val="22"/>
        </w:rPr>
        <w:t>empower employers to work with their employees to maintain an injured employee at work or to achieve an early, safe and durable return to work;</w:t>
      </w:r>
    </w:p>
    <w:p w:rsidR="00C50E48" w:rsidRPr="00C50E48" w:rsidRDefault="00C50E48" w:rsidP="00C50E48">
      <w:pPr>
        <w:numPr>
          <w:ilvl w:val="1"/>
          <w:numId w:val="4"/>
        </w:numPr>
        <w:spacing w:after="120"/>
        <w:ind w:left="1134" w:hanging="425"/>
        <w:rPr>
          <w:rFonts w:ascii="Calibri" w:hAnsi="Calibri" w:cs="Calibri"/>
          <w:sz w:val="22"/>
          <w:szCs w:val="22"/>
        </w:rPr>
      </w:pPr>
      <w:r w:rsidRPr="00C50E48">
        <w:rPr>
          <w:rFonts w:ascii="Calibri" w:hAnsi="Calibri" w:cs="Calibri"/>
          <w:sz w:val="22"/>
          <w:szCs w:val="22"/>
        </w:rPr>
        <w:t>give employers a duty to provide injured employees with suitable employment; and</w:t>
      </w:r>
    </w:p>
    <w:p w:rsidR="00C50E48" w:rsidRPr="00C50E48" w:rsidRDefault="00C50E48" w:rsidP="00C50E48">
      <w:pPr>
        <w:numPr>
          <w:ilvl w:val="1"/>
          <w:numId w:val="4"/>
        </w:numPr>
        <w:spacing w:after="120"/>
        <w:ind w:left="1134" w:hanging="425"/>
        <w:rPr>
          <w:rFonts w:ascii="Calibri" w:hAnsi="Calibri" w:cs="Calibri"/>
          <w:sz w:val="22"/>
          <w:szCs w:val="22"/>
        </w:rPr>
      </w:pPr>
      <w:r w:rsidRPr="00C50E48">
        <w:rPr>
          <w:rFonts w:ascii="Calibri" w:hAnsi="Calibri" w:cs="Calibri"/>
          <w:sz w:val="22"/>
          <w:szCs w:val="22"/>
        </w:rPr>
        <w:t>provide injured employees with a statutory package of economic and non-economic benefits, such as:</w:t>
      </w:r>
    </w:p>
    <w:p w:rsidR="00C50E48" w:rsidRPr="00C50E48" w:rsidRDefault="00C50E48" w:rsidP="00C50E48">
      <w:pPr>
        <w:numPr>
          <w:ilvl w:val="1"/>
          <w:numId w:val="17"/>
        </w:numPr>
        <w:spacing w:after="120"/>
        <w:rPr>
          <w:rFonts w:ascii="Calibri" w:hAnsi="Calibri" w:cs="Calibri"/>
          <w:sz w:val="22"/>
          <w:szCs w:val="22"/>
        </w:rPr>
      </w:pPr>
      <w:r w:rsidRPr="00C50E48">
        <w:rPr>
          <w:rFonts w:ascii="Calibri" w:hAnsi="Calibri" w:cs="Calibri"/>
          <w:sz w:val="22"/>
          <w:szCs w:val="22"/>
        </w:rPr>
        <w:t>a high standard of income support (until retirement age if necessary); and</w:t>
      </w:r>
    </w:p>
    <w:p w:rsidR="00C50E48" w:rsidRPr="00C50E48" w:rsidRDefault="00C50E48" w:rsidP="00C50E48">
      <w:pPr>
        <w:numPr>
          <w:ilvl w:val="1"/>
          <w:numId w:val="17"/>
        </w:numPr>
        <w:spacing w:after="120"/>
        <w:rPr>
          <w:rFonts w:ascii="Calibri" w:hAnsi="Calibri" w:cs="Calibri"/>
          <w:sz w:val="22"/>
          <w:szCs w:val="22"/>
        </w:rPr>
      </w:pPr>
      <w:proofErr w:type="gramStart"/>
      <w:r w:rsidRPr="00C50E48">
        <w:rPr>
          <w:rFonts w:ascii="Calibri" w:hAnsi="Calibri" w:cs="Calibri"/>
          <w:sz w:val="22"/>
          <w:szCs w:val="22"/>
        </w:rPr>
        <w:t>medical</w:t>
      </w:r>
      <w:proofErr w:type="gramEnd"/>
      <w:r w:rsidRPr="00C50E48">
        <w:rPr>
          <w:rFonts w:ascii="Calibri" w:hAnsi="Calibri" w:cs="Calibri"/>
          <w:sz w:val="22"/>
          <w:szCs w:val="22"/>
        </w:rPr>
        <w:t xml:space="preserve"> assistance, household services, permanent impairment aids and appliances, and other benefits.</w:t>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lastRenderedPageBreak/>
        <w:t>The Comcare scheme provides all scheme employers (including licensees) with an integrated work health and safety, rehabilitation and compensation system, no matter what Australian State or Territory an employer operates in, or where its employees are located.</w:t>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The Comcare scheme provides coverage to a broad range of industries, including banking and finance, building and construction, education, health services, law enforcement, postal services,</w:t>
      </w:r>
      <w:r w:rsidRPr="00C50E48" w:rsidDel="005757D3">
        <w:rPr>
          <w:rFonts w:ascii="Calibri" w:hAnsi="Calibri" w:cs="Calibri"/>
          <w:sz w:val="22"/>
          <w:szCs w:val="22"/>
        </w:rPr>
        <w:t xml:space="preserve"> </w:t>
      </w:r>
      <w:r w:rsidRPr="00C50E48">
        <w:rPr>
          <w:rFonts w:ascii="Calibri" w:hAnsi="Calibri" w:cs="Calibri"/>
          <w:sz w:val="22"/>
          <w:szCs w:val="22"/>
        </w:rPr>
        <w:t>public administration</w:t>
      </w:r>
      <w:r w:rsidR="00173FC9" w:rsidRPr="00C50E48">
        <w:rPr>
          <w:rFonts w:ascii="Calibri" w:hAnsi="Calibri" w:cs="Calibri"/>
          <w:sz w:val="22"/>
          <w:szCs w:val="22"/>
        </w:rPr>
        <w:t>, telecommunications</w:t>
      </w:r>
      <w:r w:rsidRPr="00C50E48">
        <w:rPr>
          <w:rFonts w:ascii="Calibri" w:hAnsi="Calibri" w:cs="Calibri"/>
          <w:sz w:val="22"/>
          <w:szCs w:val="22"/>
        </w:rPr>
        <w:t xml:space="preserve"> and transport.</w:t>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 xml:space="preserve">Employees </w:t>
      </w:r>
      <w:r w:rsidR="00173FC9" w:rsidRPr="00C50E48">
        <w:rPr>
          <w:rFonts w:ascii="Calibri" w:hAnsi="Calibri" w:cs="Calibri"/>
          <w:sz w:val="22"/>
          <w:szCs w:val="22"/>
        </w:rPr>
        <w:t>of Australian</w:t>
      </w:r>
      <w:r w:rsidRPr="00C50E48">
        <w:rPr>
          <w:rFonts w:ascii="Calibri" w:hAnsi="Calibri" w:cs="Calibri"/>
          <w:sz w:val="22"/>
          <w:szCs w:val="22"/>
        </w:rPr>
        <w:t xml:space="preserve"> Government agencies and statutory authorities, and the ACT Government and its agencies are covered under the Comcare scheme.  These employers (the premium payers) pay premiums to Comcare which reflect the cost of their claims.</w:t>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The scheme also provides coverage for large private organisations which have been granted self-insurer status (the licensees) thereby enabling them to manage their own claims (either directly or through contracted third party claims administrators).</w:t>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Some 57 per cent of all employees covered under the Comcare scheme are employed by the premium payers, with the remainder belonging to the licensees.</w:t>
      </w:r>
      <w:r w:rsidRPr="00C50E48">
        <w:rPr>
          <w:rFonts w:ascii="Calibri" w:hAnsi="Calibri" w:cs="Calibri"/>
          <w:sz w:val="22"/>
          <w:szCs w:val="22"/>
          <w:vertAlign w:val="superscript"/>
        </w:rPr>
        <w:footnoteReference w:id="6"/>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The SRC Act also applies to Australian Defence Force (ADF) members who were injured before 1 July 2004, but these</w:t>
      </w:r>
      <w:r w:rsidRPr="00C50E48">
        <w:rPr>
          <w:rFonts w:ascii="Calibri" w:hAnsi="Calibri" w:cs="Calibri"/>
          <w:sz w:val="19"/>
          <w:szCs w:val="20"/>
        </w:rPr>
        <w:t xml:space="preserve"> </w:t>
      </w:r>
      <w:r w:rsidRPr="00C50E48">
        <w:rPr>
          <w:rFonts w:ascii="Calibri" w:hAnsi="Calibri" w:cs="Calibri"/>
          <w:sz w:val="22"/>
          <w:szCs w:val="22"/>
        </w:rPr>
        <w:t xml:space="preserve">claims are managed by the Department of Veterans’ Affairs (DVA), not Comcare. </w:t>
      </w:r>
      <w:r w:rsidR="00151EE5">
        <w:rPr>
          <w:rFonts w:ascii="Calibri" w:hAnsi="Calibri" w:cs="Calibri"/>
          <w:sz w:val="22"/>
          <w:szCs w:val="22"/>
        </w:rPr>
        <w:t>From</w:t>
      </w:r>
      <w:r w:rsidR="00151EE5" w:rsidRPr="00C50E48">
        <w:rPr>
          <w:rFonts w:ascii="Calibri" w:hAnsi="Calibri" w:cs="Calibri"/>
          <w:sz w:val="22"/>
          <w:szCs w:val="22"/>
        </w:rPr>
        <w:t xml:space="preserve"> </w:t>
      </w:r>
      <w:r w:rsidRPr="00C50E48">
        <w:rPr>
          <w:rFonts w:ascii="Calibri" w:hAnsi="Calibri" w:cs="Calibri"/>
          <w:sz w:val="22"/>
          <w:szCs w:val="22"/>
        </w:rPr>
        <w:t xml:space="preserve">1 July 2004, ADF members are covered by the </w:t>
      </w:r>
      <w:r w:rsidRPr="00C50E48">
        <w:rPr>
          <w:rFonts w:ascii="Calibri" w:hAnsi="Calibri" w:cs="Calibri"/>
          <w:i/>
          <w:sz w:val="22"/>
          <w:szCs w:val="22"/>
        </w:rPr>
        <w:t>Military Rehabilitation and Compensation Act 2004</w:t>
      </w:r>
      <w:r w:rsidRPr="00C50E48">
        <w:rPr>
          <w:rFonts w:ascii="Calibri" w:hAnsi="Calibri" w:cs="Calibri"/>
          <w:sz w:val="22"/>
          <w:szCs w:val="22"/>
        </w:rPr>
        <w:t xml:space="preserve"> (MRCA)</w:t>
      </w:r>
      <w:r w:rsidR="00B865C2">
        <w:rPr>
          <w:rFonts w:ascii="Calibri" w:hAnsi="Calibri" w:cs="Calibri"/>
          <w:sz w:val="22"/>
          <w:szCs w:val="22"/>
        </w:rPr>
        <w:t>.</w:t>
      </w:r>
    </w:p>
    <w:p w:rsidR="00C50E48" w:rsidRPr="00C50E48" w:rsidRDefault="00C50E48" w:rsidP="00C50E48">
      <w:pPr>
        <w:spacing w:before="100" w:beforeAutospacing="1" w:after="100" w:afterAutospacing="1"/>
        <w:outlineLvl w:val="0"/>
        <w:rPr>
          <w:rFonts w:ascii="Arial" w:hAnsi="Arial"/>
          <w:bCs/>
          <w:iCs/>
          <w:caps/>
          <w:color w:val="1F497D" w:themeColor="text2"/>
          <w:kern w:val="36"/>
          <w:sz w:val="32"/>
          <w:szCs w:val="44"/>
        </w:rPr>
      </w:pPr>
      <w:bookmarkStart w:id="264" w:name="_Toc341777932"/>
      <w:bookmarkStart w:id="265" w:name="_Toc342578300"/>
      <w:r w:rsidRPr="00C50E48">
        <w:rPr>
          <w:rFonts w:ascii="Arial" w:hAnsi="Arial"/>
          <w:bCs/>
          <w:caps/>
          <w:color w:val="1F497D" w:themeColor="text2"/>
          <w:kern w:val="36"/>
          <w:sz w:val="28"/>
          <w:szCs w:val="28"/>
        </w:rPr>
        <w:t>Moratorium</w:t>
      </w:r>
      <w:r w:rsidRPr="00C50E48">
        <w:rPr>
          <w:rFonts w:ascii="Arial" w:hAnsi="Arial"/>
          <w:bCs/>
          <w:iCs/>
          <w:caps/>
          <w:color w:val="1F497D" w:themeColor="text2"/>
          <w:kern w:val="36"/>
          <w:sz w:val="32"/>
          <w:szCs w:val="44"/>
        </w:rPr>
        <w:t xml:space="preserve"> on Granting Self Insurance </w:t>
      </w:r>
      <w:r w:rsidR="000A5586">
        <w:rPr>
          <w:rFonts w:ascii="Arial" w:hAnsi="Arial"/>
          <w:bCs/>
          <w:iCs/>
          <w:caps/>
          <w:color w:val="1F497D" w:themeColor="text2"/>
          <w:kern w:val="36"/>
          <w:sz w:val="32"/>
          <w:szCs w:val="44"/>
        </w:rPr>
        <w:t>Licence</w:t>
      </w:r>
      <w:r w:rsidRPr="00C50E48">
        <w:rPr>
          <w:rFonts w:ascii="Arial" w:hAnsi="Arial"/>
          <w:bCs/>
          <w:iCs/>
          <w:caps/>
          <w:color w:val="1F497D" w:themeColor="text2"/>
          <w:kern w:val="36"/>
          <w:sz w:val="32"/>
          <w:szCs w:val="44"/>
        </w:rPr>
        <w:t>s</w:t>
      </w:r>
      <w:bookmarkEnd w:id="264"/>
      <w:bookmarkEnd w:id="265"/>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 xml:space="preserve">In the lead up to the 2007 federal election, the Australian Labor Party foreshadowed introduction of a moratorium on the future granting of </w:t>
      </w:r>
      <w:r w:rsidR="000A5586">
        <w:rPr>
          <w:rFonts w:ascii="Calibri" w:hAnsi="Calibri" w:cs="Calibri"/>
          <w:sz w:val="22"/>
          <w:szCs w:val="22"/>
        </w:rPr>
        <w:t>licence</w:t>
      </w:r>
      <w:r w:rsidRPr="00C50E48">
        <w:rPr>
          <w:rFonts w:ascii="Calibri" w:hAnsi="Calibri" w:cs="Calibri"/>
          <w:sz w:val="22"/>
          <w:szCs w:val="22"/>
        </w:rPr>
        <w:t>s to corporations seeking to self-insure until the Comcare scheme arrangements were reviewed. The moratorium was proposed in recognition of concerns raised by the States and Territories about the financial impacts to their schemes as a result of large private corporations moving to Comcare.</w:t>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 xml:space="preserve">Following the election, the then Minister for Education, Employment and Workplace Relations, the Hon Julia Gillard MP, announced on 11 December 2007 a moratorium on new applications from private corporations wanting to move to the Comcare scheme. Companies that had already been declared eligible to apply for a self-insurance </w:t>
      </w:r>
      <w:r w:rsidR="000A5586">
        <w:rPr>
          <w:rFonts w:ascii="Calibri" w:hAnsi="Calibri" w:cs="Calibri"/>
          <w:sz w:val="22"/>
          <w:szCs w:val="22"/>
        </w:rPr>
        <w:t>licence</w:t>
      </w:r>
      <w:r w:rsidRPr="00C50E48">
        <w:rPr>
          <w:rFonts w:ascii="Calibri" w:hAnsi="Calibri" w:cs="Calibri"/>
          <w:sz w:val="22"/>
          <w:szCs w:val="22"/>
        </w:rPr>
        <w:t xml:space="preserve"> were not affected by the moratorium.</w:t>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On 23 January 2008, the Hon Julia Gillard MP announced the terms of reference for a review of the self insurance arrangements under the Comcare scheme.</w:t>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The report of that Comcare review, which was released on 25 September 2009, noted that it was “</w:t>
      </w:r>
      <w:r w:rsidR="00002F4D">
        <w:rPr>
          <w:rFonts w:ascii="Calibri" w:hAnsi="Calibri" w:cs="Calibri"/>
          <w:sz w:val="22"/>
          <w:szCs w:val="22"/>
        </w:rPr>
        <w:t>...</w:t>
      </w:r>
      <w:r w:rsidR="00573B66" w:rsidRPr="00573B66">
        <w:rPr>
          <w:rFonts w:ascii="Calibri" w:hAnsi="Calibri" w:cs="Calibri"/>
          <w:i/>
          <w:sz w:val="22"/>
          <w:szCs w:val="22"/>
        </w:rPr>
        <w:t>unable to find convincing evidence that self-insurance licensing should no longer be offered by the scheme</w:t>
      </w:r>
      <w:r w:rsidRPr="00C50E48">
        <w:rPr>
          <w:rFonts w:ascii="Calibri" w:hAnsi="Calibri" w:cs="Calibri"/>
          <w:sz w:val="22"/>
          <w:szCs w:val="22"/>
        </w:rPr>
        <w:t xml:space="preserve">.” As such, the review recommended </w:t>
      </w:r>
      <w:r w:rsidR="00DF7A31" w:rsidRPr="00C50E48">
        <w:rPr>
          <w:rFonts w:ascii="Calibri" w:hAnsi="Calibri" w:cs="Calibri"/>
          <w:sz w:val="22"/>
          <w:szCs w:val="22"/>
        </w:rPr>
        <w:t>ret</w:t>
      </w:r>
      <w:r w:rsidR="00DF7A31">
        <w:rPr>
          <w:rFonts w:ascii="Calibri" w:hAnsi="Calibri" w:cs="Calibri"/>
          <w:sz w:val="22"/>
          <w:szCs w:val="22"/>
        </w:rPr>
        <w:t>ai</w:t>
      </w:r>
      <w:r w:rsidR="00DF7A31" w:rsidRPr="00C50E48">
        <w:rPr>
          <w:rFonts w:ascii="Calibri" w:hAnsi="Calibri" w:cs="Calibri"/>
          <w:sz w:val="22"/>
          <w:szCs w:val="22"/>
        </w:rPr>
        <w:t>ning</w:t>
      </w:r>
      <w:r w:rsidRPr="00C50E48">
        <w:rPr>
          <w:rFonts w:ascii="Calibri" w:hAnsi="Calibri" w:cs="Calibri"/>
          <w:sz w:val="22"/>
          <w:szCs w:val="22"/>
        </w:rPr>
        <w:t xml:space="preserve"> the current statutory “in competition” criterion as the precondition for a corporation gaining “eligible corporation” status essential for licensing.</w:t>
      </w:r>
      <w:r w:rsidRPr="00C50E48">
        <w:rPr>
          <w:rFonts w:ascii="Calibri" w:hAnsi="Calibri" w:cs="Calibri"/>
          <w:sz w:val="22"/>
          <w:szCs w:val="22"/>
          <w:vertAlign w:val="superscript"/>
        </w:rPr>
        <w:footnoteReference w:id="7"/>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 xml:space="preserve">In releasing the review report, the then Deputy Prime Minister, the Hon Julia Gillard MP, announced that the Government would maintain the moratorium on the Comcare scheme until 2011 when uniform occupational health and safety (OHS) laws were to be implemented in all jurisdictions. The basis for this decision was the process being undertaken to harmonise national OHS laws and the proposed transfer of OHS coverage for Comcare self-insurers to </w:t>
      </w:r>
      <w:r w:rsidRPr="00C50E48">
        <w:rPr>
          <w:rFonts w:ascii="Calibri" w:hAnsi="Calibri" w:cs="Calibri"/>
          <w:sz w:val="22"/>
          <w:szCs w:val="22"/>
        </w:rPr>
        <w:lastRenderedPageBreak/>
        <w:t>the states and territories.</w:t>
      </w:r>
      <w:r w:rsidRPr="00C50E48">
        <w:rPr>
          <w:rFonts w:ascii="Calibri" w:hAnsi="Calibri" w:cs="Calibri"/>
          <w:sz w:val="22"/>
          <w:szCs w:val="22"/>
          <w:vertAlign w:val="superscript"/>
        </w:rPr>
        <w:footnoteReference w:id="8"/>
      </w:r>
      <w:r w:rsidRPr="00C50E48">
        <w:rPr>
          <w:rFonts w:ascii="Calibri" w:hAnsi="Calibri" w:cs="Calibri"/>
          <w:sz w:val="22"/>
          <w:szCs w:val="22"/>
        </w:rPr>
        <w:t xml:space="preserve"> The moratorium was supported by a legislative amendment to </w:t>
      </w:r>
      <w:r w:rsidR="00920A03">
        <w:rPr>
          <w:rFonts w:ascii="Calibri" w:hAnsi="Calibri" w:cs="Calibri"/>
          <w:sz w:val="22"/>
          <w:szCs w:val="22"/>
        </w:rPr>
        <w:t>Section</w:t>
      </w:r>
      <w:r w:rsidRPr="00C50E48">
        <w:rPr>
          <w:rFonts w:ascii="Calibri" w:hAnsi="Calibri" w:cs="Calibri"/>
          <w:sz w:val="22"/>
          <w:szCs w:val="22"/>
        </w:rPr>
        <w:t xml:space="preserve"> 100 of the SRC Act to provide explicitly that the Minister is not obliged to consider applications for declarations under that section.</w:t>
      </w:r>
    </w:p>
    <w:p w:rsidR="00C50E48" w:rsidRPr="00C50E48" w:rsidRDefault="00C50E48" w:rsidP="000D7C1C">
      <w:pPr>
        <w:numPr>
          <w:ilvl w:val="0"/>
          <w:numId w:val="3"/>
        </w:numPr>
        <w:spacing w:after="120"/>
        <w:ind w:left="709" w:hanging="709"/>
        <w:rPr>
          <w:rFonts w:ascii="Calibri" w:hAnsi="Calibri" w:cs="Calibri"/>
          <w:sz w:val="22"/>
          <w:szCs w:val="22"/>
        </w:rPr>
      </w:pPr>
      <w:r w:rsidRPr="00C50E48">
        <w:rPr>
          <w:rFonts w:ascii="Calibri" w:hAnsi="Calibri" w:cs="Calibri"/>
          <w:sz w:val="22"/>
          <w:szCs w:val="22"/>
        </w:rPr>
        <w:t>The Workplace Relations Ministers’ Council at its 10 August 2011 meeting</w:t>
      </w:r>
      <w:r w:rsidR="00434E26">
        <w:rPr>
          <w:rFonts w:ascii="Calibri" w:hAnsi="Calibri" w:cs="Calibri"/>
          <w:sz w:val="22"/>
          <w:szCs w:val="22"/>
        </w:rPr>
        <w:t xml:space="preserve"> </w:t>
      </w:r>
      <w:r w:rsidRPr="00C50E48">
        <w:rPr>
          <w:rFonts w:ascii="Calibri" w:hAnsi="Calibri" w:cs="Calibri"/>
          <w:sz w:val="22"/>
          <w:szCs w:val="22"/>
        </w:rPr>
        <w:t xml:space="preserve">agreed </w:t>
      </w:r>
      <w:r w:rsidR="00002F4D">
        <w:rPr>
          <w:rFonts w:ascii="Calibri" w:hAnsi="Calibri" w:cs="Calibri"/>
          <w:sz w:val="22"/>
          <w:szCs w:val="22"/>
        </w:rPr>
        <w:t>to</w:t>
      </w:r>
      <w:r w:rsidRPr="00C50E48">
        <w:rPr>
          <w:rFonts w:ascii="Calibri" w:hAnsi="Calibri" w:cs="Calibri"/>
          <w:sz w:val="22"/>
          <w:szCs w:val="22"/>
        </w:rPr>
        <w:t xml:space="preserve"> transfer </w:t>
      </w:r>
      <w:r w:rsidR="006B1F52">
        <w:rPr>
          <w:rFonts w:ascii="Calibri" w:hAnsi="Calibri" w:cs="Calibri"/>
          <w:sz w:val="22"/>
          <w:szCs w:val="22"/>
        </w:rPr>
        <w:t xml:space="preserve">OHS coverage </w:t>
      </w:r>
      <w:r w:rsidRPr="00C50E48">
        <w:rPr>
          <w:rFonts w:ascii="Calibri" w:hAnsi="Calibri" w:cs="Calibri"/>
          <w:sz w:val="22"/>
          <w:szCs w:val="22"/>
        </w:rPr>
        <w:t xml:space="preserve">of all non-Commonwealth licensees to </w:t>
      </w:r>
      <w:r w:rsidR="00002F4D">
        <w:rPr>
          <w:rFonts w:ascii="Calibri" w:hAnsi="Calibri" w:cs="Calibri"/>
          <w:sz w:val="22"/>
          <w:szCs w:val="22"/>
        </w:rPr>
        <w:t>the States and Territories</w:t>
      </w:r>
      <w:r w:rsidR="00434E26">
        <w:rPr>
          <w:rFonts w:ascii="Calibri" w:hAnsi="Calibri" w:cs="Calibri"/>
          <w:sz w:val="22"/>
          <w:szCs w:val="22"/>
        </w:rPr>
        <w:t xml:space="preserve"> on</w:t>
      </w:r>
      <w:r w:rsidR="00434E26" w:rsidRPr="00C50E48">
        <w:rPr>
          <w:rFonts w:ascii="Calibri" w:hAnsi="Calibri" w:cs="Calibri"/>
          <w:sz w:val="22"/>
          <w:szCs w:val="22"/>
        </w:rPr>
        <w:t xml:space="preserve"> </w:t>
      </w:r>
      <w:r w:rsidRPr="00C50E48">
        <w:rPr>
          <w:rFonts w:ascii="Calibri" w:hAnsi="Calibri" w:cs="Calibri"/>
          <w:sz w:val="22"/>
          <w:szCs w:val="22"/>
        </w:rPr>
        <w:t>1 January 2013</w:t>
      </w:r>
      <w:r w:rsidR="00434E26">
        <w:rPr>
          <w:rFonts w:ascii="Calibri" w:hAnsi="Calibri" w:cs="Calibri"/>
          <w:sz w:val="22"/>
          <w:szCs w:val="22"/>
        </w:rPr>
        <w:t xml:space="preserve"> on the assumption that the model laws would </w:t>
      </w:r>
      <w:proofErr w:type="gramStart"/>
      <w:r w:rsidR="00434E26">
        <w:rPr>
          <w:rFonts w:ascii="Calibri" w:hAnsi="Calibri" w:cs="Calibri"/>
          <w:sz w:val="22"/>
          <w:szCs w:val="22"/>
        </w:rPr>
        <w:t>be  implemented</w:t>
      </w:r>
      <w:proofErr w:type="gramEnd"/>
      <w:r w:rsidR="00434E26">
        <w:rPr>
          <w:rFonts w:ascii="Calibri" w:hAnsi="Calibri" w:cs="Calibri"/>
          <w:sz w:val="22"/>
          <w:szCs w:val="22"/>
        </w:rPr>
        <w:t xml:space="preserve"> in all jurisdictions.</w:t>
      </w:r>
    </w:p>
    <w:p w:rsid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The Australian Government’s position in regard to the transfer of OHS jurisdiction of licensees to the states and territories has always been predicated on OHS harmonisation being achieved, but has never been tied to OHS harmonisation by a particular date.</w:t>
      </w:r>
    </w:p>
    <w:p w:rsidR="00A20E7D" w:rsidRPr="00766A17" w:rsidRDefault="00A20E7D" w:rsidP="00A20E7D">
      <w:pPr>
        <w:pStyle w:val="HawkeReviewbody"/>
        <w:numPr>
          <w:ilvl w:val="0"/>
          <w:numId w:val="3"/>
        </w:numPr>
        <w:spacing w:before="0" w:beforeAutospacing="0" w:after="120" w:line="240" w:lineRule="auto"/>
        <w:ind w:left="709" w:hanging="709"/>
        <w:rPr>
          <w:rFonts w:ascii="Calibri" w:hAnsi="Calibri" w:cs="Calibri"/>
          <w:sz w:val="22"/>
          <w:szCs w:val="22"/>
        </w:rPr>
      </w:pPr>
      <w:r>
        <w:rPr>
          <w:rFonts w:ascii="Calibri" w:hAnsi="Calibri" w:cs="Calibri"/>
          <w:sz w:val="22"/>
          <w:szCs w:val="22"/>
        </w:rPr>
        <w:t xml:space="preserve">On 15 November 2012, the Hon Bill Shorten MP, Minister for Employment and Workplace Relations, wrote to members of the Select Council on Workplace Relations to </w:t>
      </w:r>
      <w:r w:rsidR="00DF7A31">
        <w:rPr>
          <w:rFonts w:ascii="Calibri" w:hAnsi="Calibri" w:cs="Calibri"/>
          <w:sz w:val="22"/>
          <w:szCs w:val="22"/>
        </w:rPr>
        <w:t>reaffirm</w:t>
      </w:r>
      <w:r>
        <w:rPr>
          <w:rFonts w:ascii="Calibri" w:hAnsi="Calibri" w:cs="Calibri"/>
          <w:sz w:val="22"/>
          <w:szCs w:val="22"/>
        </w:rPr>
        <w:t xml:space="preserve"> the decision that the transfer of licensees was contingent on all jurisdictions implementing model work health and safety laws. Minister Shorten also advised Select Council members that the transfer of OHS coverage of the licensees to State and Territory jurisdictions would be addressed after the last jurisdiction has implemented the harmonised legislation.</w:t>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AaE Retail Pty Ltd</w:t>
      </w:r>
      <w:r>
        <w:rPr>
          <w:rFonts w:ascii="Calibri" w:hAnsi="Calibri" w:cs="Calibri"/>
          <w:sz w:val="22"/>
          <w:szCs w:val="22"/>
        </w:rPr>
        <w:t>, a new company</w:t>
      </w:r>
      <w:r w:rsidRPr="00C50E48">
        <w:rPr>
          <w:rFonts w:ascii="Calibri" w:hAnsi="Calibri" w:cs="Calibri"/>
          <w:sz w:val="22"/>
          <w:szCs w:val="22"/>
        </w:rPr>
        <w:t xml:space="preserve"> arising out of the restructuring of an existing licensee (the AaE Group), was approved on 19 January 2011 to seek a self-insurance </w:t>
      </w:r>
      <w:r w:rsidR="000A5586">
        <w:rPr>
          <w:rFonts w:ascii="Calibri" w:hAnsi="Calibri" w:cs="Calibri"/>
          <w:sz w:val="22"/>
          <w:szCs w:val="22"/>
        </w:rPr>
        <w:t>licence</w:t>
      </w:r>
      <w:r w:rsidRPr="00C50E48">
        <w:rPr>
          <w:rFonts w:ascii="Calibri" w:hAnsi="Calibri" w:cs="Calibri"/>
          <w:sz w:val="22"/>
          <w:szCs w:val="22"/>
        </w:rPr>
        <w:t xml:space="preserve">. As the Comcare scheme does not currently provide for group </w:t>
      </w:r>
      <w:r w:rsidR="000A5586">
        <w:rPr>
          <w:rFonts w:ascii="Calibri" w:hAnsi="Calibri" w:cs="Calibri"/>
          <w:sz w:val="22"/>
          <w:szCs w:val="22"/>
        </w:rPr>
        <w:t>licence</w:t>
      </w:r>
      <w:r w:rsidRPr="00C50E48">
        <w:rPr>
          <w:rFonts w:ascii="Calibri" w:hAnsi="Calibri" w:cs="Calibri"/>
          <w:sz w:val="22"/>
          <w:szCs w:val="22"/>
        </w:rPr>
        <w:t xml:space="preserve">s, a separate </w:t>
      </w:r>
      <w:r w:rsidR="000A5586">
        <w:rPr>
          <w:rFonts w:ascii="Calibri" w:hAnsi="Calibri" w:cs="Calibri"/>
          <w:sz w:val="22"/>
          <w:szCs w:val="22"/>
        </w:rPr>
        <w:t>licence</w:t>
      </w:r>
      <w:r w:rsidRPr="00C50E48">
        <w:rPr>
          <w:rFonts w:ascii="Calibri" w:hAnsi="Calibri" w:cs="Calibri"/>
          <w:sz w:val="22"/>
          <w:szCs w:val="22"/>
        </w:rPr>
        <w:t xml:space="preserve"> was needed so that the relevant employees could retain their existing coverage under the SRC Act. The Minister issued a declaration on 18 May 2011 and a self insurance </w:t>
      </w:r>
      <w:r w:rsidR="000A5586">
        <w:rPr>
          <w:rFonts w:ascii="Calibri" w:hAnsi="Calibri" w:cs="Calibri"/>
          <w:sz w:val="22"/>
          <w:szCs w:val="22"/>
        </w:rPr>
        <w:t>licence</w:t>
      </w:r>
      <w:r w:rsidRPr="00C50E48">
        <w:rPr>
          <w:rFonts w:ascii="Calibri" w:hAnsi="Calibri" w:cs="Calibri"/>
          <w:sz w:val="22"/>
          <w:szCs w:val="22"/>
        </w:rPr>
        <w:t xml:space="preserve"> was granted by the SRCC on 15 June 2011.</w:t>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 xml:space="preserve">Other than the AaE Retail Pty Ltd </w:t>
      </w:r>
      <w:r w:rsidR="000A5586">
        <w:rPr>
          <w:rFonts w:ascii="Calibri" w:hAnsi="Calibri" w:cs="Calibri"/>
          <w:sz w:val="22"/>
          <w:szCs w:val="22"/>
        </w:rPr>
        <w:t>licence</w:t>
      </w:r>
      <w:r w:rsidRPr="00C50E48">
        <w:rPr>
          <w:rFonts w:ascii="Calibri" w:hAnsi="Calibri" w:cs="Calibri"/>
          <w:sz w:val="22"/>
          <w:szCs w:val="22"/>
        </w:rPr>
        <w:t>, no other organisations have been declared eligible for self insurance under the Comcare scheme since the 11 December 2007 moratorium.</w:t>
      </w:r>
    </w:p>
    <w:p w:rsidR="00C50E48" w:rsidRPr="00C50E48" w:rsidRDefault="00C50E48" w:rsidP="00C50E48">
      <w:pPr>
        <w:spacing w:before="100" w:beforeAutospacing="1" w:after="100" w:afterAutospacing="1"/>
        <w:outlineLvl w:val="0"/>
        <w:rPr>
          <w:rFonts w:ascii="Arial" w:hAnsi="Arial"/>
          <w:bCs/>
          <w:iCs/>
          <w:caps/>
          <w:color w:val="1F497D" w:themeColor="text2"/>
          <w:kern w:val="36"/>
          <w:sz w:val="28"/>
          <w:szCs w:val="28"/>
        </w:rPr>
      </w:pPr>
      <w:bookmarkStart w:id="266" w:name="_Toc341777933"/>
      <w:bookmarkStart w:id="267" w:name="_Toc342578301"/>
      <w:r w:rsidRPr="00C50E48">
        <w:rPr>
          <w:rFonts w:ascii="Arial" w:hAnsi="Arial"/>
          <w:bCs/>
          <w:iCs/>
          <w:caps/>
          <w:color w:val="1F497D" w:themeColor="text2"/>
          <w:kern w:val="36"/>
          <w:sz w:val="28"/>
          <w:szCs w:val="28"/>
        </w:rPr>
        <w:t>Role of the Safety, Rehabilitation and Compensation Commission (SRCC)</w:t>
      </w:r>
      <w:bookmarkEnd w:id="266"/>
      <w:bookmarkEnd w:id="267"/>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 xml:space="preserve">The SRCC, a statutory body established under </w:t>
      </w:r>
      <w:r w:rsidR="00920A03">
        <w:rPr>
          <w:rFonts w:ascii="Calibri" w:hAnsi="Calibri" w:cs="Calibri"/>
          <w:sz w:val="22"/>
          <w:szCs w:val="22"/>
        </w:rPr>
        <w:t>Section</w:t>
      </w:r>
      <w:r w:rsidRPr="00C50E48">
        <w:rPr>
          <w:rFonts w:ascii="Calibri" w:hAnsi="Calibri" w:cs="Calibri"/>
          <w:sz w:val="22"/>
          <w:szCs w:val="22"/>
        </w:rPr>
        <w:t xml:space="preserve"> 89A of the SRC Act, has regulatory functions in relation to Comcare and other authorities which determine workers’ compensation claims under the Commonwealth scheme (determining authorities).</w:t>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 xml:space="preserve">The SRCC had regulatory functions under the previous </w:t>
      </w:r>
      <w:r w:rsidRPr="00C50E48">
        <w:rPr>
          <w:rFonts w:ascii="Calibri" w:hAnsi="Calibri" w:cs="Calibri"/>
          <w:i/>
          <w:iCs/>
          <w:sz w:val="22"/>
          <w:szCs w:val="22"/>
        </w:rPr>
        <w:t>Occupational Health and Safety Act 1991</w:t>
      </w:r>
      <w:r w:rsidRPr="00C50E48">
        <w:rPr>
          <w:rFonts w:ascii="Calibri" w:hAnsi="Calibri" w:cs="Calibri"/>
          <w:sz w:val="22"/>
          <w:szCs w:val="22"/>
        </w:rPr>
        <w:t xml:space="preserve"> (OHS Act), but it does not have any</w:t>
      </w:r>
      <w:r w:rsidR="009E1597">
        <w:rPr>
          <w:rFonts w:ascii="Calibri" w:hAnsi="Calibri" w:cs="Calibri"/>
          <w:sz w:val="22"/>
          <w:szCs w:val="22"/>
        </w:rPr>
        <w:t xml:space="preserve"> such functions</w:t>
      </w:r>
      <w:r w:rsidRPr="00C50E48">
        <w:rPr>
          <w:rFonts w:ascii="Calibri" w:hAnsi="Calibri" w:cs="Calibri"/>
          <w:sz w:val="22"/>
          <w:szCs w:val="22"/>
        </w:rPr>
        <w:t xml:space="preserve"> under the Commonwealth’s WHS Act which came into force on 1 January 2012. Under the </w:t>
      </w:r>
      <w:r w:rsidR="004A1922">
        <w:rPr>
          <w:rFonts w:ascii="Calibri" w:hAnsi="Calibri" w:cs="Calibri"/>
          <w:sz w:val="22"/>
          <w:szCs w:val="22"/>
        </w:rPr>
        <w:t xml:space="preserve">Commonwealth </w:t>
      </w:r>
      <w:r w:rsidRPr="00C50E48">
        <w:rPr>
          <w:rFonts w:ascii="Calibri" w:hAnsi="Calibri" w:cs="Calibri"/>
          <w:sz w:val="22"/>
          <w:szCs w:val="22"/>
        </w:rPr>
        <w:t xml:space="preserve">WHS Act, the SRCC’s functions are to provide a consultative forum between Comcare and the jurisdiction for the </w:t>
      </w:r>
      <w:r w:rsidR="004A1922">
        <w:rPr>
          <w:rFonts w:ascii="Calibri" w:hAnsi="Calibri" w:cs="Calibri"/>
          <w:sz w:val="22"/>
          <w:szCs w:val="22"/>
        </w:rPr>
        <w:t xml:space="preserve">Commonwealth </w:t>
      </w:r>
      <w:r w:rsidRPr="00C50E48">
        <w:rPr>
          <w:rFonts w:ascii="Calibri" w:hAnsi="Calibri" w:cs="Calibri"/>
          <w:sz w:val="22"/>
          <w:szCs w:val="22"/>
        </w:rPr>
        <w:t>WHS Act and to advise and make recommendations to the Minister.</w:t>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The SRCC’s major functions under the SRC Act are to:</w:t>
      </w:r>
    </w:p>
    <w:p w:rsidR="00C50E48" w:rsidRPr="00C50E48" w:rsidRDefault="00C50E48" w:rsidP="00C50E48">
      <w:pPr>
        <w:numPr>
          <w:ilvl w:val="1"/>
          <w:numId w:val="5"/>
        </w:numPr>
        <w:spacing w:after="120"/>
        <w:ind w:left="1134" w:hanging="425"/>
        <w:rPr>
          <w:rFonts w:ascii="Calibri" w:hAnsi="Calibri" w:cs="Calibri"/>
          <w:sz w:val="22"/>
          <w:szCs w:val="22"/>
        </w:rPr>
      </w:pPr>
      <w:r w:rsidRPr="00C50E48">
        <w:rPr>
          <w:rFonts w:ascii="Calibri" w:hAnsi="Calibri" w:cs="Calibri"/>
          <w:sz w:val="22"/>
          <w:szCs w:val="22"/>
        </w:rPr>
        <w:t>provide advice to the Minister in relation to the SRC Act;</w:t>
      </w:r>
    </w:p>
    <w:p w:rsidR="00C50E48" w:rsidRPr="00C50E48" w:rsidRDefault="00C50E48" w:rsidP="00C50E48">
      <w:pPr>
        <w:numPr>
          <w:ilvl w:val="1"/>
          <w:numId w:val="5"/>
        </w:numPr>
        <w:spacing w:after="120"/>
        <w:ind w:left="1134" w:hanging="425"/>
        <w:rPr>
          <w:rFonts w:ascii="Calibri" w:hAnsi="Calibri" w:cs="Calibri"/>
          <w:sz w:val="22"/>
          <w:szCs w:val="22"/>
        </w:rPr>
      </w:pPr>
      <w:r w:rsidRPr="00C50E48">
        <w:rPr>
          <w:rFonts w:ascii="Calibri" w:hAnsi="Calibri" w:cs="Calibri"/>
          <w:sz w:val="22"/>
          <w:szCs w:val="22"/>
        </w:rPr>
        <w:t>determine applications from Commonwealth authorities and eligible corporations wishing to self-insure under the SRC Act;</w:t>
      </w:r>
    </w:p>
    <w:p w:rsidR="00C50E48" w:rsidRPr="00C50E48" w:rsidRDefault="00C50E48" w:rsidP="00C50E48">
      <w:pPr>
        <w:numPr>
          <w:ilvl w:val="1"/>
          <w:numId w:val="5"/>
        </w:numPr>
        <w:spacing w:after="120"/>
        <w:ind w:left="1134" w:hanging="425"/>
        <w:rPr>
          <w:rFonts w:ascii="Calibri" w:hAnsi="Calibri" w:cs="Calibri"/>
          <w:sz w:val="22"/>
          <w:szCs w:val="22"/>
        </w:rPr>
      </w:pPr>
      <w:r w:rsidRPr="00C50E48">
        <w:rPr>
          <w:rFonts w:ascii="Calibri" w:hAnsi="Calibri" w:cs="Calibri"/>
          <w:sz w:val="22"/>
          <w:szCs w:val="22"/>
        </w:rPr>
        <w:t>develop general policy direction</w:t>
      </w:r>
      <w:r w:rsidR="006B1F52">
        <w:rPr>
          <w:rFonts w:ascii="Calibri" w:hAnsi="Calibri" w:cs="Calibri"/>
          <w:sz w:val="22"/>
          <w:szCs w:val="22"/>
        </w:rPr>
        <w:t>s</w:t>
      </w:r>
      <w:r w:rsidRPr="00C50E48">
        <w:rPr>
          <w:rFonts w:ascii="Calibri" w:hAnsi="Calibri" w:cs="Calibri"/>
          <w:sz w:val="22"/>
          <w:szCs w:val="22"/>
        </w:rPr>
        <w:t xml:space="preserve"> for scheme administrators on the SRC Act’s operation;</w:t>
      </w:r>
    </w:p>
    <w:p w:rsidR="00C50E48" w:rsidRPr="00C50E48" w:rsidRDefault="00C50E48" w:rsidP="00C50E48">
      <w:pPr>
        <w:numPr>
          <w:ilvl w:val="1"/>
          <w:numId w:val="5"/>
        </w:numPr>
        <w:spacing w:after="120"/>
        <w:ind w:left="1134" w:hanging="425"/>
        <w:rPr>
          <w:rFonts w:ascii="Calibri" w:hAnsi="Calibri" w:cs="Calibri"/>
          <w:sz w:val="22"/>
          <w:szCs w:val="22"/>
        </w:rPr>
      </w:pPr>
      <w:r w:rsidRPr="00C50E48">
        <w:rPr>
          <w:rFonts w:ascii="Calibri" w:hAnsi="Calibri" w:cs="Calibri"/>
          <w:sz w:val="22"/>
          <w:szCs w:val="22"/>
        </w:rPr>
        <w:lastRenderedPageBreak/>
        <w:t>ensure, as far as practicable, equity of outcomes resulting from administrative practices and procedures used by scheme administrators; and</w:t>
      </w:r>
    </w:p>
    <w:p w:rsidR="00C50E48" w:rsidRPr="00C50E48" w:rsidRDefault="00C50E48" w:rsidP="00C50E48">
      <w:pPr>
        <w:numPr>
          <w:ilvl w:val="1"/>
          <w:numId w:val="5"/>
        </w:numPr>
        <w:spacing w:after="120"/>
        <w:ind w:left="1134" w:hanging="425"/>
        <w:rPr>
          <w:rFonts w:ascii="Calibri" w:hAnsi="Calibri" w:cs="Calibri"/>
          <w:sz w:val="22"/>
          <w:szCs w:val="22"/>
        </w:rPr>
      </w:pPr>
      <w:proofErr w:type="gramStart"/>
      <w:r w:rsidRPr="00C50E48">
        <w:rPr>
          <w:rFonts w:ascii="Calibri" w:hAnsi="Calibri" w:cs="Calibri"/>
          <w:sz w:val="22"/>
          <w:szCs w:val="22"/>
        </w:rPr>
        <w:t>act</w:t>
      </w:r>
      <w:proofErr w:type="gramEnd"/>
      <w:r w:rsidRPr="00C50E48">
        <w:rPr>
          <w:rFonts w:ascii="Calibri" w:hAnsi="Calibri" w:cs="Calibri"/>
          <w:sz w:val="22"/>
          <w:szCs w:val="22"/>
        </w:rPr>
        <w:t xml:space="preserve"> as a review body for premiums and regulatory contributions.</w:t>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The SRCC is a tripartite body, members being appointed by the Governor-General. It currently relies on Comcare to provide all secretariat and other necessary support and assistance in order to perform its functions. SRCC Membership comprises the following:</w:t>
      </w:r>
    </w:p>
    <w:p w:rsidR="00C50E48" w:rsidRPr="00C50E48" w:rsidRDefault="00C50E48" w:rsidP="00C50E48">
      <w:pPr>
        <w:numPr>
          <w:ilvl w:val="1"/>
          <w:numId w:val="6"/>
        </w:numPr>
        <w:spacing w:after="120"/>
        <w:ind w:left="1134" w:hanging="425"/>
        <w:rPr>
          <w:rFonts w:ascii="Calibri" w:hAnsi="Calibri" w:cs="Calibri"/>
          <w:sz w:val="22"/>
          <w:szCs w:val="22"/>
        </w:rPr>
      </w:pPr>
      <w:r w:rsidRPr="00C50E48">
        <w:rPr>
          <w:rFonts w:ascii="Calibri" w:hAnsi="Calibri" w:cs="Calibri"/>
          <w:sz w:val="22"/>
          <w:szCs w:val="22"/>
        </w:rPr>
        <w:t>a Chairperson;</w:t>
      </w:r>
    </w:p>
    <w:p w:rsidR="00C50E48" w:rsidRPr="00C50E48" w:rsidRDefault="00C50E48" w:rsidP="00C50E48">
      <w:pPr>
        <w:numPr>
          <w:ilvl w:val="1"/>
          <w:numId w:val="6"/>
        </w:numPr>
        <w:spacing w:after="120"/>
        <w:ind w:left="1134" w:hanging="425"/>
        <w:rPr>
          <w:rFonts w:ascii="Calibri" w:hAnsi="Calibri" w:cs="Calibri"/>
          <w:sz w:val="22"/>
          <w:szCs w:val="22"/>
        </w:rPr>
      </w:pPr>
      <w:r w:rsidRPr="00C50E48">
        <w:rPr>
          <w:rFonts w:ascii="Calibri" w:hAnsi="Calibri" w:cs="Calibri"/>
          <w:sz w:val="22"/>
          <w:szCs w:val="22"/>
        </w:rPr>
        <w:t>three members nominated by the Australian Council of Trade Unions;</w:t>
      </w:r>
    </w:p>
    <w:p w:rsidR="00C50E48" w:rsidRPr="00C50E48" w:rsidRDefault="00C50E48" w:rsidP="00C50E48">
      <w:pPr>
        <w:numPr>
          <w:ilvl w:val="1"/>
          <w:numId w:val="6"/>
        </w:numPr>
        <w:spacing w:after="120"/>
        <w:ind w:left="1134" w:hanging="425"/>
        <w:rPr>
          <w:rFonts w:ascii="Calibri" w:hAnsi="Calibri" w:cs="Calibri"/>
          <w:sz w:val="22"/>
          <w:szCs w:val="22"/>
        </w:rPr>
      </w:pPr>
      <w:r w:rsidRPr="00C50E48">
        <w:rPr>
          <w:rFonts w:ascii="Calibri" w:hAnsi="Calibri" w:cs="Calibri"/>
          <w:sz w:val="22"/>
          <w:szCs w:val="22"/>
        </w:rPr>
        <w:t>a member who, in the Minister’s opinion, represents the licensees;</w:t>
      </w:r>
    </w:p>
    <w:p w:rsidR="00C50E48" w:rsidRPr="00C50E48" w:rsidRDefault="00C50E48" w:rsidP="00C50E48">
      <w:pPr>
        <w:numPr>
          <w:ilvl w:val="1"/>
          <w:numId w:val="6"/>
        </w:numPr>
        <w:spacing w:after="120"/>
        <w:ind w:left="1134" w:hanging="425"/>
        <w:rPr>
          <w:rFonts w:ascii="Calibri" w:hAnsi="Calibri" w:cs="Calibri"/>
          <w:sz w:val="22"/>
          <w:szCs w:val="22"/>
        </w:rPr>
      </w:pPr>
      <w:r w:rsidRPr="00C50E48">
        <w:rPr>
          <w:rFonts w:ascii="Calibri" w:hAnsi="Calibri" w:cs="Calibri"/>
          <w:sz w:val="22"/>
          <w:szCs w:val="22"/>
        </w:rPr>
        <w:t>a member who, in the Minister’s opinion, represents the Commonwealth, and Commonwealth authorities other than licensed authorities;</w:t>
      </w:r>
    </w:p>
    <w:p w:rsidR="00C50E48" w:rsidRPr="00C50E48" w:rsidRDefault="00C50E48" w:rsidP="00C50E48">
      <w:pPr>
        <w:numPr>
          <w:ilvl w:val="1"/>
          <w:numId w:val="6"/>
        </w:numPr>
        <w:spacing w:after="120"/>
        <w:ind w:left="1134" w:hanging="425"/>
        <w:rPr>
          <w:rFonts w:ascii="Calibri" w:hAnsi="Calibri" w:cs="Calibri"/>
          <w:sz w:val="22"/>
          <w:szCs w:val="22"/>
        </w:rPr>
      </w:pPr>
      <w:r w:rsidRPr="00C50E48">
        <w:rPr>
          <w:rFonts w:ascii="Calibri" w:hAnsi="Calibri" w:cs="Calibri"/>
          <w:sz w:val="22"/>
          <w:szCs w:val="22"/>
        </w:rPr>
        <w:t>the Chief Executive Officer of Safe Work Australia;</w:t>
      </w:r>
    </w:p>
    <w:p w:rsidR="00C50E48" w:rsidRPr="00C50E48" w:rsidRDefault="00C50E48" w:rsidP="00C50E48">
      <w:pPr>
        <w:numPr>
          <w:ilvl w:val="1"/>
          <w:numId w:val="6"/>
        </w:numPr>
        <w:spacing w:after="120"/>
        <w:ind w:left="1134" w:hanging="425"/>
        <w:rPr>
          <w:rFonts w:ascii="Calibri" w:hAnsi="Calibri" w:cs="Calibri"/>
          <w:sz w:val="22"/>
          <w:szCs w:val="22"/>
        </w:rPr>
      </w:pPr>
      <w:r w:rsidRPr="00C50E48">
        <w:rPr>
          <w:rFonts w:ascii="Calibri" w:hAnsi="Calibri" w:cs="Calibri"/>
          <w:sz w:val="22"/>
          <w:szCs w:val="22"/>
        </w:rPr>
        <w:t>a member who, in the Minister’s opinion, represents the interests of members and former members of the Australian Defence Force (ADF);</w:t>
      </w:r>
    </w:p>
    <w:p w:rsidR="00C50E48" w:rsidRPr="00C50E48" w:rsidRDefault="00C50E48" w:rsidP="00C50E48">
      <w:pPr>
        <w:numPr>
          <w:ilvl w:val="1"/>
          <w:numId w:val="6"/>
        </w:numPr>
        <w:spacing w:after="120"/>
        <w:ind w:left="1134" w:hanging="425"/>
        <w:rPr>
          <w:rFonts w:ascii="Calibri" w:hAnsi="Calibri" w:cs="Calibri"/>
          <w:sz w:val="22"/>
          <w:szCs w:val="22"/>
        </w:rPr>
      </w:pPr>
      <w:r w:rsidRPr="00C50E48">
        <w:rPr>
          <w:rFonts w:ascii="Calibri" w:hAnsi="Calibri" w:cs="Calibri"/>
          <w:sz w:val="22"/>
          <w:szCs w:val="22"/>
        </w:rPr>
        <w:t>a member who has been nominated by the Chief Minister for the Australian Capital Territory and who, in the Minister’s opinion, represents the interests of the Australian Capital Territory’s public sector employers; and</w:t>
      </w:r>
    </w:p>
    <w:p w:rsidR="00C50E48" w:rsidRPr="00C50E48" w:rsidRDefault="00C50E48" w:rsidP="00C50E48">
      <w:pPr>
        <w:numPr>
          <w:ilvl w:val="1"/>
          <w:numId w:val="6"/>
        </w:numPr>
        <w:spacing w:after="120"/>
        <w:ind w:left="1134" w:hanging="425"/>
        <w:rPr>
          <w:rFonts w:ascii="Calibri" w:hAnsi="Calibri" w:cs="Calibri"/>
          <w:sz w:val="22"/>
          <w:szCs w:val="22"/>
        </w:rPr>
      </w:pPr>
      <w:proofErr w:type="gramStart"/>
      <w:r w:rsidRPr="00C50E48">
        <w:rPr>
          <w:rFonts w:ascii="Calibri" w:hAnsi="Calibri" w:cs="Calibri"/>
          <w:sz w:val="22"/>
          <w:szCs w:val="22"/>
        </w:rPr>
        <w:t>two</w:t>
      </w:r>
      <w:proofErr w:type="gramEnd"/>
      <w:r w:rsidRPr="00C50E48">
        <w:rPr>
          <w:rFonts w:ascii="Calibri" w:hAnsi="Calibri" w:cs="Calibri"/>
          <w:sz w:val="22"/>
          <w:szCs w:val="22"/>
        </w:rPr>
        <w:t xml:space="preserve"> members with qualifications or experience relevant to the SRCC’s functions, or the exercise of its powers.</w:t>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 xml:space="preserve">The SRCC is responsible for approving </w:t>
      </w:r>
      <w:r w:rsidR="000A5586">
        <w:rPr>
          <w:rFonts w:ascii="Calibri" w:hAnsi="Calibri" w:cs="Calibri"/>
          <w:sz w:val="22"/>
          <w:szCs w:val="22"/>
        </w:rPr>
        <w:t>licence</w:t>
      </w:r>
      <w:r w:rsidRPr="00C50E48">
        <w:rPr>
          <w:rFonts w:ascii="Calibri" w:hAnsi="Calibri" w:cs="Calibri"/>
          <w:sz w:val="22"/>
          <w:szCs w:val="22"/>
        </w:rPr>
        <w:t xml:space="preserve">s and </w:t>
      </w:r>
      <w:r w:rsidR="00173FC9" w:rsidRPr="00C50E48">
        <w:rPr>
          <w:rFonts w:ascii="Calibri" w:hAnsi="Calibri" w:cs="Calibri"/>
          <w:sz w:val="22"/>
          <w:szCs w:val="22"/>
        </w:rPr>
        <w:t>monitoring licensees</w:t>
      </w:r>
      <w:r w:rsidRPr="00C50E48">
        <w:rPr>
          <w:rFonts w:ascii="Calibri" w:hAnsi="Calibri" w:cs="Calibri"/>
          <w:sz w:val="22"/>
          <w:szCs w:val="22"/>
        </w:rPr>
        <w:t xml:space="preserve">. </w:t>
      </w:r>
      <w:r w:rsidR="000A5586">
        <w:rPr>
          <w:rFonts w:ascii="Calibri" w:hAnsi="Calibri" w:cs="Calibri"/>
          <w:sz w:val="22"/>
          <w:szCs w:val="22"/>
        </w:rPr>
        <w:t>Licence</w:t>
      </w:r>
      <w:r w:rsidRPr="00C50E48">
        <w:rPr>
          <w:rFonts w:ascii="Calibri" w:hAnsi="Calibri" w:cs="Calibri"/>
          <w:sz w:val="22"/>
          <w:szCs w:val="22"/>
        </w:rPr>
        <w:t xml:space="preserve">s are granted only after the SRCC is satisfied that the corporation meets all the necessary requirements. To this end, the SRCC has issued Guidelines for the evaluation of </w:t>
      </w:r>
      <w:r w:rsidR="000A5586">
        <w:rPr>
          <w:rFonts w:ascii="Calibri" w:hAnsi="Calibri" w:cs="Calibri"/>
          <w:sz w:val="22"/>
          <w:szCs w:val="22"/>
        </w:rPr>
        <w:t>licence</w:t>
      </w:r>
      <w:r w:rsidRPr="00C50E48">
        <w:rPr>
          <w:rFonts w:ascii="Calibri" w:hAnsi="Calibri" w:cs="Calibri"/>
          <w:sz w:val="22"/>
          <w:szCs w:val="22"/>
        </w:rPr>
        <w:t xml:space="preserve"> applications.</w:t>
      </w:r>
      <w:r w:rsidRPr="00C50E48">
        <w:rPr>
          <w:rFonts w:ascii="Calibri" w:hAnsi="Calibri" w:cs="Calibri"/>
          <w:i/>
          <w:sz w:val="22"/>
          <w:szCs w:val="22"/>
          <w:vertAlign w:val="superscript"/>
        </w:rPr>
        <w:footnoteReference w:id="9"/>
      </w:r>
    </w:p>
    <w:p w:rsidR="00C50E48" w:rsidRPr="00C50E48" w:rsidRDefault="00C50E48" w:rsidP="00C50E48">
      <w:pPr>
        <w:spacing w:before="100" w:beforeAutospacing="1" w:after="100" w:afterAutospacing="1"/>
        <w:outlineLvl w:val="0"/>
        <w:rPr>
          <w:rFonts w:ascii="Arial" w:hAnsi="Arial"/>
          <w:bCs/>
          <w:iCs/>
          <w:caps/>
          <w:color w:val="1F497D" w:themeColor="text2"/>
          <w:kern w:val="36"/>
          <w:sz w:val="28"/>
          <w:szCs w:val="28"/>
        </w:rPr>
      </w:pPr>
      <w:bookmarkStart w:id="268" w:name="_Toc341777934"/>
      <w:bookmarkStart w:id="269" w:name="_Toc342578302"/>
      <w:r w:rsidRPr="00C50E48">
        <w:rPr>
          <w:rFonts w:ascii="Arial" w:hAnsi="Arial"/>
          <w:bCs/>
          <w:iCs/>
          <w:caps/>
          <w:color w:val="1F497D" w:themeColor="text2"/>
          <w:kern w:val="36"/>
          <w:sz w:val="28"/>
          <w:szCs w:val="28"/>
        </w:rPr>
        <w:t>Comcare’s Role</w:t>
      </w:r>
      <w:bookmarkEnd w:id="268"/>
      <w:bookmarkEnd w:id="269"/>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Comcare has both WHS and workers’ compensation regulatory functions. A well as being the claims administrator for the premium-funded scheme, it shares the regulatory functions of the Comcare scheme with the SRCC and supports the SRCC in exercising its functions under the SRC Act.</w:t>
      </w:r>
      <w:r w:rsidRPr="00C50E48">
        <w:rPr>
          <w:rFonts w:ascii="Calibri" w:hAnsi="Calibri" w:cs="Calibri"/>
          <w:sz w:val="22"/>
          <w:szCs w:val="22"/>
          <w:vertAlign w:val="superscript"/>
        </w:rPr>
        <w:footnoteReference w:id="10"/>
      </w:r>
      <w:r w:rsidRPr="00C50E48">
        <w:rPr>
          <w:rFonts w:ascii="Calibri" w:hAnsi="Calibri" w:cs="Calibri"/>
          <w:sz w:val="22"/>
          <w:szCs w:val="22"/>
        </w:rPr>
        <w:t xml:space="preserve">  Section 69 of the SRC Act sets out Comcare’s functions as:</w:t>
      </w:r>
    </w:p>
    <w:p w:rsidR="00C50E48" w:rsidRPr="00C50E48" w:rsidRDefault="00C50E48" w:rsidP="00C50E48">
      <w:pPr>
        <w:tabs>
          <w:tab w:val="left" w:pos="1418"/>
        </w:tabs>
        <w:spacing w:after="120"/>
        <w:ind w:left="1418" w:hanging="709"/>
        <w:rPr>
          <w:rFonts w:asciiTheme="minorHAnsi" w:hAnsiTheme="minorHAnsi" w:cstheme="minorHAnsi"/>
          <w:i/>
          <w:sz w:val="22"/>
          <w:szCs w:val="22"/>
        </w:rPr>
      </w:pPr>
      <w:r w:rsidRPr="00C50E48">
        <w:rPr>
          <w:rFonts w:asciiTheme="minorHAnsi" w:hAnsiTheme="minorHAnsi" w:cstheme="minorHAnsi"/>
          <w:i/>
          <w:sz w:val="22"/>
          <w:szCs w:val="22"/>
        </w:rPr>
        <w:t xml:space="preserve">(a)  </w:t>
      </w:r>
      <w:r w:rsidRPr="00C50E48">
        <w:rPr>
          <w:rFonts w:asciiTheme="minorHAnsi" w:hAnsiTheme="minorHAnsi" w:cstheme="minorHAnsi"/>
          <w:i/>
          <w:sz w:val="22"/>
          <w:szCs w:val="22"/>
        </w:rPr>
        <w:tab/>
      </w:r>
      <w:proofErr w:type="gramStart"/>
      <w:r w:rsidRPr="00C50E48">
        <w:rPr>
          <w:rFonts w:asciiTheme="minorHAnsi" w:hAnsiTheme="minorHAnsi" w:cstheme="minorHAnsi"/>
          <w:i/>
          <w:sz w:val="22"/>
          <w:szCs w:val="22"/>
        </w:rPr>
        <w:t>to</w:t>
      </w:r>
      <w:proofErr w:type="gramEnd"/>
      <w:r w:rsidRPr="00C50E48">
        <w:rPr>
          <w:rFonts w:asciiTheme="minorHAnsi" w:hAnsiTheme="minorHAnsi" w:cstheme="minorHAnsi"/>
          <w:i/>
          <w:sz w:val="22"/>
          <w:szCs w:val="22"/>
        </w:rPr>
        <w:t xml:space="preserve"> make determinations accurately and quickly in relation to claims and requests made to Comcare under this Act;</w:t>
      </w:r>
    </w:p>
    <w:p w:rsidR="00C50E48" w:rsidRPr="00C50E48" w:rsidRDefault="00C50E48" w:rsidP="00C50E48">
      <w:pPr>
        <w:tabs>
          <w:tab w:val="left" w:pos="1418"/>
        </w:tabs>
        <w:spacing w:after="120"/>
        <w:ind w:left="1418" w:hanging="709"/>
        <w:rPr>
          <w:rFonts w:asciiTheme="minorHAnsi" w:hAnsiTheme="minorHAnsi" w:cstheme="minorHAnsi"/>
          <w:i/>
          <w:sz w:val="22"/>
          <w:szCs w:val="22"/>
        </w:rPr>
      </w:pPr>
      <w:r w:rsidRPr="00C50E48">
        <w:rPr>
          <w:rFonts w:asciiTheme="minorHAnsi" w:hAnsiTheme="minorHAnsi" w:cstheme="minorHAnsi"/>
          <w:i/>
          <w:sz w:val="22"/>
          <w:szCs w:val="22"/>
        </w:rPr>
        <w:t xml:space="preserve">(b)  </w:t>
      </w:r>
      <w:r w:rsidRPr="00C50E48">
        <w:rPr>
          <w:rFonts w:asciiTheme="minorHAnsi" w:hAnsiTheme="minorHAnsi" w:cstheme="minorHAnsi"/>
          <w:i/>
          <w:sz w:val="22"/>
          <w:szCs w:val="22"/>
        </w:rPr>
        <w:tab/>
      </w:r>
      <w:proofErr w:type="gramStart"/>
      <w:r w:rsidRPr="00C50E48">
        <w:rPr>
          <w:rFonts w:asciiTheme="minorHAnsi" w:hAnsiTheme="minorHAnsi" w:cstheme="minorHAnsi"/>
          <w:i/>
          <w:sz w:val="22"/>
          <w:szCs w:val="22"/>
        </w:rPr>
        <w:t>to</w:t>
      </w:r>
      <w:proofErr w:type="gramEnd"/>
      <w:r w:rsidRPr="00C50E48">
        <w:rPr>
          <w:rFonts w:asciiTheme="minorHAnsi" w:hAnsiTheme="minorHAnsi" w:cstheme="minorHAnsi"/>
          <w:i/>
          <w:sz w:val="22"/>
          <w:szCs w:val="22"/>
        </w:rPr>
        <w:t xml:space="preserve"> minimise the duration and severity of injuries to its employees and employees of exempt authorities by arranging quickly for the rehabilitation of those employees under this Act;</w:t>
      </w:r>
    </w:p>
    <w:p w:rsidR="00C50E48" w:rsidRPr="00C50E48" w:rsidRDefault="00C50E48" w:rsidP="00C50E48">
      <w:pPr>
        <w:tabs>
          <w:tab w:val="left" w:pos="1418"/>
        </w:tabs>
        <w:spacing w:after="120"/>
        <w:ind w:left="1418" w:hanging="709"/>
        <w:rPr>
          <w:rFonts w:asciiTheme="minorHAnsi" w:hAnsiTheme="minorHAnsi" w:cstheme="minorHAnsi"/>
          <w:i/>
          <w:sz w:val="22"/>
          <w:szCs w:val="22"/>
        </w:rPr>
      </w:pPr>
      <w:r w:rsidRPr="00C50E48">
        <w:rPr>
          <w:rFonts w:asciiTheme="minorHAnsi" w:hAnsiTheme="minorHAnsi" w:cstheme="minorHAnsi"/>
          <w:i/>
          <w:sz w:val="22"/>
          <w:szCs w:val="22"/>
        </w:rPr>
        <w:t xml:space="preserve">(c)  </w:t>
      </w:r>
      <w:r w:rsidRPr="00C50E48">
        <w:rPr>
          <w:rFonts w:asciiTheme="minorHAnsi" w:hAnsiTheme="minorHAnsi" w:cstheme="minorHAnsi"/>
          <w:i/>
          <w:sz w:val="22"/>
          <w:szCs w:val="22"/>
        </w:rPr>
        <w:tab/>
      </w:r>
      <w:proofErr w:type="gramStart"/>
      <w:r w:rsidRPr="00C50E48">
        <w:rPr>
          <w:rFonts w:asciiTheme="minorHAnsi" w:hAnsiTheme="minorHAnsi" w:cstheme="minorHAnsi"/>
          <w:i/>
          <w:sz w:val="22"/>
          <w:szCs w:val="22"/>
        </w:rPr>
        <w:t>to</w:t>
      </w:r>
      <w:proofErr w:type="gramEnd"/>
      <w:r w:rsidRPr="00C50E48">
        <w:rPr>
          <w:rFonts w:asciiTheme="minorHAnsi" w:hAnsiTheme="minorHAnsi" w:cstheme="minorHAnsi"/>
          <w:i/>
          <w:sz w:val="22"/>
          <w:szCs w:val="22"/>
        </w:rPr>
        <w:t xml:space="preserve"> co</w:t>
      </w:r>
      <w:r w:rsidRPr="00C50E48">
        <w:rPr>
          <w:rFonts w:asciiTheme="minorHAnsi" w:eastAsia="MS Mincho" w:hAnsi="Calibri" w:cstheme="minorHAnsi"/>
          <w:i/>
          <w:sz w:val="22"/>
          <w:szCs w:val="22"/>
        </w:rPr>
        <w:t>-</w:t>
      </w:r>
      <w:r w:rsidRPr="00C50E48">
        <w:rPr>
          <w:rFonts w:asciiTheme="minorHAnsi" w:hAnsiTheme="minorHAnsi" w:cstheme="minorHAnsi"/>
          <w:i/>
          <w:sz w:val="22"/>
          <w:szCs w:val="22"/>
        </w:rPr>
        <w:t>operate with other bodies or persons with the aim of reducing the incidence of injury to employees;</w:t>
      </w:r>
    </w:p>
    <w:p w:rsidR="00C50E48" w:rsidRPr="00C50E48" w:rsidRDefault="00C50E48" w:rsidP="00C50E48">
      <w:pPr>
        <w:tabs>
          <w:tab w:val="left" w:pos="1418"/>
        </w:tabs>
        <w:spacing w:after="120"/>
        <w:ind w:left="1418" w:hanging="709"/>
        <w:rPr>
          <w:rFonts w:asciiTheme="minorHAnsi" w:hAnsiTheme="minorHAnsi" w:cstheme="minorHAnsi"/>
          <w:i/>
          <w:sz w:val="22"/>
          <w:szCs w:val="22"/>
        </w:rPr>
      </w:pPr>
      <w:r w:rsidRPr="00C50E48">
        <w:rPr>
          <w:rFonts w:asciiTheme="minorHAnsi" w:hAnsiTheme="minorHAnsi" w:cstheme="minorHAnsi"/>
          <w:i/>
          <w:sz w:val="22"/>
          <w:szCs w:val="22"/>
        </w:rPr>
        <w:lastRenderedPageBreak/>
        <w:t xml:space="preserve">(d)  </w:t>
      </w:r>
      <w:r w:rsidRPr="00C50E48">
        <w:rPr>
          <w:rFonts w:asciiTheme="minorHAnsi" w:hAnsiTheme="minorHAnsi" w:cstheme="minorHAnsi"/>
          <w:i/>
          <w:sz w:val="22"/>
          <w:szCs w:val="22"/>
        </w:rPr>
        <w:tab/>
      </w:r>
      <w:proofErr w:type="gramStart"/>
      <w:r w:rsidRPr="00C50E48">
        <w:rPr>
          <w:rFonts w:asciiTheme="minorHAnsi" w:hAnsiTheme="minorHAnsi" w:cstheme="minorHAnsi"/>
          <w:i/>
          <w:sz w:val="22"/>
          <w:szCs w:val="22"/>
        </w:rPr>
        <w:t>to</w:t>
      </w:r>
      <w:proofErr w:type="gramEnd"/>
      <w:r w:rsidRPr="00C50E48">
        <w:rPr>
          <w:rFonts w:asciiTheme="minorHAnsi" w:hAnsiTheme="minorHAnsi" w:cstheme="minorHAnsi"/>
          <w:i/>
          <w:sz w:val="22"/>
          <w:szCs w:val="22"/>
        </w:rPr>
        <w:t xml:space="preserve"> conduct and promote research into the rehabilitation of employees and the incidence and prevention of injury to employees;</w:t>
      </w:r>
    </w:p>
    <w:p w:rsidR="00C50E48" w:rsidRPr="00C50E48" w:rsidRDefault="00C50E48" w:rsidP="00C50E48">
      <w:pPr>
        <w:tabs>
          <w:tab w:val="left" w:pos="1418"/>
        </w:tabs>
        <w:spacing w:after="120"/>
        <w:ind w:left="1418" w:hanging="709"/>
        <w:rPr>
          <w:rFonts w:asciiTheme="minorHAnsi" w:hAnsiTheme="minorHAnsi" w:cstheme="minorHAnsi"/>
          <w:i/>
          <w:sz w:val="22"/>
          <w:szCs w:val="22"/>
        </w:rPr>
      </w:pPr>
      <w:r w:rsidRPr="00C50E48">
        <w:rPr>
          <w:rFonts w:asciiTheme="minorHAnsi" w:hAnsiTheme="minorHAnsi" w:cstheme="minorHAnsi"/>
          <w:i/>
          <w:sz w:val="22"/>
          <w:szCs w:val="22"/>
        </w:rPr>
        <w:t>(</w:t>
      </w:r>
      <w:proofErr w:type="gramStart"/>
      <w:r w:rsidRPr="00C50E48">
        <w:rPr>
          <w:rFonts w:asciiTheme="minorHAnsi" w:hAnsiTheme="minorHAnsi" w:cstheme="minorHAnsi"/>
          <w:i/>
          <w:sz w:val="22"/>
          <w:szCs w:val="22"/>
        </w:rPr>
        <w:t>da</w:t>
      </w:r>
      <w:proofErr w:type="gramEnd"/>
      <w:r w:rsidRPr="00C50E48">
        <w:rPr>
          <w:rFonts w:asciiTheme="minorHAnsi" w:hAnsiTheme="minorHAnsi" w:cstheme="minorHAnsi"/>
          <w:i/>
          <w:sz w:val="22"/>
          <w:szCs w:val="22"/>
        </w:rPr>
        <w:t xml:space="preserve">)  </w:t>
      </w:r>
      <w:r w:rsidRPr="00C50E48">
        <w:rPr>
          <w:rFonts w:asciiTheme="minorHAnsi" w:hAnsiTheme="minorHAnsi" w:cstheme="minorHAnsi"/>
          <w:i/>
          <w:sz w:val="22"/>
          <w:szCs w:val="22"/>
        </w:rPr>
        <w:tab/>
        <w:t>to promote the adoption in Australia and elsewhere of effective strategies and procedures for the rehabilitation of injured workers;</w:t>
      </w:r>
    </w:p>
    <w:p w:rsidR="00C50E48" w:rsidRPr="00C50E48" w:rsidRDefault="00C50E48" w:rsidP="00C50E48">
      <w:pPr>
        <w:tabs>
          <w:tab w:val="left" w:pos="1418"/>
        </w:tabs>
        <w:spacing w:after="120"/>
        <w:ind w:left="1418" w:hanging="709"/>
        <w:rPr>
          <w:rFonts w:asciiTheme="minorHAnsi" w:hAnsiTheme="minorHAnsi" w:cstheme="minorHAnsi"/>
          <w:i/>
          <w:sz w:val="22"/>
          <w:szCs w:val="22"/>
        </w:rPr>
      </w:pPr>
      <w:r w:rsidRPr="00C50E48">
        <w:rPr>
          <w:rFonts w:asciiTheme="minorHAnsi" w:hAnsiTheme="minorHAnsi" w:cstheme="minorHAnsi"/>
          <w:i/>
          <w:sz w:val="22"/>
          <w:szCs w:val="22"/>
        </w:rPr>
        <w:t xml:space="preserve">(e)  </w:t>
      </w:r>
      <w:r w:rsidRPr="00C50E48">
        <w:rPr>
          <w:rFonts w:asciiTheme="minorHAnsi" w:hAnsiTheme="minorHAnsi" w:cstheme="minorHAnsi"/>
          <w:i/>
          <w:sz w:val="22"/>
          <w:szCs w:val="22"/>
        </w:rPr>
        <w:tab/>
        <w:t>to publish material relating to any of the functions referred to in paragraphs (a), (c) and (d) and relating to the rehabilitation of employees under this Act;</w:t>
      </w:r>
    </w:p>
    <w:p w:rsidR="00C50E48" w:rsidRPr="00C50E48" w:rsidRDefault="00C50E48" w:rsidP="00C50E48">
      <w:pPr>
        <w:tabs>
          <w:tab w:val="left" w:pos="1418"/>
        </w:tabs>
        <w:spacing w:after="120"/>
        <w:ind w:left="1418" w:hanging="709"/>
        <w:rPr>
          <w:rFonts w:asciiTheme="minorHAnsi" w:hAnsiTheme="minorHAnsi" w:cstheme="minorHAnsi"/>
          <w:i/>
          <w:sz w:val="22"/>
          <w:szCs w:val="22"/>
        </w:rPr>
      </w:pPr>
      <w:r w:rsidRPr="00C50E48">
        <w:rPr>
          <w:rFonts w:asciiTheme="minorHAnsi" w:hAnsiTheme="minorHAnsi" w:cstheme="minorHAnsi"/>
          <w:i/>
          <w:sz w:val="22"/>
          <w:szCs w:val="22"/>
        </w:rPr>
        <w:t xml:space="preserve">(ea) </w:t>
      </w:r>
      <w:r w:rsidRPr="00C50E48">
        <w:rPr>
          <w:rFonts w:asciiTheme="minorHAnsi" w:hAnsiTheme="minorHAnsi" w:cstheme="minorHAnsi"/>
          <w:i/>
          <w:sz w:val="22"/>
          <w:szCs w:val="22"/>
        </w:rPr>
        <w:tab/>
        <w:t>in respect of actions for non</w:t>
      </w:r>
      <w:r w:rsidRPr="00C50E48">
        <w:rPr>
          <w:rFonts w:asciiTheme="minorHAnsi" w:eastAsia="MS Mincho" w:hAnsi="Calibri" w:cstheme="minorHAnsi"/>
          <w:i/>
          <w:sz w:val="22"/>
          <w:szCs w:val="22"/>
        </w:rPr>
        <w:t>-</w:t>
      </w:r>
      <w:r w:rsidRPr="00C50E48">
        <w:rPr>
          <w:rFonts w:asciiTheme="minorHAnsi" w:hAnsiTheme="minorHAnsi" w:cstheme="minorHAnsi"/>
          <w:i/>
          <w:sz w:val="22"/>
          <w:szCs w:val="22"/>
        </w:rPr>
        <w:t>economic loss—to take over the conduct of such actions under section 52A on behalf of the Commonwealth, Commonwealth authorities or employees against whom such actions were taken;</w:t>
      </w:r>
    </w:p>
    <w:p w:rsidR="00C50E48" w:rsidRPr="00C50E48" w:rsidRDefault="00C50E48" w:rsidP="00C50E48">
      <w:pPr>
        <w:tabs>
          <w:tab w:val="left" w:pos="1418"/>
        </w:tabs>
        <w:spacing w:after="120"/>
        <w:ind w:left="1418" w:hanging="709"/>
        <w:rPr>
          <w:rFonts w:asciiTheme="minorHAnsi" w:hAnsiTheme="minorHAnsi" w:cstheme="minorHAnsi"/>
          <w:i/>
          <w:sz w:val="22"/>
          <w:szCs w:val="22"/>
        </w:rPr>
      </w:pPr>
      <w:r w:rsidRPr="00C50E48">
        <w:rPr>
          <w:rFonts w:asciiTheme="minorHAnsi" w:hAnsiTheme="minorHAnsi" w:cstheme="minorHAnsi"/>
          <w:i/>
          <w:sz w:val="22"/>
          <w:szCs w:val="22"/>
        </w:rPr>
        <w:t xml:space="preserve">(eb) </w:t>
      </w:r>
      <w:r w:rsidRPr="00C50E48">
        <w:rPr>
          <w:rFonts w:asciiTheme="minorHAnsi" w:hAnsiTheme="minorHAnsi" w:cstheme="minorHAnsi"/>
          <w:i/>
          <w:sz w:val="22"/>
          <w:szCs w:val="22"/>
        </w:rPr>
        <w:tab/>
        <w:t>to determine the premiums payable by Entities and Commonwealth authorities in respect of the financial year starting on 1 July 2002 and each subsequent financial year and, where appropriate, the special premiums payable by Entities and Commonwealth authorities in respect of one or more of the financial years starting on 1 July 1999, 1 July 2000 or 1 July 2001, and to collect such premiums and special premiums;</w:t>
      </w:r>
    </w:p>
    <w:p w:rsidR="00C50E48" w:rsidRPr="00C50E48" w:rsidRDefault="00C50E48" w:rsidP="00C50E48">
      <w:pPr>
        <w:tabs>
          <w:tab w:val="left" w:pos="1418"/>
        </w:tabs>
        <w:spacing w:after="120"/>
        <w:ind w:left="1418" w:hanging="709"/>
        <w:rPr>
          <w:rFonts w:asciiTheme="minorHAnsi" w:hAnsiTheme="minorHAnsi" w:cstheme="minorHAnsi"/>
          <w:i/>
          <w:sz w:val="22"/>
          <w:szCs w:val="22"/>
        </w:rPr>
      </w:pPr>
      <w:r w:rsidRPr="00C50E48">
        <w:rPr>
          <w:rFonts w:asciiTheme="minorHAnsi" w:hAnsiTheme="minorHAnsi" w:cstheme="minorHAnsi"/>
          <w:i/>
          <w:sz w:val="22"/>
          <w:szCs w:val="22"/>
        </w:rPr>
        <w:t>(</w:t>
      </w:r>
      <w:proofErr w:type="gramStart"/>
      <w:r w:rsidRPr="00C50E48">
        <w:rPr>
          <w:rFonts w:asciiTheme="minorHAnsi" w:hAnsiTheme="minorHAnsi" w:cstheme="minorHAnsi"/>
          <w:i/>
          <w:sz w:val="22"/>
          <w:szCs w:val="22"/>
        </w:rPr>
        <w:t>ec</w:t>
      </w:r>
      <w:proofErr w:type="gramEnd"/>
      <w:r w:rsidRPr="00C50E48">
        <w:rPr>
          <w:rFonts w:asciiTheme="minorHAnsi" w:hAnsiTheme="minorHAnsi" w:cstheme="minorHAnsi"/>
          <w:i/>
          <w:sz w:val="22"/>
          <w:szCs w:val="22"/>
        </w:rPr>
        <w:t>)</w:t>
      </w:r>
      <w:r w:rsidRPr="00C50E48">
        <w:rPr>
          <w:rFonts w:asciiTheme="minorHAnsi" w:hAnsiTheme="minorHAnsi" w:cstheme="minorHAnsi"/>
          <w:i/>
          <w:sz w:val="22"/>
          <w:szCs w:val="22"/>
        </w:rPr>
        <w:tab/>
        <w:t>to apply such premiums and special premiums, together with interest earned on those premiums, in meeting:</w:t>
      </w:r>
    </w:p>
    <w:p w:rsidR="00C50E48" w:rsidRPr="00C50E48" w:rsidRDefault="00C50E48" w:rsidP="00C50E48">
      <w:pPr>
        <w:tabs>
          <w:tab w:val="left" w:pos="1843"/>
        </w:tabs>
        <w:spacing w:after="120"/>
        <w:ind w:left="1843" w:hanging="425"/>
        <w:rPr>
          <w:rFonts w:asciiTheme="minorHAnsi" w:hAnsiTheme="minorHAnsi" w:cstheme="minorHAnsi"/>
          <w:i/>
          <w:sz w:val="22"/>
          <w:szCs w:val="22"/>
        </w:rPr>
      </w:pPr>
      <w:r w:rsidRPr="00C50E48">
        <w:rPr>
          <w:rFonts w:asciiTheme="minorHAnsi" w:hAnsiTheme="minorHAnsi" w:cstheme="minorHAnsi"/>
          <w:i/>
          <w:sz w:val="22"/>
          <w:szCs w:val="22"/>
        </w:rPr>
        <w:t xml:space="preserve">(i)  </w:t>
      </w:r>
      <w:r w:rsidRPr="00C50E48">
        <w:rPr>
          <w:rFonts w:asciiTheme="minorHAnsi" w:hAnsiTheme="minorHAnsi" w:cstheme="minorHAnsi"/>
          <w:i/>
          <w:sz w:val="22"/>
          <w:szCs w:val="22"/>
        </w:rPr>
        <w:tab/>
        <w:t>Comcare’s liability under this Act in relation to compensation in respect of injuries suffered, whether before, on or after 1 July 2002, by employees of such Entities and authorities; and</w:t>
      </w:r>
    </w:p>
    <w:p w:rsidR="00C50E48" w:rsidRPr="00C50E48" w:rsidRDefault="00C50E48" w:rsidP="00C50E48">
      <w:pPr>
        <w:tabs>
          <w:tab w:val="left" w:pos="1843"/>
        </w:tabs>
        <w:spacing w:after="120"/>
        <w:ind w:left="1843" w:hanging="425"/>
        <w:rPr>
          <w:rFonts w:asciiTheme="minorHAnsi" w:hAnsiTheme="minorHAnsi" w:cstheme="minorHAnsi"/>
          <w:i/>
          <w:sz w:val="22"/>
          <w:szCs w:val="22"/>
        </w:rPr>
      </w:pPr>
      <w:r w:rsidRPr="00C50E48">
        <w:rPr>
          <w:rFonts w:asciiTheme="minorHAnsi" w:hAnsiTheme="minorHAnsi" w:cstheme="minorHAnsi"/>
          <w:i/>
          <w:sz w:val="22"/>
          <w:szCs w:val="22"/>
        </w:rPr>
        <w:t xml:space="preserve">(ii)  </w:t>
      </w:r>
      <w:r w:rsidRPr="00C50E48">
        <w:rPr>
          <w:rFonts w:asciiTheme="minorHAnsi" w:hAnsiTheme="minorHAnsi" w:cstheme="minorHAnsi"/>
          <w:i/>
          <w:sz w:val="22"/>
          <w:szCs w:val="22"/>
        </w:rPr>
        <w:tab/>
        <w:t>Comcare’s liability under this Act for payment, on behalf of such Entities, authorities and employees, of damages or costs awarded under, or of amounts agreed to be paid in settlement of, actions for non</w:t>
      </w:r>
      <w:r w:rsidRPr="00C50E48">
        <w:rPr>
          <w:rFonts w:asciiTheme="minorHAnsi" w:eastAsia="MS Mincho" w:hAnsi="Calibri" w:cstheme="minorHAnsi"/>
          <w:i/>
          <w:sz w:val="22"/>
          <w:szCs w:val="22"/>
        </w:rPr>
        <w:t>-</w:t>
      </w:r>
      <w:r w:rsidRPr="00C50E48">
        <w:rPr>
          <w:rFonts w:asciiTheme="minorHAnsi" w:hAnsiTheme="minorHAnsi" w:cstheme="minorHAnsi"/>
          <w:i/>
          <w:sz w:val="22"/>
          <w:szCs w:val="22"/>
        </w:rPr>
        <w:t>economic loss in respect of such injuries or for costs in proceedings against third parties; and</w:t>
      </w:r>
    </w:p>
    <w:p w:rsidR="00C50E48" w:rsidRPr="00C50E48" w:rsidRDefault="00C50E48" w:rsidP="00C50E48">
      <w:pPr>
        <w:tabs>
          <w:tab w:val="left" w:pos="1843"/>
        </w:tabs>
        <w:spacing w:after="120"/>
        <w:ind w:left="1843" w:hanging="425"/>
        <w:rPr>
          <w:rFonts w:asciiTheme="minorHAnsi" w:hAnsiTheme="minorHAnsi" w:cstheme="minorHAnsi"/>
          <w:i/>
          <w:sz w:val="22"/>
          <w:szCs w:val="22"/>
        </w:rPr>
      </w:pPr>
      <w:r w:rsidRPr="00C50E48">
        <w:rPr>
          <w:rFonts w:asciiTheme="minorHAnsi" w:hAnsiTheme="minorHAnsi" w:cstheme="minorHAnsi"/>
          <w:i/>
          <w:sz w:val="22"/>
          <w:szCs w:val="22"/>
        </w:rPr>
        <w:t xml:space="preserve">(iii)  </w:t>
      </w:r>
      <w:r w:rsidRPr="00C50E48">
        <w:rPr>
          <w:rFonts w:asciiTheme="minorHAnsi" w:hAnsiTheme="minorHAnsi" w:cstheme="minorHAnsi"/>
          <w:i/>
          <w:sz w:val="22"/>
          <w:szCs w:val="22"/>
        </w:rPr>
        <w:tab/>
      </w:r>
      <w:proofErr w:type="gramStart"/>
      <w:r w:rsidRPr="00C50E48">
        <w:rPr>
          <w:rFonts w:asciiTheme="minorHAnsi" w:hAnsiTheme="minorHAnsi" w:cstheme="minorHAnsi"/>
          <w:i/>
          <w:sz w:val="22"/>
          <w:szCs w:val="22"/>
        </w:rPr>
        <w:t>the</w:t>
      </w:r>
      <w:proofErr w:type="gramEnd"/>
      <w:r w:rsidRPr="00C50E48">
        <w:rPr>
          <w:rFonts w:asciiTheme="minorHAnsi" w:hAnsiTheme="minorHAnsi" w:cstheme="minorHAnsi"/>
          <w:i/>
          <w:sz w:val="22"/>
          <w:szCs w:val="22"/>
        </w:rPr>
        <w:t xml:space="preserve"> cost incurred by Comcare in managing such claims for compensation and in conducting such actions for non</w:t>
      </w:r>
      <w:r w:rsidRPr="00C50E48">
        <w:rPr>
          <w:rFonts w:asciiTheme="minorHAnsi" w:eastAsia="MS Mincho" w:hAnsi="Calibri" w:cstheme="minorHAnsi"/>
          <w:i/>
          <w:sz w:val="22"/>
          <w:szCs w:val="22"/>
        </w:rPr>
        <w:t>-</w:t>
      </w:r>
      <w:r w:rsidRPr="00C50E48">
        <w:rPr>
          <w:rFonts w:asciiTheme="minorHAnsi" w:hAnsiTheme="minorHAnsi" w:cstheme="minorHAnsi"/>
          <w:i/>
          <w:sz w:val="22"/>
          <w:szCs w:val="22"/>
        </w:rPr>
        <w:t>economic loss and claims against third parties;</w:t>
      </w:r>
    </w:p>
    <w:p w:rsidR="00C50E48" w:rsidRPr="00C50E48" w:rsidRDefault="00C50E48" w:rsidP="00C50E48">
      <w:pPr>
        <w:tabs>
          <w:tab w:val="left" w:pos="1418"/>
        </w:tabs>
        <w:spacing w:after="120"/>
        <w:ind w:left="1418" w:hanging="709"/>
        <w:rPr>
          <w:rFonts w:asciiTheme="minorHAnsi" w:hAnsiTheme="minorHAnsi" w:cstheme="minorHAnsi"/>
          <w:i/>
          <w:sz w:val="22"/>
          <w:szCs w:val="22"/>
        </w:rPr>
      </w:pPr>
      <w:r w:rsidRPr="00C50E48">
        <w:rPr>
          <w:rFonts w:asciiTheme="minorHAnsi" w:hAnsiTheme="minorHAnsi" w:cstheme="minorHAnsi"/>
          <w:i/>
          <w:sz w:val="22"/>
          <w:szCs w:val="22"/>
        </w:rPr>
        <w:t xml:space="preserve">(ed) </w:t>
      </w:r>
      <w:r w:rsidRPr="00C50E48">
        <w:rPr>
          <w:rFonts w:asciiTheme="minorHAnsi" w:hAnsiTheme="minorHAnsi" w:cstheme="minorHAnsi"/>
          <w:i/>
          <w:sz w:val="22"/>
          <w:szCs w:val="22"/>
        </w:rPr>
        <w:tab/>
        <w:t>to determine, under section 97D, the amount of the regulatory contributions payable by Entities, and by Commonwealth authorities, and to collect such contributions;</w:t>
      </w:r>
    </w:p>
    <w:p w:rsidR="00C50E48" w:rsidRPr="00C50E48" w:rsidRDefault="00C50E48" w:rsidP="00C50E48">
      <w:pPr>
        <w:tabs>
          <w:tab w:val="left" w:pos="1418"/>
        </w:tabs>
        <w:spacing w:after="120"/>
        <w:ind w:left="1418" w:hanging="709"/>
        <w:rPr>
          <w:rFonts w:asciiTheme="minorHAnsi" w:hAnsiTheme="minorHAnsi" w:cstheme="minorHAnsi"/>
          <w:i/>
          <w:sz w:val="22"/>
          <w:szCs w:val="22"/>
        </w:rPr>
      </w:pPr>
      <w:r w:rsidRPr="00C50E48">
        <w:rPr>
          <w:rFonts w:asciiTheme="minorHAnsi" w:hAnsiTheme="minorHAnsi" w:cstheme="minorHAnsi"/>
          <w:i/>
          <w:sz w:val="22"/>
          <w:szCs w:val="22"/>
        </w:rPr>
        <w:t>(</w:t>
      </w:r>
      <w:proofErr w:type="gramStart"/>
      <w:r w:rsidRPr="00C50E48">
        <w:rPr>
          <w:rFonts w:asciiTheme="minorHAnsi" w:hAnsiTheme="minorHAnsi" w:cstheme="minorHAnsi"/>
          <w:i/>
          <w:sz w:val="22"/>
          <w:szCs w:val="22"/>
        </w:rPr>
        <w:t>ee</w:t>
      </w:r>
      <w:proofErr w:type="gramEnd"/>
      <w:r w:rsidRPr="00C50E48">
        <w:rPr>
          <w:rFonts w:asciiTheme="minorHAnsi" w:hAnsiTheme="minorHAnsi" w:cstheme="minorHAnsi"/>
          <w:i/>
          <w:sz w:val="22"/>
          <w:szCs w:val="22"/>
        </w:rPr>
        <w:t xml:space="preserve">)  </w:t>
      </w:r>
      <w:r w:rsidRPr="00C50E48">
        <w:rPr>
          <w:rFonts w:asciiTheme="minorHAnsi" w:hAnsiTheme="minorHAnsi" w:cstheme="minorHAnsi"/>
          <w:i/>
          <w:sz w:val="22"/>
          <w:szCs w:val="22"/>
        </w:rPr>
        <w:tab/>
        <w:t>to collect application and licence fees payable under Part VIII by Commonwealth authorities and eligible corporations;</w:t>
      </w:r>
    </w:p>
    <w:p w:rsidR="00C50E48" w:rsidRPr="00C50E48" w:rsidRDefault="00C50E48" w:rsidP="00C50E48">
      <w:pPr>
        <w:tabs>
          <w:tab w:val="left" w:pos="1418"/>
        </w:tabs>
        <w:spacing w:after="120"/>
        <w:ind w:left="1418" w:hanging="709"/>
        <w:rPr>
          <w:rFonts w:asciiTheme="minorHAnsi" w:hAnsiTheme="minorHAnsi" w:cstheme="minorHAnsi"/>
          <w:i/>
          <w:sz w:val="22"/>
          <w:szCs w:val="22"/>
        </w:rPr>
      </w:pPr>
      <w:r w:rsidRPr="00C50E48">
        <w:rPr>
          <w:rFonts w:asciiTheme="minorHAnsi" w:hAnsiTheme="minorHAnsi" w:cstheme="minorHAnsi"/>
          <w:i/>
          <w:sz w:val="22"/>
          <w:szCs w:val="22"/>
        </w:rPr>
        <w:t>(</w:t>
      </w:r>
      <w:proofErr w:type="gramStart"/>
      <w:r w:rsidRPr="00C50E48">
        <w:rPr>
          <w:rFonts w:asciiTheme="minorHAnsi" w:hAnsiTheme="minorHAnsi" w:cstheme="minorHAnsi"/>
          <w:i/>
          <w:sz w:val="22"/>
          <w:szCs w:val="22"/>
        </w:rPr>
        <w:t>ef</w:t>
      </w:r>
      <w:proofErr w:type="gramEnd"/>
      <w:r w:rsidRPr="00C50E48">
        <w:rPr>
          <w:rFonts w:asciiTheme="minorHAnsi" w:hAnsiTheme="minorHAnsi" w:cstheme="minorHAnsi"/>
          <w:i/>
          <w:sz w:val="22"/>
          <w:szCs w:val="22"/>
        </w:rPr>
        <w:t>)</w:t>
      </w:r>
      <w:r w:rsidRPr="00C50E48">
        <w:rPr>
          <w:rFonts w:asciiTheme="minorHAnsi" w:hAnsiTheme="minorHAnsi" w:cstheme="minorHAnsi"/>
          <w:i/>
          <w:sz w:val="22"/>
          <w:szCs w:val="22"/>
        </w:rPr>
        <w:tab/>
        <w:t>to apply such regulatory contributions and application and licence fees, together with interest earned on those contributions and fees, in meeting:</w:t>
      </w:r>
    </w:p>
    <w:p w:rsidR="00C50E48" w:rsidRPr="00C50E48" w:rsidRDefault="00C50E48" w:rsidP="00C50E48">
      <w:pPr>
        <w:tabs>
          <w:tab w:val="left" w:pos="1843"/>
        </w:tabs>
        <w:spacing w:after="120"/>
        <w:ind w:left="1843" w:hanging="425"/>
        <w:rPr>
          <w:rFonts w:asciiTheme="minorHAnsi" w:hAnsiTheme="minorHAnsi" w:cstheme="minorHAnsi"/>
          <w:i/>
          <w:sz w:val="22"/>
          <w:szCs w:val="22"/>
        </w:rPr>
      </w:pPr>
      <w:r w:rsidRPr="00C50E48">
        <w:rPr>
          <w:rFonts w:asciiTheme="minorHAnsi" w:hAnsiTheme="minorHAnsi" w:cstheme="minorHAnsi"/>
          <w:i/>
          <w:sz w:val="22"/>
          <w:szCs w:val="22"/>
        </w:rPr>
        <w:t xml:space="preserve">(i)  </w:t>
      </w:r>
      <w:r w:rsidRPr="00C50E48">
        <w:rPr>
          <w:rFonts w:asciiTheme="minorHAnsi" w:hAnsiTheme="minorHAnsi" w:cstheme="minorHAnsi"/>
          <w:i/>
          <w:sz w:val="22"/>
          <w:szCs w:val="22"/>
        </w:rPr>
        <w:tab/>
      </w:r>
      <w:proofErr w:type="gramStart"/>
      <w:r w:rsidRPr="00C50E48">
        <w:rPr>
          <w:rFonts w:asciiTheme="minorHAnsi" w:hAnsiTheme="minorHAnsi" w:cstheme="minorHAnsi"/>
          <w:i/>
          <w:sz w:val="22"/>
          <w:szCs w:val="22"/>
        </w:rPr>
        <w:t>the</w:t>
      </w:r>
      <w:proofErr w:type="gramEnd"/>
      <w:r w:rsidRPr="00C50E48">
        <w:rPr>
          <w:rFonts w:asciiTheme="minorHAnsi" w:hAnsiTheme="minorHAnsi" w:cstheme="minorHAnsi"/>
          <w:i/>
          <w:sz w:val="22"/>
          <w:szCs w:val="22"/>
        </w:rPr>
        <w:t xml:space="preserve"> cost incurred by the Commission and Comcare in carrying out their respective functions under this Act (other than the function referred to in paragraph (ec)); and</w:t>
      </w:r>
    </w:p>
    <w:p w:rsidR="00C50E48" w:rsidRPr="00C50E48" w:rsidRDefault="00C50E48" w:rsidP="00C50E48">
      <w:pPr>
        <w:tabs>
          <w:tab w:val="left" w:pos="1843"/>
        </w:tabs>
        <w:spacing w:after="120"/>
        <w:ind w:left="1843" w:hanging="425"/>
        <w:rPr>
          <w:rFonts w:asciiTheme="minorHAnsi" w:hAnsiTheme="minorHAnsi" w:cstheme="minorHAnsi"/>
          <w:i/>
          <w:sz w:val="22"/>
          <w:szCs w:val="22"/>
        </w:rPr>
      </w:pPr>
      <w:r w:rsidRPr="00C50E48">
        <w:rPr>
          <w:rFonts w:asciiTheme="minorHAnsi" w:hAnsiTheme="minorHAnsi" w:cstheme="minorHAnsi"/>
          <w:i/>
          <w:sz w:val="22"/>
          <w:szCs w:val="22"/>
        </w:rPr>
        <w:t xml:space="preserve">(ii)  </w:t>
      </w:r>
      <w:r w:rsidRPr="00C50E48">
        <w:rPr>
          <w:rFonts w:asciiTheme="minorHAnsi" w:hAnsiTheme="minorHAnsi" w:cstheme="minorHAnsi"/>
          <w:i/>
          <w:sz w:val="22"/>
          <w:szCs w:val="22"/>
        </w:rPr>
        <w:tab/>
        <w:t>the cost incurred by the Commission and Comcare in carrying out their respective functions under the Occupational Health and Safety Act 1991, the Work Health and Safety Act 2011 and the Work Health and Safety (Transitional and Consequential Provisions) Act 2011.</w:t>
      </w:r>
    </w:p>
    <w:p w:rsidR="00C50E48" w:rsidRPr="00C50E48" w:rsidRDefault="00C50E48" w:rsidP="00C50E48">
      <w:pPr>
        <w:tabs>
          <w:tab w:val="left" w:pos="1418"/>
        </w:tabs>
        <w:spacing w:after="120"/>
        <w:ind w:left="1418" w:hanging="709"/>
        <w:rPr>
          <w:rFonts w:asciiTheme="minorHAnsi" w:hAnsiTheme="minorHAnsi" w:cstheme="minorHAnsi"/>
          <w:i/>
          <w:sz w:val="22"/>
          <w:szCs w:val="22"/>
        </w:rPr>
      </w:pPr>
      <w:r w:rsidRPr="00C50E48">
        <w:rPr>
          <w:rFonts w:asciiTheme="minorHAnsi" w:hAnsiTheme="minorHAnsi" w:cstheme="minorHAnsi"/>
          <w:i/>
          <w:sz w:val="22"/>
          <w:szCs w:val="22"/>
        </w:rPr>
        <w:t xml:space="preserve">(f)  </w:t>
      </w:r>
      <w:r w:rsidRPr="00C50E48">
        <w:rPr>
          <w:rFonts w:asciiTheme="minorHAnsi" w:hAnsiTheme="minorHAnsi" w:cstheme="minorHAnsi"/>
          <w:i/>
          <w:sz w:val="22"/>
          <w:szCs w:val="22"/>
        </w:rPr>
        <w:tab/>
        <w:t>to maintain contact with each rehabilitation authority to the extent necessary to ensure that, in performing or exercising its functions or powers under Part III, the authority is complying with any guidelines issued under section 41;</w:t>
      </w:r>
    </w:p>
    <w:p w:rsidR="00C50E48" w:rsidRPr="00C50E48" w:rsidRDefault="00C50E48" w:rsidP="00C50E48">
      <w:pPr>
        <w:tabs>
          <w:tab w:val="left" w:pos="1418"/>
        </w:tabs>
        <w:spacing w:after="120"/>
        <w:ind w:left="1418" w:hanging="709"/>
        <w:rPr>
          <w:rFonts w:asciiTheme="minorHAnsi" w:hAnsiTheme="minorHAnsi" w:cstheme="minorHAnsi"/>
          <w:i/>
          <w:sz w:val="22"/>
          <w:szCs w:val="22"/>
        </w:rPr>
      </w:pPr>
      <w:r w:rsidRPr="00C50E48">
        <w:rPr>
          <w:rFonts w:asciiTheme="minorHAnsi" w:hAnsiTheme="minorHAnsi" w:cstheme="minorHAnsi"/>
          <w:i/>
          <w:sz w:val="22"/>
          <w:szCs w:val="22"/>
        </w:rPr>
        <w:t>(</w:t>
      </w:r>
      <w:proofErr w:type="gramStart"/>
      <w:r w:rsidRPr="00C50E48">
        <w:rPr>
          <w:rFonts w:asciiTheme="minorHAnsi" w:hAnsiTheme="minorHAnsi" w:cstheme="minorHAnsi"/>
          <w:i/>
          <w:sz w:val="22"/>
          <w:szCs w:val="22"/>
        </w:rPr>
        <w:t>fa</w:t>
      </w:r>
      <w:proofErr w:type="gramEnd"/>
      <w:r w:rsidRPr="00C50E48">
        <w:rPr>
          <w:rFonts w:asciiTheme="minorHAnsi" w:hAnsiTheme="minorHAnsi" w:cstheme="minorHAnsi"/>
          <w:i/>
          <w:sz w:val="22"/>
          <w:szCs w:val="22"/>
        </w:rPr>
        <w:t xml:space="preserve">)  </w:t>
      </w:r>
      <w:r w:rsidRPr="00C50E48">
        <w:rPr>
          <w:rFonts w:asciiTheme="minorHAnsi" w:hAnsiTheme="minorHAnsi" w:cstheme="minorHAnsi"/>
          <w:i/>
          <w:sz w:val="22"/>
          <w:szCs w:val="22"/>
        </w:rPr>
        <w:tab/>
        <w:t>to advise the Minister about anything relating to Comcare’s functions and powers;</w:t>
      </w:r>
    </w:p>
    <w:p w:rsidR="00C50E48" w:rsidRPr="00C50E48" w:rsidRDefault="00C50E48" w:rsidP="00C50E48">
      <w:pPr>
        <w:tabs>
          <w:tab w:val="left" w:pos="1418"/>
        </w:tabs>
        <w:spacing w:after="120"/>
        <w:ind w:left="1418" w:hanging="709"/>
        <w:rPr>
          <w:rFonts w:asciiTheme="minorHAnsi" w:hAnsiTheme="minorHAnsi" w:cstheme="minorHAnsi"/>
          <w:i/>
          <w:sz w:val="22"/>
          <w:szCs w:val="22"/>
        </w:rPr>
      </w:pPr>
      <w:r w:rsidRPr="00C50E48">
        <w:rPr>
          <w:rFonts w:asciiTheme="minorHAnsi" w:hAnsiTheme="minorHAnsi" w:cstheme="minorHAnsi"/>
          <w:i/>
          <w:sz w:val="22"/>
          <w:szCs w:val="22"/>
        </w:rPr>
        <w:t>(</w:t>
      </w:r>
      <w:proofErr w:type="gramStart"/>
      <w:r w:rsidRPr="00C50E48">
        <w:rPr>
          <w:rFonts w:asciiTheme="minorHAnsi" w:hAnsiTheme="minorHAnsi" w:cstheme="minorHAnsi"/>
          <w:i/>
          <w:sz w:val="22"/>
          <w:szCs w:val="22"/>
        </w:rPr>
        <w:t>fb</w:t>
      </w:r>
      <w:proofErr w:type="gramEnd"/>
      <w:r w:rsidRPr="00C50E48">
        <w:rPr>
          <w:rFonts w:asciiTheme="minorHAnsi" w:hAnsiTheme="minorHAnsi" w:cstheme="minorHAnsi"/>
          <w:i/>
          <w:sz w:val="22"/>
          <w:szCs w:val="22"/>
        </w:rPr>
        <w:t xml:space="preserve">)  </w:t>
      </w:r>
      <w:r w:rsidRPr="00C50E48">
        <w:rPr>
          <w:rFonts w:asciiTheme="minorHAnsi" w:hAnsiTheme="minorHAnsi" w:cstheme="minorHAnsi"/>
          <w:i/>
          <w:sz w:val="22"/>
          <w:szCs w:val="22"/>
        </w:rPr>
        <w:tab/>
        <w:t>such other functions as are conferred on Comcare by the regulations;</w:t>
      </w:r>
    </w:p>
    <w:p w:rsidR="00C50E48" w:rsidRPr="00C50E48" w:rsidRDefault="00C50E48" w:rsidP="00C50E48">
      <w:pPr>
        <w:tabs>
          <w:tab w:val="left" w:pos="1418"/>
        </w:tabs>
        <w:spacing w:after="120"/>
        <w:ind w:left="1418" w:hanging="709"/>
        <w:rPr>
          <w:rFonts w:ascii="Calibri" w:hAnsi="Calibri" w:cs="Calibri"/>
          <w:sz w:val="22"/>
          <w:szCs w:val="22"/>
        </w:rPr>
      </w:pPr>
      <w:r w:rsidRPr="00C50E48">
        <w:rPr>
          <w:rFonts w:asciiTheme="minorHAnsi" w:hAnsiTheme="minorHAnsi" w:cstheme="minorHAnsi"/>
          <w:i/>
          <w:sz w:val="22"/>
          <w:szCs w:val="22"/>
        </w:rPr>
        <w:lastRenderedPageBreak/>
        <w:t xml:space="preserve">(g)  </w:t>
      </w:r>
      <w:r w:rsidRPr="00C50E48">
        <w:rPr>
          <w:rFonts w:asciiTheme="minorHAnsi" w:hAnsiTheme="minorHAnsi" w:cstheme="minorHAnsi"/>
          <w:i/>
          <w:sz w:val="22"/>
          <w:szCs w:val="22"/>
        </w:rPr>
        <w:tab/>
      </w:r>
      <w:proofErr w:type="gramStart"/>
      <w:r w:rsidRPr="00C50E48">
        <w:rPr>
          <w:rFonts w:asciiTheme="minorHAnsi" w:hAnsiTheme="minorHAnsi" w:cstheme="minorHAnsi"/>
          <w:i/>
          <w:sz w:val="22"/>
          <w:szCs w:val="22"/>
        </w:rPr>
        <w:t>such</w:t>
      </w:r>
      <w:proofErr w:type="gramEnd"/>
      <w:r w:rsidRPr="00C50E48">
        <w:rPr>
          <w:rFonts w:asciiTheme="minorHAnsi" w:hAnsiTheme="minorHAnsi" w:cstheme="minorHAnsi"/>
          <w:i/>
          <w:sz w:val="22"/>
          <w:szCs w:val="22"/>
        </w:rPr>
        <w:t xml:space="preserve"> other functions as are conferred on Comcare by any other Act.</w:t>
      </w:r>
    </w:p>
    <w:p w:rsidR="00C50E48" w:rsidRPr="00C50E48" w:rsidRDefault="001A4551" w:rsidP="00C50E48">
      <w:pPr>
        <w:numPr>
          <w:ilvl w:val="0"/>
          <w:numId w:val="3"/>
        </w:numPr>
        <w:spacing w:after="120"/>
        <w:ind w:left="709" w:hanging="709"/>
        <w:rPr>
          <w:rFonts w:ascii="Calibri" w:hAnsi="Calibri" w:cs="Calibri"/>
          <w:sz w:val="22"/>
          <w:szCs w:val="22"/>
        </w:rPr>
      </w:pPr>
      <w:r>
        <w:rPr>
          <w:rFonts w:ascii="Calibri" w:hAnsi="Calibri" w:cs="Calibri"/>
          <w:sz w:val="22"/>
          <w:szCs w:val="22"/>
        </w:rPr>
        <w:t>C</w:t>
      </w:r>
      <w:r w:rsidR="00C50E48" w:rsidRPr="00C50E48">
        <w:rPr>
          <w:rFonts w:ascii="Calibri" w:hAnsi="Calibri" w:cs="Calibri"/>
          <w:sz w:val="22"/>
          <w:szCs w:val="22"/>
        </w:rPr>
        <w:t>ommencement of the Commonwealth WHS Act</w:t>
      </w:r>
      <w:r>
        <w:rPr>
          <w:rFonts w:ascii="Calibri" w:hAnsi="Calibri" w:cs="Calibri"/>
          <w:sz w:val="22"/>
          <w:szCs w:val="22"/>
        </w:rPr>
        <w:t xml:space="preserve"> means that</w:t>
      </w:r>
      <w:r w:rsidRPr="00C50E48">
        <w:rPr>
          <w:rFonts w:ascii="Calibri" w:hAnsi="Calibri" w:cs="Calibri"/>
          <w:sz w:val="22"/>
          <w:szCs w:val="22"/>
        </w:rPr>
        <w:t xml:space="preserve"> </w:t>
      </w:r>
      <w:r w:rsidR="00C50E48" w:rsidRPr="00C50E48">
        <w:rPr>
          <w:rFonts w:ascii="Calibri" w:hAnsi="Calibri" w:cs="Calibri"/>
          <w:sz w:val="22"/>
          <w:szCs w:val="22"/>
        </w:rPr>
        <w:t>Comcare is now the sole regulator of work health and safety in the Comcare scheme.</w:t>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 xml:space="preserve">Comcare also manages the Commonwealth’s asbestos-related claims liabilities under the </w:t>
      </w:r>
      <w:r w:rsidRPr="00C50E48">
        <w:rPr>
          <w:rFonts w:ascii="Calibri" w:hAnsi="Calibri" w:cs="Calibri"/>
          <w:i/>
          <w:sz w:val="22"/>
          <w:szCs w:val="22"/>
        </w:rPr>
        <w:t>Asbestos-related Claims (Management of Commonwealth Liabilities) Act 2005</w:t>
      </w:r>
      <w:r w:rsidRPr="00C50E48">
        <w:rPr>
          <w:rFonts w:ascii="Calibri" w:hAnsi="Calibri" w:cs="Calibri"/>
          <w:sz w:val="22"/>
          <w:szCs w:val="22"/>
        </w:rPr>
        <w:t>.</w:t>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 xml:space="preserve">Comcare is a </w:t>
      </w:r>
      <w:r w:rsidRPr="00C50E48">
        <w:rPr>
          <w:rFonts w:ascii="Calibri" w:hAnsi="Calibri" w:cs="Calibri"/>
          <w:i/>
          <w:sz w:val="22"/>
          <w:szCs w:val="22"/>
        </w:rPr>
        <w:t>Commonwealth Authorities and Companies Act</w:t>
      </w:r>
      <w:r w:rsidRPr="00C50E48">
        <w:rPr>
          <w:rFonts w:ascii="Calibri" w:hAnsi="Calibri" w:cs="Calibri"/>
          <w:sz w:val="22"/>
          <w:szCs w:val="22"/>
        </w:rPr>
        <w:t xml:space="preserve"> </w:t>
      </w:r>
      <w:r w:rsidRPr="00C50E48">
        <w:rPr>
          <w:rFonts w:ascii="Calibri" w:hAnsi="Calibri" w:cs="Calibri"/>
          <w:i/>
          <w:sz w:val="22"/>
          <w:szCs w:val="22"/>
        </w:rPr>
        <w:t>1997</w:t>
      </w:r>
      <w:r w:rsidRPr="00C50E48">
        <w:rPr>
          <w:rFonts w:ascii="Calibri" w:hAnsi="Calibri" w:cs="Calibri"/>
          <w:sz w:val="22"/>
          <w:szCs w:val="22"/>
        </w:rPr>
        <w:t xml:space="preserve"> (CAC Act) body, the Chief Executive Officer being the sole director of Comcare for CAC Act purposes.</w:t>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Generally, each CAC Act body is:</w:t>
      </w:r>
    </w:p>
    <w:p w:rsidR="00C50E48" w:rsidRPr="00C50E48" w:rsidRDefault="00C50E48" w:rsidP="00C50E48">
      <w:pPr>
        <w:numPr>
          <w:ilvl w:val="1"/>
          <w:numId w:val="7"/>
        </w:numPr>
        <w:spacing w:after="120"/>
        <w:ind w:left="1134" w:hanging="425"/>
        <w:rPr>
          <w:rFonts w:ascii="Calibri" w:hAnsi="Calibri" w:cs="Calibri"/>
          <w:sz w:val="22"/>
          <w:szCs w:val="22"/>
        </w:rPr>
      </w:pPr>
      <w:r w:rsidRPr="00C50E48">
        <w:rPr>
          <w:rFonts w:ascii="Calibri" w:hAnsi="Calibri" w:cs="Calibri"/>
          <w:sz w:val="22"/>
          <w:szCs w:val="22"/>
        </w:rPr>
        <w:t>a statutory authority (a Commonwealth authority), or a company controlled by the Commonwealth (a Commonwealth company);</w:t>
      </w:r>
    </w:p>
    <w:p w:rsidR="00C50E48" w:rsidRPr="00C50E48" w:rsidRDefault="00C50E48" w:rsidP="00C50E48">
      <w:pPr>
        <w:numPr>
          <w:ilvl w:val="1"/>
          <w:numId w:val="7"/>
        </w:numPr>
        <w:spacing w:after="120"/>
        <w:ind w:left="1134" w:hanging="425"/>
        <w:rPr>
          <w:rFonts w:ascii="Calibri" w:hAnsi="Calibri" w:cs="Calibri"/>
          <w:sz w:val="22"/>
          <w:szCs w:val="22"/>
        </w:rPr>
      </w:pPr>
      <w:r w:rsidRPr="00C50E48">
        <w:rPr>
          <w:rFonts w:ascii="Calibri" w:hAnsi="Calibri" w:cs="Calibri"/>
          <w:sz w:val="22"/>
          <w:szCs w:val="22"/>
        </w:rPr>
        <w:t>established for a public purpose that holds money on its own account;</w:t>
      </w:r>
    </w:p>
    <w:p w:rsidR="00C50E48" w:rsidRPr="00C50E48" w:rsidRDefault="00C50E48" w:rsidP="00C50E48">
      <w:pPr>
        <w:numPr>
          <w:ilvl w:val="1"/>
          <w:numId w:val="7"/>
        </w:numPr>
        <w:spacing w:after="120"/>
        <w:ind w:left="1134" w:hanging="425"/>
        <w:rPr>
          <w:rFonts w:ascii="Calibri" w:hAnsi="Calibri" w:cs="Calibri"/>
          <w:sz w:val="22"/>
          <w:szCs w:val="22"/>
        </w:rPr>
      </w:pPr>
      <w:r w:rsidRPr="00C50E48">
        <w:rPr>
          <w:rFonts w:ascii="Calibri" w:hAnsi="Calibri" w:cs="Calibri"/>
          <w:sz w:val="22"/>
          <w:szCs w:val="22"/>
        </w:rPr>
        <w:t>in most cases, governed by a board of directors;</w:t>
      </w:r>
    </w:p>
    <w:p w:rsidR="00C50E48" w:rsidRPr="00C50E48" w:rsidRDefault="00C50E48" w:rsidP="00C50E48">
      <w:pPr>
        <w:numPr>
          <w:ilvl w:val="1"/>
          <w:numId w:val="7"/>
        </w:numPr>
        <w:spacing w:after="120"/>
        <w:ind w:left="1134" w:hanging="425"/>
        <w:rPr>
          <w:rFonts w:ascii="Calibri" w:hAnsi="Calibri" w:cs="Calibri"/>
          <w:sz w:val="22"/>
          <w:szCs w:val="22"/>
        </w:rPr>
      </w:pPr>
      <w:r w:rsidRPr="00C50E48">
        <w:rPr>
          <w:rFonts w:ascii="Calibri" w:hAnsi="Calibri" w:cs="Calibri"/>
          <w:sz w:val="22"/>
          <w:szCs w:val="22"/>
        </w:rPr>
        <w:t>legally financially separate from the Commonwealth; and</w:t>
      </w:r>
    </w:p>
    <w:p w:rsidR="00C50E48" w:rsidRPr="00C50E48" w:rsidRDefault="00C50E48" w:rsidP="00C50E48">
      <w:pPr>
        <w:numPr>
          <w:ilvl w:val="1"/>
          <w:numId w:val="7"/>
        </w:numPr>
        <w:spacing w:after="120"/>
        <w:ind w:left="1134" w:hanging="425"/>
        <w:rPr>
          <w:rFonts w:ascii="Calibri" w:hAnsi="Calibri" w:cs="Calibri"/>
          <w:sz w:val="22"/>
          <w:szCs w:val="22"/>
        </w:rPr>
      </w:pPr>
      <w:proofErr w:type="gramStart"/>
      <w:r w:rsidRPr="00C50E48">
        <w:rPr>
          <w:rFonts w:ascii="Calibri" w:hAnsi="Calibri" w:cs="Calibri"/>
          <w:sz w:val="22"/>
          <w:szCs w:val="22"/>
        </w:rPr>
        <w:t>subject</w:t>
      </w:r>
      <w:proofErr w:type="gramEnd"/>
      <w:r w:rsidRPr="00C50E48">
        <w:rPr>
          <w:rFonts w:ascii="Calibri" w:hAnsi="Calibri" w:cs="Calibri"/>
          <w:sz w:val="22"/>
          <w:szCs w:val="22"/>
        </w:rPr>
        <w:t xml:space="preserve"> to a range of directors’ duties.</w:t>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 xml:space="preserve">Comcare employs its staff under the </w:t>
      </w:r>
      <w:r w:rsidRPr="00C50E48">
        <w:rPr>
          <w:rFonts w:ascii="Calibri" w:hAnsi="Calibri" w:cs="Calibri"/>
          <w:i/>
          <w:sz w:val="22"/>
          <w:szCs w:val="22"/>
        </w:rPr>
        <w:t>Public Service Act 1999</w:t>
      </w:r>
      <w:r w:rsidRPr="00C50E48">
        <w:rPr>
          <w:rFonts w:ascii="Calibri" w:hAnsi="Calibri" w:cs="Calibri"/>
          <w:sz w:val="22"/>
          <w:szCs w:val="22"/>
        </w:rPr>
        <w:t>, is a material entity (</w:t>
      </w:r>
      <w:r w:rsidRPr="00C50E48">
        <w:rPr>
          <w:rFonts w:ascii="Calibri" w:eastAsiaTheme="minorHAnsi" w:hAnsi="Calibri" w:cs="Calibri"/>
          <w:color w:val="000000"/>
          <w:sz w:val="22"/>
          <w:szCs w:val="22"/>
        </w:rPr>
        <w:t>comprising 99 per cent of revenues, expenses, assets and liabilities), and is one of three Commonwealth authorities that has</w:t>
      </w:r>
      <w:r w:rsidRPr="00C50E48">
        <w:rPr>
          <w:rFonts w:ascii="Calibri" w:hAnsi="Calibri" w:cs="Calibri"/>
          <w:sz w:val="22"/>
          <w:szCs w:val="22"/>
        </w:rPr>
        <w:t xml:space="preserve"> a single director at its apex, rather than a multi-member board.</w:t>
      </w:r>
      <w:r w:rsidRPr="00C50E48">
        <w:rPr>
          <w:rFonts w:ascii="Calibri" w:hAnsi="Calibri" w:cs="Calibri"/>
          <w:sz w:val="22"/>
          <w:szCs w:val="22"/>
          <w:vertAlign w:val="superscript"/>
        </w:rPr>
        <w:footnoteReference w:id="11"/>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Comcare’s 2010-2015 Strategic Plan focuses on three main inter-related outcomes:</w:t>
      </w:r>
    </w:p>
    <w:p w:rsidR="00C50E48" w:rsidRPr="00C50E48" w:rsidRDefault="00C50E48" w:rsidP="00C50E48">
      <w:pPr>
        <w:numPr>
          <w:ilvl w:val="1"/>
          <w:numId w:val="8"/>
        </w:numPr>
        <w:spacing w:after="120"/>
        <w:ind w:left="1134" w:hanging="425"/>
        <w:rPr>
          <w:rFonts w:ascii="Calibri" w:hAnsi="Calibri" w:cs="Calibri"/>
          <w:sz w:val="22"/>
          <w:szCs w:val="22"/>
        </w:rPr>
      </w:pPr>
      <w:r w:rsidRPr="00C50E48">
        <w:rPr>
          <w:rFonts w:ascii="Calibri" w:hAnsi="Calibri" w:cs="Calibri"/>
          <w:sz w:val="22"/>
          <w:szCs w:val="22"/>
        </w:rPr>
        <w:t>keeping workers healthy and safe at work (healthy at work, safe at work);</w:t>
      </w:r>
    </w:p>
    <w:p w:rsidR="00C50E48" w:rsidRPr="00C50E48" w:rsidRDefault="00C50E48" w:rsidP="00C50E48">
      <w:pPr>
        <w:numPr>
          <w:ilvl w:val="1"/>
          <w:numId w:val="8"/>
        </w:numPr>
        <w:spacing w:after="120"/>
        <w:ind w:left="1134" w:hanging="425"/>
        <w:rPr>
          <w:rFonts w:ascii="Calibri" w:hAnsi="Calibri" w:cs="Calibri"/>
          <w:sz w:val="22"/>
          <w:szCs w:val="22"/>
        </w:rPr>
      </w:pPr>
      <w:r w:rsidRPr="00C50E48">
        <w:rPr>
          <w:rFonts w:ascii="Calibri" w:hAnsi="Calibri" w:cs="Calibri"/>
          <w:sz w:val="22"/>
          <w:szCs w:val="22"/>
        </w:rPr>
        <w:t>supporting workers when they are injured (back at work); and</w:t>
      </w:r>
    </w:p>
    <w:p w:rsidR="00C50E48" w:rsidRPr="00C50E48" w:rsidRDefault="00C50E48" w:rsidP="00C50E48">
      <w:pPr>
        <w:numPr>
          <w:ilvl w:val="1"/>
          <w:numId w:val="8"/>
        </w:numPr>
        <w:spacing w:after="120"/>
        <w:ind w:left="1134" w:hanging="425"/>
        <w:rPr>
          <w:rFonts w:ascii="Calibri" w:hAnsi="Calibri" w:cs="Calibri"/>
          <w:sz w:val="22"/>
          <w:szCs w:val="22"/>
        </w:rPr>
      </w:pPr>
      <w:proofErr w:type="gramStart"/>
      <w:r w:rsidRPr="00C50E48">
        <w:rPr>
          <w:rFonts w:ascii="Calibri" w:hAnsi="Calibri" w:cs="Calibri"/>
          <w:sz w:val="22"/>
          <w:szCs w:val="22"/>
        </w:rPr>
        <w:t>ensuring</w:t>
      </w:r>
      <w:proofErr w:type="gramEnd"/>
      <w:r w:rsidRPr="00C50E48">
        <w:rPr>
          <w:rFonts w:ascii="Calibri" w:hAnsi="Calibri" w:cs="Calibri"/>
          <w:sz w:val="22"/>
          <w:szCs w:val="22"/>
        </w:rPr>
        <w:t xml:space="preserve"> a sustainable and high performing Comcare (scheme at work).</w:t>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In seeking to achieve these objectives, Comcare focuses on three key themes:</w:t>
      </w:r>
    </w:p>
    <w:p w:rsidR="00C50E48" w:rsidRPr="00C50E48" w:rsidRDefault="006E236C" w:rsidP="00C50E48">
      <w:pPr>
        <w:numPr>
          <w:ilvl w:val="1"/>
          <w:numId w:val="9"/>
        </w:numPr>
        <w:spacing w:after="120"/>
        <w:ind w:left="1134" w:hanging="425"/>
        <w:rPr>
          <w:rFonts w:ascii="Calibri" w:hAnsi="Calibri" w:cs="Calibri"/>
          <w:sz w:val="22"/>
          <w:szCs w:val="22"/>
        </w:rPr>
      </w:pPr>
      <w:r w:rsidRPr="006E236C">
        <w:rPr>
          <w:rFonts w:ascii="Calibri" w:hAnsi="Calibri" w:cs="Calibri"/>
          <w:sz w:val="22"/>
          <w:szCs w:val="22"/>
        </w:rPr>
        <w:t>innovation</w:t>
      </w:r>
      <w:r w:rsidR="00C50E48" w:rsidRPr="00C50E48">
        <w:rPr>
          <w:rFonts w:ascii="Calibri" w:hAnsi="Calibri" w:cs="Calibri"/>
          <w:sz w:val="22"/>
          <w:szCs w:val="22"/>
        </w:rPr>
        <w:t xml:space="preserve"> – providing new services and support for workers;</w:t>
      </w:r>
    </w:p>
    <w:p w:rsidR="00C50E48" w:rsidRPr="00C50E48" w:rsidRDefault="006E236C" w:rsidP="00C50E48">
      <w:pPr>
        <w:numPr>
          <w:ilvl w:val="1"/>
          <w:numId w:val="9"/>
        </w:numPr>
        <w:spacing w:after="120"/>
        <w:ind w:left="1134" w:hanging="425"/>
        <w:rPr>
          <w:rFonts w:ascii="Calibri" w:hAnsi="Calibri" w:cs="Calibri"/>
          <w:sz w:val="22"/>
          <w:szCs w:val="22"/>
        </w:rPr>
      </w:pPr>
      <w:r w:rsidRPr="006E236C">
        <w:rPr>
          <w:rFonts w:ascii="Calibri" w:hAnsi="Calibri" w:cs="Calibri"/>
          <w:sz w:val="22"/>
          <w:szCs w:val="22"/>
        </w:rPr>
        <w:t>collaboration</w:t>
      </w:r>
      <w:r w:rsidR="00C50E48" w:rsidRPr="00C50E48">
        <w:rPr>
          <w:rFonts w:ascii="Calibri" w:hAnsi="Calibri" w:cs="Calibri"/>
          <w:sz w:val="22"/>
          <w:szCs w:val="22"/>
        </w:rPr>
        <w:t xml:space="preserve"> –  initiatives partnering with stakeholders, business and governments; and</w:t>
      </w:r>
    </w:p>
    <w:p w:rsidR="00C50E48" w:rsidRPr="00C50E48" w:rsidRDefault="006E236C" w:rsidP="00C50E48">
      <w:pPr>
        <w:numPr>
          <w:ilvl w:val="1"/>
          <w:numId w:val="9"/>
        </w:numPr>
        <w:spacing w:after="120"/>
        <w:ind w:left="1134" w:hanging="425"/>
        <w:rPr>
          <w:rFonts w:ascii="Calibri" w:hAnsi="Calibri" w:cs="Calibri"/>
          <w:sz w:val="22"/>
          <w:szCs w:val="22"/>
        </w:rPr>
      </w:pPr>
      <w:proofErr w:type="gramStart"/>
      <w:r w:rsidRPr="006E236C">
        <w:rPr>
          <w:rFonts w:ascii="Calibri" w:hAnsi="Calibri" w:cs="Calibri"/>
          <w:sz w:val="22"/>
          <w:szCs w:val="22"/>
        </w:rPr>
        <w:t>impact</w:t>
      </w:r>
      <w:proofErr w:type="gramEnd"/>
      <w:r w:rsidR="00C50E48" w:rsidRPr="00C50E48">
        <w:rPr>
          <w:rFonts w:ascii="Calibri" w:hAnsi="Calibri" w:cs="Calibri"/>
          <w:sz w:val="22"/>
          <w:szCs w:val="22"/>
        </w:rPr>
        <w:t xml:space="preserve"> – improved, efficient business practices, capacity and capability to deliver better services.</w:t>
      </w:r>
    </w:p>
    <w:p w:rsidR="00C50E48" w:rsidRPr="00CA434F" w:rsidRDefault="00C50E48" w:rsidP="00C50E48">
      <w:pPr>
        <w:keepNext/>
        <w:keepLines/>
        <w:spacing w:before="100" w:beforeAutospacing="1" w:after="100" w:afterAutospacing="1"/>
        <w:outlineLvl w:val="2"/>
        <w:rPr>
          <w:rFonts w:ascii="Arial" w:eastAsiaTheme="majorEastAsia" w:hAnsi="Arial" w:cstheme="majorBidi"/>
          <w:bCs/>
          <w:iCs/>
          <w:caps/>
          <w:color w:val="1F497D" w:themeColor="text2"/>
          <w:kern w:val="36"/>
          <w:sz w:val="28"/>
          <w:szCs w:val="28"/>
        </w:rPr>
      </w:pPr>
      <w:bookmarkStart w:id="270" w:name="_Toc341777935"/>
      <w:bookmarkStart w:id="271" w:name="_Toc342578303"/>
      <w:r w:rsidRPr="00CA434F">
        <w:rPr>
          <w:rFonts w:ascii="Arial" w:eastAsiaTheme="majorEastAsia" w:hAnsi="Arial" w:cstheme="majorBidi"/>
          <w:bCs/>
          <w:iCs/>
          <w:caps/>
          <w:color w:val="1F497D" w:themeColor="text2"/>
          <w:kern w:val="36"/>
          <w:sz w:val="28"/>
          <w:szCs w:val="28"/>
        </w:rPr>
        <w:t>Department of Veterans’ Affairs (DVA)</w:t>
      </w:r>
      <w:bookmarkEnd w:id="270"/>
      <w:bookmarkEnd w:id="271"/>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As noted above, the DVA manages claims made under the SRC Act by ADF members for work related injuries sustained up to 30 June 2004.</w:t>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 xml:space="preserve">Claims for injuries suffered by members of the ADF from 1 July 2004 are covered by the </w:t>
      </w:r>
      <w:r w:rsidRPr="00C50E48">
        <w:rPr>
          <w:rFonts w:ascii="Calibri" w:hAnsi="Calibri" w:cs="Calibri"/>
          <w:i/>
          <w:sz w:val="22"/>
          <w:szCs w:val="22"/>
        </w:rPr>
        <w:t>Military Rehabilitation and Compensation Act</w:t>
      </w:r>
      <w:r w:rsidRPr="00C50E48">
        <w:rPr>
          <w:rFonts w:ascii="Calibri" w:hAnsi="Calibri" w:cs="Calibri"/>
          <w:sz w:val="22"/>
          <w:szCs w:val="22"/>
        </w:rPr>
        <w:t xml:space="preserve"> </w:t>
      </w:r>
      <w:r w:rsidRPr="00C50E48">
        <w:rPr>
          <w:rFonts w:ascii="Calibri" w:hAnsi="Calibri" w:cs="Calibri"/>
          <w:i/>
          <w:sz w:val="22"/>
          <w:szCs w:val="22"/>
        </w:rPr>
        <w:t>2004</w:t>
      </w:r>
      <w:r w:rsidRPr="00C50E48">
        <w:rPr>
          <w:rFonts w:ascii="Calibri" w:hAnsi="Calibri" w:cs="Calibri"/>
          <w:sz w:val="22"/>
          <w:szCs w:val="22"/>
        </w:rPr>
        <w:t xml:space="preserve"> (MRCA).</w:t>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 xml:space="preserve">The Military Rehabilitation and Compensation Commission (MRCC) </w:t>
      </w:r>
      <w:proofErr w:type="gramStart"/>
      <w:r w:rsidRPr="00C50E48">
        <w:rPr>
          <w:rFonts w:ascii="Calibri" w:hAnsi="Calibri" w:cs="Calibri"/>
          <w:sz w:val="22"/>
          <w:szCs w:val="22"/>
        </w:rPr>
        <w:t>is</w:t>
      </w:r>
      <w:proofErr w:type="gramEnd"/>
      <w:r w:rsidRPr="00C50E48">
        <w:rPr>
          <w:rFonts w:ascii="Calibri" w:hAnsi="Calibri" w:cs="Calibri"/>
          <w:sz w:val="22"/>
          <w:szCs w:val="22"/>
        </w:rPr>
        <w:t xml:space="preserve"> responsible for claims relating to ADF members, managed by the DVA under both the SRC Act and MRCA.</w:t>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lastRenderedPageBreak/>
        <w:t xml:space="preserve">The cost of SRC Act claims managed </w:t>
      </w:r>
      <w:r w:rsidR="00173FC9" w:rsidRPr="00C50E48">
        <w:rPr>
          <w:rFonts w:ascii="Calibri" w:hAnsi="Calibri" w:cs="Calibri"/>
          <w:sz w:val="22"/>
          <w:szCs w:val="22"/>
        </w:rPr>
        <w:t>by DVA</w:t>
      </w:r>
      <w:r w:rsidRPr="00C50E48">
        <w:rPr>
          <w:rFonts w:ascii="Calibri" w:hAnsi="Calibri" w:cs="Calibri"/>
          <w:sz w:val="22"/>
          <w:szCs w:val="22"/>
        </w:rPr>
        <w:t xml:space="preserve"> on behalf of the MRCC is not part of the Comcare premium scheme’s liability. Section 160 of the SRC Act provides for Consolidated Revenue Fund (CRF) appropriations </w:t>
      </w:r>
      <w:r w:rsidRPr="003678BA">
        <w:rPr>
          <w:rFonts w:ascii="Calibri" w:hAnsi="Calibri" w:cs="Calibri"/>
          <w:i/>
          <w:sz w:val="22"/>
          <w:szCs w:val="22"/>
        </w:rPr>
        <w:t>“... for the purposes of paying compensation and other amounts payable in relation to defence service under this Act”.</w:t>
      </w:r>
      <w:r w:rsidRPr="00C50E48">
        <w:rPr>
          <w:rFonts w:ascii="Calibri" w:hAnsi="Calibri" w:cs="Calibri"/>
          <w:sz w:val="22"/>
          <w:szCs w:val="22"/>
        </w:rPr>
        <w:t xml:space="preserve"> DVA maintains a liability provision in respect of the future SRC Act claims it manages. This liability is reassessed each year by the Australian Government Actuary and DVA makes an annual adjustment to the liability provision based on the actuarial report.</w:t>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 xml:space="preserve">The SRC Act states that as part of its functions relating to the management of defence-related claims, the MRCC is to maintain contact with the SRCC </w:t>
      </w:r>
      <w:r w:rsidRPr="00C50E48">
        <w:rPr>
          <w:rFonts w:ascii="Calibri" w:hAnsi="Calibri" w:cs="Calibri"/>
          <w:i/>
          <w:sz w:val="22"/>
          <w:szCs w:val="22"/>
        </w:rPr>
        <w:t>“... and with Comcare to ensure that as far as practicable, there is equity of outcomes resulting from administrative practices and procedures used by Comcare and the MRCC in the performance of their respective functions”</w:t>
      </w:r>
      <w:r w:rsidR="001A4551">
        <w:rPr>
          <w:rFonts w:ascii="Calibri" w:hAnsi="Calibri" w:cs="Calibri"/>
          <w:sz w:val="22"/>
          <w:szCs w:val="22"/>
        </w:rPr>
        <w:t>.</w:t>
      </w:r>
      <w:r w:rsidRPr="00C50E48">
        <w:rPr>
          <w:rFonts w:ascii="Calibri" w:hAnsi="Calibri" w:cs="Calibri"/>
          <w:i/>
          <w:sz w:val="22"/>
          <w:szCs w:val="22"/>
          <w:vertAlign w:val="superscript"/>
        </w:rPr>
        <w:footnoteReference w:id="12"/>
      </w:r>
    </w:p>
    <w:p w:rsidR="00AA23EF" w:rsidRPr="008503CC" w:rsidRDefault="002E5F18" w:rsidP="00AA23EF">
      <w:pPr>
        <w:pStyle w:val="HawkeReviewbody"/>
        <w:numPr>
          <w:ilvl w:val="0"/>
          <w:numId w:val="3"/>
        </w:numPr>
        <w:spacing w:before="0" w:beforeAutospacing="0" w:after="120" w:line="240" w:lineRule="auto"/>
        <w:ind w:left="709" w:hanging="709"/>
        <w:rPr>
          <w:rFonts w:ascii="Calibri" w:hAnsi="Calibri" w:cs="Calibri"/>
          <w:sz w:val="22"/>
          <w:szCs w:val="22"/>
        </w:rPr>
      </w:pPr>
      <w:r>
        <w:rPr>
          <w:rFonts w:ascii="Calibri" w:hAnsi="Calibri" w:cs="Calibri"/>
          <w:sz w:val="22"/>
          <w:szCs w:val="22"/>
        </w:rPr>
        <w:t>Section 89E(1) was amended by</w:t>
      </w:r>
      <w:r w:rsidR="00AA23EF" w:rsidRPr="008503CC">
        <w:rPr>
          <w:rFonts w:ascii="Calibri" w:hAnsi="Calibri" w:cs="Calibri"/>
          <w:sz w:val="22"/>
          <w:szCs w:val="22"/>
        </w:rPr>
        <w:t xml:space="preserve"> the Work Health and Safety (Transitional and Consequential Provisions) Act 2011</w:t>
      </w:r>
      <w:r w:rsidR="001A4551">
        <w:rPr>
          <w:rFonts w:ascii="Calibri" w:hAnsi="Calibri" w:cs="Calibri"/>
          <w:sz w:val="22"/>
          <w:szCs w:val="22"/>
        </w:rPr>
        <w:t xml:space="preserve"> </w:t>
      </w:r>
      <w:r>
        <w:rPr>
          <w:rFonts w:ascii="Calibri" w:hAnsi="Calibri" w:cs="Calibri"/>
          <w:sz w:val="22"/>
          <w:szCs w:val="22"/>
        </w:rPr>
        <w:t>which</w:t>
      </w:r>
      <w:r w:rsidR="00AA23EF">
        <w:rPr>
          <w:rFonts w:ascii="Calibri" w:hAnsi="Calibri" w:cs="Calibri"/>
          <w:sz w:val="22"/>
          <w:szCs w:val="22"/>
        </w:rPr>
        <w:t xml:space="preserve"> meant that</w:t>
      </w:r>
      <w:r w:rsidR="009568BB">
        <w:rPr>
          <w:rFonts w:ascii="Calibri" w:hAnsi="Calibri" w:cs="Calibri"/>
          <w:sz w:val="22"/>
          <w:szCs w:val="22"/>
        </w:rPr>
        <w:t xml:space="preserve"> from</w:t>
      </w:r>
      <w:r w:rsidR="00AA23EF">
        <w:rPr>
          <w:rFonts w:ascii="Calibri" w:hAnsi="Calibri" w:cs="Calibri"/>
          <w:sz w:val="22"/>
          <w:szCs w:val="22"/>
        </w:rPr>
        <w:t xml:space="preserve"> </w:t>
      </w:r>
      <w:r w:rsidR="00AA23EF" w:rsidRPr="008503CC">
        <w:rPr>
          <w:rFonts w:ascii="Calibri" w:hAnsi="Calibri" w:cs="Calibri"/>
          <w:sz w:val="22"/>
          <w:szCs w:val="22"/>
        </w:rPr>
        <w:t>1 Jan</w:t>
      </w:r>
      <w:r w:rsidR="00AA23EF" w:rsidRPr="00926923">
        <w:rPr>
          <w:rFonts w:ascii="Calibri" w:hAnsi="Calibri" w:cs="Calibri"/>
          <w:sz w:val="22"/>
          <w:szCs w:val="22"/>
        </w:rPr>
        <w:t xml:space="preserve">uary 2012 the CEO of Comcare </w:t>
      </w:r>
      <w:r w:rsidR="00AA23EF">
        <w:rPr>
          <w:rFonts w:ascii="Calibri" w:hAnsi="Calibri" w:cs="Calibri"/>
          <w:sz w:val="22"/>
          <w:szCs w:val="22"/>
        </w:rPr>
        <w:t xml:space="preserve">was </w:t>
      </w:r>
      <w:r w:rsidR="00AA23EF" w:rsidRPr="008503CC">
        <w:rPr>
          <w:rFonts w:ascii="Calibri" w:hAnsi="Calibri" w:cs="Calibri"/>
          <w:sz w:val="22"/>
          <w:szCs w:val="22"/>
        </w:rPr>
        <w:t>no longer a member of the SRCC.</w:t>
      </w:r>
    </w:p>
    <w:p w:rsidR="00AA23EF" w:rsidRPr="008503CC" w:rsidRDefault="001A4551" w:rsidP="00AA23EF">
      <w:pPr>
        <w:pStyle w:val="HawkeReviewbody"/>
        <w:numPr>
          <w:ilvl w:val="0"/>
          <w:numId w:val="3"/>
        </w:numPr>
        <w:spacing w:before="0" w:beforeAutospacing="0" w:after="120" w:line="240" w:lineRule="auto"/>
        <w:ind w:left="709" w:hanging="709"/>
        <w:rPr>
          <w:rFonts w:ascii="Calibri" w:hAnsi="Calibri" w:cs="Calibri"/>
          <w:sz w:val="22"/>
          <w:szCs w:val="22"/>
        </w:rPr>
      </w:pPr>
      <w:r>
        <w:rPr>
          <w:rFonts w:ascii="Calibri" w:hAnsi="Calibri" w:cs="Calibri"/>
          <w:sz w:val="22"/>
          <w:szCs w:val="22"/>
        </w:rPr>
        <w:t>R</w:t>
      </w:r>
      <w:r w:rsidR="00AA23EF" w:rsidRPr="008503CC">
        <w:rPr>
          <w:rFonts w:ascii="Calibri" w:hAnsi="Calibri" w:cs="Calibri"/>
          <w:sz w:val="22"/>
          <w:szCs w:val="22"/>
        </w:rPr>
        <w:t xml:space="preserve">emoval of the CEO of Comcare </w:t>
      </w:r>
      <w:r>
        <w:rPr>
          <w:rFonts w:ascii="Calibri" w:hAnsi="Calibri" w:cs="Calibri"/>
          <w:sz w:val="22"/>
          <w:szCs w:val="22"/>
        </w:rPr>
        <w:t>as a</w:t>
      </w:r>
      <w:r w:rsidR="00AA23EF" w:rsidRPr="008503CC">
        <w:rPr>
          <w:rFonts w:ascii="Calibri" w:hAnsi="Calibri" w:cs="Calibri"/>
          <w:sz w:val="22"/>
          <w:szCs w:val="22"/>
        </w:rPr>
        <w:t xml:space="preserve"> member of the SRCC was made at the suggestion of the current Comcare CEO in order to improve the governance arrangements of the SRCC and Comcare. </w:t>
      </w:r>
      <w:r w:rsidR="00AA23EF">
        <w:rPr>
          <w:rFonts w:ascii="Calibri" w:hAnsi="Calibri" w:cs="Calibri"/>
          <w:sz w:val="22"/>
          <w:szCs w:val="22"/>
        </w:rPr>
        <w:t xml:space="preserve">Specifically, the </w:t>
      </w:r>
      <w:r w:rsidR="00AA23EF" w:rsidRPr="008503CC">
        <w:rPr>
          <w:rFonts w:ascii="Calibri" w:hAnsi="Calibri" w:cs="Calibri"/>
          <w:sz w:val="22"/>
          <w:szCs w:val="22"/>
        </w:rPr>
        <w:t xml:space="preserve">CEO had noted that as a </w:t>
      </w:r>
      <w:r w:rsidR="00AA23EF">
        <w:rPr>
          <w:rFonts w:ascii="Calibri" w:hAnsi="Calibri" w:cs="Calibri"/>
          <w:sz w:val="22"/>
          <w:szCs w:val="22"/>
        </w:rPr>
        <w:t>m</w:t>
      </w:r>
      <w:r w:rsidR="00AA23EF" w:rsidRPr="008503CC">
        <w:rPr>
          <w:rFonts w:ascii="Calibri" w:hAnsi="Calibri" w:cs="Calibri"/>
          <w:sz w:val="22"/>
          <w:szCs w:val="22"/>
        </w:rPr>
        <w:t xml:space="preserve">ember of the SRCC he was in the difficult position of being responsible for consultation and oversight of his statutory functions as the sole Director </w:t>
      </w:r>
      <w:r w:rsidR="009568BB">
        <w:rPr>
          <w:rFonts w:ascii="Calibri" w:hAnsi="Calibri" w:cs="Calibri"/>
          <w:sz w:val="22"/>
          <w:szCs w:val="22"/>
        </w:rPr>
        <w:t>of</w:t>
      </w:r>
      <w:r w:rsidR="00AA23EF" w:rsidRPr="008503CC">
        <w:rPr>
          <w:rFonts w:ascii="Calibri" w:hAnsi="Calibri" w:cs="Calibri"/>
          <w:sz w:val="22"/>
          <w:szCs w:val="22"/>
        </w:rPr>
        <w:t xml:space="preserve"> Comcare.</w:t>
      </w:r>
    </w:p>
    <w:p w:rsidR="00C50E48" w:rsidRPr="00AA23EF" w:rsidRDefault="001A4551" w:rsidP="002F783E">
      <w:pPr>
        <w:numPr>
          <w:ilvl w:val="0"/>
          <w:numId w:val="3"/>
        </w:numPr>
        <w:spacing w:after="120"/>
        <w:ind w:left="709" w:hanging="709"/>
        <w:rPr>
          <w:rFonts w:ascii="Calibri" w:hAnsi="Calibri" w:cs="Calibri"/>
          <w:sz w:val="22"/>
          <w:szCs w:val="22"/>
        </w:rPr>
      </w:pPr>
      <w:r>
        <w:rPr>
          <w:rFonts w:ascii="Calibri" w:hAnsi="Calibri" w:cs="Calibri"/>
          <w:sz w:val="22"/>
          <w:szCs w:val="22"/>
        </w:rPr>
        <w:t>R</w:t>
      </w:r>
      <w:r w:rsidR="00AA23EF">
        <w:rPr>
          <w:rFonts w:ascii="Calibri" w:hAnsi="Calibri" w:cs="Calibri"/>
          <w:sz w:val="22"/>
          <w:szCs w:val="22"/>
        </w:rPr>
        <w:t xml:space="preserve">emoval of the </w:t>
      </w:r>
      <w:r w:rsidR="00AA23EF" w:rsidRPr="008503CC">
        <w:rPr>
          <w:rFonts w:ascii="Calibri" w:hAnsi="Calibri" w:cs="Calibri"/>
          <w:sz w:val="22"/>
          <w:szCs w:val="22"/>
        </w:rPr>
        <w:t xml:space="preserve">CEO of Comcare </w:t>
      </w:r>
      <w:r w:rsidR="00AA23EF">
        <w:rPr>
          <w:rFonts w:ascii="Calibri" w:hAnsi="Calibri" w:cs="Calibri"/>
          <w:sz w:val="22"/>
          <w:szCs w:val="22"/>
        </w:rPr>
        <w:t xml:space="preserve">as a member of the SRCC has had the unintended consequence of also making the CEO of Comcare ineligible to be a member of the MRCC. </w:t>
      </w:r>
      <w:r w:rsidR="00F11853">
        <w:rPr>
          <w:rFonts w:ascii="Calibri" w:hAnsi="Calibri" w:cs="Calibri"/>
          <w:sz w:val="22"/>
          <w:szCs w:val="22"/>
        </w:rPr>
        <w:t>This has created a gap in access to Comcare and whole-of-government perspectives of workers’ compensation and WHS matters for the MRCC.  The MRCC have indicated that Comcare’s participation in MRCC would be beneficial.</w:t>
      </w:r>
    </w:p>
    <w:p w:rsidR="002555F4" w:rsidRPr="00986338" w:rsidRDefault="001A4551" w:rsidP="0035663E">
      <w:pPr>
        <w:numPr>
          <w:ilvl w:val="0"/>
          <w:numId w:val="3"/>
        </w:numPr>
        <w:spacing w:after="120"/>
        <w:ind w:left="709" w:hanging="709"/>
        <w:rPr>
          <w:rFonts w:ascii="Calibri" w:hAnsi="Calibri" w:cs="Calibri"/>
          <w:sz w:val="22"/>
          <w:szCs w:val="22"/>
        </w:rPr>
      </w:pPr>
      <w:r>
        <w:rPr>
          <w:rFonts w:ascii="Calibri" w:hAnsi="Calibri" w:cs="Calibri"/>
          <w:sz w:val="22"/>
          <w:szCs w:val="22"/>
        </w:rPr>
        <w:t>T</w:t>
      </w:r>
      <w:r w:rsidR="00C50E48" w:rsidRPr="00C50E48">
        <w:rPr>
          <w:rFonts w:ascii="Calibri" w:hAnsi="Calibri" w:cs="Calibri"/>
          <w:sz w:val="22"/>
          <w:szCs w:val="22"/>
        </w:rPr>
        <w:t xml:space="preserve">he Government response to the Review </w:t>
      </w:r>
      <w:r w:rsidR="0030057C">
        <w:rPr>
          <w:rFonts w:ascii="Calibri" w:hAnsi="Calibri" w:cs="Calibri"/>
          <w:sz w:val="22"/>
          <w:szCs w:val="22"/>
        </w:rPr>
        <w:t>o</w:t>
      </w:r>
      <w:r w:rsidR="00C50E48" w:rsidRPr="00C50E48">
        <w:rPr>
          <w:rFonts w:ascii="Calibri" w:hAnsi="Calibri" w:cs="Calibri"/>
          <w:sz w:val="22"/>
          <w:szCs w:val="22"/>
        </w:rPr>
        <w:t>f Military Compensation Arrangements, which was delivered in May 2012, accepted that review’s recommendation (18.4); that “</w:t>
      </w:r>
      <w:r w:rsidR="00573B66" w:rsidRPr="00573B66">
        <w:rPr>
          <w:rFonts w:ascii="Calibri" w:hAnsi="Calibri" w:cs="Calibri"/>
          <w:i/>
          <w:sz w:val="22"/>
          <w:szCs w:val="22"/>
        </w:rPr>
        <w:t>The Government consider expanding the membership of the MRCC by including a second member nominated by the Minister for Defence from the Department of Defence or the ADF</w:t>
      </w:r>
      <w:r w:rsidR="00C50E48" w:rsidRPr="00C50E48">
        <w:rPr>
          <w:rFonts w:ascii="Calibri" w:hAnsi="Calibri" w:cs="Calibri"/>
          <w:sz w:val="22"/>
          <w:szCs w:val="22"/>
        </w:rPr>
        <w:t>”</w:t>
      </w:r>
      <w:r w:rsidR="00C50E48" w:rsidRPr="00C50E48">
        <w:rPr>
          <w:rFonts w:ascii="Calibri" w:hAnsi="Calibri" w:cs="Calibri"/>
          <w:sz w:val="22"/>
          <w:szCs w:val="22"/>
          <w:vertAlign w:val="superscript"/>
        </w:rPr>
        <w:footnoteReference w:id="13"/>
      </w:r>
      <w:r w:rsidR="00C50E48" w:rsidRPr="00C50E48">
        <w:rPr>
          <w:rFonts w:ascii="Calibri" w:hAnsi="Calibri" w:cs="Calibri"/>
          <w:sz w:val="22"/>
          <w:szCs w:val="22"/>
        </w:rPr>
        <w:t xml:space="preserve"> with the specific aim of improving information sharing between DVA and Defence.  This has not yet occurred, </w:t>
      </w:r>
      <w:r w:rsidR="00173FC9" w:rsidRPr="00C50E48">
        <w:rPr>
          <w:rFonts w:ascii="Calibri" w:hAnsi="Calibri" w:cs="Calibri"/>
          <w:sz w:val="22"/>
          <w:szCs w:val="22"/>
        </w:rPr>
        <w:t>and the</w:t>
      </w:r>
      <w:r w:rsidR="00C50E48" w:rsidRPr="00C50E48">
        <w:rPr>
          <w:rFonts w:ascii="Calibri" w:hAnsi="Calibri" w:cs="Calibri"/>
          <w:sz w:val="22"/>
          <w:szCs w:val="22"/>
        </w:rPr>
        <w:t xml:space="preserve"> appointment of a non-ADF member of the Department of Defence could provide an alternative option (with clear responsibilities) to inform the MRCC of whole-of-government perspectives on </w:t>
      </w:r>
      <w:r w:rsidR="00173FC9">
        <w:rPr>
          <w:rFonts w:ascii="Calibri" w:hAnsi="Calibri" w:cs="Calibri"/>
          <w:sz w:val="22"/>
          <w:szCs w:val="22"/>
        </w:rPr>
        <w:t>worker</w:t>
      </w:r>
      <w:r w:rsidR="00173FC9" w:rsidRPr="00C50E48">
        <w:rPr>
          <w:rFonts w:ascii="Calibri" w:hAnsi="Calibri" w:cs="Calibri"/>
          <w:sz w:val="22"/>
          <w:szCs w:val="22"/>
        </w:rPr>
        <w:t>s</w:t>
      </w:r>
      <w:r w:rsidR="00173FC9">
        <w:rPr>
          <w:rFonts w:ascii="Calibri" w:hAnsi="Calibri" w:cs="Calibri"/>
          <w:sz w:val="22"/>
          <w:szCs w:val="22"/>
        </w:rPr>
        <w:t>’</w:t>
      </w:r>
      <w:r w:rsidR="00173FC9" w:rsidRPr="00C50E48">
        <w:rPr>
          <w:rFonts w:ascii="Calibri" w:hAnsi="Calibri" w:cs="Calibri"/>
          <w:sz w:val="22"/>
          <w:szCs w:val="22"/>
        </w:rPr>
        <w:t xml:space="preserve"> compensation</w:t>
      </w:r>
      <w:r w:rsidR="00C50E48" w:rsidRPr="00C50E48">
        <w:rPr>
          <w:rFonts w:ascii="Calibri" w:hAnsi="Calibri" w:cs="Calibri"/>
          <w:sz w:val="22"/>
          <w:szCs w:val="22"/>
        </w:rPr>
        <w:t xml:space="preserve"> and WHS matters.</w:t>
      </w:r>
    </w:p>
    <w:p w:rsidR="00C50E48" w:rsidRPr="00C50E48" w:rsidRDefault="00C50E48" w:rsidP="00C50E48">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26"/>
        </w:tabs>
        <w:spacing w:after="120"/>
        <w:rPr>
          <w:rFonts w:ascii="Calibri" w:hAnsi="Calibri" w:cs="Calibri"/>
          <w:b/>
          <w:sz w:val="22"/>
          <w:szCs w:val="22"/>
        </w:rPr>
      </w:pPr>
      <w:r w:rsidRPr="00C50E48">
        <w:rPr>
          <w:rFonts w:ascii="Calibri" w:hAnsi="Calibri" w:cs="Calibri"/>
          <w:b/>
          <w:sz w:val="22"/>
          <w:szCs w:val="22"/>
        </w:rPr>
        <w:t>Recommendation 1</w:t>
      </w:r>
    </w:p>
    <w:p w:rsidR="00C50E48" w:rsidRPr="00C50E48" w:rsidRDefault="00C50E48" w:rsidP="00C50E4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26"/>
        </w:tabs>
        <w:spacing w:after="120"/>
        <w:rPr>
          <w:rFonts w:cstheme="minorHAnsi"/>
        </w:rPr>
      </w:pPr>
      <w:r w:rsidRPr="00C50E48">
        <w:rPr>
          <w:rFonts w:ascii="Calibri" w:eastAsiaTheme="minorHAnsi" w:hAnsi="Calibri" w:cs="Calibri"/>
          <w:sz w:val="22"/>
        </w:rPr>
        <w:t xml:space="preserve">That the Minister </w:t>
      </w:r>
      <w:r w:rsidR="00F92453">
        <w:rPr>
          <w:rFonts w:ascii="Calibri" w:eastAsiaTheme="minorHAnsi" w:hAnsi="Calibri" w:cs="Calibri"/>
          <w:sz w:val="22"/>
        </w:rPr>
        <w:t xml:space="preserve">for Employment and Workplace Relations </w:t>
      </w:r>
      <w:r w:rsidRPr="00C50E48">
        <w:rPr>
          <w:rFonts w:ascii="Calibri" w:eastAsiaTheme="minorHAnsi" w:hAnsi="Calibri" w:cs="Calibri"/>
          <w:sz w:val="22"/>
        </w:rPr>
        <w:t xml:space="preserve">confer with the Minister for Veterans’ Affairs to </w:t>
      </w:r>
      <w:r w:rsidR="001A4551">
        <w:rPr>
          <w:rFonts w:ascii="Calibri" w:eastAsiaTheme="minorHAnsi" w:hAnsi="Calibri" w:cs="Calibri"/>
          <w:sz w:val="22"/>
        </w:rPr>
        <w:t>appoint the</w:t>
      </w:r>
      <w:r w:rsidRPr="00C50E48">
        <w:rPr>
          <w:rFonts w:ascii="Calibri" w:eastAsiaTheme="minorHAnsi" w:hAnsi="Calibri" w:cs="Calibri"/>
          <w:sz w:val="22"/>
        </w:rPr>
        <w:t xml:space="preserve"> CEO of Comcare as an ex-officio member of the MRCC or a non-ADF member of the Department of Defence, with responsibilities to liaise with Comcare.</w:t>
      </w:r>
    </w:p>
    <w:p w:rsidR="00751952" w:rsidRDefault="00751952" w:rsidP="0035663E">
      <w:pPr>
        <w:keepNext/>
        <w:keepLines/>
        <w:spacing w:before="100" w:beforeAutospacing="1" w:after="100" w:afterAutospacing="1"/>
        <w:outlineLvl w:val="2"/>
        <w:rPr>
          <w:rFonts w:ascii="Arial" w:eastAsiaTheme="majorEastAsia" w:hAnsi="Arial"/>
          <w:caps/>
          <w:color w:val="1F497D" w:themeColor="text2"/>
          <w:kern w:val="36"/>
          <w:sz w:val="28"/>
        </w:rPr>
      </w:pPr>
      <w:bookmarkStart w:id="272" w:name="_Toc341777936"/>
    </w:p>
    <w:p w:rsidR="00C50E48" w:rsidRPr="00CA434F" w:rsidRDefault="00434E26" w:rsidP="000D7C1C">
      <w:pPr>
        <w:spacing w:after="120"/>
        <w:rPr>
          <w:rFonts w:ascii="Arial" w:eastAsiaTheme="majorEastAsia" w:hAnsi="Arial" w:cstheme="majorBidi"/>
          <w:bCs/>
          <w:iCs/>
          <w:caps/>
          <w:color w:val="1F497D" w:themeColor="text2"/>
          <w:kern w:val="36"/>
          <w:sz w:val="28"/>
          <w:szCs w:val="28"/>
        </w:rPr>
      </w:pPr>
      <w:bookmarkStart w:id="273" w:name="_Toc342578304"/>
      <w:r>
        <w:rPr>
          <w:rFonts w:ascii="Arial" w:eastAsiaTheme="majorEastAsia" w:hAnsi="Arial" w:cstheme="majorBidi"/>
          <w:bCs/>
          <w:iCs/>
          <w:caps/>
          <w:color w:val="1F497D" w:themeColor="text2"/>
          <w:kern w:val="36"/>
          <w:sz w:val="28"/>
          <w:szCs w:val="28"/>
        </w:rPr>
        <w:br w:type="page"/>
      </w:r>
      <w:r w:rsidR="00C50E48" w:rsidRPr="00CA434F">
        <w:rPr>
          <w:rFonts w:ascii="Arial" w:eastAsiaTheme="majorEastAsia" w:hAnsi="Arial" w:cstheme="majorBidi"/>
          <w:bCs/>
          <w:iCs/>
          <w:caps/>
          <w:color w:val="1F497D" w:themeColor="text2"/>
          <w:kern w:val="36"/>
          <w:sz w:val="28"/>
          <w:szCs w:val="28"/>
        </w:rPr>
        <w:lastRenderedPageBreak/>
        <w:t>Employers</w:t>
      </w:r>
      <w:bookmarkEnd w:id="272"/>
      <w:bookmarkEnd w:id="273"/>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Three broad groups of employers are covered under the Comcare scheme:</w:t>
      </w:r>
    </w:p>
    <w:p w:rsidR="00C50E48" w:rsidRPr="00C50E48" w:rsidRDefault="00C50E48" w:rsidP="00C50E48">
      <w:pPr>
        <w:numPr>
          <w:ilvl w:val="1"/>
          <w:numId w:val="10"/>
        </w:numPr>
        <w:spacing w:after="120"/>
        <w:ind w:left="1134" w:hanging="425"/>
        <w:rPr>
          <w:rFonts w:ascii="Calibri" w:hAnsi="Calibri" w:cs="Calibri"/>
          <w:sz w:val="22"/>
          <w:szCs w:val="22"/>
        </w:rPr>
      </w:pPr>
      <w:r w:rsidRPr="00C50E48">
        <w:rPr>
          <w:rFonts w:ascii="Calibri" w:hAnsi="Calibri" w:cs="Calibri"/>
          <w:sz w:val="22"/>
          <w:szCs w:val="22"/>
        </w:rPr>
        <w:t>the Australian Government;</w:t>
      </w:r>
    </w:p>
    <w:p w:rsidR="00C50E48" w:rsidRPr="00C50E48" w:rsidRDefault="00C50E48" w:rsidP="00C50E48">
      <w:pPr>
        <w:numPr>
          <w:ilvl w:val="1"/>
          <w:numId w:val="10"/>
        </w:numPr>
        <w:spacing w:after="120"/>
        <w:ind w:left="1134" w:hanging="425"/>
        <w:rPr>
          <w:rFonts w:ascii="Calibri" w:hAnsi="Calibri" w:cs="Calibri"/>
          <w:sz w:val="22"/>
          <w:szCs w:val="22"/>
        </w:rPr>
      </w:pPr>
      <w:r w:rsidRPr="00C50E48">
        <w:rPr>
          <w:rFonts w:ascii="Calibri" w:hAnsi="Calibri" w:cs="Calibri"/>
          <w:sz w:val="22"/>
          <w:szCs w:val="22"/>
        </w:rPr>
        <w:t xml:space="preserve">the ACT Government; and </w:t>
      </w:r>
    </w:p>
    <w:p w:rsidR="00C50E48" w:rsidRPr="00C50E48" w:rsidRDefault="0030057C" w:rsidP="00C50E48">
      <w:pPr>
        <w:numPr>
          <w:ilvl w:val="1"/>
          <w:numId w:val="10"/>
        </w:numPr>
        <w:spacing w:after="120"/>
        <w:ind w:left="1134" w:hanging="425"/>
        <w:rPr>
          <w:rFonts w:ascii="Calibri" w:hAnsi="Calibri" w:cs="Calibri"/>
          <w:sz w:val="22"/>
          <w:szCs w:val="22"/>
        </w:rPr>
      </w:pPr>
      <w:proofErr w:type="gramStart"/>
      <w:r>
        <w:rPr>
          <w:rFonts w:ascii="Calibri" w:hAnsi="Calibri" w:cs="Calibri"/>
          <w:sz w:val="22"/>
          <w:szCs w:val="22"/>
        </w:rPr>
        <w:t>l</w:t>
      </w:r>
      <w:r w:rsidR="00C50E48" w:rsidRPr="00C50E48">
        <w:rPr>
          <w:rFonts w:ascii="Calibri" w:hAnsi="Calibri" w:cs="Calibri"/>
          <w:sz w:val="22"/>
          <w:szCs w:val="22"/>
        </w:rPr>
        <w:t>icensees</w:t>
      </w:r>
      <w:proofErr w:type="gramEnd"/>
      <w:r w:rsidR="00C50E48" w:rsidRPr="00C50E48">
        <w:rPr>
          <w:rFonts w:ascii="Calibri" w:hAnsi="Calibri" w:cs="Calibri"/>
          <w:sz w:val="22"/>
          <w:szCs w:val="22"/>
        </w:rPr>
        <w:t>.</w:t>
      </w:r>
    </w:p>
    <w:p w:rsidR="00C50E48" w:rsidRPr="00C50E48" w:rsidRDefault="00C50E48" w:rsidP="00C50E48">
      <w:pPr>
        <w:keepNext/>
        <w:keepLines/>
        <w:spacing w:before="100" w:beforeAutospacing="1" w:after="100" w:afterAutospacing="1"/>
        <w:outlineLvl w:val="2"/>
        <w:rPr>
          <w:rFonts w:ascii="Arial Bold" w:eastAsiaTheme="majorEastAsia" w:hAnsi="Arial Bold" w:cs="Calibri"/>
          <w:bCs/>
          <w:caps/>
          <w:color w:val="1F497D" w:themeColor="text2"/>
          <w:sz w:val="23"/>
          <w:szCs w:val="23"/>
        </w:rPr>
      </w:pPr>
      <w:bookmarkStart w:id="274" w:name="_Toc341777937"/>
      <w:bookmarkStart w:id="275" w:name="_Toc342578305"/>
      <w:r w:rsidRPr="00C50E48">
        <w:rPr>
          <w:rFonts w:ascii="Arial Bold" w:eastAsiaTheme="majorEastAsia" w:hAnsi="Arial Bold" w:cs="Calibri"/>
          <w:bCs/>
          <w:caps/>
          <w:color w:val="1F497D" w:themeColor="text2"/>
          <w:sz w:val="23"/>
          <w:szCs w:val="23"/>
        </w:rPr>
        <w:t>AUSTRALIAN GOVERNMENT</w:t>
      </w:r>
      <w:bookmarkEnd w:id="274"/>
      <w:bookmarkEnd w:id="275"/>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The premium system for Australian Government employers was introduced with effect from 1 July 1989 as a fully funded scheme, such that the premium charged to each Australian Government employer takes account of the future liabilities associated with claims incurred during the injury year covered by the premium. The premium charged covers:</w:t>
      </w:r>
    </w:p>
    <w:p w:rsidR="00C50E48" w:rsidRPr="00C50E48" w:rsidRDefault="00C50E48" w:rsidP="00C50E48">
      <w:pPr>
        <w:numPr>
          <w:ilvl w:val="1"/>
          <w:numId w:val="11"/>
        </w:numPr>
        <w:spacing w:after="120"/>
        <w:ind w:left="1134" w:hanging="425"/>
        <w:rPr>
          <w:rFonts w:ascii="Calibri" w:hAnsi="Calibri" w:cs="Calibri"/>
          <w:sz w:val="22"/>
          <w:szCs w:val="22"/>
        </w:rPr>
      </w:pPr>
      <w:r w:rsidRPr="00C50E48">
        <w:rPr>
          <w:rFonts w:ascii="Calibri" w:hAnsi="Calibri" w:cs="Calibri"/>
          <w:sz w:val="22"/>
          <w:szCs w:val="22"/>
        </w:rPr>
        <w:t>all benefit payments, e.g., incapacity, medical and travel expenses;</w:t>
      </w:r>
    </w:p>
    <w:p w:rsidR="00C50E48" w:rsidRPr="00C50E48" w:rsidRDefault="00C50E48" w:rsidP="00C50E48">
      <w:pPr>
        <w:numPr>
          <w:ilvl w:val="1"/>
          <w:numId w:val="11"/>
        </w:numPr>
        <w:spacing w:after="120"/>
        <w:ind w:left="1134" w:hanging="425"/>
        <w:rPr>
          <w:rFonts w:ascii="Calibri" w:hAnsi="Calibri" w:cs="Calibri"/>
          <w:sz w:val="22"/>
          <w:szCs w:val="22"/>
        </w:rPr>
      </w:pPr>
      <w:r w:rsidRPr="00C50E48">
        <w:rPr>
          <w:rFonts w:ascii="Calibri" w:hAnsi="Calibri" w:cs="Calibri"/>
          <w:sz w:val="22"/>
          <w:szCs w:val="22"/>
        </w:rPr>
        <w:t>the cost of rehabilitation undertaken by approved service providers; and</w:t>
      </w:r>
    </w:p>
    <w:p w:rsidR="00C50E48" w:rsidRPr="00C50E48" w:rsidRDefault="00C50E48" w:rsidP="00C50E48">
      <w:pPr>
        <w:numPr>
          <w:ilvl w:val="1"/>
          <w:numId w:val="11"/>
        </w:numPr>
        <w:spacing w:after="120"/>
        <w:ind w:left="1134" w:hanging="425"/>
        <w:rPr>
          <w:rFonts w:ascii="Calibri" w:hAnsi="Calibri" w:cs="Calibri"/>
          <w:sz w:val="22"/>
          <w:szCs w:val="22"/>
        </w:rPr>
      </w:pPr>
      <w:proofErr w:type="gramStart"/>
      <w:r w:rsidRPr="00C50E48">
        <w:rPr>
          <w:rFonts w:ascii="Calibri" w:hAnsi="Calibri" w:cs="Calibri"/>
          <w:sz w:val="22"/>
          <w:szCs w:val="22"/>
        </w:rPr>
        <w:t>legal</w:t>
      </w:r>
      <w:proofErr w:type="gramEnd"/>
      <w:r w:rsidRPr="00C50E48">
        <w:rPr>
          <w:rFonts w:ascii="Calibri" w:hAnsi="Calibri" w:cs="Calibri"/>
          <w:sz w:val="22"/>
          <w:szCs w:val="22"/>
        </w:rPr>
        <w:t xml:space="preserve"> and administrative costs associated with running the scheme.</w:t>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The premium for each Australian Government employer is experience-rated, that is, it responds to trends in an employer’s claims performance, as well as trends across the whole premium system. This is meant to act as a direct financial incentive to Australian Government employers to reduce their workers’ compensation costs by implementing effective work health and safety and return to work measures.</w:t>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 xml:space="preserve">To reduce the premiums payable by them, employers can invest in work health and safety systems </w:t>
      </w:r>
      <w:r w:rsidR="00173FC9" w:rsidRPr="00C50E48">
        <w:rPr>
          <w:rFonts w:ascii="Calibri" w:hAnsi="Calibri" w:cs="Calibri"/>
          <w:sz w:val="22"/>
          <w:szCs w:val="22"/>
        </w:rPr>
        <w:t>to reduce</w:t>
      </w:r>
      <w:r w:rsidRPr="00C50E48">
        <w:rPr>
          <w:rFonts w:ascii="Calibri" w:hAnsi="Calibri" w:cs="Calibri"/>
          <w:sz w:val="22"/>
          <w:szCs w:val="22"/>
        </w:rPr>
        <w:t xml:space="preserve"> the incidence and likelihood of injury.  As the rehabilitation authority under the SRC Act, </w:t>
      </w:r>
      <w:r w:rsidR="00173FC9" w:rsidRPr="00C50E48">
        <w:rPr>
          <w:rFonts w:ascii="Calibri" w:hAnsi="Calibri" w:cs="Calibri"/>
          <w:sz w:val="22"/>
          <w:szCs w:val="22"/>
        </w:rPr>
        <w:t>employers have</w:t>
      </w:r>
      <w:r w:rsidRPr="00C50E48">
        <w:rPr>
          <w:rFonts w:ascii="Calibri" w:hAnsi="Calibri" w:cs="Calibri"/>
          <w:sz w:val="22"/>
          <w:szCs w:val="22"/>
        </w:rPr>
        <w:t xml:space="preserve"> a range of obligations to rehabilitate injured employees. Employers are obliged to actively and systematically manage the rehabilitation and return to work process for an employee injured at work. Each year, Comcare publishes a “Guide to Premiums” to </w:t>
      </w:r>
      <w:r w:rsidR="00173FC9" w:rsidRPr="00C50E48">
        <w:rPr>
          <w:rFonts w:ascii="Calibri" w:hAnsi="Calibri" w:cs="Calibri"/>
          <w:sz w:val="22"/>
          <w:szCs w:val="22"/>
        </w:rPr>
        <w:t>assist premium</w:t>
      </w:r>
      <w:r w:rsidRPr="00C50E48">
        <w:rPr>
          <w:rFonts w:ascii="Calibri" w:hAnsi="Calibri" w:cs="Calibri"/>
          <w:sz w:val="22"/>
          <w:szCs w:val="22"/>
        </w:rPr>
        <w:t xml:space="preserve"> payers in </w:t>
      </w:r>
      <w:r w:rsidR="00173FC9" w:rsidRPr="00C50E48">
        <w:rPr>
          <w:rFonts w:ascii="Calibri" w:hAnsi="Calibri" w:cs="Calibri"/>
          <w:sz w:val="22"/>
          <w:szCs w:val="22"/>
        </w:rPr>
        <w:t>understanding how</w:t>
      </w:r>
      <w:r w:rsidRPr="00C50E48">
        <w:rPr>
          <w:rFonts w:ascii="Calibri" w:hAnsi="Calibri" w:cs="Calibri"/>
          <w:sz w:val="22"/>
          <w:szCs w:val="22"/>
        </w:rPr>
        <w:t xml:space="preserve"> their premiums are calculated.</w:t>
      </w:r>
      <w:r w:rsidRPr="00C50E48">
        <w:rPr>
          <w:rFonts w:ascii="Calibri" w:hAnsi="Calibri" w:cs="Calibri"/>
          <w:sz w:val="22"/>
          <w:szCs w:val="22"/>
          <w:vertAlign w:val="superscript"/>
        </w:rPr>
        <w:footnoteReference w:id="14"/>
      </w:r>
    </w:p>
    <w:p w:rsidR="00C50E48" w:rsidRPr="00C50E48" w:rsidRDefault="00C50E48" w:rsidP="00C50E48">
      <w:pPr>
        <w:keepNext/>
        <w:keepLines/>
        <w:spacing w:before="100" w:beforeAutospacing="1" w:after="100" w:afterAutospacing="1"/>
        <w:outlineLvl w:val="2"/>
        <w:rPr>
          <w:rFonts w:ascii="Arial Bold" w:eastAsiaTheme="majorEastAsia" w:hAnsi="Arial Bold" w:cs="Calibri"/>
          <w:bCs/>
          <w:caps/>
          <w:color w:val="1F497D" w:themeColor="text2"/>
          <w:sz w:val="23"/>
          <w:szCs w:val="23"/>
        </w:rPr>
      </w:pPr>
      <w:bookmarkStart w:id="276" w:name="_Toc341777938"/>
      <w:bookmarkStart w:id="277" w:name="_Toc342578306"/>
      <w:r w:rsidRPr="00C50E48">
        <w:rPr>
          <w:rFonts w:ascii="Arial Bold" w:eastAsiaTheme="majorEastAsia" w:hAnsi="Arial Bold" w:cs="Calibri"/>
          <w:bCs/>
          <w:caps/>
          <w:color w:val="1F497D" w:themeColor="text2"/>
          <w:sz w:val="23"/>
          <w:szCs w:val="23"/>
        </w:rPr>
        <w:t>ACT Government</w:t>
      </w:r>
      <w:bookmarkEnd w:id="276"/>
      <w:bookmarkEnd w:id="277"/>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 xml:space="preserve">Arrangements for the ACT Government and its agencies are the same as those for Australian Government employers, the only difference being that their premiums are calculated separately from the Australian Government employers. </w:t>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In this context, there are two premium-funded pools managed by Comcare – one for the Australian Government employers and the other for the ACT Government – but the governance and claims arrangements for both schemes are the same.</w:t>
      </w:r>
    </w:p>
    <w:p w:rsidR="00C50E48" w:rsidRPr="00C50E48" w:rsidRDefault="00C50E48" w:rsidP="0030057C">
      <w:pPr>
        <w:keepNext/>
        <w:keepLines/>
        <w:spacing w:before="100" w:beforeAutospacing="1" w:after="100" w:afterAutospacing="1"/>
        <w:outlineLvl w:val="2"/>
        <w:rPr>
          <w:rFonts w:ascii="Arial Bold" w:eastAsiaTheme="majorEastAsia" w:hAnsi="Arial Bold" w:cs="Calibri"/>
          <w:bCs/>
          <w:caps/>
          <w:color w:val="1F497D" w:themeColor="text2"/>
          <w:sz w:val="23"/>
          <w:szCs w:val="23"/>
        </w:rPr>
      </w:pPr>
      <w:bookmarkStart w:id="278" w:name="_Toc341777939"/>
      <w:bookmarkStart w:id="279" w:name="_Toc342578307"/>
      <w:r w:rsidRPr="00C50E48">
        <w:rPr>
          <w:rFonts w:ascii="Arial Bold" w:eastAsiaTheme="majorEastAsia" w:hAnsi="Arial Bold" w:cs="Calibri"/>
          <w:bCs/>
          <w:caps/>
          <w:color w:val="1F497D" w:themeColor="text2"/>
          <w:sz w:val="23"/>
          <w:szCs w:val="23"/>
        </w:rPr>
        <w:t>Licensed SELF</w:t>
      </w:r>
      <w:r w:rsidR="0030057C">
        <w:rPr>
          <w:rFonts w:ascii="Arial Bold" w:eastAsiaTheme="majorEastAsia" w:hAnsi="Arial Bold" w:cs="Calibri"/>
          <w:bCs/>
          <w:caps/>
          <w:color w:val="1F497D" w:themeColor="text2"/>
          <w:sz w:val="23"/>
          <w:szCs w:val="23"/>
        </w:rPr>
        <w:t xml:space="preserve"> </w:t>
      </w:r>
      <w:r w:rsidRPr="00C50E48">
        <w:rPr>
          <w:rFonts w:ascii="Arial Bold" w:eastAsiaTheme="majorEastAsia" w:hAnsi="Arial Bold" w:cs="Calibri"/>
          <w:bCs/>
          <w:caps/>
          <w:color w:val="1F497D" w:themeColor="text2"/>
          <w:sz w:val="23"/>
          <w:szCs w:val="23"/>
        </w:rPr>
        <w:t>Insurers</w:t>
      </w:r>
      <w:bookmarkEnd w:id="278"/>
      <w:bookmarkEnd w:id="279"/>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 xml:space="preserve">Licensed self insurers (licensees) are large national employers who have been granted a self-insurer </w:t>
      </w:r>
      <w:r w:rsidR="000A5586">
        <w:rPr>
          <w:rFonts w:ascii="Calibri" w:hAnsi="Calibri" w:cs="Calibri"/>
          <w:sz w:val="22"/>
          <w:szCs w:val="22"/>
        </w:rPr>
        <w:t>licence</w:t>
      </w:r>
      <w:r w:rsidRPr="00C50E48">
        <w:rPr>
          <w:rFonts w:ascii="Calibri" w:hAnsi="Calibri" w:cs="Calibri"/>
          <w:sz w:val="22"/>
          <w:szCs w:val="22"/>
        </w:rPr>
        <w:t xml:space="preserve"> under the SRC Act to manage their own claims.</w:t>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 xml:space="preserve">The SRCC has the power under Sections 104 and 105 of the SRC Act to </w:t>
      </w:r>
      <w:proofErr w:type="gramStart"/>
      <w:r w:rsidRPr="00C50E48">
        <w:rPr>
          <w:rFonts w:ascii="Calibri" w:hAnsi="Calibri" w:cs="Calibri"/>
          <w:sz w:val="22"/>
          <w:szCs w:val="22"/>
        </w:rPr>
        <w:t>grant,</w:t>
      </w:r>
      <w:proofErr w:type="gramEnd"/>
      <w:r w:rsidRPr="00C50E48">
        <w:rPr>
          <w:rFonts w:ascii="Calibri" w:hAnsi="Calibri" w:cs="Calibri"/>
          <w:sz w:val="22"/>
          <w:szCs w:val="22"/>
        </w:rPr>
        <w:t xml:space="preserve"> extend and/or deny an application for self insurance. In order to be granted and to retain a self</w:t>
      </w:r>
      <w:r w:rsidRPr="00C50E48">
        <w:rPr>
          <w:rFonts w:ascii="Calibri" w:hAnsi="Calibri" w:cs="Calibri"/>
          <w:sz w:val="22"/>
          <w:szCs w:val="22"/>
        </w:rPr>
        <w:noBreakHyphen/>
        <w:t xml:space="preserve">insurer </w:t>
      </w:r>
      <w:r w:rsidR="000A5586">
        <w:rPr>
          <w:rFonts w:ascii="Calibri" w:hAnsi="Calibri" w:cs="Calibri"/>
          <w:sz w:val="22"/>
          <w:szCs w:val="22"/>
        </w:rPr>
        <w:lastRenderedPageBreak/>
        <w:t>licence</w:t>
      </w:r>
      <w:r w:rsidRPr="00C50E48">
        <w:rPr>
          <w:rFonts w:ascii="Calibri" w:hAnsi="Calibri" w:cs="Calibri"/>
          <w:sz w:val="22"/>
          <w:szCs w:val="22"/>
        </w:rPr>
        <w:t>, employers have to meet prudential requirements aimed at ensuring appropriate funding is in place to meet their workers’ compensation claims cost liabilities.</w:t>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The SRCC and Comcare share the regulatory functions relating to the oversight and monitoring of self insurer performance. A joint SRCC/Comcare “Licensee Handbook”</w:t>
      </w:r>
      <w:r w:rsidRPr="00C50E48">
        <w:rPr>
          <w:rFonts w:ascii="Calibri" w:hAnsi="Calibri" w:cs="Calibri"/>
          <w:sz w:val="22"/>
          <w:szCs w:val="22"/>
          <w:vertAlign w:val="superscript"/>
        </w:rPr>
        <w:footnoteReference w:id="15"/>
      </w:r>
      <w:r w:rsidRPr="00C50E48">
        <w:rPr>
          <w:rFonts w:ascii="Calibri" w:hAnsi="Calibri" w:cs="Calibri"/>
          <w:i/>
          <w:sz w:val="22"/>
          <w:szCs w:val="22"/>
        </w:rPr>
        <w:t xml:space="preserve"> </w:t>
      </w:r>
      <w:r w:rsidRPr="00C50E48">
        <w:rPr>
          <w:rFonts w:ascii="Calibri" w:hAnsi="Calibri" w:cs="Calibri"/>
          <w:sz w:val="22"/>
          <w:szCs w:val="22"/>
        </w:rPr>
        <w:t xml:space="preserve">provides guidance to licensees on </w:t>
      </w:r>
      <w:r w:rsidR="000A5586">
        <w:rPr>
          <w:rFonts w:ascii="Calibri" w:hAnsi="Calibri" w:cs="Calibri"/>
          <w:sz w:val="22"/>
          <w:szCs w:val="22"/>
        </w:rPr>
        <w:t>licence</w:t>
      </w:r>
      <w:r w:rsidRPr="00C50E48">
        <w:rPr>
          <w:rFonts w:ascii="Calibri" w:hAnsi="Calibri" w:cs="Calibri"/>
          <w:sz w:val="22"/>
          <w:szCs w:val="22"/>
        </w:rPr>
        <w:t xml:space="preserve"> requirements.</w:t>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Licensees are regulated via the Licensee Improvement Program (LIP), the overall objective of which is to provide a framework that:</w:t>
      </w:r>
    </w:p>
    <w:p w:rsidR="00C50E48" w:rsidRPr="00C50E48" w:rsidRDefault="00C50E48" w:rsidP="00C50E48">
      <w:pPr>
        <w:numPr>
          <w:ilvl w:val="1"/>
          <w:numId w:val="12"/>
        </w:numPr>
        <w:spacing w:after="120"/>
        <w:ind w:left="1134" w:hanging="425"/>
        <w:rPr>
          <w:rFonts w:ascii="Calibri" w:hAnsi="Calibri" w:cs="Calibri"/>
          <w:sz w:val="22"/>
          <w:szCs w:val="22"/>
        </w:rPr>
      </w:pPr>
      <w:r w:rsidRPr="00C50E48">
        <w:rPr>
          <w:rFonts w:ascii="Calibri" w:hAnsi="Calibri" w:cs="Calibri"/>
          <w:sz w:val="22"/>
          <w:szCs w:val="22"/>
        </w:rPr>
        <w:t>links the level of regulatory oversight to performance;</w:t>
      </w:r>
    </w:p>
    <w:p w:rsidR="00C50E48" w:rsidRPr="00C50E48" w:rsidRDefault="00C50E48" w:rsidP="00C50E48">
      <w:pPr>
        <w:numPr>
          <w:ilvl w:val="1"/>
          <w:numId w:val="12"/>
        </w:numPr>
        <w:spacing w:after="120"/>
        <w:ind w:left="1134" w:hanging="425"/>
        <w:rPr>
          <w:rFonts w:ascii="Calibri" w:hAnsi="Calibri" w:cs="Calibri"/>
          <w:sz w:val="22"/>
          <w:szCs w:val="22"/>
        </w:rPr>
      </w:pPr>
      <w:r w:rsidRPr="00C50E48">
        <w:rPr>
          <w:rFonts w:ascii="Calibri" w:hAnsi="Calibri" w:cs="Calibri"/>
          <w:sz w:val="22"/>
          <w:szCs w:val="22"/>
        </w:rPr>
        <w:t>is easy to understand and administer; and</w:t>
      </w:r>
    </w:p>
    <w:p w:rsidR="00C50E48" w:rsidRPr="00C50E48" w:rsidRDefault="00C50E48" w:rsidP="00C50E48">
      <w:pPr>
        <w:numPr>
          <w:ilvl w:val="1"/>
          <w:numId w:val="12"/>
        </w:numPr>
        <w:spacing w:after="120"/>
        <w:ind w:left="1134" w:hanging="425"/>
        <w:rPr>
          <w:rFonts w:ascii="Calibri" w:hAnsi="Calibri" w:cs="Calibri"/>
          <w:sz w:val="22"/>
          <w:szCs w:val="22"/>
        </w:rPr>
      </w:pPr>
      <w:proofErr w:type="gramStart"/>
      <w:r w:rsidRPr="00C50E48">
        <w:rPr>
          <w:rFonts w:ascii="Calibri" w:hAnsi="Calibri" w:cs="Calibri"/>
          <w:sz w:val="22"/>
          <w:szCs w:val="22"/>
        </w:rPr>
        <w:t>focuses</w:t>
      </w:r>
      <w:proofErr w:type="gramEnd"/>
      <w:r w:rsidRPr="00C50E48">
        <w:rPr>
          <w:rFonts w:ascii="Calibri" w:hAnsi="Calibri" w:cs="Calibri"/>
          <w:sz w:val="22"/>
          <w:szCs w:val="22"/>
        </w:rPr>
        <w:t xml:space="preserve"> on a holistic approach to performance evaluation.</w:t>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 xml:space="preserve">Licensees’ self insurance conditions require compliance with the SRC Act and the Commonwealth WHS Act relating to occupational health and safety matters.  Licensees are subject to audits, OHS investigations and other evaluations </w:t>
      </w:r>
      <w:r w:rsidR="00F62990" w:rsidRPr="00C50E48">
        <w:rPr>
          <w:rFonts w:ascii="Calibri" w:hAnsi="Calibri" w:cs="Calibri"/>
          <w:sz w:val="22"/>
          <w:szCs w:val="22"/>
        </w:rPr>
        <w:t xml:space="preserve">and </w:t>
      </w:r>
      <w:r w:rsidR="00454D90">
        <w:rPr>
          <w:rFonts w:ascii="Calibri" w:hAnsi="Calibri" w:cs="Calibri"/>
          <w:sz w:val="22"/>
          <w:szCs w:val="22"/>
        </w:rPr>
        <w:t>must</w:t>
      </w:r>
      <w:r w:rsidRPr="00C50E48">
        <w:rPr>
          <w:rFonts w:ascii="Calibri" w:hAnsi="Calibri" w:cs="Calibri"/>
          <w:sz w:val="22"/>
          <w:szCs w:val="22"/>
        </w:rPr>
        <w:t xml:space="preserve"> meet financial, prudential, and performance reporting requirements as part of their </w:t>
      </w:r>
      <w:r w:rsidR="000A5586">
        <w:rPr>
          <w:rFonts w:ascii="Calibri" w:hAnsi="Calibri" w:cs="Calibri"/>
          <w:sz w:val="22"/>
          <w:szCs w:val="22"/>
        </w:rPr>
        <w:t>licence</w:t>
      </w:r>
      <w:r w:rsidRPr="00C50E48">
        <w:rPr>
          <w:rFonts w:ascii="Calibri" w:hAnsi="Calibri" w:cs="Calibri"/>
          <w:sz w:val="22"/>
          <w:szCs w:val="22"/>
        </w:rPr>
        <w:t xml:space="preserve"> conditions.</w:t>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 xml:space="preserve">The performance standards of a self insurance </w:t>
      </w:r>
      <w:r w:rsidR="000A5586">
        <w:rPr>
          <w:rFonts w:ascii="Calibri" w:hAnsi="Calibri" w:cs="Calibri"/>
          <w:sz w:val="22"/>
          <w:szCs w:val="22"/>
        </w:rPr>
        <w:t>licence</w:t>
      </w:r>
      <w:r w:rsidRPr="00C50E48">
        <w:rPr>
          <w:rFonts w:ascii="Calibri" w:hAnsi="Calibri" w:cs="Calibri"/>
          <w:sz w:val="22"/>
          <w:szCs w:val="22"/>
        </w:rPr>
        <w:t xml:space="preserve"> require licensees to develop and implement effective management systems for prevention, rehabilitation and claims management, and to work towards the attainment of outcome-based performance goals.</w:t>
      </w:r>
    </w:p>
    <w:p w:rsidR="00C50E48" w:rsidRPr="00C50E48" w:rsidRDefault="00454D90" w:rsidP="00C50E48">
      <w:pPr>
        <w:numPr>
          <w:ilvl w:val="0"/>
          <w:numId w:val="3"/>
        </w:numPr>
        <w:spacing w:after="120"/>
        <w:ind w:left="709" w:hanging="709"/>
        <w:rPr>
          <w:rFonts w:ascii="Calibri" w:hAnsi="Calibri" w:cs="Calibri"/>
          <w:sz w:val="22"/>
          <w:szCs w:val="22"/>
        </w:rPr>
      </w:pPr>
      <w:r>
        <w:rPr>
          <w:rFonts w:ascii="Calibri" w:hAnsi="Calibri" w:cs="Calibri"/>
          <w:sz w:val="22"/>
          <w:szCs w:val="22"/>
        </w:rPr>
        <w:t>T</w:t>
      </w:r>
      <w:r w:rsidR="00C50E48" w:rsidRPr="00C50E48">
        <w:rPr>
          <w:rFonts w:ascii="Calibri" w:hAnsi="Calibri" w:cs="Calibri"/>
          <w:sz w:val="22"/>
          <w:szCs w:val="22"/>
        </w:rPr>
        <w:t xml:space="preserve">he SRCC </w:t>
      </w:r>
      <w:r>
        <w:rPr>
          <w:rFonts w:ascii="Calibri" w:hAnsi="Calibri" w:cs="Calibri"/>
          <w:sz w:val="22"/>
          <w:szCs w:val="22"/>
        </w:rPr>
        <w:t xml:space="preserve">receives reports </w:t>
      </w:r>
      <w:r w:rsidR="00C50E48" w:rsidRPr="00C50E48">
        <w:rPr>
          <w:rFonts w:ascii="Calibri" w:hAnsi="Calibri" w:cs="Calibri"/>
          <w:sz w:val="22"/>
          <w:szCs w:val="22"/>
        </w:rPr>
        <w:t>on licensee performance against Determining Authority Key Performance Indicator (DAKPI) specifications and associated</w:t>
      </w:r>
      <w:r w:rsidR="00C50E48" w:rsidRPr="00C50E48">
        <w:rPr>
          <w:rFonts w:ascii="Calibri" w:hAnsi="Calibri" w:cs="Calibri"/>
          <w:sz w:val="19"/>
          <w:szCs w:val="20"/>
        </w:rPr>
        <w:t xml:space="preserve"> </w:t>
      </w:r>
      <w:r w:rsidR="00C50E48" w:rsidRPr="00C50E48">
        <w:rPr>
          <w:rFonts w:ascii="Calibri" w:hAnsi="Calibri" w:cs="Calibri"/>
          <w:sz w:val="22"/>
          <w:szCs w:val="22"/>
        </w:rPr>
        <w:t>performance targets. The indicators cover prevention, rehabilitation, claims management and scheme administration.</w:t>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The prudential conditions require a licensee to obtain on a yearly basis:</w:t>
      </w:r>
    </w:p>
    <w:p w:rsidR="00C50E48" w:rsidRPr="00C50E48" w:rsidRDefault="00C50E48" w:rsidP="00C50E48">
      <w:pPr>
        <w:numPr>
          <w:ilvl w:val="1"/>
          <w:numId w:val="13"/>
        </w:numPr>
        <w:spacing w:after="120"/>
        <w:ind w:left="1134" w:hanging="425"/>
        <w:rPr>
          <w:rFonts w:ascii="Calibri" w:hAnsi="Calibri" w:cs="Calibri"/>
          <w:sz w:val="22"/>
          <w:szCs w:val="22"/>
        </w:rPr>
      </w:pPr>
      <w:r w:rsidRPr="00C50E48">
        <w:rPr>
          <w:rFonts w:ascii="Calibri" w:hAnsi="Calibri" w:cs="Calibri"/>
          <w:sz w:val="22"/>
          <w:szCs w:val="22"/>
        </w:rPr>
        <w:t>an actuarial assessment of current and projected outstanding workers’ compensation liabilities;</w:t>
      </w:r>
    </w:p>
    <w:p w:rsidR="00C50E48" w:rsidRPr="00C50E48" w:rsidRDefault="00C50E48" w:rsidP="00C50E48">
      <w:pPr>
        <w:numPr>
          <w:ilvl w:val="1"/>
          <w:numId w:val="13"/>
        </w:numPr>
        <w:spacing w:after="120"/>
        <w:ind w:left="1134" w:hanging="425"/>
        <w:rPr>
          <w:rFonts w:ascii="Calibri" w:hAnsi="Calibri" w:cs="Calibri"/>
          <w:sz w:val="22"/>
          <w:szCs w:val="22"/>
        </w:rPr>
      </w:pPr>
      <w:r w:rsidRPr="00C50E48">
        <w:rPr>
          <w:rFonts w:ascii="Calibri" w:hAnsi="Calibri" w:cs="Calibri"/>
          <w:sz w:val="22"/>
          <w:szCs w:val="22"/>
        </w:rPr>
        <w:t>a bank guarantee based on the 95th percentile of their outstanding workers’ compensation liabilities, subject to a minimum of $2.5 million;</w:t>
      </w:r>
    </w:p>
    <w:p w:rsidR="00C50E48" w:rsidRPr="00C50E48" w:rsidRDefault="00C50E48" w:rsidP="00C50E48">
      <w:pPr>
        <w:numPr>
          <w:ilvl w:val="1"/>
          <w:numId w:val="13"/>
        </w:numPr>
        <w:spacing w:after="120"/>
        <w:ind w:left="1134" w:hanging="425"/>
        <w:rPr>
          <w:rFonts w:ascii="Calibri" w:hAnsi="Calibri" w:cs="Calibri"/>
          <w:sz w:val="22"/>
          <w:szCs w:val="22"/>
        </w:rPr>
      </w:pPr>
      <w:r w:rsidRPr="00C50E48">
        <w:rPr>
          <w:rFonts w:ascii="Calibri" w:hAnsi="Calibri" w:cs="Calibri"/>
          <w:sz w:val="22"/>
          <w:szCs w:val="22"/>
        </w:rPr>
        <w:t>a reinsurance policy for a single claim with a reinsurance retention amount as approved by the SRCC; and</w:t>
      </w:r>
    </w:p>
    <w:p w:rsidR="00C50E48" w:rsidRPr="00C50E48" w:rsidRDefault="00C50E48" w:rsidP="00C50E48">
      <w:pPr>
        <w:numPr>
          <w:ilvl w:val="1"/>
          <w:numId w:val="13"/>
        </w:numPr>
        <w:spacing w:after="120"/>
        <w:ind w:left="1134" w:hanging="425"/>
        <w:rPr>
          <w:rFonts w:ascii="Calibri" w:hAnsi="Calibri" w:cs="Calibri"/>
          <w:sz w:val="22"/>
          <w:szCs w:val="22"/>
        </w:rPr>
      </w:pPr>
      <w:proofErr w:type="gramStart"/>
      <w:r w:rsidRPr="00C50E48">
        <w:rPr>
          <w:rFonts w:ascii="Calibri" w:hAnsi="Calibri" w:cs="Calibri"/>
          <w:sz w:val="22"/>
          <w:szCs w:val="22"/>
        </w:rPr>
        <w:t>certification</w:t>
      </w:r>
      <w:proofErr w:type="gramEnd"/>
      <w:r w:rsidRPr="00C50E48">
        <w:rPr>
          <w:rFonts w:ascii="Calibri" w:hAnsi="Calibri" w:cs="Calibri"/>
          <w:sz w:val="22"/>
          <w:szCs w:val="22"/>
        </w:rPr>
        <w:t xml:space="preserve"> by the principal officer of the licensee that the actuarial assessment has been made in accordance with the </w:t>
      </w:r>
      <w:r w:rsidR="000A5586">
        <w:rPr>
          <w:rFonts w:ascii="Calibri" w:hAnsi="Calibri" w:cs="Calibri"/>
          <w:sz w:val="22"/>
          <w:szCs w:val="22"/>
        </w:rPr>
        <w:t>licence</w:t>
      </w:r>
      <w:r w:rsidRPr="00C50E48">
        <w:rPr>
          <w:rFonts w:ascii="Calibri" w:hAnsi="Calibri" w:cs="Calibri"/>
          <w:sz w:val="22"/>
          <w:szCs w:val="22"/>
        </w:rPr>
        <w:t xml:space="preserve"> conditions, provision has been made in the accounts for meeting the estimated liabilities and the licensee has the capacity to meet any single claim up to the reinsurance retention amount.</w:t>
      </w:r>
    </w:p>
    <w:p w:rsidR="00C50E48" w:rsidRPr="00CA434F" w:rsidRDefault="00C50E48" w:rsidP="00C50E48">
      <w:pPr>
        <w:keepNext/>
        <w:keepLines/>
        <w:spacing w:before="100" w:beforeAutospacing="1" w:after="100" w:afterAutospacing="1"/>
        <w:outlineLvl w:val="2"/>
        <w:rPr>
          <w:rFonts w:ascii="Arial" w:eastAsiaTheme="majorEastAsia" w:hAnsi="Arial" w:cstheme="majorBidi"/>
          <w:bCs/>
          <w:iCs/>
          <w:caps/>
          <w:color w:val="1F497D" w:themeColor="text2"/>
          <w:kern w:val="36"/>
          <w:sz w:val="28"/>
          <w:szCs w:val="28"/>
        </w:rPr>
      </w:pPr>
      <w:bookmarkStart w:id="280" w:name="_Toc341777940"/>
      <w:bookmarkStart w:id="281" w:name="_Toc342578308"/>
      <w:r w:rsidRPr="00CA434F">
        <w:rPr>
          <w:rFonts w:ascii="Arial" w:eastAsiaTheme="majorEastAsia" w:hAnsi="Arial" w:cstheme="majorBidi"/>
          <w:bCs/>
          <w:iCs/>
          <w:caps/>
          <w:color w:val="1F497D" w:themeColor="text2"/>
          <w:kern w:val="36"/>
          <w:sz w:val="28"/>
          <w:szCs w:val="28"/>
        </w:rPr>
        <w:t>Employees</w:t>
      </w:r>
      <w:bookmarkEnd w:id="280"/>
      <w:bookmarkEnd w:id="281"/>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 xml:space="preserve">The Comcare scheme provides coverage to all employees of employers who are either insured by the Comcare scheme through the premium-payer side of the scheme or who have been granted a self-insurer </w:t>
      </w:r>
      <w:r w:rsidR="000A5586">
        <w:rPr>
          <w:rFonts w:ascii="Calibri" w:hAnsi="Calibri" w:cs="Calibri"/>
          <w:sz w:val="22"/>
          <w:szCs w:val="22"/>
        </w:rPr>
        <w:t>licence</w:t>
      </w:r>
      <w:r w:rsidRPr="00C50E48">
        <w:rPr>
          <w:rFonts w:ascii="Calibri" w:hAnsi="Calibri" w:cs="Calibri"/>
          <w:sz w:val="22"/>
          <w:szCs w:val="22"/>
        </w:rPr>
        <w:t xml:space="preserve">. </w:t>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It is a “no fault” scheme and the following benefits are available to injured workers, subject to legislative requirements:</w:t>
      </w:r>
    </w:p>
    <w:p w:rsidR="00C50E48" w:rsidRPr="00C50E48" w:rsidRDefault="00C50E48" w:rsidP="00C50E48">
      <w:pPr>
        <w:numPr>
          <w:ilvl w:val="1"/>
          <w:numId w:val="14"/>
        </w:numPr>
        <w:spacing w:after="120"/>
        <w:ind w:left="1134" w:hanging="425"/>
        <w:rPr>
          <w:rFonts w:ascii="Calibri" w:hAnsi="Calibri" w:cs="Calibri"/>
          <w:sz w:val="22"/>
          <w:szCs w:val="22"/>
        </w:rPr>
      </w:pPr>
      <w:r w:rsidRPr="00C50E48">
        <w:rPr>
          <w:rFonts w:ascii="Calibri" w:hAnsi="Calibri" w:cs="Calibri"/>
          <w:sz w:val="22"/>
          <w:szCs w:val="22"/>
        </w:rPr>
        <w:t>incapacity payments;</w:t>
      </w:r>
    </w:p>
    <w:p w:rsidR="00C50E48" w:rsidRPr="00C50E48" w:rsidRDefault="00C50E48" w:rsidP="00C50E48">
      <w:pPr>
        <w:numPr>
          <w:ilvl w:val="1"/>
          <w:numId w:val="14"/>
        </w:numPr>
        <w:spacing w:after="120"/>
        <w:ind w:left="1134" w:hanging="425"/>
        <w:rPr>
          <w:rFonts w:ascii="Calibri" w:hAnsi="Calibri" w:cs="Calibri"/>
          <w:sz w:val="22"/>
          <w:szCs w:val="22"/>
        </w:rPr>
      </w:pPr>
      <w:r w:rsidRPr="00C50E48">
        <w:rPr>
          <w:rFonts w:ascii="Calibri" w:hAnsi="Calibri" w:cs="Calibri"/>
          <w:sz w:val="22"/>
          <w:szCs w:val="22"/>
        </w:rPr>
        <w:lastRenderedPageBreak/>
        <w:t>medical expenses;</w:t>
      </w:r>
    </w:p>
    <w:p w:rsidR="00C50E48" w:rsidRPr="00C50E48" w:rsidRDefault="00C50E48" w:rsidP="00C50E48">
      <w:pPr>
        <w:numPr>
          <w:ilvl w:val="1"/>
          <w:numId w:val="14"/>
        </w:numPr>
        <w:spacing w:after="120"/>
        <w:ind w:left="1134" w:hanging="425"/>
        <w:rPr>
          <w:rFonts w:ascii="Calibri" w:hAnsi="Calibri" w:cs="Calibri"/>
          <w:sz w:val="22"/>
          <w:szCs w:val="22"/>
        </w:rPr>
      </w:pPr>
      <w:r w:rsidRPr="00C50E48">
        <w:rPr>
          <w:rFonts w:ascii="Calibri" w:hAnsi="Calibri" w:cs="Calibri"/>
          <w:sz w:val="22"/>
          <w:szCs w:val="22"/>
        </w:rPr>
        <w:t>a permanent impairment lump sum;</w:t>
      </w:r>
    </w:p>
    <w:p w:rsidR="00C50E48" w:rsidRPr="00C50E48" w:rsidRDefault="00C50E48" w:rsidP="00C50E48">
      <w:pPr>
        <w:numPr>
          <w:ilvl w:val="1"/>
          <w:numId w:val="14"/>
        </w:numPr>
        <w:spacing w:after="120"/>
        <w:ind w:left="1134" w:hanging="425"/>
        <w:rPr>
          <w:rFonts w:ascii="Calibri" w:hAnsi="Calibri" w:cs="Calibri"/>
          <w:sz w:val="22"/>
          <w:szCs w:val="22"/>
        </w:rPr>
      </w:pPr>
      <w:r w:rsidRPr="00C50E48">
        <w:rPr>
          <w:rFonts w:ascii="Calibri" w:hAnsi="Calibri" w:cs="Calibri"/>
          <w:sz w:val="22"/>
          <w:szCs w:val="22"/>
        </w:rPr>
        <w:t>household and attendant care services; and</w:t>
      </w:r>
    </w:p>
    <w:p w:rsidR="00C50E48" w:rsidRPr="00C50E48" w:rsidRDefault="00C50E48" w:rsidP="00C50E48">
      <w:pPr>
        <w:numPr>
          <w:ilvl w:val="1"/>
          <w:numId w:val="14"/>
        </w:numPr>
        <w:spacing w:after="120"/>
        <w:ind w:left="1134" w:hanging="425"/>
        <w:rPr>
          <w:rFonts w:ascii="Calibri" w:hAnsi="Calibri" w:cs="Calibri"/>
          <w:sz w:val="22"/>
          <w:szCs w:val="22"/>
        </w:rPr>
      </w:pPr>
      <w:proofErr w:type="gramStart"/>
      <w:r w:rsidRPr="00C50E48">
        <w:rPr>
          <w:rFonts w:ascii="Calibri" w:hAnsi="Calibri" w:cs="Calibri"/>
          <w:sz w:val="22"/>
          <w:szCs w:val="22"/>
        </w:rPr>
        <w:t>aids</w:t>
      </w:r>
      <w:proofErr w:type="gramEnd"/>
      <w:r w:rsidRPr="00C50E48">
        <w:rPr>
          <w:rFonts w:ascii="Calibri" w:hAnsi="Calibri" w:cs="Calibri"/>
          <w:sz w:val="22"/>
          <w:szCs w:val="22"/>
        </w:rPr>
        <w:t xml:space="preserve"> and appliances.</w:t>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 xml:space="preserve">The SRC Act also focuses on ensuring rehabilitation support is provided to injured workers to assist their recovery and return to work following a work-related injury.  Employers </w:t>
      </w:r>
      <w:r w:rsidR="00140427" w:rsidRPr="00C50E48">
        <w:rPr>
          <w:rFonts w:ascii="Calibri" w:hAnsi="Calibri" w:cs="Calibri"/>
          <w:sz w:val="22"/>
          <w:szCs w:val="22"/>
        </w:rPr>
        <w:t>of injured</w:t>
      </w:r>
      <w:r w:rsidRPr="00C50E48">
        <w:rPr>
          <w:rFonts w:ascii="Calibri" w:hAnsi="Calibri" w:cs="Calibri"/>
          <w:sz w:val="22"/>
          <w:szCs w:val="22"/>
        </w:rPr>
        <w:t xml:space="preserve"> workers have obligations to facilitate this support.</w:t>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 xml:space="preserve">In the context of this Review, it is worth drawing attention to the Australian Law Reform Commission’s (ALRC) </w:t>
      </w:r>
      <w:r w:rsidR="00173FC9">
        <w:rPr>
          <w:rFonts w:ascii="Calibri" w:hAnsi="Calibri" w:cs="Calibri"/>
          <w:sz w:val="22"/>
          <w:szCs w:val="22"/>
        </w:rPr>
        <w:t>“</w:t>
      </w:r>
      <w:r w:rsidRPr="00C50E48">
        <w:rPr>
          <w:rFonts w:ascii="Calibri" w:hAnsi="Calibri" w:cs="Calibri"/>
          <w:sz w:val="22"/>
          <w:szCs w:val="22"/>
        </w:rPr>
        <w:t>Age Barriers to Work</w:t>
      </w:r>
      <w:r w:rsidR="00173FC9">
        <w:rPr>
          <w:rFonts w:ascii="Calibri" w:hAnsi="Calibri" w:cs="Calibri"/>
          <w:sz w:val="22"/>
          <w:szCs w:val="22"/>
        </w:rPr>
        <w:t>”</w:t>
      </w:r>
      <w:r w:rsidRPr="00C50E48">
        <w:rPr>
          <w:rFonts w:ascii="Calibri" w:hAnsi="Calibri" w:cs="Calibri"/>
          <w:sz w:val="22"/>
          <w:szCs w:val="22"/>
        </w:rPr>
        <w:t xml:space="preserve"> inquiry. This inquiry was initiated as part of the Australian Government’s response to population ageing. The ALRC has been asked to consider Commonwealth legislation and related legal frameworks that either directly, or indirectly, </w:t>
      </w:r>
      <w:proofErr w:type="gramStart"/>
      <w:r w:rsidRPr="00C50E48">
        <w:rPr>
          <w:rFonts w:ascii="Calibri" w:hAnsi="Calibri" w:cs="Calibri"/>
          <w:sz w:val="22"/>
          <w:szCs w:val="22"/>
        </w:rPr>
        <w:t>impose</w:t>
      </w:r>
      <w:proofErr w:type="gramEnd"/>
      <w:r w:rsidRPr="00C50E48">
        <w:rPr>
          <w:rFonts w:ascii="Calibri" w:hAnsi="Calibri" w:cs="Calibri"/>
          <w:sz w:val="22"/>
          <w:szCs w:val="22"/>
        </w:rPr>
        <w:t xml:space="preserve"> limitations or barriers that could discourage older persons from participating, or continuing to participate, in the workforce or other productive work</w:t>
      </w:r>
      <w:r w:rsidR="002F783E">
        <w:rPr>
          <w:rFonts w:ascii="Calibri" w:hAnsi="Calibri" w:cs="Calibri"/>
          <w:sz w:val="22"/>
          <w:szCs w:val="22"/>
        </w:rPr>
        <w:t>.</w:t>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The ALRC released a Discussion Paper for its inquiry into legal barriers to older persons participating in the workforce and other productive work—</w:t>
      </w:r>
      <w:hyperlink r:id="rId20" w:tgtFrame="_blank" w:history="1">
        <w:r w:rsidRPr="00C50E48">
          <w:rPr>
            <w:rFonts w:ascii="Calibri" w:hAnsi="Calibri" w:cs="Calibri"/>
            <w:i/>
            <w:sz w:val="22"/>
            <w:szCs w:val="22"/>
          </w:rPr>
          <w:t>Grey Areas: Age Barriers to Work in Commonwealth Laws</w:t>
        </w:r>
      </w:hyperlink>
      <w:r w:rsidRPr="00C50E48">
        <w:rPr>
          <w:rFonts w:ascii="Calibri" w:hAnsi="Calibri" w:cs="Calibri"/>
          <w:sz w:val="22"/>
          <w:szCs w:val="22"/>
        </w:rPr>
        <w:t xml:space="preserve"> (ALRC DP 78, 2012) on 2 October 2012. The ALRC's views as expressed in its Discussion Paper have been drawn to my attention. The issues canvassed in that Discussion Paper are however outside the scope of this part of the review.  Legislative changes to the SRC Act that address this issue will be considered by Mr Hanks.</w:t>
      </w:r>
    </w:p>
    <w:p w:rsidR="00C50E48" w:rsidRPr="00C50E48" w:rsidRDefault="00C50E48" w:rsidP="00C50E48">
      <w:pPr>
        <w:spacing w:before="100" w:beforeAutospacing="1" w:after="100" w:afterAutospacing="1"/>
        <w:outlineLvl w:val="0"/>
        <w:rPr>
          <w:rFonts w:ascii="Arial" w:hAnsi="Arial"/>
          <w:bCs/>
          <w:caps/>
          <w:color w:val="1F497D" w:themeColor="text2"/>
          <w:kern w:val="36"/>
          <w:sz w:val="32"/>
          <w:szCs w:val="44"/>
        </w:rPr>
      </w:pPr>
      <w:bookmarkStart w:id="282" w:name="_Toc341777941"/>
      <w:bookmarkStart w:id="283" w:name="_Toc342578309"/>
      <w:r w:rsidRPr="00C50E48">
        <w:rPr>
          <w:rFonts w:ascii="Arial" w:hAnsi="Arial"/>
          <w:bCs/>
          <w:caps/>
          <w:color w:val="1F497D" w:themeColor="text2"/>
          <w:kern w:val="36"/>
          <w:sz w:val="32"/>
          <w:szCs w:val="44"/>
        </w:rPr>
        <w:t>International Comparisons</w:t>
      </w:r>
      <w:bookmarkEnd w:id="282"/>
      <w:bookmarkEnd w:id="283"/>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Workers’ compensation arrangements in Australia are quite different to arrangements in most other countries in the developed world. In countries such as the United Kingdom, workers’ compensation arrangements are heavily integrated into the national social security system. New Zealand operates a national accident compensation scheme and compensates all accidents in the same way regardless of their origin. It does, however, maintain a separate fund for workplace accident compensation claims as part of this arrangement with employers paying levies.</w:t>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 xml:space="preserve">Only three countries, Australia, Canada and the United States, have workers’ compensation arrangements being managed at a sub-national level, with the Canadian arrangements most closely resembling </w:t>
      </w:r>
      <w:r w:rsidR="00E612D1">
        <w:rPr>
          <w:rFonts w:ascii="Calibri" w:hAnsi="Calibri" w:cs="Calibri"/>
          <w:sz w:val="22"/>
          <w:szCs w:val="22"/>
        </w:rPr>
        <w:t xml:space="preserve">those of </w:t>
      </w:r>
      <w:r w:rsidRPr="00C50E48">
        <w:rPr>
          <w:rFonts w:ascii="Calibri" w:hAnsi="Calibri" w:cs="Calibri"/>
          <w:sz w:val="22"/>
          <w:szCs w:val="22"/>
        </w:rPr>
        <w:t>Australia.</w:t>
      </w:r>
    </w:p>
    <w:p w:rsidR="00C50E48" w:rsidRPr="00C50E48" w:rsidRDefault="00454D90" w:rsidP="00C50E48">
      <w:pPr>
        <w:numPr>
          <w:ilvl w:val="0"/>
          <w:numId w:val="3"/>
        </w:numPr>
        <w:spacing w:after="120"/>
        <w:ind w:left="709" w:hanging="709"/>
        <w:rPr>
          <w:rFonts w:ascii="Calibri" w:hAnsi="Calibri" w:cs="Calibri"/>
          <w:sz w:val="22"/>
          <w:szCs w:val="22"/>
        </w:rPr>
      </w:pPr>
      <w:r>
        <w:rPr>
          <w:rFonts w:ascii="Calibri" w:hAnsi="Calibri" w:cs="Calibri"/>
          <w:sz w:val="22"/>
          <w:szCs w:val="22"/>
        </w:rPr>
        <w:t>W</w:t>
      </w:r>
      <w:r w:rsidR="00C50E48" w:rsidRPr="00C50E48">
        <w:rPr>
          <w:rFonts w:ascii="Calibri" w:hAnsi="Calibri" w:cs="Calibri"/>
          <w:sz w:val="22"/>
          <w:szCs w:val="22"/>
        </w:rPr>
        <w:t>hile workplace health and safety arrangements are controlled at a federal level</w:t>
      </w:r>
      <w:r>
        <w:rPr>
          <w:rFonts w:ascii="Calibri" w:hAnsi="Calibri" w:cs="Calibri"/>
          <w:sz w:val="22"/>
          <w:szCs w:val="22"/>
        </w:rPr>
        <w:t xml:space="preserve"> in the USA</w:t>
      </w:r>
      <w:r w:rsidR="00C50E48" w:rsidRPr="00C50E48">
        <w:rPr>
          <w:rFonts w:ascii="Calibri" w:hAnsi="Calibri" w:cs="Calibri"/>
          <w:sz w:val="22"/>
          <w:szCs w:val="22"/>
        </w:rPr>
        <w:t xml:space="preserve">, workers’ compensation arrangements are controlled by the various States. In Canada, as in Australia, both workplace health and safety arrangements and workers compensation are controlled by the respective </w:t>
      </w:r>
      <w:r w:rsidR="00C80992">
        <w:rPr>
          <w:rFonts w:ascii="Calibri" w:hAnsi="Calibri" w:cs="Calibri"/>
          <w:sz w:val="22"/>
          <w:szCs w:val="22"/>
        </w:rPr>
        <w:t>s</w:t>
      </w:r>
      <w:r w:rsidR="00C50E48" w:rsidRPr="00C50E48">
        <w:rPr>
          <w:rFonts w:ascii="Calibri" w:hAnsi="Calibri" w:cs="Calibri"/>
          <w:sz w:val="22"/>
          <w:szCs w:val="22"/>
        </w:rPr>
        <w:t>tates, and concurrently at a federal level.</w:t>
      </w:r>
    </w:p>
    <w:p w:rsidR="00FB3790" w:rsidRDefault="00633413" w:rsidP="00522B03">
      <w:pPr>
        <w:numPr>
          <w:ilvl w:val="0"/>
          <w:numId w:val="3"/>
        </w:numPr>
        <w:spacing w:after="120"/>
        <w:ind w:left="709" w:hanging="709"/>
        <w:rPr>
          <w:rFonts w:ascii="Calibri" w:hAnsi="Calibri" w:cs="Calibri"/>
          <w:sz w:val="22"/>
          <w:szCs w:val="22"/>
        </w:rPr>
      </w:pPr>
      <w:r>
        <w:rPr>
          <w:rFonts w:ascii="Calibri" w:hAnsi="Calibri" w:cs="Calibri"/>
          <w:sz w:val="22"/>
          <w:szCs w:val="22"/>
        </w:rPr>
        <w:t>Although</w:t>
      </w:r>
      <w:r w:rsidR="00C50E48" w:rsidRPr="00C50E48">
        <w:rPr>
          <w:rFonts w:ascii="Calibri" w:hAnsi="Calibri" w:cs="Calibri"/>
          <w:sz w:val="22"/>
          <w:szCs w:val="22"/>
        </w:rPr>
        <w:t xml:space="preserve"> a Federal Act provides cover for federal employees, there is no federal workers’ compensation scheme in Canada comparable to the Comcare scheme. Instead, the </w:t>
      </w:r>
      <w:r w:rsidR="002F783E">
        <w:rPr>
          <w:rFonts w:ascii="Calibri" w:hAnsi="Calibri" w:cs="Calibri"/>
          <w:sz w:val="22"/>
          <w:szCs w:val="22"/>
        </w:rPr>
        <w:t>Canadian</w:t>
      </w:r>
      <w:r w:rsidR="002F783E" w:rsidRPr="00C50E48">
        <w:rPr>
          <w:rFonts w:ascii="Calibri" w:hAnsi="Calibri" w:cs="Calibri"/>
          <w:sz w:val="22"/>
          <w:szCs w:val="22"/>
        </w:rPr>
        <w:t xml:space="preserve"> </w:t>
      </w:r>
      <w:r w:rsidR="00C50E48" w:rsidRPr="00C50E48">
        <w:rPr>
          <w:rFonts w:ascii="Calibri" w:hAnsi="Calibri" w:cs="Calibri"/>
          <w:sz w:val="22"/>
          <w:szCs w:val="22"/>
        </w:rPr>
        <w:t xml:space="preserve">Government relies on State workers’ compensation boards and commissions to process </w:t>
      </w:r>
      <w:r w:rsidR="00BD0746">
        <w:rPr>
          <w:rFonts w:ascii="Calibri" w:hAnsi="Calibri" w:cs="Calibri"/>
          <w:sz w:val="22"/>
          <w:szCs w:val="22"/>
        </w:rPr>
        <w:t>their</w:t>
      </w:r>
      <w:r w:rsidR="00C50E48" w:rsidRPr="00C50E48">
        <w:rPr>
          <w:rFonts w:ascii="Calibri" w:hAnsi="Calibri" w:cs="Calibri"/>
          <w:sz w:val="22"/>
          <w:szCs w:val="22"/>
        </w:rPr>
        <w:t xml:space="preserve"> employee</w:t>
      </w:r>
      <w:r w:rsidR="00BD0746">
        <w:rPr>
          <w:rFonts w:ascii="Calibri" w:hAnsi="Calibri" w:cs="Calibri"/>
          <w:sz w:val="22"/>
          <w:szCs w:val="22"/>
        </w:rPr>
        <w:t>s’</w:t>
      </w:r>
      <w:r w:rsidR="00C50E48" w:rsidRPr="00C50E48">
        <w:rPr>
          <w:rFonts w:ascii="Calibri" w:hAnsi="Calibri" w:cs="Calibri"/>
          <w:sz w:val="22"/>
          <w:szCs w:val="22"/>
        </w:rPr>
        <w:t xml:space="preserve"> claims and provide compensation for services such as medical and rehabilitation and loss of earnings. The </w:t>
      </w:r>
      <w:r w:rsidR="002F783E">
        <w:rPr>
          <w:rFonts w:ascii="Calibri" w:hAnsi="Calibri" w:cs="Calibri"/>
          <w:sz w:val="22"/>
          <w:szCs w:val="22"/>
        </w:rPr>
        <w:t>Canadian</w:t>
      </w:r>
      <w:r w:rsidR="002F783E" w:rsidRPr="00C50E48">
        <w:rPr>
          <w:rFonts w:ascii="Calibri" w:hAnsi="Calibri" w:cs="Calibri"/>
          <w:sz w:val="22"/>
          <w:szCs w:val="22"/>
        </w:rPr>
        <w:t xml:space="preserve"> </w:t>
      </w:r>
      <w:r w:rsidR="00C50E48" w:rsidRPr="00C50E48">
        <w:rPr>
          <w:rFonts w:ascii="Calibri" w:hAnsi="Calibri" w:cs="Calibri"/>
          <w:sz w:val="22"/>
          <w:szCs w:val="22"/>
        </w:rPr>
        <w:t xml:space="preserve">Government then reimburses the </w:t>
      </w:r>
      <w:r w:rsidR="00C80992">
        <w:rPr>
          <w:rFonts w:ascii="Calibri" w:hAnsi="Calibri" w:cs="Calibri"/>
          <w:sz w:val="22"/>
          <w:szCs w:val="22"/>
        </w:rPr>
        <w:t>s</w:t>
      </w:r>
      <w:r w:rsidR="00C50E48" w:rsidRPr="00C50E48">
        <w:rPr>
          <w:rFonts w:ascii="Calibri" w:hAnsi="Calibri" w:cs="Calibri"/>
          <w:sz w:val="22"/>
          <w:szCs w:val="22"/>
        </w:rPr>
        <w:t xml:space="preserve">tates for related costs. </w:t>
      </w:r>
      <w:r w:rsidR="00BD0746">
        <w:rPr>
          <w:rFonts w:ascii="Calibri" w:hAnsi="Calibri" w:cs="Calibri"/>
          <w:sz w:val="22"/>
          <w:szCs w:val="22"/>
        </w:rPr>
        <w:t>Federal</w:t>
      </w:r>
      <w:r w:rsidR="002F783E" w:rsidRPr="00C50E48">
        <w:rPr>
          <w:rFonts w:ascii="Calibri" w:hAnsi="Calibri" w:cs="Calibri"/>
          <w:sz w:val="22"/>
          <w:szCs w:val="22"/>
        </w:rPr>
        <w:t xml:space="preserve"> </w:t>
      </w:r>
      <w:r w:rsidR="002F783E">
        <w:rPr>
          <w:rFonts w:ascii="Calibri" w:hAnsi="Calibri" w:cs="Calibri"/>
          <w:sz w:val="22"/>
          <w:szCs w:val="22"/>
        </w:rPr>
        <w:t>G</w:t>
      </w:r>
      <w:r w:rsidR="00C50E48" w:rsidRPr="00C50E48">
        <w:rPr>
          <w:rFonts w:ascii="Calibri" w:hAnsi="Calibri" w:cs="Calibri"/>
          <w:sz w:val="22"/>
          <w:szCs w:val="22"/>
        </w:rPr>
        <w:t xml:space="preserve">overnment employees therefore receive the same level of compensation and benefits as other employees in the </w:t>
      </w:r>
      <w:r w:rsidR="00C80992">
        <w:rPr>
          <w:rFonts w:ascii="Calibri" w:hAnsi="Calibri" w:cs="Calibri"/>
          <w:sz w:val="22"/>
          <w:szCs w:val="22"/>
        </w:rPr>
        <w:t>s</w:t>
      </w:r>
      <w:r w:rsidR="00C50E48" w:rsidRPr="00C50E48">
        <w:rPr>
          <w:rFonts w:ascii="Calibri" w:hAnsi="Calibri" w:cs="Calibri"/>
          <w:sz w:val="22"/>
          <w:szCs w:val="22"/>
        </w:rPr>
        <w:t>tate where they work.</w:t>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 xml:space="preserve">Various governance models are employed by the various </w:t>
      </w:r>
      <w:r w:rsidR="00C80992">
        <w:rPr>
          <w:rFonts w:ascii="Calibri" w:hAnsi="Calibri" w:cs="Calibri"/>
          <w:sz w:val="22"/>
          <w:szCs w:val="22"/>
        </w:rPr>
        <w:t>s</w:t>
      </w:r>
      <w:r w:rsidRPr="00C50E48">
        <w:rPr>
          <w:rFonts w:ascii="Calibri" w:hAnsi="Calibri" w:cs="Calibri"/>
          <w:sz w:val="22"/>
          <w:szCs w:val="22"/>
        </w:rPr>
        <w:t>tates in both the United States and Canada. These include:</w:t>
      </w:r>
    </w:p>
    <w:p w:rsidR="00C50E48" w:rsidRPr="00C50E48" w:rsidRDefault="00C50E48" w:rsidP="00C50E48">
      <w:pPr>
        <w:numPr>
          <w:ilvl w:val="1"/>
          <w:numId w:val="14"/>
        </w:numPr>
        <w:spacing w:after="120"/>
        <w:ind w:left="1134" w:hanging="425"/>
        <w:rPr>
          <w:rFonts w:ascii="Calibri" w:hAnsi="Calibri" w:cs="Calibri"/>
          <w:sz w:val="22"/>
          <w:szCs w:val="22"/>
        </w:rPr>
      </w:pPr>
      <w:r w:rsidRPr="00C50E48">
        <w:rPr>
          <w:rFonts w:ascii="Calibri" w:hAnsi="Calibri" w:cs="Calibri"/>
          <w:sz w:val="22"/>
          <w:szCs w:val="22"/>
        </w:rPr>
        <w:t>government-run premium schemes with no provision for self insurance;</w:t>
      </w:r>
    </w:p>
    <w:p w:rsidR="00C50E48" w:rsidRPr="00C50E48" w:rsidRDefault="00C50E48" w:rsidP="00C50E48">
      <w:pPr>
        <w:numPr>
          <w:ilvl w:val="1"/>
          <w:numId w:val="14"/>
        </w:numPr>
        <w:spacing w:after="120"/>
        <w:ind w:left="1134" w:hanging="425"/>
        <w:rPr>
          <w:rFonts w:ascii="Calibri" w:hAnsi="Calibri" w:cs="Calibri"/>
          <w:sz w:val="22"/>
          <w:szCs w:val="22"/>
        </w:rPr>
      </w:pPr>
      <w:r w:rsidRPr="00C50E48">
        <w:rPr>
          <w:rFonts w:ascii="Calibri" w:hAnsi="Calibri" w:cs="Calibri"/>
          <w:sz w:val="22"/>
          <w:szCs w:val="22"/>
        </w:rPr>
        <w:lastRenderedPageBreak/>
        <w:t>government-run premium schemes with limited opportunities for self insurance; or</w:t>
      </w:r>
    </w:p>
    <w:p w:rsidR="00C50E48" w:rsidRPr="00C50E48" w:rsidRDefault="00C50E48" w:rsidP="00C50E48">
      <w:pPr>
        <w:numPr>
          <w:ilvl w:val="1"/>
          <w:numId w:val="14"/>
        </w:numPr>
        <w:spacing w:after="120"/>
        <w:ind w:left="1134" w:hanging="425"/>
        <w:rPr>
          <w:rFonts w:ascii="Calibri" w:hAnsi="Calibri" w:cs="Calibri"/>
          <w:sz w:val="22"/>
          <w:szCs w:val="22"/>
        </w:rPr>
      </w:pPr>
      <w:r w:rsidRPr="00C50E48">
        <w:rPr>
          <w:rFonts w:ascii="Calibri" w:hAnsi="Calibri" w:cs="Calibri"/>
          <w:sz w:val="22"/>
          <w:szCs w:val="22"/>
        </w:rPr>
        <w:t>fully privatised insurance arrangements, with or without self insurance;</w:t>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The governance arrangements in British Columbia are the most similar to the Comcare scheme arrangements</w:t>
      </w:r>
      <w:r w:rsidR="00C80992">
        <w:rPr>
          <w:rFonts w:ascii="Calibri" w:hAnsi="Calibri" w:cs="Calibri"/>
          <w:sz w:val="22"/>
          <w:szCs w:val="22"/>
        </w:rPr>
        <w:t>.</w:t>
      </w:r>
    </w:p>
    <w:p w:rsidR="00C50E48" w:rsidRPr="00C50E48" w:rsidRDefault="00C50E48" w:rsidP="00C50E48">
      <w:pPr>
        <w:keepNext/>
        <w:keepLines/>
        <w:spacing w:before="120" w:after="120"/>
        <w:outlineLvl w:val="2"/>
        <w:rPr>
          <w:rFonts w:ascii="Calibri" w:eastAsiaTheme="minorHAnsi" w:hAnsi="Calibri" w:cs="Calibri"/>
          <w:b/>
          <w:bCs/>
          <w:caps/>
          <w:color w:val="1F497D" w:themeColor="text2"/>
          <w:sz w:val="22"/>
          <w:lang w:eastAsia="en-US"/>
        </w:rPr>
      </w:pPr>
      <w:bookmarkStart w:id="284" w:name="_Toc341777942"/>
      <w:bookmarkStart w:id="285" w:name="_Toc341780702"/>
      <w:bookmarkStart w:id="286" w:name="_Toc342578310"/>
      <w:r w:rsidRPr="00C50E48">
        <w:rPr>
          <w:rFonts w:ascii="Calibri" w:eastAsiaTheme="minorHAnsi" w:hAnsi="Calibri" w:cs="Calibri"/>
          <w:b/>
          <w:sz w:val="22"/>
          <w:lang w:eastAsia="en-US"/>
        </w:rPr>
        <w:t>British Columbia</w:t>
      </w:r>
      <w:bookmarkEnd w:id="284"/>
      <w:bookmarkEnd w:id="285"/>
      <w:bookmarkEnd w:id="286"/>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The Workers’ Compensation Board of British Columbia (WorkSafeBC) is an independent statutory body established by the Government of British Columbia and is responsible for administering the Workers’ Compensation Act (WCA). WorkSafeBC is governed by an independent Board of Directors.</w:t>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In administering the WCA, WorkSafeBC remains separate and distinct from government; however, it is accountable to the public through the government, which is responsible for protecting and maintaining the overall well-being of the workers’ compensation system.</w:t>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WorkSafeBC has legislated responsibility for:</w:t>
      </w:r>
    </w:p>
    <w:p w:rsidR="00C50E48" w:rsidRPr="00C50E48" w:rsidRDefault="00C50E48" w:rsidP="00C50E48">
      <w:pPr>
        <w:numPr>
          <w:ilvl w:val="1"/>
          <w:numId w:val="14"/>
        </w:numPr>
        <w:spacing w:after="120"/>
        <w:ind w:left="1134" w:hanging="425"/>
        <w:rPr>
          <w:rFonts w:ascii="Calibri" w:hAnsi="Calibri" w:cs="Calibri"/>
          <w:sz w:val="22"/>
          <w:szCs w:val="22"/>
        </w:rPr>
      </w:pPr>
      <w:r w:rsidRPr="00C50E48">
        <w:rPr>
          <w:rFonts w:ascii="Calibri" w:hAnsi="Calibri" w:cs="Calibri"/>
          <w:sz w:val="22"/>
          <w:szCs w:val="22"/>
        </w:rPr>
        <w:t>establishing and enforcing occupational health and safety standards;</w:t>
      </w:r>
    </w:p>
    <w:p w:rsidR="00C50E48" w:rsidRPr="00C50E48" w:rsidRDefault="00C50E48" w:rsidP="00C50E48">
      <w:pPr>
        <w:numPr>
          <w:ilvl w:val="1"/>
          <w:numId w:val="14"/>
        </w:numPr>
        <w:spacing w:after="120"/>
        <w:ind w:left="1134" w:hanging="425"/>
        <w:rPr>
          <w:rFonts w:ascii="Calibri" w:hAnsi="Calibri" w:cs="Calibri"/>
          <w:sz w:val="22"/>
          <w:szCs w:val="22"/>
        </w:rPr>
      </w:pPr>
      <w:r w:rsidRPr="00C50E48">
        <w:rPr>
          <w:rFonts w:ascii="Calibri" w:hAnsi="Calibri" w:cs="Calibri"/>
          <w:sz w:val="22"/>
          <w:szCs w:val="22"/>
        </w:rPr>
        <w:t>compensating and rehabilitating injured, ill, and disabled workers, or providing benefits to their dependants; and</w:t>
      </w:r>
    </w:p>
    <w:p w:rsidR="00C50E48" w:rsidRPr="00C50E48" w:rsidRDefault="00C50E48" w:rsidP="00C50E48">
      <w:pPr>
        <w:numPr>
          <w:ilvl w:val="1"/>
          <w:numId w:val="14"/>
        </w:numPr>
        <w:spacing w:after="120"/>
        <w:ind w:left="1134" w:hanging="425"/>
        <w:rPr>
          <w:rFonts w:ascii="Calibri" w:hAnsi="Calibri" w:cs="Calibri"/>
          <w:sz w:val="22"/>
          <w:szCs w:val="22"/>
        </w:rPr>
      </w:pPr>
      <w:proofErr w:type="gramStart"/>
      <w:r w:rsidRPr="00C50E48">
        <w:rPr>
          <w:rFonts w:ascii="Calibri" w:hAnsi="Calibri" w:cs="Calibri"/>
          <w:sz w:val="22"/>
          <w:szCs w:val="22"/>
        </w:rPr>
        <w:t>assessing</w:t>
      </w:r>
      <w:proofErr w:type="gramEnd"/>
      <w:r w:rsidRPr="00C50E48">
        <w:rPr>
          <w:rFonts w:ascii="Calibri" w:hAnsi="Calibri" w:cs="Calibri"/>
          <w:sz w:val="22"/>
          <w:szCs w:val="22"/>
        </w:rPr>
        <w:t xml:space="preserve"> and collecting employer premiums to support and administer the workers’ compensation system.</w:t>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WorkSafeBC assesses and collects employer premiums and invests those funds to cover current and future costs of compensation benefits as well as the costs of administering the workers’ compensation system.</w:t>
      </w:r>
    </w:p>
    <w:p w:rsidR="00C50E48" w:rsidRPr="00C50E48" w:rsidRDefault="00C50E48" w:rsidP="00C50E48">
      <w:pPr>
        <w:numPr>
          <w:ilvl w:val="0"/>
          <w:numId w:val="3"/>
        </w:numPr>
        <w:spacing w:after="120"/>
        <w:ind w:left="709" w:hanging="709"/>
        <w:rPr>
          <w:rFonts w:ascii="Calibri" w:hAnsi="Calibri" w:cs="Calibri"/>
          <w:sz w:val="22"/>
          <w:szCs w:val="22"/>
        </w:rPr>
      </w:pPr>
      <w:r w:rsidRPr="00C50E48">
        <w:rPr>
          <w:rFonts w:ascii="Calibri" w:hAnsi="Calibri" w:cs="Calibri"/>
          <w:sz w:val="22"/>
          <w:szCs w:val="22"/>
        </w:rPr>
        <w:t>The WorkSafeBC Board of Directors responsibilities include to:</w:t>
      </w:r>
    </w:p>
    <w:p w:rsidR="00C50E48" w:rsidRPr="00C50E48" w:rsidRDefault="00C50E48" w:rsidP="00C50E48">
      <w:pPr>
        <w:numPr>
          <w:ilvl w:val="1"/>
          <w:numId w:val="14"/>
        </w:numPr>
        <w:spacing w:after="120"/>
        <w:ind w:left="1134" w:hanging="425"/>
        <w:rPr>
          <w:rFonts w:ascii="Calibri" w:hAnsi="Calibri" w:cs="Calibri"/>
          <w:sz w:val="22"/>
          <w:szCs w:val="22"/>
        </w:rPr>
      </w:pPr>
      <w:r w:rsidRPr="00C50E48">
        <w:rPr>
          <w:rFonts w:ascii="Calibri" w:hAnsi="Calibri" w:cs="Calibri"/>
          <w:sz w:val="22"/>
          <w:szCs w:val="22"/>
        </w:rPr>
        <w:t>set and revise, as necessary, the policies of the Board of Directors, including policies respecting compensation, assessment, rehabilitation, and occupational health and safety;</w:t>
      </w:r>
    </w:p>
    <w:p w:rsidR="00C50E48" w:rsidRPr="00C50E48" w:rsidRDefault="00C50E48" w:rsidP="00C50E48">
      <w:pPr>
        <w:numPr>
          <w:ilvl w:val="1"/>
          <w:numId w:val="14"/>
        </w:numPr>
        <w:spacing w:after="120"/>
        <w:ind w:left="1134" w:hanging="425"/>
        <w:rPr>
          <w:rFonts w:ascii="Calibri" w:hAnsi="Calibri" w:cs="Calibri"/>
          <w:sz w:val="22"/>
          <w:szCs w:val="22"/>
        </w:rPr>
      </w:pPr>
      <w:r w:rsidRPr="00C50E48">
        <w:rPr>
          <w:rFonts w:ascii="Calibri" w:hAnsi="Calibri" w:cs="Calibri"/>
          <w:sz w:val="22"/>
          <w:szCs w:val="22"/>
        </w:rPr>
        <w:t>set and supervise the direction of WorkSafeBC;</w:t>
      </w:r>
    </w:p>
    <w:p w:rsidR="00C50E48" w:rsidRPr="00C50E48" w:rsidRDefault="00C50E48" w:rsidP="00C50E48">
      <w:pPr>
        <w:numPr>
          <w:ilvl w:val="1"/>
          <w:numId w:val="14"/>
        </w:numPr>
        <w:spacing w:after="120"/>
        <w:ind w:left="1134" w:hanging="425"/>
        <w:rPr>
          <w:rFonts w:ascii="Calibri" w:hAnsi="Calibri" w:cs="Calibri"/>
          <w:sz w:val="22"/>
          <w:szCs w:val="22"/>
        </w:rPr>
      </w:pPr>
      <w:r w:rsidRPr="00C50E48">
        <w:rPr>
          <w:rFonts w:ascii="Calibri" w:hAnsi="Calibri" w:cs="Calibri"/>
          <w:sz w:val="22"/>
          <w:szCs w:val="22"/>
        </w:rPr>
        <w:t>select the president of WorkSafeBC and determine the president’s functions;</w:t>
      </w:r>
    </w:p>
    <w:p w:rsidR="00C50E48" w:rsidRPr="00C50E48" w:rsidRDefault="00C50E48" w:rsidP="00C50E48">
      <w:pPr>
        <w:numPr>
          <w:ilvl w:val="1"/>
          <w:numId w:val="14"/>
        </w:numPr>
        <w:spacing w:after="120"/>
        <w:ind w:left="1134" w:hanging="425"/>
        <w:rPr>
          <w:rFonts w:ascii="Calibri" w:hAnsi="Calibri" w:cs="Calibri"/>
          <w:sz w:val="22"/>
          <w:szCs w:val="22"/>
        </w:rPr>
      </w:pPr>
      <w:r w:rsidRPr="00C50E48">
        <w:rPr>
          <w:rFonts w:ascii="Calibri" w:hAnsi="Calibri" w:cs="Calibri"/>
          <w:sz w:val="22"/>
          <w:szCs w:val="22"/>
        </w:rPr>
        <w:t>approve the operating and capital budgets of WorkSafeBC;</w:t>
      </w:r>
    </w:p>
    <w:p w:rsidR="00C50E48" w:rsidRPr="00C50E48" w:rsidRDefault="00C50E48" w:rsidP="00C50E48">
      <w:pPr>
        <w:numPr>
          <w:ilvl w:val="1"/>
          <w:numId w:val="14"/>
        </w:numPr>
        <w:spacing w:after="120"/>
        <w:ind w:left="1134" w:hanging="425"/>
        <w:rPr>
          <w:rFonts w:ascii="Calibri" w:hAnsi="Calibri" w:cs="Calibri"/>
          <w:sz w:val="22"/>
          <w:szCs w:val="22"/>
        </w:rPr>
      </w:pPr>
      <w:r w:rsidRPr="00C50E48">
        <w:rPr>
          <w:rFonts w:ascii="Calibri" w:hAnsi="Calibri" w:cs="Calibri"/>
          <w:sz w:val="22"/>
          <w:szCs w:val="22"/>
        </w:rPr>
        <w:t>establish policies and accounting systems to ensure adequate funding of the Accident Fund;</w:t>
      </w:r>
    </w:p>
    <w:p w:rsidR="00C50E48" w:rsidRPr="00C50E48" w:rsidRDefault="00C50E48" w:rsidP="00C50E48">
      <w:pPr>
        <w:numPr>
          <w:ilvl w:val="1"/>
          <w:numId w:val="14"/>
        </w:numPr>
        <w:spacing w:after="120"/>
        <w:ind w:left="1134" w:hanging="425"/>
        <w:rPr>
          <w:rFonts w:ascii="Calibri" w:hAnsi="Calibri" w:cs="Calibri"/>
          <w:sz w:val="22"/>
          <w:szCs w:val="22"/>
        </w:rPr>
      </w:pPr>
      <w:r w:rsidRPr="00C50E48">
        <w:rPr>
          <w:rFonts w:ascii="Calibri" w:hAnsi="Calibri" w:cs="Calibri"/>
          <w:sz w:val="22"/>
          <w:szCs w:val="22"/>
        </w:rPr>
        <w:t>approve major programs and expenditures of WorkSafeBC;</w:t>
      </w:r>
    </w:p>
    <w:p w:rsidR="00C50E48" w:rsidRPr="00C50E48" w:rsidRDefault="00C50E48" w:rsidP="00C50E48">
      <w:pPr>
        <w:numPr>
          <w:ilvl w:val="1"/>
          <w:numId w:val="14"/>
        </w:numPr>
        <w:spacing w:after="120"/>
        <w:ind w:left="1134" w:hanging="425"/>
        <w:rPr>
          <w:rFonts w:ascii="Calibri" w:hAnsi="Calibri" w:cs="Calibri"/>
          <w:sz w:val="22"/>
          <w:szCs w:val="22"/>
        </w:rPr>
      </w:pPr>
      <w:r w:rsidRPr="00C50E48">
        <w:rPr>
          <w:rFonts w:ascii="Calibri" w:hAnsi="Calibri" w:cs="Calibri"/>
          <w:sz w:val="22"/>
          <w:szCs w:val="22"/>
        </w:rPr>
        <w:t>approve the investment of WorkSafeBC funds in accordance with the requirements imposed under the Act;</w:t>
      </w:r>
    </w:p>
    <w:p w:rsidR="00C50E48" w:rsidRPr="00C50E48" w:rsidRDefault="00C50E48" w:rsidP="00C50E48">
      <w:pPr>
        <w:numPr>
          <w:ilvl w:val="1"/>
          <w:numId w:val="14"/>
        </w:numPr>
        <w:spacing w:after="120"/>
        <w:ind w:left="1134" w:hanging="425"/>
        <w:rPr>
          <w:rFonts w:ascii="Calibri" w:hAnsi="Calibri" w:cs="Calibri"/>
          <w:sz w:val="22"/>
          <w:szCs w:val="22"/>
        </w:rPr>
      </w:pPr>
      <w:r w:rsidRPr="00C50E48">
        <w:rPr>
          <w:rFonts w:ascii="Calibri" w:hAnsi="Calibri" w:cs="Calibri"/>
          <w:sz w:val="22"/>
          <w:szCs w:val="22"/>
        </w:rPr>
        <w:t>plan for the future of WorkSafeBC;</w:t>
      </w:r>
    </w:p>
    <w:p w:rsidR="00C50E48" w:rsidRPr="00C50E48" w:rsidRDefault="00C50E48" w:rsidP="00C50E48">
      <w:pPr>
        <w:numPr>
          <w:ilvl w:val="1"/>
          <w:numId w:val="14"/>
        </w:numPr>
        <w:spacing w:after="120"/>
        <w:ind w:left="1134" w:hanging="425"/>
        <w:rPr>
          <w:rFonts w:ascii="Calibri" w:hAnsi="Calibri" w:cs="Calibri"/>
          <w:sz w:val="22"/>
          <w:szCs w:val="22"/>
        </w:rPr>
      </w:pPr>
      <w:r w:rsidRPr="00C50E48">
        <w:rPr>
          <w:rFonts w:ascii="Calibri" w:hAnsi="Calibri" w:cs="Calibri"/>
          <w:sz w:val="22"/>
          <w:szCs w:val="22"/>
        </w:rPr>
        <w:t>enact bylaws and pass resolutions for the conduct of WorkSafeBC’s business and the functions of the Board of Directors, including enacting bylaws regarding the manner in which the policies of the Board of Directors are to be published; and</w:t>
      </w:r>
    </w:p>
    <w:p w:rsidR="00C50E48" w:rsidRPr="00C50E48" w:rsidRDefault="00C50E48" w:rsidP="00C50E48">
      <w:pPr>
        <w:numPr>
          <w:ilvl w:val="1"/>
          <w:numId w:val="14"/>
        </w:numPr>
        <w:spacing w:after="120"/>
        <w:ind w:left="1134" w:hanging="425"/>
        <w:rPr>
          <w:rFonts w:ascii="Calibri" w:hAnsi="Calibri" w:cs="Calibri"/>
          <w:sz w:val="22"/>
          <w:szCs w:val="22"/>
        </w:rPr>
      </w:pPr>
      <w:r w:rsidRPr="00C50E48">
        <w:rPr>
          <w:rFonts w:ascii="Calibri" w:hAnsi="Calibri" w:cs="Calibri"/>
          <w:sz w:val="22"/>
          <w:szCs w:val="22"/>
        </w:rPr>
        <w:t>on or before March 31 of each year, provide the Minister of Labour with a service plan that addresses the three-year period starting on January 1 of that year and achieves the following:</w:t>
      </w:r>
    </w:p>
    <w:p w:rsidR="00C50E48" w:rsidRPr="00C50E48" w:rsidRDefault="00C50E48" w:rsidP="00C50E48">
      <w:pPr>
        <w:numPr>
          <w:ilvl w:val="1"/>
          <w:numId w:val="17"/>
        </w:numPr>
        <w:spacing w:after="120"/>
        <w:rPr>
          <w:rFonts w:ascii="Calibri" w:hAnsi="Calibri" w:cs="Calibri"/>
          <w:sz w:val="22"/>
          <w:szCs w:val="22"/>
        </w:rPr>
      </w:pPr>
      <w:r w:rsidRPr="00C50E48">
        <w:rPr>
          <w:rFonts w:ascii="Calibri" w:hAnsi="Calibri" w:cs="Calibri"/>
          <w:sz w:val="22"/>
          <w:szCs w:val="22"/>
        </w:rPr>
        <w:t>sets out WorkSafeBC’s priorities;</w:t>
      </w:r>
    </w:p>
    <w:p w:rsidR="00C50E48" w:rsidRPr="00C50E48" w:rsidRDefault="00C50E48" w:rsidP="00C50E48">
      <w:pPr>
        <w:numPr>
          <w:ilvl w:val="1"/>
          <w:numId w:val="17"/>
        </w:numPr>
        <w:spacing w:after="120"/>
        <w:rPr>
          <w:rFonts w:ascii="Calibri" w:hAnsi="Calibri" w:cs="Calibri"/>
          <w:sz w:val="22"/>
          <w:szCs w:val="22"/>
        </w:rPr>
      </w:pPr>
      <w:r w:rsidRPr="00C50E48">
        <w:rPr>
          <w:rFonts w:ascii="Calibri" w:hAnsi="Calibri" w:cs="Calibri"/>
          <w:sz w:val="22"/>
          <w:szCs w:val="22"/>
        </w:rPr>
        <w:lastRenderedPageBreak/>
        <w:t>identifies specific objectives and performance measures for WorkSafeBC;</w:t>
      </w:r>
    </w:p>
    <w:p w:rsidR="00C50E48" w:rsidRPr="00C50E48" w:rsidRDefault="00C50E48" w:rsidP="00C50E48">
      <w:pPr>
        <w:numPr>
          <w:ilvl w:val="1"/>
          <w:numId w:val="17"/>
        </w:numPr>
        <w:spacing w:after="120"/>
        <w:rPr>
          <w:rFonts w:ascii="Calibri" w:hAnsi="Calibri" w:cs="Calibri"/>
          <w:sz w:val="22"/>
          <w:szCs w:val="22"/>
        </w:rPr>
      </w:pPr>
      <w:r w:rsidRPr="00C50E48">
        <w:rPr>
          <w:rFonts w:ascii="Calibri" w:hAnsi="Calibri" w:cs="Calibri"/>
          <w:sz w:val="22"/>
          <w:szCs w:val="22"/>
        </w:rPr>
        <w:t>provides a fiscal forecast for WorkSafeBC, including a statement of all material assumptions and policy decisions underlying the forecast;</w:t>
      </w:r>
    </w:p>
    <w:p w:rsidR="00C50E48" w:rsidRPr="00C50E48" w:rsidRDefault="00C50E48" w:rsidP="00C50E48">
      <w:pPr>
        <w:numPr>
          <w:ilvl w:val="1"/>
          <w:numId w:val="17"/>
        </w:numPr>
        <w:spacing w:after="120"/>
        <w:rPr>
          <w:rFonts w:ascii="Calibri" w:hAnsi="Calibri" w:cs="Calibri"/>
          <w:sz w:val="22"/>
          <w:szCs w:val="22"/>
        </w:rPr>
      </w:pPr>
      <w:r w:rsidRPr="00C50E48">
        <w:rPr>
          <w:rFonts w:ascii="Calibri" w:hAnsi="Calibri" w:cs="Calibri"/>
          <w:sz w:val="22"/>
          <w:szCs w:val="22"/>
        </w:rPr>
        <w:t>compares actual results of the previous year with the expected results identified in the previous year’s service plan; and</w:t>
      </w:r>
    </w:p>
    <w:p w:rsidR="0042201E" w:rsidRDefault="00C50E48" w:rsidP="00CA434F">
      <w:pPr>
        <w:numPr>
          <w:ilvl w:val="1"/>
          <w:numId w:val="17"/>
        </w:numPr>
        <w:spacing w:after="120"/>
        <w:rPr>
          <w:rFonts w:ascii="Calibri" w:hAnsi="Calibri" w:cs="Calibri"/>
          <w:sz w:val="22"/>
          <w:szCs w:val="22"/>
        </w:rPr>
      </w:pPr>
      <w:proofErr w:type="gramStart"/>
      <w:r w:rsidRPr="00C50E48">
        <w:rPr>
          <w:rFonts w:ascii="Calibri" w:hAnsi="Calibri" w:cs="Calibri"/>
          <w:sz w:val="22"/>
          <w:szCs w:val="22"/>
        </w:rPr>
        <w:t>presents</w:t>
      </w:r>
      <w:proofErr w:type="gramEnd"/>
      <w:r w:rsidRPr="00C50E48">
        <w:rPr>
          <w:rFonts w:ascii="Calibri" w:hAnsi="Calibri" w:cs="Calibri"/>
          <w:sz w:val="22"/>
          <w:szCs w:val="22"/>
        </w:rPr>
        <w:t xml:space="preserve"> other information WorkSafeBC considers appropriate.</w:t>
      </w:r>
    </w:p>
    <w:p w:rsidR="002F09D6" w:rsidRPr="0035663E" w:rsidRDefault="002F09D6" w:rsidP="0035663E">
      <w:pPr>
        <w:spacing w:after="120"/>
        <w:rPr>
          <w:rFonts w:ascii="Calibri" w:hAnsi="Calibri" w:cs="Calibri"/>
          <w:b/>
          <w:sz w:val="22"/>
          <w:szCs w:val="22"/>
        </w:rPr>
      </w:pPr>
      <w:r w:rsidRPr="0035663E">
        <w:rPr>
          <w:rFonts w:ascii="Calibri" w:hAnsi="Calibri" w:cs="Calibri"/>
          <w:b/>
          <w:sz w:val="22"/>
          <w:szCs w:val="22"/>
        </w:rPr>
        <w:t>Sweden</w:t>
      </w:r>
    </w:p>
    <w:p w:rsidR="00040347" w:rsidRDefault="00040347" w:rsidP="0035663E">
      <w:pPr>
        <w:numPr>
          <w:ilvl w:val="0"/>
          <w:numId w:val="3"/>
        </w:numPr>
        <w:spacing w:after="120"/>
        <w:ind w:left="709" w:hanging="709"/>
        <w:rPr>
          <w:rFonts w:ascii="Calibri" w:hAnsi="Calibri" w:cs="Calibri"/>
          <w:sz w:val="22"/>
          <w:szCs w:val="22"/>
        </w:rPr>
      </w:pPr>
      <w:r w:rsidRPr="00040347">
        <w:rPr>
          <w:rFonts w:ascii="Calibri" w:hAnsi="Calibri" w:cs="Calibri"/>
          <w:sz w:val="22"/>
          <w:szCs w:val="22"/>
        </w:rPr>
        <w:t xml:space="preserve">A compulsory workers’ compensation </w:t>
      </w:r>
      <w:r w:rsidR="00110DF1" w:rsidRPr="00040347">
        <w:rPr>
          <w:rFonts w:ascii="Calibri" w:hAnsi="Calibri" w:cs="Calibri"/>
          <w:sz w:val="22"/>
          <w:szCs w:val="22"/>
        </w:rPr>
        <w:t xml:space="preserve">system </w:t>
      </w:r>
      <w:r w:rsidRPr="00040347">
        <w:rPr>
          <w:rFonts w:ascii="Calibri" w:hAnsi="Calibri" w:cs="Calibri"/>
          <w:sz w:val="22"/>
          <w:szCs w:val="22"/>
        </w:rPr>
        <w:t xml:space="preserve">exists in Sweden </w:t>
      </w:r>
      <w:r w:rsidR="00110DF1">
        <w:rPr>
          <w:rFonts w:ascii="Calibri" w:hAnsi="Calibri" w:cs="Calibri"/>
          <w:sz w:val="22"/>
          <w:szCs w:val="22"/>
        </w:rPr>
        <w:t>as</w:t>
      </w:r>
      <w:r w:rsidRPr="00040347">
        <w:rPr>
          <w:rFonts w:ascii="Calibri" w:hAnsi="Calibri" w:cs="Calibri"/>
          <w:sz w:val="22"/>
          <w:szCs w:val="22"/>
        </w:rPr>
        <w:t xml:space="preserve"> part of the </w:t>
      </w:r>
      <w:r w:rsidRPr="0085458E">
        <w:rPr>
          <w:rFonts w:ascii="Calibri" w:hAnsi="Calibri" w:cs="Calibri"/>
          <w:sz w:val="22"/>
          <w:szCs w:val="22"/>
        </w:rPr>
        <w:t>national social insurance system</w:t>
      </w:r>
      <w:r w:rsidR="00E7234A">
        <w:rPr>
          <w:rFonts w:ascii="Calibri" w:hAnsi="Calibri" w:cs="Calibri"/>
          <w:sz w:val="22"/>
          <w:szCs w:val="22"/>
        </w:rPr>
        <w:t>.  This broader system</w:t>
      </w:r>
      <w:r w:rsidRPr="0085458E">
        <w:rPr>
          <w:rFonts w:ascii="Calibri" w:hAnsi="Calibri" w:cs="Calibri"/>
          <w:sz w:val="22"/>
          <w:szCs w:val="22"/>
        </w:rPr>
        <w:t xml:space="preserve"> provides comprehensive social security benefits including sickness and parental insurance, pension insurance, child allowance, maintenance advances and </w:t>
      </w:r>
      <w:proofErr w:type="gramStart"/>
      <w:r w:rsidRPr="0085458E">
        <w:rPr>
          <w:rFonts w:ascii="Calibri" w:hAnsi="Calibri" w:cs="Calibri"/>
          <w:sz w:val="22"/>
          <w:szCs w:val="22"/>
        </w:rPr>
        <w:t>housing</w:t>
      </w:r>
      <w:r>
        <w:rPr>
          <w:rFonts w:ascii="Calibri" w:hAnsi="Calibri" w:cs="Calibri"/>
          <w:sz w:val="22"/>
          <w:szCs w:val="22"/>
        </w:rPr>
        <w:t xml:space="preserve">  allowances</w:t>
      </w:r>
      <w:proofErr w:type="gramEnd"/>
      <w:r>
        <w:rPr>
          <w:rFonts w:ascii="Calibri" w:hAnsi="Calibri" w:cs="Calibri"/>
          <w:sz w:val="22"/>
          <w:szCs w:val="22"/>
        </w:rPr>
        <w:t xml:space="preserve"> and work injury insurance.</w:t>
      </w:r>
    </w:p>
    <w:p w:rsidR="00040347" w:rsidRDefault="00040347" w:rsidP="0035663E">
      <w:pPr>
        <w:numPr>
          <w:ilvl w:val="0"/>
          <w:numId w:val="3"/>
        </w:numPr>
        <w:spacing w:after="120"/>
        <w:ind w:left="709" w:hanging="709"/>
        <w:rPr>
          <w:rFonts w:ascii="Calibri" w:hAnsi="Calibri" w:cs="Calibri"/>
          <w:sz w:val="22"/>
          <w:szCs w:val="22"/>
        </w:rPr>
      </w:pPr>
      <w:r>
        <w:rPr>
          <w:rFonts w:ascii="Calibri" w:hAnsi="Calibri" w:cs="Calibri"/>
          <w:sz w:val="22"/>
          <w:szCs w:val="22"/>
        </w:rPr>
        <w:t>All employees are covered by the system, including those undergoing training or education, if the injury or disease is as a result of the training or education. All employers are part of the scheme and self insurance is not permitted.</w:t>
      </w:r>
    </w:p>
    <w:p w:rsidR="00040347" w:rsidRDefault="00040347" w:rsidP="0035663E">
      <w:pPr>
        <w:numPr>
          <w:ilvl w:val="0"/>
          <w:numId w:val="3"/>
        </w:numPr>
        <w:spacing w:after="120"/>
        <w:ind w:left="709" w:hanging="709"/>
        <w:rPr>
          <w:rFonts w:ascii="Calibri" w:hAnsi="Calibri" w:cs="Calibri"/>
          <w:sz w:val="22"/>
          <w:szCs w:val="22"/>
        </w:rPr>
      </w:pPr>
      <w:r>
        <w:rPr>
          <w:rFonts w:ascii="Calibri" w:hAnsi="Calibri" w:cs="Calibri"/>
          <w:sz w:val="22"/>
          <w:szCs w:val="22"/>
        </w:rPr>
        <w:t xml:space="preserve">The </w:t>
      </w:r>
      <w:r w:rsidR="00C243EC">
        <w:rPr>
          <w:rFonts w:ascii="Calibri" w:hAnsi="Calibri" w:cs="Calibri"/>
          <w:sz w:val="22"/>
          <w:szCs w:val="22"/>
        </w:rPr>
        <w:t xml:space="preserve">national insurance system is governed by a National Social Insurance Board, an independent government body. The National Social Insurance Board is led by a Committee comprising the Director General and other Board members appointed by Government. </w:t>
      </w:r>
      <w:r w:rsidR="00AA68E9">
        <w:rPr>
          <w:rFonts w:ascii="Calibri" w:hAnsi="Calibri" w:cs="Calibri"/>
          <w:sz w:val="22"/>
          <w:szCs w:val="22"/>
        </w:rPr>
        <w:t>R</w:t>
      </w:r>
      <w:r w:rsidR="00C243EC">
        <w:rPr>
          <w:rFonts w:ascii="Calibri" w:hAnsi="Calibri" w:cs="Calibri"/>
          <w:sz w:val="22"/>
          <w:szCs w:val="22"/>
        </w:rPr>
        <w:t xml:space="preserve">egional Social Insurance Offices across the country are responsible </w:t>
      </w:r>
      <w:proofErr w:type="gramStart"/>
      <w:r w:rsidR="00C243EC">
        <w:rPr>
          <w:rFonts w:ascii="Calibri" w:hAnsi="Calibri" w:cs="Calibri"/>
          <w:sz w:val="22"/>
          <w:szCs w:val="22"/>
        </w:rPr>
        <w:t>for  administration</w:t>
      </w:r>
      <w:proofErr w:type="gramEnd"/>
      <w:r w:rsidR="00C243EC">
        <w:rPr>
          <w:rFonts w:ascii="Calibri" w:hAnsi="Calibri" w:cs="Calibri"/>
          <w:sz w:val="22"/>
          <w:szCs w:val="22"/>
        </w:rPr>
        <w:t xml:space="preserve"> of the scheme and service delivery. </w:t>
      </w:r>
    </w:p>
    <w:p w:rsidR="002F09D6" w:rsidRPr="0050660D" w:rsidRDefault="00C243EC" w:rsidP="0035663E">
      <w:pPr>
        <w:numPr>
          <w:ilvl w:val="0"/>
          <w:numId w:val="3"/>
        </w:numPr>
        <w:spacing w:after="120"/>
        <w:ind w:left="709" w:hanging="709"/>
        <w:rPr>
          <w:rFonts w:ascii="Calibri" w:hAnsi="Calibri" w:cs="Calibri"/>
          <w:sz w:val="22"/>
          <w:szCs w:val="22"/>
        </w:rPr>
      </w:pPr>
      <w:r>
        <w:rPr>
          <w:rFonts w:ascii="Calibri" w:hAnsi="Calibri" w:cs="Calibri"/>
          <w:sz w:val="22"/>
          <w:szCs w:val="22"/>
        </w:rPr>
        <w:t>The National Social Insurance Board is answerable to Government in the development and implementation of policies and programs in line with the Government’s objectives.</w:t>
      </w:r>
    </w:p>
    <w:p w:rsidR="002F09D6" w:rsidRDefault="002F09D6" w:rsidP="0035663E">
      <w:pPr>
        <w:spacing w:after="120"/>
        <w:rPr>
          <w:rFonts w:ascii="Calibri" w:hAnsi="Calibri" w:cs="Calibri"/>
          <w:sz w:val="22"/>
          <w:szCs w:val="22"/>
        </w:rPr>
      </w:pPr>
    </w:p>
    <w:p w:rsidR="00CA434F" w:rsidRDefault="00CA434F" w:rsidP="00CA434F">
      <w:pPr>
        <w:spacing w:after="120"/>
        <w:rPr>
          <w:rFonts w:ascii="Calibri" w:hAnsi="Calibri" w:cs="Calibri"/>
          <w:sz w:val="22"/>
          <w:szCs w:val="22"/>
        </w:rPr>
        <w:sectPr w:rsidR="00CA434F" w:rsidSect="001A6F4C">
          <w:headerReference w:type="even" r:id="rId21"/>
          <w:headerReference w:type="default" r:id="rId22"/>
          <w:footerReference w:type="even" r:id="rId23"/>
          <w:headerReference w:type="first" r:id="rId24"/>
          <w:footerReference w:type="first" r:id="rId25"/>
          <w:pgSz w:w="11906" w:h="16838"/>
          <w:pgMar w:top="1440" w:right="1440" w:bottom="1440" w:left="1440" w:header="708" w:footer="708" w:gutter="0"/>
          <w:pgNumType w:start="1"/>
          <w:cols w:space="708"/>
          <w:docGrid w:linePitch="360"/>
        </w:sectPr>
      </w:pPr>
    </w:p>
    <w:p w:rsidR="004102BE" w:rsidRPr="004102BE" w:rsidRDefault="004102BE" w:rsidP="004102BE">
      <w:pPr>
        <w:keepNext/>
        <w:pageBreakBefore/>
        <w:pBdr>
          <w:bottom w:val="single" w:sz="4" w:space="1" w:color="auto"/>
        </w:pBdr>
        <w:spacing w:after="240"/>
        <w:ind w:right="-142"/>
        <w:outlineLvl w:val="1"/>
        <w:rPr>
          <w:rFonts w:ascii="Cambria" w:eastAsiaTheme="majorEastAsia" w:hAnsi="Cambria" w:cstheme="majorHAnsi"/>
          <w:iCs/>
          <w:color w:val="1F497D" w:themeColor="text2"/>
          <w:kern w:val="32"/>
          <w:sz w:val="44"/>
          <w:szCs w:val="44"/>
        </w:rPr>
      </w:pPr>
      <w:bookmarkStart w:id="287" w:name="_Toc341777943"/>
      <w:bookmarkStart w:id="288" w:name="_Toc342578311"/>
      <w:r w:rsidRPr="004102BE">
        <w:rPr>
          <w:rFonts w:ascii="Cambria" w:eastAsiaTheme="majorEastAsia" w:hAnsi="Cambria" w:cstheme="majorHAnsi"/>
          <w:iCs/>
          <w:color w:val="1F497D" w:themeColor="text2"/>
          <w:kern w:val="32"/>
          <w:sz w:val="44"/>
          <w:szCs w:val="44"/>
        </w:rPr>
        <w:lastRenderedPageBreak/>
        <w:t xml:space="preserve">Chapter 2: The Comcare Scheme’s Performance and Ways to </w:t>
      </w:r>
      <w:proofErr w:type="gramStart"/>
      <w:r w:rsidRPr="004102BE">
        <w:rPr>
          <w:rFonts w:ascii="Cambria" w:eastAsiaTheme="majorEastAsia" w:hAnsi="Cambria" w:cstheme="majorHAnsi"/>
          <w:iCs/>
          <w:color w:val="1F497D" w:themeColor="text2"/>
          <w:kern w:val="32"/>
          <w:sz w:val="44"/>
          <w:szCs w:val="44"/>
        </w:rPr>
        <w:t>Improve</w:t>
      </w:r>
      <w:proofErr w:type="gramEnd"/>
      <w:r w:rsidRPr="004102BE">
        <w:rPr>
          <w:rFonts w:ascii="Cambria" w:eastAsiaTheme="majorEastAsia" w:hAnsi="Cambria" w:cstheme="majorHAnsi"/>
          <w:iCs/>
          <w:color w:val="1F497D" w:themeColor="text2"/>
          <w:kern w:val="32"/>
          <w:sz w:val="44"/>
          <w:szCs w:val="44"/>
        </w:rPr>
        <w:t xml:space="preserve"> its Operation</w:t>
      </w:r>
      <w:bookmarkEnd w:id="287"/>
      <w:bookmarkEnd w:id="288"/>
    </w:p>
    <w:p w:rsidR="004102BE" w:rsidRPr="004102BE" w:rsidRDefault="004102BE" w:rsidP="004102BE">
      <w:pPr>
        <w:numPr>
          <w:ilvl w:val="1"/>
          <w:numId w:val="31"/>
        </w:numPr>
        <w:spacing w:after="120"/>
        <w:ind w:left="709" w:hanging="709"/>
        <w:outlineLvl w:val="0"/>
        <w:rPr>
          <w:rFonts w:ascii="Calibri" w:eastAsiaTheme="minorHAnsi" w:hAnsi="Calibri" w:cs="Calibri"/>
          <w:sz w:val="22"/>
          <w:lang w:eastAsia="en-US"/>
        </w:rPr>
      </w:pPr>
      <w:bookmarkStart w:id="289" w:name="_Toc341777944"/>
      <w:bookmarkStart w:id="290" w:name="_Toc341780704"/>
      <w:bookmarkStart w:id="291" w:name="_Toc342578312"/>
      <w:r w:rsidRPr="004102BE">
        <w:rPr>
          <w:rFonts w:ascii="Calibri" w:eastAsiaTheme="minorHAnsi" w:hAnsi="Calibri" w:cs="Calibri"/>
          <w:sz w:val="22"/>
          <w:lang w:eastAsia="en-US"/>
        </w:rPr>
        <w:t xml:space="preserve">This Chapter reviews the regulatory roles played by the SRCC and Comcare and the challenges that a shared regulatory role poses for the Comcare scheme.  Consultations indicate some confusion about current arrangements, which require further </w:t>
      </w:r>
      <w:r w:rsidR="00173FC9" w:rsidRPr="004102BE">
        <w:rPr>
          <w:rFonts w:ascii="Calibri" w:eastAsiaTheme="minorHAnsi" w:hAnsi="Calibri" w:cs="Calibri"/>
          <w:sz w:val="22"/>
          <w:lang w:eastAsia="en-US"/>
        </w:rPr>
        <w:t>clarification to</w:t>
      </w:r>
      <w:r w:rsidRPr="004102BE">
        <w:rPr>
          <w:rFonts w:ascii="Calibri" w:eastAsiaTheme="minorHAnsi" w:hAnsi="Calibri" w:cs="Calibri"/>
          <w:sz w:val="22"/>
          <w:lang w:eastAsia="en-US"/>
        </w:rPr>
        <w:t xml:space="preserve"> ensure more effective regulation of the Comcare scheme.</w:t>
      </w:r>
      <w:bookmarkEnd w:id="289"/>
      <w:bookmarkEnd w:id="290"/>
      <w:bookmarkEnd w:id="291"/>
    </w:p>
    <w:p w:rsidR="004102BE" w:rsidRPr="004102BE" w:rsidRDefault="004102BE" w:rsidP="004102BE">
      <w:pPr>
        <w:numPr>
          <w:ilvl w:val="1"/>
          <w:numId w:val="31"/>
        </w:numPr>
        <w:spacing w:after="120"/>
        <w:ind w:left="709" w:hanging="709"/>
        <w:outlineLvl w:val="0"/>
        <w:rPr>
          <w:rFonts w:ascii="Calibri" w:eastAsiaTheme="minorHAnsi" w:hAnsi="Calibri" w:cs="Calibri"/>
          <w:sz w:val="22"/>
          <w:lang w:eastAsia="en-US"/>
        </w:rPr>
      </w:pPr>
      <w:bookmarkStart w:id="292" w:name="_Toc341777945"/>
      <w:bookmarkStart w:id="293" w:name="_Toc341780705"/>
      <w:bookmarkStart w:id="294" w:name="_Toc342578313"/>
      <w:r w:rsidRPr="004102BE">
        <w:rPr>
          <w:rFonts w:ascii="Calibri" w:eastAsiaTheme="minorHAnsi" w:hAnsi="Calibri" w:cs="Calibri"/>
          <w:sz w:val="22"/>
          <w:lang w:eastAsia="en-US"/>
        </w:rPr>
        <w:t xml:space="preserve">The SRCC’s role in monitoring the performance of determining authorities, including Comcare, and the challenges in providing regulatory oversight of Comcare as a determining authority are discussed. This is particularly important because the SRCC and Comcare share the Comcare scheme regulatory role. The regulatory </w:t>
      </w:r>
      <w:r w:rsidR="00173FC9" w:rsidRPr="004102BE">
        <w:rPr>
          <w:rFonts w:ascii="Calibri" w:eastAsiaTheme="minorHAnsi" w:hAnsi="Calibri" w:cs="Calibri"/>
          <w:sz w:val="22"/>
          <w:lang w:eastAsia="en-US"/>
        </w:rPr>
        <w:t>framework for</w:t>
      </w:r>
      <w:r w:rsidRPr="004102BE">
        <w:rPr>
          <w:rFonts w:ascii="Calibri" w:eastAsiaTheme="minorHAnsi" w:hAnsi="Calibri" w:cs="Calibri"/>
          <w:sz w:val="22"/>
          <w:lang w:eastAsia="en-US"/>
        </w:rPr>
        <w:t xml:space="preserve"> the licensees is reviewed and </w:t>
      </w:r>
      <w:r w:rsidR="00173FC9" w:rsidRPr="004102BE">
        <w:rPr>
          <w:rFonts w:ascii="Calibri" w:eastAsiaTheme="minorHAnsi" w:hAnsi="Calibri" w:cs="Calibri"/>
          <w:sz w:val="22"/>
          <w:lang w:eastAsia="en-US"/>
        </w:rPr>
        <w:t>compared to</w:t>
      </w:r>
      <w:r w:rsidRPr="004102BE">
        <w:rPr>
          <w:rFonts w:ascii="Calibri" w:eastAsiaTheme="minorHAnsi" w:hAnsi="Calibri" w:cs="Calibri"/>
          <w:sz w:val="22"/>
          <w:lang w:eastAsia="en-US"/>
        </w:rPr>
        <w:t xml:space="preserve"> what applies to Comcare as a determining authority for the premium-payer side of the scheme.</w:t>
      </w:r>
      <w:bookmarkEnd w:id="292"/>
      <w:bookmarkEnd w:id="293"/>
      <w:bookmarkEnd w:id="294"/>
    </w:p>
    <w:p w:rsidR="004102BE" w:rsidRPr="004102BE" w:rsidRDefault="004102BE" w:rsidP="004102BE">
      <w:pPr>
        <w:numPr>
          <w:ilvl w:val="1"/>
          <w:numId w:val="31"/>
        </w:numPr>
        <w:spacing w:after="120"/>
        <w:ind w:left="709" w:hanging="709"/>
        <w:outlineLvl w:val="0"/>
        <w:rPr>
          <w:rFonts w:ascii="Calibri" w:eastAsiaTheme="minorHAnsi" w:hAnsi="Calibri" w:cs="Calibri"/>
          <w:sz w:val="22"/>
          <w:lang w:eastAsia="en-US"/>
        </w:rPr>
      </w:pPr>
      <w:bookmarkStart w:id="295" w:name="_Toc341777946"/>
      <w:bookmarkStart w:id="296" w:name="_Toc341780706"/>
      <w:bookmarkStart w:id="297" w:name="_Toc342578314"/>
      <w:r w:rsidRPr="004102BE">
        <w:rPr>
          <w:rFonts w:ascii="Calibri" w:eastAsiaTheme="minorHAnsi" w:hAnsi="Calibri" w:cs="Calibri"/>
          <w:sz w:val="22"/>
          <w:lang w:eastAsia="en-US"/>
        </w:rPr>
        <w:t>The overall performance of the Comcare scheme is also examined as well as a comparison between the performance outcomes of the premium-paying scheme and the licensees.  Opportunities for improvement are identified and recent efforts by Comcare to improve its service delivery, including its claims management governance framework are reviewed.</w:t>
      </w:r>
      <w:bookmarkEnd w:id="295"/>
      <w:bookmarkEnd w:id="296"/>
      <w:bookmarkEnd w:id="297"/>
    </w:p>
    <w:p w:rsidR="00373953" w:rsidRDefault="00373953" w:rsidP="004102BE">
      <w:pPr>
        <w:spacing w:before="100" w:beforeAutospacing="1" w:after="100" w:afterAutospacing="1"/>
        <w:outlineLvl w:val="0"/>
        <w:rPr>
          <w:rFonts w:ascii="Arial" w:hAnsi="Arial"/>
          <w:bCs/>
          <w:caps/>
          <w:color w:val="1F497D" w:themeColor="text2"/>
          <w:kern w:val="36"/>
          <w:sz w:val="28"/>
          <w:szCs w:val="28"/>
        </w:rPr>
      </w:pPr>
      <w:bookmarkStart w:id="298" w:name="_Toc341777947"/>
    </w:p>
    <w:p w:rsidR="004102BE" w:rsidRPr="004102BE" w:rsidRDefault="004102BE" w:rsidP="004102BE">
      <w:pPr>
        <w:spacing w:before="100" w:beforeAutospacing="1" w:after="100" w:afterAutospacing="1"/>
        <w:outlineLvl w:val="0"/>
        <w:rPr>
          <w:rFonts w:ascii="Arial" w:hAnsi="Arial"/>
          <w:bCs/>
          <w:caps/>
          <w:color w:val="1F497D" w:themeColor="text2"/>
          <w:kern w:val="36"/>
          <w:sz w:val="28"/>
          <w:szCs w:val="28"/>
        </w:rPr>
      </w:pPr>
      <w:bookmarkStart w:id="299" w:name="_Toc342578315"/>
      <w:r w:rsidRPr="004102BE">
        <w:rPr>
          <w:rFonts w:ascii="Arial" w:hAnsi="Arial"/>
          <w:bCs/>
          <w:caps/>
          <w:color w:val="1F497D" w:themeColor="text2"/>
          <w:kern w:val="36"/>
          <w:sz w:val="28"/>
          <w:szCs w:val="28"/>
        </w:rPr>
        <w:t>Comcare scheme Performance</w:t>
      </w:r>
      <w:bookmarkEnd w:id="298"/>
      <w:bookmarkEnd w:id="299"/>
    </w:p>
    <w:p w:rsidR="004102BE" w:rsidRPr="004102BE" w:rsidRDefault="004102BE" w:rsidP="004102BE">
      <w:pPr>
        <w:keepNext/>
        <w:keepLines/>
        <w:spacing w:before="100" w:beforeAutospacing="1" w:after="100" w:afterAutospacing="1"/>
        <w:outlineLvl w:val="2"/>
        <w:rPr>
          <w:rFonts w:ascii="Arial Bold" w:eastAsiaTheme="majorEastAsia" w:hAnsi="Arial Bold" w:cs="Calibri"/>
          <w:bCs/>
          <w:caps/>
          <w:color w:val="1F497D" w:themeColor="text2"/>
          <w:sz w:val="23"/>
          <w:szCs w:val="23"/>
        </w:rPr>
      </w:pPr>
      <w:bookmarkStart w:id="300" w:name="_Toc341777948"/>
      <w:bookmarkStart w:id="301" w:name="_Toc342578316"/>
      <w:r w:rsidRPr="004102BE">
        <w:rPr>
          <w:rFonts w:ascii="Arial Bold" w:eastAsiaTheme="majorEastAsia" w:hAnsi="Arial Bold" w:cs="Calibri"/>
          <w:bCs/>
          <w:caps/>
          <w:color w:val="1F497D" w:themeColor="text2"/>
          <w:sz w:val="23"/>
          <w:szCs w:val="23"/>
        </w:rPr>
        <w:t>History of scheme performance</w:t>
      </w:r>
      <w:bookmarkEnd w:id="300"/>
      <w:bookmarkEnd w:id="301"/>
    </w:p>
    <w:p w:rsidR="004102BE" w:rsidRPr="004102BE" w:rsidRDefault="004102BE" w:rsidP="004102BE">
      <w:pPr>
        <w:numPr>
          <w:ilvl w:val="1"/>
          <w:numId w:val="31"/>
        </w:numPr>
        <w:spacing w:after="120"/>
        <w:ind w:left="709" w:hanging="709"/>
        <w:outlineLvl w:val="0"/>
        <w:rPr>
          <w:rFonts w:ascii="Calibri" w:eastAsiaTheme="minorHAnsi" w:hAnsi="Calibri" w:cs="Calibri"/>
          <w:sz w:val="22"/>
          <w:lang w:eastAsia="en-US"/>
        </w:rPr>
      </w:pPr>
      <w:bookmarkStart w:id="302" w:name="_Toc341777949"/>
      <w:bookmarkStart w:id="303" w:name="_Toc341780709"/>
      <w:bookmarkStart w:id="304" w:name="_Toc342578317"/>
      <w:r w:rsidRPr="004102BE">
        <w:rPr>
          <w:rFonts w:ascii="Calibri" w:eastAsiaTheme="minorHAnsi" w:hAnsi="Calibri" w:cs="Calibri"/>
          <w:sz w:val="22"/>
          <w:lang w:eastAsia="en-US"/>
        </w:rPr>
        <w:t>Historically, the Comcare scheme has performed comparatively well compared to other state and territory workers’ compensation schemes, particularly when considering the outcomes for injured employees, and in terms of the total cost of the scheme.</w:t>
      </w:r>
      <w:bookmarkEnd w:id="302"/>
      <w:bookmarkEnd w:id="303"/>
      <w:bookmarkEnd w:id="304"/>
    </w:p>
    <w:p w:rsidR="004102BE" w:rsidRDefault="004102BE" w:rsidP="004102BE">
      <w:pPr>
        <w:numPr>
          <w:ilvl w:val="1"/>
          <w:numId w:val="31"/>
        </w:numPr>
        <w:spacing w:after="120"/>
        <w:ind w:left="709" w:hanging="709"/>
        <w:outlineLvl w:val="0"/>
        <w:rPr>
          <w:rFonts w:ascii="Calibri" w:eastAsiaTheme="minorHAnsi" w:hAnsi="Calibri" w:cs="Calibri"/>
          <w:sz w:val="22"/>
          <w:lang w:eastAsia="en-US"/>
        </w:rPr>
      </w:pPr>
      <w:bookmarkStart w:id="305" w:name="_Toc341777950"/>
      <w:bookmarkStart w:id="306" w:name="_Toc341780710"/>
      <w:bookmarkStart w:id="307" w:name="_Toc342578318"/>
      <w:r w:rsidRPr="004102BE">
        <w:rPr>
          <w:rFonts w:ascii="Calibri" w:eastAsiaTheme="minorHAnsi" w:hAnsi="Calibri" w:cs="Calibri"/>
          <w:sz w:val="22"/>
          <w:lang w:eastAsia="en-US"/>
        </w:rPr>
        <w:t>The recent Comparative Performance Report on work health and safety and workers’ compensation schemes in Australia and New Zealand</w:t>
      </w:r>
      <w:r w:rsidRPr="004102BE">
        <w:rPr>
          <w:rFonts w:ascii="Calibri" w:hAnsi="Calibri" w:cs="Calibri"/>
          <w:sz w:val="22"/>
          <w:vertAlign w:val="superscript"/>
          <w:lang w:eastAsia="en-US"/>
        </w:rPr>
        <w:footnoteReference w:id="16"/>
      </w:r>
      <w:r w:rsidRPr="004102BE">
        <w:rPr>
          <w:rFonts w:ascii="Calibri" w:eastAsiaTheme="minorHAnsi" w:hAnsi="Calibri" w:cs="Calibri"/>
          <w:sz w:val="22"/>
          <w:lang w:eastAsia="en-US"/>
        </w:rPr>
        <w:t xml:space="preserve"> shows that the Comcare </w:t>
      </w:r>
      <w:r w:rsidR="00173FC9" w:rsidRPr="004102BE">
        <w:rPr>
          <w:rFonts w:ascii="Calibri" w:eastAsiaTheme="minorHAnsi" w:hAnsi="Calibri" w:cs="Calibri"/>
          <w:sz w:val="22"/>
          <w:lang w:eastAsia="en-US"/>
        </w:rPr>
        <w:t>scheme has</w:t>
      </w:r>
      <w:r w:rsidRPr="004102BE">
        <w:rPr>
          <w:rFonts w:ascii="Calibri" w:eastAsiaTheme="minorHAnsi" w:hAnsi="Calibri" w:cs="Calibri"/>
          <w:sz w:val="22"/>
          <w:lang w:eastAsia="en-US"/>
        </w:rPr>
        <w:t xml:space="preserve"> had one of the highest durable </w:t>
      </w:r>
      <w:r w:rsidR="00AA68E9">
        <w:rPr>
          <w:rFonts w:ascii="Calibri" w:eastAsiaTheme="minorHAnsi" w:hAnsi="Calibri" w:cs="Calibri"/>
          <w:sz w:val="22"/>
          <w:lang w:eastAsia="en-US"/>
        </w:rPr>
        <w:t>R</w:t>
      </w:r>
      <w:r w:rsidRPr="004102BE">
        <w:rPr>
          <w:rFonts w:ascii="Calibri" w:eastAsiaTheme="minorHAnsi" w:hAnsi="Calibri" w:cs="Calibri"/>
          <w:sz w:val="22"/>
          <w:lang w:eastAsia="en-US"/>
        </w:rPr>
        <w:t xml:space="preserve">eturn to </w:t>
      </w:r>
      <w:proofErr w:type="gramStart"/>
      <w:r w:rsidR="00AA68E9">
        <w:rPr>
          <w:rFonts w:ascii="Calibri" w:eastAsiaTheme="minorHAnsi" w:hAnsi="Calibri" w:cs="Calibri"/>
          <w:sz w:val="22"/>
          <w:lang w:eastAsia="en-US"/>
        </w:rPr>
        <w:t>W</w:t>
      </w:r>
      <w:r w:rsidRPr="004102BE">
        <w:rPr>
          <w:rFonts w:ascii="Calibri" w:eastAsiaTheme="minorHAnsi" w:hAnsi="Calibri" w:cs="Calibri"/>
          <w:sz w:val="22"/>
          <w:lang w:eastAsia="en-US"/>
        </w:rPr>
        <w:t>ork</w:t>
      </w:r>
      <w:r w:rsidR="00AA68E9">
        <w:rPr>
          <w:rFonts w:ascii="Calibri" w:eastAsiaTheme="minorHAnsi" w:hAnsi="Calibri" w:cs="Calibri"/>
          <w:sz w:val="22"/>
          <w:lang w:eastAsia="en-US"/>
        </w:rPr>
        <w:t>(</w:t>
      </w:r>
      <w:proofErr w:type="gramEnd"/>
      <w:r w:rsidR="00AA68E9">
        <w:rPr>
          <w:rFonts w:ascii="Calibri" w:eastAsiaTheme="minorHAnsi" w:hAnsi="Calibri" w:cs="Calibri"/>
          <w:sz w:val="22"/>
          <w:lang w:eastAsia="en-US"/>
        </w:rPr>
        <w:t>RTW)</w:t>
      </w:r>
      <w:r w:rsidRPr="004102BE">
        <w:rPr>
          <w:rFonts w:ascii="Calibri" w:eastAsiaTheme="minorHAnsi" w:hAnsi="Calibri" w:cs="Calibri"/>
          <w:sz w:val="22"/>
          <w:lang w:eastAsia="en-US"/>
        </w:rPr>
        <w:t xml:space="preserve"> rates when compared with other jurisdictions. Since 2005-06, the Comcare scheme has consistently had one of the highest </w:t>
      </w:r>
      <w:r w:rsidR="00AA68E9">
        <w:rPr>
          <w:rFonts w:ascii="Calibri" w:eastAsiaTheme="minorHAnsi" w:hAnsi="Calibri" w:cs="Calibri"/>
          <w:sz w:val="22"/>
          <w:lang w:eastAsia="en-US"/>
        </w:rPr>
        <w:t>RTW</w:t>
      </w:r>
      <w:r w:rsidRPr="004102BE">
        <w:rPr>
          <w:rFonts w:ascii="Calibri" w:eastAsiaTheme="minorHAnsi" w:hAnsi="Calibri" w:cs="Calibri"/>
          <w:sz w:val="22"/>
          <w:lang w:eastAsia="en-US"/>
        </w:rPr>
        <w:t xml:space="preserve"> rates of all jurisdictions across Australia, as shown </w:t>
      </w:r>
      <w:r w:rsidR="00173FC9" w:rsidRPr="004102BE">
        <w:rPr>
          <w:rFonts w:ascii="Calibri" w:eastAsiaTheme="minorHAnsi" w:hAnsi="Calibri" w:cs="Calibri"/>
          <w:sz w:val="22"/>
          <w:lang w:eastAsia="en-US"/>
        </w:rPr>
        <w:t>in Figure</w:t>
      </w:r>
      <w:r w:rsidRPr="004102BE">
        <w:rPr>
          <w:rFonts w:ascii="Calibri" w:eastAsiaTheme="minorHAnsi" w:hAnsi="Calibri" w:cs="Calibri"/>
          <w:sz w:val="22"/>
          <w:lang w:eastAsia="en-US"/>
        </w:rPr>
        <w:t xml:space="preserve"> 2.1.</w:t>
      </w:r>
      <w:bookmarkEnd w:id="305"/>
      <w:bookmarkEnd w:id="306"/>
      <w:bookmarkEnd w:id="307"/>
    </w:p>
    <w:p w:rsidR="002555F4" w:rsidRPr="0035663E" w:rsidRDefault="00373953">
      <w:pPr>
        <w:numPr>
          <w:ilvl w:val="1"/>
          <w:numId w:val="31"/>
        </w:numPr>
        <w:spacing w:after="120"/>
        <w:ind w:left="709" w:hanging="709"/>
        <w:outlineLvl w:val="0"/>
        <w:rPr>
          <w:rFonts w:ascii="Calibri" w:eastAsiaTheme="minorHAnsi" w:hAnsi="Calibri" w:cs="Calibri"/>
          <w:sz w:val="22"/>
          <w:lang w:eastAsia="en-US"/>
        </w:rPr>
      </w:pPr>
      <w:bookmarkStart w:id="308" w:name="_Toc342578319"/>
      <w:r w:rsidRPr="00373953">
        <w:rPr>
          <w:rFonts w:ascii="Calibri" w:eastAsiaTheme="minorHAnsi" w:hAnsi="Calibri" w:cs="Calibri"/>
          <w:sz w:val="22"/>
          <w:lang w:eastAsia="en-US"/>
        </w:rPr>
        <w:t>The average Comcare premium</w:t>
      </w:r>
      <w:r w:rsidR="00E7234A">
        <w:rPr>
          <w:rFonts w:ascii="Calibri" w:eastAsiaTheme="minorHAnsi" w:hAnsi="Calibri" w:cs="Calibri"/>
          <w:sz w:val="22"/>
          <w:lang w:eastAsia="en-US"/>
        </w:rPr>
        <w:t xml:space="preserve"> (for Australian Government agencies)</w:t>
      </w:r>
      <w:r w:rsidRPr="00373953">
        <w:rPr>
          <w:rFonts w:ascii="Calibri" w:eastAsiaTheme="minorHAnsi" w:hAnsi="Calibri" w:cs="Calibri"/>
          <w:sz w:val="22"/>
          <w:lang w:eastAsia="en-US"/>
        </w:rPr>
        <w:t xml:space="preserve"> was also one of the lowest across all Australian jurisdictions as shown in Figure 2.2.</w:t>
      </w:r>
      <w:bookmarkEnd w:id="308"/>
    </w:p>
    <w:p w:rsidR="0050660D" w:rsidRDefault="0050660D">
      <w:pPr>
        <w:spacing w:after="120"/>
        <w:ind w:hanging="709"/>
        <w:rPr>
          <w:rFonts w:ascii="Calibri" w:eastAsiaTheme="minorHAnsi" w:hAnsi="Calibri" w:cs="Calibri"/>
          <w:sz w:val="22"/>
          <w:lang w:eastAsia="en-US"/>
        </w:rPr>
      </w:pPr>
      <w:r>
        <w:rPr>
          <w:rFonts w:ascii="Calibri" w:eastAsiaTheme="minorHAnsi" w:hAnsi="Calibri" w:cs="Calibri"/>
          <w:sz w:val="22"/>
          <w:lang w:eastAsia="en-US"/>
        </w:rPr>
        <w:br w:type="page"/>
      </w:r>
    </w:p>
    <w:p w:rsidR="004102BE" w:rsidRPr="004102BE" w:rsidRDefault="004102BE" w:rsidP="004102BE">
      <w:pPr>
        <w:ind w:left="360"/>
        <w:jc w:val="center"/>
        <w:rPr>
          <w:rFonts w:ascii="Calibri" w:eastAsiaTheme="minorHAnsi" w:hAnsi="Calibri" w:cs="Calibri"/>
          <w:b/>
          <w:sz w:val="22"/>
          <w:lang w:eastAsia="en-US"/>
        </w:rPr>
      </w:pPr>
      <w:r w:rsidRPr="004102BE">
        <w:rPr>
          <w:rFonts w:ascii="Calibri" w:eastAsiaTheme="minorHAnsi" w:hAnsi="Calibri" w:cs="Calibri"/>
          <w:b/>
          <w:sz w:val="22"/>
          <w:lang w:eastAsia="en-US"/>
        </w:rPr>
        <w:lastRenderedPageBreak/>
        <w:t>Figure 2.1: Durable Return to Work</w:t>
      </w:r>
    </w:p>
    <w:p w:rsidR="004102BE" w:rsidRPr="004102BE" w:rsidRDefault="004102BE" w:rsidP="004102BE">
      <w:pPr>
        <w:rPr>
          <w:rFonts w:ascii="Calibri" w:eastAsiaTheme="minorHAnsi" w:hAnsi="Calibri" w:cs="Calibri"/>
          <w:sz w:val="22"/>
          <w:lang w:eastAsia="en-US"/>
        </w:rPr>
      </w:pPr>
    </w:p>
    <w:p w:rsidR="004102BE" w:rsidRPr="004102BE" w:rsidRDefault="004102BE" w:rsidP="004102BE">
      <w:pPr>
        <w:keepNext/>
        <w:keepLines/>
        <w:spacing w:after="120"/>
        <w:ind w:left="709" w:hanging="709"/>
        <w:jc w:val="center"/>
        <w:rPr>
          <w:rFonts w:ascii="Calibri" w:eastAsiaTheme="minorHAnsi" w:hAnsi="Calibri" w:cs="Calibri"/>
          <w:b/>
          <w:noProof/>
          <w:sz w:val="22"/>
          <w:szCs w:val="22"/>
        </w:rPr>
      </w:pPr>
      <w:r w:rsidRPr="0035663E">
        <w:rPr>
          <w:rFonts w:ascii="Calibri" w:eastAsiaTheme="minorHAnsi" w:hAnsi="Calibri" w:cs="Calibri"/>
          <w:b/>
          <w:noProof/>
          <w:sz w:val="22"/>
          <w:szCs w:val="22"/>
        </w:rPr>
        <w:drawing>
          <wp:inline distT="0" distB="0" distL="0" distR="0" wp14:anchorId="5D67843A" wp14:editId="674892D7">
            <wp:extent cx="5953125" cy="3200400"/>
            <wp:effectExtent l="0" t="0" r="9525" b="19050"/>
            <wp:docPr id="1" name="Chart 12" descr="This table shows the return to work rates, in percentages, for individual Australian workers compensation schemes from 2006 to 2011.  Comparisons are also included for Australia and New Zealand.&#10;&#10;Comcare:&#10;2006 to 2007: 85 percent&#10;2007 to 2008: 84 percent&#10;2008 to 2009: 88 percent&#10;2009 to 2010: 81 percent&#10;2010 to 2011: 81 percent&#10;&#10;Tasmania:&#10;2006 to 2007: 83 percent&#10;2007 to 2008: 79 percent&#10;2008 to 2009: 80 percent&#10;2009 to 2010: 82 percent&#10;2010 to 2011: 80 percent&#10;&#10;New South Wales:&#10;2006 to 2007: 78 percent&#10;2007 to 2008: 76 percent&#10;2008 to 2009: 72 percent&#10;2009 to 2010: 74 percent&#10;2010 to 2011: 78 percent&#10;&#10;Northern Territory:&#10;2006 to 2007: 75 percent&#10;2007 to 2008: 68 percent&#10;2008 to 2009: 81 percent&#10;2009 to 2010: 77 percent&#10;2010 to 2011: 77 percent&#10;&#10;Victoria:&#10;2006 to 2007: 76 percent&#10;2007 to 2008: 75 percent&#10;2008 to 2009: 69 percent&#10;2009 to 2010: 75 percent&#10;2010 to 2011: 76 percent&#10;&#10;Queensland:&#10;2006 to 2007: 78 percent&#10;2007 to 2008: 75 percent&#10;2008 to 2009: 73 percent&#10;2009 to 2010: 78 percent&#10;2010 to 2011: 76 percent&#10;&#10;Seacare:&#10;2006 to 2007: 71 percent&#10;2007 to 2008: 82 percent&#10;2008 to 2009: 67 percent&#10;2009 to 2010: 62 percent&#10;2010 to 2011: 74 percent&#10;&#10;South Australia:&#10;2006 to 2007: 65 percent&#10;2007 to 2008: 64 percent&#10;2008 to 2009: 71 percent&#10;2009 to 2010: 72 percent&#10;2010 to 2011: 70 percent&#10;&#10;Australia:&#10;2006 to 2007: 77 percent&#10;2007 to 2008: 75 percent&#10;2008 to 2009: 72 percent&#10;2009 to 2010: 75 percent&#10;2010 to 2011: 77 percent&#10;&#10;New Zealand:&#10;2006 to 2007: 81 percent&#10;2007 to 2008: 80 percent&#10;2008 to 2009: 75 percent&#10;2009 to 2010: 77 percent&#10;2010 to 2011: 78 percent&#10;&#10;Source: Safe Work Australia comparative performance monitoring report October 2012&#10;&#10;&#10;&#10;&#10;&#10;&#10;&#10;&#10;" title="Figure 2.1: Durable Return to Work"/>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102BE" w:rsidRPr="0035663E" w:rsidRDefault="004102BE" w:rsidP="004102BE">
      <w:pPr>
        <w:keepNext/>
        <w:keepLines/>
        <w:jc w:val="right"/>
        <w:rPr>
          <w:rFonts w:asciiTheme="minorHAnsi" w:hAnsiTheme="minorHAnsi" w:cstheme="minorHAnsi"/>
          <w:sz w:val="20"/>
          <w:szCs w:val="20"/>
        </w:rPr>
      </w:pPr>
      <w:r w:rsidRPr="0035663E">
        <w:rPr>
          <w:rFonts w:asciiTheme="minorHAnsi" w:hAnsiTheme="minorHAnsi" w:cstheme="minorHAnsi"/>
          <w:sz w:val="20"/>
          <w:szCs w:val="20"/>
        </w:rPr>
        <w:t xml:space="preserve">Source: Safe Work Australia </w:t>
      </w:r>
      <w:r w:rsidRPr="0035663E">
        <w:rPr>
          <w:rFonts w:asciiTheme="minorHAnsi" w:hAnsiTheme="minorHAnsi" w:cstheme="minorHAnsi"/>
          <w:i/>
          <w:sz w:val="20"/>
          <w:szCs w:val="20"/>
        </w:rPr>
        <w:t>Comparative Performance Monitoring Report 14th Edition</w:t>
      </w:r>
      <w:r w:rsidRPr="0035663E">
        <w:rPr>
          <w:rFonts w:asciiTheme="minorHAnsi" w:hAnsiTheme="minorHAnsi" w:cstheme="minorHAnsi"/>
          <w:sz w:val="20"/>
          <w:szCs w:val="20"/>
        </w:rPr>
        <w:t xml:space="preserve"> October 2012</w:t>
      </w:r>
    </w:p>
    <w:p w:rsidR="00373953" w:rsidRDefault="00A02309" w:rsidP="0035663E">
      <w:pPr>
        <w:ind w:left="360"/>
        <w:jc w:val="right"/>
        <w:rPr>
          <w:rFonts w:ascii="Calibri" w:eastAsiaTheme="minorHAnsi" w:hAnsi="Calibri" w:cs="Calibri"/>
          <w:sz w:val="22"/>
          <w:lang w:eastAsia="en-US"/>
        </w:rPr>
      </w:pPr>
      <w:r w:rsidRPr="00522B03">
        <w:rPr>
          <w:rFonts w:asciiTheme="minorHAnsi" w:eastAsiaTheme="minorHAnsi" w:hAnsiTheme="minorHAnsi" w:cstheme="minorHAnsi"/>
          <w:sz w:val="20"/>
          <w:szCs w:val="20"/>
          <w:lang w:eastAsia="en-US"/>
        </w:rPr>
        <w:t xml:space="preserve">Note: C’Care refers to the Comcare </w:t>
      </w:r>
      <w:proofErr w:type="gramStart"/>
      <w:r w:rsidRPr="00522B03">
        <w:rPr>
          <w:rFonts w:asciiTheme="minorHAnsi" w:eastAsiaTheme="minorHAnsi" w:hAnsiTheme="minorHAnsi" w:cstheme="minorHAnsi"/>
          <w:sz w:val="20"/>
          <w:szCs w:val="20"/>
          <w:lang w:eastAsia="en-US"/>
        </w:rPr>
        <w:t>Scheme,</w:t>
      </w:r>
      <w:proofErr w:type="gramEnd"/>
      <w:r w:rsidRPr="00522B03">
        <w:rPr>
          <w:rFonts w:asciiTheme="minorHAnsi" w:eastAsiaTheme="minorHAnsi" w:hAnsiTheme="minorHAnsi" w:cstheme="minorHAnsi"/>
          <w:sz w:val="20"/>
          <w:szCs w:val="20"/>
          <w:lang w:eastAsia="en-US"/>
        </w:rPr>
        <w:t xml:space="preserve"> S’Care refers to the Seacare Scheme</w:t>
      </w:r>
      <w:bookmarkStart w:id="309" w:name="_Toc341777951"/>
      <w:bookmarkStart w:id="310" w:name="_Toc341780711"/>
      <w:r w:rsidR="00B2163B">
        <w:rPr>
          <w:rFonts w:asciiTheme="minorHAnsi" w:eastAsiaTheme="minorHAnsi" w:hAnsiTheme="minorHAnsi" w:cstheme="minorHAnsi"/>
          <w:sz w:val="22"/>
          <w:lang w:eastAsia="en-US"/>
        </w:rPr>
        <w:t>.</w:t>
      </w:r>
    </w:p>
    <w:bookmarkEnd w:id="309"/>
    <w:bookmarkEnd w:id="310"/>
    <w:p w:rsidR="004102BE" w:rsidRPr="004102BE" w:rsidRDefault="004102BE" w:rsidP="004102BE">
      <w:pPr>
        <w:rPr>
          <w:rFonts w:ascii="Calibri" w:eastAsiaTheme="minorHAnsi" w:hAnsi="Calibri" w:cs="Calibri"/>
          <w:sz w:val="22"/>
          <w:lang w:eastAsia="en-US"/>
        </w:rPr>
      </w:pPr>
    </w:p>
    <w:p w:rsidR="004102BE" w:rsidRPr="004102BE" w:rsidRDefault="004102BE" w:rsidP="004102BE">
      <w:pPr>
        <w:keepNext/>
        <w:ind w:left="360"/>
        <w:jc w:val="center"/>
        <w:rPr>
          <w:rFonts w:ascii="Calibri" w:eastAsiaTheme="minorHAnsi" w:hAnsi="Calibri" w:cs="Calibri"/>
          <w:b/>
          <w:sz w:val="22"/>
          <w:lang w:eastAsia="en-US"/>
        </w:rPr>
      </w:pPr>
      <w:r w:rsidRPr="004102BE">
        <w:rPr>
          <w:rFonts w:ascii="Calibri" w:eastAsiaTheme="minorHAnsi" w:hAnsi="Calibri" w:cs="Calibri"/>
          <w:b/>
          <w:sz w:val="22"/>
          <w:lang w:eastAsia="en-US"/>
        </w:rPr>
        <w:t>Figure 2.2: Standardised Average Premium Rates (including insured and self-insured)</w:t>
      </w:r>
    </w:p>
    <w:p w:rsidR="004102BE" w:rsidRPr="004102BE" w:rsidRDefault="004102BE" w:rsidP="004102BE">
      <w:pPr>
        <w:keepNext/>
        <w:rPr>
          <w:rFonts w:ascii="Calibri" w:eastAsiaTheme="minorHAnsi" w:hAnsi="Calibri" w:cs="Calibri"/>
          <w:sz w:val="22"/>
          <w:lang w:eastAsia="en-US"/>
        </w:rPr>
      </w:pPr>
    </w:p>
    <w:p w:rsidR="004102BE" w:rsidRPr="004102BE" w:rsidRDefault="004102BE" w:rsidP="004102BE">
      <w:pPr>
        <w:keepNext/>
        <w:keepLines/>
        <w:spacing w:after="120"/>
        <w:ind w:left="709" w:hanging="709"/>
        <w:jc w:val="center"/>
        <w:rPr>
          <w:rFonts w:ascii="Calibri" w:eastAsiaTheme="minorHAnsi" w:hAnsi="Calibri" w:cs="Calibri"/>
          <w:b/>
          <w:noProof/>
          <w:sz w:val="22"/>
          <w:szCs w:val="22"/>
          <w:lang w:eastAsia="en-US"/>
        </w:rPr>
      </w:pPr>
      <w:r w:rsidRPr="0035663E">
        <w:rPr>
          <w:rFonts w:ascii="Calibri" w:eastAsiaTheme="minorHAnsi" w:hAnsi="Calibri" w:cs="Calibri"/>
          <w:b/>
          <w:noProof/>
          <w:sz w:val="22"/>
          <w:szCs w:val="22"/>
        </w:rPr>
        <w:drawing>
          <wp:inline distT="0" distB="0" distL="0" distR="0" wp14:anchorId="46D37624" wp14:editId="39681BA5">
            <wp:extent cx="5953125" cy="3152775"/>
            <wp:effectExtent l="0" t="0" r="9525" b="9525"/>
            <wp:docPr id="2" name="Chart 13" descr="This graph shows premium rates, as a percentage of payroll, for Australian workers compensaton schemes from 2006 to 2011.  Averages are also shown for Australia and New Zealand.  Please note that Comcare scheme premiums (excluding ACT Government) are referred to as Australian Government.&#10;&#10;Seacare:&#10;2006 to 2007: 5.54 percent of payroll&#10;2007 to 2008: 5.06 percent of payroll&#10;2008 to 2009: 3.9 percent of payroll&#10;2009 to 2010: 3.16 percent of payroll&#10;2010 to 2011: 3.49 percent of payroll&#10;&#10;South Australia:&#10;2006 to 2007: 2.85 percent of payroll&#10;2007 to 2008: 2.83 percent of payroll&#10;2008 to 2009: 2.79 percent of payroll&#10;2009 to 2010: 2.76 percent of payroll&#10;2010 to 2011: 2.49 percent of payroll&#10;&#10;ACT Private:&#10;2006 to 2007: 2.93 percent of payroll&#10;2007 to 2008: 2.66 percent of payroll&#10;2008 to 2009: 2.28 percent of payroll&#10;2009 to 2010: 2.14 percent of payroll&#10;2010 to 2011: 2.05 percent of payroll&#10;&#10;Northern Territory:&#10;2006 to 2007: 1.81 percent of payroll&#10;2007 to 2008: 1.81 percent of payroll&#10;2008 to 2009: 1.77 percent of payroll&#10;2009 to 2010: 1.74 percent of payroll&#10;2010 to 2011: 1.79 percent of payroll&#10;&#10;Tasmania:&#10;2006 to 2007: 1.77 percent of payroll&#10;2007 to 2008: 1.49 percent of payroll&#10;2008 to 2009: 1.38 percent of payroll&#10;2009 to 2010: 1.4 percent of payroll&#10;2010 to 2011: 1.5 percent of payroll&#10;&#10;Victoria:&#10;2006 to 2007: 1.6 percent of payroll&#10;2007 to 2008: 1.46 percent of payroll&#10;2008 to 2009: 1.38 percent of payroll&#10;2009 to 2010: 1.39 percent of payroll&#10;2010 to 2011: 1.35 percent of payroll&#10;&#10;Queensland:&#10;2006 to 2007: 5.54 percent of payroll&#10;2007 to 2008: 5.06 percent of payroll&#10;2008 to 2009: 3.9 percent of payroll&#10;2009 to 2010: 3.16 percent of payroll&#10;2010 to 2011: 3.49 percent of payroll&#10;&#10;Western Australia:&#10;2006 to 2007: 1.68 percent of payroll&#10;2007 to 2008: 1.42 percent of payroll&#10;2008 to 2009: 1.28 percent of payroll&#10;2009 to 2010: 1.32 percent of payroll&#10;2010 to 2011: 1.14 percent of payroll&#10;&#10;Australian Governnment:&#10;2006 to 2007: 1.21 percent of payroll&#10;2007 to 2008: 1.04 percent of payroll&#10;2008 to 2009: 0.91 percent of payroll&#10;2009 to 2010: 0.91 percent of payroll&#10;2010 to 2011: 0.92 percent of payroll&#10;&#10;Australian Average:&#10;2006 to 2007: 1.79 percent of payroll&#10;2007 to 2008: 1.62 percent of payroll&#10;2008 to 2009: 1.54 percent of payroll&#10;2009 to 2010: 1.54 percent of payroll&#10;2010 to 2011: 1.49 percent of payroll&#10;&#10;New Zealand:&#10;2006 to 2007: 0.94 percent of payroll&#10;2007 to 2008: 0.93 percent of payroll&#10;2008 to 2009: 0.86 percent of payroll&#10;2009 to 2010: 0.94 percent of payroll&#10;2010 to 2011: 1.06 percent of payroll&#10;&#10;Source: Safe Work Australia Comparative Performance Monitoring Report October 2012.&#10;&#10;" title="Figure 2.2: Standardised Average Premium Rates (including insured and self-insured)"/>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102BE" w:rsidRDefault="004102BE" w:rsidP="00BB71C3">
      <w:pPr>
        <w:keepNext/>
        <w:keepLines/>
        <w:jc w:val="right"/>
        <w:rPr>
          <w:rFonts w:asciiTheme="minorHAnsi" w:hAnsiTheme="minorHAnsi" w:cstheme="minorHAnsi"/>
          <w:sz w:val="20"/>
          <w:szCs w:val="20"/>
        </w:rPr>
      </w:pPr>
      <w:r w:rsidRPr="0035663E">
        <w:rPr>
          <w:rFonts w:asciiTheme="minorHAnsi" w:hAnsiTheme="minorHAnsi" w:cstheme="minorHAnsi"/>
          <w:sz w:val="20"/>
          <w:szCs w:val="20"/>
        </w:rPr>
        <w:t xml:space="preserve">Source: Safe Work Australia </w:t>
      </w:r>
      <w:r w:rsidRPr="0035663E">
        <w:rPr>
          <w:rFonts w:asciiTheme="minorHAnsi" w:hAnsiTheme="minorHAnsi" w:cstheme="minorHAnsi"/>
          <w:i/>
          <w:sz w:val="20"/>
          <w:szCs w:val="20"/>
        </w:rPr>
        <w:t>Comparative Performance Monitoring Report 14th Edition</w:t>
      </w:r>
      <w:r w:rsidRPr="0035663E">
        <w:rPr>
          <w:rFonts w:asciiTheme="minorHAnsi" w:hAnsiTheme="minorHAnsi" w:cstheme="minorHAnsi"/>
          <w:sz w:val="20"/>
          <w:szCs w:val="20"/>
        </w:rPr>
        <w:t xml:space="preserve"> October 2012</w:t>
      </w:r>
    </w:p>
    <w:p w:rsidR="00D144D6" w:rsidRPr="0035663E" w:rsidRDefault="00D144D6" w:rsidP="004102BE">
      <w:pPr>
        <w:keepNext/>
        <w:keepLines/>
        <w:jc w:val="right"/>
        <w:rPr>
          <w:rFonts w:asciiTheme="minorHAnsi" w:hAnsiTheme="minorHAnsi" w:cstheme="minorHAnsi"/>
          <w:sz w:val="20"/>
          <w:szCs w:val="20"/>
        </w:rPr>
      </w:pPr>
      <w:r>
        <w:rPr>
          <w:rFonts w:asciiTheme="minorHAnsi" w:hAnsiTheme="minorHAnsi" w:cstheme="minorHAnsi"/>
          <w:sz w:val="20"/>
          <w:szCs w:val="20"/>
        </w:rPr>
        <w:t>Note: Comcare Scheme premiums (excl. ACT Government) are referred to in this figure as Aust Gov.</w:t>
      </w:r>
    </w:p>
    <w:p w:rsidR="004102BE" w:rsidRPr="004102BE" w:rsidRDefault="004102BE" w:rsidP="004102BE">
      <w:pPr>
        <w:rPr>
          <w:rFonts w:ascii="Calibri" w:eastAsiaTheme="minorHAnsi" w:hAnsi="Calibri" w:cs="Calibri"/>
          <w:sz w:val="22"/>
          <w:lang w:eastAsia="en-US"/>
        </w:rPr>
      </w:pPr>
    </w:p>
    <w:p w:rsidR="002555F4" w:rsidRDefault="004102BE">
      <w:pPr>
        <w:numPr>
          <w:ilvl w:val="1"/>
          <w:numId w:val="31"/>
        </w:numPr>
        <w:spacing w:after="120"/>
        <w:ind w:left="709" w:hanging="709"/>
        <w:outlineLvl w:val="0"/>
        <w:rPr>
          <w:rFonts w:ascii="Calibri" w:eastAsiaTheme="minorHAnsi" w:hAnsi="Calibri" w:cs="Calibri"/>
          <w:sz w:val="22"/>
          <w:lang w:eastAsia="en-US"/>
        </w:rPr>
      </w:pPr>
      <w:bookmarkStart w:id="311" w:name="_Toc341777952"/>
      <w:bookmarkStart w:id="312" w:name="_Toc341780712"/>
      <w:bookmarkStart w:id="313" w:name="_Toc342578320"/>
      <w:r w:rsidRPr="004102BE">
        <w:rPr>
          <w:rFonts w:ascii="Calibri" w:eastAsiaTheme="minorHAnsi" w:hAnsi="Calibri" w:cs="Calibri"/>
          <w:sz w:val="22"/>
          <w:lang w:eastAsia="en-US"/>
        </w:rPr>
        <w:t xml:space="preserve">Despite this, the recent deterioration in return to work performance for the premium-payer side of the scheme has led </w:t>
      </w:r>
      <w:r w:rsidR="002E5F18">
        <w:rPr>
          <w:rFonts w:ascii="Calibri" w:eastAsiaTheme="minorHAnsi" w:hAnsi="Calibri" w:cs="Calibri"/>
          <w:sz w:val="22"/>
          <w:lang w:eastAsia="en-US"/>
        </w:rPr>
        <w:t xml:space="preserve">in part </w:t>
      </w:r>
      <w:r w:rsidRPr="004102BE">
        <w:rPr>
          <w:rFonts w:ascii="Calibri" w:eastAsiaTheme="minorHAnsi" w:hAnsi="Calibri" w:cs="Calibri"/>
          <w:sz w:val="22"/>
          <w:lang w:eastAsia="en-US"/>
        </w:rPr>
        <w:t>to significant premium increases.</w:t>
      </w:r>
      <w:bookmarkEnd w:id="311"/>
      <w:bookmarkEnd w:id="312"/>
      <w:bookmarkEnd w:id="313"/>
    </w:p>
    <w:p w:rsidR="00E7234A" w:rsidRDefault="00E7234A" w:rsidP="0035663E">
      <w:pPr>
        <w:spacing w:after="120"/>
        <w:ind w:left="709"/>
        <w:outlineLvl w:val="0"/>
        <w:rPr>
          <w:rFonts w:ascii="Calibri" w:eastAsiaTheme="minorHAnsi" w:hAnsi="Calibri" w:cs="Calibri"/>
          <w:sz w:val="22"/>
          <w:lang w:eastAsia="en-US"/>
        </w:rPr>
      </w:pPr>
    </w:p>
    <w:p w:rsidR="004102BE" w:rsidRPr="004102BE" w:rsidRDefault="004102BE" w:rsidP="004102BE">
      <w:pPr>
        <w:spacing w:before="100" w:beforeAutospacing="1" w:after="100" w:afterAutospacing="1"/>
        <w:outlineLvl w:val="0"/>
        <w:rPr>
          <w:rFonts w:ascii="Arial" w:hAnsi="Arial"/>
          <w:bCs/>
          <w:caps/>
          <w:color w:val="1F497D" w:themeColor="text2"/>
          <w:kern w:val="36"/>
          <w:sz w:val="28"/>
          <w:szCs w:val="28"/>
        </w:rPr>
      </w:pPr>
      <w:bookmarkStart w:id="314" w:name="_Toc341777953"/>
      <w:bookmarkStart w:id="315" w:name="_Toc342578321"/>
      <w:r w:rsidRPr="004102BE">
        <w:rPr>
          <w:rFonts w:ascii="Arial" w:hAnsi="Arial"/>
          <w:bCs/>
          <w:caps/>
          <w:color w:val="1F497D" w:themeColor="text2"/>
          <w:kern w:val="36"/>
          <w:sz w:val="28"/>
          <w:szCs w:val="28"/>
        </w:rPr>
        <w:lastRenderedPageBreak/>
        <w:t>Scheme Regulation overview</w:t>
      </w:r>
      <w:bookmarkEnd w:id="314"/>
      <w:bookmarkEnd w:id="315"/>
    </w:p>
    <w:p w:rsidR="004102BE" w:rsidRPr="004102BE" w:rsidRDefault="004102BE" w:rsidP="004102BE">
      <w:pPr>
        <w:numPr>
          <w:ilvl w:val="1"/>
          <w:numId w:val="31"/>
        </w:numPr>
        <w:spacing w:after="120"/>
        <w:ind w:left="709" w:hanging="709"/>
        <w:outlineLvl w:val="0"/>
        <w:rPr>
          <w:rFonts w:ascii="Calibri" w:eastAsiaTheme="minorHAnsi" w:hAnsi="Calibri" w:cs="Calibri"/>
          <w:sz w:val="22"/>
          <w:lang w:eastAsia="en-US"/>
        </w:rPr>
      </w:pPr>
      <w:bookmarkStart w:id="316" w:name="_Toc341777954"/>
      <w:bookmarkStart w:id="317" w:name="_Toc341780714"/>
      <w:bookmarkStart w:id="318" w:name="_Toc342578322"/>
      <w:r w:rsidRPr="004102BE">
        <w:rPr>
          <w:rFonts w:ascii="Calibri" w:eastAsiaTheme="minorHAnsi" w:hAnsi="Calibri" w:cs="Calibri"/>
          <w:sz w:val="22"/>
          <w:lang w:eastAsia="en-US"/>
        </w:rPr>
        <w:t xml:space="preserve">Regulatory oversight of all determining authorities under the SRC Act lies with the SRCC. Under </w:t>
      </w:r>
      <w:r w:rsidR="00920A03">
        <w:rPr>
          <w:rFonts w:ascii="Calibri" w:eastAsiaTheme="minorHAnsi" w:hAnsi="Calibri" w:cs="Calibri"/>
          <w:sz w:val="22"/>
          <w:lang w:eastAsia="en-US"/>
        </w:rPr>
        <w:t>Section</w:t>
      </w:r>
      <w:r w:rsidRPr="004102BE">
        <w:rPr>
          <w:rFonts w:ascii="Calibri" w:eastAsiaTheme="minorHAnsi" w:hAnsi="Calibri" w:cs="Calibri"/>
          <w:sz w:val="22"/>
          <w:lang w:eastAsia="en-US"/>
        </w:rPr>
        <w:t xml:space="preserve"> 89B of the SRC Act, the SRCC’s functions are to ensure that, as far as practicable, equity of outcomes resulting from administrative practices and procedures used by Comcare and licensees in the performance of their respective functions. In practice, because the SRCC has no staff, it has delegated duties to Comcare in relation to its regulatory functions under the SRC Act. </w:t>
      </w:r>
      <w:r w:rsidRPr="0035663E">
        <w:rPr>
          <w:rFonts w:ascii="Calibri" w:eastAsiaTheme="minorHAnsi" w:hAnsi="Calibri" w:cs="Calibri"/>
          <w:sz w:val="22"/>
          <w:u w:val="single"/>
          <w:lang w:eastAsia="en-US"/>
        </w:rPr>
        <w:t>Annex C</w:t>
      </w:r>
      <w:r w:rsidRPr="004102BE">
        <w:rPr>
          <w:rFonts w:ascii="Calibri" w:eastAsiaTheme="minorHAnsi" w:hAnsi="Calibri" w:cs="Calibri"/>
          <w:sz w:val="22"/>
          <w:lang w:eastAsia="en-US"/>
        </w:rPr>
        <w:t xml:space="preserve"> provides a summary of the SRCC’s responsibilities under the SRC Act and WHS Act and how it exercises those functions.</w:t>
      </w:r>
      <w:bookmarkEnd w:id="316"/>
      <w:bookmarkEnd w:id="317"/>
      <w:bookmarkEnd w:id="318"/>
    </w:p>
    <w:p w:rsidR="004102BE" w:rsidRPr="004102BE" w:rsidRDefault="004102BE" w:rsidP="004102BE">
      <w:pPr>
        <w:numPr>
          <w:ilvl w:val="1"/>
          <w:numId w:val="31"/>
        </w:numPr>
        <w:spacing w:after="120"/>
        <w:ind w:left="709" w:hanging="709"/>
        <w:outlineLvl w:val="0"/>
        <w:rPr>
          <w:rFonts w:ascii="Calibri" w:eastAsiaTheme="minorHAnsi" w:hAnsi="Calibri" w:cs="Calibri"/>
          <w:sz w:val="22"/>
          <w:lang w:eastAsia="en-US"/>
        </w:rPr>
      </w:pPr>
      <w:bookmarkStart w:id="319" w:name="_Toc341777955"/>
      <w:bookmarkStart w:id="320" w:name="_Toc341780715"/>
      <w:bookmarkStart w:id="321" w:name="_Toc342578323"/>
      <w:r w:rsidRPr="004102BE">
        <w:rPr>
          <w:rFonts w:ascii="Calibri" w:eastAsiaTheme="minorHAnsi" w:hAnsi="Calibri" w:cs="Calibri"/>
          <w:sz w:val="22"/>
          <w:lang w:eastAsia="en-US"/>
        </w:rPr>
        <w:t>A “determining authority” under the Comcare scheme is the body or organisation which, under the provisions of the SRC Act, has the delegation to make claim determinations. There are different determining authorities under the SRC Act:</w:t>
      </w:r>
      <w:bookmarkEnd w:id="319"/>
      <w:bookmarkEnd w:id="320"/>
      <w:bookmarkEnd w:id="321"/>
    </w:p>
    <w:p w:rsidR="004102BE" w:rsidRPr="004102BE" w:rsidRDefault="004102BE" w:rsidP="004102BE">
      <w:pPr>
        <w:numPr>
          <w:ilvl w:val="0"/>
          <w:numId w:val="27"/>
        </w:numPr>
        <w:spacing w:after="120"/>
        <w:ind w:left="1134" w:hanging="425"/>
        <w:rPr>
          <w:rFonts w:ascii="Calibri" w:hAnsi="Calibri" w:cs="Calibri"/>
          <w:sz w:val="19"/>
        </w:rPr>
      </w:pPr>
      <w:r w:rsidRPr="004102BE">
        <w:rPr>
          <w:rFonts w:ascii="Calibri" w:eastAsiaTheme="minorHAnsi" w:hAnsi="Calibri" w:cs="Calibri"/>
          <w:sz w:val="22"/>
          <w:lang w:eastAsia="en-US"/>
        </w:rPr>
        <w:t>Comcare is the determining authority for all claims managed under the premium-funded scheme (all Commonwealth agencies and the ACT Government);</w:t>
      </w:r>
    </w:p>
    <w:p w:rsidR="004102BE" w:rsidRPr="004102BE" w:rsidRDefault="004102BE" w:rsidP="004102BE">
      <w:pPr>
        <w:numPr>
          <w:ilvl w:val="0"/>
          <w:numId w:val="27"/>
        </w:numPr>
        <w:spacing w:after="120"/>
        <w:ind w:left="1134" w:hanging="425"/>
        <w:rPr>
          <w:rFonts w:ascii="Calibri" w:hAnsi="Calibri" w:cs="Calibri"/>
          <w:sz w:val="19"/>
        </w:rPr>
      </w:pPr>
      <w:r w:rsidRPr="004102BE">
        <w:rPr>
          <w:rFonts w:ascii="Calibri" w:eastAsiaTheme="minorHAnsi" w:hAnsi="Calibri" w:cs="Calibri"/>
          <w:sz w:val="22"/>
          <w:lang w:eastAsia="en-US"/>
        </w:rPr>
        <w:t>all licensees are determining authorities in relation to claims lodged by their employees; and</w:t>
      </w:r>
    </w:p>
    <w:p w:rsidR="004102BE" w:rsidRPr="004102BE" w:rsidRDefault="004102BE" w:rsidP="004102BE">
      <w:pPr>
        <w:numPr>
          <w:ilvl w:val="0"/>
          <w:numId w:val="27"/>
        </w:numPr>
        <w:spacing w:after="120"/>
        <w:ind w:left="1134" w:hanging="425"/>
        <w:rPr>
          <w:rFonts w:ascii="Arial" w:hAnsi="Arial" w:cstheme="majorHAnsi"/>
          <w:sz w:val="19"/>
          <w:szCs w:val="20"/>
        </w:rPr>
      </w:pPr>
      <w:r w:rsidRPr="004102BE">
        <w:rPr>
          <w:rFonts w:ascii="Calibri" w:eastAsiaTheme="minorHAnsi" w:hAnsi="Calibri" w:cs="Calibri"/>
          <w:sz w:val="22"/>
          <w:lang w:eastAsia="en-US"/>
        </w:rPr>
        <w:t>DVA is the determining authority with respect to the ADF member claims it manages under the SRC Act on behalf of the MRCC.</w:t>
      </w:r>
    </w:p>
    <w:p w:rsidR="004102BE" w:rsidRPr="004102BE" w:rsidRDefault="004102BE" w:rsidP="004102BE">
      <w:pPr>
        <w:numPr>
          <w:ilvl w:val="1"/>
          <w:numId w:val="31"/>
        </w:numPr>
        <w:spacing w:after="120"/>
        <w:ind w:left="709" w:hanging="709"/>
        <w:outlineLvl w:val="0"/>
        <w:rPr>
          <w:rFonts w:ascii="Calibri" w:eastAsiaTheme="minorHAnsi" w:hAnsi="Calibri" w:cs="Calibri"/>
          <w:sz w:val="22"/>
          <w:lang w:eastAsia="en-US"/>
        </w:rPr>
      </w:pPr>
      <w:bookmarkStart w:id="322" w:name="_Toc341777956"/>
      <w:bookmarkStart w:id="323" w:name="_Toc341780716"/>
      <w:bookmarkStart w:id="324" w:name="_Toc342578324"/>
      <w:r w:rsidRPr="004102BE">
        <w:rPr>
          <w:rFonts w:ascii="Calibri" w:eastAsiaTheme="minorHAnsi" w:hAnsi="Calibri" w:cs="Calibri"/>
          <w:sz w:val="22"/>
          <w:lang w:eastAsia="en-US"/>
        </w:rPr>
        <w:t xml:space="preserve">Licensees are the determining authorities for claims made by their employees. Some licensees manage their claims in-house while others outsource this function to a third </w:t>
      </w:r>
      <w:r w:rsidR="00173FC9" w:rsidRPr="004102BE">
        <w:rPr>
          <w:rFonts w:ascii="Calibri" w:eastAsiaTheme="minorHAnsi" w:hAnsi="Calibri" w:cs="Calibri"/>
          <w:sz w:val="22"/>
          <w:lang w:eastAsia="en-US"/>
        </w:rPr>
        <w:t>party (</w:t>
      </w:r>
      <w:r w:rsidRPr="004102BE">
        <w:rPr>
          <w:rFonts w:ascii="Calibri" w:eastAsiaTheme="minorHAnsi" w:hAnsi="Calibri" w:cs="Calibri"/>
          <w:sz w:val="22"/>
          <w:lang w:eastAsia="en-US"/>
        </w:rPr>
        <w:t>typically an insurer with workers’ compensation claims management experience) who manages claims on their behalf. In either of these arrangements, the licensed insurers exercise a much greater level of control over the determination-making process when compared with employers in the premium-funded scheme.</w:t>
      </w:r>
      <w:bookmarkEnd w:id="322"/>
      <w:bookmarkEnd w:id="323"/>
      <w:bookmarkEnd w:id="324"/>
    </w:p>
    <w:p w:rsidR="004102BE" w:rsidRPr="004102BE" w:rsidRDefault="004102BE" w:rsidP="004102BE">
      <w:pPr>
        <w:numPr>
          <w:ilvl w:val="1"/>
          <w:numId w:val="31"/>
        </w:numPr>
        <w:spacing w:after="120"/>
        <w:ind w:left="709" w:hanging="709"/>
        <w:outlineLvl w:val="0"/>
        <w:rPr>
          <w:rFonts w:ascii="Calibri" w:eastAsiaTheme="minorHAnsi" w:hAnsi="Calibri" w:cs="Calibri"/>
          <w:sz w:val="22"/>
          <w:lang w:eastAsia="en-US"/>
        </w:rPr>
      </w:pPr>
      <w:bookmarkStart w:id="325" w:name="_Toc341777957"/>
      <w:bookmarkStart w:id="326" w:name="_Toc341780717"/>
      <w:bookmarkStart w:id="327" w:name="_Toc342578325"/>
      <w:r w:rsidRPr="004102BE">
        <w:rPr>
          <w:rFonts w:ascii="Calibri" w:eastAsiaTheme="minorHAnsi" w:hAnsi="Calibri" w:cs="Calibri"/>
          <w:sz w:val="22"/>
          <w:lang w:eastAsia="en-US"/>
        </w:rPr>
        <w:t xml:space="preserve">The SRCC’s relationship with the various determining bodies under the SRC Act also differs. While licensees are “at arm’s length” from the SRCC, the same cannot be said for Comcare. Not only is Comcare a determining authority under the scheme, it also shares the scheme regulatory functions with the SRCC. Moreover, the SRCC relies on Comcare to </w:t>
      </w:r>
      <w:r w:rsidR="00173FC9" w:rsidRPr="004102BE">
        <w:rPr>
          <w:rFonts w:ascii="Calibri" w:eastAsiaTheme="minorHAnsi" w:hAnsi="Calibri" w:cs="Calibri"/>
          <w:sz w:val="22"/>
          <w:lang w:eastAsia="en-US"/>
        </w:rPr>
        <w:t>provide secretariat</w:t>
      </w:r>
      <w:r w:rsidRPr="004102BE">
        <w:rPr>
          <w:rFonts w:ascii="Calibri" w:eastAsiaTheme="minorHAnsi" w:hAnsi="Calibri" w:cs="Calibri"/>
          <w:sz w:val="22"/>
          <w:lang w:eastAsia="en-US"/>
        </w:rPr>
        <w:t xml:space="preserve"> support to the SRCC in the performance of its functions, including briefing </w:t>
      </w:r>
      <w:r w:rsidR="00173FC9" w:rsidRPr="004102BE">
        <w:rPr>
          <w:rFonts w:ascii="Calibri" w:eastAsiaTheme="minorHAnsi" w:hAnsi="Calibri" w:cs="Calibri"/>
          <w:sz w:val="22"/>
          <w:lang w:eastAsia="en-US"/>
        </w:rPr>
        <w:t xml:space="preserve">and </w:t>
      </w:r>
      <w:r w:rsidR="00F62990" w:rsidRPr="004102BE">
        <w:rPr>
          <w:rFonts w:ascii="Calibri" w:eastAsiaTheme="minorHAnsi" w:hAnsi="Calibri" w:cs="Calibri"/>
          <w:sz w:val="22"/>
          <w:lang w:eastAsia="en-US"/>
        </w:rPr>
        <w:t>advice on</w:t>
      </w:r>
      <w:r w:rsidRPr="004102BE">
        <w:rPr>
          <w:rFonts w:ascii="Calibri" w:eastAsiaTheme="minorHAnsi" w:hAnsi="Calibri" w:cs="Calibri"/>
          <w:sz w:val="22"/>
          <w:lang w:eastAsia="en-US"/>
        </w:rPr>
        <w:t xml:space="preserve"> matters to be considered.</w:t>
      </w:r>
      <w:bookmarkEnd w:id="325"/>
      <w:bookmarkEnd w:id="326"/>
      <w:bookmarkEnd w:id="327"/>
    </w:p>
    <w:p w:rsidR="004102BE" w:rsidRPr="004102BE" w:rsidRDefault="004102BE" w:rsidP="004102BE">
      <w:pPr>
        <w:numPr>
          <w:ilvl w:val="1"/>
          <w:numId w:val="31"/>
        </w:numPr>
        <w:spacing w:after="120"/>
        <w:ind w:left="709" w:hanging="709"/>
        <w:outlineLvl w:val="0"/>
        <w:rPr>
          <w:rFonts w:ascii="Calibri" w:eastAsiaTheme="minorHAnsi" w:hAnsi="Calibri" w:cs="Calibri"/>
          <w:sz w:val="22"/>
          <w:lang w:eastAsia="en-US"/>
        </w:rPr>
      </w:pPr>
      <w:bookmarkStart w:id="328" w:name="_Toc341777958"/>
      <w:bookmarkStart w:id="329" w:name="_Toc341780718"/>
      <w:bookmarkStart w:id="330" w:name="_Toc342578326"/>
      <w:r w:rsidRPr="004102BE">
        <w:rPr>
          <w:rFonts w:ascii="Calibri" w:eastAsiaTheme="minorHAnsi" w:hAnsi="Calibri" w:cs="Calibri"/>
          <w:sz w:val="22"/>
          <w:lang w:eastAsia="en-US"/>
        </w:rPr>
        <w:t>As noted in Chapter One, the SRC Act regulatory powers for the Comcare Scheme are shared by the SRCC and Comcare. In practice, most of the regulatory functions relating to workers’ compensation rest with the SRCC.</w:t>
      </w:r>
      <w:bookmarkEnd w:id="328"/>
      <w:bookmarkEnd w:id="329"/>
      <w:bookmarkEnd w:id="330"/>
    </w:p>
    <w:p w:rsidR="004102BE" w:rsidRPr="004102BE" w:rsidRDefault="004102BE" w:rsidP="004102BE">
      <w:pPr>
        <w:numPr>
          <w:ilvl w:val="1"/>
          <w:numId w:val="31"/>
        </w:numPr>
        <w:spacing w:after="120"/>
        <w:ind w:left="709" w:hanging="709"/>
        <w:outlineLvl w:val="0"/>
        <w:rPr>
          <w:rFonts w:ascii="Calibri" w:eastAsiaTheme="minorHAnsi" w:hAnsi="Calibri" w:cs="Calibri"/>
          <w:sz w:val="22"/>
          <w:lang w:eastAsia="en-US"/>
        </w:rPr>
      </w:pPr>
      <w:bookmarkStart w:id="331" w:name="_Toc341777959"/>
      <w:bookmarkStart w:id="332" w:name="_Toc341780719"/>
      <w:bookmarkStart w:id="333" w:name="_Toc342578327"/>
      <w:r w:rsidRPr="004102BE">
        <w:rPr>
          <w:rFonts w:ascii="Calibri" w:eastAsiaTheme="minorHAnsi" w:hAnsi="Calibri" w:cs="Calibri"/>
          <w:sz w:val="22"/>
          <w:lang w:eastAsia="en-US"/>
        </w:rPr>
        <w:t>Section 73A of the SRC Act gives the SRCC the power to issue written general policy guidelines to Comcare and licensed insurers in relation to the SRC Act’s operation. Comcare and the licensed insurers are obliged to comply with these guidelines.</w:t>
      </w:r>
      <w:bookmarkEnd w:id="331"/>
      <w:bookmarkEnd w:id="332"/>
      <w:bookmarkEnd w:id="333"/>
    </w:p>
    <w:p w:rsidR="004102BE" w:rsidRPr="004102BE" w:rsidRDefault="004102BE" w:rsidP="004102BE">
      <w:pPr>
        <w:numPr>
          <w:ilvl w:val="1"/>
          <w:numId w:val="31"/>
        </w:numPr>
        <w:spacing w:after="120"/>
        <w:ind w:left="709" w:hanging="709"/>
        <w:outlineLvl w:val="0"/>
        <w:rPr>
          <w:rFonts w:ascii="Calibri" w:eastAsiaTheme="minorHAnsi" w:hAnsi="Calibri" w:cs="Calibri"/>
          <w:sz w:val="22"/>
          <w:lang w:eastAsia="en-US"/>
        </w:rPr>
      </w:pPr>
      <w:bookmarkStart w:id="334" w:name="_Toc341777960"/>
      <w:bookmarkStart w:id="335" w:name="_Toc341780720"/>
      <w:bookmarkStart w:id="336" w:name="_Toc342578328"/>
      <w:r w:rsidRPr="004102BE">
        <w:rPr>
          <w:rFonts w:ascii="Calibri" w:eastAsiaTheme="minorHAnsi" w:hAnsi="Calibri" w:cs="Calibri"/>
          <w:sz w:val="22"/>
          <w:lang w:eastAsia="en-US"/>
        </w:rPr>
        <w:t>While the SRCC has regulatory functions under the SRC Act, it relies on Comcare to provide the necessary advice and support to discharge its functions. Comcare is responsible for preparing papers and providing the information necessary for the SRCC’s decision making at its meetings. This reliance on Comcare raises a potential, if not real, conflict of interest for the SRCC in managing its relationship with the body which it is also regulating. Indeed, some commentators argued that the SRCC faced a danger of being seen as simply a “rubber-stamp” for Comcare.</w:t>
      </w:r>
      <w:bookmarkEnd w:id="334"/>
      <w:bookmarkEnd w:id="335"/>
      <w:bookmarkEnd w:id="336"/>
    </w:p>
    <w:p w:rsidR="004102BE" w:rsidRPr="004102BE" w:rsidRDefault="004102BE" w:rsidP="004102BE">
      <w:pPr>
        <w:numPr>
          <w:ilvl w:val="1"/>
          <w:numId w:val="31"/>
        </w:numPr>
        <w:spacing w:after="120"/>
        <w:ind w:left="709" w:hanging="709"/>
        <w:outlineLvl w:val="0"/>
        <w:rPr>
          <w:rFonts w:ascii="Calibri" w:eastAsiaTheme="minorHAnsi" w:hAnsi="Calibri" w:cs="Calibri"/>
          <w:sz w:val="22"/>
          <w:lang w:eastAsia="en-US"/>
        </w:rPr>
      </w:pPr>
      <w:bookmarkStart w:id="337" w:name="_Toc341777961"/>
      <w:bookmarkStart w:id="338" w:name="_Toc341780721"/>
      <w:bookmarkStart w:id="339" w:name="_Toc342578329"/>
      <w:r w:rsidRPr="004102BE">
        <w:rPr>
          <w:rFonts w:ascii="Calibri" w:eastAsiaTheme="minorHAnsi" w:hAnsi="Calibri" w:cs="Calibri"/>
          <w:sz w:val="22"/>
          <w:lang w:eastAsia="en-US"/>
        </w:rPr>
        <w:t xml:space="preserve">This perceived lack of independence was noted by some premium payers who felt that the SRCC’s regulation of Comcare could be improved. They pointed to instances where they felt </w:t>
      </w:r>
      <w:r w:rsidRPr="004102BE">
        <w:rPr>
          <w:rFonts w:ascii="Calibri" w:eastAsiaTheme="minorHAnsi" w:hAnsi="Calibri" w:cs="Calibri"/>
          <w:sz w:val="22"/>
          <w:lang w:eastAsia="en-US"/>
        </w:rPr>
        <w:lastRenderedPageBreak/>
        <w:t>that the SRCC was too reliant on Comcare and was not able to demonstrate appropriate independence of decisions in its role as the regulator.</w:t>
      </w:r>
      <w:bookmarkEnd w:id="337"/>
      <w:bookmarkEnd w:id="338"/>
      <w:bookmarkEnd w:id="339"/>
      <w:r w:rsidRPr="004102BE">
        <w:rPr>
          <w:rFonts w:ascii="Calibri" w:eastAsiaTheme="minorHAnsi" w:hAnsi="Calibri" w:cs="Calibri"/>
          <w:sz w:val="22"/>
          <w:lang w:eastAsia="en-US"/>
        </w:rPr>
        <w:t xml:space="preserve"> </w:t>
      </w:r>
    </w:p>
    <w:p w:rsidR="004102BE" w:rsidRPr="004102BE" w:rsidRDefault="004102BE" w:rsidP="004102BE">
      <w:pPr>
        <w:numPr>
          <w:ilvl w:val="1"/>
          <w:numId w:val="31"/>
        </w:numPr>
        <w:spacing w:after="120"/>
        <w:ind w:left="709" w:hanging="709"/>
        <w:outlineLvl w:val="0"/>
        <w:rPr>
          <w:rFonts w:ascii="Calibri" w:eastAsiaTheme="minorHAnsi" w:hAnsi="Calibri" w:cs="Calibri"/>
          <w:sz w:val="22"/>
          <w:lang w:eastAsia="en-US"/>
        </w:rPr>
      </w:pPr>
      <w:bookmarkStart w:id="340" w:name="_Toc341777962"/>
      <w:bookmarkStart w:id="341" w:name="_Toc341780722"/>
      <w:bookmarkStart w:id="342" w:name="_Toc342578330"/>
      <w:r w:rsidRPr="004102BE">
        <w:rPr>
          <w:rFonts w:ascii="Calibri" w:eastAsiaTheme="minorHAnsi" w:hAnsi="Calibri" w:cs="Calibri"/>
          <w:sz w:val="22"/>
          <w:lang w:eastAsia="en-US"/>
        </w:rPr>
        <w:t xml:space="preserve">An example of this potential partiality is any instance in which a premium payer wishes to challenge their premium calculations as determined by Comcare. In the first instance, the premium payer is required to apply to Comcare for a review. Following Comcare’s review, if the premium payer is still dissatisfied, it can then ask the SRCC for a further review pursuant to </w:t>
      </w:r>
      <w:r w:rsidR="00920A03">
        <w:rPr>
          <w:rFonts w:ascii="Calibri" w:eastAsiaTheme="minorHAnsi" w:hAnsi="Calibri" w:cs="Calibri"/>
          <w:sz w:val="22"/>
          <w:lang w:eastAsia="en-US"/>
        </w:rPr>
        <w:t>Section</w:t>
      </w:r>
      <w:r w:rsidRPr="004102BE">
        <w:rPr>
          <w:rFonts w:ascii="Calibri" w:eastAsiaTheme="minorHAnsi" w:hAnsi="Calibri" w:cs="Calibri"/>
          <w:sz w:val="22"/>
          <w:lang w:eastAsia="en-US"/>
        </w:rPr>
        <w:t xml:space="preserve"> 97K of the SRC Act. In undertaking </w:t>
      </w:r>
      <w:r w:rsidR="00BD0746">
        <w:rPr>
          <w:rFonts w:ascii="Calibri" w:eastAsiaTheme="minorHAnsi" w:hAnsi="Calibri" w:cs="Calibri"/>
          <w:sz w:val="22"/>
          <w:lang w:eastAsia="en-US"/>
        </w:rPr>
        <w:t>such a</w:t>
      </w:r>
      <w:r w:rsidR="00BD0746" w:rsidRPr="004102BE">
        <w:rPr>
          <w:rFonts w:ascii="Calibri" w:eastAsiaTheme="minorHAnsi" w:hAnsi="Calibri" w:cs="Calibri"/>
          <w:sz w:val="22"/>
          <w:lang w:eastAsia="en-US"/>
        </w:rPr>
        <w:t xml:space="preserve"> </w:t>
      </w:r>
      <w:r w:rsidRPr="004102BE">
        <w:rPr>
          <w:rFonts w:ascii="Calibri" w:eastAsiaTheme="minorHAnsi" w:hAnsi="Calibri" w:cs="Calibri"/>
          <w:sz w:val="22"/>
          <w:lang w:eastAsia="en-US"/>
        </w:rPr>
        <w:t xml:space="preserve">review, however, the SRCC </w:t>
      </w:r>
      <w:r w:rsidR="00BD0746">
        <w:rPr>
          <w:rFonts w:ascii="Calibri" w:eastAsiaTheme="minorHAnsi" w:hAnsi="Calibri" w:cs="Calibri"/>
          <w:sz w:val="22"/>
          <w:lang w:eastAsia="en-US"/>
        </w:rPr>
        <w:t>would rely</w:t>
      </w:r>
      <w:r w:rsidR="00BD0746" w:rsidRPr="004102BE">
        <w:rPr>
          <w:rFonts w:ascii="Calibri" w:eastAsiaTheme="minorHAnsi" w:hAnsi="Calibri" w:cs="Calibri"/>
          <w:sz w:val="22"/>
          <w:lang w:eastAsia="en-US"/>
        </w:rPr>
        <w:t xml:space="preserve"> </w:t>
      </w:r>
      <w:r w:rsidRPr="004102BE">
        <w:rPr>
          <w:rFonts w:ascii="Calibri" w:eastAsiaTheme="minorHAnsi" w:hAnsi="Calibri" w:cs="Calibri"/>
          <w:sz w:val="22"/>
          <w:lang w:eastAsia="en-US"/>
        </w:rPr>
        <w:t>on the expertise</w:t>
      </w:r>
      <w:r w:rsidR="00B2163B">
        <w:rPr>
          <w:rFonts w:ascii="Calibri" w:eastAsiaTheme="minorHAnsi" w:hAnsi="Calibri" w:cs="Calibri"/>
          <w:sz w:val="22"/>
          <w:lang w:eastAsia="en-US"/>
        </w:rPr>
        <w:t>,</w:t>
      </w:r>
      <w:r w:rsidRPr="004102BE">
        <w:rPr>
          <w:rFonts w:ascii="Calibri" w:eastAsiaTheme="minorHAnsi" w:hAnsi="Calibri" w:cs="Calibri"/>
          <w:sz w:val="22"/>
          <w:lang w:eastAsia="en-US"/>
        </w:rPr>
        <w:t xml:space="preserve"> resources </w:t>
      </w:r>
      <w:r w:rsidR="00B2163B">
        <w:rPr>
          <w:rFonts w:ascii="Calibri" w:eastAsiaTheme="minorHAnsi" w:hAnsi="Calibri" w:cs="Calibri"/>
          <w:sz w:val="22"/>
          <w:lang w:eastAsia="en-US"/>
        </w:rPr>
        <w:t xml:space="preserve">and advice </w:t>
      </w:r>
      <w:r w:rsidRPr="004102BE">
        <w:rPr>
          <w:rFonts w:ascii="Calibri" w:eastAsiaTheme="minorHAnsi" w:hAnsi="Calibri" w:cs="Calibri"/>
          <w:sz w:val="22"/>
          <w:lang w:eastAsia="en-US"/>
        </w:rPr>
        <w:t xml:space="preserve">of Comcare which was the original decision-maker. </w:t>
      </w:r>
      <w:r w:rsidR="00BD0746">
        <w:rPr>
          <w:rFonts w:ascii="Calibri" w:eastAsiaTheme="minorHAnsi" w:hAnsi="Calibri" w:cs="Calibri"/>
          <w:sz w:val="22"/>
          <w:lang w:eastAsia="en-US"/>
        </w:rPr>
        <w:t>S</w:t>
      </w:r>
      <w:r w:rsidRPr="004102BE">
        <w:rPr>
          <w:rFonts w:ascii="Calibri" w:eastAsiaTheme="minorHAnsi" w:hAnsi="Calibri" w:cs="Calibri"/>
          <w:sz w:val="22"/>
          <w:lang w:eastAsia="en-US"/>
        </w:rPr>
        <w:t xml:space="preserve">uch an approach </w:t>
      </w:r>
      <w:r w:rsidR="00BD0746">
        <w:rPr>
          <w:rFonts w:ascii="Calibri" w:eastAsiaTheme="minorHAnsi" w:hAnsi="Calibri" w:cs="Calibri"/>
          <w:sz w:val="22"/>
          <w:lang w:eastAsia="en-US"/>
        </w:rPr>
        <w:t>would</w:t>
      </w:r>
      <w:r w:rsidR="00BD0746" w:rsidRPr="004102BE">
        <w:rPr>
          <w:rFonts w:ascii="Calibri" w:eastAsiaTheme="minorHAnsi" w:hAnsi="Calibri" w:cs="Calibri"/>
          <w:sz w:val="22"/>
          <w:lang w:eastAsia="en-US"/>
        </w:rPr>
        <w:t xml:space="preserve"> </w:t>
      </w:r>
      <w:r w:rsidRPr="004102BE">
        <w:rPr>
          <w:rFonts w:ascii="Calibri" w:eastAsiaTheme="minorHAnsi" w:hAnsi="Calibri" w:cs="Calibri"/>
          <w:sz w:val="22"/>
          <w:lang w:eastAsia="en-US"/>
        </w:rPr>
        <w:t xml:space="preserve">not provide the SRCC with clear independence to perform its regulatory functions effectively.  It is </w:t>
      </w:r>
      <w:r w:rsidR="00140427">
        <w:rPr>
          <w:rFonts w:ascii="Calibri" w:eastAsiaTheme="minorHAnsi" w:hAnsi="Calibri" w:cs="Calibri"/>
          <w:sz w:val="22"/>
          <w:lang w:eastAsia="en-US"/>
        </w:rPr>
        <w:t>important</w:t>
      </w:r>
      <w:r w:rsidR="00140427" w:rsidRPr="004102BE">
        <w:rPr>
          <w:rFonts w:ascii="Calibri" w:eastAsiaTheme="minorHAnsi" w:hAnsi="Calibri" w:cs="Calibri"/>
          <w:sz w:val="22"/>
          <w:lang w:eastAsia="en-US"/>
        </w:rPr>
        <w:t xml:space="preserve"> </w:t>
      </w:r>
      <w:r w:rsidRPr="004102BE">
        <w:rPr>
          <w:rFonts w:ascii="Calibri" w:eastAsiaTheme="minorHAnsi" w:hAnsi="Calibri" w:cs="Calibri"/>
          <w:sz w:val="22"/>
          <w:lang w:eastAsia="en-US"/>
        </w:rPr>
        <w:t>to note</w:t>
      </w:r>
      <w:r w:rsidR="00B2163B">
        <w:rPr>
          <w:rFonts w:ascii="Calibri" w:eastAsiaTheme="minorHAnsi" w:hAnsi="Calibri" w:cs="Calibri"/>
          <w:sz w:val="22"/>
          <w:lang w:eastAsia="en-US"/>
        </w:rPr>
        <w:t>, however,</w:t>
      </w:r>
      <w:r w:rsidRPr="004102BE">
        <w:rPr>
          <w:rFonts w:ascii="Calibri" w:eastAsiaTheme="minorHAnsi" w:hAnsi="Calibri" w:cs="Calibri"/>
          <w:sz w:val="22"/>
          <w:lang w:eastAsia="en-US"/>
        </w:rPr>
        <w:t xml:space="preserve"> that no premium payer has ever requested a review under </w:t>
      </w:r>
      <w:r w:rsidR="00920A03">
        <w:rPr>
          <w:rFonts w:ascii="Calibri" w:eastAsiaTheme="minorHAnsi" w:hAnsi="Calibri" w:cs="Calibri"/>
          <w:sz w:val="22"/>
          <w:lang w:eastAsia="en-US"/>
        </w:rPr>
        <w:t>Section</w:t>
      </w:r>
      <w:r w:rsidRPr="004102BE">
        <w:rPr>
          <w:rFonts w:ascii="Calibri" w:eastAsiaTheme="minorHAnsi" w:hAnsi="Calibri" w:cs="Calibri"/>
          <w:sz w:val="22"/>
          <w:lang w:eastAsia="en-US"/>
        </w:rPr>
        <w:t xml:space="preserve"> 97K of the SRC Act</w:t>
      </w:r>
      <w:r w:rsidR="008D58A4">
        <w:rPr>
          <w:rFonts w:ascii="Calibri" w:eastAsiaTheme="minorHAnsi" w:hAnsi="Calibri" w:cs="Calibri"/>
          <w:sz w:val="22"/>
          <w:lang w:eastAsia="en-US"/>
        </w:rPr>
        <w:t>.</w:t>
      </w:r>
      <w:bookmarkEnd w:id="340"/>
      <w:bookmarkEnd w:id="341"/>
      <w:bookmarkEnd w:id="342"/>
    </w:p>
    <w:p w:rsidR="00C30D65" w:rsidRDefault="004102BE" w:rsidP="004102BE">
      <w:pPr>
        <w:numPr>
          <w:ilvl w:val="1"/>
          <w:numId w:val="31"/>
        </w:numPr>
        <w:spacing w:after="120"/>
        <w:ind w:left="709" w:hanging="709"/>
        <w:outlineLvl w:val="0"/>
        <w:rPr>
          <w:rFonts w:ascii="Calibri" w:eastAsiaTheme="minorHAnsi" w:hAnsi="Calibri" w:cs="Calibri"/>
          <w:sz w:val="22"/>
          <w:lang w:eastAsia="en-US"/>
        </w:rPr>
      </w:pPr>
      <w:bookmarkStart w:id="343" w:name="_Toc342578331"/>
      <w:bookmarkStart w:id="344" w:name="_Toc341777963"/>
      <w:bookmarkStart w:id="345" w:name="_Toc341780723"/>
      <w:r w:rsidRPr="004102BE">
        <w:rPr>
          <w:rFonts w:ascii="Calibri" w:eastAsiaTheme="minorHAnsi" w:hAnsi="Calibri" w:cs="Calibri"/>
          <w:sz w:val="22"/>
          <w:lang w:eastAsia="en-US"/>
        </w:rPr>
        <w:t xml:space="preserve">Since the SRCC does not have its own staff, relying on Comcare’s support, some stakeholders questioned whether the SRCC was carrying out its functions as originally intended. Specifically, there is a perception that the SRCC has become a way to formalise decisions being made at the scheme’s operational level by Comcare; and that Comcare </w:t>
      </w:r>
      <w:r w:rsidR="008D58A4">
        <w:rPr>
          <w:rFonts w:ascii="Calibri" w:eastAsiaTheme="minorHAnsi" w:hAnsi="Calibri" w:cs="Calibri"/>
          <w:sz w:val="22"/>
          <w:lang w:eastAsia="en-US"/>
        </w:rPr>
        <w:t>is</w:t>
      </w:r>
      <w:r w:rsidR="008D58A4" w:rsidRPr="004102BE">
        <w:rPr>
          <w:rFonts w:ascii="Calibri" w:eastAsiaTheme="minorHAnsi" w:hAnsi="Calibri" w:cs="Calibri"/>
          <w:sz w:val="22"/>
          <w:lang w:eastAsia="en-US"/>
        </w:rPr>
        <w:t xml:space="preserve"> </w:t>
      </w:r>
      <w:r w:rsidRPr="004102BE">
        <w:rPr>
          <w:rFonts w:ascii="Calibri" w:eastAsiaTheme="minorHAnsi" w:hAnsi="Calibri" w:cs="Calibri"/>
          <w:sz w:val="22"/>
          <w:lang w:eastAsia="en-US"/>
        </w:rPr>
        <w:t xml:space="preserve">in effect the main regulator of the scheme. </w:t>
      </w:r>
      <w:r w:rsidR="008D58A4">
        <w:rPr>
          <w:rFonts w:ascii="Calibri" w:eastAsiaTheme="minorHAnsi" w:hAnsi="Calibri" w:cs="Calibri"/>
          <w:sz w:val="22"/>
          <w:lang w:eastAsia="en-US"/>
        </w:rPr>
        <w:t>T</w:t>
      </w:r>
      <w:r w:rsidRPr="004102BE">
        <w:rPr>
          <w:rFonts w:ascii="Calibri" w:eastAsiaTheme="minorHAnsi" w:hAnsi="Calibri" w:cs="Calibri"/>
          <w:sz w:val="22"/>
          <w:lang w:eastAsia="en-US"/>
        </w:rPr>
        <w:t>he lack of practical separation between the SRCC and Comcare highlights the problematic s</w:t>
      </w:r>
      <w:r w:rsidR="00B2163B">
        <w:rPr>
          <w:rFonts w:ascii="Calibri" w:eastAsiaTheme="minorHAnsi" w:hAnsi="Calibri" w:cs="Calibri"/>
          <w:sz w:val="22"/>
          <w:lang w:eastAsia="en-US"/>
        </w:rPr>
        <w:t>ituation</w:t>
      </w:r>
      <w:r w:rsidRPr="004102BE">
        <w:rPr>
          <w:rFonts w:ascii="Calibri" w:eastAsiaTheme="minorHAnsi" w:hAnsi="Calibri" w:cs="Calibri"/>
          <w:sz w:val="22"/>
          <w:lang w:eastAsia="en-US"/>
        </w:rPr>
        <w:t xml:space="preserve"> given Comcare’s determining authority role.</w:t>
      </w:r>
      <w:bookmarkEnd w:id="343"/>
    </w:p>
    <w:p w:rsidR="00D80950" w:rsidRPr="004102BE" w:rsidRDefault="00D80950" w:rsidP="00D80950">
      <w:pPr>
        <w:numPr>
          <w:ilvl w:val="1"/>
          <w:numId w:val="31"/>
        </w:numPr>
        <w:spacing w:after="120"/>
        <w:ind w:left="709" w:hanging="709"/>
        <w:outlineLvl w:val="0"/>
        <w:rPr>
          <w:rFonts w:ascii="Calibri" w:eastAsiaTheme="minorHAnsi" w:hAnsi="Calibri" w:cs="Calibri"/>
          <w:i/>
          <w:sz w:val="22"/>
          <w:lang w:eastAsia="en-US"/>
        </w:rPr>
      </w:pPr>
      <w:bookmarkStart w:id="346" w:name="_Toc342578332"/>
      <w:r w:rsidRPr="004102BE">
        <w:rPr>
          <w:rFonts w:ascii="Calibri" w:eastAsiaTheme="minorHAnsi" w:hAnsi="Calibri" w:cs="Calibri"/>
          <w:sz w:val="22"/>
          <w:lang w:eastAsia="en-US"/>
        </w:rPr>
        <w:t xml:space="preserve">The role </w:t>
      </w:r>
      <w:r>
        <w:rPr>
          <w:rFonts w:ascii="Calibri" w:eastAsiaTheme="minorHAnsi" w:hAnsi="Calibri" w:cs="Calibri"/>
          <w:sz w:val="22"/>
          <w:lang w:eastAsia="en-US"/>
        </w:rPr>
        <w:t>(</w:t>
      </w:r>
      <w:r w:rsidRPr="004102BE">
        <w:rPr>
          <w:rFonts w:ascii="Calibri" w:eastAsiaTheme="minorHAnsi" w:hAnsi="Calibri" w:cs="Calibri"/>
          <w:sz w:val="22"/>
          <w:lang w:eastAsia="en-US"/>
        </w:rPr>
        <w:t>and composition</w:t>
      </w:r>
      <w:r>
        <w:rPr>
          <w:rFonts w:ascii="Calibri" w:eastAsiaTheme="minorHAnsi" w:hAnsi="Calibri" w:cs="Calibri"/>
          <w:sz w:val="22"/>
          <w:lang w:eastAsia="en-US"/>
        </w:rPr>
        <w:t>)</w:t>
      </w:r>
      <w:r w:rsidRPr="004102BE">
        <w:rPr>
          <w:rFonts w:ascii="Calibri" w:eastAsiaTheme="minorHAnsi" w:hAnsi="Calibri" w:cs="Calibri"/>
          <w:sz w:val="22"/>
          <w:lang w:eastAsia="en-US"/>
        </w:rPr>
        <w:t xml:space="preserve"> of the SRCC has been the subject of consideration in previous reviews</w:t>
      </w:r>
      <w:r>
        <w:rPr>
          <w:rFonts w:ascii="Calibri" w:eastAsiaTheme="minorHAnsi" w:hAnsi="Calibri" w:cs="Calibri"/>
          <w:sz w:val="22"/>
          <w:lang w:eastAsia="en-US"/>
        </w:rPr>
        <w:t>.  This has included consideration of the SRCC’s independence.</w:t>
      </w:r>
      <w:r w:rsidRPr="004102BE">
        <w:rPr>
          <w:rFonts w:ascii="Calibri" w:eastAsiaTheme="minorHAnsi" w:hAnsi="Calibri" w:cs="Calibri"/>
          <w:sz w:val="22"/>
          <w:lang w:eastAsia="en-US"/>
        </w:rPr>
        <w:t xml:space="preserve">  In 2004 the Productivity Commission recommended that “... </w:t>
      </w:r>
      <w:r w:rsidRPr="004102BE">
        <w:rPr>
          <w:rFonts w:ascii="Calibri" w:eastAsiaTheme="minorHAnsi" w:hAnsi="Calibri" w:cs="Calibri"/>
          <w:i/>
          <w:sz w:val="22"/>
          <w:lang w:eastAsia="en-US"/>
        </w:rPr>
        <w:t>the current regulatory framework for the oversight of the Australian Government’s workers’ compensation schemes and occupational health and safety regimes be strengthened by progressively developing the Safety, Rehabilitation, and Compensation Commission as a stand-alone regulator.  The SRC Commission to:</w:t>
      </w:r>
      <w:bookmarkEnd w:id="346"/>
    </w:p>
    <w:p w:rsidR="00D80950" w:rsidRPr="004102BE" w:rsidRDefault="00D80950" w:rsidP="00D80950">
      <w:pPr>
        <w:numPr>
          <w:ilvl w:val="0"/>
          <w:numId w:val="27"/>
        </w:numPr>
        <w:spacing w:after="120"/>
        <w:ind w:left="1134" w:hanging="425"/>
        <w:rPr>
          <w:rFonts w:ascii="Calibri" w:eastAsiaTheme="minorHAnsi" w:hAnsi="Calibri" w:cs="Calibri"/>
          <w:i/>
          <w:sz w:val="22"/>
          <w:lang w:eastAsia="en-US"/>
        </w:rPr>
      </w:pPr>
      <w:r w:rsidRPr="004102BE">
        <w:rPr>
          <w:rFonts w:ascii="Calibri" w:eastAsiaTheme="minorHAnsi" w:hAnsi="Calibri" w:cs="Calibri"/>
          <w:i/>
          <w:sz w:val="22"/>
          <w:lang w:eastAsia="en-US"/>
        </w:rPr>
        <w:t>be controlled by a board of independent directors appointed for a fixed term on the basis of their expertise and skills;</w:t>
      </w:r>
    </w:p>
    <w:p w:rsidR="00D80950" w:rsidRPr="004102BE" w:rsidRDefault="00D80950" w:rsidP="00D80950">
      <w:pPr>
        <w:numPr>
          <w:ilvl w:val="0"/>
          <w:numId w:val="27"/>
        </w:numPr>
        <w:spacing w:after="120"/>
        <w:ind w:left="1134" w:hanging="425"/>
        <w:rPr>
          <w:rFonts w:ascii="Calibri" w:eastAsiaTheme="minorHAnsi" w:hAnsi="Calibri" w:cs="Calibri"/>
          <w:i/>
          <w:sz w:val="22"/>
          <w:lang w:eastAsia="en-US"/>
        </w:rPr>
      </w:pPr>
      <w:r w:rsidRPr="004102BE">
        <w:rPr>
          <w:rFonts w:ascii="Calibri" w:eastAsiaTheme="minorHAnsi" w:hAnsi="Calibri" w:cs="Calibri"/>
          <w:i/>
          <w:sz w:val="22"/>
          <w:lang w:eastAsia="en-US"/>
        </w:rPr>
        <w:t>have a full time director appointed as a chairperson; and</w:t>
      </w:r>
    </w:p>
    <w:p w:rsidR="00D80950" w:rsidRPr="004102BE" w:rsidRDefault="00D80950" w:rsidP="00D80950">
      <w:pPr>
        <w:numPr>
          <w:ilvl w:val="0"/>
          <w:numId w:val="27"/>
        </w:numPr>
        <w:spacing w:after="120"/>
        <w:ind w:left="1134" w:hanging="425"/>
        <w:rPr>
          <w:rFonts w:ascii="Calibri" w:eastAsiaTheme="minorHAnsi" w:hAnsi="Calibri" w:cs="Calibri"/>
          <w:sz w:val="22"/>
          <w:lang w:eastAsia="en-US"/>
        </w:rPr>
      </w:pPr>
      <w:proofErr w:type="gramStart"/>
      <w:r w:rsidRPr="004102BE">
        <w:rPr>
          <w:rFonts w:ascii="Calibri" w:eastAsiaTheme="minorHAnsi" w:hAnsi="Calibri" w:cs="Calibri"/>
          <w:i/>
          <w:sz w:val="22"/>
          <w:lang w:eastAsia="en-US"/>
        </w:rPr>
        <w:t>be</w:t>
      </w:r>
      <w:proofErr w:type="gramEnd"/>
      <w:r w:rsidRPr="004102BE">
        <w:rPr>
          <w:rFonts w:ascii="Calibri" w:eastAsiaTheme="minorHAnsi" w:hAnsi="Calibri" w:cs="Calibri"/>
          <w:i/>
          <w:sz w:val="22"/>
          <w:lang w:eastAsia="en-US"/>
        </w:rPr>
        <w:t xml:space="preserve"> provided with its own staff and funding</w:t>
      </w:r>
      <w:r w:rsidRPr="004102BE">
        <w:rPr>
          <w:rFonts w:ascii="Calibri" w:eastAsiaTheme="minorHAnsi" w:hAnsi="Calibri" w:cs="Calibri"/>
          <w:sz w:val="22"/>
          <w:lang w:eastAsia="en-US"/>
        </w:rPr>
        <w:t>.”</w:t>
      </w:r>
      <w:r w:rsidRPr="004102BE">
        <w:rPr>
          <w:rFonts w:ascii="Calibri" w:eastAsiaTheme="minorHAnsi" w:hAnsi="Calibri" w:cs="Calibri"/>
          <w:sz w:val="22"/>
          <w:vertAlign w:val="superscript"/>
          <w:lang w:eastAsia="en-US"/>
        </w:rPr>
        <w:footnoteReference w:id="17"/>
      </w:r>
    </w:p>
    <w:p w:rsidR="00D80950" w:rsidRPr="00D80950" w:rsidRDefault="00D80950">
      <w:pPr>
        <w:numPr>
          <w:ilvl w:val="1"/>
          <w:numId w:val="31"/>
        </w:numPr>
        <w:spacing w:after="120"/>
        <w:ind w:left="709" w:hanging="709"/>
        <w:outlineLvl w:val="0"/>
        <w:rPr>
          <w:rFonts w:ascii="Calibri" w:eastAsiaTheme="minorHAnsi" w:hAnsi="Calibri" w:cs="Calibri"/>
          <w:sz w:val="22"/>
          <w:lang w:eastAsia="en-US"/>
        </w:rPr>
      </w:pPr>
      <w:bookmarkStart w:id="347" w:name="_Toc342578333"/>
      <w:r w:rsidRPr="004102BE">
        <w:rPr>
          <w:rFonts w:ascii="Calibri" w:eastAsiaTheme="minorHAnsi" w:hAnsi="Calibri" w:cs="Calibri"/>
          <w:sz w:val="22"/>
          <w:lang w:eastAsia="en-US"/>
        </w:rPr>
        <w:t>This recommendation by the Productivity Commission was made in the context of proposals for establishing a national workers’ compensation scheme under the Comcare scheme. While a number of private companies have now been granted self insurance licences since then, the recommendation above has not been implemented.</w:t>
      </w:r>
      <w:bookmarkEnd w:id="347"/>
    </w:p>
    <w:p w:rsidR="004102BE" w:rsidRDefault="00C30D65" w:rsidP="004102BE">
      <w:pPr>
        <w:numPr>
          <w:ilvl w:val="1"/>
          <w:numId w:val="31"/>
        </w:numPr>
        <w:spacing w:after="120"/>
        <w:ind w:left="709" w:hanging="709"/>
        <w:outlineLvl w:val="0"/>
        <w:rPr>
          <w:rFonts w:ascii="Calibri" w:eastAsiaTheme="minorHAnsi" w:hAnsi="Calibri" w:cs="Calibri"/>
          <w:sz w:val="22"/>
          <w:lang w:eastAsia="en-US"/>
        </w:rPr>
      </w:pPr>
      <w:bookmarkStart w:id="348" w:name="_Toc342578334"/>
      <w:r>
        <w:rPr>
          <w:rFonts w:ascii="Calibri" w:eastAsiaTheme="minorHAnsi" w:hAnsi="Calibri" w:cs="Calibri"/>
          <w:sz w:val="22"/>
          <w:lang w:eastAsia="en-US"/>
        </w:rPr>
        <w:t xml:space="preserve">The </w:t>
      </w:r>
      <w:r w:rsidR="00B2163B">
        <w:rPr>
          <w:rFonts w:ascii="Calibri" w:eastAsiaTheme="minorHAnsi" w:hAnsi="Calibri" w:cs="Calibri"/>
          <w:sz w:val="22"/>
          <w:lang w:eastAsia="en-US"/>
        </w:rPr>
        <w:t>SRCC’s</w:t>
      </w:r>
      <w:r>
        <w:rPr>
          <w:rFonts w:ascii="Calibri" w:eastAsiaTheme="minorHAnsi" w:hAnsi="Calibri" w:cs="Calibri"/>
          <w:sz w:val="22"/>
          <w:lang w:eastAsia="en-US"/>
        </w:rPr>
        <w:t xml:space="preserve"> reliance on Comcare for material support does not provide an adequate separation of powers from an organisation that the SRCC is required to regulate</w:t>
      </w:r>
      <w:r w:rsidR="004102BE" w:rsidRPr="004102BE">
        <w:rPr>
          <w:rFonts w:ascii="Calibri" w:eastAsiaTheme="minorHAnsi" w:hAnsi="Calibri" w:cs="Calibri"/>
          <w:sz w:val="22"/>
          <w:lang w:eastAsia="en-US"/>
        </w:rPr>
        <w:t>.</w:t>
      </w:r>
      <w:bookmarkEnd w:id="344"/>
      <w:bookmarkEnd w:id="345"/>
      <w:r w:rsidR="00CE1D4C" w:rsidRPr="00CE1D4C">
        <w:t xml:space="preserve"> </w:t>
      </w:r>
      <w:bookmarkStart w:id="349" w:name="_Toc341777964"/>
      <w:bookmarkStart w:id="350" w:name="_Toc341780724"/>
      <w:r w:rsidR="00B2163B">
        <w:rPr>
          <w:rFonts w:ascii="Calibri" w:eastAsiaTheme="minorHAnsi" w:hAnsi="Calibri" w:cs="Calibri"/>
          <w:sz w:val="22"/>
          <w:lang w:eastAsia="en-US"/>
        </w:rPr>
        <w:t>C</w:t>
      </w:r>
      <w:r w:rsidR="00CE1D4C" w:rsidRPr="00CE1D4C">
        <w:rPr>
          <w:rFonts w:ascii="Calibri" w:eastAsiaTheme="minorHAnsi" w:hAnsi="Calibri" w:cs="Calibri"/>
          <w:sz w:val="22"/>
          <w:lang w:eastAsia="en-US"/>
        </w:rPr>
        <w:t>urrent arrangements where both the SRCC and Comcare share regulatory functions under the SRC Act can lead to confusion, if not the potential to affect scheme performance. A more robust regulatory framework could mitigate this</w:t>
      </w:r>
      <w:r w:rsidR="000C2A97">
        <w:rPr>
          <w:rFonts w:ascii="Calibri" w:eastAsiaTheme="minorHAnsi" w:hAnsi="Calibri" w:cs="Calibri"/>
          <w:sz w:val="22"/>
          <w:lang w:eastAsia="en-US"/>
        </w:rPr>
        <w:t>, and three options are considered below</w:t>
      </w:r>
      <w:r w:rsidR="00CE1D4C" w:rsidRPr="00CE1D4C">
        <w:rPr>
          <w:rFonts w:ascii="Calibri" w:eastAsiaTheme="minorHAnsi" w:hAnsi="Calibri" w:cs="Calibri"/>
          <w:sz w:val="22"/>
          <w:lang w:eastAsia="en-US"/>
        </w:rPr>
        <w:t>.</w:t>
      </w:r>
      <w:bookmarkEnd w:id="349"/>
      <w:bookmarkEnd w:id="350"/>
      <w:bookmarkEnd w:id="348"/>
    </w:p>
    <w:p w:rsidR="002555F4" w:rsidRDefault="006E236C">
      <w:pPr>
        <w:spacing w:after="120"/>
        <w:ind w:left="709"/>
        <w:outlineLvl w:val="0"/>
        <w:rPr>
          <w:rFonts w:ascii="Calibri" w:eastAsiaTheme="minorHAnsi" w:hAnsi="Calibri" w:cs="Calibri"/>
          <w:b/>
          <w:sz w:val="22"/>
          <w:lang w:eastAsia="en-US"/>
        </w:rPr>
      </w:pPr>
      <w:bookmarkStart w:id="351" w:name="_Toc342578335"/>
      <w:r w:rsidRPr="006E236C">
        <w:rPr>
          <w:rFonts w:ascii="Calibri" w:eastAsiaTheme="minorHAnsi" w:hAnsi="Calibri" w:cs="Calibri"/>
          <w:b/>
          <w:sz w:val="22"/>
          <w:lang w:eastAsia="en-US"/>
        </w:rPr>
        <w:t>Option 1</w:t>
      </w:r>
      <w:bookmarkEnd w:id="351"/>
    </w:p>
    <w:p w:rsidR="004102BE" w:rsidRPr="004102BE" w:rsidRDefault="004102BE" w:rsidP="004102BE">
      <w:pPr>
        <w:numPr>
          <w:ilvl w:val="1"/>
          <w:numId w:val="31"/>
        </w:numPr>
        <w:spacing w:after="120"/>
        <w:ind w:left="709" w:hanging="709"/>
        <w:outlineLvl w:val="0"/>
        <w:rPr>
          <w:rFonts w:ascii="Calibri" w:eastAsiaTheme="minorHAnsi" w:hAnsi="Calibri" w:cs="Calibri"/>
          <w:sz w:val="22"/>
          <w:lang w:eastAsia="en-US"/>
        </w:rPr>
      </w:pPr>
      <w:bookmarkStart w:id="352" w:name="_Toc341777965"/>
      <w:bookmarkStart w:id="353" w:name="_Toc341780725"/>
      <w:bookmarkStart w:id="354" w:name="_Toc342578336"/>
      <w:r w:rsidRPr="004102BE">
        <w:rPr>
          <w:rFonts w:ascii="Calibri" w:eastAsiaTheme="minorHAnsi" w:hAnsi="Calibri" w:cs="Calibri"/>
          <w:sz w:val="22"/>
          <w:lang w:eastAsia="en-US"/>
        </w:rPr>
        <w:t xml:space="preserve">One option would be to make the SRCC sole regulator of the Comcare scheme.  All regulatory functions under the SRC Act would reside with the SRCC providing it with greater independence in </w:t>
      </w:r>
      <w:r w:rsidR="008D58A4" w:rsidRPr="004102BE">
        <w:rPr>
          <w:rFonts w:ascii="Calibri" w:eastAsiaTheme="minorHAnsi" w:hAnsi="Calibri" w:cs="Calibri"/>
          <w:sz w:val="22"/>
          <w:lang w:eastAsia="en-US"/>
        </w:rPr>
        <w:t>perform</w:t>
      </w:r>
      <w:r w:rsidR="008D58A4">
        <w:rPr>
          <w:rFonts w:ascii="Calibri" w:eastAsiaTheme="minorHAnsi" w:hAnsi="Calibri" w:cs="Calibri"/>
          <w:sz w:val="22"/>
          <w:lang w:eastAsia="en-US"/>
        </w:rPr>
        <w:t>ing</w:t>
      </w:r>
      <w:r w:rsidRPr="004102BE">
        <w:rPr>
          <w:rFonts w:ascii="Calibri" w:eastAsiaTheme="minorHAnsi" w:hAnsi="Calibri" w:cs="Calibri"/>
          <w:sz w:val="22"/>
          <w:lang w:eastAsia="en-US"/>
        </w:rPr>
        <w:t xml:space="preserve"> its regulatory functions. Subject to appropriate resourcing, this would provide greater clarity for stakeholders and enable the SRCC to increase its regulatory oversight of Comcare as a determining authority. An example of this arrangement can be </w:t>
      </w:r>
      <w:r w:rsidRPr="004102BE">
        <w:rPr>
          <w:rFonts w:ascii="Calibri" w:eastAsiaTheme="minorHAnsi" w:hAnsi="Calibri" w:cs="Calibri"/>
          <w:sz w:val="22"/>
          <w:lang w:eastAsia="en-US"/>
        </w:rPr>
        <w:lastRenderedPageBreak/>
        <w:t>found in the Queensland workers’ compensation scheme where the scheme regulator, Q-COMP, is completely separate from the claims managers in the scheme. Q-COMP’s regulatory functions include:</w:t>
      </w:r>
      <w:bookmarkEnd w:id="352"/>
      <w:bookmarkEnd w:id="353"/>
      <w:bookmarkEnd w:id="354"/>
    </w:p>
    <w:p w:rsidR="004102BE" w:rsidRPr="004102BE" w:rsidRDefault="004102BE" w:rsidP="004102BE">
      <w:pPr>
        <w:numPr>
          <w:ilvl w:val="0"/>
          <w:numId w:val="27"/>
        </w:numPr>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 xml:space="preserve">monitoring insurers’ compliance with the Queensland </w:t>
      </w:r>
      <w:r w:rsidRPr="004102BE">
        <w:rPr>
          <w:rFonts w:ascii="Calibri" w:eastAsiaTheme="minorHAnsi" w:hAnsi="Calibri" w:cs="Calibri"/>
          <w:i/>
          <w:sz w:val="22"/>
          <w:lang w:eastAsia="en-US"/>
        </w:rPr>
        <w:t>Worker’s Compensation and Rehabilitation Act 2003</w:t>
      </w:r>
      <w:r w:rsidRPr="004102BE">
        <w:rPr>
          <w:rFonts w:ascii="Calibri" w:eastAsiaTheme="minorHAnsi" w:hAnsi="Calibri" w:cs="Calibri"/>
          <w:sz w:val="22"/>
          <w:lang w:eastAsia="en-US"/>
        </w:rPr>
        <w:t>;</w:t>
      </w:r>
    </w:p>
    <w:p w:rsidR="004102BE" w:rsidRPr="004102BE" w:rsidRDefault="004102BE" w:rsidP="004102BE">
      <w:pPr>
        <w:numPr>
          <w:ilvl w:val="0"/>
          <w:numId w:val="27"/>
        </w:numPr>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monitoring insurers’ performance under the Act, including the consistent application of the Act; and</w:t>
      </w:r>
    </w:p>
    <w:p w:rsidR="004102BE" w:rsidRPr="004102BE" w:rsidRDefault="004102BE" w:rsidP="004102BE">
      <w:pPr>
        <w:numPr>
          <w:ilvl w:val="0"/>
          <w:numId w:val="27"/>
        </w:numPr>
        <w:spacing w:after="120"/>
        <w:ind w:left="1134" w:hanging="425"/>
        <w:rPr>
          <w:rFonts w:ascii="Arial" w:hAnsi="Arial" w:cstheme="majorHAnsi"/>
          <w:sz w:val="19"/>
          <w:szCs w:val="20"/>
        </w:rPr>
      </w:pPr>
      <w:proofErr w:type="gramStart"/>
      <w:r w:rsidRPr="004102BE">
        <w:rPr>
          <w:rFonts w:ascii="Calibri" w:eastAsiaTheme="minorHAnsi" w:hAnsi="Calibri" w:cs="Calibri"/>
          <w:sz w:val="22"/>
          <w:lang w:eastAsia="en-US"/>
        </w:rPr>
        <w:t>deciding</w:t>
      </w:r>
      <w:proofErr w:type="gramEnd"/>
      <w:r w:rsidRPr="004102BE">
        <w:rPr>
          <w:rFonts w:ascii="Calibri" w:eastAsiaTheme="minorHAnsi" w:hAnsi="Calibri" w:cs="Calibri"/>
          <w:sz w:val="22"/>
          <w:lang w:eastAsia="en-US"/>
        </w:rPr>
        <w:t xml:space="preserve"> self-insurance applications.</w:t>
      </w:r>
    </w:p>
    <w:p w:rsidR="004102BE" w:rsidRPr="00373844" w:rsidRDefault="004102BE" w:rsidP="004102BE">
      <w:pPr>
        <w:numPr>
          <w:ilvl w:val="1"/>
          <w:numId w:val="31"/>
        </w:numPr>
        <w:spacing w:after="120"/>
        <w:ind w:left="709" w:hanging="709"/>
        <w:outlineLvl w:val="0"/>
        <w:rPr>
          <w:rFonts w:ascii="Calibri" w:eastAsiaTheme="minorHAnsi" w:hAnsi="Calibri" w:cs="Calibri"/>
          <w:bCs/>
          <w:caps/>
          <w:kern w:val="36"/>
          <w:sz w:val="22"/>
          <w:lang w:eastAsia="en-US"/>
        </w:rPr>
      </w:pPr>
      <w:bookmarkStart w:id="355" w:name="_Toc341777966"/>
      <w:bookmarkStart w:id="356" w:name="_Toc341780726"/>
      <w:bookmarkStart w:id="357" w:name="_Toc342578337"/>
      <w:r w:rsidRPr="004102BE">
        <w:rPr>
          <w:rFonts w:ascii="Calibri" w:eastAsiaTheme="minorHAnsi" w:hAnsi="Calibri" w:cs="Calibri"/>
          <w:sz w:val="22"/>
          <w:lang w:eastAsia="en-US"/>
        </w:rPr>
        <w:t>The Queensland Government is currently conducting an inquiry into the operation of the Queensland workers’ compensation system. The associated Information Paper does not raise any major issues about the scheme’s structural arrangements, focusing instead on ensuring current arrangements are working effectively.</w:t>
      </w:r>
      <w:bookmarkEnd w:id="355"/>
      <w:bookmarkEnd w:id="356"/>
      <w:bookmarkEnd w:id="357"/>
    </w:p>
    <w:p w:rsidR="004102BE" w:rsidRPr="004102BE" w:rsidRDefault="004102BE" w:rsidP="004102BE">
      <w:pPr>
        <w:numPr>
          <w:ilvl w:val="1"/>
          <w:numId w:val="31"/>
        </w:numPr>
        <w:spacing w:after="120"/>
        <w:ind w:left="709" w:hanging="709"/>
        <w:outlineLvl w:val="0"/>
        <w:rPr>
          <w:rFonts w:ascii="Calibri" w:eastAsiaTheme="minorHAnsi" w:hAnsi="Calibri" w:cs="Calibri"/>
          <w:sz w:val="22"/>
          <w:lang w:eastAsia="en-US"/>
        </w:rPr>
      </w:pPr>
      <w:bookmarkStart w:id="358" w:name="_Toc341777967"/>
      <w:bookmarkStart w:id="359" w:name="_Toc341780727"/>
      <w:bookmarkStart w:id="360" w:name="_Toc342578338"/>
      <w:r w:rsidRPr="004102BE">
        <w:rPr>
          <w:rFonts w:ascii="Calibri" w:eastAsiaTheme="minorHAnsi" w:hAnsi="Calibri" w:cs="Calibri"/>
          <w:sz w:val="22"/>
          <w:lang w:eastAsia="en-US"/>
        </w:rPr>
        <w:t>Under option</w:t>
      </w:r>
      <w:r w:rsidR="000C2A97">
        <w:rPr>
          <w:rFonts w:ascii="Calibri" w:eastAsiaTheme="minorHAnsi" w:hAnsi="Calibri" w:cs="Calibri"/>
          <w:sz w:val="22"/>
          <w:lang w:eastAsia="en-US"/>
        </w:rPr>
        <w:t xml:space="preserve"> 1</w:t>
      </w:r>
      <w:r w:rsidRPr="004102BE">
        <w:rPr>
          <w:rFonts w:ascii="Calibri" w:eastAsiaTheme="minorHAnsi" w:hAnsi="Calibri" w:cs="Calibri"/>
          <w:sz w:val="22"/>
          <w:lang w:eastAsia="en-US"/>
        </w:rPr>
        <w:t>, Comcare would revert to being a determining authority and perform no regulatory functions under the SRC Act.</w:t>
      </w:r>
      <w:bookmarkEnd w:id="358"/>
      <w:bookmarkEnd w:id="359"/>
      <w:bookmarkEnd w:id="360"/>
    </w:p>
    <w:p w:rsidR="004102BE" w:rsidRPr="004102BE" w:rsidRDefault="004102BE" w:rsidP="004102BE">
      <w:pPr>
        <w:numPr>
          <w:ilvl w:val="1"/>
          <w:numId w:val="31"/>
        </w:numPr>
        <w:spacing w:after="120"/>
        <w:ind w:left="709" w:hanging="709"/>
        <w:outlineLvl w:val="0"/>
        <w:rPr>
          <w:rFonts w:ascii="Calibri" w:eastAsiaTheme="minorHAnsi" w:hAnsi="Calibri" w:cs="Calibri"/>
          <w:sz w:val="22"/>
          <w:lang w:eastAsia="en-US"/>
        </w:rPr>
      </w:pPr>
      <w:bookmarkStart w:id="361" w:name="_Toc341777968"/>
      <w:bookmarkStart w:id="362" w:name="_Toc341780728"/>
      <w:bookmarkStart w:id="363" w:name="_Toc342578339"/>
      <w:r w:rsidRPr="004102BE">
        <w:rPr>
          <w:rFonts w:ascii="Calibri" w:eastAsiaTheme="minorHAnsi" w:hAnsi="Calibri" w:cs="Calibri"/>
          <w:sz w:val="22"/>
          <w:lang w:eastAsia="en-US"/>
        </w:rPr>
        <w:t xml:space="preserve">Implementation would require an amendment to the SRC Act to remove all regulatory powers currently with Comcare and invest them in the SRCC. The SRC Act </w:t>
      </w:r>
      <w:r w:rsidR="00EE4640">
        <w:rPr>
          <w:rFonts w:ascii="Calibri" w:eastAsiaTheme="minorHAnsi" w:hAnsi="Calibri" w:cs="Calibri"/>
          <w:sz w:val="22"/>
          <w:lang w:eastAsia="en-US"/>
        </w:rPr>
        <w:t>c</w:t>
      </w:r>
      <w:r w:rsidRPr="004102BE">
        <w:rPr>
          <w:rFonts w:ascii="Calibri" w:eastAsiaTheme="minorHAnsi" w:hAnsi="Calibri" w:cs="Calibri"/>
          <w:sz w:val="22"/>
          <w:lang w:eastAsia="en-US"/>
        </w:rPr>
        <w:t xml:space="preserve">ould </w:t>
      </w:r>
      <w:r w:rsidR="00EE4640">
        <w:rPr>
          <w:rFonts w:ascii="Calibri" w:eastAsiaTheme="minorHAnsi" w:hAnsi="Calibri" w:cs="Calibri"/>
          <w:sz w:val="22"/>
          <w:lang w:eastAsia="en-US"/>
        </w:rPr>
        <w:t>also</w:t>
      </w:r>
      <w:r w:rsidRPr="004102BE">
        <w:rPr>
          <w:rFonts w:ascii="Calibri" w:eastAsiaTheme="minorHAnsi" w:hAnsi="Calibri" w:cs="Calibri"/>
          <w:sz w:val="22"/>
          <w:lang w:eastAsia="en-US"/>
        </w:rPr>
        <w:t xml:space="preserve"> provide for the SRCC to retain its own staff to undertake this function independently as the scheme regulator. Alternatively, administrative support to the SRCC could be provided </w:t>
      </w:r>
      <w:r w:rsidR="00173FC9" w:rsidRPr="004102BE">
        <w:rPr>
          <w:rFonts w:ascii="Calibri" w:eastAsiaTheme="minorHAnsi" w:hAnsi="Calibri" w:cs="Calibri"/>
          <w:sz w:val="22"/>
          <w:lang w:eastAsia="en-US"/>
        </w:rPr>
        <w:t>by the</w:t>
      </w:r>
      <w:r w:rsidRPr="004102BE">
        <w:rPr>
          <w:rFonts w:ascii="Calibri" w:eastAsiaTheme="minorHAnsi" w:hAnsi="Calibri" w:cs="Calibri"/>
          <w:sz w:val="22"/>
          <w:lang w:eastAsia="en-US"/>
        </w:rPr>
        <w:t xml:space="preserve"> Department of Education, Employment and Workplace Relations (DEEWR). If DEEWR were to </w:t>
      </w:r>
      <w:r w:rsidR="00173FC9" w:rsidRPr="004102BE">
        <w:rPr>
          <w:rFonts w:ascii="Calibri" w:eastAsiaTheme="minorHAnsi" w:hAnsi="Calibri" w:cs="Calibri"/>
          <w:sz w:val="22"/>
          <w:lang w:eastAsia="en-US"/>
        </w:rPr>
        <w:t>provide administrative</w:t>
      </w:r>
      <w:r w:rsidRPr="004102BE">
        <w:rPr>
          <w:rFonts w:ascii="Calibri" w:eastAsiaTheme="minorHAnsi" w:hAnsi="Calibri" w:cs="Calibri"/>
          <w:sz w:val="22"/>
          <w:lang w:eastAsia="en-US"/>
        </w:rPr>
        <w:t xml:space="preserve"> support for the SRCC, the Commonwealth member of the SRCC should not be </w:t>
      </w:r>
      <w:r w:rsidR="00173FC9" w:rsidRPr="004102BE">
        <w:rPr>
          <w:rFonts w:ascii="Calibri" w:eastAsiaTheme="minorHAnsi" w:hAnsi="Calibri" w:cs="Calibri"/>
          <w:sz w:val="22"/>
          <w:lang w:eastAsia="en-US"/>
        </w:rPr>
        <w:t>someone from</w:t>
      </w:r>
      <w:r w:rsidRPr="004102BE">
        <w:rPr>
          <w:rFonts w:ascii="Calibri" w:eastAsiaTheme="minorHAnsi" w:hAnsi="Calibri" w:cs="Calibri"/>
          <w:sz w:val="22"/>
          <w:lang w:eastAsia="en-US"/>
        </w:rPr>
        <w:t xml:space="preserve"> DEEWR, but rather from another Australian Government employing agency, such as the Australian Public Service Commission or the Department of Finance and Deregulation.</w:t>
      </w:r>
      <w:bookmarkEnd w:id="361"/>
      <w:bookmarkEnd w:id="362"/>
      <w:bookmarkEnd w:id="363"/>
    </w:p>
    <w:p w:rsidR="00744A57" w:rsidRPr="000D7C1C" w:rsidRDefault="006E236C" w:rsidP="000D7C1C">
      <w:pPr>
        <w:spacing w:after="120"/>
        <w:ind w:left="709"/>
        <w:outlineLvl w:val="0"/>
        <w:rPr>
          <w:rFonts w:ascii="Calibri" w:eastAsiaTheme="minorHAnsi" w:hAnsi="Calibri" w:cs="Calibri"/>
          <w:sz w:val="22"/>
          <w:lang w:eastAsia="en-US"/>
        </w:rPr>
      </w:pPr>
      <w:bookmarkStart w:id="364" w:name="_Toc341777969"/>
      <w:bookmarkStart w:id="365" w:name="_Toc341780729"/>
      <w:bookmarkStart w:id="366" w:name="_Toc342578340"/>
      <w:bookmarkStart w:id="367" w:name="_Toc341777971"/>
      <w:bookmarkStart w:id="368" w:name="_Toc341780731"/>
      <w:r w:rsidRPr="006E236C">
        <w:rPr>
          <w:rFonts w:ascii="Calibri" w:eastAsiaTheme="minorHAnsi" w:hAnsi="Calibri" w:cs="Calibri"/>
          <w:b/>
          <w:sz w:val="22"/>
          <w:lang w:eastAsia="en-US"/>
        </w:rPr>
        <w:t>Option 2</w:t>
      </w:r>
      <w:bookmarkEnd w:id="364"/>
      <w:bookmarkEnd w:id="365"/>
      <w:bookmarkEnd w:id="366"/>
    </w:p>
    <w:p w:rsidR="000C2A97" w:rsidRDefault="004102BE" w:rsidP="000C2A97">
      <w:pPr>
        <w:numPr>
          <w:ilvl w:val="1"/>
          <w:numId w:val="31"/>
        </w:numPr>
        <w:spacing w:after="120"/>
        <w:ind w:left="709" w:hanging="709"/>
        <w:outlineLvl w:val="0"/>
        <w:rPr>
          <w:rFonts w:ascii="Calibri" w:eastAsiaTheme="minorHAnsi" w:hAnsi="Calibri" w:cs="Calibri"/>
          <w:sz w:val="22"/>
          <w:lang w:eastAsia="en-US"/>
        </w:rPr>
      </w:pPr>
      <w:bookmarkStart w:id="369" w:name="_Toc342578341"/>
      <w:r w:rsidRPr="004102BE">
        <w:rPr>
          <w:rFonts w:ascii="Calibri" w:eastAsiaTheme="minorHAnsi" w:hAnsi="Calibri" w:cs="Calibri"/>
          <w:sz w:val="22"/>
          <w:lang w:eastAsia="en-US"/>
        </w:rPr>
        <w:t xml:space="preserve">A second option would be to make Comcare the sole scheme regulator. This would be similar to jurisdictions such </w:t>
      </w:r>
      <w:r w:rsidR="00173FC9" w:rsidRPr="004102BE">
        <w:rPr>
          <w:rFonts w:ascii="Calibri" w:eastAsiaTheme="minorHAnsi" w:hAnsi="Calibri" w:cs="Calibri"/>
          <w:sz w:val="22"/>
          <w:lang w:eastAsia="en-US"/>
        </w:rPr>
        <w:t>as New</w:t>
      </w:r>
      <w:r w:rsidRPr="004102BE">
        <w:rPr>
          <w:rFonts w:ascii="Calibri" w:eastAsiaTheme="minorHAnsi" w:hAnsi="Calibri" w:cs="Calibri"/>
          <w:sz w:val="22"/>
          <w:lang w:eastAsia="en-US"/>
        </w:rPr>
        <w:t xml:space="preserve"> South Wales, South Australia and Victoria where the regulatory power for workers’ compensation is vested in the same body responsible for claims management outcomes. It is, however, important to note that in these jurisdictions </w:t>
      </w:r>
      <w:r w:rsidR="00173FC9" w:rsidRPr="004102BE">
        <w:rPr>
          <w:rFonts w:ascii="Calibri" w:eastAsiaTheme="minorHAnsi" w:hAnsi="Calibri" w:cs="Calibri"/>
          <w:sz w:val="22"/>
          <w:lang w:eastAsia="en-US"/>
        </w:rPr>
        <w:t>the claims</w:t>
      </w:r>
      <w:r w:rsidRPr="004102BE">
        <w:rPr>
          <w:rFonts w:ascii="Calibri" w:eastAsiaTheme="minorHAnsi" w:hAnsi="Calibri" w:cs="Calibri"/>
          <w:sz w:val="22"/>
          <w:lang w:eastAsia="en-US"/>
        </w:rPr>
        <w:t xml:space="preserve"> management function has been outsourced to third party providers (who are still answerable to the regulator). </w:t>
      </w:r>
      <w:r w:rsidR="00173FC9" w:rsidRPr="004102BE">
        <w:rPr>
          <w:rFonts w:ascii="Calibri" w:eastAsiaTheme="minorHAnsi" w:hAnsi="Calibri" w:cs="Calibri"/>
          <w:sz w:val="22"/>
          <w:lang w:eastAsia="en-US"/>
        </w:rPr>
        <w:t>These regulatory</w:t>
      </w:r>
      <w:r w:rsidRPr="004102BE">
        <w:rPr>
          <w:rFonts w:ascii="Calibri" w:eastAsiaTheme="minorHAnsi" w:hAnsi="Calibri" w:cs="Calibri"/>
          <w:sz w:val="22"/>
          <w:lang w:eastAsia="en-US"/>
        </w:rPr>
        <w:t xml:space="preserve"> bodies are also responsible for premium-setting for their respective schemes, a role which Comcare would keep.</w:t>
      </w:r>
      <w:bookmarkEnd w:id="367"/>
      <w:bookmarkEnd w:id="368"/>
      <w:bookmarkEnd w:id="369"/>
    </w:p>
    <w:p w:rsidR="004102BE" w:rsidRPr="000C2A97" w:rsidRDefault="000C2A97">
      <w:pPr>
        <w:numPr>
          <w:ilvl w:val="1"/>
          <w:numId w:val="31"/>
        </w:numPr>
        <w:spacing w:after="120"/>
        <w:ind w:left="709" w:hanging="709"/>
        <w:outlineLvl w:val="0"/>
        <w:rPr>
          <w:rFonts w:ascii="Calibri" w:eastAsiaTheme="minorHAnsi" w:hAnsi="Calibri" w:cs="Calibri"/>
          <w:sz w:val="22"/>
          <w:lang w:eastAsia="en-US"/>
        </w:rPr>
      </w:pPr>
      <w:bookmarkStart w:id="370" w:name="_Toc342578342"/>
      <w:r w:rsidRPr="004102BE">
        <w:rPr>
          <w:rFonts w:ascii="Calibri" w:eastAsiaTheme="minorHAnsi" w:hAnsi="Calibri" w:cs="Calibri"/>
          <w:sz w:val="22"/>
          <w:lang w:eastAsia="en-US"/>
        </w:rPr>
        <w:t>Some stakeholders</w:t>
      </w:r>
      <w:r>
        <w:rPr>
          <w:rFonts w:ascii="Calibri" w:eastAsiaTheme="minorHAnsi" w:hAnsi="Calibri" w:cs="Calibri"/>
          <w:sz w:val="22"/>
          <w:lang w:eastAsia="en-US"/>
        </w:rPr>
        <w:t xml:space="preserve"> as well as</w:t>
      </w:r>
      <w:r w:rsidRPr="004102BE">
        <w:rPr>
          <w:rFonts w:ascii="Calibri" w:eastAsiaTheme="minorHAnsi" w:hAnsi="Calibri" w:cs="Calibri"/>
          <w:sz w:val="22"/>
          <w:lang w:eastAsia="en-US"/>
        </w:rPr>
        <w:t xml:space="preserve"> </w:t>
      </w:r>
      <w:proofErr w:type="gramStart"/>
      <w:r w:rsidRPr="004102BE">
        <w:rPr>
          <w:rFonts w:ascii="Calibri" w:eastAsiaTheme="minorHAnsi" w:hAnsi="Calibri" w:cs="Calibri"/>
          <w:sz w:val="22"/>
          <w:lang w:eastAsia="en-US"/>
        </w:rPr>
        <w:t>Comcare,</w:t>
      </w:r>
      <w:proofErr w:type="gramEnd"/>
      <w:r w:rsidRPr="004102BE">
        <w:rPr>
          <w:rFonts w:ascii="Calibri" w:eastAsiaTheme="minorHAnsi" w:hAnsi="Calibri" w:cs="Calibri"/>
          <w:sz w:val="22"/>
          <w:lang w:eastAsia="en-US"/>
        </w:rPr>
        <w:t xml:space="preserve"> raised the concern that separating the WHS and SRC Act regulatory functions could lead to fragmented outcomes and might not benefit injured workers in the long term. Having one integrated regulator</w:t>
      </w:r>
      <w:r>
        <w:rPr>
          <w:rFonts w:ascii="Calibri" w:eastAsiaTheme="minorHAnsi" w:hAnsi="Calibri" w:cs="Calibri"/>
          <w:sz w:val="22"/>
          <w:lang w:eastAsia="en-US"/>
        </w:rPr>
        <w:t>, it is argued,</w:t>
      </w:r>
      <w:r w:rsidRPr="004102BE">
        <w:rPr>
          <w:rFonts w:ascii="Calibri" w:eastAsiaTheme="minorHAnsi" w:hAnsi="Calibri" w:cs="Calibri"/>
          <w:sz w:val="22"/>
          <w:lang w:eastAsia="en-US"/>
        </w:rPr>
        <w:t xml:space="preserve"> enables provision of a seamless regulatory framework so that rehabilitation and compensation are part of a continuum under the WHS framework.</w:t>
      </w:r>
      <w:bookmarkEnd w:id="370"/>
    </w:p>
    <w:p w:rsidR="002555F4" w:rsidRDefault="006E236C">
      <w:pPr>
        <w:spacing w:after="120"/>
        <w:ind w:left="709"/>
        <w:outlineLvl w:val="0"/>
        <w:rPr>
          <w:rFonts w:ascii="Calibri" w:eastAsiaTheme="minorHAnsi" w:hAnsi="Calibri" w:cs="Calibri"/>
          <w:b/>
          <w:sz w:val="22"/>
          <w:lang w:eastAsia="en-US"/>
        </w:rPr>
      </w:pPr>
      <w:bookmarkStart w:id="371" w:name="_Toc342578343"/>
      <w:bookmarkStart w:id="372" w:name="_Toc341777972"/>
      <w:bookmarkStart w:id="373" w:name="_Toc341780732"/>
      <w:r w:rsidRPr="006E236C">
        <w:rPr>
          <w:rFonts w:ascii="Calibri" w:eastAsiaTheme="minorHAnsi" w:hAnsi="Calibri" w:cs="Calibri"/>
          <w:b/>
          <w:sz w:val="22"/>
          <w:lang w:eastAsia="en-US"/>
        </w:rPr>
        <w:t>Option 3</w:t>
      </w:r>
      <w:bookmarkEnd w:id="371"/>
    </w:p>
    <w:p w:rsidR="004102BE" w:rsidRDefault="004102BE" w:rsidP="004102BE">
      <w:pPr>
        <w:numPr>
          <w:ilvl w:val="1"/>
          <w:numId w:val="31"/>
        </w:numPr>
        <w:spacing w:after="120"/>
        <w:ind w:left="709" w:hanging="709"/>
        <w:outlineLvl w:val="0"/>
        <w:rPr>
          <w:rFonts w:ascii="Calibri" w:eastAsiaTheme="minorHAnsi" w:hAnsi="Calibri" w:cs="Calibri"/>
          <w:sz w:val="22"/>
          <w:lang w:eastAsia="en-US"/>
        </w:rPr>
      </w:pPr>
      <w:bookmarkStart w:id="374" w:name="_Toc342578344"/>
      <w:r w:rsidRPr="004102BE">
        <w:rPr>
          <w:rFonts w:ascii="Calibri" w:eastAsiaTheme="minorHAnsi" w:hAnsi="Calibri" w:cs="Calibri"/>
          <w:sz w:val="22"/>
          <w:lang w:eastAsia="en-US"/>
        </w:rPr>
        <w:t xml:space="preserve">A third option would be to maintain the current regulatory arrangements, with both the SRCC and Comcare sharing the regulatory powers, but with the SRCC establishing a more robust regulatory framework for monitoring the performance of Comcare as a determining authority.  </w:t>
      </w:r>
      <w:r w:rsidR="00FC1F13">
        <w:rPr>
          <w:rFonts w:ascii="Calibri" w:eastAsiaTheme="minorHAnsi" w:hAnsi="Calibri" w:cs="Calibri"/>
          <w:sz w:val="22"/>
          <w:lang w:eastAsia="en-US"/>
        </w:rPr>
        <w:t>This</w:t>
      </w:r>
      <w:r w:rsidRPr="004102BE">
        <w:rPr>
          <w:rFonts w:ascii="Calibri" w:eastAsiaTheme="minorHAnsi" w:hAnsi="Calibri" w:cs="Calibri"/>
          <w:sz w:val="22"/>
          <w:lang w:eastAsia="en-US"/>
        </w:rPr>
        <w:t xml:space="preserve"> framework already exists for licensed insurers and what is missing is a similar arrangement for Comcare’s premium funded scheme. The regulatory framework for licensees covers all the prudential requirements necessary for them to meet their </w:t>
      </w:r>
      <w:r w:rsidR="000A5586">
        <w:rPr>
          <w:rFonts w:ascii="Calibri" w:eastAsiaTheme="minorHAnsi" w:hAnsi="Calibri" w:cs="Calibri"/>
          <w:sz w:val="22"/>
          <w:lang w:eastAsia="en-US"/>
        </w:rPr>
        <w:t>licence</w:t>
      </w:r>
      <w:r w:rsidRPr="004102BE">
        <w:rPr>
          <w:rFonts w:ascii="Calibri" w:eastAsiaTheme="minorHAnsi" w:hAnsi="Calibri" w:cs="Calibri"/>
          <w:sz w:val="22"/>
          <w:lang w:eastAsia="en-US"/>
        </w:rPr>
        <w:t xml:space="preserve"> conditions and includes prevention, rehabilitation and claims management requirements. For Comcare, however, only a regulatory framework in respect of its claims management functions would be required.</w:t>
      </w:r>
      <w:bookmarkEnd w:id="372"/>
      <w:bookmarkEnd w:id="373"/>
      <w:bookmarkEnd w:id="374"/>
    </w:p>
    <w:p w:rsidR="004102BE" w:rsidRPr="004102BE" w:rsidRDefault="000C2A97" w:rsidP="004102BE">
      <w:pPr>
        <w:numPr>
          <w:ilvl w:val="1"/>
          <w:numId w:val="31"/>
        </w:numPr>
        <w:spacing w:after="120"/>
        <w:ind w:left="709" w:hanging="709"/>
        <w:outlineLvl w:val="0"/>
        <w:rPr>
          <w:rFonts w:ascii="Calibri" w:eastAsiaTheme="minorHAnsi" w:hAnsi="Calibri" w:cs="Calibri"/>
          <w:sz w:val="22"/>
          <w:lang w:eastAsia="en-US"/>
        </w:rPr>
      </w:pPr>
      <w:bookmarkStart w:id="375" w:name="_Toc341777974"/>
      <w:bookmarkStart w:id="376" w:name="_Toc341780734"/>
      <w:bookmarkStart w:id="377" w:name="_Toc342578345"/>
      <w:r>
        <w:rPr>
          <w:rFonts w:ascii="Calibri" w:eastAsiaTheme="minorHAnsi" w:hAnsi="Calibri" w:cs="Calibri"/>
          <w:sz w:val="22"/>
          <w:lang w:eastAsia="en-US"/>
        </w:rPr>
        <w:lastRenderedPageBreak/>
        <w:t xml:space="preserve">As with option 1, a more transparent separation of powers could be achieved if the </w:t>
      </w:r>
      <w:r w:rsidR="00FC1F13">
        <w:rPr>
          <w:rFonts w:ascii="Calibri" w:eastAsiaTheme="minorHAnsi" w:hAnsi="Calibri" w:cs="Calibri"/>
          <w:sz w:val="22"/>
          <w:lang w:eastAsia="en-US"/>
        </w:rPr>
        <w:t xml:space="preserve">SRCC </w:t>
      </w:r>
      <w:r>
        <w:rPr>
          <w:rFonts w:ascii="Calibri" w:eastAsiaTheme="minorHAnsi" w:hAnsi="Calibri" w:cs="Calibri"/>
          <w:sz w:val="22"/>
          <w:lang w:eastAsia="en-US"/>
        </w:rPr>
        <w:t>secretariat was provided by DEEWR</w:t>
      </w:r>
      <w:r w:rsidR="0050660D">
        <w:rPr>
          <w:rFonts w:ascii="Calibri" w:eastAsiaTheme="minorHAnsi" w:hAnsi="Calibri" w:cs="Calibri"/>
          <w:sz w:val="22"/>
          <w:lang w:eastAsia="en-US"/>
        </w:rPr>
        <w:t>.</w:t>
      </w:r>
      <w:bookmarkStart w:id="378" w:name="_Toc341777975"/>
      <w:bookmarkStart w:id="379" w:name="_Toc341780735"/>
      <w:bookmarkEnd w:id="375"/>
      <w:bookmarkEnd w:id="376"/>
      <w:r w:rsidR="003C16D7">
        <w:rPr>
          <w:rFonts w:ascii="Calibri" w:eastAsiaTheme="minorHAnsi" w:hAnsi="Calibri" w:cs="Calibri"/>
          <w:sz w:val="22"/>
          <w:lang w:eastAsia="en-US"/>
        </w:rPr>
        <w:t xml:space="preserve"> </w:t>
      </w:r>
      <w:r w:rsidR="004102BE" w:rsidRPr="004102BE">
        <w:rPr>
          <w:rFonts w:ascii="Calibri" w:eastAsiaTheme="minorHAnsi" w:hAnsi="Calibri" w:cs="Calibri"/>
          <w:sz w:val="22"/>
          <w:lang w:eastAsia="en-US"/>
        </w:rPr>
        <w:t xml:space="preserve">A review of current arrangements in the </w:t>
      </w:r>
      <w:r w:rsidR="00F47533">
        <w:rPr>
          <w:rFonts w:ascii="Calibri" w:eastAsiaTheme="minorHAnsi" w:hAnsi="Calibri" w:cs="Calibri"/>
          <w:sz w:val="22"/>
          <w:lang w:eastAsia="en-US"/>
        </w:rPr>
        <w:t>s</w:t>
      </w:r>
      <w:r w:rsidR="004102BE" w:rsidRPr="004102BE">
        <w:rPr>
          <w:rFonts w:ascii="Calibri" w:eastAsiaTheme="minorHAnsi" w:hAnsi="Calibri" w:cs="Calibri"/>
          <w:sz w:val="22"/>
          <w:lang w:eastAsia="en-US"/>
        </w:rPr>
        <w:t xml:space="preserve">tates and </w:t>
      </w:r>
      <w:r w:rsidR="00F47533">
        <w:rPr>
          <w:rFonts w:ascii="Calibri" w:eastAsiaTheme="minorHAnsi" w:hAnsi="Calibri" w:cs="Calibri"/>
          <w:sz w:val="22"/>
          <w:lang w:eastAsia="en-US"/>
        </w:rPr>
        <w:t>t</w:t>
      </w:r>
      <w:r w:rsidR="004102BE" w:rsidRPr="004102BE">
        <w:rPr>
          <w:rFonts w:ascii="Calibri" w:eastAsiaTheme="minorHAnsi" w:hAnsi="Calibri" w:cs="Calibri"/>
          <w:sz w:val="22"/>
          <w:lang w:eastAsia="en-US"/>
        </w:rPr>
        <w:t xml:space="preserve">erritories reveals that there is no clearly discernible preferred approach. New South Wales and </w:t>
      </w:r>
      <w:r w:rsidR="00173FC9" w:rsidRPr="004102BE">
        <w:rPr>
          <w:rFonts w:ascii="Calibri" w:eastAsiaTheme="minorHAnsi" w:hAnsi="Calibri" w:cs="Calibri"/>
          <w:sz w:val="22"/>
          <w:lang w:eastAsia="en-US"/>
        </w:rPr>
        <w:t>Victoria have</w:t>
      </w:r>
      <w:r w:rsidR="004102BE" w:rsidRPr="004102BE">
        <w:rPr>
          <w:rFonts w:ascii="Calibri" w:eastAsiaTheme="minorHAnsi" w:hAnsi="Calibri" w:cs="Calibri"/>
          <w:sz w:val="22"/>
          <w:lang w:eastAsia="en-US"/>
        </w:rPr>
        <w:t xml:space="preserve"> the same regulator for WHS and workers’ compensation matters. In other </w:t>
      </w:r>
      <w:r w:rsidR="00C627DF">
        <w:rPr>
          <w:rFonts w:ascii="Calibri" w:eastAsiaTheme="minorHAnsi" w:hAnsi="Calibri" w:cs="Calibri"/>
          <w:sz w:val="22"/>
          <w:lang w:eastAsia="en-US"/>
        </w:rPr>
        <w:t>s</w:t>
      </w:r>
      <w:r w:rsidR="004102BE" w:rsidRPr="004102BE">
        <w:rPr>
          <w:rFonts w:ascii="Calibri" w:eastAsiaTheme="minorHAnsi" w:hAnsi="Calibri" w:cs="Calibri"/>
          <w:sz w:val="22"/>
          <w:lang w:eastAsia="en-US"/>
        </w:rPr>
        <w:t xml:space="preserve">tates and </w:t>
      </w:r>
      <w:r w:rsidR="00C627DF">
        <w:rPr>
          <w:rFonts w:ascii="Calibri" w:eastAsiaTheme="minorHAnsi" w:hAnsi="Calibri" w:cs="Calibri"/>
          <w:sz w:val="22"/>
          <w:lang w:eastAsia="en-US"/>
        </w:rPr>
        <w:t>t</w:t>
      </w:r>
      <w:r w:rsidR="004102BE" w:rsidRPr="004102BE">
        <w:rPr>
          <w:rFonts w:ascii="Calibri" w:eastAsiaTheme="minorHAnsi" w:hAnsi="Calibri" w:cs="Calibri"/>
          <w:sz w:val="22"/>
          <w:lang w:eastAsia="en-US"/>
        </w:rPr>
        <w:t>erritories, the regulatory responsibilities reside with two separate bodies. The success or otherwise of a scheme does not appear to be heavily dependent on whether or not it has a single regulator for both WHS and workers’ compensation matters. What seems to be critical is the level of interaction between regulators, if there is more than one.</w:t>
      </w:r>
      <w:bookmarkEnd w:id="378"/>
      <w:bookmarkEnd w:id="379"/>
      <w:bookmarkEnd w:id="377"/>
    </w:p>
    <w:p w:rsidR="00831F68" w:rsidRPr="009710CD" w:rsidRDefault="004102BE">
      <w:pPr>
        <w:numPr>
          <w:ilvl w:val="1"/>
          <w:numId w:val="31"/>
        </w:numPr>
        <w:spacing w:after="120"/>
        <w:ind w:left="709" w:hanging="709"/>
        <w:outlineLvl w:val="0"/>
        <w:rPr>
          <w:rFonts w:ascii="Calibri" w:eastAsiaTheme="minorHAnsi" w:hAnsi="Calibri" w:cs="Calibri"/>
          <w:sz w:val="22"/>
          <w:lang w:eastAsia="en-US"/>
        </w:rPr>
      </w:pPr>
      <w:bookmarkStart w:id="380" w:name="_Toc341777976"/>
      <w:bookmarkStart w:id="381" w:name="_Toc341780736"/>
      <w:bookmarkStart w:id="382" w:name="_Toc342578346"/>
      <w:r w:rsidRPr="004102BE">
        <w:rPr>
          <w:rFonts w:ascii="Calibri" w:eastAsiaTheme="minorHAnsi" w:hAnsi="Calibri" w:cs="Calibri"/>
          <w:sz w:val="22"/>
          <w:lang w:eastAsia="en-US"/>
        </w:rPr>
        <w:t xml:space="preserve">On balance, and having regard to </w:t>
      </w:r>
      <w:r w:rsidRPr="00EE4640">
        <w:rPr>
          <w:rFonts w:ascii="Calibri" w:eastAsiaTheme="minorHAnsi" w:hAnsi="Calibri" w:cs="Calibri"/>
          <w:sz w:val="22"/>
          <w:lang w:eastAsia="en-US"/>
        </w:rPr>
        <w:t xml:space="preserve">paragraphs </w:t>
      </w:r>
      <w:r w:rsidR="006E236C" w:rsidRPr="0035663E">
        <w:rPr>
          <w:rFonts w:ascii="Calibri" w:eastAsiaTheme="minorHAnsi" w:hAnsi="Calibri"/>
          <w:sz w:val="22"/>
        </w:rPr>
        <w:t>2.</w:t>
      </w:r>
      <w:r w:rsidR="006E236C" w:rsidRPr="00EE4640">
        <w:rPr>
          <w:rFonts w:ascii="Calibri" w:eastAsiaTheme="minorHAnsi" w:hAnsi="Calibri" w:cs="Calibri"/>
          <w:sz w:val="22"/>
          <w:lang w:eastAsia="en-US"/>
        </w:rPr>
        <w:t>2</w:t>
      </w:r>
      <w:r w:rsidR="0050660D">
        <w:rPr>
          <w:rFonts w:ascii="Calibri" w:eastAsiaTheme="minorHAnsi" w:hAnsi="Calibri" w:cs="Calibri"/>
          <w:sz w:val="22"/>
          <w:lang w:eastAsia="en-US"/>
        </w:rPr>
        <w:t>6</w:t>
      </w:r>
      <w:r w:rsidR="006E236C" w:rsidRPr="0035663E">
        <w:rPr>
          <w:rFonts w:ascii="Calibri" w:eastAsiaTheme="minorHAnsi" w:hAnsi="Calibri"/>
          <w:sz w:val="22"/>
        </w:rPr>
        <w:t xml:space="preserve"> and 2.</w:t>
      </w:r>
      <w:r w:rsidR="0050660D">
        <w:rPr>
          <w:rFonts w:ascii="Calibri" w:eastAsiaTheme="minorHAnsi" w:hAnsi="Calibri" w:cs="Calibri"/>
          <w:sz w:val="22"/>
          <w:lang w:eastAsia="en-US"/>
        </w:rPr>
        <w:t>2</w:t>
      </w:r>
      <w:r w:rsidR="00FC1F13">
        <w:rPr>
          <w:rFonts w:ascii="Calibri" w:eastAsiaTheme="minorHAnsi" w:hAnsi="Calibri" w:cs="Calibri"/>
          <w:sz w:val="22"/>
          <w:lang w:eastAsia="en-US"/>
        </w:rPr>
        <w:t>8</w:t>
      </w:r>
      <w:r w:rsidR="00BC74B4" w:rsidRPr="004102BE">
        <w:rPr>
          <w:rFonts w:ascii="Calibri" w:eastAsiaTheme="minorHAnsi" w:hAnsi="Calibri" w:cs="Calibri"/>
          <w:sz w:val="22"/>
          <w:lang w:eastAsia="en-US"/>
        </w:rPr>
        <w:t xml:space="preserve"> </w:t>
      </w:r>
      <w:r w:rsidRPr="004102BE">
        <w:rPr>
          <w:rFonts w:ascii="Calibri" w:eastAsiaTheme="minorHAnsi" w:hAnsi="Calibri" w:cs="Calibri"/>
          <w:sz w:val="22"/>
          <w:lang w:eastAsia="en-US"/>
        </w:rPr>
        <w:t>above, I favour the third option outlined at paragraph 2.</w:t>
      </w:r>
      <w:r w:rsidR="00604FA9" w:rsidRPr="004102BE">
        <w:rPr>
          <w:rFonts w:ascii="Calibri" w:eastAsiaTheme="minorHAnsi" w:hAnsi="Calibri" w:cs="Calibri"/>
          <w:sz w:val="22"/>
          <w:lang w:eastAsia="en-US"/>
        </w:rPr>
        <w:t>2</w:t>
      </w:r>
      <w:r w:rsidR="0050660D">
        <w:rPr>
          <w:rFonts w:ascii="Calibri" w:eastAsiaTheme="minorHAnsi" w:hAnsi="Calibri" w:cs="Calibri"/>
          <w:sz w:val="22"/>
          <w:lang w:eastAsia="en-US"/>
        </w:rPr>
        <w:t>7</w:t>
      </w:r>
      <w:r w:rsidR="00604FA9">
        <w:rPr>
          <w:rFonts w:ascii="Calibri" w:eastAsiaTheme="minorHAnsi" w:hAnsi="Calibri" w:cs="Calibri"/>
          <w:sz w:val="22"/>
          <w:lang w:eastAsia="en-US"/>
        </w:rPr>
        <w:t xml:space="preserve">, with </w:t>
      </w:r>
      <w:r w:rsidR="00FC1F13">
        <w:rPr>
          <w:rFonts w:ascii="Calibri" w:eastAsiaTheme="minorHAnsi" w:hAnsi="Calibri" w:cs="Calibri"/>
          <w:sz w:val="22"/>
          <w:lang w:eastAsia="en-US"/>
        </w:rPr>
        <w:t xml:space="preserve">DEEWR providing SRCC </w:t>
      </w:r>
      <w:r w:rsidR="00604FA9">
        <w:rPr>
          <w:rFonts w:ascii="Calibri" w:eastAsiaTheme="minorHAnsi" w:hAnsi="Calibri" w:cs="Calibri"/>
          <w:sz w:val="22"/>
          <w:lang w:eastAsia="en-US"/>
        </w:rPr>
        <w:t>administrative support</w:t>
      </w:r>
      <w:r w:rsidR="00C627DF">
        <w:rPr>
          <w:rFonts w:ascii="Calibri" w:eastAsiaTheme="minorHAnsi" w:hAnsi="Calibri" w:cs="Calibri"/>
          <w:sz w:val="22"/>
          <w:lang w:eastAsia="en-US"/>
        </w:rPr>
        <w:t>.</w:t>
      </w:r>
      <w:bookmarkEnd w:id="380"/>
      <w:bookmarkEnd w:id="381"/>
      <w:bookmarkEnd w:id="382"/>
    </w:p>
    <w:p w:rsidR="007C2242" w:rsidRPr="004102BE" w:rsidRDefault="007C2242" w:rsidP="007C2242">
      <w:pPr>
        <w:pBdr>
          <w:top w:val="single" w:sz="4" w:space="2"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Calibri" w:hAnsi="Calibri" w:cs="Calibri"/>
          <w:sz w:val="22"/>
          <w:szCs w:val="22"/>
        </w:rPr>
      </w:pPr>
      <w:bookmarkStart w:id="383" w:name="_Toc341777978"/>
      <w:r w:rsidRPr="004102BE">
        <w:rPr>
          <w:rFonts w:ascii="Calibri" w:hAnsi="Calibri" w:cs="Calibri"/>
          <w:b/>
          <w:sz w:val="22"/>
          <w:szCs w:val="22"/>
        </w:rPr>
        <w:t xml:space="preserve">Recommendation </w:t>
      </w:r>
      <w:r>
        <w:rPr>
          <w:rFonts w:ascii="Calibri" w:hAnsi="Calibri" w:cs="Calibri"/>
          <w:b/>
          <w:sz w:val="22"/>
          <w:szCs w:val="22"/>
        </w:rPr>
        <w:t>2</w:t>
      </w:r>
    </w:p>
    <w:p w:rsidR="007C2242" w:rsidRDefault="007C2242" w:rsidP="007C2242">
      <w:pPr>
        <w:pBdr>
          <w:top w:val="single" w:sz="4" w:space="2"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Calibri" w:hAnsi="Calibri" w:cs="Calibri"/>
          <w:sz w:val="22"/>
          <w:szCs w:val="22"/>
        </w:rPr>
      </w:pPr>
      <w:r w:rsidRPr="007C2242">
        <w:rPr>
          <w:rFonts w:ascii="Calibri" w:hAnsi="Calibri" w:cs="Calibri"/>
          <w:sz w:val="22"/>
          <w:szCs w:val="22"/>
        </w:rPr>
        <w:t>DEEWR should provide administrative support to the SRCC to provide a separation of powers from the body (Comcare) that the SRCC is regulating.</w:t>
      </w:r>
    </w:p>
    <w:p w:rsidR="007C2242" w:rsidRDefault="007C2242" w:rsidP="007C2242">
      <w:pPr>
        <w:pBdr>
          <w:top w:val="single" w:sz="4" w:space="2"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Calibri" w:hAnsi="Calibri" w:cs="Calibri"/>
          <w:b/>
          <w:sz w:val="22"/>
          <w:szCs w:val="22"/>
        </w:rPr>
      </w:pPr>
      <w:r w:rsidRPr="0035663E">
        <w:rPr>
          <w:rFonts w:ascii="Calibri" w:hAnsi="Calibri" w:cs="Calibri"/>
          <w:b/>
          <w:sz w:val="22"/>
          <w:szCs w:val="22"/>
        </w:rPr>
        <w:t xml:space="preserve">Recommendation </w:t>
      </w:r>
      <w:r>
        <w:rPr>
          <w:rFonts w:ascii="Calibri" w:hAnsi="Calibri" w:cs="Calibri"/>
          <w:b/>
          <w:sz w:val="22"/>
          <w:szCs w:val="22"/>
        </w:rPr>
        <w:t>3</w:t>
      </w:r>
    </w:p>
    <w:p w:rsidR="007C2242" w:rsidRPr="000D7C1C" w:rsidRDefault="007C2242" w:rsidP="007C2242">
      <w:pPr>
        <w:pBdr>
          <w:top w:val="single" w:sz="4" w:space="2"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Calibri" w:hAnsi="Calibri" w:cs="Calibri"/>
          <w:sz w:val="22"/>
          <w:szCs w:val="22"/>
        </w:rPr>
      </w:pPr>
      <w:r w:rsidRPr="000D7C1C">
        <w:rPr>
          <w:rFonts w:ascii="Calibri" w:hAnsi="Calibri" w:cs="Calibri"/>
          <w:sz w:val="22"/>
          <w:szCs w:val="22"/>
        </w:rPr>
        <w:t xml:space="preserve">The SRCC should establish a more robust regulatory </w:t>
      </w:r>
      <w:proofErr w:type="gramStart"/>
      <w:r w:rsidRPr="000D7C1C">
        <w:rPr>
          <w:rFonts w:ascii="Calibri" w:hAnsi="Calibri" w:cs="Calibri"/>
          <w:sz w:val="22"/>
          <w:szCs w:val="22"/>
        </w:rPr>
        <w:t>framework  to</w:t>
      </w:r>
      <w:proofErr w:type="gramEnd"/>
      <w:r w:rsidRPr="000D7C1C">
        <w:rPr>
          <w:rFonts w:ascii="Calibri" w:hAnsi="Calibri" w:cs="Calibri"/>
          <w:sz w:val="22"/>
          <w:szCs w:val="22"/>
        </w:rPr>
        <w:t xml:space="preserve"> monitor the claims management performance of Comcare as a determining authority, using relevant aspects of the arrangements currently in place for licensees</w:t>
      </w:r>
    </w:p>
    <w:p w:rsidR="00744A57" w:rsidRDefault="00744A57" w:rsidP="000D7C1C">
      <w:pPr>
        <w:keepNext/>
        <w:keepLines/>
        <w:outlineLvl w:val="2"/>
        <w:rPr>
          <w:rFonts w:ascii="Arial Bold" w:eastAsiaTheme="majorEastAsia" w:hAnsi="Arial Bold" w:cs="Calibri"/>
          <w:bCs/>
          <w:caps/>
          <w:color w:val="1F497D" w:themeColor="text2"/>
          <w:sz w:val="23"/>
          <w:szCs w:val="23"/>
        </w:rPr>
      </w:pPr>
    </w:p>
    <w:p w:rsidR="004102BE" w:rsidRPr="004102BE" w:rsidRDefault="004102BE" w:rsidP="004102BE">
      <w:pPr>
        <w:keepNext/>
        <w:keepLines/>
        <w:spacing w:before="100" w:beforeAutospacing="1" w:after="100" w:afterAutospacing="1"/>
        <w:outlineLvl w:val="2"/>
        <w:rPr>
          <w:rFonts w:ascii="Calibri" w:eastAsiaTheme="minorHAnsi" w:hAnsi="Calibri" w:cs="Calibri"/>
          <w:sz w:val="22"/>
          <w:lang w:eastAsia="en-US"/>
        </w:rPr>
      </w:pPr>
      <w:bookmarkStart w:id="384" w:name="_Toc342578348"/>
      <w:r w:rsidRPr="004102BE">
        <w:rPr>
          <w:rFonts w:ascii="Arial Bold" w:eastAsiaTheme="majorEastAsia" w:hAnsi="Arial Bold" w:cs="Calibri"/>
          <w:bCs/>
          <w:caps/>
          <w:color w:val="1F497D" w:themeColor="text2"/>
          <w:sz w:val="23"/>
          <w:szCs w:val="23"/>
        </w:rPr>
        <w:t>SRCC Membership</w:t>
      </w:r>
      <w:bookmarkEnd w:id="383"/>
      <w:bookmarkEnd w:id="384"/>
    </w:p>
    <w:p w:rsidR="004102BE" w:rsidRPr="004102BE" w:rsidRDefault="004102BE" w:rsidP="004102BE">
      <w:pPr>
        <w:numPr>
          <w:ilvl w:val="1"/>
          <w:numId w:val="31"/>
        </w:numPr>
        <w:spacing w:after="120"/>
        <w:ind w:left="709" w:hanging="709"/>
        <w:outlineLvl w:val="0"/>
        <w:rPr>
          <w:rFonts w:ascii="Calibri" w:eastAsiaTheme="minorHAnsi" w:hAnsi="Calibri" w:cs="Calibri"/>
          <w:sz w:val="22"/>
          <w:lang w:eastAsia="en-US"/>
        </w:rPr>
      </w:pPr>
      <w:bookmarkStart w:id="385" w:name="_Toc341777979"/>
      <w:bookmarkStart w:id="386" w:name="_Toc341780739"/>
      <w:bookmarkStart w:id="387" w:name="_Toc342578349"/>
      <w:r w:rsidRPr="004102BE">
        <w:rPr>
          <w:rFonts w:ascii="Calibri" w:eastAsiaTheme="minorHAnsi" w:hAnsi="Calibri" w:cs="Calibri"/>
          <w:sz w:val="22"/>
          <w:lang w:eastAsia="en-US"/>
        </w:rPr>
        <w:t>In the context of the current SRCC, some stakeholders also raised concerns with theSRCC membership</w:t>
      </w:r>
      <w:r w:rsidR="00FC1F13">
        <w:rPr>
          <w:rFonts w:ascii="Calibri" w:eastAsiaTheme="minorHAnsi" w:hAnsi="Calibri" w:cs="Calibri"/>
          <w:sz w:val="22"/>
          <w:lang w:eastAsia="en-US"/>
        </w:rPr>
        <w:t xml:space="preserve">, </w:t>
      </w:r>
      <w:r w:rsidRPr="004102BE">
        <w:rPr>
          <w:rFonts w:ascii="Calibri" w:eastAsiaTheme="minorHAnsi" w:hAnsi="Calibri" w:cs="Calibri"/>
          <w:sz w:val="22"/>
          <w:lang w:eastAsia="en-US"/>
        </w:rPr>
        <w:t>a tripartite body with membership described in Chapter One, consisting mainly of key stakeholder members in the Comcare scheme – workers, premium-payers and licensees.</w:t>
      </w:r>
      <w:bookmarkEnd w:id="385"/>
      <w:bookmarkEnd w:id="386"/>
      <w:bookmarkEnd w:id="387"/>
    </w:p>
    <w:p w:rsidR="004102BE" w:rsidRPr="004102BE" w:rsidRDefault="004102BE" w:rsidP="004102BE">
      <w:pPr>
        <w:numPr>
          <w:ilvl w:val="1"/>
          <w:numId w:val="31"/>
        </w:numPr>
        <w:spacing w:after="120"/>
        <w:ind w:left="709" w:hanging="709"/>
        <w:outlineLvl w:val="0"/>
        <w:rPr>
          <w:rFonts w:ascii="Calibri" w:eastAsiaTheme="minorHAnsi" w:hAnsi="Calibri" w:cs="Calibri"/>
          <w:sz w:val="22"/>
          <w:lang w:eastAsia="en-US"/>
        </w:rPr>
      </w:pPr>
      <w:bookmarkStart w:id="388" w:name="_Toc341777980"/>
      <w:bookmarkStart w:id="389" w:name="_Toc341780740"/>
      <w:bookmarkStart w:id="390" w:name="_Toc342578350"/>
      <w:r w:rsidRPr="004102BE">
        <w:rPr>
          <w:rFonts w:ascii="Calibri" w:eastAsiaTheme="minorHAnsi" w:hAnsi="Calibri" w:cs="Calibri"/>
          <w:sz w:val="22"/>
          <w:lang w:eastAsia="en-US"/>
        </w:rPr>
        <w:t xml:space="preserve">In particular, some Australian Government premium payers believed that their representation was inadequate.  They noted that there was currently only one Australian </w:t>
      </w:r>
      <w:r w:rsidR="00DE4A9A" w:rsidRPr="004102BE">
        <w:rPr>
          <w:rFonts w:ascii="Calibri" w:eastAsiaTheme="minorHAnsi" w:hAnsi="Calibri" w:cs="Calibri"/>
          <w:sz w:val="22"/>
          <w:lang w:eastAsia="en-US"/>
        </w:rPr>
        <w:t>Government representative</w:t>
      </w:r>
      <w:r w:rsidRPr="004102BE">
        <w:rPr>
          <w:rFonts w:ascii="Calibri" w:eastAsiaTheme="minorHAnsi" w:hAnsi="Calibri" w:cs="Calibri"/>
          <w:sz w:val="22"/>
          <w:lang w:eastAsia="en-US"/>
        </w:rPr>
        <w:t xml:space="preserve"> on the </w:t>
      </w:r>
      <w:r w:rsidR="00DE4A9A" w:rsidRPr="004102BE">
        <w:rPr>
          <w:rFonts w:ascii="Calibri" w:eastAsiaTheme="minorHAnsi" w:hAnsi="Calibri" w:cs="Calibri"/>
          <w:sz w:val="22"/>
          <w:lang w:eastAsia="en-US"/>
        </w:rPr>
        <w:t>SRCC (</w:t>
      </w:r>
      <w:r w:rsidRPr="004102BE">
        <w:rPr>
          <w:rFonts w:ascii="Calibri" w:eastAsiaTheme="minorHAnsi" w:hAnsi="Calibri" w:cs="Calibri"/>
          <w:sz w:val="22"/>
          <w:lang w:eastAsia="en-US"/>
        </w:rPr>
        <w:t>DEEWR) and the extent to which DEEWR is able to represent both the Government and the Australian Government agencies</w:t>
      </w:r>
      <w:r w:rsidR="00C32667">
        <w:rPr>
          <w:rFonts w:ascii="Calibri" w:eastAsiaTheme="minorHAnsi" w:hAnsi="Calibri" w:cs="Calibri"/>
          <w:sz w:val="22"/>
          <w:lang w:eastAsia="en-US"/>
        </w:rPr>
        <w:t xml:space="preserve"> is not clear</w:t>
      </w:r>
      <w:r w:rsidRPr="004102BE">
        <w:rPr>
          <w:rFonts w:ascii="Calibri" w:eastAsiaTheme="minorHAnsi" w:hAnsi="Calibri" w:cs="Calibri"/>
          <w:sz w:val="22"/>
          <w:lang w:eastAsia="en-US"/>
        </w:rPr>
        <w:t>.</w:t>
      </w:r>
      <w:r w:rsidRPr="004102BE">
        <w:rPr>
          <w:rFonts w:ascii="Calibri" w:eastAsiaTheme="minorHAnsi" w:hAnsi="Calibri" w:cs="Calibri"/>
          <w:sz w:val="22"/>
          <w:vertAlign w:val="superscript"/>
          <w:lang w:eastAsia="en-US"/>
        </w:rPr>
        <w:footnoteReference w:id="18"/>
      </w:r>
      <w:r w:rsidRPr="004102BE">
        <w:rPr>
          <w:rFonts w:ascii="Calibri" w:eastAsiaTheme="minorHAnsi" w:hAnsi="Calibri" w:cs="Calibri"/>
          <w:sz w:val="22"/>
          <w:lang w:eastAsia="en-US"/>
        </w:rPr>
        <w:t xml:space="preserve">  Some stakeholders saw a conflict of </w:t>
      </w:r>
      <w:r w:rsidR="00DE4A9A" w:rsidRPr="004102BE">
        <w:rPr>
          <w:rFonts w:ascii="Calibri" w:eastAsiaTheme="minorHAnsi" w:hAnsi="Calibri" w:cs="Calibri"/>
          <w:sz w:val="22"/>
          <w:lang w:eastAsia="en-US"/>
        </w:rPr>
        <w:t xml:space="preserve">interest </w:t>
      </w:r>
      <w:r w:rsidR="00C32667" w:rsidRPr="004102BE">
        <w:rPr>
          <w:rFonts w:ascii="Calibri" w:eastAsiaTheme="minorHAnsi" w:hAnsi="Calibri" w:cs="Calibri"/>
          <w:sz w:val="22"/>
          <w:lang w:eastAsia="en-US"/>
        </w:rPr>
        <w:t>i</w:t>
      </w:r>
      <w:r w:rsidR="00C32667">
        <w:rPr>
          <w:rFonts w:ascii="Calibri" w:eastAsiaTheme="minorHAnsi" w:hAnsi="Calibri" w:cs="Calibri"/>
          <w:sz w:val="22"/>
          <w:lang w:eastAsia="en-US"/>
        </w:rPr>
        <w:t>n</w:t>
      </w:r>
      <w:r w:rsidR="00C32667" w:rsidRPr="004102BE">
        <w:rPr>
          <w:rFonts w:ascii="Calibri" w:eastAsiaTheme="minorHAnsi" w:hAnsi="Calibri" w:cs="Calibri"/>
          <w:sz w:val="22"/>
          <w:lang w:eastAsia="en-US"/>
        </w:rPr>
        <w:t xml:space="preserve"> </w:t>
      </w:r>
      <w:r w:rsidRPr="004102BE">
        <w:rPr>
          <w:rFonts w:ascii="Calibri" w:eastAsiaTheme="minorHAnsi" w:hAnsi="Calibri" w:cs="Calibri"/>
          <w:sz w:val="22"/>
          <w:lang w:eastAsia="en-US"/>
        </w:rPr>
        <w:t xml:space="preserve">DEEWR </w:t>
      </w:r>
      <w:r w:rsidR="00C32667">
        <w:rPr>
          <w:rFonts w:ascii="Calibri" w:eastAsiaTheme="minorHAnsi" w:hAnsi="Calibri" w:cs="Calibri"/>
          <w:sz w:val="22"/>
          <w:lang w:eastAsia="en-US"/>
        </w:rPr>
        <w:t>representing</w:t>
      </w:r>
      <w:r w:rsidRPr="004102BE">
        <w:rPr>
          <w:rFonts w:ascii="Calibri" w:eastAsiaTheme="minorHAnsi" w:hAnsi="Calibri" w:cs="Calibri"/>
          <w:sz w:val="22"/>
          <w:lang w:eastAsia="en-US"/>
        </w:rPr>
        <w:t xml:space="preserve"> the Australian Government premium payers when it also has policy responsibility under the SRC Act.</w:t>
      </w:r>
      <w:bookmarkEnd w:id="388"/>
      <w:bookmarkEnd w:id="389"/>
      <w:bookmarkEnd w:id="390"/>
    </w:p>
    <w:p w:rsidR="004102BE" w:rsidRPr="004102BE" w:rsidRDefault="004102BE" w:rsidP="004102BE">
      <w:pPr>
        <w:numPr>
          <w:ilvl w:val="1"/>
          <w:numId w:val="31"/>
        </w:numPr>
        <w:spacing w:after="120"/>
        <w:ind w:left="709" w:hanging="709"/>
        <w:outlineLvl w:val="0"/>
        <w:rPr>
          <w:rFonts w:ascii="Calibri" w:eastAsiaTheme="minorHAnsi" w:hAnsi="Calibri" w:cs="Calibri"/>
          <w:sz w:val="22"/>
          <w:lang w:eastAsia="en-US"/>
        </w:rPr>
      </w:pPr>
      <w:bookmarkStart w:id="391" w:name="_Toc341777981"/>
      <w:bookmarkStart w:id="392" w:name="_Toc341780741"/>
      <w:bookmarkStart w:id="393" w:name="_Toc342578351"/>
      <w:r w:rsidRPr="004102BE">
        <w:rPr>
          <w:rFonts w:ascii="Calibri" w:eastAsiaTheme="minorHAnsi" w:hAnsi="Calibri" w:cs="Calibri"/>
          <w:sz w:val="22"/>
          <w:lang w:eastAsia="en-US"/>
        </w:rPr>
        <w:t xml:space="preserve">Agencies noted that there was generally little or no coordination </w:t>
      </w:r>
      <w:r w:rsidR="00DE4A9A" w:rsidRPr="004102BE">
        <w:rPr>
          <w:rFonts w:ascii="Calibri" w:eastAsiaTheme="minorHAnsi" w:hAnsi="Calibri" w:cs="Calibri"/>
          <w:sz w:val="22"/>
          <w:lang w:eastAsia="en-US"/>
        </w:rPr>
        <w:t>of Australian</w:t>
      </w:r>
      <w:r w:rsidRPr="004102BE">
        <w:rPr>
          <w:rFonts w:ascii="Calibri" w:eastAsiaTheme="minorHAnsi" w:hAnsi="Calibri" w:cs="Calibri"/>
          <w:sz w:val="22"/>
          <w:lang w:eastAsia="en-US"/>
        </w:rPr>
        <w:t xml:space="preserve"> Government premium payers to ensure that their views are conveyed at SRCC meetings. It was suggested that SRCC membership be expanded to enable greater representation of Commonwealth premium paying agencies.</w:t>
      </w:r>
      <w:bookmarkEnd w:id="391"/>
      <w:bookmarkEnd w:id="392"/>
      <w:bookmarkEnd w:id="393"/>
    </w:p>
    <w:p w:rsidR="004102BE" w:rsidRPr="004102BE" w:rsidRDefault="004102BE" w:rsidP="004102BE">
      <w:pPr>
        <w:numPr>
          <w:ilvl w:val="1"/>
          <w:numId w:val="31"/>
        </w:numPr>
        <w:spacing w:after="120"/>
        <w:ind w:left="709" w:hanging="709"/>
        <w:outlineLvl w:val="0"/>
        <w:rPr>
          <w:rFonts w:ascii="Calibri" w:eastAsiaTheme="minorHAnsi" w:hAnsi="Calibri" w:cs="Calibri"/>
          <w:sz w:val="22"/>
          <w:lang w:eastAsia="en-US"/>
        </w:rPr>
      </w:pPr>
      <w:bookmarkStart w:id="394" w:name="_Toc341777982"/>
      <w:bookmarkStart w:id="395" w:name="_Toc341780742"/>
      <w:bookmarkStart w:id="396" w:name="_Toc342578352"/>
      <w:r w:rsidRPr="004102BE">
        <w:rPr>
          <w:rFonts w:ascii="Calibri" w:eastAsiaTheme="minorHAnsi" w:hAnsi="Calibri" w:cs="Calibri"/>
          <w:sz w:val="22"/>
          <w:lang w:eastAsia="en-US"/>
        </w:rPr>
        <w:t xml:space="preserve">DEEWR’s membership of the SRCC is pursuant to </w:t>
      </w:r>
      <w:r w:rsidR="00920A03">
        <w:rPr>
          <w:rFonts w:ascii="Calibri" w:eastAsiaTheme="minorHAnsi" w:hAnsi="Calibri" w:cs="Calibri"/>
          <w:sz w:val="22"/>
          <w:lang w:eastAsia="en-US"/>
        </w:rPr>
        <w:t>Section</w:t>
      </w:r>
      <w:r w:rsidRPr="004102BE">
        <w:rPr>
          <w:rFonts w:ascii="Calibri" w:eastAsiaTheme="minorHAnsi" w:hAnsi="Calibri" w:cs="Calibri"/>
          <w:sz w:val="22"/>
          <w:lang w:eastAsia="en-US"/>
        </w:rPr>
        <w:t xml:space="preserve"> 89E of the SRC Act which provides for one member nominated by the Minister to represent “the Commonwealth, and Commonwealth authorities other than licensed insurers“. However as DEEWR has policy responsibility for both the SRC Act and the Commonwealth WHS Act, it could be perceived to have a conflict of interest when an issue arises where the interests of both the Australian Government and Australian Government agencies are at odds.</w:t>
      </w:r>
      <w:bookmarkEnd w:id="394"/>
      <w:bookmarkEnd w:id="395"/>
      <w:bookmarkEnd w:id="396"/>
    </w:p>
    <w:p w:rsidR="002555F4" w:rsidRDefault="004102BE">
      <w:pPr>
        <w:numPr>
          <w:ilvl w:val="1"/>
          <w:numId w:val="31"/>
        </w:numPr>
        <w:spacing w:after="120"/>
        <w:ind w:left="709" w:hanging="709"/>
        <w:outlineLvl w:val="0"/>
        <w:rPr>
          <w:rFonts w:ascii="Calibri" w:eastAsiaTheme="minorHAnsi" w:hAnsi="Calibri" w:cs="Calibri"/>
          <w:sz w:val="22"/>
          <w:lang w:eastAsia="en-US"/>
        </w:rPr>
      </w:pPr>
      <w:bookmarkStart w:id="397" w:name="_Toc341777983"/>
      <w:bookmarkStart w:id="398" w:name="_Toc341780743"/>
      <w:bookmarkStart w:id="399" w:name="_Toc342578353"/>
      <w:r w:rsidRPr="004102BE">
        <w:rPr>
          <w:rFonts w:ascii="Calibri" w:eastAsiaTheme="minorHAnsi" w:hAnsi="Calibri" w:cs="Calibri"/>
          <w:sz w:val="22"/>
          <w:lang w:eastAsia="en-US"/>
        </w:rPr>
        <w:lastRenderedPageBreak/>
        <w:t xml:space="preserve">Accordingly it seems more appropriate to have a separate SRCC member representing the views of Commonwealth authorities. This member will be able to establish processes to actively seek and represent the views and opinions of all Commonwealth authorities at SRCC meetings, a </w:t>
      </w:r>
      <w:r w:rsidR="00DE4A9A" w:rsidRPr="004102BE">
        <w:rPr>
          <w:rFonts w:ascii="Calibri" w:eastAsiaTheme="minorHAnsi" w:hAnsi="Calibri" w:cs="Calibri"/>
          <w:sz w:val="22"/>
          <w:lang w:eastAsia="en-US"/>
        </w:rPr>
        <w:t>role similar</w:t>
      </w:r>
      <w:r w:rsidRPr="004102BE">
        <w:rPr>
          <w:rFonts w:ascii="Calibri" w:eastAsiaTheme="minorHAnsi" w:hAnsi="Calibri" w:cs="Calibri"/>
          <w:sz w:val="22"/>
          <w:lang w:eastAsia="en-US"/>
        </w:rPr>
        <w:t xml:space="preserve"> </w:t>
      </w:r>
      <w:r w:rsidR="00DE4A9A" w:rsidRPr="004102BE">
        <w:rPr>
          <w:rFonts w:ascii="Calibri" w:eastAsiaTheme="minorHAnsi" w:hAnsi="Calibri" w:cs="Calibri"/>
          <w:sz w:val="22"/>
          <w:lang w:eastAsia="en-US"/>
        </w:rPr>
        <w:t>to the</w:t>
      </w:r>
      <w:r w:rsidRPr="004102BE">
        <w:rPr>
          <w:rFonts w:ascii="Calibri" w:eastAsiaTheme="minorHAnsi" w:hAnsi="Calibri" w:cs="Calibri"/>
          <w:sz w:val="22"/>
          <w:lang w:eastAsia="en-US"/>
        </w:rPr>
        <w:t xml:space="preserve"> licensee representative on the SRCC. An agency that already undertakes some cross-portfolio activity such as the Australian Public Service Commission (APSC) or the Department of Finance and Deregulation would be best suited to this role. The appointment would be made by the Minister in accordance with paragraph </w:t>
      </w:r>
      <w:r w:rsidRPr="00E166E7">
        <w:rPr>
          <w:rFonts w:ascii="Calibri" w:eastAsiaTheme="minorHAnsi" w:hAnsi="Calibri" w:cs="Calibri"/>
          <w:sz w:val="22"/>
          <w:lang w:eastAsia="en-US"/>
        </w:rPr>
        <w:t>1.</w:t>
      </w:r>
      <w:r w:rsidR="00E166E7">
        <w:rPr>
          <w:rFonts w:ascii="Calibri" w:eastAsiaTheme="minorHAnsi" w:hAnsi="Calibri" w:cs="Calibri"/>
          <w:sz w:val="22"/>
          <w:lang w:eastAsia="en-US"/>
        </w:rPr>
        <w:t>41</w:t>
      </w:r>
      <w:r w:rsidRPr="004102BE">
        <w:rPr>
          <w:rFonts w:ascii="Calibri" w:eastAsiaTheme="minorHAnsi" w:hAnsi="Calibri" w:cs="Calibri"/>
          <w:sz w:val="22"/>
          <w:lang w:eastAsia="en-US"/>
        </w:rPr>
        <w:t>. As the agency with policy responsibility for the SRC Act and WHS Act, there are compelling reasons for DEEWR to continue to be a member of the SRCC in this capacity.</w:t>
      </w:r>
      <w:bookmarkEnd w:id="397"/>
      <w:bookmarkEnd w:id="398"/>
      <w:bookmarkEnd w:id="399"/>
    </w:p>
    <w:p w:rsidR="007C2242" w:rsidRPr="004102BE" w:rsidRDefault="007C2242" w:rsidP="007C2242">
      <w:pPr>
        <w:pBdr>
          <w:top w:val="single" w:sz="4" w:space="2"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Calibri" w:hAnsi="Calibri" w:cs="Calibri"/>
          <w:sz w:val="22"/>
          <w:szCs w:val="22"/>
        </w:rPr>
      </w:pPr>
      <w:bookmarkStart w:id="400" w:name="_Toc341777985"/>
      <w:r w:rsidRPr="004102BE">
        <w:rPr>
          <w:rFonts w:ascii="Calibri" w:hAnsi="Calibri" w:cs="Calibri"/>
          <w:b/>
          <w:sz w:val="22"/>
          <w:szCs w:val="22"/>
        </w:rPr>
        <w:t xml:space="preserve">Recommendation </w:t>
      </w:r>
      <w:r>
        <w:rPr>
          <w:rFonts w:ascii="Calibri" w:hAnsi="Calibri" w:cs="Calibri"/>
          <w:b/>
          <w:sz w:val="22"/>
          <w:szCs w:val="22"/>
        </w:rPr>
        <w:t>4</w:t>
      </w:r>
    </w:p>
    <w:p w:rsidR="007C2242" w:rsidRPr="007C2242" w:rsidRDefault="007C2242" w:rsidP="000D7C1C">
      <w:pPr>
        <w:pBdr>
          <w:top w:val="single" w:sz="4" w:space="2" w:color="auto"/>
          <w:left w:val="single" w:sz="4" w:space="4" w:color="auto"/>
          <w:bottom w:val="single" w:sz="4" w:space="1" w:color="auto"/>
          <w:right w:val="single" w:sz="4" w:space="4" w:color="auto"/>
        </w:pBdr>
        <w:shd w:val="clear" w:color="auto" w:fill="D9D9D9" w:themeFill="background1" w:themeFillShade="D9"/>
        <w:tabs>
          <w:tab w:val="left" w:pos="709"/>
        </w:tabs>
        <w:autoSpaceDE w:val="0"/>
        <w:autoSpaceDN w:val="0"/>
        <w:adjustRightInd w:val="0"/>
        <w:spacing w:after="120"/>
        <w:ind w:left="709" w:hanging="709"/>
        <w:rPr>
          <w:rFonts w:ascii="Calibri" w:hAnsi="Calibri" w:cs="Calibri"/>
          <w:sz w:val="22"/>
          <w:szCs w:val="22"/>
        </w:rPr>
      </w:pPr>
      <w:r w:rsidRPr="007C2242">
        <w:rPr>
          <w:rFonts w:ascii="Calibri" w:hAnsi="Calibri" w:cs="Calibri"/>
          <w:sz w:val="22"/>
          <w:szCs w:val="22"/>
        </w:rPr>
        <w:t>4(a):</w:t>
      </w:r>
      <w:r w:rsidRPr="007C2242">
        <w:rPr>
          <w:rFonts w:ascii="Calibri" w:hAnsi="Calibri" w:cs="Calibri"/>
          <w:sz w:val="22"/>
          <w:szCs w:val="22"/>
        </w:rPr>
        <w:tab/>
        <w:t xml:space="preserve">The Minister </w:t>
      </w:r>
      <w:proofErr w:type="gramStart"/>
      <w:r w:rsidRPr="007C2242">
        <w:rPr>
          <w:rFonts w:ascii="Calibri" w:hAnsi="Calibri" w:cs="Calibri"/>
          <w:sz w:val="22"/>
          <w:szCs w:val="22"/>
        </w:rPr>
        <w:t>appoint</w:t>
      </w:r>
      <w:proofErr w:type="gramEnd"/>
      <w:r w:rsidRPr="007C2242">
        <w:rPr>
          <w:rFonts w:ascii="Calibri" w:hAnsi="Calibri" w:cs="Calibri"/>
          <w:sz w:val="22"/>
          <w:szCs w:val="22"/>
        </w:rPr>
        <w:t xml:space="preserve"> a member other than from DEEWR to represent the Australian Government premium payers on the SRCC.</w:t>
      </w:r>
    </w:p>
    <w:p w:rsidR="007C2242" w:rsidRDefault="007C2242" w:rsidP="007C2242">
      <w:pPr>
        <w:pBdr>
          <w:top w:val="single" w:sz="4" w:space="2"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Calibri" w:hAnsi="Calibri" w:cs="Calibri"/>
          <w:sz w:val="22"/>
          <w:szCs w:val="22"/>
        </w:rPr>
      </w:pPr>
      <w:r w:rsidRPr="007C2242">
        <w:rPr>
          <w:rFonts w:ascii="Calibri" w:hAnsi="Calibri" w:cs="Calibri"/>
          <w:sz w:val="22"/>
          <w:szCs w:val="22"/>
        </w:rPr>
        <w:t>4(b):</w:t>
      </w:r>
      <w:r w:rsidRPr="007C2242">
        <w:rPr>
          <w:rFonts w:ascii="Calibri" w:hAnsi="Calibri" w:cs="Calibri"/>
          <w:sz w:val="22"/>
          <w:szCs w:val="22"/>
        </w:rPr>
        <w:tab/>
        <w:t>DEEWR continue to be an SRCC member in its capacity as the policy “owner” of the SRC Act.</w:t>
      </w:r>
    </w:p>
    <w:p w:rsidR="007C2242" w:rsidRDefault="007C2242" w:rsidP="000D7C1C">
      <w:pPr>
        <w:keepNext/>
        <w:keepLines/>
        <w:outlineLvl w:val="2"/>
        <w:rPr>
          <w:rFonts w:ascii="Arial Bold" w:eastAsiaTheme="majorEastAsia" w:hAnsi="Arial Bold" w:cs="Calibri"/>
          <w:bCs/>
          <w:caps/>
          <w:color w:val="1F497D" w:themeColor="text2"/>
          <w:sz w:val="23"/>
          <w:szCs w:val="23"/>
        </w:rPr>
      </w:pPr>
    </w:p>
    <w:p w:rsidR="004102BE" w:rsidRPr="004102BE" w:rsidRDefault="004102BE" w:rsidP="004102BE">
      <w:pPr>
        <w:keepNext/>
        <w:keepLines/>
        <w:spacing w:before="100" w:beforeAutospacing="1" w:after="100" w:afterAutospacing="1"/>
        <w:outlineLvl w:val="2"/>
        <w:rPr>
          <w:rFonts w:ascii="Arial Bold" w:eastAsiaTheme="majorEastAsia" w:hAnsi="Arial Bold" w:cs="Calibri"/>
          <w:bCs/>
          <w:caps/>
          <w:color w:val="1F497D" w:themeColor="text2"/>
          <w:sz w:val="23"/>
          <w:szCs w:val="23"/>
        </w:rPr>
      </w:pPr>
      <w:bookmarkStart w:id="401" w:name="_Toc342578354"/>
      <w:r w:rsidRPr="004102BE">
        <w:rPr>
          <w:rFonts w:ascii="Arial Bold" w:eastAsiaTheme="majorEastAsia" w:hAnsi="Arial Bold" w:cs="Calibri"/>
          <w:bCs/>
          <w:caps/>
          <w:color w:val="1F497D" w:themeColor="text2"/>
          <w:sz w:val="23"/>
          <w:szCs w:val="23"/>
        </w:rPr>
        <w:t>self insurance regulatory framework</w:t>
      </w:r>
      <w:bookmarkEnd w:id="400"/>
      <w:bookmarkEnd w:id="401"/>
    </w:p>
    <w:p w:rsidR="004102BE" w:rsidRPr="004102BE" w:rsidRDefault="004102BE" w:rsidP="004102BE">
      <w:pPr>
        <w:numPr>
          <w:ilvl w:val="1"/>
          <w:numId w:val="31"/>
        </w:numPr>
        <w:spacing w:after="120"/>
        <w:ind w:left="709" w:hanging="709"/>
        <w:outlineLvl w:val="0"/>
        <w:rPr>
          <w:rFonts w:ascii="Calibri" w:eastAsiaTheme="minorHAnsi" w:hAnsi="Calibri" w:cs="Calibri"/>
          <w:sz w:val="22"/>
          <w:lang w:eastAsia="en-US"/>
        </w:rPr>
      </w:pPr>
      <w:bookmarkStart w:id="402" w:name="_Toc341777986"/>
      <w:bookmarkStart w:id="403" w:name="_Toc341780746"/>
      <w:bookmarkStart w:id="404" w:name="_Toc342578355"/>
      <w:r w:rsidRPr="004102BE">
        <w:rPr>
          <w:rFonts w:ascii="Calibri" w:eastAsiaTheme="minorHAnsi" w:hAnsi="Calibri" w:cs="Calibri"/>
          <w:sz w:val="22"/>
          <w:lang w:eastAsia="en-US"/>
        </w:rPr>
        <w:t xml:space="preserve">Under </w:t>
      </w:r>
      <w:r w:rsidR="00920A03">
        <w:rPr>
          <w:rFonts w:ascii="Calibri" w:eastAsiaTheme="minorHAnsi" w:hAnsi="Calibri" w:cs="Calibri"/>
          <w:sz w:val="22"/>
          <w:lang w:eastAsia="en-US"/>
        </w:rPr>
        <w:t>Section</w:t>
      </w:r>
      <w:r w:rsidRPr="004102BE">
        <w:rPr>
          <w:rFonts w:ascii="Calibri" w:eastAsiaTheme="minorHAnsi" w:hAnsi="Calibri" w:cs="Calibri"/>
          <w:sz w:val="22"/>
          <w:lang w:eastAsia="en-US"/>
        </w:rPr>
        <w:t xml:space="preserve"> 100, the Minister responsible for the SRC Act may declare a corporation eligible to be granted a self insurance </w:t>
      </w:r>
      <w:r w:rsidR="000A5586">
        <w:rPr>
          <w:rFonts w:ascii="Calibri" w:eastAsiaTheme="minorHAnsi" w:hAnsi="Calibri" w:cs="Calibri"/>
          <w:sz w:val="22"/>
          <w:lang w:eastAsia="en-US"/>
        </w:rPr>
        <w:t>licence</w:t>
      </w:r>
      <w:r w:rsidRPr="004102BE">
        <w:rPr>
          <w:rFonts w:ascii="Calibri" w:eastAsiaTheme="minorHAnsi" w:hAnsi="Calibri" w:cs="Calibri"/>
          <w:sz w:val="22"/>
          <w:lang w:eastAsia="en-US"/>
        </w:rPr>
        <w:t>.  In doing so</w:t>
      </w:r>
      <w:r w:rsidR="00573098">
        <w:rPr>
          <w:rFonts w:ascii="Calibri" w:eastAsiaTheme="minorHAnsi" w:hAnsi="Calibri" w:cs="Calibri"/>
          <w:sz w:val="22"/>
          <w:lang w:eastAsia="en-US"/>
        </w:rPr>
        <w:t>,</w:t>
      </w:r>
      <w:r w:rsidRPr="004102BE">
        <w:rPr>
          <w:rFonts w:ascii="Calibri" w:eastAsiaTheme="minorHAnsi" w:hAnsi="Calibri" w:cs="Calibri"/>
          <w:sz w:val="22"/>
          <w:lang w:eastAsia="en-US"/>
        </w:rPr>
        <w:t xml:space="preserve"> the Minister must be satisfied that it is desirable for the SRC Act to apply to employees of the corporation, and that the corporation:</w:t>
      </w:r>
      <w:bookmarkEnd w:id="402"/>
      <w:bookmarkEnd w:id="403"/>
      <w:bookmarkEnd w:id="404"/>
    </w:p>
    <w:p w:rsidR="004102BE" w:rsidRPr="004102BE" w:rsidRDefault="004102BE" w:rsidP="004102BE">
      <w:pPr>
        <w:numPr>
          <w:ilvl w:val="0"/>
          <w:numId w:val="27"/>
        </w:numPr>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is, but is about to cease to be, a Commonwealth authority; or</w:t>
      </w:r>
    </w:p>
    <w:p w:rsidR="004102BE" w:rsidRPr="004102BE" w:rsidRDefault="004102BE" w:rsidP="004102BE">
      <w:pPr>
        <w:numPr>
          <w:ilvl w:val="0"/>
          <w:numId w:val="27"/>
        </w:numPr>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was previously a Commonwealth authority; or</w:t>
      </w:r>
    </w:p>
    <w:p w:rsidR="004102BE" w:rsidRPr="004102BE" w:rsidRDefault="004102BE" w:rsidP="004102BE">
      <w:pPr>
        <w:numPr>
          <w:ilvl w:val="0"/>
          <w:numId w:val="27"/>
        </w:numPr>
        <w:spacing w:after="120"/>
        <w:ind w:left="1134" w:hanging="425"/>
        <w:rPr>
          <w:rFonts w:ascii="Calibri" w:eastAsiaTheme="minorHAnsi" w:hAnsi="Calibri" w:cs="Calibri"/>
          <w:sz w:val="22"/>
          <w:lang w:eastAsia="en-US"/>
        </w:rPr>
      </w:pPr>
      <w:proofErr w:type="gramStart"/>
      <w:r w:rsidRPr="004102BE">
        <w:rPr>
          <w:rFonts w:ascii="Calibri" w:eastAsiaTheme="minorHAnsi" w:hAnsi="Calibri" w:cs="Calibri"/>
          <w:sz w:val="22"/>
          <w:lang w:eastAsia="en-US"/>
        </w:rPr>
        <w:t>is</w:t>
      </w:r>
      <w:proofErr w:type="gramEnd"/>
      <w:r w:rsidRPr="004102BE">
        <w:rPr>
          <w:rFonts w:ascii="Calibri" w:eastAsiaTheme="minorHAnsi" w:hAnsi="Calibri" w:cs="Calibri"/>
          <w:sz w:val="22"/>
          <w:lang w:eastAsia="en-US"/>
        </w:rPr>
        <w:t xml:space="preserve"> carrying on business in competition with a Commonwealth authority or with another corporation that was previously a Commonwealth authority.</w:t>
      </w:r>
    </w:p>
    <w:p w:rsidR="004102BE" w:rsidRPr="004102BE" w:rsidRDefault="004102BE" w:rsidP="004102BE">
      <w:pPr>
        <w:spacing w:after="120"/>
        <w:ind w:left="709"/>
        <w:rPr>
          <w:rFonts w:asciiTheme="minorHAnsi" w:eastAsiaTheme="minorHAnsi" w:hAnsiTheme="minorHAnsi" w:cstheme="minorHAnsi"/>
          <w:sz w:val="22"/>
          <w:lang w:eastAsia="en-US"/>
        </w:rPr>
      </w:pPr>
      <w:r w:rsidRPr="004102BE">
        <w:rPr>
          <w:rFonts w:ascii="Calibri" w:eastAsiaTheme="minorHAnsi" w:hAnsi="Calibri" w:cs="Calibri"/>
          <w:sz w:val="22"/>
          <w:lang w:eastAsia="en-US"/>
        </w:rPr>
        <w:t xml:space="preserve">There are currently 30 licensees under the SRC Act (see </w:t>
      </w:r>
      <w:r w:rsidRPr="0035663E">
        <w:rPr>
          <w:rFonts w:ascii="Calibri" w:eastAsiaTheme="minorHAnsi" w:hAnsi="Calibri" w:cs="Calibri"/>
          <w:sz w:val="22"/>
          <w:u w:val="single"/>
          <w:lang w:eastAsia="en-US"/>
        </w:rPr>
        <w:t>Annex D</w:t>
      </w:r>
      <w:r w:rsidRPr="004102BE">
        <w:rPr>
          <w:rFonts w:ascii="Calibri" w:eastAsiaTheme="minorHAnsi" w:hAnsi="Calibri" w:cs="Calibri"/>
          <w:sz w:val="22"/>
          <w:lang w:eastAsia="en-US"/>
        </w:rPr>
        <w:t>)</w:t>
      </w:r>
      <w:r w:rsidRPr="004102BE">
        <w:rPr>
          <w:rFonts w:asciiTheme="minorHAnsi" w:eastAsiaTheme="minorHAnsi" w:hAnsiTheme="minorHAnsi" w:cstheme="minorHAnsi"/>
          <w:sz w:val="22"/>
          <w:lang w:eastAsia="en-US"/>
        </w:rPr>
        <w:t>.</w:t>
      </w:r>
    </w:p>
    <w:p w:rsidR="004102BE" w:rsidRPr="004102BE" w:rsidRDefault="004102BE" w:rsidP="004102BE">
      <w:pPr>
        <w:numPr>
          <w:ilvl w:val="1"/>
          <w:numId w:val="31"/>
        </w:numPr>
        <w:spacing w:after="120"/>
        <w:ind w:left="709" w:hanging="709"/>
        <w:outlineLvl w:val="0"/>
        <w:rPr>
          <w:rFonts w:ascii="Calibri" w:eastAsiaTheme="minorHAnsi" w:hAnsi="Calibri" w:cs="Calibri"/>
          <w:sz w:val="22"/>
          <w:lang w:eastAsia="en-US"/>
        </w:rPr>
      </w:pPr>
      <w:bookmarkStart w:id="405" w:name="_Toc341777987"/>
      <w:bookmarkStart w:id="406" w:name="_Toc341780747"/>
      <w:bookmarkStart w:id="407" w:name="_Toc342578356"/>
      <w:r w:rsidRPr="004102BE">
        <w:rPr>
          <w:rFonts w:ascii="Calibri" w:eastAsiaTheme="minorHAnsi" w:hAnsi="Calibri" w:cs="Calibri"/>
          <w:sz w:val="22"/>
          <w:lang w:eastAsia="en-US"/>
        </w:rPr>
        <w:t xml:space="preserve">When satisfied, the Minister will issue a declaration, by way of a legislative instrument, declaring the corporation to be eligible to be granted a self insurer </w:t>
      </w:r>
      <w:r w:rsidR="000A5586">
        <w:rPr>
          <w:rFonts w:ascii="Calibri" w:eastAsiaTheme="minorHAnsi" w:hAnsi="Calibri" w:cs="Calibri"/>
          <w:sz w:val="22"/>
          <w:lang w:eastAsia="en-US"/>
        </w:rPr>
        <w:t>licence</w:t>
      </w:r>
      <w:r w:rsidRPr="004102BE">
        <w:rPr>
          <w:rFonts w:ascii="Calibri" w:eastAsiaTheme="minorHAnsi" w:hAnsi="Calibri" w:cs="Calibri"/>
          <w:sz w:val="22"/>
          <w:lang w:eastAsia="en-US"/>
        </w:rPr>
        <w:t xml:space="preserve"> under the SRC Act. Section 100 makes it clear that the Minister is not obliged to consider a request for a declaration under the section.</w:t>
      </w:r>
      <w:bookmarkEnd w:id="405"/>
      <w:bookmarkEnd w:id="406"/>
      <w:bookmarkEnd w:id="407"/>
    </w:p>
    <w:p w:rsidR="004102BE" w:rsidRPr="004102BE" w:rsidRDefault="004102BE" w:rsidP="004102BE">
      <w:pPr>
        <w:numPr>
          <w:ilvl w:val="1"/>
          <w:numId w:val="31"/>
        </w:numPr>
        <w:spacing w:after="120"/>
        <w:ind w:left="709" w:hanging="709"/>
        <w:outlineLvl w:val="0"/>
        <w:rPr>
          <w:rFonts w:ascii="Calibri" w:eastAsiaTheme="minorHAnsi" w:hAnsi="Calibri" w:cs="Calibri"/>
          <w:sz w:val="22"/>
          <w:lang w:eastAsia="en-US"/>
        </w:rPr>
      </w:pPr>
      <w:bookmarkStart w:id="408" w:name="_Toc341777988"/>
      <w:bookmarkStart w:id="409" w:name="_Toc341780748"/>
      <w:bookmarkStart w:id="410" w:name="_Toc342578357"/>
      <w:r w:rsidRPr="004102BE">
        <w:rPr>
          <w:rFonts w:ascii="Calibri" w:eastAsiaTheme="minorHAnsi" w:hAnsi="Calibri" w:cs="Calibri"/>
          <w:sz w:val="22"/>
          <w:lang w:eastAsia="en-US"/>
        </w:rPr>
        <w:t xml:space="preserve">Once the Minister makes a declaration, the corporation in question can then apply to the SRCC for a self insurer </w:t>
      </w:r>
      <w:r w:rsidR="000A5586">
        <w:rPr>
          <w:rFonts w:ascii="Calibri" w:eastAsiaTheme="minorHAnsi" w:hAnsi="Calibri" w:cs="Calibri"/>
          <w:sz w:val="22"/>
          <w:lang w:eastAsia="en-US"/>
        </w:rPr>
        <w:t>licence</w:t>
      </w:r>
      <w:r w:rsidRPr="004102BE">
        <w:rPr>
          <w:rFonts w:ascii="Calibri" w:eastAsiaTheme="minorHAnsi" w:hAnsi="Calibri" w:cs="Calibri"/>
          <w:sz w:val="22"/>
          <w:lang w:eastAsia="en-US"/>
        </w:rPr>
        <w:t xml:space="preserve">. The SRCC is responsible for approving applications for a self insurance </w:t>
      </w:r>
      <w:r w:rsidR="000A5586">
        <w:rPr>
          <w:rFonts w:ascii="Calibri" w:eastAsiaTheme="minorHAnsi" w:hAnsi="Calibri" w:cs="Calibri"/>
          <w:sz w:val="22"/>
          <w:lang w:eastAsia="en-US"/>
        </w:rPr>
        <w:t>licence</w:t>
      </w:r>
      <w:r w:rsidRPr="004102BE">
        <w:rPr>
          <w:rFonts w:ascii="Calibri" w:eastAsiaTheme="minorHAnsi" w:hAnsi="Calibri" w:cs="Calibri"/>
          <w:sz w:val="22"/>
          <w:lang w:eastAsia="en-US"/>
        </w:rPr>
        <w:t xml:space="preserve"> and </w:t>
      </w:r>
      <w:r w:rsidR="00DE4A9A" w:rsidRPr="004102BE">
        <w:rPr>
          <w:rFonts w:ascii="Calibri" w:eastAsiaTheme="minorHAnsi" w:hAnsi="Calibri" w:cs="Calibri"/>
          <w:sz w:val="22"/>
          <w:lang w:eastAsia="en-US"/>
        </w:rPr>
        <w:t xml:space="preserve">monitoring </w:t>
      </w:r>
      <w:r w:rsidR="00F62990" w:rsidRPr="004102BE">
        <w:rPr>
          <w:rFonts w:ascii="Calibri" w:eastAsiaTheme="minorHAnsi" w:hAnsi="Calibri" w:cs="Calibri"/>
          <w:sz w:val="22"/>
          <w:lang w:eastAsia="en-US"/>
        </w:rPr>
        <w:t>compliance with</w:t>
      </w:r>
      <w:r w:rsidRPr="004102BE">
        <w:rPr>
          <w:rFonts w:ascii="Calibri" w:eastAsiaTheme="minorHAnsi" w:hAnsi="Calibri" w:cs="Calibri"/>
          <w:sz w:val="22"/>
          <w:lang w:eastAsia="en-US"/>
        </w:rPr>
        <w:t xml:space="preserve"> the legislation and </w:t>
      </w:r>
      <w:r w:rsidR="000A5586">
        <w:rPr>
          <w:rFonts w:ascii="Calibri" w:eastAsiaTheme="minorHAnsi" w:hAnsi="Calibri" w:cs="Calibri"/>
          <w:sz w:val="22"/>
          <w:lang w:eastAsia="en-US"/>
        </w:rPr>
        <w:t>licence</w:t>
      </w:r>
      <w:r w:rsidRPr="004102BE">
        <w:rPr>
          <w:rFonts w:ascii="Calibri" w:eastAsiaTheme="minorHAnsi" w:hAnsi="Calibri" w:cs="Calibri"/>
          <w:sz w:val="22"/>
          <w:lang w:eastAsia="en-US"/>
        </w:rPr>
        <w:t xml:space="preserve"> conditions. Applications granting a self insurer </w:t>
      </w:r>
      <w:r w:rsidR="000A5586">
        <w:rPr>
          <w:rFonts w:ascii="Calibri" w:eastAsiaTheme="minorHAnsi" w:hAnsi="Calibri" w:cs="Calibri"/>
          <w:sz w:val="22"/>
          <w:lang w:eastAsia="en-US"/>
        </w:rPr>
        <w:t>licence</w:t>
      </w:r>
      <w:r w:rsidRPr="004102BE">
        <w:rPr>
          <w:rFonts w:ascii="Calibri" w:eastAsiaTheme="minorHAnsi" w:hAnsi="Calibri" w:cs="Calibri"/>
          <w:sz w:val="22"/>
          <w:lang w:eastAsia="en-US"/>
        </w:rPr>
        <w:t xml:space="preserve"> are made in line with the requirements of the SRC Act and the Safety, Rehabilitation and Compensation Regulations 2002 (SRC Regulations).</w:t>
      </w:r>
      <w:bookmarkEnd w:id="408"/>
      <w:bookmarkEnd w:id="409"/>
      <w:bookmarkEnd w:id="410"/>
    </w:p>
    <w:p w:rsidR="004102BE" w:rsidRPr="004102BE" w:rsidRDefault="004102BE" w:rsidP="004102BE">
      <w:pPr>
        <w:numPr>
          <w:ilvl w:val="1"/>
          <w:numId w:val="31"/>
        </w:numPr>
        <w:spacing w:after="120"/>
        <w:ind w:left="709" w:hanging="709"/>
        <w:outlineLvl w:val="0"/>
        <w:rPr>
          <w:rFonts w:ascii="Calibri" w:eastAsiaTheme="minorHAnsi" w:hAnsi="Calibri" w:cs="Calibri"/>
          <w:sz w:val="22"/>
          <w:lang w:eastAsia="en-US"/>
        </w:rPr>
      </w:pPr>
      <w:bookmarkStart w:id="411" w:name="_Toc341777989"/>
      <w:bookmarkStart w:id="412" w:name="_Toc341780749"/>
      <w:bookmarkStart w:id="413" w:name="_Toc342578358"/>
      <w:r w:rsidRPr="004102BE">
        <w:rPr>
          <w:rFonts w:ascii="Calibri" w:eastAsiaTheme="minorHAnsi" w:hAnsi="Calibri" w:cs="Calibri"/>
          <w:sz w:val="22"/>
          <w:lang w:eastAsia="en-US"/>
        </w:rPr>
        <w:t xml:space="preserve">To assist corporations, the SRCC has issued detailed Guidelines on the process it will follow in accepting and evaluating applications for a self insurer </w:t>
      </w:r>
      <w:r w:rsidR="000A5586">
        <w:rPr>
          <w:rFonts w:ascii="Calibri" w:eastAsiaTheme="minorHAnsi" w:hAnsi="Calibri" w:cs="Calibri"/>
          <w:sz w:val="22"/>
          <w:lang w:eastAsia="en-US"/>
        </w:rPr>
        <w:t>licence</w:t>
      </w:r>
      <w:r w:rsidRPr="004102BE">
        <w:rPr>
          <w:rFonts w:ascii="Calibri" w:eastAsiaTheme="minorHAnsi" w:hAnsi="Calibri" w:cs="Calibri"/>
          <w:sz w:val="22"/>
          <w:lang w:eastAsia="en-US"/>
        </w:rPr>
        <w:t>.</w:t>
      </w:r>
      <w:r w:rsidRPr="004102BE">
        <w:rPr>
          <w:rFonts w:ascii="Calibri" w:eastAsiaTheme="minorHAnsi" w:hAnsi="Calibri" w:cs="Calibri"/>
          <w:sz w:val="22"/>
          <w:vertAlign w:val="superscript"/>
          <w:lang w:eastAsia="en-US"/>
        </w:rPr>
        <w:footnoteReference w:id="19"/>
      </w:r>
      <w:r w:rsidRPr="004102BE">
        <w:rPr>
          <w:rFonts w:ascii="Calibri" w:hAnsi="Calibri" w:cs="Calibri"/>
          <w:sz w:val="22"/>
          <w:lang w:eastAsia="en-US"/>
        </w:rPr>
        <w:t xml:space="preserve"> The SRCC may also have regard to any other matter that it considers relevant for the purposes of assessing whether a </w:t>
      </w:r>
      <w:r w:rsidR="000A5586">
        <w:rPr>
          <w:rFonts w:ascii="Calibri" w:hAnsi="Calibri" w:cs="Calibri"/>
          <w:sz w:val="22"/>
          <w:lang w:eastAsia="en-US"/>
        </w:rPr>
        <w:t>licence</w:t>
      </w:r>
      <w:r w:rsidRPr="004102BE">
        <w:rPr>
          <w:rFonts w:ascii="Calibri" w:hAnsi="Calibri" w:cs="Calibri"/>
          <w:sz w:val="22"/>
          <w:lang w:eastAsia="en-US"/>
        </w:rPr>
        <w:t xml:space="preserve"> should be granted, as outlined in </w:t>
      </w:r>
      <w:r w:rsidR="00920A03">
        <w:rPr>
          <w:rFonts w:ascii="Calibri" w:hAnsi="Calibri" w:cs="Calibri"/>
          <w:sz w:val="22"/>
          <w:lang w:eastAsia="en-US"/>
        </w:rPr>
        <w:t>Section</w:t>
      </w:r>
      <w:r w:rsidRPr="004102BE">
        <w:rPr>
          <w:rFonts w:ascii="Calibri" w:hAnsi="Calibri" w:cs="Calibri"/>
          <w:sz w:val="22"/>
          <w:lang w:eastAsia="en-US"/>
        </w:rPr>
        <w:t xml:space="preserve"> 104(1) of the SRC Act.</w:t>
      </w:r>
      <w:bookmarkEnd w:id="411"/>
      <w:bookmarkEnd w:id="412"/>
      <w:bookmarkEnd w:id="413"/>
    </w:p>
    <w:p w:rsidR="004102BE" w:rsidRPr="004102BE" w:rsidRDefault="004102BE" w:rsidP="004102BE">
      <w:pPr>
        <w:numPr>
          <w:ilvl w:val="1"/>
          <w:numId w:val="31"/>
        </w:numPr>
        <w:spacing w:after="120"/>
        <w:ind w:left="709" w:hanging="709"/>
        <w:outlineLvl w:val="0"/>
        <w:rPr>
          <w:rFonts w:ascii="Calibri" w:eastAsiaTheme="minorHAnsi" w:hAnsi="Calibri" w:cs="Calibri"/>
          <w:sz w:val="22"/>
          <w:lang w:eastAsia="en-US"/>
        </w:rPr>
      </w:pPr>
      <w:bookmarkStart w:id="414" w:name="_Toc341777990"/>
      <w:bookmarkStart w:id="415" w:name="_Toc341780750"/>
      <w:bookmarkStart w:id="416" w:name="_Toc342578359"/>
      <w:r w:rsidRPr="004102BE">
        <w:rPr>
          <w:rFonts w:ascii="Calibri" w:eastAsiaTheme="minorHAnsi" w:hAnsi="Calibri" w:cs="Calibri"/>
          <w:sz w:val="22"/>
          <w:lang w:eastAsia="en-US"/>
        </w:rPr>
        <w:lastRenderedPageBreak/>
        <w:t>Subject to a declaration of eligibility by the Minister, Comcare supports the SRCC in regulating self insurer arrangements and manages all subsequent aspects of the licensing arrangements, including reporting to the SRCC.</w:t>
      </w:r>
      <w:bookmarkEnd w:id="414"/>
      <w:bookmarkEnd w:id="415"/>
      <w:bookmarkEnd w:id="416"/>
    </w:p>
    <w:p w:rsidR="004102BE" w:rsidRPr="004102BE" w:rsidRDefault="004102BE" w:rsidP="004102BE">
      <w:pPr>
        <w:keepNext/>
        <w:keepLines/>
        <w:numPr>
          <w:ilvl w:val="1"/>
          <w:numId w:val="31"/>
        </w:numPr>
        <w:spacing w:after="120"/>
        <w:ind w:left="709" w:hanging="709"/>
        <w:outlineLvl w:val="0"/>
        <w:rPr>
          <w:rFonts w:ascii="Calibri" w:eastAsiaTheme="minorHAnsi" w:hAnsi="Calibri" w:cs="Calibri"/>
          <w:sz w:val="22"/>
          <w:lang w:eastAsia="en-US"/>
        </w:rPr>
      </w:pPr>
      <w:bookmarkStart w:id="417" w:name="_Toc341777991"/>
      <w:bookmarkStart w:id="418" w:name="_Toc341780751"/>
      <w:bookmarkStart w:id="419" w:name="_Toc342578360"/>
      <w:r w:rsidRPr="004102BE">
        <w:rPr>
          <w:rFonts w:ascii="Calibri" w:eastAsiaTheme="minorHAnsi" w:hAnsi="Calibri" w:cs="Calibri"/>
          <w:sz w:val="22"/>
          <w:lang w:eastAsia="en-US"/>
        </w:rPr>
        <w:t xml:space="preserve">Section 108D (Division 5 of Part VIII) of the SRC Act gives the </w:t>
      </w:r>
      <w:r w:rsidR="00E71A83">
        <w:rPr>
          <w:rFonts w:ascii="Calibri" w:eastAsiaTheme="minorHAnsi" w:hAnsi="Calibri" w:cs="Calibri"/>
          <w:sz w:val="22"/>
          <w:lang w:eastAsia="en-US"/>
        </w:rPr>
        <w:t>SRCC</w:t>
      </w:r>
      <w:r w:rsidR="00E71A83" w:rsidRPr="004102BE">
        <w:rPr>
          <w:rFonts w:ascii="Calibri" w:eastAsiaTheme="minorHAnsi" w:hAnsi="Calibri" w:cs="Calibri"/>
          <w:sz w:val="22"/>
          <w:lang w:eastAsia="en-US"/>
        </w:rPr>
        <w:t xml:space="preserve"> </w:t>
      </w:r>
      <w:r w:rsidRPr="004102BE">
        <w:rPr>
          <w:rFonts w:ascii="Calibri" w:eastAsiaTheme="minorHAnsi" w:hAnsi="Calibri" w:cs="Calibri"/>
          <w:sz w:val="22"/>
          <w:lang w:eastAsia="en-US"/>
        </w:rPr>
        <w:t xml:space="preserve">the power when granting a </w:t>
      </w:r>
      <w:r w:rsidR="000A5586">
        <w:rPr>
          <w:rFonts w:ascii="Calibri" w:eastAsiaTheme="minorHAnsi" w:hAnsi="Calibri" w:cs="Calibri"/>
          <w:sz w:val="22"/>
          <w:lang w:eastAsia="en-US"/>
        </w:rPr>
        <w:t>licence</w:t>
      </w:r>
      <w:r w:rsidRPr="004102BE">
        <w:rPr>
          <w:rFonts w:ascii="Calibri" w:eastAsiaTheme="minorHAnsi" w:hAnsi="Calibri" w:cs="Calibri"/>
          <w:sz w:val="22"/>
          <w:lang w:eastAsia="en-US"/>
        </w:rPr>
        <w:t xml:space="preserve"> to subject the licensee to any conditions that it considers are necessary to achieve the objects of the SRC Act. Without limiting the matters the conditions of </w:t>
      </w:r>
      <w:r w:rsidR="000A5586">
        <w:rPr>
          <w:rFonts w:ascii="Calibri" w:eastAsiaTheme="minorHAnsi" w:hAnsi="Calibri" w:cs="Calibri"/>
          <w:sz w:val="22"/>
          <w:lang w:eastAsia="en-US"/>
        </w:rPr>
        <w:t>licence</w:t>
      </w:r>
      <w:r w:rsidRPr="004102BE">
        <w:rPr>
          <w:rFonts w:ascii="Calibri" w:eastAsiaTheme="minorHAnsi" w:hAnsi="Calibri" w:cs="Calibri"/>
          <w:sz w:val="22"/>
          <w:lang w:eastAsia="en-US"/>
        </w:rPr>
        <w:t xml:space="preserve"> may deal with, the conditions may include the following:</w:t>
      </w:r>
      <w:bookmarkEnd w:id="417"/>
      <w:bookmarkEnd w:id="418"/>
      <w:bookmarkEnd w:id="419"/>
    </w:p>
    <w:p w:rsidR="004102BE" w:rsidRPr="004102BE" w:rsidRDefault="004102BE" w:rsidP="004102BE">
      <w:pPr>
        <w:keepNext/>
        <w:keepLines/>
        <w:numPr>
          <w:ilvl w:val="0"/>
          <w:numId w:val="27"/>
        </w:numPr>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 xml:space="preserve">a condition that the licensee and any person acting on its behalf will comply with the requirements of the Act and any directions given by the </w:t>
      </w:r>
      <w:r w:rsidR="00E71A83">
        <w:rPr>
          <w:rFonts w:ascii="Calibri" w:eastAsiaTheme="minorHAnsi" w:hAnsi="Calibri" w:cs="Calibri"/>
          <w:sz w:val="22"/>
          <w:lang w:eastAsia="en-US"/>
        </w:rPr>
        <w:t>SRCC</w:t>
      </w:r>
      <w:r w:rsidRPr="004102BE">
        <w:rPr>
          <w:rFonts w:ascii="Calibri" w:eastAsiaTheme="minorHAnsi" w:hAnsi="Calibri" w:cs="Calibri"/>
          <w:sz w:val="22"/>
          <w:lang w:eastAsia="en-US"/>
        </w:rPr>
        <w:t>;</w:t>
      </w:r>
    </w:p>
    <w:p w:rsidR="004102BE" w:rsidRPr="004102BE" w:rsidRDefault="004102BE" w:rsidP="004102BE">
      <w:pPr>
        <w:keepNext/>
        <w:keepLines/>
        <w:numPr>
          <w:ilvl w:val="0"/>
          <w:numId w:val="27"/>
        </w:numPr>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 xml:space="preserve">a condition that the licensee will pay such </w:t>
      </w:r>
      <w:r w:rsidR="000A5586">
        <w:rPr>
          <w:rFonts w:ascii="Calibri" w:eastAsiaTheme="minorHAnsi" w:hAnsi="Calibri" w:cs="Calibri"/>
          <w:sz w:val="22"/>
          <w:lang w:eastAsia="en-US"/>
        </w:rPr>
        <w:t>licence</w:t>
      </w:r>
      <w:r w:rsidRPr="004102BE">
        <w:rPr>
          <w:rFonts w:ascii="Calibri" w:eastAsiaTheme="minorHAnsi" w:hAnsi="Calibri" w:cs="Calibri"/>
          <w:sz w:val="22"/>
          <w:lang w:eastAsia="en-US"/>
        </w:rPr>
        <w:t xml:space="preserve"> fees and other fees, and payable at such times, as the </w:t>
      </w:r>
      <w:r w:rsidR="00E71A83">
        <w:rPr>
          <w:rFonts w:ascii="Calibri" w:eastAsiaTheme="minorHAnsi" w:hAnsi="Calibri" w:cs="Calibri"/>
          <w:sz w:val="22"/>
          <w:lang w:eastAsia="en-US"/>
        </w:rPr>
        <w:t>SRCC</w:t>
      </w:r>
      <w:r w:rsidR="00E71A83" w:rsidRPr="004102BE">
        <w:rPr>
          <w:rFonts w:ascii="Calibri" w:eastAsiaTheme="minorHAnsi" w:hAnsi="Calibri" w:cs="Calibri"/>
          <w:sz w:val="22"/>
          <w:lang w:eastAsia="en-US"/>
        </w:rPr>
        <w:t xml:space="preserve"> </w:t>
      </w:r>
      <w:r w:rsidRPr="004102BE">
        <w:rPr>
          <w:rFonts w:ascii="Calibri" w:eastAsiaTheme="minorHAnsi" w:hAnsi="Calibri" w:cs="Calibri"/>
          <w:sz w:val="22"/>
          <w:lang w:eastAsia="en-US"/>
        </w:rPr>
        <w:t>specifies;</w:t>
      </w:r>
    </w:p>
    <w:p w:rsidR="004102BE" w:rsidRPr="004102BE" w:rsidRDefault="004102BE" w:rsidP="004102BE">
      <w:pPr>
        <w:keepNext/>
        <w:keepLines/>
        <w:numPr>
          <w:ilvl w:val="0"/>
          <w:numId w:val="27"/>
        </w:numPr>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 xml:space="preserve">a condition that the licensee will maintain such funds, and in such form, as the </w:t>
      </w:r>
      <w:r w:rsidR="00E71A83">
        <w:rPr>
          <w:rFonts w:ascii="Calibri" w:eastAsiaTheme="minorHAnsi" w:hAnsi="Calibri" w:cs="Calibri"/>
          <w:sz w:val="22"/>
          <w:lang w:eastAsia="en-US"/>
        </w:rPr>
        <w:t>SRCC</w:t>
      </w:r>
      <w:r w:rsidR="00E71A83" w:rsidRPr="004102BE">
        <w:rPr>
          <w:rFonts w:ascii="Calibri" w:eastAsiaTheme="minorHAnsi" w:hAnsi="Calibri" w:cs="Calibri"/>
          <w:sz w:val="22"/>
          <w:lang w:eastAsia="en-US"/>
        </w:rPr>
        <w:t xml:space="preserve"> </w:t>
      </w:r>
      <w:r w:rsidRPr="004102BE">
        <w:rPr>
          <w:rFonts w:ascii="Calibri" w:eastAsiaTheme="minorHAnsi" w:hAnsi="Calibri" w:cs="Calibri"/>
          <w:sz w:val="22"/>
          <w:lang w:eastAsia="en-US"/>
        </w:rPr>
        <w:t>directs for the purpose of discharging its liabilities under the SRC Act;</w:t>
      </w:r>
    </w:p>
    <w:p w:rsidR="004102BE" w:rsidRPr="004102BE" w:rsidRDefault="004102BE" w:rsidP="004102BE">
      <w:pPr>
        <w:keepNext/>
        <w:keepLines/>
        <w:numPr>
          <w:ilvl w:val="0"/>
          <w:numId w:val="27"/>
        </w:numPr>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 xml:space="preserve">a condition that the licensee will obtain bank or other guarantees for the discharge of liabilities as the </w:t>
      </w:r>
      <w:r w:rsidR="00E71A83">
        <w:rPr>
          <w:rFonts w:ascii="Calibri" w:eastAsiaTheme="minorHAnsi" w:hAnsi="Calibri" w:cs="Calibri"/>
          <w:sz w:val="22"/>
          <w:lang w:eastAsia="en-US"/>
        </w:rPr>
        <w:t xml:space="preserve">SRCC </w:t>
      </w:r>
      <w:r w:rsidRPr="004102BE">
        <w:rPr>
          <w:rFonts w:ascii="Calibri" w:eastAsiaTheme="minorHAnsi" w:hAnsi="Calibri" w:cs="Calibri"/>
          <w:sz w:val="22"/>
          <w:lang w:eastAsia="en-US"/>
        </w:rPr>
        <w:t>directs;</w:t>
      </w:r>
    </w:p>
    <w:p w:rsidR="004102BE" w:rsidRPr="004102BE" w:rsidRDefault="004102BE" w:rsidP="004102BE">
      <w:pPr>
        <w:numPr>
          <w:ilvl w:val="0"/>
          <w:numId w:val="27"/>
        </w:numPr>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a condition that the licensee will comply with the requirements of any applicable laws of the Commonwealth, States and Territories with respect to the safety, health and rehabilitation of employees;</w:t>
      </w:r>
    </w:p>
    <w:p w:rsidR="004102BE" w:rsidRPr="004102BE" w:rsidRDefault="004102BE" w:rsidP="004102BE">
      <w:pPr>
        <w:numPr>
          <w:ilvl w:val="0"/>
          <w:numId w:val="27"/>
        </w:numPr>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 xml:space="preserve">a condition that the licensee will not cause or permit to be made on its behalf to a court or tribunal any submission that Comcare or the </w:t>
      </w:r>
      <w:r w:rsidR="00E71A83">
        <w:rPr>
          <w:rFonts w:ascii="Calibri" w:eastAsiaTheme="minorHAnsi" w:hAnsi="Calibri" w:cs="Calibri"/>
          <w:sz w:val="22"/>
          <w:lang w:eastAsia="en-US"/>
        </w:rPr>
        <w:t>SRCC</w:t>
      </w:r>
      <w:r w:rsidR="00E71A83" w:rsidRPr="004102BE">
        <w:rPr>
          <w:rFonts w:ascii="Calibri" w:eastAsiaTheme="minorHAnsi" w:hAnsi="Calibri" w:cs="Calibri"/>
          <w:sz w:val="22"/>
          <w:lang w:eastAsia="en-US"/>
        </w:rPr>
        <w:t xml:space="preserve"> </w:t>
      </w:r>
      <w:r w:rsidRPr="004102BE">
        <w:rPr>
          <w:rFonts w:ascii="Calibri" w:eastAsiaTheme="minorHAnsi" w:hAnsi="Calibri" w:cs="Calibri"/>
          <w:sz w:val="22"/>
          <w:lang w:eastAsia="en-US"/>
        </w:rPr>
        <w:t>has requested the licensee not to make;</w:t>
      </w:r>
    </w:p>
    <w:p w:rsidR="004102BE" w:rsidRPr="004102BE" w:rsidRDefault="004102BE" w:rsidP="004102BE">
      <w:pPr>
        <w:numPr>
          <w:ilvl w:val="0"/>
          <w:numId w:val="27"/>
        </w:numPr>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 xml:space="preserve">conditions concerning performance of functions in relation to the </w:t>
      </w:r>
      <w:r w:rsidR="000A5586">
        <w:rPr>
          <w:rFonts w:ascii="Calibri" w:eastAsiaTheme="minorHAnsi" w:hAnsi="Calibri" w:cs="Calibri"/>
          <w:sz w:val="22"/>
          <w:lang w:eastAsia="en-US"/>
        </w:rPr>
        <w:t>licence</w:t>
      </w:r>
      <w:r w:rsidRPr="004102BE">
        <w:rPr>
          <w:rFonts w:ascii="Calibri" w:eastAsiaTheme="minorHAnsi" w:hAnsi="Calibri" w:cs="Calibri"/>
          <w:sz w:val="22"/>
          <w:lang w:eastAsia="en-US"/>
        </w:rPr>
        <w:t xml:space="preserve"> by persons other than the licensee; and</w:t>
      </w:r>
    </w:p>
    <w:p w:rsidR="004102BE" w:rsidRPr="004102BE" w:rsidRDefault="004102BE" w:rsidP="004102BE">
      <w:pPr>
        <w:numPr>
          <w:ilvl w:val="0"/>
          <w:numId w:val="27"/>
        </w:numPr>
        <w:spacing w:after="120"/>
        <w:ind w:left="1134" w:hanging="425"/>
        <w:rPr>
          <w:rFonts w:ascii="Calibri" w:eastAsiaTheme="minorHAnsi" w:hAnsi="Calibri" w:cs="Calibri"/>
          <w:sz w:val="22"/>
          <w:lang w:eastAsia="en-US"/>
        </w:rPr>
      </w:pPr>
      <w:proofErr w:type="gramStart"/>
      <w:r w:rsidRPr="004102BE">
        <w:rPr>
          <w:rFonts w:ascii="Calibri" w:eastAsiaTheme="minorHAnsi" w:hAnsi="Calibri" w:cs="Calibri"/>
          <w:sz w:val="22"/>
          <w:lang w:eastAsia="en-US"/>
        </w:rPr>
        <w:t>conditions</w:t>
      </w:r>
      <w:proofErr w:type="gramEnd"/>
      <w:r w:rsidRPr="004102BE">
        <w:rPr>
          <w:rFonts w:ascii="Calibri" w:eastAsiaTheme="minorHAnsi" w:hAnsi="Calibri" w:cs="Calibri"/>
          <w:sz w:val="22"/>
          <w:lang w:eastAsia="en-US"/>
        </w:rPr>
        <w:t xml:space="preserve"> requiring provision of information and notifications in respect of specified events.</w:t>
      </w:r>
    </w:p>
    <w:p w:rsidR="004102BE" w:rsidRPr="004102BE" w:rsidRDefault="004102BE" w:rsidP="004102BE">
      <w:pPr>
        <w:numPr>
          <w:ilvl w:val="1"/>
          <w:numId w:val="31"/>
        </w:numPr>
        <w:spacing w:after="120"/>
        <w:ind w:left="709" w:hanging="709"/>
        <w:outlineLvl w:val="0"/>
        <w:rPr>
          <w:rFonts w:ascii="Calibri" w:eastAsiaTheme="minorHAnsi" w:hAnsi="Calibri" w:cs="Calibri"/>
          <w:sz w:val="22"/>
          <w:lang w:eastAsia="en-US"/>
        </w:rPr>
      </w:pPr>
      <w:bookmarkStart w:id="420" w:name="_Toc341777992"/>
      <w:bookmarkStart w:id="421" w:name="_Toc341780752"/>
      <w:bookmarkStart w:id="422" w:name="_Toc342578361"/>
      <w:r w:rsidRPr="004102BE">
        <w:rPr>
          <w:rFonts w:ascii="Calibri" w:eastAsiaTheme="minorHAnsi" w:hAnsi="Calibri" w:cs="Calibri"/>
          <w:sz w:val="22"/>
          <w:lang w:eastAsia="en-US"/>
        </w:rPr>
        <w:t>Ongoing licensee regulation and management is via the Licensee Improvement Program (LIP), whose overall objective is to provide a regulatory framework that:</w:t>
      </w:r>
      <w:bookmarkEnd w:id="420"/>
      <w:bookmarkEnd w:id="421"/>
      <w:bookmarkEnd w:id="422"/>
    </w:p>
    <w:p w:rsidR="004102BE" w:rsidRPr="004102BE" w:rsidRDefault="004102BE" w:rsidP="004102BE">
      <w:pPr>
        <w:numPr>
          <w:ilvl w:val="0"/>
          <w:numId w:val="27"/>
        </w:numPr>
        <w:spacing w:after="120"/>
        <w:ind w:left="1134" w:hanging="425"/>
        <w:rPr>
          <w:rFonts w:ascii="Calibri" w:hAnsi="Calibri" w:cs="Calibri"/>
          <w:sz w:val="19"/>
        </w:rPr>
      </w:pPr>
      <w:r w:rsidRPr="004102BE">
        <w:rPr>
          <w:rFonts w:ascii="Calibri" w:eastAsiaTheme="minorHAnsi" w:hAnsi="Calibri" w:cs="Calibri"/>
          <w:sz w:val="22"/>
          <w:lang w:eastAsia="en-US"/>
        </w:rPr>
        <w:t>links the level of regulatory oversight to performance;</w:t>
      </w:r>
    </w:p>
    <w:p w:rsidR="004102BE" w:rsidRPr="004102BE" w:rsidRDefault="004102BE" w:rsidP="004102BE">
      <w:pPr>
        <w:numPr>
          <w:ilvl w:val="0"/>
          <w:numId w:val="27"/>
        </w:numPr>
        <w:spacing w:after="120"/>
        <w:ind w:left="1134" w:hanging="425"/>
        <w:rPr>
          <w:rFonts w:ascii="Calibri" w:hAnsi="Calibri" w:cs="Calibri"/>
          <w:sz w:val="19"/>
        </w:rPr>
      </w:pPr>
      <w:r w:rsidRPr="004102BE">
        <w:rPr>
          <w:rFonts w:ascii="Calibri" w:eastAsiaTheme="minorHAnsi" w:hAnsi="Calibri" w:cs="Calibri"/>
          <w:sz w:val="22"/>
          <w:lang w:eastAsia="en-US"/>
        </w:rPr>
        <w:t>is easy to understand and administer; and</w:t>
      </w:r>
    </w:p>
    <w:p w:rsidR="004102BE" w:rsidRPr="004102BE" w:rsidRDefault="004102BE" w:rsidP="004102BE">
      <w:pPr>
        <w:numPr>
          <w:ilvl w:val="0"/>
          <w:numId w:val="27"/>
        </w:numPr>
        <w:spacing w:after="120"/>
        <w:ind w:left="1134" w:hanging="425"/>
        <w:rPr>
          <w:rFonts w:ascii="Calibri" w:hAnsi="Calibri" w:cs="Calibri"/>
          <w:sz w:val="19"/>
        </w:rPr>
      </w:pPr>
      <w:proofErr w:type="gramStart"/>
      <w:r w:rsidRPr="004102BE">
        <w:rPr>
          <w:rFonts w:ascii="Calibri" w:eastAsiaTheme="minorHAnsi" w:hAnsi="Calibri" w:cs="Calibri"/>
          <w:sz w:val="22"/>
          <w:lang w:eastAsia="en-US"/>
        </w:rPr>
        <w:t>focuses</w:t>
      </w:r>
      <w:proofErr w:type="gramEnd"/>
      <w:r w:rsidRPr="004102BE">
        <w:rPr>
          <w:rFonts w:ascii="Calibri" w:eastAsiaTheme="minorHAnsi" w:hAnsi="Calibri" w:cs="Calibri"/>
          <w:sz w:val="22"/>
          <w:lang w:eastAsia="en-US"/>
        </w:rPr>
        <w:t xml:space="preserve"> on a holistic approach to performance evaluation.</w:t>
      </w:r>
    </w:p>
    <w:p w:rsidR="004102BE" w:rsidRPr="004102BE" w:rsidRDefault="004102BE" w:rsidP="004102BE">
      <w:pPr>
        <w:numPr>
          <w:ilvl w:val="1"/>
          <w:numId w:val="31"/>
        </w:numPr>
        <w:spacing w:after="120"/>
        <w:ind w:left="709" w:hanging="709"/>
        <w:outlineLvl w:val="0"/>
        <w:rPr>
          <w:rFonts w:ascii="Calibri" w:eastAsiaTheme="minorHAnsi" w:hAnsi="Calibri" w:cs="Calibri"/>
          <w:sz w:val="22"/>
          <w:lang w:eastAsia="en-US"/>
        </w:rPr>
      </w:pPr>
      <w:bookmarkStart w:id="423" w:name="_Toc341777993"/>
      <w:bookmarkStart w:id="424" w:name="_Toc341780753"/>
      <w:bookmarkStart w:id="425" w:name="_Toc342578362"/>
      <w:r w:rsidRPr="004102BE">
        <w:rPr>
          <w:rFonts w:ascii="Calibri" w:eastAsiaTheme="minorHAnsi" w:hAnsi="Calibri" w:cs="Calibri"/>
          <w:sz w:val="22"/>
          <w:lang w:eastAsia="en-US"/>
        </w:rPr>
        <w:t>The LIP Regulatory Framework is illustrated as follows:</w:t>
      </w:r>
      <w:bookmarkEnd w:id="423"/>
      <w:bookmarkEnd w:id="424"/>
      <w:bookmarkEnd w:id="425"/>
    </w:p>
    <w:p w:rsidR="004102BE" w:rsidRPr="004102BE" w:rsidRDefault="004102BE" w:rsidP="004102BE">
      <w:pPr>
        <w:spacing w:after="120"/>
        <w:ind w:hanging="709"/>
        <w:rPr>
          <w:rFonts w:ascii="Calibri" w:eastAsiaTheme="minorHAnsi" w:hAnsi="Calibri" w:cs="Calibri"/>
          <w:b/>
          <w:sz w:val="22"/>
          <w:lang w:eastAsia="en-US"/>
        </w:rPr>
      </w:pPr>
      <w:r w:rsidRPr="004102BE">
        <w:rPr>
          <w:rFonts w:ascii="Calibri" w:eastAsiaTheme="minorHAnsi" w:hAnsi="Calibri" w:cs="Calibri"/>
          <w:b/>
          <w:bCs/>
          <w:caps/>
          <w:sz w:val="22"/>
          <w:lang w:eastAsia="en-US"/>
        </w:rPr>
        <w:br w:type="page"/>
      </w:r>
    </w:p>
    <w:p w:rsidR="004102BE" w:rsidRPr="004102BE" w:rsidRDefault="004102BE" w:rsidP="004102BE">
      <w:pPr>
        <w:spacing w:before="120" w:after="120"/>
        <w:ind w:left="709"/>
        <w:jc w:val="center"/>
        <w:outlineLvl w:val="0"/>
        <w:rPr>
          <w:rFonts w:ascii="Calibri" w:eastAsiaTheme="minorHAnsi" w:hAnsi="Calibri" w:cs="Calibri"/>
          <w:b/>
          <w:sz w:val="22"/>
          <w:lang w:eastAsia="en-US"/>
        </w:rPr>
      </w:pPr>
      <w:bookmarkStart w:id="426" w:name="_Toc341777994"/>
      <w:bookmarkStart w:id="427" w:name="_Toc341780754"/>
      <w:bookmarkStart w:id="428" w:name="_Toc342578363"/>
      <w:r w:rsidRPr="004102BE">
        <w:rPr>
          <w:rFonts w:ascii="Calibri" w:eastAsiaTheme="minorHAnsi" w:hAnsi="Calibri" w:cs="Calibri"/>
          <w:b/>
          <w:sz w:val="22"/>
          <w:lang w:eastAsia="en-US"/>
        </w:rPr>
        <w:lastRenderedPageBreak/>
        <w:t>Diagram 2.1:</w:t>
      </w:r>
      <w:r w:rsidRPr="004102BE">
        <w:rPr>
          <w:rFonts w:ascii="Calibri" w:eastAsiaTheme="minorHAnsi" w:hAnsi="Calibri" w:cs="Calibri"/>
          <w:b/>
          <w:sz w:val="22"/>
          <w:lang w:eastAsia="en-US"/>
        </w:rPr>
        <w:tab/>
      </w:r>
      <w:r w:rsidR="000A5586">
        <w:rPr>
          <w:rFonts w:ascii="Calibri" w:eastAsiaTheme="minorHAnsi" w:hAnsi="Calibri" w:cs="Calibri"/>
          <w:b/>
          <w:sz w:val="22"/>
          <w:lang w:eastAsia="en-US"/>
        </w:rPr>
        <w:t>Licence</w:t>
      </w:r>
      <w:r w:rsidRPr="004102BE">
        <w:rPr>
          <w:rFonts w:ascii="Calibri" w:eastAsiaTheme="minorHAnsi" w:hAnsi="Calibri" w:cs="Calibri"/>
          <w:b/>
          <w:sz w:val="22"/>
          <w:lang w:eastAsia="en-US"/>
        </w:rPr>
        <w:t xml:space="preserve"> Compliance and Evaluation Process</w:t>
      </w:r>
      <w:bookmarkEnd w:id="426"/>
      <w:bookmarkEnd w:id="427"/>
      <w:bookmarkEnd w:id="428"/>
    </w:p>
    <w:bookmarkStart w:id="429" w:name="_Toc341777995"/>
    <w:bookmarkStart w:id="430" w:name="_Toc341778462"/>
    <w:bookmarkStart w:id="431" w:name="_Toc341780755"/>
    <w:bookmarkStart w:id="432" w:name="_Toc342578364"/>
    <w:p w:rsidR="004102BE" w:rsidRPr="004102BE" w:rsidRDefault="007F041E" w:rsidP="004102BE">
      <w:pPr>
        <w:spacing w:before="100" w:beforeAutospacing="1" w:after="120" w:afterAutospacing="1"/>
        <w:ind w:left="709"/>
        <w:outlineLvl w:val="0"/>
        <w:rPr>
          <w:rFonts w:ascii="Calibri" w:eastAsiaTheme="minorHAnsi" w:hAnsi="Calibri" w:cs="Calibri"/>
          <w:sz w:val="22"/>
          <w:lang w:eastAsia="en-US"/>
        </w:rPr>
      </w:pPr>
      <w:r>
        <w:rPr>
          <w:rFonts w:ascii="Calibri" w:eastAsiaTheme="minorHAnsi" w:hAnsi="Calibri" w:cs="Calibri"/>
          <w:noProof/>
          <w:sz w:val="22"/>
        </w:rPr>
        <mc:AlternateContent>
          <mc:Choice Requires="wps">
            <w:drawing>
              <wp:anchor distT="0" distB="0" distL="114300" distR="114300" simplePos="0" relativeHeight="251661312" behindDoc="0" locked="0" layoutInCell="1" allowOverlap="1" wp14:anchorId="2C5E74CA" wp14:editId="3EB32D31">
                <wp:simplePos x="0" y="0"/>
                <wp:positionH relativeFrom="column">
                  <wp:posOffset>2657475</wp:posOffset>
                </wp:positionH>
                <wp:positionV relativeFrom="paragraph">
                  <wp:posOffset>109220</wp:posOffset>
                </wp:positionV>
                <wp:extent cx="1162050" cy="1238250"/>
                <wp:effectExtent l="0" t="0" r="19050" b="19050"/>
                <wp:wrapNone/>
                <wp:docPr id="4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238250"/>
                        </a:xfrm>
                        <a:prstGeom prst="rect">
                          <a:avLst/>
                        </a:prstGeom>
                        <a:solidFill>
                          <a:sysClr val="window" lastClr="FFFFFF">
                            <a:lumMod val="85000"/>
                            <a:lumOff val="0"/>
                          </a:sysClr>
                        </a:solidFill>
                        <a:ln w="9525">
                          <a:solidFill>
                            <a:srgbClr val="000000"/>
                          </a:solidFill>
                          <a:miter lim="800000"/>
                          <a:headEnd/>
                          <a:tailEnd/>
                        </a:ln>
                      </wps:spPr>
                      <wps:txbx>
                        <w:txbxContent>
                          <w:p w:rsidR="00614766" w:rsidRDefault="00614766" w:rsidP="004102BE">
                            <w:pPr>
                              <w:rPr>
                                <w:rFonts w:asciiTheme="minorHAnsi" w:hAnsiTheme="minorHAnsi" w:cstheme="minorBidi"/>
                                <w:b/>
                                <w:sz w:val="20"/>
                                <w:szCs w:val="20"/>
                              </w:rPr>
                            </w:pPr>
                            <w:r w:rsidRPr="001836EF">
                              <w:rPr>
                                <w:rFonts w:ascii="Calibri" w:hAnsi="Calibri" w:cs="Calibri"/>
                                <w:b/>
                                <w:sz w:val="20"/>
                                <w:szCs w:val="20"/>
                              </w:rPr>
                              <w:t>Audits:</w:t>
                            </w:r>
                          </w:p>
                          <w:p w:rsidR="00614766" w:rsidRDefault="00614766" w:rsidP="004102BE">
                            <w:pPr>
                              <w:pStyle w:val="ListParagraph"/>
                              <w:numPr>
                                <w:ilvl w:val="0"/>
                                <w:numId w:val="35"/>
                              </w:numPr>
                              <w:ind w:left="284" w:hanging="218"/>
                              <w:rPr>
                                <w:rFonts w:ascii="Calibri" w:hAnsi="Calibri" w:cs="Calibri"/>
                                <w:b/>
                                <w:sz w:val="20"/>
                                <w:szCs w:val="20"/>
                              </w:rPr>
                            </w:pPr>
                            <w:r w:rsidRPr="001836EF">
                              <w:rPr>
                                <w:rFonts w:ascii="Calibri" w:hAnsi="Calibri" w:cs="Calibri"/>
                                <w:b/>
                                <w:sz w:val="20"/>
                                <w:szCs w:val="20"/>
                              </w:rPr>
                              <w:t xml:space="preserve">Prevention </w:t>
                            </w:r>
                          </w:p>
                          <w:p w:rsidR="00614766" w:rsidRDefault="00614766" w:rsidP="004102BE">
                            <w:pPr>
                              <w:pStyle w:val="ListParagraph"/>
                              <w:numPr>
                                <w:ilvl w:val="0"/>
                                <w:numId w:val="35"/>
                              </w:numPr>
                              <w:ind w:left="284" w:hanging="218"/>
                              <w:rPr>
                                <w:rFonts w:ascii="Calibri" w:hAnsi="Calibri" w:cs="Calibri"/>
                                <w:b/>
                                <w:sz w:val="20"/>
                                <w:szCs w:val="20"/>
                              </w:rPr>
                            </w:pPr>
                            <w:r w:rsidRPr="001836EF">
                              <w:rPr>
                                <w:rFonts w:ascii="Calibri" w:hAnsi="Calibri" w:cs="Calibri"/>
                                <w:b/>
                                <w:sz w:val="20"/>
                                <w:szCs w:val="20"/>
                              </w:rPr>
                              <w:t>Claims Management</w:t>
                            </w:r>
                          </w:p>
                          <w:p w:rsidR="00614766" w:rsidRDefault="00614766" w:rsidP="004102BE">
                            <w:pPr>
                              <w:pStyle w:val="ListParagraph"/>
                              <w:numPr>
                                <w:ilvl w:val="0"/>
                                <w:numId w:val="35"/>
                              </w:numPr>
                              <w:ind w:left="284" w:hanging="218"/>
                              <w:rPr>
                                <w:rFonts w:ascii="Calibri" w:hAnsi="Calibri" w:cs="Calibri"/>
                                <w:b/>
                                <w:sz w:val="20"/>
                                <w:szCs w:val="20"/>
                              </w:rPr>
                            </w:pPr>
                            <w:r w:rsidRPr="001836EF">
                              <w:rPr>
                                <w:rFonts w:ascii="Calibri" w:hAnsi="Calibri" w:cs="Calibri"/>
                                <w:b/>
                                <w:sz w:val="20"/>
                                <w:szCs w:val="20"/>
                              </w:rPr>
                              <w:t>Rehabilitation</w:t>
                            </w:r>
                          </w:p>
                          <w:p w:rsidR="00614766" w:rsidRDefault="00614766" w:rsidP="004102BE">
                            <w:pPr>
                              <w:pStyle w:val="ListParagraph"/>
                              <w:numPr>
                                <w:ilvl w:val="0"/>
                                <w:numId w:val="35"/>
                              </w:numPr>
                              <w:ind w:left="284" w:hanging="218"/>
                              <w:rPr>
                                <w:rFonts w:ascii="Calibri" w:hAnsi="Calibri" w:cs="Calibri"/>
                                <w:b/>
                                <w:sz w:val="20"/>
                                <w:szCs w:val="20"/>
                              </w:rPr>
                            </w:pPr>
                            <w:r w:rsidRPr="001836EF">
                              <w:rPr>
                                <w:rFonts w:ascii="Calibri" w:hAnsi="Calibri" w:cs="Calibri"/>
                                <w:b/>
                                <w:sz w:val="20"/>
                                <w:szCs w:val="20"/>
                              </w:rPr>
                              <w:t>Data Integrity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09.25pt;margin-top:8.6pt;width:91.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" fillcolor="#d9d9d9">
                <v:textbox>
                  <w:txbxContent>
                    <w:p w:rsidR="00614766" w:rsidRDefault="00614766" w:rsidP="004102BE">
                      <w:pPr>
                        <w:rPr>
                          <w:rFonts w:asciiTheme="minorHAnsi" w:hAnsiTheme="minorHAnsi" w:cstheme="minorBidi"/>
                          <w:b/>
                          <w:sz w:val="20"/>
                          <w:szCs w:val="20"/>
                        </w:rPr>
                      </w:pPr>
                      <w:r w:rsidRPr="001836EF">
                        <w:rPr>
                          <w:rFonts w:ascii="Calibri" w:hAnsi="Calibri" w:cs="Calibri"/>
                          <w:b/>
                          <w:sz w:val="20"/>
                          <w:szCs w:val="20"/>
                        </w:rPr>
                        <w:t>Audits:</w:t>
                      </w:r>
                    </w:p>
                    <w:p w:rsidR="00614766" w:rsidRDefault="00614766" w:rsidP="004102BE">
                      <w:pPr>
                        <w:pStyle w:val="ListParagraph"/>
                        <w:numPr>
                          <w:ilvl w:val="0"/>
                          <w:numId w:val="35"/>
                        </w:numPr>
                        <w:ind w:left="284" w:hanging="218"/>
                        <w:rPr>
                          <w:rFonts w:ascii="Calibri" w:hAnsi="Calibri" w:cs="Calibri"/>
                          <w:b/>
                          <w:sz w:val="20"/>
                          <w:szCs w:val="20"/>
                        </w:rPr>
                      </w:pPr>
                      <w:r w:rsidRPr="001836EF">
                        <w:rPr>
                          <w:rFonts w:ascii="Calibri" w:hAnsi="Calibri" w:cs="Calibri"/>
                          <w:b/>
                          <w:sz w:val="20"/>
                          <w:szCs w:val="20"/>
                        </w:rPr>
                        <w:t xml:space="preserve">Prevention </w:t>
                      </w:r>
                    </w:p>
                    <w:p w:rsidR="00614766" w:rsidRDefault="00614766" w:rsidP="004102BE">
                      <w:pPr>
                        <w:pStyle w:val="ListParagraph"/>
                        <w:numPr>
                          <w:ilvl w:val="0"/>
                          <w:numId w:val="35"/>
                        </w:numPr>
                        <w:ind w:left="284" w:hanging="218"/>
                        <w:rPr>
                          <w:rFonts w:ascii="Calibri" w:hAnsi="Calibri" w:cs="Calibri"/>
                          <w:b/>
                          <w:sz w:val="20"/>
                          <w:szCs w:val="20"/>
                        </w:rPr>
                      </w:pPr>
                      <w:r w:rsidRPr="001836EF">
                        <w:rPr>
                          <w:rFonts w:ascii="Calibri" w:hAnsi="Calibri" w:cs="Calibri"/>
                          <w:b/>
                          <w:sz w:val="20"/>
                          <w:szCs w:val="20"/>
                        </w:rPr>
                        <w:t>Claims Management</w:t>
                      </w:r>
                    </w:p>
                    <w:p w:rsidR="00614766" w:rsidRDefault="00614766" w:rsidP="004102BE">
                      <w:pPr>
                        <w:pStyle w:val="ListParagraph"/>
                        <w:numPr>
                          <w:ilvl w:val="0"/>
                          <w:numId w:val="35"/>
                        </w:numPr>
                        <w:ind w:left="284" w:hanging="218"/>
                        <w:rPr>
                          <w:rFonts w:ascii="Calibri" w:hAnsi="Calibri" w:cs="Calibri"/>
                          <w:b/>
                          <w:sz w:val="20"/>
                          <w:szCs w:val="20"/>
                        </w:rPr>
                      </w:pPr>
                      <w:r w:rsidRPr="001836EF">
                        <w:rPr>
                          <w:rFonts w:ascii="Calibri" w:hAnsi="Calibri" w:cs="Calibri"/>
                          <w:b/>
                          <w:sz w:val="20"/>
                          <w:szCs w:val="20"/>
                        </w:rPr>
                        <w:t>Rehabilitation</w:t>
                      </w:r>
                    </w:p>
                    <w:p w:rsidR="00614766" w:rsidRDefault="00614766" w:rsidP="004102BE">
                      <w:pPr>
                        <w:pStyle w:val="ListParagraph"/>
                        <w:numPr>
                          <w:ilvl w:val="0"/>
                          <w:numId w:val="35"/>
                        </w:numPr>
                        <w:ind w:left="284" w:hanging="218"/>
                        <w:rPr>
                          <w:rFonts w:ascii="Calibri" w:hAnsi="Calibri" w:cs="Calibri"/>
                          <w:b/>
                          <w:sz w:val="20"/>
                          <w:szCs w:val="20"/>
                        </w:rPr>
                      </w:pPr>
                      <w:r w:rsidRPr="001836EF">
                        <w:rPr>
                          <w:rFonts w:ascii="Calibri" w:hAnsi="Calibri" w:cs="Calibri"/>
                          <w:b/>
                          <w:sz w:val="20"/>
                          <w:szCs w:val="20"/>
                        </w:rPr>
                        <w:t>Data Integrity</w:t>
                      </w:r>
                    </w:p>
                  </w:txbxContent>
                </v:textbox>
              </v:shape>
            </w:pict>
          </mc:Fallback>
        </mc:AlternateContent>
      </w:r>
      <w:r>
        <w:rPr>
          <w:rFonts w:ascii="Calibri" w:eastAsiaTheme="minorHAnsi" w:hAnsi="Calibri" w:cs="Calibri"/>
          <w:noProof/>
          <w:sz w:val="22"/>
        </w:rPr>
        <mc:AlternateContent>
          <mc:Choice Requires="wps">
            <w:drawing>
              <wp:anchor distT="0" distB="0" distL="114300" distR="114300" simplePos="0" relativeHeight="251662336" behindDoc="0" locked="0" layoutInCell="1" allowOverlap="1" wp14:anchorId="7AD99966" wp14:editId="08DECDC7">
                <wp:simplePos x="0" y="0"/>
                <wp:positionH relativeFrom="column">
                  <wp:posOffset>3914775</wp:posOffset>
                </wp:positionH>
                <wp:positionV relativeFrom="paragraph">
                  <wp:posOffset>109220</wp:posOffset>
                </wp:positionV>
                <wp:extent cx="952500" cy="1238250"/>
                <wp:effectExtent l="0" t="0" r="19050" b="19050"/>
                <wp:wrapNone/>
                <wp:docPr id="4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238250"/>
                        </a:xfrm>
                        <a:prstGeom prst="rect">
                          <a:avLst/>
                        </a:prstGeom>
                        <a:solidFill>
                          <a:sysClr val="window" lastClr="FFFFFF">
                            <a:lumMod val="85000"/>
                            <a:lumOff val="0"/>
                          </a:sysClr>
                        </a:solidFill>
                        <a:ln w="9525">
                          <a:solidFill>
                            <a:srgbClr val="000000"/>
                          </a:solidFill>
                          <a:miter lim="800000"/>
                          <a:headEnd/>
                          <a:tailEnd/>
                        </a:ln>
                      </wps:spPr>
                      <wps:txbx>
                        <w:txbxContent>
                          <w:p w:rsidR="00614766" w:rsidRPr="00C54E42" w:rsidRDefault="00614766" w:rsidP="004102BE">
                            <w:pPr>
                              <w:rPr>
                                <w:rFonts w:ascii="Calibri" w:hAnsi="Calibri" w:cs="Calibri"/>
                                <w:b/>
                                <w:sz w:val="20"/>
                                <w:szCs w:val="20"/>
                              </w:rPr>
                            </w:pPr>
                            <w:r w:rsidRPr="00C54E42">
                              <w:rPr>
                                <w:rFonts w:ascii="Calibri" w:hAnsi="Calibri" w:cs="Calibri"/>
                                <w:b/>
                                <w:sz w:val="20"/>
                                <w:szCs w:val="20"/>
                              </w:rPr>
                              <w:t>Licensee Improvement Program (LIP)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08.25pt;margin-top:8.6pt;width:7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" fillcolor="#d9d9d9">
                <v:textbox>
                  <w:txbxContent>
                    <w:p w:rsidR="00614766" w:rsidRPr="00C54E42" w:rsidRDefault="00614766" w:rsidP="004102BE">
                      <w:pPr>
                        <w:rPr>
                          <w:rFonts w:ascii="Calibri" w:hAnsi="Calibri" w:cs="Calibri"/>
                          <w:b/>
                          <w:sz w:val="20"/>
                          <w:szCs w:val="20"/>
                        </w:rPr>
                      </w:pPr>
                      <w:r w:rsidRPr="00C54E42">
                        <w:rPr>
                          <w:rFonts w:ascii="Calibri" w:hAnsi="Calibri" w:cs="Calibri"/>
                          <w:b/>
                          <w:sz w:val="20"/>
                          <w:szCs w:val="20"/>
                        </w:rPr>
                        <w:t>Licensee Improvement Program (LIP) Report</w:t>
                      </w:r>
                    </w:p>
                  </w:txbxContent>
                </v:textbox>
              </v:shape>
            </w:pict>
          </mc:Fallback>
        </mc:AlternateContent>
      </w:r>
      <w:r>
        <w:rPr>
          <w:rFonts w:ascii="Calibri" w:eastAsiaTheme="minorHAnsi" w:hAnsi="Calibri" w:cs="Calibri"/>
          <w:noProof/>
          <w:sz w:val="22"/>
        </w:rPr>
        <mc:AlternateContent>
          <mc:Choice Requires="wps">
            <w:drawing>
              <wp:anchor distT="0" distB="0" distL="114300" distR="114300" simplePos="0" relativeHeight="251660288" behindDoc="0" locked="0" layoutInCell="1" allowOverlap="1" wp14:anchorId="6688F82C" wp14:editId="2FA5A89F">
                <wp:simplePos x="0" y="0"/>
                <wp:positionH relativeFrom="column">
                  <wp:posOffset>1676400</wp:posOffset>
                </wp:positionH>
                <wp:positionV relativeFrom="paragraph">
                  <wp:posOffset>109220</wp:posOffset>
                </wp:positionV>
                <wp:extent cx="895350" cy="1238250"/>
                <wp:effectExtent l="0" t="0" r="19050" b="19050"/>
                <wp:wrapNone/>
                <wp:docPr id="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238250"/>
                        </a:xfrm>
                        <a:prstGeom prst="rect">
                          <a:avLst/>
                        </a:prstGeom>
                        <a:solidFill>
                          <a:sysClr val="window" lastClr="FFFFFF">
                            <a:lumMod val="85000"/>
                            <a:lumOff val="0"/>
                          </a:sysClr>
                        </a:solidFill>
                        <a:ln w="9525">
                          <a:solidFill>
                            <a:srgbClr val="000000"/>
                          </a:solidFill>
                          <a:miter lim="800000"/>
                          <a:headEnd/>
                          <a:tailEnd/>
                        </a:ln>
                      </wps:spPr>
                      <wps:txbx>
                        <w:txbxContent>
                          <w:p w:rsidR="00614766" w:rsidRDefault="00614766" w:rsidP="004102BE"/>
                          <w:p w:rsidR="00614766" w:rsidRDefault="00614766" w:rsidP="004102BE">
                            <w:pPr>
                              <w:jc w:val="center"/>
                              <w:rPr>
                                <w:rFonts w:ascii="Calibri" w:hAnsi="Calibri" w:cs="Calibri"/>
                                <w:b/>
                                <w:sz w:val="20"/>
                                <w:szCs w:val="20"/>
                              </w:rPr>
                            </w:pPr>
                            <w:r w:rsidRPr="001836EF">
                              <w:rPr>
                                <w:rFonts w:ascii="Calibri" w:hAnsi="Calibri" w:cs="Calibri"/>
                                <w:b/>
                                <w:sz w:val="20"/>
                                <w:szCs w:val="20"/>
                              </w:rPr>
                              <w:t>SRCC Indicators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32pt;margin-top:8.6pt;width:70.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" fillcolor="#d9d9d9">
                <v:textbox>
                  <w:txbxContent>
                    <w:p w:rsidR="00614766" w:rsidRDefault="00614766" w:rsidP="004102BE"/>
                    <w:p w:rsidR="00614766" w:rsidRDefault="00614766" w:rsidP="004102BE">
                      <w:pPr>
                        <w:jc w:val="center"/>
                        <w:rPr>
                          <w:rFonts w:ascii="Calibri" w:hAnsi="Calibri" w:cs="Calibri"/>
                          <w:b/>
                          <w:sz w:val="20"/>
                          <w:szCs w:val="20"/>
                        </w:rPr>
                      </w:pPr>
                      <w:r w:rsidRPr="001836EF">
                        <w:rPr>
                          <w:rFonts w:ascii="Calibri" w:hAnsi="Calibri" w:cs="Calibri"/>
                          <w:b/>
                          <w:sz w:val="20"/>
                          <w:szCs w:val="20"/>
                        </w:rPr>
                        <w:t>SRCC Indicators</w:t>
                      </w:r>
                    </w:p>
                  </w:txbxContent>
                </v:textbox>
              </v:shape>
            </w:pict>
          </mc:Fallback>
        </mc:AlternateContent>
      </w:r>
      <w:r>
        <w:rPr>
          <w:rFonts w:ascii="Calibri" w:eastAsiaTheme="minorHAnsi" w:hAnsi="Calibri" w:cs="Calibri"/>
          <w:noProof/>
          <w:sz w:val="22"/>
        </w:rPr>
        <mc:AlternateContent>
          <mc:Choice Requires="wps">
            <w:drawing>
              <wp:anchor distT="0" distB="0" distL="114300" distR="114300" simplePos="0" relativeHeight="251659264" behindDoc="0" locked="0" layoutInCell="1" allowOverlap="1" wp14:anchorId="0142A02D" wp14:editId="74078B9A">
                <wp:simplePos x="0" y="0"/>
                <wp:positionH relativeFrom="column">
                  <wp:posOffset>600075</wp:posOffset>
                </wp:positionH>
                <wp:positionV relativeFrom="paragraph">
                  <wp:posOffset>109220</wp:posOffset>
                </wp:positionV>
                <wp:extent cx="962025" cy="1238250"/>
                <wp:effectExtent l="0" t="0" r="28575" b="1905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238250"/>
                        </a:xfrm>
                        <a:prstGeom prst="rect">
                          <a:avLst/>
                        </a:prstGeom>
                        <a:solidFill>
                          <a:sysClr val="window" lastClr="FFFFFF">
                            <a:lumMod val="85000"/>
                            <a:lumOff val="0"/>
                          </a:sysClr>
                        </a:solidFill>
                        <a:ln w="9525">
                          <a:solidFill>
                            <a:srgbClr val="000000"/>
                          </a:solidFill>
                          <a:miter lim="800000"/>
                          <a:headEnd/>
                          <a:tailEnd/>
                        </a:ln>
                      </wps:spPr>
                      <wps:txbx>
                        <w:txbxContent>
                          <w:p w:rsidR="00614766" w:rsidRDefault="00614766" w:rsidP="004102BE">
                            <w:pPr>
                              <w:rPr>
                                <w:sz w:val="20"/>
                                <w:szCs w:val="20"/>
                              </w:rPr>
                            </w:pPr>
                          </w:p>
                          <w:p w:rsidR="00614766" w:rsidRDefault="00614766" w:rsidP="004102BE">
                            <w:pPr>
                              <w:jc w:val="center"/>
                              <w:rPr>
                                <w:rFonts w:ascii="Calibri" w:hAnsi="Calibri" w:cs="Calibri"/>
                                <w:b/>
                                <w:sz w:val="20"/>
                                <w:szCs w:val="20"/>
                              </w:rPr>
                            </w:pPr>
                            <w:r w:rsidRPr="001836EF">
                              <w:rPr>
                                <w:rFonts w:ascii="Calibri" w:hAnsi="Calibri" w:cs="Calibri"/>
                                <w:b/>
                                <w:sz w:val="20"/>
                                <w:szCs w:val="20"/>
                              </w:rPr>
                              <w:t>Prudential / Financial Requirements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47.25pt;margin-top:8.6pt;width:75.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" fillcolor="#d9d9d9">
                <v:textbox>
                  <w:txbxContent>
                    <w:p w:rsidR="00614766" w:rsidRDefault="00614766" w:rsidP="004102BE">
                      <w:pPr>
                        <w:rPr>
                          <w:sz w:val="20"/>
                          <w:szCs w:val="20"/>
                        </w:rPr>
                      </w:pPr>
                    </w:p>
                    <w:p w:rsidR="00614766" w:rsidRDefault="00614766" w:rsidP="004102BE">
                      <w:pPr>
                        <w:jc w:val="center"/>
                        <w:rPr>
                          <w:rFonts w:ascii="Calibri" w:hAnsi="Calibri" w:cs="Calibri"/>
                          <w:b/>
                          <w:sz w:val="20"/>
                          <w:szCs w:val="20"/>
                        </w:rPr>
                      </w:pPr>
                      <w:r w:rsidRPr="001836EF">
                        <w:rPr>
                          <w:rFonts w:ascii="Calibri" w:hAnsi="Calibri" w:cs="Calibri"/>
                          <w:b/>
                          <w:sz w:val="20"/>
                          <w:szCs w:val="20"/>
                        </w:rPr>
                        <w:t>Prudential / Financial Requirements</w:t>
                      </w:r>
                    </w:p>
                  </w:txbxContent>
                </v:textbox>
              </v:shape>
            </w:pict>
          </mc:Fallback>
        </mc:AlternateContent>
      </w:r>
      <w:bookmarkEnd w:id="429"/>
      <w:bookmarkEnd w:id="430"/>
      <w:bookmarkEnd w:id="431"/>
      <w:bookmarkEnd w:id="432"/>
    </w:p>
    <w:p w:rsidR="004102BE" w:rsidRPr="004102BE" w:rsidRDefault="004102BE" w:rsidP="004102BE">
      <w:pPr>
        <w:spacing w:before="100" w:beforeAutospacing="1" w:after="120" w:afterAutospacing="1"/>
        <w:outlineLvl w:val="0"/>
        <w:rPr>
          <w:rFonts w:ascii="Calibri" w:eastAsiaTheme="minorHAnsi" w:hAnsi="Calibri" w:cs="Calibri"/>
          <w:sz w:val="22"/>
          <w:lang w:eastAsia="en-US"/>
        </w:rPr>
      </w:pPr>
    </w:p>
    <w:p w:rsidR="004102BE" w:rsidRPr="004102BE" w:rsidRDefault="004102BE" w:rsidP="004102BE">
      <w:pPr>
        <w:spacing w:before="100" w:beforeAutospacing="1" w:after="120" w:afterAutospacing="1"/>
        <w:jc w:val="center"/>
        <w:outlineLvl w:val="0"/>
        <w:rPr>
          <w:rFonts w:ascii="Calibri" w:eastAsiaTheme="minorHAnsi" w:hAnsi="Calibri" w:cs="Calibri"/>
          <w:sz w:val="22"/>
          <w:lang w:eastAsia="en-US"/>
        </w:rPr>
      </w:pPr>
    </w:p>
    <w:bookmarkStart w:id="433" w:name="_Toc341777996"/>
    <w:bookmarkStart w:id="434" w:name="_Toc341778463"/>
    <w:bookmarkStart w:id="435" w:name="_Toc341780756"/>
    <w:bookmarkStart w:id="436" w:name="_Toc342578365"/>
    <w:p w:rsidR="004102BE" w:rsidRPr="004102BE" w:rsidRDefault="007F041E" w:rsidP="004102BE">
      <w:pPr>
        <w:spacing w:before="100" w:beforeAutospacing="1" w:after="120" w:afterAutospacing="1"/>
        <w:outlineLvl w:val="0"/>
        <w:rPr>
          <w:rFonts w:ascii="Calibri" w:eastAsiaTheme="minorHAnsi" w:hAnsi="Calibri" w:cs="Calibri"/>
          <w:sz w:val="22"/>
          <w:lang w:eastAsia="en-US"/>
        </w:rPr>
      </w:pPr>
      <w:r>
        <w:rPr>
          <w:rFonts w:ascii="Calibri" w:eastAsiaTheme="minorHAnsi" w:hAnsi="Calibri" w:cs="Calibri"/>
          <w:noProof/>
          <w:sz w:val="22"/>
        </w:rPr>
        <mc:AlternateContent>
          <mc:Choice Requires="wps">
            <w:drawing>
              <wp:anchor distT="0" distB="0" distL="114300" distR="114300" simplePos="0" relativeHeight="251671552" behindDoc="0" locked="0" layoutInCell="1" allowOverlap="1" wp14:anchorId="6083880F" wp14:editId="31078915">
                <wp:simplePos x="0" y="0"/>
                <wp:positionH relativeFrom="column">
                  <wp:posOffset>4333875</wp:posOffset>
                </wp:positionH>
                <wp:positionV relativeFrom="paragraph">
                  <wp:posOffset>201295</wp:posOffset>
                </wp:positionV>
                <wp:extent cx="635" cy="394335"/>
                <wp:effectExtent l="76200" t="0" r="75565" b="62865"/>
                <wp:wrapNone/>
                <wp:docPr id="40" name="AutoShape 14" title="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4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alt="Title: Down arrow" style="position:absolute;margin-left:341.25pt;margin-top:15.85pt;width:.05pt;height:3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">
                <v:stroke endarrow="block"/>
              </v:shape>
            </w:pict>
          </mc:Fallback>
        </mc:AlternateContent>
      </w:r>
      <w:r>
        <w:rPr>
          <w:rFonts w:ascii="Calibri" w:eastAsiaTheme="minorHAnsi" w:hAnsi="Calibri" w:cs="Calibri"/>
          <w:noProof/>
          <w:sz w:val="22"/>
        </w:rPr>
        <mc:AlternateContent>
          <mc:Choice Requires="wps">
            <w:drawing>
              <wp:anchor distT="0" distB="0" distL="114300" distR="114300" simplePos="0" relativeHeight="251670528" behindDoc="0" locked="0" layoutInCell="1" allowOverlap="1" wp14:anchorId="0922B81C" wp14:editId="13FDB69B">
                <wp:simplePos x="0" y="0"/>
                <wp:positionH relativeFrom="column">
                  <wp:posOffset>3238500</wp:posOffset>
                </wp:positionH>
                <wp:positionV relativeFrom="paragraph">
                  <wp:posOffset>201295</wp:posOffset>
                </wp:positionV>
                <wp:extent cx="635" cy="394335"/>
                <wp:effectExtent l="76200" t="0" r="75565" b="62865"/>
                <wp:wrapNone/>
                <wp:docPr id="39" name="AutoShape 13" title="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4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alt="Title: Down arrow" style="position:absolute;margin-left:255pt;margin-top:15.85pt;width:.05pt;height:3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">
                <v:stroke endarrow="block"/>
              </v:shape>
            </w:pict>
          </mc:Fallback>
        </mc:AlternateContent>
      </w:r>
      <w:r>
        <w:rPr>
          <w:rFonts w:ascii="Calibri" w:eastAsiaTheme="minorHAnsi" w:hAnsi="Calibri" w:cs="Calibri"/>
          <w:noProof/>
          <w:sz w:val="22"/>
        </w:rPr>
        <mc:AlternateContent>
          <mc:Choice Requires="wps">
            <w:drawing>
              <wp:anchor distT="0" distB="0" distL="114300" distR="114300" simplePos="0" relativeHeight="251669504" behindDoc="0" locked="0" layoutInCell="1" allowOverlap="1" wp14:anchorId="07532723" wp14:editId="1C11207D">
                <wp:simplePos x="0" y="0"/>
                <wp:positionH relativeFrom="column">
                  <wp:posOffset>2076450</wp:posOffset>
                </wp:positionH>
                <wp:positionV relativeFrom="paragraph">
                  <wp:posOffset>201295</wp:posOffset>
                </wp:positionV>
                <wp:extent cx="635" cy="394335"/>
                <wp:effectExtent l="76200" t="0" r="75565" b="62865"/>
                <wp:wrapNone/>
                <wp:docPr id="38" name="AutoShape 12" title="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4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alt="Title: Down arrow" style="position:absolute;margin-left:163.5pt;margin-top:15.85pt;width:.05pt;height:3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">
                <v:stroke endarrow="block"/>
              </v:shape>
            </w:pict>
          </mc:Fallback>
        </mc:AlternateContent>
      </w:r>
      <w:r>
        <w:rPr>
          <w:rFonts w:ascii="Calibri" w:eastAsiaTheme="minorHAnsi" w:hAnsi="Calibri" w:cs="Calibri"/>
          <w:noProof/>
          <w:sz w:val="22"/>
        </w:rPr>
        <mc:AlternateContent>
          <mc:Choice Requires="wps">
            <w:drawing>
              <wp:anchor distT="0" distB="0" distL="114295" distR="114295" simplePos="0" relativeHeight="251668480" behindDoc="0" locked="0" layoutInCell="1" allowOverlap="1" wp14:anchorId="58182CC8" wp14:editId="327AD889">
                <wp:simplePos x="0" y="0"/>
                <wp:positionH relativeFrom="column">
                  <wp:posOffset>1009649</wp:posOffset>
                </wp:positionH>
                <wp:positionV relativeFrom="paragraph">
                  <wp:posOffset>201295</wp:posOffset>
                </wp:positionV>
                <wp:extent cx="0" cy="394335"/>
                <wp:effectExtent l="76200" t="0" r="57150" b="62865"/>
                <wp:wrapNone/>
                <wp:docPr id="37" name="AutoShape 11" title="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alt="Title: down arrow" style="position:absolute;margin-left:79.5pt;margin-top:15.85pt;width:0;height:31.05pt;z-index:25166848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">
                <v:stroke endarrow="block"/>
              </v:shape>
            </w:pict>
          </mc:Fallback>
        </mc:AlternateContent>
      </w:r>
      <w:bookmarkEnd w:id="433"/>
      <w:bookmarkEnd w:id="434"/>
      <w:bookmarkEnd w:id="435"/>
      <w:bookmarkEnd w:id="436"/>
    </w:p>
    <w:bookmarkStart w:id="437" w:name="_Toc341777997"/>
    <w:bookmarkStart w:id="438" w:name="_Toc341778464"/>
    <w:bookmarkStart w:id="439" w:name="_Toc341780757"/>
    <w:bookmarkStart w:id="440" w:name="_Toc342578366"/>
    <w:p w:rsidR="004102BE" w:rsidRPr="004102BE" w:rsidRDefault="007F041E" w:rsidP="004102BE">
      <w:pPr>
        <w:spacing w:before="100" w:beforeAutospacing="1" w:after="120" w:afterAutospacing="1"/>
        <w:outlineLvl w:val="0"/>
        <w:rPr>
          <w:rFonts w:ascii="Calibri" w:eastAsiaTheme="minorHAnsi" w:hAnsi="Calibri" w:cs="Calibri"/>
          <w:sz w:val="22"/>
          <w:lang w:eastAsia="en-US"/>
        </w:rPr>
      </w:pPr>
      <w:r>
        <w:rPr>
          <w:rFonts w:ascii="Calibri" w:eastAsiaTheme="minorHAnsi" w:hAnsi="Calibri" w:cs="Calibri"/>
          <w:noProof/>
          <w:sz w:val="22"/>
        </w:rPr>
        <mc:AlternateContent>
          <mc:Choice Requires="wps">
            <w:drawing>
              <wp:anchor distT="0" distB="0" distL="114300" distR="114300" simplePos="0" relativeHeight="251664384" behindDoc="0" locked="0" layoutInCell="1" allowOverlap="1" wp14:anchorId="2DD1DE7B" wp14:editId="6750DEEF">
                <wp:simplePos x="0" y="0"/>
                <wp:positionH relativeFrom="column">
                  <wp:posOffset>4819015</wp:posOffset>
                </wp:positionH>
                <wp:positionV relativeFrom="paragraph">
                  <wp:posOffset>306070</wp:posOffset>
                </wp:positionV>
                <wp:extent cx="972185" cy="676275"/>
                <wp:effectExtent l="0" t="0" r="18415" b="28575"/>
                <wp:wrapNone/>
                <wp:docPr id="3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676275"/>
                        </a:xfrm>
                        <a:prstGeom prst="rect">
                          <a:avLst/>
                        </a:prstGeom>
                        <a:solidFill>
                          <a:sysClr val="window" lastClr="FFFFFF">
                            <a:lumMod val="85000"/>
                            <a:lumOff val="0"/>
                          </a:sysClr>
                        </a:solidFill>
                        <a:ln w="9525">
                          <a:solidFill>
                            <a:srgbClr val="000000"/>
                          </a:solidFill>
                          <a:miter lim="800000"/>
                          <a:headEnd/>
                          <a:tailEnd/>
                        </a:ln>
                      </wps:spPr>
                      <wps:txbx>
                        <w:txbxContent>
                          <w:p w:rsidR="00614766" w:rsidRDefault="00614766" w:rsidP="004102BE">
                            <w:pPr>
                              <w:spacing w:before="240"/>
                              <w:jc w:val="center"/>
                              <w:rPr>
                                <w:rFonts w:ascii="Calibri" w:hAnsi="Calibri" w:cs="Calibri"/>
                                <w:b/>
                                <w:sz w:val="20"/>
                                <w:szCs w:val="20"/>
                              </w:rPr>
                            </w:pPr>
                            <w:r w:rsidRPr="001836EF">
                              <w:rPr>
                                <w:rFonts w:ascii="Calibri" w:hAnsi="Calibri" w:cs="Calibri"/>
                                <w:b/>
                                <w:sz w:val="20"/>
                                <w:szCs w:val="20"/>
                              </w:rPr>
                              <w:t>WHS Investigations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379.45pt;margin-top:24.1pt;width:76.55pt;height:5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" fillcolor="#d9d9d9">
                <v:textbox>
                  <w:txbxContent>
                    <w:p w:rsidR="00614766" w:rsidRDefault="00614766" w:rsidP="004102BE">
                      <w:pPr>
                        <w:spacing w:before="240"/>
                        <w:jc w:val="center"/>
                        <w:rPr>
                          <w:rFonts w:ascii="Calibri" w:hAnsi="Calibri" w:cs="Calibri"/>
                          <w:b/>
                          <w:sz w:val="20"/>
                          <w:szCs w:val="20"/>
                        </w:rPr>
                      </w:pPr>
                      <w:proofErr w:type="spellStart"/>
                      <w:r w:rsidRPr="001836EF">
                        <w:rPr>
                          <w:rFonts w:ascii="Calibri" w:hAnsi="Calibri" w:cs="Calibri"/>
                          <w:b/>
                          <w:sz w:val="20"/>
                          <w:szCs w:val="20"/>
                        </w:rPr>
                        <w:t>WHS</w:t>
                      </w:r>
                      <w:proofErr w:type="spellEnd"/>
                      <w:r w:rsidRPr="001836EF">
                        <w:rPr>
                          <w:rFonts w:ascii="Calibri" w:hAnsi="Calibri" w:cs="Calibri"/>
                          <w:b/>
                          <w:sz w:val="20"/>
                          <w:szCs w:val="20"/>
                        </w:rPr>
                        <w:t xml:space="preserve"> Investigations</w:t>
                      </w:r>
                    </w:p>
                  </w:txbxContent>
                </v:textbox>
              </v:shape>
            </w:pict>
          </mc:Fallback>
        </mc:AlternateContent>
      </w:r>
      <w:r>
        <w:rPr>
          <w:rFonts w:ascii="Calibri" w:eastAsiaTheme="minorHAnsi" w:hAnsi="Calibri" w:cs="Calibri"/>
          <w:noProof/>
          <w:sz w:val="22"/>
        </w:rPr>
        <mc:AlternateContent>
          <mc:Choice Requires="wps">
            <w:drawing>
              <wp:anchor distT="0" distB="0" distL="114300" distR="114300" simplePos="0" relativeHeight="251663360" behindDoc="0" locked="0" layoutInCell="1" allowOverlap="1" wp14:anchorId="24857741" wp14:editId="2F3CB8D4">
                <wp:simplePos x="0" y="0"/>
                <wp:positionH relativeFrom="column">
                  <wp:posOffset>600075</wp:posOffset>
                </wp:positionH>
                <wp:positionV relativeFrom="paragraph">
                  <wp:posOffset>248920</wp:posOffset>
                </wp:positionV>
                <wp:extent cx="3895725" cy="733425"/>
                <wp:effectExtent l="0" t="0" r="28575" b="28575"/>
                <wp:wrapNone/>
                <wp:docPr id="3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733425"/>
                        </a:xfrm>
                        <a:prstGeom prst="rect">
                          <a:avLst/>
                        </a:prstGeom>
                        <a:solidFill>
                          <a:sysClr val="window" lastClr="FFFFFF">
                            <a:lumMod val="85000"/>
                            <a:lumOff val="0"/>
                          </a:sysClr>
                        </a:solidFill>
                        <a:ln w="9525">
                          <a:solidFill>
                            <a:srgbClr val="000000"/>
                          </a:solidFill>
                          <a:miter lim="800000"/>
                          <a:headEnd/>
                          <a:tailEnd/>
                        </a:ln>
                      </wps:spPr>
                      <wps:txbx>
                        <w:txbxContent>
                          <w:p w:rsidR="00614766" w:rsidRPr="00C54E42" w:rsidRDefault="00614766" w:rsidP="004102BE">
                            <w:pPr>
                              <w:spacing w:before="240"/>
                              <w:jc w:val="center"/>
                              <w:rPr>
                                <w:rFonts w:ascii="Calibri" w:hAnsi="Calibri" w:cs="Calibri"/>
                                <w:b/>
                                <w:sz w:val="20"/>
                                <w:szCs w:val="20"/>
                              </w:rPr>
                            </w:pPr>
                            <w:r w:rsidRPr="00C54E42">
                              <w:rPr>
                                <w:rFonts w:ascii="Calibri" w:hAnsi="Calibri" w:cs="Calibri"/>
                                <w:b/>
                                <w:sz w:val="20"/>
                                <w:szCs w:val="20"/>
                              </w:rPr>
                              <w:t xml:space="preserve">License </w:t>
                            </w:r>
                            <w:r>
                              <w:rPr>
                                <w:rFonts w:ascii="Calibri" w:hAnsi="Calibri" w:cs="Calibri"/>
                                <w:b/>
                                <w:sz w:val="20"/>
                                <w:szCs w:val="20"/>
                              </w:rPr>
                              <w:t>C</w:t>
                            </w:r>
                            <w:r w:rsidRPr="00C54E42">
                              <w:rPr>
                                <w:rFonts w:ascii="Calibri" w:hAnsi="Calibri" w:cs="Calibri"/>
                                <w:b/>
                                <w:sz w:val="20"/>
                                <w:szCs w:val="20"/>
                              </w:rPr>
                              <w:t>ompliance and Evaluation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47.25pt;margin-top:19.6pt;width:306.75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" fillcolor="#d9d9d9">
                <v:textbox>
                  <w:txbxContent>
                    <w:p w:rsidR="00614766" w:rsidRPr="00C54E42" w:rsidRDefault="00614766" w:rsidP="004102BE">
                      <w:pPr>
                        <w:spacing w:before="240"/>
                        <w:jc w:val="center"/>
                        <w:rPr>
                          <w:rFonts w:ascii="Calibri" w:hAnsi="Calibri" w:cs="Calibri"/>
                          <w:b/>
                          <w:sz w:val="20"/>
                          <w:szCs w:val="20"/>
                        </w:rPr>
                      </w:pPr>
                      <w:r w:rsidRPr="00C54E42">
                        <w:rPr>
                          <w:rFonts w:ascii="Calibri" w:hAnsi="Calibri" w:cs="Calibri"/>
                          <w:b/>
                          <w:sz w:val="20"/>
                          <w:szCs w:val="20"/>
                        </w:rPr>
                        <w:t xml:space="preserve">License </w:t>
                      </w:r>
                      <w:r>
                        <w:rPr>
                          <w:rFonts w:ascii="Calibri" w:hAnsi="Calibri" w:cs="Calibri"/>
                          <w:b/>
                          <w:sz w:val="20"/>
                          <w:szCs w:val="20"/>
                        </w:rPr>
                        <w:t>C</w:t>
                      </w:r>
                      <w:r w:rsidRPr="00C54E42">
                        <w:rPr>
                          <w:rFonts w:ascii="Calibri" w:hAnsi="Calibri" w:cs="Calibri"/>
                          <w:b/>
                          <w:sz w:val="20"/>
                          <w:szCs w:val="20"/>
                        </w:rPr>
                        <w:t>ompliance and Evaluation Process</w:t>
                      </w:r>
                    </w:p>
                  </w:txbxContent>
                </v:textbox>
              </v:shape>
            </w:pict>
          </mc:Fallback>
        </mc:AlternateContent>
      </w:r>
      <w:bookmarkEnd w:id="437"/>
      <w:bookmarkEnd w:id="438"/>
      <w:bookmarkEnd w:id="439"/>
      <w:bookmarkEnd w:id="440"/>
    </w:p>
    <w:bookmarkStart w:id="441" w:name="_Toc341777998"/>
    <w:bookmarkStart w:id="442" w:name="_Toc341778465"/>
    <w:bookmarkStart w:id="443" w:name="_Toc341780758"/>
    <w:bookmarkStart w:id="444" w:name="_Toc342578367"/>
    <w:p w:rsidR="004102BE" w:rsidRPr="004102BE" w:rsidRDefault="007F041E" w:rsidP="004102BE">
      <w:pPr>
        <w:spacing w:before="100" w:beforeAutospacing="1" w:after="120" w:afterAutospacing="1"/>
        <w:outlineLvl w:val="0"/>
        <w:rPr>
          <w:rFonts w:ascii="Calibri" w:eastAsiaTheme="minorHAnsi" w:hAnsi="Calibri" w:cs="Calibri"/>
          <w:sz w:val="22"/>
          <w:lang w:eastAsia="en-US"/>
        </w:rPr>
      </w:pPr>
      <w:r>
        <w:rPr>
          <w:rFonts w:ascii="Calibri" w:eastAsiaTheme="minorHAnsi" w:hAnsi="Calibri" w:cs="Calibri"/>
          <w:noProof/>
          <w:sz w:val="22"/>
        </w:rPr>
        <mc:AlternateContent>
          <mc:Choice Requires="wps">
            <w:drawing>
              <wp:anchor distT="4294967291" distB="4294967291" distL="114300" distR="114300" simplePos="0" relativeHeight="251672576" behindDoc="0" locked="0" layoutInCell="1" allowOverlap="1" wp14:anchorId="478B6A0B" wp14:editId="4A6FF758">
                <wp:simplePos x="0" y="0"/>
                <wp:positionH relativeFrom="column">
                  <wp:posOffset>4495800</wp:posOffset>
                </wp:positionH>
                <wp:positionV relativeFrom="paragraph">
                  <wp:posOffset>243839</wp:posOffset>
                </wp:positionV>
                <wp:extent cx="323850" cy="0"/>
                <wp:effectExtent l="38100" t="76200" r="0" b="95250"/>
                <wp:wrapNone/>
                <wp:docPr id="34" name="AutoShape 15" title="horizontal linking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alt="Title: horizontal linking arrow" style="position:absolute;margin-left:354pt;margin-top:19.2pt;width:25.5pt;height:0;flip:x;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">
                <v:stroke endarrow="block"/>
              </v:shape>
            </w:pict>
          </mc:Fallback>
        </mc:AlternateContent>
      </w:r>
      <w:bookmarkEnd w:id="441"/>
      <w:bookmarkEnd w:id="442"/>
      <w:bookmarkEnd w:id="443"/>
      <w:bookmarkEnd w:id="444"/>
    </w:p>
    <w:bookmarkStart w:id="445" w:name="_Toc341777999"/>
    <w:bookmarkStart w:id="446" w:name="_Toc341778466"/>
    <w:bookmarkStart w:id="447" w:name="_Toc341780759"/>
    <w:bookmarkStart w:id="448" w:name="_Toc342578368"/>
    <w:p w:rsidR="004102BE" w:rsidRPr="004102BE" w:rsidRDefault="007F041E" w:rsidP="004102BE">
      <w:pPr>
        <w:spacing w:before="100" w:beforeAutospacing="1" w:after="120" w:afterAutospacing="1"/>
        <w:outlineLvl w:val="0"/>
        <w:rPr>
          <w:rFonts w:ascii="Calibri" w:eastAsiaTheme="minorHAnsi" w:hAnsi="Calibri" w:cs="Calibri"/>
          <w:sz w:val="22"/>
          <w:lang w:eastAsia="en-US"/>
        </w:rPr>
      </w:pPr>
      <w:r>
        <w:rPr>
          <w:rFonts w:ascii="Calibri" w:eastAsiaTheme="minorHAnsi" w:hAnsi="Calibri" w:cs="Calibri"/>
          <w:noProof/>
          <w:sz w:val="22"/>
        </w:rPr>
        <mc:AlternateContent>
          <mc:Choice Requires="wps">
            <w:drawing>
              <wp:anchor distT="0" distB="0" distL="114295" distR="114295" simplePos="0" relativeHeight="251673600" behindDoc="0" locked="0" layoutInCell="1" allowOverlap="1" wp14:anchorId="4470D285" wp14:editId="37491335">
                <wp:simplePos x="0" y="0"/>
                <wp:positionH relativeFrom="column">
                  <wp:posOffset>2571749</wp:posOffset>
                </wp:positionH>
                <wp:positionV relativeFrom="paragraph">
                  <wp:posOffset>283845</wp:posOffset>
                </wp:positionV>
                <wp:extent cx="0" cy="219075"/>
                <wp:effectExtent l="76200" t="0" r="76200" b="47625"/>
                <wp:wrapNone/>
                <wp:docPr id="33" name="AutoShape 16" title="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alt="Title: down arrow" style="position:absolute;margin-left:202.5pt;margin-top:22.35pt;width:0;height:17.25pt;z-index:25167360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">
                <v:stroke endarrow="block"/>
              </v:shape>
            </w:pict>
          </mc:Fallback>
        </mc:AlternateContent>
      </w:r>
      <w:bookmarkEnd w:id="445"/>
      <w:bookmarkEnd w:id="446"/>
      <w:bookmarkEnd w:id="447"/>
      <w:bookmarkEnd w:id="448"/>
    </w:p>
    <w:bookmarkStart w:id="449" w:name="_Toc341778000"/>
    <w:bookmarkStart w:id="450" w:name="_Toc341778467"/>
    <w:bookmarkStart w:id="451" w:name="_Toc341780760"/>
    <w:bookmarkStart w:id="452" w:name="_Toc342578369"/>
    <w:p w:rsidR="004102BE" w:rsidRPr="004102BE" w:rsidRDefault="007F041E" w:rsidP="004102BE">
      <w:pPr>
        <w:spacing w:before="100" w:beforeAutospacing="1" w:after="120" w:afterAutospacing="1"/>
        <w:outlineLvl w:val="0"/>
        <w:rPr>
          <w:rFonts w:ascii="Calibri" w:eastAsiaTheme="minorHAnsi" w:hAnsi="Calibri" w:cs="Calibri"/>
          <w:sz w:val="22"/>
          <w:lang w:eastAsia="en-US"/>
        </w:rPr>
      </w:pPr>
      <w:r>
        <w:rPr>
          <w:rFonts w:ascii="Calibri" w:eastAsiaTheme="minorHAnsi" w:hAnsi="Calibri" w:cs="Calibri"/>
          <w:noProof/>
          <w:sz w:val="22"/>
        </w:rPr>
        <mc:AlternateContent>
          <mc:Choice Requires="wps">
            <w:drawing>
              <wp:anchor distT="0" distB="0" distL="114300" distR="114300" simplePos="0" relativeHeight="251665408" behindDoc="0" locked="0" layoutInCell="1" allowOverlap="1" wp14:anchorId="09729865" wp14:editId="0C4D20C1">
                <wp:simplePos x="0" y="0"/>
                <wp:positionH relativeFrom="column">
                  <wp:posOffset>1990725</wp:posOffset>
                </wp:positionH>
                <wp:positionV relativeFrom="paragraph">
                  <wp:posOffset>154940</wp:posOffset>
                </wp:positionV>
                <wp:extent cx="1295400" cy="602615"/>
                <wp:effectExtent l="0" t="0" r="19050" b="26035"/>
                <wp:wrapNone/>
                <wp:docPr id="3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602615"/>
                        </a:xfrm>
                        <a:prstGeom prst="rect">
                          <a:avLst/>
                        </a:prstGeom>
                        <a:solidFill>
                          <a:sysClr val="window" lastClr="FFFFFF">
                            <a:lumMod val="85000"/>
                            <a:lumOff val="0"/>
                          </a:sysClr>
                        </a:solidFill>
                        <a:ln w="9525">
                          <a:solidFill>
                            <a:srgbClr val="000000"/>
                          </a:solidFill>
                          <a:miter lim="800000"/>
                          <a:headEnd/>
                          <a:tailEnd/>
                        </a:ln>
                      </wps:spPr>
                      <wps:txbx>
                        <w:txbxContent>
                          <w:p w:rsidR="00614766" w:rsidRDefault="00614766" w:rsidP="004102BE">
                            <w:pPr>
                              <w:spacing w:before="240"/>
                              <w:jc w:val="center"/>
                              <w:rPr>
                                <w:rFonts w:ascii="Calibri" w:hAnsi="Calibri" w:cs="Calibri"/>
                                <w:b/>
                                <w:sz w:val="20"/>
                                <w:szCs w:val="20"/>
                              </w:rPr>
                            </w:pPr>
                            <w:r w:rsidRPr="001836EF">
                              <w:rPr>
                                <w:rFonts w:ascii="Calibri" w:hAnsi="Calibri" w:cs="Calibri"/>
                                <w:b/>
                                <w:sz w:val="20"/>
                                <w:szCs w:val="20"/>
                              </w:rPr>
                              <w:t>SRCC LIP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156.75pt;margin-top:12.2pt;width:102pt;height:4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" fillcolor="#d9d9d9">
                <v:textbox>
                  <w:txbxContent>
                    <w:p w:rsidR="00614766" w:rsidRDefault="00614766" w:rsidP="004102BE">
                      <w:pPr>
                        <w:spacing w:before="240"/>
                        <w:jc w:val="center"/>
                        <w:rPr>
                          <w:rFonts w:ascii="Calibri" w:hAnsi="Calibri" w:cs="Calibri"/>
                          <w:b/>
                          <w:sz w:val="20"/>
                          <w:szCs w:val="20"/>
                        </w:rPr>
                      </w:pPr>
                      <w:r w:rsidRPr="001836EF">
                        <w:rPr>
                          <w:rFonts w:ascii="Calibri" w:hAnsi="Calibri" w:cs="Calibri"/>
                          <w:b/>
                          <w:sz w:val="20"/>
                          <w:szCs w:val="20"/>
                        </w:rPr>
                        <w:t>SRCC LIP Report</w:t>
                      </w:r>
                    </w:p>
                  </w:txbxContent>
                </v:textbox>
              </v:shape>
            </w:pict>
          </mc:Fallback>
        </mc:AlternateContent>
      </w:r>
      <w:bookmarkEnd w:id="449"/>
      <w:bookmarkEnd w:id="450"/>
      <w:bookmarkEnd w:id="451"/>
      <w:bookmarkEnd w:id="452"/>
    </w:p>
    <w:p w:rsidR="004102BE" w:rsidRPr="004102BE" w:rsidRDefault="004102BE" w:rsidP="004102BE">
      <w:pPr>
        <w:spacing w:before="100" w:beforeAutospacing="1" w:after="120" w:afterAutospacing="1"/>
        <w:outlineLvl w:val="0"/>
        <w:rPr>
          <w:rFonts w:ascii="Calibri" w:eastAsiaTheme="minorHAnsi" w:hAnsi="Calibri" w:cs="Calibri"/>
          <w:sz w:val="22"/>
          <w:lang w:eastAsia="en-US"/>
        </w:rPr>
      </w:pPr>
    </w:p>
    <w:bookmarkStart w:id="453" w:name="_Toc341778001"/>
    <w:bookmarkStart w:id="454" w:name="_Toc341778468"/>
    <w:bookmarkStart w:id="455" w:name="_Toc341780761"/>
    <w:bookmarkStart w:id="456" w:name="_Toc342578370"/>
    <w:p w:rsidR="004102BE" w:rsidRPr="004102BE" w:rsidRDefault="007F041E" w:rsidP="004102BE">
      <w:pPr>
        <w:spacing w:before="100" w:beforeAutospacing="1" w:after="120" w:afterAutospacing="1"/>
        <w:outlineLvl w:val="0"/>
        <w:rPr>
          <w:rFonts w:ascii="Calibri" w:eastAsiaTheme="minorHAnsi" w:hAnsi="Calibri" w:cs="Calibri"/>
          <w:sz w:val="22"/>
          <w:lang w:eastAsia="en-US"/>
        </w:rPr>
      </w:pPr>
      <w:r>
        <w:rPr>
          <w:rFonts w:ascii="Calibri" w:eastAsiaTheme="minorHAnsi" w:hAnsi="Calibri" w:cs="Calibri"/>
          <w:noProof/>
          <w:sz w:val="22"/>
        </w:rPr>
        <mc:AlternateContent>
          <mc:Choice Requires="wps">
            <w:drawing>
              <wp:anchor distT="0" distB="0" distL="114300" distR="114300" simplePos="0" relativeHeight="251674624" behindDoc="0" locked="0" layoutInCell="1" allowOverlap="1" wp14:anchorId="05EE3939" wp14:editId="1F160086">
                <wp:simplePos x="0" y="0"/>
                <wp:positionH relativeFrom="column">
                  <wp:posOffset>2571115</wp:posOffset>
                </wp:positionH>
                <wp:positionV relativeFrom="paragraph">
                  <wp:posOffset>60325</wp:posOffset>
                </wp:positionV>
                <wp:extent cx="635" cy="294640"/>
                <wp:effectExtent l="76200" t="0" r="75565" b="48260"/>
                <wp:wrapNone/>
                <wp:docPr id="31" name="AutoShape 17" title="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alt="Title: down arrow" style="position:absolute;margin-left:202.45pt;margin-top:4.75pt;width:.05pt;height:2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">
                <v:stroke endarrow="block"/>
              </v:shape>
            </w:pict>
          </mc:Fallback>
        </mc:AlternateContent>
      </w:r>
      <w:bookmarkEnd w:id="453"/>
      <w:bookmarkEnd w:id="454"/>
      <w:bookmarkEnd w:id="455"/>
      <w:bookmarkEnd w:id="456"/>
    </w:p>
    <w:bookmarkStart w:id="457" w:name="_Toc341778002"/>
    <w:bookmarkStart w:id="458" w:name="_Toc341778469"/>
    <w:bookmarkStart w:id="459" w:name="_Toc341780762"/>
    <w:bookmarkStart w:id="460" w:name="_Toc342578371"/>
    <w:p w:rsidR="004102BE" w:rsidRPr="004102BE" w:rsidRDefault="007F041E" w:rsidP="004102BE">
      <w:pPr>
        <w:spacing w:before="100" w:beforeAutospacing="1" w:after="120" w:afterAutospacing="1"/>
        <w:outlineLvl w:val="0"/>
        <w:rPr>
          <w:rFonts w:ascii="Calibri" w:eastAsiaTheme="minorHAnsi" w:hAnsi="Calibri" w:cs="Calibri"/>
          <w:sz w:val="22"/>
          <w:lang w:eastAsia="en-US"/>
        </w:rPr>
      </w:pPr>
      <w:r>
        <w:rPr>
          <w:rFonts w:ascii="Calibri" w:eastAsiaTheme="minorHAnsi" w:hAnsi="Calibri" w:cs="Calibri"/>
          <w:noProof/>
          <w:sz w:val="22"/>
        </w:rPr>
        <mc:AlternateContent>
          <mc:Choice Requires="wps">
            <w:drawing>
              <wp:anchor distT="0" distB="0" distL="114300" distR="114300" simplePos="0" relativeHeight="251667456" behindDoc="0" locked="0" layoutInCell="1" allowOverlap="1" wp14:anchorId="2A1ECCBA" wp14:editId="7AA0D050">
                <wp:simplePos x="0" y="0"/>
                <wp:positionH relativeFrom="column">
                  <wp:posOffset>3619500</wp:posOffset>
                </wp:positionH>
                <wp:positionV relativeFrom="paragraph">
                  <wp:posOffset>6985</wp:posOffset>
                </wp:positionV>
                <wp:extent cx="781050" cy="533400"/>
                <wp:effectExtent l="0" t="0" r="19050" b="19050"/>
                <wp:wrapNone/>
                <wp:docPr id="3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33400"/>
                        </a:xfrm>
                        <a:prstGeom prst="rect">
                          <a:avLst/>
                        </a:prstGeom>
                        <a:solidFill>
                          <a:sysClr val="window" lastClr="FFFFFF">
                            <a:lumMod val="85000"/>
                            <a:lumOff val="0"/>
                          </a:sysClr>
                        </a:solidFill>
                        <a:ln w="9525">
                          <a:solidFill>
                            <a:srgbClr val="000000"/>
                          </a:solidFill>
                          <a:miter lim="800000"/>
                          <a:headEnd/>
                          <a:tailEnd/>
                        </a:ln>
                      </wps:spPr>
                      <wps:txbx>
                        <w:txbxContent>
                          <w:p w:rsidR="00614766" w:rsidRDefault="00614766" w:rsidP="004102BE">
                            <w:pPr>
                              <w:jc w:val="center"/>
                              <w:rPr>
                                <w:rFonts w:ascii="Calibri" w:hAnsi="Calibri" w:cs="Calibri"/>
                                <w:b/>
                                <w:sz w:val="20"/>
                                <w:szCs w:val="20"/>
                              </w:rPr>
                            </w:pPr>
                            <w:r w:rsidRPr="001836EF">
                              <w:rPr>
                                <w:rFonts w:ascii="Calibri" w:hAnsi="Calibri" w:cs="Calibri"/>
                                <w:b/>
                                <w:sz w:val="20"/>
                                <w:szCs w:val="20"/>
                              </w:rPr>
                              <w:t>License Fees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285pt;margin-top:.55pt;width:61.5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" fillcolor="#d9d9d9">
                <v:textbox>
                  <w:txbxContent>
                    <w:p w:rsidR="00614766" w:rsidRDefault="00614766" w:rsidP="004102BE">
                      <w:pPr>
                        <w:jc w:val="center"/>
                        <w:rPr>
                          <w:rFonts w:ascii="Calibri" w:hAnsi="Calibri" w:cs="Calibri"/>
                          <w:b/>
                          <w:sz w:val="20"/>
                          <w:szCs w:val="20"/>
                        </w:rPr>
                      </w:pPr>
                      <w:r w:rsidRPr="001836EF">
                        <w:rPr>
                          <w:rFonts w:ascii="Calibri" w:hAnsi="Calibri" w:cs="Calibri"/>
                          <w:b/>
                          <w:sz w:val="20"/>
                          <w:szCs w:val="20"/>
                        </w:rPr>
                        <w:t>License Fees</w:t>
                      </w:r>
                    </w:p>
                  </w:txbxContent>
                </v:textbox>
              </v:shape>
            </w:pict>
          </mc:Fallback>
        </mc:AlternateContent>
      </w:r>
      <w:r>
        <w:rPr>
          <w:rFonts w:ascii="Calibri" w:eastAsiaTheme="minorHAnsi" w:hAnsi="Calibri" w:cs="Calibri"/>
          <w:noProof/>
          <w:sz w:val="22"/>
        </w:rPr>
        <mc:AlternateContent>
          <mc:Choice Requires="wps">
            <w:drawing>
              <wp:anchor distT="0" distB="0" distL="114300" distR="114300" simplePos="0" relativeHeight="251675648" behindDoc="0" locked="0" layoutInCell="1" allowOverlap="1" wp14:anchorId="0664779D" wp14:editId="574D80C0">
                <wp:simplePos x="0" y="0"/>
                <wp:positionH relativeFrom="column">
                  <wp:posOffset>2962275</wp:posOffset>
                </wp:positionH>
                <wp:positionV relativeFrom="paragraph">
                  <wp:posOffset>273685</wp:posOffset>
                </wp:positionV>
                <wp:extent cx="657225" cy="9525"/>
                <wp:effectExtent l="0" t="57150" r="28575" b="85725"/>
                <wp:wrapNone/>
                <wp:docPr id="29" name="AutoShape 18" title="horizontal linking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alt="Title: horizontal linking arrow" style="position:absolute;margin-left:233.25pt;margin-top:21.55pt;width:51.75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">
                <v:stroke endarrow="block"/>
              </v:shape>
            </w:pict>
          </mc:Fallback>
        </mc:AlternateContent>
      </w:r>
      <w:r>
        <w:rPr>
          <w:rFonts w:ascii="Calibri" w:eastAsiaTheme="minorHAnsi" w:hAnsi="Calibri" w:cs="Calibri"/>
          <w:noProof/>
          <w:sz w:val="22"/>
        </w:rPr>
        <mc:AlternateContent>
          <mc:Choice Requires="wps">
            <w:drawing>
              <wp:anchor distT="0" distB="0" distL="114300" distR="114300" simplePos="0" relativeHeight="251666432" behindDoc="0" locked="0" layoutInCell="1" allowOverlap="1" wp14:anchorId="535120DD" wp14:editId="6A669354">
                <wp:simplePos x="0" y="0"/>
                <wp:positionH relativeFrom="column">
                  <wp:posOffset>2200275</wp:posOffset>
                </wp:positionH>
                <wp:positionV relativeFrom="paragraph">
                  <wp:posOffset>6985</wp:posOffset>
                </wp:positionV>
                <wp:extent cx="762000" cy="533400"/>
                <wp:effectExtent l="0" t="0" r="19050" b="19050"/>
                <wp:wrapNone/>
                <wp:docPr id="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533400"/>
                        </a:xfrm>
                        <a:prstGeom prst="rect">
                          <a:avLst/>
                        </a:prstGeom>
                        <a:solidFill>
                          <a:sysClr val="window" lastClr="FFFFFF">
                            <a:lumMod val="85000"/>
                            <a:lumOff val="0"/>
                          </a:sysClr>
                        </a:solidFill>
                        <a:ln w="9525">
                          <a:solidFill>
                            <a:srgbClr val="000000"/>
                          </a:solidFill>
                          <a:miter lim="800000"/>
                          <a:headEnd/>
                          <a:tailEnd/>
                        </a:ln>
                      </wps:spPr>
                      <wps:txbx>
                        <w:txbxContent>
                          <w:p w:rsidR="00614766" w:rsidRDefault="00614766" w:rsidP="004102BE">
                            <w:pPr>
                              <w:jc w:val="center"/>
                              <w:rPr>
                                <w:rFonts w:ascii="Calibri" w:hAnsi="Calibri" w:cs="Calibri"/>
                                <w:b/>
                                <w:sz w:val="20"/>
                                <w:szCs w:val="20"/>
                              </w:rPr>
                            </w:pPr>
                            <w:r w:rsidRPr="001836EF">
                              <w:rPr>
                                <w:rFonts w:ascii="Calibri" w:hAnsi="Calibri" w:cs="Calibri"/>
                                <w:b/>
                                <w:sz w:val="20"/>
                                <w:szCs w:val="20"/>
                              </w:rPr>
                              <w:t>Tier Model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173.25pt;margin-top:.55pt;width:60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" fillcolor="#d9d9d9">
                <v:textbox>
                  <w:txbxContent>
                    <w:p w:rsidR="00614766" w:rsidRDefault="00614766" w:rsidP="004102BE">
                      <w:pPr>
                        <w:jc w:val="center"/>
                        <w:rPr>
                          <w:rFonts w:ascii="Calibri" w:hAnsi="Calibri" w:cs="Calibri"/>
                          <w:b/>
                          <w:sz w:val="20"/>
                          <w:szCs w:val="20"/>
                        </w:rPr>
                      </w:pPr>
                      <w:r w:rsidRPr="001836EF">
                        <w:rPr>
                          <w:rFonts w:ascii="Calibri" w:hAnsi="Calibri" w:cs="Calibri"/>
                          <w:b/>
                          <w:sz w:val="20"/>
                          <w:szCs w:val="20"/>
                        </w:rPr>
                        <w:t>Tier Model</w:t>
                      </w:r>
                    </w:p>
                  </w:txbxContent>
                </v:textbox>
              </v:shape>
            </w:pict>
          </mc:Fallback>
        </mc:AlternateContent>
      </w:r>
      <w:bookmarkEnd w:id="457"/>
      <w:bookmarkEnd w:id="458"/>
      <w:bookmarkEnd w:id="459"/>
      <w:bookmarkEnd w:id="460"/>
    </w:p>
    <w:p w:rsidR="004102BE" w:rsidRPr="004102BE" w:rsidRDefault="004102BE" w:rsidP="004102BE">
      <w:pPr>
        <w:spacing w:before="100" w:beforeAutospacing="1" w:after="120" w:afterAutospacing="1"/>
        <w:outlineLvl w:val="0"/>
        <w:rPr>
          <w:rFonts w:ascii="Calibri" w:eastAsiaTheme="minorHAnsi" w:hAnsi="Calibri" w:cs="Calibri"/>
          <w:sz w:val="22"/>
          <w:lang w:eastAsia="en-US"/>
        </w:rPr>
      </w:pPr>
    </w:p>
    <w:p w:rsidR="004102BE" w:rsidRPr="004102BE" w:rsidRDefault="004102BE" w:rsidP="004102BE">
      <w:pPr>
        <w:ind w:left="1080"/>
        <w:rPr>
          <w:rFonts w:ascii="Calibri" w:eastAsiaTheme="minorHAnsi" w:hAnsi="Calibri" w:cs="Calibri"/>
          <w:sz w:val="22"/>
          <w:lang w:eastAsia="en-US"/>
        </w:rPr>
      </w:pPr>
    </w:p>
    <w:p w:rsidR="004102BE" w:rsidRPr="004102BE" w:rsidRDefault="004102BE" w:rsidP="004102BE">
      <w:pPr>
        <w:numPr>
          <w:ilvl w:val="1"/>
          <w:numId w:val="31"/>
        </w:numPr>
        <w:spacing w:after="120"/>
        <w:ind w:left="709" w:hanging="709"/>
        <w:outlineLvl w:val="0"/>
        <w:rPr>
          <w:rFonts w:ascii="Calibri" w:eastAsiaTheme="minorHAnsi" w:hAnsi="Calibri" w:cs="Calibri"/>
          <w:sz w:val="22"/>
          <w:lang w:eastAsia="en-US"/>
        </w:rPr>
      </w:pPr>
      <w:bookmarkStart w:id="461" w:name="_Toc341778003"/>
      <w:bookmarkStart w:id="462" w:name="_Toc341780763"/>
      <w:bookmarkStart w:id="463" w:name="_Toc342578372"/>
      <w:r w:rsidRPr="004102BE">
        <w:rPr>
          <w:rFonts w:ascii="Calibri" w:eastAsiaTheme="minorHAnsi" w:hAnsi="Calibri" w:cs="Calibri"/>
          <w:sz w:val="22"/>
          <w:lang w:eastAsia="en-US"/>
        </w:rPr>
        <w:t>The SRCC uses its Licensee Improvement Program (LIP) to evaluate licensees with respect to:</w:t>
      </w:r>
      <w:bookmarkEnd w:id="461"/>
      <w:bookmarkEnd w:id="462"/>
      <w:bookmarkEnd w:id="463"/>
    </w:p>
    <w:p w:rsidR="004102BE" w:rsidRPr="004102BE" w:rsidRDefault="004102BE" w:rsidP="004102BE">
      <w:pPr>
        <w:numPr>
          <w:ilvl w:val="0"/>
          <w:numId w:val="27"/>
        </w:numPr>
        <w:spacing w:after="120"/>
        <w:ind w:left="1134" w:hanging="425"/>
        <w:rPr>
          <w:rFonts w:ascii="Calibri" w:hAnsi="Calibri" w:cs="Calibri"/>
          <w:sz w:val="19"/>
        </w:rPr>
      </w:pPr>
      <w:r w:rsidRPr="004102BE">
        <w:rPr>
          <w:rFonts w:ascii="Calibri" w:eastAsiaTheme="minorHAnsi" w:hAnsi="Calibri" w:cs="Calibri"/>
          <w:sz w:val="22"/>
          <w:lang w:eastAsia="en-US"/>
        </w:rPr>
        <w:t>compliance with the licensee’s prudential and financial conditions of licence;</w:t>
      </w:r>
    </w:p>
    <w:p w:rsidR="004102BE" w:rsidRPr="004102BE" w:rsidRDefault="004102BE" w:rsidP="004102BE">
      <w:pPr>
        <w:numPr>
          <w:ilvl w:val="0"/>
          <w:numId w:val="27"/>
        </w:numPr>
        <w:spacing w:after="120"/>
        <w:ind w:left="1134" w:hanging="425"/>
        <w:rPr>
          <w:rFonts w:ascii="Calibri" w:hAnsi="Calibri" w:cs="Calibri"/>
          <w:sz w:val="19"/>
        </w:rPr>
      </w:pPr>
      <w:r w:rsidRPr="004102BE">
        <w:rPr>
          <w:rFonts w:ascii="Calibri" w:eastAsiaTheme="minorHAnsi" w:hAnsi="Calibri" w:cs="Calibri"/>
          <w:sz w:val="22"/>
          <w:lang w:eastAsia="en-US"/>
        </w:rPr>
        <w:t>reporting against the Determining Authority Key Performance Indicators (DAKPIs);</w:t>
      </w:r>
    </w:p>
    <w:p w:rsidR="004102BE" w:rsidRPr="004102BE" w:rsidRDefault="004102BE" w:rsidP="004102BE">
      <w:pPr>
        <w:numPr>
          <w:ilvl w:val="0"/>
          <w:numId w:val="27"/>
        </w:numPr>
        <w:spacing w:after="120"/>
        <w:ind w:left="1134" w:hanging="425"/>
        <w:rPr>
          <w:rFonts w:ascii="Calibri" w:hAnsi="Calibri" w:cs="Calibri"/>
          <w:sz w:val="19"/>
        </w:rPr>
      </w:pPr>
      <w:r w:rsidRPr="004102BE">
        <w:rPr>
          <w:rFonts w:ascii="Calibri" w:eastAsiaTheme="minorHAnsi" w:hAnsi="Calibri" w:cs="Calibri"/>
          <w:sz w:val="22"/>
          <w:lang w:eastAsia="en-US"/>
        </w:rPr>
        <w:t>audit outcomes in prevention, rehabilitation, claims management and data integrity;</w:t>
      </w:r>
    </w:p>
    <w:p w:rsidR="004102BE" w:rsidRPr="004102BE" w:rsidRDefault="004102BE" w:rsidP="004102BE">
      <w:pPr>
        <w:numPr>
          <w:ilvl w:val="0"/>
          <w:numId w:val="27"/>
        </w:numPr>
        <w:spacing w:after="120"/>
        <w:ind w:left="1134" w:hanging="425"/>
        <w:rPr>
          <w:rFonts w:ascii="Calibri" w:hAnsi="Calibri" w:cs="Calibri"/>
          <w:sz w:val="19"/>
        </w:rPr>
      </w:pPr>
      <w:r w:rsidRPr="004102BE">
        <w:rPr>
          <w:rFonts w:ascii="Calibri" w:eastAsiaTheme="minorHAnsi" w:hAnsi="Calibri" w:cs="Calibri"/>
          <w:sz w:val="22"/>
          <w:lang w:eastAsia="en-US"/>
        </w:rPr>
        <w:t>results of any OHS investigations;</w:t>
      </w:r>
    </w:p>
    <w:p w:rsidR="004102BE" w:rsidRPr="004102BE" w:rsidRDefault="004102BE" w:rsidP="004102BE">
      <w:pPr>
        <w:numPr>
          <w:ilvl w:val="0"/>
          <w:numId w:val="27"/>
        </w:numPr>
        <w:spacing w:after="120"/>
        <w:ind w:left="1134" w:hanging="425"/>
        <w:rPr>
          <w:rFonts w:ascii="Calibri" w:hAnsi="Calibri" w:cs="Calibri"/>
          <w:sz w:val="19"/>
        </w:rPr>
      </w:pPr>
      <w:r w:rsidRPr="004102BE">
        <w:rPr>
          <w:rFonts w:ascii="Calibri" w:eastAsiaTheme="minorHAnsi" w:hAnsi="Calibri" w:cs="Calibri"/>
          <w:sz w:val="22"/>
          <w:lang w:eastAsia="en-US"/>
        </w:rPr>
        <w:t>provision of an annual performance report by each licensee which provides an overview of key activities undertaken by the licensee in the previous 12 months, outcomes achieved in that period, and objectives for the next 12 months;</w:t>
      </w:r>
    </w:p>
    <w:p w:rsidR="004102BE" w:rsidRPr="004102BE" w:rsidRDefault="000A5586" w:rsidP="004102BE">
      <w:pPr>
        <w:numPr>
          <w:ilvl w:val="0"/>
          <w:numId w:val="27"/>
        </w:numPr>
        <w:spacing w:after="120"/>
        <w:ind w:left="1134" w:hanging="425"/>
        <w:rPr>
          <w:rFonts w:ascii="Calibri" w:hAnsi="Calibri" w:cs="Calibri"/>
          <w:sz w:val="19"/>
        </w:rPr>
      </w:pPr>
      <w:proofErr w:type="gramStart"/>
      <w:r>
        <w:rPr>
          <w:rFonts w:ascii="Calibri" w:eastAsiaTheme="minorHAnsi" w:hAnsi="Calibri" w:cs="Calibri"/>
          <w:sz w:val="22"/>
          <w:lang w:eastAsia="en-US"/>
        </w:rPr>
        <w:t>licence</w:t>
      </w:r>
      <w:proofErr w:type="gramEnd"/>
      <w:r w:rsidR="004102BE" w:rsidRPr="004102BE">
        <w:rPr>
          <w:rFonts w:ascii="Calibri" w:eastAsiaTheme="minorHAnsi" w:hAnsi="Calibri" w:cs="Calibri"/>
          <w:sz w:val="22"/>
          <w:lang w:eastAsia="en-US"/>
        </w:rPr>
        <w:t xml:space="preserve"> compliance results and performance outcomes, assessed annually in the context of the tier model</w:t>
      </w:r>
      <w:r w:rsidR="00981043">
        <w:rPr>
          <w:rFonts w:ascii="Calibri" w:eastAsiaTheme="minorHAnsi" w:hAnsi="Calibri" w:cs="Calibri"/>
          <w:sz w:val="22"/>
          <w:lang w:eastAsia="en-US"/>
        </w:rPr>
        <w:t>.  This</w:t>
      </w:r>
      <w:r w:rsidR="004102BE" w:rsidRPr="004102BE">
        <w:rPr>
          <w:rFonts w:ascii="Calibri" w:eastAsiaTheme="minorHAnsi" w:hAnsi="Calibri" w:cs="Calibri"/>
          <w:sz w:val="22"/>
          <w:lang w:eastAsia="en-US"/>
        </w:rPr>
        <w:t xml:space="preserve"> is the lever for continuous improvement as it identifies the level of regulatory oversight to be applied in the following year through the assignment of a tier status in each of prevention, rehabilitation and claims management;</w:t>
      </w:r>
    </w:p>
    <w:p w:rsidR="004102BE" w:rsidRPr="004102BE" w:rsidRDefault="004102BE" w:rsidP="004102BE">
      <w:pPr>
        <w:numPr>
          <w:ilvl w:val="0"/>
          <w:numId w:val="27"/>
        </w:numPr>
        <w:spacing w:after="120"/>
        <w:ind w:left="1134" w:hanging="425"/>
        <w:rPr>
          <w:rFonts w:ascii="Calibri" w:hAnsi="Calibri" w:cs="Calibri"/>
          <w:sz w:val="19"/>
        </w:rPr>
      </w:pPr>
      <w:r w:rsidRPr="004102BE">
        <w:rPr>
          <w:rFonts w:ascii="Calibri" w:eastAsiaTheme="minorHAnsi" w:hAnsi="Calibri" w:cs="Calibri"/>
          <w:sz w:val="22"/>
          <w:lang w:eastAsia="en-US"/>
        </w:rPr>
        <w:t>the tier status that is applied to each of prevention, rehabilitation and claims management functions is based on the self-insurer’s capacity to meet the SRCC’s requirements and capacity to self-manage the function(s) effectively;</w:t>
      </w:r>
    </w:p>
    <w:p w:rsidR="004102BE" w:rsidRPr="004102BE" w:rsidRDefault="004102BE" w:rsidP="004102BE">
      <w:pPr>
        <w:numPr>
          <w:ilvl w:val="0"/>
          <w:numId w:val="27"/>
        </w:numPr>
        <w:spacing w:after="120"/>
        <w:ind w:left="1134" w:hanging="425"/>
        <w:rPr>
          <w:rFonts w:ascii="Calibri" w:hAnsi="Calibri" w:cs="Calibri"/>
          <w:sz w:val="19"/>
        </w:rPr>
      </w:pPr>
      <w:r w:rsidRPr="004102BE">
        <w:rPr>
          <w:rFonts w:ascii="Calibri" w:eastAsiaTheme="minorHAnsi" w:hAnsi="Calibri" w:cs="Calibri"/>
          <w:sz w:val="22"/>
          <w:lang w:eastAsia="en-US"/>
        </w:rPr>
        <w:t>under the tier model, licensees with a function(s) in the first tier are subject to external audit by Comcare, on behalf of the SRCC;</w:t>
      </w:r>
    </w:p>
    <w:p w:rsidR="004102BE" w:rsidRPr="004102BE" w:rsidRDefault="004102BE" w:rsidP="004102BE">
      <w:pPr>
        <w:numPr>
          <w:ilvl w:val="0"/>
          <w:numId w:val="27"/>
        </w:numPr>
        <w:spacing w:after="120"/>
        <w:ind w:left="1134" w:hanging="425"/>
        <w:rPr>
          <w:rFonts w:ascii="Calibri" w:hAnsi="Calibri" w:cs="Calibri"/>
          <w:sz w:val="19"/>
        </w:rPr>
      </w:pPr>
      <w:r w:rsidRPr="004102BE">
        <w:rPr>
          <w:rFonts w:ascii="Calibri" w:eastAsiaTheme="minorHAnsi" w:hAnsi="Calibri" w:cs="Calibri"/>
          <w:sz w:val="22"/>
          <w:lang w:eastAsia="en-US"/>
        </w:rPr>
        <w:t>licensees with a function(s) in the second tier are subject to a desktop review of their own audits by Comcare;</w:t>
      </w:r>
    </w:p>
    <w:p w:rsidR="004102BE" w:rsidRPr="004102BE" w:rsidRDefault="004102BE" w:rsidP="004102BE">
      <w:pPr>
        <w:numPr>
          <w:ilvl w:val="0"/>
          <w:numId w:val="27"/>
        </w:numPr>
        <w:spacing w:after="120"/>
        <w:ind w:left="1134" w:hanging="425"/>
        <w:rPr>
          <w:rFonts w:ascii="Calibri" w:hAnsi="Calibri" w:cs="Calibri"/>
          <w:sz w:val="19"/>
        </w:rPr>
      </w:pPr>
      <w:r w:rsidRPr="004102BE">
        <w:rPr>
          <w:rFonts w:ascii="Calibri" w:eastAsiaTheme="minorHAnsi" w:hAnsi="Calibri" w:cs="Calibri"/>
          <w:sz w:val="22"/>
          <w:lang w:eastAsia="en-US"/>
        </w:rPr>
        <w:lastRenderedPageBreak/>
        <w:t>licensees with a function(s) in the third tier must provide executive summaries of their own audits to Comcare; and</w:t>
      </w:r>
    </w:p>
    <w:p w:rsidR="004102BE" w:rsidRPr="004102BE" w:rsidRDefault="004102BE" w:rsidP="004102BE">
      <w:pPr>
        <w:numPr>
          <w:ilvl w:val="0"/>
          <w:numId w:val="27"/>
        </w:numPr>
        <w:spacing w:after="120"/>
        <w:ind w:left="1134" w:hanging="425"/>
        <w:rPr>
          <w:rFonts w:ascii="Calibri" w:hAnsi="Calibri" w:cs="Calibri"/>
          <w:sz w:val="19"/>
        </w:rPr>
      </w:pPr>
      <w:proofErr w:type="gramStart"/>
      <w:r w:rsidRPr="004102BE">
        <w:rPr>
          <w:rFonts w:ascii="Calibri" w:eastAsiaTheme="minorHAnsi" w:hAnsi="Calibri" w:cs="Calibri"/>
          <w:sz w:val="22"/>
          <w:lang w:eastAsia="en-US"/>
        </w:rPr>
        <w:t>all</w:t>
      </w:r>
      <w:proofErr w:type="gramEnd"/>
      <w:r w:rsidRPr="004102BE">
        <w:rPr>
          <w:rFonts w:ascii="Calibri" w:eastAsiaTheme="minorHAnsi" w:hAnsi="Calibri" w:cs="Calibri"/>
          <w:sz w:val="22"/>
          <w:lang w:eastAsia="en-US"/>
        </w:rPr>
        <w:t xml:space="preserve"> licensees are subject to external audit in the last year of </w:t>
      </w:r>
      <w:r w:rsidR="000A5586">
        <w:rPr>
          <w:rFonts w:ascii="Calibri" w:eastAsiaTheme="minorHAnsi" w:hAnsi="Calibri" w:cs="Calibri"/>
          <w:sz w:val="22"/>
          <w:lang w:eastAsia="en-US"/>
        </w:rPr>
        <w:t>licence</w:t>
      </w:r>
      <w:r w:rsidRPr="004102BE">
        <w:rPr>
          <w:rFonts w:ascii="Calibri" w:eastAsiaTheme="minorHAnsi" w:hAnsi="Calibri" w:cs="Calibri"/>
          <w:sz w:val="22"/>
          <w:lang w:eastAsia="en-US"/>
        </w:rPr>
        <w:t xml:space="preserve"> regardless of their tier status.</w:t>
      </w:r>
    </w:p>
    <w:p w:rsidR="004102BE" w:rsidRPr="004102BE" w:rsidRDefault="004102BE" w:rsidP="004102BE">
      <w:pPr>
        <w:spacing w:before="100" w:beforeAutospacing="1" w:after="120"/>
        <w:ind w:left="709"/>
        <w:jc w:val="center"/>
        <w:outlineLvl w:val="0"/>
        <w:rPr>
          <w:rFonts w:ascii="Calibri" w:eastAsiaTheme="minorHAnsi" w:hAnsi="Calibri" w:cs="Calibri"/>
          <w:b/>
          <w:sz w:val="22"/>
          <w:lang w:eastAsia="en-US"/>
        </w:rPr>
      </w:pPr>
      <w:bookmarkStart w:id="464" w:name="_Toc341778004"/>
      <w:bookmarkStart w:id="465" w:name="_Toc341780764"/>
      <w:bookmarkStart w:id="466" w:name="_Toc342578373"/>
      <w:r w:rsidRPr="004102BE">
        <w:rPr>
          <w:rFonts w:ascii="Calibri" w:eastAsiaTheme="minorHAnsi" w:hAnsi="Calibri" w:cs="Calibri"/>
          <w:b/>
          <w:sz w:val="22"/>
          <w:lang w:eastAsia="en-US"/>
        </w:rPr>
        <w:t>Table 2.1 Comcare Licensee Tier Model</w:t>
      </w:r>
      <w:bookmarkEnd w:id="464"/>
      <w:bookmarkEnd w:id="465"/>
      <w:bookmarkEnd w:id="466"/>
    </w:p>
    <w:tbl>
      <w:tblPr>
        <w:tblW w:w="4625" w:type="pct"/>
        <w:tblInd w:w="717" w:type="dxa"/>
        <w:tblBorders>
          <w:top w:val="single" w:sz="6" w:space="0" w:color="9BD1DD"/>
          <w:right w:val="single" w:sz="6" w:space="0" w:color="9BD1DD"/>
        </w:tblBorders>
        <w:tblCellMar>
          <w:left w:w="0" w:type="dxa"/>
          <w:right w:w="0" w:type="dxa"/>
        </w:tblCellMar>
        <w:tblLook w:val="04A0" w:firstRow="1" w:lastRow="0" w:firstColumn="1" w:lastColumn="0" w:noHBand="0" w:noVBand="1"/>
      </w:tblPr>
      <w:tblGrid>
        <w:gridCol w:w="2835"/>
        <w:gridCol w:w="2832"/>
        <w:gridCol w:w="2697"/>
      </w:tblGrid>
      <w:tr w:rsidR="004102BE" w:rsidRPr="004102BE" w:rsidTr="004102BE">
        <w:trPr>
          <w:trHeight w:val="685"/>
        </w:trPr>
        <w:tc>
          <w:tcPr>
            <w:tcW w:w="1695" w:type="pct"/>
            <w:tcBorders>
              <w:left w:val="single" w:sz="6" w:space="0" w:color="9BD1DD"/>
              <w:bottom w:val="single" w:sz="6" w:space="0" w:color="9BD1DD"/>
            </w:tcBorders>
            <w:shd w:val="clear" w:color="auto" w:fill="auto"/>
            <w:hideMark/>
          </w:tcPr>
          <w:p w:rsidR="004102BE" w:rsidRPr="004102BE" w:rsidRDefault="004102BE" w:rsidP="004102BE">
            <w:pPr>
              <w:shd w:val="clear" w:color="auto" w:fill="FFFFFF"/>
              <w:spacing w:before="100" w:beforeAutospacing="1" w:after="120"/>
              <w:ind w:left="142"/>
              <w:jc w:val="center"/>
              <w:rPr>
                <w:rFonts w:ascii="Calibri" w:eastAsiaTheme="minorHAnsi" w:hAnsi="Calibri" w:cs="Calibri"/>
                <w:b/>
                <w:lang w:eastAsia="en-US"/>
              </w:rPr>
            </w:pPr>
            <w:r w:rsidRPr="004102BE">
              <w:rPr>
                <w:rFonts w:ascii="Calibri" w:eastAsiaTheme="minorHAnsi" w:hAnsi="Calibri" w:cs="Calibri"/>
                <w:b/>
                <w:sz w:val="22"/>
                <w:lang w:eastAsia="en-US"/>
              </w:rPr>
              <w:t xml:space="preserve">First Tier </w:t>
            </w:r>
          </w:p>
          <w:p w:rsidR="004102BE" w:rsidRPr="004102BE" w:rsidRDefault="004102BE" w:rsidP="004102BE">
            <w:pPr>
              <w:shd w:val="clear" w:color="auto" w:fill="FFFFFF"/>
              <w:spacing w:before="120" w:after="100" w:afterAutospacing="1"/>
              <w:ind w:left="142"/>
              <w:jc w:val="center"/>
              <w:rPr>
                <w:rFonts w:ascii="Calibri" w:eastAsiaTheme="minorHAnsi" w:hAnsi="Calibri" w:cs="Calibri"/>
                <w:b/>
                <w:lang w:eastAsia="en-US"/>
              </w:rPr>
            </w:pPr>
            <w:r w:rsidRPr="004102BE">
              <w:rPr>
                <w:rFonts w:ascii="Calibri" w:eastAsiaTheme="minorHAnsi" w:hAnsi="Calibri" w:cs="Calibri"/>
                <w:b/>
                <w:sz w:val="22"/>
                <w:lang w:eastAsia="en-US"/>
              </w:rPr>
              <w:t>(Elementary Level)</w:t>
            </w:r>
          </w:p>
        </w:tc>
        <w:tc>
          <w:tcPr>
            <w:tcW w:w="1693" w:type="pct"/>
            <w:tcBorders>
              <w:left w:val="single" w:sz="6" w:space="0" w:color="9BD1DD"/>
              <w:bottom w:val="single" w:sz="6" w:space="0" w:color="9BD1DD"/>
            </w:tcBorders>
            <w:shd w:val="clear" w:color="auto" w:fill="auto"/>
            <w:hideMark/>
          </w:tcPr>
          <w:p w:rsidR="004102BE" w:rsidRPr="004102BE" w:rsidRDefault="004102BE" w:rsidP="004102BE">
            <w:pPr>
              <w:shd w:val="clear" w:color="auto" w:fill="FFFFFF"/>
              <w:spacing w:before="100" w:beforeAutospacing="1" w:after="120"/>
              <w:ind w:left="142"/>
              <w:jc w:val="center"/>
              <w:rPr>
                <w:rFonts w:ascii="Calibri" w:eastAsiaTheme="minorHAnsi" w:hAnsi="Calibri" w:cs="Calibri"/>
                <w:b/>
                <w:lang w:eastAsia="en-US"/>
              </w:rPr>
            </w:pPr>
            <w:r w:rsidRPr="004102BE">
              <w:rPr>
                <w:rFonts w:ascii="Calibri" w:eastAsiaTheme="minorHAnsi" w:hAnsi="Calibri" w:cs="Calibri"/>
                <w:b/>
                <w:sz w:val="22"/>
                <w:lang w:eastAsia="en-US"/>
              </w:rPr>
              <w:t xml:space="preserve">Second Tier </w:t>
            </w:r>
          </w:p>
          <w:p w:rsidR="004102BE" w:rsidRPr="004102BE" w:rsidRDefault="004102BE" w:rsidP="004102BE">
            <w:pPr>
              <w:shd w:val="clear" w:color="auto" w:fill="FFFFFF"/>
              <w:spacing w:before="120" w:after="100" w:afterAutospacing="1"/>
              <w:ind w:left="142"/>
              <w:jc w:val="center"/>
              <w:rPr>
                <w:rFonts w:ascii="Calibri" w:eastAsiaTheme="minorHAnsi" w:hAnsi="Calibri" w:cs="Calibri"/>
                <w:b/>
                <w:lang w:eastAsia="en-US"/>
              </w:rPr>
            </w:pPr>
            <w:r w:rsidRPr="004102BE">
              <w:rPr>
                <w:rFonts w:ascii="Calibri" w:eastAsiaTheme="minorHAnsi" w:hAnsi="Calibri" w:cs="Calibri"/>
                <w:b/>
                <w:sz w:val="22"/>
                <w:lang w:eastAsia="en-US"/>
              </w:rPr>
              <w:t>(Secondary Level)</w:t>
            </w:r>
          </w:p>
        </w:tc>
        <w:tc>
          <w:tcPr>
            <w:tcW w:w="1612" w:type="pct"/>
            <w:tcBorders>
              <w:left w:val="single" w:sz="6" w:space="0" w:color="9BD1DD"/>
              <w:bottom w:val="single" w:sz="6" w:space="0" w:color="9BD1DD"/>
            </w:tcBorders>
            <w:shd w:val="clear" w:color="auto" w:fill="auto"/>
            <w:hideMark/>
          </w:tcPr>
          <w:p w:rsidR="004102BE" w:rsidRPr="004102BE" w:rsidRDefault="004102BE" w:rsidP="004102BE">
            <w:pPr>
              <w:shd w:val="clear" w:color="auto" w:fill="FFFFFF"/>
              <w:spacing w:before="100" w:beforeAutospacing="1" w:after="120"/>
              <w:ind w:left="142"/>
              <w:jc w:val="center"/>
              <w:rPr>
                <w:rFonts w:ascii="Calibri" w:eastAsiaTheme="minorHAnsi" w:hAnsi="Calibri" w:cs="Calibri"/>
                <w:b/>
                <w:lang w:eastAsia="en-US"/>
              </w:rPr>
            </w:pPr>
            <w:r w:rsidRPr="004102BE">
              <w:rPr>
                <w:rFonts w:ascii="Calibri" w:eastAsiaTheme="minorHAnsi" w:hAnsi="Calibri" w:cs="Calibri"/>
                <w:b/>
                <w:sz w:val="22"/>
                <w:lang w:eastAsia="en-US"/>
              </w:rPr>
              <w:t xml:space="preserve">Third Tier </w:t>
            </w:r>
          </w:p>
          <w:p w:rsidR="004102BE" w:rsidRPr="004102BE" w:rsidRDefault="004102BE" w:rsidP="004102BE">
            <w:pPr>
              <w:shd w:val="clear" w:color="auto" w:fill="FFFFFF"/>
              <w:spacing w:before="120" w:after="100" w:afterAutospacing="1"/>
              <w:ind w:left="142"/>
              <w:jc w:val="center"/>
              <w:rPr>
                <w:rFonts w:ascii="Calibri" w:eastAsiaTheme="minorHAnsi" w:hAnsi="Calibri" w:cs="Calibri"/>
                <w:b/>
                <w:lang w:eastAsia="en-US"/>
              </w:rPr>
            </w:pPr>
            <w:r w:rsidRPr="004102BE">
              <w:rPr>
                <w:rFonts w:ascii="Calibri" w:eastAsiaTheme="minorHAnsi" w:hAnsi="Calibri" w:cs="Calibri"/>
                <w:b/>
                <w:sz w:val="22"/>
                <w:lang w:eastAsia="en-US"/>
              </w:rPr>
              <w:t>(Advanced Level)</w:t>
            </w:r>
          </w:p>
        </w:tc>
      </w:tr>
      <w:tr w:rsidR="004102BE" w:rsidRPr="004102BE" w:rsidTr="004102BE">
        <w:tc>
          <w:tcPr>
            <w:tcW w:w="1695" w:type="pct"/>
            <w:tcBorders>
              <w:left w:val="single" w:sz="6" w:space="0" w:color="9BD1DD"/>
              <w:bottom w:val="single" w:sz="6" w:space="0" w:color="9BD1DD"/>
            </w:tcBorders>
            <w:shd w:val="clear" w:color="auto" w:fill="auto"/>
            <w:hideMark/>
          </w:tcPr>
          <w:p w:rsidR="004102BE" w:rsidRPr="004102BE" w:rsidRDefault="004102BE" w:rsidP="0035663E">
            <w:pPr>
              <w:shd w:val="clear" w:color="auto" w:fill="FFFFFF"/>
              <w:spacing w:before="120" w:after="100" w:afterAutospacing="1"/>
              <w:ind w:left="142"/>
              <w:rPr>
                <w:rFonts w:ascii="Calibri" w:hAnsi="Calibri" w:cs="Calibri"/>
              </w:rPr>
            </w:pPr>
            <w:r w:rsidRPr="004102BE">
              <w:rPr>
                <w:rFonts w:ascii="Calibri" w:hAnsi="Calibri" w:cs="Calibri"/>
                <w:sz w:val="22"/>
                <w:szCs w:val="22"/>
              </w:rPr>
              <w:t>Focus is on compliance through the establishment of policies, procedures, resources and management systems.</w:t>
            </w:r>
          </w:p>
        </w:tc>
        <w:tc>
          <w:tcPr>
            <w:tcW w:w="1693" w:type="pct"/>
            <w:tcBorders>
              <w:left w:val="single" w:sz="6" w:space="0" w:color="9BD1DD"/>
              <w:bottom w:val="single" w:sz="6" w:space="0" w:color="9BD1DD"/>
            </w:tcBorders>
            <w:shd w:val="clear" w:color="auto" w:fill="auto"/>
            <w:hideMark/>
          </w:tcPr>
          <w:p w:rsidR="004102BE" w:rsidRPr="004102BE" w:rsidRDefault="004102BE" w:rsidP="0035663E">
            <w:pPr>
              <w:shd w:val="clear" w:color="auto" w:fill="FFFFFF"/>
              <w:spacing w:before="120" w:after="100" w:afterAutospacing="1"/>
              <w:ind w:left="142"/>
              <w:rPr>
                <w:rFonts w:ascii="Calibri" w:hAnsi="Calibri" w:cs="Calibri"/>
              </w:rPr>
            </w:pPr>
            <w:r w:rsidRPr="004102BE">
              <w:rPr>
                <w:rFonts w:ascii="Calibri" w:hAnsi="Calibri" w:cs="Calibri"/>
                <w:sz w:val="22"/>
                <w:szCs w:val="22"/>
              </w:rPr>
              <w:t>Focus is on development of quality assurance and self audit capabilities.</w:t>
            </w:r>
          </w:p>
        </w:tc>
        <w:tc>
          <w:tcPr>
            <w:tcW w:w="1612" w:type="pct"/>
            <w:tcBorders>
              <w:left w:val="single" w:sz="6" w:space="0" w:color="9BD1DD"/>
              <w:bottom w:val="single" w:sz="6" w:space="0" w:color="9BD1DD"/>
            </w:tcBorders>
            <w:shd w:val="clear" w:color="auto" w:fill="auto"/>
            <w:hideMark/>
          </w:tcPr>
          <w:p w:rsidR="004102BE" w:rsidRPr="004102BE" w:rsidRDefault="004102BE" w:rsidP="0035663E">
            <w:pPr>
              <w:shd w:val="clear" w:color="auto" w:fill="FFFFFF"/>
              <w:spacing w:before="120" w:after="100" w:afterAutospacing="1"/>
              <w:ind w:left="142"/>
              <w:rPr>
                <w:rFonts w:ascii="Calibri" w:hAnsi="Calibri" w:cs="Calibri"/>
              </w:rPr>
            </w:pPr>
            <w:r w:rsidRPr="004102BE">
              <w:rPr>
                <w:rFonts w:ascii="Calibri" w:hAnsi="Calibri" w:cs="Calibri"/>
                <w:sz w:val="22"/>
                <w:szCs w:val="22"/>
              </w:rPr>
              <w:t>Focus is on positive and material corporate change in prevention and injury management.</w:t>
            </w:r>
          </w:p>
        </w:tc>
      </w:tr>
      <w:tr w:rsidR="004102BE" w:rsidRPr="004102BE" w:rsidTr="004102BE">
        <w:trPr>
          <w:trHeight w:val="2753"/>
        </w:trPr>
        <w:tc>
          <w:tcPr>
            <w:tcW w:w="1695" w:type="pct"/>
            <w:tcBorders>
              <w:left w:val="single" w:sz="6" w:space="0" w:color="9BD1DD"/>
              <w:bottom w:val="single" w:sz="6" w:space="0" w:color="9BD1DD"/>
            </w:tcBorders>
            <w:shd w:val="clear" w:color="auto" w:fill="auto"/>
            <w:hideMark/>
          </w:tcPr>
          <w:p w:rsidR="004102BE" w:rsidRPr="004102BE" w:rsidRDefault="004102BE" w:rsidP="0035663E">
            <w:pPr>
              <w:shd w:val="clear" w:color="auto" w:fill="FFFFFF"/>
              <w:spacing w:before="120" w:after="100" w:afterAutospacing="1"/>
              <w:ind w:left="142"/>
              <w:rPr>
                <w:rFonts w:ascii="Calibri" w:hAnsi="Calibri" w:cs="Calibri"/>
              </w:rPr>
            </w:pPr>
            <w:r w:rsidRPr="004102BE">
              <w:rPr>
                <w:rFonts w:ascii="Calibri" w:hAnsi="Calibri" w:cs="Calibri"/>
                <w:sz w:val="22"/>
                <w:szCs w:val="22"/>
              </w:rPr>
              <w:t>Applies to new licensees or licensees with a newly contracted claims management service provider or licensees experiencing difficulties in compliance.</w:t>
            </w:r>
          </w:p>
        </w:tc>
        <w:tc>
          <w:tcPr>
            <w:tcW w:w="1693" w:type="pct"/>
            <w:tcBorders>
              <w:left w:val="single" w:sz="6" w:space="0" w:color="9BD1DD"/>
              <w:bottom w:val="single" w:sz="6" w:space="0" w:color="9BD1DD"/>
            </w:tcBorders>
            <w:shd w:val="clear" w:color="auto" w:fill="auto"/>
            <w:hideMark/>
          </w:tcPr>
          <w:p w:rsidR="004102BE" w:rsidRPr="004102BE" w:rsidRDefault="004102BE" w:rsidP="0035663E">
            <w:pPr>
              <w:shd w:val="clear" w:color="auto" w:fill="FFFFFF"/>
              <w:spacing w:before="120" w:after="100" w:afterAutospacing="1"/>
              <w:ind w:left="142"/>
              <w:rPr>
                <w:rFonts w:ascii="Calibri" w:hAnsi="Calibri" w:cs="Calibri"/>
              </w:rPr>
            </w:pPr>
            <w:r w:rsidRPr="004102BE">
              <w:rPr>
                <w:rFonts w:ascii="Calibri" w:hAnsi="Calibri" w:cs="Calibri"/>
                <w:sz w:val="22"/>
                <w:szCs w:val="22"/>
              </w:rPr>
              <w:t>Applies to compliant and conformant licensees who are developing strong management systems and who may wish to seek self audit status in the future.</w:t>
            </w:r>
          </w:p>
        </w:tc>
        <w:tc>
          <w:tcPr>
            <w:tcW w:w="1612" w:type="pct"/>
            <w:tcBorders>
              <w:left w:val="single" w:sz="6" w:space="0" w:color="9BD1DD"/>
              <w:bottom w:val="single" w:sz="6" w:space="0" w:color="9BD1DD"/>
            </w:tcBorders>
            <w:shd w:val="clear" w:color="auto" w:fill="auto"/>
            <w:hideMark/>
          </w:tcPr>
          <w:p w:rsidR="004102BE" w:rsidRPr="004102BE" w:rsidRDefault="004102BE" w:rsidP="0035663E">
            <w:pPr>
              <w:shd w:val="clear" w:color="auto" w:fill="FFFFFF"/>
              <w:spacing w:before="120" w:after="100" w:afterAutospacing="1"/>
              <w:ind w:left="142"/>
              <w:rPr>
                <w:rFonts w:ascii="Calibri" w:hAnsi="Calibri" w:cs="Calibri"/>
              </w:rPr>
            </w:pPr>
            <w:r w:rsidRPr="004102BE">
              <w:rPr>
                <w:rFonts w:ascii="Calibri" w:hAnsi="Calibri" w:cs="Calibri"/>
                <w:sz w:val="22"/>
                <w:szCs w:val="22"/>
              </w:rPr>
              <w:t>Applies to licensees with a high standard of internal quality assurance and strong management systems who are achieving corporate change.  Licensees must have self audit status to be at this level.</w:t>
            </w:r>
          </w:p>
        </w:tc>
      </w:tr>
      <w:tr w:rsidR="004102BE" w:rsidRPr="004102BE" w:rsidTr="004102BE">
        <w:tc>
          <w:tcPr>
            <w:tcW w:w="1695" w:type="pct"/>
            <w:tcBorders>
              <w:left w:val="single" w:sz="6" w:space="0" w:color="9BD1DD"/>
            </w:tcBorders>
            <w:shd w:val="clear" w:color="auto" w:fill="auto"/>
            <w:hideMark/>
          </w:tcPr>
          <w:p w:rsidR="004102BE" w:rsidRPr="004102BE" w:rsidRDefault="004102BE" w:rsidP="0035663E">
            <w:pPr>
              <w:shd w:val="clear" w:color="auto" w:fill="FFFFFF"/>
              <w:spacing w:before="120" w:after="100" w:afterAutospacing="1"/>
              <w:ind w:left="142"/>
              <w:rPr>
                <w:rFonts w:ascii="Calibri" w:hAnsi="Calibri" w:cs="Calibri"/>
              </w:rPr>
            </w:pPr>
            <w:r w:rsidRPr="004102BE">
              <w:rPr>
                <w:rFonts w:ascii="Calibri" w:hAnsi="Calibri" w:cs="Calibri"/>
                <w:sz w:val="22"/>
                <w:szCs w:val="22"/>
              </w:rPr>
              <w:t>Comcare Audits each year.</w:t>
            </w:r>
          </w:p>
          <w:p w:rsidR="004102BE" w:rsidRPr="004102BE" w:rsidRDefault="004102BE" w:rsidP="0035663E">
            <w:pPr>
              <w:shd w:val="clear" w:color="auto" w:fill="FFFFFF"/>
              <w:spacing w:before="120" w:after="100" w:afterAutospacing="1"/>
              <w:ind w:left="142"/>
              <w:jc w:val="center"/>
              <w:rPr>
                <w:rFonts w:ascii="Calibri" w:hAnsi="Calibri" w:cs="Calibri"/>
                <w:b/>
              </w:rPr>
            </w:pPr>
          </w:p>
          <w:p w:rsidR="004102BE" w:rsidRPr="004102BE" w:rsidRDefault="004102BE" w:rsidP="0035663E">
            <w:pPr>
              <w:shd w:val="clear" w:color="auto" w:fill="FFFFFF"/>
              <w:spacing w:before="120" w:after="100" w:afterAutospacing="1"/>
              <w:rPr>
                <w:rFonts w:ascii="Calibri" w:hAnsi="Calibri" w:cs="Calibri"/>
                <w:b/>
              </w:rPr>
            </w:pPr>
          </w:p>
        </w:tc>
        <w:tc>
          <w:tcPr>
            <w:tcW w:w="1693" w:type="pct"/>
            <w:tcBorders>
              <w:left w:val="single" w:sz="6" w:space="0" w:color="9BD1DD"/>
            </w:tcBorders>
            <w:shd w:val="clear" w:color="auto" w:fill="auto"/>
            <w:hideMark/>
          </w:tcPr>
          <w:p w:rsidR="004102BE" w:rsidRDefault="004102BE" w:rsidP="0035663E">
            <w:pPr>
              <w:shd w:val="clear" w:color="auto" w:fill="FFFFFF"/>
              <w:spacing w:before="120" w:after="100" w:afterAutospacing="1"/>
              <w:ind w:left="142"/>
              <w:rPr>
                <w:rFonts w:ascii="Calibri" w:hAnsi="Calibri" w:cs="Calibri"/>
              </w:rPr>
            </w:pPr>
            <w:r w:rsidRPr="004102BE">
              <w:rPr>
                <w:rFonts w:ascii="Calibri" w:hAnsi="Calibri" w:cs="Calibri"/>
                <w:sz w:val="22"/>
                <w:szCs w:val="22"/>
              </w:rPr>
              <w:t xml:space="preserve">Comcare assesses the quality of licensee audits each year (desktop review).  Comcare audits in the last year of </w:t>
            </w:r>
            <w:r w:rsidR="000A5586">
              <w:rPr>
                <w:rFonts w:ascii="Calibri" w:hAnsi="Calibri" w:cs="Calibri"/>
                <w:sz w:val="22"/>
                <w:szCs w:val="22"/>
              </w:rPr>
              <w:t>licence</w:t>
            </w:r>
            <w:r w:rsidRPr="004102BE">
              <w:rPr>
                <w:rFonts w:ascii="Calibri" w:hAnsi="Calibri" w:cs="Calibri"/>
                <w:sz w:val="22"/>
                <w:szCs w:val="22"/>
              </w:rPr>
              <w:t>.</w:t>
            </w:r>
          </w:p>
          <w:p w:rsidR="00630B11" w:rsidRPr="004102BE" w:rsidRDefault="00630B11" w:rsidP="0035663E">
            <w:pPr>
              <w:shd w:val="clear" w:color="auto" w:fill="FFFFFF"/>
              <w:spacing w:before="120" w:after="100" w:afterAutospacing="1"/>
              <w:ind w:left="142"/>
              <w:rPr>
                <w:rFonts w:ascii="Calibri" w:hAnsi="Calibri" w:cs="Calibri"/>
                <w:b/>
              </w:rPr>
            </w:pPr>
          </w:p>
        </w:tc>
        <w:tc>
          <w:tcPr>
            <w:tcW w:w="1612" w:type="pct"/>
            <w:tcBorders>
              <w:left w:val="single" w:sz="6" w:space="0" w:color="9BD1DD"/>
            </w:tcBorders>
            <w:shd w:val="clear" w:color="auto" w:fill="auto"/>
            <w:hideMark/>
          </w:tcPr>
          <w:p w:rsidR="004102BE" w:rsidRPr="004102BE" w:rsidRDefault="004102BE" w:rsidP="0035663E">
            <w:pPr>
              <w:shd w:val="clear" w:color="auto" w:fill="FFFFFF"/>
              <w:spacing w:before="120" w:after="100" w:afterAutospacing="1"/>
              <w:ind w:left="142"/>
              <w:rPr>
                <w:rFonts w:ascii="Calibri" w:hAnsi="Calibri" w:cs="Calibri"/>
              </w:rPr>
            </w:pPr>
            <w:r w:rsidRPr="004102BE">
              <w:rPr>
                <w:rFonts w:ascii="Calibri" w:hAnsi="Calibri" w:cs="Calibri"/>
                <w:sz w:val="22"/>
                <w:szCs w:val="22"/>
              </w:rPr>
              <w:t xml:space="preserve">Comcare audits in last year of </w:t>
            </w:r>
            <w:r w:rsidR="000A5586">
              <w:rPr>
                <w:rFonts w:ascii="Calibri" w:hAnsi="Calibri" w:cs="Calibri"/>
                <w:sz w:val="22"/>
                <w:szCs w:val="22"/>
              </w:rPr>
              <w:t>licence</w:t>
            </w:r>
            <w:r w:rsidRPr="004102BE">
              <w:rPr>
                <w:rFonts w:ascii="Calibri" w:hAnsi="Calibri" w:cs="Calibri"/>
                <w:sz w:val="22"/>
                <w:szCs w:val="22"/>
              </w:rPr>
              <w:t>.</w:t>
            </w:r>
          </w:p>
          <w:p w:rsidR="004102BE" w:rsidRPr="004102BE" w:rsidRDefault="004102BE" w:rsidP="0035663E">
            <w:pPr>
              <w:shd w:val="clear" w:color="auto" w:fill="FFFFFF"/>
              <w:spacing w:before="120" w:after="100" w:afterAutospacing="1"/>
              <w:rPr>
                <w:rFonts w:ascii="Calibri" w:hAnsi="Calibri" w:cs="Calibri"/>
                <w:b/>
              </w:rPr>
            </w:pPr>
          </w:p>
        </w:tc>
      </w:tr>
      <w:tr w:rsidR="004102BE" w:rsidRPr="004102BE" w:rsidTr="004102BE">
        <w:tc>
          <w:tcPr>
            <w:tcW w:w="1695" w:type="pct"/>
            <w:tcBorders>
              <w:left w:val="single" w:sz="6" w:space="0" w:color="9BD1DD"/>
              <w:bottom w:val="single" w:sz="6" w:space="0" w:color="9BD1DD"/>
            </w:tcBorders>
            <w:shd w:val="clear" w:color="auto" w:fill="auto"/>
          </w:tcPr>
          <w:p w:rsidR="004102BE" w:rsidRPr="004102BE" w:rsidRDefault="004102BE" w:rsidP="004102BE">
            <w:pPr>
              <w:shd w:val="clear" w:color="auto" w:fill="FFFFFF"/>
              <w:spacing w:before="100" w:beforeAutospacing="1" w:after="100" w:afterAutospacing="1"/>
              <w:ind w:left="142"/>
              <w:jc w:val="center"/>
              <w:rPr>
                <w:rFonts w:ascii="Calibri" w:hAnsi="Calibri" w:cs="Calibri"/>
              </w:rPr>
            </w:pPr>
            <w:r w:rsidRPr="004102BE">
              <w:rPr>
                <w:rFonts w:ascii="Calibri" w:hAnsi="Calibri" w:cs="Calibri"/>
                <w:b/>
                <w:sz w:val="22"/>
                <w:szCs w:val="22"/>
              </w:rPr>
              <w:t>Higher Cost</w:t>
            </w:r>
          </w:p>
        </w:tc>
        <w:tc>
          <w:tcPr>
            <w:tcW w:w="1693" w:type="pct"/>
            <w:tcBorders>
              <w:left w:val="single" w:sz="6" w:space="0" w:color="9BD1DD"/>
              <w:bottom w:val="single" w:sz="6" w:space="0" w:color="9BD1DD"/>
            </w:tcBorders>
            <w:shd w:val="clear" w:color="auto" w:fill="auto"/>
          </w:tcPr>
          <w:p w:rsidR="004102BE" w:rsidRPr="004102BE" w:rsidRDefault="004102BE" w:rsidP="004102BE">
            <w:pPr>
              <w:shd w:val="clear" w:color="auto" w:fill="FFFFFF"/>
              <w:spacing w:before="100" w:beforeAutospacing="1" w:after="100" w:afterAutospacing="1"/>
              <w:ind w:left="142"/>
              <w:jc w:val="center"/>
              <w:rPr>
                <w:rFonts w:ascii="Calibri" w:hAnsi="Calibri" w:cs="Calibri"/>
              </w:rPr>
            </w:pPr>
            <w:r w:rsidRPr="004102BE">
              <w:rPr>
                <w:rFonts w:ascii="Calibri" w:hAnsi="Calibri" w:cs="Calibri"/>
                <w:b/>
                <w:sz w:val="22"/>
                <w:szCs w:val="22"/>
              </w:rPr>
              <w:t>Medium Cost</w:t>
            </w:r>
          </w:p>
        </w:tc>
        <w:tc>
          <w:tcPr>
            <w:tcW w:w="1612" w:type="pct"/>
            <w:tcBorders>
              <w:left w:val="single" w:sz="6" w:space="0" w:color="9BD1DD"/>
              <w:bottom w:val="single" w:sz="6" w:space="0" w:color="9BD1DD"/>
            </w:tcBorders>
            <w:shd w:val="clear" w:color="auto" w:fill="auto"/>
          </w:tcPr>
          <w:p w:rsidR="004102BE" w:rsidRPr="004102BE" w:rsidRDefault="004102BE" w:rsidP="004102BE">
            <w:pPr>
              <w:shd w:val="clear" w:color="auto" w:fill="FFFFFF"/>
              <w:spacing w:before="100" w:beforeAutospacing="1" w:after="100" w:afterAutospacing="1"/>
              <w:ind w:left="142"/>
              <w:jc w:val="center"/>
              <w:rPr>
                <w:rFonts w:ascii="Calibri" w:hAnsi="Calibri" w:cs="Calibri"/>
              </w:rPr>
            </w:pPr>
            <w:r w:rsidRPr="004102BE">
              <w:rPr>
                <w:rFonts w:ascii="Calibri" w:hAnsi="Calibri" w:cs="Calibri"/>
                <w:b/>
                <w:sz w:val="22"/>
                <w:szCs w:val="22"/>
              </w:rPr>
              <w:t>Lower Cost</w:t>
            </w:r>
          </w:p>
        </w:tc>
      </w:tr>
    </w:tbl>
    <w:p w:rsidR="004102BE" w:rsidRPr="004102BE" w:rsidRDefault="004102BE" w:rsidP="004102BE">
      <w:pPr>
        <w:ind w:left="360"/>
        <w:rPr>
          <w:rFonts w:ascii="Calibri" w:eastAsiaTheme="minorHAnsi" w:hAnsi="Calibri" w:cs="Calibri"/>
          <w:sz w:val="22"/>
          <w:lang w:eastAsia="en-US"/>
        </w:rPr>
      </w:pPr>
    </w:p>
    <w:p w:rsidR="004102BE" w:rsidRPr="004102BE" w:rsidRDefault="004102BE" w:rsidP="004102BE">
      <w:pPr>
        <w:numPr>
          <w:ilvl w:val="1"/>
          <w:numId w:val="31"/>
        </w:numPr>
        <w:spacing w:after="120"/>
        <w:ind w:left="709" w:hanging="709"/>
        <w:outlineLvl w:val="0"/>
        <w:rPr>
          <w:rFonts w:ascii="Calibri" w:eastAsiaTheme="minorHAnsi" w:hAnsi="Calibri" w:cs="Calibri"/>
          <w:sz w:val="22"/>
          <w:lang w:eastAsia="en-US"/>
        </w:rPr>
      </w:pPr>
      <w:bookmarkStart w:id="467" w:name="_Toc341778005"/>
      <w:bookmarkStart w:id="468" w:name="_Toc341780765"/>
      <w:bookmarkStart w:id="469" w:name="_Toc342578374"/>
      <w:r w:rsidRPr="004102BE">
        <w:rPr>
          <w:rFonts w:ascii="Calibri" w:eastAsiaTheme="minorHAnsi" w:hAnsi="Calibri" w:cs="Calibri"/>
          <w:sz w:val="22"/>
          <w:lang w:eastAsia="en-US"/>
        </w:rPr>
        <w:t>The LIP examines any significant variations in the licensees’ prudential profile, results of internal and external audits in prevention, rehabilitation and claims management and performance against SRCC-defined indicators. At the end of March each year, licensees are required to provide an annual LIP report certified by senior management. It identifies material changes to the licensee’s prevention, rehabilitation and claims management systems, and provides a statement of management achievements against the licensee’s management objectives, targets for the year under review, and its goals for the coming year.</w:t>
      </w:r>
      <w:bookmarkEnd w:id="467"/>
      <w:bookmarkEnd w:id="468"/>
      <w:bookmarkEnd w:id="469"/>
    </w:p>
    <w:p w:rsidR="004102BE" w:rsidRPr="004102BE" w:rsidRDefault="004102BE" w:rsidP="004102BE">
      <w:pPr>
        <w:numPr>
          <w:ilvl w:val="1"/>
          <w:numId w:val="31"/>
        </w:numPr>
        <w:spacing w:after="120"/>
        <w:ind w:left="709" w:hanging="709"/>
        <w:outlineLvl w:val="0"/>
        <w:rPr>
          <w:rFonts w:ascii="Calibri" w:eastAsiaTheme="minorHAnsi" w:hAnsi="Calibri" w:cs="Calibri"/>
          <w:sz w:val="22"/>
          <w:lang w:eastAsia="en-US"/>
        </w:rPr>
      </w:pPr>
      <w:bookmarkStart w:id="470" w:name="_Toc341778006"/>
      <w:bookmarkStart w:id="471" w:name="_Toc341780766"/>
      <w:bookmarkStart w:id="472" w:name="_Toc342578375"/>
      <w:r w:rsidRPr="004102BE">
        <w:rPr>
          <w:rFonts w:ascii="Calibri" w:eastAsiaTheme="minorHAnsi" w:hAnsi="Calibri" w:cs="Calibri"/>
          <w:sz w:val="22"/>
          <w:lang w:eastAsia="en-US"/>
        </w:rPr>
        <w:t>The LIP report also documents and evaluates the licensee’s performance against the SRCC’s performance measures. It summarises the outcomes of audits of the licensee’s prevention, rehabilitation and claims management functions and details of corrective actions, concluding with the licensee’s request for tier level in each of these functions for the coming year.</w:t>
      </w:r>
      <w:bookmarkEnd w:id="470"/>
      <w:bookmarkEnd w:id="471"/>
      <w:bookmarkEnd w:id="472"/>
    </w:p>
    <w:p w:rsidR="004102BE" w:rsidRPr="004102BE" w:rsidRDefault="004102BE" w:rsidP="004102BE">
      <w:pPr>
        <w:numPr>
          <w:ilvl w:val="1"/>
          <w:numId w:val="31"/>
        </w:numPr>
        <w:spacing w:after="120"/>
        <w:ind w:left="709" w:hanging="709"/>
        <w:outlineLvl w:val="0"/>
        <w:rPr>
          <w:rFonts w:ascii="Calibri" w:eastAsiaTheme="minorHAnsi" w:hAnsi="Calibri" w:cs="Calibri"/>
          <w:sz w:val="22"/>
          <w:lang w:eastAsia="en-US"/>
        </w:rPr>
      </w:pPr>
      <w:bookmarkStart w:id="473" w:name="_Toc341778007"/>
      <w:bookmarkStart w:id="474" w:name="_Toc341780767"/>
      <w:bookmarkStart w:id="475" w:name="_Toc342578376"/>
      <w:r w:rsidRPr="004102BE">
        <w:rPr>
          <w:rFonts w:ascii="Calibri" w:eastAsiaTheme="minorHAnsi" w:hAnsi="Calibri" w:cs="Calibri"/>
          <w:sz w:val="22"/>
          <w:lang w:eastAsia="en-US"/>
        </w:rPr>
        <w:t xml:space="preserve">The </w:t>
      </w:r>
      <w:r w:rsidR="004714E5" w:rsidRPr="004102BE">
        <w:rPr>
          <w:rFonts w:ascii="Calibri" w:eastAsiaTheme="minorHAnsi" w:hAnsi="Calibri" w:cs="Calibri"/>
          <w:sz w:val="22"/>
          <w:lang w:eastAsia="en-US"/>
        </w:rPr>
        <w:t xml:space="preserve">LIP </w:t>
      </w:r>
      <w:r w:rsidRPr="004102BE">
        <w:rPr>
          <w:rFonts w:ascii="Calibri" w:eastAsiaTheme="minorHAnsi" w:hAnsi="Calibri" w:cs="Calibri"/>
          <w:sz w:val="22"/>
          <w:lang w:eastAsia="en-US"/>
        </w:rPr>
        <w:t xml:space="preserve">outcomes </w:t>
      </w:r>
      <w:r w:rsidR="00DE4A9A" w:rsidRPr="004102BE">
        <w:rPr>
          <w:rFonts w:ascii="Calibri" w:eastAsiaTheme="minorHAnsi" w:hAnsi="Calibri" w:cs="Calibri"/>
          <w:sz w:val="22"/>
          <w:lang w:eastAsia="en-US"/>
        </w:rPr>
        <w:t>and annual</w:t>
      </w:r>
      <w:r w:rsidRPr="004102BE">
        <w:rPr>
          <w:rFonts w:ascii="Calibri" w:eastAsiaTheme="minorHAnsi" w:hAnsi="Calibri" w:cs="Calibri"/>
          <w:sz w:val="22"/>
          <w:lang w:eastAsia="en-US"/>
        </w:rPr>
        <w:t xml:space="preserve"> LIP report provide the basis for the SRCC’s consideration of </w:t>
      </w:r>
      <w:r w:rsidR="000A5586">
        <w:rPr>
          <w:rFonts w:ascii="Calibri" w:eastAsiaTheme="minorHAnsi" w:hAnsi="Calibri" w:cs="Calibri"/>
          <w:sz w:val="22"/>
          <w:lang w:eastAsia="en-US"/>
        </w:rPr>
        <w:t>licence</w:t>
      </w:r>
      <w:r w:rsidRPr="004102BE">
        <w:rPr>
          <w:rFonts w:ascii="Calibri" w:eastAsiaTheme="minorHAnsi" w:hAnsi="Calibri" w:cs="Calibri"/>
          <w:sz w:val="22"/>
          <w:lang w:eastAsia="en-US"/>
        </w:rPr>
        <w:t xml:space="preserve"> extensions</w:t>
      </w:r>
      <w:r w:rsidR="00573098">
        <w:rPr>
          <w:rFonts w:ascii="Calibri" w:eastAsiaTheme="minorHAnsi" w:hAnsi="Calibri" w:cs="Calibri"/>
          <w:sz w:val="22"/>
          <w:lang w:eastAsia="en-US"/>
        </w:rPr>
        <w:t>,</w:t>
      </w:r>
      <w:r w:rsidRPr="004102BE">
        <w:rPr>
          <w:rFonts w:ascii="Calibri" w:eastAsiaTheme="minorHAnsi" w:hAnsi="Calibri" w:cs="Calibri"/>
          <w:sz w:val="22"/>
          <w:lang w:eastAsia="en-US"/>
        </w:rPr>
        <w:t xml:space="preserve"> calculation of </w:t>
      </w:r>
      <w:r w:rsidR="000A5586">
        <w:rPr>
          <w:rFonts w:ascii="Calibri" w:eastAsiaTheme="minorHAnsi" w:hAnsi="Calibri" w:cs="Calibri"/>
          <w:sz w:val="22"/>
          <w:lang w:eastAsia="en-US"/>
        </w:rPr>
        <w:t>licence</w:t>
      </w:r>
      <w:r w:rsidRPr="004102BE">
        <w:rPr>
          <w:rFonts w:ascii="Calibri" w:eastAsiaTheme="minorHAnsi" w:hAnsi="Calibri" w:cs="Calibri"/>
          <w:sz w:val="22"/>
          <w:lang w:eastAsia="en-US"/>
        </w:rPr>
        <w:t xml:space="preserve"> fees, and to determine the following year’s level of regulatory oversight applicable to each licensee using the tier model.</w:t>
      </w:r>
      <w:bookmarkEnd w:id="473"/>
      <w:bookmarkEnd w:id="474"/>
      <w:bookmarkEnd w:id="475"/>
    </w:p>
    <w:p w:rsidR="004102BE" w:rsidRPr="004102BE" w:rsidRDefault="004102BE" w:rsidP="004102BE">
      <w:pPr>
        <w:numPr>
          <w:ilvl w:val="1"/>
          <w:numId w:val="31"/>
        </w:numPr>
        <w:spacing w:after="120"/>
        <w:ind w:left="709" w:hanging="709"/>
        <w:outlineLvl w:val="0"/>
        <w:rPr>
          <w:rFonts w:ascii="Calibri" w:eastAsiaTheme="minorHAnsi" w:hAnsi="Calibri" w:cs="Calibri"/>
          <w:sz w:val="22"/>
          <w:lang w:eastAsia="en-US"/>
        </w:rPr>
      </w:pPr>
      <w:bookmarkStart w:id="476" w:name="_Toc341778008"/>
      <w:bookmarkStart w:id="477" w:name="_Toc341780768"/>
      <w:bookmarkStart w:id="478" w:name="_Toc342578377"/>
      <w:r w:rsidRPr="004102BE">
        <w:rPr>
          <w:rFonts w:ascii="Calibri" w:eastAsiaTheme="minorHAnsi" w:hAnsi="Calibri" w:cs="Calibri"/>
          <w:sz w:val="22"/>
          <w:lang w:eastAsia="en-US"/>
        </w:rPr>
        <w:lastRenderedPageBreak/>
        <w:t xml:space="preserve">The SRCC’s tier model is designed to allow the level, intensity and nature of regulatory oversight to be determined, having regard to each licensee’s performance outcomes and relative maturity. The tier model comprises three levels, and each licensee is given a tier ranking for each of its prevention, rehabilitation and claims management functions. External audits are performed for those functions in the first tier, desktop audits for the second tier and licensee self-audit status applies to the third tier. There are specific instances when external audits are required to be conducted, regardless of the tier level of a licensee or its performance. These include a new licensee in the first year of its </w:t>
      </w:r>
      <w:r w:rsidR="000A5586">
        <w:rPr>
          <w:rFonts w:ascii="Calibri" w:eastAsiaTheme="minorHAnsi" w:hAnsi="Calibri" w:cs="Calibri"/>
          <w:sz w:val="22"/>
          <w:lang w:eastAsia="en-US"/>
        </w:rPr>
        <w:t>licence</w:t>
      </w:r>
      <w:r w:rsidRPr="004102BE">
        <w:rPr>
          <w:rFonts w:ascii="Calibri" w:eastAsiaTheme="minorHAnsi" w:hAnsi="Calibri" w:cs="Calibri"/>
          <w:sz w:val="22"/>
          <w:lang w:eastAsia="en-US"/>
        </w:rPr>
        <w:t xml:space="preserve">, any licensee in the last year of its current </w:t>
      </w:r>
      <w:r w:rsidR="000A5586">
        <w:rPr>
          <w:rFonts w:ascii="Calibri" w:eastAsiaTheme="minorHAnsi" w:hAnsi="Calibri" w:cs="Calibri"/>
          <w:sz w:val="22"/>
          <w:lang w:eastAsia="en-US"/>
        </w:rPr>
        <w:t>licence</w:t>
      </w:r>
      <w:r w:rsidRPr="004102BE">
        <w:rPr>
          <w:rFonts w:ascii="Calibri" w:eastAsiaTheme="minorHAnsi" w:hAnsi="Calibri" w:cs="Calibri"/>
          <w:sz w:val="22"/>
          <w:lang w:eastAsia="en-US"/>
        </w:rPr>
        <w:t>, or a change in the licensee’s claims management provider.</w:t>
      </w:r>
      <w:bookmarkEnd w:id="476"/>
      <w:bookmarkEnd w:id="477"/>
      <w:bookmarkEnd w:id="478"/>
    </w:p>
    <w:p w:rsidR="004102BE" w:rsidRPr="004102BE" w:rsidRDefault="004102BE" w:rsidP="004102BE">
      <w:pPr>
        <w:numPr>
          <w:ilvl w:val="1"/>
          <w:numId w:val="31"/>
        </w:numPr>
        <w:spacing w:after="120"/>
        <w:ind w:left="709" w:hanging="709"/>
        <w:outlineLvl w:val="0"/>
        <w:rPr>
          <w:rFonts w:ascii="Calibri" w:eastAsiaTheme="minorHAnsi" w:hAnsi="Calibri" w:cs="Calibri"/>
          <w:sz w:val="22"/>
          <w:lang w:eastAsia="en-US"/>
        </w:rPr>
      </w:pPr>
      <w:bookmarkStart w:id="479" w:name="_Toc341778009"/>
      <w:bookmarkStart w:id="480" w:name="_Toc341780769"/>
      <w:bookmarkStart w:id="481" w:name="_Toc342578378"/>
      <w:r w:rsidRPr="004102BE">
        <w:rPr>
          <w:rFonts w:ascii="Calibri" w:eastAsiaTheme="minorHAnsi" w:hAnsi="Calibri" w:cs="Calibri"/>
          <w:sz w:val="22"/>
          <w:lang w:eastAsia="en-US"/>
        </w:rPr>
        <w:t>As part of the LIP, licensees are assessed against the SRCC indicators. The SRCC also sets performance targets against a number of these indicators, such as incidence and frequency of injury, timeliness of claims management decisions, and rehabilitation and return to work rates, including those which incorporate the National OHS Strategy targets (i.e. incidence of injuries resulting in five or more days’ compensation and incidence of fatalities caused by traumatic injury). Licensees are also subject to periodic data quality audits to verify the accuracy of base data used to calculate performance against the SRCC’s indicators.</w:t>
      </w:r>
      <w:bookmarkEnd w:id="479"/>
      <w:bookmarkEnd w:id="480"/>
      <w:bookmarkEnd w:id="481"/>
    </w:p>
    <w:p w:rsidR="004102BE" w:rsidRPr="004102BE" w:rsidRDefault="004102BE" w:rsidP="004102BE">
      <w:pPr>
        <w:numPr>
          <w:ilvl w:val="1"/>
          <w:numId w:val="31"/>
        </w:numPr>
        <w:spacing w:after="120"/>
        <w:ind w:left="709" w:hanging="709"/>
        <w:outlineLvl w:val="0"/>
        <w:rPr>
          <w:rFonts w:ascii="Calibri" w:eastAsiaTheme="minorHAnsi" w:hAnsi="Calibri" w:cs="Calibri"/>
          <w:sz w:val="22"/>
          <w:lang w:eastAsia="en-US"/>
        </w:rPr>
      </w:pPr>
      <w:bookmarkStart w:id="482" w:name="_Toc341778010"/>
      <w:bookmarkStart w:id="483" w:name="_Toc341780770"/>
      <w:bookmarkStart w:id="484" w:name="_Toc342578379"/>
      <w:r w:rsidRPr="004102BE">
        <w:rPr>
          <w:rFonts w:ascii="Calibri" w:eastAsiaTheme="minorHAnsi" w:hAnsi="Calibri" w:cs="Calibri"/>
          <w:sz w:val="22"/>
          <w:lang w:eastAsia="en-US"/>
        </w:rPr>
        <w:t>There are clear financial consequences for a licensed insurer (including potentially losing their self-insurer status) if they are unable to meet their DAKPI targets.</w:t>
      </w:r>
      <w:bookmarkEnd w:id="482"/>
      <w:bookmarkEnd w:id="483"/>
      <w:bookmarkEnd w:id="484"/>
      <w:r w:rsidRPr="004102BE">
        <w:rPr>
          <w:rFonts w:ascii="Calibri" w:eastAsiaTheme="minorHAnsi" w:hAnsi="Calibri" w:cs="Calibri"/>
          <w:sz w:val="22"/>
          <w:lang w:eastAsia="en-US"/>
        </w:rPr>
        <w:t xml:space="preserve"> </w:t>
      </w:r>
    </w:p>
    <w:p w:rsidR="004102BE" w:rsidRPr="004102BE" w:rsidRDefault="004102BE" w:rsidP="004102BE">
      <w:pPr>
        <w:numPr>
          <w:ilvl w:val="1"/>
          <w:numId w:val="31"/>
        </w:numPr>
        <w:spacing w:after="120"/>
        <w:ind w:left="709" w:hanging="709"/>
        <w:outlineLvl w:val="0"/>
        <w:rPr>
          <w:rFonts w:ascii="Calibri" w:eastAsiaTheme="minorHAnsi" w:hAnsi="Calibri" w:cs="Calibri"/>
          <w:sz w:val="22"/>
          <w:lang w:eastAsia="en-US"/>
        </w:rPr>
      </w:pPr>
      <w:bookmarkStart w:id="485" w:name="_Toc341778011"/>
      <w:bookmarkStart w:id="486" w:name="_Toc341780771"/>
      <w:bookmarkStart w:id="487" w:name="_Toc342578380"/>
      <w:r w:rsidRPr="004102BE">
        <w:rPr>
          <w:rFonts w:ascii="Calibri" w:eastAsiaTheme="minorHAnsi" w:hAnsi="Calibri" w:cs="Calibri"/>
          <w:sz w:val="22"/>
          <w:lang w:eastAsia="en-US"/>
        </w:rPr>
        <w:t>Most licensees that were consulted felt that the current regulatory arrangements were satisfactory though some raised concerns in relation to some issues, specifically:</w:t>
      </w:r>
      <w:bookmarkEnd w:id="485"/>
      <w:bookmarkEnd w:id="486"/>
      <w:bookmarkEnd w:id="487"/>
    </w:p>
    <w:p w:rsidR="004102BE" w:rsidRPr="004102BE" w:rsidRDefault="004102BE" w:rsidP="004102BE">
      <w:pPr>
        <w:numPr>
          <w:ilvl w:val="0"/>
          <w:numId w:val="27"/>
        </w:numPr>
        <w:spacing w:after="120"/>
        <w:ind w:left="1134" w:hanging="425"/>
        <w:rPr>
          <w:rFonts w:ascii="Calibri" w:hAnsi="Calibri" w:cs="Calibri"/>
          <w:sz w:val="19"/>
        </w:rPr>
      </w:pPr>
      <w:proofErr w:type="gramStart"/>
      <w:r w:rsidRPr="004102BE">
        <w:rPr>
          <w:rFonts w:ascii="Calibri" w:eastAsiaTheme="minorHAnsi" w:hAnsi="Calibri" w:cs="Calibri"/>
          <w:sz w:val="22"/>
          <w:lang w:eastAsia="en-US"/>
        </w:rPr>
        <w:t>the</w:t>
      </w:r>
      <w:proofErr w:type="gramEnd"/>
      <w:r w:rsidRPr="004102BE">
        <w:rPr>
          <w:rFonts w:ascii="Calibri" w:eastAsiaTheme="minorHAnsi" w:hAnsi="Calibri" w:cs="Calibri"/>
          <w:sz w:val="22"/>
          <w:lang w:eastAsia="en-US"/>
        </w:rPr>
        <w:t xml:space="preserve"> inability of the Comcare scheme to grant group licen</w:t>
      </w:r>
      <w:r w:rsidR="000A5586">
        <w:rPr>
          <w:rFonts w:ascii="Calibri" w:eastAsiaTheme="minorHAnsi" w:hAnsi="Calibri" w:cs="Calibri"/>
          <w:sz w:val="22"/>
          <w:lang w:eastAsia="en-US"/>
        </w:rPr>
        <w:t>c</w:t>
      </w:r>
      <w:r w:rsidRPr="004102BE">
        <w:rPr>
          <w:rFonts w:ascii="Calibri" w:eastAsiaTheme="minorHAnsi" w:hAnsi="Calibri" w:cs="Calibri"/>
          <w:sz w:val="22"/>
          <w:lang w:eastAsia="en-US"/>
        </w:rPr>
        <w:t xml:space="preserve">es. Some licensees currently hold a number of individual </w:t>
      </w:r>
      <w:r w:rsidR="000A5586">
        <w:rPr>
          <w:rFonts w:ascii="Calibri" w:eastAsiaTheme="minorHAnsi" w:hAnsi="Calibri" w:cs="Calibri"/>
          <w:sz w:val="22"/>
          <w:lang w:eastAsia="en-US"/>
        </w:rPr>
        <w:t>licence</w:t>
      </w:r>
      <w:r w:rsidRPr="004102BE">
        <w:rPr>
          <w:rFonts w:ascii="Calibri" w:eastAsiaTheme="minorHAnsi" w:hAnsi="Calibri" w:cs="Calibri"/>
          <w:sz w:val="22"/>
          <w:lang w:eastAsia="en-US"/>
        </w:rPr>
        <w:t xml:space="preserve">s for different parts of their business as there </w:t>
      </w:r>
      <w:proofErr w:type="gramStart"/>
      <w:r w:rsidRPr="004102BE">
        <w:rPr>
          <w:rFonts w:ascii="Calibri" w:eastAsiaTheme="minorHAnsi" w:hAnsi="Calibri" w:cs="Calibri"/>
          <w:sz w:val="22"/>
          <w:lang w:eastAsia="en-US"/>
        </w:rPr>
        <w:t>is</w:t>
      </w:r>
      <w:proofErr w:type="gramEnd"/>
      <w:r w:rsidRPr="004102BE">
        <w:rPr>
          <w:rFonts w:ascii="Calibri" w:eastAsiaTheme="minorHAnsi" w:hAnsi="Calibri" w:cs="Calibri"/>
          <w:sz w:val="22"/>
          <w:lang w:eastAsia="en-US"/>
        </w:rPr>
        <w:t xml:space="preserve"> no provision for granting group </w:t>
      </w:r>
      <w:r w:rsidR="000A5586">
        <w:rPr>
          <w:rFonts w:ascii="Calibri" w:eastAsiaTheme="minorHAnsi" w:hAnsi="Calibri" w:cs="Calibri"/>
          <w:sz w:val="22"/>
          <w:lang w:eastAsia="en-US"/>
        </w:rPr>
        <w:t>licence</w:t>
      </w:r>
      <w:r w:rsidRPr="004102BE">
        <w:rPr>
          <w:rFonts w:ascii="Calibri" w:eastAsiaTheme="minorHAnsi" w:hAnsi="Calibri" w:cs="Calibri"/>
          <w:sz w:val="22"/>
          <w:lang w:eastAsia="en-US"/>
        </w:rPr>
        <w:t xml:space="preserve">s under the SRC Act. This results in higher administrative costs which are necessary to maintain each </w:t>
      </w:r>
      <w:r w:rsidR="000A5586">
        <w:rPr>
          <w:rFonts w:ascii="Calibri" w:eastAsiaTheme="minorHAnsi" w:hAnsi="Calibri" w:cs="Calibri"/>
          <w:sz w:val="22"/>
          <w:lang w:eastAsia="en-US"/>
        </w:rPr>
        <w:t>licence</w:t>
      </w:r>
      <w:r w:rsidRPr="004102BE">
        <w:rPr>
          <w:rFonts w:ascii="Calibri" w:eastAsiaTheme="minorHAnsi" w:hAnsi="Calibri" w:cs="Calibri"/>
          <w:sz w:val="22"/>
          <w:lang w:eastAsia="en-US"/>
        </w:rPr>
        <w:t xml:space="preserve"> – costs that could be reduced if group insurance was available;</w:t>
      </w:r>
    </w:p>
    <w:p w:rsidR="004102BE" w:rsidRPr="004102BE" w:rsidRDefault="004102BE" w:rsidP="004102BE">
      <w:pPr>
        <w:numPr>
          <w:ilvl w:val="0"/>
          <w:numId w:val="27"/>
        </w:numPr>
        <w:spacing w:after="120"/>
        <w:ind w:left="1134" w:hanging="425"/>
        <w:rPr>
          <w:rFonts w:ascii="Calibri" w:hAnsi="Calibri" w:cs="Calibri"/>
          <w:sz w:val="19"/>
        </w:rPr>
      </w:pPr>
      <w:proofErr w:type="gramStart"/>
      <w:r w:rsidRPr="004102BE">
        <w:rPr>
          <w:rFonts w:ascii="Calibri" w:eastAsiaTheme="minorHAnsi" w:hAnsi="Calibri" w:cs="Calibri"/>
          <w:sz w:val="22"/>
          <w:lang w:eastAsia="en-US"/>
        </w:rPr>
        <w:t>the</w:t>
      </w:r>
      <w:proofErr w:type="gramEnd"/>
      <w:r w:rsidRPr="004102BE">
        <w:rPr>
          <w:rFonts w:ascii="Calibri" w:eastAsiaTheme="minorHAnsi" w:hAnsi="Calibri" w:cs="Calibri"/>
          <w:sz w:val="22"/>
          <w:lang w:eastAsia="en-US"/>
        </w:rPr>
        <w:t xml:space="preserve"> inability for current licensees to obtain additional </w:t>
      </w:r>
      <w:r w:rsidR="000A5586">
        <w:rPr>
          <w:rFonts w:ascii="Calibri" w:eastAsiaTheme="minorHAnsi" w:hAnsi="Calibri" w:cs="Calibri"/>
          <w:sz w:val="22"/>
          <w:lang w:eastAsia="en-US"/>
        </w:rPr>
        <w:t>licence</w:t>
      </w:r>
      <w:r w:rsidRPr="004102BE">
        <w:rPr>
          <w:rFonts w:ascii="Calibri" w:eastAsiaTheme="minorHAnsi" w:hAnsi="Calibri" w:cs="Calibri"/>
          <w:sz w:val="22"/>
          <w:lang w:eastAsia="en-US"/>
        </w:rPr>
        <w:t xml:space="preserve">s for businesses they acquire because of the current moratorium. </w:t>
      </w:r>
      <w:r w:rsidR="00B74EF2">
        <w:rPr>
          <w:rFonts w:ascii="Calibri" w:eastAsiaTheme="minorHAnsi" w:hAnsi="Calibri" w:cs="Calibri"/>
          <w:sz w:val="22"/>
          <w:lang w:eastAsia="en-US"/>
        </w:rPr>
        <w:t xml:space="preserve">A </w:t>
      </w:r>
      <w:r w:rsidRPr="004102BE">
        <w:rPr>
          <w:rFonts w:ascii="Calibri" w:eastAsiaTheme="minorHAnsi" w:hAnsi="Calibri" w:cs="Calibri"/>
          <w:sz w:val="22"/>
          <w:lang w:eastAsia="en-US"/>
        </w:rPr>
        <w:t xml:space="preserve">group </w:t>
      </w:r>
      <w:r w:rsidR="000A5586">
        <w:rPr>
          <w:rFonts w:ascii="Calibri" w:eastAsiaTheme="minorHAnsi" w:hAnsi="Calibri" w:cs="Calibri"/>
          <w:sz w:val="22"/>
          <w:lang w:eastAsia="en-US"/>
        </w:rPr>
        <w:t>licence</w:t>
      </w:r>
      <w:r w:rsidRPr="004102BE">
        <w:rPr>
          <w:rFonts w:ascii="Calibri" w:eastAsiaTheme="minorHAnsi" w:hAnsi="Calibri" w:cs="Calibri"/>
          <w:sz w:val="22"/>
          <w:lang w:eastAsia="en-US"/>
        </w:rPr>
        <w:t xml:space="preserve"> arrangement would enable a current licensee to integrate any new entity into their self insurer arrangements</w:t>
      </w:r>
      <w:r w:rsidR="00981043">
        <w:rPr>
          <w:rFonts w:ascii="Calibri" w:eastAsiaTheme="minorHAnsi" w:hAnsi="Calibri" w:cs="Calibri"/>
          <w:sz w:val="22"/>
          <w:lang w:eastAsia="en-US"/>
        </w:rPr>
        <w:t xml:space="preserve"> </w:t>
      </w:r>
      <w:r w:rsidRPr="004102BE">
        <w:rPr>
          <w:rFonts w:ascii="Calibri" w:eastAsiaTheme="minorHAnsi" w:hAnsi="Calibri" w:cs="Calibri"/>
          <w:sz w:val="22"/>
          <w:lang w:eastAsia="en-US"/>
        </w:rPr>
        <w:t>(whether or not to allow group self insurance under the Comcare scheme was considered as part of the 2009 Review of self insurance arrangements under the Comcare scheme which recommended that group self insurance arrangements be allowed under the scheme);</w:t>
      </w:r>
    </w:p>
    <w:p w:rsidR="004102BE" w:rsidRPr="004102BE" w:rsidRDefault="004102BE" w:rsidP="004102BE">
      <w:pPr>
        <w:numPr>
          <w:ilvl w:val="0"/>
          <w:numId w:val="27"/>
        </w:numPr>
        <w:spacing w:after="120"/>
        <w:ind w:left="1134" w:hanging="425"/>
        <w:rPr>
          <w:rFonts w:ascii="Calibri" w:hAnsi="Calibri" w:cs="Calibri"/>
          <w:sz w:val="19"/>
        </w:rPr>
      </w:pPr>
      <w:proofErr w:type="gramStart"/>
      <w:r w:rsidRPr="004102BE">
        <w:rPr>
          <w:rFonts w:ascii="Calibri" w:eastAsiaTheme="minorHAnsi" w:hAnsi="Calibri" w:cs="Calibri"/>
          <w:sz w:val="22"/>
          <w:lang w:eastAsia="en-US"/>
        </w:rPr>
        <w:t>the</w:t>
      </w:r>
      <w:proofErr w:type="gramEnd"/>
      <w:r w:rsidRPr="004102BE">
        <w:rPr>
          <w:rFonts w:ascii="Calibri" w:eastAsiaTheme="minorHAnsi" w:hAnsi="Calibri" w:cs="Calibri"/>
          <w:sz w:val="22"/>
          <w:lang w:eastAsia="en-US"/>
        </w:rPr>
        <w:t xml:space="preserve"> need for greater transparency around how self insurer regulatory contributions and </w:t>
      </w:r>
      <w:r w:rsidR="000A5586">
        <w:rPr>
          <w:rFonts w:ascii="Calibri" w:eastAsiaTheme="minorHAnsi" w:hAnsi="Calibri" w:cs="Calibri"/>
          <w:sz w:val="22"/>
          <w:lang w:eastAsia="en-US"/>
        </w:rPr>
        <w:t>licence</w:t>
      </w:r>
      <w:r w:rsidRPr="004102BE">
        <w:rPr>
          <w:rFonts w:ascii="Calibri" w:eastAsiaTheme="minorHAnsi" w:hAnsi="Calibri" w:cs="Calibri"/>
          <w:sz w:val="22"/>
          <w:lang w:eastAsia="en-US"/>
        </w:rPr>
        <w:t xml:space="preserve"> fees are determined year-on-year. A concern was expressed about the lack of a consistent approach in the calculation which leads to volatility in the amounts paid by licensed insurers from year to year.  Additionally, one licensee indicated that the current </w:t>
      </w:r>
      <w:r w:rsidR="000A5586">
        <w:rPr>
          <w:rFonts w:ascii="Calibri" w:eastAsiaTheme="minorHAnsi" w:hAnsi="Calibri" w:cs="Calibri"/>
          <w:sz w:val="22"/>
          <w:lang w:eastAsia="en-US"/>
        </w:rPr>
        <w:t>licence</w:t>
      </w:r>
      <w:r w:rsidRPr="004102BE">
        <w:rPr>
          <w:rFonts w:ascii="Calibri" w:eastAsiaTheme="minorHAnsi" w:hAnsi="Calibri" w:cs="Calibri"/>
          <w:sz w:val="22"/>
          <w:lang w:eastAsia="en-US"/>
        </w:rPr>
        <w:t xml:space="preserve"> fee cost structures are such that it makes the benefits of having Tier 3 self insurer status difficult to justify from a financial perspective; and</w:t>
      </w:r>
    </w:p>
    <w:p w:rsidR="004102BE" w:rsidRPr="004102BE" w:rsidRDefault="004102BE" w:rsidP="004102BE">
      <w:pPr>
        <w:numPr>
          <w:ilvl w:val="0"/>
          <w:numId w:val="27"/>
        </w:numPr>
        <w:spacing w:after="120"/>
        <w:ind w:left="1134" w:hanging="425"/>
        <w:rPr>
          <w:rFonts w:ascii="Calibri" w:hAnsi="Calibri" w:cs="Calibri"/>
          <w:sz w:val="19"/>
        </w:rPr>
      </w:pPr>
      <w:proofErr w:type="gramStart"/>
      <w:r w:rsidRPr="004102BE">
        <w:rPr>
          <w:rFonts w:ascii="Calibri" w:eastAsiaTheme="minorHAnsi" w:hAnsi="Calibri" w:cs="Calibri"/>
          <w:sz w:val="22"/>
          <w:lang w:eastAsia="en-US"/>
        </w:rPr>
        <w:t>concern</w:t>
      </w:r>
      <w:proofErr w:type="gramEnd"/>
      <w:r w:rsidRPr="004102BE">
        <w:rPr>
          <w:rFonts w:ascii="Calibri" w:eastAsiaTheme="minorHAnsi" w:hAnsi="Calibri" w:cs="Calibri"/>
          <w:sz w:val="22"/>
          <w:lang w:eastAsia="en-US"/>
        </w:rPr>
        <w:t xml:space="preserve"> that the basis of measurement (claims per Full Time Equivalent (FTE)) of the DAKPIs disadvantages some licensees as some of the claims included in this base are ex-employees.</w:t>
      </w:r>
    </w:p>
    <w:p w:rsidR="004102BE" w:rsidRPr="004102BE" w:rsidRDefault="00AC5129" w:rsidP="004102BE">
      <w:pPr>
        <w:numPr>
          <w:ilvl w:val="1"/>
          <w:numId w:val="31"/>
        </w:numPr>
        <w:spacing w:after="120"/>
        <w:ind w:left="709" w:hanging="709"/>
        <w:outlineLvl w:val="0"/>
        <w:rPr>
          <w:rFonts w:ascii="Calibri" w:eastAsiaTheme="minorHAnsi" w:hAnsi="Calibri" w:cs="Calibri"/>
          <w:sz w:val="22"/>
          <w:lang w:eastAsia="en-US"/>
        </w:rPr>
      </w:pPr>
      <w:bookmarkStart w:id="488" w:name="_Toc341778012"/>
      <w:bookmarkStart w:id="489" w:name="_Toc341780772"/>
      <w:bookmarkStart w:id="490" w:name="_Toc342578381"/>
      <w:r>
        <w:rPr>
          <w:rFonts w:ascii="Calibri" w:eastAsiaTheme="minorHAnsi" w:hAnsi="Calibri" w:cs="Calibri"/>
          <w:sz w:val="22"/>
          <w:lang w:eastAsia="en-US"/>
        </w:rPr>
        <w:t>There was also some opposition to the self insurance scheme.  Notably</w:t>
      </w:r>
      <w:r w:rsidR="004714E5">
        <w:rPr>
          <w:rFonts w:ascii="Calibri" w:eastAsiaTheme="minorHAnsi" w:hAnsi="Calibri" w:cs="Calibri"/>
          <w:sz w:val="22"/>
          <w:lang w:eastAsia="en-US"/>
        </w:rPr>
        <w:t>,</w:t>
      </w:r>
      <w:r>
        <w:rPr>
          <w:rFonts w:ascii="Calibri" w:eastAsiaTheme="minorHAnsi" w:hAnsi="Calibri" w:cs="Calibri"/>
          <w:sz w:val="22"/>
          <w:lang w:eastAsia="en-US"/>
        </w:rPr>
        <w:t xml:space="preserve"> the ACTU signalled its in</w:t>
      </w:r>
      <w:r w:rsidR="000B0E0E">
        <w:rPr>
          <w:rFonts w:ascii="Calibri" w:eastAsiaTheme="minorHAnsi" w:hAnsi="Calibri" w:cs="Calibri"/>
          <w:sz w:val="22"/>
          <w:lang w:eastAsia="en-US"/>
        </w:rPr>
        <w:t>-</w:t>
      </w:r>
      <w:r>
        <w:rPr>
          <w:rFonts w:ascii="Calibri" w:eastAsiaTheme="minorHAnsi" w:hAnsi="Calibri" w:cs="Calibri"/>
          <w:sz w:val="22"/>
          <w:lang w:eastAsia="en-US"/>
        </w:rPr>
        <w:t xml:space="preserve">principle opposition to self insurance arrangements </w:t>
      </w:r>
      <w:r w:rsidR="00B74EF2">
        <w:rPr>
          <w:rFonts w:ascii="Calibri" w:eastAsiaTheme="minorHAnsi" w:hAnsi="Calibri" w:cs="Calibri"/>
          <w:sz w:val="22"/>
          <w:lang w:eastAsia="en-US"/>
        </w:rPr>
        <w:t>because of</w:t>
      </w:r>
      <w:r w:rsidR="00B85512">
        <w:rPr>
          <w:rFonts w:ascii="Calibri" w:eastAsiaTheme="minorHAnsi" w:hAnsi="Calibri" w:cs="Calibri"/>
          <w:sz w:val="22"/>
          <w:lang w:eastAsia="en-US"/>
        </w:rPr>
        <w:t xml:space="preserve"> the potential </w:t>
      </w:r>
      <w:r w:rsidR="00B74EF2">
        <w:rPr>
          <w:rFonts w:ascii="Calibri" w:eastAsiaTheme="minorHAnsi" w:hAnsi="Calibri" w:cs="Calibri"/>
          <w:sz w:val="22"/>
          <w:lang w:eastAsia="en-US"/>
        </w:rPr>
        <w:t>for</w:t>
      </w:r>
      <w:r w:rsidR="00B85512">
        <w:rPr>
          <w:rFonts w:ascii="Calibri" w:eastAsiaTheme="minorHAnsi" w:hAnsi="Calibri" w:cs="Calibri"/>
          <w:sz w:val="22"/>
          <w:lang w:eastAsia="en-US"/>
        </w:rPr>
        <w:t xml:space="preserve"> </w:t>
      </w:r>
      <w:r w:rsidR="004102BE" w:rsidRPr="004102BE">
        <w:rPr>
          <w:rFonts w:ascii="Calibri" w:eastAsiaTheme="minorHAnsi" w:hAnsi="Calibri" w:cs="Calibri"/>
          <w:sz w:val="22"/>
          <w:lang w:eastAsia="en-US"/>
        </w:rPr>
        <w:t xml:space="preserve">significantly large numbers of employers to opt out of contributing to the premium pool of workers’ compensation schemes either at an individual, state or national level. </w:t>
      </w:r>
      <w:r w:rsidR="004714E5">
        <w:rPr>
          <w:rFonts w:ascii="Calibri" w:eastAsiaTheme="minorHAnsi" w:hAnsi="Calibri" w:cs="Calibri"/>
          <w:sz w:val="22"/>
          <w:lang w:eastAsia="en-US"/>
        </w:rPr>
        <w:t>I</w:t>
      </w:r>
      <w:r w:rsidR="004102BE" w:rsidRPr="004102BE">
        <w:rPr>
          <w:rFonts w:ascii="Calibri" w:eastAsiaTheme="minorHAnsi" w:hAnsi="Calibri" w:cs="Calibri"/>
          <w:sz w:val="22"/>
          <w:lang w:eastAsia="en-US"/>
        </w:rPr>
        <w:t>t suggested the Comcare scheme should revert to its original function as a scheme applying</w:t>
      </w:r>
      <w:r w:rsidR="004714E5">
        <w:rPr>
          <w:rFonts w:ascii="Calibri" w:eastAsiaTheme="minorHAnsi" w:hAnsi="Calibri" w:cs="Calibri"/>
          <w:sz w:val="22"/>
          <w:lang w:eastAsia="en-US"/>
        </w:rPr>
        <w:t xml:space="preserve"> only</w:t>
      </w:r>
      <w:r w:rsidR="004102BE" w:rsidRPr="004102BE">
        <w:rPr>
          <w:rFonts w:ascii="Calibri" w:eastAsiaTheme="minorHAnsi" w:hAnsi="Calibri" w:cs="Calibri"/>
          <w:sz w:val="22"/>
          <w:lang w:eastAsia="en-US"/>
        </w:rPr>
        <w:t xml:space="preserve"> to Australian Government public servants and that self insurance licensees should return to the applicable </w:t>
      </w:r>
      <w:r w:rsidR="00C63A6D">
        <w:rPr>
          <w:rFonts w:ascii="Calibri" w:eastAsiaTheme="minorHAnsi" w:hAnsi="Calibri" w:cs="Calibri"/>
          <w:sz w:val="22"/>
          <w:lang w:eastAsia="en-US"/>
        </w:rPr>
        <w:t>s</w:t>
      </w:r>
      <w:r w:rsidR="004102BE" w:rsidRPr="004102BE">
        <w:rPr>
          <w:rFonts w:ascii="Calibri" w:eastAsiaTheme="minorHAnsi" w:hAnsi="Calibri" w:cs="Calibri"/>
          <w:sz w:val="22"/>
          <w:lang w:eastAsia="en-US"/>
        </w:rPr>
        <w:t xml:space="preserve">tate or </w:t>
      </w:r>
      <w:r w:rsidR="00C63A6D">
        <w:rPr>
          <w:rFonts w:ascii="Calibri" w:eastAsiaTheme="minorHAnsi" w:hAnsi="Calibri" w:cs="Calibri"/>
          <w:sz w:val="22"/>
          <w:lang w:eastAsia="en-US"/>
        </w:rPr>
        <w:t>t</w:t>
      </w:r>
      <w:r w:rsidR="004102BE" w:rsidRPr="004102BE">
        <w:rPr>
          <w:rFonts w:ascii="Calibri" w:eastAsiaTheme="minorHAnsi" w:hAnsi="Calibri" w:cs="Calibri"/>
          <w:sz w:val="22"/>
          <w:lang w:eastAsia="en-US"/>
        </w:rPr>
        <w:t>erritory run scheme(s).</w:t>
      </w:r>
      <w:bookmarkEnd w:id="488"/>
      <w:bookmarkEnd w:id="489"/>
      <w:bookmarkEnd w:id="490"/>
    </w:p>
    <w:p w:rsidR="004102BE" w:rsidRPr="004102BE" w:rsidRDefault="004102BE" w:rsidP="004102BE">
      <w:pPr>
        <w:numPr>
          <w:ilvl w:val="1"/>
          <w:numId w:val="31"/>
        </w:numPr>
        <w:spacing w:after="120"/>
        <w:ind w:left="709" w:hanging="709"/>
        <w:outlineLvl w:val="0"/>
        <w:rPr>
          <w:rFonts w:ascii="Calibri" w:eastAsiaTheme="minorHAnsi" w:hAnsi="Calibri" w:cs="Calibri"/>
          <w:sz w:val="22"/>
          <w:lang w:eastAsia="en-US"/>
        </w:rPr>
      </w:pPr>
      <w:bookmarkStart w:id="491" w:name="_Toc341778013"/>
      <w:bookmarkStart w:id="492" w:name="_Toc341780773"/>
      <w:bookmarkStart w:id="493" w:name="_Toc342578382"/>
      <w:r w:rsidRPr="004102BE">
        <w:rPr>
          <w:rFonts w:ascii="Calibri" w:eastAsiaTheme="minorHAnsi" w:hAnsi="Calibri" w:cs="Calibri"/>
          <w:sz w:val="22"/>
          <w:lang w:eastAsia="en-US"/>
        </w:rPr>
        <w:lastRenderedPageBreak/>
        <w:t>The ACTU argued that self-insurance should remain part of the Comcare scheme in very limited circumstances and must involve a high level of ongoing oversight and monitoring by the SRCC. Self-insurance should be viewed as a privilege not a right. Employers wishing to become or remain self-insurers should be required to have workers’ compensation practices that demonstrate superior performance in all areas of injury prevention, claims management and occupational health and safety standards.</w:t>
      </w:r>
      <w:bookmarkEnd w:id="491"/>
      <w:bookmarkEnd w:id="492"/>
      <w:bookmarkEnd w:id="493"/>
    </w:p>
    <w:p w:rsidR="00EE4640" w:rsidRPr="004102BE" w:rsidRDefault="00EE4640" w:rsidP="00EE4640">
      <w:pPr>
        <w:numPr>
          <w:ilvl w:val="1"/>
          <w:numId w:val="31"/>
        </w:numPr>
        <w:spacing w:after="120"/>
        <w:ind w:left="709" w:hanging="709"/>
        <w:outlineLvl w:val="0"/>
        <w:rPr>
          <w:rFonts w:ascii="Calibri" w:eastAsiaTheme="minorHAnsi" w:hAnsi="Calibri" w:cs="Calibri"/>
          <w:sz w:val="22"/>
          <w:lang w:eastAsia="en-US"/>
        </w:rPr>
      </w:pPr>
      <w:bookmarkStart w:id="494" w:name="_Toc342578383"/>
      <w:bookmarkStart w:id="495" w:name="_Toc341778014"/>
      <w:bookmarkStart w:id="496" w:name="_Toc341780774"/>
      <w:r w:rsidRPr="004102BE">
        <w:rPr>
          <w:rFonts w:ascii="Calibri" w:eastAsiaTheme="minorHAnsi" w:hAnsi="Calibri" w:cs="Calibri"/>
          <w:sz w:val="22"/>
          <w:lang w:eastAsia="en-US"/>
        </w:rPr>
        <w:t xml:space="preserve">As discussed later in this Chapter, available scheme performance data shows that the </w:t>
      </w:r>
      <w:r w:rsidR="00A74242">
        <w:rPr>
          <w:rFonts w:ascii="Calibri" w:eastAsiaTheme="minorHAnsi" w:hAnsi="Calibri" w:cs="Calibri"/>
          <w:sz w:val="22"/>
          <w:lang w:eastAsia="en-US"/>
        </w:rPr>
        <w:t xml:space="preserve">licensee </w:t>
      </w:r>
      <w:r w:rsidRPr="004102BE">
        <w:rPr>
          <w:rFonts w:ascii="Calibri" w:eastAsiaTheme="minorHAnsi" w:hAnsi="Calibri" w:cs="Calibri"/>
          <w:sz w:val="22"/>
          <w:lang w:eastAsia="en-US"/>
        </w:rPr>
        <w:t>performance on SRCC scheme performance measures is better than that of premium payers. This Review finds that the regulatory oversight of licensees is very robust and ensures a regime of continuous improvement.</w:t>
      </w:r>
      <w:bookmarkEnd w:id="494"/>
    </w:p>
    <w:p w:rsidR="004102BE" w:rsidRPr="004102BE" w:rsidRDefault="004102BE" w:rsidP="004102BE">
      <w:pPr>
        <w:numPr>
          <w:ilvl w:val="1"/>
          <w:numId w:val="31"/>
        </w:numPr>
        <w:spacing w:after="120"/>
        <w:ind w:left="709" w:hanging="709"/>
        <w:outlineLvl w:val="0"/>
        <w:rPr>
          <w:rFonts w:ascii="Calibri" w:eastAsiaTheme="minorHAnsi" w:hAnsi="Calibri" w:cs="Calibri"/>
          <w:sz w:val="22"/>
          <w:lang w:eastAsia="en-US"/>
        </w:rPr>
      </w:pPr>
      <w:bookmarkStart w:id="497" w:name="_Toc342578384"/>
      <w:r w:rsidRPr="004102BE">
        <w:rPr>
          <w:rFonts w:ascii="Calibri" w:eastAsiaTheme="minorHAnsi" w:hAnsi="Calibri" w:cs="Calibri"/>
          <w:sz w:val="22"/>
          <w:lang w:eastAsia="en-US"/>
        </w:rPr>
        <w:t>As noted in Chapter One, the Report of a separate Comcare review of self-insurer arrangements under the Comcare scheme by DEEWR was released on 25 September 2009. This Review concluded that the self insurance arrangements should continue, but with some modifications. The report contained a number of recommendations aimed at improving the self insurance governance arrangements under the Comcare scheme.</w:t>
      </w:r>
      <w:bookmarkEnd w:id="495"/>
      <w:bookmarkEnd w:id="496"/>
      <w:bookmarkEnd w:id="497"/>
    </w:p>
    <w:p w:rsidR="004102BE" w:rsidRDefault="004102BE" w:rsidP="004102BE">
      <w:pPr>
        <w:numPr>
          <w:ilvl w:val="1"/>
          <w:numId w:val="31"/>
        </w:numPr>
        <w:spacing w:after="120"/>
        <w:ind w:left="709" w:hanging="709"/>
        <w:outlineLvl w:val="0"/>
        <w:rPr>
          <w:rFonts w:ascii="Calibri" w:eastAsiaTheme="minorHAnsi" w:hAnsi="Calibri" w:cs="Calibri"/>
          <w:sz w:val="22"/>
          <w:lang w:eastAsia="en-US"/>
        </w:rPr>
      </w:pPr>
      <w:bookmarkStart w:id="498" w:name="_Toc341778015"/>
      <w:bookmarkStart w:id="499" w:name="_Toc341780775"/>
      <w:bookmarkStart w:id="500" w:name="_Toc342578385"/>
      <w:r w:rsidRPr="004102BE">
        <w:rPr>
          <w:rFonts w:ascii="Calibri" w:eastAsiaTheme="minorHAnsi" w:hAnsi="Calibri" w:cs="Calibri"/>
          <w:sz w:val="22"/>
          <w:lang w:eastAsia="en-US"/>
        </w:rPr>
        <w:t xml:space="preserve">That report recommended that group </w:t>
      </w:r>
      <w:r w:rsidR="000A5586">
        <w:rPr>
          <w:rFonts w:ascii="Calibri" w:eastAsiaTheme="minorHAnsi" w:hAnsi="Calibri" w:cs="Calibri"/>
          <w:sz w:val="22"/>
          <w:lang w:eastAsia="en-US"/>
        </w:rPr>
        <w:t>licence</w:t>
      </w:r>
      <w:r w:rsidRPr="004102BE">
        <w:rPr>
          <w:rFonts w:ascii="Calibri" w:eastAsiaTheme="minorHAnsi" w:hAnsi="Calibri" w:cs="Calibri"/>
          <w:sz w:val="22"/>
          <w:lang w:eastAsia="en-US"/>
        </w:rPr>
        <w:t xml:space="preserve">s be issued, but in responding the Government did not support this recommendation.  All other recommendations that impact on self insurance governance arrangements were supported by the Government and have been implemented.  </w:t>
      </w:r>
      <w:r w:rsidR="00E71A83">
        <w:rPr>
          <w:rFonts w:ascii="Calibri" w:eastAsiaTheme="minorHAnsi" w:hAnsi="Calibri" w:cs="Calibri"/>
          <w:sz w:val="22"/>
          <w:lang w:eastAsia="en-US"/>
        </w:rPr>
        <w:t>While t</w:t>
      </w:r>
      <w:r w:rsidRPr="004102BE">
        <w:rPr>
          <w:rFonts w:ascii="Calibri" w:eastAsiaTheme="minorHAnsi" w:hAnsi="Calibri" w:cs="Calibri"/>
          <w:sz w:val="22"/>
          <w:lang w:eastAsia="en-US"/>
        </w:rPr>
        <w:t xml:space="preserve">his review also received submissions from key stakeholders </w:t>
      </w:r>
      <w:r w:rsidR="00A74242">
        <w:rPr>
          <w:rFonts w:ascii="Calibri" w:eastAsiaTheme="minorHAnsi" w:hAnsi="Calibri" w:cs="Calibri"/>
          <w:sz w:val="22"/>
          <w:lang w:eastAsia="en-US"/>
        </w:rPr>
        <w:t>opposing</w:t>
      </w:r>
      <w:r w:rsidRPr="004102BE">
        <w:rPr>
          <w:rFonts w:ascii="Calibri" w:eastAsiaTheme="minorHAnsi" w:hAnsi="Calibri" w:cs="Calibri"/>
          <w:sz w:val="22"/>
          <w:lang w:eastAsia="en-US"/>
        </w:rPr>
        <w:t xml:space="preserve"> the granting of group licences</w:t>
      </w:r>
      <w:r w:rsidR="00E71A83">
        <w:rPr>
          <w:rFonts w:ascii="Calibri" w:eastAsiaTheme="minorHAnsi" w:hAnsi="Calibri" w:cs="Calibri"/>
          <w:sz w:val="22"/>
          <w:lang w:eastAsia="en-US"/>
        </w:rPr>
        <w:t>, it</w:t>
      </w:r>
      <w:r w:rsidRPr="004102BE">
        <w:rPr>
          <w:rFonts w:ascii="Calibri" w:eastAsiaTheme="minorHAnsi" w:hAnsi="Calibri" w:cs="Calibri"/>
          <w:sz w:val="22"/>
          <w:lang w:eastAsia="en-US"/>
        </w:rPr>
        <w:t xml:space="preserve"> finds that there are sufficient safeguards in place to warrant the granting of Group </w:t>
      </w:r>
      <w:r w:rsidR="000A5586">
        <w:rPr>
          <w:rFonts w:ascii="Calibri" w:eastAsiaTheme="minorHAnsi" w:hAnsi="Calibri" w:cs="Calibri"/>
          <w:sz w:val="22"/>
          <w:lang w:eastAsia="en-US"/>
        </w:rPr>
        <w:t>Licence</w:t>
      </w:r>
      <w:r w:rsidRPr="004102BE">
        <w:rPr>
          <w:rFonts w:ascii="Calibri" w:eastAsiaTheme="minorHAnsi" w:hAnsi="Calibri" w:cs="Calibri"/>
          <w:sz w:val="22"/>
          <w:lang w:eastAsia="en-US"/>
        </w:rPr>
        <w:t>s and recommends accordingly.</w:t>
      </w:r>
      <w:bookmarkEnd w:id="498"/>
      <w:bookmarkEnd w:id="499"/>
      <w:bookmarkEnd w:id="500"/>
    </w:p>
    <w:p w:rsidR="003C26C4" w:rsidRDefault="003C26C4" w:rsidP="004102BE">
      <w:pPr>
        <w:numPr>
          <w:ilvl w:val="1"/>
          <w:numId w:val="31"/>
        </w:numPr>
        <w:spacing w:after="120"/>
        <w:ind w:left="709" w:hanging="709"/>
        <w:outlineLvl w:val="0"/>
        <w:rPr>
          <w:rFonts w:ascii="Calibri" w:eastAsiaTheme="minorHAnsi" w:hAnsi="Calibri" w:cs="Calibri"/>
          <w:sz w:val="22"/>
          <w:lang w:eastAsia="en-US"/>
        </w:rPr>
      </w:pPr>
      <w:bookmarkStart w:id="501" w:name="_Toc342578386"/>
      <w:r>
        <w:rPr>
          <w:rFonts w:ascii="Calibri" w:eastAsiaTheme="minorHAnsi" w:hAnsi="Calibri" w:cs="Calibri"/>
          <w:sz w:val="22"/>
          <w:lang w:eastAsia="en-US"/>
        </w:rPr>
        <w:t xml:space="preserve">Having regard to </w:t>
      </w:r>
      <w:r w:rsidR="00220579">
        <w:rPr>
          <w:rFonts w:ascii="Calibri" w:eastAsiaTheme="minorHAnsi" w:hAnsi="Calibri" w:cs="Calibri"/>
          <w:sz w:val="22"/>
          <w:lang w:eastAsia="en-US"/>
        </w:rPr>
        <w:t xml:space="preserve">paragraphs 1.33 to 1.35, it would be </w:t>
      </w:r>
      <w:r w:rsidR="00C55C5D">
        <w:rPr>
          <w:rFonts w:ascii="Calibri" w:eastAsiaTheme="minorHAnsi" w:hAnsi="Calibri" w:cs="Calibri"/>
          <w:sz w:val="22"/>
          <w:lang w:eastAsia="en-US"/>
        </w:rPr>
        <w:t xml:space="preserve">a </w:t>
      </w:r>
      <w:r w:rsidR="00220579">
        <w:rPr>
          <w:rFonts w:ascii="Calibri" w:eastAsiaTheme="minorHAnsi" w:hAnsi="Calibri" w:cs="Calibri"/>
          <w:sz w:val="22"/>
          <w:lang w:eastAsia="en-US"/>
        </w:rPr>
        <w:t xml:space="preserve">retrograde </w:t>
      </w:r>
      <w:r w:rsidR="00C55C5D">
        <w:rPr>
          <w:rFonts w:ascii="Calibri" w:eastAsiaTheme="minorHAnsi" w:hAnsi="Calibri" w:cs="Calibri"/>
          <w:sz w:val="22"/>
          <w:lang w:eastAsia="en-US"/>
        </w:rPr>
        <w:t xml:space="preserve">step </w:t>
      </w:r>
      <w:r w:rsidR="00220579">
        <w:rPr>
          <w:rFonts w:ascii="Calibri" w:eastAsiaTheme="minorHAnsi" w:hAnsi="Calibri" w:cs="Calibri"/>
          <w:sz w:val="22"/>
          <w:lang w:eastAsia="en-US"/>
        </w:rPr>
        <w:t xml:space="preserve">to remove the </w:t>
      </w:r>
      <w:r w:rsidR="00C55C5D">
        <w:rPr>
          <w:rFonts w:ascii="Calibri" w:eastAsiaTheme="minorHAnsi" w:hAnsi="Calibri" w:cs="Calibri"/>
          <w:sz w:val="22"/>
          <w:lang w:eastAsia="en-US"/>
        </w:rPr>
        <w:t>coverage</w:t>
      </w:r>
      <w:r w:rsidR="00220579">
        <w:rPr>
          <w:rFonts w:ascii="Calibri" w:eastAsiaTheme="minorHAnsi" w:hAnsi="Calibri" w:cs="Calibri"/>
          <w:sz w:val="22"/>
          <w:lang w:eastAsia="en-US"/>
        </w:rPr>
        <w:t xml:space="preserve"> of the present Comcare scheme</w:t>
      </w:r>
      <w:r w:rsidR="00E71A83">
        <w:rPr>
          <w:rFonts w:ascii="Calibri" w:eastAsiaTheme="minorHAnsi" w:hAnsi="Calibri" w:cs="Calibri"/>
          <w:sz w:val="22"/>
          <w:lang w:eastAsia="en-US"/>
        </w:rPr>
        <w:t xml:space="preserve"> to</w:t>
      </w:r>
      <w:r w:rsidR="00220579">
        <w:rPr>
          <w:rFonts w:ascii="Calibri" w:eastAsiaTheme="minorHAnsi" w:hAnsi="Calibri" w:cs="Calibri"/>
          <w:sz w:val="22"/>
          <w:lang w:eastAsia="en-US"/>
        </w:rPr>
        <w:t xml:space="preserve"> licensees and return them to the State/Territory jurisdictions as previously intended.</w:t>
      </w:r>
      <w:bookmarkEnd w:id="501"/>
    </w:p>
    <w:p w:rsidR="00C55C5D" w:rsidRDefault="00C55C5D" w:rsidP="004102BE">
      <w:pPr>
        <w:numPr>
          <w:ilvl w:val="1"/>
          <w:numId w:val="31"/>
        </w:numPr>
        <w:spacing w:after="120"/>
        <w:ind w:left="709" w:hanging="709"/>
        <w:outlineLvl w:val="0"/>
        <w:rPr>
          <w:rFonts w:ascii="Calibri" w:eastAsiaTheme="minorHAnsi" w:hAnsi="Calibri" w:cs="Calibri"/>
          <w:sz w:val="22"/>
          <w:lang w:eastAsia="en-US"/>
        </w:rPr>
      </w:pPr>
      <w:bookmarkStart w:id="502" w:name="_Toc342578387"/>
      <w:r>
        <w:rPr>
          <w:rFonts w:ascii="Calibri" w:eastAsiaTheme="minorHAnsi" w:hAnsi="Calibri" w:cs="Calibri"/>
          <w:sz w:val="22"/>
          <w:lang w:eastAsia="en-US"/>
        </w:rPr>
        <w:t xml:space="preserve">As discussed in this Report, the licensees have consistently been able to achieve better outcomes </w:t>
      </w:r>
      <w:r w:rsidR="00A15BF1">
        <w:rPr>
          <w:rFonts w:ascii="Calibri" w:eastAsiaTheme="minorHAnsi" w:hAnsi="Calibri" w:cs="Calibri"/>
          <w:sz w:val="22"/>
          <w:lang w:eastAsia="en-US"/>
        </w:rPr>
        <w:t xml:space="preserve">on performance measures </w:t>
      </w:r>
      <w:r w:rsidR="00460364">
        <w:rPr>
          <w:rFonts w:ascii="Calibri" w:eastAsiaTheme="minorHAnsi" w:hAnsi="Calibri" w:cs="Calibri"/>
          <w:sz w:val="22"/>
          <w:lang w:eastAsia="en-US"/>
        </w:rPr>
        <w:t xml:space="preserve">when </w:t>
      </w:r>
      <w:r>
        <w:rPr>
          <w:rFonts w:ascii="Calibri" w:eastAsiaTheme="minorHAnsi" w:hAnsi="Calibri" w:cs="Calibri"/>
          <w:sz w:val="22"/>
          <w:lang w:eastAsia="en-US"/>
        </w:rPr>
        <w:t>compared to the premium payers. This has been possible largely because of the regulatory framework that has been put in place by the SRCC.</w:t>
      </w:r>
      <w:r w:rsidR="00A15BF1">
        <w:rPr>
          <w:rFonts w:ascii="Calibri" w:eastAsiaTheme="minorHAnsi" w:hAnsi="Calibri" w:cs="Calibri"/>
          <w:sz w:val="22"/>
          <w:lang w:eastAsia="en-US"/>
        </w:rPr>
        <w:t xml:space="preserve"> This framework ensur</w:t>
      </w:r>
      <w:r w:rsidR="00E71A83">
        <w:rPr>
          <w:rFonts w:ascii="Calibri" w:eastAsiaTheme="minorHAnsi" w:hAnsi="Calibri" w:cs="Calibri"/>
          <w:sz w:val="22"/>
          <w:lang w:eastAsia="en-US"/>
        </w:rPr>
        <w:t>es</w:t>
      </w:r>
      <w:r w:rsidR="00A15BF1">
        <w:rPr>
          <w:rFonts w:ascii="Calibri" w:eastAsiaTheme="minorHAnsi" w:hAnsi="Calibri" w:cs="Calibri"/>
          <w:sz w:val="22"/>
          <w:lang w:eastAsia="en-US"/>
        </w:rPr>
        <w:t xml:space="preserve"> continuous improvement in licensee performance and can be modified by the SRCC if necessary. As </w:t>
      </w:r>
      <w:r w:rsidR="00E71A83">
        <w:rPr>
          <w:rFonts w:ascii="Calibri" w:eastAsiaTheme="minorHAnsi" w:hAnsi="Calibri" w:cs="Calibri"/>
          <w:sz w:val="22"/>
          <w:lang w:eastAsia="en-US"/>
        </w:rPr>
        <w:t xml:space="preserve">a </w:t>
      </w:r>
      <w:r w:rsidR="00A15BF1">
        <w:rPr>
          <w:rFonts w:ascii="Calibri" w:eastAsiaTheme="minorHAnsi" w:hAnsi="Calibri" w:cs="Calibri"/>
          <w:sz w:val="22"/>
          <w:lang w:eastAsia="en-US"/>
        </w:rPr>
        <w:t>member of the SRCC, the ACTU ha</w:t>
      </w:r>
      <w:r w:rsidR="00E71A83">
        <w:rPr>
          <w:rFonts w:ascii="Calibri" w:eastAsiaTheme="minorHAnsi" w:hAnsi="Calibri" w:cs="Calibri"/>
          <w:sz w:val="22"/>
          <w:lang w:eastAsia="en-US"/>
        </w:rPr>
        <w:t>s</w:t>
      </w:r>
      <w:r w:rsidR="00A15BF1">
        <w:rPr>
          <w:rFonts w:ascii="Calibri" w:eastAsiaTheme="minorHAnsi" w:hAnsi="Calibri" w:cs="Calibri"/>
          <w:sz w:val="22"/>
          <w:lang w:eastAsia="en-US"/>
        </w:rPr>
        <w:t xml:space="preserve"> been actively involved in the development and ongoing monitoring of this regulatory framework and will continue to have the opportunity to influence the performance outcomes of licensees.</w:t>
      </w:r>
      <w:bookmarkEnd w:id="502"/>
    </w:p>
    <w:p w:rsidR="00220579" w:rsidRDefault="00220579" w:rsidP="004102BE">
      <w:pPr>
        <w:numPr>
          <w:ilvl w:val="1"/>
          <w:numId w:val="31"/>
        </w:numPr>
        <w:spacing w:after="120"/>
        <w:ind w:left="709" w:hanging="709"/>
        <w:outlineLvl w:val="0"/>
        <w:rPr>
          <w:rFonts w:ascii="Calibri" w:eastAsiaTheme="minorHAnsi" w:hAnsi="Calibri" w:cs="Calibri"/>
          <w:sz w:val="22"/>
          <w:lang w:eastAsia="en-US"/>
        </w:rPr>
      </w:pPr>
      <w:bookmarkStart w:id="503" w:name="_Toc342578388"/>
      <w:r>
        <w:rPr>
          <w:rFonts w:ascii="Calibri" w:eastAsiaTheme="minorHAnsi" w:hAnsi="Calibri" w:cs="Calibri"/>
          <w:sz w:val="22"/>
          <w:lang w:eastAsia="en-US"/>
        </w:rPr>
        <w:t xml:space="preserve">Indeed, the performance of the licensees is such that the moratorium and competition test should be </w:t>
      </w:r>
      <w:r w:rsidR="00872773">
        <w:rPr>
          <w:rFonts w:ascii="Calibri" w:eastAsiaTheme="minorHAnsi" w:hAnsi="Calibri" w:cs="Calibri"/>
          <w:sz w:val="22"/>
          <w:lang w:eastAsia="en-US"/>
        </w:rPr>
        <w:t>lifted</w:t>
      </w:r>
      <w:r>
        <w:rPr>
          <w:rFonts w:ascii="Calibri" w:eastAsiaTheme="minorHAnsi" w:hAnsi="Calibri" w:cs="Calibri"/>
          <w:sz w:val="22"/>
          <w:lang w:eastAsia="en-US"/>
        </w:rPr>
        <w:t xml:space="preserve"> altogether for </w:t>
      </w:r>
      <w:r w:rsidR="00EB0A6F">
        <w:rPr>
          <w:rFonts w:ascii="Calibri" w:eastAsiaTheme="minorHAnsi" w:hAnsi="Calibri" w:cs="Calibri"/>
          <w:sz w:val="22"/>
          <w:lang w:eastAsia="en-US"/>
        </w:rPr>
        <w:t xml:space="preserve">all </w:t>
      </w:r>
      <w:r>
        <w:rPr>
          <w:rFonts w:ascii="Calibri" w:eastAsiaTheme="minorHAnsi" w:hAnsi="Calibri" w:cs="Calibri"/>
          <w:sz w:val="22"/>
          <w:lang w:eastAsia="en-US"/>
        </w:rPr>
        <w:t>national employers.</w:t>
      </w:r>
      <w:bookmarkEnd w:id="503"/>
    </w:p>
    <w:p w:rsidR="00630B11" w:rsidRDefault="00220579" w:rsidP="004102BE">
      <w:pPr>
        <w:numPr>
          <w:ilvl w:val="1"/>
          <w:numId w:val="31"/>
        </w:numPr>
        <w:spacing w:after="120"/>
        <w:ind w:left="709" w:hanging="709"/>
        <w:outlineLvl w:val="0"/>
        <w:rPr>
          <w:rFonts w:ascii="Calibri" w:eastAsiaTheme="minorHAnsi" w:hAnsi="Calibri" w:cs="Calibri"/>
          <w:sz w:val="22"/>
          <w:lang w:eastAsia="en-US"/>
        </w:rPr>
      </w:pPr>
      <w:bookmarkStart w:id="504" w:name="_Toc342578389"/>
      <w:r>
        <w:rPr>
          <w:rFonts w:ascii="Calibri" w:eastAsiaTheme="minorHAnsi" w:hAnsi="Calibri" w:cs="Calibri"/>
          <w:sz w:val="22"/>
          <w:lang w:eastAsia="en-US"/>
        </w:rPr>
        <w:t>Adoption of recommendations 6, 7 and 8 would assist in reducing red tape, while broadening the Comcare scheme to allow a national approach for employers who satisfy the associated set of criteria and would build on the national disability strategy and approach. This would be welcomed by business</w:t>
      </w:r>
      <w:r w:rsidR="00460364">
        <w:rPr>
          <w:rFonts w:ascii="Calibri" w:eastAsiaTheme="minorHAnsi" w:hAnsi="Calibri" w:cs="Calibri"/>
          <w:sz w:val="22"/>
          <w:lang w:eastAsia="en-US"/>
        </w:rPr>
        <w:t>, while</w:t>
      </w:r>
      <w:r>
        <w:rPr>
          <w:rFonts w:ascii="Calibri" w:eastAsiaTheme="minorHAnsi" w:hAnsi="Calibri" w:cs="Calibri"/>
          <w:sz w:val="22"/>
          <w:lang w:eastAsia="en-US"/>
        </w:rPr>
        <w:t xml:space="preserve"> the major concerns raised by the ACTU</w:t>
      </w:r>
      <w:r w:rsidR="00E21C12">
        <w:rPr>
          <w:rFonts w:ascii="Calibri" w:eastAsiaTheme="minorHAnsi" w:hAnsi="Calibri" w:cs="Calibri"/>
          <w:sz w:val="22"/>
          <w:lang w:eastAsia="en-US"/>
        </w:rPr>
        <w:t xml:space="preserve"> will be satisfied by the SRCC processes</w:t>
      </w:r>
      <w:r>
        <w:rPr>
          <w:rFonts w:ascii="Calibri" w:eastAsiaTheme="minorHAnsi" w:hAnsi="Calibri" w:cs="Calibri"/>
          <w:sz w:val="22"/>
          <w:lang w:eastAsia="en-US"/>
        </w:rPr>
        <w:t>.</w:t>
      </w:r>
      <w:bookmarkEnd w:id="504"/>
    </w:p>
    <w:p w:rsidR="00744A57" w:rsidRDefault="00744A57" w:rsidP="000D7C1C">
      <w:pPr>
        <w:spacing w:after="120"/>
        <w:ind w:left="709"/>
        <w:outlineLvl w:val="0"/>
        <w:rPr>
          <w:rFonts w:ascii="Calibri" w:eastAsiaTheme="minorHAnsi" w:hAnsi="Calibri" w:cs="Calibri"/>
          <w:sz w:val="22"/>
          <w:lang w:eastAsia="en-US"/>
        </w:rPr>
      </w:pPr>
    </w:p>
    <w:p w:rsidR="00DE0D43" w:rsidRPr="004102BE" w:rsidRDefault="004102BE" w:rsidP="004102BE">
      <w:pPr>
        <w:pBdr>
          <w:top w:val="single" w:sz="4" w:space="2"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Calibri" w:hAnsi="Calibri" w:cs="Calibri"/>
          <w:b/>
          <w:sz w:val="22"/>
          <w:szCs w:val="22"/>
        </w:rPr>
      </w:pPr>
      <w:r w:rsidRPr="004102BE">
        <w:rPr>
          <w:rFonts w:ascii="Calibri" w:hAnsi="Calibri" w:cs="Calibri"/>
          <w:b/>
          <w:sz w:val="22"/>
          <w:szCs w:val="22"/>
        </w:rPr>
        <w:t>Recommendation 5</w:t>
      </w:r>
    </w:p>
    <w:p w:rsidR="00630B11" w:rsidRDefault="00A74242" w:rsidP="004102BE">
      <w:pPr>
        <w:pBdr>
          <w:top w:val="single" w:sz="4" w:space="2"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Calibri" w:hAnsi="Calibri" w:cs="Calibri"/>
          <w:sz w:val="22"/>
          <w:szCs w:val="22"/>
        </w:rPr>
      </w:pPr>
      <w:r w:rsidRPr="004102BE">
        <w:rPr>
          <w:rFonts w:ascii="Calibri" w:hAnsi="Calibri" w:cs="Calibri"/>
          <w:sz w:val="22"/>
          <w:szCs w:val="22"/>
        </w:rPr>
        <w:t xml:space="preserve">The SRCC should establish a consistent </w:t>
      </w:r>
      <w:r>
        <w:rPr>
          <w:rFonts w:ascii="Calibri" w:hAnsi="Calibri" w:cs="Calibri"/>
          <w:sz w:val="22"/>
          <w:szCs w:val="22"/>
        </w:rPr>
        <w:t xml:space="preserve">year-to-year </w:t>
      </w:r>
      <w:r w:rsidRPr="004102BE">
        <w:rPr>
          <w:rFonts w:ascii="Calibri" w:hAnsi="Calibri" w:cs="Calibri"/>
          <w:sz w:val="22"/>
          <w:szCs w:val="22"/>
        </w:rPr>
        <w:t xml:space="preserve">approach to the methodology it uses for setting the </w:t>
      </w:r>
      <w:r w:rsidR="000A5586">
        <w:rPr>
          <w:rFonts w:ascii="Calibri" w:hAnsi="Calibri" w:cs="Calibri"/>
          <w:sz w:val="22"/>
          <w:szCs w:val="22"/>
        </w:rPr>
        <w:t>licence</w:t>
      </w:r>
      <w:r w:rsidRPr="004102BE">
        <w:rPr>
          <w:rFonts w:ascii="Calibri" w:hAnsi="Calibri" w:cs="Calibri"/>
          <w:sz w:val="22"/>
          <w:szCs w:val="22"/>
        </w:rPr>
        <w:t xml:space="preserve"> fees for each tier status under the </w:t>
      </w:r>
      <w:r>
        <w:rPr>
          <w:rFonts w:ascii="Calibri" w:hAnsi="Calibri" w:cs="Calibri"/>
          <w:sz w:val="22"/>
          <w:szCs w:val="22"/>
        </w:rPr>
        <w:t>Licensee I</w:t>
      </w:r>
      <w:r w:rsidR="00DD2824">
        <w:rPr>
          <w:rFonts w:ascii="Calibri" w:hAnsi="Calibri" w:cs="Calibri"/>
          <w:sz w:val="22"/>
          <w:szCs w:val="22"/>
        </w:rPr>
        <w:t>mprovement</w:t>
      </w:r>
      <w:r w:rsidRPr="004102BE">
        <w:rPr>
          <w:rFonts w:ascii="Calibri" w:hAnsi="Calibri" w:cs="Calibri"/>
          <w:sz w:val="22"/>
          <w:szCs w:val="22"/>
        </w:rPr>
        <w:t xml:space="preserve"> Program </w:t>
      </w:r>
      <w:r>
        <w:rPr>
          <w:rFonts w:ascii="Calibri" w:hAnsi="Calibri" w:cs="Calibri"/>
          <w:sz w:val="22"/>
          <w:szCs w:val="22"/>
        </w:rPr>
        <w:t xml:space="preserve">(LIP) </w:t>
      </w:r>
      <w:r w:rsidRPr="004102BE">
        <w:rPr>
          <w:rFonts w:ascii="Calibri" w:hAnsi="Calibri" w:cs="Calibri"/>
          <w:sz w:val="22"/>
          <w:szCs w:val="22"/>
        </w:rPr>
        <w:t>and engage in an education campaign to explain this to the licensees.</w:t>
      </w:r>
    </w:p>
    <w:p w:rsidR="00744A57" w:rsidRPr="000D7C1C" w:rsidRDefault="00744A57" w:rsidP="000D7C1C">
      <w:pPr>
        <w:spacing w:after="120"/>
        <w:ind w:left="709"/>
        <w:outlineLvl w:val="0"/>
        <w:rPr>
          <w:rFonts w:ascii="Calibri" w:eastAsiaTheme="minorHAnsi" w:hAnsi="Calibri" w:cs="Calibri"/>
          <w:sz w:val="22"/>
          <w:lang w:eastAsia="en-US"/>
        </w:rPr>
      </w:pPr>
    </w:p>
    <w:p w:rsidR="00744A57" w:rsidRPr="000D7C1C" w:rsidRDefault="00744A57" w:rsidP="000D7C1C">
      <w:pPr>
        <w:spacing w:before="100" w:beforeAutospacing="1" w:after="120"/>
        <w:ind w:left="709"/>
        <w:jc w:val="center"/>
        <w:outlineLvl w:val="0"/>
        <w:rPr>
          <w:rFonts w:ascii="Calibri" w:eastAsiaTheme="minorHAnsi" w:hAnsi="Calibri" w:cs="Calibri"/>
          <w:b/>
          <w:sz w:val="22"/>
          <w:lang w:eastAsia="en-US"/>
        </w:rPr>
      </w:pPr>
    </w:p>
    <w:p w:rsidR="004102BE" w:rsidRPr="004102BE" w:rsidRDefault="004102BE" w:rsidP="004102BE">
      <w:pPr>
        <w:pBdr>
          <w:top w:val="single" w:sz="4" w:space="2"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Calibri" w:hAnsi="Calibri" w:cs="Calibri"/>
          <w:sz w:val="22"/>
          <w:szCs w:val="22"/>
        </w:rPr>
      </w:pPr>
      <w:r w:rsidRPr="004102BE">
        <w:rPr>
          <w:rFonts w:ascii="Calibri" w:hAnsi="Calibri" w:cs="Calibri"/>
          <w:b/>
          <w:sz w:val="22"/>
          <w:szCs w:val="22"/>
        </w:rPr>
        <w:lastRenderedPageBreak/>
        <w:t>Recommendation 6</w:t>
      </w:r>
    </w:p>
    <w:p w:rsidR="00A74242" w:rsidRDefault="00A74242" w:rsidP="00A74242">
      <w:pPr>
        <w:pBdr>
          <w:top w:val="single" w:sz="4" w:space="2"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Calibri" w:hAnsi="Calibri" w:cs="Calibri"/>
          <w:sz w:val="22"/>
          <w:szCs w:val="22"/>
        </w:rPr>
      </w:pPr>
      <w:r w:rsidRPr="002555F4">
        <w:rPr>
          <w:rFonts w:ascii="Calibri" w:hAnsi="Calibri" w:cs="Calibri"/>
          <w:sz w:val="22"/>
          <w:szCs w:val="22"/>
        </w:rPr>
        <w:t xml:space="preserve">The </w:t>
      </w:r>
      <w:r w:rsidR="00270E9C">
        <w:rPr>
          <w:rFonts w:ascii="Calibri" w:hAnsi="Calibri" w:cs="Calibri"/>
          <w:sz w:val="22"/>
          <w:szCs w:val="22"/>
        </w:rPr>
        <w:t xml:space="preserve">SRC Act </w:t>
      </w:r>
      <w:r w:rsidRPr="002555F4">
        <w:rPr>
          <w:rFonts w:ascii="Calibri" w:hAnsi="Calibri" w:cs="Calibri"/>
          <w:sz w:val="22"/>
          <w:szCs w:val="22"/>
        </w:rPr>
        <w:t xml:space="preserve">should be amended to allow the SRCC </w:t>
      </w:r>
      <w:r w:rsidR="003C16D7">
        <w:rPr>
          <w:rFonts w:ascii="Calibri" w:hAnsi="Calibri" w:cs="Calibri"/>
          <w:sz w:val="22"/>
          <w:szCs w:val="22"/>
        </w:rPr>
        <w:t xml:space="preserve">to grant </w:t>
      </w:r>
      <w:r w:rsidRPr="002555F4">
        <w:rPr>
          <w:rFonts w:ascii="Calibri" w:hAnsi="Calibri" w:cs="Calibri"/>
          <w:sz w:val="22"/>
          <w:szCs w:val="22"/>
        </w:rPr>
        <w:t xml:space="preserve">group </w:t>
      </w:r>
      <w:r w:rsidR="000A5586">
        <w:rPr>
          <w:rFonts w:ascii="Calibri" w:hAnsi="Calibri" w:cs="Calibri"/>
          <w:sz w:val="22"/>
          <w:szCs w:val="22"/>
        </w:rPr>
        <w:t>licence</w:t>
      </w:r>
      <w:r w:rsidRPr="002555F4">
        <w:rPr>
          <w:rFonts w:ascii="Calibri" w:hAnsi="Calibri" w:cs="Calibri"/>
          <w:sz w:val="22"/>
          <w:szCs w:val="22"/>
        </w:rPr>
        <w:t>s to companies of licenced self-insurers with more than one entity, subject to satisfying all prudential requirements, in order to reduce administrative costs for scheme participation.</w:t>
      </w:r>
    </w:p>
    <w:p w:rsidR="004102BE" w:rsidRPr="0035663E" w:rsidRDefault="00872773" w:rsidP="004102BE">
      <w:pPr>
        <w:pBdr>
          <w:top w:val="single" w:sz="4" w:space="2"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Calibri" w:hAnsi="Calibri" w:cs="Calibri"/>
          <w:b/>
          <w:sz w:val="22"/>
          <w:szCs w:val="22"/>
        </w:rPr>
      </w:pPr>
      <w:r w:rsidRPr="0035663E">
        <w:rPr>
          <w:rFonts w:ascii="Calibri" w:hAnsi="Calibri" w:cs="Calibri"/>
          <w:b/>
          <w:sz w:val="22"/>
          <w:szCs w:val="22"/>
        </w:rPr>
        <w:t>Recommendation 7</w:t>
      </w:r>
    </w:p>
    <w:p w:rsidR="00872773" w:rsidRDefault="00872773" w:rsidP="004102BE">
      <w:pPr>
        <w:pBdr>
          <w:top w:val="single" w:sz="4" w:space="2"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Calibri" w:hAnsi="Calibri" w:cs="Calibri"/>
          <w:sz w:val="22"/>
          <w:szCs w:val="22"/>
        </w:rPr>
      </w:pPr>
      <w:r>
        <w:rPr>
          <w:rFonts w:ascii="Calibri" w:hAnsi="Calibri" w:cs="Calibri"/>
          <w:sz w:val="22"/>
          <w:szCs w:val="22"/>
        </w:rPr>
        <w:t>The moratorium and competition test should be lifted, allowing national employers to join the Comcare scheme.</w:t>
      </w:r>
    </w:p>
    <w:p w:rsidR="00872773" w:rsidRPr="0035663E" w:rsidRDefault="00872773" w:rsidP="004102BE">
      <w:pPr>
        <w:pBdr>
          <w:top w:val="single" w:sz="4" w:space="2"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Calibri" w:hAnsi="Calibri" w:cs="Calibri"/>
          <w:b/>
          <w:sz w:val="22"/>
          <w:szCs w:val="22"/>
        </w:rPr>
      </w:pPr>
      <w:r w:rsidRPr="0035663E">
        <w:rPr>
          <w:rFonts w:ascii="Calibri" w:hAnsi="Calibri" w:cs="Calibri"/>
          <w:b/>
          <w:sz w:val="22"/>
          <w:szCs w:val="22"/>
        </w:rPr>
        <w:t>Recommendation 8</w:t>
      </w:r>
    </w:p>
    <w:p w:rsidR="00872773" w:rsidRPr="004102BE" w:rsidRDefault="00872773" w:rsidP="004102BE">
      <w:pPr>
        <w:pBdr>
          <w:top w:val="single" w:sz="4" w:space="2"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Calibri" w:hAnsi="Calibri" w:cs="Calibri"/>
          <w:sz w:val="22"/>
          <w:szCs w:val="22"/>
        </w:rPr>
      </w:pPr>
      <w:r>
        <w:rPr>
          <w:rFonts w:ascii="Calibri" w:hAnsi="Calibri" w:cs="Calibri"/>
          <w:sz w:val="22"/>
          <w:szCs w:val="22"/>
        </w:rPr>
        <w:t xml:space="preserve">The </w:t>
      </w:r>
      <w:r w:rsidR="00EB0A6F">
        <w:rPr>
          <w:rFonts w:ascii="Calibri" w:hAnsi="Calibri" w:cs="Calibri"/>
          <w:sz w:val="22"/>
          <w:szCs w:val="22"/>
        </w:rPr>
        <w:t>SRCC</w:t>
      </w:r>
      <w:r>
        <w:rPr>
          <w:rFonts w:ascii="Calibri" w:hAnsi="Calibri" w:cs="Calibri"/>
          <w:sz w:val="22"/>
          <w:szCs w:val="22"/>
        </w:rPr>
        <w:t xml:space="preserve"> establish a process to satisfy itself that each applicant for self insurance under the SRC Act meets the criteria associated with determining that they are a national employer.</w:t>
      </w:r>
    </w:p>
    <w:p w:rsidR="00744A57" w:rsidRDefault="00744A57" w:rsidP="000D7C1C">
      <w:pPr>
        <w:spacing w:after="120"/>
        <w:ind w:left="709"/>
        <w:outlineLvl w:val="0"/>
        <w:rPr>
          <w:rFonts w:ascii="Arial" w:hAnsi="Arial"/>
          <w:bCs/>
          <w:caps/>
          <w:color w:val="1F497D" w:themeColor="text2"/>
          <w:kern w:val="36"/>
          <w:sz w:val="28"/>
          <w:szCs w:val="28"/>
        </w:rPr>
      </w:pPr>
      <w:bookmarkStart w:id="505" w:name="_Toc341778017"/>
    </w:p>
    <w:p w:rsidR="004102BE" w:rsidRPr="004102BE" w:rsidRDefault="004102BE" w:rsidP="004102BE">
      <w:pPr>
        <w:spacing w:before="100" w:beforeAutospacing="1" w:after="100" w:afterAutospacing="1"/>
        <w:outlineLvl w:val="0"/>
        <w:rPr>
          <w:rFonts w:ascii="Arial" w:hAnsi="Arial"/>
          <w:bCs/>
          <w:caps/>
          <w:color w:val="1F497D" w:themeColor="text2"/>
          <w:kern w:val="36"/>
          <w:sz w:val="28"/>
          <w:szCs w:val="28"/>
        </w:rPr>
      </w:pPr>
      <w:bookmarkStart w:id="506" w:name="_Toc342578390"/>
      <w:r w:rsidRPr="004102BE">
        <w:rPr>
          <w:rFonts w:ascii="Arial" w:hAnsi="Arial"/>
          <w:bCs/>
          <w:caps/>
          <w:color w:val="1F497D" w:themeColor="text2"/>
          <w:kern w:val="36"/>
          <w:sz w:val="28"/>
          <w:szCs w:val="28"/>
        </w:rPr>
        <w:t>the performance of Determining Authorities</w:t>
      </w:r>
      <w:bookmarkEnd w:id="505"/>
      <w:bookmarkEnd w:id="506"/>
    </w:p>
    <w:p w:rsidR="004102BE" w:rsidRPr="004102BE" w:rsidRDefault="004102BE" w:rsidP="0035663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Performance of the premium payer side of the scheme has deteriorated in recent years, especially in relation to claims continuance rates. Compared with the previous year, the actuarial review of premiums for the 2012-13 financial year has resulted in:</w:t>
      </w:r>
    </w:p>
    <w:p w:rsidR="004102BE" w:rsidRPr="004102BE" w:rsidRDefault="004102BE" w:rsidP="004102BE">
      <w:pPr>
        <w:numPr>
          <w:ilvl w:val="0"/>
          <w:numId w:val="27"/>
        </w:numPr>
        <w:spacing w:after="120"/>
        <w:ind w:left="1134" w:hanging="425"/>
        <w:rPr>
          <w:rFonts w:ascii="Calibri" w:hAnsi="Calibri" w:cs="Calibri"/>
          <w:sz w:val="19"/>
        </w:rPr>
      </w:pPr>
      <w:r w:rsidRPr="004102BE">
        <w:rPr>
          <w:rFonts w:ascii="Calibri" w:eastAsiaTheme="minorHAnsi" w:hAnsi="Calibri" w:cs="Calibri"/>
          <w:sz w:val="22"/>
          <w:lang w:eastAsia="en-US"/>
        </w:rPr>
        <w:t xml:space="preserve">an increase in the central estimate of premiums for Australian Government employers from $201.7m the previous year to $268.3m; and </w:t>
      </w:r>
    </w:p>
    <w:p w:rsidR="004102BE" w:rsidRPr="004102BE" w:rsidRDefault="004102BE" w:rsidP="004102BE">
      <w:pPr>
        <w:numPr>
          <w:ilvl w:val="0"/>
          <w:numId w:val="27"/>
        </w:numPr>
        <w:spacing w:after="120"/>
        <w:ind w:left="1134" w:hanging="425"/>
        <w:rPr>
          <w:rFonts w:ascii="Calibri" w:hAnsi="Calibri" w:cs="Calibri"/>
          <w:sz w:val="19"/>
        </w:rPr>
      </w:pPr>
      <w:proofErr w:type="gramStart"/>
      <w:r w:rsidRPr="004102BE">
        <w:rPr>
          <w:rFonts w:ascii="Calibri" w:eastAsiaTheme="minorHAnsi" w:hAnsi="Calibri" w:cs="Calibri"/>
          <w:sz w:val="22"/>
          <w:lang w:eastAsia="en-US"/>
        </w:rPr>
        <w:t>an</w:t>
      </w:r>
      <w:proofErr w:type="gramEnd"/>
      <w:r w:rsidRPr="004102BE">
        <w:rPr>
          <w:rFonts w:ascii="Calibri" w:eastAsiaTheme="minorHAnsi" w:hAnsi="Calibri" w:cs="Calibri"/>
          <w:sz w:val="22"/>
          <w:lang w:eastAsia="en-US"/>
        </w:rPr>
        <w:t xml:space="preserve"> increase in the central estimate of premiums for the ACT Government from $48.5m the previous year to $62m.</w:t>
      </w:r>
    </w:p>
    <w:p w:rsidR="004102BE" w:rsidRPr="004102BE" w:rsidRDefault="004102BE" w:rsidP="0035663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 xml:space="preserve">These increases are largely attributable by the actuaries </w:t>
      </w:r>
      <w:r w:rsidR="003C26C4">
        <w:rPr>
          <w:rFonts w:ascii="Calibri" w:eastAsiaTheme="minorHAnsi" w:hAnsi="Calibri" w:cs="Calibri"/>
          <w:sz w:val="22"/>
          <w:lang w:eastAsia="en-US"/>
        </w:rPr>
        <w:t xml:space="preserve">for Comcare </w:t>
      </w:r>
      <w:r w:rsidRPr="004102BE">
        <w:rPr>
          <w:rFonts w:ascii="Calibri" w:eastAsiaTheme="minorHAnsi" w:hAnsi="Calibri" w:cs="Calibri"/>
          <w:sz w:val="22"/>
          <w:lang w:eastAsia="en-US"/>
        </w:rPr>
        <w:t>to:</w:t>
      </w:r>
    </w:p>
    <w:p w:rsidR="004102BE" w:rsidRPr="004102BE" w:rsidRDefault="004102BE" w:rsidP="004102BE">
      <w:pPr>
        <w:numPr>
          <w:ilvl w:val="0"/>
          <w:numId w:val="27"/>
        </w:numPr>
        <w:spacing w:after="120"/>
        <w:ind w:left="1134" w:hanging="425"/>
        <w:rPr>
          <w:rFonts w:ascii="Calibri" w:hAnsi="Calibri" w:cs="Calibri"/>
          <w:sz w:val="19"/>
        </w:rPr>
      </w:pPr>
      <w:r w:rsidRPr="004102BE">
        <w:rPr>
          <w:rFonts w:ascii="Calibri" w:eastAsiaTheme="minorHAnsi" w:hAnsi="Calibri" w:cs="Calibri"/>
          <w:sz w:val="22"/>
          <w:lang w:eastAsia="en-US"/>
        </w:rPr>
        <w:t>a marked deterioration in both short term (up to ten years) and long term (ten years or more) “claim continuance rates” (the length of time an injured worker is expected to stay in receipt of compensation);</w:t>
      </w:r>
    </w:p>
    <w:p w:rsidR="004102BE" w:rsidRPr="004102BE" w:rsidRDefault="004102BE" w:rsidP="004102BE">
      <w:pPr>
        <w:numPr>
          <w:ilvl w:val="0"/>
          <w:numId w:val="27"/>
        </w:numPr>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an increase in the number of mental health claims expected to receive payments; and</w:t>
      </w:r>
    </w:p>
    <w:p w:rsidR="004102BE" w:rsidRPr="004102BE" w:rsidRDefault="004102BE" w:rsidP="004102BE">
      <w:pPr>
        <w:numPr>
          <w:ilvl w:val="0"/>
          <w:numId w:val="24"/>
        </w:numPr>
        <w:spacing w:after="120"/>
        <w:ind w:left="1134" w:hanging="425"/>
        <w:rPr>
          <w:rFonts w:ascii="Calibri" w:eastAsiaTheme="minorHAnsi" w:hAnsi="Calibri" w:cs="Calibri"/>
          <w:sz w:val="22"/>
          <w:lang w:eastAsia="en-US"/>
        </w:rPr>
      </w:pPr>
      <w:proofErr w:type="gramStart"/>
      <w:r w:rsidRPr="004102BE">
        <w:rPr>
          <w:rFonts w:ascii="Calibri" w:eastAsiaTheme="minorHAnsi" w:hAnsi="Calibri" w:cs="Calibri"/>
          <w:sz w:val="22"/>
          <w:lang w:eastAsia="en-US"/>
        </w:rPr>
        <w:t>changes</w:t>
      </w:r>
      <w:proofErr w:type="gramEnd"/>
      <w:r w:rsidRPr="004102BE">
        <w:rPr>
          <w:rFonts w:ascii="Calibri" w:eastAsiaTheme="minorHAnsi" w:hAnsi="Calibri" w:cs="Calibri"/>
          <w:sz w:val="22"/>
          <w:lang w:eastAsia="en-US"/>
        </w:rPr>
        <w:t xml:space="preserve"> in economic assumptions as a result of a large reduction in the future rates of interest assumed for discounting, consistent with reductions in market yields on Commonwealth Government bonds</w:t>
      </w:r>
      <w:r w:rsidR="00FD66AA">
        <w:rPr>
          <w:rFonts w:ascii="Calibri" w:eastAsiaTheme="minorHAnsi" w:hAnsi="Calibri" w:cs="Calibri"/>
          <w:sz w:val="22"/>
          <w:lang w:eastAsia="en-US"/>
        </w:rPr>
        <w:t>.</w:t>
      </w:r>
      <w:r w:rsidRPr="004102BE">
        <w:rPr>
          <w:rFonts w:asciiTheme="minorHAnsi" w:eastAsiaTheme="minorHAnsi" w:hAnsiTheme="minorHAnsi" w:cstheme="minorBidi"/>
          <w:sz w:val="22"/>
          <w:szCs w:val="22"/>
          <w:vertAlign w:val="superscript"/>
          <w:lang w:eastAsia="en-US"/>
        </w:rPr>
        <w:footnoteReference w:id="20"/>
      </w:r>
      <w:r w:rsidRPr="004102BE">
        <w:rPr>
          <w:rFonts w:asciiTheme="minorHAnsi" w:eastAsiaTheme="minorHAnsi" w:hAnsiTheme="minorHAnsi" w:cstheme="minorBidi"/>
          <w:sz w:val="22"/>
          <w:szCs w:val="22"/>
          <w:vertAlign w:val="superscript"/>
          <w:lang w:eastAsia="en-US"/>
        </w:rPr>
        <w:t xml:space="preserve"> </w:t>
      </w:r>
    </w:p>
    <w:p w:rsidR="004102BE" w:rsidRPr="004102BE" w:rsidRDefault="004102BE" w:rsidP="004102BE">
      <w:pPr>
        <w:numPr>
          <w:ilvl w:val="1"/>
          <w:numId w:val="31"/>
        </w:numPr>
        <w:spacing w:after="120"/>
        <w:ind w:left="709" w:hanging="709"/>
        <w:outlineLvl w:val="0"/>
        <w:rPr>
          <w:rFonts w:ascii="Calibri" w:eastAsiaTheme="minorHAnsi" w:hAnsi="Calibri" w:cs="Calibri"/>
          <w:sz w:val="22"/>
          <w:lang w:eastAsia="en-US"/>
        </w:rPr>
      </w:pPr>
      <w:bookmarkStart w:id="507" w:name="_Toc341778018"/>
      <w:bookmarkStart w:id="508" w:name="_Toc341780778"/>
      <w:bookmarkStart w:id="509" w:name="_Toc342578391"/>
      <w:r w:rsidRPr="004102BE">
        <w:rPr>
          <w:rFonts w:ascii="Calibri" w:eastAsiaTheme="minorHAnsi" w:hAnsi="Calibri" w:cs="Calibri"/>
          <w:sz w:val="22"/>
          <w:lang w:eastAsia="en-US"/>
        </w:rPr>
        <w:t>Two of the three reasons identified by the actuaries for Comcare for the increase in premiums relate to claims performance. Specifically, not only are injured workers staying on benefits for longer periods, but there has also been an increase in the number of mental health claims being accepted. Comcare and stakeholders consider these latter claims to be more difficult to manage.</w:t>
      </w:r>
      <w:bookmarkEnd w:id="507"/>
      <w:bookmarkEnd w:id="508"/>
      <w:bookmarkEnd w:id="509"/>
    </w:p>
    <w:p w:rsidR="004102BE" w:rsidRPr="004102BE" w:rsidRDefault="004102BE" w:rsidP="004102BE">
      <w:pPr>
        <w:numPr>
          <w:ilvl w:val="1"/>
          <w:numId w:val="31"/>
        </w:numPr>
        <w:spacing w:after="120"/>
        <w:ind w:left="709" w:hanging="709"/>
        <w:outlineLvl w:val="0"/>
        <w:rPr>
          <w:rFonts w:ascii="Calibri" w:eastAsiaTheme="minorHAnsi" w:hAnsi="Calibri" w:cs="Calibri"/>
          <w:sz w:val="22"/>
          <w:lang w:eastAsia="en-US"/>
        </w:rPr>
      </w:pPr>
      <w:bookmarkStart w:id="510" w:name="_Toc341778019"/>
      <w:bookmarkStart w:id="511" w:name="_Toc341780779"/>
      <w:bookmarkStart w:id="512" w:name="_Toc342578392"/>
      <w:r w:rsidRPr="004102BE">
        <w:rPr>
          <w:rFonts w:ascii="Calibri" w:eastAsiaTheme="minorHAnsi" w:hAnsi="Calibri" w:cs="Calibri"/>
          <w:sz w:val="22"/>
          <w:lang w:eastAsia="en-US"/>
        </w:rPr>
        <w:t xml:space="preserve">The percentage of disease (including mental health) claims being accepted </w:t>
      </w:r>
      <w:r w:rsidR="00FD66AA">
        <w:rPr>
          <w:rFonts w:ascii="Calibri" w:eastAsiaTheme="minorHAnsi" w:hAnsi="Calibri" w:cs="Calibri"/>
          <w:sz w:val="22"/>
          <w:lang w:eastAsia="en-US"/>
        </w:rPr>
        <w:t>fluctuates</w:t>
      </w:r>
      <w:r w:rsidR="00C63A6D">
        <w:rPr>
          <w:rFonts w:ascii="Calibri" w:eastAsiaTheme="minorHAnsi" w:hAnsi="Calibri" w:cs="Calibri"/>
          <w:sz w:val="22"/>
          <w:lang w:eastAsia="en-US"/>
        </w:rPr>
        <w:t xml:space="preserve"> year to year, </w:t>
      </w:r>
      <w:r w:rsidR="009344E4">
        <w:rPr>
          <w:rFonts w:ascii="Calibri" w:eastAsiaTheme="minorHAnsi" w:hAnsi="Calibri" w:cs="Calibri"/>
          <w:sz w:val="22"/>
          <w:lang w:eastAsia="en-US"/>
        </w:rPr>
        <w:t xml:space="preserve">but </w:t>
      </w:r>
      <w:r w:rsidR="00C63A6D">
        <w:rPr>
          <w:rFonts w:ascii="Calibri" w:eastAsiaTheme="minorHAnsi" w:hAnsi="Calibri" w:cs="Calibri"/>
          <w:sz w:val="22"/>
          <w:lang w:eastAsia="en-US"/>
        </w:rPr>
        <w:t>the overall trend is increasing f</w:t>
      </w:r>
      <w:r w:rsidR="00593CF5">
        <w:rPr>
          <w:rFonts w:ascii="Calibri" w:eastAsiaTheme="minorHAnsi" w:hAnsi="Calibri" w:cs="Calibri"/>
          <w:sz w:val="22"/>
          <w:lang w:eastAsia="en-US"/>
        </w:rPr>
        <w:t>ro</w:t>
      </w:r>
      <w:r w:rsidR="00C63A6D">
        <w:rPr>
          <w:rFonts w:ascii="Calibri" w:eastAsiaTheme="minorHAnsi" w:hAnsi="Calibri" w:cs="Calibri"/>
          <w:sz w:val="22"/>
          <w:lang w:eastAsia="en-US"/>
        </w:rPr>
        <w:t xml:space="preserve">m 2006-07 onwards </w:t>
      </w:r>
      <w:r w:rsidRPr="004102BE">
        <w:rPr>
          <w:rFonts w:ascii="Calibri" w:eastAsiaTheme="minorHAnsi" w:hAnsi="Calibri" w:cs="Calibri"/>
          <w:sz w:val="22"/>
          <w:lang w:eastAsia="en-US"/>
        </w:rPr>
        <w:t>as shown in Figure 2.3.</w:t>
      </w:r>
      <w:bookmarkEnd w:id="510"/>
      <w:bookmarkEnd w:id="511"/>
      <w:bookmarkEnd w:id="512"/>
    </w:p>
    <w:p w:rsidR="004102BE" w:rsidRPr="004102BE" w:rsidRDefault="004102BE" w:rsidP="004102BE">
      <w:pPr>
        <w:keepNext/>
        <w:keepLines/>
        <w:ind w:left="709"/>
        <w:contextualSpacing/>
        <w:jc w:val="center"/>
        <w:rPr>
          <w:rFonts w:asciiTheme="minorHAnsi" w:eastAsiaTheme="minorHAnsi" w:hAnsiTheme="minorHAnsi" w:cstheme="minorBidi"/>
          <w:b/>
          <w:sz w:val="22"/>
          <w:szCs w:val="22"/>
          <w:lang w:eastAsia="en-US"/>
        </w:rPr>
      </w:pPr>
      <w:r w:rsidRPr="004102BE">
        <w:rPr>
          <w:rFonts w:asciiTheme="minorHAnsi" w:eastAsiaTheme="minorHAnsi" w:hAnsiTheme="minorHAnsi" w:cstheme="minorBidi"/>
          <w:b/>
          <w:sz w:val="22"/>
          <w:szCs w:val="22"/>
          <w:lang w:eastAsia="en-US"/>
        </w:rPr>
        <w:lastRenderedPageBreak/>
        <w:t>Figure 2.3: Claims by Injury/Disease (premium payers)</w:t>
      </w:r>
    </w:p>
    <w:p w:rsidR="004102BE" w:rsidRPr="004102BE" w:rsidRDefault="004102BE" w:rsidP="004102BE">
      <w:pPr>
        <w:keepNext/>
        <w:keepLines/>
        <w:ind w:left="709"/>
        <w:contextualSpacing/>
        <w:jc w:val="center"/>
        <w:rPr>
          <w:rFonts w:asciiTheme="minorHAnsi" w:eastAsiaTheme="minorHAnsi" w:hAnsiTheme="minorHAnsi" w:cstheme="minorBidi"/>
          <w:b/>
          <w:sz w:val="22"/>
          <w:szCs w:val="22"/>
          <w:lang w:eastAsia="en-US"/>
        </w:rPr>
      </w:pPr>
    </w:p>
    <w:p w:rsidR="004102BE" w:rsidRPr="004102BE" w:rsidRDefault="004102BE" w:rsidP="004102BE">
      <w:pPr>
        <w:keepNext/>
        <w:keepLines/>
        <w:spacing w:after="120"/>
        <w:ind w:left="709" w:hanging="709"/>
        <w:jc w:val="center"/>
        <w:rPr>
          <w:rFonts w:ascii="Calibri" w:eastAsiaTheme="minorHAnsi" w:hAnsi="Calibri" w:cs="Calibri"/>
          <w:b/>
          <w:noProof/>
          <w:sz w:val="22"/>
          <w:szCs w:val="22"/>
        </w:rPr>
      </w:pPr>
      <w:r w:rsidRPr="0035663E">
        <w:rPr>
          <w:rFonts w:ascii="Calibri" w:eastAsiaTheme="minorHAnsi" w:hAnsi="Calibri" w:cs="Calibri"/>
          <w:b/>
          <w:noProof/>
          <w:sz w:val="22"/>
          <w:szCs w:val="22"/>
        </w:rPr>
        <w:drawing>
          <wp:inline distT="0" distB="0" distL="0" distR="0" wp14:anchorId="6BF1DD92" wp14:editId="38CE151D">
            <wp:extent cx="4572000" cy="2743200"/>
            <wp:effectExtent l="0" t="0" r="19050" b="19050"/>
            <wp:docPr id="3" name="Chart 1" descr="This graph shows both injury and disease claims per 1000 full time employees for the financial years 2006 to 2011.&#10;&#10;2006 to 2007:&#10;Injuries: 61 percent or 17 claims per 1000 full time employees&#10;Disease: 39 percent or 11 claims per 1000 full time employees&#10;&#10;2007 to 2008:&#10;Injuries: 64 percent of 12 claims per 1000 full time employees&#10;Disease: 36 percent or 7 claims per 1000 full time employees&#10;&#10;2008 to 2009:&#10;Injuries: 50 percent or 9 claims per 1000 full time employees&#10;Disease: 50 percent or 9 claims per 1000 full time employees&#10;&#10;2009 to 2010:&#10;Injuries: 52 percent or 9 claims per 1000 full time employees&#10;Disease: 48 percent or 8 claims per 1000 full time employees&#10;&#10;2010 to 2011:&#10;Injuries: 46 percent or 8 claims per 1000 full time employees&#10;Disease: 54 percent or 10 claims per 1000 full time employees&#10;&#10;Source: Comcare 2012" title="Figure 2.3: claims by Injury/Disease (premium payers)"/>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102BE" w:rsidRPr="004102BE" w:rsidRDefault="004102BE" w:rsidP="004102BE">
      <w:pPr>
        <w:keepNext/>
        <w:keepLines/>
        <w:ind w:left="709"/>
        <w:contextualSpacing/>
        <w:jc w:val="right"/>
        <w:rPr>
          <w:rFonts w:asciiTheme="minorHAnsi" w:eastAsiaTheme="minorHAnsi" w:hAnsiTheme="minorHAnsi" w:cstheme="minorBidi"/>
          <w:sz w:val="20"/>
          <w:szCs w:val="20"/>
          <w:lang w:eastAsia="en-US"/>
        </w:rPr>
      </w:pPr>
      <w:r w:rsidRPr="004102BE">
        <w:rPr>
          <w:rFonts w:asciiTheme="minorHAnsi" w:eastAsiaTheme="minorHAnsi" w:hAnsiTheme="minorHAnsi" w:cstheme="minorBidi"/>
          <w:sz w:val="20"/>
          <w:szCs w:val="20"/>
          <w:lang w:eastAsia="en-US"/>
        </w:rPr>
        <w:t>Source: Comcare 2012</w:t>
      </w:r>
    </w:p>
    <w:p w:rsidR="004102BE" w:rsidRPr="004102BE" w:rsidRDefault="004102BE" w:rsidP="004102BE">
      <w:pPr>
        <w:ind w:left="709"/>
        <w:contextualSpacing/>
        <w:jc w:val="center"/>
        <w:rPr>
          <w:rFonts w:ascii="Calibri" w:eastAsiaTheme="minorHAnsi" w:hAnsi="Calibri" w:cs="Calibri"/>
          <w:sz w:val="22"/>
          <w:szCs w:val="22"/>
          <w:lang w:eastAsia="en-US"/>
        </w:rPr>
      </w:pPr>
    </w:p>
    <w:p w:rsidR="004102BE" w:rsidRPr="004102BE" w:rsidRDefault="004102BE" w:rsidP="0035663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Stakeholders  pointed to a number of reasons for the difficulties associated with managing mental health claims including:</w:t>
      </w:r>
    </w:p>
    <w:p w:rsidR="004102BE" w:rsidRPr="00620506" w:rsidRDefault="004102BE" w:rsidP="00885167">
      <w:pPr>
        <w:numPr>
          <w:ilvl w:val="0"/>
          <w:numId w:val="27"/>
        </w:numPr>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a perceived lack of employer control over circumstances that lead to such claims (for example</w:t>
      </w:r>
      <w:r w:rsidR="009F2A25">
        <w:rPr>
          <w:rFonts w:ascii="Calibri" w:eastAsiaTheme="minorHAnsi" w:hAnsi="Calibri" w:cs="Calibri"/>
          <w:sz w:val="22"/>
          <w:lang w:eastAsia="en-US"/>
        </w:rPr>
        <w:t xml:space="preserve"> </w:t>
      </w:r>
      <w:r w:rsidRPr="00885167">
        <w:rPr>
          <w:rFonts w:ascii="Calibri" w:eastAsiaTheme="minorHAnsi" w:hAnsi="Calibri" w:cs="Calibri"/>
          <w:sz w:val="22"/>
          <w:lang w:eastAsia="en-US"/>
        </w:rPr>
        <w:t>a reliance on the perception of the employee of the injury, however formed);</w:t>
      </w:r>
    </w:p>
    <w:p w:rsidR="004102BE" w:rsidRPr="004102BE" w:rsidRDefault="004102BE" w:rsidP="004102BE">
      <w:pPr>
        <w:numPr>
          <w:ilvl w:val="0"/>
          <w:numId w:val="27"/>
        </w:numPr>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the difficulties faced with early identification for such claims (they often develop over long periods of time);</w:t>
      </w:r>
    </w:p>
    <w:p w:rsidR="004102BE" w:rsidRPr="004102BE" w:rsidRDefault="004102BE" w:rsidP="004102BE">
      <w:pPr>
        <w:numPr>
          <w:ilvl w:val="0"/>
          <w:numId w:val="27"/>
        </w:numPr>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the scope of the legislative limitations on the types of mental health claims covered by the SRC Act appears to be quite restricted; and</w:t>
      </w:r>
    </w:p>
    <w:p w:rsidR="004102BE" w:rsidRPr="004102BE" w:rsidRDefault="004102BE" w:rsidP="004102BE">
      <w:pPr>
        <w:numPr>
          <w:ilvl w:val="0"/>
          <w:numId w:val="27"/>
        </w:numPr>
        <w:spacing w:after="120"/>
        <w:ind w:left="1134" w:hanging="425"/>
        <w:rPr>
          <w:rFonts w:ascii="Calibri" w:hAnsi="Calibri" w:cs="Calibri"/>
          <w:sz w:val="19"/>
        </w:rPr>
      </w:pPr>
      <w:proofErr w:type="gramStart"/>
      <w:r w:rsidRPr="004102BE">
        <w:rPr>
          <w:rFonts w:ascii="Calibri" w:eastAsiaTheme="minorHAnsi" w:hAnsi="Calibri" w:cs="Calibri"/>
          <w:sz w:val="22"/>
          <w:lang w:eastAsia="en-US"/>
        </w:rPr>
        <w:t>difficulties</w:t>
      </w:r>
      <w:proofErr w:type="gramEnd"/>
      <w:r w:rsidRPr="004102BE">
        <w:rPr>
          <w:rFonts w:ascii="Calibri" w:eastAsiaTheme="minorHAnsi" w:hAnsi="Calibri" w:cs="Calibri"/>
          <w:sz w:val="22"/>
          <w:lang w:eastAsia="en-US"/>
        </w:rPr>
        <w:t xml:space="preserve"> with achieving an early and sustainable return to work, especially if the claim arises out of a workplace conflict.</w:t>
      </w:r>
    </w:p>
    <w:p w:rsidR="004102BE" w:rsidRPr="004102BE" w:rsidRDefault="009F2A25" w:rsidP="004102BE">
      <w:pPr>
        <w:numPr>
          <w:ilvl w:val="1"/>
          <w:numId w:val="31"/>
        </w:numPr>
        <w:spacing w:after="120"/>
        <w:ind w:left="709" w:hanging="709"/>
        <w:rPr>
          <w:rFonts w:asciiTheme="minorHAnsi" w:eastAsiaTheme="minorHAnsi" w:hAnsiTheme="minorHAnsi" w:cstheme="minorBidi"/>
          <w:sz w:val="22"/>
          <w:szCs w:val="22"/>
          <w:lang w:eastAsia="en-US"/>
        </w:rPr>
      </w:pPr>
      <w:r>
        <w:rPr>
          <w:rFonts w:ascii="Calibri" w:eastAsiaTheme="minorHAnsi" w:hAnsi="Calibri" w:cs="Calibri"/>
          <w:sz w:val="22"/>
          <w:lang w:eastAsia="en-US"/>
        </w:rPr>
        <w:t>Mental</w:t>
      </w:r>
      <w:r w:rsidR="004102BE" w:rsidRPr="004102BE">
        <w:rPr>
          <w:rFonts w:ascii="Calibri" w:eastAsiaTheme="minorHAnsi" w:hAnsi="Calibri" w:cs="Calibri"/>
          <w:sz w:val="22"/>
          <w:lang w:eastAsia="en-US"/>
        </w:rPr>
        <w:t xml:space="preserve"> stress claims for premium payers </w:t>
      </w:r>
      <w:r>
        <w:rPr>
          <w:rFonts w:ascii="Calibri" w:eastAsiaTheme="minorHAnsi" w:hAnsi="Calibri" w:cs="Calibri"/>
          <w:sz w:val="22"/>
          <w:lang w:eastAsia="en-US"/>
        </w:rPr>
        <w:t>have</w:t>
      </w:r>
      <w:r w:rsidRPr="004102BE">
        <w:rPr>
          <w:rFonts w:ascii="Calibri" w:eastAsiaTheme="minorHAnsi" w:hAnsi="Calibri" w:cs="Calibri"/>
          <w:sz w:val="22"/>
          <w:lang w:eastAsia="en-US"/>
        </w:rPr>
        <w:t xml:space="preserve"> </w:t>
      </w:r>
      <w:r w:rsidR="004102BE" w:rsidRPr="004102BE">
        <w:rPr>
          <w:rFonts w:ascii="Calibri" w:eastAsiaTheme="minorHAnsi" w:hAnsi="Calibri" w:cs="Calibri"/>
          <w:sz w:val="22"/>
          <w:lang w:eastAsia="en-US"/>
        </w:rPr>
        <w:t xml:space="preserve">increased by 30 per cent in the past three years </w:t>
      </w:r>
      <w:r>
        <w:rPr>
          <w:rFonts w:ascii="Calibri" w:eastAsiaTheme="minorHAnsi" w:hAnsi="Calibri" w:cs="Calibri"/>
          <w:sz w:val="22"/>
          <w:lang w:eastAsia="en-US"/>
        </w:rPr>
        <w:t>to</w:t>
      </w:r>
      <w:r w:rsidR="004102BE" w:rsidRPr="004102BE">
        <w:rPr>
          <w:rFonts w:ascii="Calibri" w:eastAsiaTheme="minorHAnsi" w:hAnsi="Calibri" w:cs="Calibri"/>
          <w:sz w:val="22"/>
          <w:lang w:eastAsia="en-US"/>
        </w:rPr>
        <w:t xml:space="preserve"> four times higher than the incidence among licensees (e.g. Commonwealth Bank, Linfox, NAB and Telstra).  This variance may be attributable to differing work profiles between premium payers and licensed insurers.  Data for licensees </w:t>
      </w:r>
      <w:r w:rsidR="00DE4A9A" w:rsidRPr="004102BE">
        <w:rPr>
          <w:rFonts w:ascii="Calibri" w:eastAsiaTheme="minorHAnsi" w:hAnsi="Calibri" w:cs="Calibri"/>
          <w:sz w:val="22"/>
          <w:lang w:eastAsia="en-US"/>
        </w:rPr>
        <w:t>indicates a</w:t>
      </w:r>
      <w:r w:rsidR="004102BE" w:rsidRPr="004102BE">
        <w:rPr>
          <w:rFonts w:ascii="Calibri" w:eastAsiaTheme="minorHAnsi" w:hAnsi="Calibri" w:cs="Calibri"/>
          <w:sz w:val="22"/>
          <w:lang w:eastAsia="en-US"/>
        </w:rPr>
        <w:t xml:space="preserve"> much lower rate of mental health claims, while rates for other incident types (</w:t>
      </w:r>
      <w:r w:rsidR="009344E4">
        <w:rPr>
          <w:rFonts w:ascii="Calibri" w:eastAsiaTheme="minorHAnsi" w:hAnsi="Calibri" w:cs="Calibri"/>
          <w:sz w:val="22"/>
          <w:lang w:eastAsia="en-US"/>
        </w:rPr>
        <w:t>e.g.</w:t>
      </w:r>
      <w:r w:rsidR="00986338">
        <w:rPr>
          <w:rFonts w:ascii="Calibri" w:eastAsiaTheme="minorHAnsi" w:hAnsi="Calibri" w:cs="Calibri"/>
          <w:sz w:val="22"/>
          <w:lang w:eastAsia="en-US"/>
        </w:rPr>
        <w:t xml:space="preserve">, </w:t>
      </w:r>
      <w:r w:rsidR="00986338" w:rsidRPr="004102BE">
        <w:rPr>
          <w:rFonts w:ascii="Calibri" w:eastAsiaTheme="minorHAnsi" w:hAnsi="Calibri" w:cs="Calibri"/>
          <w:sz w:val="22"/>
          <w:lang w:eastAsia="en-US"/>
        </w:rPr>
        <w:t>vehicle</w:t>
      </w:r>
      <w:r w:rsidR="004102BE" w:rsidRPr="004102BE">
        <w:rPr>
          <w:rFonts w:ascii="Calibri" w:eastAsiaTheme="minorHAnsi" w:hAnsi="Calibri" w:cs="Calibri"/>
          <w:sz w:val="22"/>
          <w:lang w:eastAsia="en-US"/>
        </w:rPr>
        <w:t xml:space="preserve"> incidents and other) are significantly higher than premium payers.  This may suggest that mental health claims are predominantly a white collar employment phenomenon.</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 xml:space="preserve">Legislative amendments contained in the </w:t>
      </w:r>
      <w:r w:rsidRPr="004102BE">
        <w:rPr>
          <w:rFonts w:ascii="Calibri" w:eastAsiaTheme="minorHAnsi" w:hAnsi="Calibri" w:cs="Calibri"/>
          <w:i/>
          <w:sz w:val="22"/>
          <w:lang w:eastAsia="en-US"/>
        </w:rPr>
        <w:t xml:space="preserve">Safety, Rehabilitation and </w:t>
      </w:r>
      <w:r w:rsidR="008B71A9">
        <w:rPr>
          <w:rFonts w:ascii="Calibri" w:eastAsiaTheme="minorHAnsi" w:hAnsi="Calibri" w:cs="Calibri"/>
          <w:i/>
          <w:sz w:val="22"/>
          <w:lang w:eastAsia="en-US"/>
        </w:rPr>
        <w:t>C</w:t>
      </w:r>
      <w:r w:rsidR="008B71A9" w:rsidRPr="004102BE">
        <w:rPr>
          <w:rFonts w:ascii="Calibri" w:eastAsiaTheme="minorHAnsi" w:hAnsi="Calibri" w:cs="Calibri"/>
          <w:i/>
          <w:sz w:val="22"/>
          <w:lang w:eastAsia="en-US"/>
        </w:rPr>
        <w:t xml:space="preserve">ompensation </w:t>
      </w:r>
      <w:r w:rsidRPr="004102BE">
        <w:rPr>
          <w:rFonts w:ascii="Calibri" w:eastAsiaTheme="minorHAnsi" w:hAnsi="Calibri" w:cs="Calibri"/>
          <w:i/>
          <w:sz w:val="22"/>
          <w:lang w:eastAsia="en-US"/>
        </w:rPr>
        <w:t>and Other Legislation Amendment Act 2007</w:t>
      </w:r>
      <w:r w:rsidRPr="004102BE">
        <w:rPr>
          <w:rFonts w:ascii="Calibri" w:eastAsiaTheme="minorHAnsi" w:hAnsi="Calibri" w:cs="Calibri"/>
          <w:sz w:val="22"/>
          <w:lang w:eastAsia="en-US"/>
        </w:rPr>
        <w:t xml:space="preserve"> (SRCOLA Act) placed restrictions on mental health types that can be claimed. Those caused as a result of “reasonable administrative action taken in a reasonable manner in respect of the employee’s employment” are not covered by the SRC</w:t>
      </w:r>
      <w:r w:rsidR="00630B11">
        <w:rPr>
          <w:rFonts w:ascii="Calibri" w:eastAsiaTheme="minorHAnsi" w:hAnsi="Calibri" w:cs="Calibri"/>
          <w:sz w:val="22"/>
          <w:lang w:eastAsia="en-US"/>
        </w:rPr>
        <w:t xml:space="preserve"> </w:t>
      </w:r>
      <w:r w:rsidRPr="004102BE">
        <w:rPr>
          <w:rFonts w:ascii="Calibri" w:eastAsiaTheme="minorHAnsi" w:hAnsi="Calibri" w:cs="Calibri"/>
          <w:sz w:val="22"/>
          <w:lang w:eastAsia="en-US"/>
        </w:rPr>
        <w:t>Act.</w:t>
      </w:r>
      <w:r w:rsidRPr="004102BE">
        <w:rPr>
          <w:rFonts w:asciiTheme="minorHAnsi" w:eastAsiaTheme="minorHAnsi" w:hAnsiTheme="minorHAnsi" w:cstheme="minorBidi"/>
          <w:sz w:val="22"/>
          <w:szCs w:val="22"/>
          <w:vertAlign w:val="superscript"/>
          <w:lang w:eastAsia="en-US"/>
        </w:rPr>
        <w:footnoteReference w:id="21"/>
      </w:r>
      <w:r w:rsidRPr="004102BE">
        <w:rPr>
          <w:rFonts w:asciiTheme="minorHAnsi" w:eastAsiaTheme="minorHAnsi" w:hAnsiTheme="minorHAnsi" w:cstheme="minorBidi"/>
          <w:sz w:val="22"/>
          <w:szCs w:val="22"/>
          <w:lang w:eastAsia="en-US"/>
        </w:rPr>
        <w:t xml:space="preserve">  </w:t>
      </w:r>
      <w:r w:rsidRPr="004102BE">
        <w:rPr>
          <w:rFonts w:ascii="Calibri" w:eastAsiaTheme="minorHAnsi" w:hAnsi="Calibri" w:cs="Calibri"/>
          <w:sz w:val="22"/>
          <w:lang w:eastAsia="en-US"/>
        </w:rPr>
        <w:t xml:space="preserve">This amendment led to </w:t>
      </w:r>
      <w:r w:rsidR="009344E4">
        <w:rPr>
          <w:rFonts w:ascii="Calibri" w:eastAsiaTheme="minorHAnsi" w:hAnsi="Calibri" w:cs="Calibri"/>
          <w:sz w:val="22"/>
          <w:lang w:eastAsia="en-US"/>
        </w:rPr>
        <w:t>an initial</w:t>
      </w:r>
      <w:r w:rsidR="009344E4" w:rsidRPr="004102BE">
        <w:rPr>
          <w:rFonts w:ascii="Calibri" w:eastAsiaTheme="minorHAnsi" w:hAnsi="Calibri" w:cs="Calibri"/>
          <w:sz w:val="22"/>
          <w:lang w:eastAsia="en-US"/>
        </w:rPr>
        <w:t xml:space="preserve"> </w:t>
      </w:r>
      <w:r w:rsidRPr="004102BE">
        <w:rPr>
          <w:rFonts w:ascii="Calibri" w:eastAsiaTheme="minorHAnsi" w:hAnsi="Calibri" w:cs="Calibri"/>
          <w:sz w:val="22"/>
          <w:lang w:eastAsia="en-US"/>
        </w:rPr>
        <w:t>reduction in the number of accepted mental disease claims</w:t>
      </w:r>
      <w:r w:rsidR="009344E4">
        <w:rPr>
          <w:rFonts w:ascii="Calibri" w:eastAsiaTheme="minorHAnsi" w:hAnsi="Calibri" w:cs="Calibri"/>
          <w:sz w:val="22"/>
          <w:lang w:eastAsia="en-US"/>
        </w:rPr>
        <w:t>, but the</w:t>
      </w:r>
      <w:r w:rsidRPr="004102BE">
        <w:rPr>
          <w:rFonts w:ascii="Calibri" w:eastAsiaTheme="minorHAnsi" w:hAnsi="Calibri" w:cs="Calibri"/>
          <w:sz w:val="22"/>
          <w:lang w:eastAsia="en-US"/>
        </w:rPr>
        <w:t xml:space="preserve"> trend has </w:t>
      </w:r>
      <w:r w:rsidR="009344E4">
        <w:rPr>
          <w:rFonts w:ascii="Calibri" w:eastAsiaTheme="minorHAnsi" w:hAnsi="Calibri" w:cs="Calibri"/>
          <w:sz w:val="22"/>
          <w:lang w:eastAsia="en-US"/>
        </w:rPr>
        <w:t>subsequently reversed.</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lastRenderedPageBreak/>
        <w:t xml:space="preserve">Notwithstanding that amendment, the Administrative Appeals Tribunal (AAT) in the matter of </w:t>
      </w:r>
      <w:r w:rsidRPr="004102BE">
        <w:rPr>
          <w:rFonts w:ascii="Calibri" w:eastAsiaTheme="minorHAnsi" w:hAnsi="Calibri" w:cs="Calibri"/>
          <w:i/>
          <w:sz w:val="22"/>
          <w:lang w:eastAsia="en-US"/>
        </w:rPr>
        <w:t xml:space="preserve">Martinez v </w:t>
      </w:r>
      <w:proofErr w:type="gramStart"/>
      <w:r w:rsidRPr="004102BE">
        <w:rPr>
          <w:rFonts w:ascii="Calibri" w:eastAsiaTheme="minorHAnsi" w:hAnsi="Calibri" w:cs="Calibri"/>
          <w:i/>
          <w:sz w:val="22"/>
          <w:lang w:eastAsia="en-US"/>
        </w:rPr>
        <w:t>Comcare</w:t>
      </w:r>
      <w:r w:rsidRPr="004102BE">
        <w:rPr>
          <w:rFonts w:ascii="Calibri" w:eastAsiaTheme="minorHAnsi" w:hAnsi="Calibri" w:cs="Calibri"/>
          <w:sz w:val="22"/>
          <w:lang w:eastAsia="en-US"/>
        </w:rPr>
        <w:t>,</w:t>
      </w:r>
      <w:proofErr w:type="gramEnd"/>
      <w:r w:rsidRPr="004102BE">
        <w:rPr>
          <w:rFonts w:ascii="Calibri" w:eastAsiaTheme="minorHAnsi" w:hAnsi="Calibri" w:cs="Calibri"/>
          <w:sz w:val="22"/>
          <w:lang w:eastAsia="en-US"/>
        </w:rPr>
        <w:t xml:space="preserve"> recently found that although the employer had taken reasonable administrative action as part of a performance management process, it had not taken these actions in a reasonable manner thus entitling the injured worker to compensation</w:t>
      </w:r>
      <w:r w:rsidR="0085187A">
        <w:rPr>
          <w:rFonts w:ascii="Calibri" w:eastAsiaTheme="minorHAnsi" w:hAnsi="Calibri" w:cs="Calibri"/>
          <w:sz w:val="22"/>
          <w:lang w:eastAsia="en-US"/>
        </w:rPr>
        <w:t>.</w:t>
      </w:r>
      <w:r w:rsidR="00C70727" w:rsidRPr="00522B03">
        <w:rPr>
          <w:rFonts w:ascii="Calibri" w:eastAsiaTheme="minorHAnsi" w:hAnsi="Calibri" w:cs="Calibri"/>
          <w:sz w:val="22"/>
          <w:vertAlign w:val="superscript"/>
          <w:lang w:eastAsia="en-US"/>
        </w:rPr>
        <w:footnoteReference w:id="22"/>
      </w:r>
    </w:p>
    <w:p w:rsidR="00B02C84" w:rsidRDefault="009344E4" w:rsidP="004102BE">
      <w:pPr>
        <w:numPr>
          <w:ilvl w:val="1"/>
          <w:numId w:val="31"/>
        </w:numPr>
        <w:spacing w:after="120"/>
        <w:ind w:left="709" w:hanging="709"/>
        <w:rPr>
          <w:rFonts w:ascii="Calibri" w:eastAsiaTheme="minorHAnsi" w:hAnsi="Calibri" w:cs="Calibri"/>
          <w:sz w:val="22"/>
          <w:lang w:eastAsia="en-US"/>
        </w:rPr>
      </w:pPr>
      <w:r>
        <w:rPr>
          <w:rFonts w:ascii="Calibri" w:eastAsiaTheme="minorHAnsi" w:hAnsi="Calibri" w:cs="Calibri"/>
          <w:sz w:val="22"/>
          <w:lang w:eastAsia="en-US"/>
        </w:rPr>
        <w:t>Whatever the case, t</w:t>
      </w:r>
      <w:r w:rsidR="004102BE" w:rsidRPr="004102BE">
        <w:rPr>
          <w:rFonts w:ascii="Calibri" w:eastAsiaTheme="minorHAnsi" w:hAnsi="Calibri" w:cs="Calibri"/>
          <w:sz w:val="22"/>
          <w:lang w:eastAsia="en-US"/>
        </w:rPr>
        <w:t xml:space="preserve">his increasing cost of mental health claims has contributed significantly to the upward pressure on premiums. Indeed the incidence of mental health/stress claims under the </w:t>
      </w:r>
      <w:r w:rsidR="00885167">
        <w:rPr>
          <w:rFonts w:ascii="Calibri" w:eastAsiaTheme="minorHAnsi" w:hAnsi="Calibri" w:cs="Calibri"/>
          <w:sz w:val="22"/>
          <w:lang w:eastAsia="en-US"/>
        </w:rPr>
        <w:t xml:space="preserve">whole </w:t>
      </w:r>
      <w:r w:rsidR="004102BE" w:rsidRPr="004102BE">
        <w:rPr>
          <w:rFonts w:ascii="Calibri" w:eastAsiaTheme="minorHAnsi" w:hAnsi="Calibri" w:cs="Calibri"/>
          <w:sz w:val="22"/>
          <w:lang w:eastAsia="en-US"/>
        </w:rPr>
        <w:t>Comcare scheme has increased by approximately 20 per cent since 2008-09, with the majority of that increase in the premium</w:t>
      </w:r>
      <w:r w:rsidR="004102BE" w:rsidRPr="004102BE">
        <w:rPr>
          <w:rFonts w:ascii="Calibri" w:eastAsiaTheme="minorHAnsi" w:hAnsi="Calibri" w:cs="Calibri"/>
          <w:sz w:val="22"/>
          <w:lang w:eastAsia="en-US"/>
        </w:rPr>
        <w:noBreakHyphen/>
        <w:t>paying scheme</w:t>
      </w:r>
      <w:r w:rsidR="00885167">
        <w:rPr>
          <w:rFonts w:ascii="Calibri" w:eastAsiaTheme="minorHAnsi" w:hAnsi="Calibri" w:cs="Calibri"/>
          <w:sz w:val="22"/>
          <w:lang w:eastAsia="en-US"/>
        </w:rPr>
        <w:t>, as described in paragraph 2.65</w:t>
      </w:r>
      <w:r w:rsidR="004102BE" w:rsidRPr="004102BE">
        <w:rPr>
          <w:rFonts w:ascii="Calibri" w:eastAsiaTheme="minorHAnsi" w:hAnsi="Calibri" w:cs="Calibri"/>
          <w:sz w:val="22"/>
          <w:lang w:eastAsia="en-US"/>
        </w:rPr>
        <w:t>.</w:t>
      </w:r>
      <w:r w:rsidR="004102BE" w:rsidRPr="004102BE">
        <w:rPr>
          <w:rFonts w:ascii="Calibri" w:eastAsiaTheme="minorHAnsi" w:hAnsi="Calibri" w:cs="Calibri"/>
          <w:sz w:val="22"/>
          <w:vertAlign w:val="superscript"/>
          <w:lang w:eastAsia="en-US"/>
        </w:rPr>
        <w:footnoteReference w:id="23"/>
      </w:r>
      <w:r>
        <w:rPr>
          <w:rFonts w:ascii="Calibri" w:eastAsiaTheme="minorHAnsi" w:hAnsi="Calibri" w:cs="Calibri"/>
          <w:sz w:val="22"/>
          <w:lang w:eastAsia="en-US"/>
        </w:rPr>
        <w:t xml:space="preserve"> Although the decision might yet be </w:t>
      </w:r>
      <w:r w:rsidR="00303E94">
        <w:rPr>
          <w:rFonts w:ascii="Calibri" w:eastAsiaTheme="minorHAnsi" w:hAnsi="Calibri" w:cs="Calibri"/>
          <w:sz w:val="22"/>
          <w:lang w:eastAsia="en-US"/>
        </w:rPr>
        <w:t>appealed</w:t>
      </w:r>
      <w:r>
        <w:rPr>
          <w:rFonts w:ascii="Calibri" w:eastAsiaTheme="minorHAnsi" w:hAnsi="Calibri" w:cs="Calibri"/>
          <w:sz w:val="22"/>
          <w:lang w:eastAsia="en-US"/>
        </w:rPr>
        <w:t>, it coincides with a Federal Government inquiry into bullying which was due to report on 30 November 2012.</w:t>
      </w:r>
    </w:p>
    <w:p w:rsidR="009344E4" w:rsidRDefault="009344E4" w:rsidP="004102BE">
      <w:pPr>
        <w:numPr>
          <w:ilvl w:val="1"/>
          <w:numId w:val="31"/>
        </w:numPr>
        <w:spacing w:after="120"/>
        <w:ind w:left="709" w:hanging="709"/>
        <w:rPr>
          <w:rFonts w:ascii="Calibri" w:eastAsiaTheme="minorHAnsi" w:hAnsi="Calibri" w:cs="Calibri"/>
          <w:sz w:val="22"/>
          <w:lang w:eastAsia="en-US"/>
        </w:rPr>
      </w:pPr>
      <w:r>
        <w:rPr>
          <w:rFonts w:ascii="Calibri" w:eastAsiaTheme="minorHAnsi" w:hAnsi="Calibri" w:cs="Calibri"/>
          <w:sz w:val="22"/>
          <w:lang w:eastAsia="en-US"/>
        </w:rPr>
        <w:t xml:space="preserve">The recent Commonwealth State of the Service report says about </w:t>
      </w:r>
      <w:r w:rsidR="00CC0B77">
        <w:rPr>
          <w:rFonts w:ascii="Calibri" w:eastAsiaTheme="minorHAnsi" w:hAnsi="Calibri" w:cs="Calibri"/>
          <w:sz w:val="22"/>
          <w:lang w:eastAsia="en-US"/>
        </w:rPr>
        <w:t>one in six government employee</w:t>
      </w:r>
      <w:r w:rsidR="002901A7">
        <w:rPr>
          <w:rFonts w:ascii="Calibri" w:eastAsiaTheme="minorHAnsi" w:hAnsi="Calibri" w:cs="Calibri"/>
          <w:sz w:val="22"/>
          <w:lang w:eastAsia="en-US"/>
        </w:rPr>
        <w:t>s</w:t>
      </w:r>
      <w:r w:rsidR="00CC0B77">
        <w:rPr>
          <w:rFonts w:ascii="Calibri" w:eastAsiaTheme="minorHAnsi" w:hAnsi="Calibri" w:cs="Calibri"/>
          <w:sz w:val="22"/>
          <w:lang w:eastAsia="en-US"/>
        </w:rPr>
        <w:t xml:space="preserve"> believes they were harassed in the workplace during 2011-12. Almost half of the alleged bullying is thought to be based on personality differences</w:t>
      </w:r>
      <w:r w:rsidR="002901A7">
        <w:rPr>
          <w:rFonts w:ascii="Calibri" w:eastAsiaTheme="minorHAnsi" w:hAnsi="Calibri" w:cs="Calibri"/>
          <w:sz w:val="22"/>
          <w:lang w:eastAsia="en-US"/>
        </w:rPr>
        <w:t>,</w:t>
      </w:r>
      <w:r w:rsidR="00CC0B77">
        <w:rPr>
          <w:rFonts w:ascii="Calibri" w:eastAsiaTheme="minorHAnsi" w:hAnsi="Calibri" w:cs="Calibri"/>
          <w:sz w:val="22"/>
          <w:lang w:eastAsia="en-US"/>
        </w:rPr>
        <w:t xml:space="preserve"> while a further one in three cases relate to attempts to improve staff performance.</w:t>
      </w:r>
    </w:p>
    <w:p w:rsidR="00630B11" w:rsidRPr="0035663E" w:rsidRDefault="00CC0B77" w:rsidP="0035663E">
      <w:pPr>
        <w:numPr>
          <w:ilvl w:val="1"/>
          <w:numId w:val="31"/>
        </w:numPr>
        <w:spacing w:after="120"/>
        <w:ind w:left="709" w:hanging="709"/>
        <w:rPr>
          <w:rFonts w:ascii="Calibri" w:eastAsiaTheme="minorHAnsi" w:hAnsi="Calibri" w:cs="Calibri"/>
          <w:sz w:val="22"/>
          <w:lang w:eastAsia="en-US"/>
        </w:rPr>
      </w:pPr>
      <w:r w:rsidRPr="0035663E">
        <w:rPr>
          <w:rFonts w:ascii="Calibri" w:eastAsiaTheme="minorHAnsi" w:hAnsi="Calibri" w:cs="Calibri"/>
          <w:sz w:val="22"/>
          <w:lang w:eastAsia="en-US"/>
        </w:rPr>
        <w:t>An unpublished 2011 study of workplace behaviour conducted by Risk to Business contradicts academic and practitioner notions of bullying.</w:t>
      </w:r>
      <w:r w:rsidRPr="0035663E">
        <w:rPr>
          <w:rStyle w:val="FootnoteReference"/>
          <w:rFonts w:ascii="Calibri" w:eastAsiaTheme="minorHAnsi" w:hAnsi="Calibri" w:cs="Calibri"/>
          <w:sz w:val="22"/>
          <w:lang w:eastAsia="en-US"/>
        </w:rPr>
        <w:t xml:space="preserve"> </w:t>
      </w:r>
      <w:r>
        <w:rPr>
          <w:rStyle w:val="FootnoteReference"/>
          <w:rFonts w:ascii="Calibri" w:eastAsiaTheme="minorHAnsi" w:hAnsi="Calibri" w:cs="Calibri"/>
          <w:sz w:val="22"/>
          <w:lang w:eastAsia="en-US"/>
        </w:rPr>
        <w:footnoteReference w:id="24"/>
      </w:r>
      <w:r w:rsidRPr="0035663E">
        <w:rPr>
          <w:rFonts w:ascii="Calibri" w:eastAsiaTheme="minorHAnsi" w:hAnsi="Calibri" w:cs="Calibri"/>
          <w:sz w:val="22"/>
          <w:lang w:eastAsia="en-US"/>
        </w:rPr>
        <w:t xml:space="preserve"> The Australian Electoral Commission’s Respect at Work Policy represents a contemporary guide to dealing which inappropriate behaviour, giving concrete examples of bullying, including criticism of performance or behaviour.</w:t>
      </w:r>
    </w:p>
    <w:p w:rsidR="002555F4" w:rsidRDefault="004102BE">
      <w:pPr>
        <w:keepNext/>
        <w:keepLines/>
        <w:ind w:left="709"/>
        <w:contextualSpacing/>
        <w:jc w:val="center"/>
        <w:rPr>
          <w:rFonts w:ascii="Calibri" w:eastAsiaTheme="minorHAnsi" w:hAnsi="Calibri" w:cs="Calibri"/>
          <w:b/>
          <w:sz w:val="22"/>
          <w:szCs w:val="22"/>
          <w:lang w:eastAsia="en-US"/>
        </w:rPr>
      </w:pPr>
      <w:r w:rsidRPr="009568BB">
        <w:rPr>
          <w:rFonts w:ascii="Calibri" w:eastAsiaTheme="minorHAnsi" w:hAnsi="Calibri" w:cs="Calibri"/>
          <w:b/>
          <w:sz w:val="22"/>
          <w:szCs w:val="22"/>
          <w:lang w:eastAsia="en-US"/>
        </w:rPr>
        <w:t>Figure 2.4: Incidence of Mental Stress Claims</w:t>
      </w:r>
    </w:p>
    <w:p w:rsidR="004102BE" w:rsidRPr="004102BE" w:rsidRDefault="004102BE" w:rsidP="004102BE">
      <w:pPr>
        <w:keepNext/>
        <w:keepLines/>
        <w:spacing w:after="120"/>
        <w:ind w:left="709" w:hanging="709"/>
        <w:jc w:val="center"/>
        <w:rPr>
          <w:rFonts w:ascii="Calibri" w:eastAsiaTheme="minorHAnsi" w:hAnsi="Calibri" w:cs="Calibri"/>
          <w:b/>
          <w:sz w:val="22"/>
          <w:lang w:eastAsia="en-US"/>
        </w:rPr>
      </w:pPr>
      <w:r w:rsidRPr="0035663E">
        <w:rPr>
          <w:rFonts w:ascii="Calibri" w:eastAsiaTheme="minorHAnsi" w:hAnsi="Calibri" w:cs="Calibri"/>
          <w:b/>
          <w:noProof/>
          <w:sz w:val="22"/>
        </w:rPr>
        <w:drawing>
          <wp:inline distT="0" distB="0" distL="0" distR="0" wp14:anchorId="16600143" wp14:editId="7C1D2E85">
            <wp:extent cx="5731510" cy="3075305"/>
            <wp:effectExtent l="0" t="0" r="21590" b="10795"/>
            <wp:docPr id="4" name="Chart 7" descr="This graph shows the number of mental stress claims per 1000 full-time employees for the years 2007 to 2012 for each of premium payers, Comcare and licensed self-insurers.&#10;&#10;Premium Payers&#10;2007 to 2008: 1.6 claims per 1000 full-time employees&#10;2008 to 2009: 1.5 claims per 1000 full-time employees&#10;2009 to 2010: 1.7 claims per 1000 full-time employees&#10;2010 to 2011: 2.1 claims per 1000 full-time employees&#10;2011 to 2012: 1.7 claims per 1000 full-time employees&#10;&#10;Comcare&#10;2007 to 2008: 1.2 claims per 1000 full-time employees&#10;2008 to 2009: 1.1 claims per 1000 full-time employees&#10;2009 to 2010: 1.2 claims per 1000 full-time employees&#10;2010 to 2011: 1.4 claims per 1000 full-time employees&#10;2011 to 2012: 1.2 claims per 1000 full-time employees&#10;&#10;Licensed Self-insurers&#10;2007 to 2008: 0.6 claims per 1000 full-time employees&#10;2008 to 2009: 0.6 claims per 1000 full-time employees&#10;2009 to 2010: 0.6 claims per 1000 full-time employees&#10;2010 to 2011: 0.5 claims per 1000 full-time employees&#10;2011 to 2012: 0.5 claims per 1000 full-time employees&#10;&#10;" title="Figure 2.4: Incidence of mental stress claims"/>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102BE" w:rsidRPr="004102BE" w:rsidRDefault="004102BE" w:rsidP="004102BE">
      <w:pPr>
        <w:keepNext/>
        <w:keepLines/>
        <w:ind w:left="709"/>
        <w:contextualSpacing/>
        <w:jc w:val="right"/>
        <w:rPr>
          <w:rFonts w:ascii="Calibri" w:eastAsiaTheme="minorHAnsi" w:hAnsi="Calibri" w:cs="Calibri"/>
          <w:sz w:val="22"/>
          <w:lang w:eastAsia="en-US"/>
        </w:rPr>
      </w:pPr>
      <w:r w:rsidRPr="004102BE">
        <w:rPr>
          <w:rFonts w:ascii="Calibri" w:eastAsiaTheme="minorHAnsi" w:hAnsi="Calibri" w:cs="Calibri"/>
          <w:sz w:val="20"/>
          <w:lang w:eastAsia="en-US"/>
        </w:rPr>
        <w:t>Source: Comcare 2012</w:t>
      </w:r>
    </w:p>
    <w:p w:rsidR="004102BE" w:rsidRPr="004102BE" w:rsidRDefault="004102BE" w:rsidP="004102BE">
      <w:pPr>
        <w:keepNext/>
        <w:keepLines/>
        <w:ind w:left="709"/>
        <w:contextualSpacing/>
        <w:rPr>
          <w:rFonts w:ascii="Calibri" w:eastAsiaTheme="minorHAnsi" w:hAnsi="Calibri" w:cs="Calibri"/>
          <w:sz w:val="22"/>
          <w:lang w:eastAsia="en-US"/>
        </w:rPr>
      </w:pPr>
    </w:p>
    <w:p w:rsidR="00630B11" w:rsidRPr="0035663E" w:rsidRDefault="00630B11" w:rsidP="0035663E">
      <w:pPr>
        <w:spacing w:after="120"/>
        <w:ind w:left="709"/>
        <w:rPr>
          <w:rFonts w:asciiTheme="minorHAnsi" w:eastAsiaTheme="minorHAnsi" w:hAnsiTheme="minorHAnsi" w:cstheme="minorBidi"/>
          <w:sz w:val="22"/>
          <w:szCs w:val="22"/>
          <w:lang w:eastAsia="en-US"/>
        </w:rPr>
      </w:pPr>
    </w:p>
    <w:p w:rsidR="004102BE" w:rsidRPr="004102BE" w:rsidRDefault="004102BE" w:rsidP="004102BE">
      <w:pPr>
        <w:numPr>
          <w:ilvl w:val="1"/>
          <w:numId w:val="31"/>
        </w:numPr>
        <w:spacing w:after="120"/>
        <w:ind w:left="709" w:hanging="709"/>
        <w:rPr>
          <w:rFonts w:asciiTheme="minorHAnsi" w:eastAsiaTheme="minorHAnsi" w:hAnsiTheme="minorHAnsi" w:cstheme="minorBidi"/>
          <w:sz w:val="22"/>
          <w:szCs w:val="22"/>
          <w:lang w:eastAsia="en-US"/>
        </w:rPr>
      </w:pPr>
      <w:r w:rsidRPr="004102BE">
        <w:rPr>
          <w:rFonts w:ascii="Calibri" w:eastAsiaTheme="minorHAnsi" w:hAnsi="Calibri" w:cs="Calibri"/>
          <w:sz w:val="22"/>
          <w:lang w:eastAsia="en-US"/>
        </w:rPr>
        <w:t xml:space="preserve">In 2010-11, the proportion of accepted mental stress claims for the premium paying scheme was 12 per cent. This compares with one per cent of all claims for licensees. For both the </w:t>
      </w:r>
      <w:r w:rsidRPr="004102BE">
        <w:rPr>
          <w:rFonts w:ascii="Calibri" w:eastAsiaTheme="minorHAnsi" w:hAnsi="Calibri" w:cs="Calibri"/>
          <w:sz w:val="22"/>
          <w:lang w:eastAsia="en-US"/>
        </w:rPr>
        <w:lastRenderedPageBreak/>
        <w:t>premium payers and licensees, however, body stressing claims continue to account for almost 50 per cent of all claims</w:t>
      </w:r>
      <w:r w:rsidRPr="004102BE">
        <w:rPr>
          <w:rFonts w:asciiTheme="minorHAnsi" w:eastAsiaTheme="minorHAnsi" w:hAnsiTheme="minorHAnsi" w:cstheme="minorBidi"/>
          <w:sz w:val="22"/>
          <w:szCs w:val="22"/>
          <w:lang w:eastAsia="en-US"/>
        </w:rPr>
        <w:t>.</w:t>
      </w:r>
    </w:p>
    <w:p w:rsidR="00630B11" w:rsidRDefault="00630B11" w:rsidP="004102BE">
      <w:pPr>
        <w:keepNext/>
        <w:keepLines/>
        <w:ind w:left="709"/>
        <w:contextualSpacing/>
        <w:jc w:val="center"/>
        <w:rPr>
          <w:rFonts w:ascii="Calibri" w:eastAsiaTheme="minorHAnsi" w:hAnsi="Calibri" w:cs="Calibri"/>
          <w:b/>
          <w:sz w:val="22"/>
          <w:szCs w:val="22"/>
          <w:lang w:eastAsia="en-US"/>
        </w:rPr>
      </w:pPr>
    </w:p>
    <w:p w:rsidR="00630B11" w:rsidRDefault="00630B11" w:rsidP="004102BE">
      <w:pPr>
        <w:keepNext/>
        <w:keepLines/>
        <w:ind w:left="709"/>
        <w:contextualSpacing/>
        <w:jc w:val="center"/>
        <w:rPr>
          <w:rFonts w:ascii="Calibri" w:eastAsiaTheme="minorHAnsi" w:hAnsi="Calibri" w:cs="Calibri"/>
          <w:b/>
          <w:sz w:val="22"/>
          <w:szCs w:val="22"/>
          <w:lang w:eastAsia="en-US"/>
        </w:rPr>
      </w:pPr>
    </w:p>
    <w:p w:rsidR="004102BE" w:rsidRPr="004102BE" w:rsidRDefault="004102BE" w:rsidP="004102BE">
      <w:pPr>
        <w:keepNext/>
        <w:keepLines/>
        <w:ind w:left="709"/>
        <w:contextualSpacing/>
        <w:jc w:val="center"/>
        <w:rPr>
          <w:rFonts w:ascii="Calibri" w:eastAsiaTheme="minorHAnsi" w:hAnsi="Calibri" w:cs="Calibri"/>
          <w:b/>
          <w:sz w:val="22"/>
          <w:szCs w:val="22"/>
          <w:lang w:eastAsia="en-US"/>
        </w:rPr>
      </w:pPr>
      <w:r w:rsidRPr="004102BE">
        <w:rPr>
          <w:rFonts w:ascii="Calibri" w:eastAsiaTheme="minorHAnsi" w:hAnsi="Calibri" w:cs="Calibri"/>
          <w:b/>
          <w:sz w:val="22"/>
          <w:szCs w:val="22"/>
          <w:lang w:eastAsia="en-US"/>
        </w:rPr>
        <w:t>Figure 2.5: Claims by Mechanism of Incident</w:t>
      </w:r>
    </w:p>
    <w:p w:rsidR="004102BE" w:rsidRPr="004102BE" w:rsidRDefault="004102BE" w:rsidP="004102BE">
      <w:pPr>
        <w:keepNext/>
        <w:keepLines/>
        <w:ind w:left="709"/>
        <w:contextualSpacing/>
        <w:jc w:val="center"/>
        <w:rPr>
          <w:rFonts w:ascii="Calibri" w:eastAsiaTheme="minorHAnsi" w:hAnsi="Calibri" w:cs="Calibri"/>
          <w:b/>
          <w:sz w:val="22"/>
          <w:szCs w:val="22"/>
          <w:lang w:eastAsia="en-US"/>
        </w:rPr>
      </w:pPr>
    </w:p>
    <w:p w:rsidR="004102BE" w:rsidRPr="004102BE" w:rsidRDefault="0085187A" w:rsidP="004102BE">
      <w:pPr>
        <w:keepNext/>
        <w:keepLines/>
        <w:spacing w:after="120"/>
        <w:ind w:left="709" w:hanging="709"/>
        <w:jc w:val="center"/>
        <w:rPr>
          <w:rFonts w:ascii="Calibri" w:eastAsiaTheme="minorHAnsi" w:hAnsi="Calibri" w:cs="Calibri"/>
          <w:b/>
          <w:noProof/>
          <w:sz w:val="22"/>
          <w:szCs w:val="22"/>
          <w:lang w:eastAsia="en-US"/>
        </w:rPr>
      </w:pPr>
      <w:r>
        <w:rPr>
          <w:noProof/>
        </w:rPr>
        <w:drawing>
          <wp:inline distT="0" distB="0" distL="0" distR="0" wp14:anchorId="53685117" wp14:editId="63FBB6A5">
            <wp:extent cx="5495925" cy="3905250"/>
            <wp:effectExtent l="0" t="0" r="9525" b="19050"/>
            <wp:docPr id="19" name="Chart 19" descr="This graph show the percentage of accepted claims, by incident, for both premium payers and licensed self insured.&#10;&#10;Body stressing:&#10;Premium Payers: 48 percent&#10;Licensed Self-insured: 45 percent&#10;&#10;Falls, trips, slips:&#10;Premium Payers: 18 percent&#10;Licensed Self-insured: 16 percent&#10;&#10;Mental Stress:&#10;Premium Payers: 12 percent&#10;Licensed Self-insured: 1 percent&#10;&#10;Hit by moving objects:&#10;Premium Payers: 8 percent&#10;Licensed Self-insured: 12 percent&#10;&#10;Hitting objects with body:&#10;Premium Payers: 4 percent&#10;Licensed Self-insured: 7 percent&#10;&#10;Vehicle incidents and other:&#10;Premium Payers: 4 percent&#10;Licensed Self-insured: 13 percent&#10;&#10;All other:&#10;Premium Payers: 6 percent&#10;Licensed Self-insured: 5 percent&#10;" title="Figure 2.5: claims by Mechanism of Incid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102BE" w:rsidRPr="004102BE" w:rsidRDefault="004102BE" w:rsidP="004102BE">
      <w:pPr>
        <w:keepNext/>
        <w:keepLines/>
        <w:ind w:left="709"/>
        <w:contextualSpacing/>
        <w:jc w:val="right"/>
        <w:rPr>
          <w:rFonts w:asciiTheme="minorHAnsi" w:eastAsiaTheme="minorHAnsi" w:hAnsiTheme="minorHAnsi" w:cstheme="minorBidi"/>
          <w:sz w:val="20"/>
          <w:szCs w:val="20"/>
          <w:lang w:eastAsia="en-US"/>
        </w:rPr>
      </w:pPr>
      <w:r w:rsidRPr="004102BE">
        <w:rPr>
          <w:rFonts w:asciiTheme="minorHAnsi" w:eastAsiaTheme="minorHAnsi" w:hAnsiTheme="minorHAnsi" w:cstheme="minorBidi"/>
          <w:sz w:val="20"/>
          <w:szCs w:val="20"/>
          <w:lang w:eastAsia="en-US"/>
        </w:rPr>
        <w:t>Source: Comcare 2012</w:t>
      </w:r>
    </w:p>
    <w:p w:rsidR="004102BE" w:rsidRDefault="004102BE" w:rsidP="004102BE">
      <w:pPr>
        <w:tabs>
          <w:tab w:val="left" w:pos="284"/>
        </w:tabs>
        <w:spacing w:after="200" w:line="276" w:lineRule="auto"/>
        <w:ind w:left="709" w:hanging="709"/>
        <w:contextualSpacing/>
        <w:rPr>
          <w:rFonts w:asciiTheme="minorHAnsi" w:eastAsiaTheme="minorHAnsi" w:hAnsiTheme="minorHAnsi" w:cstheme="minorBidi"/>
          <w:sz w:val="22"/>
          <w:szCs w:val="22"/>
          <w:lang w:eastAsia="en-US"/>
        </w:rPr>
      </w:pPr>
    </w:p>
    <w:p w:rsidR="00630B11" w:rsidRPr="004102BE" w:rsidRDefault="00630B11" w:rsidP="004102BE">
      <w:pPr>
        <w:tabs>
          <w:tab w:val="left" w:pos="284"/>
        </w:tabs>
        <w:spacing w:after="200" w:line="276" w:lineRule="auto"/>
        <w:ind w:left="709" w:hanging="709"/>
        <w:contextualSpacing/>
        <w:rPr>
          <w:rFonts w:asciiTheme="minorHAnsi" w:eastAsiaTheme="minorHAnsi" w:hAnsiTheme="minorHAnsi" w:cstheme="minorBidi"/>
          <w:sz w:val="22"/>
          <w:szCs w:val="22"/>
          <w:lang w:eastAsia="en-US"/>
        </w:rPr>
      </w:pPr>
    </w:p>
    <w:p w:rsidR="004102BE" w:rsidRPr="004102BE" w:rsidRDefault="004102BE" w:rsidP="004102BE">
      <w:pPr>
        <w:numPr>
          <w:ilvl w:val="1"/>
          <w:numId w:val="31"/>
        </w:numPr>
        <w:spacing w:after="120"/>
        <w:ind w:left="709" w:hanging="709"/>
        <w:rPr>
          <w:rFonts w:asciiTheme="minorHAnsi" w:eastAsiaTheme="minorHAnsi" w:hAnsiTheme="minorHAnsi" w:cstheme="minorBidi"/>
          <w:sz w:val="22"/>
          <w:szCs w:val="22"/>
          <w:lang w:eastAsia="en-US"/>
        </w:rPr>
      </w:pPr>
      <w:r w:rsidRPr="004102BE">
        <w:rPr>
          <w:rFonts w:ascii="Calibri" w:eastAsiaTheme="minorHAnsi" w:hAnsi="Calibri" w:cs="Calibri"/>
          <w:sz w:val="22"/>
          <w:lang w:eastAsia="en-US"/>
        </w:rPr>
        <w:t>The total average cost</w:t>
      </w:r>
      <w:r w:rsidRPr="004102BE">
        <w:rPr>
          <w:rFonts w:asciiTheme="minorHAnsi" w:eastAsiaTheme="minorHAnsi" w:hAnsiTheme="minorHAnsi" w:cstheme="minorBidi"/>
          <w:sz w:val="22"/>
          <w:szCs w:val="22"/>
          <w:vertAlign w:val="superscript"/>
          <w:lang w:eastAsia="en-US"/>
        </w:rPr>
        <w:footnoteReference w:id="25"/>
      </w:r>
      <w:r w:rsidRPr="004102BE">
        <w:rPr>
          <w:rFonts w:asciiTheme="minorHAnsi" w:eastAsiaTheme="minorHAnsi" w:hAnsiTheme="minorHAnsi" w:cstheme="minorBidi"/>
          <w:sz w:val="22"/>
          <w:szCs w:val="22"/>
          <w:lang w:eastAsia="en-US"/>
        </w:rPr>
        <w:t xml:space="preserve"> </w:t>
      </w:r>
      <w:r w:rsidRPr="004102BE">
        <w:rPr>
          <w:rFonts w:ascii="Calibri" w:eastAsiaTheme="minorHAnsi" w:hAnsi="Calibri" w:cs="Calibri"/>
          <w:sz w:val="22"/>
          <w:lang w:eastAsia="en-US"/>
        </w:rPr>
        <w:t>of mental stress claims in the premium payer side of the scheme is higher than all other claims. Based on 2011-12 data, the average cost of mental stress claims was around $250,000 compared to about $67,000 for all other claims.</w:t>
      </w:r>
      <w:r w:rsidRPr="004102BE">
        <w:rPr>
          <w:rFonts w:asciiTheme="minorHAnsi" w:eastAsiaTheme="minorHAnsi" w:hAnsiTheme="minorHAnsi" w:cstheme="minorBidi"/>
          <w:sz w:val="22"/>
          <w:szCs w:val="22"/>
          <w:vertAlign w:val="superscript"/>
          <w:lang w:eastAsia="en-US"/>
        </w:rPr>
        <w:footnoteReference w:id="26"/>
      </w:r>
      <w:r w:rsidRPr="004102BE">
        <w:rPr>
          <w:rFonts w:asciiTheme="minorHAnsi" w:eastAsiaTheme="minorHAnsi" w:hAnsiTheme="minorHAnsi" w:cstheme="minorBidi"/>
          <w:sz w:val="22"/>
          <w:szCs w:val="22"/>
          <w:lang w:eastAsia="en-US"/>
        </w:rPr>
        <w:t xml:space="preserve"> </w:t>
      </w:r>
    </w:p>
    <w:p w:rsidR="004102BE" w:rsidRPr="004102BE" w:rsidRDefault="004102BE" w:rsidP="004102BE">
      <w:pPr>
        <w:ind w:left="709"/>
        <w:contextualSpacing/>
        <w:rPr>
          <w:rFonts w:asciiTheme="minorHAnsi" w:eastAsiaTheme="minorHAnsi" w:hAnsiTheme="minorHAnsi" w:cstheme="minorBidi"/>
          <w:sz w:val="22"/>
          <w:szCs w:val="22"/>
          <w:lang w:eastAsia="en-US"/>
        </w:rPr>
      </w:pPr>
    </w:p>
    <w:p w:rsidR="004102BE" w:rsidRPr="004102BE" w:rsidRDefault="004102BE" w:rsidP="004102BE">
      <w:pPr>
        <w:keepNext/>
        <w:keepLines/>
        <w:spacing w:after="120"/>
        <w:ind w:left="709"/>
        <w:jc w:val="center"/>
        <w:rPr>
          <w:rFonts w:ascii="Calibri" w:eastAsiaTheme="minorHAnsi" w:hAnsi="Calibri" w:cs="Calibri"/>
          <w:b/>
          <w:sz w:val="22"/>
          <w:szCs w:val="22"/>
          <w:lang w:eastAsia="en-US"/>
        </w:rPr>
      </w:pPr>
      <w:r w:rsidRPr="004102BE">
        <w:rPr>
          <w:rFonts w:ascii="Calibri" w:eastAsiaTheme="minorHAnsi" w:hAnsi="Calibri" w:cs="Calibri"/>
          <w:b/>
          <w:sz w:val="22"/>
          <w:szCs w:val="22"/>
          <w:lang w:eastAsia="en-US"/>
        </w:rPr>
        <w:lastRenderedPageBreak/>
        <w:t>Figure 2.6: Average Total Cost of Mental Stress Claims (premium payers)</w:t>
      </w:r>
    </w:p>
    <w:p w:rsidR="00D32240" w:rsidRDefault="0085187A" w:rsidP="004102BE">
      <w:pPr>
        <w:keepNext/>
        <w:keepLines/>
        <w:spacing w:after="120"/>
        <w:ind w:left="709" w:hanging="709"/>
        <w:jc w:val="center"/>
        <w:rPr>
          <w:rFonts w:ascii="Calibri" w:eastAsiaTheme="minorHAnsi" w:hAnsi="Calibri" w:cs="Calibri"/>
          <w:b/>
          <w:noProof/>
          <w:sz w:val="22"/>
          <w:szCs w:val="22"/>
        </w:rPr>
      </w:pPr>
      <w:r>
        <w:rPr>
          <w:noProof/>
        </w:rPr>
        <w:drawing>
          <wp:inline distT="0" distB="0" distL="0" distR="0" wp14:anchorId="16F1271F" wp14:editId="3C7680D1">
            <wp:extent cx="5267325" cy="3757614"/>
            <wp:effectExtent l="0" t="0" r="9525" b="14605"/>
            <wp:docPr id="17" name="Chart 17" descr="This graph shows the average total mental stress claim cost, per year, for premium payers for the financial years 2007 to 2012.  Also shown is the average claim cost for all claims, excluding mental stress claims.&#10;&#10;2007 to 2008: &#10;Mental Stress claims: $205,900&#10;All other claims: $38,000&#10;&#10;2008 to 2009:&#10;Mental Stress claims: $220,000&#10;All other claims: $47,300&#10;&#10;2009 to 2010:&#10;Mental Stress claims: $268,900&#10;All other claims: $53.500&#10;&#10;2010 to 2011:&#10;Mental Stress claims: $218,600&#10;All other claims: $62,600&#10;&#10;2011 to 2012:&#10;Mental Stress claims: $250,700&#10;All other claims: $67,000&#10;&#10;&#10;&#10;" title="Figure 2.6: Average Total Cost of Mental Stress Claims (premium payers)"/>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FB3790" w:rsidRDefault="004102BE" w:rsidP="00522B03">
      <w:pPr>
        <w:keepNext/>
        <w:keepLines/>
        <w:spacing w:after="120"/>
        <w:ind w:left="709" w:hanging="709"/>
        <w:jc w:val="right"/>
        <w:rPr>
          <w:rFonts w:asciiTheme="minorHAnsi" w:eastAsiaTheme="minorHAnsi" w:hAnsiTheme="minorHAnsi" w:cstheme="minorBidi"/>
          <w:sz w:val="22"/>
          <w:szCs w:val="22"/>
          <w:lang w:eastAsia="en-US"/>
        </w:rPr>
      </w:pPr>
      <w:r w:rsidRPr="004102BE">
        <w:rPr>
          <w:rFonts w:asciiTheme="minorHAnsi" w:eastAsiaTheme="minorHAnsi" w:hAnsiTheme="minorHAnsi" w:cstheme="minorBidi"/>
          <w:sz w:val="20"/>
          <w:szCs w:val="20"/>
          <w:lang w:eastAsia="en-US"/>
        </w:rPr>
        <w:t>Source: Comcare 2012</w:t>
      </w:r>
    </w:p>
    <w:p w:rsidR="004102BE" w:rsidRPr="004102BE" w:rsidRDefault="004102BE" w:rsidP="004102BE">
      <w:pPr>
        <w:keepNext/>
        <w:keepLines/>
        <w:ind w:left="709"/>
        <w:contextualSpacing/>
        <w:jc w:val="center"/>
        <w:rPr>
          <w:rFonts w:asciiTheme="minorHAnsi" w:eastAsiaTheme="minorHAnsi" w:hAnsiTheme="minorHAnsi" w:cstheme="minorBidi"/>
          <w:sz w:val="22"/>
          <w:szCs w:val="22"/>
          <w:lang w:eastAsia="en-US"/>
        </w:rPr>
      </w:pP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 xml:space="preserve">The other main reason cited for the </w:t>
      </w:r>
      <w:r w:rsidR="00E90082">
        <w:rPr>
          <w:rFonts w:ascii="Calibri" w:eastAsiaTheme="minorHAnsi" w:hAnsi="Calibri" w:cs="Calibri"/>
          <w:sz w:val="22"/>
          <w:lang w:eastAsia="en-US"/>
        </w:rPr>
        <w:t xml:space="preserve">recent </w:t>
      </w:r>
      <w:r w:rsidRPr="004102BE">
        <w:rPr>
          <w:rFonts w:ascii="Calibri" w:eastAsiaTheme="minorHAnsi" w:hAnsi="Calibri" w:cs="Calibri"/>
          <w:sz w:val="22"/>
          <w:lang w:eastAsia="en-US"/>
        </w:rPr>
        <w:t xml:space="preserve">increase in premiums recently relates to </w:t>
      </w:r>
      <w:proofErr w:type="gramStart"/>
      <w:r w:rsidRPr="004102BE">
        <w:rPr>
          <w:rFonts w:ascii="Calibri" w:eastAsiaTheme="minorHAnsi" w:hAnsi="Calibri" w:cs="Calibri"/>
          <w:sz w:val="22"/>
          <w:lang w:eastAsia="en-US"/>
        </w:rPr>
        <w:t>a deterioration</w:t>
      </w:r>
      <w:proofErr w:type="gramEnd"/>
      <w:r w:rsidRPr="004102BE">
        <w:rPr>
          <w:rFonts w:ascii="Calibri" w:eastAsiaTheme="minorHAnsi" w:hAnsi="Calibri" w:cs="Calibri"/>
          <w:sz w:val="22"/>
          <w:lang w:eastAsia="en-US"/>
        </w:rPr>
        <w:t xml:space="preserve"> in claims continuance rates (defined as a measure of how long injured workers remain on incapacity payments). It is noted that on this key measure, licensee performance on the 13 weeks continuance rate DAKPI (the percentage of claims reaching four weeks of incapacity payments that subsequently reached 13 weeks or more incapacity) is much better than that for the premium payers. </w:t>
      </w:r>
      <w:r w:rsidR="00E90082">
        <w:rPr>
          <w:rFonts w:ascii="Calibri" w:eastAsiaTheme="minorHAnsi" w:hAnsi="Calibri" w:cs="Calibri"/>
          <w:sz w:val="22"/>
          <w:lang w:eastAsia="en-US"/>
        </w:rPr>
        <w:t>L</w:t>
      </w:r>
      <w:r w:rsidRPr="004102BE">
        <w:rPr>
          <w:rFonts w:ascii="Calibri" w:eastAsiaTheme="minorHAnsi" w:hAnsi="Calibri" w:cs="Calibri"/>
          <w:sz w:val="22"/>
          <w:lang w:eastAsia="en-US"/>
        </w:rPr>
        <w:t>icensees have pointed to the ability to integrate fully their claims management and rehabilitation processes as a significant advantage in</w:t>
      </w:r>
      <w:r w:rsidRPr="004102BE">
        <w:rPr>
          <w:rFonts w:asciiTheme="minorHAnsi" w:eastAsiaTheme="minorHAnsi" w:hAnsiTheme="minorHAnsi" w:cstheme="minorBidi"/>
          <w:sz w:val="22"/>
          <w:szCs w:val="22"/>
          <w:lang w:eastAsia="en-US"/>
        </w:rPr>
        <w:t xml:space="preserve"> </w:t>
      </w:r>
      <w:r w:rsidRPr="004102BE">
        <w:rPr>
          <w:rFonts w:ascii="Calibri" w:eastAsiaTheme="minorHAnsi" w:hAnsi="Calibri" w:cs="Calibri"/>
          <w:sz w:val="22"/>
          <w:lang w:eastAsia="en-US"/>
        </w:rPr>
        <w:t>improving their return to work outcomes. Unlike the licensees who have direct cost incentives to manage their claims costs, premium payers work within a premium framework which tends to blunt these direct cost impacts.</w:t>
      </w:r>
    </w:p>
    <w:p w:rsidR="004102BE" w:rsidRPr="004102BE" w:rsidRDefault="004102BE" w:rsidP="004102BE">
      <w:pPr>
        <w:numPr>
          <w:ilvl w:val="1"/>
          <w:numId w:val="31"/>
        </w:numPr>
        <w:spacing w:after="120"/>
        <w:ind w:left="709" w:hanging="709"/>
        <w:rPr>
          <w:rFonts w:asciiTheme="minorHAnsi" w:eastAsiaTheme="minorHAnsi" w:hAnsiTheme="minorHAnsi" w:cstheme="minorBidi"/>
          <w:sz w:val="22"/>
          <w:szCs w:val="22"/>
          <w:lang w:eastAsia="en-US"/>
        </w:rPr>
      </w:pPr>
      <w:r w:rsidRPr="004102BE">
        <w:rPr>
          <w:rFonts w:ascii="Calibri" w:eastAsiaTheme="minorHAnsi" w:hAnsi="Calibri" w:cs="Calibri"/>
          <w:sz w:val="22"/>
          <w:lang w:eastAsia="en-US"/>
        </w:rPr>
        <w:t>As a result of the upward cost pressures and underlying scheme cost, average premium rates for premium payers are now running at about 1.77 per cent of payroll levels, similar to the previous high points in 1996-97 and 2006-07. The premium rate responds to trends in the number and cost of claims from each agency as well as trends in claim frequency and the average claim cost for all agencies combined</w:t>
      </w:r>
      <w:r w:rsidRPr="004102BE">
        <w:rPr>
          <w:rFonts w:asciiTheme="minorHAnsi" w:eastAsiaTheme="minorHAnsi" w:hAnsiTheme="minorHAnsi" w:cstheme="minorBidi"/>
          <w:sz w:val="22"/>
          <w:szCs w:val="22"/>
          <w:lang w:eastAsia="en-US"/>
        </w:rPr>
        <w:t>.</w:t>
      </w:r>
      <w:r w:rsidRPr="004102BE">
        <w:rPr>
          <w:rFonts w:asciiTheme="minorHAnsi" w:eastAsiaTheme="minorHAnsi" w:hAnsiTheme="minorHAnsi" w:cstheme="minorBidi"/>
          <w:sz w:val="22"/>
          <w:szCs w:val="22"/>
          <w:vertAlign w:val="superscript"/>
          <w:lang w:eastAsia="en-US"/>
        </w:rPr>
        <w:footnoteReference w:id="27"/>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A comparison on some other data trends indicates that licensee performance is better than that for the premium-payers. Licensees perform better in some key areas, including a preparedness to intervene more quickly to develop a rehabilitation plan aimed at an early and sustainable return to work for an injured worker.</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lastRenderedPageBreak/>
        <w:t>The delay between injury and claim lodgement is seen as a significant contributor to the cost of a claim – the quicker a claim is lodged, the more likely it is that rehabilitation and return to work support can commence.</w:t>
      </w:r>
    </w:p>
    <w:p w:rsidR="004102BE" w:rsidRPr="004102BE" w:rsidRDefault="004102BE" w:rsidP="004102BE">
      <w:pPr>
        <w:keepNext/>
        <w:keepLines/>
        <w:spacing w:after="120" w:line="276" w:lineRule="auto"/>
        <w:ind w:left="709"/>
        <w:contextualSpacing/>
        <w:jc w:val="center"/>
        <w:rPr>
          <w:rFonts w:ascii="Calibri" w:eastAsiaTheme="minorHAnsi" w:hAnsi="Calibri" w:cs="Calibri"/>
          <w:b/>
          <w:sz w:val="22"/>
          <w:lang w:eastAsia="en-US"/>
        </w:rPr>
      </w:pPr>
      <w:r w:rsidRPr="004102BE">
        <w:rPr>
          <w:rFonts w:ascii="Calibri" w:eastAsiaTheme="minorHAnsi" w:hAnsi="Calibri" w:cs="Calibri"/>
          <w:b/>
          <w:sz w:val="22"/>
          <w:lang w:eastAsia="en-US"/>
        </w:rPr>
        <w:t>Figure 2.7: Calendar Days between Incident and Claim Lodgement</w:t>
      </w:r>
    </w:p>
    <w:p w:rsidR="004102BE" w:rsidRPr="004102BE" w:rsidRDefault="004102BE" w:rsidP="004102BE">
      <w:pPr>
        <w:keepNext/>
        <w:keepLines/>
        <w:spacing w:after="120" w:line="276" w:lineRule="auto"/>
        <w:ind w:left="709"/>
        <w:contextualSpacing/>
        <w:jc w:val="center"/>
        <w:rPr>
          <w:rFonts w:ascii="Calibri" w:eastAsiaTheme="minorHAnsi" w:hAnsi="Calibri" w:cs="Calibri"/>
          <w:b/>
          <w:sz w:val="22"/>
          <w:lang w:eastAsia="en-US"/>
        </w:rPr>
      </w:pPr>
      <w:r w:rsidRPr="004102BE">
        <w:rPr>
          <w:rFonts w:ascii="Calibri" w:eastAsiaTheme="minorHAnsi" w:hAnsi="Calibri" w:cs="Calibri"/>
          <w:b/>
          <w:sz w:val="22"/>
          <w:lang w:eastAsia="en-US"/>
        </w:rPr>
        <w:t>(Mental Stress Claims)</w:t>
      </w:r>
    </w:p>
    <w:p w:rsidR="004102BE" w:rsidRPr="004102BE" w:rsidRDefault="004102BE" w:rsidP="004102BE">
      <w:pPr>
        <w:keepNext/>
        <w:keepLines/>
        <w:spacing w:after="120"/>
        <w:ind w:left="709" w:hanging="709"/>
        <w:jc w:val="center"/>
        <w:rPr>
          <w:rFonts w:ascii="Calibri" w:eastAsiaTheme="minorHAnsi" w:hAnsi="Calibri" w:cs="Calibri"/>
          <w:b/>
          <w:noProof/>
          <w:sz w:val="22"/>
          <w:szCs w:val="22"/>
          <w:lang w:eastAsia="en-US"/>
        </w:rPr>
      </w:pPr>
      <w:r w:rsidRPr="0035663E">
        <w:rPr>
          <w:rFonts w:ascii="Calibri" w:eastAsiaTheme="minorHAnsi" w:hAnsi="Calibri" w:cs="Calibri"/>
          <w:b/>
          <w:noProof/>
          <w:sz w:val="22"/>
          <w:szCs w:val="22"/>
        </w:rPr>
        <w:drawing>
          <wp:inline distT="0" distB="0" distL="0" distR="0" wp14:anchorId="66824B04" wp14:editId="2F84D50F">
            <wp:extent cx="5731510" cy="2762250"/>
            <wp:effectExtent l="0" t="0" r="21590" b="19050"/>
            <wp:docPr id="7" name="Chart 3" descr="This graph shows the median calendar days between incident and claim lodgement for mental stress claims.  Data is shown for both Australian Government and Licensees for the financial years 2007 to 2012.&#10;&#10;2007 to 2008:&#10;Australian Government: 70 median days&#10;Licensees: 29 median days&#10;&#10;2008 to 2009:&#10;Australian Government: 75 median days&#10;Licensees: 35 median days&#10;&#10;2009 to 2010:&#10;Australian Government: 72 median days&#10;Licensees: 34 median days&#10;&#10;2010 to 2011:&#10;Australian Government: 83 median days&#10;Licensees: 41 median days&#10;&#10;2011 to 2012:&#10;Australian Government: 78 median days&#10;Licensees: 45 median days" title="Figure 2.7: Calendar Days between Incident and Claim Lodgem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102BE" w:rsidRPr="004102BE" w:rsidRDefault="004102BE" w:rsidP="004102BE">
      <w:pPr>
        <w:keepNext/>
        <w:keepLines/>
        <w:ind w:left="709"/>
        <w:contextualSpacing/>
        <w:jc w:val="right"/>
        <w:rPr>
          <w:rFonts w:asciiTheme="minorHAnsi" w:eastAsiaTheme="minorHAnsi" w:hAnsiTheme="minorHAnsi" w:cstheme="minorBidi"/>
          <w:sz w:val="20"/>
          <w:szCs w:val="20"/>
          <w:lang w:eastAsia="en-US"/>
        </w:rPr>
      </w:pPr>
      <w:r w:rsidRPr="004102BE">
        <w:rPr>
          <w:rFonts w:asciiTheme="minorHAnsi" w:eastAsiaTheme="minorHAnsi" w:hAnsiTheme="minorHAnsi" w:cstheme="minorBidi"/>
          <w:sz w:val="20"/>
          <w:szCs w:val="20"/>
          <w:lang w:eastAsia="en-US"/>
        </w:rPr>
        <w:t>Source: Comcare 2012</w:t>
      </w:r>
    </w:p>
    <w:p w:rsidR="004102BE" w:rsidRPr="004102BE" w:rsidRDefault="004102BE" w:rsidP="004102BE">
      <w:pPr>
        <w:keepNext/>
        <w:keepLines/>
        <w:rPr>
          <w:rFonts w:ascii="Calibri" w:eastAsiaTheme="minorHAnsi" w:hAnsi="Calibri" w:cs="Calibri"/>
          <w:sz w:val="22"/>
          <w:lang w:eastAsia="en-US"/>
        </w:rPr>
      </w:pPr>
    </w:p>
    <w:p w:rsidR="004102BE" w:rsidRPr="004102BE" w:rsidRDefault="004102BE" w:rsidP="004102BE">
      <w:pPr>
        <w:keepNext/>
        <w:keepLines/>
        <w:numPr>
          <w:ilvl w:val="1"/>
          <w:numId w:val="31"/>
        </w:numPr>
        <w:spacing w:after="200" w:line="276" w:lineRule="auto"/>
        <w:ind w:left="709" w:hanging="709"/>
        <w:contextualSpacing/>
        <w:rPr>
          <w:rFonts w:ascii="Calibri" w:eastAsiaTheme="minorHAnsi" w:hAnsi="Calibri" w:cs="Calibri"/>
          <w:sz w:val="22"/>
          <w:lang w:eastAsia="en-US"/>
        </w:rPr>
      </w:pPr>
      <w:r w:rsidRPr="004102BE">
        <w:rPr>
          <w:rFonts w:ascii="Calibri" w:eastAsiaTheme="minorHAnsi" w:hAnsi="Calibri" w:cs="Calibri"/>
          <w:sz w:val="22"/>
          <w:lang w:eastAsia="en-US"/>
        </w:rPr>
        <w:t>Similarly, the number of Australian Government agency claims with a rehabilitation plan is low when compared with licensees.</w:t>
      </w:r>
    </w:p>
    <w:p w:rsidR="004102BE" w:rsidRPr="004102BE" w:rsidRDefault="004102BE" w:rsidP="004102BE">
      <w:pPr>
        <w:spacing w:after="200" w:line="276" w:lineRule="auto"/>
        <w:ind w:left="709"/>
        <w:contextualSpacing/>
        <w:rPr>
          <w:rFonts w:ascii="Calibri" w:eastAsiaTheme="minorHAnsi" w:hAnsi="Calibri" w:cs="Calibri"/>
          <w:sz w:val="22"/>
          <w:lang w:eastAsia="en-US"/>
        </w:rPr>
      </w:pPr>
    </w:p>
    <w:p w:rsidR="004102BE" w:rsidRPr="004102BE" w:rsidRDefault="004102BE">
      <w:pPr>
        <w:keepNext/>
        <w:spacing w:after="120" w:line="276" w:lineRule="auto"/>
        <w:ind w:left="709"/>
        <w:contextualSpacing/>
        <w:jc w:val="center"/>
        <w:rPr>
          <w:rFonts w:ascii="Calibri" w:eastAsiaTheme="minorHAnsi" w:hAnsi="Calibri" w:cs="Calibri"/>
          <w:b/>
          <w:sz w:val="22"/>
          <w:lang w:eastAsia="en-US"/>
        </w:rPr>
      </w:pPr>
      <w:r w:rsidRPr="004102BE">
        <w:rPr>
          <w:rFonts w:ascii="Calibri" w:eastAsiaTheme="minorHAnsi" w:hAnsi="Calibri" w:cs="Calibri"/>
          <w:b/>
          <w:sz w:val="22"/>
          <w:lang w:eastAsia="en-US"/>
        </w:rPr>
        <w:t>Figure 2.8: Percentage of Claims with Two or More Weeks Lost Time with a Return to Work (RTW) Plan</w:t>
      </w:r>
    </w:p>
    <w:p w:rsidR="004102BE" w:rsidRPr="004102BE" w:rsidRDefault="004102BE" w:rsidP="004102BE">
      <w:pPr>
        <w:keepNext/>
        <w:keepLines/>
        <w:spacing w:after="120"/>
        <w:ind w:left="709" w:hanging="709"/>
        <w:jc w:val="center"/>
        <w:rPr>
          <w:rFonts w:ascii="Calibri" w:eastAsiaTheme="minorHAnsi" w:hAnsi="Calibri" w:cs="Calibri"/>
          <w:b/>
          <w:noProof/>
          <w:sz w:val="22"/>
          <w:szCs w:val="22"/>
        </w:rPr>
      </w:pPr>
      <w:r w:rsidRPr="0035663E">
        <w:rPr>
          <w:rFonts w:ascii="Calibri" w:eastAsiaTheme="minorHAnsi" w:hAnsi="Calibri" w:cs="Calibri"/>
          <w:b/>
          <w:noProof/>
          <w:sz w:val="22"/>
          <w:szCs w:val="22"/>
        </w:rPr>
        <w:drawing>
          <wp:inline distT="0" distB="0" distL="0" distR="0" wp14:anchorId="15EE7CEA" wp14:editId="793AD606">
            <wp:extent cx="5283835" cy="2790825"/>
            <wp:effectExtent l="0" t="0" r="12065" b="9525"/>
            <wp:docPr id="8" name="Chart 10" descr="2007:&#10;Licensees had developed return to work plans on 83 percent of their claims with 2 weeks lost time, compared to 60 percent of premium payers.&#10;&#10;2008:&#10;Licensees had developed return to work plans on 91 percent of their claims with 2 weeks lost time, compared to 59 percent of premium payers.&#10;&#10;2009:&#10;Licensees had developed return to work plans on 91 percent of their claims with 2 weeks lost time, compared to 62 percent of premium payers.&#10;&#10;2010:&#10;Licensees had developed return to work plans on 89 percent of their claims with 2 weeks lost time, compared to 55 percent of premium payers.&#10;&#10;2011:&#10;Licensees had developed return to work plans on 80 percent of their claims with 2 weeks lost time, compared to 59 percent of premium payers." title="Figure 2.8: Percentage of Claims with Two or More Weeks Lost Time with a Return to Work (RTW) Pla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4102BE" w:rsidRPr="004102BE" w:rsidRDefault="004102BE" w:rsidP="004102BE">
      <w:pPr>
        <w:keepNext/>
        <w:keepLines/>
        <w:ind w:left="709"/>
        <w:contextualSpacing/>
        <w:jc w:val="right"/>
        <w:rPr>
          <w:rFonts w:asciiTheme="minorHAnsi" w:eastAsiaTheme="minorHAnsi" w:hAnsiTheme="minorHAnsi" w:cstheme="minorBidi"/>
          <w:sz w:val="20"/>
          <w:szCs w:val="20"/>
          <w:lang w:eastAsia="en-US"/>
        </w:rPr>
      </w:pPr>
      <w:r w:rsidRPr="004102BE">
        <w:rPr>
          <w:rFonts w:asciiTheme="minorHAnsi" w:eastAsiaTheme="minorHAnsi" w:hAnsiTheme="minorHAnsi" w:cstheme="minorBidi"/>
          <w:sz w:val="20"/>
          <w:szCs w:val="20"/>
          <w:lang w:eastAsia="en-US"/>
        </w:rPr>
        <w:t>Source: Comcare 2012</w:t>
      </w:r>
    </w:p>
    <w:p w:rsidR="004102BE" w:rsidRPr="004102BE" w:rsidRDefault="004102BE" w:rsidP="004102BE">
      <w:pPr>
        <w:keepNext/>
        <w:spacing w:after="120" w:line="276" w:lineRule="auto"/>
        <w:ind w:left="709"/>
        <w:contextualSpacing/>
        <w:rPr>
          <w:rFonts w:ascii="Calibri" w:eastAsiaTheme="minorHAnsi" w:hAnsi="Calibri" w:cs="Calibri"/>
          <w:b/>
          <w:sz w:val="22"/>
          <w:lang w:eastAsia="en-US"/>
        </w:rPr>
      </w:pPr>
    </w:p>
    <w:p w:rsidR="004102BE" w:rsidRPr="004102BE" w:rsidRDefault="004102BE" w:rsidP="004102BE">
      <w:pPr>
        <w:numPr>
          <w:ilvl w:val="1"/>
          <w:numId w:val="31"/>
        </w:numPr>
        <w:spacing w:after="120"/>
        <w:ind w:left="709" w:hanging="709"/>
        <w:rPr>
          <w:rFonts w:asciiTheme="minorHAnsi" w:eastAsiaTheme="minorHAnsi" w:hAnsiTheme="minorHAnsi" w:cstheme="minorBidi"/>
          <w:sz w:val="22"/>
          <w:szCs w:val="22"/>
          <w:lang w:eastAsia="en-US"/>
        </w:rPr>
      </w:pPr>
      <w:r w:rsidRPr="004102BE">
        <w:rPr>
          <w:rFonts w:ascii="Calibri" w:eastAsiaTheme="minorHAnsi" w:hAnsi="Calibri" w:cs="Calibri"/>
          <w:sz w:val="22"/>
          <w:lang w:eastAsia="en-US"/>
        </w:rPr>
        <w:t xml:space="preserve">As the graph above shows, licensees generally develop RTW plans much earlier than the premium payers. In 2010-11, licensees had developed RTW plans on 80 per cent of their </w:t>
      </w:r>
      <w:r w:rsidRPr="004102BE">
        <w:rPr>
          <w:rFonts w:ascii="Calibri" w:eastAsiaTheme="minorHAnsi" w:hAnsi="Calibri" w:cs="Calibri"/>
          <w:sz w:val="22"/>
          <w:lang w:eastAsia="en-US"/>
        </w:rPr>
        <w:lastRenderedPageBreak/>
        <w:t xml:space="preserve">claims with two weeks lost time, compared to only 59 per cent for the premium-payer side of the scheme. In the previous year, the figures were 89 per cent and 55 per cent respectively. </w:t>
      </w:r>
    </w:p>
    <w:p w:rsidR="004102BE" w:rsidRPr="004102BE" w:rsidRDefault="004102BE" w:rsidP="004102BE">
      <w:pPr>
        <w:numPr>
          <w:ilvl w:val="1"/>
          <w:numId w:val="31"/>
        </w:numPr>
        <w:spacing w:after="120"/>
        <w:ind w:left="709" w:hanging="709"/>
        <w:rPr>
          <w:rFonts w:asciiTheme="minorHAnsi" w:eastAsiaTheme="minorHAnsi" w:hAnsiTheme="minorHAnsi" w:cstheme="minorBidi"/>
          <w:sz w:val="22"/>
          <w:szCs w:val="22"/>
          <w:lang w:eastAsia="en-US"/>
        </w:rPr>
      </w:pPr>
      <w:r w:rsidRPr="004102BE">
        <w:rPr>
          <w:rFonts w:ascii="Calibri" w:eastAsiaTheme="minorHAnsi" w:hAnsi="Calibri" w:cs="Calibri"/>
          <w:sz w:val="22"/>
          <w:lang w:eastAsia="en-US"/>
        </w:rPr>
        <w:t>Similarly, in 2010-11, the incidence of claims with six weeks lost time per 1,000 FTE was higher for the premium payer side of the scheme (5.3 per cent) compared to the licensees (3.9 per cent)</w:t>
      </w:r>
      <w:r w:rsidRPr="004102BE">
        <w:rPr>
          <w:rFonts w:asciiTheme="minorHAnsi" w:eastAsiaTheme="minorHAnsi" w:hAnsiTheme="minorHAnsi" w:cstheme="minorBidi"/>
          <w:sz w:val="22"/>
          <w:szCs w:val="22"/>
          <w:lang w:eastAsia="en-US"/>
        </w:rPr>
        <w:t>.</w:t>
      </w:r>
      <w:r w:rsidRPr="004102BE">
        <w:rPr>
          <w:rFonts w:asciiTheme="minorHAnsi" w:eastAsiaTheme="minorHAnsi" w:hAnsiTheme="minorHAnsi" w:cstheme="minorBidi"/>
          <w:sz w:val="22"/>
          <w:szCs w:val="22"/>
          <w:vertAlign w:val="superscript"/>
          <w:lang w:eastAsia="en-US"/>
        </w:rPr>
        <w:footnoteReference w:id="28"/>
      </w:r>
      <w:r w:rsidRPr="004102BE">
        <w:rPr>
          <w:rFonts w:asciiTheme="minorHAnsi" w:eastAsiaTheme="minorHAnsi" w:hAnsiTheme="minorHAnsi" w:cstheme="minorBidi"/>
          <w:sz w:val="22"/>
          <w:szCs w:val="22"/>
          <w:lang w:eastAsia="en-US"/>
        </w:rPr>
        <w:t xml:space="preserve"> </w:t>
      </w:r>
    </w:p>
    <w:p w:rsidR="004102BE" w:rsidRPr="004102BE" w:rsidRDefault="004102BE" w:rsidP="004102BE">
      <w:pPr>
        <w:numPr>
          <w:ilvl w:val="1"/>
          <w:numId w:val="31"/>
        </w:numPr>
        <w:spacing w:after="120"/>
        <w:ind w:left="709" w:hanging="709"/>
        <w:rPr>
          <w:rFonts w:asciiTheme="minorHAnsi" w:eastAsiaTheme="minorHAnsi" w:hAnsiTheme="minorHAnsi" w:cstheme="minorBidi"/>
          <w:sz w:val="22"/>
          <w:szCs w:val="22"/>
          <w:lang w:eastAsia="en-US"/>
        </w:rPr>
      </w:pPr>
      <w:r w:rsidRPr="004102BE">
        <w:rPr>
          <w:rFonts w:ascii="Calibri" w:eastAsiaTheme="minorHAnsi" w:hAnsi="Calibri" w:cs="Calibri"/>
          <w:sz w:val="22"/>
          <w:lang w:eastAsia="en-US"/>
        </w:rPr>
        <w:t>Scheme RTW performance has also deteriorated in recent times. In 2010–11, the Comcare scheme recorded a RTW rate of 87 per cent, which is above the national RTW Rate (86 per cent), but the lowest rate recorded since 1998–99. At the same time, the durable RTW rate of the Comcare scheme remained stable (84 per cent) in comparison to 2009–10 and above the national average of 77 per cent.</w:t>
      </w:r>
      <w:r w:rsidRPr="004102BE">
        <w:rPr>
          <w:rFonts w:asciiTheme="minorHAnsi" w:eastAsiaTheme="minorHAnsi" w:hAnsiTheme="minorHAnsi" w:cstheme="minorBidi"/>
          <w:sz w:val="22"/>
          <w:szCs w:val="22"/>
          <w:vertAlign w:val="superscript"/>
          <w:lang w:eastAsia="en-US"/>
        </w:rPr>
        <w:footnoteReference w:id="29"/>
      </w:r>
      <w:r w:rsidRPr="004102BE">
        <w:rPr>
          <w:rFonts w:asciiTheme="minorHAnsi" w:eastAsiaTheme="minorHAnsi" w:hAnsiTheme="minorHAnsi" w:cstheme="minorBidi"/>
          <w:sz w:val="22"/>
          <w:szCs w:val="22"/>
          <w:lang w:eastAsia="en-US"/>
        </w:rPr>
        <w:t xml:space="preserve"> </w:t>
      </w:r>
      <w:r w:rsidRPr="004102BE">
        <w:rPr>
          <w:rFonts w:ascii="Calibri" w:eastAsiaTheme="minorHAnsi" w:hAnsi="Calibri" w:cs="Calibri"/>
          <w:sz w:val="22"/>
          <w:lang w:eastAsia="en-US"/>
        </w:rPr>
        <w:t xml:space="preserve">It should be noted, however, that the </w:t>
      </w:r>
      <w:r w:rsidR="008B71A9">
        <w:rPr>
          <w:rFonts w:ascii="Calibri" w:eastAsiaTheme="minorHAnsi" w:hAnsi="Calibri" w:cs="Calibri"/>
          <w:sz w:val="22"/>
          <w:lang w:eastAsia="en-US"/>
        </w:rPr>
        <w:t xml:space="preserve">2010-11 </w:t>
      </w:r>
      <w:r w:rsidRPr="004102BE">
        <w:rPr>
          <w:rFonts w:ascii="Calibri" w:eastAsiaTheme="minorHAnsi" w:hAnsi="Calibri" w:cs="Calibri"/>
          <w:sz w:val="22"/>
          <w:lang w:eastAsia="en-US"/>
        </w:rPr>
        <w:t xml:space="preserve">durable RTW rate was also </w:t>
      </w:r>
      <w:r w:rsidR="008B71A9">
        <w:rPr>
          <w:rFonts w:ascii="Calibri" w:eastAsiaTheme="minorHAnsi" w:hAnsi="Calibri" w:cs="Calibri"/>
          <w:sz w:val="22"/>
          <w:lang w:eastAsia="en-US"/>
        </w:rPr>
        <w:t>one of</w:t>
      </w:r>
      <w:r w:rsidR="008B71A9" w:rsidRPr="004102BE">
        <w:rPr>
          <w:rFonts w:ascii="Calibri" w:eastAsiaTheme="minorHAnsi" w:hAnsi="Calibri" w:cs="Calibri"/>
          <w:sz w:val="22"/>
          <w:lang w:eastAsia="en-US"/>
        </w:rPr>
        <w:t xml:space="preserve"> </w:t>
      </w:r>
      <w:r w:rsidRPr="004102BE">
        <w:rPr>
          <w:rFonts w:ascii="Calibri" w:eastAsiaTheme="minorHAnsi" w:hAnsi="Calibri" w:cs="Calibri"/>
          <w:sz w:val="22"/>
          <w:lang w:eastAsia="en-US"/>
        </w:rPr>
        <w:t>the lowest rate</w:t>
      </w:r>
      <w:r w:rsidR="008B71A9">
        <w:rPr>
          <w:rFonts w:ascii="Calibri" w:eastAsiaTheme="minorHAnsi" w:hAnsi="Calibri" w:cs="Calibri"/>
          <w:sz w:val="22"/>
          <w:lang w:eastAsia="en-US"/>
        </w:rPr>
        <w:t>s</w:t>
      </w:r>
      <w:r w:rsidRPr="004102BE">
        <w:rPr>
          <w:rFonts w:ascii="Calibri" w:eastAsiaTheme="minorHAnsi" w:hAnsi="Calibri" w:cs="Calibri"/>
          <w:sz w:val="22"/>
          <w:lang w:eastAsia="en-US"/>
        </w:rPr>
        <w:t xml:space="preserve"> Comcare has recorded</w:t>
      </w:r>
      <w:r w:rsidRPr="004102BE">
        <w:rPr>
          <w:rFonts w:asciiTheme="minorHAnsi" w:eastAsiaTheme="minorHAnsi" w:hAnsiTheme="minorHAnsi" w:cstheme="minorBidi"/>
          <w:sz w:val="22"/>
          <w:szCs w:val="22"/>
          <w:lang w:eastAsia="en-US"/>
        </w:rPr>
        <w:t>.</w:t>
      </w:r>
      <w:r w:rsidRPr="004102BE">
        <w:rPr>
          <w:rFonts w:asciiTheme="minorHAnsi" w:eastAsiaTheme="minorHAnsi" w:hAnsiTheme="minorHAnsi" w:cstheme="minorBidi"/>
          <w:sz w:val="22"/>
          <w:szCs w:val="22"/>
          <w:vertAlign w:val="superscript"/>
          <w:lang w:eastAsia="en-US"/>
        </w:rPr>
        <w:footnoteReference w:id="30"/>
      </w:r>
    </w:p>
    <w:p w:rsidR="004102BE" w:rsidRPr="004102BE" w:rsidRDefault="004102BE" w:rsidP="004102BE">
      <w:pPr>
        <w:numPr>
          <w:ilvl w:val="1"/>
          <w:numId w:val="31"/>
        </w:numPr>
        <w:spacing w:after="120"/>
        <w:ind w:left="709" w:hanging="709"/>
        <w:rPr>
          <w:rFonts w:asciiTheme="minorHAnsi" w:eastAsiaTheme="minorHAnsi" w:hAnsiTheme="minorHAnsi" w:cstheme="minorBidi"/>
          <w:sz w:val="22"/>
          <w:szCs w:val="22"/>
          <w:lang w:eastAsia="en-US"/>
        </w:rPr>
      </w:pPr>
      <w:r w:rsidRPr="004102BE">
        <w:rPr>
          <w:rFonts w:ascii="Calibri" w:eastAsiaTheme="minorHAnsi" w:hAnsi="Calibri" w:cs="Calibri"/>
          <w:sz w:val="22"/>
          <w:lang w:eastAsia="en-US"/>
        </w:rPr>
        <w:t>The RTW rate for the premium payer side of the scheme has been consistently lower than that of the licensees. In 2010-11, there was a slight increase in the RTW rate for licensees (96 per cent), while there was a decrease in the rate for premium payers (87 per cent)</w:t>
      </w:r>
      <w:r w:rsidRPr="004102BE">
        <w:rPr>
          <w:rFonts w:asciiTheme="minorHAnsi" w:eastAsiaTheme="minorHAnsi" w:hAnsiTheme="minorHAnsi" w:cstheme="minorBidi"/>
          <w:sz w:val="22"/>
          <w:szCs w:val="22"/>
          <w:lang w:eastAsia="en-US"/>
        </w:rPr>
        <w:t>.</w:t>
      </w:r>
    </w:p>
    <w:p w:rsidR="004102BE" w:rsidRPr="004102BE" w:rsidRDefault="004102BE" w:rsidP="004102BE">
      <w:pPr>
        <w:spacing w:after="200" w:line="276" w:lineRule="auto"/>
        <w:ind w:left="709" w:hanging="709"/>
        <w:contextualSpacing/>
        <w:rPr>
          <w:rFonts w:asciiTheme="minorHAnsi" w:eastAsiaTheme="minorHAnsi" w:hAnsiTheme="minorHAnsi" w:cstheme="minorBidi"/>
          <w:sz w:val="22"/>
          <w:szCs w:val="22"/>
          <w:lang w:eastAsia="en-US"/>
        </w:rPr>
      </w:pPr>
    </w:p>
    <w:p w:rsidR="004102BE" w:rsidRPr="004102BE" w:rsidRDefault="004102BE" w:rsidP="004102BE">
      <w:pPr>
        <w:keepNext/>
        <w:spacing w:after="200" w:line="276" w:lineRule="auto"/>
        <w:ind w:left="1418" w:hanging="709"/>
        <w:contextualSpacing/>
        <w:jc w:val="center"/>
        <w:rPr>
          <w:rFonts w:ascii="Calibri" w:eastAsiaTheme="minorHAnsi" w:hAnsi="Calibri" w:cs="Calibri"/>
          <w:b/>
          <w:sz w:val="22"/>
          <w:szCs w:val="22"/>
          <w:lang w:eastAsia="en-US"/>
        </w:rPr>
      </w:pPr>
      <w:r w:rsidRPr="004102BE">
        <w:rPr>
          <w:rFonts w:ascii="Calibri" w:eastAsiaTheme="minorHAnsi" w:hAnsi="Calibri" w:cs="Calibri"/>
          <w:b/>
          <w:sz w:val="22"/>
          <w:szCs w:val="22"/>
          <w:lang w:eastAsia="en-US"/>
        </w:rPr>
        <w:t>Figure 2.9: Return to Work Rate</w:t>
      </w:r>
    </w:p>
    <w:p w:rsidR="004102BE" w:rsidRPr="004102BE" w:rsidRDefault="004102BE" w:rsidP="004102BE">
      <w:pPr>
        <w:keepNext/>
        <w:keepLines/>
        <w:spacing w:after="120"/>
        <w:ind w:left="709" w:hanging="709"/>
        <w:jc w:val="center"/>
        <w:rPr>
          <w:rFonts w:ascii="Calibri" w:eastAsiaTheme="minorHAnsi" w:hAnsi="Calibri" w:cs="Calibri"/>
          <w:b/>
          <w:noProof/>
          <w:sz w:val="22"/>
          <w:szCs w:val="22"/>
          <w:lang w:eastAsia="en-US"/>
        </w:rPr>
      </w:pPr>
      <w:r w:rsidRPr="0035663E">
        <w:rPr>
          <w:rFonts w:ascii="Calibri" w:eastAsiaTheme="minorHAnsi" w:hAnsi="Calibri" w:cs="Calibri"/>
          <w:b/>
          <w:noProof/>
          <w:sz w:val="22"/>
          <w:szCs w:val="22"/>
        </w:rPr>
        <w:drawing>
          <wp:inline distT="0" distB="0" distL="0" distR="0" wp14:anchorId="747232C1" wp14:editId="5C121497">
            <wp:extent cx="5486400" cy="3200400"/>
            <wp:effectExtent l="0" t="0" r="19050" b="19050"/>
            <wp:docPr id="9" name="Chart 12" descr="This graph shows the return to work percentage rate for both premium payers and licensed self-insurers for the financial years 2006 to 2011.&#10;&#10;2006 to 2007:&#10;Premium Payers: 92 percent&#10;Licensed self-insurers: 96 percent&#10;&#10;2007 to 2008:&#10;Premium Payers: 90 percent&#10;Licensed self-insurers: 99 percent&#10;&#10;2008 to 2009&#10;Premium Payers: 93 percent&#10;Licensed self-insurers: 95 percent&#10;&#10;2009 to 2010&#10;Premium Payers: 95 percent&#10;Licensed self-insurers: 95 percent&#10;&#10;2010 to 2011&#10;Premium Payers: 87 percent&#10;Licensed self-insurers: 96 percent&#10;&#10;&#10;&#10;" title="Figure 2.9: Return to Work Rate"/>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102BE" w:rsidRPr="004102BE" w:rsidRDefault="004102BE" w:rsidP="004102BE">
      <w:pPr>
        <w:keepNext/>
        <w:keepLines/>
        <w:ind w:left="709"/>
        <w:contextualSpacing/>
        <w:jc w:val="right"/>
        <w:rPr>
          <w:rFonts w:asciiTheme="minorHAnsi" w:eastAsiaTheme="minorHAnsi" w:hAnsiTheme="minorHAnsi" w:cstheme="minorBidi"/>
          <w:sz w:val="20"/>
          <w:szCs w:val="20"/>
          <w:lang w:eastAsia="en-US"/>
        </w:rPr>
      </w:pPr>
      <w:r w:rsidRPr="004102BE">
        <w:rPr>
          <w:rFonts w:asciiTheme="minorHAnsi" w:eastAsiaTheme="minorHAnsi" w:hAnsiTheme="minorHAnsi" w:cstheme="minorBidi"/>
          <w:sz w:val="20"/>
          <w:szCs w:val="20"/>
          <w:lang w:eastAsia="en-US"/>
        </w:rPr>
        <w:t>Source: Comcare 2012</w:t>
      </w:r>
    </w:p>
    <w:p w:rsidR="004102BE" w:rsidRPr="004102BE" w:rsidRDefault="004102BE" w:rsidP="004102BE">
      <w:pPr>
        <w:spacing w:after="200" w:line="276" w:lineRule="auto"/>
        <w:ind w:left="1418" w:hanging="709"/>
        <w:contextualSpacing/>
        <w:jc w:val="center"/>
        <w:rPr>
          <w:rFonts w:ascii="Calibri" w:eastAsiaTheme="minorHAnsi" w:hAnsi="Calibri" w:cs="Calibri"/>
          <w:b/>
          <w:sz w:val="22"/>
          <w:szCs w:val="22"/>
          <w:lang w:eastAsia="en-US"/>
        </w:rPr>
      </w:pP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This clear disparity in the RTW rate for the two types of employers highlights the need for Comcare and premium payers to work more closely to identify</w:t>
      </w:r>
      <w:r w:rsidRPr="004102BE">
        <w:rPr>
          <w:rFonts w:asciiTheme="minorHAnsi" w:eastAsiaTheme="minorHAnsi" w:hAnsiTheme="minorHAnsi" w:cstheme="minorBidi"/>
          <w:sz w:val="22"/>
          <w:szCs w:val="22"/>
          <w:lang w:eastAsia="en-US"/>
        </w:rPr>
        <w:t xml:space="preserve"> </w:t>
      </w:r>
      <w:r w:rsidRPr="004102BE">
        <w:rPr>
          <w:rFonts w:ascii="Calibri" w:eastAsiaTheme="minorHAnsi" w:hAnsi="Calibri" w:cs="Calibri"/>
          <w:sz w:val="22"/>
          <w:lang w:eastAsia="en-US"/>
        </w:rPr>
        <w:t>opportunities and implement strategies that will help to improve the RTW outcomes for injured workers.</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 xml:space="preserve">Comcare has indicated that an improvement in the time taken from when an injury incident occurs and when a premium-payer sends a compensation claim to Comcare would provide a </w:t>
      </w:r>
      <w:r w:rsidRPr="004102BE">
        <w:rPr>
          <w:rFonts w:ascii="Calibri" w:eastAsiaTheme="minorHAnsi" w:hAnsi="Calibri" w:cs="Calibri"/>
          <w:sz w:val="22"/>
          <w:lang w:eastAsia="en-US"/>
        </w:rPr>
        <w:lastRenderedPageBreak/>
        <w:t>greater opportunity to ensure workers with these injuries are getting the support they need as early as possible. The quicker support is provided to an injured worker after injury, the higher the likelihood that an injured worker will make an early and successful RTW.</w:t>
      </w:r>
    </w:p>
    <w:p w:rsidR="004102BE" w:rsidRPr="004102BE" w:rsidRDefault="004102BE" w:rsidP="004102BE">
      <w:pPr>
        <w:numPr>
          <w:ilvl w:val="1"/>
          <w:numId w:val="31"/>
        </w:numPr>
        <w:spacing w:after="120"/>
        <w:ind w:left="709" w:hanging="709"/>
        <w:rPr>
          <w:rFonts w:asciiTheme="minorHAnsi" w:eastAsiaTheme="minorHAnsi" w:hAnsiTheme="minorHAnsi" w:cstheme="minorBidi"/>
          <w:sz w:val="22"/>
          <w:szCs w:val="22"/>
          <w:lang w:eastAsia="en-US"/>
        </w:rPr>
      </w:pPr>
      <w:r w:rsidRPr="004102BE">
        <w:rPr>
          <w:rFonts w:ascii="Calibri" w:eastAsiaTheme="minorHAnsi" w:hAnsi="Calibri" w:cs="Calibri"/>
          <w:sz w:val="22"/>
          <w:lang w:eastAsia="en-US"/>
        </w:rPr>
        <w:t>Additionally, the absence of a rehabilitation plan to support the RTW of an injured worker increases the risk of poor return to work practice. Comcare indicated it has been exploring ways of increasing the take up of rehabilitation plans, including the use of regulatory measures and an explicit premium penalty regime. As part of this process, it has recently reviewed and issued updated Rehabilitation Guidelines to provide greater assistance to employers in the Comcare scheme in managing the rehabilitation process</w:t>
      </w:r>
      <w:r w:rsidRPr="004102BE">
        <w:rPr>
          <w:rFonts w:asciiTheme="minorHAnsi" w:eastAsiaTheme="minorHAnsi" w:hAnsiTheme="minorHAnsi" w:cstheme="minorBidi"/>
          <w:sz w:val="22"/>
          <w:szCs w:val="22"/>
          <w:lang w:eastAsia="en-US"/>
        </w:rPr>
        <w:t>.</w:t>
      </w:r>
      <w:r w:rsidRPr="004102BE">
        <w:rPr>
          <w:rFonts w:asciiTheme="minorHAnsi" w:eastAsiaTheme="minorHAnsi" w:hAnsiTheme="minorHAnsi" w:cstheme="minorBidi"/>
          <w:sz w:val="22"/>
          <w:szCs w:val="22"/>
          <w:vertAlign w:val="superscript"/>
          <w:lang w:eastAsia="en-US"/>
        </w:rPr>
        <w:footnoteReference w:id="31"/>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Responsibility for managing rehabilitation and RTW activities in the premium payer side of the scheme rests with the premium-payers, while claims processing is managed by Comcare.  The 2010 Ernst and Young report notes that this approach is appropriate, but that it does present some risks, notably:</w:t>
      </w:r>
    </w:p>
    <w:p w:rsidR="004102BE" w:rsidRPr="004102BE" w:rsidRDefault="004102BE" w:rsidP="004102BE">
      <w:pPr>
        <w:numPr>
          <w:ilvl w:val="0"/>
          <w:numId w:val="28"/>
        </w:numPr>
        <w:spacing w:after="120"/>
        <w:ind w:left="1134" w:hanging="425"/>
        <w:rPr>
          <w:rFonts w:ascii="Calibri" w:eastAsiaTheme="minorHAnsi" w:hAnsi="Calibri" w:cs="Calibri"/>
          <w:i/>
          <w:sz w:val="22"/>
          <w:lang w:eastAsia="en-US"/>
        </w:rPr>
      </w:pPr>
      <w:r w:rsidRPr="004102BE">
        <w:rPr>
          <w:rFonts w:ascii="Calibri" w:eastAsiaTheme="minorHAnsi" w:hAnsi="Calibri" w:cs="Calibri"/>
          <w:i/>
          <w:sz w:val="22"/>
          <w:lang w:eastAsia="en-US"/>
        </w:rPr>
        <w:t>“it creates a layer between the employer and Comcare that can reduce Comcare’s ability to intervene early and implement effective and timely injury management and return to work strategies,</w:t>
      </w:r>
    </w:p>
    <w:p w:rsidR="004102BE" w:rsidRPr="004102BE" w:rsidRDefault="004102BE" w:rsidP="004102BE">
      <w:pPr>
        <w:numPr>
          <w:ilvl w:val="0"/>
          <w:numId w:val="28"/>
        </w:numPr>
        <w:spacing w:after="120"/>
        <w:ind w:left="1134" w:hanging="425"/>
        <w:rPr>
          <w:rFonts w:ascii="Calibri" w:eastAsiaTheme="minorHAnsi" w:hAnsi="Calibri" w:cs="Calibri"/>
          <w:sz w:val="22"/>
          <w:lang w:eastAsia="en-US"/>
        </w:rPr>
      </w:pPr>
      <w:proofErr w:type="gramStart"/>
      <w:r w:rsidRPr="004102BE">
        <w:rPr>
          <w:rFonts w:ascii="Calibri" w:eastAsiaTheme="minorHAnsi" w:hAnsi="Calibri" w:cs="Calibri"/>
          <w:i/>
          <w:sz w:val="22"/>
          <w:lang w:eastAsia="en-US"/>
        </w:rPr>
        <w:t>it</w:t>
      </w:r>
      <w:proofErr w:type="gramEnd"/>
      <w:r w:rsidRPr="004102BE">
        <w:rPr>
          <w:rFonts w:ascii="Calibri" w:eastAsiaTheme="minorHAnsi" w:hAnsi="Calibri" w:cs="Calibri"/>
          <w:i/>
          <w:sz w:val="22"/>
          <w:lang w:eastAsia="en-US"/>
        </w:rPr>
        <w:t xml:space="preserve"> requires agencies to build their own OHS and rehabilitation capabilities and capacity.”</w:t>
      </w:r>
      <w:r w:rsidRPr="004102BE">
        <w:rPr>
          <w:rFonts w:asciiTheme="minorHAnsi" w:eastAsiaTheme="minorHAnsi" w:hAnsiTheme="minorHAnsi" w:cstheme="minorHAnsi"/>
          <w:i/>
          <w:sz w:val="22"/>
          <w:szCs w:val="22"/>
          <w:vertAlign w:val="superscript"/>
          <w:lang w:eastAsia="en-US"/>
        </w:rPr>
        <w:footnoteReference w:id="32"/>
      </w:r>
    </w:p>
    <w:p w:rsidR="004102BE" w:rsidRPr="004102BE" w:rsidRDefault="004102BE" w:rsidP="004102BE">
      <w:pPr>
        <w:spacing w:after="120"/>
        <w:ind w:left="709"/>
        <w:rPr>
          <w:rFonts w:asciiTheme="minorHAnsi" w:eastAsiaTheme="minorHAnsi" w:hAnsiTheme="minorHAnsi" w:cstheme="minorBidi"/>
          <w:sz w:val="22"/>
          <w:szCs w:val="22"/>
          <w:lang w:eastAsia="en-US"/>
        </w:rPr>
      </w:pPr>
      <w:r w:rsidRPr="004102BE">
        <w:rPr>
          <w:rFonts w:ascii="Calibri" w:eastAsiaTheme="minorHAnsi" w:hAnsi="Calibri" w:cs="Calibri"/>
          <w:sz w:val="22"/>
          <w:lang w:eastAsia="en-US"/>
        </w:rPr>
        <w:t xml:space="preserve">The report noted </w:t>
      </w:r>
      <w:r w:rsidR="00DE4A9A" w:rsidRPr="004102BE">
        <w:rPr>
          <w:rFonts w:ascii="Calibri" w:eastAsiaTheme="minorHAnsi" w:hAnsi="Calibri" w:cs="Calibri"/>
          <w:sz w:val="22"/>
          <w:lang w:eastAsia="en-US"/>
        </w:rPr>
        <w:t>that on</w:t>
      </w:r>
      <w:r w:rsidRPr="004102BE">
        <w:rPr>
          <w:rFonts w:ascii="Calibri" w:eastAsiaTheme="minorHAnsi" w:hAnsi="Calibri" w:cs="Calibri"/>
          <w:sz w:val="22"/>
          <w:lang w:eastAsia="en-US"/>
        </w:rPr>
        <w:t xml:space="preserve"> average premium payers report a claim around 90 days after the date of injury compared to an industry average of around ten days.  The segmentation of responsibilities was noted by a number of stakeholders consulted by Ernst and Young as a reason for this. This seems to me a </w:t>
      </w:r>
      <w:r w:rsidR="00063416" w:rsidRPr="004102BE">
        <w:rPr>
          <w:rFonts w:ascii="Calibri" w:eastAsiaTheme="minorHAnsi" w:hAnsi="Calibri" w:cs="Calibri"/>
          <w:sz w:val="22"/>
          <w:lang w:eastAsia="en-US"/>
        </w:rPr>
        <w:t>self-serving</w:t>
      </w:r>
      <w:r w:rsidRPr="004102BE">
        <w:rPr>
          <w:rFonts w:ascii="Calibri" w:eastAsiaTheme="minorHAnsi" w:hAnsi="Calibri" w:cs="Calibri"/>
          <w:sz w:val="22"/>
          <w:lang w:eastAsia="en-US"/>
        </w:rPr>
        <w:t xml:space="preserve"> argument. Perhaps the recent premium increases, combined with the new WHS responsibilities, will lead premium payers to focus more attention on their WHS and rehabilitation capabilities and capacity.</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A key difference in the claims management arrangements for premium payers and the licensed insurers is that licensed insurers as the employer also have direct responsibility for claims management outcomes. Licensees noted the benefits of being able to manage their own claims in-house.  In particular, the self insurance model provides a more holistic approach to the management of workplace injuries, as the licensee holds two key roles in the compensation process, those of rehabilitation authority and determining authority. Licensees are able to ensure that these roles are closely aligned in order to ensure the best possible outcomes for the injured worker and employer.</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This option is not available for the premium payers, who manage their rehabilitation functions separately from Comcare, which as noted previously is the determining authority for claim matters.</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 xml:space="preserve">These arrangements for premium payers and the comparative rehabilitation and compensation outcomes achieved by licensed </w:t>
      </w:r>
      <w:proofErr w:type="gramStart"/>
      <w:r w:rsidRPr="004102BE">
        <w:rPr>
          <w:rFonts w:ascii="Calibri" w:eastAsiaTheme="minorHAnsi" w:hAnsi="Calibri" w:cs="Calibri"/>
          <w:sz w:val="22"/>
          <w:lang w:eastAsia="en-US"/>
        </w:rPr>
        <w:t>insurers</w:t>
      </w:r>
      <w:proofErr w:type="gramEnd"/>
      <w:r w:rsidRPr="004102BE">
        <w:rPr>
          <w:rFonts w:ascii="Calibri" w:eastAsiaTheme="minorHAnsi" w:hAnsi="Calibri" w:cs="Calibri"/>
          <w:sz w:val="22"/>
          <w:lang w:eastAsia="en-US"/>
        </w:rPr>
        <w:t xml:space="preserve"> poses an obvious question: Were a premium payer to become a determining authority under the SRC Act, could it achieve improvements in RTW outcomes that trend more towards those of the licensed insurers?  Some premium payers have been critical of the claims management functions performed by Comcare and providing a mechanism for those employers to take full accountability for outcomes would remove any capacity for blame shifting.  The separation of rehabilitation and claims management determining authority functions </w:t>
      </w:r>
      <w:r w:rsidR="003D4727">
        <w:rPr>
          <w:rFonts w:ascii="Calibri" w:eastAsiaTheme="minorHAnsi" w:hAnsi="Calibri" w:cs="Calibri"/>
          <w:sz w:val="22"/>
          <w:lang w:eastAsia="en-US"/>
        </w:rPr>
        <w:t>means</w:t>
      </w:r>
      <w:r w:rsidRPr="004102BE">
        <w:rPr>
          <w:rFonts w:ascii="Calibri" w:eastAsiaTheme="minorHAnsi" w:hAnsi="Calibri" w:cs="Calibri"/>
          <w:sz w:val="22"/>
          <w:lang w:eastAsia="en-US"/>
        </w:rPr>
        <w:t xml:space="preserve"> that the accountability for compensation, rehabilitation and RTW outcomes does not wholly reside with one party.</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lastRenderedPageBreak/>
        <w:t xml:space="preserve">More than three quarters of all claims by employees of premium payers come from six large government agencies.  If </w:t>
      </w:r>
      <w:r w:rsidR="003D4727">
        <w:rPr>
          <w:rFonts w:ascii="Calibri" w:eastAsiaTheme="minorHAnsi" w:hAnsi="Calibri" w:cs="Calibri"/>
          <w:sz w:val="22"/>
          <w:lang w:eastAsia="en-US"/>
        </w:rPr>
        <w:t xml:space="preserve">the ACT Government or </w:t>
      </w:r>
      <w:r w:rsidRPr="004102BE">
        <w:rPr>
          <w:rFonts w:ascii="Calibri" w:eastAsiaTheme="minorHAnsi" w:hAnsi="Calibri" w:cs="Calibri"/>
          <w:sz w:val="22"/>
          <w:lang w:eastAsia="en-US"/>
        </w:rPr>
        <w:t>an agency with the critical size to support the required claims management capability was willing and able to satisfy the same audit requirements mandated for licensed insurers under the SRC Act</w:t>
      </w:r>
      <w:r w:rsidR="00F62990" w:rsidRPr="004102BE">
        <w:rPr>
          <w:rFonts w:ascii="Calibri" w:eastAsiaTheme="minorHAnsi" w:hAnsi="Calibri" w:cs="Calibri"/>
          <w:sz w:val="22"/>
          <w:lang w:eastAsia="en-US"/>
        </w:rPr>
        <w:t>, such</w:t>
      </w:r>
      <w:r w:rsidRPr="004102BE">
        <w:rPr>
          <w:rFonts w:ascii="Calibri" w:eastAsiaTheme="minorHAnsi" w:hAnsi="Calibri" w:cs="Calibri"/>
          <w:sz w:val="22"/>
          <w:lang w:eastAsia="en-US"/>
        </w:rPr>
        <w:t xml:space="preserve"> an arrangement would provide the integration that licensed insurers claim is a vital element of achieving the best RTW outcomes.  This </w:t>
      </w:r>
      <w:r w:rsidR="003D4727">
        <w:rPr>
          <w:rFonts w:ascii="Calibri" w:eastAsiaTheme="minorHAnsi" w:hAnsi="Calibri" w:cs="Calibri"/>
          <w:sz w:val="22"/>
          <w:lang w:eastAsia="en-US"/>
        </w:rPr>
        <w:t>would reveal</w:t>
      </w:r>
      <w:r w:rsidRPr="004102BE">
        <w:rPr>
          <w:rFonts w:ascii="Calibri" w:eastAsiaTheme="minorHAnsi" w:hAnsi="Calibri" w:cs="Calibri"/>
          <w:sz w:val="22"/>
          <w:lang w:eastAsia="en-US"/>
        </w:rPr>
        <w:t xml:space="preserve"> a level of transparency and accountability for that premium payer that is not currently possible. Such a premium payer </w:t>
      </w:r>
      <w:r w:rsidR="003D4727">
        <w:rPr>
          <w:rFonts w:ascii="Calibri" w:eastAsiaTheme="minorHAnsi" w:hAnsi="Calibri" w:cs="Calibri"/>
          <w:sz w:val="22"/>
          <w:lang w:eastAsia="en-US"/>
        </w:rPr>
        <w:t>w</w:t>
      </w:r>
      <w:r w:rsidR="003D4727" w:rsidRPr="004102BE">
        <w:rPr>
          <w:rFonts w:ascii="Calibri" w:eastAsiaTheme="minorHAnsi" w:hAnsi="Calibri" w:cs="Calibri"/>
          <w:sz w:val="22"/>
          <w:lang w:eastAsia="en-US"/>
        </w:rPr>
        <w:t xml:space="preserve">ould </w:t>
      </w:r>
      <w:r w:rsidRPr="004102BE">
        <w:rPr>
          <w:rFonts w:ascii="Calibri" w:eastAsiaTheme="minorHAnsi" w:hAnsi="Calibri" w:cs="Calibri"/>
          <w:sz w:val="22"/>
          <w:lang w:eastAsia="en-US"/>
        </w:rPr>
        <w:t xml:space="preserve">essentially be a self insurer under the scheme.  </w:t>
      </w:r>
      <w:r w:rsidR="003D4727">
        <w:rPr>
          <w:rFonts w:ascii="Calibri" w:eastAsiaTheme="minorHAnsi" w:hAnsi="Calibri" w:cs="Calibri"/>
          <w:sz w:val="22"/>
          <w:lang w:eastAsia="en-US"/>
        </w:rPr>
        <w:t>Provision of</w:t>
      </w:r>
      <w:r w:rsidR="003D4727" w:rsidRPr="004102BE">
        <w:rPr>
          <w:rFonts w:ascii="Calibri" w:eastAsiaTheme="minorHAnsi" w:hAnsi="Calibri" w:cs="Calibri"/>
          <w:sz w:val="22"/>
          <w:lang w:eastAsia="en-US"/>
        </w:rPr>
        <w:t xml:space="preserve"> </w:t>
      </w:r>
      <w:r w:rsidR="003D4727">
        <w:rPr>
          <w:rFonts w:ascii="Calibri" w:eastAsiaTheme="minorHAnsi" w:hAnsi="Calibri" w:cs="Calibri"/>
          <w:sz w:val="22"/>
          <w:lang w:eastAsia="en-US"/>
        </w:rPr>
        <w:t>this</w:t>
      </w:r>
      <w:r w:rsidRPr="004102BE">
        <w:rPr>
          <w:rFonts w:ascii="Calibri" w:eastAsiaTheme="minorHAnsi" w:hAnsi="Calibri" w:cs="Calibri"/>
          <w:sz w:val="22"/>
          <w:lang w:eastAsia="en-US"/>
        </w:rPr>
        <w:t xml:space="preserve"> mechanism under the SRC Act </w:t>
      </w:r>
      <w:r w:rsidR="003D4727">
        <w:rPr>
          <w:rFonts w:ascii="Calibri" w:eastAsiaTheme="minorHAnsi" w:hAnsi="Calibri" w:cs="Calibri"/>
          <w:sz w:val="22"/>
          <w:lang w:eastAsia="en-US"/>
        </w:rPr>
        <w:t>w</w:t>
      </w:r>
      <w:r w:rsidR="003D4727" w:rsidRPr="004102BE">
        <w:rPr>
          <w:rFonts w:ascii="Calibri" w:eastAsiaTheme="minorHAnsi" w:hAnsi="Calibri" w:cs="Calibri"/>
          <w:sz w:val="22"/>
          <w:lang w:eastAsia="en-US"/>
        </w:rPr>
        <w:t xml:space="preserve">ould </w:t>
      </w:r>
      <w:r w:rsidRPr="004102BE">
        <w:rPr>
          <w:rFonts w:ascii="Calibri" w:eastAsiaTheme="minorHAnsi" w:hAnsi="Calibri" w:cs="Calibri"/>
          <w:sz w:val="22"/>
          <w:lang w:eastAsia="en-US"/>
        </w:rPr>
        <w:t>provide Comcare and the Government with an invaluable model to observe and identify improvement opportunities for the Scheme over the longer term, for both Comcare as a determining authority and premium payers as model employers.</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 xml:space="preserve">This model </w:t>
      </w:r>
      <w:r w:rsidR="003D4727">
        <w:rPr>
          <w:rFonts w:ascii="Calibri" w:eastAsiaTheme="minorHAnsi" w:hAnsi="Calibri" w:cs="Calibri"/>
          <w:sz w:val="22"/>
          <w:lang w:eastAsia="en-US"/>
        </w:rPr>
        <w:t>raises</w:t>
      </w:r>
      <w:r w:rsidRPr="004102BE">
        <w:rPr>
          <w:rFonts w:ascii="Calibri" w:eastAsiaTheme="minorHAnsi" w:hAnsi="Calibri" w:cs="Calibri"/>
          <w:sz w:val="22"/>
          <w:lang w:eastAsia="en-US"/>
        </w:rPr>
        <w:t xml:space="preserve"> financial issues aside from the practical issues of a Government agency operating as a determining authority.  </w:t>
      </w:r>
      <w:r w:rsidR="002901A7">
        <w:rPr>
          <w:rFonts w:ascii="Calibri" w:eastAsiaTheme="minorHAnsi" w:hAnsi="Calibri" w:cs="Calibri"/>
          <w:sz w:val="22"/>
          <w:lang w:eastAsia="en-US"/>
        </w:rPr>
        <w:t>I</w:t>
      </w:r>
      <w:r w:rsidR="003D4727">
        <w:rPr>
          <w:rFonts w:ascii="Calibri" w:eastAsiaTheme="minorHAnsi" w:hAnsi="Calibri" w:cs="Calibri"/>
          <w:sz w:val="22"/>
          <w:lang w:eastAsia="en-US"/>
        </w:rPr>
        <w:t>t invites consideration of</w:t>
      </w:r>
      <w:r w:rsidRPr="004102BE">
        <w:rPr>
          <w:rFonts w:ascii="Calibri" w:eastAsiaTheme="minorHAnsi" w:hAnsi="Calibri" w:cs="Calibri"/>
          <w:sz w:val="22"/>
          <w:lang w:eastAsia="en-US"/>
        </w:rPr>
        <w:t xml:space="preserve"> whether the current premium model would continue to operate, or whether an alternative funding model should be considered where a current premium payer is approved as a determining authority</w:t>
      </w:r>
    </w:p>
    <w:p w:rsidR="004102BE" w:rsidRPr="004102BE" w:rsidRDefault="00885167" w:rsidP="004102BE">
      <w:pPr>
        <w:numPr>
          <w:ilvl w:val="1"/>
          <w:numId w:val="31"/>
        </w:numPr>
        <w:spacing w:after="120"/>
        <w:ind w:left="709" w:hanging="709"/>
        <w:rPr>
          <w:rFonts w:ascii="Calibri" w:eastAsiaTheme="minorHAnsi" w:hAnsi="Calibri" w:cs="Calibri"/>
          <w:sz w:val="22"/>
          <w:lang w:eastAsia="en-US"/>
        </w:rPr>
      </w:pPr>
      <w:r>
        <w:rPr>
          <w:rFonts w:ascii="Calibri" w:eastAsiaTheme="minorHAnsi" w:hAnsi="Calibri" w:cs="Calibri"/>
          <w:sz w:val="22"/>
          <w:lang w:eastAsia="en-US"/>
        </w:rPr>
        <w:t>S</w:t>
      </w:r>
      <w:r w:rsidR="004102BE" w:rsidRPr="004102BE">
        <w:rPr>
          <w:rFonts w:ascii="Calibri" w:eastAsiaTheme="minorHAnsi" w:hAnsi="Calibri" w:cs="Calibri"/>
          <w:sz w:val="22"/>
          <w:lang w:eastAsia="en-US"/>
        </w:rPr>
        <w:t>eparation of rehabilitation and claims determination responsibilities is</w:t>
      </w:r>
      <w:r w:rsidR="0065040D">
        <w:rPr>
          <w:rFonts w:ascii="Calibri" w:eastAsiaTheme="minorHAnsi" w:hAnsi="Calibri" w:cs="Calibri"/>
          <w:sz w:val="22"/>
          <w:lang w:eastAsia="en-US"/>
        </w:rPr>
        <w:t xml:space="preserve"> </w:t>
      </w:r>
      <w:r w:rsidR="004102BE" w:rsidRPr="004102BE">
        <w:rPr>
          <w:rFonts w:ascii="Calibri" w:eastAsiaTheme="minorHAnsi" w:hAnsi="Calibri" w:cs="Calibri"/>
          <w:sz w:val="22"/>
          <w:lang w:eastAsia="en-US"/>
        </w:rPr>
        <w:t xml:space="preserve">not unique to Comcare. In </w:t>
      </w:r>
      <w:r w:rsidR="00F8255B">
        <w:rPr>
          <w:rFonts w:ascii="Calibri" w:eastAsiaTheme="minorHAnsi" w:hAnsi="Calibri" w:cs="Calibri"/>
          <w:sz w:val="22"/>
          <w:lang w:eastAsia="en-US"/>
        </w:rPr>
        <w:t>NSW</w:t>
      </w:r>
      <w:r w:rsidR="004102BE" w:rsidRPr="004102BE">
        <w:rPr>
          <w:rFonts w:ascii="Calibri" w:eastAsiaTheme="minorHAnsi" w:hAnsi="Calibri" w:cs="Calibri"/>
          <w:sz w:val="22"/>
          <w:lang w:eastAsia="en-US"/>
        </w:rPr>
        <w:t xml:space="preserve"> and Victoria</w:t>
      </w:r>
      <w:r w:rsidR="0065040D">
        <w:rPr>
          <w:rFonts w:ascii="Calibri" w:eastAsiaTheme="minorHAnsi" w:hAnsi="Calibri" w:cs="Calibri"/>
          <w:sz w:val="22"/>
          <w:lang w:eastAsia="en-US"/>
        </w:rPr>
        <w:t xml:space="preserve"> for example</w:t>
      </w:r>
      <w:r w:rsidR="004102BE" w:rsidRPr="004102BE">
        <w:rPr>
          <w:rFonts w:ascii="Calibri" w:eastAsiaTheme="minorHAnsi" w:hAnsi="Calibri" w:cs="Calibri"/>
          <w:sz w:val="22"/>
          <w:lang w:eastAsia="en-US"/>
        </w:rPr>
        <w:t>, responsibility for rehabilitation and return to work lies with the employer while the authorised claims agent/insurer has the responsibility for decision-making in relation to an injured worker’s claim. In order to ensure effective communication and coordination of the activities of both employers and agents, these respective jurisdictions ensure information and guidance material is available to support the claims management and return to work process.</w:t>
      </w:r>
      <w:r w:rsidR="004102BE" w:rsidRPr="004102BE">
        <w:rPr>
          <w:rFonts w:ascii="Calibri" w:eastAsiaTheme="minorHAnsi" w:hAnsi="Calibri" w:cs="Calibri"/>
          <w:sz w:val="22"/>
          <w:vertAlign w:val="superscript"/>
          <w:lang w:eastAsia="en-US"/>
        </w:rPr>
        <w:footnoteReference w:id="33"/>
      </w:r>
      <w:r w:rsidR="004102BE" w:rsidRPr="004102BE">
        <w:rPr>
          <w:rFonts w:ascii="Calibri" w:eastAsiaTheme="minorHAnsi" w:hAnsi="Calibri" w:cs="Calibri"/>
          <w:sz w:val="22"/>
          <w:lang w:eastAsia="en-US"/>
        </w:rPr>
        <w:t xml:space="preserve"> In these jurisdictions, claims agents also have the legislative power to commence the rehabilitation process in some instances, for example, where the employe</w:t>
      </w:r>
      <w:r w:rsidR="004102BE" w:rsidRPr="004102BE">
        <w:rPr>
          <w:rFonts w:ascii="Calibri" w:eastAsiaTheme="minorHAnsi" w:hAnsi="Calibri" w:cstheme="minorHAnsi"/>
          <w:sz w:val="22"/>
          <w:lang w:eastAsia="en-US"/>
        </w:rPr>
        <w:t>r</w:t>
      </w:r>
      <w:r w:rsidR="004102BE" w:rsidRPr="004102BE">
        <w:rPr>
          <w:rFonts w:ascii="Calibri" w:eastAsiaTheme="minorHAnsi" w:hAnsi="Calibri" w:cs="Calibri"/>
          <w:sz w:val="22"/>
          <w:lang w:eastAsia="en-US"/>
        </w:rPr>
        <w:t xml:space="preserve"> </w:t>
      </w:r>
      <w:r w:rsidR="004102BE" w:rsidRPr="004102BE">
        <w:rPr>
          <w:rFonts w:ascii="Calibri" w:eastAsiaTheme="minorHAnsi" w:hAnsi="Calibri" w:cstheme="minorHAnsi"/>
          <w:sz w:val="22"/>
          <w:lang w:eastAsia="en-US"/>
        </w:rPr>
        <w:t>r</w:t>
      </w:r>
      <w:r w:rsidR="004102BE" w:rsidRPr="004102BE">
        <w:rPr>
          <w:rFonts w:ascii="Calibri" w:eastAsiaTheme="minorHAnsi" w:hAnsi="Calibri" w:cs="Calibri"/>
          <w:sz w:val="22"/>
          <w:lang w:eastAsia="en-US"/>
        </w:rPr>
        <w:t>efuses or is unable to commence the rehabilitation process or the employer of the injured worker no longer exists.</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 xml:space="preserve">Unlike other jurisdictions where the claims agent/insurer is able to commence and manage a rehabilitation process, following the 1995 Federal Court decision of </w:t>
      </w:r>
      <w:r w:rsidRPr="004102BE">
        <w:rPr>
          <w:rFonts w:ascii="Calibri" w:eastAsiaTheme="minorHAnsi" w:hAnsi="Calibri" w:cs="Calibri"/>
          <w:i/>
          <w:sz w:val="22"/>
          <w:lang w:eastAsia="en-US"/>
        </w:rPr>
        <w:t>Hardin vs Comcare</w:t>
      </w:r>
      <w:r w:rsidRPr="004102BE">
        <w:rPr>
          <w:rFonts w:asciiTheme="minorHAnsi" w:eastAsiaTheme="minorHAnsi" w:hAnsiTheme="minorHAnsi" w:cstheme="minorHAnsi"/>
          <w:sz w:val="22"/>
          <w:vertAlign w:val="superscript"/>
          <w:lang w:eastAsia="en-US"/>
        </w:rPr>
        <w:footnoteReference w:id="34"/>
      </w:r>
      <w:r w:rsidRPr="004102BE">
        <w:rPr>
          <w:rFonts w:ascii="Calibri" w:eastAsiaTheme="minorHAnsi" w:hAnsi="Calibri" w:cs="Calibri"/>
          <w:i/>
          <w:sz w:val="22"/>
          <w:lang w:eastAsia="en-US"/>
        </w:rPr>
        <w:t>,</w:t>
      </w:r>
      <w:r w:rsidRPr="004102BE">
        <w:rPr>
          <w:rFonts w:ascii="Calibri" w:eastAsiaTheme="minorHAnsi" w:hAnsi="Calibri" w:cs="Calibri"/>
          <w:sz w:val="22"/>
          <w:lang w:eastAsia="en-US"/>
        </w:rPr>
        <w:t xml:space="preserve"> Comcare is not a rehabilitat</w:t>
      </w:r>
      <w:r w:rsidRPr="004102BE">
        <w:rPr>
          <w:rFonts w:ascii="Calibri" w:eastAsiaTheme="minorHAnsi" w:hAnsi="Calibri" w:cstheme="minorHAnsi"/>
          <w:sz w:val="22"/>
          <w:lang w:eastAsia="en-US"/>
        </w:rPr>
        <w:t>i</w:t>
      </w:r>
      <w:r w:rsidRPr="004102BE">
        <w:rPr>
          <w:rFonts w:ascii="Calibri" w:eastAsiaTheme="minorHAnsi" w:hAnsi="Calibri" w:cs="Calibri"/>
          <w:sz w:val="22"/>
          <w:lang w:eastAsia="en-US"/>
        </w:rPr>
        <w:t>on authority (except, of course, for the workers’ compensation claims of its own employees), so it is unable to undertake any rehabilitation activity.</w:t>
      </w:r>
      <w:r w:rsidRPr="004102BE">
        <w:rPr>
          <w:rFonts w:asciiTheme="minorHAnsi" w:eastAsiaTheme="minorHAnsi" w:hAnsiTheme="minorHAnsi" w:cstheme="minorHAnsi"/>
          <w:sz w:val="22"/>
          <w:lang w:eastAsia="en-US"/>
        </w:rPr>
        <w:t xml:space="preserve"> </w:t>
      </w:r>
      <w:r w:rsidRPr="004102BE">
        <w:rPr>
          <w:rFonts w:ascii="Calibri" w:eastAsiaTheme="minorHAnsi" w:hAnsi="Calibri" w:cs="Calibri"/>
          <w:sz w:val="22"/>
          <w:lang w:eastAsia="en-US"/>
        </w:rPr>
        <w:t xml:space="preserve">Prior to this decision, Comcare organised and managed the rehabilitation process on behalf of premium paying employers.  In </w:t>
      </w:r>
      <w:r w:rsidRPr="004102BE">
        <w:rPr>
          <w:rFonts w:ascii="Calibri" w:eastAsiaTheme="minorHAnsi" w:hAnsi="Calibri" w:cs="Calibri"/>
          <w:i/>
          <w:sz w:val="22"/>
          <w:lang w:eastAsia="en-US"/>
        </w:rPr>
        <w:t>Hardin</w:t>
      </w:r>
      <w:r w:rsidRPr="004102BE">
        <w:rPr>
          <w:rFonts w:ascii="Calibri" w:eastAsiaTheme="minorHAnsi" w:hAnsi="Calibri" w:cs="Calibri"/>
          <w:sz w:val="22"/>
          <w:lang w:eastAsia="en-US"/>
        </w:rPr>
        <w:t>, the Court decided that Comcare is unable to undertake any rehabilitation activities itself in the absence of a determination by the rehabilitation authority.</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The ability for Comcare to organise rehabilitation for an injured worker is important in circumstances where the injured worker is no longer employed by the injury employer and the employer is unwilling to commence rehabilitation for the injured worker.</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 xml:space="preserve">Accordingly, Comcare should re-visit its interpretation of the </w:t>
      </w:r>
      <w:r w:rsidRPr="004102BE">
        <w:rPr>
          <w:rFonts w:ascii="Calibri" w:eastAsiaTheme="minorHAnsi" w:hAnsi="Calibri" w:cs="Calibri"/>
          <w:i/>
          <w:sz w:val="22"/>
          <w:lang w:eastAsia="en-US"/>
        </w:rPr>
        <w:t xml:space="preserve">Hardin </w:t>
      </w:r>
      <w:r w:rsidRPr="004102BE">
        <w:rPr>
          <w:rFonts w:ascii="Calibri" w:eastAsiaTheme="minorHAnsi" w:hAnsi="Calibri" w:cs="Calibri"/>
          <w:sz w:val="22"/>
          <w:lang w:eastAsia="en-US"/>
        </w:rPr>
        <w:t xml:space="preserve">decision to determine whether under the current legislative provisions there is scope for it to coordinate rehabilitation services for injured workers in certain circumstances.  Best practice in rehabilitation requires agreement of the three key parties – the injured employee, the employer and the treating doctor.  It </w:t>
      </w:r>
      <w:r w:rsidR="003D4727">
        <w:rPr>
          <w:rFonts w:ascii="Calibri" w:eastAsiaTheme="minorHAnsi" w:hAnsi="Calibri" w:cs="Calibri"/>
          <w:sz w:val="22"/>
          <w:lang w:eastAsia="en-US"/>
        </w:rPr>
        <w:t>seems to me</w:t>
      </w:r>
      <w:r w:rsidRPr="004102BE">
        <w:rPr>
          <w:rFonts w:ascii="Calibri" w:eastAsiaTheme="minorHAnsi" w:hAnsi="Calibri" w:cs="Calibri"/>
          <w:sz w:val="22"/>
          <w:lang w:eastAsia="en-US"/>
        </w:rPr>
        <w:t xml:space="preserve"> that the </w:t>
      </w:r>
      <w:r w:rsidRPr="004102BE">
        <w:rPr>
          <w:rFonts w:ascii="Calibri" w:eastAsiaTheme="minorHAnsi" w:hAnsi="Calibri" w:cs="Calibri"/>
          <w:i/>
          <w:sz w:val="22"/>
          <w:lang w:eastAsia="en-US"/>
        </w:rPr>
        <w:t>Hardin</w:t>
      </w:r>
      <w:r w:rsidRPr="004102BE">
        <w:rPr>
          <w:rFonts w:ascii="Calibri" w:eastAsiaTheme="minorHAnsi" w:hAnsi="Calibri" w:cs="Calibri"/>
          <w:sz w:val="22"/>
          <w:lang w:eastAsia="en-US"/>
        </w:rPr>
        <w:t xml:space="preserve"> decision was simply pointing out to Comcare that approval from the employer (or the “rehabilitation authority“) is required</w:t>
      </w:r>
      <w:r w:rsidR="00F8255B">
        <w:rPr>
          <w:rFonts w:ascii="Calibri" w:eastAsiaTheme="minorHAnsi" w:hAnsi="Calibri" w:cs="Calibri"/>
          <w:sz w:val="22"/>
          <w:lang w:eastAsia="en-US"/>
        </w:rPr>
        <w:t xml:space="preserve"> as a prerequisite</w:t>
      </w:r>
      <w:r w:rsidRPr="004102BE">
        <w:rPr>
          <w:rFonts w:ascii="Calibri" w:eastAsiaTheme="minorHAnsi" w:hAnsi="Calibri" w:cs="Calibri"/>
          <w:sz w:val="22"/>
          <w:lang w:eastAsia="en-US"/>
        </w:rPr>
        <w:t xml:space="preserve">, rather than an absolute prohibition of an administrative process – that of </w:t>
      </w:r>
      <w:r w:rsidR="003D4727">
        <w:rPr>
          <w:rFonts w:ascii="Calibri" w:eastAsiaTheme="minorHAnsi" w:hAnsi="Calibri" w:cs="Calibri"/>
          <w:sz w:val="22"/>
          <w:lang w:eastAsia="en-US"/>
        </w:rPr>
        <w:t xml:space="preserve">Comcare </w:t>
      </w:r>
      <w:r w:rsidRPr="004102BE">
        <w:rPr>
          <w:rFonts w:ascii="Calibri" w:eastAsiaTheme="minorHAnsi" w:hAnsi="Calibri" w:cs="Calibri"/>
          <w:sz w:val="22"/>
          <w:lang w:eastAsia="en-US"/>
        </w:rPr>
        <w:t>coordinating rehabilitation services.</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lastRenderedPageBreak/>
        <w:t xml:space="preserve">To ensure greater clarity around the rehabilitation provisions in the SRC Act and Comcare’s role, the SRC Act rehabilitation provisions should be reviewed.  This issue is being considered as part of the complementary Hanks Review which will address </w:t>
      </w:r>
      <w:r w:rsidRPr="004102BE">
        <w:rPr>
          <w:rFonts w:ascii="Calibri" w:eastAsiaTheme="minorHAnsi" w:hAnsi="Calibri" w:cs="Calibri"/>
          <w:sz w:val="22"/>
          <w:szCs w:val="22"/>
        </w:rPr>
        <w:t>legislative anomalies within the SRC Act and updates that need to be addressed including improving rehabilitation of injured workers and fair and equitable rehabilitation support</w:t>
      </w:r>
      <w:r w:rsidRPr="004102BE">
        <w:rPr>
          <w:rFonts w:ascii="Calibri" w:eastAsiaTheme="minorHAnsi" w:hAnsi="Calibri" w:cs="Calibri"/>
          <w:sz w:val="22"/>
          <w:lang w:eastAsia="en-US"/>
        </w:rPr>
        <w:t>.</w:t>
      </w:r>
    </w:p>
    <w:p w:rsidR="004102BE" w:rsidRPr="004102BE" w:rsidRDefault="004102BE" w:rsidP="004102B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Calibri" w:eastAsiaTheme="minorHAnsi" w:hAnsi="Calibri" w:cs="Calibri"/>
          <w:b/>
          <w:sz w:val="22"/>
          <w:lang w:eastAsia="en-US"/>
        </w:rPr>
      </w:pPr>
      <w:r w:rsidRPr="004102BE">
        <w:rPr>
          <w:rFonts w:ascii="Calibri" w:eastAsiaTheme="minorHAnsi" w:hAnsi="Calibri" w:cs="Calibri"/>
          <w:b/>
          <w:sz w:val="22"/>
          <w:lang w:eastAsia="en-US"/>
        </w:rPr>
        <w:t xml:space="preserve">Recommendation </w:t>
      </w:r>
      <w:r w:rsidR="003D4727">
        <w:rPr>
          <w:rFonts w:ascii="Calibri" w:eastAsiaTheme="minorHAnsi" w:hAnsi="Calibri" w:cs="Calibri"/>
          <w:b/>
          <w:sz w:val="22"/>
          <w:lang w:eastAsia="en-US"/>
        </w:rPr>
        <w:t>9</w:t>
      </w:r>
    </w:p>
    <w:p w:rsidR="004102BE" w:rsidRPr="004102BE" w:rsidRDefault="004102BE" w:rsidP="004102B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Calibri" w:eastAsiaTheme="minorHAnsi" w:hAnsi="Calibri" w:cs="Calibri"/>
          <w:sz w:val="22"/>
          <w:lang w:eastAsia="en-US"/>
        </w:rPr>
      </w:pPr>
      <w:r w:rsidRPr="004102BE">
        <w:rPr>
          <w:rFonts w:ascii="Calibri" w:eastAsiaTheme="minorHAnsi" w:hAnsi="Calibri" w:cs="Calibri"/>
          <w:sz w:val="22"/>
          <w:lang w:eastAsia="en-US"/>
        </w:rPr>
        <w:t xml:space="preserve">The SRC Act </w:t>
      </w:r>
      <w:proofErr w:type="gramStart"/>
      <w:r w:rsidRPr="004102BE">
        <w:rPr>
          <w:rFonts w:ascii="Calibri" w:eastAsiaTheme="minorHAnsi" w:hAnsi="Calibri" w:cs="Calibri"/>
          <w:sz w:val="22"/>
          <w:lang w:eastAsia="en-US"/>
        </w:rPr>
        <w:t>be</w:t>
      </w:r>
      <w:proofErr w:type="gramEnd"/>
      <w:r w:rsidRPr="004102BE">
        <w:rPr>
          <w:rFonts w:ascii="Calibri" w:eastAsiaTheme="minorHAnsi" w:hAnsi="Calibri" w:cs="Calibri"/>
          <w:sz w:val="22"/>
          <w:lang w:eastAsia="en-US"/>
        </w:rPr>
        <w:t xml:space="preserve"> amended to allow </w:t>
      </w:r>
      <w:r w:rsidR="003D4727">
        <w:rPr>
          <w:rFonts w:ascii="Calibri" w:eastAsiaTheme="minorHAnsi" w:hAnsi="Calibri" w:cs="Calibri"/>
          <w:sz w:val="22"/>
          <w:lang w:eastAsia="en-US"/>
        </w:rPr>
        <w:t>the ACT Government and other</w:t>
      </w:r>
      <w:r w:rsidR="003D4727" w:rsidRPr="004102BE">
        <w:rPr>
          <w:rFonts w:ascii="Calibri" w:eastAsiaTheme="minorHAnsi" w:hAnsi="Calibri" w:cs="Calibri"/>
          <w:sz w:val="22"/>
          <w:lang w:eastAsia="en-US"/>
        </w:rPr>
        <w:t xml:space="preserve"> </w:t>
      </w:r>
      <w:r w:rsidRPr="004102BE">
        <w:rPr>
          <w:rFonts w:ascii="Calibri" w:eastAsiaTheme="minorHAnsi" w:hAnsi="Calibri" w:cs="Calibri"/>
          <w:sz w:val="22"/>
          <w:lang w:eastAsia="en-US"/>
        </w:rPr>
        <w:t>SRC Act premium payers to apply and be approved as a determining authority, subject to meeting the same audit and performance reporting requirements for licensees under the Comcare Scheme.</w:t>
      </w:r>
    </w:p>
    <w:p w:rsidR="004102BE" w:rsidRPr="004102BE" w:rsidRDefault="004102BE" w:rsidP="004102B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Calibri" w:eastAsiaTheme="minorHAnsi" w:hAnsi="Calibri" w:cs="Calibri"/>
          <w:b/>
          <w:sz w:val="22"/>
          <w:lang w:eastAsia="en-US"/>
        </w:rPr>
      </w:pPr>
      <w:r w:rsidRPr="004102BE">
        <w:rPr>
          <w:rFonts w:ascii="Calibri" w:eastAsiaTheme="minorHAnsi" w:hAnsi="Calibri" w:cs="Calibri"/>
          <w:b/>
          <w:sz w:val="22"/>
          <w:lang w:eastAsia="en-US"/>
        </w:rPr>
        <w:t xml:space="preserve">Recommendation </w:t>
      </w:r>
      <w:r w:rsidR="003D4727">
        <w:rPr>
          <w:rFonts w:ascii="Calibri" w:eastAsiaTheme="minorHAnsi" w:hAnsi="Calibri" w:cs="Calibri"/>
          <w:b/>
          <w:sz w:val="22"/>
          <w:lang w:eastAsia="en-US"/>
        </w:rPr>
        <w:t>10</w:t>
      </w:r>
    </w:p>
    <w:p w:rsidR="004102BE" w:rsidRPr="004102BE" w:rsidRDefault="004102BE" w:rsidP="004102B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Calibri" w:eastAsiaTheme="minorHAnsi" w:hAnsi="Calibri" w:cs="Calibri"/>
          <w:sz w:val="22"/>
          <w:lang w:eastAsia="en-US"/>
        </w:rPr>
      </w:pPr>
      <w:r w:rsidRPr="004102BE">
        <w:rPr>
          <w:rFonts w:ascii="Calibri" w:eastAsiaTheme="minorHAnsi" w:hAnsi="Calibri" w:cs="Calibri"/>
          <w:sz w:val="22"/>
          <w:lang w:eastAsia="en-US"/>
        </w:rPr>
        <w:t xml:space="preserve">Comcare and </w:t>
      </w:r>
      <w:r w:rsidR="003D4727">
        <w:rPr>
          <w:rFonts w:ascii="Calibri" w:eastAsiaTheme="minorHAnsi" w:hAnsi="Calibri" w:cs="Calibri"/>
          <w:sz w:val="22"/>
          <w:lang w:eastAsia="en-US"/>
        </w:rPr>
        <w:t xml:space="preserve">the </w:t>
      </w:r>
      <w:r w:rsidRPr="004102BE">
        <w:rPr>
          <w:rFonts w:ascii="Calibri" w:eastAsiaTheme="minorHAnsi" w:hAnsi="Calibri" w:cs="Calibri"/>
          <w:sz w:val="22"/>
          <w:lang w:eastAsia="en-US"/>
        </w:rPr>
        <w:t xml:space="preserve">Department of Finance and Deregulation collaborate to develop the appropriate financial framework to support recommendation </w:t>
      </w:r>
      <w:r w:rsidR="0055570F">
        <w:rPr>
          <w:rFonts w:ascii="Calibri" w:eastAsiaTheme="minorHAnsi" w:hAnsi="Calibri" w:cs="Calibri"/>
          <w:sz w:val="22"/>
          <w:lang w:eastAsia="en-US"/>
        </w:rPr>
        <w:t>9</w:t>
      </w:r>
      <w:r w:rsidR="00CC585F" w:rsidRPr="004102BE">
        <w:rPr>
          <w:rFonts w:ascii="Calibri" w:eastAsiaTheme="minorHAnsi" w:hAnsi="Calibri" w:cs="Calibri"/>
          <w:sz w:val="22"/>
          <w:lang w:eastAsia="en-US"/>
        </w:rPr>
        <w:t>.</w:t>
      </w:r>
    </w:p>
    <w:p w:rsidR="004102BE" w:rsidRPr="004102BE" w:rsidRDefault="004102BE" w:rsidP="004102B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Calibri" w:eastAsiaTheme="minorHAnsi" w:hAnsi="Calibri" w:cs="Calibri"/>
          <w:b/>
          <w:sz w:val="22"/>
          <w:lang w:eastAsia="en-US"/>
        </w:rPr>
      </w:pPr>
      <w:r w:rsidRPr="004102BE">
        <w:rPr>
          <w:rFonts w:ascii="Calibri" w:eastAsiaTheme="minorHAnsi" w:hAnsi="Calibri" w:cs="Calibri"/>
          <w:b/>
          <w:sz w:val="22"/>
          <w:lang w:eastAsia="en-US"/>
        </w:rPr>
        <w:t xml:space="preserve">Recommendation </w:t>
      </w:r>
      <w:r w:rsidR="003D4727">
        <w:rPr>
          <w:rFonts w:ascii="Calibri" w:eastAsiaTheme="minorHAnsi" w:hAnsi="Calibri" w:cs="Calibri"/>
          <w:b/>
          <w:sz w:val="22"/>
          <w:lang w:eastAsia="en-US"/>
        </w:rPr>
        <w:t>11</w:t>
      </w:r>
    </w:p>
    <w:p w:rsidR="004102BE" w:rsidRPr="004102BE" w:rsidRDefault="004102BE" w:rsidP="004102B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Calibri" w:eastAsiaTheme="minorHAnsi" w:hAnsi="Calibri" w:cs="Calibri"/>
          <w:sz w:val="22"/>
          <w:lang w:eastAsia="en-US"/>
        </w:rPr>
      </w:pPr>
      <w:r w:rsidRPr="004102BE">
        <w:rPr>
          <w:rFonts w:ascii="Calibri" w:eastAsiaTheme="minorHAnsi" w:hAnsi="Calibri" w:cs="Calibri"/>
          <w:sz w:val="22"/>
          <w:lang w:eastAsia="en-US"/>
        </w:rPr>
        <w:t xml:space="preserve">Comcare review its position following the </w:t>
      </w:r>
      <w:r w:rsidRPr="004102BE">
        <w:rPr>
          <w:rFonts w:ascii="Calibri" w:eastAsiaTheme="minorHAnsi" w:hAnsi="Calibri" w:cs="Calibri"/>
          <w:i/>
          <w:sz w:val="22"/>
          <w:lang w:eastAsia="en-US"/>
        </w:rPr>
        <w:t>Hardin</w:t>
      </w:r>
      <w:r w:rsidRPr="004102BE">
        <w:rPr>
          <w:rFonts w:ascii="Calibri" w:eastAsiaTheme="minorHAnsi" w:hAnsi="Calibri" w:cs="Calibri"/>
          <w:sz w:val="22"/>
          <w:lang w:eastAsia="en-US"/>
        </w:rPr>
        <w:t xml:space="preserve"> decision and consider implementing a revised policy that recognises Comcare’s role in supporting premium payers’ rehabilitation processes, in an administrative capacity.</w:t>
      </w:r>
    </w:p>
    <w:p w:rsidR="004102BE" w:rsidRPr="004102BE" w:rsidRDefault="004102BE" w:rsidP="004102B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Theme="minorHAnsi" w:eastAsiaTheme="minorHAnsi" w:hAnsiTheme="minorHAnsi" w:cstheme="minorHAnsi"/>
          <w:sz w:val="22"/>
          <w:szCs w:val="22"/>
          <w:lang w:eastAsia="en-US"/>
        </w:rPr>
      </w:pPr>
      <w:r w:rsidRPr="004102BE">
        <w:rPr>
          <w:rFonts w:ascii="Calibri" w:eastAsiaTheme="minorHAnsi" w:hAnsi="Calibri" w:cs="Calibri"/>
          <w:b/>
          <w:sz w:val="22"/>
          <w:lang w:eastAsia="en-US"/>
        </w:rPr>
        <w:t xml:space="preserve">Recommendation </w:t>
      </w:r>
      <w:r w:rsidR="003D4727" w:rsidRPr="004102BE">
        <w:rPr>
          <w:rFonts w:ascii="Calibri" w:eastAsiaTheme="minorHAnsi" w:hAnsi="Calibri" w:cs="Calibri"/>
          <w:b/>
          <w:sz w:val="22"/>
          <w:lang w:eastAsia="en-US"/>
        </w:rPr>
        <w:t>1</w:t>
      </w:r>
      <w:r w:rsidR="003D4727">
        <w:rPr>
          <w:rFonts w:ascii="Calibri" w:eastAsiaTheme="minorHAnsi" w:hAnsi="Calibri" w:cs="Calibri"/>
          <w:b/>
          <w:sz w:val="22"/>
          <w:lang w:eastAsia="en-US"/>
        </w:rPr>
        <w:t>2</w:t>
      </w:r>
    </w:p>
    <w:p w:rsidR="004102BE" w:rsidRPr="004102BE" w:rsidRDefault="004102BE" w:rsidP="004102B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Calibri" w:eastAsiaTheme="minorHAnsi" w:hAnsi="Calibri" w:cs="Calibri"/>
          <w:sz w:val="22"/>
          <w:lang w:eastAsia="en-US"/>
        </w:rPr>
      </w:pPr>
      <w:r w:rsidRPr="004102BE">
        <w:rPr>
          <w:rFonts w:ascii="Calibri" w:eastAsiaTheme="minorHAnsi" w:hAnsi="Calibri" w:cs="Calibri"/>
          <w:sz w:val="22"/>
          <w:lang w:eastAsia="en-US"/>
        </w:rPr>
        <w:t xml:space="preserve">Further consideration </w:t>
      </w:r>
      <w:proofErr w:type="gramStart"/>
      <w:r w:rsidR="003D4727">
        <w:rPr>
          <w:rFonts w:ascii="Calibri" w:eastAsiaTheme="minorHAnsi" w:hAnsi="Calibri" w:cs="Calibri"/>
          <w:sz w:val="22"/>
          <w:lang w:eastAsia="en-US"/>
        </w:rPr>
        <w:t>be</w:t>
      </w:r>
      <w:proofErr w:type="gramEnd"/>
      <w:r w:rsidR="003D4727" w:rsidRPr="004102BE">
        <w:rPr>
          <w:rFonts w:ascii="Calibri" w:eastAsiaTheme="minorHAnsi" w:hAnsi="Calibri" w:cs="Calibri"/>
          <w:sz w:val="22"/>
          <w:lang w:eastAsia="en-US"/>
        </w:rPr>
        <w:t xml:space="preserve"> </w:t>
      </w:r>
      <w:r w:rsidRPr="004102BE">
        <w:rPr>
          <w:rFonts w:ascii="Calibri" w:eastAsiaTheme="minorHAnsi" w:hAnsi="Calibri" w:cs="Calibri"/>
          <w:sz w:val="22"/>
          <w:lang w:eastAsia="en-US"/>
        </w:rPr>
        <w:t>given to clarifying Comcare’s role in rehabilitation under the SRC Act, as part of the Hanks Review.</w:t>
      </w:r>
    </w:p>
    <w:p w:rsidR="00744A57" w:rsidRDefault="00744A57" w:rsidP="000D7C1C">
      <w:pPr>
        <w:keepNext/>
        <w:keepLines/>
        <w:outlineLvl w:val="2"/>
        <w:rPr>
          <w:rFonts w:ascii="Arial Bold" w:eastAsiaTheme="majorEastAsia" w:hAnsi="Arial Bold" w:cs="Calibri"/>
          <w:bCs/>
          <w:caps/>
          <w:color w:val="1F497D" w:themeColor="text2"/>
          <w:sz w:val="23"/>
          <w:szCs w:val="23"/>
        </w:rPr>
      </w:pPr>
      <w:bookmarkStart w:id="513" w:name="_Toc341778020"/>
    </w:p>
    <w:p w:rsidR="004102BE" w:rsidRPr="004102BE" w:rsidRDefault="004102BE" w:rsidP="004102BE">
      <w:pPr>
        <w:keepNext/>
        <w:keepLines/>
        <w:spacing w:before="100" w:beforeAutospacing="1" w:after="100" w:afterAutospacing="1"/>
        <w:outlineLvl w:val="2"/>
        <w:rPr>
          <w:rFonts w:ascii="Arial Bold" w:eastAsiaTheme="majorEastAsia" w:hAnsi="Arial Bold" w:cs="Calibri"/>
          <w:bCs/>
          <w:caps/>
          <w:color w:val="1F497D" w:themeColor="text2"/>
          <w:sz w:val="23"/>
          <w:szCs w:val="23"/>
        </w:rPr>
      </w:pPr>
      <w:bookmarkStart w:id="514" w:name="_Toc342578393"/>
      <w:r w:rsidRPr="004102BE">
        <w:rPr>
          <w:rFonts w:ascii="Arial Bold" w:eastAsiaTheme="majorEastAsia" w:hAnsi="Arial Bold" w:cs="Calibri"/>
          <w:bCs/>
          <w:caps/>
          <w:color w:val="1F497D" w:themeColor="text2"/>
          <w:sz w:val="23"/>
          <w:szCs w:val="23"/>
        </w:rPr>
        <w:t>Rehabilitation management systems</w:t>
      </w:r>
      <w:bookmarkEnd w:id="513"/>
      <w:bookmarkEnd w:id="514"/>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An examination of rehabilitation systems forms part of the Licensee Improvement Program (LIP).  As previously discussed, the LIP examines any significant variations in the licensees’ prudential profile, results of internal and external audits in prevention, rehabilitation and claims management and performance against SRCC-defined performance indicators. The LIP report also documents and evaluates the licensee’s performance against the SRCC’s performance measures and summarises the outcomes of audits of the licensee’s prevention, rehabilitation and claims management functions and details of corrective actions.</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 xml:space="preserve">Licensees’ rehabilitation management systems are regularly audited as part of their </w:t>
      </w:r>
      <w:r w:rsidR="000A5586">
        <w:rPr>
          <w:rFonts w:ascii="Calibri" w:eastAsiaTheme="minorHAnsi" w:hAnsi="Calibri" w:cs="Calibri"/>
          <w:sz w:val="22"/>
          <w:lang w:eastAsia="en-US"/>
        </w:rPr>
        <w:t>licence</w:t>
      </w:r>
      <w:r w:rsidRPr="004102BE">
        <w:rPr>
          <w:rFonts w:ascii="Calibri" w:eastAsiaTheme="minorHAnsi" w:hAnsi="Calibri" w:cs="Calibri"/>
          <w:sz w:val="22"/>
          <w:lang w:eastAsia="en-US"/>
        </w:rPr>
        <w:t xml:space="preserve"> arrangements. Results from these audits show that generally all licensees perform well in this area. The results are reported to the SRCC as one of the DAKPI’s (DAKPI 6). The results from 2011-12 show that the licensees achieved an average compliance rate of 97 per cent against a Comcare scheme target of 91 per cent. During consultation, some licensees pointed to the existence of a regulatory regime which requires them to develop and implement a rehabilitation management system (and which is regularly audited) as a reason for their generally good return to work performance.</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 xml:space="preserve">An important deliverable of the Comcare 2015 Strategic Plan is to expand national safety and rehabilitation audit programs to premium-paying employers. As a result, Comcare on 1 July 2012 issued the Guidelines for Rehabilitation Authorities 2012 (the Guidelines) under </w:t>
      </w:r>
      <w:r w:rsidR="00920A03">
        <w:rPr>
          <w:rFonts w:ascii="Calibri" w:eastAsiaTheme="minorHAnsi" w:hAnsi="Calibri" w:cs="Calibri"/>
          <w:sz w:val="22"/>
          <w:lang w:eastAsia="en-US"/>
        </w:rPr>
        <w:t>Section</w:t>
      </w:r>
      <w:r w:rsidRPr="004102BE">
        <w:rPr>
          <w:rFonts w:ascii="Calibri" w:eastAsiaTheme="minorHAnsi" w:hAnsi="Calibri" w:cs="Calibri"/>
          <w:sz w:val="22"/>
          <w:lang w:eastAsia="en-US"/>
        </w:rPr>
        <w:t xml:space="preserve"> 41 of the SRC Act that require, among other things, that all rehabilitation authorities develop and implement a rehabilitation management system that delivers effective rehabilitation and meets the performance standards and measures prescribed therein.</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 xml:space="preserve">During the 2011-12 financial </w:t>
      </w:r>
      <w:proofErr w:type="gramStart"/>
      <w:r w:rsidRPr="004102BE">
        <w:rPr>
          <w:rFonts w:ascii="Calibri" w:eastAsiaTheme="minorHAnsi" w:hAnsi="Calibri" w:cs="Calibri"/>
          <w:sz w:val="22"/>
          <w:lang w:eastAsia="en-US"/>
        </w:rPr>
        <w:t>year</w:t>
      </w:r>
      <w:proofErr w:type="gramEnd"/>
      <w:r w:rsidRPr="004102BE">
        <w:rPr>
          <w:rFonts w:ascii="Calibri" w:eastAsiaTheme="minorHAnsi" w:hAnsi="Calibri" w:cs="Calibri"/>
          <w:sz w:val="22"/>
          <w:lang w:eastAsia="en-US"/>
        </w:rPr>
        <w:t xml:space="preserve">, prior to finalisation of the Guidelines, Comcare conducted a pilot assessment of the rehabilitation management systems of three Australian </w:t>
      </w:r>
      <w:r w:rsidRPr="004102BE">
        <w:rPr>
          <w:rFonts w:ascii="Calibri" w:eastAsiaTheme="minorHAnsi" w:hAnsi="Calibri" w:cs="Calibri"/>
          <w:sz w:val="22"/>
          <w:lang w:eastAsia="en-US"/>
        </w:rPr>
        <w:lastRenderedPageBreak/>
        <w:t>Government agencies to assess their level of compliance with the draft Guidelines, and to provide these premium payers with guidance on improving their performance.</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The outcome of these assessments, especially when compared with the results of the licensees, suggests that more work needs to be done with the premium payers if they are to improve on their rehabilitation outcomes. Comcare plans to conduct assessments of the rehabilitation systems of ten premium payers in 2012-13. As indicated by the licensees, regular auditing of their systems assists them in achieving good return to work outcomes. It is therefore important that a comprehensive audit program is put in place to assess the performance of premium payers against the Guidelines.</w:t>
      </w:r>
    </w:p>
    <w:p w:rsidR="004102BE" w:rsidRPr="004102BE" w:rsidRDefault="003D4727" w:rsidP="004102BE">
      <w:pPr>
        <w:numPr>
          <w:ilvl w:val="1"/>
          <w:numId w:val="31"/>
        </w:numPr>
        <w:spacing w:after="120"/>
        <w:ind w:left="709" w:hanging="709"/>
        <w:rPr>
          <w:rFonts w:ascii="Calibri" w:eastAsiaTheme="minorHAnsi" w:hAnsi="Calibri" w:cs="Calibri"/>
          <w:sz w:val="22"/>
          <w:lang w:eastAsia="en-US"/>
        </w:rPr>
      </w:pPr>
      <w:r>
        <w:rPr>
          <w:rFonts w:ascii="Calibri" w:eastAsiaTheme="minorHAnsi" w:hAnsi="Calibri" w:cs="Calibri"/>
          <w:sz w:val="22"/>
          <w:lang w:eastAsia="en-US"/>
        </w:rPr>
        <w:t>T</w:t>
      </w:r>
      <w:r w:rsidR="004102BE" w:rsidRPr="004102BE">
        <w:rPr>
          <w:rFonts w:ascii="Calibri" w:eastAsiaTheme="minorHAnsi" w:hAnsi="Calibri" w:cs="Calibri"/>
          <w:sz w:val="22"/>
          <w:lang w:eastAsia="en-US"/>
        </w:rPr>
        <w:t>he LIP and tier model provide</w:t>
      </w:r>
      <w:r>
        <w:rPr>
          <w:rFonts w:ascii="Calibri" w:eastAsiaTheme="minorHAnsi" w:hAnsi="Calibri" w:cs="Calibri"/>
          <w:sz w:val="22"/>
          <w:lang w:eastAsia="en-US"/>
        </w:rPr>
        <w:t>s</w:t>
      </w:r>
      <w:r w:rsidR="004102BE" w:rsidRPr="004102BE">
        <w:rPr>
          <w:rFonts w:ascii="Calibri" w:eastAsiaTheme="minorHAnsi" w:hAnsi="Calibri" w:cs="Calibri"/>
          <w:sz w:val="22"/>
          <w:lang w:eastAsia="en-US"/>
        </w:rPr>
        <w:t xml:space="preserve"> a framework that </w:t>
      </w:r>
      <w:r>
        <w:rPr>
          <w:rFonts w:ascii="Calibri" w:eastAsiaTheme="minorHAnsi" w:hAnsi="Calibri" w:cs="Calibri"/>
          <w:sz w:val="22"/>
          <w:lang w:eastAsia="en-US"/>
        </w:rPr>
        <w:t>could</w:t>
      </w:r>
      <w:r w:rsidRPr="004102BE">
        <w:rPr>
          <w:rFonts w:ascii="Calibri" w:eastAsiaTheme="minorHAnsi" w:hAnsi="Calibri" w:cs="Calibri"/>
          <w:sz w:val="22"/>
          <w:lang w:eastAsia="en-US"/>
        </w:rPr>
        <w:t xml:space="preserve"> </w:t>
      </w:r>
      <w:r w:rsidR="004102BE" w:rsidRPr="004102BE">
        <w:rPr>
          <w:rFonts w:ascii="Calibri" w:eastAsiaTheme="minorHAnsi" w:hAnsi="Calibri" w:cs="Calibri"/>
          <w:sz w:val="22"/>
          <w:lang w:eastAsia="en-US"/>
        </w:rPr>
        <w:t xml:space="preserve">be modified </w:t>
      </w:r>
      <w:r w:rsidR="00F8255B">
        <w:rPr>
          <w:rFonts w:ascii="Calibri" w:eastAsiaTheme="minorHAnsi" w:hAnsi="Calibri" w:cs="Calibri"/>
          <w:sz w:val="22"/>
          <w:lang w:eastAsia="en-US"/>
        </w:rPr>
        <w:t>to link</w:t>
      </w:r>
      <w:r w:rsidR="004102BE" w:rsidRPr="004102BE">
        <w:rPr>
          <w:rFonts w:ascii="Calibri" w:eastAsiaTheme="minorHAnsi" w:hAnsi="Calibri" w:cs="Calibri"/>
          <w:sz w:val="22"/>
          <w:lang w:eastAsia="en-US"/>
        </w:rPr>
        <w:t xml:space="preserve"> the level of regulatory contribution paid by premium payers to their rehabilitation performance.</w:t>
      </w:r>
    </w:p>
    <w:p w:rsidR="004102BE" w:rsidRPr="004102BE" w:rsidRDefault="004102BE" w:rsidP="004102B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Calibri" w:hAnsi="Calibri" w:cs="Calibri"/>
          <w:sz w:val="22"/>
          <w:szCs w:val="22"/>
        </w:rPr>
      </w:pPr>
      <w:r w:rsidRPr="004102BE">
        <w:rPr>
          <w:rFonts w:ascii="Calibri" w:hAnsi="Calibri" w:cs="Calibri"/>
          <w:b/>
          <w:sz w:val="22"/>
          <w:szCs w:val="22"/>
        </w:rPr>
        <w:t xml:space="preserve">Recommendation </w:t>
      </w:r>
      <w:r w:rsidR="003D4727" w:rsidRPr="004102BE">
        <w:rPr>
          <w:rFonts w:ascii="Calibri" w:hAnsi="Calibri" w:cs="Calibri"/>
          <w:b/>
          <w:sz w:val="22"/>
          <w:szCs w:val="22"/>
        </w:rPr>
        <w:t>1</w:t>
      </w:r>
      <w:r w:rsidR="003D4727">
        <w:rPr>
          <w:rFonts w:ascii="Calibri" w:hAnsi="Calibri" w:cs="Calibri"/>
          <w:b/>
          <w:sz w:val="22"/>
          <w:szCs w:val="22"/>
        </w:rPr>
        <w:t>3</w:t>
      </w:r>
    </w:p>
    <w:p w:rsidR="004102BE" w:rsidRPr="004102BE" w:rsidRDefault="004102BE" w:rsidP="004102B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Calibri" w:hAnsi="Calibri" w:cs="Calibri"/>
          <w:sz w:val="22"/>
          <w:szCs w:val="22"/>
        </w:rPr>
      </w:pPr>
      <w:r w:rsidRPr="004102BE">
        <w:rPr>
          <w:rFonts w:ascii="Calibri" w:hAnsi="Calibri" w:cs="Calibri"/>
          <w:sz w:val="22"/>
          <w:szCs w:val="22"/>
        </w:rPr>
        <w:t xml:space="preserve">In order to improve rehabilitation and return to work outcomes for the premium payers, Comcare should deploy an audit program </w:t>
      </w:r>
      <w:r w:rsidR="00DE4A9A" w:rsidRPr="004102BE">
        <w:rPr>
          <w:rFonts w:ascii="Calibri" w:hAnsi="Calibri" w:cs="Calibri"/>
          <w:sz w:val="22"/>
          <w:szCs w:val="22"/>
        </w:rPr>
        <w:t>to selected</w:t>
      </w:r>
      <w:r w:rsidRPr="004102BE">
        <w:rPr>
          <w:rFonts w:ascii="Calibri" w:hAnsi="Calibri" w:cs="Calibri"/>
          <w:sz w:val="22"/>
          <w:szCs w:val="22"/>
        </w:rPr>
        <w:t xml:space="preserve"> premium payers against the requirements of the rehabilitation management systems tool, and work with them to improve their rehabilitation management systems to a comparable </w:t>
      </w:r>
      <w:r w:rsidR="00DE4A9A" w:rsidRPr="004102BE">
        <w:rPr>
          <w:rFonts w:ascii="Calibri" w:hAnsi="Calibri" w:cs="Calibri"/>
          <w:sz w:val="22"/>
          <w:szCs w:val="22"/>
        </w:rPr>
        <w:t>level of</w:t>
      </w:r>
      <w:r w:rsidRPr="004102BE">
        <w:rPr>
          <w:rFonts w:ascii="Calibri" w:hAnsi="Calibri" w:cs="Calibri"/>
          <w:sz w:val="22"/>
          <w:szCs w:val="22"/>
        </w:rPr>
        <w:t xml:space="preserve"> the licensees</w:t>
      </w:r>
      <w:r w:rsidR="007A3071">
        <w:rPr>
          <w:rFonts w:ascii="Calibri" w:hAnsi="Calibri" w:cs="Calibri"/>
          <w:sz w:val="22"/>
          <w:szCs w:val="22"/>
        </w:rPr>
        <w:t xml:space="preserve">, and report </w:t>
      </w:r>
      <w:r w:rsidR="00E2348A">
        <w:rPr>
          <w:rFonts w:ascii="Calibri" w:hAnsi="Calibri" w:cs="Calibri"/>
          <w:sz w:val="22"/>
          <w:szCs w:val="22"/>
        </w:rPr>
        <w:t>progress to the SRCC.</w:t>
      </w:r>
    </w:p>
    <w:p w:rsidR="004102BE" w:rsidRPr="004102BE" w:rsidRDefault="004102BE" w:rsidP="004102B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Calibri" w:hAnsi="Calibri" w:cs="Calibri"/>
          <w:sz w:val="22"/>
          <w:szCs w:val="22"/>
        </w:rPr>
      </w:pPr>
      <w:r w:rsidRPr="004102BE">
        <w:rPr>
          <w:rFonts w:ascii="Calibri" w:hAnsi="Calibri" w:cs="Calibri"/>
          <w:b/>
          <w:sz w:val="22"/>
          <w:szCs w:val="22"/>
        </w:rPr>
        <w:t xml:space="preserve">Recommendation </w:t>
      </w:r>
      <w:r w:rsidR="003D4727" w:rsidRPr="004102BE">
        <w:rPr>
          <w:rFonts w:ascii="Calibri" w:hAnsi="Calibri" w:cs="Calibri"/>
          <w:b/>
          <w:sz w:val="22"/>
          <w:szCs w:val="22"/>
        </w:rPr>
        <w:t>1</w:t>
      </w:r>
      <w:r w:rsidR="003D4727">
        <w:rPr>
          <w:rFonts w:ascii="Calibri" w:hAnsi="Calibri" w:cs="Calibri"/>
          <w:b/>
          <w:sz w:val="22"/>
          <w:szCs w:val="22"/>
        </w:rPr>
        <w:t>4</w:t>
      </w:r>
    </w:p>
    <w:p w:rsidR="004102BE" w:rsidRPr="004102BE" w:rsidRDefault="004102BE" w:rsidP="004102B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Calibri" w:hAnsi="Calibri" w:cs="Calibri"/>
          <w:sz w:val="22"/>
          <w:szCs w:val="22"/>
        </w:rPr>
      </w:pPr>
      <w:r w:rsidRPr="004102BE">
        <w:rPr>
          <w:rFonts w:ascii="Calibri" w:hAnsi="Calibri" w:cs="Calibri"/>
          <w:sz w:val="22"/>
          <w:szCs w:val="22"/>
        </w:rPr>
        <w:t xml:space="preserve">The SRCC should modify the LIP and tier model to provide a framework so that the level of regulatory contribution paid by premium payers is linked to their rehabilitation performance. </w:t>
      </w:r>
      <w:r w:rsidRPr="004102BE" w:rsidDel="009B7421">
        <w:rPr>
          <w:rFonts w:ascii="Calibri" w:hAnsi="Calibri" w:cs="Calibri"/>
          <w:sz w:val="22"/>
          <w:szCs w:val="22"/>
        </w:rPr>
        <w:t xml:space="preserve"> </w:t>
      </w:r>
      <w:r w:rsidRPr="004102BE">
        <w:rPr>
          <w:rFonts w:ascii="Calibri" w:hAnsi="Calibri" w:cs="Calibri"/>
          <w:sz w:val="22"/>
          <w:szCs w:val="22"/>
        </w:rPr>
        <w:t>This would provide a direct incentive for improvements to rehabilitation performance.</w:t>
      </w:r>
    </w:p>
    <w:p w:rsidR="004102BE" w:rsidRPr="004102BE" w:rsidRDefault="004102BE" w:rsidP="004102BE">
      <w:pPr>
        <w:spacing w:after="120"/>
        <w:rPr>
          <w:rFonts w:ascii="Calibri" w:hAnsi="Calibri" w:cs="Calibri"/>
        </w:rPr>
      </w:pPr>
    </w:p>
    <w:p w:rsidR="004102BE" w:rsidRPr="004102BE" w:rsidRDefault="004102BE" w:rsidP="004102BE">
      <w:pPr>
        <w:keepNext/>
        <w:keepLines/>
        <w:spacing w:before="100" w:beforeAutospacing="1" w:after="100" w:afterAutospacing="1"/>
        <w:outlineLvl w:val="2"/>
        <w:rPr>
          <w:rFonts w:ascii="Arial Bold" w:eastAsiaTheme="majorEastAsia" w:hAnsi="Arial Bold" w:cs="Calibri"/>
          <w:bCs/>
          <w:caps/>
          <w:color w:val="1F497D" w:themeColor="text2"/>
          <w:sz w:val="23"/>
          <w:szCs w:val="23"/>
        </w:rPr>
      </w:pPr>
      <w:bookmarkStart w:id="515" w:name="_Toc341778021"/>
      <w:bookmarkStart w:id="516" w:name="_Toc342578394"/>
      <w:proofErr w:type="gramStart"/>
      <w:r w:rsidRPr="004102BE">
        <w:rPr>
          <w:rFonts w:ascii="Arial Bold" w:eastAsiaTheme="majorEastAsia" w:hAnsi="Arial Bold" w:cs="Calibri"/>
          <w:bCs/>
          <w:caps/>
          <w:color w:val="1F497D" w:themeColor="text2"/>
          <w:sz w:val="23"/>
          <w:szCs w:val="23"/>
        </w:rPr>
        <w:t>A National Rehabilitation Framework?</w:t>
      </w:r>
      <w:bookmarkEnd w:id="515"/>
      <w:bookmarkEnd w:id="516"/>
      <w:proofErr w:type="gramEnd"/>
    </w:p>
    <w:p w:rsidR="004102BE" w:rsidRPr="004102BE" w:rsidRDefault="004102BE" w:rsidP="004102BE">
      <w:pPr>
        <w:numPr>
          <w:ilvl w:val="1"/>
          <w:numId w:val="31"/>
        </w:numPr>
        <w:spacing w:after="120"/>
        <w:ind w:left="709" w:hanging="709"/>
        <w:rPr>
          <w:rFonts w:ascii="Calibri" w:eastAsiaTheme="minorHAnsi" w:hAnsi="Calibri" w:cs="Calibri"/>
          <w:sz w:val="22"/>
          <w:szCs w:val="22"/>
          <w:lang w:eastAsia="en-US"/>
        </w:rPr>
      </w:pPr>
      <w:r w:rsidRPr="004102BE">
        <w:rPr>
          <w:rFonts w:ascii="Calibri" w:eastAsiaTheme="minorHAnsi" w:hAnsi="Calibri" w:cs="Calibri"/>
          <w:sz w:val="22"/>
          <w:szCs w:val="22"/>
          <w:lang w:eastAsia="en-US"/>
        </w:rPr>
        <w:t xml:space="preserve">Rehabilitation services are aimed at assisting injured workers return to health and work.  While the principle of returning injured workers to the same job or same duties is sound and ensures there is no discrimination against injured workers in returning them to work, it can sometimes get in the way of successful outcomes if this is not a realistic goal, </w:t>
      </w:r>
      <w:r w:rsidR="005E73C7">
        <w:rPr>
          <w:rFonts w:ascii="Calibri" w:eastAsiaTheme="minorHAnsi" w:hAnsi="Calibri" w:cs="Calibri"/>
          <w:sz w:val="22"/>
          <w:szCs w:val="22"/>
          <w:lang w:eastAsia="en-US"/>
        </w:rPr>
        <w:t>e.g.</w:t>
      </w:r>
      <w:r w:rsidR="00CC585F">
        <w:rPr>
          <w:rFonts w:ascii="Calibri" w:eastAsiaTheme="minorHAnsi" w:hAnsi="Calibri" w:cs="Calibri"/>
          <w:sz w:val="22"/>
          <w:szCs w:val="22"/>
          <w:lang w:eastAsia="en-US"/>
        </w:rPr>
        <w:t>,</w:t>
      </w:r>
      <w:r w:rsidRPr="004102BE">
        <w:rPr>
          <w:rFonts w:ascii="Calibri" w:eastAsiaTheme="minorHAnsi" w:hAnsi="Calibri" w:cs="Calibri"/>
          <w:sz w:val="22"/>
          <w:szCs w:val="22"/>
          <w:lang w:eastAsia="en-US"/>
        </w:rPr>
        <w:t xml:space="preserve"> in a mental stress claim where the reason for the incapacity is because of a workplace conflict that prevents the injured worker from returning to </w:t>
      </w:r>
      <w:r w:rsidR="005E73C7">
        <w:rPr>
          <w:rFonts w:ascii="Calibri" w:eastAsiaTheme="minorHAnsi" w:hAnsi="Calibri" w:cs="Calibri"/>
          <w:sz w:val="22"/>
          <w:szCs w:val="22"/>
          <w:lang w:eastAsia="en-US"/>
        </w:rPr>
        <w:t xml:space="preserve">their previous </w:t>
      </w:r>
      <w:r w:rsidRPr="004102BE">
        <w:rPr>
          <w:rFonts w:ascii="Calibri" w:eastAsiaTheme="minorHAnsi" w:hAnsi="Calibri" w:cs="Calibri"/>
          <w:sz w:val="22"/>
          <w:szCs w:val="22"/>
          <w:lang w:eastAsia="en-US"/>
        </w:rPr>
        <w:t>work</w:t>
      </w:r>
      <w:r w:rsidR="005E73C7">
        <w:rPr>
          <w:rFonts w:ascii="Calibri" w:eastAsiaTheme="minorHAnsi" w:hAnsi="Calibri" w:cs="Calibri"/>
          <w:sz w:val="22"/>
          <w:szCs w:val="22"/>
          <w:lang w:eastAsia="en-US"/>
        </w:rPr>
        <w:t>place</w:t>
      </w:r>
      <w:r w:rsidRPr="004102BE">
        <w:rPr>
          <w:rFonts w:ascii="Calibri" w:eastAsiaTheme="minorHAnsi" w:hAnsi="Calibri" w:cs="Calibri"/>
          <w:sz w:val="22"/>
          <w:szCs w:val="22"/>
          <w:lang w:eastAsia="en-US"/>
        </w:rPr>
        <w:t>.</w:t>
      </w:r>
    </w:p>
    <w:p w:rsidR="004102BE" w:rsidRPr="004102BE" w:rsidRDefault="004102BE" w:rsidP="004102BE">
      <w:pPr>
        <w:numPr>
          <w:ilvl w:val="1"/>
          <w:numId w:val="31"/>
        </w:numPr>
        <w:spacing w:after="120"/>
        <w:ind w:left="709" w:hanging="709"/>
        <w:rPr>
          <w:rFonts w:ascii="Calibri" w:eastAsiaTheme="minorHAnsi" w:hAnsi="Calibri" w:cs="Calibri"/>
          <w:sz w:val="22"/>
          <w:szCs w:val="22"/>
          <w:lang w:eastAsia="en-US"/>
        </w:rPr>
      </w:pPr>
      <w:r w:rsidRPr="004102BE">
        <w:rPr>
          <w:rFonts w:ascii="Calibri" w:eastAsiaTheme="minorHAnsi" w:hAnsi="Calibri" w:cs="Calibri"/>
          <w:sz w:val="22"/>
          <w:szCs w:val="22"/>
          <w:lang w:eastAsia="en-US"/>
        </w:rPr>
        <w:t xml:space="preserve">The Comcare </w:t>
      </w:r>
      <w:r w:rsidR="00CC585F">
        <w:rPr>
          <w:rFonts w:ascii="Calibri" w:eastAsiaTheme="minorHAnsi" w:hAnsi="Calibri" w:cs="Calibri"/>
          <w:sz w:val="22"/>
          <w:szCs w:val="22"/>
          <w:lang w:eastAsia="en-US"/>
        </w:rPr>
        <w:t xml:space="preserve">premium-paying </w:t>
      </w:r>
      <w:r w:rsidRPr="004102BE">
        <w:rPr>
          <w:rFonts w:ascii="Calibri" w:eastAsiaTheme="minorHAnsi" w:hAnsi="Calibri" w:cs="Calibri"/>
          <w:sz w:val="22"/>
          <w:szCs w:val="22"/>
          <w:lang w:eastAsia="en-US"/>
        </w:rPr>
        <w:t>scheme has not been very successful in considering suitable employment opportunities outside the public sector. This is partly because of SRC Act provisions such as the definition of “suitable employment” which does not include non-Commonwealth employment, and issues relating to the determination of who is the rehabilitation authority for injured workers no longer employed by the Commonwealth. It is also partly because of an approach by agencies in considering rehabilitation purely within the context of the public service and, mostly, only with the agency with which the worker was employed at the time of injury. There has generally not been much success with considering rehabilitation which contemplates a successful RTW as including returning an injured worker to employment with another agency or outside the public service.</w:t>
      </w:r>
    </w:p>
    <w:p w:rsidR="004102BE" w:rsidRPr="004102BE" w:rsidRDefault="004102BE" w:rsidP="004102BE">
      <w:pPr>
        <w:numPr>
          <w:ilvl w:val="1"/>
          <w:numId w:val="31"/>
        </w:numPr>
        <w:spacing w:after="120"/>
        <w:ind w:left="709" w:hanging="709"/>
        <w:rPr>
          <w:rFonts w:ascii="Calibri" w:eastAsiaTheme="minorHAnsi" w:hAnsi="Calibri" w:cs="Calibri"/>
          <w:sz w:val="22"/>
          <w:szCs w:val="22"/>
          <w:lang w:eastAsia="en-US"/>
        </w:rPr>
      </w:pPr>
      <w:r w:rsidRPr="004102BE">
        <w:rPr>
          <w:rFonts w:ascii="Calibri" w:eastAsiaTheme="minorHAnsi" w:hAnsi="Calibri" w:cs="Calibri"/>
          <w:sz w:val="22"/>
          <w:szCs w:val="22"/>
          <w:lang w:eastAsia="en-US"/>
        </w:rPr>
        <w:t xml:space="preserve">This inflexibility of approach to finding “suitable duties” </w:t>
      </w:r>
      <w:r w:rsidR="005E73C7">
        <w:rPr>
          <w:rFonts w:ascii="Calibri" w:eastAsiaTheme="minorHAnsi" w:hAnsi="Calibri" w:cs="Calibri"/>
          <w:sz w:val="22"/>
          <w:szCs w:val="22"/>
          <w:lang w:eastAsia="en-US"/>
        </w:rPr>
        <w:t>is</w:t>
      </w:r>
      <w:r w:rsidRPr="004102BE">
        <w:rPr>
          <w:rFonts w:ascii="Calibri" w:eastAsiaTheme="minorHAnsi" w:hAnsi="Calibri" w:cs="Calibri"/>
          <w:sz w:val="22"/>
          <w:szCs w:val="22"/>
          <w:lang w:eastAsia="en-US"/>
        </w:rPr>
        <w:t xml:space="preserve"> one of the drivers of poorer RTW performance in the premium-paying scheme compared to the licensees and is largely due to the lack of engagement by senior managers to find suitable duties and get someone back to work, including consideration of retraining options for work outside the public service. </w:t>
      </w:r>
      <w:r w:rsidR="005E73C7">
        <w:rPr>
          <w:rFonts w:ascii="Calibri" w:eastAsiaTheme="minorHAnsi" w:hAnsi="Calibri" w:cs="Calibri"/>
          <w:sz w:val="22"/>
          <w:szCs w:val="22"/>
          <w:lang w:eastAsia="en-US"/>
        </w:rPr>
        <w:t>E</w:t>
      </w:r>
      <w:r w:rsidRPr="004102BE">
        <w:rPr>
          <w:rFonts w:ascii="Calibri" w:eastAsiaTheme="minorHAnsi" w:hAnsi="Calibri" w:cs="Calibri"/>
          <w:sz w:val="22"/>
          <w:szCs w:val="22"/>
          <w:lang w:eastAsia="en-US"/>
        </w:rPr>
        <w:t>stablishment of a national rehabilitation framework, coupled with legislative amendments to the SRC Act, would assist in addressing these issues.</w:t>
      </w:r>
    </w:p>
    <w:p w:rsidR="004102BE" w:rsidRDefault="00F8255B" w:rsidP="004102BE">
      <w:pPr>
        <w:numPr>
          <w:ilvl w:val="1"/>
          <w:numId w:val="31"/>
        </w:numPr>
        <w:spacing w:after="120"/>
        <w:ind w:left="709" w:hanging="709"/>
        <w:rPr>
          <w:rFonts w:ascii="Calibri" w:eastAsiaTheme="minorHAnsi" w:hAnsi="Calibri" w:cs="Calibri"/>
          <w:sz w:val="22"/>
          <w:szCs w:val="22"/>
          <w:lang w:eastAsia="en-US"/>
        </w:rPr>
      </w:pPr>
      <w:r>
        <w:rPr>
          <w:rFonts w:ascii="Calibri" w:eastAsiaTheme="minorHAnsi" w:hAnsi="Calibri" w:cs="Calibri"/>
          <w:sz w:val="22"/>
          <w:szCs w:val="22"/>
          <w:lang w:eastAsia="en-US"/>
        </w:rPr>
        <w:lastRenderedPageBreak/>
        <w:t>The recent</w:t>
      </w:r>
      <w:r w:rsidR="004102BE" w:rsidRPr="004102BE">
        <w:rPr>
          <w:rFonts w:ascii="Calibri" w:eastAsiaTheme="minorHAnsi" w:hAnsi="Calibri" w:cs="Calibri"/>
          <w:sz w:val="22"/>
          <w:szCs w:val="22"/>
          <w:lang w:eastAsia="en-US"/>
        </w:rPr>
        <w:t xml:space="preserve"> national </w:t>
      </w:r>
      <w:r w:rsidR="004102BE" w:rsidRPr="004102BE">
        <w:rPr>
          <w:rFonts w:ascii="Calibri" w:eastAsiaTheme="minorHAnsi" w:hAnsi="Calibri" w:cs="Calibri"/>
          <w:i/>
          <w:sz w:val="22"/>
          <w:szCs w:val="22"/>
          <w:lang w:eastAsia="en-US"/>
        </w:rPr>
        <w:t>Clinical Framework for the Delivery of Health Services</w:t>
      </w:r>
      <w:r w:rsidR="004102BE" w:rsidRPr="004102BE">
        <w:rPr>
          <w:rFonts w:ascii="Calibri" w:eastAsiaTheme="minorHAnsi" w:hAnsi="Calibri" w:cs="Calibri"/>
          <w:sz w:val="22"/>
          <w:szCs w:val="22"/>
          <w:lang w:eastAsia="en-US"/>
        </w:rPr>
        <w:t xml:space="preserve"> to injured workers provides a good opportunity for consideration to be given to a national rehabilitation framework. The framework would seek to establish key principles and approaches to be applied in the rehabilitation process aimed at returning injured workers to health and employment most suited to them, whether with their current employer or otherwise.</w:t>
      </w:r>
    </w:p>
    <w:p w:rsidR="005E73C7" w:rsidRPr="004102BE" w:rsidRDefault="005E73C7" w:rsidP="004102BE">
      <w:pPr>
        <w:numPr>
          <w:ilvl w:val="1"/>
          <w:numId w:val="31"/>
        </w:numPr>
        <w:spacing w:after="120"/>
        <w:ind w:left="709" w:hanging="709"/>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Like the National Disability and Insurance Scheme (NDIS), there would be merit in a national approach to rehabilitation and the development of a National Rehabilitation Strategy. This would be a quite complex task and you might in the first instance ask your Department </w:t>
      </w:r>
      <w:r w:rsidR="007E6A4D">
        <w:rPr>
          <w:rFonts w:ascii="Calibri" w:eastAsiaTheme="minorHAnsi" w:hAnsi="Calibri" w:cs="Calibri"/>
          <w:sz w:val="22"/>
          <w:szCs w:val="22"/>
          <w:lang w:eastAsia="en-US"/>
        </w:rPr>
        <w:t xml:space="preserve">and </w:t>
      </w:r>
      <w:r>
        <w:rPr>
          <w:rFonts w:ascii="Calibri" w:eastAsiaTheme="minorHAnsi" w:hAnsi="Calibri" w:cs="Calibri"/>
          <w:sz w:val="22"/>
          <w:szCs w:val="22"/>
          <w:lang w:eastAsia="en-US"/>
        </w:rPr>
        <w:t>Comcare to develop a submission for you outlining the way ahead.</w:t>
      </w:r>
    </w:p>
    <w:p w:rsidR="004102BE" w:rsidRPr="004102BE" w:rsidRDefault="004102BE" w:rsidP="004102BE">
      <w:pPr>
        <w:numPr>
          <w:ilvl w:val="1"/>
          <w:numId w:val="31"/>
        </w:numPr>
        <w:spacing w:after="120"/>
        <w:ind w:left="709" w:hanging="709"/>
        <w:rPr>
          <w:rFonts w:ascii="Calibri" w:eastAsiaTheme="minorHAnsi" w:hAnsi="Calibri" w:cs="Calibri"/>
          <w:sz w:val="22"/>
          <w:szCs w:val="22"/>
          <w:lang w:eastAsia="en-US"/>
        </w:rPr>
      </w:pPr>
      <w:r w:rsidRPr="004102BE">
        <w:rPr>
          <w:rFonts w:ascii="Calibri" w:eastAsiaTheme="minorHAnsi" w:hAnsi="Calibri" w:cs="Calibri"/>
          <w:sz w:val="22"/>
          <w:szCs w:val="22"/>
          <w:lang w:eastAsia="en-US"/>
        </w:rPr>
        <w:t>This could be achieved through consultations with the States and Territories and other key stakeholders (medical practitioners, rehabilitation providers, employers, workers, unions, etc.,) to develop a framework that embraces the “good work is good for you/recover at work” principles and values supported by all stakeholders.</w:t>
      </w:r>
    </w:p>
    <w:p w:rsidR="002555F4" w:rsidRDefault="004102BE" w:rsidP="0035663E">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120"/>
        <w:rPr>
          <w:rFonts w:ascii="Calibri" w:hAnsi="Calibri" w:cs="Calibri"/>
          <w:b/>
          <w:sz w:val="22"/>
          <w:szCs w:val="22"/>
        </w:rPr>
      </w:pPr>
      <w:r w:rsidRPr="004102BE">
        <w:rPr>
          <w:rFonts w:ascii="Calibri" w:hAnsi="Calibri" w:cs="Calibri"/>
          <w:b/>
          <w:sz w:val="22"/>
          <w:szCs w:val="22"/>
        </w:rPr>
        <w:t xml:space="preserve">Recommendation </w:t>
      </w:r>
      <w:r w:rsidR="00314E1B" w:rsidRPr="004102BE">
        <w:rPr>
          <w:rFonts w:ascii="Calibri" w:hAnsi="Calibri" w:cs="Calibri"/>
          <w:b/>
          <w:sz w:val="22"/>
          <w:szCs w:val="22"/>
        </w:rPr>
        <w:t>1</w:t>
      </w:r>
      <w:r w:rsidR="00314E1B">
        <w:rPr>
          <w:rFonts w:ascii="Calibri" w:hAnsi="Calibri" w:cs="Calibri"/>
          <w:b/>
          <w:sz w:val="22"/>
          <w:szCs w:val="22"/>
        </w:rPr>
        <w:t>5</w:t>
      </w:r>
    </w:p>
    <w:p w:rsidR="002555F4" w:rsidRDefault="004102BE" w:rsidP="0035663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120"/>
        <w:rPr>
          <w:rFonts w:asciiTheme="minorHAnsi" w:hAnsiTheme="minorHAnsi" w:cstheme="minorHAnsi"/>
          <w:sz w:val="22"/>
          <w:szCs w:val="22"/>
        </w:rPr>
      </w:pPr>
      <w:r w:rsidRPr="004102BE">
        <w:rPr>
          <w:rFonts w:ascii="Calibri" w:hAnsi="Calibri" w:cs="Calibri"/>
          <w:sz w:val="22"/>
          <w:szCs w:val="22"/>
        </w:rPr>
        <w:t xml:space="preserve">That the Minister </w:t>
      </w:r>
      <w:r w:rsidR="007A3071">
        <w:rPr>
          <w:rFonts w:ascii="Calibri" w:hAnsi="Calibri" w:cs="Calibri"/>
          <w:sz w:val="22"/>
          <w:szCs w:val="22"/>
        </w:rPr>
        <w:t>for Employment and Workplace Relations</w:t>
      </w:r>
      <w:r w:rsidR="005E73C7">
        <w:rPr>
          <w:rFonts w:ascii="Calibri" w:hAnsi="Calibri" w:cs="Calibri"/>
          <w:sz w:val="22"/>
          <w:szCs w:val="22"/>
        </w:rPr>
        <w:t xml:space="preserve"> consult his State and Territory counterparts about establishing</w:t>
      </w:r>
      <w:r w:rsidRPr="004102BE">
        <w:rPr>
          <w:rFonts w:ascii="Calibri" w:hAnsi="Calibri" w:cs="Calibri"/>
          <w:sz w:val="22"/>
          <w:szCs w:val="22"/>
        </w:rPr>
        <w:t xml:space="preserve"> a National Rehabilitation framework for injured workers aimed at optimising the return to work opportunities of injured workers throughout Australia.</w:t>
      </w:r>
    </w:p>
    <w:p w:rsidR="004102BE" w:rsidRPr="004102BE" w:rsidRDefault="004102BE" w:rsidP="004102BE">
      <w:pPr>
        <w:spacing w:after="120"/>
        <w:ind w:left="709"/>
        <w:rPr>
          <w:rFonts w:ascii="Calibri" w:eastAsiaTheme="minorHAnsi" w:hAnsi="Calibri" w:cs="Calibri"/>
          <w:sz w:val="22"/>
          <w:szCs w:val="22"/>
          <w:lang w:eastAsia="en-US"/>
        </w:rPr>
      </w:pPr>
    </w:p>
    <w:p w:rsidR="004102BE" w:rsidRPr="004102BE" w:rsidRDefault="004102BE" w:rsidP="004102BE">
      <w:pPr>
        <w:spacing w:before="100" w:beforeAutospacing="1" w:after="100" w:afterAutospacing="1"/>
        <w:outlineLvl w:val="0"/>
        <w:rPr>
          <w:rFonts w:ascii="Arial" w:hAnsi="Arial"/>
          <w:bCs/>
          <w:caps/>
          <w:color w:val="1F497D" w:themeColor="text2"/>
          <w:kern w:val="36"/>
          <w:sz w:val="28"/>
          <w:szCs w:val="28"/>
        </w:rPr>
      </w:pPr>
      <w:bookmarkStart w:id="517" w:name="_Toc341778022"/>
      <w:bookmarkStart w:id="518" w:name="_Toc342578395"/>
      <w:r w:rsidRPr="004102BE">
        <w:rPr>
          <w:rFonts w:ascii="Arial" w:hAnsi="Arial"/>
          <w:bCs/>
          <w:caps/>
          <w:color w:val="1F497D" w:themeColor="text2"/>
          <w:kern w:val="36"/>
          <w:sz w:val="28"/>
          <w:szCs w:val="28"/>
        </w:rPr>
        <w:t>COMCARE’S Recovery and Support Services</w:t>
      </w:r>
      <w:bookmarkEnd w:id="517"/>
      <w:bookmarkEnd w:id="518"/>
      <w:r w:rsidRPr="004102BE">
        <w:rPr>
          <w:rFonts w:ascii="Arial" w:hAnsi="Arial"/>
          <w:bCs/>
          <w:caps/>
          <w:color w:val="1F497D" w:themeColor="text2"/>
          <w:kern w:val="36"/>
          <w:sz w:val="28"/>
          <w:szCs w:val="28"/>
        </w:rPr>
        <w:t xml:space="preserve"> </w:t>
      </w:r>
    </w:p>
    <w:p w:rsidR="004102BE" w:rsidRPr="004102BE" w:rsidRDefault="004102BE" w:rsidP="004102BE">
      <w:pPr>
        <w:keepNext/>
        <w:keepLines/>
        <w:spacing w:before="100" w:beforeAutospacing="1" w:after="100" w:afterAutospacing="1"/>
        <w:outlineLvl w:val="2"/>
        <w:rPr>
          <w:rFonts w:ascii="Arial Bold" w:eastAsiaTheme="majorEastAsia" w:hAnsi="Arial Bold" w:cs="Calibri"/>
          <w:bCs/>
          <w:caps/>
          <w:color w:val="1F497D" w:themeColor="text2"/>
          <w:sz w:val="23"/>
          <w:szCs w:val="23"/>
        </w:rPr>
      </w:pPr>
      <w:bookmarkStart w:id="519" w:name="_Toc341778023"/>
      <w:bookmarkStart w:id="520" w:name="_Toc342578396"/>
      <w:r w:rsidRPr="004102BE">
        <w:rPr>
          <w:rFonts w:ascii="Arial Bold" w:eastAsiaTheme="majorEastAsia" w:hAnsi="Arial Bold" w:cs="Calibri"/>
          <w:bCs/>
          <w:caps/>
          <w:color w:val="1F497D" w:themeColor="text2"/>
          <w:sz w:val="23"/>
          <w:szCs w:val="23"/>
        </w:rPr>
        <w:t>Comcare’s Performance as a Premium Paying Employer</w:t>
      </w:r>
      <w:bookmarkEnd w:id="519"/>
      <w:bookmarkEnd w:id="520"/>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szCs w:val="22"/>
          <w:lang w:eastAsia="en-US"/>
        </w:rPr>
        <w:t>Until recently, Comcare’s premium rates have been at levels close to the average Australian Government agency premium rate for each year.  However</w:t>
      </w:r>
      <w:r w:rsidR="005E73C7">
        <w:rPr>
          <w:rFonts w:ascii="Calibri" w:eastAsiaTheme="minorHAnsi" w:hAnsi="Calibri" w:cs="Calibri"/>
          <w:sz w:val="22"/>
          <w:szCs w:val="22"/>
          <w:lang w:eastAsia="en-US"/>
        </w:rPr>
        <w:t>,</w:t>
      </w:r>
      <w:r w:rsidRPr="004102BE">
        <w:rPr>
          <w:rFonts w:ascii="Calibri" w:eastAsiaTheme="minorHAnsi" w:hAnsi="Calibri" w:cs="Calibri"/>
          <w:sz w:val="22"/>
          <w:szCs w:val="22"/>
          <w:lang w:eastAsia="en-US"/>
        </w:rPr>
        <w:t xml:space="preserve"> in the last two years Comcare’s premium rate has increased to well above the average.</w:t>
      </w:r>
    </w:p>
    <w:p w:rsidR="00630B11" w:rsidRPr="004102BE" w:rsidRDefault="00630B11" w:rsidP="00630B11">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Comcare’s claims data shows an increase in the number of accepted claims, particularly in 2011-12. Expressed as a claims rate per 1000 FTE, Comcare’s performance from 2005-06 to 2008-09 significantly improved compared to previous years.  Since 2008-09 however, this performance has steadily deteriorated.</w:t>
      </w:r>
    </w:p>
    <w:p w:rsidR="00630B11" w:rsidRPr="004102BE" w:rsidRDefault="00630B11" w:rsidP="00630B11">
      <w:pPr>
        <w:numPr>
          <w:ilvl w:val="1"/>
          <w:numId w:val="31"/>
        </w:numPr>
        <w:spacing w:before="240" w:after="120" w:line="276" w:lineRule="auto"/>
        <w:ind w:left="709" w:hanging="709"/>
        <w:contextualSpacing/>
        <w:rPr>
          <w:rFonts w:ascii="Calibri" w:eastAsiaTheme="minorHAnsi" w:hAnsi="Calibri" w:cs="Calibri"/>
          <w:sz w:val="22"/>
          <w:lang w:eastAsia="en-US"/>
        </w:rPr>
      </w:pPr>
      <w:r w:rsidRPr="004102BE">
        <w:rPr>
          <w:rFonts w:ascii="Calibri" w:eastAsiaTheme="minorHAnsi" w:hAnsi="Calibri" w:cs="Calibri"/>
          <w:sz w:val="22"/>
          <w:lang w:eastAsia="en-US"/>
        </w:rPr>
        <w:t>While the current rate of claims per 1000 FTE is not as high as it was in 2005-06, a notable change in Comcare’s claims profile has been an increase in the number of mental stress claims being received. In 2011-12, Comcare received twice as many mental stress claims than in any previous year. The average cost for mental stress claims in the Comcare scheme is significantly higher (approximately $2</w:t>
      </w:r>
      <w:r>
        <w:rPr>
          <w:rFonts w:ascii="Calibri" w:eastAsiaTheme="minorHAnsi" w:hAnsi="Calibri" w:cs="Calibri"/>
          <w:sz w:val="22"/>
          <w:lang w:eastAsia="en-US"/>
        </w:rPr>
        <w:t>5</w:t>
      </w:r>
      <w:r w:rsidRPr="004102BE">
        <w:rPr>
          <w:rFonts w:ascii="Calibri" w:eastAsiaTheme="minorHAnsi" w:hAnsi="Calibri" w:cs="Calibri"/>
          <w:sz w:val="22"/>
          <w:lang w:eastAsia="en-US"/>
        </w:rPr>
        <w:t>0,000) compared with injury claims (approximately $6</w:t>
      </w:r>
      <w:r>
        <w:rPr>
          <w:rFonts w:ascii="Calibri" w:eastAsiaTheme="minorHAnsi" w:hAnsi="Calibri" w:cs="Calibri"/>
          <w:sz w:val="22"/>
          <w:lang w:eastAsia="en-US"/>
        </w:rPr>
        <w:t>7</w:t>
      </w:r>
      <w:r w:rsidRPr="004102BE">
        <w:rPr>
          <w:rFonts w:ascii="Calibri" w:eastAsiaTheme="minorHAnsi" w:hAnsi="Calibri" w:cs="Calibri"/>
          <w:sz w:val="22"/>
          <w:lang w:eastAsia="en-US"/>
        </w:rPr>
        <w:t>,000). This increase in the number of mental stress claims has contributed to the increase in Comcare’s premium rate in recent years.</w:t>
      </w:r>
    </w:p>
    <w:p w:rsidR="00630B11" w:rsidRDefault="00630B11" w:rsidP="0035663E">
      <w:pPr>
        <w:spacing w:after="120"/>
        <w:rPr>
          <w:rFonts w:ascii="Calibri" w:hAnsi="Calibri" w:cs="Calibri"/>
          <w:b/>
          <w:sz w:val="22"/>
          <w:szCs w:val="22"/>
        </w:rPr>
      </w:pPr>
    </w:p>
    <w:p w:rsidR="00D3389B" w:rsidRDefault="00D3389B" w:rsidP="0035663E">
      <w:pPr>
        <w:spacing w:after="120"/>
        <w:rPr>
          <w:rFonts w:ascii="Calibri" w:hAnsi="Calibri" w:cs="Calibri"/>
          <w:b/>
          <w:sz w:val="22"/>
          <w:szCs w:val="22"/>
        </w:rPr>
      </w:pPr>
    </w:p>
    <w:p w:rsidR="00D3389B" w:rsidRDefault="00D3389B" w:rsidP="0035663E">
      <w:pPr>
        <w:spacing w:after="120"/>
        <w:rPr>
          <w:rFonts w:ascii="Calibri" w:hAnsi="Calibri" w:cs="Calibri"/>
          <w:b/>
          <w:sz w:val="22"/>
          <w:szCs w:val="22"/>
        </w:rPr>
      </w:pPr>
    </w:p>
    <w:p w:rsidR="00B02C84" w:rsidRDefault="00B02C84" w:rsidP="0035663E">
      <w:pPr>
        <w:spacing w:after="120"/>
        <w:rPr>
          <w:rFonts w:ascii="Calibri" w:hAnsi="Calibri" w:cs="Calibri"/>
          <w:b/>
          <w:sz w:val="22"/>
          <w:szCs w:val="22"/>
        </w:rPr>
      </w:pPr>
    </w:p>
    <w:p w:rsidR="004102BE" w:rsidRPr="004102BE" w:rsidRDefault="004102BE" w:rsidP="004102BE">
      <w:pPr>
        <w:spacing w:after="120"/>
        <w:jc w:val="center"/>
        <w:rPr>
          <w:rFonts w:ascii="Calibri" w:hAnsi="Calibri" w:cs="Calibri"/>
          <w:b/>
          <w:sz w:val="22"/>
          <w:szCs w:val="22"/>
        </w:rPr>
      </w:pPr>
      <w:r w:rsidRPr="004102BE">
        <w:rPr>
          <w:rFonts w:ascii="Calibri" w:hAnsi="Calibri" w:cs="Calibri"/>
          <w:b/>
          <w:sz w:val="22"/>
          <w:szCs w:val="22"/>
        </w:rPr>
        <w:t>Figure 2.10: Premium Rates</w:t>
      </w:r>
    </w:p>
    <w:p w:rsidR="004102BE" w:rsidRPr="004102BE" w:rsidRDefault="004102BE" w:rsidP="004102BE">
      <w:pPr>
        <w:keepNext/>
        <w:keepLines/>
        <w:spacing w:after="120"/>
        <w:ind w:left="709" w:hanging="709"/>
        <w:jc w:val="center"/>
        <w:rPr>
          <w:rFonts w:ascii="Calibri" w:eastAsiaTheme="minorHAnsi" w:hAnsi="Calibri" w:cs="Calibri"/>
          <w:b/>
          <w:noProof/>
          <w:sz w:val="22"/>
          <w:szCs w:val="22"/>
        </w:rPr>
      </w:pPr>
      <w:r w:rsidRPr="0035663E">
        <w:rPr>
          <w:rFonts w:asciiTheme="minorHAnsi" w:eastAsiaTheme="minorHAnsi" w:hAnsiTheme="minorHAnsi" w:cstheme="minorBidi"/>
          <w:noProof/>
          <w:sz w:val="20"/>
          <w:szCs w:val="20"/>
        </w:rPr>
        <w:lastRenderedPageBreak/>
        <w:drawing>
          <wp:inline distT="0" distB="0" distL="0" distR="0" wp14:anchorId="49B7B3B2" wp14:editId="277598F8">
            <wp:extent cx="5731510" cy="3073830"/>
            <wp:effectExtent l="0" t="0" r="21590" b="12700"/>
            <wp:docPr id="10" name="Chart 10" descr="This graph shows the premium rate, as a percentage of payroll, for the years 2005 to 2013.  The graph shows the lowest, average and highest premium rates in comparison to the Comcare rate.  The highest and lowest premium rates cover agencies with 100 or more employees.  Figures are approximate.&#10;&#10;2005  to 2006:&#10;Lowest Premium Rate: 0.4 percent&#10;Average Premium Rate: 1.9 percent&#10;Highest Premium Rate: 6.45 percent&#10;Comcare: 2.9 percent&#10;&#10;2006 to 2007&#10;Lowest Premium Rate: 0.25 percent&#10;Average Premium Rate: 1.9 percent&#10;Highest Premium Rate: 5 percent&#10;Comcare: 2.7 percent&#10;&#10;2007 to 2008&#10;Lowest Premium Rate: 0.3 percent&#10;Average Premium Rate: 1.7 percent&#10;Highest Premium Rate: 3.8 percent&#10;Comcare: 2.1 percent&#10;&#10;2008 to 2009&#10;Lowest Premium Rate: 0.1 percent&#10;Average Premium Rate: 1.35 percent&#10;Highest Premium Rate: 3.8 percent&#10;Comcare: 1.2 percent&#10;&#10;2009 to 2010&#10;Lowest Premium Rate: 0.05 percent&#10;Average Premium Rate: 1.2 percent&#10;Highest Premium Rate: 3.7 percent&#10;Comcare: 0.9 percent&#10;&#10;2010 to 2011&#10;Lowest Premium Rate: 0.1 percent&#10;Average Premium Rate: 1.1 percent&#10;Highest Premium Rate: 3.75 percent&#10;Comcare: 1.95 percent&#10;&#10;2011 to 2012&#10;Lowest Premium Rate: 0.1 percent&#10;Average Premium Rate: 1.45 percent&#10;Highest Premium Rate: 5.1 percent&#10;Comcare: 3.4 percent&#10;&#10;2012 to 2013&#10;Lowest Premium Rate: 0.1 percent&#10;Average Premium Rate: 1.9 percent&#10;Highest Premium Rate: 8.3 percent&#10;Comcare: 5 percent&#10;&#10;&#10;&#10;&#10;&#10;&#10;&#10;Comcare Premium Rate:" title="Figure 2.10: Premium Rates"/>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4102BE" w:rsidRPr="004102BE" w:rsidRDefault="004102BE" w:rsidP="004102BE">
      <w:pPr>
        <w:spacing w:after="200" w:line="276" w:lineRule="auto"/>
        <w:ind w:left="356"/>
        <w:contextualSpacing/>
        <w:rPr>
          <w:rFonts w:asciiTheme="minorHAnsi" w:eastAsiaTheme="minorHAnsi" w:hAnsiTheme="minorHAnsi" w:cstheme="minorBidi"/>
          <w:sz w:val="20"/>
          <w:szCs w:val="20"/>
          <w:lang w:eastAsia="en-US"/>
        </w:rPr>
      </w:pPr>
      <w:r w:rsidRPr="004102BE">
        <w:rPr>
          <w:rFonts w:asciiTheme="minorHAnsi" w:eastAsiaTheme="minorHAnsi" w:hAnsiTheme="minorHAnsi" w:cstheme="minorBidi"/>
          <w:sz w:val="20"/>
          <w:szCs w:val="20"/>
          <w:lang w:eastAsia="en-US"/>
        </w:rPr>
        <w:t>* Agencies with 100 or more employees</w:t>
      </w:r>
    </w:p>
    <w:p w:rsidR="004102BE" w:rsidRPr="004102BE" w:rsidRDefault="004102BE" w:rsidP="004102BE">
      <w:pPr>
        <w:keepNext/>
        <w:keepLines/>
        <w:ind w:left="709"/>
        <w:contextualSpacing/>
        <w:jc w:val="right"/>
        <w:rPr>
          <w:rFonts w:asciiTheme="minorHAnsi" w:eastAsiaTheme="minorHAnsi" w:hAnsiTheme="minorHAnsi" w:cstheme="minorBidi"/>
          <w:sz w:val="20"/>
          <w:szCs w:val="20"/>
          <w:lang w:eastAsia="en-US"/>
        </w:rPr>
      </w:pPr>
      <w:r w:rsidRPr="004102BE">
        <w:rPr>
          <w:rFonts w:asciiTheme="minorHAnsi" w:eastAsiaTheme="minorHAnsi" w:hAnsiTheme="minorHAnsi" w:cstheme="minorBidi"/>
          <w:sz w:val="20"/>
          <w:szCs w:val="20"/>
          <w:lang w:eastAsia="en-US"/>
        </w:rPr>
        <w:t>Source: Comcare 2012</w:t>
      </w:r>
    </w:p>
    <w:p w:rsidR="004102BE" w:rsidRPr="004102BE" w:rsidRDefault="004102BE" w:rsidP="004102BE">
      <w:pPr>
        <w:spacing w:after="200" w:line="276" w:lineRule="auto"/>
        <w:ind w:left="356"/>
        <w:contextualSpacing/>
        <w:rPr>
          <w:rFonts w:asciiTheme="minorHAnsi" w:eastAsiaTheme="minorHAnsi" w:hAnsiTheme="minorHAnsi" w:cstheme="minorBidi"/>
          <w:sz w:val="20"/>
          <w:szCs w:val="20"/>
          <w:lang w:eastAsia="en-US"/>
        </w:rPr>
      </w:pPr>
    </w:p>
    <w:p w:rsidR="0021471D" w:rsidRDefault="0021471D" w:rsidP="004102BE">
      <w:pPr>
        <w:spacing w:after="120"/>
        <w:jc w:val="center"/>
        <w:rPr>
          <w:rFonts w:ascii="Calibri" w:hAnsi="Calibri" w:cs="Calibri"/>
          <w:b/>
          <w:sz w:val="22"/>
          <w:szCs w:val="22"/>
        </w:rPr>
      </w:pPr>
    </w:p>
    <w:p w:rsidR="004102BE" w:rsidRPr="004102BE" w:rsidRDefault="004102BE" w:rsidP="004102BE">
      <w:pPr>
        <w:spacing w:after="120"/>
        <w:jc w:val="center"/>
        <w:rPr>
          <w:rFonts w:ascii="Calibri" w:hAnsi="Calibri" w:cs="Calibri"/>
          <w:b/>
          <w:sz w:val="22"/>
          <w:szCs w:val="22"/>
        </w:rPr>
      </w:pPr>
      <w:r w:rsidRPr="004102BE">
        <w:rPr>
          <w:rFonts w:ascii="Calibri" w:hAnsi="Calibri" w:cs="Calibri"/>
          <w:b/>
          <w:sz w:val="22"/>
          <w:szCs w:val="22"/>
        </w:rPr>
        <w:t>Table 2.2: Comcare Claims Data by Financial Year</w:t>
      </w:r>
    </w:p>
    <w:tbl>
      <w:tblPr>
        <w:tblStyle w:val="TableGrid1"/>
        <w:tblW w:w="0" w:type="auto"/>
        <w:tblInd w:w="108" w:type="dxa"/>
        <w:tblLook w:val="04A0" w:firstRow="1" w:lastRow="0" w:firstColumn="1" w:lastColumn="0" w:noHBand="0" w:noVBand="1"/>
        <w:tblCaption w:val="Table 2.2: Comcare claims Data by Financial Year"/>
        <w:tblDescription w:val="This graph shows claims data between the years 2005 to 2012, a claim count, the claim rate per 1000 full-time employees and the average weeks incapacity per accepted claim."/>
      </w:tblPr>
      <w:tblGrid>
        <w:gridCol w:w="1701"/>
        <w:gridCol w:w="1985"/>
        <w:gridCol w:w="2551"/>
        <w:gridCol w:w="2694"/>
      </w:tblGrid>
      <w:tr w:rsidR="004102BE" w:rsidRPr="004102BE" w:rsidTr="00F76E26">
        <w:trPr>
          <w:tblHeader/>
        </w:trPr>
        <w:tc>
          <w:tcPr>
            <w:tcW w:w="1701" w:type="dxa"/>
          </w:tcPr>
          <w:p w:rsidR="004102BE" w:rsidRPr="004102BE" w:rsidRDefault="004102BE" w:rsidP="004102BE">
            <w:pPr>
              <w:keepNext/>
              <w:keepLines/>
              <w:spacing w:before="200"/>
              <w:jc w:val="center"/>
              <w:outlineLvl w:val="8"/>
              <w:rPr>
                <w:rFonts w:ascii="Calibri" w:hAnsi="Calibri" w:cs="Calibri"/>
                <w:b/>
              </w:rPr>
            </w:pPr>
            <w:r w:rsidRPr="004102BE">
              <w:rPr>
                <w:rFonts w:ascii="Calibri" w:hAnsi="Calibri" w:cs="Calibri"/>
                <w:b/>
              </w:rPr>
              <w:t>Financial Year</w:t>
            </w:r>
          </w:p>
        </w:tc>
        <w:tc>
          <w:tcPr>
            <w:tcW w:w="1985" w:type="dxa"/>
          </w:tcPr>
          <w:p w:rsidR="004102BE" w:rsidRPr="004102BE" w:rsidRDefault="004102BE" w:rsidP="004102BE">
            <w:pPr>
              <w:keepNext/>
              <w:keepLines/>
              <w:spacing w:before="200"/>
              <w:jc w:val="center"/>
              <w:outlineLvl w:val="8"/>
              <w:rPr>
                <w:rFonts w:ascii="Calibri" w:hAnsi="Calibri" w:cs="Calibri"/>
                <w:b/>
              </w:rPr>
            </w:pPr>
            <w:r w:rsidRPr="004102BE">
              <w:rPr>
                <w:rFonts w:ascii="Calibri" w:hAnsi="Calibri" w:cs="Calibri"/>
                <w:b/>
              </w:rPr>
              <w:t>Count of Claims</w:t>
            </w:r>
          </w:p>
        </w:tc>
        <w:tc>
          <w:tcPr>
            <w:tcW w:w="2551" w:type="dxa"/>
          </w:tcPr>
          <w:p w:rsidR="004102BE" w:rsidRPr="004102BE" w:rsidRDefault="004102BE" w:rsidP="004102BE">
            <w:pPr>
              <w:keepNext/>
              <w:keepLines/>
              <w:spacing w:before="200"/>
              <w:jc w:val="center"/>
              <w:outlineLvl w:val="8"/>
              <w:rPr>
                <w:rFonts w:ascii="Calibri" w:hAnsi="Calibri" w:cs="Calibri"/>
                <w:b/>
              </w:rPr>
            </w:pPr>
            <w:r w:rsidRPr="004102BE">
              <w:rPr>
                <w:rFonts w:ascii="Calibri" w:hAnsi="Calibri" w:cs="Calibri"/>
                <w:b/>
              </w:rPr>
              <w:t>Claim Rate per 1000 FTE</w:t>
            </w:r>
          </w:p>
        </w:tc>
        <w:tc>
          <w:tcPr>
            <w:tcW w:w="2694" w:type="dxa"/>
          </w:tcPr>
          <w:p w:rsidR="004102BE" w:rsidRPr="004102BE" w:rsidRDefault="004102BE" w:rsidP="004102BE">
            <w:pPr>
              <w:keepNext/>
              <w:keepLines/>
              <w:spacing w:before="200"/>
              <w:jc w:val="center"/>
              <w:outlineLvl w:val="8"/>
              <w:rPr>
                <w:rFonts w:ascii="Calibri" w:hAnsi="Calibri" w:cs="Calibri"/>
                <w:b/>
              </w:rPr>
            </w:pPr>
            <w:r w:rsidRPr="004102BE">
              <w:rPr>
                <w:rFonts w:ascii="Calibri" w:hAnsi="Calibri" w:cs="Calibri"/>
                <w:b/>
              </w:rPr>
              <w:t>Average weeks incapacity per accepted claim</w:t>
            </w:r>
          </w:p>
        </w:tc>
      </w:tr>
      <w:tr w:rsidR="004102BE" w:rsidRPr="004102BE" w:rsidTr="0035663E">
        <w:tc>
          <w:tcPr>
            <w:tcW w:w="1701" w:type="dxa"/>
          </w:tcPr>
          <w:p w:rsidR="004102BE" w:rsidRPr="003678BA" w:rsidRDefault="004102BE" w:rsidP="004102BE">
            <w:pPr>
              <w:keepNext/>
              <w:keepLines/>
              <w:spacing w:before="200"/>
              <w:jc w:val="center"/>
              <w:outlineLvl w:val="8"/>
              <w:rPr>
                <w:rFonts w:ascii="Calibri" w:hAnsi="Calibri" w:cs="Calibri"/>
              </w:rPr>
            </w:pPr>
            <w:r w:rsidRPr="003678BA">
              <w:rPr>
                <w:rFonts w:ascii="Calibri" w:hAnsi="Calibri" w:cs="Calibri"/>
              </w:rPr>
              <w:t>2005-06</w:t>
            </w:r>
          </w:p>
        </w:tc>
        <w:tc>
          <w:tcPr>
            <w:tcW w:w="1985" w:type="dxa"/>
          </w:tcPr>
          <w:p w:rsidR="004102BE" w:rsidRPr="003678BA" w:rsidRDefault="004102BE" w:rsidP="004102BE">
            <w:pPr>
              <w:keepNext/>
              <w:keepLines/>
              <w:spacing w:before="200"/>
              <w:jc w:val="center"/>
              <w:outlineLvl w:val="8"/>
              <w:rPr>
                <w:rFonts w:ascii="Calibri" w:hAnsi="Calibri" w:cs="Calibri"/>
              </w:rPr>
            </w:pPr>
            <w:r w:rsidRPr="003678BA">
              <w:rPr>
                <w:rFonts w:ascii="Calibri" w:hAnsi="Calibri" w:cs="Calibri"/>
              </w:rPr>
              <w:t>14</w:t>
            </w:r>
          </w:p>
        </w:tc>
        <w:tc>
          <w:tcPr>
            <w:tcW w:w="2551" w:type="dxa"/>
          </w:tcPr>
          <w:p w:rsidR="004102BE" w:rsidRPr="003678BA" w:rsidRDefault="004102BE" w:rsidP="004102BE">
            <w:pPr>
              <w:keepNext/>
              <w:keepLines/>
              <w:spacing w:before="200"/>
              <w:jc w:val="center"/>
              <w:outlineLvl w:val="8"/>
              <w:rPr>
                <w:rFonts w:ascii="Calibri" w:hAnsi="Calibri" w:cs="Calibri"/>
              </w:rPr>
            </w:pPr>
            <w:r w:rsidRPr="003678BA">
              <w:rPr>
                <w:rFonts w:ascii="Calibri" w:hAnsi="Calibri" w:cs="Calibri"/>
              </w:rPr>
              <w:t>39.0</w:t>
            </w:r>
          </w:p>
        </w:tc>
        <w:tc>
          <w:tcPr>
            <w:tcW w:w="2694" w:type="dxa"/>
          </w:tcPr>
          <w:p w:rsidR="004102BE" w:rsidRPr="003678BA" w:rsidRDefault="004102BE" w:rsidP="004102BE">
            <w:pPr>
              <w:keepNext/>
              <w:keepLines/>
              <w:spacing w:before="200"/>
              <w:jc w:val="center"/>
              <w:outlineLvl w:val="8"/>
              <w:rPr>
                <w:rFonts w:ascii="Calibri" w:hAnsi="Calibri" w:cs="Calibri"/>
              </w:rPr>
            </w:pPr>
            <w:r w:rsidRPr="003678BA">
              <w:rPr>
                <w:rFonts w:ascii="Calibri" w:hAnsi="Calibri" w:cs="Calibri"/>
              </w:rPr>
              <w:t>17.7</w:t>
            </w:r>
          </w:p>
        </w:tc>
      </w:tr>
      <w:tr w:rsidR="004102BE" w:rsidRPr="004102BE" w:rsidTr="0035663E">
        <w:tc>
          <w:tcPr>
            <w:tcW w:w="1701" w:type="dxa"/>
          </w:tcPr>
          <w:p w:rsidR="004102BE" w:rsidRPr="003678BA" w:rsidRDefault="004102BE" w:rsidP="004102BE">
            <w:pPr>
              <w:keepNext/>
              <w:keepLines/>
              <w:spacing w:before="200"/>
              <w:jc w:val="center"/>
              <w:outlineLvl w:val="8"/>
              <w:rPr>
                <w:rFonts w:ascii="Calibri" w:hAnsi="Calibri" w:cs="Calibri"/>
              </w:rPr>
            </w:pPr>
            <w:r w:rsidRPr="003678BA">
              <w:rPr>
                <w:rFonts w:ascii="Calibri" w:hAnsi="Calibri" w:cs="Calibri"/>
              </w:rPr>
              <w:t>2006-07</w:t>
            </w:r>
          </w:p>
        </w:tc>
        <w:tc>
          <w:tcPr>
            <w:tcW w:w="1985" w:type="dxa"/>
          </w:tcPr>
          <w:p w:rsidR="004102BE" w:rsidRPr="003678BA" w:rsidRDefault="004102BE" w:rsidP="004102BE">
            <w:pPr>
              <w:keepNext/>
              <w:keepLines/>
              <w:spacing w:before="200"/>
              <w:jc w:val="center"/>
              <w:outlineLvl w:val="8"/>
              <w:rPr>
                <w:rFonts w:ascii="Calibri" w:hAnsi="Calibri" w:cs="Calibri"/>
              </w:rPr>
            </w:pPr>
            <w:r w:rsidRPr="003678BA">
              <w:rPr>
                <w:rFonts w:ascii="Calibri" w:hAnsi="Calibri" w:cs="Calibri"/>
              </w:rPr>
              <w:t>9</w:t>
            </w:r>
          </w:p>
        </w:tc>
        <w:tc>
          <w:tcPr>
            <w:tcW w:w="2551" w:type="dxa"/>
          </w:tcPr>
          <w:p w:rsidR="004102BE" w:rsidRPr="003678BA" w:rsidRDefault="004102BE" w:rsidP="004102BE">
            <w:pPr>
              <w:keepNext/>
              <w:keepLines/>
              <w:spacing w:before="200"/>
              <w:jc w:val="center"/>
              <w:outlineLvl w:val="8"/>
              <w:rPr>
                <w:rFonts w:ascii="Calibri" w:hAnsi="Calibri" w:cs="Calibri"/>
              </w:rPr>
            </w:pPr>
            <w:r w:rsidRPr="003678BA">
              <w:rPr>
                <w:rFonts w:ascii="Calibri" w:hAnsi="Calibri" w:cs="Calibri"/>
              </w:rPr>
              <w:t>22.8</w:t>
            </w:r>
          </w:p>
        </w:tc>
        <w:tc>
          <w:tcPr>
            <w:tcW w:w="2694" w:type="dxa"/>
          </w:tcPr>
          <w:p w:rsidR="004102BE" w:rsidRPr="003678BA" w:rsidRDefault="004102BE" w:rsidP="004102BE">
            <w:pPr>
              <w:keepNext/>
              <w:keepLines/>
              <w:spacing w:before="200"/>
              <w:jc w:val="center"/>
              <w:outlineLvl w:val="8"/>
              <w:rPr>
                <w:rFonts w:ascii="Calibri" w:hAnsi="Calibri" w:cs="Calibri"/>
              </w:rPr>
            </w:pPr>
            <w:r w:rsidRPr="003678BA">
              <w:rPr>
                <w:rFonts w:ascii="Calibri" w:hAnsi="Calibri" w:cs="Calibri"/>
              </w:rPr>
              <w:t>8.4</w:t>
            </w:r>
          </w:p>
        </w:tc>
      </w:tr>
      <w:tr w:rsidR="004102BE" w:rsidRPr="004102BE" w:rsidTr="0035663E">
        <w:tc>
          <w:tcPr>
            <w:tcW w:w="1701" w:type="dxa"/>
          </w:tcPr>
          <w:p w:rsidR="004102BE" w:rsidRPr="003678BA" w:rsidRDefault="004102BE" w:rsidP="004102BE">
            <w:pPr>
              <w:keepNext/>
              <w:keepLines/>
              <w:spacing w:before="200"/>
              <w:jc w:val="center"/>
              <w:outlineLvl w:val="8"/>
              <w:rPr>
                <w:rFonts w:ascii="Calibri" w:hAnsi="Calibri" w:cs="Calibri"/>
              </w:rPr>
            </w:pPr>
            <w:r w:rsidRPr="003678BA">
              <w:rPr>
                <w:rFonts w:ascii="Calibri" w:hAnsi="Calibri" w:cs="Calibri"/>
              </w:rPr>
              <w:t>2007-08</w:t>
            </w:r>
          </w:p>
        </w:tc>
        <w:tc>
          <w:tcPr>
            <w:tcW w:w="1985" w:type="dxa"/>
          </w:tcPr>
          <w:p w:rsidR="004102BE" w:rsidRPr="003678BA" w:rsidRDefault="004102BE" w:rsidP="004102BE">
            <w:pPr>
              <w:keepNext/>
              <w:keepLines/>
              <w:spacing w:before="200"/>
              <w:jc w:val="center"/>
              <w:outlineLvl w:val="8"/>
              <w:rPr>
                <w:rFonts w:ascii="Calibri" w:hAnsi="Calibri" w:cs="Calibri"/>
              </w:rPr>
            </w:pPr>
            <w:r w:rsidRPr="003678BA">
              <w:rPr>
                <w:rFonts w:ascii="Calibri" w:hAnsi="Calibri" w:cs="Calibri"/>
              </w:rPr>
              <w:t>3</w:t>
            </w:r>
          </w:p>
        </w:tc>
        <w:tc>
          <w:tcPr>
            <w:tcW w:w="2551" w:type="dxa"/>
          </w:tcPr>
          <w:p w:rsidR="004102BE" w:rsidRPr="003678BA" w:rsidRDefault="004102BE" w:rsidP="004102BE">
            <w:pPr>
              <w:keepNext/>
              <w:keepLines/>
              <w:spacing w:before="200"/>
              <w:jc w:val="center"/>
              <w:outlineLvl w:val="8"/>
              <w:rPr>
                <w:rFonts w:ascii="Calibri" w:hAnsi="Calibri" w:cs="Calibri"/>
              </w:rPr>
            </w:pPr>
            <w:r w:rsidRPr="003678BA">
              <w:rPr>
                <w:rFonts w:ascii="Calibri" w:hAnsi="Calibri" w:cs="Calibri"/>
              </w:rPr>
              <w:t>6.5</w:t>
            </w:r>
          </w:p>
        </w:tc>
        <w:tc>
          <w:tcPr>
            <w:tcW w:w="2694" w:type="dxa"/>
          </w:tcPr>
          <w:p w:rsidR="004102BE" w:rsidRPr="003678BA" w:rsidRDefault="004102BE" w:rsidP="004102BE">
            <w:pPr>
              <w:keepNext/>
              <w:keepLines/>
              <w:spacing w:before="200"/>
              <w:jc w:val="center"/>
              <w:outlineLvl w:val="8"/>
              <w:rPr>
                <w:rFonts w:ascii="Calibri" w:hAnsi="Calibri" w:cs="Calibri"/>
              </w:rPr>
            </w:pPr>
            <w:r w:rsidRPr="003678BA">
              <w:rPr>
                <w:rFonts w:ascii="Calibri" w:hAnsi="Calibri" w:cs="Calibri"/>
              </w:rPr>
              <w:t>11.2</w:t>
            </w:r>
          </w:p>
        </w:tc>
      </w:tr>
      <w:tr w:rsidR="004102BE" w:rsidRPr="004102BE" w:rsidTr="0035663E">
        <w:tc>
          <w:tcPr>
            <w:tcW w:w="1701" w:type="dxa"/>
          </w:tcPr>
          <w:p w:rsidR="004102BE" w:rsidRPr="003678BA" w:rsidRDefault="004102BE" w:rsidP="004102BE">
            <w:pPr>
              <w:keepNext/>
              <w:keepLines/>
              <w:spacing w:before="200"/>
              <w:jc w:val="center"/>
              <w:outlineLvl w:val="8"/>
              <w:rPr>
                <w:rFonts w:ascii="Calibri" w:hAnsi="Calibri" w:cs="Calibri"/>
              </w:rPr>
            </w:pPr>
            <w:r w:rsidRPr="003678BA">
              <w:rPr>
                <w:rFonts w:ascii="Calibri" w:hAnsi="Calibri" w:cs="Calibri"/>
              </w:rPr>
              <w:t>2008-09</w:t>
            </w:r>
          </w:p>
        </w:tc>
        <w:tc>
          <w:tcPr>
            <w:tcW w:w="1985" w:type="dxa"/>
          </w:tcPr>
          <w:p w:rsidR="004102BE" w:rsidRPr="003678BA" w:rsidRDefault="004102BE" w:rsidP="004102BE">
            <w:pPr>
              <w:keepNext/>
              <w:keepLines/>
              <w:spacing w:before="200"/>
              <w:jc w:val="center"/>
              <w:outlineLvl w:val="8"/>
              <w:rPr>
                <w:rFonts w:ascii="Calibri" w:hAnsi="Calibri" w:cs="Calibri"/>
              </w:rPr>
            </w:pPr>
            <w:r w:rsidRPr="003678BA">
              <w:rPr>
                <w:rFonts w:ascii="Calibri" w:hAnsi="Calibri" w:cs="Calibri"/>
              </w:rPr>
              <w:t>1</w:t>
            </w:r>
          </w:p>
        </w:tc>
        <w:tc>
          <w:tcPr>
            <w:tcW w:w="2551" w:type="dxa"/>
          </w:tcPr>
          <w:p w:rsidR="004102BE" w:rsidRPr="003678BA" w:rsidRDefault="004102BE" w:rsidP="004102BE">
            <w:pPr>
              <w:keepNext/>
              <w:keepLines/>
              <w:spacing w:before="200"/>
              <w:jc w:val="center"/>
              <w:outlineLvl w:val="8"/>
              <w:rPr>
                <w:rFonts w:ascii="Calibri" w:hAnsi="Calibri" w:cs="Calibri"/>
              </w:rPr>
            </w:pPr>
            <w:r w:rsidRPr="003678BA">
              <w:rPr>
                <w:rFonts w:ascii="Calibri" w:hAnsi="Calibri" w:cs="Calibri"/>
              </w:rPr>
              <w:t>1.9</w:t>
            </w:r>
          </w:p>
        </w:tc>
        <w:tc>
          <w:tcPr>
            <w:tcW w:w="2694" w:type="dxa"/>
          </w:tcPr>
          <w:p w:rsidR="004102BE" w:rsidRPr="003678BA" w:rsidRDefault="004102BE" w:rsidP="004102BE">
            <w:pPr>
              <w:keepNext/>
              <w:keepLines/>
              <w:spacing w:before="200"/>
              <w:jc w:val="center"/>
              <w:outlineLvl w:val="8"/>
              <w:rPr>
                <w:rFonts w:ascii="Calibri" w:hAnsi="Calibri" w:cs="Calibri"/>
              </w:rPr>
            </w:pPr>
            <w:r w:rsidRPr="003678BA">
              <w:rPr>
                <w:rFonts w:ascii="Calibri" w:hAnsi="Calibri" w:cs="Calibri"/>
              </w:rPr>
              <w:t>n.p.</w:t>
            </w:r>
          </w:p>
        </w:tc>
      </w:tr>
      <w:tr w:rsidR="004102BE" w:rsidRPr="004102BE" w:rsidTr="0035663E">
        <w:tc>
          <w:tcPr>
            <w:tcW w:w="1701" w:type="dxa"/>
          </w:tcPr>
          <w:p w:rsidR="004102BE" w:rsidRPr="003678BA" w:rsidRDefault="004102BE" w:rsidP="004102BE">
            <w:pPr>
              <w:keepNext/>
              <w:keepLines/>
              <w:spacing w:before="200"/>
              <w:jc w:val="center"/>
              <w:outlineLvl w:val="8"/>
              <w:rPr>
                <w:rFonts w:ascii="Calibri" w:hAnsi="Calibri" w:cs="Calibri"/>
              </w:rPr>
            </w:pPr>
            <w:r w:rsidRPr="003678BA">
              <w:rPr>
                <w:rFonts w:ascii="Calibri" w:hAnsi="Calibri" w:cs="Calibri"/>
              </w:rPr>
              <w:t>2009-10</w:t>
            </w:r>
          </w:p>
        </w:tc>
        <w:tc>
          <w:tcPr>
            <w:tcW w:w="1985" w:type="dxa"/>
          </w:tcPr>
          <w:p w:rsidR="004102BE" w:rsidRPr="003678BA" w:rsidRDefault="004102BE" w:rsidP="004102BE">
            <w:pPr>
              <w:keepNext/>
              <w:keepLines/>
              <w:spacing w:before="200"/>
              <w:jc w:val="center"/>
              <w:outlineLvl w:val="8"/>
              <w:rPr>
                <w:rFonts w:ascii="Calibri" w:hAnsi="Calibri" w:cs="Calibri"/>
              </w:rPr>
            </w:pPr>
            <w:r w:rsidRPr="003678BA">
              <w:rPr>
                <w:rFonts w:ascii="Calibri" w:hAnsi="Calibri" w:cs="Calibri"/>
              </w:rPr>
              <w:t>8</w:t>
            </w:r>
          </w:p>
        </w:tc>
        <w:tc>
          <w:tcPr>
            <w:tcW w:w="2551" w:type="dxa"/>
          </w:tcPr>
          <w:p w:rsidR="004102BE" w:rsidRPr="003678BA" w:rsidRDefault="004102BE" w:rsidP="004102BE">
            <w:pPr>
              <w:keepNext/>
              <w:keepLines/>
              <w:spacing w:before="200"/>
              <w:jc w:val="center"/>
              <w:outlineLvl w:val="8"/>
              <w:rPr>
                <w:rFonts w:ascii="Calibri" w:hAnsi="Calibri" w:cs="Calibri"/>
              </w:rPr>
            </w:pPr>
            <w:r w:rsidRPr="003678BA">
              <w:rPr>
                <w:rFonts w:ascii="Calibri" w:hAnsi="Calibri" w:cs="Calibri"/>
              </w:rPr>
              <w:t>14.1</w:t>
            </w:r>
          </w:p>
        </w:tc>
        <w:tc>
          <w:tcPr>
            <w:tcW w:w="2694" w:type="dxa"/>
          </w:tcPr>
          <w:p w:rsidR="004102BE" w:rsidRPr="003678BA" w:rsidRDefault="004102BE" w:rsidP="004102BE">
            <w:pPr>
              <w:keepNext/>
              <w:keepLines/>
              <w:spacing w:before="200"/>
              <w:jc w:val="center"/>
              <w:outlineLvl w:val="8"/>
              <w:rPr>
                <w:rFonts w:ascii="Calibri" w:hAnsi="Calibri" w:cs="Calibri"/>
              </w:rPr>
            </w:pPr>
            <w:r w:rsidRPr="003678BA">
              <w:rPr>
                <w:rFonts w:ascii="Calibri" w:hAnsi="Calibri" w:cs="Calibri"/>
              </w:rPr>
              <w:t>56.7</w:t>
            </w:r>
          </w:p>
        </w:tc>
      </w:tr>
      <w:tr w:rsidR="004102BE" w:rsidRPr="004102BE" w:rsidTr="0035663E">
        <w:tc>
          <w:tcPr>
            <w:tcW w:w="1701" w:type="dxa"/>
          </w:tcPr>
          <w:p w:rsidR="004102BE" w:rsidRPr="003678BA" w:rsidRDefault="004102BE" w:rsidP="004102BE">
            <w:pPr>
              <w:keepNext/>
              <w:keepLines/>
              <w:spacing w:before="200"/>
              <w:jc w:val="center"/>
              <w:outlineLvl w:val="8"/>
              <w:rPr>
                <w:rFonts w:ascii="Calibri" w:hAnsi="Calibri" w:cs="Calibri"/>
              </w:rPr>
            </w:pPr>
            <w:r w:rsidRPr="003678BA">
              <w:rPr>
                <w:rFonts w:ascii="Calibri" w:hAnsi="Calibri" w:cs="Calibri"/>
              </w:rPr>
              <w:t>2010-11</w:t>
            </w:r>
          </w:p>
        </w:tc>
        <w:tc>
          <w:tcPr>
            <w:tcW w:w="1985" w:type="dxa"/>
          </w:tcPr>
          <w:p w:rsidR="004102BE" w:rsidRPr="003678BA" w:rsidRDefault="004102BE" w:rsidP="004102BE">
            <w:pPr>
              <w:keepNext/>
              <w:keepLines/>
              <w:spacing w:before="200"/>
              <w:jc w:val="center"/>
              <w:outlineLvl w:val="8"/>
              <w:rPr>
                <w:rFonts w:ascii="Calibri" w:hAnsi="Calibri" w:cs="Calibri"/>
              </w:rPr>
            </w:pPr>
            <w:r w:rsidRPr="003678BA">
              <w:rPr>
                <w:rFonts w:ascii="Calibri" w:hAnsi="Calibri" w:cs="Calibri"/>
              </w:rPr>
              <w:t>9</w:t>
            </w:r>
          </w:p>
        </w:tc>
        <w:tc>
          <w:tcPr>
            <w:tcW w:w="2551" w:type="dxa"/>
          </w:tcPr>
          <w:p w:rsidR="004102BE" w:rsidRPr="003678BA" w:rsidRDefault="004102BE" w:rsidP="004102BE">
            <w:pPr>
              <w:keepNext/>
              <w:keepLines/>
              <w:spacing w:before="200"/>
              <w:jc w:val="center"/>
              <w:outlineLvl w:val="8"/>
              <w:rPr>
                <w:rFonts w:ascii="Calibri" w:hAnsi="Calibri" w:cs="Calibri"/>
              </w:rPr>
            </w:pPr>
            <w:r w:rsidRPr="003678BA">
              <w:rPr>
                <w:rFonts w:ascii="Calibri" w:hAnsi="Calibri" w:cs="Calibri"/>
              </w:rPr>
              <w:t>15.5</w:t>
            </w:r>
          </w:p>
        </w:tc>
        <w:tc>
          <w:tcPr>
            <w:tcW w:w="2694" w:type="dxa"/>
          </w:tcPr>
          <w:p w:rsidR="004102BE" w:rsidRPr="003678BA" w:rsidRDefault="004102BE" w:rsidP="004102BE">
            <w:pPr>
              <w:keepNext/>
              <w:keepLines/>
              <w:spacing w:before="200"/>
              <w:jc w:val="center"/>
              <w:outlineLvl w:val="8"/>
              <w:rPr>
                <w:rFonts w:ascii="Calibri" w:hAnsi="Calibri" w:cs="Calibri"/>
              </w:rPr>
            </w:pPr>
            <w:r w:rsidRPr="003678BA">
              <w:rPr>
                <w:rFonts w:ascii="Calibri" w:hAnsi="Calibri" w:cs="Calibri"/>
              </w:rPr>
              <w:t>9.7</w:t>
            </w:r>
          </w:p>
        </w:tc>
      </w:tr>
      <w:tr w:rsidR="004102BE" w:rsidRPr="004102BE" w:rsidTr="0035663E">
        <w:tc>
          <w:tcPr>
            <w:tcW w:w="1701" w:type="dxa"/>
          </w:tcPr>
          <w:p w:rsidR="004102BE" w:rsidRPr="003678BA" w:rsidRDefault="004102BE" w:rsidP="004102BE">
            <w:pPr>
              <w:keepNext/>
              <w:keepLines/>
              <w:spacing w:before="200"/>
              <w:jc w:val="center"/>
              <w:outlineLvl w:val="8"/>
              <w:rPr>
                <w:rFonts w:ascii="Calibri" w:hAnsi="Calibri" w:cs="Calibri"/>
              </w:rPr>
            </w:pPr>
            <w:r w:rsidRPr="003678BA">
              <w:rPr>
                <w:rFonts w:ascii="Calibri" w:hAnsi="Calibri" w:cs="Calibri"/>
              </w:rPr>
              <w:t>2011-12</w:t>
            </w:r>
          </w:p>
        </w:tc>
        <w:tc>
          <w:tcPr>
            <w:tcW w:w="1985" w:type="dxa"/>
          </w:tcPr>
          <w:p w:rsidR="004102BE" w:rsidRPr="003678BA" w:rsidRDefault="004102BE" w:rsidP="004102BE">
            <w:pPr>
              <w:keepNext/>
              <w:keepLines/>
              <w:spacing w:before="200"/>
              <w:jc w:val="center"/>
              <w:outlineLvl w:val="8"/>
              <w:rPr>
                <w:rFonts w:ascii="Calibri" w:hAnsi="Calibri" w:cs="Calibri"/>
              </w:rPr>
            </w:pPr>
            <w:r w:rsidRPr="003678BA">
              <w:rPr>
                <w:rFonts w:ascii="Calibri" w:hAnsi="Calibri" w:cs="Calibri"/>
              </w:rPr>
              <w:t>20</w:t>
            </w:r>
          </w:p>
        </w:tc>
        <w:tc>
          <w:tcPr>
            <w:tcW w:w="2551" w:type="dxa"/>
          </w:tcPr>
          <w:p w:rsidR="004102BE" w:rsidRPr="003678BA" w:rsidRDefault="004102BE" w:rsidP="004102BE">
            <w:pPr>
              <w:keepNext/>
              <w:keepLines/>
              <w:spacing w:before="200"/>
              <w:jc w:val="center"/>
              <w:outlineLvl w:val="8"/>
              <w:rPr>
                <w:rFonts w:ascii="Calibri" w:hAnsi="Calibri" w:cs="Calibri"/>
              </w:rPr>
            </w:pPr>
            <w:r w:rsidRPr="003678BA">
              <w:rPr>
                <w:rFonts w:ascii="Calibri" w:hAnsi="Calibri" w:cs="Calibri"/>
              </w:rPr>
              <w:t>34.7</w:t>
            </w:r>
          </w:p>
        </w:tc>
        <w:tc>
          <w:tcPr>
            <w:tcW w:w="2694" w:type="dxa"/>
          </w:tcPr>
          <w:p w:rsidR="004102BE" w:rsidRPr="003678BA" w:rsidRDefault="004102BE" w:rsidP="004102BE">
            <w:pPr>
              <w:keepNext/>
              <w:keepLines/>
              <w:spacing w:before="200"/>
              <w:jc w:val="center"/>
              <w:outlineLvl w:val="8"/>
              <w:rPr>
                <w:rFonts w:ascii="Calibri" w:hAnsi="Calibri" w:cs="Calibri"/>
              </w:rPr>
            </w:pPr>
            <w:r w:rsidRPr="003678BA">
              <w:rPr>
                <w:rFonts w:ascii="Calibri" w:hAnsi="Calibri" w:cs="Calibri"/>
              </w:rPr>
              <w:t>8.4</w:t>
            </w:r>
          </w:p>
        </w:tc>
      </w:tr>
    </w:tbl>
    <w:p w:rsidR="004102BE" w:rsidRPr="004102BE" w:rsidRDefault="004102BE" w:rsidP="004102BE">
      <w:pPr>
        <w:keepNext/>
        <w:keepLines/>
        <w:ind w:left="709"/>
        <w:contextualSpacing/>
        <w:jc w:val="right"/>
        <w:rPr>
          <w:rFonts w:asciiTheme="minorHAnsi" w:eastAsiaTheme="minorHAnsi" w:hAnsiTheme="minorHAnsi" w:cstheme="minorBidi"/>
          <w:sz w:val="20"/>
          <w:szCs w:val="20"/>
          <w:lang w:eastAsia="en-US"/>
        </w:rPr>
      </w:pPr>
      <w:r w:rsidRPr="004102BE">
        <w:rPr>
          <w:rFonts w:asciiTheme="minorHAnsi" w:eastAsiaTheme="minorHAnsi" w:hAnsiTheme="minorHAnsi" w:cstheme="minorBidi"/>
          <w:sz w:val="20"/>
          <w:szCs w:val="20"/>
          <w:lang w:eastAsia="en-US"/>
        </w:rPr>
        <w:t>Source: Comcare 2012</w:t>
      </w:r>
    </w:p>
    <w:p w:rsidR="004102BE" w:rsidRPr="004102BE" w:rsidRDefault="004102BE" w:rsidP="004102BE">
      <w:pPr>
        <w:keepNext/>
        <w:keepLines/>
        <w:ind w:left="709"/>
        <w:contextualSpacing/>
        <w:rPr>
          <w:rFonts w:ascii="Calibri" w:eastAsiaTheme="minorHAnsi" w:hAnsi="Calibri" w:cs="Calibri"/>
          <w:sz w:val="22"/>
          <w:lang w:eastAsia="en-US"/>
        </w:rPr>
      </w:pPr>
    </w:p>
    <w:p w:rsidR="00744A57" w:rsidRDefault="00744A57" w:rsidP="000D7C1C">
      <w:pPr>
        <w:spacing w:after="120"/>
        <w:ind w:left="709"/>
        <w:rPr>
          <w:rFonts w:ascii="Calibri" w:eastAsiaTheme="minorHAnsi" w:hAnsi="Calibri" w:cs="Calibri"/>
          <w:sz w:val="22"/>
          <w:szCs w:val="22"/>
          <w:lang w:eastAsia="en-US"/>
        </w:rPr>
      </w:pPr>
    </w:p>
    <w:p w:rsidR="004102BE" w:rsidRPr="0035663E" w:rsidRDefault="004102BE" w:rsidP="0035663E">
      <w:pPr>
        <w:numPr>
          <w:ilvl w:val="1"/>
          <w:numId w:val="31"/>
        </w:numPr>
        <w:spacing w:after="120"/>
        <w:ind w:left="709" w:hanging="709"/>
        <w:rPr>
          <w:rFonts w:ascii="Calibri" w:eastAsiaTheme="minorHAnsi" w:hAnsi="Calibri" w:cs="Calibri"/>
          <w:sz w:val="22"/>
          <w:szCs w:val="22"/>
          <w:lang w:eastAsia="en-US"/>
        </w:rPr>
      </w:pPr>
      <w:r w:rsidRPr="0035663E">
        <w:rPr>
          <w:rFonts w:ascii="Calibri" w:eastAsiaTheme="minorHAnsi" w:hAnsi="Calibri" w:cs="Calibri"/>
          <w:sz w:val="22"/>
          <w:szCs w:val="22"/>
          <w:lang w:eastAsia="en-US"/>
        </w:rPr>
        <w:t xml:space="preserve">Comcare’s increasing premium rates in recent years </w:t>
      </w:r>
      <w:r w:rsidR="00314E1B" w:rsidRPr="0035663E">
        <w:rPr>
          <w:rFonts w:ascii="Calibri" w:eastAsiaTheme="minorHAnsi" w:hAnsi="Calibri" w:cs="Calibri"/>
          <w:sz w:val="22"/>
          <w:szCs w:val="22"/>
          <w:lang w:eastAsia="en-US"/>
        </w:rPr>
        <w:t xml:space="preserve">are </w:t>
      </w:r>
      <w:r w:rsidRPr="0035663E">
        <w:rPr>
          <w:rFonts w:ascii="Calibri" w:eastAsiaTheme="minorHAnsi" w:hAnsi="Calibri" w:cs="Calibri"/>
          <w:sz w:val="22"/>
          <w:szCs w:val="22"/>
          <w:lang w:eastAsia="en-US"/>
        </w:rPr>
        <w:t>consistent with the overall scheme performance trends.</w:t>
      </w:r>
    </w:p>
    <w:p w:rsidR="00630B11" w:rsidRDefault="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Comcare is uniquely placed to be an exemplar to other Australian Government premium payers and the ACT Government with respect to best practice WHS, rehabilitation and workers’ compensation performance.</w:t>
      </w:r>
    </w:p>
    <w:p w:rsidR="002555F4" w:rsidRDefault="002555F4" w:rsidP="0035663E">
      <w:pPr>
        <w:spacing w:after="120"/>
        <w:ind w:left="709"/>
        <w:rPr>
          <w:rFonts w:ascii="Calibri" w:eastAsiaTheme="minorHAnsi" w:hAnsi="Calibri" w:cs="Calibri"/>
          <w:sz w:val="22"/>
          <w:lang w:eastAsia="en-US"/>
        </w:rPr>
      </w:pPr>
    </w:p>
    <w:p w:rsidR="002555F4" w:rsidRDefault="004102BE" w:rsidP="0035663E">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120"/>
        <w:rPr>
          <w:rFonts w:ascii="Calibri" w:hAnsi="Calibri" w:cs="Calibri"/>
          <w:b/>
          <w:sz w:val="22"/>
          <w:szCs w:val="22"/>
        </w:rPr>
      </w:pPr>
      <w:r w:rsidRPr="004102BE">
        <w:rPr>
          <w:rFonts w:ascii="Calibri" w:hAnsi="Calibri" w:cs="Calibri"/>
          <w:b/>
          <w:sz w:val="22"/>
          <w:szCs w:val="22"/>
        </w:rPr>
        <w:t xml:space="preserve">Recommendation </w:t>
      </w:r>
      <w:r w:rsidR="00314E1B" w:rsidRPr="004102BE">
        <w:rPr>
          <w:rFonts w:ascii="Calibri" w:hAnsi="Calibri" w:cs="Calibri"/>
          <w:b/>
          <w:sz w:val="22"/>
          <w:szCs w:val="22"/>
        </w:rPr>
        <w:t>1</w:t>
      </w:r>
      <w:r w:rsidR="00314E1B">
        <w:rPr>
          <w:rFonts w:ascii="Calibri" w:hAnsi="Calibri" w:cs="Calibri"/>
          <w:b/>
          <w:sz w:val="22"/>
          <w:szCs w:val="22"/>
        </w:rPr>
        <w:t>6</w:t>
      </w:r>
    </w:p>
    <w:p w:rsidR="004102BE" w:rsidRPr="004102BE" w:rsidRDefault="004102BE" w:rsidP="004102BE">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ascii="Calibri" w:hAnsi="Calibri" w:cs="Calibri"/>
          <w:sz w:val="22"/>
          <w:szCs w:val="22"/>
        </w:rPr>
      </w:pPr>
      <w:r w:rsidRPr="004102BE">
        <w:rPr>
          <w:rFonts w:ascii="Calibri" w:hAnsi="Calibri" w:cs="Calibri"/>
          <w:sz w:val="22"/>
          <w:szCs w:val="22"/>
        </w:rPr>
        <w:t>As the claims manager for the premium paying side of the scheme, Comcare should continue to take steps to proactively manage its claims. As a priority</w:t>
      </w:r>
      <w:r w:rsidR="00314E1B">
        <w:rPr>
          <w:rFonts w:ascii="Calibri" w:hAnsi="Calibri" w:cs="Calibri"/>
          <w:sz w:val="22"/>
          <w:szCs w:val="22"/>
        </w:rPr>
        <w:t>,</w:t>
      </w:r>
      <w:r w:rsidRPr="004102BE">
        <w:rPr>
          <w:rFonts w:ascii="Calibri" w:hAnsi="Calibri" w:cs="Calibri"/>
          <w:sz w:val="22"/>
          <w:szCs w:val="22"/>
        </w:rPr>
        <w:t xml:space="preserve"> Comcare should continue to implement strategies to reduce the likelihood and severity of workplace injuries in Comcare and share their learning with other Commonwealth agencies in line with Comcare’s Strategy 2015 objectives to “improve return to work practices by sharing best practice and case studies”.</w:t>
      </w:r>
    </w:p>
    <w:p w:rsidR="00630B11" w:rsidRDefault="00630B11" w:rsidP="0035663E">
      <w:pPr>
        <w:spacing w:after="120"/>
        <w:ind w:left="709"/>
        <w:rPr>
          <w:rFonts w:ascii="Calibri" w:eastAsiaTheme="minorHAnsi" w:hAnsi="Calibri" w:cs="Calibri"/>
          <w:sz w:val="22"/>
          <w:lang w:eastAsia="en-US"/>
        </w:rPr>
      </w:pP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 xml:space="preserve">Ernst and Young </w:t>
      </w:r>
      <w:proofErr w:type="gramStart"/>
      <w:r w:rsidRPr="004102BE">
        <w:rPr>
          <w:rFonts w:ascii="Calibri" w:eastAsiaTheme="minorHAnsi" w:hAnsi="Calibri" w:cs="Calibri"/>
          <w:sz w:val="22"/>
          <w:lang w:eastAsia="en-US"/>
        </w:rPr>
        <w:t>was</w:t>
      </w:r>
      <w:proofErr w:type="gramEnd"/>
      <w:r w:rsidRPr="004102BE">
        <w:rPr>
          <w:rFonts w:ascii="Calibri" w:eastAsiaTheme="minorHAnsi" w:hAnsi="Calibri" w:cs="Calibri"/>
          <w:sz w:val="22"/>
          <w:lang w:eastAsia="en-US"/>
        </w:rPr>
        <w:t xml:space="preserve"> appointed by Comcare in 2010 to assist in formulating its new five year strategy (Strategy 2015). As part of that process, Ernst and Young consulted extensively (internally within Comcare and externally with premium-payers) and provided some significant insights on perceptions about Comcare.</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Ernst and Young noted</w:t>
      </w:r>
      <w:r w:rsidR="001517AF">
        <w:rPr>
          <w:rFonts w:ascii="Calibri" w:eastAsiaTheme="minorHAnsi" w:hAnsi="Calibri" w:cs="Calibri"/>
          <w:sz w:val="22"/>
          <w:lang w:eastAsia="en-US"/>
        </w:rPr>
        <w:t xml:space="preserve"> </w:t>
      </w:r>
      <w:r w:rsidRPr="004102BE">
        <w:rPr>
          <w:rFonts w:ascii="Calibri" w:eastAsiaTheme="minorHAnsi" w:hAnsi="Calibri" w:cs="Calibri"/>
          <w:sz w:val="22"/>
          <w:lang w:eastAsia="en-US"/>
        </w:rPr>
        <w:t>that:</w:t>
      </w:r>
      <w:r w:rsidR="001517AF" w:rsidRPr="001517AF">
        <w:rPr>
          <w:rFonts w:asciiTheme="minorHAnsi" w:eastAsiaTheme="majorEastAsia" w:hAnsiTheme="minorHAnsi" w:cstheme="minorHAnsi"/>
          <w:sz w:val="22"/>
          <w:szCs w:val="22"/>
          <w:vertAlign w:val="superscript"/>
          <w:lang w:eastAsia="en-US"/>
        </w:rPr>
        <w:t xml:space="preserve"> </w:t>
      </w:r>
      <w:r w:rsidR="001517AF" w:rsidRPr="004102BE">
        <w:rPr>
          <w:rFonts w:asciiTheme="minorHAnsi" w:eastAsiaTheme="majorEastAsia" w:hAnsiTheme="minorHAnsi" w:cstheme="minorHAnsi"/>
          <w:sz w:val="22"/>
          <w:szCs w:val="22"/>
          <w:vertAlign w:val="superscript"/>
          <w:lang w:eastAsia="en-US"/>
        </w:rPr>
        <w:footnoteReference w:id="35"/>
      </w:r>
    </w:p>
    <w:p w:rsidR="004102BE" w:rsidRPr="004102BE" w:rsidRDefault="004102BE" w:rsidP="004102BE">
      <w:pPr>
        <w:numPr>
          <w:ilvl w:val="0"/>
          <w:numId w:val="24"/>
        </w:numPr>
        <w:spacing w:after="120"/>
        <w:ind w:left="1134" w:hanging="425"/>
        <w:rPr>
          <w:rFonts w:ascii="Calibri" w:eastAsiaTheme="minorHAnsi" w:hAnsi="Calibri" w:cs="Calibri"/>
          <w:i/>
          <w:sz w:val="22"/>
          <w:lang w:eastAsia="en-US"/>
        </w:rPr>
      </w:pPr>
      <w:r w:rsidRPr="004102BE">
        <w:rPr>
          <w:rFonts w:ascii="Calibri" w:eastAsiaTheme="minorHAnsi" w:hAnsi="Calibri" w:cs="Calibri"/>
          <w:i/>
          <w:sz w:val="22"/>
          <w:lang w:eastAsia="en-US"/>
        </w:rPr>
        <w:t xml:space="preserve">“In relation to claims management, stakeholders, including Comcare staff, commented that Comcare is internally focussed and needs to improve its business analyst capability.  There was a general recognition of a need for Comcare to improve the use of its data and claims management practices to meet standards being set by other schemes.” </w:t>
      </w:r>
    </w:p>
    <w:p w:rsidR="004102BE" w:rsidRPr="004102BE" w:rsidRDefault="004102BE" w:rsidP="004102BE">
      <w:pPr>
        <w:numPr>
          <w:ilvl w:val="0"/>
          <w:numId w:val="24"/>
        </w:numPr>
        <w:spacing w:after="120"/>
        <w:ind w:left="1134" w:hanging="425"/>
        <w:rPr>
          <w:rFonts w:ascii="Calibri" w:eastAsiaTheme="minorHAnsi" w:hAnsi="Calibri" w:cs="Calibri"/>
          <w:i/>
          <w:sz w:val="22"/>
          <w:lang w:eastAsia="en-US"/>
        </w:rPr>
      </w:pPr>
      <w:r w:rsidRPr="004102BE">
        <w:rPr>
          <w:rFonts w:ascii="Calibri" w:eastAsiaTheme="minorHAnsi" w:hAnsi="Calibri" w:cs="Calibri"/>
          <w:i/>
          <w:sz w:val="22"/>
          <w:lang w:eastAsia="en-US"/>
        </w:rPr>
        <w:t xml:space="preserve">“During the internal claims management workshops, Comcare staff expressed concerns about the capability and capacity of agencies to provide quality injury management to injured employees.  Comcare staff also spoke of high caseloads, difficulty with staff retention and trouble recruiting suitably qualified staff.” </w:t>
      </w:r>
    </w:p>
    <w:p w:rsidR="004102BE" w:rsidRPr="004102BE" w:rsidRDefault="004102BE" w:rsidP="004102BE">
      <w:pPr>
        <w:numPr>
          <w:ilvl w:val="0"/>
          <w:numId w:val="24"/>
        </w:numPr>
        <w:spacing w:after="120"/>
        <w:ind w:left="1134" w:hanging="425"/>
        <w:rPr>
          <w:rFonts w:ascii="Calibri" w:eastAsiaTheme="minorHAnsi" w:hAnsi="Calibri" w:cs="Calibri"/>
          <w:i/>
          <w:sz w:val="22"/>
          <w:lang w:eastAsia="en-US"/>
        </w:rPr>
      </w:pPr>
      <w:r w:rsidRPr="004102BE">
        <w:rPr>
          <w:rFonts w:ascii="Calibri" w:eastAsiaTheme="minorHAnsi" w:hAnsi="Calibri" w:cs="Calibri"/>
          <w:i/>
          <w:sz w:val="22"/>
          <w:lang w:eastAsia="en-US"/>
        </w:rPr>
        <w:t>“Stakeholders commented that Comcare has been internally focussed and has fallen behind best practice in a number of areas, in particular the development of claims management strategies and injured worker satisfaction.</w:t>
      </w:r>
      <w:r w:rsidR="00A3311D">
        <w:rPr>
          <w:rFonts w:ascii="Calibri" w:eastAsiaTheme="minorHAnsi" w:hAnsi="Calibri" w:cs="Calibri"/>
          <w:i/>
          <w:sz w:val="22"/>
          <w:lang w:eastAsia="en-US"/>
        </w:rPr>
        <w:t>”</w:t>
      </w:r>
    </w:p>
    <w:p w:rsidR="004102BE" w:rsidRPr="004102BE" w:rsidRDefault="004102BE" w:rsidP="004102BE">
      <w:pPr>
        <w:numPr>
          <w:ilvl w:val="0"/>
          <w:numId w:val="24"/>
        </w:numPr>
        <w:spacing w:after="120"/>
        <w:ind w:left="1134" w:hanging="425"/>
        <w:rPr>
          <w:rFonts w:ascii="Calibri" w:eastAsiaTheme="minorHAnsi" w:hAnsi="Calibri" w:cs="Calibri"/>
          <w:i/>
          <w:sz w:val="22"/>
          <w:lang w:eastAsia="en-US"/>
        </w:rPr>
      </w:pPr>
      <w:r w:rsidRPr="004102BE">
        <w:rPr>
          <w:rFonts w:ascii="Calibri" w:eastAsiaTheme="minorHAnsi" w:hAnsi="Calibri" w:cs="Calibri"/>
          <w:i/>
          <w:sz w:val="22"/>
          <w:lang w:eastAsia="en-US"/>
        </w:rPr>
        <w:t>“Other jurisdictions have invested significantly in developing their approach to scheme wide claims initiatives designed to continually drive down the liabilities at the same time as improving service to injured workers.</w:t>
      </w:r>
      <w:r w:rsidR="00A3311D">
        <w:rPr>
          <w:rFonts w:ascii="Calibri" w:eastAsiaTheme="minorHAnsi" w:hAnsi="Calibri" w:cs="Calibri"/>
          <w:i/>
          <w:sz w:val="22"/>
          <w:lang w:eastAsia="en-US"/>
        </w:rPr>
        <w:t>”</w:t>
      </w:r>
    </w:p>
    <w:p w:rsidR="004102BE" w:rsidRPr="004102BE" w:rsidRDefault="004102BE" w:rsidP="004102BE">
      <w:pPr>
        <w:numPr>
          <w:ilvl w:val="0"/>
          <w:numId w:val="24"/>
        </w:numPr>
        <w:spacing w:after="120"/>
        <w:ind w:left="1134" w:hanging="425"/>
        <w:rPr>
          <w:rFonts w:ascii="Calibri" w:eastAsiaTheme="minorHAnsi" w:hAnsi="Calibri" w:cs="Calibri"/>
          <w:sz w:val="22"/>
          <w:lang w:eastAsia="en-US"/>
        </w:rPr>
      </w:pPr>
      <w:r w:rsidRPr="004102BE">
        <w:rPr>
          <w:rFonts w:ascii="Calibri" w:eastAsiaTheme="minorHAnsi" w:hAnsi="Calibri" w:cs="Calibri"/>
          <w:i/>
          <w:sz w:val="22"/>
          <w:lang w:eastAsia="en-US"/>
        </w:rPr>
        <w:t xml:space="preserve">“Examples where Comcare appears deficient in better practice claims management include the lack of Customer Relationship </w:t>
      </w:r>
      <w:r w:rsidR="00A3311D">
        <w:rPr>
          <w:rFonts w:ascii="Calibri" w:eastAsiaTheme="minorHAnsi" w:hAnsi="Calibri" w:cs="Calibri"/>
          <w:i/>
          <w:sz w:val="22"/>
          <w:lang w:eastAsia="en-US"/>
        </w:rPr>
        <w:t>M</w:t>
      </w:r>
      <w:r w:rsidRPr="004102BE">
        <w:rPr>
          <w:rFonts w:ascii="Calibri" w:eastAsiaTheme="minorHAnsi" w:hAnsi="Calibri" w:cs="Calibri"/>
          <w:i/>
          <w:sz w:val="22"/>
          <w:lang w:eastAsia="en-US"/>
        </w:rPr>
        <w:t xml:space="preserve">anagement approach to its key employer clients, the lack of follow up on claimants’ experience and the lack of the use of clinical panels...” </w:t>
      </w:r>
    </w:p>
    <w:p w:rsidR="004102BE" w:rsidRPr="004102BE" w:rsidRDefault="004102BE" w:rsidP="004102BE">
      <w:pPr>
        <w:numPr>
          <w:ilvl w:val="1"/>
          <w:numId w:val="31"/>
        </w:numPr>
        <w:spacing w:after="120"/>
        <w:ind w:left="709" w:hanging="709"/>
        <w:rPr>
          <w:rFonts w:asciiTheme="minorHAnsi" w:eastAsiaTheme="minorHAnsi" w:hAnsiTheme="minorHAnsi" w:cstheme="minorHAnsi"/>
          <w:sz w:val="22"/>
          <w:szCs w:val="22"/>
          <w:lang w:eastAsia="en-US"/>
        </w:rPr>
      </w:pPr>
      <w:r w:rsidRPr="004102BE">
        <w:rPr>
          <w:rFonts w:ascii="Calibri" w:eastAsiaTheme="minorHAnsi" w:hAnsi="Calibri" w:cs="Calibri"/>
          <w:sz w:val="22"/>
          <w:lang w:eastAsia="en-US"/>
        </w:rPr>
        <w:t>Ernst and Young’s recommendations to Comcare aimed at improving its claims management outcomes focussed on the following key themes:</w:t>
      </w:r>
      <w:r w:rsidRPr="004102BE">
        <w:rPr>
          <w:rFonts w:asciiTheme="minorHAnsi" w:eastAsiaTheme="majorEastAsia" w:hAnsiTheme="minorHAnsi" w:cstheme="minorHAnsi"/>
          <w:sz w:val="22"/>
          <w:szCs w:val="22"/>
          <w:vertAlign w:val="superscript"/>
          <w:lang w:eastAsia="en-US"/>
        </w:rPr>
        <w:footnoteReference w:id="36"/>
      </w:r>
    </w:p>
    <w:p w:rsidR="004102BE" w:rsidRPr="004102BE" w:rsidRDefault="004102BE" w:rsidP="004102BE">
      <w:pPr>
        <w:numPr>
          <w:ilvl w:val="0"/>
          <w:numId w:val="24"/>
        </w:numPr>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early intervention;</w:t>
      </w:r>
    </w:p>
    <w:p w:rsidR="004102BE" w:rsidRPr="004102BE" w:rsidRDefault="004102BE" w:rsidP="004102BE">
      <w:pPr>
        <w:numPr>
          <w:ilvl w:val="0"/>
          <w:numId w:val="24"/>
        </w:numPr>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manageable caseloads;</w:t>
      </w:r>
    </w:p>
    <w:p w:rsidR="004102BE" w:rsidRPr="004102BE" w:rsidRDefault="004102BE" w:rsidP="004102BE">
      <w:pPr>
        <w:numPr>
          <w:ilvl w:val="0"/>
          <w:numId w:val="24"/>
        </w:numPr>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effective claims management strategies;</w:t>
      </w:r>
    </w:p>
    <w:p w:rsidR="004102BE" w:rsidRPr="004102BE" w:rsidRDefault="004102BE" w:rsidP="004102BE">
      <w:pPr>
        <w:numPr>
          <w:ilvl w:val="0"/>
          <w:numId w:val="24"/>
        </w:numPr>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strong customer service;</w:t>
      </w:r>
    </w:p>
    <w:p w:rsidR="004102BE" w:rsidRPr="004102BE" w:rsidRDefault="004102BE" w:rsidP="004102BE">
      <w:pPr>
        <w:numPr>
          <w:ilvl w:val="0"/>
          <w:numId w:val="24"/>
        </w:numPr>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strong leadership;</w:t>
      </w:r>
    </w:p>
    <w:p w:rsidR="004102BE" w:rsidRPr="004102BE" w:rsidRDefault="004102BE" w:rsidP="004102BE">
      <w:pPr>
        <w:numPr>
          <w:ilvl w:val="0"/>
          <w:numId w:val="24"/>
        </w:numPr>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lastRenderedPageBreak/>
        <w:t>structure;</w:t>
      </w:r>
    </w:p>
    <w:p w:rsidR="004102BE" w:rsidRPr="004102BE" w:rsidRDefault="004102BE" w:rsidP="004102BE">
      <w:pPr>
        <w:numPr>
          <w:ilvl w:val="0"/>
          <w:numId w:val="24"/>
        </w:numPr>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resource base and expertise; and</w:t>
      </w:r>
    </w:p>
    <w:p w:rsidR="004102BE" w:rsidRPr="004102BE" w:rsidRDefault="004102BE" w:rsidP="004102BE">
      <w:pPr>
        <w:numPr>
          <w:ilvl w:val="0"/>
          <w:numId w:val="24"/>
        </w:numPr>
        <w:spacing w:after="120"/>
        <w:ind w:left="1134" w:hanging="425"/>
        <w:rPr>
          <w:rFonts w:ascii="Calibri" w:eastAsiaTheme="minorHAnsi" w:hAnsi="Calibri" w:cs="Calibri"/>
          <w:sz w:val="22"/>
          <w:lang w:eastAsia="en-US"/>
        </w:rPr>
      </w:pPr>
      <w:proofErr w:type="gramStart"/>
      <w:r w:rsidRPr="004102BE">
        <w:rPr>
          <w:rFonts w:ascii="Calibri" w:eastAsiaTheme="minorHAnsi" w:hAnsi="Calibri" w:cs="Calibri"/>
          <w:sz w:val="22"/>
          <w:lang w:eastAsia="en-US"/>
        </w:rPr>
        <w:t>continuous</w:t>
      </w:r>
      <w:proofErr w:type="gramEnd"/>
      <w:r w:rsidRPr="004102BE">
        <w:rPr>
          <w:rFonts w:ascii="Calibri" w:eastAsiaTheme="minorHAnsi" w:hAnsi="Calibri" w:cs="Calibri"/>
          <w:sz w:val="22"/>
          <w:lang w:eastAsia="en-US"/>
        </w:rPr>
        <w:t xml:space="preserve"> improvement.</w:t>
      </w:r>
    </w:p>
    <w:p w:rsidR="004102BE" w:rsidRPr="000D7C1C" w:rsidRDefault="004102BE" w:rsidP="004102BE">
      <w:pPr>
        <w:numPr>
          <w:ilvl w:val="1"/>
          <w:numId w:val="31"/>
        </w:numPr>
        <w:spacing w:after="120"/>
        <w:ind w:left="709" w:hanging="709"/>
        <w:rPr>
          <w:rFonts w:asciiTheme="minorHAnsi" w:eastAsiaTheme="minorHAnsi" w:hAnsiTheme="minorHAnsi" w:cstheme="minorHAnsi"/>
          <w:sz w:val="22"/>
          <w:szCs w:val="22"/>
          <w:lang w:eastAsia="en-US"/>
        </w:rPr>
      </w:pPr>
      <w:r w:rsidRPr="004102BE">
        <w:rPr>
          <w:rFonts w:ascii="Calibri" w:eastAsiaTheme="minorHAnsi" w:hAnsi="Calibri" w:cs="Calibri"/>
          <w:sz w:val="22"/>
          <w:lang w:eastAsia="en-US"/>
        </w:rPr>
        <w:t xml:space="preserve">Comcare responded to this report in July 2010, </w:t>
      </w:r>
      <w:r w:rsidR="00314E1B">
        <w:rPr>
          <w:rFonts w:ascii="Calibri" w:eastAsiaTheme="minorHAnsi" w:hAnsi="Calibri" w:cs="Calibri"/>
          <w:sz w:val="22"/>
          <w:lang w:eastAsia="en-US"/>
        </w:rPr>
        <w:t>restructuring</w:t>
      </w:r>
      <w:r w:rsidRPr="004102BE">
        <w:rPr>
          <w:rFonts w:ascii="Calibri" w:eastAsiaTheme="minorHAnsi" w:hAnsi="Calibri" w:cs="Calibri"/>
          <w:sz w:val="22"/>
          <w:lang w:eastAsia="en-US"/>
        </w:rPr>
        <w:t xml:space="preserve"> its claims management team into a Recovery and Support Services Group (RSSG),comprising:</w:t>
      </w:r>
    </w:p>
    <w:p w:rsidR="00744A57" w:rsidRDefault="00744A57" w:rsidP="000D7C1C">
      <w:pPr>
        <w:spacing w:after="120"/>
        <w:ind w:left="709"/>
        <w:rPr>
          <w:rFonts w:asciiTheme="minorHAnsi" w:eastAsiaTheme="minorHAnsi" w:hAnsiTheme="minorHAnsi" w:cstheme="minorHAnsi"/>
          <w:sz w:val="22"/>
          <w:szCs w:val="22"/>
          <w:lang w:eastAsia="en-US"/>
        </w:rPr>
      </w:pPr>
    </w:p>
    <w:p w:rsidR="004102BE" w:rsidRPr="004102BE" w:rsidRDefault="004102BE" w:rsidP="004102BE">
      <w:pPr>
        <w:keepNext/>
        <w:keepLines/>
        <w:spacing w:after="120"/>
        <w:ind w:left="709"/>
        <w:jc w:val="center"/>
        <w:rPr>
          <w:rFonts w:ascii="Calibri" w:eastAsiaTheme="minorHAnsi" w:hAnsi="Calibri" w:cs="Calibri"/>
          <w:b/>
          <w:sz w:val="22"/>
          <w:lang w:eastAsia="en-US"/>
        </w:rPr>
      </w:pPr>
      <w:r w:rsidRPr="004102BE">
        <w:rPr>
          <w:rFonts w:ascii="Calibri" w:eastAsiaTheme="minorHAnsi" w:hAnsi="Calibri" w:cs="Calibri"/>
          <w:b/>
          <w:sz w:val="22"/>
          <w:lang w:eastAsia="en-US"/>
        </w:rPr>
        <w:lastRenderedPageBreak/>
        <w:t>Table 2.3: Recovery and Support Services Group</w:t>
      </w:r>
      <w:r w:rsidR="00314E1B">
        <w:rPr>
          <w:rFonts w:ascii="Calibri" w:eastAsiaTheme="minorHAnsi" w:hAnsi="Calibri" w:cs="Calibri"/>
          <w:b/>
          <w:sz w:val="22"/>
          <w:lang w:eastAsia="en-US"/>
        </w:rPr>
        <w:t xml:space="preserve"> (RSSG)</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1"/>
      </w:tblGrid>
      <w:tr w:rsidR="004102BE" w:rsidRPr="004102BE" w:rsidTr="0035663E">
        <w:tc>
          <w:tcPr>
            <w:tcW w:w="1701" w:type="dxa"/>
            <w:vAlign w:val="center"/>
          </w:tcPr>
          <w:p w:rsidR="004102BE" w:rsidRPr="004102BE" w:rsidRDefault="004102BE" w:rsidP="004102BE">
            <w:pPr>
              <w:keepNext/>
              <w:keepLines/>
              <w:spacing w:after="120"/>
              <w:jc w:val="center"/>
              <w:rPr>
                <w:rFonts w:ascii="Calibri" w:hAnsi="Calibri" w:cs="Calibri"/>
                <w:b/>
              </w:rPr>
            </w:pPr>
            <w:r w:rsidRPr="004102BE">
              <w:rPr>
                <w:rFonts w:ascii="Calibri" w:hAnsi="Calibri" w:cs="Calibri"/>
                <w:b/>
                <w:sz w:val="22"/>
                <w:szCs w:val="22"/>
              </w:rPr>
              <w:t>Team</w:t>
            </w:r>
          </w:p>
        </w:tc>
        <w:tc>
          <w:tcPr>
            <w:tcW w:w="7371" w:type="dxa"/>
            <w:vAlign w:val="center"/>
          </w:tcPr>
          <w:p w:rsidR="004102BE" w:rsidRPr="004102BE" w:rsidRDefault="004102BE" w:rsidP="004102BE">
            <w:pPr>
              <w:keepNext/>
              <w:keepLines/>
              <w:spacing w:after="120"/>
              <w:jc w:val="center"/>
              <w:rPr>
                <w:rFonts w:ascii="Calibri" w:hAnsi="Calibri" w:cs="Calibri"/>
                <w:b/>
              </w:rPr>
            </w:pPr>
            <w:r w:rsidRPr="004102BE">
              <w:rPr>
                <w:rFonts w:ascii="Calibri" w:hAnsi="Calibri" w:cs="Calibri"/>
                <w:b/>
                <w:sz w:val="22"/>
                <w:szCs w:val="22"/>
              </w:rPr>
              <w:t>Functions</w:t>
            </w:r>
          </w:p>
        </w:tc>
      </w:tr>
      <w:tr w:rsidR="004102BE" w:rsidRPr="004102BE" w:rsidTr="0035663E">
        <w:tc>
          <w:tcPr>
            <w:tcW w:w="1701" w:type="dxa"/>
            <w:vAlign w:val="center"/>
          </w:tcPr>
          <w:p w:rsidR="004102BE" w:rsidRPr="004102BE" w:rsidRDefault="004102BE" w:rsidP="004102BE">
            <w:pPr>
              <w:keepNext/>
              <w:keepLines/>
              <w:spacing w:after="120"/>
              <w:rPr>
                <w:rFonts w:ascii="Calibri" w:hAnsi="Calibri" w:cs="Calibri"/>
              </w:rPr>
            </w:pPr>
            <w:r w:rsidRPr="004102BE">
              <w:rPr>
                <w:rFonts w:ascii="Calibri" w:hAnsi="Calibri" w:cs="Calibri"/>
                <w:sz w:val="22"/>
                <w:szCs w:val="22"/>
              </w:rPr>
              <w:t>First Contact</w:t>
            </w:r>
          </w:p>
        </w:tc>
        <w:tc>
          <w:tcPr>
            <w:tcW w:w="7371" w:type="dxa"/>
            <w:vAlign w:val="center"/>
          </w:tcPr>
          <w:p w:rsidR="004102BE" w:rsidRPr="004102BE" w:rsidRDefault="004102BE" w:rsidP="004102BE">
            <w:pPr>
              <w:keepNext/>
              <w:keepLines/>
              <w:numPr>
                <w:ilvl w:val="1"/>
                <w:numId w:val="25"/>
              </w:numPr>
              <w:spacing w:after="120"/>
              <w:ind w:left="459"/>
              <w:rPr>
                <w:rFonts w:ascii="Calibri" w:eastAsiaTheme="minorHAnsi" w:hAnsi="Calibri" w:cs="Calibri"/>
                <w:lang w:eastAsia="en-US"/>
              </w:rPr>
            </w:pPr>
            <w:r w:rsidRPr="004102BE">
              <w:rPr>
                <w:rFonts w:ascii="Calibri" w:eastAsiaTheme="minorHAnsi" w:hAnsi="Calibri" w:cs="Calibri"/>
                <w:sz w:val="22"/>
                <w:szCs w:val="22"/>
                <w:lang w:eastAsia="en-US"/>
              </w:rPr>
              <w:t xml:space="preserve">Initial liability claim investigation and determination, and </w:t>
            </w:r>
          </w:p>
          <w:p w:rsidR="004102BE" w:rsidRPr="004102BE" w:rsidRDefault="004102BE" w:rsidP="004102BE">
            <w:pPr>
              <w:keepNext/>
              <w:keepLines/>
              <w:numPr>
                <w:ilvl w:val="1"/>
                <w:numId w:val="25"/>
              </w:numPr>
              <w:spacing w:after="120"/>
              <w:ind w:left="459"/>
              <w:rPr>
                <w:rFonts w:ascii="Calibri" w:eastAsiaTheme="minorHAnsi" w:hAnsi="Calibri" w:cs="Calibri"/>
                <w:lang w:eastAsia="en-US"/>
              </w:rPr>
            </w:pPr>
            <w:r w:rsidRPr="004102BE">
              <w:rPr>
                <w:rFonts w:ascii="Calibri" w:eastAsiaTheme="minorHAnsi" w:hAnsi="Calibri" w:cs="Calibri"/>
                <w:sz w:val="22"/>
                <w:szCs w:val="22"/>
                <w:lang w:eastAsia="en-US"/>
              </w:rPr>
              <w:t>Contact centre (all incoming 1300 phone calls to Comcare)</w:t>
            </w:r>
          </w:p>
        </w:tc>
      </w:tr>
      <w:tr w:rsidR="004102BE" w:rsidRPr="004102BE" w:rsidTr="0035663E">
        <w:tc>
          <w:tcPr>
            <w:tcW w:w="1701" w:type="dxa"/>
            <w:vAlign w:val="center"/>
          </w:tcPr>
          <w:p w:rsidR="004102BE" w:rsidRPr="004102BE" w:rsidRDefault="004102BE" w:rsidP="004102BE">
            <w:pPr>
              <w:keepNext/>
              <w:keepLines/>
              <w:spacing w:after="120"/>
              <w:rPr>
                <w:rFonts w:ascii="Calibri" w:hAnsi="Calibri" w:cs="Calibri"/>
              </w:rPr>
            </w:pPr>
            <w:r w:rsidRPr="004102BE">
              <w:rPr>
                <w:rFonts w:ascii="Calibri" w:hAnsi="Calibri" w:cs="Calibri"/>
                <w:sz w:val="22"/>
                <w:szCs w:val="22"/>
              </w:rPr>
              <w:t>Stay at Work</w:t>
            </w:r>
          </w:p>
        </w:tc>
        <w:tc>
          <w:tcPr>
            <w:tcW w:w="7371" w:type="dxa"/>
            <w:vAlign w:val="center"/>
          </w:tcPr>
          <w:p w:rsidR="004102BE" w:rsidRPr="004102BE" w:rsidRDefault="004102BE" w:rsidP="004102BE">
            <w:pPr>
              <w:keepNext/>
              <w:keepLines/>
              <w:spacing w:after="120"/>
              <w:rPr>
                <w:rFonts w:ascii="Calibri" w:hAnsi="Calibri" w:cs="Calibri"/>
              </w:rPr>
            </w:pPr>
            <w:r w:rsidRPr="004102BE">
              <w:rPr>
                <w:rFonts w:ascii="Calibri" w:hAnsi="Calibri" w:cs="Calibri"/>
                <w:sz w:val="22"/>
                <w:szCs w:val="22"/>
              </w:rPr>
              <w:t>Manage claims for injured employees who remain at work post-injury, or who have had less than 20 days off work and require minimal support to return or stay at work</w:t>
            </w:r>
          </w:p>
        </w:tc>
      </w:tr>
      <w:tr w:rsidR="004102BE" w:rsidRPr="004102BE" w:rsidTr="0035663E">
        <w:tc>
          <w:tcPr>
            <w:tcW w:w="1701" w:type="dxa"/>
            <w:vAlign w:val="center"/>
          </w:tcPr>
          <w:p w:rsidR="004102BE" w:rsidRPr="004102BE" w:rsidRDefault="004102BE" w:rsidP="004102BE">
            <w:pPr>
              <w:keepNext/>
              <w:keepLines/>
              <w:spacing w:after="120"/>
              <w:rPr>
                <w:rFonts w:ascii="Calibri" w:hAnsi="Calibri" w:cs="Calibri"/>
              </w:rPr>
            </w:pPr>
            <w:r w:rsidRPr="004102BE">
              <w:rPr>
                <w:rFonts w:ascii="Calibri" w:hAnsi="Calibri" w:cs="Calibri"/>
                <w:sz w:val="22"/>
                <w:szCs w:val="22"/>
              </w:rPr>
              <w:t>Return to Work</w:t>
            </w:r>
          </w:p>
        </w:tc>
        <w:tc>
          <w:tcPr>
            <w:tcW w:w="7371" w:type="dxa"/>
            <w:vAlign w:val="center"/>
          </w:tcPr>
          <w:p w:rsidR="004102BE" w:rsidRPr="004102BE" w:rsidRDefault="004102BE" w:rsidP="004102BE">
            <w:pPr>
              <w:keepNext/>
              <w:keepLines/>
              <w:spacing w:after="120"/>
              <w:rPr>
                <w:rFonts w:ascii="Calibri" w:hAnsi="Calibri" w:cs="Calibri"/>
              </w:rPr>
            </w:pPr>
            <w:r w:rsidRPr="004102BE">
              <w:rPr>
                <w:rFonts w:ascii="Calibri" w:hAnsi="Calibri" w:cs="Calibri"/>
                <w:sz w:val="22"/>
                <w:szCs w:val="22"/>
              </w:rPr>
              <w:t>Manage claims for injured employees who have had more than 20 days off work and require assistance to return to work</w:t>
            </w:r>
          </w:p>
        </w:tc>
      </w:tr>
      <w:tr w:rsidR="004102BE" w:rsidRPr="004102BE" w:rsidTr="0035663E">
        <w:tc>
          <w:tcPr>
            <w:tcW w:w="1701" w:type="dxa"/>
            <w:vAlign w:val="center"/>
          </w:tcPr>
          <w:p w:rsidR="004102BE" w:rsidRPr="004102BE" w:rsidRDefault="004102BE" w:rsidP="004102BE">
            <w:pPr>
              <w:keepNext/>
              <w:keepLines/>
              <w:spacing w:after="120"/>
              <w:rPr>
                <w:rFonts w:ascii="Calibri" w:hAnsi="Calibri" w:cs="Calibri"/>
              </w:rPr>
            </w:pPr>
            <w:r w:rsidRPr="004102BE">
              <w:rPr>
                <w:rFonts w:ascii="Calibri" w:hAnsi="Calibri" w:cs="Calibri"/>
                <w:sz w:val="22"/>
                <w:szCs w:val="22"/>
              </w:rPr>
              <w:t>Return to Independence</w:t>
            </w:r>
          </w:p>
        </w:tc>
        <w:tc>
          <w:tcPr>
            <w:tcW w:w="7371" w:type="dxa"/>
            <w:vAlign w:val="center"/>
          </w:tcPr>
          <w:p w:rsidR="004102BE" w:rsidRPr="004102BE" w:rsidRDefault="004102BE" w:rsidP="004102BE">
            <w:pPr>
              <w:keepNext/>
              <w:keepLines/>
              <w:spacing w:after="120"/>
              <w:rPr>
                <w:rFonts w:ascii="Calibri" w:hAnsi="Calibri" w:cs="Calibri"/>
              </w:rPr>
            </w:pPr>
            <w:r w:rsidRPr="004102BE">
              <w:rPr>
                <w:rFonts w:ascii="Calibri" w:hAnsi="Calibri" w:cs="Calibri"/>
                <w:sz w:val="22"/>
                <w:szCs w:val="22"/>
              </w:rPr>
              <w:t>Manage claims for injured employees who are unable or unlikely to return to employment or who require significant rehabilitation before they can return to work</w:t>
            </w:r>
          </w:p>
        </w:tc>
      </w:tr>
      <w:tr w:rsidR="004102BE" w:rsidRPr="004102BE" w:rsidTr="0035663E">
        <w:tc>
          <w:tcPr>
            <w:tcW w:w="1701" w:type="dxa"/>
            <w:vAlign w:val="center"/>
          </w:tcPr>
          <w:p w:rsidR="004102BE" w:rsidRPr="004102BE" w:rsidRDefault="004102BE" w:rsidP="004102BE">
            <w:pPr>
              <w:keepNext/>
              <w:keepLines/>
              <w:spacing w:after="120"/>
              <w:rPr>
                <w:rFonts w:ascii="Calibri" w:hAnsi="Calibri" w:cs="Calibri"/>
              </w:rPr>
            </w:pPr>
            <w:r w:rsidRPr="004102BE">
              <w:rPr>
                <w:rFonts w:ascii="Calibri" w:hAnsi="Calibri" w:cs="Calibri"/>
                <w:sz w:val="22"/>
                <w:szCs w:val="22"/>
              </w:rPr>
              <w:t>Asbestos and Lump Sum</w:t>
            </w:r>
          </w:p>
        </w:tc>
        <w:tc>
          <w:tcPr>
            <w:tcW w:w="7371" w:type="dxa"/>
            <w:vAlign w:val="center"/>
          </w:tcPr>
          <w:p w:rsidR="004102BE" w:rsidRPr="004102BE" w:rsidRDefault="004102BE" w:rsidP="004102BE">
            <w:pPr>
              <w:keepNext/>
              <w:keepLines/>
              <w:spacing w:after="120"/>
              <w:rPr>
                <w:rFonts w:ascii="Calibri" w:hAnsi="Calibri" w:cs="Calibri"/>
              </w:rPr>
            </w:pPr>
            <w:r w:rsidRPr="004102BE">
              <w:rPr>
                <w:rFonts w:ascii="Calibri" w:hAnsi="Calibri" w:cs="Calibri"/>
                <w:sz w:val="22"/>
                <w:szCs w:val="22"/>
              </w:rPr>
              <w:t>Manage claims for permanent impairments, death benefits, third party recoveries, common law asbestos claims and Comcare staff claims</w:t>
            </w:r>
          </w:p>
        </w:tc>
      </w:tr>
      <w:tr w:rsidR="004102BE" w:rsidRPr="004102BE" w:rsidTr="0035663E">
        <w:tc>
          <w:tcPr>
            <w:tcW w:w="1701" w:type="dxa"/>
            <w:vAlign w:val="center"/>
          </w:tcPr>
          <w:p w:rsidR="004102BE" w:rsidRPr="004102BE" w:rsidRDefault="004102BE" w:rsidP="004102BE">
            <w:pPr>
              <w:keepNext/>
              <w:keepLines/>
              <w:spacing w:after="120"/>
              <w:rPr>
                <w:rFonts w:ascii="Calibri" w:hAnsi="Calibri" w:cs="Calibri"/>
              </w:rPr>
            </w:pPr>
            <w:r w:rsidRPr="004102BE">
              <w:rPr>
                <w:rFonts w:ascii="Calibri" w:hAnsi="Calibri" w:cs="Calibri"/>
                <w:sz w:val="22"/>
                <w:szCs w:val="22"/>
              </w:rPr>
              <w:t>Health Services</w:t>
            </w:r>
          </w:p>
        </w:tc>
        <w:tc>
          <w:tcPr>
            <w:tcW w:w="7371" w:type="dxa"/>
            <w:vAlign w:val="center"/>
          </w:tcPr>
          <w:p w:rsidR="004102BE" w:rsidRPr="004102BE" w:rsidRDefault="004102BE" w:rsidP="004102BE">
            <w:pPr>
              <w:keepNext/>
              <w:keepLines/>
              <w:numPr>
                <w:ilvl w:val="1"/>
                <w:numId w:val="25"/>
              </w:numPr>
              <w:spacing w:after="120"/>
              <w:ind w:left="459"/>
              <w:rPr>
                <w:rFonts w:ascii="Calibri" w:eastAsiaTheme="minorHAnsi" w:hAnsi="Calibri" w:cs="Calibri"/>
                <w:lang w:eastAsia="en-US"/>
              </w:rPr>
            </w:pPr>
            <w:r w:rsidRPr="004102BE">
              <w:rPr>
                <w:rFonts w:ascii="Calibri" w:eastAsiaTheme="minorHAnsi" w:hAnsi="Calibri" w:cs="Calibri"/>
                <w:sz w:val="22"/>
                <w:szCs w:val="22"/>
                <w:lang w:eastAsia="en-US"/>
              </w:rPr>
              <w:t>Implementing and managing the Clinical Panel</w:t>
            </w:r>
          </w:p>
          <w:p w:rsidR="004102BE" w:rsidRPr="004102BE" w:rsidRDefault="004102BE" w:rsidP="004102BE">
            <w:pPr>
              <w:keepNext/>
              <w:keepLines/>
              <w:numPr>
                <w:ilvl w:val="1"/>
                <w:numId w:val="25"/>
              </w:numPr>
              <w:spacing w:after="120"/>
              <w:ind w:left="459"/>
              <w:rPr>
                <w:rFonts w:ascii="Calibri" w:eastAsiaTheme="minorHAnsi" w:hAnsi="Calibri" w:cs="Calibri"/>
                <w:lang w:eastAsia="en-US"/>
              </w:rPr>
            </w:pPr>
            <w:r w:rsidRPr="004102BE">
              <w:rPr>
                <w:rFonts w:ascii="Calibri" w:eastAsiaTheme="minorHAnsi" w:hAnsi="Calibri" w:cs="Calibri"/>
                <w:sz w:val="22"/>
                <w:szCs w:val="22"/>
                <w:lang w:eastAsia="en-US"/>
              </w:rPr>
              <w:t>Liaising with Health Care professionals on claims related issues</w:t>
            </w:r>
          </w:p>
          <w:p w:rsidR="004102BE" w:rsidRPr="004102BE" w:rsidRDefault="004102BE" w:rsidP="004102BE">
            <w:pPr>
              <w:keepNext/>
              <w:keepLines/>
              <w:numPr>
                <w:ilvl w:val="1"/>
                <w:numId w:val="25"/>
              </w:numPr>
              <w:spacing w:after="120"/>
              <w:ind w:left="459"/>
              <w:rPr>
                <w:rFonts w:ascii="Calibri" w:eastAsiaTheme="minorHAnsi" w:hAnsi="Calibri" w:cs="Calibri"/>
                <w:lang w:eastAsia="en-US"/>
              </w:rPr>
            </w:pPr>
            <w:r w:rsidRPr="004102BE">
              <w:rPr>
                <w:rFonts w:ascii="Calibri" w:eastAsiaTheme="minorHAnsi" w:hAnsi="Calibri" w:cs="Calibri"/>
                <w:sz w:val="22"/>
                <w:szCs w:val="22"/>
                <w:lang w:eastAsia="en-US"/>
              </w:rPr>
              <w:t>Reviewing claims for medical treatment</w:t>
            </w:r>
          </w:p>
          <w:p w:rsidR="004102BE" w:rsidRPr="004102BE" w:rsidRDefault="004102BE" w:rsidP="004102BE">
            <w:pPr>
              <w:keepNext/>
              <w:keepLines/>
              <w:numPr>
                <w:ilvl w:val="1"/>
                <w:numId w:val="25"/>
              </w:numPr>
              <w:spacing w:after="120"/>
              <w:ind w:left="459"/>
              <w:rPr>
                <w:rFonts w:ascii="Calibri" w:eastAsiaTheme="minorHAnsi" w:hAnsi="Calibri" w:cs="Calibri"/>
                <w:lang w:eastAsia="en-US"/>
              </w:rPr>
            </w:pPr>
            <w:r w:rsidRPr="004102BE">
              <w:rPr>
                <w:rFonts w:ascii="Calibri" w:eastAsiaTheme="minorHAnsi" w:hAnsi="Calibri" w:cs="Calibri"/>
                <w:sz w:val="22"/>
                <w:szCs w:val="22"/>
                <w:lang w:eastAsia="en-US"/>
              </w:rPr>
              <w:t>Implementing and supporting medical policy</w:t>
            </w:r>
          </w:p>
          <w:p w:rsidR="004102BE" w:rsidRPr="004102BE" w:rsidRDefault="004102BE" w:rsidP="004102BE">
            <w:pPr>
              <w:keepNext/>
              <w:keepLines/>
              <w:numPr>
                <w:ilvl w:val="1"/>
                <w:numId w:val="25"/>
              </w:numPr>
              <w:spacing w:after="120"/>
              <w:ind w:left="459"/>
              <w:rPr>
                <w:rFonts w:ascii="Calibri" w:eastAsiaTheme="minorHAnsi" w:hAnsi="Calibri" w:cs="Calibri"/>
                <w:lang w:eastAsia="en-US"/>
              </w:rPr>
            </w:pPr>
            <w:r w:rsidRPr="004102BE">
              <w:rPr>
                <w:rFonts w:ascii="Calibri" w:eastAsiaTheme="minorHAnsi" w:hAnsi="Calibri" w:cs="Calibri"/>
                <w:sz w:val="22"/>
                <w:szCs w:val="22"/>
                <w:lang w:eastAsia="en-US"/>
              </w:rPr>
              <w:t>Providing rehabilitation support and advice internally and externally</w:t>
            </w:r>
          </w:p>
        </w:tc>
      </w:tr>
      <w:tr w:rsidR="004102BE" w:rsidRPr="004102BE" w:rsidTr="0035663E">
        <w:tc>
          <w:tcPr>
            <w:tcW w:w="1701" w:type="dxa"/>
            <w:vAlign w:val="center"/>
          </w:tcPr>
          <w:p w:rsidR="004102BE" w:rsidRPr="004102BE" w:rsidRDefault="004102BE" w:rsidP="004102BE">
            <w:pPr>
              <w:keepNext/>
              <w:keepLines/>
              <w:spacing w:after="120"/>
              <w:rPr>
                <w:rFonts w:ascii="Calibri" w:hAnsi="Calibri" w:cs="Calibri"/>
              </w:rPr>
            </w:pPr>
            <w:r w:rsidRPr="004102BE">
              <w:rPr>
                <w:rFonts w:ascii="Calibri" w:hAnsi="Calibri" w:cs="Calibri"/>
                <w:sz w:val="22"/>
                <w:szCs w:val="22"/>
              </w:rPr>
              <w:t>Compensation Delivery Support</w:t>
            </w:r>
          </w:p>
        </w:tc>
        <w:tc>
          <w:tcPr>
            <w:tcW w:w="7371" w:type="dxa"/>
            <w:vAlign w:val="center"/>
          </w:tcPr>
          <w:p w:rsidR="004102BE" w:rsidRPr="004102BE" w:rsidRDefault="004102BE" w:rsidP="004102BE">
            <w:pPr>
              <w:keepNext/>
              <w:keepLines/>
              <w:numPr>
                <w:ilvl w:val="1"/>
                <w:numId w:val="25"/>
              </w:numPr>
              <w:spacing w:after="120"/>
              <w:ind w:left="459"/>
              <w:rPr>
                <w:rFonts w:ascii="Calibri" w:eastAsiaTheme="minorHAnsi" w:hAnsi="Calibri" w:cs="Calibri"/>
                <w:lang w:eastAsia="en-US"/>
              </w:rPr>
            </w:pPr>
            <w:r w:rsidRPr="004102BE">
              <w:rPr>
                <w:rFonts w:ascii="Calibri" w:eastAsiaTheme="minorHAnsi" w:hAnsi="Calibri" w:cs="Calibri"/>
                <w:sz w:val="22"/>
                <w:szCs w:val="22"/>
                <w:lang w:eastAsia="en-US"/>
              </w:rPr>
              <w:t>Providing internal and external operational policy advice</w:t>
            </w:r>
          </w:p>
          <w:p w:rsidR="004102BE" w:rsidRPr="004102BE" w:rsidRDefault="004102BE" w:rsidP="004102BE">
            <w:pPr>
              <w:keepNext/>
              <w:keepLines/>
              <w:numPr>
                <w:ilvl w:val="1"/>
                <w:numId w:val="25"/>
              </w:numPr>
              <w:spacing w:after="120"/>
              <w:ind w:left="459"/>
              <w:rPr>
                <w:rFonts w:ascii="Calibri" w:eastAsiaTheme="minorHAnsi" w:hAnsi="Calibri" w:cs="Calibri"/>
                <w:lang w:eastAsia="en-US"/>
              </w:rPr>
            </w:pPr>
            <w:r w:rsidRPr="004102BE">
              <w:rPr>
                <w:rFonts w:ascii="Calibri" w:eastAsiaTheme="minorHAnsi" w:hAnsi="Calibri" w:cs="Calibri"/>
                <w:sz w:val="22"/>
                <w:szCs w:val="22"/>
                <w:lang w:eastAsia="en-US"/>
              </w:rPr>
              <w:t>Formulating operational policy</w:t>
            </w:r>
          </w:p>
          <w:p w:rsidR="004102BE" w:rsidRPr="004102BE" w:rsidRDefault="004102BE" w:rsidP="004102BE">
            <w:pPr>
              <w:keepNext/>
              <w:keepLines/>
              <w:numPr>
                <w:ilvl w:val="1"/>
                <w:numId w:val="25"/>
              </w:numPr>
              <w:spacing w:after="120"/>
              <w:ind w:left="459"/>
              <w:rPr>
                <w:rFonts w:ascii="Calibri" w:eastAsiaTheme="minorHAnsi" w:hAnsi="Calibri" w:cs="Calibri"/>
                <w:lang w:eastAsia="en-US"/>
              </w:rPr>
            </w:pPr>
            <w:r w:rsidRPr="004102BE">
              <w:rPr>
                <w:rFonts w:ascii="Calibri" w:eastAsiaTheme="minorHAnsi" w:hAnsi="Calibri" w:cs="Calibri"/>
                <w:sz w:val="22"/>
                <w:szCs w:val="22"/>
                <w:lang w:eastAsia="en-US"/>
              </w:rPr>
              <w:t>Drafting, reviewing, maintaining operational materials (standard letters, Claims Policy and Procedures Manual, electronic Claims Policy Manual</w:t>
            </w:r>
            <w:r w:rsidR="00A3311D">
              <w:rPr>
                <w:rFonts w:ascii="Calibri" w:eastAsiaTheme="minorHAnsi" w:hAnsi="Calibri" w:cs="Calibri"/>
                <w:sz w:val="22"/>
                <w:szCs w:val="22"/>
                <w:lang w:eastAsia="en-US"/>
              </w:rPr>
              <w:t>)</w:t>
            </w:r>
          </w:p>
          <w:p w:rsidR="004102BE" w:rsidRPr="004102BE" w:rsidRDefault="004102BE" w:rsidP="004102BE">
            <w:pPr>
              <w:keepNext/>
              <w:keepLines/>
              <w:numPr>
                <w:ilvl w:val="1"/>
                <w:numId w:val="25"/>
              </w:numPr>
              <w:spacing w:after="120"/>
              <w:ind w:left="459"/>
              <w:rPr>
                <w:rFonts w:ascii="Calibri" w:eastAsiaTheme="minorHAnsi" w:hAnsi="Calibri" w:cs="Calibri"/>
                <w:lang w:eastAsia="en-US"/>
              </w:rPr>
            </w:pPr>
            <w:r w:rsidRPr="004102BE">
              <w:rPr>
                <w:rFonts w:ascii="Calibri" w:eastAsiaTheme="minorHAnsi" w:hAnsi="Calibri" w:cs="Calibri"/>
                <w:sz w:val="22"/>
                <w:szCs w:val="22"/>
                <w:lang w:eastAsia="en-US"/>
              </w:rPr>
              <w:t>Support and development of Pracsys (Comcare’s electronic claims management system)</w:t>
            </w:r>
          </w:p>
          <w:p w:rsidR="004102BE" w:rsidRPr="004102BE" w:rsidRDefault="004102BE" w:rsidP="004102BE">
            <w:pPr>
              <w:keepNext/>
              <w:keepLines/>
              <w:numPr>
                <w:ilvl w:val="1"/>
                <w:numId w:val="25"/>
              </w:numPr>
              <w:spacing w:after="120"/>
              <w:ind w:left="459"/>
              <w:rPr>
                <w:rFonts w:ascii="Calibri" w:eastAsiaTheme="minorHAnsi" w:hAnsi="Calibri" w:cs="Calibri"/>
                <w:lang w:eastAsia="en-US"/>
              </w:rPr>
            </w:pPr>
            <w:r w:rsidRPr="004102BE">
              <w:rPr>
                <w:rFonts w:ascii="Calibri" w:eastAsiaTheme="minorHAnsi" w:hAnsi="Calibri" w:cs="Calibri"/>
                <w:sz w:val="22"/>
                <w:szCs w:val="22"/>
                <w:lang w:eastAsia="en-US"/>
              </w:rPr>
              <w:t>Operational reporting</w:t>
            </w:r>
          </w:p>
          <w:p w:rsidR="004102BE" w:rsidRPr="004102BE" w:rsidRDefault="004102BE" w:rsidP="004102BE">
            <w:pPr>
              <w:keepNext/>
              <w:keepLines/>
              <w:numPr>
                <w:ilvl w:val="1"/>
                <w:numId w:val="25"/>
              </w:numPr>
              <w:spacing w:after="120"/>
              <w:ind w:left="459"/>
              <w:rPr>
                <w:rFonts w:ascii="Calibri" w:eastAsiaTheme="minorHAnsi" w:hAnsi="Calibri" w:cs="Calibri"/>
                <w:lang w:eastAsia="en-US"/>
              </w:rPr>
            </w:pPr>
            <w:r w:rsidRPr="004102BE">
              <w:rPr>
                <w:rFonts w:ascii="Calibri" w:eastAsiaTheme="minorHAnsi" w:hAnsi="Calibri" w:cs="Calibri"/>
                <w:sz w:val="22"/>
                <w:szCs w:val="22"/>
                <w:lang w:eastAsia="en-US"/>
              </w:rPr>
              <w:t>Business improvement activities (managing High Risk Trial, Developing QA Framework)</w:t>
            </w:r>
          </w:p>
        </w:tc>
      </w:tr>
      <w:tr w:rsidR="004102BE" w:rsidRPr="004102BE" w:rsidTr="0035663E">
        <w:tc>
          <w:tcPr>
            <w:tcW w:w="1701" w:type="dxa"/>
            <w:vAlign w:val="center"/>
          </w:tcPr>
          <w:p w:rsidR="004102BE" w:rsidRPr="004102BE" w:rsidRDefault="004102BE" w:rsidP="004102BE">
            <w:pPr>
              <w:keepNext/>
              <w:keepLines/>
              <w:spacing w:after="120"/>
              <w:rPr>
                <w:rFonts w:ascii="Calibri" w:hAnsi="Calibri" w:cs="Calibri"/>
              </w:rPr>
            </w:pPr>
            <w:r w:rsidRPr="004102BE">
              <w:rPr>
                <w:rFonts w:ascii="Calibri" w:hAnsi="Calibri" w:cs="Calibri"/>
                <w:sz w:val="22"/>
                <w:szCs w:val="22"/>
              </w:rPr>
              <w:t>Employer Relationship Coordination</w:t>
            </w:r>
          </w:p>
        </w:tc>
        <w:tc>
          <w:tcPr>
            <w:tcW w:w="7371" w:type="dxa"/>
            <w:vAlign w:val="center"/>
          </w:tcPr>
          <w:p w:rsidR="004102BE" w:rsidRPr="004102BE" w:rsidRDefault="004102BE" w:rsidP="004102BE">
            <w:pPr>
              <w:keepNext/>
              <w:keepLines/>
              <w:spacing w:after="120"/>
              <w:rPr>
                <w:rFonts w:ascii="Calibri" w:hAnsi="Calibri" w:cs="Calibri"/>
              </w:rPr>
            </w:pPr>
            <w:r w:rsidRPr="004102BE">
              <w:rPr>
                <w:rFonts w:ascii="Calibri" w:hAnsi="Calibri" w:cs="Calibri"/>
                <w:sz w:val="22"/>
                <w:szCs w:val="22"/>
              </w:rPr>
              <w:t>Maintain and coordinate relationships with premium paying agencies</w:t>
            </w:r>
          </w:p>
        </w:tc>
      </w:tr>
    </w:tbl>
    <w:p w:rsidR="004102BE" w:rsidRPr="004102BE" w:rsidRDefault="004102BE" w:rsidP="004102BE">
      <w:pPr>
        <w:spacing w:before="100" w:beforeAutospacing="1" w:after="100" w:line="288" w:lineRule="auto"/>
        <w:rPr>
          <w:rFonts w:ascii="Calibri" w:eastAsiaTheme="minorHAnsi" w:hAnsi="Calibri" w:cs="Calibri"/>
          <w:sz w:val="22"/>
          <w:szCs w:val="20"/>
          <w:lang w:eastAsia="en-US"/>
        </w:rPr>
      </w:pPr>
    </w:p>
    <w:p w:rsidR="004102BE" w:rsidRPr="004102BE" w:rsidRDefault="004102BE" w:rsidP="004102BE">
      <w:pPr>
        <w:keepNext/>
        <w:keepLines/>
        <w:spacing w:before="100" w:beforeAutospacing="1" w:after="100" w:afterAutospacing="1"/>
        <w:outlineLvl w:val="2"/>
        <w:rPr>
          <w:rFonts w:ascii="Arial Bold" w:eastAsiaTheme="majorEastAsia" w:hAnsi="Arial Bold" w:cs="Calibri"/>
          <w:bCs/>
          <w:caps/>
          <w:color w:val="1F497D" w:themeColor="text2"/>
          <w:sz w:val="23"/>
          <w:szCs w:val="23"/>
        </w:rPr>
      </w:pPr>
      <w:bookmarkStart w:id="521" w:name="_Toc341778024"/>
      <w:bookmarkStart w:id="522" w:name="_Toc342578397"/>
      <w:r w:rsidRPr="004102BE">
        <w:rPr>
          <w:rFonts w:ascii="Arial Bold" w:eastAsiaTheme="majorEastAsia" w:hAnsi="Arial Bold" w:cs="Calibri"/>
          <w:bCs/>
          <w:caps/>
          <w:color w:val="1F497D" w:themeColor="text2"/>
          <w:sz w:val="23"/>
          <w:szCs w:val="23"/>
        </w:rPr>
        <w:lastRenderedPageBreak/>
        <w:t>Key issues impacting recent premium scheme performance</w:t>
      </w:r>
      <w:bookmarkEnd w:id="521"/>
      <w:bookmarkEnd w:id="522"/>
    </w:p>
    <w:p w:rsidR="004102BE" w:rsidRPr="004102BE" w:rsidRDefault="004102BE" w:rsidP="004102BE">
      <w:pPr>
        <w:keepNext/>
        <w:keepLines/>
        <w:spacing w:after="120"/>
        <w:rPr>
          <w:rFonts w:ascii="Calibri" w:hAnsi="Calibri" w:cs="Calibri"/>
          <w:b/>
        </w:rPr>
      </w:pPr>
      <w:r w:rsidRPr="004102BE">
        <w:rPr>
          <w:rFonts w:ascii="Calibri" w:hAnsi="Calibri" w:cs="Calibri"/>
          <w:b/>
        </w:rPr>
        <w:t>Mental Health Claims</w:t>
      </w:r>
    </w:p>
    <w:p w:rsidR="004102BE" w:rsidRPr="004102BE" w:rsidRDefault="004102BE" w:rsidP="004102BE">
      <w:pPr>
        <w:keepNext/>
        <w:keepLines/>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 xml:space="preserve">While mental disease claims are generally covered under the SRC Act, </w:t>
      </w:r>
      <w:r w:rsidR="00920A03">
        <w:rPr>
          <w:rFonts w:ascii="Calibri" w:eastAsiaTheme="minorHAnsi" w:hAnsi="Calibri" w:cs="Calibri"/>
          <w:sz w:val="22"/>
          <w:lang w:eastAsia="en-US"/>
        </w:rPr>
        <w:t>Section</w:t>
      </w:r>
      <w:r w:rsidRPr="004102BE">
        <w:rPr>
          <w:rFonts w:ascii="Calibri" w:eastAsiaTheme="minorHAnsi" w:hAnsi="Calibri" w:cs="Calibri"/>
          <w:sz w:val="22"/>
          <w:lang w:eastAsia="en-US"/>
        </w:rPr>
        <w:t xml:space="preserve"> 5A provides that “</w:t>
      </w:r>
      <w:r w:rsidR="00573B66" w:rsidRPr="00573B66">
        <w:rPr>
          <w:rFonts w:ascii="Calibri" w:eastAsiaTheme="minorHAnsi" w:hAnsi="Calibri" w:cs="Calibri"/>
          <w:i/>
          <w:sz w:val="22"/>
          <w:lang w:eastAsia="en-US"/>
        </w:rPr>
        <w:t xml:space="preserve">an injury (including a disease) suffered as a result of reasonable administrative </w:t>
      </w:r>
      <w:r w:rsidR="00573B66" w:rsidRPr="004F4B3D">
        <w:rPr>
          <w:rFonts w:ascii="Calibri" w:eastAsiaTheme="minorHAnsi" w:hAnsi="Calibri" w:cs="Calibri"/>
          <w:i/>
          <w:sz w:val="22"/>
          <w:lang w:eastAsia="en-US"/>
        </w:rPr>
        <w:t>action, taken in a reasonable manner in respect of the employee’s employment</w:t>
      </w:r>
      <w:r w:rsidRPr="004102BE">
        <w:rPr>
          <w:rFonts w:ascii="Calibri" w:eastAsiaTheme="minorHAnsi" w:hAnsi="Calibri" w:cs="Calibri"/>
          <w:sz w:val="22"/>
          <w:lang w:eastAsia="en-US"/>
        </w:rPr>
        <w:t xml:space="preserve">” is not covered under the provisions of the SRC Act. </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 xml:space="preserve">Introduction of this exclusion in 2007 resulted in </w:t>
      </w:r>
      <w:r w:rsidR="00DE4A9A" w:rsidRPr="004102BE">
        <w:rPr>
          <w:rFonts w:ascii="Calibri" w:eastAsiaTheme="minorHAnsi" w:hAnsi="Calibri" w:cs="Calibri"/>
          <w:sz w:val="22"/>
          <w:lang w:eastAsia="en-US"/>
        </w:rPr>
        <w:t>a decline</w:t>
      </w:r>
      <w:r w:rsidRPr="004102BE">
        <w:rPr>
          <w:rFonts w:ascii="Calibri" w:eastAsiaTheme="minorHAnsi" w:hAnsi="Calibri" w:cs="Calibri"/>
          <w:sz w:val="22"/>
          <w:lang w:eastAsia="en-US"/>
        </w:rPr>
        <w:t xml:space="preserve"> in the number of mental health claims for the first few years, but this trend has reversed in recent times with the </w:t>
      </w:r>
      <w:r w:rsidR="00152CB9" w:rsidRPr="004102BE">
        <w:rPr>
          <w:rFonts w:ascii="Calibri" w:eastAsiaTheme="minorHAnsi" w:hAnsi="Calibri" w:cs="Calibri"/>
          <w:sz w:val="22"/>
          <w:lang w:eastAsia="en-US"/>
        </w:rPr>
        <w:t>number now</w:t>
      </w:r>
      <w:r w:rsidRPr="004102BE">
        <w:rPr>
          <w:rFonts w:ascii="Calibri" w:eastAsiaTheme="minorHAnsi" w:hAnsi="Calibri" w:cs="Calibri"/>
          <w:sz w:val="22"/>
          <w:lang w:eastAsia="en-US"/>
        </w:rPr>
        <w:t xml:space="preserve"> being </w:t>
      </w:r>
      <w:proofErr w:type="gramStart"/>
      <w:r w:rsidRPr="004102BE">
        <w:rPr>
          <w:rFonts w:ascii="Calibri" w:eastAsiaTheme="minorHAnsi" w:hAnsi="Calibri" w:cs="Calibri"/>
          <w:sz w:val="22"/>
          <w:lang w:eastAsia="en-US"/>
        </w:rPr>
        <w:t>accepted having</w:t>
      </w:r>
      <w:proofErr w:type="gramEnd"/>
      <w:r w:rsidRPr="004102BE">
        <w:rPr>
          <w:rFonts w:ascii="Calibri" w:eastAsiaTheme="minorHAnsi" w:hAnsi="Calibri" w:cs="Calibri"/>
          <w:sz w:val="22"/>
          <w:lang w:eastAsia="en-US"/>
        </w:rPr>
        <w:t xml:space="preserve"> increased to almost pre</w:t>
      </w:r>
      <w:r w:rsidRPr="004102BE">
        <w:rPr>
          <w:rFonts w:ascii="Calibri" w:eastAsiaTheme="minorHAnsi" w:hAnsi="Calibri" w:cs="Calibri"/>
          <w:sz w:val="22"/>
          <w:lang w:eastAsia="en-US"/>
        </w:rPr>
        <w:noBreakHyphen/>
        <w:t>2007 levels.</w:t>
      </w:r>
    </w:p>
    <w:p w:rsidR="004102BE" w:rsidRPr="004102BE" w:rsidRDefault="00DE4A9A"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The Federal</w:t>
      </w:r>
      <w:r w:rsidR="004102BE" w:rsidRPr="004102BE">
        <w:rPr>
          <w:rFonts w:ascii="Calibri" w:eastAsiaTheme="minorHAnsi" w:hAnsi="Calibri" w:cs="Calibri"/>
          <w:sz w:val="22"/>
          <w:lang w:eastAsia="en-US"/>
        </w:rPr>
        <w:t xml:space="preserve"> Court decision in </w:t>
      </w:r>
      <w:r w:rsidR="004102BE" w:rsidRPr="004102BE">
        <w:rPr>
          <w:rFonts w:ascii="Calibri" w:eastAsiaTheme="minorHAnsi" w:hAnsi="Calibri" w:cs="Calibri"/>
          <w:i/>
          <w:sz w:val="22"/>
          <w:lang w:eastAsia="en-US"/>
        </w:rPr>
        <w:t>Commonwealth Bank of Australia v Reeve</w:t>
      </w:r>
      <w:r w:rsidR="004102BE" w:rsidRPr="004102BE">
        <w:rPr>
          <w:rFonts w:asciiTheme="minorHAnsi" w:eastAsiaTheme="minorHAnsi" w:hAnsiTheme="minorHAnsi" w:cstheme="minorHAnsi"/>
          <w:sz w:val="22"/>
          <w:szCs w:val="22"/>
          <w:vertAlign w:val="superscript"/>
          <w:lang w:eastAsia="en-US"/>
        </w:rPr>
        <w:footnoteReference w:id="37"/>
      </w:r>
      <w:r w:rsidR="004102BE" w:rsidRPr="004102BE">
        <w:rPr>
          <w:rFonts w:ascii="Calibri" w:eastAsiaTheme="minorHAnsi" w:hAnsi="Calibri" w:cs="Calibri"/>
          <w:sz w:val="22"/>
          <w:lang w:eastAsia="en-US"/>
        </w:rPr>
        <w:t>provides guidance on the extent to which the exclusionary provisions can exclude liability.</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The increase in these types of claims is one of the reasons given by actuarial consultants, Taylor Fry, the actuary for Comcare, for the increase in claims outstanding liabilities.</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During the review consultation process, stakeholders expressed concern about the increase in the number of accepted mental health claims and felt that the exclusionary provisions that were introduced in 2007 were not now working as intended.</w:t>
      </w:r>
    </w:p>
    <w:p w:rsid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It was suggested by some premium payer stakeholders that Comcare has in recent times been accepting more mental health claims than had been the case in previous years. This view is not borne out by the data available on initial liability claims acceptance rates by Comcare which show that there has been little increase in the claims acceptance rates since 2008-09. In 2007-08, some 60 per cent of all disease claims were accepted, but this had increased to almost 75 per cent in 2011-12. However, if one excludes the results for 2007-08 (when the SRCOLA amendments were first introduced) the acceptance rate from 2008-09 to date has only experienced a slight percentage increase.</w:t>
      </w:r>
    </w:p>
    <w:p w:rsidR="001517AF" w:rsidRDefault="001517AF" w:rsidP="002E5856">
      <w:pPr>
        <w:spacing w:after="120"/>
        <w:jc w:val="center"/>
        <w:rPr>
          <w:rFonts w:ascii="Calibri" w:hAnsi="Calibri" w:cs="Calibri"/>
          <w:b/>
          <w:sz w:val="22"/>
          <w:szCs w:val="22"/>
        </w:rPr>
      </w:pPr>
      <w:r w:rsidRPr="002E5856">
        <w:rPr>
          <w:rFonts w:ascii="Calibri" w:hAnsi="Calibri" w:cs="Calibri"/>
          <w:b/>
          <w:sz w:val="22"/>
          <w:szCs w:val="22"/>
        </w:rPr>
        <w:t>Table 2.4: Initial Liability Claims Acceptance Rates</w:t>
      </w:r>
    </w:p>
    <w:tbl>
      <w:tblPr>
        <w:tblStyle w:val="TableGrid"/>
        <w:tblW w:w="9360" w:type="dxa"/>
        <w:tblLook w:val="04A0" w:firstRow="1" w:lastRow="0" w:firstColumn="1" w:lastColumn="0" w:noHBand="0" w:noVBand="1"/>
        <w:tblCaption w:val="Table 2.4: Initial Liability Claims Acceptance Rates"/>
        <w:tblDescription w:val="This graph show initial liability claims acceptance rates for the financial years 2007 to 2012 for injury and disease, where initial liability has been determined.  Figures are shown for accepted claims and rejected claims.           "/>
      </w:tblPr>
      <w:tblGrid>
        <w:gridCol w:w="1101"/>
        <w:gridCol w:w="1134"/>
        <w:gridCol w:w="717"/>
        <w:gridCol w:w="708"/>
        <w:gridCol w:w="717"/>
        <w:gridCol w:w="708"/>
        <w:gridCol w:w="717"/>
        <w:gridCol w:w="708"/>
        <w:gridCol w:w="717"/>
        <w:gridCol w:w="708"/>
        <w:gridCol w:w="717"/>
        <w:gridCol w:w="708"/>
      </w:tblGrid>
      <w:tr w:rsidR="009336BB" w:rsidTr="00F76E26">
        <w:trPr>
          <w:tblHeader/>
        </w:trPr>
        <w:tc>
          <w:tcPr>
            <w:tcW w:w="9360" w:type="dxa"/>
            <w:gridSpan w:val="12"/>
          </w:tcPr>
          <w:p w:rsidR="009336BB" w:rsidRDefault="009336BB" w:rsidP="002E5856">
            <w:pPr>
              <w:spacing w:after="120"/>
              <w:jc w:val="center"/>
              <w:rPr>
                <w:rFonts w:ascii="Arial" w:hAnsi="Arial" w:cs="Arial"/>
                <w:b/>
                <w:bCs/>
                <w:sz w:val="18"/>
                <w:szCs w:val="18"/>
              </w:rPr>
            </w:pPr>
            <w:r w:rsidRPr="004102BE">
              <w:rPr>
                <w:rFonts w:ascii="Arial" w:hAnsi="Arial" w:cs="Arial"/>
                <w:b/>
                <w:bCs/>
                <w:sz w:val="18"/>
                <w:szCs w:val="18"/>
              </w:rPr>
              <w:t>Financial Year of Initial Determination</w:t>
            </w:r>
          </w:p>
          <w:p w:rsidR="00BA0C1C" w:rsidRDefault="00BA0C1C" w:rsidP="002E5856">
            <w:pPr>
              <w:spacing w:after="120"/>
              <w:jc w:val="center"/>
            </w:pPr>
          </w:p>
        </w:tc>
      </w:tr>
      <w:tr w:rsidR="009336BB" w:rsidTr="0035663E">
        <w:tc>
          <w:tcPr>
            <w:tcW w:w="1101" w:type="dxa"/>
          </w:tcPr>
          <w:p w:rsidR="009336BB" w:rsidRDefault="009336BB" w:rsidP="009336BB">
            <w:pPr>
              <w:spacing w:after="120"/>
              <w:jc w:val="center"/>
            </w:pPr>
          </w:p>
        </w:tc>
        <w:tc>
          <w:tcPr>
            <w:tcW w:w="1134" w:type="dxa"/>
          </w:tcPr>
          <w:p w:rsidR="009336BB" w:rsidRDefault="009336BB" w:rsidP="009336BB">
            <w:pPr>
              <w:spacing w:after="120"/>
              <w:jc w:val="center"/>
            </w:pPr>
          </w:p>
        </w:tc>
        <w:tc>
          <w:tcPr>
            <w:tcW w:w="1425" w:type="dxa"/>
            <w:gridSpan w:val="2"/>
          </w:tcPr>
          <w:p w:rsidR="009336BB" w:rsidRDefault="009336BB" w:rsidP="009336BB">
            <w:pPr>
              <w:spacing w:after="120"/>
              <w:jc w:val="center"/>
            </w:pPr>
            <w:r w:rsidRPr="004102BE">
              <w:rPr>
                <w:rFonts w:ascii="Arial" w:hAnsi="Arial" w:cs="Arial"/>
                <w:b/>
                <w:bCs/>
                <w:sz w:val="18"/>
                <w:szCs w:val="18"/>
              </w:rPr>
              <w:t>2007–08</w:t>
            </w:r>
          </w:p>
        </w:tc>
        <w:tc>
          <w:tcPr>
            <w:tcW w:w="1425" w:type="dxa"/>
            <w:gridSpan w:val="2"/>
          </w:tcPr>
          <w:p w:rsidR="009336BB" w:rsidRDefault="009336BB" w:rsidP="009336BB">
            <w:pPr>
              <w:spacing w:after="120"/>
              <w:jc w:val="center"/>
            </w:pPr>
            <w:r w:rsidRPr="004102BE">
              <w:rPr>
                <w:rFonts w:ascii="Arial" w:hAnsi="Arial" w:cs="Arial"/>
                <w:b/>
                <w:bCs/>
                <w:sz w:val="18"/>
                <w:szCs w:val="18"/>
              </w:rPr>
              <w:t>2008–09</w:t>
            </w:r>
          </w:p>
        </w:tc>
        <w:tc>
          <w:tcPr>
            <w:tcW w:w="1425" w:type="dxa"/>
            <w:gridSpan w:val="2"/>
          </w:tcPr>
          <w:p w:rsidR="009336BB" w:rsidRDefault="009336BB" w:rsidP="009336BB">
            <w:pPr>
              <w:spacing w:after="120"/>
              <w:jc w:val="center"/>
            </w:pPr>
            <w:r w:rsidRPr="004102BE">
              <w:rPr>
                <w:rFonts w:ascii="Arial" w:hAnsi="Arial" w:cs="Arial"/>
                <w:b/>
                <w:bCs/>
                <w:sz w:val="18"/>
                <w:szCs w:val="18"/>
              </w:rPr>
              <w:t>2009–10</w:t>
            </w:r>
          </w:p>
        </w:tc>
        <w:tc>
          <w:tcPr>
            <w:tcW w:w="1425" w:type="dxa"/>
            <w:gridSpan w:val="2"/>
          </w:tcPr>
          <w:p w:rsidR="009336BB" w:rsidRDefault="009336BB" w:rsidP="009336BB">
            <w:pPr>
              <w:spacing w:after="120"/>
              <w:jc w:val="center"/>
            </w:pPr>
            <w:r w:rsidRPr="004102BE">
              <w:rPr>
                <w:rFonts w:ascii="Arial" w:hAnsi="Arial" w:cs="Arial"/>
                <w:b/>
                <w:bCs/>
                <w:sz w:val="18"/>
                <w:szCs w:val="18"/>
              </w:rPr>
              <w:t>2010–11</w:t>
            </w:r>
          </w:p>
        </w:tc>
        <w:tc>
          <w:tcPr>
            <w:tcW w:w="1425" w:type="dxa"/>
            <w:gridSpan w:val="2"/>
          </w:tcPr>
          <w:p w:rsidR="009336BB" w:rsidRDefault="009336BB" w:rsidP="009336BB">
            <w:pPr>
              <w:spacing w:after="120"/>
              <w:jc w:val="center"/>
            </w:pPr>
            <w:r w:rsidRPr="004102BE">
              <w:rPr>
                <w:rFonts w:ascii="Arial" w:hAnsi="Arial" w:cs="Arial"/>
                <w:b/>
                <w:bCs/>
                <w:sz w:val="18"/>
                <w:szCs w:val="18"/>
              </w:rPr>
              <w:t>2011–12</w:t>
            </w:r>
          </w:p>
        </w:tc>
      </w:tr>
      <w:tr w:rsidR="009336BB" w:rsidTr="0035663E">
        <w:tc>
          <w:tcPr>
            <w:tcW w:w="1101" w:type="dxa"/>
          </w:tcPr>
          <w:p w:rsidR="009336BB" w:rsidRDefault="009336BB" w:rsidP="009336BB">
            <w:pPr>
              <w:spacing w:after="120"/>
              <w:jc w:val="center"/>
            </w:pPr>
          </w:p>
        </w:tc>
        <w:tc>
          <w:tcPr>
            <w:tcW w:w="1134" w:type="dxa"/>
          </w:tcPr>
          <w:p w:rsidR="009336BB" w:rsidRDefault="009336BB" w:rsidP="009336BB">
            <w:pPr>
              <w:spacing w:after="120"/>
              <w:jc w:val="center"/>
            </w:pPr>
          </w:p>
        </w:tc>
        <w:tc>
          <w:tcPr>
            <w:tcW w:w="717" w:type="dxa"/>
          </w:tcPr>
          <w:p w:rsidR="009336BB" w:rsidRDefault="009336BB" w:rsidP="009336BB">
            <w:pPr>
              <w:spacing w:after="120"/>
              <w:jc w:val="center"/>
            </w:pPr>
            <w:r w:rsidRPr="004102BE">
              <w:rPr>
                <w:rFonts w:ascii="Arial" w:hAnsi="Arial" w:cs="Arial"/>
                <w:b/>
                <w:bCs/>
                <w:sz w:val="13"/>
                <w:szCs w:val="13"/>
              </w:rPr>
              <w:t>Injury</w:t>
            </w:r>
          </w:p>
        </w:tc>
        <w:tc>
          <w:tcPr>
            <w:tcW w:w="708" w:type="dxa"/>
          </w:tcPr>
          <w:p w:rsidR="009336BB" w:rsidRDefault="009336BB" w:rsidP="009336BB">
            <w:pPr>
              <w:spacing w:after="120"/>
              <w:jc w:val="center"/>
            </w:pPr>
            <w:r w:rsidRPr="004102BE">
              <w:rPr>
                <w:rFonts w:ascii="Arial" w:hAnsi="Arial" w:cs="Arial"/>
                <w:b/>
                <w:bCs/>
                <w:sz w:val="13"/>
                <w:szCs w:val="13"/>
              </w:rPr>
              <w:t>Disease</w:t>
            </w:r>
          </w:p>
        </w:tc>
        <w:tc>
          <w:tcPr>
            <w:tcW w:w="717" w:type="dxa"/>
          </w:tcPr>
          <w:p w:rsidR="009336BB" w:rsidRDefault="009336BB" w:rsidP="009336BB">
            <w:pPr>
              <w:spacing w:after="120"/>
              <w:jc w:val="center"/>
            </w:pPr>
            <w:r w:rsidRPr="004102BE">
              <w:rPr>
                <w:rFonts w:ascii="Arial" w:hAnsi="Arial" w:cs="Arial"/>
                <w:b/>
                <w:bCs/>
                <w:sz w:val="13"/>
                <w:szCs w:val="13"/>
              </w:rPr>
              <w:t>Injury</w:t>
            </w:r>
          </w:p>
        </w:tc>
        <w:tc>
          <w:tcPr>
            <w:tcW w:w="708" w:type="dxa"/>
          </w:tcPr>
          <w:p w:rsidR="009336BB" w:rsidRDefault="009336BB" w:rsidP="009336BB">
            <w:pPr>
              <w:spacing w:after="120"/>
              <w:jc w:val="center"/>
            </w:pPr>
            <w:r w:rsidRPr="004102BE">
              <w:rPr>
                <w:rFonts w:ascii="Arial" w:hAnsi="Arial" w:cs="Arial"/>
                <w:b/>
                <w:bCs/>
                <w:sz w:val="13"/>
                <w:szCs w:val="13"/>
              </w:rPr>
              <w:t>Disease</w:t>
            </w:r>
          </w:p>
        </w:tc>
        <w:tc>
          <w:tcPr>
            <w:tcW w:w="717" w:type="dxa"/>
          </w:tcPr>
          <w:p w:rsidR="009336BB" w:rsidRDefault="009336BB" w:rsidP="009336BB">
            <w:pPr>
              <w:spacing w:after="120"/>
              <w:jc w:val="center"/>
            </w:pPr>
            <w:r w:rsidRPr="004102BE">
              <w:rPr>
                <w:rFonts w:ascii="Arial" w:hAnsi="Arial" w:cs="Arial"/>
                <w:b/>
                <w:bCs/>
                <w:sz w:val="13"/>
                <w:szCs w:val="13"/>
              </w:rPr>
              <w:t>Injury</w:t>
            </w:r>
          </w:p>
        </w:tc>
        <w:tc>
          <w:tcPr>
            <w:tcW w:w="708" w:type="dxa"/>
          </w:tcPr>
          <w:p w:rsidR="009336BB" w:rsidRDefault="009336BB" w:rsidP="009336BB">
            <w:pPr>
              <w:spacing w:after="120"/>
              <w:jc w:val="center"/>
            </w:pPr>
            <w:r w:rsidRPr="004102BE">
              <w:rPr>
                <w:rFonts w:ascii="Arial" w:hAnsi="Arial" w:cs="Arial"/>
                <w:b/>
                <w:bCs/>
                <w:sz w:val="13"/>
                <w:szCs w:val="13"/>
              </w:rPr>
              <w:t>Disease</w:t>
            </w:r>
          </w:p>
        </w:tc>
        <w:tc>
          <w:tcPr>
            <w:tcW w:w="717" w:type="dxa"/>
          </w:tcPr>
          <w:p w:rsidR="009336BB" w:rsidRDefault="009336BB" w:rsidP="009336BB">
            <w:pPr>
              <w:spacing w:after="120"/>
              <w:jc w:val="center"/>
            </w:pPr>
            <w:r w:rsidRPr="004102BE">
              <w:rPr>
                <w:rFonts w:ascii="Arial" w:hAnsi="Arial" w:cs="Arial"/>
                <w:b/>
                <w:bCs/>
                <w:sz w:val="13"/>
                <w:szCs w:val="13"/>
              </w:rPr>
              <w:t>Injury</w:t>
            </w:r>
          </w:p>
        </w:tc>
        <w:tc>
          <w:tcPr>
            <w:tcW w:w="708" w:type="dxa"/>
          </w:tcPr>
          <w:p w:rsidR="009336BB" w:rsidRDefault="009336BB" w:rsidP="009336BB">
            <w:pPr>
              <w:spacing w:after="120"/>
              <w:jc w:val="center"/>
            </w:pPr>
            <w:r w:rsidRPr="004102BE">
              <w:rPr>
                <w:rFonts w:ascii="Arial" w:hAnsi="Arial" w:cs="Arial"/>
                <w:b/>
                <w:bCs/>
                <w:sz w:val="13"/>
                <w:szCs w:val="13"/>
              </w:rPr>
              <w:t>Disease</w:t>
            </w:r>
          </w:p>
        </w:tc>
        <w:tc>
          <w:tcPr>
            <w:tcW w:w="717" w:type="dxa"/>
          </w:tcPr>
          <w:p w:rsidR="009336BB" w:rsidRDefault="009336BB" w:rsidP="009336BB">
            <w:pPr>
              <w:spacing w:after="120"/>
              <w:jc w:val="center"/>
            </w:pPr>
            <w:r w:rsidRPr="004102BE">
              <w:rPr>
                <w:rFonts w:ascii="Arial" w:hAnsi="Arial" w:cs="Arial"/>
                <w:b/>
                <w:bCs/>
                <w:sz w:val="13"/>
                <w:szCs w:val="13"/>
              </w:rPr>
              <w:t>Injury</w:t>
            </w:r>
          </w:p>
        </w:tc>
        <w:tc>
          <w:tcPr>
            <w:tcW w:w="708" w:type="dxa"/>
          </w:tcPr>
          <w:p w:rsidR="009336BB" w:rsidRDefault="009336BB" w:rsidP="009336BB">
            <w:pPr>
              <w:spacing w:after="120"/>
              <w:jc w:val="center"/>
            </w:pPr>
            <w:r w:rsidRPr="004102BE">
              <w:rPr>
                <w:rFonts w:ascii="Arial" w:hAnsi="Arial" w:cs="Arial"/>
                <w:b/>
                <w:bCs/>
                <w:sz w:val="13"/>
                <w:szCs w:val="13"/>
              </w:rPr>
              <w:t>Disease</w:t>
            </w:r>
          </w:p>
        </w:tc>
      </w:tr>
      <w:tr w:rsidR="009336BB" w:rsidTr="0035663E">
        <w:tc>
          <w:tcPr>
            <w:tcW w:w="1101" w:type="dxa"/>
            <w:vMerge w:val="restart"/>
          </w:tcPr>
          <w:p w:rsidR="009336BB" w:rsidRDefault="009336BB" w:rsidP="009336BB">
            <w:pPr>
              <w:spacing w:after="120"/>
              <w:jc w:val="center"/>
            </w:pPr>
            <w:r w:rsidRPr="004102BE">
              <w:rPr>
                <w:rFonts w:ascii="Arial" w:hAnsi="Arial" w:cs="Arial"/>
                <w:b/>
                <w:bCs/>
                <w:sz w:val="16"/>
                <w:szCs w:val="16"/>
              </w:rPr>
              <w:t>Initial Liability Determined</w:t>
            </w:r>
          </w:p>
        </w:tc>
        <w:tc>
          <w:tcPr>
            <w:tcW w:w="1134" w:type="dxa"/>
          </w:tcPr>
          <w:p w:rsidR="009336BB" w:rsidRDefault="009336BB" w:rsidP="009336BB">
            <w:pPr>
              <w:spacing w:after="120"/>
              <w:jc w:val="center"/>
            </w:pPr>
            <w:r w:rsidRPr="004102BE">
              <w:rPr>
                <w:rFonts w:ascii="Arial" w:hAnsi="Arial" w:cs="Arial"/>
                <w:b/>
                <w:bCs/>
                <w:sz w:val="16"/>
                <w:szCs w:val="16"/>
              </w:rPr>
              <w:t>Accepted</w:t>
            </w:r>
          </w:p>
        </w:tc>
        <w:tc>
          <w:tcPr>
            <w:tcW w:w="717" w:type="dxa"/>
            <w:vAlign w:val="center"/>
          </w:tcPr>
          <w:p w:rsidR="009336BB" w:rsidRDefault="009336BB" w:rsidP="009336BB">
            <w:pPr>
              <w:spacing w:after="120"/>
              <w:jc w:val="center"/>
            </w:pPr>
            <w:r w:rsidRPr="004102BE">
              <w:rPr>
                <w:rFonts w:ascii="Arial" w:hAnsi="Arial" w:cs="Arial"/>
                <w:sz w:val="16"/>
                <w:szCs w:val="16"/>
              </w:rPr>
              <w:t>2142</w:t>
            </w:r>
          </w:p>
        </w:tc>
        <w:tc>
          <w:tcPr>
            <w:tcW w:w="708" w:type="dxa"/>
            <w:vAlign w:val="center"/>
          </w:tcPr>
          <w:p w:rsidR="009336BB" w:rsidRDefault="009336BB" w:rsidP="009336BB">
            <w:pPr>
              <w:spacing w:after="120"/>
              <w:jc w:val="center"/>
            </w:pPr>
            <w:r w:rsidRPr="002E5856">
              <w:rPr>
                <w:rFonts w:ascii="Arial" w:hAnsi="Arial" w:cs="Arial"/>
                <w:sz w:val="16"/>
                <w:szCs w:val="16"/>
              </w:rPr>
              <w:t>1082</w:t>
            </w:r>
          </w:p>
        </w:tc>
        <w:tc>
          <w:tcPr>
            <w:tcW w:w="717" w:type="dxa"/>
            <w:vAlign w:val="center"/>
          </w:tcPr>
          <w:p w:rsidR="009336BB" w:rsidRDefault="009336BB" w:rsidP="009336BB">
            <w:pPr>
              <w:spacing w:after="120"/>
              <w:jc w:val="center"/>
            </w:pPr>
            <w:r w:rsidRPr="004102BE">
              <w:rPr>
                <w:rFonts w:ascii="Arial" w:hAnsi="Arial" w:cs="Arial"/>
                <w:sz w:val="16"/>
                <w:szCs w:val="16"/>
              </w:rPr>
              <w:t>1641</w:t>
            </w:r>
          </w:p>
        </w:tc>
        <w:tc>
          <w:tcPr>
            <w:tcW w:w="708" w:type="dxa"/>
            <w:vAlign w:val="center"/>
          </w:tcPr>
          <w:p w:rsidR="009336BB" w:rsidRDefault="009336BB" w:rsidP="009336BB">
            <w:pPr>
              <w:spacing w:after="120"/>
              <w:jc w:val="center"/>
            </w:pPr>
            <w:r w:rsidRPr="004102BE">
              <w:rPr>
                <w:rFonts w:ascii="Arial" w:hAnsi="Arial" w:cs="Arial"/>
                <w:sz w:val="16"/>
                <w:szCs w:val="16"/>
              </w:rPr>
              <w:t>1517</w:t>
            </w:r>
          </w:p>
        </w:tc>
        <w:tc>
          <w:tcPr>
            <w:tcW w:w="717" w:type="dxa"/>
            <w:vAlign w:val="center"/>
          </w:tcPr>
          <w:p w:rsidR="009336BB" w:rsidRDefault="009336BB" w:rsidP="009336BB">
            <w:pPr>
              <w:spacing w:after="120"/>
              <w:jc w:val="center"/>
            </w:pPr>
            <w:r w:rsidRPr="004102BE">
              <w:rPr>
                <w:rFonts w:ascii="Arial" w:hAnsi="Arial" w:cs="Arial"/>
                <w:sz w:val="16"/>
                <w:szCs w:val="16"/>
              </w:rPr>
              <w:t>1628</w:t>
            </w:r>
          </w:p>
        </w:tc>
        <w:tc>
          <w:tcPr>
            <w:tcW w:w="708" w:type="dxa"/>
            <w:vAlign w:val="center"/>
          </w:tcPr>
          <w:p w:rsidR="009336BB" w:rsidRDefault="009336BB" w:rsidP="009336BB">
            <w:pPr>
              <w:spacing w:after="120"/>
              <w:jc w:val="center"/>
            </w:pPr>
            <w:r w:rsidRPr="004102BE">
              <w:rPr>
                <w:rFonts w:ascii="Arial" w:hAnsi="Arial" w:cs="Arial"/>
                <w:sz w:val="16"/>
                <w:szCs w:val="16"/>
              </w:rPr>
              <w:t>1439</w:t>
            </w:r>
          </w:p>
        </w:tc>
        <w:tc>
          <w:tcPr>
            <w:tcW w:w="717" w:type="dxa"/>
            <w:vAlign w:val="center"/>
          </w:tcPr>
          <w:p w:rsidR="009336BB" w:rsidRDefault="009336BB" w:rsidP="009336BB">
            <w:pPr>
              <w:spacing w:after="120"/>
              <w:jc w:val="center"/>
            </w:pPr>
            <w:r w:rsidRPr="004102BE">
              <w:rPr>
                <w:rFonts w:ascii="Arial" w:hAnsi="Arial" w:cs="Arial"/>
                <w:sz w:val="16"/>
                <w:szCs w:val="16"/>
              </w:rPr>
              <w:t>1547</w:t>
            </w:r>
          </w:p>
        </w:tc>
        <w:tc>
          <w:tcPr>
            <w:tcW w:w="708" w:type="dxa"/>
            <w:vAlign w:val="center"/>
          </w:tcPr>
          <w:p w:rsidR="009336BB" w:rsidRDefault="009336BB" w:rsidP="009336BB">
            <w:pPr>
              <w:spacing w:after="120"/>
              <w:jc w:val="center"/>
            </w:pPr>
            <w:r w:rsidRPr="004102BE">
              <w:rPr>
                <w:rFonts w:ascii="Arial" w:hAnsi="Arial" w:cs="Arial"/>
                <w:sz w:val="16"/>
                <w:szCs w:val="16"/>
              </w:rPr>
              <w:t>1768</w:t>
            </w:r>
          </w:p>
        </w:tc>
        <w:tc>
          <w:tcPr>
            <w:tcW w:w="717" w:type="dxa"/>
            <w:vAlign w:val="center"/>
          </w:tcPr>
          <w:p w:rsidR="009336BB" w:rsidRDefault="009336BB" w:rsidP="009336BB">
            <w:pPr>
              <w:spacing w:after="120"/>
              <w:jc w:val="center"/>
            </w:pPr>
            <w:r w:rsidRPr="004102BE">
              <w:rPr>
                <w:rFonts w:ascii="Arial" w:hAnsi="Arial" w:cs="Arial"/>
                <w:sz w:val="16"/>
                <w:szCs w:val="16"/>
              </w:rPr>
              <w:t>1729</w:t>
            </w:r>
          </w:p>
        </w:tc>
        <w:tc>
          <w:tcPr>
            <w:tcW w:w="708" w:type="dxa"/>
            <w:vAlign w:val="center"/>
          </w:tcPr>
          <w:p w:rsidR="009336BB" w:rsidRDefault="009336BB" w:rsidP="009336BB">
            <w:pPr>
              <w:spacing w:after="120"/>
              <w:jc w:val="center"/>
            </w:pPr>
            <w:r w:rsidRPr="004102BE">
              <w:rPr>
                <w:rFonts w:ascii="Arial" w:hAnsi="Arial" w:cs="Arial"/>
                <w:sz w:val="16"/>
                <w:szCs w:val="16"/>
              </w:rPr>
              <w:t>1503</w:t>
            </w:r>
          </w:p>
        </w:tc>
      </w:tr>
      <w:tr w:rsidR="009336BB" w:rsidTr="0035663E">
        <w:tc>
          <w:tcPr>
            <w:tcW w:w="1101" w:type="dxa"/>
            <w:vMerge/>
          </w:tcPr>
          <w:p w:rsidR="009336BB" w:rsidRDefault="009336BB" w:rsidP="009336BB">
            <w:pPr>
              <w:spacing w:after="120"/>
              <w:jc w:val="center"/>
            </w:pPr>
          </w:p>
        </w:tc>
        <w:tc>
          <w:tcPr>
            <w:tcW w:w="1134" w:type="dxa"/>
          </w:tcPr>
          <w:p w:rsidR="009336BB" w:rsidRDefault="009336BB" w:rsidP="009336BB">
            <w:pPr>
              <w:spacing w:after="120"/>
              <w:jc w:val="center"/>
            </w:pPr>
            <w:r w:rsidRPr="004102BE">
              <w:rPr>
                <w:rFonts w:ascii="Arial" w:hAnsi="Arial" w:cs="Arial"/>
                <w:b/>
                <w:bCs/>
                <w:sz w:val="16"/>
                <w:szCs w:val="16"/>
              </w:rPr>
              <w:t>Rejected</w:t>
            </w:r>
          </w:p>
        </w:tc>
        <w:tc>
          <w:tcPr>
            <w:tcW w:w="717" w:type="dxa"/>
            <w:vAlign w:val="center"/>
          </w:tcPr>
          <w:p w:rsidR="009336BB" w:rsidRDefault="009336BB" w:rsidP="009336BB">
            <w:pPr>
              <w:spacing w:after="120"/>
              <w:jc w:val="center"/>
            </w:pPr>
            <w:r w:rsidRPr="004102BE">
              <w:rPr>
                <w:rFonts w:ascii="Arial" w:hAnsi="Arial" w:cs="Arial"/>
                <w:sz w:val="16"/>
                <w:szCs w:val="16"/>
              </w:rPr>
              <w:t>398</w:t>
            </w:r>
          </w:p>
        </w:tc>
        <w:tc>
          <w:tcPr>
            <w:tcW w:w="708" w:type="dxa"/>
            <w:vAlign w:val="center"/>
          </w:tcPr>
          <w:p w:rsidR="009336BB" w:rsidRDefault="009336BB" w:rsidP="009336BB">
            <w:pPr>
              <w:spacing w:after="120"/>
              <w:jc w:val="center"/>
            </w:pPr>
            <w:r w:rsidRPr="004102BE">
              <w:rPr>
                <w:rFonts w:ascii="Arial" w:hAnsi="Arial" w:cs="Arial"/>
                <w:sz w:val="16"/>
                <w:szCs w:val="16"/>
              </w:rPr>
              <w:t>767</w:t>
            </w:r>
          </w:p>
        </w:tc>
        <w:tc>
          <w:tcPr>
            <w:tcW w:w="717" w:type="dxa"/>
            <w:vAlign w:val="center"/>
          </w:tcPr>
          <w:p w:rsidR="009336BB" w:rsidRDefault="009336BB" w:rsidP="009336BB">
            <w:pPr>
              <w:spacing w:after="120"/>
              <w:jc w:val="center"/>
            </w:pPr>
            <w:r w:rsidRPr="004102BE">
              <w:rPr>
                <w:rFonts w:ascii="Arial" w:hAnsi="Arial" w:cs="Arial"/>
                <w:sz w:val="16"/>
                <w:szCs w:val="16"/>
              </w:rPr>
              <w:t>183</w:t>
            </w:r>
          </w:p>
        </w:tc>
        <w:tc>
          <w:tcPr>
            <w:tcW w:w="708" w:type="dxa"/>
            <w:vAlign w:val="center"/>
          </w:tcPr>
          <w:p w:rsidR="009336BB" w:rsidRDefault="009336BB" w:rsidP="009336BB">
            <w:pPr>
              <w:spacing w:after="120"/>
              <w:jc w:val="center"/>
            </w:pPr>
            <w:r w:rsidRPr="004102BE">
              <w:rPr>
                <w:rFonts w:ascii="Arial" w:hAnsi="Arial" w:cs="Arial"/>
                <w:sz w:val="16"/>
                <w:szCs w:val="16"/>
              </w:rPr>
              <w:t>683</w:t>
            </w:r>
          </w:p>
        </w:tc>
        <w:tc>
          <w:tcPr>
            <w:tcW w:w="717" w:type="dxa"/>
            <w:vAlign w:val="center"/>
          </w:tcPr>
          <w:p w:rsidR="009336BB" w:rsidRDefault="009336BB" w:rsidP="009336BB">
            <w:pPr>
              <w:spacing w:after="120"/>
              <w:jc w:val="center"/>
            </w:pPr>
            <w:r w:rsidRPr="004102BE">
              <w:rPr>
                <w:rFonts w:ascii="Arial" w:hAnsi="Arial" w:cs="Arial"/>
                <w:sz w:val="16"/>
                <w:szCs w:val="16"/>
              </w:rPr>
              <w:t>162</w:t>
            </w:r>
          </w:p>
        </w:tc>
        <w:tc>
          <w:tcPr>
            <w:tcW w:w="708" w:type="dxa"/>
            <w:vAlign w:val="center"/>
          </w:tcPr>
          <w:p w:rsidR="009336BB" w:rsidRDefault="009336BB" w:rsidP="009336BB">
            <w:pPr>
              <w:spacing w:after="120"/>
              <w:jc w:val="center"/>
            </w:pPr>
            <w:r w:rsidRPr="004102BE">
              <w:rPr>
                <w:rFonts w:ascii="Arial" w:hAnsi="Arial" w:cs="Arial"/>
                <w:sz w:val="16"/>
                <w:szCs w:val="16"/>
              </w:rPr>
              <w:t>666</w:t>
            </w:r>
          </w:p>
        </w:tc>
        <w:tc>
          <w:tcPr>
            <w:tcW w:w="717" w:type="dxa"/>
            <w:vAlign w:val="center"/>
          </w:tcPr>
          <w:p w:rsidR="009336BB" w:rsidRDefault="009336BB" w:rsidP="009336BB">
            <w:pPr>
              <w:spacing w:after="120"/>
              <w:jc w:val="center"/>
            </w:pPr>
            <w:r w:rsidRPr="004102BE">
              <w:rPr>
                <w:rFonts w:ascii="Arial" w:hAnsi="Arial" w:cs="Arial"/>
                <w:sz w:val="16"/>
                <w:szCs w:val="16"/>
              </w:rPr>
              <w:t>111</w:t>
            </w:r>
          </w:p>
        </w:tc>
        <w:tc>
          <w:tcPr>
            <w:tcW w:w="708" w:type="dxa"/>
            <w:vAlign w:val="center"/>
          </w:tcPr>
          <w:p w:rsidR="009336BB" w:rsidRDefault="009336BB" w:rsidP="009336BB">
            <w:pPr>
              <w:spacing w:after="120"/>
              <w:jc w:val="center"/>
            </w:pPr>
            <w:r w:rsidRPr="004102BE">
              <w:rPr>
                <w:rFonts w:ascii="Arial" w:hAnsi="Arial" w:cs="Arial"/>
                <w:sz w:val="16"/>
                <w:szCs w:val="16"/>
              </w:rPr>
              <w:t>603</w:t>
            </w:r>
          </w:p>
        </w:tc>
        <w:tc>
          <w:tcPr>
            <w:tcW w:w="717" w:type="dxa"/>
            <w:vAlign w:val="center"/>
          </w:tcPr>
          <w:p w:rsidR="009336BB" w:rsidRDefault="009336BB" w:rsidP="009336BB">
            <w:pPr>
              <w:spacing w:after="120"/>
              <w:jc w:val="center"/>
            </w:pPr>
            <w:r w:rsidRPr="004102BE">
              <w:rPr>
                <w:rFonts w:ascii="Arial" w:hAnsi="Arial" w:cs="Arial"/>
                <w:sz w:val="16"/>
                <w:szCs w:val="16"/>
              </w:rPr>
              <w:t>118</w:t>
            </w:r>
          </w:p>
        </w:tc>
        <w:tc>
          <w:tcPr>
            <w:tcW w:w="708" w:type="dxa"/>
            <w:vAlign w:val="center"/>
          </w:tcPr>
          <w:p w:rsidR="009336BB" w:rsidRDefault="009336BB" w:rsidP="009336BB">
            <w:pPr>
              <w:spacing w:after="120"/>
              <w:jc w:val="center"/>
            </w:pPr>
            <w:r w:rsidRPr="004102BE">
              <w:rPr>
                <w:rFonts w:ascii="Arial" w:hAnsi="Arial" w:cs="Arial"/>
                <w:sz w:val="16"/>
                <w:szCs w:val="16"/>
              </w:rPr>
              <w:t>551</w:t>
            </w:r>
          </w:p>
        </w:tc>
      </w:tr>
      <w:tr w:rsidR="009336BB" w:rsidTr="0035663E">
        <w:tc>
          <w:tcPr>
            <w:tcW w:w="1101" w:type="dxa"/>
            <w:vMerge/>
          </w:tcPr>
          <w:p w:rsidR="009336BB" w:rsidRDefault="009336BB" w:rsidP="009336BB">
            <w:pPr>
              <w:spacing w:after="120"/>
              <w:jc w:val="center"/>
            </w:pPr>
          </w:p>
        </w:tc>
        <w:tc>
          <w:tcPr>
            <w:tcW w:w="1134" w:type="dxa"/>
          </w:tcPr>
          <w:p w:rsidR="009336BB" w:rsidRDefault="009336BB" w:rsidP="009336BB">
            <w:pPr>
              <w:spacing w:after="120"/>
              <w:jc w:val="center"/>
            </w:pPr>
            <w:r w:rsidRPr="004102BE">
              <w:rPr>
                <w:rFonts w:ascii="Arial" w:hAnsi="Arial" w:cs="Arial"/>
                <w:b/>
                <w:bCs/>
                <w:sz w:val="16"/>
                <w:szCs w:val="16"/>
              </w:rPr>
              <w:t>% Accepted</w:t>
            </w:r>
          </w:p>
        </w:tc>
        <w:tc>
          <w:tcPr>
            <w:tcW w:w="717" w:type="dxa"/>
            <w:vAlign w:val="center"/>
          </w:tcPr>
          <w:p w:rsidR="009336BB" w:rsidRDefault="009336BB" w:rsidP="009336BB">
            <w:pPr>
              <w:spacing w:after="120"/>
              <w:jc w:val="center"/>
            </w:pPr>
            <w:r w:rsidRPr="004102BE">
              <w:rPr>
                <w:rFonts w:ascii="Arial" w:hAnsi="Arial" w:cs="Arial"/>
                <w:sz w:val="16"/>
                <w:szCs w:val="16"/>
              </w:rPr>
              <w:t>87.8%</w:t>
            </w:r>
          </w:p>
        </w:tc>
        <w:tc>
          <w:tcPr>
            <w:tcW w:w="708" w:type="dxa"/>
            <w:vAlign w:val="center"/>
          </w:tcPr>
          <w:p w:rsidR="009336BB" w:rsidRDefault="009336BB" w:rsidP="009336BB">
            <w:pPr>
              <w:spacing w:after="120"/>
              <w:jc w:val="center"/>
            </w:pPr>
            <w:r w:rsidRPr="004102BE">
              <w:rPr>
                <w:rFonts w:ascii="Arial" w:hAnsi="Arial" w:cs="Arial"/>
                <w:sz w:val="16"/>
                <w:szCs w:val="16"/>
              </w:rPr>
              <w:t>58.5%</w:t>
            </w:r>
          </w:p>
        </w:tc>
        <w:tc>
          <w:tcPr>
            <w:tcW w:w="717" w:type="dxa"/>
            <w:vAlign w:val="center"/>
          </w:tcPr>
          <w:p w:rsidR="009336BB" w:rsidRDefault="009336BB" w:rsidP="009336BB">
            <w:pPr>
              <w:spacing w:after="120"/>
              <w:jc w:val="center"/>
            </w:pPr>
            <w:r w:rsidRPr="004102BE">
              <w:rPr>
                <w:rFonts w:ascii="Arial" w:hAnsi="Arial" w:cs="Arial"/>
                <w:sz w:val="16"/>
                <w:szCs w:val="16"/>
              </w:rPr>
              <w:t>90.0%</w:t>
            </w:r>
          </w:p>
        </w:tc>
        <w:tc>
          <w:tcPr>
            <w:tcW w:w="708" w:type="dxa"/>
            <w:vAlign w:val="center"/>
          </w:tcPr>
          <w:p w:rsidR="009336BB" w:rsidRDefault="009336BB" w:rsidP="009336BB">
            <w:pPr>
              <w:spacing w:after="120"/>
              <w:jc w:val="center"/>
            </w:pPr>
            <w:r w:rsidRPr="004102BE">
              <w:rPr>
                <w:rFonts w:ascii="Arial" w:hAnsi="Arial" w:cs="Arial"/>
                <w:sz w:val="16"/>
                <w:szCs w:val="16"/>
              </w:rPr>
              <w:t>69.0%</w:t>
            </w:r>
          </w:p>
        </w:tc>
        <w:tc>
          <w:tcPr>
            <w:tcW w:w="717" w:type="dxa"/>
            <w:vAlign w:val="center"/>
          </w:tcPr>
          <w:p w:rsidR="009336BB" w:rsidRDefault="009336BB" w:rsidP="009336BB">
            <w:pPr>
              <w:spacing w:after="120"/>
              <w:jc w:val="center"/>
            </w:pPr>
            <w:r w:rsidRPr="004102BE">
              <w:rPr>
                <w:rFonts w:ascii="Arial" w:hAnsi="Arial" w:cs="Arial"/>
                <w:sz w:val="16"/>
                <w:szCs w:val="16"/>
              </w:rPr>
              <w:t>90.9%</w:t>
            </w:r>
          </w:p>
        </w:tc>
        <w:tc>
          <w:tcPr>
            <w:tcW w:w="708" w:type="dxa"/>
            <w:vAlign w:val="center"/>
          </w:tcPr>
          <w:p w:rsidR="009336BB" w:rsidRDefault="009336BB" w:rsidP="009336BB">
            <w:pPr>
              <w:spacing w:after="120"/>
              <w:jc w:val="center"/>
            </w:pPr>
            <w:r w:rsidRPr="004102BE">
              <w:rPr>
                <w:rFonts w:ascii="Arial" w:hAnsi="Arial" w:cs="Arial"/>
                <w:sz w:val="16"/>
                <w:szCs w:val="16"/>
              </w:rPr>
              <w:t>68.4%</w:t>
            </w:r>
          </w:p>
        </w:tc>
        <w:tc>
          <w:tcPr>
            <w:tcW w:w="717" w:type="dxa"/>
            <w:vAlign w:val="center"/>
          </w:tcPr>
          <w:p w:rsidR="009336BB" w:rsidRDefault="009336BB" w:rsidP="009336BB">
            <w:pPr>
              <w:spacing w:after="120"/>
              <w:jc w:val="center"/>
            </w:pPr>
            <w:r w:rsidRPr="004102BE">
              <w:rPr>
                <w:rFonts w:ascii="Arial" w:hAnsi="Arial" w:cs="Arial"/>
                <w:sz w:val="16"/>
                <w:szCs w:val="16"/>
              </w:rPr>
              <w:t>93.3%</w:t>
            </w:r>
          </w:p>
        </w:tc>
        <w:tc>
          <w:tcPr>
            <w:tcW w:w="708" w:type="dxa"/>
            <w:vAlign w:val="center"/>
          </w:tcPr>
          <w:p w:rsidR="009336BB" w:rsidRDefault="009336BB" w:rsidP="009336BB">
            <w:pPr>
              <w:spacing w:after="120"/>
              <w:jc w:val="center"/>
            </w:pPr>
            <w:r w:rsidRPr="004102BE">
              <w:rPr>
                <w:rFonts w:ascii="Arial" w:hAnsi="Arial" w:cs="Arial"/>
                <w:sz w:val="16"/>
                <w:szCs w:val="16"/>
              </w:rPr>
              <w:t>74.6%</w:t>
            </w:r>
          </w:p>
        </w:tc>
        <w:tc>
          <w:tcPr>
            <w:tcW w:w="717" w:type="dxa"/>
            <w:vAlign w:val="center"/>
          </w:tcPr>
          <w:p w:rsidR="009336BB" w:rsidRDefault="009336BB" w:rsidP="009336BB">
            <w:pPr>
              <w:spacing w:after="120"/>
              <w:jc w:val="center"/>
            </w:pPr>
            <w:r w:rsidRPr="004102BE">
              <w:rPr>
                <w:rFonts w:ascii="Arial" w:hAnsi="Arial" w:cs="Arial"/>
                <w:sz w:val="16"/>
                <w:szCs w:val="16"/>
              </w:rPr>
              <w:t>93.6%</w:t>
            </w:r>
          </w:p>
        </w:tc>
        <w:tc>
          <w:tcPr>
            <w:tcW w:w="708" w:type="dxa"/>
            <w:vAlign w:val="center"/>
          </w:tcPr>
          <w:p w:rsidR="009336BB" w:rsidRDefault="009336BB" w:rsidP="009336BB">
            <w:pPr>
              <w:spacing w:after="120"/>
              <w:jc w:val="center"/>
            </w:pPr>
            <w:r w:rsidRPr="004102BE">
              <w:rPr>
                <w:rFonts w:ascii="Arial" w:hAnsi="Arial" w:cs="Arial"/>
                <w:sz w:val="16"/>
                <w:szCs w:val="16"/>
              </w:rPr>
              <w:t>73.2%</w:t>
            </w:r>
          </w:p>
        </w:tc>
      </w:tr>
    </w:tbl>
    <w:p w:rsidR="009336BB" w:rsidRPr="004102BE" w:rsidRDefault="009336BB" w:rsidP="009336BB">
      <w:pPr>
        <w:keepNext/>
        <w:keepLines/>
        <w:spacing w:after="200" w:line="276" w:lineRule="auto"/>
        <w:ind w:left="709"/>
        <w:contextualSpacing/>
        <w:jc w:val="right"/>
        <w:rPr>
          <w:rFonts w:asciiTheme="minorHAnsi" w:eastAsiaTheme="minorHAnsi" w:hAnsiTheme="minorHAnsi" w:cstheme="minorBidi"/>
          <w:sz w:val="20"/>
          <w:szCs w:val="20"/>
          <w:lang w:eastAsia="en-US"/>
        </w:rPr>
      </w:pPr>
      <w:r w:rsidRPr="004102BE">
        <w:rPr>
          <w:rFonts w:asciiTheme="minorHAnsi" w:eastAsiaTheme="minorHAnsi" w:hAnsiTheme="minorHAnsi" w:cstheme="minorBidi"/>
          <w:sz w:val="20"/>
          <w:szCs w:val="20"/>
          <w:lang w:eastAsia="en-US"/>
        </w:rPr>
        <w:t>Source: Comcare 2012</w:t>
      </w:r>
    </w:p>
    <w:p w:rsidR="004102BE" w:rsidRPr="004102BE" w:rsidRDefault="004102BE" w:rsidP="0035663E">
      <w:pPr>
        <w:spacing w:after="120"/>
        <w:contextualSpacing/>
        <w:rPr>
          <w:rFonts w:asciiTheme="minorHAnsi" w:eastAsiaTheme="minorHAnsi" w:hAnsiTheme="minorHAnsi" w:cstheme="minorBidi"/>
          <w:sz w:val="22"/>
          <w:szCs w:val="22"/>
          <w:lang w:eastAsia="en-US"/>
        </w:rPr>
      </w:pPr>
    </w:p>
    <w:tbl>
      <w:tblPr>
        <w:tblpPr w:leftFromText="180" w:rightFromText="180" w:vertAnchor="text" w:horzAnchor="margin" w:tblpY="-27"/>
        <w:tblW w:w="9474" w:type="dxa"/>
        <w:tblInd w:w="-108" w:type="dxa"/>
        <w:tblCellMar>
          <w:left w:w="0" w:type="dxa"/>
          <w:right w:w="0" w:type="dxa"/>
        </w:tblCellMar>
        <w:tblLook w:val="04A0" w:firstRow="1" w:lastRow="0" w:firstColumn="1" w:lastColumn="0" w:noHBand="0" w:noVBand="1"/>
      </w:tblPr>
      <w:tblGrid>
        <w:gridCol w:w="9474"/>
      </w:tblGrid>
      <w:tr w:rsidR="004102BE" w:rsidRPr="004102BE" w:rsidTr="0035663E">
        <w:tc>
          <w:tcPr>
            <w:tcW w:w="9474" w:type="dxa"/>
            <w:vAlign w:val="center"/>
            <w:hideMark/>
          </w:tcPr>
          <w:p w:rsidR="004102BE" w:rsidRPr="004102BE" w:rsidRDefault="004102BE" w:rsidP="0061557C">
            <w:pPr>
              <w:rPr>
                <w:rFonts w:eastAsiaTheme="minorEastAsia"/>
              </w:rPr>
            </w:pPr>
          </w:p>
        </w:tc>
      </w:tr>
    </w:tbl>
    <w:p w:rsidR="004102BE" w:rsidRPr="004102BE" w:rsidRDefault="004102BE" w:rsidP="004102BE">
      <w:pPr>
        <w:keepNext/>
        <w:keepLines/>
        <w:spacing w:after="120"/>
        <w:rPr>
          <w:rFonts w:ascii="Calibri" w:hAnsi="Calibri" w:cs="Calibri"/>
        </w:rPr>
      </w:pPr>
      <w:r w:rsidRPr="004102BE">
        <w:rPr>
          <w:rFonts w:ascii="Calibri" w:hAnsi="Calibri" w:cs="Calibri"/>
          <w:b/>
        </w:rPr>
        <w:lastRenderedPageBreak/>
        <w:t>Claim Acceptance Rates</w:t>
      </w:r>
    </w:p>
    <w:p w:rsidR="004102BE" w:rsidRPr="004102BE" w:rsidRDefault="004102BE" w:rsidP="004102BE">
      <w:pPr>
        <w:keepNext/>
        <w:keepLines/>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The initial claim acceptance rates for injury claims by Comcare have increased from 87.8 per cent in 2008-08 to 93.6 per cent in 2011-12 in concert with a reduction in the number of injury claims received. The combined initial claims acceptance rate has increased from 63.9 per cent in 2007-08 to 79 per cent in 2011-12.</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The increase in initial liability injury claims acceptance rates has arisen at the same time as an improvement in decision-making timeframes. This requires some further investigation by Comcare to understand the reasons behind the increased initial claims acceptance rate.</w:t>
      </w:r>
    </w:p>
    <w:p w:rsidR="004102BE" w:rsidRPr="004102BE" w:rsidRDefault="004102BE" w:rsidP="004102B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Theme="minorHAnsi" w:eastAsiaTheme="minorHAnsi" w:hAnsiTheme="minorHAnsi" w:cstheme="minorBidi"/>
          <w:sz w:val="22"/>
          <w:szCs w:val="22"/>
          <w:lang w:eastAsia="en-US"/>
        </w:rPr>
      </w:pPr>
      <w:r w:rsidRPr="004102BE">
        <w:rPr>
          <w:rFonts w:ascii="Calibri" w:eastAsiaTheme="minorHAnsi" w:hAnsi="Calibri" w:cs="Calibri"/>
          <w:b/>
          <w:sz w:val="22"/>
          <w:szCs w:val="22"/>
          <w:lang w:eastAsia="en-US"/>
        </w:rPr>
        <w:t xml:space="preserve">Recommendation </w:t>
      </w:r>
      <w:r w:rsidR="00314E1B" w:rsidRPr="004102BE">
        <w:rPr>
          <w:rFonts w:ascii="Calibri" w:eastAsiaTheme="minorHAnsi" w:hAnsi="Calibri" w:cs="Calibri"/>
          <w:b/>
          <w:sz w:val="22"/>
          <w:szCs w:val="22"/>
          <w:lang w:eastAsia="en-US"/>
        </w:rPr>
        <w:t>1</w:t>
      </w:r>
      <w:r w:rsidR="00314E1B">
        <w:rPr>
          <w:rFonts w:ascii="Calibri" w:eastAsiaTheme="minorHAnsi" w:hAnsi="Calibri" w:cs="Calibri"/>
          <w:b/>
          <w:sz w:val="22"/>
          <w:szCs w:val="22"/>
          <w:lang w:eastAsia="en-US"/>
        </w:rPr>
        <w:t>7</w:t>
      </w:r>
    </w:p>
    <w:p w:rsidR="004102BE" w:rsidRPr="004102BE" w:rsidRDefault="004102BE" w:rsidP="004102B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Calibri" w:hAnsi="Calibri" w:cs="Calibri"/>
          <w:sz w:val="22"/>
          <w:szCs w:val="22"/>
        </w:rPr>
      </w:pPr>
      <w:r w:rsidRPr="004102BE">
        <w:rPr>
          <w:rFonts w:ascii="Calibri" w:hAnsi="Calibri" w:cs="Calibri"/>
          <w:sz w:val="22"/>
          <w:szCs w:val="22"/>
        </w:rPr>
        <w:t>Comcare review initial claims acceptance rates in order to determine the reasons for the increase in injury claims acceptance rates.</w:t>
      </w:r>
    </w:p>
    <w:p w:rsidR="006315DC" w:rsidRDefault="006315DC" w:rsidP="004102BE">
      <w:pPr>
        <w:spacing w:after="120"/>
        <w:rPr>
          <w:rFonts w:ascii="Calibri" w:hAnsi="Calibri" w:cs="Calibri"/>
          <w:b/>
        </w:rPr>
      </w:pPr>
    </w:p>
    <w:p w:rsidR="004102BE" w:rsidRPr="004102BE" w:rsidRDefault="004102BE" w:rsidP="004102BE">
      <w:pPr>
        <w:spacing w:after="120"/>
      </w:pPr>
      <w:r w:rsidRPr="004102BE">
        <w:rPr>
          <w:rFonts w:ascii="Calibri" w:hAnsi="Calibri" w:cs="Calibri"/>
          <w:b/>
        </w:rPr>
        <w:t>Claim Continuance Rates</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Claim continuance rates measure how long injured workers who lodge claims remain on incapacity payments. Claim continuance rates are one of the tools used by actuaries to assess the scheme’s outstanding liability. The longer injured workers stay on benefits, the more the cost to the scheme.</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Continuance rates can be a good indicator of the Comcare scheme’s RTW performance. The shorter the continuance rates, the more likely it is that injured workers are returning to work in a timely manner.</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Comcare has developed and implemented continuance rate measures at 13 and 26 weeks post claims receipt as part of its KPIs. DAKPI 5 reports the percentage of claims reaching four weeks or more of incapacity payments that subsequently reached 13 weeks or more incapacity.  The denominator for the continuance rate measure is claims reaching four weeks of incapacity. A number of incapacity claims do not receive four weeks’ incapacity payments and are therefore excluded from this measure. Comcare data however shows that the proportion of claims reaching four weeks paid incapacity has been increasing every year.</w:t>
      </w:r>
    </w:p>
    <w:p w:rsidR="004102BE" w:rsidRPr="004102BE" w:rsidRDefault="004102BE" w:rsidP="004102BE">
      <w:pPr>
        <w:spacing w:after="120"/>
        <w:ind w:left="709"/>
        <w:jc w:val="center"/>
        <w:rPr>
          <w:rFonts w:ascii="Calibri" w:eastAsiaTheme="minorHAnsi" w:hAnsi="Calibri" w:cs="Calibri"/>
          <w:b/>
          <w:sz w:val="22"/>
          <w:lang w:eastAsia="en-US"/>
        </w:rPr>
      </w:pPr>
      <w:r w:rsidRPr="004102BE">
        <w:rPr>
          <w:rFonts w:ascii="Calibri" w:eastAsiaTheme="minorHAnsi" w:hAnsi="Calibri" w:cs="Calibri"/>
          <w:b/>
          <w:sz w:val="22"/>
          <w:lang w:eastAsia="en-US"/>
        </w:rPr>
        <w:t>Table 2.5: Claims Reaching 4 Weeks Paid Incapacity</w:t>
      </w:r>
    </w:p>
    <w:tbl>
      <w:tblPr>
        <w:tblStyle w:val="TableGrid1"/>
        <w:tblW w:w="0" w:type="auto"/>
        <w:tblInd w:w="817" w:type="dxa"/>
        <w:tblLook w:val="04A0" w:firstRow="1" w:lastRow="0" w:firstColumn="1" w:lastColumn="0" w:noHBand="0" w:noVBand="1"/>
        <w:tblCaption w:val="Table 2.5: Claims Reaching 4 Weeks Paid Incapacity"/>
        <w:tblDescription w:val="Number of claims reaching 4 weeks incapacity:"/>
      </w:tblPr>
      <w:tblGrid>
        <w:gridCol w:w="2552"/>
        <w:gridCol w:w="1417"/>
        <w:gridCol w:w="1418"/>
        <w:gridCol w:w="1275"/>
        <w:gridCol w:w="1418"/>
      </w:tblGrid>
      <w:tr w:rsidR="004102BE" w:rsidRPr="004102BE" w:rsidTr="00F76E26">
        <w:trPr>
          <w:tblHeader/>
        </w:trPr>
        <w:tc>
          <w:tcPr>
            <w:tcW w:w="2552" w:type="dxa"/>
          </w:tcPr>
          <w:p w:rsidR="004102BE" w:rsidRPr="004102BE" w:rsidRDefault="004102BE" w:rsidP="004102BE">
            <w:pPr>
              <w:spacing w:after="120"/>
              <w:jc w:val="center"/>
              <w:rPr>
                <w:rFonts w:ascii="Calibri" w:eastAsiaTheme="minorHAnsi" w:hAnsi="Calibri" w:cs="Calibri"/>
                <w:b/>
                <w:lang w:eastAsia="en-US"/>
              </w:rPr>
            </w:pPr>
          </w:p>
        </w:tc>
        <w:tc>
          <w:tcPr>
            <w:tcW w:w="1417" w:type="dxa"/>
          </w:tcPr>
          <w:p w:rsidR="004102BE" w:rsidRPr="004102BE" w:rsidRDefault="004102BE" w:rsidP="004102BE">
            <w:pPr>
              <w:spacing w:after="120"/>
              <w:jc w:val="center"/>
              <w:rPr>
                <w:rFonts w:ascii="Calibri" w:eastAsiaTheme="minorHAnsi" w:hAnsi="Calibri" w:cs="Calibri"/>
                <w:b/>
                <w:lang w:eastAsia="en-US"/>
              </w:rPr>
            </w:pPr>
            <w:r w:rsidRPr="004102BE">
              <w:rPr>
                <w:rFonts w:ascii="Calibri" w:eastAsiaTheme="minorHAnsi" w:hAnsi="Calibri" w:cs="Calibri"/>
                <w:b/>
                <w:lang w:eastAsia="en-US"/>
              </w:rPr>
              <w:t>2008-09</w:t>
            </w:r>
          </w:p>
        </w:tc>
        <w:tc>
          <w:tcPr>
            <w:tcW w:w="1418" w:type="dxa"/>
          </w:tcPr>
          <w:p w:rsidR="004102BE" w:rsidRPr="004102BE" w:rsidRDefault="004102BE" w:rsidP="004102BE">
            <w:pPr>
              <w:spacing w:after="120"/>
              <w:jc w:val="center"/>
              <w:rPr>
                <w:rFonts w:ascii="Calibri" w:eastAsiaTheme="minorHAnsi" w:hAnsi="Calibri" w:cs="Calibri"/>
                <w:b/>
                <w:lang w:eastAsia="en-US"/>
              </w:rPr>
            </w:pPr>
            <w:r w:rsidRPr="004102BE">
              <w:rPr>
                <w:rFonts w:ascii="Calibri" w:eastAsiaTheme="minorHAnsi" w:hAnsi="Calibri" w:cs="Calibri"/>
                <w:b/>
                <w:lang w:eastAsia="en-US"/>
              </w:rPr>
              <w:t>2009-10</w:t>
            </w:r>
          </w:p>
        </w:tc>
        <w:tc>
          <w:tcPr>
            <w:tcW w:w="1275" w:type="dxa"/>
          </w:tcPr>
          <w:p w:rsidR="004102BE" w:rsidRPr="004102BE" w:rsidRDefault="004102BE" w:rsidP="004102BE">
            <w:pPr>
              <w:spacing w:after="120"/>
              <w:jc w:val="center"/>
              <w:rPr>
                <w:rFonts w:ascii="Calibri" w:eastAsiaTheme="minorHAnsi" w:hAnsi="Calibri" w:cs="Calibri"/>
                <w:b/>
                <w:lang w:eastAsia="en-US"/>
              </w:rPr>
            </w:pPr>
            <w:r w:rsidRPr="004102BE">
              <w:rPr>
                <w:rFonts w:ascii="Calibri" w:eastAsiaTheme="minorHAnsi" w:hAnsi="Calibri" w:cs="Calibri"/>
                <w:b/>
                <w:lang w:eastAsia="en-US"/>
              </w:rPr>
              <w:t>2010-11</w:t>
            </w:r>
          </w:p>
        </w:tc>
        <w:tc>
          <w:tcPr>
            <w:tcW w:w="1418" w:type="dxa"/>
          </w:tcPr>
          <w:p w:rsidR="004102BE" w:rsidRPr="004102BE" w:rsidRDefault="004102BE" w:rsidP="004102BE">
            <w:pPr>
              <w:spacing w:after="120"/>
              <w:jc w:val="center"/>
              <w:rPr>
                <w:rFonts w:ascii="Calibri" w:eastAsiaTheme="minorHAnsi" w:hAnsi="Calibri" w:cs="Calibri"/>
                <w:b/>
                <w:lang w:eastAsia="en-US"/>
              </w:rPr>
            </w:pPr>
            <w:r w:rsidRPr="004102BE">
              <w:rPr>
                <w:rFonts w:ascii="Calibri" w:eastAsiaTheme="minorHAnsi" w:hAnsi="Calibri" w:cs="Calibri"/>
                <w:b/>
                <w:lang w:eastAsia="en-US"/>
              </w:rPr>
              <w:t>2011-12</w:t>
            </w:r>
          </w:p>
        </w:tc>
      </w:tr>
      <w:tr w:rsidR="004102BE" w:rsidRPr="004102BE" w:rsidTr="004102BE">
        <w:tc>
          <w:tcPr>
            <w:tcW w:w="2552" w:type="dxa"/>
          </w:tcPr>
          <w:p w:rsidR="004102BE" w:rsidRPr="004102BE" w:rsidRDefault="004102BE" w:rsidP="004102BE">
            <w:pPr>
              <w:spacing w:after="120"/>
              <w:rPr>
                <w:rFonts w:ascii="Calibri" w:eastAsiaTheme="minorHAnsi" w:hAnsi="Calibri" w:cs="Calibri"/>
                <w:b/>
                <w:sz w:val="18"/>
                <w:szCs w:val="18"/>
                <w:lang w:eastAsia="en-US"/>
              </w:rPr>
            </w:pPr>
            <w:r w:rsidRPr="004102BE">
              <w:rPr>
                <w:rFonts w:ascii="Calibri" w:eastAsiaTheme="minorHAnsi" w:hAnsi="Calibri" w:cs="Calibri"/>
                <w:b/>
                <w:sz w:val="18"/>
                <w:szCs w:val="18"/>
                <w:lang w:eastAsia="en-US"/>
              </w:rPr>
              <w:t>No</w:t>
            </w:r>
            <w:r w:rsidR="000C44D9">
              <w:rPr>
                <w:rFonts w:ascii="Calibri" w:eastAsiaTheme="minorHAnsi" w:hAnsi="Calibri" w:cs="Calibri"/>
                <w:b/>
                <w:sz w:val="18"/>
                <w:szCs w:val="18"/>
                <w:lang w:eastAsia="en-US"/>
              </w:rPr>
              <w:t>.</w:t>
            </w:r>
            <w:r w:rsidRPr="004102BE">
              <w:rPr>
                <w:rFonts w:ascii="Calibri" w:eastAsiaTheme="minorHAnsi" w:hAnsi="Calibri" w:cs="Calibri"/>
                <w:b/>
                <w:sz w:val="18"/>
                <w:szCs w:val="18"/>
                <w:lang w:eastAsia="en-US"/>
              </w:rPr>
              <w:t xml:space="preserve"> of claims reaching 4 weeks incapacity</w:t>
            </w:r>
          </w:p>
        </w:tc>
        <w:tc>
          <w:tcPr>
            <w:tcW w:w="1417" w:type="dxa"/>
          </w:tcPr>
          <w:p w:rsidR="004102BE" w:rsidRPr="004102BE" w:rsidRDefault="004102BE" w:rsidP="004102BE">
            <w:pPr>
              <w:spacing w:after="120"/>
              <w:jc w:val="center"/>
              <w:rPr>
                <w:rFonts w:ascii="Calibri" w:eastAsiaTheme="minorHAnsi" w:hAnsi="Calibri" w:cs="Calibri"/>
                <w:sz w:val="18"/>
                <w:szCs w:val="18"/>
                <w:lang w:eastAsia="en-US"/>
              </w:rPr>
            </w:pPr>
            <w:r w:rsidRPr="004102BE">
              <w:rPr>
                <w:rFonts w:ascii="Calibri" w:eastAsiaTheme="minorHAnsi" w:hAnsi="Calibri" w:cs="Calibri"/>
                <w:sz w:val="18"/>
                <w:szCs w:val="18"/>
                <w:lang w:eastAsia="en-US"/>
              </w:rPr>
              <w:t>1537</w:t>
            </w:r>
          </w:p>
        </w:tc>
        <w:tc>
          <w:tcPr>
            <w:tcW w:w="1418" w:type="dxa"/>
          </w:tcPr>
          <w:p w:rsidR="004102BE" w:rsidRPr="004102BE" w:rsidRDefault="004102BE" w:rsidP="004102BE">
            <w:pPr>
              <w:spacing w:after="120"/>
              <w:jc w:val="center"/>
              <w:rPr>
                <w:rFonts w:ascii="Calibri" w:eastAsiaTheme="minorHAnsi" w:hAnsi="Calibri" w:cs="Calibri"/>
                <w:sz w:val="18"/>
                <w:szCs w:val="18"/>
                <w:lang w:eastAsia="en-US"/>
              </w:rPr>
            </w:pPr>
            <w:r w:rsidRPr="004102BE">
              <w:rPr>
                <w:rFonts w:ascii="Calibri" w:eastAsiaTheme="minorHAnsi" w:hAnsi="Calibri" w:cs="Calibri"/>
                <w:sz w:val="18"/>
                <w:szCs w:val="18"/>
                <w:lang w:eastAsia="en-US"/>
              </w:rPr>
              <w:t>1602</w:t>
            </w:r>
          </w:p>
        </w:tc>
        <w:tc>
          <w:tcPr>
            <w:tcW w:w="1275" w:type="dxa"/>
          </w:tcPr>
          <w:p w:rsidR="004102BE" w:rsidRPr="004102BE" w:rsidRDefault="004102BE" w:rsidP="004102BE">
            <w:pPr>
              <w:spacing w:after="120"/>
              <w:jc w:val="center"/>
              <w:rPr>
                <w:rFonts w:ascii="Calibri" w:eastAsiaTheme="minorHAnsi" w:hAnsi="Calibri" w:cs="Calibri"/>
                <w:sz w:val="18"/>
                <w:szCs w:val="18"/>
                <w:lang w:eastAsia="en-US"/>
              </w:rPr>
            </w:pPr>
            <w:r w:rsidRPr="004102BE">
              <w:rPr>
                <w:rFonts w:ascii="Calibri" w:eastAsiaTheme="minorHAnsi" w:hAnsi="Calibri" w:cs="Calibri"/>
                <w:sz w:val="18"/>
                <w:szCs w:val="18"/>
                <w:lang w:eastAsia="en-US"/>
              </w:rPr>
              <w:t>1818</w:t>
            </w:r>
          </w:p>
        </w:tc>
        <w:tc>
          <w:tcPr>
            <w:tcW w:w="1418" w:type="dxa"/>
          </w:tcPr>
          <w:p w:rsidR="004102BE" w:rsidRPr="004102BE" w:rsidRDefault="004102BE" w:rsidP="004102BE">
            <w:pPr>
              <w:spacing w:after="120"/>
              <w:jc w:val="center"/>
              <w:rPr>
                <w:rFonts w:ascii="Calibri" w:eastAsiaTheme="minorHAnsi" w:hAnsi="Calibri" w:cs="Calibri"/>
                <w:sz w:val="18"/>
                <w:szCs w:val="18"/>
                <w:lang w:eastAsia="en-US"/>
              </w:rPr>
            </w:pPr>
            <w:r w:rsidRPr="004102BE">
              <w:rPr>
                <w:rFonts w:ascii="Calibri" w:eastAsiaTheme="minorHAnsi" w:hAnsi="Calibri" w:cs="Calibri"/>
                <w:sz w:val="18"/>
                <w:szCs w:val="18"/>
                <w:lang w:eastAsia="en-US"/>
              </w:rPr>
              <w:t>1965</w:t>
            </w:r>
          </w:p>
        </w:tc>
      </w:tr>
      <w:tr w:rsidR="004102BE" w:rsidRPr="004102BE" w:rsidTr="004102BE">
        <w:tc>
          <w:tcPr>
            <w:tcW w:w="2552" w:type="dxa"/>
          </w:tcPr>
          <w:p w:rsidR="004102BE" w:rsidRPr="004102BE" w:rsidRDefault="004102BE" w:rsidP="004102BE">
            <w:pPr>
              <w:spacing w:after="120"/>
              <w:rPr>
                <w:rFonts w:ascii="Calibri" w:eastAsiaTheme="minorHAnsi" w:hAnsi="Calibri" w:cs="Calibri"/>
                <w:b/>
                <w:sz w:val="18"/>
                <w:szCs w:val="18"/>
                <w:lang w:eastAsia="en-US"/>
              </w:rPr>
            </w:pPr>
            <w:r w:rsidRPr="004102BE">
              <w:rPr>
                <w:rFonts w:ascii="Calibri" w:eastAsiaTheme="minorHAnsi" w:hAnsi="Calibri" w:cs="Calibri"/>
                <w:b/>
                <w:sz w:val="18"/>
                <w:szCs w:val="18"/>
                <w:lang w:eastAsia="en-US"/>
              </w:rPr>
              <w:t>No</w:t>
            </w:r>
            <w:r w:rsidR="000C44D9">
              <w:rPr>
                <w:rFonts w:ascii="Calibri" w:eastAsiaTheme="minorHAnsi" w:hAnsi="Calibri" w:cs="Calibri"/>
                <w:b/>
                <w:sz w:val="18"/>
                <w:szCs w:val="18"/>
                <w:lang w:eastAsia="en-US"/>
              </w:rPr>
              <w:t>.</w:t>
            </w:r>
            <w:r w:rsidRPr="004102BE">
              <w:rPr>
                <w:rFonts w:ascii="Calibri" w:eastAsiaTheme="minorHAnsi" w:hAnsi="Calibri" w:cs="Calibri"/>
                <w:b/>
                <w:sz w:val="18"/>
                <w:szCs w:val="18"/>
                <w:lang w:eastAsia="en-US"/>
              </w:rPr>
              <w:t xml:space="preserve"> of claims received</w:t>
            </w:r>
          </w:p>
        </w:tc>
        <w:tc>
          <w:tcPr>
            <w:tcW w:w="1417" w:type="dxa"/>
          </w:tcPr>
          <w:p w:rsidR="004102BE" w:rsidRPr="004102BE" w:rsidRDefault="004102BE" w:rsidP="004102BE">
            <w:pPr>
              <w:spacing w:after="120"/>
              <w:jc w:val="center"/>
              <w:rPr>
                <w:rFonts w:ascii="Calibri" w:eastAsiaTheme="minorHAnsi" w:hAnsi="Calibri" w:cs="Calibri"/>
                <w:sz w:val="18"/>
                <w:szCs w:val="18"/>
                <w:lang w:eastAsia="en-US"/>
              </w:rPr>
            </w:pPr>
            <w:r w:rsidRPr="004102BE">
              <w:rPr>
                <w:rFonts w:ascii="Calibri" w:eastAsiaTheme="minorHAnsi" w:hAnsi="Calibri" w:cs="Calibri"/>
                <w:sz w:val="18"/>
                <w:szCs w:val="18"/>
                <w:lang w:eastAsia="en-US"/>
              </w:rPr>
              <w:t>4027</w:t>
            </w:r>
          </w:p>
        </w:tc>
        <w:tc>
          <w:tcPr>
            <w:tcW w:w="1418" w:type="dxa"/>
          </w:tcPr>
          <w:p w:rsidR="004102BE" w:rsidRPr="004102BE" w:rsidRDefault="004102BE" w:rsidP="004102BE">
            <w:pPr>
              <w:spacing w:after="120"/>
              <w:jc w:val="center"/>
              <w:rPr>
                <w:rFonts w:ascii="Calibri" w:eastAsiaTheme="minorHAnsi" w:hAnsi="Calibri" w:cs="Calibri"/>
                <w:sz w:val="18"/>
                <w:szCs w:val="18"/>
                <w:lang w:eastAsia="en-US"/>
              </w:rPr>
            </w:pPr>
            <w:r w:rsidRPr="004102BE">
              <w:rPr>
                <w:rFonts w:ascii="Calibri" w:eastAsiaTheme="minorHAnsi" w:hAnsi="Calibri" w:cs="Calibri"/>
                <w:sz w:val="18"/>
                <w:szCs w:val="18"/>
                <w:lang w:eastAsia="en-US"/>
              </w:rPr>
              <w:t>3895</w:t>
            </w:r>
          </w:p>
        </w:tc>
        <w:tc>
          <w:tcPr>
            <w:tcW w:w="1275" w:type="dxa"/>
          </w:tcPr>
          <w:p w:rsidR="004102BE" w:rsidRPr="004102BE" w:rsidRDefault="004102BE" w:rsidP="004102BE">
            <w:pPr>
              <w:spacing w:after="120"/>
              <w:jc w:val="center"/>
              <w:rPr>
                <w:rFonts w:ascii="Calibri" w:eastAsiaTheme="minorHAnsi" w:hAnsi="Calibri" w:cs="Calibri"/>
                <w:sz w:val="18"/>
                <w:szCs w:val="18"/>
                <w:lang w:eastAsia="en-US"/>
              </w:rPr>
            </w:pPr>
            <w:r w:rsidRPr="004102BE">
              <w:rPr>
                <w:rFonts w:ascii="Calibri" w:eastAsiaTheme="minorHAnsi" w:hAnsi="Calibri" w:cs="Calibri"/>
                <w:sz w:val="18"/>
                <w:szCs w:val="18"/>
                <w:lang w:eastAsia="en-US"/>
              </w:rPr>
              <w:t>4029</w:t>
            </w:r>
          </w:p>
        </w:tc>
        <w:tc>
          <w:tcPr>
            <w:tcW w:w="1418" w:type="dxa"/>
          </w:tcPr>
          <w:p w:rsidR="004102BE" w:rsidRPr="004102BE" w:rsidRDefault="004102BE" w:rsidP="004102BE">
            <w:pPr>
              <w:spacing w:after="120"/>
              <w:jc w:val="center"/>
              <w:rPr>
                <w:rFonts w:ascii="Calibri" w:eastAsiaTheme="minorHAnsi" w:hAnsi="Calibri" w:cs="Calibri"/>
                <w:sz w:val="18"/>
                <w:szCs w:val="18"/>
                <w:lang w:eastAsia="en-US"/>
              </w:rPr>
            </w:pPr>
            <w:r w:rsidRPr="004102BE">
              <w:rPr>
                <w:rFonts w:ascii="Calibri" w:eastAsiaTheme="minorHAnsi" w:hAnsi="Calibri" w:cs="Calibri"/>
                <w:sz w:val="18"/>
                <w:szCs w:val="18"/>
                <w:lang w:eastAsia="en-US"/>
              </w:rPr>
              <w:t>3901</w:t>
            </w:r>
          </w:p>
        </w:tc>
      </w:tr>
      <w:tr w:rsidR="004102BE" w:rsidRPr="004102BE" w:rsidTr="004102BE">
        <w:tc>
          <w:tcPr>
            <w:tcW w:w="2552" w:type="dxa"/>
          </w:tcPr>
          <w:p w:rsidR="004102BE" w:rsidRPr="004102BE" w:rsidRDefault="004102BE" w:rsidP="004102BE">
            <w:pPr>
              <w:spacing w:after="120"/>
              <w:rPr>
                <w:rFonts w:ascii="Calibri" w:eastAsiaTheme="minorHAnsi" w:hAnsi="Calibri" w:cs="Calibri"/>
                <w:b/>
                <w:sz w:val="18"/>
                <w:szCs w:val="18"/>
                <w:lang w:eastAsia="en-US"/>
              </w:rPr>
            </w:pPr>
            <w:r w:rsidRPr="004102BE">
              <w:rPr>
                <w:rFonts w:ascii="Calibri" w:eastAsiaTheme="minorHAnsi" w:hAnsi="Calibri" w:cs="Calibri"/>
                <w:b/>
                <w:sz w:val="18"/>
                <w:szCs w:val="18"/>
                <w:lang w:eastAsia="en-US"/>
              </w:rPr>
              <w:t>Percentage of claims reaching 4 weeks incapacity</w:t>
            </w:r>
          </w:p>
        </w:tc>
        <w:tc>
          <w:tcPr>
            <w:tcW w:w="1417" w:type="dxa"/>
          </w:tcPr>
          <w:p w:rsidR="004102BE" w:rsidRPr="004102BE" w:rsidRDefault="004102BE" w:rsidP="004102BE">
            <w:pPr>
              <w:spacing w:after="120"/>
              <w:jc w:val="center"/>
              <w:rPr>
                <w:rFonts w:ascii="Calibri" w:eastAsiaTheme="minorHAnsi" w:hAnsi="Calibri" w:cs="Calibri"/>
                <w:sz w:val="18"/>
                <w:szCs w:val="18"/>
                <w:lang w:eastAsia="en-US"/>
              </w:rPr>
            </w:pPr>
            <w:r w:rsidRPr="004102BE">
              <w:rPr>
                <w:rFonts w:ascii="Calibri" w:eastAsiaTheme="minorHAnsi" w:hAnsi="Calibri" w:cs="Calibri"/>
                <w:sz w:val="18"/>
                <w:szCs w:val="18"/>
                <w:lang w:eastAsia="en-US"/>
              </w:rPr>
              <w:t>38.2%</w:t>
            </w:r>
          </w:p>
        </w:tc>
        <w:tc>
          <w:tcPr>
            <w:tcW w:w="1418" w:type="dxa"/>
          </w:tcPr>
          <w:p w:rsidR="004102BE" w:rsidRPr="004102BE" w:rsidRDefault="004102BE" w:rsidP="004102BE">
            <w:pPr>
              <w:spacing w:after="120"/>
              <w:jc w:val="center"/>
              <w:rPr>
                <w:rFonts w:ascii="Calibri" w:eastAsiaTheme="minorHAnsi" w:hAnsi="Calibri" w:cs="Calibri"/>
                <w:sz w:val="18"/>
                <w:szCs w:val="18"/>
                <w:lang w:eastAsia="en-US"/>
              </w:rPr>
            </w:pPr>
            <w:r w:rsidRPr="004102BE">
              <w:rPr>
                <w:rFonts w:ascii="Calibri" w:eastAsiaTheme="minorHAnsi" w:hAnsi="Calibri" w:cs="Calibri"/>
                <w:sz w:val="18"/>
                <w:szCs w:val="18"/>
                <w:lang w:eastAsia="en-US"/>
              </w:rPr>
              <w:t>41.1%</w:t>
            </w:r>
          </w:p>
        </w:tc>
        <w:tc>
          <w:tcPr>
            <w:tcW w:w="1275" w:type="dxa"/>
          </w:tcPr>
          <w:p w:rsidR="004102BE" w:rsidRPr="004102BE" w:rsidRDefault="004102BE" w:rsidP="004102BE">
            <w:pPr>
              <w:spacing w:after="120"/>
              <w:jc w:val="center"/>
              <w:rPr>
                <w:rFonts w:ascii="Calibri" w:eastAsiaTheme="minorHAnsi" w:hAnsi="Calibri" w:cs="Calibri"/>
                <w:sz w:val="18"/>
                <w:szCs w:val="18"/>
                <w:lang w:eastAsia="en-US"/>
              </w:rPr>
            </w:pPr>
            <w:r w:rsidRPr="004102BE">
              <w:rPr>
                <w:rFonts w:ascii="Calibri" w:eastAsiaTheme="minorHAnsi" w:hAnsi="Calibri" w:cs="Calibri"/>
                <w:sz w:val="18"/>
                <w:szCs w:val="18"/>
                <w:lang w:eastAsia="en-US"/>
              </w:rPr>
              <w:t>45.1%</w:t>
            </w:r>
          </w:p>
        </w:tc>
        <w:tc>
          <w:tcPr>
            <w:tcW w:w="1418" w:type="dxa"/>
          </w:tcPr>
          <w:p w:rsidR="004102BE" w:rsidRPr="004102BE" w:rsidRDefault="004102BE" w:rsidP="004102BE">
            <w:pPr>
              <w:spacing w:after="120"/>
              <w:jc w:val="center"/>
              <w:rPr>
                <w:rFonts w:ascii="Calibri" w:eastAsiaTheme="minorHAnsi" w:hAnsi="Calibri" w:cs="Calibri"/>
                <w:sz w:val="18"/>
                <w:szCs w:val="18"/>
                <w:lang w:eastAsia="en-US"/>
              </w:rPr>
            </w:pPr>
            <w:r w:rsidRPr="004102BE">
              <w:rPr>
                <w:rFonts w:ascii="Calibri" w:eastAsiaTheme="minorHAnsi" w:hAnsi="Calibri" w:cs="Calibri"/>
                <w:sz w:val="18"/>
                <w:szCs w:val="18"/>
                <w:lang w:eastAsia="en-US"/>
              </w:rPr>
              <w:t>50.4%</w:t>
            </w:r>
          </w:p>
        </w:tc>
      </w:tr>
    </w:tbl>
    <w:p w:rsidR="004102BE" w:rsidRPr="004102BE" w:rsidRDefault="004102BE" w:rsidP="004102BE">
      <w:pPr>
        <w:keepNext/>
        <w:keepLines/>
        <w:ind w:left="709"/>
        <w:contextualSpacing/>
        <w:jc w:val="right"/>
        <w:rPr>
          <w:rFonts w:asciiTheme="minorHAnsi" w:eastAsiaTheme="minorHAnsi" w:hAnsiTheme="minorHAnsi" w:cstheme="minorBidi"/>
          <w:sz w:val="20"/>
          <w:szCs w:val="20"/>
          <w:lang w:eastAsia="en-US"/>
        </w:rPr>
      </w:pPr>
      <w:r w:rsidRPr="004102BE">
        <w:rPr>
          <w:rFonts w:asciiTheme="minorHAnsi" w:eastAsiaTheme="minorHAnsi" w:hAnsiTheme="minorHAnsi" w:cstheme="minorBidi"/>
          <w:sz w:val="20"/>
          <w:szCs w:val="20"/>
          <w:lang w:eastAsia="en-US"/>
        </w:rPr>
        <w:t>Source: Comcare 2012</w:t>
      </w:r>
    </w:p>
    <w:p w:rsidR="004102BE" w:rsidRPr="004102BE" w:rsidRDefault="004102BE" w:rsidP="004102BE">
      <w:pPr>
        <w:spacing w:after="120"/>
        <w:ind w:left="709"/>
        <w:rPr>
          <w:rFonts w:ascii="Calibri" w:eastAsiaTheme="minorHAnsi" w:hAnsi="Calibri" w:cs="Calibri"/>
          <w:sz w:val="22"/>
          <w:lang w:eastAsia="en-US"/>
        </w:rPr>
      </w:pP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Premium payers recorded 52 per cent of claims continuing to 13 weeks for the 2011</w:t>
      </w:r>
      <w:r w:rsidR="00B724B3" w:rsidRPr="004102BE">
        <w:rPr>
          <w:rFonts w:ascii="Calibri" w:eastAsiaTheme="minorHAnsi" w:hAnsi="Calibri" w:cs="Calibri"/>
          <w:sz w:val="22"/>
          <w:lang w:eastAsia="en-US"/>
        </w:rPr>
        <w:t>-</w:t>
      </w:r>
      <w:r w:rsidRPr="004102BE">
        <w:rPr>
          <w:rFonts w:ascii="Calibri" w:eastAsiaTheme="minorHAnsi" w:hAnsi="Calibri" w:cs="Calibri"/>
          <w:sz w:val="22"/>
          <w:lang w:eastAsia="en-US"/>
        </w:rPr>
        <w:t xml:space="preserve">12 financial </w:t>
      </w:r>
      <w:proofErr w:type="gramStart"/>
      <w:r w:rsidRPr="004102BE">
        <w:rPr>
          <w:rFonts w:ascii="Calibri" w:eastAsiaTheme="minorHAnsi" w:hAnsi="Calibri" w:cs="Calibri"/>
          <w:sz w:val="22"/>
          <w:lang w:eastAsia="en-US"/>
        </w:rPr>
        <w:t>year</w:t>
      </w:r>
      <w:proofErr w:type="gramEnd"/>
      <w:r w:rsidRPr="004102BE">
        <w:rPr>
          <w:rFonts w:ascii="Calibri" w:eastAsiaTheme="minorHAnsi" w:hAnsi="Calibri" w:cs="Calibri"/>
          <w:sz w:val="22"/>
          <w:lang w:eastAsia="en-US"/>
        </w:rPr>
        <w:t>, outside the 2011-12 target of 46 per cent. The data shows a progressive deterioration in premium payers’ performance from year to year. Moreover, claim continuance rates for disease claims (59 per cent) is worse than injury claims (40 per cent).</w:t>
      </w:r>
    </w:p>
    <w:p w:rsidR="004102BE" w:rsidRPr="004102BE" w:rsidRDefault="004102BE" w:rsidP="004102BE">
      <w:pPr>
        <w:numPr>
          <w:ilvl w:val="1"/>
          <w:numId w:val="31"/>
        </w:numPr>
        <w:spacing w:after="120"/>
        <w:ind w:left="709" w:hanging="709"/>
        <w:rPr>
          <w:rFonts w:asciiTheme="minorHAnsi" w:eastAsiaTheme="minorHAnsi" w:hAnsiTheme="minorHAnsi" w:cstheme="minorHAnsi"/>
          <w:sz w:val="22"/>
          <w:szCs w:val="22"/>
          <w:lang w:eastAsia="en-US"/>
        </w:rPr>
      </w:pPr>
      <w:r w:rsidRPr="004102BE">
        <w:rPr>
          <w:rFonts w:ascii="Calibri" w:eastAsiaTheme="minorHAnsi" w:hAnsi="Calibri" w:cs="Calibri"/>
          <w:sz w:val="22"/>
          <w:lang w:eastAsia="en-US"/>
        </w:rPr>
        <w:t xml:space="preserve">Licensees, by comparison, have 41 per cent of claims continuing past 13 weeks for 2011-12, above the 2011-12 </w:t>
      </w:r>
      <w:proofErr w:type="gramStart"/>
      <w:r w:rsidRPr="004102BE">
        <w:rPr>
          <w:rFonts w:ascii="Calibri" w:eastAsiaTheme="minorHAnsi" w:hAnsi="Calibri" w:cs="Calibri"/>
          <w:sz w:val="22"/>
          <w:lang w:eastAsia="en-US"/>
        </w:rPr>
        <w:t>target</w:t>
      </w:r>
      <w:proofErr w:type="gramEnd"/>
      <w:r w:rsidRPr="004102BE">
        <w:rPr>
          <w:rFonts w:ascii="Calibri" w:eastAsiaTheme="minorHAnsi" w:hAnsi="Calibri" w:cs="Calibri"/>
          <w:sz w:val="22"/>
          <w:lang w:eastAsia="en-US"/>
        </w:rPr>
        <w:t xml:space="preserve"> of 38 per cent. </w:t>
      </w:r>
      <w:r w:rsidR="00314E1B">
        <w:rPr>
          <w:rFonts w:ascii="Calibri" w:eastAsiaTheme="minorHAnsi" w:hAnsi="Calibri" w:cs="Calibri"/>
          <w:sz w:val="22"/>
          <w:lang w:eastAsia="en-US"/>
        </w:rPr>
        <w:t>L</w:t>
      </w:r>
      <w:r w:rsidRPr="004102BE">
        <w:rPr>
          <w:rFonts w:ascii="Calibri" w:eastAsiaTheme="minorHAnsi" w:hAnsi="Calibri" w:cs="Calibri"/>
          <w:sz w:val="22"/>
          <w:lang w:eastAsia="en-US"/>
        </w:rPr>
        <w:t xml:space="preserve">icensees’ continuance rate </w:t>
      </w:r>
      <w:r w:rsidR="00314E1B">
        <w:rPr>
          <w:rFonts w:ascii="Calibri" w:eastAsiaTheme="minorHAnsi" w:hAnsi="Calibri" w:cs="Calibri"/>
          <w:sz w:val="22"/>
          <w:lang w:eastAsia="en-US"/>
        </w:rPr>
        <w:t>are,</w:t>
      </w:r>
      <w:r w:rsidR="00314E1B" w:rsidRPr="004102BE">
        <w:rPr>
          <w:rFonts w:ascii="Calibri" w:eastAsiaTheme="minorHAnsi" w:hAnsi="Calibri" w:cs="Calibri"/>
          <w:sz w:val="22"/>
          <w:lang w:eastAsia="en-US"/>
        </w:rPr>
        <w:t xml:space="preserve"> </w:t>
      </w:r>
      <w:r w:rsidRPr="004102BE">
        <w:rPr>
          <w:rFonts w:ascii="Calibri" w:eastAsiaTheme="minorHAnsi" w:hAnsi="Calibri" w:cs="Calibri"/>
          <w:sz w:val="22"/>
          <w:lang w:eastAsia="en-US"/>
        </w:rPr>
        <w:t>however</w:t>
      </w:r>
      <w:r w:rsidR="00314E1B">
        <w:rPr>
          <w:rFonts w:ascii="Calibri" w:eastAsiaTheme="minorHAnsi" w:hAnsi="Calibri" w:cs="Calibri"/>
          <w:sz w:val="22"/>
          <w:lang w:eastAsia="en-US"/>
        </w:rPr>
        <w:t>,</w:t>
      </w:r>
      <w:r w:rsidRPr="004102BE">
        <w:rPr>
          <w:rFonts w:ascii="Calibri" w:eastAsiaTheme="minorHAnsi" w:hAnsi="Calibri" w:cs="Calibri"/>
          <w:sz w:val="22"/>
          <w:lang w:eastAsia="en-US"/>
        </w:rPr>
        <w:t xml:space="preserve"> significantly better than premium payers and, unlike the premium payers, there is little difference between continuance rates for injury and disease claims.</w:t>
      </w:r>
    </w:p>
    <w:p w:rsidR="004102BE" w:rsidRPr="0035663E" w:rsidRDefault="004102BE" w:rsidP="004102BE">
      <w:pPr>
        <w:keepNext/>
        <w:keepLines/>
        <w:ind w:left="1418" w:hanging="709"/>
        <w:jc w:val="center"/>
        <w:rPr>
          <w:rFonts w:ascii="Calibri" w:hAnsi="Calibri"/>
          <w:b/>
          <w:sz w:val="22"/>
        </w:rPr>
      </w:pPr>
      <w:r w:rsidRPr="0035663E">
        <w:rPr>
          <w:rFonts w:ascii="Calibri" w:hAnsi="Calibri"/>
          <w:b/>
          <w:sz w:val="22"/>
        </w:rPr>
        <w:lastRenderedPageBreak/>
        <w:t>Figure 2.11: DAKPI 5 – Claims Continuance Rate – 13 weeks</w:t>
      </w:r>
    </w:p>
    <w:p w:rsidR="004102BE" w:rsidRPr="0035663E" w:rsidRDefault="004102BE" w:rsidP="004102BE">
      <w:pPr>
        <w:keepNext/>
        <w:keepLines/>
        <w:ind w:left="1418" w:hanging="709"/>
        <w:jc w:val="center"/>
        <w:rPr>
          <w:b/>
          <w:sz w:val="22"/>
        </w:rPr>
      </w:pPr>
    </w:p>
    <w:p w:rsidR="004102BE" w:rsidRPr="004102BE" w:rsidRDefault="004102BE" w:rsidP="004102BE">
      <w:pPr>
        <w:keepNext/>
        <w:keepLines/>
        <w:spacing w:after="120"/>
        <w:ind w:left="709" w:hanging="709"/>
        <w:jc w:val="center"/>
        <w:rPr>
          <w:rFonts w:ascii="Calibri" w:eastAsiaTheme="minorHAnsi" w:hAnsi="Calibri" w:cs="Calibri"/>
          <w:b/>
          <w:noProof/>
          <w:sz w:val="22"/>
          <w:szCs w:val="22"/>
          <w:lang w:eastAsia="en-US"/>
        </w:rPr>
      </w:pPr>
      <w:r w:rsidRPr="0035663E">
        <w:rPr>
          <w:rFonts w:ascii="Calibri" w:eastAsiaTheme="minorHAnsi" w:hAnsi="Calibri" w:cs="Calibri"/>
          <w:b/>
          <w:noProof/>
          <w:sz w:val="22"/>
        </w:rPr>
        <w:drawing>
          <wp:inline distT="0" distB="0" distL="0" distR="0" wp14:anchorId="2E46D54E" wp14:editId="6E71EB19">
            <wp:extent cx="5132070" cy="2847975"/>
            <wp:effectExtent l="0" t="0" r="11430" b="9525"/>
            <wp:docPr id="11" name="Chart 6" descr="This graph lists the percentage of claims exceeding 13 weeks for the financial year 2008 to 2012 for premium insurers and licensees.&#10;&#10;2008 to 2009&#10;Premium Insurers: 45 percent&#10;Licensees: 34 percent&#10;&#10;2009 to 2010&#10;Premium Insurers: 48 percent&#10;Licensees: 37 percent&#10;&#10;2010 to 2011&#10;Premium Insurers: 45 percent&#10;Licensees: 34.5 percent&#10;&#10;2011 to 2012&#10;Premium Insurers: 52 percent&#10;Licensees: 41 percent&#10;&#10;The target for premium insurers in 2011 to 2012 was 46 percent.&#10;The target for licensees in 2011 to 2012 was 38 percent.&#10;&#10;" title="Figure 2.11: DAKPI 5 – Claims Continuance Rate – 13 weeks"/>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4102BE" w:rsidRPr="004102BE" w:rsidRDefault="004102BE" w:rsidP="004102BE">
      <w:pPr>
        <w:keepNext/>
        <w:keepLines/>
        <w:ind w:left="709"/>
        <w:contextualSpacing/>
        <w:jc w:val="right"/>
        <w:rPr>
          <w:rFonts w:asciiTheme="minorHAnsi" w:eastAsiaTheme="minorHAnsi" w:hAnsiTheme="minorHAnsi" w:cstheme="minorBidi"/>
          <w:sz w:val="20"/>
          <w:szCs w:val="20"/>
          <w:lang w:eastAsia="en-US"/>
        </w:rPr>
      </w:pPr>
      <w:r w:rsidRPr="004102BE">
        <w:rPr>
          <w:rFonts w:asciiTheme="minorHAnsi" w:eastAsiaTheme="minorHAnsi" w:hAnsiTheme="minorHAnsi" w:cstheme="minorBidi"/>
          <w:sz w:val="20"/>
          <w:szCs w:val="20"/>
          <w:lang w:eastAsia="en-US"/>
        </w:rPr>
        <w:t>Source: Comcare 2012</w:t>
      </w:r>
    </w:p>
    <w:p w:rsidR="004102BE" w:rsidRPr="004102BE" w:rsidRDefault="004102BE" w:rsidP="004102BE">
      <w:pPr>
        <w:ind w:left="709" w:hanging="709"/>
        <w:rPr>
          <w:rFonts w:ascii="Calibri" w:eastAsiaTheme="minorHAnsi" w:hAnsi="Calibri" w:cs="Calibri"/>
          <w:sz w:val="22"/>
          <w:lang w:eastAsia="en-US"/>
        </w:rPr>
      </w:pP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 xml:space="preserve">Recent actuarial assessments of </w:t>
      </w:r>
      <w:r w:rsidR="00E97841" w:rsidRPr="004102BE">
        <w:rPr>
          <w:rFonts w:ascii="Calibri" w:eastAsiaTheme="minorHAnsi" w:hAnsi="Calibri" w:cs="Calibri"/>
          <w:sz w:val="22"/>
          <w:lang w:eastAsia="en-US"/>
        </w:rPr>
        <w:t>the</w:t>
      </w:r>
      <w:r w:rsidR="00E97841">
        <w:rPr>
          <w:rFonts w:ascii="Calibri" w:eastAsiaTheme="minorHAnsi" w:hAnsi="Calibri" w:cs="Calibri"/>
          <w:sz w:val="22"/>
          <w:lang w:eastAsia="en-US"/>
        </w:rPr>
        <w:t xml:space="preserve"> scheme’s</w:t>
      </w:r>
      <w:r w:rsidRPr="004102BE">
        <w:rPr>
          <w:rFonts w:ascii="Calibri" w:eastAsiaTheme="minorHAnsi" w:hAnsi="Calibri" w:cs="Calibri"/>
          <w:sz w:val="22"/>
          <w:lang w:eastAsia="en-US"/>
        </w:rPr>
        <w:t xml:space="preserve"> premium payer side attributed the increase in outstanding actuarial liabilities partly to an increase in claims continuance rates for both short term and long term claims.</w:t>
      </w:r>
    </w:p>
    <w:p w:rsidR="004102BE" w:rsidRPr="004102BE" w:rsidRDefault="004102BE" w:rsidP="004102BE">
      <w:pPr>
        <w:spacing w:before="100" w:beforeAutospacing="1" w:after="100" w:afterAutospacing="1"/>
        <w:outlineLvl w:val="0"/>
        <w:rPr>
          <w:rFonts w:ascii="Arial" w:hAnsi="Arial"/>
          <w:bCs/>
          <w:caps/>
          <w:color w:val="1F497D" w:themeColor="text2"/>
          <w:kern w:val="36"/>
          <w:sz w:val="28"/>
          <w:szCs w:val="28"/>
        </w:rPr>
      </w:pPr>
      <w:bookmarkStart w:id="523" w:name="_Toc341778025"/>
      <w:bookmarkStart w:id="524" w:name="_Toc342578398"/>
      <w:r w:rsidRPr="004102BE">
        <w:rPr>
          <w:rFonts w:ascii="Arial" w:hAnsi="Arial"/>
          <w:bCs/>
          <w:caps/>
          <w:color w:val="1F497D" w:themeColor="text2"/>
          <w:kern w:val="36"/>
          <w:sz w:val="28"/>
          <w:szCs w:val="28"/>
        </w:rPr>
        <w:t>Recent comcare INITIATIVES</w:t>
      </w:r>
      <w:bookmarkEnd w:id="523"/>
      <w:bookmarkEnd w:id="524"/>
    </w:p>
    <w:p w:rsidR="004102BE" w:rsidRPr="004102BE" w:rsidRDefault="004102BE" w:rsidP="004102BE">
      <w:pPr>
        <w:keepNext/>
        <w:keepLines/>
        <w:spacing w:before="100" w:beforeAutospacing="1" w:after="100" w:afterAutospacing="1"/>
        <w:outlineLvl w:val="2"/>
        <w:rPr>
          <w:rFonts w:ascii="Arial Bold" w:eastAsiaTheme="majorEastAsia" w:hAnsi="Arial Bold" w:cs="Calibri"/>
          <w:bCs/>
          <w:caps/>
          <w:color w:val="1F497D" w:themeColor="text2"/>
          <w:sz w:val="23"/>
          <w:szCs w:val="23"/>
        </w:rPr>
      </w:pPr>
      <w:bookmarkStart w:id="525" w:name="_Toc341778026"/>
      <w:bookmarkStart w:id="526" w:name="_Toc342578399"/>
      <w:r w:rsidRPr="004102BE">
        <w:rPr>
          <w:rFonts w:ascii="Arial Bold" w:eastAsiaTheme="majorEastAsia" w:hAnsi="Arial Bold" w:cs="Calibri"/>
          <w:bCs/>
          <w:caps/>
          <w:color w:val="1F497D" w:themeColor="text2"/>
          <w:sz w:val="23"/>
          <w:szCs w:val="23"/>
        </w:rPr>
        <w:t>Project Service Excellence</w:t>
      </w:r>
      <w:bookmarkEnd w:id="525"/>
      <w:bookmarkEnd w:id="526"/>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Comcare commissioned a project in 2010 called Project Service Excellence (PSE) which aimed to deliver the following:</w:t>
      </w:r>
    </w:p>
    <w:p w:rsidR="004102BE" w:rsidRPr="004102BE" w:rsidRDefault="004102BE" w:rsidP="004102BE">
      <w:pPr>
        <w:numPr>
          <w:ilvl w:val="0"/>
          <w:numId w:val="24"/>
        </w:numPr>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implementation of a new Service Delivery Model;</w:t>
      </w:r>
    </w:p>
    <w:p w:rsidR="004102BE" w:rsidRPr="004102BE" w:rsidRDefault="004102BE" w:rsidP="004102BE">
      <w:pPr>
        <w:numPr>
          <w:ilvl w:val="0"/>
          <w:numId w:val="24"/>
        </w:numPr>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clearly defined staff roles, responsibilities and caseloads;</w:t>
      </w:r>
    </w:p>
    <w:p w:rsidR="004102BE" w:rsidRPr="004102BE" w:rsidRDefault="004102BE" w:rsidP="004102BE">
      <w:pPr>
        <w:numPr>
          <w:ilvl w:val="0"/>
          <w:numId w:val="24"/>
        </w:numPr>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tools to support the new Service Delivery Model;</w:t>
      </w:r>
    </w:p>
    <w:p w:rsidR="004102BE" w:rsidRPr="004102BE" w:rsidRDefault="004102BE" w:rsidP="004102BE">
      <w:pPr>
        <w:numPr>
          <w:ilvl w:val="0"/>
          <w:numId w:val="24"/>
        </w:numPr>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introduction of “Return to Work” and “Return to Health” goals for injured workers and employers for all new claims;</w:t>
      </w:r>
    </w:p>
    <w:p w:rsidR="004102BE" w:rsidRPr="004102BE" w:rsidRDefault="004102BE" w:rsidP="004102BE">
      <w:pPr>
        <w:numPr>
          <w:ilvl w:val="0"/>
          <w:numId w:val="24"/>
        </w:numPr>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improved communication channels with employers and injured workers;</w:t>
      </w:r>
    </w:p>
    <w:p w:rsidR="004102BE" w:rsidRPr="004102BE" w:rsidRDefault="004102BE" w:rsidP="004102BE">
      <w:pPr>
        <w:numPr>
          <w:ilvl w:val="0"/>
          <w:numId w:val="24"/>
        </w:numPr>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refined tools and processes to make key decisions throughout the “end-to-end” claims process;</w:t>
      </w:r>
    </w:p>
    <w:p w:rsidR="004102BE" w:rsidRPr="004102BE" w:rsidRDefault="004102BE" w:rsidP="004102BE">
      <w:pPr>
        <w:numPr>
          <w:ilvl w:val="0"/>
          <w:numId w:val="24"/>
        </w:numPr>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establishment of a Clinical Framework and a Clinical Panel; and</w:t>
      </w:r>
    </w:p>
    <w:p w:rsidR="004102BE" w:rsidRPr="004102BE" w:rsidRDefault="004102BE" w:rsidP="004102BE">
      <w:pPr>
        <w:numPr>
          <w:ilvl w:val="0"/>
          <w:numId w:val="24"/>
        </w:numPr>
        <w:spacing w:after="120"/>
        <w:ind w:left="1134" w:hanging="425"/>
        <w:rPr>
          <w:rFonts w:ascii="Calibri" w:eastAsiaTheme="minorHAnsi" w:hAnsi="Calibri" w:cs="Calibri"/>
          <w:sz w:val="22"/>
          <w:lang w:eastAsia="en-US"/>
        </w:rPr>
      </w:pPr>
      <w:proofErr w:type="gramStart"/>
      <w:r w:rsidRPr="004102BE">
        <w:rPr>
          <w:rFonts w:ascii="Calibri" w:eastAsiaTheme="minorHAnsi" w:hAnsi="Calibri" w:cs="Calibri"/>
          <w:sz w:val="22"/>
          <w:lang w:eastAsia="en-US"/>
        </w:rPr>
        <w:t>clearly</w:t>
      </w:r>
      <w:proofErr w:type="gramEnd"/>
      <w:r w:rsidRPr="004102BE">
        <w:rPr>
          <w:rFonts w:ascii="Calibri" w:eastAsiaTheme="minorHAnsi" w:hAnsi="Calibri" w:cs="Calibri"/>
          <w:sz w:val="22"/>
          <w:lang w:eastAsia="en-US"/>
        </w:rPr>
        <w:t xml:space="preserve"> defined metrics to monitor benefits.</w:t>
      </w:r>
    </w:p>
    <w:p w:rsidR="004102BE" w:rsidRPr="004102BE" w:rsidRDefault="00E97841" w:rsidP="004102BE">
      <w:pPr>
        <w:numPr>
          <w:ilvl w:val="1"/>
          <w:numId w:val="31"/>
        </w:numPr>
        <w:spacing w:after="120"/>
        <w:ind w:left="709" w:hanging="709"/>
        <w:rPr>
          <w:rFonts w:ascii="Calibri" w:eastAsiaTheme="minorHAnsi" w:hAnsi="Calibri" w:cs="Calibri"/>
          <w:sz w:val="22"/>
          <w:lang w:eastAsia="en-US"/>
        </w:rPr>
      </w:pPr>
      <w:r>
        <w:rPr>
          <w:rFonts w:ascii="Calibri" w:eastAsiaTheme="minorHAnsi" w:hAnsi="Calibri" w:cs="Calibri"/>
          <w:sz w:val="22"/>
          <w:lang w:eastAsia="en-US"/>
        </w:rPr>
        <w:t>PSE’s</w:t>
      </w:r>
      <w:r w:rsidRPr="004102BE">
        <w:rPr>
          <w:rFonts w:ascii="Calibri" w:eastAsiaTheme="minorHAnsi" w:hAnsi="Calibri" w:cs="Calibri"/>
          <w:sz w:val="22"/>
          <w:lang w:eastAsia="en-US"/>
        </w:rPr>
        <w:t xml:space="preserve"> </w:t>
      </w:r>
      <w:r w:rsidR="004102BE" w:rsidRPr="004102BE">
        <w:rPr>
          <w:rFonts w:ascii="Calibri" w:eastAsiaTheme="minorHAnsi" w:hAnsi="Calibri" w:cs="Calibri"/>
          <w:sz w:val="22"/>
          <w:lang w:eastAsia="en-US"/>
        </w:rPr>
        <w:t xml:space="preserve">major deliverables were geared towards improving claims management issues identified in the Ernst and Young report and a greater focus on the needs of the injured worker to </w:t>
      </w:r>
      <w:r w:rsidRPr="004102BE">
        <w:rPr>
          <w:rFonts w:ascii="Calibri" w:eastAsiaTheme="minorHAnsi" w:hAnsi="Calibri" w:cs="Calibri"/>
          <w:sz w:val="22"/>
          <w:lang w:eastAsia="en-US"/>
        </w:rPr>
        <w:t>improv</w:t>
      </w:r>
      <w:r>
        <w:rPr>
          <w:rFonts w:ascii="Calibri" w:eastAsiaTheme="minorHAnsi" w:hAnsi="Calibri" w:cs="Calibri"/>
          <w:sz w:val="22"/>
          <w:lang w:eastAsia="en-US"/>
        </w:rPr>
        <w:t>e</w:t>
      </w:r>
      <w:r w:rsidRPr="004102BE">
        <w:rPr>
          <w:rFonts w:ascii="Calibri" w:eastAsiaTheme="minorHAnsi" w:hAnsi="Calibri" w:cs="Calibri"/>
          <w:sz w:val="22"/>
          <w:lang w:eastAsia="en-US"/>
        </w:rPr>
        <w:t xml:space="preserve"> </w:t>
      </w:r>
      <w:r w:rsidR="004102BE" w:rsidRPr="004102BE">
        <w:rPr>
          <w:rFonts w:ascii="Calibri" w:eastAsiaTheme="minorHAnsi" w:hAnsi="Calibri" w:cs="Calibri"/>
          <w:sz w:val="22"/>
          <w:lang w:eastAsia="en-US"/>
        </w:rPr>
        <w:t>claims management and return to work outcomes.</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The benefits aimed to be achieved from PSE were stated to be:</w:t>
      </w:r>
    </w:p>
    <w:p w:rsidR="004102BE" w:rsidRPr="004102BE" w:rsidRDefault="004102BE" w:rsidP="004102BE">
      <w:pPr>
        <w:numPr>
          <w:ilvl w:val="0"/>
          <w:numId w:val="24"/>
        </w:numPr>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lastRenderedPageBreak/>
        <w:t>increased satisfaction of injured workers;</w:t>
      </w:r>
    </w:p>
    <w:p w:rsidR="004102BE" w:rsidRPr="004102BE" w:rsidRDefault="004102BE" w:rsidP="004102BE">
      <w:pPr>
        <w:numPr>
          <w:ilvl w:val="0"/>
          <w:numId w:val="24"/>
        </w:numPr>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 xml:space="preserve">increased satisfaction of </w:t>
      </w:r>
      <w:r w:rsidR="00F8255B" w:rsidRPr="004102BE">
        <w:rPr>
          <w:rFonts w:ascii="Calibri" w:eastAsiaTheme="minorHAnsi" w:hAnsi="Calibri" w:cs="Calibri"/>
          <w:sz w:val="22"/>
          <w:lang w:eastAsia="en-US"/>
        </w:rPr>
        <w:t>employe</w:t>
      </w:r>
      <w:r w:rsidR="00F8255B">
        <w:rPr>
          <w:rFonts w:ascii="Calibri" w:eastAsiaTheme="minorHAnsi" w:hAnsi="Calibri" w:cs="Calibri"/>
          <w:sz w:val="22"/>
          <w:lang w:eastAsia="en-US"/>
        </w:rPr>
        <w:t>r</w:t>
      </w:r>
      <w:r w:rsidR="00F8255B" w:rsidRPr="004102BE">
        <w:rPr>
          <w:rFonts w:ascii="Calibri" w:eastAsiaTheme="minorHAnsi" w:hAnsi="Calibri" w:cs="Calibri"/>
          <w:sz w:val="22"/>
          <w:lang w:eastAsia="en-US"/>
        </w:rPr>
        <w:t>s</w:t>
      </w:r>
      <w:r w:rsidRPr="004102BE">
        <w:rPr>
          <w:rFonts w:ascii="Calibri" w:eastAsiaTheme="minorHAnsi" w:hAnsi="Calibri" w:cs="Calibri"/>
          <w:sz w:val="22"/>
          <w:lang w:eastAsia="en-US"/>
        </w:rPr>
        <w:t>;</w:t>
      </w:r>
    </w:p>
    <w:p w:rsidR="004102BE" w:rsidRPr="004102BE" w:rsidRDefault="004102BE" w:rsidP="004102BE">
      <w:pPr>
        <w:numPr>
          <w:ilvl w:val="0"/>
          <w:numId w:val="24"/>
        </w:numPr>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clear understanding of roles and responsibilities in the new claims team structure;</w:t>
      </w:r>
    </w:p>
    <w:p w:rsidR="004102BE" w:rsidRPr="004102BE" w:rsidRDefault="004102BE" w:rsidP="004102BE">
      <w:pPr>
        <w:numPr>
          <w:ilvl w:val="0"/>
          <w:numId w:val="24"/>
        </w:numPr>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increased satisfaction and engagement of Recovery and Support employees;</w:t>
      </w:r>
    </w:p>
    <w:p w:rsidR="004102BE" w:rsidRPr="004102BE" w:rsidRDefault="004102BE" w:rsidP="004102BE">
      <w:pPr>
        <w:numPr>
          <w:ilvl w:val="0"/>
          <w:numId w:val="24"/>
        </w:numPr>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reduced time from injury to injury management activity/improved return to work outcomes;</w:t>
      </w:r>
    </w:p>
    <w:p w:rsidR="004102BE" w:rsidRPr="004102BE" w:rsidRDefault="004102BE" w:rsidP="004102BE">
      <w:pPr>
        <w:numPr>
          <w:ilvl w:val="0"/>
          <w:numId w:val="24"/>
        </w:numPr>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reduction in complaints related to delays in decision making;</w:t>
      </w:r>
    </w:p>
    <w:p w:rsidR="004102BE" w:rsidRPr="004102BE" w:rsidRDefault="004102BE" w:rsidP="004102BE">
      <w:pPr>
        <w:numPr>
          <w:ilvl w:val="0"/>
          <w:numId w:val="24"/>
        </w:numPr>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reduction in decisions overturned relating to inaccurate initial decisions on claims; and</w:t>
      </w:r>
    </w:p>
    <w:p w:rsidR="004102BE" w:rsidRPr="004102BE" w:rsidRDefault="004102BE" w:rsidP="004102BE">
      <w:pPr>
        <w:numPr>
          <w:ilvl w:val="0"/>
          <w:numId w:val="24"/>
        </w:numPr>
        <w:spacing w:after="120"/>
        <w:ind w:left="1134" w:hanging="425"/>
        <w:rPr>
          <w:rFonts w:ascii="Calibri" w:eastAsiaTheme="minorHAnsi" w:hAnsi="Calibri" w:cs="Calibri"/>
          <w:sz w:val="22"/>
          <w:lang w:eastAsia="en-US"/>
        </w:rPr>
      </w:pPr>
      <w:proofErr w:type="gramStart"/>
      <w:r w:rsidRPr="004102BE">
        <w:rPr>
          <w:rFonts w:ascii="Calibri" w:eastAsiaTheme="minorHAnsi" w:hAnsi="Calibri" w:cs="Calibri"/>
          <w:sz w:val="22"/>
          <w:lang w:eastAsia="en-US"/>
        </w:rPr>
        <w:t>reduced</w:t>
      </w:r>
      <w:proofErr w:type="gramEnd"/>
      <w:r w:rsidRPr="004102BE">
        <w:rPr>
          <w:rFonts w:ascii="Calibri" w:eastAsiaTheme="minorHAnsi" w:hAnsi="Calibri" w:cs="Calibri"/>
          <w:sz w:val="22"/>
          <w:lang w:eastAsia="en-US"/>
        </w:rPr>
        <w:t xml:space="preserve"> outstanding liabilities.</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 xml:space="preserve">The project concluded in February 2011 with the implementation of a new Service Delivery Model for the </w:t>
      </w:r>
      <w:r w:rsidR="00E97841">
        <w:rPr>
          <w:rFonts w:ascii="Calibri" w:eastAsiaTheme="minorHAnsi" w:hAnsi="Calibri" w:cs="Calibri"/>
          <w:sz w:val="22"/>
          <w:lang w:eastAsia="en-US"/>
        </w:rPr>
        <w:t>Recovery and Support Services Group (</w:t>
      </w:r>
      <w:r w:rsidRPr="004102BE">
        <w:rPr>
          <w:rFonts w:ascii="Calibri" w:eastAsiaTheme="minorHAnsi" w:hAnsi="Calibri" w:cs="Calibri"/>
          <w:sz w:val="22"/>
          <w:lang w:eastAsia="en-US"/>
        </w:rPr>
        <w:t>RSSG</w:t>
      </w:r>
      <w:r w:rsidR="00E97841">
        <w:rPr>
          <w:rFonts w:ascii="Calibri" w:eastAsiaTheme="minorHAnsi" w:hAnsi="Calibri" w:cs="Calibri"/>
          <w:sz w:val="22"/>
          <w:lang w:eastAsia="en-US"/>
        </w:rPr>
        <w:t>)</w:t>
      </w:r>
      <w:r w:rsidRPr="004102BE">
        <w:rPr>
          <w:rFonts w:ascii="Calibri" w:eastAsiaTheme="minorHAnsi" w:hAnsi="Calibri" w:cs="Calibri"/>
          <w:sz w:val="22"/>
          <w:lang w:eastAsia="en-US"/>
        </w:rPr>
        <w:t>. Major deliverables included:</w:t>
      </w:r>
    </w:p>
    <w:p w:rsidR="004102BE" w:rsidRPr="004102BE" w:rsidRDefault="004102BE" w:rsidP="004102BE">
      <w:pPr>
        <w:numPr>
          <w:ilvl w:val="0"/>
          <w:numId w:val="24"/>
        </w:numPr>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 xml:space="preserve">development of clearly defined roles and responsibilities for </w:t>
      </w:r>
      <w:r w:rsidR="00E97841">
        <w:rPr>
          <w:rFonts w:ascii="Calibri" w:eastAsiaTheme="minorHAnsi" w:hAnsi="Calibri" w:cs="Calibri"/>
          <w:sz w:val="22"/>
          <w:lang w:eastAsia="en-US"/>
        </w:rPr>
        <w:t>RSSG</w:t>
      </w:r>
      <w:r w:rsidR="00986338">
        <w:rPr>
          <w:rFonts w:ascii="Calibri" w:eastAsiaTheme="minorHAnsi" w:hAnsi="Calibri" w:cs="Calibri"/>
          <w:sz w:val="22"/>
          <w:lang w:eastAsia="en-US"/>
        </w:rPr>
        <w:t xml:space="preserve"> </w:t>
      </w:r>
      <w:r w:rsidRPr="004102BE">
        <w:rPr>
          <w:rFonts w:ascii="Calibri" w:eastAsiaTheme="minorHAnsi" w:hAnsi="Calibri" w:cs="Calibri"/>
          <w:sz w:val="22"/>
          <w:lang w:eastAsia="en-US"/>
        </w:rPr>
        <w:t>staff;</w:t>
      </w:r>
    </w:p>
    <w:p w:rsidR="004102BE" w:rsidRPr="004102BE" w:rsidRDefault="004102BE" w:rsidP="004102BE">
      <w:pPr>
        <w:numPr>
          <w:ilvl w:val="0"/>
          <w:numId w:val="24"/>
        </w:numPr>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development and implementation of guidelines to assist in determining how each claim would be assessed for segmentation;</w:t>
      </w:r>
    </w:p>
    <w:p w:rsidR="004102BE" w:rsidRPr="004102BE" w:rsidRDefault="004102BE" w:rsidP="004102BE">
      <w:pPr>
        <w:numPr>
          <w:ilvl w:val="0"/>
          <w:numId w:val="24"/>
        </w:numPr>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implementation of a new Claims Services Officer (CSO) workload model;</w:t>
      </w:r>
    </w:p>
    <w:p w:rsidR="004102BE" w:rsidRPr="004102BE" w:rsidRDefault="004102BE" w:rsidP="004102BE">
      <w:pPr>
        <w:numPr>
          <w:ilvl w:val="0"/>
          <w:numId w:val="24"/>
        </w:numPr>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establishment of a Clinical Panel to assist with the management of treatment-related issues;</w:t>
      </w:r>
    </w:p>
    <w:p w:rsidR="004102BE" w:rsidRPr="004102BE" w:rsidRDefault="004102BE" w:rsidP="004102BE">
      <w:pPr>
        <w:numPr>
          <w:ilvl w:val="0"/>
          <w:numId w:val="24"/>
        </w:numPr>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establishment of teams within each segment focussing on specific claims and/or injury profiles;</w:t>
      </w:r>
    </w:p>
    <w:p w:rsidR="004102BE" w:rsidRPr="004102BE" w:rsidRDefault="004102BE" w:rsidP="004102BE">
      <w:pPr>
        <w:numPr>
          <w:ilvl w:val="0"/>
          <w:numId w:val="24"/>
        </w:numPr>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 xml:space="preserve">development of new processes and tools to support the new Service Delivery Model; </w:t>
      </w:r>
    </w:p>
    <w:p w:rsidR="004102BE" w:rsidRPr="004102BE" w:rsidRDefault="004102BE" w:rsidP="004102BE">
      <w:pPr>
        <w:numPr>
          <w:ilvl w:val="0"/>
          <w:numId w:val="24"/>
        </w:numPr>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establishment of a dedicated Employer Relationship team to coordinate employer contact on strategic issues; and</w:t>
      </w:r>
    </w:p>
    <w:p w:rsidR="004102BE" w:rsidRPr="004102BE" w:rsidRDefault="004102BE" w:rsidP="004102BE">
      <w:pPr>
        <w:numPr>
          <w:ilvl w:val="0"/>
          <w:numId w:val="24"/>
        </w:numPr>
        <w:spacing w:after="120"/>
        <w:ind w:left="1134" w:hanging="425"/>
        <w:rPr>
          <w:rFonts w:ascii="Calibri" w:eastAsiaTheme="minorHAnsi" w:hAnsi="Calibri" w:cs="Calibri"/>
          <w:sz w:val="22"/>
          <w:lang w:eastAsia="en-US"/>
        </w:rPr>
      </w:pPr>
      <w:proofErr w:type="gramStart"/>
      <w:r w:rsidRPr="004102BE">
        <w:rPr>
          <w:rFonts w:ascii="Calibri" w:eastAsiaTheme="minorHAnsi" w:hAnsi="Calibri" w:cs="Calibri"/>
          <w:sz w:val="22"/>
          <w:lang w:eastAsia="en-US"/>
        </w:rPr>
        <w:t>changes</w:t>
      </w:r>
      <w:proofErr w:type="gramEnd"/>
      <w:r w:rsidRPr="004102BE">
        <w:rPr>
          <w:rFonts w:ascii="Calibri" w:eastAsiaTheme="minorHAnsi" w:hAnsi="Calibri" w:cs="Calibri"/>
          <w:sz w:val="22"/>
          <w:lang w:eastAsia="en-US"/>
        </w:rPr>
        <w:t xml:space="preserve"> to Comcare’s claims management system, Pracsys, to support the changes.</w:t>
      </w:r>
    </w:p>
    <w:p w:rsidR="004102BE" w:rsidRPr="004102BE" w:rsidRDefault="004102BE" w:rsidP="004102BE">
      <w:pPr>
        <w:numPr>
          <w:ilvl w:val="1"/>
          <w:numId w:val="31"/>
        </w:numPr>
        <w:spacing w:after="120"/>
        <w:ind w:left="709" w:hanging="709"/>
        <w:rPr>
          <w:rFonts w:asciiTheme="minorHAnsi" w:eastAsiaTheme="minorHAnsi" w:hAnsiTheme="minorHAnsi" w:cstheme="minorHAnsi"/>
          <w:sz w:val="22"/>
          <w:szCs w:val="22"/>
          <w:lang w:eastAsia="en-US"/>
        </w:rPr>
      </w:pPr>
      <w:r w:rsidRPr="004102BE">
        <w:rPr>
          <w:rFonts w:ascii="Calibri" w:eastAsiaTheme="minorHAnsi" w:hAnsi="Calibri" w:cs="Calibri"/>
          <w:sz w:val="22"/>
          <w:lang w:eastAsia="en-US"/>
        </w:rPr>
        <w:t>A</w:t>
      </w:r>
      <w:r w:rsidR="00E97841">
        <w:rPr>
          <w:rFonts w:ascii="Calibri" w:eastAsiaTheme="minorHAnsi" w:hAnsi="Calibri" w:cs="Calibri"/>
          <w:sz w:val="22"/>
          <w:lang w:eastAsia="en-US"/>
        </w:rPr>
        <w:t>n</w:t>
      </w:r>
      <w:r w:rsidRPr="004102BE">
        <w:rPr>
          <w:rFonts w:ascii="Calibri" w:eastAsiaTheme="minorHAnsi" w:hAnsi="Calibri" w:cs="Calibri"/>
          <w:sz w:val="22"/>
          <w:lang w:eastAsia="en-US"/>
        </w:rPr>
        <w:t xml:space="preserve"> Internal Audit review of PSE in mid 2012 concluded that more work was required in fine-tuning the model and that it was too early to determine whether or not it had actually achieved all of its key objectives</w:t>
      </w:r>
      <w:r w:rsidRPr="004102BE">
        <w:rPr>
          <w:rFonts w:asciiTheme="minorHAnsi" w:eastAsiaTheme="minorHAnsi" w:hAnsiTheme="minorHAnsi" w:cstheme="minorHAnsi"/>
          <w:sz w:val="22"/>
          <w:szCs w:val="22"/>
          <w:lang w:eastAsia="en-US"/>
        </w:rPr>
        <w:t>.</w:t>
      </w:r>
      <w:r w:rsidRPr="004102BE">
        <w:rPr>
          <w:rFonts w:asciiTheme="minorHAnsi" w:eastAsiaTheme="minorHAnsi" w:hAnsiTheme="minorHAnsi" w:cstheme="minorHAnsi"/>
          <w:sz w:val="22"/>
          <w:szCs w:val="22"/>
          <w:vertAlign w:val="superscript"/>
          <w:lang w:eastAsia="en-US"/>
        </w:rPr>
        <w:footnoteReference w:id="38"/>
      </w:r>
      <w:r w:rsidRPr="004102BE">
        <w:rPr>
          <w:rFonts w:asciiTheme="minorHAnsi" w:eastAsiaTheme="minorHAnsi" w:hAnsiTheme="minorHAnsi" w:cstheme="minorHAnsi"/>
          <w:sz w:val="22"/>
          <w:szCs w:val="22"/>
          <w:lang w:eastAsia="en-US"/>
        </w:rPr>
        <w:t xml:space="preserve"> The report:</w:t>
      </w:r>
    </w:p>
    <w:p w:rsidR="004102BE" w:rsidRPr="004102BE" w:rsidRDefault="004102BE" w:rsidP="004102BE">
      <w:pPr>
        <w:numPr>
          <w:ilvl w:val="0"/>
          <w:numId w:val="30"/>
        </w:numPr>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noted that PSE was implemented within a comparatively short timeframe that precluded piloting and detailed post-trial evaluation and refinement of tools, practices and mechanisms prior to their implementation;</w:t>
      </w:r>
    </w:p>
    <w:p w:rsidR="004102BE" w:rsidRPr="004102BE" w:rsidRDefault="004102BE" w:rsidP="004102BE">
      <w:pPr>
        <w:numPr>
          <w:ilvl w:val="0"/>
          <w:numId w:val="30"/>
        </w:numPr>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found that planned PSE deliverables had largely been implemented: and</w:t>
      </w:r>
    </w:p>
    <w:p w:rsidR="004102BE" w:rsidRPr="004102BE" w:rsidRDefault="004102BE" w:rsidP="004102BE">
      <w:pPr>
        <w:numPr>
          <w:ilvl w:val="0"/>
          <w:numId w:val="30"/>
        </w:numPr>
        <w:spacing w:after="120"/>
        <w:ind w:left="1134" w:hanging="425"/>
        <w:rPr>
          <w:rFonts w:ascii="Calibri" w:eastAsiaTheme="minorHAnsi" w:hAnsi="Calibri" w:cs="Calibri"/>
          <w:sz w:val="22"/>
          <w:lang w:eastAsia="en-US"/>
        </w:rPr>
      </w:pPr>
      <w:proofErr w:type="gramStart"/>
      <w:r w:rsidRPr="004102BE">
        <w:rPr>
          <w:rFonts w:ascii="Calibri" w:eastAsiaTheme="minorHAnsi" w:hAnsi="Calibri" w:cs="Calibri"/>
          <w:sz w:val="22"/>
          <w:lang w:eastAsia="en-US"/>
        </w:rPr>
        <w:t>noted</w:t>
      </w:r>
      <w:proofErr w:type="gramEnd"/>
      <w:r w:rsidRPr="004102BE">
        <w:rPr>
          <w:rFonts w:ascii="Calibri" w:eastAsiaTheme="minorHAnsi" w:hAnsi="Calibri" w:cs="Calibri"/>
          <w:sz w:val="22"/>
          <w:lang w:eastAsia="en-US"/>
        </w:rPr>
        <w:t xml:space="preserve"> that a number of areas required further refinement in order for their benefits to be fully realised.</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With regards to an assessment of PSE’s intended benefits, the audit report noted that there were no clearly defined mechanisms in place to monitor achievement of the project’s intended outcomes. Rather, the expectation was that PSE’s achievements would be reflected in the overall Comcare results as measured by Comcare’s KPIs such as the claims continuance rates and outstanding liabilities.</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lastRenderedPageBreak/>
        <w:t>Since PSE was implemented, the Comcare scheme’s financial performance has deteriorated, especially with regard to claims continuance rates and return to work performance. The KPI</w:t>
      </w:r>
      <w:r w:rsidRPr="004102BE">
        <w:rPr>
          <w:rFonts w:asciiTheme="minorHAnsi" w:eastAsiaTheme="minorHAnsi" w:hAnsiTheme="minorHAnsi" w:cstheme="minorHAnsi"/>
          <w:sz w:val="22"/>
          <w:szCs w:val="22"/>
          <w:lang w:eastAsia="en-US"/>
        </w:rPr>
        <w:t xml:space="preserve"> </w:t>
      </w:r>
      <w:r w:rsidRPr="004102BE">
        <w:rPr>
          <w:rFonts w:ascii="Calibri" w:eastAsiaTheme="minorHAnsi" w:hAnsi="Calibri" w:cs="Calibri"/>
          <w:sz w:val="22"/>
          <w:lang w:eastAsia="en-US"/>
        </w:rPr>
        <w:t xml:space="preserve">reports do, however, show improvements in performance have been made in </w:t>
      </w:r>
      <w:r w:rsidR="00E97841">
        <w:rPr>
          <w:rFonts w:ascii="Calibri" w:eastAsiaTheme="minorHAnsi" w:hAnsi="Calibri" w:cs="Calibri"/>
          <w:sz w:val="22"/>
          <w:lang w:eastAsia="en-US"/>
        </w:rPr>
        <w:t>some</w:t>
      </w:r>
      <w:r w:rsidRPr="004102BE">
        <w:rPr>
          <w:rFonts w:ascii="Calibri" w:eastAsiaTheme="minorHAnsi" w:hAnsi="Calibri" w:cs="Calibri"/>
          <w:sz w:val="22"/>
          <w:lang w:eastAsia="en-US"/>
        </w:rPr>
        <w:t xml:space="preserve"> areas, notably decision-making timelines. </w:t>
      </w:r>
      <w:r w:rsidRPr="0035663E">
        <w:rPr>
          <w:rFonts w:ascii="Calibri" w:eastAsiaTheme="minorHAnsi" w:hAnsi="Calibri" w:cs="Calibri"/>
          <w:sz w:val="22"/>
          <w:u w:val="single"/>
          <w:lang w:eastAsia="en-US"/>
        </w:rPr>
        <w:t>Annex E</w:t>
      </w:r>
      <w:r w:rsidRPr="004102BE">
        <w:rPr>
          <w:rFonts w:ascii="Calibri" w:eastAsiaTheme="minorHAnsi" w:hAnsi="Calibri" w:cs="Calibri"/>
          <w:sz w:val="22"/>
          <w:lang w:eastAsia="en-US"/>
        </w:rPr>
        <w:t xml:space="preserve"> shows the performance of RSSG as at 30 June 2012 </w:t>
      </w:r>
      <w:r w:rsidR="00E97841">
        <w:rPr>
          <w:rFonts w:ascii="Calibri" w:eastAsiaTheme="minorHAnsi" w:hAnsi="Calibri" w:cs="Calibri"/>
          <w:sz w:val="22"/>
          <w:lang w:eastAsia="en-US"/>
        </w:rPr>
        <w:t>against</w:t>
      </w:r>
      <w:r w:rsidRPr="004102BE">
        <w:rPr>
          <w:rFonts w:ascii="Calibri" w:eastAsiaTheme="minorHAnsi" w:hAnsi="Calibri" w:cs="Calibri"/>
          <w:sz w:val="22"/>
          <w:lang w:eastAsia="en-US"/>
        </w:rPr>
        <w:t xml:space="preserve"> the major KPIs relating to its role.  While PSE has only recently been implemented, the improvement in decision making timeframes needs to be considered against the </w:t>
      </w:r>
      <w:r w:rsidR="00E97841">
        <w:rPr>
          <w:rFonts w:ascii="Calibri" w:eastAsiaTheme="minorHAnsi" w:hAnsi="Calibri" w:cs="Calibri"/>
          <w:sz w:val="22"/>
          <w:lang w:eastAsia="en-US"/>
        </w:rPr>
        <w:t xml:space="preserve">upward </w:t>
      </w:r>
      <w:r w:rsidRPr="004102BE">
        <w:rPr>
          <w:rFonts w:ascii="Calibri" w:eastAsiaTheme="minorHAnsi" w:hAnsi="Calibri" w:cs="Calibri"/>
          <w:sz w:val="22"/>
          <w:lang w:eastAsia="en-US"/>
        </w:rPr>
        <w:t xml:space="preserve">trend for overall claims acceptance rates.  This is discussed further below, noting the </w:t>
      </w:r>
      <w:r w:rsidR="00F62990" w:rsidRPr="004102BE">
        <w:rPr>
          <w:rFonts w:ascii="Calibri" w:eastAsiaTheme="minorHAnsi" w:hAnsi="Calibri" w:cs="Calibri"/>
          <w:sz w:val="22"/>
          <w:lang w:eastAsia="en-US"/>
        </w:rPr>
        <w:t>imperative for</w:t>
      </w:r>
      <w:r w:rsidRPr="004102BE">
        <w:rPr>
          <w:rFonts w:ascii="Calibri" w:eastAsiaTheme="minorHAnsi" w:hAnsi="Calibri" w:cs="Calibri"/>
          <w:sz w:val="22"/>
          <w:lang w:eastAsia="en-US"/>
        </w:rPr>
        <w:t xml:space="preserve"> improvements in service timing to not adversely impact on the quality of claims assessments.</w:t>
      </w:r>
    </w:p>
    <w:p w:rsidR="004102BE" w:rsidRPr="004102BE" w:rsidRDefault="004102BE" w:rsidP="004102BE">
      <w:pPr>
        <w:numPr>
          <w:ilvl w:val="1"/>
          <w:numId w:val="31"/>
        </w:numPr>
        <w:spacing w:after="120"/>
        <w:ind w:left="709" w:hanging="709"/>
        <w:rPr>
          <w:rFonts w:asciiTheme="minorHAnsi" w:eastAsiaTheme="minorHAnsi" w:hAnsiTheme="minorHAnsi" w:cstheme="minorHAnsi"/>
          <w:sz w:val="22"/>
          <w:szCs w:val="22"/>
          <w:lang w:eastAsia="en-US"/>
        </w:rPr>
      </w:pPr>
      <w:r w:rsidRPr="004102BE">
        <w:rPr>
          <w:rFonts w:ascii="Calibri" w:eastAsiaTheme="minorHAnsi" w:hAnsi="Calibri" w:cs="Calibri"/>
          <w:sz w:val="22"/>
          <w:lang w:eastAsia="en-US"/>
        </w:rPr>
        <w:t xml:space="preserve">Comcare recognises that its overall performance needs to improve to realise the full intended benefits of PSE. There are some indicators of improvement in the KPIs and Comcare has recently implemented claims management initiatives to address </w:t>
      </w:r>
      <w:proofErr w:type="gramStart"/>
      <w:r w:rsidRPr="004102BE">
        <w:rPr>
          <w:rFonts w:ascii="Calibri" w:eastAsiaTheme="minorHAnsi" w:hAnsi="Calibri" w:cs="Calibri"/>
          <w:sz w:val="22"/>
          <w:lang w:eastAsia="en-US"/>
        </w:rPr>
        <w:t>performance which are</w:t>
      </w:r>
      <w:proofErr w:type="gramEnd"/>
      <w:r w:rsidRPr="004102BE">
        <w:rPr>
          <w:rFonts w:ascii="Calibri" w:eastAsiaTheme="minorHAnsi" w:hAnsi="Calibri" w:cs="Calibri"/>
          <w:sz w:val="22"/>
          <w:lang w:eastAsia="en-US"/>
        </w:rPr>
        <w:t xml:space="preserve"> discussed below. </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In terms of effectiveness</w:t>
      </w:r>
      <w:r w:rsidR="00E97841">
        <w:rPr>
          <w:rFonts w:ascii="Calibri" w:eastAsiaTheme="minorHAnsi" w:hAnsi="Calibri" w:cs="Calibri"/>
          <w:sz w:val="22"/>
          <w:lang w:eastAsia="en-US"/>
        </w:rPr>
        <w:t>,</w:t>
      </w:r>
      <w:r w:rsidRPr="004102BE">
        <w:rPr>
          <w:rFonts w:ascii="Calibri" w:eastAsiaTheme="minorHAnsi" w:hAnsi="Calibri" w:cs="Calibri"/>
          <w:sz w:val="22"/>
          <w:lang w:eastAsia="en-US"/>
        </w:rPr>
        <w:t xml:space="preserve"> it is important that trend indicators are developed which measure the effectiveness of PSE against its stated objectives.  It may be too short a time since commencement to assess </w:t>
      </w:r>
      <w:r w:rsidR="00E97841" w:rsidRPr="004102BE">
        <w:rPr>
          <w:rFonts w:ascii="Calibri" w:eastAsiaTheme="minorHAnsi" w:hAnsi="Calibri" w:cs="Calibri"/>
          <w:sz w:val="22"/>
          <w:lang w:eastAsia="en-US"/>
        </w:rPr>
        <w:t xml:space="preserve">fully </w:t>
      </w:r>
      <w:r w:rsidRPr="004102BE">
        <w:rPr>
          <w:rFonts w:ascii="Calibri" w:eastAsiaTheme="minorHAnsi" w:hAnsi="Calibri" w:cs="Calibri"/>
          <w:sz w:val="22"/>
          <w:lang w:eastAsia="en-US"/>
        </w:rPr>
        <w:t>the impact of PSE and Comcare’s response to the recent deterioration in scheme performance is a positive initiative</w:t>
      </w:r>
      <w:r w:rsidR="00F8255B">
        <w:rPr>
          <w:rFonts w:ascii="Calibri" w:eastAsiaTheme="minorHAnsi" w:hAnsi="Calibri" w:cs="Calibri"/>
          <w:sz w:val="22"/>
          <w:lang w:eastAsia="en-US"/>
        </w:rPr>
        <w:t>.</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Some of the measures that can be used to assess PSE’s success or otherwise are new so it is not possible to compare current performance with the past. They nevertheless provide a benchmark against which future improvements can be measured.</w:t>
      </w:r>
    </w:p>
    <w:p w:rsidR="004102BE" w:rsidRPr="004102BE" w:rsidRDefault="004102BE" w:rsidP="004102BE">
      <w:pPr>
        <w:spacing w:after="120"/>
        <w:rPr>
          <w:rFonts w:cstheme="minorHAnsi"/>
          <w:sz w:val="22"/>
          <w:szCs w:val="22"/>
        </w:rPr>
      </w:pPr>
      <w:r w:rsidRPr="004102BE">
        <w:rPr>
          <w:rFonts w:ascii="Calibri" w:hAnsi="Calibri" w:cs="Calibri"/>
          <w:b/>
          <w:sz w:val="22"/>
          <w:szCs w:val="22"/>
        </w:rPr>
        <w:t>Increased Satisfaction of Injured Employees</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The table below shows the overall satisfaction of injured employees for the premium payers in 2009-10 and again in 2011-12. The data for 2009-10 was collected by Colmar Brunton in a one off survey, while the data for 2011-12 collected by the Social Research Centre</w:t>
      </w:r>
      <w:r w:rsidR="00F8255B">
        <w:rPr>
          <w:rFonts w:ascii="Calibri" w:eastAsiaTheme="minorHAnsi" w:hAnsi="Calibri" w:cs="Calibri"/>
          <w:sz w:val="22"/>
          <w:lang w:eastAsia="en-US"/>
        </w:rPr>
        <w:t xml:space="preserve"> (SRC)</w:t>
      </w:r>
      <w:r w:rsidRPr="004102BE">
        <w:rPr>
          <w:rFonts w:ascii="Calibri" w:eastAsiaTheme="minorHAnsi" w:hAnsi="Calibri" w:cs="Calibri"/>
          <w:sz w:val="22"/>
          <w:lang w:eastAsia="en-US"/>
        </w:rPr>
        <w:t xml:space="preserve"> was based on two surveys conducted in November 2011 and again in May 2012.</w:t>
      </w:r>
    </w:p>
    <w:p w:rsidR="004102BE" w:rsidRPr="004102BE" w:rsidRDefault="004102BE" w:rsidP="004102BE">
      <w:pPr>
        <w:spacing w:before="120" w:after="120" w:line="288" w:lineRule="auto"/>
        <w:ind w:left="851"/>
        <w:jc w:val="center"/>
        <w:outlineLvl w:val="1"/>
        <w:rPr>
          <w:rFonts w:ascii="Calibri" w:eastAsiaTheme="minorHAnsi" w:hAnsi="Calibri" w:cs="Calibri"/>
          <w:b/>
          <w:sz w:val="22"/>
          <w:lang w:eastAsia="en-US"/>
        </w:rPr>
      </w:pPr>
      <w:bookmarkStart w:id="527" w:name="_Toc341778027"/>
      <w:bookmarkStart w:id="528" w:name="_Toc341780787"/>
      <w:bookmarkStart w:id="529" w:name="_Toc342578400"/>
      <w:r w:rsidRPr="004102BE">
        <w:rPr>
          <w:rFonts w:ascii="Calibri" w:eastAsiaTheme="minorHAnsi" w:hAnsi="Calibri" w:cs="Calibri"/>
          <w:b/>
          <w:sz w:val="22"/>
          <w:lang w:eastAsia="en-US"/>
        </w:rPr>
        <w:t>Table 2.6: Overall Satisfaction with Comcare</w:t>
      </w:r>
      <w:bookmarkEnd w:id="527"/>
      <w:bookmarkEnd w:id="528"/>
      <w:bookmarkEnd w:id="529"/>
    </w:p>
    <w:tbl>
      <w:tblPr>
        <w:tblW w:w="3569" w:type="pct"/>
        <w:jc w:val="center"/>
        <w:tblInd w:w="186" w:type="dxa"/>
        <w:tblLayout w:type="fixed"/>
        <w:tblCellMar>
          <w:left w:w="0" w:type="dxa"/>
          <w:right w:w="0" w:type="dxa"/>
        </w:tblCellMar>
        <w:tblLook w:val="04A0" w:firstRow="1" w:lastRow="0" w:firstColumn="1" w:lastColumn="0" w:noHBand="0" w:noVBand="1"/>
      </w:tblPr>
      <w:tblGrid>
        <w:gridCol w:w="2073"/>
        <w:gridCol w:w="2368"/>
        <w:gridCol w:w="2156"/>
      </w:tblGrid>
      <w:tr w:rsidR="004102BE" w:rsidRPr="004102BE" w:rsidTr="0035663E">
        <w:trPr>
          <w:trHeight w:val="300"/>
          <w:jc w:val="center"/>
        </w:trPr>
        <w:tc>
          <w:tcPr>
            <w:tcW w:w="1571" w:type="pct"/>
            <w:tcBorders>
              <w:top w:val="single" w:sz="8" w:space="0" w:color="4F81BD"/>
              <w:left w:val="nil"/>
              <w:bottom w:val="single" w:sz="8" w:space="0" w:color="4F81BD"/>
              <w:right w:val="nil"/>
            </w:tcBorders>
            <w:noWrap/>
            <w:tcMar>
              <w:top w:w="0" w:type="dxa"/>
              <w:left w:w="108" w:type="dxa"/>
              <w:bottom w:w="0" w:type="dxa"/>
              <w:right w:w="108" w:type="dxa"/>
            </w:tcMar>
            <w:hideMark/>
          </w:tcPr>
          <w:p w:rsidR="004102BE" w:rsidRPr="004102BE" w:rsidRDefault="004102BE" w:rsidP="004102BE">
            <w:pPr>
              <w:ind w:right="-145"/>
              <w:rPr>
                <w:rFonts w:eastAsiaTheme="minorEastAsia"/>
              </w:rPr>
            </w:pPr>
          </w:p>
        </w:tc>
        <w:tc>
          <w:tcPr>
            <w:tcW w:w="1795" w:type="pct"/>
            <w:tcBorders>
              <w:top w:val="single" w:sz="8" w:space="0" w:color="4F81BD"/>
              <w:left w:val="nil"/>
              <w:bottom w:val="single" w:sz="8" w:space="0" w:color="4F81BD"/>
              <w:right w:val="nil"/>
            </w:tcBorders>
            <w:noWrap/>
            <w:tcMar>
              <w:top w:w="0" w:type="dxa"/>
              <w:left w:w="108" w:type="dxa"/>
              <w:bottom w:w="0" w:type="dxa"/>
              <w:right w:w="108" w:type="dxa"/>
            </w:tcMar>
            <w:hideMark/>
          </w:tcPr>
          <w:p w:rsidR="004102BE" w:rsidRPr="004102BE" w:rsidRDefault="004102BE" w:rsidP="004102BE">
            <w:pPr>
              <w:ind w:left="851"/>
              <w:jc w:val="center"/>
              <w:rPr>
                <w:rFonts w:ascii="Arial" w:hAnsi="Arial" w:cs="Arial"/>
                <w:b/>
                <w:bCs/>
                <w:color w:val="000000"/>
                <w:sz w:val="16"/>
                <w:szCs w:val="16"/>
              </w:rPr>
            </w:pPr>
            <w:r w:rsidRPr="004102BE">
              <w:rPr>
                <w:rFonts w:ascii="Arial" w:hAnsi="Arial" w:cs="Arial"/>
                <w:b/>
                <w:bCs/>
                <w:color w:val="000000"/>
                <w:sz w:val="16"/>
                <w:szCs w:val="16"/>
              </w:rPr>
              <w:t>Colmar Brunton 2009-10</w:t>
            </w:r>
          </w:p>
        </w:tc>
        <w:tc>
          <w:tcPr>
            <w:tcW w:w="1634" w:type="pct"/>
            <w:tcBorders>
              <w:top w:val="single" w:sz="8" w:space="0" w:color="4F81BD"/>
              <w:left w:val="nil"/>
              <w:bottom w:val="single" w:sz="8" w:space="0" w:color="4F81BD"/>
              <w:right w:val="nil"/>
            </w:tcBorders>
            <w:noWrap/>
            <w:tcMar>
              <w:top w:w="0" w:type="dxa"/>
              <w:left w:w="108" w:type="dxa"/>
              <w:bottom w:w="0" w:type="dxa"/>
              <w:right w:w="108" w:type="dxa"/>
            </w:tcMar>
            <w:hideMark/>
          </w:tcPr>
          <w:p w:rsidR="004102BE" w:rsidRPr="004102BE" w:rsidRDefault="004102BE" w:rsidP="004102BE">
            <w:pPr>
              <w:ind w:left="851"/>
              <w:jc w:val="center"/>
              <w:rPr>
                <w:rFonts w:ascii="Arial" w:hAnsi="Arial" w:cs="Arial"/>
                <w:b/>
                <w:bCs/>
                <w:color w:val="000000"/>
                <w:sz w:val="16"/>
                <w:szCs w:val="16"/>
              </w:rPr>
            </w:pPr>
            <w:r w:rsidRPr="004102BE">
              <w:rPr>
                <w:rFonts w:ascii="Arial" w:hAnsi="Arial" w:cs="Arial"/>
                <w:b/>
                <w:bCs/>
                <w:color w:val="000000"/>
                <w:sz w:val="16"/>
                <w:szCs w:val="16"/>
              </w:rPr>
              <w:t>SRC</w:t>
            </w:r>
          </w:p>
          <w:p w:rsidR="004102BE" w:rsidRPr="004102BE" w:rsidRDefault="004102BE" w:rsidP="004102BE">
            <w:pPr>
              <w:ind w:left="851"/>
              <w:jc w:val="center"/>
              <w:rPr>
                <w:rFonts w:ascii="Arial" w:hAnsi="Arial" w:cs="Arial"/>
                <w:b/>
                <w:bCs/>
                <w:color w:val="000000"/>
                <w:sz w:val="16"/>
                <w:szCs w:val="16"/>
              </w:rPr>
            </w:pPr>
            <w:r w:rsidRPr="004102BE">
              <w:rPr>
                <w:rFonts w:ascii="Arial" w:hAnsi="Arial" w:cs="Arial"/>
                <w:b/>
                <w:bCs/>
                <w:color w:val="000000"/>
                <w:sz w:val="16"/>
                <w:szCs w:val="16"/>
              </w:rPr>
              <w:t>2011-12</w:t>
            </w:r>
          </w:p>
        </w:tc>
      </w:tr>
      <w:tr w:rsidR="004102BE" w:rsidRPr="004102BE" w:rsidTr="0035663E">
        <w:trPr>
          <w:trHeight w:val="300"/>
          <w:jc w:val="center"/>
        </w:trPr>
        <w:tc>
          <w:tcPr>
            <w:tcW w:w="1571" w:type="pct"/>
            <w:tcBorders>
              <w:top w:val="single" w:sz="8" w:space="0" w:color="4F81BD"/>
            </w:tcBorders>
            <w:shd w:val="clear" w:color="auto" w:fill="FFFFFF" w:themeFill="background1"/>
            <w:noWrap/>
            <w:tcMar>
              <w:top w:w="0" w:type="dxa"/>
              <w:left w:w="108" w:type="dxa"/>
              <w:bottom w:w="0" w:type="dxa"/>
              <w:right w:w="108" w:type="dxa"/>
            </w:tcMar>
            <w:hideMark/>
          </w:tcPr>
          <w:p w:rsidR="004102BE" w:rsidRPr="004102BE" w:rsidRDefault="004102BE" w:rsidP="004102BE">
            <w:pPr>
              <w:ind w:left="787"/>
              <w:jc w:val="both"/>
              <w:rPr>
                <w:rFonts w:ascii="Arial" w:hAnsi="Arial" w:cs="Arial"/>
                <w:b/>
                <w:bCs/>
                <w:color w:val="000000"/>
                <w:sz w:val="16"/>
                <w:szCs w:val="16"/>
              </w:rPr>
            </w:pPr>
            <w:r w:rsidRPr="004102BE">
              <w:rPr>
                <w:rFonts w:ascii="Arial" w:hAnsi="Arial" w:cs="Arial"/>
                <w:b/>
                <w:bCs/>
                <w:color w:val="000000"/>
                <w:sz w:val="16"/>
                <w:szCs w:val="16"/>
              </w:rPr>
              <w:t>Very satisfied</w:t>
            </w:r>
          </w:p>
        </w:tc>
        <w:tc>
          <w:tcPr>
            <w:tcW w:w="1795" w:type="pct"/>
            <w:tcBorders>
              <w:top w:val="single" w:sz="8" w:space="0" w:color="4F81BD"/>
            </w:tcBorders>
            <w:shd w:val="clear" w:color="auto" w:fill="FFFFFF" w:themeFill="background1"/>
            <w:noWrap/>
            <w:tcMar>
              <w:top w:w="0" w:type="dxa"/>
              <w:left w:w="108" w:type="dxa"/>
              <w:bottom w:w="0" w:type="dxa"/>
              <w:right w:w="108" w:type="dxa"/>
            </w:tcMar>
            <w:hideMark/>
          </w:tcPr>
          <w:p w:rsidR="004102BE" w:rsidRPr="004102BE" w:rsidRDefault="004102BE" w:rsidP="004102BE">
            <w:pPr>
              <w:ind w:left="851"/>
              <w:jc w:val="center"/>
              <w:rPr>
                <w:rFonts w:ascii="Arial" w:hAnsi="Arial" w:cs="Arial"/>
                <w:color w:val="000000"/>
                <w:sz w:val="16"/>
                <w:szCs w:val="16"/>
              </w:rPr>
            </w:pPr>
            <w:r w:rsidRPr="004102BE">
              <w:rPr>
                <w:rFonts w:ascii="Arial" w:hAnsi="Arial" w:cs="Arial"/>
                <w:color w:val="000000"/>
                <w:sz w:val="16"/>
                <w:szCs w:val="16"/>
              </w:rPr>
              <w:t>32%</w:t>
            </w:r>
          </w:p>
        </w:tc>
        <w:tc>
          <w:tcPr>
            <w:tcW w:w="1634" w:type="pct"/>
            <w:tcBorders>
              <w:top w:val="single" w:sz="8" w:space="0" w:color="4F81BD"/>
            </w:tcBorders>
            <w:shd w:val="clear" w:color="auto" w:fill="FFFFFF" w:themeFill="background1"/>
            <w:noWrap/>
            <w:tcMar>
              <w:top w:w="0" w:type="dxa"/>
              <w:left w:w="108" w:type="dxa"/>
              <w:bottom w:w="0" w:type="dxa"/>
              <w:right w:w="108" w:type="dxa"/>
            </w:tcMar>
            <w:hideMark/>
          </w:tcPr>
          <w:p w:rsidR="004102BE" w:rsidRPr="004102BE" w:rsidRDefault="004102BE" w:rsidP="004102BE">
            <w:pPr>
              <w:ind w:left="851"/>
              <w:jc w:val="center"/>
              <w:rPr>
                <w:rFonts w:ascii="Arial" w:hAnsi="Arial" w:cs="Arial"/>
                <w:color w:val="000000"/>
                <w:sz w:val="16"/>
                <w:szCs w:val="16"/>
              </w:rPr>
            </w:pPr>
            <w:r w:rsidRPr="004102BE">
              <w:rPr>
                <w:rFonts w:ascii="Arial" w:hAnsi="Arial" w:cs="Arial"/>
                <w:color w:val="000000"/>
                <w:sz w:val="16"/>
                <w:szCs w:val="16"/>
              </w:rPr>
              <w:t>32%</w:t>
            </w:r>
          </w:p>
        </w:tc>
      </w:tr>
      <w:tr w:rsidR="004102BE" w:rsidRPr="004102BE" w:rsidTr="0035663E">
        <w:trPr>
          <w:trHeight w:val="300"/>
          <w:jc w:val="center"/>
        </w:trPr>
        <w:tc>
          <w:tcPr>
            <w:tcW w:w="1571" w:type="pct"/>
            <w:noWrap/>
            <w:tcMar>
              <w:top w:w="0" w:type="dxa"/>
              <w:left w:w="108" w:type="dxa"/>
              <w:bottom w:w="0" w:type="dxa"/>
              <w:right w:w="108" w:type="dxa"/>
            </w:tcMar>
            <w:hideMark/>
          </w:tcPr>
          <w:p w:rsidR="004102BE" w:rsidRPr="004102BE" w:rsidRDefault="004102BE" w:rsidP="004102BE">
            <w:pPr>
              <w:ind w:left="787"/>
              <w:jc w:val="both"/>
              <w:rPr>
                <w:rFonts w:ascii="Arial" w:hAnsi="Arial" w:cs="Arial"/>
                <w:b/>
                <w:bCs/>
                <w:color w:val="000000"/>
                <w:sz w:val="16"/>
                <w:szCs w:val="16"/>
              </w:rPr>
            </w:pPr>
            <w:r w:rsidRPr="004102BE">
              <w:rPr>
                <w:rFonts w:ascii="Arial" w:hAnsi="Arial" w:cs="Arial"/>
                <w:b/>
                <w:bCs/>
                <w:color w:val="000000"/>
                <w:sz w:val="16"/>
                <w:szCs w:val="16"/>
              </w:rPr>
              <w:t>Satisfied</w:t>
            </w:r>
          </w:p>
        </w:tc>
        <w:tc>
          <w:tcPr>
            <w:tcW w:w="1795" w:type="pct"/>
            <w:noWrap/>
            <w:tcMar>
              <w:top w:w="0" w:type="dxa"/>
              <w:left w:w="108" w:type="dxa"/>
              <w:bottom w:w="0" w:type="dxa"/>
              <w:right w:w="108" w:type="dxa"/>
            </w:tcMar>
            <w:hideMark/>
          </w:tcPr>
          <w:p w:rsidR="004102BE" w:rsidRPr="004102BE" w:rsidRDefault="004102BE" w:rsidP="004102BE">
            <w:pPr>
              <w:ind w:left="851"/>
              <w:jc w:val="center"/>
              <w:rPr>
                <w:rFonts w:ascii="Arial" w:hAnsi="Arial" w:cs="Arial"/>
                <w:color w:val="000000"/>
                <w:sz w:val="16"/>
                <w:szCs w:val="16"/>
              </w:rPr>
            </w:pPr>
            <w:r w:rsidRPr="004102BE">
              <w:rPr>
                <w:rFonts w:ascii="Arial" w:hAnsi="Arial" w:cs="Arial"/>
                <w:color w:val="000000"/>
                <w:sz w:val="16"/>
                <w:szCs w:val="16"/>
              </w:rPr>
              <w:t>26%</w:t>
            </w:r>
          </w:p>
        </w:tc>
        <w:tc>
          <w:tcPr>
            <w:tcW w:w="1634" w:type="pct"/>
            <w:noWrap/>
            <w:tcMar>
              <w:top w:w="0" w:type="dxa"/>
              <w:left w:w="108" w:type="dxa"/>
              <w:bottom w:w="0" w:type="dxa"/>
              <w:right w:w="108" w:type="dxa"/>
            </w:tcMar>
            <w:hideMark/>
          </w:tcPr>
          <w:p w:rsidR="004102BE" w:rsidRPr="004102BE" w:rsidRDefault="004102BE" w:rsidP="004102BE">
            <w:pPr>
              <w:ind w:left="851"/>
              <w:jc w:val="center"/>
              <w:rPr>
                <w:rFonts w:ascii="Arial" w:hAnsi="Arial" w:cs="Arial"/>
                <w:color w:val="000000"/>
                <w:sz w:val="16"/>
                <w:szCs w:val="16"/>
              </w:rPr>
            </w:pPr>
            <w:r w:rsidRPr="004102BE">
              <w:rPr>
                <w:rFonts w:ascii="Arial" w:hAnsi="Arial" w:cs="Arial"/>
                <w:color w:val="000000"/>
                <w:sz w:val="16"/>
                <w:szCs w:val="16"/>
              </w:rPr>
              <w:t>45%</w:t>
            </w:r>
          </w:p>
        </w:tc>
      </w:tr>
      <w:tr w:rsidR="004102BE" w:rsidRPr="004102BE" w:rsidTr="0035663E">
        <w:trPr>
          <w:trHeight w:val="300"/>
          <w:jc w:val="center"/>
        </w:trPr>
        <w:tc>
          <w:tcPr>
            <w:tcW w:w="1571" w:type="pct"/>
            <w:shd w:val="clear" w:color="auto" w:fill="FFFFFF" w:themeFill="background1"/>
            <w:noWrap/>
            <w:tcMar>
              <w:top w:w="0" w:type="dxa"/>
              <w:left w:w="108" w:type="dxa"/>
              <w:bottom w:w="0" w:type="dxa"/>
              <w:right w:w="108" w:type="dxa"/>
            </w:tcMar>
            <w:hideMark/>
          </w:tcPr>
          <w:p w:rsidR="004102BE" w:rsidRPr="004102BE" w:rsidRDefault="004102BE" w:rsidP="004102BE">
            <w:pPr>
              <w:ind w:left="787"/>
              <w:jc w:val="both"/>
              <w:rPr>
                <w:rFonts w:ascii="Arial" w:hAnsi="Arial" w:cs="Arial"/>
                <w:b/>
                <w:bCs/>
                <w:color w:val="000000"/>
                <w:sz w:val="16"/>
                <w:szCs w:val="16"/>
              </w:rPr>
            </w:pPr>
            <w:r w:rsidRPr="004102BE">
              <w:rPr>
                <w:rFonts w:ascii="Arial" w:hAnsi="Arial" w:cs="Arial"/>
                <w:b/>
                <w:bCs/>
                <w:color w:val="000000"/>
                <w:sz w:val="16"/>
                <w:szCs w:val="16"/>
              </w:rPr>
              <w:t>Neither</w:t>
            </w:r>
          </w:p>
        </w:tc>
        <w:tc>
          <w:tcPr>
            <w:tcW w:w="1795" w:type="pct"/>
            <w:shd w:val="clear" w:color="auto" w:fill="FFFFFF" w:themeFill="background1"/>
            <w:noWrap/>
            <w:tcMar>
              <w:top w:w="0" w:type="dxa"/>
              <w:left w:w="108" w:type="dxa"/>
              <w:bottom w:w="0" w:type="dxa"/>
              <w:right w:w="108" w:type="dxa"/>
            </w:tcMar>
            <w:hideMark/>
          </w:tcPr>
          <w:p w:rsidR="004102BE" w:rsidRPr="004102BE" w:rsidRDefault="004102BE" w:rsidP="004102BE">
            <w:pPr>
              <w:ind w:left="851"/>
              <w:jc w:val="center"/>
              <w:rPr>
                <w:rFonts w:ascii="Arial" w:hAnsi="Arial" w:cs="Arial"/>
                <w:color w:val="000000"/>
                <w:sz w:val="16"/>
                <w:szCs w:val="16"/>
              </w:rPr>
            </w:pPr>
            <w:r w:rsidRPr="004102BE">
              <w:rPr>
                <w:rFonts w:ascii="Arial" w:hAnsi="Arial" w:cs="Arial"/>
                <w:color w:val="000000"/>
                <w:sz w:val="16"/>
                <w:szCs w:val="16"/>
              </w:rPr>
              <w:t>22%</w:t>
            </w:r>
          </w:p>
        </w:tc>
        <w:tc>
          <w:tcPr>
            <w:tcW w:w="1634" w:type="pct"/>
            <w:shd w:val="clear" w:color="auto" w:fill="FFFFFF" w:themeFill="background1"/>
            <w:noWrap/>
            <w:tcMar>
              <w:top w:w="0" w:type="dxa"/>
              <w:left w:w="108" w:type="dxa"/>
              <w:bottom w:w="0" w:type="dxa"/>
              <w:right w:w="108" w:type="dxa"/>
            </w:tcMar>
            <w:hideMark/>
          </w:tcPr>
          <w:p w:rsidR="004102BE" w:rsidRPr="004102BE" w:rsidRDefault="004102BE" w:rsidP="004102BE">
            <w:pPr>
              <w:ind w:left="851"/>
              <w:jc w:val="center"/>
              <w:rPr>
                <w:rFonts w:ascii="Arial" w:hAnsi="Arial" w:cs="Arial"/>
                <w:color w:val="000000"/>
                <w:sz w:val="16"/>
                <w:szCs w:val="16"/>
              </w:rPr>
            </w:pPr>
            <w:r w:rsidRPr="004102BE">
              <w:rPr>
                <w:rFonts w:ascii="Arial" w:hAnsi="Arial" w:cs="Arial"/>
                <w:color w:val="000000"/>
                <w:sz w:val="16"/>
                <w:szCs w:val="16"/>
              </w:rPr>
              <w:t>5%</w:t>
            </w:r>
          </w:p>
        </w:tc>
      </w:tr>
      <w:tr w:rsidR="004102BE" w:rsidRPr="004102BE" w:rsidTr="0035663E">
        <w:trPr>
          <w:trHeight w:val="300"/>
          <w:jc w:val="center"/>
        </w:trPr>
        <w:tc>
          <w:tcPr>
            <w:tcW w:w="1571" w:type="pct"/>
            <w:noWrap/>
            <w:tcMar>
              <w:top w:w="0" w:type="dxa"/>
              <w:left w:w="108" w:type="dxa"/>
              <w:bottom w:w="0" w:type="dxa"/>
              <w:right w:w="108" w:type="dxa"/>
            </w:tcMar>
            <w:hideMark/>
          </w:tcPr>
          <w:p w:rsidR="004102BE" w:rsidRPr="004102BE" w:rsidRDefault="004102BE" w:rsidP="004102BE">
            <w:pPr>
              <w:ind w:left="787"/>
              <w:jc w:val="both"/>
              <w:rPr>
                <w:rFonts w:ascii="Arial" w:hAnsi="Arial" w:cs="Arial"/>
                <w:b/>
                <w:bCs/>
                <w:color w:val="000000"/>
                <w:sz w:val="16"/>
                <w:szCs w:val="16"/>
              </w:rPr>
            </w:pPr>
            <w:r w:rsidRPr="004102BE">
              <w:rPr>
                <w:rFonts w:ascii="Arial" w:hAnsi="Arial" w:cs="Arial"/>
                <w:b/>
                <w:bCs/>
                <w:color w:val="000000"/>
                <w:sz w:val="16"/>
                <w:szCs w:val="16"/>
              </w:rPr>
              <w:t>Dissatisfied</w:t>
            </w:r>
          </w:p>
        </w:tc>
        <w:tc>
          <w:tcPr>
            <w:tcW w:w="1795" w:type="pct"/>
            <w:noWrap/>
            <w:tcMar>
              <w:top w:w="0" w:type="dxa"/>
              <w:left w:w="108" w:type="dxa"/>
              <w:bottom w:w="0" w:type="dxa"/>
              <w:right w:w="108" w:type="dxa"/>
            </w:tcMar>
            <w:hideMark/>
          </w:tcPr>
          <w:p w:rsidR="004102BE" w:rsidRPr="004102BE" w:rsidRDefault="004102BE" w:rsidP="004102BE">
            <w:pPr>
              <w:ind w:left="851"/>
              <w:jc w:val="center"/>
              <w:rPr>
                <w:rFonts w:ascii="Arial" w:hAnsi="Arial" w:cs="Arial"/>
                <w:color w:val="000000"/>
                <w:sz w:val="16"/>
                <w:szCs w:val="16"/>
              </w:rPr>
            </w:pPr>
            <w:r w:rsidRPr="004102BE">
              <w:rPr>
                <w:rFonts w:ascii="Arial" w:hAnsi="Arial" w:cs="Arial"/>
                <w:color w:val="000000"/>
                <w:sz w:val="16"/>
                <w:szCs w:val="16"/>
              </w:rPr>
              <w:t>8%</w:t>
            </w:r>
          </w:p>
        </w:tc>
        <w:tc>
          <w:tcPr>
            <w:tcW w:w="1634" w:type="pct"/>
            <w:noWrap/>
            <w:tcMar>
              <w:top w:w="0" w:type="dxa"/>
              <w:left w:w="108" w:type="dxa"/>
              <w:bottom w:w="0" w:type="dxa"/>
              <w:right w:w="108" w:type="dxa"/>
            </w:tcMar>
            <w:hideMark/>
          </w:tcPr>
          <w:p w:rsidR="004102BE" w:rsidRPr="004102BE" w:rsidRDefault="004102BE" w:rsidP="004102BE">
            <w:pPr>
              <w:ind w:left="851"/>
              <w:jc w:val="center"/>
              <w:rPr>
                <w:rFonts w:ascii="Arial" w:hAnsi="Arial" w:cs="Arial"/>
                <w:color w:val="000000"/>
                <w:sz w:val="16"/>
                <w:szCs w:val="16"/>
              </w:rPr>
            </w:pPr>
            <w:r w:rsidRPr="004102BE">
              <w:rPr>
                <w:rFonts w:ascii="Arial" w:hAnsi="Arial" w:cs="Arial"/>
                <w:color w:val="000000"/>
                <w:sz w:val="16"/>
                <w:szCs w:val="16"/>
              </w:rPr>
              <w:t>11%</w:t>
            </w:r>
          </w:p>
        </w:tc>
      </w:tr>
      <w:tr w:rsidR="004102BE" w:rsidRPr="004102BE" w:rsidTr="0035663E">
        <w:trPr>
          <w:trHeight w:val="300"/>
          <w:jc w:val="center"/>
        </w:trPr>
        <w:tc>
          <w:tcPr>
            <w:tcW w:w="1571" w:type="pct"/>
            <w:shd w:val="clear" w:color="auto" w:fill="FFFFFF" w:themeFill="background1"/>
            <w:noWrap/>
            <w:tcMar>
              <w:top w:w="0" w:type="dxa"/>
              <w:left w:w="108" w:type="dxa"/>
              <w:bottom w:w="0" w:type="dxa"/>
              <w:right w:w="108" w:type="dxa"/>
            </w:tcMar>
            <w:hideMark/>
          </w:tcPr>
          <w:p w:rsidR="004102BE" w:rsidRPr="004102BE" w:rsidRDefault="004102BE" w:rsidP="004102BE">
            <w:pPr>
              <w:ind w:left="787"/>
              <w:jc w:val="both"/>
              <w:rPr>
                <w:rFonts w:ascii="Arial" w:hAnsi="Arial" w:cs="Arial"/>
                <w:b/>
                <w:bCs/>
                <w:color w:val="000000"/>
                <w:sz w:val="16"/>
                <w:szCs w:val="16"/>
              </w:rPr>
            </w:pPr>
            <w:r w:rsidRPr="004102BE">
              <w:rPr>
                <w:rFonts w:ascii="Arial" w:hAnsi="Arial" w:cs="Arial"/>
                <w:b/>
                <w:bCs/>
                <w:color w:val="000000"/>
                <w:sz w:val="16"/>
                <w:szCs w:val="16"/>
              </w:rPr>
              <w:t>Very dissatisfied</w:t>
            </w:r>
          </w:p>
        </w:tc>
        <w:tc>
          <w:tcPr>
            <w:tcW w:w="1795" w:type="pct"/>
            <w:shd w:val="clear" w:color="auto" w:fill="FFFFFF" w:themeFill="background1"/>
            <w:noWrap/>
            <w:tcMar>
              <w:top w:w="0" w:type="dxa"/>
              <w:left w:w="108" w:type="dxa"/>
              <w:bottom w:w="0" w:type="dxa"/>
              <w:right w:w="108" w:type="dxa"/>
            </w:tcMar>
            <w:hideMark/>
          </w:tcPr>
          <w:p w:rsidR="004102BE" w:rsidRPr="004102BE" w:rsidRDefault="004102BE" w:rsidP="004102BE">
            <w:pPr>
              <w:ind w:left="851"/>
              <w:jc w:val="center"/>
              <w:rPr>
                <w:rFonts w:ascii="Arial" w:hAnsi="Arial" w:cs="Arial"/>
                <w:color w:val="000000"/>
                <w:sz w:val="16"/>
                <w:szCs w:val="16"/>
              </w:rPr>
            </w:pPr>
            <w:r w:rsidRPr="004102BE">
              <w:rPr>
                <w:rFonts w:ascii="Arial" w:hAnsi="Arial" w:cs="Arial"/>
                <w:color w:val="000000"/>
                <w:sz w:val="16"/>
                <w:szCs w:val="16"/>
              </w:rPr>
              <w:t>10%</w:t>
            </w:r>
          </w:p>
        </w:tc>
        <w:tc>
          <w:tcPr>
            <w:tcW w:w="1634" w:type="pct"/>
            <w:shd w:val="clear" w:color="auto" w:fill="FFFFFF" w:themeFill="background1"/>
            <w:noWrap/>
            <w:tcMar>
              <w:top w:w="0" w:type="dxa"/>
              <w:left w:w="108" w:type="dxa"/>
              <w:bottom w:w="0" w:type="dxa"/>
              <w:right w:w="108" w:type="dxa"/>
            </w:tcMar>
            <w:hideMark/>
          </w:tcPr>
          <w:p w:rsidR="004102BE" w:rsidRPr="004102BE" w:rsidRDefault="004102BE" w:rsidP="004102BE">
            <w:pPr>
              <w:ind w:left="851"/>
              <w:jc w:val="center"/>
              <w:rPr>
                <w:rFonts w:ascii="Arial" w:hAnsi="Arial" w:cs="Arial"/>
                <w:color w:val="000000"/>
                <w:sz w:val="16"/>
                <w:szCs w:val="16"/>
              </w:rPr>
            </w:pPr>
            <w:r w:rsidRPr="004102BE">
              <w:rPr>
                <w:rFonts w:ascii="Arial" w:hAnsi="Arial" w:cs="Arial"/>
                <w:color w:val="000000"/>
                <w:sz w:val="16"/>
                <w:szCs w:val="16"/>
              </w:rPr>
              <w:t>6%</w:t>
            </w:r>
          </w:p>
        </w:tc>
      </w:tr>
      <w:tr w:rsidR="004102BE" w:rsidRPr="004102BE" w:rsidTr="004102BE">
        <w:trPr>
          <w:trHeight w:val="300"/>
          <w:jc w:val="center"/>
        </w:trPr>
        <w:tc>
          <w:tcPr>
            <w:tcW w:w="1571" w:type="pct"/>
            <w:tcBorders>
              <w:top w:val="nil"/>
              <w:left w:val="nil"/>
              <w:bottom w:val="single" w:sz="8" w:space="0" w:color="4F81BD"/>
              <w:right w:val="nil"/>
            </w:tcBorders>
            <w:noWrap/>
            <w:tcMar>
              <w:top w:w="0" w:type="dxa"/>
              <w:left w:w="108" w:type="dxa"/>
              <w:bottom w:w="0" w:type="dxa"/>
              <w:right w:w="108" w:type="dxa"/>
            </w:tcMar>
            <w:hideMark/>
          </w:tcPr>
          <w:p w:rsidR="004102BE" w:rsidRPr="004102BE" w:rsidRDefault="004102BE" w:rsidP="004102BE">
            <w:pPr>
              <w:ind w:left="787"/>
              <w:jc w:val="both"/>
              <w:rPr>
                <w:rFonts w:ascii="Arial" w:hAnsi="Arial" w:cs="Arial"/>
                <w:b/>
                <w:bCs/>
                <w:color w:val="000000"/>
                <w:sz w:val="16"/>
                <w:szCs w:val="16"/>
              </w:rPr>
            </w:pPr>
            <w:r w:rsidRPr="004102BE">
              <w:rPr>
                <w:rFonts w:ascii="Arial" w:hAnsi="Arial" w:cs="Arial"/>
                <w:b/>
                <w:bCs/>
                <w:color w:val="000000"/>
                <w:sz w:val="16"/>
                <w:szCs w:val="16"/>
              </w:rPr>
              <w:t>Don't know</w:t>
            </w:r>
          </w:p>
        </w:tc>
        <w:tc>
          <w:tcPr>
            <w:tcW w:w="1795" w:type="pct"/>
            <w:tcBorders>
              <w:top w:val="nil"/>
              <w:left w:val="nil"/>
              <w:bottom w:val="single" w:sz="8" w:space="0" w:color="4F81BD"/>
              <w:right w:val="nil"/>
            </w:tcBorders>
            <w:noWrap/>
            <w:tcMar>
              <w:top w:w="0" w:type="dxa"/>
              <w:left w:w="108" w:type="dxa"/>
              <w:bottom w:w="0" w:type="dxa"/>
              <w:right w:w="108" w:type="dxa"/>
            </w:tcMar>
            <w:hideMark/>
          </w:tcPr>
          <w:p w:rsidR="004102BE" w:rsidRPr="004102BE" w:rsidRDefault="004102BE" w:rsidP="004102BE">
            <w:pPr>
              <w:ind w:left="851"/>
              <w:jc w:val="center"/>
              <w:rPr>
                <w:rFonts w:ascii="Arial" w:hAnsi="Arial" w:cs="Arial"/>
                <w:color w:val="000000"/>
                <w:sz w:val="16"/>
                <w:szCs w:val="16"/>
              </w:rPr>
            </w:pPr>
            <w:r w:rsidRPr="004102BE">
              <w:rPr>
                <w:rFonts w:ascii="Arial" w:hAnsi="Arial" w:cs="Arial"/>
                <w:color w:val="000000"/>
                <w:sz w:val="16"/>
                <w:szCs w:val="16"/>
              </w:rPr>
              <w:t>1%</w:t>
            </w:r>
          </w:p>
        </w:tc>
        <w:tc>
          <w:tcPr>
            <w:tcW w:w="1634" w:type="pct"/>
            <w:tcBorders>
              <w:top w:val="nil"/>
              <w:left w:val="nil"/>
              <w:bottom w:val="single" w:sz="8" w:space="0" w:color="4F81BD"/>
              <w:right w:val="nil"/>
            </w:tcBorders>
            <w:noWrap/>
            <w:tcMar>
              <w:top w:w="0" w:type="dxa"/>
              <w:left w:w="108" w:type="dxa"/>
              <w:bottom w:w="0" w:type="dxa"/>
              <w:right w:w="108" w:type="dxa"/>
            </w:tcMar>
            <w:hideMark/>
          </w:tcPr>
          <w:p w:rsidR="004102BE" w:rsidRPr="004102BE" w:rsidRDefault="004102BE" w:rsidP="004102BE">
            <w:pPr>
              <w:ind w:left="851"/>
              <w:jc w:val="center"/>
              <w:rPr>
                <w:rFonts w:ascii="Arial" w:hAnsi="Arial" w:cs="Arial"/>
                <w:color w:val="000000"/>
                <w:sz w:val="16"/>
                <w:szCs w:val="16"/>
              </w:rPr>
            </w:pPr>
            <w:r w:rsidRPr="004102BE">
              <w:rPr>
                <w:rFonts w:ascii="Arial" w:hAnsi="Arial" w:cs="Arial"/>
                <w:color w:val="000000"/>
                <w:sz w:val="16"/>
                <w:szCs w:val="16"/>
              </w:rPr>
              <w:t>1%</w:t>
            </w:r>
          </w:p>
        </w:tc>
      </w:tr>
    </w:tbl>
    <w:p w:rsidR="004102BE" w:rsidRPr="004102BE" w:rsidRDefault="004102BE" w:rsidP="004102BE">
      <w:pPr>
        <w:keepNext/>
        <w:keepLines/>
        <w:spacing w:after="200" w:line="276" w:lineRule="auto"/>
        <w:ind w:left="709"/>
        <w:contextualSpacing/>
        <w:jc w:val="right"/>
        <w:rPr>
          <w:rFonts w:asciiTheme="minorHAnsi" w:eastAsiaTheme="minorHAnsi" w:hAnsiTheme="minorHAnsi" w:cstheme="minorBidi"/>
          <w:sz w:val="20"/>
          <w:szCs w:val="20"/>
          <w:lang w:eastAsia="en-US"/>
        </w:rPr>
      </w:pPr>
      <w:r w:rsidRPr="004102BE">
        <w:rPr>
          <w:rFonts w:asciiTheme="minorHAnsi" w:eastAsiaTheme="minorHAnsi" w:hAnsiTheme="minorHAnsi" w:cstheme="minorBidi"/>
          <w:sz w:val="20"/>
          <w:szCs w:val="20"/>
          <w:lang w:eastAsia="en-US"/>
        </w:rPr>
        <w:t>Source: Comcare</w:t>
      </w:r>
    </w:p>
    <w:p w:rsidR="004102BE" w:rsidRPr="004102BE" w:rsidRDefault="004102BE" w:rsidP="004102BE">
      <w:pPr>
        <w:rPr>
          <w:rFonts w:ascii="Calibri" w:hAnsi="Calibri" w:cs="Calibri"/>
        </w:rPr>
      </w:pP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 xml:space="preserve">The overall satisfaction of injured employees has risen from 58 per cent (net satisfaction) in 2009-10 to 77 per cent (net satisfaction) in 2011-12.  More importantly, the proportion of injured employees who were dissatisfied or very dissatisfied has dropped from 11 per cent in 2010 to </w:t>
      </w:r>
      <w:r w:rsidR="00F8255B">
        <w:rPr>
          <w:rFonts w:ascii="Calibri" w:eastAsiaTheme="minorHAnsi" w:hAnsi="Calibri" w:cs="Calibri"/>
          <w:sz w:val="22"/>
          <w:lang w:eastAsia="en-US"/>
        </w:rPr>
        <w:t>seven</w:t>
      </w:r>
      <w:r w:rsidR="00F8255B" w:rsidRPr="004102BE">
        <w:rPr>
          <w:rFonts w:ascii="Calibri" w:eastAsiaTheme="minorHAnsi" w:hAnsi="Calibri" w:cs="Calibri"/>
          <w:sz w:val="22"/>
          <w:lang w:eastAsia="en-US"/>
        </w:rPr>
        <w:t> </w:t>
      </w:r>
      <w:r w:rsidRPr="004102BE">
        <w:rPr>
          <w:rFonts w:ascii="Calibri" w:eastAsiaTheme="minorHAnsi" w:hAnsi="Calibri" w:cs="Calibri"/>
          <w:sz w:val="22"/>
          <w:lang w:eastAsia="en-US"/>
        </w:rPr>
        <w:t>per cent in 2011-12, and the proportion of injured employees who indicated that</w:t>
      </w:r>
      <w:r w:rsidRPr="004102BE">
        <w:rPr>
          <w:rFonts w:asciiTheme="minorHAnsi" w:eastAsiaTheme="minorHAnsi" w:hAnsiTheme="minorHAnsi" w:cstheme="minorBidi"/>
          <w:sz w:val="22"/>
          <w:szCs w:val="22"/>
          <w:lang w:eastAsia="en-US"/>
        </w:rPr>
        <w:t xml:space="preserve"> </w:t>
      </w:r>
      <w:r w:rsidRPr="004102BE">
        <w:rPr>
          <w:rFonts w:ascii="Calibri" w:eastAsiaTheme="minorHAnsi" w:hAnsi="Calibri" w:cs="Calibri"/>
          <w:sz w:val="22"/>
          <w:lang w:eastAsia="en-US"/>
        </w:rPr>
        <w:t xml:space="preserve">they were neither satisfied nor dissatisfied has also dropped from 22 per cent in 2009-10 to just </w:t>
      </w:r>
      <w:r w:rsidR="00F8255B">
        <w:rPr>
          <w:rFonts w:ascii="Calibri" w:eastAsiaTheme="minorHAnsi" w:hAnsi="Calibri" w:cs="Calibri"/>
          <w:sz w:val="22"/>
          <w:lang w:eastAsia="en-US"/>
        </w:rPr>
        <w:t>five</w:t>
      </w:r>
      <w:r w:rsidR="00F8255B" w:rsidRPr="004102BE">
        <w:rPr>
          <w:rFonts w:ascii="Calibri" w:eastAsiaTheme="minorHAnsi" w:hAnsi="Calibri" w:cs="Calibri"/>
          <w:sz w:val="22"/>
          <w:lang w:eastAsia="en-US"/>
        </w:rPr>
        <w:t> </w:t>
      </w:r>
      <w:r w:rsidRPr="004102BE">
        <w:rPr>
          <w:rFonts w:ascii="Calibri" w:eastAsiaTheme="minorHAnsi" w:hAnsi="Calibri" w:cs="Calibri"/>
          <w:sz w:val="22"/>
          <w:lang w:eastAsia="en-US"/>
        </w:rPr>
        <w:t>per cent in 2011-12.</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 xml:space="preserve">While it is not possible to attribute the improvements shown in the survey results solely to PSE, they </w:t>
      </w:r>
      <w:r w:rsidR="00F4669C">
        <w:rPr>
          <w:rFonts w:ascii="Calibri" w:eastAsiaTheme="minorHAnsi" w:hAnsi="Calibri" w:cs="Calibri"/>
          <w:sz w:val="22"/>
          <w:lang w:eastAsia="en-US"/>
        </w:rPr>
        <w:t>indicate</w:t>
      </w:r>
      <w:r w:rsidRPr="004102BE">
        <w:rPr>
          <w:rFonts w:ascii="Calibri" w:eastAsiaTheme="minorHAnsi" w:hAnsi="Calibri" w:cs="Calibri"/>
          <w:sz w:val="22"/>
          <w:lang w:eastAsia="en-US"/>
        </w:rPr>
        <w:t xml:space="preserve"> injured employees’ perceptions of </w:t>
      </w:r>
      <w:r w:rsidR="00F4669C" w:rsidRPr="004102BE">
        <w:rPr>
          <w:rFonts w:ascii="Calibri" w:eastAsiaTheme="minorHAnsi" w:hAnsi="Calibri" w:cs="Calibri"/>
          <w:sz w:val="22"/>
          <w:lang w:eastAsia="en-US"/>
        </w:rPr>
        <w:t xml:space="preserve">RSSG </w:t>
      </w:r>
      <w:r w:rsidRPr="004102BE">
        <w:rPr>
          <w:rFonts w:ascii="Calibri" w:eastAsiaTheme="minorHAnsi" w:hAnsi="Calibri" w:cs="Calibri"/>
          <w:sz w:val="22"/>
          <w:lang w:eastAsia="en-US"/>
        </w:rPr>
        <w:t>in providing claims and injury management support services following PSE implementation.</w:t>
      </w:r>
    </w:p>
    <w:p w:rsidR="004102BE" w:rsidRPr="004102BE" w:rsidRDefault="004102BE" w:rsidP="004102BE">
      <w:pPr>
        <w:spacing w:after="120"/>
        <w:rPr>
          <w:rFonts w:ascii="Calibri" w:hAnsi="Calibri" w:cs="Calibri"/>
          <w:sz w:val="22"/>
          <w:szCs w:val="22"/>
        </w:rPr>
      </w:pPr>
      <w:r w:rsidRPr="004102BE">
        <w:rPr>
          <w:rFonts w:ascii="Calibri" w:hAnsi="Calibri" w:cs="Calibri"/>
          <w:b/>
          <w:sz w:val="22"/>
          <w:szCs w:val="22"/>
        </w:rPr>
        <w:t>Increased Satisfaction of Employers</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lastRenderedPageBreak/>
        <w:t>The only data available comes from the results of the overall employer satisfaction survey of premium paying employers taken after PSE was implemented. While this does not provide an assessment of PSE’s success to date, it nevertheless provides a benchmark from which future improvements can be measured.</w:t>
      </w:r>
    </w:p>
    <w:p w:rsidR="004102BE" w:rsidRPr="004102BE" w:rsidRDefault="004102BE" w:rsidP="004102BE">
      <w:pPr>
        <w:spacing w:before="120" w:after="120" w:line="288" w:lineRule="auto"/>
        <w:jc w:val="center"/>
        <w:outlineLvl w:val="1"/>
        <w:rPr>
          <w:rFonts w:ascii="Calibri" w:eastAsiaTheme="minorHAnsi" w:hAnsi="Calibri" w:cs="Calibri"/>
          <w:b/>
          <w:sz w:val="22"/>
          <w:lang w:eastAsia="en-US"/>
        </w:rPr>
      </w:pPr>
      <w:bookmarkStart w:id="530" w:name="_Toc341778028"/>
      <w:bookmarkStart w:id="531" w:name="_Toc341780788"/>
      <w:bookmarkStart w:id="532" w:name="_Toc342578401"/>
      <w:r w:rsidRPr="004102BE">
        <w:rPr>
          <w:rFonts w:ascii="Calibri" w:eastAsiaTheme="minorHAnsi" w:hAnsi="Calibri" w:cs="Calibri"/>
          <w:b/>
          <w:sz w:val="22"/>
          <w:lang w:eastAsia="en-US"/>
        </w:rPr>
        <w:t>Table 2.7: Overall Satisfaction with Comcare (Employer Representatives)</w:t>
      </w:r>
      <w:bookmarkEnd w:id="530"/>
      <w:bookmarkEnd w:id="531"/>
      <w:bookmarkEnd w:id="532"/>
    </w:p>
    <w:tbl>
      <w:tblPr>
        <w:tblW w:w="3561" w:type="pct"/>
        <w:tblInd w:w="1384" w:type="dxa"/>
        <w:tblCellMar>
          <w:left w:w="0" w:type="dxa"/>
          <w:right w:w="0" w:type="dxa"/>
        </w:tblCellMar>
        <w:tblLook w:val="04A0" w:firstRow="1" w:lastRow="0" w:firstColumn="1" w:lastColumn="0" w:noHBand="0" w:noVBand="1"/>
      </w:tblPr>
      <w:tblGrid>
        <w:gridCol w:w="1488"/>
        <w:gridCol w:w="1399"/>
        <w:gridCol w:w="928"/>
        <w:gridCol w:w="2690"/>
      </w:tblGrid>
      <w:tr w:rsidR="004102BE" w:rsidRPr="004102BE" w:rsidTr="0035663E">
        <w:trPr>
          <w:trHeight w:val="300"/>
        </w:trPr>
        <w:tc>
          <w:tcPr>
            <w:tcW w:w="1144" w:type="pct"/>
            <w:tcBorders>
              <w:top w:val="single" w:sz="8" w:space="0" w:color="4F81BD"/>
              <w:left w:val="nil"/>
              <w:bottom w:val="single" w:sz="8" w:space="0" w:color="4F81BD"/>
              <w:right w:val="nil"/>
            </w:tcBorders>
            <w:noWrap/>
            <w:tcMar>
              <w:top w:w="0" w:type="dxa"/>
              <w:left w:w="108" w:type="dxa"/>
              <w:bottom w:w="0" w:type="dxa"/>
              <w:right w:w="108" w:type="dxa"/>
            </w:tcMar>
            <w:hideMark/>
          </w:tcPr>
          <w:p w:rsidR="004102BE" w:rsidRPr="004102BE" w:rsidRDefault="004102BE" w:rsidP="004102BE">
            <w:pPr>
              <w:rPr>
                <w:rFonts w:eastAsiaTheme="minorEastAsia"/>
              </w:rPr>
            </w:pPr>
          </w:p>
        </w:tc>
        <w:tc>
          <w:tcPr>
            <w:tcW w:w="1075" w:type="pct"/>
            <w:tcBorders>
              <w:top w:val="single" w:sz="8" w:space="0" w:color="4F81BD"/>
              <w:left w:val="nil"/>
              <w:bottom w:val="single" w:sz="8" w:space="0" w:color="4F81BD"/>
              <w:right w:val="nil"/>
            </w:tcBorders>
            <w:noWrap/>
            <w:tcMar>
              <w:top w:w="0" w:type="dxa"/>
              <w:left w:w="108" w:type="dxa"/>
              <w:bottom w:w="0" w:type="dxa"/>
              <w:right w:w="108" w:type="dxa"/>
            </w:tcMar>
            <w:vAlign w:val="center"/>
            <w:hideMark/>
          </w:tcPr>
          <w:p w:rsidR="004102BE" w:rsidRPr="004102BE" w:rsidRDefault="004102BE" w:rsidP="004102BE">
            <w:pPr>
              <w:jc w:val="center"/>
              <w:rPr>
                <w:rFonts w:ascii="Arial" w:hAnsi="Arial" w:cs="Arial"/>
                <w:b/>
                <w:bCs/>
                <w:color w:val="000000"/>
                <w:sz w:val="16"/>
                <w:szCs w:val="16"/>
              </w:rPr>
            </w:pPr>
            <w:r w:rsidRPr="004102BE">
              <w:rPr>
                <w:rFonts w:ascii="Arial" w:hAnsi="Arial" w:cs="Arial"/>
                <w:b/>
                <w:bCs/>
                <w:color w:val="000000"/>
                <w:sz w:val="16"/>
                <w:szCs w:val="16"/>
              </w:rPr>
              <w:t>November 2011</w:t>
            </w:r>
          </w:p>
        </w:tc>
        <w:tc>
          <w:tcPr>
            <w:tcW w:w="713" w:type="pct"/>
            <w:tcBorders>
              <w:top w:val="single" w:sz="8" w:space="0" w:color="4F81BD"/>
              <w:left w:val="nil"/>
              <w:bottom w:val="single" w:sz="8" w:space="0" w:color="4F81BD"/>
              <w:right w:val="nil"/>
            </w:tcBorders>
            <w:noWrap/>
            <w:tcMar>
              <w:top w:w="0" w:type="dxa"/>
              <w:left w:w="108" w:type="dxa"/>
              <w:bottom w:w="0" w:type="dxa"/>
              <w:right w:w="108" w:type="dxa"/>
            </w:tcMar>
            <w:vAlign w:val="center"/>
            <w:hideMark/>
          </w:tcPr>
          <w:p w:rsidR="004102BE" w:rsidRPr="004102BE" w:rsidRDefault="004102BE" w:rsidP="004102BE">
            <w:pPr>
              <w:jc w:val="center"/>
              <w:rPr>
                <w:rFonts w:ascii="Arial" w:hAnsi="Arial" w:cs="Arial"/>
                <w:b/>
                <w:bCs/>
                <w:color w:val="000000"/>
                <w:sz w:val="16"/>
                <w:szCs w:val="16"/>
              </w:rPr>
            </w:pPr>
            <w:r w:rsidRPr="004102BE">
              <w:rPr>
                <w:rFonts w:ascii="Arial" w:hAnsi="Arial" w:cs="Arial"/>
                <w:b/>
                <w:bCs/>
                <w:color w:val="000000"/>
                <w:sz w:val="16"/>
                <w:szCs w:val="16"/>
              </w:rPr>
              <w:t>May 2012</w:t>
            </w:r>
          </w:p>
        </w:tc>
        <w:tc>
          <w:tcPr>
            <w:tcW w:w="2068" w:type="pct"/>
            <w:tcBorders>
              <w:top w:val="single" w:sz="8" w:space="0" w:color="4F81BD"/>
              <w:left w:val="nil"/>
              <w:bottom w:val="single" w:sz="8" w:space="0" w:color="4F81BD"/>
              <w:right w:val="nil"/>
            </w:tcBorders>
            <w:hideMark/>
          </w:tcPr>
          <w:p w:rsidR="004102BE" w:rsidRPr="004102BE" w:rsidRDefault="004102BE" w:rsidP="004102BE">
            <w:pPr>
              <w:jc w:val="center"/>
              <w:rPr>
                <w:rFonts w:ascii="Arial" w:hAnsi="Arial" w:cs="Arial"/>
                <w:b/>
                <w:bCs/>
                <w:color w:val="000000"/>
                <w:sz w:val="16"/>
                <w:szCs w:val="16"/>
              </w:rPr>
            </w:pPr>
            <w:r w:rsidRPr="004102BE">
              <w:rPr>
                <w:rFonts w:ascii="Arial" w:hAnsi="Arial" w:cs="Arial"/>
                <w:b/>
                <w:bCs/>
                <w:color w:val="000000"/>
                <w:sz w:val="16"/>
                <w:szCs w:val="16"/>
              </w:rPr>
              <w:t>Combined 2011-12 Result</w:t>
            </w:r>
          </w:p>
        </w:tc>
      </w:tr>
      <w:tr w:rsidR="004102BE" w:rsidRPr="004102BE" w:rsidTr="0035663E">
        <w:trPr>
          <w:trHeight w:val="300"/>
        </w:trPr>
        <w:tc>
          <w:tcPr>
            <w:tcW w:w="1144" w:type="pct"/>
            <w:tcBorders>
              <w:top w:val="single" w:sz="8" w:space="0" w:color="4F81BD"/>
            </w:tcBorders>
            <w:shd w:val="clear" w:color="auto" w:fill="FFFFFF" w:themeFill="background1"/>
            <w:noWrap/>
            <w:tcMar>
              <w:top w:w="0" w:type="dxa"/>
              <w:left w:w="108" w:type="dxa"/>
              <w:bottom w:w="0" w:type="dxa"/>
              <w:right w:w="108" w:type="dxa"/>
            </w:tcMar>
            <w:hideMark/>
          </w:tcPr>
          <w:p w:rsidR="004102BE" w:rsidRPr="004102BE" w:rsidRDefault="004102BE" w:rsidP="004102BE">
            <w:pPr>
              <w:rPr>
                <w:rFonts w:ascii="Arial" w:hAnsi="Arial" w:cs="Arial"/>
                <w:b/>
                <w:bCs/>
                <w:color w:val="000000"/>
                <w:sz w:val="16"/>
                <w:szCs w:val="16"/>
              </w:rPr>
            </w:pPr>
            <w:r w:rsidRPr="004102BE">
              <w:rPr>
                <w:rFonts w:ascii="Arial" w:hAnsi="Arial" w:cs="Arial"/>
                <w:b/>
                <w:bCs/>
                <w:color w:val="000000"/>
                <w:sz w:val="16"/>
                <w:szCs w:val="16"/>
              </w:rPr>
              <w:t>Very satisfied</w:t>
            </w:r>
          </w:p>
        </w:tc>
        <w:tc>
          <w:tcPr>
            <w:tcW w:w="1075" w:type="pct"/>
            <w:tcBorders>
              <w:top w:val="single" w:sz="8" w:space="0" w:color="4F81BD"/>
            </w:tcBorders>
            <w:shd w:val="clear" w:color="auto" w:fill="FFFFFF" w:themeFill="background1"/>
            <w:noWrap/>
            <w:tcMar>
              <w:top w:w="0" w:type="dxa"/>
              <w:left w:w="108" w:type="dxa"/>
              <w:bottom w:w="0" w:type="dxa"/>
              <w:right w:w="108" w:type="dxa"/>
            </w:tcMar>
            <w:hideMark/>
          </w:tcPr>
          <w:p w:rsidR="004102BE" w:rsidRPr="004102BE" w:rsidRDefault="004102BE" w:rsidP="004102BE">
            <w:pPr>
              <w:jc w:val="center"/>
              <w:rPr>
                <w:rFonts w:ascii="Arial" w:hAnsi="Arial" w:cs="Arial"/>
                <w:color w:val="000000"/>
                <w:sz w:val="16"/>
                <w:szCs w:val="16"/>
              </w:rPr>
            </w:pPr>
            <w:r w:rsidRPr="004102BE">
              <w:rPr>
                <w:rFonts w:ascii="Arial" w:hAnsi="Arial" w:cs="Arial"/>
                <w:color w:val="000000"/>
                <w:sz w:val="16"/>
                <w:szCs w:val="16"/>
              </w:rPr>
              <w:t>11%</w:t>
            </w:r>
          </w:p>
        </w:tc>
        <w:tc>
          <w:tcPr>
            <w:tcW w:w="713" w:type="pct"/>
            <w:tcBorders>
              <w:top w:val="single" w:sz="8" w:space="0" w:color="4F81BD"/>
            </w:tcBorders>
            <w:shd w:val="clear" w:color="auto" w:fill="FFFFFF" w:themeFill="background1"/>
            <w:noWrap/>
            <w:tcMar>
              <w:top w:w="0" w:type="dxa"/>
              <w:left w:w="108" w:type="dxa"/>
              <w:bottom w:w="0" w:type="dxa"/>
              <w:right w:w="108" w:type="dxa"/>
            </w:tcMar>
            <w:hideMark/>
          </w:tcPr>
          <w:p w:rsidR="004102BE" w:rsidRPr="004102BE" w:rsidRDefault="004102BE" w:rsidP="004102BE">
            <w:pPr>
              <w:jc w:val="center"/>
              <w:rPr>
                <w:rFonts w:ascii="Arial" w:hAnsi="Arial" w:cs="Arial"/>
                <w:color w:val="000000"/>
                <w:sz w:val="16"/>
                <w:szCs w:val="16"/>
              </w:rPr>
            </w:pPr>
            <w:r w:rsidRPr="004102BE">
              <w:rPr>
                <w:rFonts w:ascii="Arial" w:hAnsi="Arial" w:cs="Arial"/>
                <w:color w:val="000000"/>
                <w:sz w:val="16"/>
                <w:szCs w:val="16"/>
              </w:rPr>
              <w:t>9%</w:t>
            </w:r>
          </w:p>
        </w:tc>
        <w:tc>
          <w:tcPr>
            <w:tcW w:w="2068" w:type="pct"/>
            <w:tcBorders>
              <w:top w:val="single" w:sz="8" w:space="0" w:color="4F81BD"/>
            </w:tcBorders>
            <w:shd w:val="clear" w:color="auto" w:fill="FFFFFF" w:themeFill="background1"/>
            <w:hideMark/>
          </w:tcPr>
          <w:p w:rsidR="004102BE" w:rsidRPr="004102BE" w:rsidRDefault="004102BE" w:rsidP="004102BE">
            <w:pPr>
              <w:jc w:val="center"/>
              <w:rPr>
                <w:rFonts w:ascii="Arial" w:hAnsi="Arial" w:cs="Arial"/>
                <w:color w:val="000000"/>
                <w:sz w:val="16"/>
                <w:szCs w:val="16"/>
              </w:rPr>
            </w:pPr>
            <w:r w:rsidRPr="004102BE">
              <w:rPr>
                <w:rFonts w:ascii="Arial" w:hAnsi="Arial" w:cs="Arial"/>
                <w:color w:val="000000"/>
                <w:sz w:val="16"/>
                <w:szCs w:val="16"/>
              </w:rPr>
              <w:t>10%</w:t>
            </w:r>
          </w:p>
        </w:tc>
      </w:tr>
      <w:tr w:rsidR="004102BE" w:rsidRPr="004102BE" w:rsidTr="0035663E">
        <w:trPr>
          <w:trHeight w:val="300"/>
        </w:trPr>
        <w:tc>
          <w:tcPr>
            <w:tcW w:w="1144" w:type="pct"/>
            <w:shd w:val="clear" w:color="auto" w:fill="FFFFFF" w:themeFill="background1"/>
            <w:noWrap/>
            <w:tcMar>
              <w:top w:w="0" w:type="dxa"/>
              <w:left w:w="108" w:type="dxa"/>
              <w:bottom w:w="0" w:type="dxa"/>
              <w:right w:w="108" w:type="dxa"/>
            </w:tcMar>
            <w:hideMark/>
          </w:tcPr>
          <w:p w:rsidR="004102BE" w:rsidRPr="004102BE" w:rsidRDefault="004102BE" w:rsidP="004102BE">
            <w:pPr>
              <w:rPr>
                <w:rFonts w:ascii="Arial" w:hAnsi="Arial" w:cs="Arial"/>
                <w:b/>
                <w:bCs/>
                <w:color w:val="000000"/>
                <w:sz w:val="16"/>
                <w:szCs w:val="16"/>
              </w:rPr>
            </w:pPr>
            <w:r w:rsidRPr="004102BE">
              <w:rPr>
                <w:rFonts w:ascii="Arial" w:hAnsi="Arial" w:cs="Arial"/>
                <w:b/>
                <w:bCs/>
                <w:color w:val="000000"/>
                <w:sz w:val="16"/>
                <w:szCs w:val="16"/>
              </w:rPr>
              <w:t>Satisfied</w:t>
            </w:r>
          </w:p>
        </w:tc>
        <w:tc>
          <w:tcPr>
            <w:tcW w:w="1075" w:type="pct"/>
            <w:shd w:val="clear" w:color="auto" w:fill="FFFFFF" w:themeFill="background1"/>
            <w:noWrap/>
            <w:tcMar>
              <w:top w:w="0" w:type="dxa"/>
              <w:left w:w="108" w:type="dxa"/>
              <w:bottom w:w="0" w:type="dxa"/>
              <w:right w:w="108" w:type="dxa"/>
            </w:tcMar>
            <w:hideMark/>
          </w:tcPr>
          <w:p w:rsidR="004102BE" w:rsidRPr="004102BE" w:rsidRDefault="004102BE" w:rsidP="004102BE">
            <w:pPr>
              <w:jc w:val="center"/>
              <w:rPr>
                <w:rFonts w:ascii="Arial" w:hAnsi="Arial" w:cs="Arial"/>
                <w:color w:val="000000"/>
                <w:sz w:val="16"/>
                <w:szCs w:val="16"/>
              </w:rPr>
            </w:pPr>
            <w:r w:rsidRPr="004102BE">
              <w:rPr>
                <w:rFonts w:ascii="Arial" w:hAnsi="Arial" w:cs="Arial"/>
                <w:color w:val="000000"/>
                <w:sz w:val="16"/>
                <w:szCs w:val="16"/>
              </w:rPr>
              <w:t>56%</w:t>
            </w:r>
          </w:p>
        </w:tc>
        <w:tc>
          <w:tcPr>
            <w:tcW w:w="713" w:type="pct"/>
            <w:shd w:val="clear" w:color="auto" w:fill="FFFFFF" w:themeFill="background1"/>
            <w:noWrap/>
            <w:tcMar>
              <w:top w:w="0" w:type="dxa"/>
              <w:left w:w="108" w:type="dxa"/>
              <w:bottom w:w="0" w:type="dxa"/>
              <w:right w:w="108" w:type="dxa"/>
            </w:tcMar>
            <w:hideMark/>
          </w:tcPr>
          <w:p w:rsidR="004102BE" w:rsidRPr="004102BE" w:rsidRDefault="004102BE" w:rsidP="004102BE">
            <w:pPr>
              <w:jc w:val="center"/>
              <w:rPr>
                <w:rFonts w:ascii="Arial" w:hAnsi="Arial" w:cs="Arial"/>
                <w:color w:val="000000"/>
                <w:sz w:val="16"/>
                <w:szCs w:val="16"/>
              </w:rPr>
            </w:pPr>
            <w:r w:rsidRPr="004102BE">
              <w:rPr>
                <w:rFonts w:ascii="Arial" w:hAnsi="Arial" w:cs="Arial"/>
                <w:color w:val="000000"/>
                <w:sz w:val="16"/>
                <w:szCs w:val="16"/>
              </w:rPr>
              <w:t>53%</w:t>
            </w:r>
          </w:p>
        </w:tc>
        <w:tc>
          <w:tcPr>
            <w:tcW w:w="2068" w:type="pct"/>
            <w:shd w:val="clear" w:color="auto" w:fill="FFFFFF" w:themeFill="background1"/>
            <w:hideMark/>
          </w:tcPr>
          <w:p w:rsidR="004102BE" w:rsidRPr="004102BE" w:rsidRDefault="004102BE" w:rsidP="004102BE">
            <w:pPr>
              <w:jc w:val="center"/>
              <w:rPr>
                <w:rFonts w:ascii="Arial" w:hAnsi="Arial" w:cs="Arial"/>
                <w:color w:val="000000"/>
                <w:sz w:val="16"/>
                <w:szCs w:val="16"/>
              </w:rPr>
            </w:pPr>
            <w:r w:rsidRPr="004102BE">
              <w:rPr>
                <w:rFonts w:ascii="Arial" w:hAnsi="Arial" w:cs="Arial"/>
                <w:color w:val="000000"/>
                <w:sz w:val="16"/>
                <w:szCs w:val="16"/>
              </w:rPr>
              <w:t>54%</w:t>
            </w:r>
          </w:p>
        </w:tc>
      </w:tr>
      <w:tr w:rsidR="004102BE" w:rsidRPr="004102BE" w:rsidTr="0035663E">
        <w:trPr>
          <w:trHeight w:val="300"/>
        </w:trPr>
        <w:tc>
          <w:tcPr>
            <w:tcW w:w="1144" w:type="pct"/>
            <w:shd w:val="clear" w:color="auto" w:fill="FFFFFF" w:themeFill="background1"/>
            <w:noWrap/>
            <w:tcMar>
              <w:top w:w="0" w:type="dxa"/>
              <w:left w:w="108" w:type="dxa"/>
              <w:bottom w:w="0" w:type="dxa"/>
              <w:right w:w="108" w:type="dxa"/>
            </w:tcMar>
            <w:hideMark/>
          </w:tcPr>
          <w:p w:rsidR="004102BE" w:rsidRPr="004102BE" w:rsidRDefault="004102BE" w:rsidP="004102BE">
            <w:pPr>
              <w:rPr>
                <w:rFonts w:ascii="Arial" w:hAnsi="Arial" w:cs="Arial"/>
                <w:b/>
                <w:bCs/>
                <w:color w:val="000000"/>
                <w:sz w:val="16"/>
                <w:szCs w:val="16"/>
              </w:rPr>
            </w:pPr>
            <w:r w:rsidRPr="004102BE">
              <w:rPr>
                <w:rFonts w:ascii="Arial" w:hAnsi="Arial" w:cs="Arial"/>
                <w:b/>
                <w:bCs/>
                <w:color w:val="000000"/>
                <w:sz w:val="16"/>
                <w:szCs w:val="16"/>
              </w:rPr>
              <w:t>Neither</w:t>
            </w:r>
          </w:p>
        </w:tc>
        <w:tc>
          <w:tcPr>
            <w:tcW w:w="1075" w:type="pct"/>
            <w:shd w:val="clear" w:color="auto" w:fill="FFFFFF" w:themeFill="background1"/>
            <w:noWrap/>
            <w:tcMar>
              <w:top w:w="0" w:type="dxa"/>
              <w:left w:w="108" w:type="dxa"/>
              <w:bottom w:w="0" w:type="dxa"/>
              <w:right w:w="108" w:type="dxa"/>
            </w:tcMar>
            <w:hideMark/>
          </w:tcPr>
          <w:p w:rsidR="004102BE" w:rsidRPr="004102BE" w:rsidRDefault="004102BE" w:rsidP="004102BE">
            <w:pPr>
              <w:jc w:val="center"/>
              <w:rPr>
                <w:rFonts w:ascii="Arial" w:hAnsi="Arial" w:cs="Arial"/>
                <w:color w:val="000000"/>
                <w:sz w:val="16"/>
                <w:szCs w:val="16"/>
              </w:rPr>
            </w:pPr>
            <w:r w:rsidRPr="004102BE">
              <w:rPr>
                <w:rFonts w:ascii="Arial" w:hAnsi="Arial" w:cs="Arial"/>
                <w:color w:val="000000"/>
                <w:sz w:val="16"/>
                <w:szCs w:val="16"/>
              </w:rPr>
              <w:t>12%</w:t>
            </w:r>
          </w:p>
        </w:tc>
        <w:tc>
          <w:tcPr>
            <w:tcW w:w="713" w:type="pct"/>
            <w:shd w:val="clear" w:color="auto" w:fill="FFFFFF" w:themeFill="background1"/>
            <w:noWrap/>
            <w:tcMar>
              <w:top w:w="0" w:type="dxa"/>
              <w:left w:w="108" w:type="dxa"/>
              <w:bottom w:w="0" w:type="dxa"/>
              <w:right w:w="108" w:type="dxa"/>
            </w:tcMar>
            <w:hideMark/>
          </w:tcPr>
          <w:p w:rsidR="004102BE" w:rsidRPr="004102BE" w:rsidRDefault="004102BE" w:rsidP="004102BE">
            <w:pPr>
              <w:jc w:val="center"/>
              <w:rPr>
                <w:rFonts w:ascii="Arial" w:hAnsi="Arial" w:cs="Arial"/>
                <w:color w:val="000000"/>
                <w:sz w:val="16"/>
                <w:szCs w:val="16"/>
              </w:rPr>
            </w:pPr>
            <w:r w:rsidRPr="004102BE">
              <w:rPr>
                <w:rFonts w:ascii="Arial" w:hAnsi="Arial" w:cs="Arial"/>
                <w:color w:val="000000"/>
                <w:sz w:val="16"/>
                <w:szCs w:val="16"/>
              </w:rPr>
              <w:t>17%</w:t>
            </w:r>
          </w:p>
        </w:tc>
        <w:tc>
          <w:tcPr>
            <w:tcW w:w="2068" w:type="pct"/>
            <w:shd w:val="clear" w:color="auto" w:fill="FFFFFF" w:themeFill="background1"/>
            <w:hideMark/>
          </w:tcPr>
          <w:p w:rsidR="004102BE" w:rsidRPr="004102BE" w:rsidRDefault="004102BE" w:rsidP="004102BE">
            <w:pPr>
              <w:jc w:val="center"/>
              <w:rPr>
                <w:rFonts w:ascii="Arial" w:hAnsi="Arial" w:cs="Arial"/>
                <w:color w:val="000000"/>
                <w:sz w:val="16"/>
                <w:szCs w:val="16"/>
              </w:rPr>
            </w:pPr>
            <w:r w:rsidRPr="004102BE">
              <w:rPr>
                <w:rFonts w:ascii="Arial" w:hAnsi="Arial" w:cs="Arial"/>
                <w:color w:val="000000"/>
                <w:sz w:val="16"/>
                <w:szCs w:val="16"/>
              </w:rPr>
              <w:t>14%</w:t>
            </w:r>
          </w:p>
        </w:tc>
      </w:tr>
      <w:tr w:rsidR="004102BE" w:rsidRPr="004102BE" w:rsidTr="0035663E">
        <w:trPr>
          <w:trHeight w:val="300"/>
        </w:trPr>
        <w:tc>
          <w:tcPr>
            <w:tcW w:w="1144" w:type="pct"/>
            <w:shd w:val="clear" w:color="auto" w:fill="FFFFFF" w:themeFill="background1"/>
            <w:noWrap/>
            <w:tcMar>
              <w:top w:w="0" w:type="dxa"/>
              <w:left w:w="108" w:type="dxa"/>
              <w:bottom w:w="0" w:type="dxa"/>
              <w:right w:w="108" w:type="dxa"/>
            </w:tcMar>
            <w:hideMark/>
          </w:tcPr>
          <w:p w:rsidR="004102BE" w:rsidRPr="004102BE" w:rsidRDefault="004102BE" w:rsidP="004102BE">
            <w:pPr>
              <w:rPr>
                <w:rFonts w:ascii="Arial" w:hAnsi="Arial" w:cs="Arial"/>
                <w:b/>
                <w:bCs/>
                <w:color w:val="000000"/>
                <w:sz w:val="16"/>
                <w:szCs w:val="16"/>
              </w:rPr>
            </w:pPr>
            <w:r w:rsidRPr="004102BE">
              <w:rPr>
                <w:rFonts w:ascii="Arial" w:hAnsi="Arial" w:cs="Arial"/>
                <w:b/>
                <w:bCs/>
                <w:color w:val="000000"/>
                <w:sz w:val="16"/>
                <w:szCs w:val="16"/>
              </w:rPr>
              <w:t>Dissatisfied</w:t>
            </w:r>
          </w:p>
        </w:tc>
        <w:tc>
          <w:tcPr>
            <w:tcW w:w="1075" w:type="pct"/>
            <w:shd w:val="clear" w:color="auto" w:fill="FFFFFF" w:themeFill="background1"/>
            <w:noWrap/>
            <w:tcMar>
              <w:top w:w="0" w:type="dxa"/>
              <w:left w:w="108" w:type="dxa"/>
              <w:bottom w:w="0" w:type="dxa"/>
              <w:right w:w="108" w:type="dxa"/>
            </w:tcMar>
            <w:hideMark/>
          </w:tcPr>
          <w:p w:rsidR="004102BE" w:rsidRPr="004102BE" w:rsidRDefault="004102BE" w:rsidP="004102BE">
            <w:pPr>
              <w:jc w:val="center"/>
              <w:rPr>
                <w:rFonts w:ascii="Arial" w:hAnsi="Arial" w:cs="Arial"/>
                <w:color w:val="000000"/>
                <w:sz w:val="16"/>
                <w:szCs w:val="16"/>
              </w:rPr>
            </w:pPr>
            <w:r w:rsidRPr="004102BE">
              <w:rPr>
                <w:rFonts w:ascii="Arial" w:hAnsi="Arial" w:cs="Arial"/>
                <w:color w:val="000000"/>
                <w:sz w:val="16"/>
                <w:szCs w:val="16"/>
              </w:rPr>
              <w:t>16%</w:t>
            </w:r>
          </w:p>
        </w:tc>
        <w:tc>
          <w:tcPr>
            <w:tcW w:w="713" w:type="pct"/>
            <w:shd w:val="clear" w:color="auto" w:fill="FFFFFF" w:themeFill="background1"/>
            <w:noWrap/>
            <w:tcMar>
              <w:top w:w="0" w:type="dxa"/>
              <w:left w:w="108" w:type="dxa"/>
              <w:bottom w:w="0" w:type="dxa"/>
              <w:right w:w="108" w:type="dxa"/>
            </w:tcMar>
            <w:hideMark/>
          </w:tcPr>
          <w:p w:rsidR="004102BE" w:rsidRPr="004102BE" w:rsidRDefault="004102BE" w:rsidP="004102BE">
            <w:pPr>
              <w:jc w:val="center"/>
              <w:rPr>
                <w:rFonts w:ascii="Arial" w:hAnsi="Arial" w:cs="Arial"/>
                <w:color w:val="000000"/>
                <w:sz w:val="16"/>
                <w:szCs w:val="16"/>
              </w:rPr>
            </w:pPr>
            <w:r w:rsidRPr="004102BE">
              <w:rPr>
                <w:rFonts w:ascii="Arial" w:hAnsi="Arial" w:cs="Arial"/>
                <w:color w:val="000000"/>
                <w:sz w:val="16"/>
                <w:szCs w:val="16"/>
              </w:rPr>
              <w:t>17%</w:t>
            </w:r>
          </w:p>
        </w:tc>
        <w:tc>
          <w:tcPr>
            <w:tcW w:w="2068" w:type="pct"/>
            <w:shd w:val="clear" w:color="auto" w:fill="FFFFFF" w:themeFill="background1"/>
            <w:hideMark/>
          </w:tcPr>
          <w:p w:rsidR="004102BE" w:rsidRPr="004102BE" w:rsidRDefault="004102BE" w:rsidP="004102BE">
            <w:pPr>
              <w:jc w:val="center"/>
              <w:rPr>
                <w:rFonts w:ascii="Arial" w:hAnsi="Arial" w:cs="Arial"/>
                <w:color w:val="000000"/>
                <w:sz w:val="16"/>
                <w:szCs w:val="16"/>
              </w:rPr>
            </w:pPr>
            <w:r w:rsidRPr="004102BE">
              <w:rPr>
                <w:rFonts w:ascii="Arial" w:hAnsi="Arial" w:cs="Arial"/>
                <w:color w:val="000000"/>
                <w:sz w:val="16"/>
                <w:szCs w:val="16"/>
              </w:rPr>
              <w:t>16%</w:t>
            </w:r>
          </w:p>
        </w:tc>
      </w:tr>
      <w:tr w:rsidR="004102BE" w:rsidRPr="004102BE" w:rsidTr="0035663E">
        <w:trPr>
          <w:trHeight w:val="656"/>
        </w:trPr>
        <w:tc>
          <w:tcPr>
            <w:tcW w:w="1144" w:type="pct"/>
            <w:shd w:val="clear" w:color="auto" w:fill="FFFFFF" w:themeFill="background1"/>
            <w:noWrap/>
            <w:tcMar>
              <w:top w:w="0" w:type="dxa"/>
              <w:left w:w="108" w:type="dxa"/>
              <w:bottom w:w="0" w:type="dxa"/>
              <w:right w:w="108" w:type="dxa"/>
            </w:tcMar>
            <w:hideMark/>
          </w:tcPr>
          <w:p w:rsidR="004102BE" w:rsidRPr="004102BE" w:rsidRDefault="004102BE" w:rsidP="004102BE">
            <w:pPr>
              <w:rPr>
                <w:rFonts w:ascii="Arial" w:hAnsi="Arial" w:cs="Arial"/>
                <w:b/>
                <w:bCs/>
                <w:color w:val="000000"/>
                <w:sz w:val="16"/>
                <w:szCs w:val="16"/>
              </w:rPr>
            </w:pPr>
            <w:r w:rsidRPr="004102BE">
              <w:rPr>
                <w:rFonts w:ascii="Arial" w:hAnsi="Arial" w:cs="Arial"/>
                <w:b/>
                <w:bCs/>
                <w:color w:val="000000"/>
                <w:sz w:val="16"/>
                <w:szCs w:val="16"/>
              </w:rPr>
              <w:t>Very dissatisfied</w:t>
            </w:r>
          </w:p>
        </w:tc>
        <w:tc>
          <w:tcPr>
            <w:tcW w:w="1075" w:type="pct"/>
            <w:shd w:val="clear" w:color="auto" w:fill="FFFFFF" w:themeFill="background1"/>
            <w:noWrap/>
            <w:tcMar>
              <w:top w:w="0" w:type="dxa"/>
              <w:left w:w="108" w:type="dxa"/>
              <w:bottom w:w="0" w:type="dxa"/>
              <w:right w:w="108" w:type="dxa"/>
            </w:tcMar>
            <w:hideMark/>
          </w:tcPr>
          <w:p w:rsidR="004102BE" w:rsidRPr="004102BE" w:rsidRDefault="004102BE" w:rsidP="004102BE">
            <w:pPr>
              <w:jc w:val="center"/>
              <w:rPr>
                <w:rFonts w:ascii="Arial" w:hAnsi="Arial" w:cs="Arial"/>
                <w:color w:val="000000"/>
                <w:sz w:val="16"/>
                <w:szCs w:val="16"/>
              </w:rPr>
            </w:pPr>
            <w:r w:rsidRPr="004102BE">
              <w:rPr>
                <w:rFonts w:ascii="Arial" w:hAnsi="Arial" w:cs="Arial"/>
                <w:color w:val="000000"/>
                <w:sz w:val="16"/>
                <w:szCs w:val="16"/>
              </w:rPr>
              <w:t>5%</w:t>
            </w:r>
          </w:p>
        </w:tc>
        <w:tc>
          <w:tcPr>
            <w:tcW w:w="713" w:type="pct"/>
            <w:shd w:val="clear" w:color="auto" w:fill="FFFFFF" w:themeFill="background1"/>
            <w:noWrap/>
            <w:tcMar>
              <w:top w:w="0" w:type="dxa"/>
              <w:left w:w="108" w:type="dxa"/>
              <w:bottom w:w="0" w:type="dxa"/>
              <w:right w:w="108" w:type="dxa"/>
            </w:tcMar>
            <w:hideMark/>
          </w:tcPr>
          <w:p w:rsidR="004102BE" w:rsidRPr="004102BE" w:rsidRDefault="004102BE" w:rsidP="004102BE">
            <w:pPr>
              <w:jc w:val="center"/>
              <w:rPr>
                <w:rFonts w:ascii="Arial" w:hAnsi="Arial" w:cs="Arial"/>
                <w:color w:val="000000"/>
                <w:sz w:val="16"/>
                <w:szCs w:val="16"/>
              </w:rPr>
            </w:pPr>
            <w:r w:rsidRPr="004102BE">
              <w:rPr>
                <w:rFonts w:ascii="Arial" w:hAnsi="Arial" w:cs="Arial"/>
                <w:color w:val="000000"/>
                <w:sz w:val="16"/>
                <w:szCs w:val="16"/>
              </w:rPr>
              <w:t>2%</w:t>
            </w:r>
          </w:p>
        </w:tc>
        <w:tc>
          <w:tcPr>
            <w:tcW w:w="2068" w:type="pct"/>
            <w:shd w:val="clear" w:color="auto" w:fill="FFFFFF" w:themeFill="background1"/>
            <w:hideMark/>
          </w:tcPr>
          <w:p w:rsidR="004102BE" w:rsidRPr="004102BE" w:rsidRDefault="004102BE" w:rsidP="004102BE">
            <w:pPr>
              <w:jc w:val="center"/>
              <w:rPr>
                <w:rFonts w:ascii="Arial" w:hAnsi="Arial" w:cs="Arial"/>
                <w:color w:val="000000"/>
                <w:sz w:val="16"/>
                <w:szCs w:val="16"/>
              </w:rPr>
            </w:pPr>
            <w:r w:rsidRPr="004102BE">
              <w:rPr>
                <w:rFonts w:ascii="Arial" w:hAnsi="Arial" w:cs="Arial"/>
                <w:color w:val="000000"/>
                <w:sz w:val="16"/>
                <w:szCs w:val="16"/>
              </w:rPr>
              <w:t>4%</w:t>
            </w:r>
          </w:p>
        </w:tc>
      </w:tr>
      <w:tr w:rsidR="004102BE" w:rsidRPr="004102BE" w:rsidTr="0035663E">
        <w:trPr>
          <w:trHeight w:val="300"/>
        </w:trPr>
        <w:tc>
          <w:tcPr>
            <w:tcW w:w="1144" w:type="pct"/>
            <w:tcBorders>
              <w:top w:val="nil"/>
              <w:left w:val="nil"/>
              <w:bottom w:val="single" w:sz="8" w:space="0" w:color="4F81BD"/>
              <w:right w:val="nil"/>
            </w:tcBorders>
            <w:shd w:val="clear" w:color="auto" w:fill="FFFFFF" w:themeFill="background1"/>
            <w:noWrap/>
            <w:tcMar>
              <w:top w:w="0" w:type="dxa"/>
              <w:left w:w="108" w:type="dxa"/>
              <w:bottom w:w="0" w:type="dxa"/>
              <w:right w:w="108" w:type="dxa"/>
            </w:tcMar>
            <w:hideMark/>
          </w:tcPr>
          <w:p w:rsidR="004102BE" w:rsidRPr="004102BE" w:rsidRDefault="004102BE" w:rsidP="00C74D4C">
            <w:pPr>
              <w:rPr>
                <w:rFonts w:ascii="Arial" w:hAnsi="Arial" w:cs="Arial"/>
                <w:b/>
                <w:bCs/>
                <w:color w:val="000000"/>
                <w:sz w:val="16"/>
                <w:szCs w:val="16"/>
              </w:rPr>
            </w:pPr>
            <w:r w:rsidRPr="004102BE">
              <w:rPr>
                <w:rFonts w:ascii="Arial" w:hAnsi="Arial" w:cs="Arial"/>
                <w:b/>
                <w:bCs/>
                <w:color w:val="000000"/>
                <w:sz w:val="16"/>
                <w:szCs w:val="16"/>
              </w:rPr>
              <w:t>Don't know</w:t>
            </w:r>
          </w:p>
        </w:tc>
        <w:tc>
          <w:tcPr>
            <w:tcW w:w="1075" w:type="pct"/>
            <w:tcBorders>
              <w:top w:val="nil"/>
              <w:left w:val="nil"/>
              <w:bottom w:val="single" w:sz="8" w:space="0" w:color="4F81BD"/>
              <w:right w:val="nil"/>
            </w:tcBorders>
            <w:shd w:val="clear" w:color="auto" w:fill="FFFFFF" w:themeFill="background1"/>
            <w:noWrap/>
            <w:tcMar>
              <w:top w:w="0" w:type="dxa"/>
              <w:left w:w="108" w:type="dxa"/>
              <w:bottom w:w="0" w:type="dxa"/>
              <w:right w:w="108" w:type="dxa"/>
            </w:tcMar>
            <w:hideMark/>
          </w:tcPr>
          <w:p w:rsidR="004102BE" w:rsidRPr="004102BE" w:rsidRDefault="004102BE" w:rsidP="00C74D4C">
            <w:pPr>
              <w:jc w:val="center"/>
              <w:rPr>
                <w:rFonts w:ascii="Arial" w:hAnsi="Arial" w:cs="Arial"/>
                <w:color w:val="000000"/>
                <w:sz w:val="16"/>
                <w:szCs w:val="16"/>
              </w:rPr>
            </w:pPr>
            <w:r w:rsidRPr="004102BE">
              <w:rPr>
                <w:rFonts w:ascii="Arial" w:hAnsi="Arial" w:cs="Arial"/>
                <w:color w:val="000000"/>
                <w:sz w:val="16"/>
                <w:szCs w:val="16"/>
              </w:rPr>
              <w:t>0%</w:t>
            </w:r>
          </w:p>
        </w:tc>
        <w:tc>
          <w:tcPr>
            <w:tcW w:w="713" w:type="pct"/>
            <w:tcBorders>
              <w:top w:val="nil"/>
              <w:left w:val="nil"/>
              <w:bottom w:val="single" w:sz="8" w:space="0" w:color="4F81BD"/>
              <w:right w:val="nil"/>
            </w:tcBorders>
            <w:shd w:val="clear" w:color="auto" w:fill="FFFFFF" w:themeFill="background1"/>
            <w:noWrap/>
            <w:tcMar>
              <w:top w:w="0" w:type="dxa"/>
              <w:left w:w="108" w:type="dxa"/>
              <w:bottom w:w="0" w:type="dxa"/>
              <w:right w:w="108" w:type="dxa"/>
            </w:tcMar>
            <w:hideMark/>
          </w:tcPr>
          <w:p w:rsidR="004102BE" w:rsidRPr="004102BE" w:rsidRDefault="004102BE" w:rsidP="00C74D4C">
            <w:pPr>
              <w:jc w:val="center"/>
              <w:rPr>
                <w:rFonts w:ascii="Arial" w:hAnsi="Arial" w:cs="Arial"/>
                <w:color w:val="000000"/>
                <w:sz w:val="16"/>
                <w:szCs w:val="16"/>
              </w:rPr>
            </w:pPr>
            <w:r w:rsidRPr="004102BE">
              <w:rPr>
                <w:rFonts w:ascii="Arial" w:hAnsi="Arial" w:cs="Arial"/>
                <w:color w:val="000000"/>
                <w:sz w:val="16"/>
                <w:szCs w:val="16"/>
              </w:rPr>
              <w:t>2%</w:t>
            </w:r>
          </w:p>
        </w:tc>
        <w:tc>
          <w:tcPr>
            <w:tcW w:w="2068" w:type="pct"/>
            <w:tcBorders>
              <w:top w:val="nil"/>
              <w:left w:val="nil"/>
              <w:bottom w:val="single" w:sz="8" w:space="0" w:color="4F81BD"/>
              <w:right w:val="nil"/>
            </w:tcBorders>
            <w:shd w:val="clear" w:color="auto" w:fill="FFFFFF" w:themeFill="background1"/>
            <w:hideMark/>
          </w:tcPr>
          <w:p w:rsidR="004102BE" w:rsidRPr="004102BE" w:rsidRDefault="004102BE" w:rsidP="00C74D4C">
            <w:pPr>
              <w:jc w:val="center"/>
              <w:rPr>
                <w:rFonts w:ascii="Arial" w:hAnsi="Arial" w:cs="Arial"/>
                <w:color w:val="000000"/>
                <w:sz w:val="16"/>
                <w:szCs w:val="16"/>
              </w:rPr>
            </w:pPr>
            <w:r w:rsidRPr="004102BE">
              <w:rPr>
                <w:rFonts w:ascii="Arial" w:hAnsi="Arial" w:cs="Arial"/>
                <w:color w:val="000000"/>
                <w:sz w:val="16"/>
                <w:szCs w:val="16"/>
              </w:rPr>
              <w:t>1%</w:t>
            </w:r>
          </w:p>
        </w:tc>
      </w:tr>
    </w:tbl>
    <w:p w:rsidR="004102BE" w:rsidRPr="004102BE" w:rsidRDefault="004102BE" w:rsidP="004102BE">
      <w:pPr>
        <w:keepNext/>
        <w:keepLines/>
        <w:spacing w:after="200" w:line="276" w:lineRule="auto"/>
        <w:ind w:left="709"/>
        <w:contextualSpacing/>
        <w:jc w:val="right"/>
        <w:rPr>
          <w:rFonts w:asciiTheme="minorHAnsi" w:eastAsiaTheme="minorHAnsi" w:hAnsiTheme="minorHAnsi" w:cstheme="minorBidi"/>
          <w:sz w:val="20"/>
          <w:szCs w:val="20"/>
          <w:lang w:eastAsia="en-US"/>
        </w:rPr>
      </w:pPr>
      <w:r w:rsidRPr="004102BE">
        <w:rPr>
          <w:rFonts w:asciiTheme="minorHAnsi" w:eastAsiaTheme="minorHAnsi" w:hAnsiTheme="minorHAnsi" w:cstheme="minorBidi"/>
          <w:sz w:val="20"/>
          <w:szCs w:val="20"/>
          <w:lang w:eastAsia="en-US"/>
        </w:rPr>
        <w:t>Source: Comcare</w:t>
      </w:r>
    </w:p>
    <w:p w:rsidR="004102BE" w:rsidRPr="004102BE" w:rsidRDefault="004102BE" w:rsidP="004102BE">
      <w:pPr>
        <w:rPr>
          <w:rFonts w:ascii="Calibri" w:hAnsi="Calibri" w:cs="Calibri"/>
        </w:rPr>
      </w:pP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As with the injured employee survey, the survey results cannot be attributed solely to PSE.</w:t>
      </w:r>
    </w:p>
    <w:p w:rsidR="004102BE" w:rsidRPr="004102BE" w:rsidRDefault="004102BE" w:rsidP="004102BE">
      <w:pPr>
        <w:spacing w:after="120"/>
        <w:rPr>
          <w:rFonts w:ascii="Calibri" w:hAnsi="Calibri" w:cs="Calibri"/>
          <w:sz w:val="22"/>
          <w:szCs w:val="22"/>
        </w:rPr>
      </w:pPr>
      <w:r w:rsidRPr="004102BE">
        <w:rPr>
          <w:rFonts w:ascii="Calibri" w:hAnsi="Calibri" w:cs="Calibri"/>
          <w:b/>
          <w:sz w:val="22"/>
          <w:szCs w:val="22"/>
        </w:rPr>
        <w:t>Clear Understanding of Roles and Responsibilities in the New Claim Structure</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The results of a recent survey of CSOs in RSSG showed a 73 per cent satisfaction rate with Comcare as an employer. While most CSOs felt they had the skills to do their job, and they had control over their work, only four per cent felt they had enough time to manage all their claims and/or found it easy to cope with their current workload.</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 xml:space="preserve"> In recognition of some of the issues raised in this survey, especially with regards to the CSOs understanding of their role and ability to manage their workloads effectively, Comcare recently commenced a project to develop a CSO capability framework, including a workload allocation model, drawing on learnings from other jurisdictions.</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The effectiveness of the CSO role is critical to Comcare’s ability to improve further its service delivery to key stakeholders and to improve overall scheme performance outcomes. Some stakeholders have pointed to the skills-mix of CSOs as critical in improving scheme outcomes. CSOs are required on a daily basis to assess and apply complex legal and medical concepts and issues while at the same time improving their customer service delivery. In order to make the appropriate decisions, CSOs need to be properly trained and supported in the decision-making process.</w:t>
      </w:r>
    </w:p>
    <w:p w:rsidR="004102BE" w:rsidRPr="004102BE" w:rsidRDefault="004102BE" w:rsidP="004102BE">
      <w:pPr>
        <w:keepNext/>
        <w:keepLines/>
        <w:spacing w:after="120"/>
        <w:rPr>
          <w:rFonts w:ascii="Calibri" w:hAnsi="Calibri" w:cs="Calibri"/>
          <w:sz w:val="22"/>
          <w:szCs w:val="22"/>
        </w:rPr>
      </w:pPr>
      <w:r w:rsidRPr="004102BE">
        <w:rPr>
          <w:rFonts w:ascii="Calibri" w:hAnsi="Calibri" w:cs="Calibri"/>
          <w:b/>
          <w:sz w:val="22"/>
          <w:szCs w:val="22"/>
        </w:rPr>
        <w:t>Reduced Time from Injury to Injury Management Activity/Improved Return to Work Outcomes</w:t>
      </w:r>
    </w:p>
    <w:p w:rsidR="004102BE" w:rsidRPr="004102BE" w:rsidRDefault="00F4669C" w:rsidP="004102BE">
      <w:pPr>
        <w:keepNext/>
        <w:keepLines/>
        <w:numPr>
          <w:ilvl w:val="1"/>
          <w:numId w:val="31"/>
        </w:numPr>
        <w:spacing w:after="120"/>
        <w:ind w:left="709" w:hanging="709"/>
        <w:rPr>
          <w:rFonts w:ascii="Calibri" w:eastAsiaTheme="minorHAnsi" w:hAnsi="Calibri" w:cs="Calibri"/>
          <w:sz w:val="22"/>
          <w:lang w:eastAsia="en-US"/>
        </w:rPr>
      </w:pPr>
      <w:r>
        <w:rPr>
          <w:rFonts w:ascii="Calibri" w:eastAsiaTheme="minorHAnsi" w:hAnsi="Calibri" w:cs="Calibri"/>
          <w:sz w:val="22"/>
          <w:lang w:eastAsia="en-US"/>
        </w:rPr>
        <w:t>C</w:t>
      </w:r>
      <w:r w:rsidR="004102BE" w:rsidRPr="004102BE">
        <w:rPr>
          <w:rFonts w:ascii="Calibri" w:eastAsiaTheme="minorHAnsi" w:hAnsi="Calibri" w:cs="Calibri"/>
          <w:sz w:val="22"/>
          <w:lang w:eastAsia="en-US"/>
        </w:rPr>
        <w:t xml:space="preserve">laims continuance rate results, combined with the deterioration in scheme financial performance, shows that RTW performance has not improved since PSE </w:t>
      </w:r>
      <w:r w:rsidRPr="004102BE">
        <w:rPr>
          <w:rFonts w:ascii="Calibri" w:eastAsiaTheme="minorHAnsi" w:hAnsi="Calibri" w:cs="Calibri"/>
          <w:sz w:val="22"/>
          <w:lang w:eastAsia="en-US"/>
        </w:rPr>
        <w:t>implement</w:t>
      </w:r>
      <w:r>
        <w:rPr>
          <w:rFonts w:ascii="Calibri" w:eastAsiaTheme="minorHAnsi" w:hAnsi="Calibri" w:cs="Calibri"/>
          <w:sz w:val="22"/>
          <w:lang w:eastAsia="en-US"/>
        </w:rPr>
        <w:t>ation</w:t>
      </w:r>
      <w:r w:rsidR="004102BE" w:rsidRPr="004102BE">
        <w:rPr>
          <w:rFonts w:ascii="Calibri" w:eastAsiaTheme="minorHAnsi" w:hAnsi="Calibri" w:cs="Calibri"/>
          <w:sz w:val="22"/>
          <w:lang w:eastAsia="en-US"/>
        </w:rPr>
        <w:t>.</w:t>
      </w:r>
    </w:p>
    <w:p w:rsidR="004102BE" w:rsidRPr="004102BE" w:rsidRDefault="004102BE" w:rsidP="004102BE">
      <w:pPr>
        <w:spacing w:after="120"/>
        <w:rPr>
          <w:rFonts w:ascii="Calibri" w:hAnsi="Calibri" w:cs="Calibri"/>
          <w:sz w:val="22"/>
          <w:szCs w:val="22"/>
        </w:rPr>
      </w:pPr>
      <w:r w:rsidRPr="004102BE">
        <w:rPr>
          <w:rFonts w:ascii="Calibri" w:hAnsi="Calibri" w:cs="Calibri"/>
          <w:b/>
          <w:sz w:val="22"/>
          <w:szCs w:val="22"/>
        </w:rPr>
        <w:t>Reduced Outstanding Liabilities</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Comcare’s claims continuance rates and financial performance has deteriorated in recent years, leading to an increase in premiums. The role of the RSSG in improving Comcare’s performance is crucial.</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 xml:space="preserve">Comcare has recently commenced a project to improve its claims management processes. </w:t>
      </w:r>
      <w:r w:rsidRPr="004102BE">
        <w:rPr>
          <w:rFonts w:asciiTheme="minorHAnsi" w:eastAsiaTheme="minorHAnsi" w:hAnsiTheme="minorHAnsi" w:cstheme="minorBidi"/>
          <w:sz w:val="22"/>
          <w:szCs w:val="22"/>
          <w:lang w:eastAsia="en-US"/>
        </w:rPr>
        <w:t xml:space="preserve">The Claims Management Systems Improvement project (CMSI) was established to investigate and recommend changes to the claims management operating model to strengthen the recovery and support services for workers with injuries and invest in Comcare staff to </w:t>
      </w:r>
      <w:r w:rsidR="00F4669C">
        <w:rPr>
          <w:rFonts w:asciiTheme="minorHAnsi" w:eastAsiaTheme="minorHAnsi" w:hAnsiTheme="minorHAnsi" w:cstheme="minorBidi"/>
          <w:sz w:val="22"/>
          <w:szCs w:val="22"/>
          <w:lang w:eastAsia="en-US"/>
        </w:rPr>
        <w:t>improve</w:t>
      </w:r>
      <w:r w:rsidR="00F4669C" w:rsidRPr="004102BE">
        <w:rPr>
          <w:rFonts w:asciiTheme="minorHAnsi" w:eastAsiaTheme="minorHAnsi" w:hAnsiTheme="minorHAnsi" w:cstheme="minorBidi"/>
          <w:sz w:val="22"/>
          <w:szCs w:val="22"/>
          <w:lang w:eastAsia="en-US"/>
        </w:rPr>
        <w:t xml:space="preserve"> </w:t>
      </w:r>
      <w:r w:rsidRPr="004102BE">
        <w:rPr>
          <w:rFonts w:asciiTheme="minorHAnsi" w:eastAsiaTheme="minorHAnsi" w:hAnsiTheme="minorHAnsi" w:cstheme="minorBidi"/>
          <w:sz w:val="22"/>
          <w:szCs w:val="22"/>
          <w:lang w:eastAsia="en-US"/>
        </w:rPr>
        <w:t xml:space="preserve">quality service </w:t>
      </w:r>
      <w:r w:rsidR="00F4669C">
        <w:rPr>
          <w:rFonts w:asciiTheme="minorHAnsi" w:eastAsiaTheme="minorHAnsi" w:hAnsiTheme="minorHAnsi" w:cstheme="minorBidi"/>
          <w:sz w:val="22"/>
          <w:szCs w:val="22"/>
          <w:lang w:eastAsia="en-US"/>
        </w:rPr>
        <w:t>delivery</w:t>
      </w:r>
      <w:r w:rsidRPr="004102BE">
        <w:rPr>
          <w:rFonts w:asciiTheme="minorHAnsi" w:eastAsiaTheme="minorHAnsi" w:hAnsiTheme="minorHAnsi" w:cstheme="minorBidi"/>
          <w:sz w:val="22"/>
          <w:szCs w:val="22"/>
          <w:lang w:eastAsia="en-US"/>
        </w:rPr>
        <w:t xml:space="preserve">. CSMI aims to develop IT and procedural </w:t>
      </w:r>
      <w:r w:rsidRPr="004102BE">
        <w:rPr>
          <w:rFonts w:asciiTheme="minorHAnsi" w:eastAsiaTheme="minorHAnsi" w:hAnsiTheme="minorHAnsi" w:cstheme="minorBidi"/>
          <w:sz w:val="22"/>
          <w:szCs w:val="22"/>
          <w:lang w:eastAsia="en-US"/>
        </w:rPr>
        <w:lastRenderedPageBreak/>
        <w:t>enhancements to the claims management process and to automate these processes, wherever possible.</w:t>
      </w:r>
    </w:p>
    <w:p w:rsidR="004102BE" w:rsidRPr="004102BE" w:rsidRDefault="004102BE" w:rsidP="004102B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Calibri" w:hAnsi="Calibri" w:cs="Calibri"/>
          <w:sz w:val="22"/>
          <w:szCs w:val="22"/>
        </w:rPr>
      </w:pPr>
      <w:r w:rsidRPr="004102BE">
        <w:rPr>
          <w:rFonts w:ascii="Calibri" w:hAnsi="Calibri" w:cs="Calibri"/>
          <w:b/>
          <w:sz w:val="22"/>
          <w:szCs w:val="22"/>
        </w:rPr>
        <w:t xml:space="preserve">Recommendation </w:t>
      </w:r>
      <w:r w:rsidR="00F4669C" w:rsidRPr="004102BE">
        <w:rPr>
          <w:rFonts w:ascii="Calibri" w:hAnsi="Calibri" w:cs="Calibri"/>
          <w:b/>
          <w:sz w:val="22"/>
          <w:szCs w:val="22"/>
        </w:rPr>
        <w:t>1</w:t>
      </w:r>
      <w:r w:rsidR="00F4669C">
        <w:rPr>
          <w:rFonts w:ascii="Calibri" w:hAnsi="Calibri" w:cs="Calibri"/>
          <w:b/>
          <w:sz w:val="22"/>
          <w:szCs w:val="22"/>
        </w:rPr>
        <w:t>8</w:t>
      </w:r>
    </w:p>
    <w:p w:rsidR="004102BE" w:rsidRPr="004102BE" w:rsidRDefault="00397078" w:rsidP="004102B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autoSpaceDE w:val="0"/>
        <w:autoSpaceDN w:val="0"/>
        <w:adjustRightInd w:val="0"/>
        <w:spacing w:after="120"/>
        <w:ind w:left="709" w:hanging="709"/>
        <w:rPr>
          <w:rFonts w:ascii="Calibri" w:hAnsi="Calibri" w:cs="Calibri"/>
          <w:sz w:val="22"/>
          <w:szCs w:val="22"/>
        </w:rPr>
      </w:pPr>
      <w:r w:rsidRPr="004102BE">
        <w:rPr>
          <w:rFonts w:ascii="Calibri" w:hAnsi="Calibri" w:cs="Calibri"/>
          <w:sz w:val="22"/>
          <w:szCs w:val="22"/>
        </w:rPr>
        <w:t>1</w:t>
      </w:r>
      <w:r>
        <w:rPr>
          <w:rFonts w:ascii="Calibri" w:hAnsi="Calibri" w:cs="Calibri"/>
          <w:sz w:val="22"/>
          <w:szCs w:val="22"/>
        </w:rPr>
        <w:t>8</w:t>
      </w:r>
      <w:r w:rsidR="004102BE" w:rsidRPr="004102BE">
        <w:rPr>
          <w:rFonts w:ascii="Calibri" w:hAnsi="Calibri" w:cs="Calibri"/>
          <w:sz w:val="22"/>
          <w:szCs w:val="22"/>
        </w:rPr>
        <w:t>(a):</w:t>
      </w:r>
      <w:r w:rsidR="004102BE" w:rsidRPr="004102BE">
        <w:rPr>
          <w:rFonts w:ascii="Calibri" w:hAnsi="Calibri" w:cs="Calibri"/>
          <w:sz w:val="22"/>
          <w:szCs w:val="22"/>
        </w:rPr>
        <w:tab/>
        <w:t>Comcare should establish a reporting and monitoring framework that assesses performance improvements</w:t>
      </w:r>
      <w:r w:rsidR="00F4669C">
        <w:rPr>
          <w:rFonts w:ascii="Calibri" w:hAnsi="Calibri" w:cs="Calibri"/>
          <w:sz w:val="22"/>
          <w:szCs w:val="22"/>
        </w:rPr>
        <w:t xml:space="preserve"> to measure the ongoing effectiveness of its claims management outcomes</w:t>
      </w:r>
      <w:r w:rsidR="00012261">
        <w:rPr>
          <w:rFonts w:ascii="Calibri" w:hAnsi="Calibri" w:cs="Calibri"/>
          <w:sz w:val="22"/>
          <w:szCs w:val="22"/>
        </w:rPr>
        <w:t xml:space="preserve"> and report to SRCC</w:t>
      </w:r>
      <w:r w:rsidR="004102BE" w:rsidRPr="004102BE">
        <w:rPr>
          <w:rFonts w:ascii="Calibri" w:hAnsi="Calibri" w:cs="Calibri"/>
          <w:sz w:val="22"/>
          <w:szCs w:val="22"/>
        </w:rPr>
        <w:t>.</w:t>
      </w:r>
    </w:p>
    <w:p w:rsidR="004102BE" w:rsidRPr="004102BE" w:rsidRDefault="00397078" w:rsidP="004102B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autoSpaceDE w:val="0"/>
        <w:autoSpaceDN w:val="0"/>
        <w:adjustRightInd w:val="0"/>
        <w:spacing w:after="120"/>
        <w:ind w:left="709" w:hanging="709"/>
        <w:rPr>
          <w:rFonts w:ascii="Calibri" w:hAnsi="Calibri" w:cs="Calibri"/>
          <w:sz w:val="22"/>
          <w:szCs w:val="22"/>
        </w:rPr>
      </w:pPr>
      <w:r w:rsidRPr="004102BE">
        <w:rPr>
          <w:rFonts w:ascii="Calibri" w:hAnsi="Calibri" w:cs="Calibri"/>
          <w:sz w:val="22"/>
          <w:szCs w:val="22"/>
        </w:rPr>
        <w:t>1</w:t>
      </w:r>
      <w:r>
        <w:rPr>
          <w:rFonts w:ascii="Calibri" w:hAnsi="Calibri" w:cs="Calibri"/>
          <w:sz w:val="22"/>
          <w:szCs w:val="22"/>
        </w:rPr>
        <w:t>8</w:t>
      </w:r>
      <w:r w:rsidR="004102BE" w:rsidRPr="004102BE">
        <w:rPr>
          <w:rFonts w:ascii="Calibri" w:hAnsi="Calibri" w:cs="Calibri"/>
          <w:sz w:val="22"/>
          <w:szCs w:val="22"/>
        </w:rPr>
        <w:t>(b):</w:t>
      </w:r>
      <w:r w:rsidR="004102BE" w:rsidRPr="004102BE">
        <w:rPr>
          <w:rFonts w:ascii="Calibri" w:hAnsi="Calibri" w:cs="Calibri"/>
          <w:sz w:val="22"/>
          <w:szCs w:val="22"/>
        </w:rPr>
        <w:tab/>
        <w:t xml:space="preserve">Comcare should </w:t>
      </w:r>
      <w:r w:rsidR="00986338">
        <w:rPr>
          <w:rFonts w:ascii="Calibri" w:hAnsi="Calibri" w:cs="Calibri"/>
          <w:sz w:val="22"/>
          <w:szCs w:val="22"/>
        </w:rPr>
        <w:t>provide</w:t>
      </w:r>
      <w:r w:rsidR="00986338" w:rsidRPr="004102BE">
        <w:rPr>
          <w:rFonts w:ascii="Calibri" w:hAnsi="Calibri" w:cs="Calibri"/>
          <w:sz w:val="22"/>
          <w:szCs w:val="22"/>
        </w:rPr>
        <w:t xml:space="preserve"> a</w:t>
      </w:r>
      <w:r w:rsidR="004102BE" w:rsidRPr="004102BE">
        <w:rPr>
          <w:rFonts w:ascii="Calibri" w:hAnsi="Calibri" w:cs="Calibri"/>
          <w:sz w:val="22"/>
          <w:szCs w:val="22"/>
        </w:rPr>
        <w:t xml:space="preserve"> comprehensive training program for its CSOs to </w:t>
      </w:r>
      <w:r w:rsidR="00F4669C">
        <w:rPr>
          <w:rFonts w:ascii="Calibri" w:hAnsi="Calibri" w:cs="Calibri"/>
          <w:sz w:val="22"/>
          <w:szCs w:val="22"/>
        </w:rPr>
        <w:t>arm</w:t>
      </w:r>
      <w:r w:rsidR="00F4669C" w:rsidRPr="004102BE">
        <w:rPr>
          <w:rFonts w:ascii="Calibri" w:hAnsi="Calibri" w:cs="Calibri"/>
          <w:sz w:val="22"/>
          <w:szCs w:val="22"/>
        </w:rPr>
        <w:t xml:space="preserve"> </w:t>
      </w:r>
      <w:r w:rsidR="004102BE" w:rsidRPr="004102BE">
        <w:rPr>
          <w:rFonts w:ascii="Calibri" w:hAnsi="Calibri" w:cs="Calibri"/>
          <w:sz w:val="22"/>
          <w:szCs w:val="22"/>
        </w:rPr>
        <w:t>them with the necessary skills and support tools for their roles.</w:t>
      </w:r>
    </w:p>
    <w:p w:rsidR="00A741C8" w:rsidRDefault="00A741C8" w:rsidP="000D7C1C">
      <w:pPr>
        <w:keepNext/>
        <w:keepLines/>
        <w:outlineLvl w:val="2"/>
        <w:rPr>
          <w:rFonts w:ascii="Arial Bold" w:eastAsiaTheme="majorEastAsia" w:hAnsi="Arial Bold" w:cs="Calibri"/>
          <w:bCs/>
          <w:caps/>
          <w:color w:val="1F497D" w:themeColor="text2"/>
          <w:sz w:val="23"/>
          <w:szCs w:val="23"/>
        </w:rPr>
      </w:pPr>
      <w:bookmarkStart w:id="533" w:name="_Toc341778029"/>
      <w:bookmarkStart w:id="534" w:name="_Toc342578402"/>
    </w:p>
    <w:p w:rsidR="004102BE" w:rsidRPr="004102BE" w:rsidRDefault="004102BE" w:rsidP="004102BE">
      <w:pPr>
        <w:keepNext/>
        <w:keepLines/>
        <w:spacing w:before="100" w:beforeAutospacing="1" w:after="100" w:afterAutospacing="1"/>
        <w:outlineLvl w:val="2"/>
        <w:rPr>
          <w:rFonts w:ascii="Arial Bold" w:eastAsiaTheme="majorEastAsia" w:hAnsi="Arial Bold" w:cs="Calibri"/>
          <w:bCs/>
          <w:caps/>
          <w:color w:val="1F497D" w:themeColor="text2"/>
          <w:sz w:val="23"/>
          <w:szCs w:val="23"/>
        </w:rPr>
      </w:pPr>
      <w:r w:rsidRPr="004102BE">
        <w:rPr>
          <w:rFonts w:ascii="Arial Bold" w:eastAsiaTheme="majorEastAsia" w:hAnsi="Arial Bold" w:cs="Calibri"/>
          <w:bCs/>
          <w:caps/>
          <w:color w:val="1F497D" w:themeColor="text2"/>
          <w:sz w:val="23"/>
          <w:szCs w:val="23"/>
        </w:rPr>
        <w:t>The Ten-Point Plan</w:t>
      </w:r>
      <w:bookmarkEnd w:id="533"/>
      <w:bookmarkEnd w:id="534"/>
    </w:p>
    <w:p w:rsidR="004102BE" w:rsidRPr="004102BE" w:rsidRDefault="00397078" w:rsidP="004102BE">
      <w:pPr>
        <w:numPr>
          <w:ilvl w:val="1"/>
          <w:numId w:val="31"/>
        </w:numPr>
        <w:spacing w:after="120"/>
        <w:ind w:left="709" w:hanging="709"/>
        <w:rPr>
          <w:rFonts w:ascii="Calibri" w:eastAsiaTheme="minorHAnsi" w:hAnsi="Calibri" w:cs="Calibri"/>
          <w:sz w:val="22"/>
          <w:lang w:eastAsia="en-US"/>
        </w:rPr>
      </w:pPr>
      <w:r>
        <w:rPr>
          <w:rFonts w:ascii="Calibri" w:eastAsiaTheme="minorHAnsi" w:hAnsi="Calibri" w:cs="Calibri"/>
          <w:sz w:val="22"/>
          <w:lang w:eastAsia="en-US"/>
        </w:rPr>
        <w:t>In response to</w:t>
      </w:r>
      <w:r w:rsidR="004102BE" w:rsidRPr="004102BE">
        <w:rPr>
          <w:rFonts w:ascii="Calibri" w:eastAsiaTheme="minorHAnsi" w:hAnsi="Calibri" w:cs="Calibri"/>
          <w:sz w:val="22"/>
          <w:lang w:eastAsia="en-US"/>
        </w:rPr>
        <w:t xml:space="preserve"> recent deterioration in performance of the premium payer side of the scheme, and the need to improve its overall claims management systems framework to identify and manage key risks, Comcare has developed a Ten-Point Plan (10PP).</w:t>
      </w:r>
    </w:p>
    <w:p w:rsidR="004102BE" w:rsidRPr="009A2AD0" w:rsidRDefault="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The 10PP is managed internally within Comcare with project plans developed for all the initiatives and ongoing monitoring of each project. A Steering Committee provide</w:t>
      </w:r>
      <w:r w:rsidR="002D3687">
        <w:rPr>
          <w:rFonts w:ascii="Calibri" w:eastAsiaTheme="minorHAnsi" w:hAnsi="Calibri" w:cs="Calibri"/>
          <w:sz w:val="22"/>
          <w:lang w:eastAsia="en-US"/>
        </w:rPr>
        <w:t>s</w:t>
      </w:r>
      <w:r w:rsidRPr="004102BE">
        <w:rPr>
          <w:rFonts w:ascii="Calibri" w:eastAsiaTheme="minorHAnsi" w:hAnsi="Calibri" w:cs="Calibri"/>
          <w:sz w:val="22"/>
          <w:lang w:eastAsia="en-US"/>
        </w:rPr>
        <w:t xml:space="preserve"> governance oversight </w:t>
      </w:r>
      <w:r w:rsidR="002D3687">
        <w:rPr>
          <w:rFonts w:ascii="Calibri" w:eastAsiaTheme="minorHAnsi" w:hAnsi="Calibri" w:cs="Calibri"/>
          <w:sz w:val="22"/>
          <w:lang w:eastAsia="en-US"/>
        </w:rPr>
        <w:t>to</w:t>
      </w:r>
      <w:r w:rsidRPr="004102BE">
        <w:rPr>
          <w:rFonts w:ascii="Calibri" w:eastAsiaTheme="minorHAnsi" w:hAnsi="Calibri" w:cs="Calibri"/>
          <w:sz w:val="22"/>
          <w:lang w:eastAsia="en-US"/>
        </w:rPr>
        <w:t xml:space="preserve"> ensure implementation is proceeding as planned</w:t>
      </w:r>
      <w:r w:rsidR="00F61E97">
        <w:rPr>
          <w:rFonts w:ascii="Calibri" w:eastAsiaTheme="minorHAnsi" w:hAnsi="Calibri" w:cs="Calibri"/>
          <w:sz w:val="22"/>
          <w:lang w:eastAsia="en-US"/>
        </w:rPr>
        <w:t>,</w:t>
      </w:r>
      <w:r w:rsidRPr="004102BE">
        <w:rPr>
          <w:rFonts w:ascii="Calibri" w:eastAsiaTheme="minorHAnsi" w:hAnsi="Calibri" w:cs="Calibri"/>
          <w:sz w:val="22"/>
          <w:lang w:eastAsia="en-US"/>
        </w:rPr>
        <w:t xml:space="preserve"> in line with the development of a systems approach to claims management.  A number of initiatives in the 10PP </w:t>
      </w:r>
      <w:r w:rsidRPr="009A2AD0">
        <w:rPr>
          <w:rFonts w:ascii="Calibri" w:eastAsiaTheme="minorHAnsi" w:hAnsi="Calibri" w:cs="Calibri"/>
          <w:sz w:val="22"/>
          <w:lang w:eastAsia="en-US"/>
        </w:rPr>
        <w:t xml:space="preserve">focus </w:t>
      </w:r>
      <w:r w:rsidR="00F61E97" w:rsidRPr="009A2AD0">
        <w:rPr>
          <w:rFonts w:ascii="Calibri" w:eastAsiaTheme="minorHAnsi" w:hAnsi="Calibri" w:cs="Calibri"/>
          <w:sz w:val="22"/>
          <w:lang w:eastAsia="en-US"/>
        </w:rPr>
        <w:t xml:space="preserve">specifically </w:t>
      </w:r>
      <w:r w:rsidRPr="009A2AD0">
        <w:rPr>
          <w:rFonts w:ascii="Calibri" w:eastAsiaTheme="minorHAnsi" w:hAnsi="Calibri" w:cs="Calibri"/>
          <w:sz w:val="22"/>
          <w:lang w:eastAsia="en-US"/>
        </w:rPr>
        <w:t>on improving claims management outcomes.</w:t>
      </w:r>
    </w:p>
    <w:p w:rsidR="004102BE" w:rsidRPr="004102BE" w:rsidRDefault="004102BE" w:rsidP="004102BE">
      <w:pPr>
        <w:autoSpaceDE w:val="0"/>
        <w:autoSpaceDN w:val="0"/>
        <w:adjustRightInd w:val="0"/>
        <w:spacing w:before="120" w:after="120"/>
        <w:rPr>
          <w:rFonts w:ascii="Calibri" w:hAnsi="Calibri" w:cs="Calibri"/>
          <w:sz w:val="22"/>
          <w:szCs w:val="22"/>
        </w:rPr>
      </w:pPr>
      <w:r w:rsidRPr="004102BE">
        <w:rPr>
          <w:rFonts w:ascii="Calibri" w:hAnsi="Calibri" w:cs="Calibri"/>
          <w:b/>
          <w:sz w:val="22"/>
          <w:szCs w:val="22"/>
        </w:rPr>
        <w:t>High Risk Claims Management</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Not all claims require assistance. The vast majority of injured employees return to work without any special intervention or assistance. Those that do not can become difficult to manage longer term, if not identified early. While it has been relatively easy to apply the knowledge of hindsight to long term claims and identify the reasons why they became long term claims, the challenge has always been to develop a process to identify those claims that are likely to become long term claims as early as possible.  Early identification of these claims would improve RTW outcomes due to early intervention processes and procedures being implemented from the SRCOLA.</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As part of the 10PP, Comcare has commendably been working to identify the specific claim characteristics that can be used as an early predictor of long term claims. Using information contained in an injured worker’s claim form when it is lodged, Comcare has identified certain factors which point to the likelihood of a claim developing into a long term and/or costly claim (high risk claim).  Using this analysis, appropriate claim interventions are then implemented by Comcare, such as direct contact with injured workers.</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Such an approach can only be effective in reducing claims cost liabilities if the claims identified are the claims that would have indeed become long term and/or costly claims without the planned interventions.</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During consultations with stakeholders, premium payers expressed concern over some aspects of this project, especially about the contacting of injured employees directly by Comcare as soon as a claim is received. Stakeholders were concerned that this contact by Comcare could harm the injured employee’s relationship with the employer and their attempts to achieve a return to work.</w:t>
      </w:r>
    </w:p>
    <w:p w:rsidR="004102BE" w:rsidRPr="004102BE" w:rsidRDefault="004102BE" w:rsidP="004102BE">
      <w:pPr>
        <w:numPr>
          <w:ilvl w:val="1"/>
          <w:numId w:val="31"/>
        </w:numPr>
        <w:spacing w:after="120"/>
        <w:ind w:left="709" w:hanging="709"/>
        <w:rPr>
          <w:rFonts w:asciiTheme="minorHAnsi" w:eastAsiaTheme="minorHAnsi" w:hAnsiTheme="minorHAnsi" w:cstheme="minorHAnsi"/>
          <w:sz w:val="22"/>
          <w:szCs w:val="22"/>
          <w:lang w:eastAsia="en-US"/>
        </w:rPr>
      </w:pPr>
      <w:r w:rsidRPr="004102BE">
        <w:rPr>
          <w:rFonts w:ascii="Calibri" w:eastAsiaTheme="minorHAnsi" w:hAnsi="Calibri" w:cs="Calibri"/>
          <w:sz w:val="22"/>
          <w:lang w:eastAsia="en-US"/>
        </w:rPr>
        <w:t xml:space="preserve">This suggests the need for increased communication between Comcare and the premium payers about this </w:t>
      </w:r>
      <w:r w:rsidR="00F61E97">
        <w:rPr>
          <w:rFonts w:ascii="Calibri" w:eastAsiaTheme="minorHAnsi" w:hAnsi="Calibri" w:cs="Calibri"/>
          <w:sz w:val="22"/>
          <w:lang w:eastAsia="en-US"/>
        </w:rPr>
        <w:t xml:space="preserve">useful </w:t>
      </w:r>
      <w:r w:rsidRPr="004102BE">
        <w:rPr>
          <w:rFonts w:ascii="Calibri" w:eastAsiaTheme="minorHAnsi" w:hAnsi="Calibri" w:cs="Calibri"/>
          <w:sz w:val="22"/>
          <w:lang w:eastAsia="en-US"/>
        </w:rPr>
        <w:t>initiative and collaboration to determine how best Comcare can work with employers to improve the outcomes of this initiative.</w:t>
      </w:r>
    </w:p>
    <w:p w:rsidR="004102BE" w:rsidRPr="004102BE" w:rsidRDefault="004102BE" w:rsidP="004102B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Calibri" w:eastAsiaTheme="minorHAnsi" w:hAnsi="Calibri" w:cs="Calibri"/>
          <w:b/>
          <w:sz w:val="22"/>
          <w:lang w:eastAsia="en-US"/>
        </w:rPr>
      </w:pPr>
      <w:r w:rsidRPr="004102BE">
        <w:rPr>
          <w:rFonts w:ascii="Calibri" w:eastAsiaTheme="minorHAnsi" w:hAnsi="Calibri" w:cs="Calibri"/>
          <w:b/>
          <w:sz w:val="22"/>
          <w:lang w:eastAsia="en-US"/>
        </w:rPr>
        <w:lastRenderedPageBreak/>
        <w:t xml:space="preserve">Recommendation </w:t>
      </w:r>
      <w:r w:rsidR="00EC33AD" w:rsidRPr="004102BE">
        <w:rPr>
          <w:rFonts w:ascii="Calibri" w:eastAsiaTheme="minorHAnsi" w:hAnsi="Calibri" w:cs="Calibri"/>
          <w:b/>
          <w:sz w:val="22"/>
          <w:lang w:eastAsia="en-US"/>
        </w:rPr>
        <w:t>1</w:t>
      </w:r>
      <w:r w:rsidR="00EC33AD">
        <w:rPr>
          <w:rFonts w:ascii="Calibri" w:eastAsiaTheme="minorHAnsi" w:hAnsi="Calibri" w:cs="Calibri"/>
          <w:b/>
          <w:sz w:val="22"/>
          <w:lang w:eastAsia="en-US"/>
        </w:rPr>
        <w:t>9</w:t>
      </w:r>
    </w:p>
    <w:p w:rsidR="004102BE" w:rsidRPr="004102BE" w:rsidRDefault="004102BE" w:rsidP="004102B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Theme="minorHAnsi" w:eastAsiaTheme="minorHAnsi" w:hAnsiTheme="minorHAnsi" w:cstheme="minorBidi"/>
          <w:sz w:val="22"/>
          <w:szCs w:val="22"/>
          <w:lang w:eastAsia="en-US"/>
        </w:rPr>
      </w:pPr>
      <w:r w:rsidRPr="004102BE">
        <w:rPr>
          <w:rFonts w:ascii="Calibri" w:eastAsiaTheme="minorHAnsi" w:hAnsi="Calibri" w:cs="Calibri"/>
          <w:sz w:val="22"/>
          <w:lang w:eastAsia="en-US"/>
        </w:rPr>
        <w:t>Comcare collaborate with premium payers to develop a shared understanding of the processes to be adopted and the outcomes to be achieved by the High Risk Claims Management initiative.</w:t>
      </w:r>
    </w:p>
    <w:p w:rsidR="004102BE" w:rsidRPr="004102BE" w:rsidRDefault="004102BE" w:rsidP="004102BE">
      <w:pPr>
        <w:autoSpaceDE w:val="0"/>
        <w:autoSpaceDN w:val="0"/>
        <w:adjustRightInd w:val="0"/>
        <w:spacing w:before="120" w:after="120"/>
        <w:rPr>
          <w:rFonts w:ascii="Calibri" w:hAnsi="Calibri" w:cs="Calibri"/>
          <w:b/>
          <w:sz w:val="22"/>
          <w:szCs w:val="22"/>
        </w:rPr>
      </w:pPr>
    </w:p>
    <w:p w:rsidR="004102BE" w:rsidRPr="004102BE" w:rsidRDefault="004102BE" w:rsidP="004102BE">
      <w:pPr>
        <w:autoSpaceDE w:val="0"/>
        <w:autoSpaceDN w:val="0"/>
        <w:adjustRightInd w:val="0"/>
        <w:spacing w:before="120" w:after="120"/>
        <w:rPr>
          <w:rFonts w:ascii="Calibri" w:hAnsi="Calibri" w:cs="Calibri"/>
          <w:sz w:val="22"/>
          <w:szCs w:val="22"/>
        </w:rPr>
      </w:pPr>
      <w:r w:rsidRPr="004102BE">
        <w:rPr>
          <w:rFonts w:ascii="Calibri" w:hAnsi="Calibri" w:cs="Calibri"/>
          <w:b/>
          <w:sz w:val="22"/>
          <w:szCs w:val="22"/>
        </w:rPr>
        <w:t>Management of Medical and Like Treatment Services</w:t>
      </w:r>
    </w:p>
    <w:p w:rsidR="004102BE" w:rsidRPr="004102BE" w:rsidRDefault="009A2AD0" w:rsidP="004102BE">
      <w:pPr>
        <w:numPr>
          <w:ilvl w:val="1"/>
          <w:numId w:val="31"/>
        </w:numPr>
        <w:spacing w:after="120"/>
        <w:ind w:left="709" w:hanging="709"/>
        <w:rPr>
          <w:rFonts w:ascii="Calibri" w:eastAsiaTheme="minorHAnsi" w:hAnsi="Calibri" w:cs="Calibri"/>
          <w:sz w:val="22"/>
          <w:lang w:eastAsia="en-US"/>
        </w:rPr>
      </w:pPr>
      <w:r>
        <w:rPr>
          <w:rFonts w:ascii="Calibri" w:eastAsiaTheme="minorHAnsi" w:hAnsi="Calibri" w:cs="Calibri"/>
          <w:sz w:val="22"/>
          <w:lang w:eastAsia="en-US"/>
        </w:rPr>
        <w:t xml:space="preserve">A </w:t>
      </w:r>
      <w:r w:rsidR="004102BE" w:rsidRPr="004102BE">
        <w:rPr>
          <w:rFonts w:ascii="Calibri" w:eastAsiaTheme="minorHAnsi" w:hAnsi="Calibri" w:cs="Calibri"/>
          <w:sz w:val="22"/>
          <w:lang w:eastAsia="en-US"/>
        </w:rPr>
        <w:t xml:space="preserve">Clinical Panel </w:t>
      </w:r>
      <w:r w:rsidR="00F61E97">
        <w:rPr>
          <w:rFonts w:ascii="Calibri" w:eastAsiaTheme="minorHAnsi" w:hAnsi="Calibri" w:cs="Calibri"/>
          <w:sz w:val="22"/>
          <w:lang w:eastAsia="en-US"/>
        </w:rPr>
        <w:t xml:space="preserve">and clinical framework </w:t>
      </w:r>
      <w:r w:rsidR="004102BE" w:rsidRPr="004102BE">
        <w:rPr>
          <w:rFonts w:ascii="Calibri" w:eastAsiaTheme="minorHAnsi" w:hAnsi="Calibri" w:cs="Calibri"/>
          <w:sz w:val="22"/>
          <w:lang w:eastAsia="en-US"/>
        </w:rPr>
        <w:t>to support Comcare’s CSOs in ensuring effective medical and like services delivery</w:t>
      </w:r>
      <w:r w:rsidR="00F61E97">
        <w:rPr>
          <w:rFonts w:ascii="Calibri" w:eastAsiaTheme="minorHAnsi" w:hAnsi="Calibri" w:cs="Calibri"/>
          <w:sz w:val="22"/>
          <w:lang w:eastAsia="en-US"/>
        </w:rPr>
        <w:t xml:space="preserve"> has </w:t>
      </w:r>
      <w:r w:rsidR="00C74D4C">
        <w:rPr>
          <w:rFonts w:ascii="Calibri" w:eastAsiaTheme="minorHAnsi" w:hAnsi="Calibri" w:cs="Calibri"/>
          <w:sz w:val="22"/>
          <w:lang w:eastAsia="en-US"/>
        </w:rPr>
        <w:t>recently been</w:t>
      </w:r>
      <w:r w:rsidR="00F61E97">
        <w:rPr>
          <w:rFonts w:ascii="Calibri" w:eastAsiaTheme="minorHAnsi" w:hAnsi="Calibri" w:cs="Calibri"/>
          <w:sz w:val="22"/>
          <w:lang w:eastAsia="en-US"/>
        </w:rPr>
        <w:t xml:space="preserve"> established</w:t>
      </w:r>
      <w:r w:rsidR="004102BE" w:rsidRPr="004102BE">
        <w:rPr>
          <w:rFonts w:ascii="Calibri" w:eastAsiaTheme="minorHAnsi" w:hAnsi="Calibri" w:cs="Calibri"/>
          <w:sz w:val="22"/>
          <w:lang w:eastAsia="en-US"/>
        </w:rPr>
        <w:t>.</w:t>
      </w:r>
    </w:p>
    <w:p w:rsidR="004102BE" w:rsidRPr="004102BE" w:rsidRDefault="004102BE" w:rsidP="004102BE">
      <w:pPr>
        <w:numPr>
          <w:ilvl w:val="1"/>
          <w:numId w:val="31"/>
        </w:numPr>
        <w:autoSpaceDE w:val="0"/>
        <w:autoSpaceDN w:val="0"/>
        <w:adjustRightInd w:val="0"/>
        <w:spacing w:after="120" w:line="276" w:lineRule="auto"/>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The purpose of the Clinical Framework which outlines a set of guiding principles for the delivery of health services</w:t>
      </w:r>
      <w:r w:rsidRPr="004102BE">
        <w:rPr>
          <w:rFonts w:asciiTheme="minorHAnsi" w:eastAsiaTheme="minorHAnsi" w:hAnsiTheme="minorHAnsi" w:cstheme="minorHAnsi"/>
          <w:sz w:val="22"/>
          <w:szCs w:val="22"/>
          <w:vertAlign w:val="superscript"/>
          <w:lang w:eastAsia="en-US"/>
        </w:rPr>
        <w:footnoteReference w:id="39"/>
      </w:r>
      <w:r w:rsidR="00F61E97">
        <w:rPr>
          <w:rFonts w:ascii="Calibri" w:eastAsiaTheme="minorHAnsi" w:hAnsi="Calibri" w:cs="Calibri"/>
          <w:sz w:val="22"/>
          <w:lang w:eastAsia="en-US"/>
        </w:rPr>
        <w:t xml:space="preserve"> </w:t>
      </w:r>
      <w:r w:rsidRPr="004102BE">
        <w:rPr>
          <w:rFonts w:ascii="Calibri" w:eastAsiaTheme="minorHAnsi" w:hAnsi="Calibri" w:cs="Calibri"/>
          <w:sz w:val="22"/>
          <w:lang w:eastAsia="en-US"/>
        </w:rPr>
        <w:t>is to:</w:t>
      </w:r>
    </w:p>
    <w:p w:rsidR="004102BE" w:rsidRPr="004102BE" w:rsidRDefault="004102BE" w:rsidP="004102BE">
      <w:pPr>
        <w:numPr>
          <w:ilvl w:val="0"/>
          <w:numId w:val="29"/>
        </w:numPr>
        <w:autoSpaceDE w:val="0"/>
        <w:autoSpaceDN w:val="0"/>
        <w:adjustRightInd w:val="0"/>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optimise participation at home, work and in the community, and to achieve the best possible health outcomes for injured people;</w:t>
      </w:r>
    </w:p>
    <w:p w:rsidR="004102BE" w:rsidRPr="004102BE" w:rsidRDefault="004102BE" w:rsidP="004102BE">
      <w:pPr>
        <w:numPr>
          <w:ilvl w:val="0"/>
          <w:numId w:val="29"/>
        </w:numPr>
        <w:autoSpaceDE w:val="0"/>
        <w:autoSpaceDN w:val="0"/>
        <w:adjustRightInd w:val="0"/>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inform healthcare professionals of expectations for the management of injured people;</w:t>
      </w:r>
    </w:p>
    <w:p w:rsidR="004102BE" w:rsidRPr="004102BE" w:rsidRDefault="004102BE" w:rsidP="004102BE">
      <w:pPr>
        <w:numPr>
          <w:ilvl w:val="0"/>
          <w:numId w:val="29"/>
        </w:numPr>
        <w:autoSpaceDE w:val="0"/>
        <w:autoSpaceDN w:val="0"/>
        <w:adjustRightInd w:val="0"/>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provide a set of guiding principles for the provision of healthcare services for injured people, healthcare professionals and decision makers;</w:t>
      </w:r>
    </w:p>
    <w:p w:rsidR="004102BE" w:rsidRPr="004102BE" w:rsidRDefault="004102BE" w:rsidP="004102BE">
      <w:pPr>
        <w:numPr>
          <w:ilvl w:val="0"/>
          <w:numId w:val="29"/>
        </w:numPr>
        <w:autoSpaceDE w:val="0"/>
        <w:autoSpaceDN w:val="0"/>
        <w:adjustRightInd w:val="0"/>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ensure the provision of healthcare services that are goal oriented, evidence based and clinically justified; and</w:t>
      </w:r>
    </w:p>
    <w:p w:rsidR="004102BE" w:rsidRPr="004102BE" w:rsidRDefault="004102BE" w:rsidP="004102BE">
      <w:pPr>
        <w:numPr>
          <w:ilvl w:val="0"/>
          <w:numId w:val="29"/>
        </w:numPr>
        <w:autoSpaceDE w:val="0"/>
        <w:autoSpaceDN w:val="0"/>
        <w:adjustRightInd w:val="0"/>
        <w:spacing w:after="120"/>
        <w:ind w:left="1134" w:hanging="425"/>
        <w:rPr>
          <w:rFonts w:ascii="Calibri" w:eastAsiaTheme="minorHAnsi" w:hAnsi="Calibri" w:cs="Calibri"/>
          <w:sz w:val="22"/>
          <w:lang w:eastAsia="en-US"/>
        </w:rPr>
      </w:pPr>
      <w:proofErr w:type="gramStart"/>
      <w:r w:rsidRPr="004102BE">
        <w:rPr>
          <w:rFonts w:ascii="Calibri" w:eastAsiaTheme="minorHAnsi" w:hAnsi="Calibri" w:cs="Calibri"/>
          <w:sz w:val="22"/>
          <w:lang w:eastAsia="en-US"/>
        </w:rPr>
        <w:t>assist</w:t>
      </w:r>
      <w:proofErr w:type="gramEnd"/>
      <w:r w:rsidRPr="004102BE">
        <w:rPr>
          <w:rFonts w:ascii="Calibri" w:eastAsiaTheme="minorHAnsi" w:hAnsi="Calibri" w:cs="Calibri"/>
          <w:sz w:val="22"/>
          <w:lang w:eastAsia="en-US"/>
        </w:rPr>
        <w:t xml:space="preserve"> in the resolution of disputes.</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The Clinical Framework is a set of principles only and does not aim to direct treating practitioners on the types of treatment appropriate in each case. All treatment offered must however be assessed against the principles outlined in the document in order to ensure alignment with best practice.</w:t>
      </w:r>
    </w:p>
    <w:p w:rsidR="004102BE" w:rsidRPr="004102BE" w:rsidRDefault="004102BE" w:rsidP="004102BE">
      <w:pPr>
        <w:numPr>
          <w:ilvl w:val="1"/>
          <w:numId w:val="31"/>
        </w:numPr>
        <w:autoSpaceDE w:val="0"/>
        <w:autoSpaceDN w:val="0"/>
        <w:adjustRightInd w:val="0"/>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 xml:space="preserve">The Clinical Panel’s role is to conduct clinical reviews of specific claims and provide clinical support to Comcare’s </w:t>
      </w:r>
      <w:r w:rsidR="00B14F36">
        <w:rPr>
          <w:rFonts w:ascii="Calibri" w:eastAsiaTheme="minorHAnsi" w:hAnsi="Calibri" w:cs="Calibri"/>
          <w:sz w:val="22"/>
          <w:lang w:eastAsia="en-US"/>
        </w:rPr>
        <w:t>CSOs</w:t>
      </w:r>
      <w:r w:rsidRPr="004102BE">
        <w:rPr>
          <w:rFonts w:ascii="Calibri" w:eastAsiaTheme="minorHAnsi" w:hAnsi="Calibri" w:cs="Calibri"/>
          <w:sz w:val="22"/>
          <w:lang w:eastAsia="en-US"/>
        </w:rPr>
        <w:t>. It is not a decision-making body</w:t>
      </w:r>
      <w:r w:rsidR="00F8255B">
        <w:rPr>
          <w:rFonts w:ascii="Calibri" w:eastAsiaTheme="minorHAnsi" w:hAnsi="Calibri" w:cs="Calibri"/>
          <w:sz w:val="22"/>
          <w:lang w:eastAsia="en-US"/>
        </w:rPr>
        <w:t>,</w:t>
      </w:r>
      <w:r w:rsidRPr="004102BE">
        <w:rPr>
          <w:rFonts w:ascii="Calibri" w:eastAsiaTheme="minorHAnsi" w:hAnsi="Calibri" w:cs="Calibri"/>
          <w:sz w:val="22"/>
          <w:lang w:eastAsia="en-US"/>
        </w:rPr>
        <w:t xml:space="preserve"> but provides advice and guidance in the decision-making process. Where necessary, it also provides professional support and advice to healthcare providers treating injured workers.</w:t>
      </w:r>
    </w:p>
    <w:p w:rsidR="004102BE" w:rsidRPr="004102BE" w:rsidRDefault="004102BE" w:rsidP="004102BE">
      <w:pPr>
        <w:numPr>
          <w:ilvl w:val="1"/>
          <w:numId w:val="31"/>
        </w:numPr>
        <w:autoSpaceDE w:val="0"/>
        <w:autoSpaceDN w:val="0"/>
        <w:adjustRightInd w:val="0"/>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In performing its functions, a member of the Clinical Panel may contact an injured worker’s treating health practitioner to discuss current and future treatment and seek agreement on the best treatment options for the injured worker. As much as possible, the Clinical Panel aims to come to an agreement with the treating health practitioner on the way forward.</w:t>
      </w:r>
    </w:p>
    <w:p w:rsidR="004102BE" w:rsidRPr="004102BE" w:rsidRDefault="004102BE" w:rsidP="004102BE">
      <w:pPr>
        <w:numPr>
          <w:ilvl w:val="1"/>
          <w:numId w:val="31"/>
        </w:numPr>
        <w:autoSpaceDE w:val="0"/>
        <w:autoSpaceDN w:val="0"/>
        <w:adjustRightInd w:val="0"/>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In addition, the Health Services team reviews and, where necessary, updates Comcare’s policy position on the provision of specific treatment types</w:t>
      </w:r>
      <w:r w:rsidRPr="004102BE">
        <w:rPr>
          <w:rFonts w:asciiTheme="minorHAnsi" w:eastAsiaTheme="minorHAnsi" w:hAnsiTheme="minorHAnsi" w:cstheme="minorHAnsi"/>
          <w:sz w:val="22"/>
          <w:szCs w:val="22"/>
          <w:lang w:eastAsia="en-US"/>
        </w:rPr>
        <w:t>.</w:t>
      </w:r>
      <w:r w:rsidRPr="004102BE">
        <w:rPr>
          <w:rFonts w:asciiTheme="minorHAnsi" w:eastAsiaTheme="minorHAnsi" w:hAnsiTheme="minorHAnsi" w:cstheme="minorHAnsi"/>
          <w:sz w:val="22"/>
          <w:szCs w:val="22"/>
          <w:vertAlign w:val="superscript"/>
          <w:lang w:eastAsia="en-US"/>
        </w:rPr>
        <w:footnoteReference w:id="40"/>
      </w:r>
      <w:r w:rsidRPr="004102BE">
        <w:rPr>
          <w:rFonts w:asciiTheme="minorHAnsi" w:eastAsiaTheme="minorHAnsi" w:hAnsiTheme="minorHAnsi" w:cstheme="minorHAnsi"/>
          <w:sz w:val="22"/>
          <w:szCs w:val="22"/>
          <w:lang w:eastAsia="en-US"/>
        </w:rPr>
        <w:t xml:space="preserve"> </w:t>
      </w:r>
      <w:r w:rsidRPr="004102BE">
        <w:rPr>
          <w:rFonts w:ascii="Calibri" w:eastAsiaTheme="minorHAnsi" w:hAnsi="Calibri" w:cs="Calibri"/>
          <w:sz w:val="22"/>
          <w:lang w:eastAsia="en-US"/>
        </w:rPr>
        <w:t>These policies aim to provide greater clarity to service providers on what Comcare will accept liability for, and the processes treating providers need to follow in seeking approval to provide treatment in individual cases. Development of these treatment policies and guidelines is a crucial aspect of Comcare’s ability to reduce “cost leakage” due to inappropriate payment of treatments that are not in line with the principles outlined in the Clinical Framework.</w:t>
      </w:r>
    </w:p>
    <w:p w:rsidR="004102BE" w:rsidRPr="004102BE" w:rsidRDefault="00F61E97" w:rsidP="004102BE">
      <w:pPr>
        <w:numPr>
          <w:ilvl w:val="1"/>
          <w:numId w:val="31"/>
        </w:numPr>
        <w:autoSpaceDE w:val="0"/>
        <w:autoSpaceDN w:val="0"/>
        <w:adjustRightInd w:val="0"/>
        <w:spacing w:after="120"/>
        <w:ind w:left="709" w:hanging="709"/>
        <w:rPr>
          <w:rFonts w:ascii="Calibri" w:eastAsiaTheme="minorHAnsi" w:hAnsi="Calibri" w:cs="Calibri"/>
          <w:sz w:val="22"/>
          <w:lang w:eastAsia="en-US"/>
        </w:rPr>
      </w:pPr>
      <w:r>
        <w:rPr>
          <w:rFonts w:ascii="Calibri" w:eastAsiaTheme="minorHAnsi" w:hAnsi="Calibri" w:cs="Calibri"/>
          <w:sz w:val="22"/>
          <w:lang w:eastAsia="en-US"/>
        </w:rPr>
        <w:t>T</w:t>
      </w:r>
      <w:r w:rsidR="004102BE" w:rsidRPr="004102BE">
        <w:rPr>
          <w:rFonts w:ascii="Calibri" w:eastAsiaTheme="minorHAnsi" w:hAnsi="Calibri" w:cs="Calibri"/>
          <w:sz w:val="22"/>
          <w:lang w:eastAsia="en-US"/>
        </w:rPr>
        <w:t xml:space="preserve">he Clinical Framework and Clinical Panel </w:t>
      </w:r>
      <w:r>
        <w:rPr>
          <w:rFonts w:ascii="Calibri" w:eastAsiaTheme="minorHAnsi" w:hAnsi="Calibri" w:cs="Calibri"/>
          <w:sz w:val="22"/>
          <w:lang w:eastAsia="en-US"/>
        </w:rPr>
        <w:t>will address</w:t>
      </w:r>
      <w:r w:rsidR="004102BE" w:rsidRPr="004102BE">
        <w:rPr>
          <w:rFonts w:ascii="Calibri" w:eastAsiaTheme="minorHAnsi" w:hAnsi="Calibri" w:cs="Calibri"/>
          <w:sz w:val="22"/>
          <w:lang w:eastAsia="en-US"/>
        </w:rPr>
        <w:t xml:space="preserve"> these concerns.</w:t>
      </w:r>
    </w:p>
    <w:p w:rsidR="004102BE" w:rsidRPr="004102BE" w:rsidRDefault="00F61E97" w:rsidP="004102BE">
      <w:pPr>
        <w:numPr>
          <w:ilvl w:val="1"/>
          <w:numId w:val="31"/>
        </w:numPr>
        <w:autoSpaceDE w:val="0"/>
        <w:autoSpaceDN w:val="0"/>
        <w:adjustRightInd w:val="0"/>
        <w:spacing w:after="120"/>
        <w:ind w:left="709" w:hanging="709"/>
        <w:rPr>
          <w:rFonts w:ascii="Calibri" w:eastAsiaTheme="minorHAnsi" w:hAnsi="Calibri" w:cs="Calibri"/>
          <w:sz w:val="22"/>
          <w:lang w:eastAsia="en-US"/>
        </w:rPr>
      </w:pPr>
      <w:r>
        <w:rPr>
          <w:rFonts w:ascii="Calibri" w:eastAsiaTheme="minorHAnsi" w:hAnsi="Calibri" w:cs="Calibri"/>
          <w:sz w:val="22"/>
          <w:lang w:eastAsia="en-US"/>
        </w:rPr>
        <w:lastRenderedPageBreak/>
        <w:t>S</w:t>
      </w:r>
      <w:r w:rsidR="004102BE" w:rsidRPr="004102BE">
        <w:rPr>
          <w:rFonts w:ascii="Calibri" w:eastAsiaTheme="minorHAnsi" w:hAnsi="Calibri" w:cs="Calibri"/>
          <w:sz w:val="22"/>
          <w:lang w:eastAsia="en-US"/>
        </w:rPr>
        <w:t xml:space="preserve">igns are emerging that the work being done in this area is beginning to deliver positive results. While it is too early to assess the actuarial impact, Comcare has been using the Clinical Framework principles to drive more effective treatment outcomes. In the 12 months to 30 June 2012, Comcare has reviewed the treatment for 476 claims. Of these, the Clinical Panel used the Clinical Framework principles to achieve consensus on future treatment on 307 claims (or </w:t>
      </w:r>
      <w:r w:rsidR="00B724B3" w:rsidRPr="004102BE">
        <w:rPr>
          <w:rFonts w:ascii="Calibri" w:eastAsiaTheme="minorHAnsi" w:hAnsi="Calibri" w:cs="Calibri"/>
          <w:sz w:val="22"/>
          <w:lang w:eastAsia="en-US"/>
        </w:rPr>
        <w:t>87</w:t>
      </w:r>
      <w:r w:rsidR="00B724B3">
        <w:rPr>
          <w:rFonts w:ascii="Calibri" w:eastAsiaTheme="minorHAnsi" w:hAnsi="Calibri" w:cs="Calibri"/>
          <w:sz w:val="22"/>
          <w:lang w:eastAsia="en-US"/>
        </w:rPr>
        <w:t> </w:t>
      </w:r>
      <w:r w:rsidR="00B724B3" w:rsidRPr="004102BE">
        <w:rPr>
          <w:rFonts w:ascii="Calibri" w:eastAsiaTheme="minorHAnsi" w:hAnsi="Calibri" w:cs="Calibri"/>
          <w:sz w:val="22"/>
          <w:lang w:eastAsia="en-US"/>
        </w:rPr>
        <w:t>per</w:t>
      </w:r>
      <w:r w:rsidR="00B724B3">
        <w:rPr>
          <w:rFonts w:ascii="Calibri" w:eastAsiaTheme="minorHAnsi" w:hAnsi="Calibri" w:cs="Calibri"/>
          <w:sz w:val="22"/>
          <w:lang w:eastAsia="en-US"/>
        </w:rPr>
        <w:t> </w:t>
      </w:r>
      <w:r w:rsidR="004102BE" w:rsidRPr="004102BE">
        <w:rPr>
          <w:rFonts w:ascii="Calibri" w:eastAsiaTheme="minorHAnsi" w:hAnsi="Calibri" w:cs="Calibri"/>
          <w:sz w:val="22"/>
          <w:lang w:eastAsia="en-US"/>
        </w:rPr>
        <w:t>cent).</w:t>
      </w:r>
    </w:p>
    <w:p w:rsidR="004102BE" w:rsidRPr="004102BE" w:rsidRDefault="004102BE" w:rsidP="004102BE">
      <w:pPr>
        <w:numPr>
          <w:ilvl w:val="1"/>
          <w:numId w:val="31"/>
        </w:numPr>
        <w:autoSpaceDE w:val="0"/>
        <w:autoSpaceDN w:val="0"/>
        <w:adjustRightInd w:val="0"/>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Introduction of the new physiotherapy and psychology policies which require approval of Treatment Plans where extended treatment is proposed has seen the submission of over 1500 plans by treating practitioners. The submission and approval of these plans enables all parties to have clarity about the treatment services to be provided and measured. This approach remedies the current situation where medical treatment can continue for long periods of time without a clear understanding of the benefits of such treatment.</w:t>
      </w:r>
    </w:p>
    <w:p w:rsidR="004102BE" w:rsidRPr="004102BE" w:rsidRDefault="004102BE" w:rsidP="004102BE">
      <w:pPr>
        <w:numPr>
          <w:ilvl w:val="1"/>
          <w:numId w:val="31"/>
        </w:numPr>
        <w:autoSpaceDE w:val="0"/>
        <w:autoSpaceDN w:val="0"/>
        <w:adjustRightInd w:val="0"/>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 xml:space="preserve">Despite these successes, progress has been slow. Given Comcare has over 10,000 open premium </w:t>
      </w:r>
      <w:proofErr w:type="gramStart"/>
      <w:r w:rsidRPr="004102BE">
        <w:rPr>
          <w:rFonts w:ascii="Calibri" w:eastAsiaTheme="minorHAnsi" w:hAnsi="Calibri" w:cs="Calibri"/>
          <w:sz w:val="22"/>
          <w:lang w:eastAsia="en-US"/>
        </w:rPr>
        <w:t>claims,</w:t>
      </w:r>
      <w:proofErr w:type="gramEnd"/>
      <w:r w:rsidRPr="004102BE">
        <w:rPr>
          <w:rFonts w:ascii="Calibri" w:eastAsiaTheme="minorHAnsi" w:hAnsi="Calibri" w:cs="Calibri"/>
          <w:sz w:val="22"/>
          <w:lang w:eastAsia="en-US"/>
        </w:rPr>
        <w:t xml:space="preserve"> there is a need </w:t>
      </w:r>
      <w:r w:rsidR="00F61E97">
        <w:rPr>
          <w:rFonts w:ascii="Calibri" w:eastAsiaTheme="minorHAnsi" w:hAnsi="Calibri" w:cs="Calibri"/>
          <w:sz w:val="22"/>
          <w:lang w:eastAsia="en-US"/>
        </w:rPr>
        <w:t>for</w:t>
      </w:r>
      <w:r w:rsidRPr="004102BE">
        <w:rPr>
          <w:rFonts w:ascii="Calibri" w:eastAsiaTheme="minorHAnsi" w:hAnsi="Calibri" w:cs="Calibri"/>
          <w:sz w:val="22"/>
          <w:lang w:eastAsia="en-US"/>
        </w:rPr>
        <w:t xml:space="preserve"> quicker review. There is also a need to introduce more disciplines in the Clinical Panel to review other types of treatment.</w:t>
      </w:r>
    </w:p>
    <w:p w:rsidR="004102BE" w:rsidRPr="004102BE" w:rsidRDefault="004102BE" w:rsidP="004102BE">
      <w:pPr>
        <w:numPr>
          <w:ilvl w:val="1"/>
          <w:numId w:val="31"/>
        </w:numPr>
        <w:autoSpaceDE w:val="0"/>
        <w:autoSpaceDN w:val="0"/>
        <w:adjustRightInd w:val="0"/>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 xml:space="preserve">The Hanks Review </w:t>
      </w:r>
      <w:r w:rsidR="00F61E97">
        <w:rPr>
          <w:rFonts w:ascii="Calibri" w:eastAsiaTheme="minorHAnsi" w:hAnsi="Calibri" w:cs="Calibri"/>
          <w:sz w:val="22"/>
          <w:lang w:eastAsia="en-US"/>
        </w:rPr>
        <w:t>might</w:t>
      </w:r>
      <w:r w:rsidR="00F61E97" w:rsidRPr="004102BE">
        <w:rPr>
          <w:rFonts w:ascii="Calibri" w:eastAsiaTheme="minorHAnsi" w:hAnsi="Calibri" w:cs="Calibri"/>
          <w:sz w:val="22"/>
          <w:lang w:eastAsia="en-US"/>
        </w:rPr>
        <w:t xml:space="preserve"> </w:t>
      </w:r>
      <w:r w:rsidRPr="004102BE">
        <w:rPr>
          <w:rFonts w:ascii="Calibri" w:eastAsiaTheme="minorHAnsi" w:hAnsi="Calibri" w:cs="Calibri"/>
          <w:sz w:val="22"/>
          <w:lang w:eastAsia="en-US"/>
        </w:rPr>
        <w:t>also consider the medical treatment provisions of the SRC Act.</w:t>
      </w:r>
    </w:p>
    <w:p w:rsidR="004102BE" w:rsidRPr="004102BE" w:rsidRDefault="004102BE" w:rsidP="004102B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Theme="minorHAnsi" w:eastAsiaTheme="minorHAnsi" w:hAnsiTheme="minorHAnsi" w:cstheme="minorBidi"/>
          <w:sz w:val="22"/>
          <w:szCs w:val="22"/>
          <w:lang w:eastAsia="en-US"/>
        </w:rPr>
      </w:pPr>
      <w:r w:rsidRPr="004102BE">
        <w:rPr>
          <w:rFonts w:ascii="Calibri" w:eastAsiaTheme="minorHAnsi" w:hAnsi="Calibri" w:cs="Calibri"/>
          <w:b/>
          <w:sz w:val="22"/>
          <w:lang w:eastAsia="en-US"/>
        </w:rPr>
        <w:t xml:space="preserve">Recommendation </w:t>
      </w:r>
      <w:r w:rsidR="005B0029">
        <w:rPr>
          <w:rFonts w:ascii="Calibri" w:eastAsiaTheme="minorHAnsi" w:hAnsi="Calibri" w:cs="Calibri"/>
          <w:b/>
          <w:sz w:val="22"/>
          <w:lang w:eastAsia="en-US"/>
        </w:rPr>
        <w:t>20</w:t>
      </w:r>
    </w:p>
    <w:p w:rsidR="004102BE" w:rsidRPr="004102BE" w:rsidRDefault="004102BE" w:rsidP="004102B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Calibri" w:hAnsi="Calibri" w:cs="Calibri"/>
          <w:sz w:val="22"/>
          <w:szCs w:val="22"/>
        </w:rPr>
      </w:pPr>
      <w:r w:rsidRPr="004102BE">
        <w:rPr>
          <w:rFonts w:ascii="Calibri" w:hAnsi="Calibri" w:cs="Calibri"/>
          <w:sz w:val="22"/>
          <w:szCs w:val="22"/>
        </w:rPr>
        <w:t>Comcare expand its Clinical Panel resources to enable more timely treatment reviews of all current and new claims.</w:t>
      </w:r>
    </w:p>
    <w:p w:rsidR="004102BE" w:rsidRPr="004102BE" w:rsidRDefault="00F61E97" w:rsidP="004102B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Calibri" w:hAnsi="Calibri" w:cs="Calibri"/>
          <w:sz w:val="22"/>
          <w:szCs w:val="22"/>
        </w:rPr>
      </w:pPr>
      <w:r>
        <w:rPr>
          <w:rFonts w:ascii="Calibri" w:hAnsi="Calibri" w:cs="Calibri"/>
          <w:sz w:val="22"/>
          <w:szCs w:val="22"/>
        </w:rPr>
        <w:t>T</w:t>
      </w:r>
      <w:r w:rsidR="004102BE" w:rsidRPr="004102BE">
        <w:rPr>
          <w:rFonts w:ascii="Calibri" w:hAnsi="Calibri" w:cs="Calibri"/>
          <w:sz w:val="22"/>
          <w:szCs w:val="22"/>
        </w:rPr>
        <w:t>he Hanks Review</w:t>
      </w:r>
      <w:r>
        <w:rPr>
          <w:rFonts w:ascii="Calibri" w:hAnsi="Calibri" w:cs="Calibri"/>
          <w:sz w:val="22"/>
          <w:szCs w:val="22"/>
        </w:rPr>
        <w:t xml:space="preserve"> should</w:t>
      </w:r>
      <w:r w:rsidRPr="004102BE">
        <w:rPr>
          <w:rFonts w:ascii="Calibri" w:hAnsi="Calibri" w:cs="Calibri"/>
          <w:sz w:val="22"/>
          <w:szCs w:val="22"/>
        </w:rPr>
        <w:t xml:space="preserve"> </w:t>
      </w:r>
      <w:r w:rsidR="004102BE" w:rsidRPr="004102BE">
        <w:rPr>
          <w:rFonts w:ascii="Calibri" w:hAnsi="Calibri" w:cs="Calibri"/>
          <w:sz w:val="22"/>
          <w:szCs w:val="22"/>
        </w:rPr>
        <w:t>consider reviewing the medical treatment provisions of the SRC Act to provide a stronger emphasis on the provision of evidence based treatment.</w:t>
      </w:r>
    </w:p>
    <w:p w:rsidR="00744A57" w:rsidRDefault="00744A57" w:rsidP="000D7C1C">
      <w:pPr>
        <w:keepNext/>
        <w:keepLines/>
        <w:outlineLvl w:val="2"/>
        <w:rPr>
          <w:rFonts w:ascii="Arial Bold" w:eastAsiaTheme="majorEastAsia" w:hAnsi="Arial Bold" w:cs="Calibri"/>
          <w:bCs/>
          <w:caps/>
          <w:color w:val="1F497D" w:themeColor="text2"/>
          <w:sz w:val="23"/>
          <w:szCs w:val="23"/>
        </w:rPr>
      </w:pPr>
      <w:bookmarkStart w:id="535" w:name="_Toc341778030"/>
    </w:p>
    <w:p w:rsidR="004102BE" w:rsidRPr="004102BE" w:rsidRDefault="004102BE" w:rsidP="004102BE">
      <w:pPr>
        <w:keepNext/>
        <w:keepLines/>
        <w:spacing w:before="100" w:beforeAutospacing="1" w:after="100" w:afterAutospacing="1"/>
        <w:outlineLvl w:val="2"/>
        <w:rPr>
          <w:rFonts w:ascii="Arial Bold" w:eastAsiaTheme="majorEastAsia" w:hAnsi="Arial Bold" w:cs="Calibri"/>
          <w:bCs/>
          <w:caps/>
          <w:color w:val="1F497D" w:themeColor="text2"/>
          <w:sz w:val="23"/>
          <w:szCs w:val="23"/>
        </w:rPr>
      </w:pPr>
      <w:bookmarkStart w:id="536" w:name="_Toc342578403"/>
      <w:r w:rsidRPr="004102BE">
        <w:rPr>
          <w:rFonts w:ascii="Arial Bold" w:eastAsiaTheme="majorEastAsia" w:hAnsi="Arial Bold" w:cs="Calibri"/>
          <w:bCs/>
          <w:caps/>
          <w:color w:val="1F497D" w:themeColor="text2"/>
          <w:sz w:val="23"/>
          <w:szCs w:val="23"/>
        </w:rPr>
        <w:t>Audit</w:t>
      </w:r>
      <w:bookmarkEnd w:id="535"/>
      <w:bookmarkEnd w:id="536"/>
    </w:p>
    <w:p w:rsidR="004102BE" w:rsidRPr="004102BE" w:rsidRDefault="004102BE" w:rsidP="004102BE">
      <w:pPr>
        <w:numPr>
          <w:ilvl w:val="1"/>
          <w:numId w:val="31"/>
        </w:numPr>
        <w:autoSpaceDE w:val="0"/>
        <w:autoSpaceDN w:val="0"/>
        <w:adjustRightInd w:val="0"/>
        <w:spacing w:after="120"/>
        <w:ind w:left="709" w:hanging="709"/>
        <w:rPr>
          <w:rFonts w:ascii="Calibri" w:eastAsiaTheme="minorHAnsi" w:hAnsi="Calibri" w:cs="Calibri"/>
          <w:sz w:val="22"/>
          <w:szCs w:val="22"/>
          <w:lang w:eastAsia="en-US"/>
        </w:rPr>
      </w:pPr>
      <w:r w:rsidRPr="004102BE">
        <w:rPr>
          <w:rFonts w:ascii="Calibri" w:eastAsiaTheme="minorHAnsi" w:hAnsi="Calibri" w:cs="Calibri"/>
          <w:sz w:val="22"/>
          <w:szCs w:val="22"/>
          <w:lang w:eastAsia="en-US"/>
        </w:rPr>
        <w:t xml:space="preserve">As a CAC Act agency, Comcare is required under </w:t>
      </w:r>
      <w:r w:rsidR="00920A03">
        <w:rPr>
          <w:rFonts w:ascii="Calibri" w:eastAsiaTheme="minorHAnsi" w:hAnsi="Calibri" w:cs="Calibri"/>
          <w:sz w:val="22"/>
          <w:szCs w:val="22"/>
          <w:lang w:eastAsia="en-US"/>
        </w:rPr>
        <w:t>Section</w:t>
      </w:r>
      <w:r w:rsidRPr="004102BE">
        <w:rPr>
          <w:rFonts w:ascii="Calibri" w:eastAsiaTheme="minorHAnsi" w:hAnsi="Calibri" w:cs="Calibri"/>
          <w:sz w:val="22"/>
          <w:szCs w:val="22"/>
          <w:lang w:eastAsia="en-US"/>
        </w:rPr>
        <w:t xml:space="preserve"> 32 of the CAC Act to establish and maintain an Audit Committee to comply with obligations under the Act and provide a forum for communication between the CEO, senior managers and external and internal auditors.</w:t>
      </w:r>
    </w:p>
    <w:p w:rsidR="004102BE" w:rsidRPr="004102BE" w:rsidRDefault="004102BE" w:rsidP="00A067E7">
      <w:pPr>
        <w:numPr>
          <w:ilvl w:val="1"/>
          <w:numId w:val="31"/>
        </w:numPr>
        <w:autoSpaceDE w:val="0"/>
        <w:autoSpaceDN w:val="0"/>
        <w:adjustRightInd w:val="0"/>
        <w:spacing w:after="120"/>
        <w:ind w:left="709" w:hanging="709"/>
        <w:rPr>
          <w:rFonts w:ascii="Calibri" w:eastAsiaTheme="minorHAnsi" w:hAnsi="Calibri" w:cs="Calibri"/>
          <w:sz w:val="22"/>
          <w:szCs w:val="22"/>
          <w:lang w:eastAsia="en-US"/>
        </w:rPr>
      </w:pPr>
      <w:r w:rsidRPr="004102BE">
        <w:rPr>
          <w:rFonts w:ascii="Calibri" w:eastAsiaTheme="minorHAnsi" w:hAnsi="Calibri" w:cs="Calibri"/>
          <w:sz w:val="22"/>
          <w:szCs w:val="22"/>
          <w:lang w:eastAsia="en-US"/>
        </w:rPr>
        <w:t xml:space="preserve">In July 2012, </w:t>
      </w:r>
      <w:r w:rsidR="00F61E97">
        <w:rPr>
          <w:rFonts w:ascii="Calibri" w:eastAsiaTheme="minorHAnsi" w:hAnsi="Calibri" w:cs="Calibri"/>
          <w:sz w:val="22"/>
          <w:szCs w:val="22"/>
          <w:lang w:eastAsia="en-US"/>
        </w:rPr>
        <w:t>in accordance with</w:t>
      </w:r>
      <w:r w:rsidRPr="004102BE">
        <w:rPr>
          <w:rFonts w:ascii="Calibri" w:eastAsiaTheme="minorHAnsi" w:hAnsi="Calibri" w:cs="Calibri"/>
          <w:sz w:val="22"/>
          <w:szCs w:val="22"/>
          <w:lang w:eastAsia="en-US"/>
        </w:rPr>
        <w:t xml:space="preserve"> Commonwealth Authorities and Companies Regulations, the CEO, in his capacity as Director of Comcare, enhanced </w:t>
      </w:r>
      <w:r w:rsidR="00F61E97">
        <w:rPr>
          <w:rFonts w:ascii="Calibri" w:eastAsiaTheme="minorHAnsi" w:hAnsi="Calibri" w:cs="Calibri"/>
          <w:sz w:val="22"/>
          <w:szCs w:val="22"/>
          <w:lang w:eastAsia="en-US"/>
        </w:rPr>
        <w:t>the</w:t>
      </w:r>
      <w:r w:rsidR="00F61E97" w:rsidRPr="004102BE">
        <w:rPr>
          <w:rFonts w:ascii="Calibri" w:eastAsiaTheme="minorHAnsi" w:hAnsi="Calibri" w:cs="Calibri"/>
          <w:sz w:val="22"/>
          <w:szCs w:val="22"/>
          <w:lang w:eastAsia="en-US"/>
        </w:rPr>
        <w:t xml:space="preserve"> </w:t>
      </w:r>
      <w:r w:rsidRPr="004102BE">
        <w:rPr>
          <w:rFonts w:ascii="Calibri" w:eastAsiaTheme="minorHAnsi" w:hAnsi="Calibri" w:cs="Calibri"/>
          <w:sz w:val="22"/>
          <w:szCs w:val="22"/>
          <w:lang w:eastAsia="en-US"/>
        </w:rPr>
        <w:t>audit framework by establishing an independent Audit Committee made up of at least three and not more than five members who are independent of Comcare.</w:t>
      </w:r>
      <w:r w:rsidRPr="004102BE">
        <w:rPr>
          <w:rFonts w:ascii="Calibri" w:eastAsiaTheme="minorHAnsi" w:hAnsi="Calibri" w:cs="Calibri"/>
          <w:sz w:val="22"/>
          <w:szCs w:val="22"/>
          <w:vertAlign w:val="superscript"/>
          <w:lang w:eastAsia="en-US"/>
        </w:rPr>
        <w:footnoteReference w:id="41"/>
      </w:r>
      <w:r w:rsidRPr="004102BE">
        <w:rPr>
          <w:rFonts w:ascii="Calibri" w:eastAsiaTheme="minorHAnsi" w:hAnsi="Calibri" w:cs="Calibri"/>
          <w:sz w:val="22"/>
          <w:szCs w:val="22"/>
          <w:lang w:eastAsia="en-US"/>
        </w:rPr>
        <w:t xml:space="preserve"> The Audit Committee plays an important role in the risk management processes for Comcare and is directly responsible and accountable to the CEO in the performance of its duties which include:</w:t>
      </w:r>
    </w:p>
    <w:p w:rsidR="002555F4" w:rsidRDefault="006E236C">
      <w:pPr>
        <w:numPr>
          <w:ilvl w:val="0"/>
          <w:numId w:val="56"/>
        </w:numPr>
        <w:spacing w:after="200" w:line="276" w:lineRule="auto"/>
        <w:ind w:left="1134" w:hanging="425"/>
        <w:contextualSpacing/>
        <w:rPr>
          <w:rFonts w:asciiTheme="minorHAnsi" w:eastAsiaTheme="minorHAnsi" w:hAnsiTheme="minorHAnsi" w:cstheme="minorBidi"/>
          <w:sz w:val="22"/>
          <w:szCs w:val="22"/>
          <w:lang w:eastAsia="en-US"/>
        </w:rPr>
      </w:pPr>
      <w:r w:rsidRPr="006E236C">
        <w:rPr>
          <w:rFonts w:asciiTheme="minorHAnsi" w:eastAsiaTheme="minorHAnsi" w:hAnsiTheme="minorHAnsi" w:cstheme="minorBidi"/>
          <w:sz w:val="22"/>
          <w:szCs w:val="22"/>
          <w:lang w:eastAsia="en-US"/>
        </w:rPr>
        <w:t>Risk Management</w:t>
      </w:r>
    </w:p>
    <w:p w:rsidR="002555F4" w:rsidRDefault="004102BE">
      <w:pPr>
        <w:autoSpaceDE w:val="0"/>
        <w:autoSpaceDN w:val="0"/>
        <w:adjustRightInd w:val="0"/>
        <w:spacing w:after="120"/>
        <w:ind w:left="709"/>
        <w:rPr>
          <w:rFonts w:ascii="Calibri" w:eastAsiaTheme="minorHAnsi" w:hAnsi="Calibri" w:cs="Calibri"/>
          <w:sz w:val="22"/>
          <w:lang w:eastAsia="en-US"/>
        </w:rPr>
      </w:pPr>
      <w:r w:rsidRPr="004102BE">
        <w:rPr>
          <w:rFonts w:ascii="Calibri" w:eastAsiaTheme="minorHAnsi" w:hAnsi="Calibri" w:cs="Calibri"/>
          <w:sz w:val="22"/>
          <w:lang w:eastAsia="en-US"/>
        </w:rPr>
        <w:t>To review whether Comcare’s management has in place a current and comprehensive risk management framework, and associated frameworks for the effective identification and management of Comcare’s financial and business risks, including fraud management.</w:t>
      </w:r>
    </w:p>
    <w:p w:rsidR="002555F4" w:rsidRDefault="006E236C">
      <w:pPr>
        <w:numPr>
          <w:ilvl w:val="0"/>
          <w:numId w:val="56"/>
        </w:numPr>
        <w:spacing w:after="200" w:line="276" w:lineRule="auto"/>
        <w:ind w:left="1134" w:hanging="425"/>
        <w:contextualSpacing/>
        <w:rPr>
          <w:rFonts w:asciiTheme="minorHAnsi" w:eastAsiaTheme="minorHAnsi" w:hAnsiTheme="minorHAnsi" w:cstheme="minorBidi"/>
          <w:sz w:val="22"/>
          <w:szCs w:val="22"/>
          <w:lang w:eastAsia="en-US"/>
        </w:rPr>
      </w:pPr>
      <w:r w:rsidRPr="006E236C">
        <w:rPr>
          <w:rFonts w:asciiTheme="minorHAnsi" w:eastAsiaTheme="minorHAnsi" w:hAnsiTheme="minorHAnsi" w:cstheme="minorBidi"/>
          <w:sz w:val="22"/>
          <w:szCs w:val="22"/>
          <w:lang w:eastAsia="en-US"/>
        </w:rPr>
        <w:t>Control Framework</w:t>
      </w:r>
    </w:p>
    <w:p w:rsidR="002555F4" w:rsidRDefault="004102BE">
      <w:pPr>
        <w:autoSpaceDE w:val="0"/>
        <w:autoSpaceDN w:val="0"/>
        <w:adjustRightInd w:val="0"/>
        <w:spacing w:after="120"/>
        <w:ind w:left="709"/>
        <w:rPr>
          <w:rFonts w:ascii="Calibri" w:eastAsiaTheme="minorHAnsi" w:hAnsi="Calibri" w:cs="Calibri"/>
          <w:sz w:val="22"/>
          <w:lang w:eastAsia="en-US"/>
        </w:rPr>
      </w:pPr>
      <w:r w:rsidRPr="004102BE">
        <w:rPr>
          <w:rFonts w:ascii="Calibri" w:eastAsiaTheme="minorHAnsi" w:hAnsi="Calibri" w:cs="Calibri"/>
          <w:sz w:val="22"/>
          <w:lang w:eastAsia="en-US"/>
        </w:rPr>
        <w:t>To review whether Comcare’s management has an effective control framework to manage all aspects of its business, including the management of policies and procedures, information and communication systems, contractor management and delegations.</w:t>
      </w:r>
    </w:p>
    <w:p w:rsidR="002555F4" w:rsidRDefault="006E236C">
      <w:pPr>
        <w:numPr>
          <w:ilvl w:val="0"/>
          <w:numId w:val="56"/>
        </w:numPr>
        <w:spacing w:after="200" w:line="276" w:lineRule="auto"/>
        <w:ind w:left="1134" w:hanging="425"/>
        <w:contextualSpacing/>
        <w:rPr>
          <w:rFonts w:asciiTheme="minorHAnsi" w:eastAsiaTheme="minorHAnsi" w:hAnsiTheme="minorHAnsi" w:cstheme="minorBidi"/>
          <w:sz w:val="22"/>
          <w:szCs w:val="22"/>
          <w:lang w:eastAsia="en-US"/>
        </w:rPr>
      </w:pPr>
      <w:r w:rsidRPr="006E236C">
        <w:rPr>
          <w:rFonts w:asciiTheme="minorHAnsi" w:eastAsiaTheme="minorHAnsi" w:hAnsiTheme="minorHAnsi" w:cstheme="minorBidi"/>
          <w:sz w:val="22"/>
          <w:szCs w:val="22"/>
          <w:lang w:eastAsia="en-US"/>
        </w:rPr>
        <w:lastRenderedPageBreak/>
        <w:t>External Accountability</w:t>
      </w:r>
    </w:p>
    <w:p w:rsidR="002555F4" w:rsidRDefault="004102BE">
      <w:pPr>
        <w:autoSpaceDE w:val="0"/>
        <w:autoSpaceDN w:val="0"/>
        <w:adjustRightInd w:val="0"/>
        <w:spacing w:after="120"/>
        <w:ind w:left="709"/>
        <w:rPr>
          <w:rFonts w:ascii="Calibri" w:eastAsiaTheme="minorHAnsi" w:hAnsi="Calibri" w:cs="Calibri"/>
          <w:sz w:val="22"/>
          <w:lang w:eastAsia="en-US"/>
        </w:rPr>
      </w:pPr>
      <w:r w:rsidRPr="004102BE">
        <w:rPr>
          <w:rFonts w:ascii="Calibri" w:eastAsiaTheme="minorHAnsi" w:hAnsi="Calibri" w:cs="Calibri"/>
          <w:sz w:val="22"/>
          <w:lang w:eastAsia="en-US"/>
        </w:rPr>
        <w:t>To satisfy itself that Comcare has processes to ensure accuracy of financial information, to review financial statements and provide advice to the CEO and to ensure Comcare management has processes to review and implement recommendations from external reports, including Parliamentary Committee reports.</w:t>
      </w:r>
    </w:p>
    <w:p w:rsidR="002555F4" w:rsidRDefault="006E236C">
      <w:pPr>
        <w:numPr>
          <w:ilvl w:val="0"/>
          <w:numId w:val="56"/>
        </w:numPr>
        <w:spacing w:after="200" w:line="276" w:lineRule="auto"/>
        <w:ind w:left="1134" w:hanging="425"/>
        <w:contextualSpacing/>
        <w:rPr>
          <w:rFonts w:asciiTheme="minorHAnsi" w:eastAsiaTheme="minorHAnsi" w:hAnsiTheme="minorHAnsi" w:cstheme="minorBidi"/>
          <w:sz w:val="22"/>
          <w:szCs w:val="22"/>
          <w:lang w:eastAsia="en-US"/>
        </w:rPr>
      </w:pPr>
      <w:r w:rsidRPr="006E236C">
        <w:rPr>
          <w:rFonts w:asciiTheme="minorHAnsi" w:eastAsiaTheme="minorHAnsi" w:hAnsiTheme="minorHAnsi" w:cstheme="minorBidi"/>
          <w:sz w:val="22"/>
          <w:szCs w:val="22"/>
          <w:lang w:eastAsia="en-US"/>
        </w:rPr>
        <w:t>Legislative Compliance</w:t>
      </w:r>
    </w:p>
    <w:p w:rsidR="002555F4" w:rsidRDefault="004102BE">
      <w:pPr>
        <w:autoSpaceDE w:val="0"/>
        <w:autoSpaceDN w:val="0"/>
        <w:adjustRightInd w:val="0"/>
        <w:spacing w:after="120"/>
        <w:ind w:left="709"/>
        <w:rPr>
          <w:rFonts w:ascii="Calibri" w:eastAsiaTheme="minorHAnsi" w:hAnsi="Calibri" w:cs="Calibri"/>
          <w:sz w:val="22"/>
          <w:lang w:eastAsia="en-US"/>
        </w:rPr>
      </w:pPr>
      <w:r w:rsidRPr="004102BE">
        <w:rPr>
          <w:rFonts w:ascii="Calibri" w:eastAsiaTheme="minorHAnsi" w:hAnsi="Calibri" w:cs="Calibri"/>
          <w:sz w:val="22"/>
          <w:lang w:eastAsia="en-US"/>
        </w:rPr>
        <w:t>To determine whether Comcare management has considered legal and compliance risks as part of its risk assessment and management arrangements, including a review of the effectiveness of Comcare’s system for monitoring compliance.</w:t>
      </w:r>
    </w:p>
    <w:p w:rsidR="002555F4" w:rsidRDefault="006E236C">
      <w:pPr>
        <w:numPr>
          <w:ilvl w:val="0"/>
          <w:numId w:val="56"/>
        </w:numPr>
        <w:spacing w:after="200" w:line="276" w:lineRule="auto"/>
        <w:ind w:left="1134" w:hanging="425"/>
        <w:contextualSpacing/>
        <w:rPr>
          <w:rFonts w:asciiTheme="minorHAnsi" w:eastAsiaTheme="minorHAnsi" w:hAnsiTheme="minorHAnsi" w:cstheme="minorBidi"/>
          <w:sz w:val="22"/>
          <w:szCs w:val="22"/>
          <w:lang w:eastAsia="en-US"/>
        </w:rPr>
      </w:pPr>
      <w:r w:rsidRPr="006E236C">
        <w:rPr>
          <w:rFonts w:asciiTheme="minorHAnsi" w:eastAsiaTheme="minorHAnsi" w:hAnsiTheme="minorHAnsi" w:cstheme="minorBidi"/>
          <w:sz w:val="22"/>
          <w:szCs w:val="22"/>
          <w:lang w:eastAsia="en-US"/>
        </w:rPr>
        <w:t>Internal and External Audits</w:t>
      </w:r>
    </w:p>
    <w:p w:rsidR="002555F4" w:rsidRDefault="004102BE">
      <w:pPr>
        <w:autoSpaceDE w:val="0"/>
        <w:autoSpaceDN w:val="0"/>
        <w:adjustRightInd w:val="0"/>
        <w:spacing w:after="120"/>
        <w:ind w:left="709"/>
        <w:rPr>
          <w:rFonts w:ascii="Calibri" w:eastAsiaTheme="minorHAnsi" w:hAnsi="Calibri" w:cs="Calibri"/>
          <w:sz w:val="22"/>
          <w:lang w:eastAsia="en-US"/>
        </w:rPr>
      </w:pPr>
      <w:r w:rsidRPr="004102BE">
        <w:rPr>
          <w:rFonts w:ascii="Calibri" w:eastAsiaTheme="minorHAnsi" w:hAnsi="Calibri" w:cs="Calibri"/>
          <w:sz w:val="22"/>
          <w:lang w:eastAsia="en-US"/>
        </w:rPr>
        <w:t>To oversee Comcare’s overall audit program, including a review of internal audit coverage and annual work plan, and to review all internal and external audit reports and provide advice to the CEO on implications for Comcare and actions to be taken, where required.</w:t>
      </w:r>
    </w:p>
    <w:p w:rsidR="004102BE" w:rsidRPr="004102BE" w:rsidRDefault="004102BE" w:rsidP="004102BE">
      <w:pPr>
        <w:numPr>
          <w:ilvl w:val="1"/>
          <w:numId w:val="31"/>
        </w:numPr>
        <w:autoSpaceDE w:val="0"/>
        <w:autoSpaceDN w:val="0"/>
        <w:adjustRightInd w:val="0"/>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Comcare has developed an Internal Audit Plan 2012-15 detailing the process to determine audits to be undertaken in each year following a risk assessment of Comcare’s operational environment, key strategic risks and Business Plan, including the 10PP, and a review of audits conducted in the previous year. The Internal Audit Plan is reviewed annually.</w:t>
      </w:r>
    </w:p>
    <w:p w:rsidR="004102BE" w:rsidRPr="004102BE" w:rsidRDefault="004102BE" w:rsidP="004102BE">
      <w:pPr>
        <w:numPr>
          <w:ilvl w:val="1"/>
          <w:numId w:val="31"/>
        </w:numPr>
        <w:autoSpaceDE w:val="0"/>
        <w:autoSpaceDN w:val="0"/>
        <w:adjustRightInd w:val="0"/>
        <w:spacing w:after="120"/>
        <w:rPr>
          <w:rFonts w:ascii="Calibri" w:eastAsiaTheme="minorHAnsi" w:hAnsi="Calibri" w:cs="Calibri"/>
          <w:sz w:val="22"/>
          <w:lang w:eastAsia="en-US"/>
        </w:rPr>
      </w:pPr>
      <w:r w:rsidRPr="004102BE">
        <w:rPr>
          <w:rFonts w:ascii="Calibri" w:eastAsiaTheme="minorHAnsi" w:hAnsi="Calibri" w:cs="Calibri"/>
          <w:sz w:val="22"/>
          <w:lang w:eastAsia="en-US"/>
        </w:rPr>
        <w:t>The Audit Plan provides for the conduct of different types of audits:</w:t>
      </w:r>
    </w:p>
    <w:p w:rsidR="004102BE" w:rsidRPr="004102BE" w:rsidRDefault="004102BE" w:rsidP="004102BE">
      <w:pPr>
        <w:numPr>
          <w:ilvl w:val="0"/>
          <w:numId w:val="56"/>
        </w:numPr>
        <w:spacing w:after="200" w:line="276" w:lineRule="auto"/>
        <w:ind w:left="1134" w:hanging="425"/>
        <w:contextualSpacing/>
        <w:rPr>
          <w:rFonts w:asciiTheme="minorHAnsi" w:eastAsiaTheme="minorHAnsi" w:hAnsiTheme="minorHAnsi" w:cstheme="minorBidi"/>
          <w:sz w:val="22"/>
          <w:szCs w:val="22"/>
          <w:lang w:eastAsia="en-US"/>
        </w:rPr>
      </w:pPr>
      <w:r w:rsidRPr="004102BE">
        <w:rPr>
          <w:rFonts w:asciiTheme="minorHAnsi" w:eastAsiaTheme="minorHAnsi" w:hAnsiTheme="minorHAnsi" w:cstheme="minorBidi"/>
          <w:sz w:val="22"/>
          <w:szCs w:val="22"/>
          <w:lang w:eastAsia="en-US"/>
        </w:rPr>
        <w:t>compliance audits – assessing Comcare’s conformance with corporate, legal and policy obligations;</w:t>
      </w:r>
    </w:p>
    <w:p w:rsidR="004102BE" w:rsidRPr="004102BE" w:rsidRDefault="004102BE" w:rsidP="004102BE">
      <w:pPr>
        <w:numPr>
          <w:ilvl w:val="0"/>
          <w:numId w:val="56"/>
        </w:numPr>
        <w:spacing w:after="200" w:line="276" w:lineRule="auto"/>
        <w:ind w:left="1134" w:hanging="425"/>
        <w:contextualSpacing/>
        <w:rPr>
          <w:rFonts w:asciiTheme="minorHAnsi" w:eastAsiaTheme="minorHAnsi" w:hAnsiTheme="minorHAnsi" w:cstheme="minorBidi"/>
          <w:sz w:val="22"/>
          <w:szCs w:val="22"/>
          <w:lang w:eastAsia="en-US"/>
        </w:rPr>
      </w:pPr>
      <w:r w:rsidRPr="004102BE">
        <w:rPr>
          <w:rFonts w:asciiTheme="minorHAnsi" w:eastAsiaTheme="minorHAnsi" w:hAnsiTheme="minorHAnsi" w:cstheme="minorBidi"/>
          <w:sz w:val="22"/>
          <w:szCs w:val="22"/>
          <w:lang w:eastAsia="en-US"/>
        </w:rPr>
        <w:t>performance audits – examining the effectiveness, efficiency and economy of Comcare’s business operations;</w:t>
      </w:r>
    </w:p>
    <w:p w:rsidR="004102BE" w:rsidRPr="004102BE" w:rsidRDefault="004102BE" w:rsidP="004102BE">
      <w:pPr>
        <w:numPr>
          <w:ilvl w:val="0"/>
          <w:numId w:val="56"/>
        </w:numPr>
        <w:spacing w:after="200" w:line="276" w:lineRule="auto"/>
        <w:ind w:left="1134" w:hanging="425"/>
        <w:contextualSpacing/>
        <w:rPr>
          <w:rFonts w:asciiTheme="minorHAnsi" w:eastAsiaTheme="minorHAnsi" w:hAnsiTheme="minorHAnsi" w:cstheme="minorBidi"/>
          <w:sz w:val="22"/>
          <w:szCs w:val="22"/>
          <w:lang w:eastAsia="en-US"/>
        </w:rPr>
      </w:pPr>
      <w:r w:rsidRPr="004102BE">
        <w:rPr>
          <w:rFonts w:asciiTheme="minorHAnsi" w:eastAsiaTheme="minorHAnsi" w:hAnsiTheme="minorHAnsi" w:cstheme="minorBidi"/>
          <w:sz w:val="22"/>
          <w:szCs w:val="22"/>
          <w:lang w:eastAsia="en-US"/>
        </w:rPr>
        <w:t>information and communication technology audits – reviewing the operation and management of Comcare’s technology information infrastructure; and</w:t>
      </w:r>
    </w:p>
    <w:p w:rsidR="004102BE" w:rsidRPr="004102BE" w:rsidRDefault="004102BE" w:rsidP="004102BE">
      <w:pPr>
        <w:numPr>
          <w:ilvl w:val="0"/>
          <w:numId w:val="56"/>
        </w:numPr>
        <w:spacing w:after="120" w:line="276" w:lineRule="auto"/>
        <w:ind w:left="1134" w:hanging="425"/>
        <w:rPr>
          <w:rFonts w:asciiTheme="minorHAnsi" w:eastAsiaTheme="minorHAnsi" w:hAnsiTheme="minorHAnsi" w:cstheme="minorBidi"/>
          <w:sz w:val="22"/>
          <w:szCs w:val="22"/>
          <w:lang w:eastAsia="en-US"/>
        </w:rPr>
      </w:pPr>
      <w:proofErr w:type="gramStart"/>
      <w:r w:rsidRPr="004102BE">
        <w:rPr>
          <w:rFonts w:asciiTheme="minorHAnsi" w:eastAsiaTheme="minorHAnsi" w:hAnsiTheme="minorHAnsi" w:cstheme="minorBidi"/>
          <w:sz w:val="22"/>
          <w:szCs w:val="22"/>
          <w:lang w:eastAsia="en-US"/>
        </w:rPr>
        <w:t>ad-hoc</w:t>
      </w:r>
      <w:proofErr w:type="gramEnd"/>
      <w:r w:rsidRPr="004102BE">
        <w:rPr>
          <w:rFonts w:asciiTheme="minorHAnsi" w:eastAsiaTheme="minorHAnsi" w:hAnsiTheme="minorHAnsi" w:cstheme="minorBidi"/>
          <w:sz w:val="22"/>
          <w:szCs w:val="22"/>
          <w:lang w:eastAsia="en-US"/>
        </w:rPr>
        <w:t xml:space="preserve"> audits – audits conducted in response to emerging issues during the year.</w:t>
      </w:r>
    </w:p>
    <w:p w:rsidR="004102BE" w:rsidRPr="004102BE" w:rsidRDefault="004102BE" w:rsidP="004102BE">
      <w:pPr>
        <w:numPr>
          <w:ilvl w:val="1"/>
          <w:numId w:val="31"/>
        </w:numPr>
        <w:autoSpaceDE w:val="0"/>
        <w:autoSpaceDN w:val="0"/>
        <w:adjustRightInd w:val="0"/>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Comcare has increased the number of internal audits it conducts in recognition of the need to increase oversight of its operations. Audits conducted since 2009-10 include:</w:t>
      </w:r>
    </w:p>
    <w:p w:rsidR="004102BE" w:rsidRPr="004102BE" w:rsidRDefault="004102BE" w:rsidP="004102BE">
      <w:pPr>
        <w:numPr>
          <w:ilvl w:val="0"/>
          <w:numId w:val="59"/>
        </w:numPr>
        <w:autoSpaceDE w:val="0"/>
        <w:autoSpaceDN w:val="0"/>
        <w:adjustRightInd w:val="0"/>
        <w:spacing w:after="240" w:line="276" w:lineRule="auto"/>
        <w:ind w:left="1066" w:hanging="357"/>
        <w:contextualSpacing/>
        <w:rPr>
          <w:rFonts w:ascii="Calibri" w:eastAsiaTheme="minorHAnsi" w:hAnsi="Calibri" w:cs="Calibri"/>
          <w:sz w:val="22"/>
          <w:szCs w:val="22"/>
          <w:lang w:eastAsia="en-US"/>
        </w:rPr>
      </w:pPr>
      <w:r w:rsidRPr="004102BE">
        <w:rPr>
          <w:rFonts w:ascii="Calibri" w:eastAsiaTheme="minorHAnsi" w:hAnsi="Calibri" w:cs="Calibri"/>
          <w:sz w:val="22"/>
          <w:szCs w:val="22"/>
          <w:lang w:eastAsia="en-US"/>
        </w:rPr>
        <w:t>review of the Licensee Improvement Program;</w:t>
      </w:r>
    </w:p>
    <w:p w:rsidR="004102BE" w:rsidRPr="004102BE" w:rsidRDefault="004102BE" w:rsidP="004102BE">
      <w:pPr>
        <w:numPr>
          <w:ilvl w:val="0"/>
          <w:numId w:val="59"/>
        </w:numPr>
        <w:autoSpaceDE w:val="0"/>
        <w:autoSpaceDN w:val="0"/>
        <w:adjustRightInd w:val="0"/>
        <w:spacing w:after="240" w:line="276" w:lineRule="auto"/>
        <w:ind w:left="1066" w:hanging="357"/>
        <w:contextualSpacing/>
        <w:rPr>
          <w:rFonts w:ascii="Calibri" w:eastAsiaTheme="minorHAnsi" w:hAnsi="Calibri" w:cs="Calibri"/>
          <w:sz w:val="22"/>
          <w:szCs w:val="22"/>
          <w:lang w:eastAsia="en-US"/>
        </w:rPr>
      </w:pPr>
      <w:r w:rsidRPr="004102BE">
        <w:rPr>
          <w:rFonts w:ascii="Calibri" w:eastAsiaTheme="minorHAnsi" w:hAnsi="Calibri" w:cs="Calibri"/>
          <w:sz w:val="22"/>
          <w:szCs w:val="22"/>
          <w:lang w:eastAsia="en-US"/>
        </w:rPr>
        <w:t>assessment of current strategies for ongoing improvements of the Initial Claims processing functions;</w:t>
      </w:r>
    </w:p>
    <w:p w:rsidR="004102BE" w:rsidRPr="004102BE" w:rsidRDefault="004102BE" w:rsidP="004102BE">
      <w:pPr>
        <w:numPr>
          <w:ilvl w:val="0"/>
          <w:numId w:val="59"/>
        </w:numPr>
        <w:autoSpaceDE w:val="0"/>
        <w:autoSpaceDN w:val="0"/>
        <w:adjustRightInd w:val="0"/>
        <w:spacing w:after="240" w:line="276" w:lineRule="auto"/>
        <w:ind w:left="1066" w:hanging="357"/>
        <w:contextualSpacing/>
        <w:rPr>
          <w:rFonts w:ascii="Calibri" w:eastAsiaTheme="minorHAnsi" w:hAnsi="Calibri" w:cs="Calibri"/>
          <w:sz w:val="22"/>
          <w:szCs w:val="22"/>
          <w:lang w:eastAsia="en-US"/>
        </w:rPr>
      </w:pPr>
      <w:r w:rsidRPr="004102BE">
        <w:rPr>
          <w:rFonts w:ascii="Calibri" w:eastAsiaTheme="minorHAnsi" w:hAnsi="Calibri" w:cs="Calibri"/>
          <w:sz w:val="22"/>
          <w:szCs w:val="22"/>
          <w:lang w:eastAsia="en-US"/>
        </w:rPr>
        <w:t>assessment of the degree of compliance with policies and procedures for decision making on on-going claims;</w:t>
      </w:r>
    </w:p>
    <w:p w:rsidR="004102BE" w:rsidRPr="004102BE" w:rsidRDefault="004102BE" w:rsidP="004102BE">
      <w:pPr>
        <w:numPr>
          <w:ilvl w:val="0"/>
          <w:numId w:val="59"/>
        </w:numPr>
        <w:autoSpaceDE w:val="0"/>
        <w:autoSpaceDN w:val="0"/>
        <w:adjustRightInd w:val="0"/>
        <w:spacing w:after="240" w:line="276" w:lineRule="auto"/>
        <w:ind w:left="1066" w:hanging="357"/>
        <w:contextualSpacing/>
        <w:rPr>
          <w:rFonts w:ascii="Calibri" w:eastAsiaTheme="minorHAnsi" w:hAnsi="Calibri" w:cs="Calibri"/>
          <w:sz w:val="22"/>
          <w:szCs w:val="22"/>
          <w:lang w:eastAsia="en-US"/>
        </w:rPr>
      </w:pPr>
      <w:r w:rsidRPr="004102BE">
        <w:rPr>
          <w:rFonts w:ascii="Calibri" w:eastAsiaTheme="minorHAnsi" w:hAnsi="Calibri" w:cs="Calibri"/>
          <w:sz w:val="22"/>
          <w:szCs w:val="22"/>
          <w:lang w:eastAsia="en-US"/>
        </w:rPr>
        <w:t>compliance with Comcare’s claims management policies and procedures with regards to long term claims;</w:t>
      </w:r>
    </w:p>
    <w:p w:rsidR="004102BE" w:rsidRPr="004102BE" w:rsidRDefault="004102BE" w:rsidP="004102BE">
      <w:pPr>
        <w:numPr>
          <w:ilvl w:val="0"/>
          <w:numId w:val="59"/>
        </w:numPr>
        <w:autoSpaceDE w:val="0"/>
        <w:autoSpaceDN w:val="0"/>
        <w:adjustRightInd w:val="0"/>
        <w:spacing w:after="240" w:line="276" w:lineRule="auto"/>
        <w:ind w:left="1066" w:hanging="357"/>
        <w:contextualSpacing/>
        <w:rPr>
          <w:rFonts w:ascii="Calibri" w:eastAsiaTheme="minorHAnsi" w:hAnsi="Calibri" w:cs="Calibri"/>
          <w:sz w:val="22"/>
          <w:szCs w:val="22"/>
          <w:lang w:eastAsia="en-US"/>
        </w:rPr>
      </w:pPr>
      <w:r w:rsidRPr="004102BE">
        <w:rPr>
          <w:rFonts w:ascii="Calibri" w:eastAsiaTheme="minorHAnsi" w:hAnsi="Calibri" w:cs="Calibri"/>
          <w:sz w:val="22"/>
          <w:szCs w:val="22"/>
          <w:lang w:eastAsia="en-US"/>
        </w:rPr>
        <w:t>review of claims processing of non-incapacity payments;</w:t>
      </w:r>
    </w:p>
    <w:p w:rsidR="004102BE" w:rsidRPr="004102BE" w:rsidRDefault="004102BE" w:rsidP="004102BE">
      <w:pPr>
        <w:numPr>
          <w:ilvl w:val="0"/>
          <w:numId w:val="59"/>
        </w:numPr>
        <w:autoSpaceDE w:val="0"/>
        <w:autoSpaceDN w:val="0"/>
        <w:adjustRightInd w:val="0"/>
        <w:spacing w:after="240" w:line="276" w:lineRule="auto"/>
        <w:ind w:left="1066" w:hanging="357"/>
        <w:contextualSpacing/>
        <w:rPr>
          <w:rFonts w:ascii="Calibri" w:eastAsiaTheme="minorHAnsi" w:hAnsi="Calibri" w:cs="Calibri"/>
          <w:sz w:val="22"/>
          <w:szCs w:val="22"/>
          <w:lang w:eastAsia="en-US"/>
        </w:rPr>
      </w:pPr>
      <w:r w:rsidRPr="004102BE">
        <w:rPr>
          <w:rFonts w:ascii="Calibri" w:eastAsiaTheme="minorHAnsi" w:hAnsi="Calibri" w:cs="Calibri"/>
          <w:sz w:val="22"/>
          <w:szCs w:val="22"/>
          <w:lang w:eastAsia="en-US"/>
        </w:rPr>
        <w:t>review of the adequacy of procedures for the recovery of overpayments;</w:t>
      </w:r>
    </w:p>
    <w:p w:rsidR="004102BE" w:rsidRPr="004102BE" w:rsidRDefault="004102BE" w:rsidP="004102BE">
      <w:pPr>
        <w:numPr>
          <w:ilvl w:val="0"/>
          <w:numId w:val="59"/>
        </w:numPr>
        <w:autoSpaceDE w:val="0"/>
        <w:autoSpaceDN w:val="0"/>
        <w:adjustRightInd w:val="0"/>
        <w:spacing w:after="240" w:line="276" w:lineRule="auto"/>
        <w:ind w:left="1066" w:hanging="357"/>
        <w:contextualSpacing/>
        <w:rPr>
          <w:rFonts w:ascii="Calibri" w:eastAsiaTheme="minorHAnsi" w:hAnsi="Calibri" w:cs="Calibri"/>
          <w:sz w:val="22"/>
          <w:szCs w:val="22"/>
          <w:lang w:eastAsia="en-US"/>
        </w:rPr>
      </w:pPr>
      <w:r w:rsidRPr="004102BE">
        <w:rPr>
          <w:rFonts w:ascii="Calibri" w:eastAsiaTheme="minorHAnsi" w:hAnsi="Calibri" w:cs="Calibri"/>
          <w:sz w:val="22"/>
          <w:szCs w:val="22"/>
          <w:lang w:eastAsia="en-US"/>
        </w:rPr>
        <w:t>assessment of the effectiveness of arrangements for the induction and support of new CSOs; and</w:t>
      </w:r>
    </w:p>
    <w:p w:rsidR="004102BE" w:rsidRDefault="004102BE" w:rsidP="004102BE">
      <w:pPr>
        <w:numPr>
          <w:ilvl w:val="0"/>
          <w:numId w:val="59"/>
        </w:numPr>
        <w:autoSpaceDE w:val="0"/>
        <w:autoSpaceDN w:val="0"/>
        <w:adjustRightInd w:val="0"/>
        <w:spacing w:after="120" w:line="276" w:lineRule="auto"/>
        <w:ind w:left="1066" w:hanging="357"/>
        <w:rPr>
          <w:rFonts w:ascii="Calibri" w:eastAsiaTheme="minorHAnsi" w:hAnsi="Calibri" w:cs="Calibri"/>
          <w:sz w:val="22"/>
          <w:szCs w:val="22"/>
          <w:lang w:eastAsia="en-US"/>
        </w:rPr>
      </w:pPr>
      <w:proofErr w:type="gramStart"/>
      <w:r w:rsidRPr="004102BE">
        <w:rPr>
          <w:rFonts w:ascii="Calibri" w:eastAsiaTheme="minorHAnsi" w:hAnsi="Calibri" w:cs="Calibri"/>
          <w:sz w:val="22"/>
          <w:szCs w:val="22"/>
          <w:lang w:eastAsia="en-US"/>
        </w:rPr>
        <w:t>assessment</w:t>
      </w:r>
      <w:proofErr w:type="gramEnd"/>
      <w:r w:rsidRPr="004102BE">
        <w:rPr>
          <w:rFonts w:ascii="Calibri" w:eastAsiaTheme="minorHAnsi" w:hAnsi="Calibri" w:cs="Calibri"/>
          <w:sz w:val="22"/>
          <w:szCs w:val="22"/>
          <w:lang w:eastAsia="en-US"/>
        </w:rPr>
        <w:t xml:space="preserve"> of whether the benefits of PSE have been realised.</w:t>
      </w:r>
    </w:p>
    <w:p w:rsidR="009077CB" w:rsidRPr="004102BE" w:rsidRDefault="009077CB" w:rsidP="000D7C1C">
      <w:pPr>
        <w:autoSpaceDE w:val="0"/>
        <w:autoSpaceDN w:val="0"/>
        <w:adjustRightInd w:val="0"/>
        <w:spacing w:after="120" w:line="276" w:lineRule="auto"/>
        <w:ind w:left="1066"/>
        <w:rPr>
          <w:rFonts w:ascii="Calibri" w:eastAsiaTheme="minorHAnsi" w:hAnsi="Calibri" w:cs="Calibri"/>
          <w:sz w:val="22"/>
          <w:szCs w:val="22"/>
          <w:lang w:eastAsia="en-US"/>
        </w:rPr>
      </w:pPr>
    </w:p>
    <w:p w:rsidR="004102BE" w:rsidRPr="004102BE" w:rsidRDefault="004102BE" w:rsidP="004102BE">
      <w:pPr>
        <w:numPr>
          <w:ilvl w:val="1"/>
          <w:numId w:val="31"/>
        </w:numPr>
        <w:autoSpaceDE w:val="0"/>
        <w:autoSpaceDN w:val="0"/>
        <w:adjustRightInd w:val="0"/>
        <w:spacing w:after="120"/>
        <w:rPr>
          <w:rFonts w:ascii="Calibri" w:eastAsiaTheme="minorHAnsi" w:hAnsi="Calibri" w:cs="Calibri"/>
          <w:sz w:val="22"/>
          <w:lang w:eastAsia="en-US"/>
        </w:rPr>
      </w:pPr>
      <w:r w:rsidRPr="004102BE">
        <w:rPr>
          <w:rFonts w:ascii="Calibri" w:eastAsiaTheme="minorHAnsi" w:hAnsi="Calibri" w:cs="Calibri"/>
          <w:sz w:val="22"/>
          <w:lang w:eastAsia="en-US"/>
        </w:rPr>
        <w:t>The issues identified in the Audit Plan for the 2012-13 financial year include:</w:t>
      </w:r>
    </w:p>
    <w:p w:rsidR="004102BE" w:rsidRPr="004102BE" w:rsidRDefault="004102BE" w:rsidP="004102BE">
      <w:pPr>
        <w:numPr>
          <w:ilvl w:val="0"/>
          <w:numId w:val="57"/>
        </w:numPr>
        <w:spacing w:after="200" w:line="276" w:lineRule="auto"/>
        <w:ind w:left="1134" w:hanging="425"/>
        <w:contextualSpacing/>
        <w:rPr>
          <w:rFonts w:asciiTheme="minorHAnsi" w:eastAsiaTheme="minorHAnsi" w:hAnsiTheme="minorHAnsi" w:cstheme="minorBidi"/>
          <w:sz w:val="22"/>
          <w:szCs w:val="22"/>
          <w:lang w:eastAsia="en-US"/>
        </w:rPr>
      </w:pPr>
      <w:r w:rsidRPr="004102BE">
        <w:rPr>
          <w:rFonts w:asciiTheme="minorHAnsi" w:eastAsiaTheme="minorHAnsi" w:hAnsiTheme="minorHAnsi" w:cstheme="minorBidi"/>
          <w:sz w:val="22"/>
          <w:szCs w:val="22"/>
          <w:lang w:eastAsia="en-US"/>
        </w:rPr>
        <w:t>governance and strategic management of the 10PP;</w:t>
      </w:r>
    </w:p>
    <w:p w:rsidR="004102BE" w:rsidRPr="004102BE" w:rsidRDefault="004102BE" w:rsidP="004102BE">
      <w:pPr>
        <w:numPr>
          <w:ilvl w:val="0"/>
          <w:numId w:val="57"/>
        </w:numPr>
        <w:spacing w:after="200" w:line="276" w:lineRule="auto"/>
        <w:ind w:left="1134" w:hanging="425"/>
        <w:contextualSpacing/>
        <w:rPr>
          <w:rFonts w:asciiTheme="minorHAnsi" w:eastAsiaTheme="minorHAnsi" w:hAnsiTheme="minorHAnsi" w:cstheme="minorBidi"/>
          <w:sz w:val="22"/>
          <w:szCs w:val="22"/>
          <w:lang w:eastAsia="en-US"/>
        </w:rPr>
      </w:pPr>
      <w:r w:rsidRPr="004102BE">
        <w:rPr>
          <w:rFonts w:asciiTheme="minorHAnsi" w:eastAsiaTheme="minorHAnsi" w:hAnsiTheme="minorHAnsi" w:cstheme="minorBidi"/>
          <w:sz w:val="22"/>
          <w:szCs w:val="22"/>
          <w:lang w:eastAsia="en-US"/>
        </w:rPr>
        <w:lastRenderedPageBreak/>
        <w:t>management of long term claims;</w:t>
      </w:r>
    </w:p>
    <w:p w:rsidR="004102BE" w:rsidRPr="004102BE" w:rsidRDefault="004102BE" w:rsidP="004102BE">
      <w:pPr>
        <w:numPr>
          <w:ilvl w:val="0"/>
          <w:numId w:val="57"/>
        </w:numPr>
        <w:spacing w:after="200" w:line="276" w:lineRule="auto"/>
        <w:ind w:left="1134" w:hanging="425"/>
        <w:contextualSpacing/>
        <w:rPr>
          <w:rFonts w:asciiTheme="minorHAnsi" w:eastAsiaTheme="minorHAnsi" w:hAnsiTheme="minorHAnsi" w:cstheme="minorBidi"/>
          <w:sz w:val="22"/>
          <w:szCs w:val="22"/>
          <w:lang w:eastAsia="en-US"/>
        </w:rPr>
      </w:pPr>
      <w:r w:rsidRPr="004102BE">
        <w:rPr>
          <w:rFonts w:asciiTheme="minorHAnsi" w:eastAsiaTheme="minorHAnsi" w:hAnsiTheme="minorHAnsi" w:cstheme="minorBidi"/>
          <w:sz w:val="22"/>
          <w:szCs w:val="22"/>
          <w:lang w:eastAsia="en-US"/>
        </w:rPr>
        <w:t>processing incapacity payments directly to injured workers;</w:t>
      </w:r>
    </w:p>
    <w:p w:rsidR="004102BE" w:rsidRPr="004102BE" w:rsidRDefault="004102BE" w:rsidP="004102BE">
      <w:pPr>
        <w:numPr>
          <w:ilvl w:val="0"/>
          <w:numId w:val="57"/>
        </w:numPr>
        <w:spacing w:after="200" w:line="276" w:lineRule="auto"/>
        <w:ind w:left="1134" w:hanging="425"/>
        <w:contextualSpacing/>
        <w:rPr>
          <w:rFonts w:asciiTheme="minorHAnsi" w:eastAsiaTheme="minorHAnsi" w:hAnsiTheme="minorHAnsi" w:cstheme="minorBidi"/>
          <w:sz w:val="22"/>
          <w:szCs w:val="22"/>
          <w:lang w:eastAsia="en-US"/>
        </w:rPr>
      </w:pPr>
      <w:r w:rsidRPr="004102BE">
        <w:rPr>
          <w:rFonts w:asciiTheme="minorHAnsi" w:eastAsiaTheme="minorHAnsi" w:hAnsiTheme="minorHAnsi" w:cstheme="minorBidi"/>
          <w:sz w:val="22"/>
          <w:szCs w:val="22"/>
          <w:lang w:eastAsia="en-US"/>
        </w:rPr>
        <w:t>ICT contract management;</w:t>
      </w:r>
    </w:p>
    <w:p w:rsidR="004102BE" w:rsidRPr="004102BE" w:rsidRDefault="004102BE" w:rsidP="004102BE">
      <w:pPr>
        <w:numPr>
          <w:ilvl w:val="0"/>
          <w:numId w:val="57"/>
        </w:numPr>
        <w:spacing w:after="200" w:line="276" w:lineRule="auto"/>
        <w:ind w:left="1134" w:hanging="425"/>
        <w:contextualSpacing/>
        <w:rPr>
          <w:rFonts w:asciiTheme="minorHAnsi" w:eastAsiaTheme="minorHAnsi" w:hAnsiTheme="minorHAnsi" w:cstheme="minorBidi"/>
          <w:sz w:val="22"/>
          <w:szCs w:val="22"/>
          <w:lang w:eastAsia="en-US"/>
        </w:rPr>
      </w:pPr>
      <w:r w:rsidRPr="004102BE">
        <w:rPr>
          <w:rFonts w:asciiTheme="minorHAnsi" w:eastAsiaTheme="minorHAnsi" w:hAnsiTheme="minorHAnsi" w:cstheme="minorBidi"/>
          <w:sz w:val="22"/>
          <w:szCs w:val="22"/>
          <w:lang w:eastAsia="en-US"/>
        </w:rPr>
        <w:t>disaster recovery planning;</w:t>
      </w:r>
    </w:p>
    <w:p w:rsidR="004102BE" w:rsidRPr="004102BE" w:rsidRDefault="004102BE" w:rsidP="004102BE">
      <w:pPr>
        <w:numPr>
          <w:ilvl w:val="0"/>
          <w:numId w:val="57"/>
        </w:numPr>
        <w:spacing w:after="200" w:line="276" w:lineRule="auto"/>
        <w:ind w:left="1134" w:hanging="425"/>
        <w:contextualSpacing/>
        <w:rPr>
          <w:rFonts w:asciiTheme="minorHAnsi" w:eastAsiaTheme="minorHAnsi" w:hAnsiTheme="minorHAnsi" w:cstheme="minorBidi"/>
          <w:sz w:val="22"/>
          <w:szCs w:val="22"/>
          <w:lang w:eastAsia="en-US"/>
        </w:rPr>
      </w:pPr>
      <w:r w:rsidRPr="004102BE">
        <w:rPr>
          <w:rFonts w:asciiTheme="minorHAnsi" w:eastAsiaTheme="minorHAnsi" w:hAnsiTheme="minorHAnsi" w:cstheme="minorBidi"/>
          <w:sz w:val="22"/>
          <w:szCs w:val="22"/>
          <w:lang w:eastAsia="en-US"/>
        </w:rPr>
        <w:t>business continuity planning; and</w:t>
      </w:r>
    </w:p>
    <w:p w:rsidR="004102BE" w:rsidRPr="004102BE" w:rsidRDefault="004102BE" w:rsidP="004102BE">
      <w:pPr>
        <w:numPr>
          <w:ilvl w:val="0"/>
          <w:numId w:val="57"/>
        </w:numPr>
        <w:spacing w:after="120" w:line="276" w:lineRule="auto"/>
        <w:ind w:left="1134" w:hanging="425"/>
        <w:rPr>
          <w:rFonts w:asciiTheme="minorHAnsi" w:eastAsiaTheme="minorHAnsi" w:hAnsiTheme="minorHAnsi" w:cstheme="minorBidi"/>
          <w:sz w:val="22"/>
          <w:szCs w:val="22"/>
          <w:lang w:eastAsia="en-US"/>
        </w:rPr>
      </w:pPr>
      <w:proofErr w:type="gramStart"/>
      <w:r w:rsidRPr="004102BE">
        <w:rPr>
          <w:rFonts w:asciiTheme="minorHAnsi" w:eastAsiaTheme="minorHAnsi" w:hAnsiTheme="minorHAnsi" w:cstheme="minorBidi"/>
          <w:sz w:val="22"/>
          <w:szCs w:val="22"/>
          <w:lang w:eastAsia="en-US"/>
        </w:rPr>
        <w:t>approval</w:t>
      </w:r>
      <w:proofErr w:type="gramEnd"/>
      <w:r w:rsidRPr="004102BE">
        <w:rPr>
          <w:rFonts w:asciiTheme="minorHAnsi" w:eastAsiaTheme="minorHAnsi" w:hAnsiTheme="minorHAnsi" w:cstheme="minorBidi"/>
          <w:sz w:val="22"/>
          <w:szCs w:val="22"/>
          <w:lang w:eastAsia="en-US"/>
        </w:rPr>
        <w:t xml:space="preserve"> of rehabilitation providers.</w:t>
      </w:r>
    </w:p>
    <w:p w:rsidR="004102BE" w:rsidRPr="004102BE" w:rsidRDefault="004102BE" w:rsidP="004102BE">
      <w:pPr>
        <w:numPr>
          <w:ilvl w:val="1"/>
          <w:numId w:val="31"/>
        </w:numPr>
        <w:autoSpaceDE w:val="0"/>
        <w:autoSpaceDN w:val="0"/>
        <w:adjustRightInd w:val="0"/>
        <w:spacing w:after="120"/>
        <w:ind w:left="709" w:hanging="709"/>
        <w:rPr>
          <w:rFonts w:ascii="Calibri" w:eastAsiaTheme="minorHAnsi" w:hAnsi="Calibri" w:cs="Calibri"/>
          <w:sz w:val="22"/>
          <w:lang w:eastAsia="en-US"/>
        </w:rPr>
      </w:pPr>
      <w:r w:rsidRPr="004102BE">
        <w:rPr>
          <w:rFonts w:asciiTheme="minorHAnsi" w:eastAsiaTheme="minorHAnsi" w:hAnsiTheme="minorHAnsi" w:cstheme="minorBidi"/>
          <w:sz w:val="22"/>
          <w:szCs w:val="22"/>
          <w:lang w:eastAsia="en-US"/>
        </w:rPr>
        <w:t>The Audit Committee is charged with reporting to the CEO of Comcare at least once a year, but as often as is necessary. The report should include:</w:t>
      </w:r>
    </w:p>
    <w:p w:rsidR="004102BE" w:rsidRPr="004102BE" w:rsidRDefault="004102BE" w:rsidP="004102BE">
      <w:pPr>
        <w:numPr>
          <w:ilvl w:val="0"/>
          <w:numId w:val="58"/>
        </w:numPr>
        <w:spacing w:after="200" w:line="276" w:lineRule="auto"/>
        <w:ind w:left="1134" w:hanging="425"/>
        <w:contextualSpacing/>
        <w:rPr>
          <w:rFonts w:asciiTheme="minorHAnsi" w:eastAsiaTheme="minorHAnsi" w:hAnsiTheme="minorHAnsi" w:cstheme="minorBidi"/>
          <w:sz w:val="22"/>
          <w:szCs w:val="22"/>
          <w:lang w:eastAsia="en-US"/>
        </w:rPr>
      </w:pPr>
      <w:r w:rsidRPr="004102BE">
        <w:rPr>
          <w:rFonts w:asciiTheme="minorHAnsi" w:eastAsiaTheme="minorHAnsi" w:hAnsiTheme="minorHAnsi" w:cstheme="minorBidi"/>
          <w:sz w:val="22"/>
          <w:szCs w:val="22"/>
          <w:lang w:eastAsia="en-US"/>
        </w:rPr>
        <w:t>a summary of the</w:t>
      </w:r>
      <w:r w:rsidR="00620506">
        <w:rPr>
          <w:rFonts w:asciiTheme="minorHAnsi" w:eastAsiaTheme="minorHAnsi" w:hAnsiTheme="minorHAnsi" w:cstheme="minorBidi"/>
          <w:sz w:val="22"/>
          <w:szCs w:val="22"/>
          <w:lang w:eastAsia="en-US"/>
        </w:rPr>
        <w:t xml:space="preserve"> </w:t>
      </w:r>
      <w:r w:rsidR="00F8255B">
        <w:rPr>
          <w:rFonts w:asciiTheme="minorHAnsi" w:eastAsiaTheme="minorHAnsi" w:hAnsiTheme="minorHAnsi" w:cstheme="minorBidi"/>
          <w:sz w:val="22"/>
          <w:szCs w:val="22"/>
          <w:lang w:eastAsia="en-US"/>
        </w:rPr>
        <w:t>Committee’s</w:t>
      </w:r>
      <w:r w:rsidRPr="004102BE">
        <w:rPr>
          <w:rFonts w:asciiTheme="minorHAnsi" w:eastAsiaTheme="minorHAnsi" w:hAnsiTheme="minorHAnsi" w:cstheme="minorBidi"/>
          <w:sz w:val="22"/>
          <w:szCs w:val="22"/>
          <w:lang w:eastAsia="en-US"/>
        </w:rPr>
        <w:t xml:space="preserve"> work in the preceding year to discharge its obligations;</w:t>
      </w:r>
    </w:p>
    <w:p w:rsidR="004102BE" w:rsidRPr="004102BE" w:rsidRDefault="004102BE" w:rsidP="004102BE">
      <w:pPr>
        <w:numPr>
          <w:ilvl w:val="0"/>
          <w:numId w:val="58"/>
        </w:numPr>
        <w:spacing w:after="200" w:line="276" w:lineRule="auto"/>
        <w:ind w:left="1134" w:hanging="425"/>
        <w:contextualSpacing/>
        <w:rPr>
          <w:rFonts w:asciiTheme="minorHAnsi" w:eastAsiaTheme="minorHAnsi" w:hAnsiTheme="minorHAnsi" w:cstheme="minorBidi"/>
          <w:sz w:val="22"/>
          <w:szCs w:val="22"/>
          <w:lang w:eastAsia="en-US"/>
        </w:rPr>
      </w:pPr>
      <w:r w:rsidRPr="004102BE">
        <w:rPr>
          <w:rFonts w:asciiTheme="minorHAnsi" w:eastAsiaTheme="minorHAnsi" w:hAnsiTheme="minorHAnsi" w:cstheme="minorBidi"/>
          <w:sz w:val="22"/>
          <w:szCs w:val="22"/>
          <w:lang w:eastAsia="en-US"/>
        </w:rPr>
        <w:t>a summary of Comcare’s progress in addressing the findings in internal and external audit and Parliamentary Committee reports;</w:t>
      </w:r>
    </w:p>
    <w:p w:rsidR="004102BE" w:rsidRPr="004102BE" w:rsidRDefault="004102BE" w:rsidP="004102BE">
      <w:pPr>
        <w:numPr>
          <w:ilvl w:val="0"/>
          <w:numId w:val="58"/>
        </w:numPr>
        <w:spacing w:after="200" w:line="276" w:lineRule="auto"/>
        <w:ind w:left="1134" w:hanging="425"/>
        <w:contextualSpacing/>
        <w:rPr>
          <w:rFonts w:asciiTheme="minorHAnsi" w:eastAsiaTheme="minorHAnsi" w:hAnsiTheme="minorHAnsi" w:cstheme="minorBidi"/>
          <w:sz w:val="22"/>
          <w:szCs w:val="22"/>
          <w:lang w:eastAsia="en-US"/>
        </w:rPr>
      </w:pPr>
      <w:r w:rsidRPr="004102BE">
        <w:rPr>
          <w:rFonts w:asciiTheme="minorHAnsi" w:eastAsiaTheme="minorHAnsi" w:hAnsiTheme="minorHAnsi" w:cstheme="minorBidi"/>
          <w:sz w:val="22"/>
          <w:szCs w:val="22"/>
          <w:lang w:eastAsia="en-US"/>
        </w:rPr>
        <w:t xml:space="preserve">an overall assessment of Comcare’s risk, control and compliance framework, including details of any significant emerging risks or legislative changes affecting Comcare; and </w:t>
      </w:r>
    </w:p>
    <w:p w:rsidR="004102BE" w:rsidRPr="004102BE" w:rsidRDefault="004102BE" w:rsidP="004102BE">
      <w:pPr>
        <w:numPr>
          <w:ilvl w:val="0"/>
          <w:numId w:val="58"/>
        </w:numPr>
        <w:spacing w:after="120" w:line="276" w:lineRule="auto"/>
        <w:ind w:left="1134" w:hanging="425"/>
        <w:rPr>
          <w:rFonts w:asciiTheme="minorHAnsi" w:eastAsiaTheme="minorHAnsi" w:hAnsiTheme="minorHAnsi" w:cstheme="minorBidi"/>
          <w:sz w:val="22"/>
          <w:szCs w:val="22"/>
          <w:lang w:eastAsia="en-US"/>
        </w:rPr>
      </w:pPr>
      <w:proofErr w:type="gramStart"/>
      <w:r w:rsidRPr="004102BE">
        <w:rPr>
          <w:rFonts w:asciiTheme="minorHAnsi" w:eastAsiaTheme="minorHAnsi" w:hAnsiTheme="minorHAnsi" w:cstheme="minorBidi"/>
          <w:sz w:val="22"/>
          <w:szCs w:val="22"/>
          <w:lang w:eastAsia="en-US"/>
        </w:rPr>
        <w:t>details</w:t>
      </w:r>
      <w:proofErr w:type="gramEnd"/>
      <w:r w:rsidRPr="004102BE">
        <w:rPr>
          <w:rFonts w:asciiTheme="minorHAnsi" w:eastAsiaTheme="minorHAnsi" w:hAnsiTheme="minorHAnsi" w:cstheme="minorBidi"/>
          <w:sz w:val="22"/>
          <w:szCs w:val="22"/>
          <w:lang w:eastAsia="en-US"/>
        </w:rPr>
        <w:t xml:space="preserve"> of meetings, including the number of meetings held during the relevant period, and the number of meetings attended by each member of the Audit Committee.</w:t>
      </w:r>
    </w:p>
    <w:p w:rsidR="004102BE" w:rsidRPr="004102BE" w:rsidRDefault="004102BE" w:rsidP="004102BE">
      <w:pPr>
        <w:numPr>
          <w:ilvl w:val="1"/>
          <w:numId w:val="31"/>
        </w:numPr>
        <w:autoSpaceDE w:val="0"/>
        <w:autoSpaceDN w:val="0"/>
        <w:adjustRightInd w:val="0"/>
        <w:spacing w:after="120"/>
        <w:rPr>
          <w:rFonts w:ascii="Calibri" w:eastAsiaTheme="minorHAnsi" w:hAnsi="Calibri" w:cs="Calibri"/>
          <w:sz w:val="22"/>
          <w:lang w:eastAsia="en-US"/>
        </w:rPr>
      </w:pPr>
      <w:r w:rsidRPr="004102BE">
        <w:rPr>
          <w:rFonts w:ascii="Calibri" w:eastAsiaTheme="minorHAnsi" w:hAnsi="Calibri" w:cs="Calibri"/>
          <w:sz w:val="22"/>
          <w:lang w:eastAsia="en-US"/>
        </w:rPr>
        <w:t xml:space="preserve">The activities of the Audit Committee </w:t>
      </w:r>
      <w:r w:rsidR="002171FD">
        <w:rPr>
          <w:rFonts w:ascii="Calibri" w:eastAsiaTheme="minorHAnsi" w:hAnsi="Calibri" w:cs="Calibri"/>
          <w:sz w:val="22"/>
          <w:lang w:eastAsia="en-US"/>
        </w:rPr>
        <w:t>are</w:t>
      </w:r>
      <w:r w:rsidRPr="004102BE">
        <w:rPr>
          <w:rFonts w:ascii="Calibri" w:eastAsiaTheme="minorHAnsi" w:hAnsi="Calibri" w:cs="Calibri"/>
          <w:sz w:val="22"/>
          <w:lang w:eastAsia="en-US"/>
        </w:rPr>
        <w:t xml:space="preserve"> reported in Comcare’s Annual Reports.</w:t>
      </w:r>
    </w:p>
    <w:p w:rsidR="004102BE" w:rsidRPr="004102BE" w:rsidRDefault="004102BE" w:rsidP="004102B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Calibri" w:hAnsi="Calibri" w:cs="Calibri"/>
          <w:sz w:val="22"/>
          <w:szCs w:val="22"/>
        </w:rPr>
      </w:pPr>
      <w:r w:rsidRPr="004102BE">
        <w:rPr>
          <w:rFonts w:ascii="Calibri" w:hAnsi="Calibri" w:cs="Calibri"/>
          <w:b/>
          <w:sz w:val="22"/>
          <w:szCs w:val="22"/>
        </w:rPr>
        <w:t xml:space="preserve">Recommendation </w:t>
      </w:r>
      <w:r w:rsidR="005B0029">
        <w:rPr>
          <w:rFonts w:ascii="Calibri" w:hAnsi="Calibri" w:cs="Calibri"/>
          <w:b/>
          <w:sz w:val="22"/>
          <w:szCs w:val="22"/>
        </w:rPr>
        <w:t>21</w:t>
      </w:r>
    </w:p>
    <w:p w:rsidR="004102BE" w:rsidRPr="004102BE" w:rsidRDefault="004102BE" w:rsidP="004102B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Calibri" w:hAnsi="Calibri" w:cs="Calibri"/>
          <w:sz w:val="22"/>
          <w:szCs w:val="22"/>
        </w:rPr>
      </w:pPr>
      <w:r w:rsidRPr="004102BE">
        <w:rPr>
          <w:rFonts w:ascii="Calibri" w:hAnsi="Calibri" w:cs="Calibri"/>
          <w:sz w:val="22"/>
          <w:szCs w:val="22"/>
        </w:rPr>
        <w:t xml:space="preserve">As part of the enhanced regulatory framework for Comcare proposed in this Report, Audit Committee reports </w:t>
      </w:r>
      <w:r w:rsidR="005B0029">
        <w:rPr>
          <w:rFonts w:ascii="Calibri" w:hAnsi="Calibri" w:cs="Calibri"/>
          <w:sz w:val="22"/>
          <w:szCs w:val="22"/>
        </w:rPr>
        <w:t xml:space="preserve">should </w:t>
      </w:r>
      <w:r w:rsidRPr="004102BE">
        <w:rPr>
          <w:rFonts w:ascii="Calibri" w:hAnsi="Calibri" w:cs="Calibri"/>
          <w:sz w:val="22"/>
          <w:szCs w:val="22"/>
        </w:rPr>
        <w:t>be made available to the SRCC.</w:t>
      </w:r>
    </w:p>
    <w:p w:rsidR="00744A57" w:rsidRDefault="00744A57" w:rsidP="000D7C1C">
      <w:pPr>
        <w:keepNext/>
        <w:keepLines/>
        <w:outlineLvl w:val="2"/>
        <w:rPr>
          <w:rFonts w:ascii="Arial Bold" w:eastAsiaTheme="majorEastAsia" w:hAnsi="Arial Bold" w:cs="Calibri"/>
          <w:bCs/>
          <w:caps/>
          <w:color w:val="1F497D" w:themeColor="text2"/>
          <w:sz w:val="23"/>
          <w:szCs w:val="23"/>
        </w:rPr>
      </w:pPr>
      <w:bookmarkStart w:id="537" w:name="_Toc341778031"/>
    </w:p>
    <w:p w:rsidR="004102BE" w:rsidRPr="004102BE" w:rsidRDefault="004102BE" w:rsidP="004102BE">
      <w:pPr>
        <w:keepNext/>
        <w:keepLines/>
        <w:spacing w:before="100" w:beforeAutospacing="1" w:after="100" w:afterAutospacing="1"/>
        <w:outlineLvl w:val="2"/>
        <w:rPr>
          <w:rFonts w:ascii="Arial Bold" w:eastAsiaTheme="majorEastAsia" w:hAnsi="Arial Bold" w:cs="Calibri"/>
          <w:bCs/>
          <w:caps/>
          <w:color w:val="1F497D" w:themeColor="text2"/>
          <w:sz w:val="23"/>
          <w:szCs w:val="23"/>
        </w:rPr>
      </w:pPr>
      <w:bookmarkStart w:id="538" w:name="_Toc342578404"/>
      <w:r w:rsidRPr="004102BE">
        <w:rPr>
          <w:rFonts w:ascii="Arial Bold" w:eastAsiaTheme="majorEastAsia" w:hAnsi="Arial Bold" w:cs="Calibri"/>
          <w:bCs/>
          <w:caps/>
          <w:color w:val="1F497D" w:themeColor="text2"/>
          <w:sz w:val="23"/>
          <w:szCs w:val="23"/>
        </w:rPr>
        <w:t>improvementS to the delivery of comcare</w:t>
      </w:r>
      <w:r w:rsidR="00B02C84">
        <w:rPr>
          <w:rFonts w:ascii="Arial Bold" w:eastAsiaTheme="majorEastAsia" w:hAnsi="Arial Bold" w:cs="Calibri"/>
          <w:bCs/>
          <w:caps/>
          <w:color w:val="1F497D" w:themeColor="text2"/>
          <w:sz w:val="23"/>
          <w:szCs w:val="23"/>
        </w:rPr>
        <w:t>'</w:t>
      </w:r>
      <w:r w:rsidRPr="004102BE">
        <w:rPr>
          <w:rFonts w:ascii="Arial Bold" w:eastAsiaTheme="majorEastAsia" w:hAnsi="Arial Bold" w:cs="Calibri"/>
          <w:bCs/>
          <w:caps/>
          <w:color w:val="1F497D" w:themeColor="text2"/>
          <w:sz w:val="23"/>
          <w:szCs w:val="23"/>
        </w:rPr>
        <w:t>s recovery and support services</w:t>
      </w:r>
      <w:bookmarkEnd w:id="537"/>
      <w:bookmarkEnd w:id="538"/>
    </w:p>
    <w:p w:rsidR="004102BE" w:rsidRPr="004102BE" w:rsidRDefault="004102BE" w:rsidP="004102BE">
      <w:pPr>
        <w:keepNext/>
        <w:keepLines/>
        <w:spacing w:before="120" w:after="120"/>
        <w:outlineLvl w:val="2"/>
        <w:rPr>
          <w:rFonts w:asciiTheme="minorHAnsi" w:eastAsiaTheme="majorEastAsia" w:hAnsiTheme="minorHAnsi" w:cstheme="minorHAnsi"/>
          <w:b/>
          <w:bCs/>
          <w:caps/>
          <w:color w:val="1F497D" w:themeColor="text2"/>
          <w:sz w:val="23"/>
        </w:rPr>
      </w:pPr>
      <w:bookmarkStart w:id="539" w:name="_Toc341778032"/>
      <w:bookmarkStart w:id="540" w:name="_Toc341780792"/>
      <w:bookmarkStart w:id="541" w:name="_Toc342578405"/>
      <w:r w:rsidRPr="004102BE">
        <w:rPr>
          <w:rFonts w:ascii="Calibri" w:eastAsiaTheme="minorHAnsi" w:hAnsi="Calibri" w:cs="Calibri"/>
          <w:b/>
          <w:sz w:val="22"/>
          <w:lang w:eastAsia="en-US"/>
        </w:rPr>
        <w:t>Key Performance Indicators</w:t>
      </w:r>
      <w:bookmarkEnd w:id="539"/>
      <w:bookmarkEnd w:id="540"/>
      <w:bookmarkEnd w:id="541"/>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Comcare has developed 56 headline and group key performance indicators (KPIs), 33 of which have been endorsed by and are reported to the SRCC for scheme monitoring purposes, covering all key aspects of the three pillars of Comcare’s Strategy 2015. The remaining 23 KPIs are used internally by Comcare for operational purposes only.</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 xml:space="preserve">In June 2011, the SRCC agreed to a set of nine </w:t>
      </w:r>
      <w:proofErr w:type="gramStart"/>
      <w:r w:rsidRPr="004102BE">
        <w:rPr>
          <w:rFonts w:ascii="Calibri" w:eastAsiaTheme="minorHAnsi" w:hAnsi="Calibri" w:cs="Calibri"/>
          <w:sz w:val="22"/>
          <w:lang w:eastAsia="en-US"/>
        </w:rPr>
        <w:t>scheme</w:t>
      </w:r>
      <w:proofErr w:type="gramEnd"/>
      <w:r w:rsidRPr="004102BE">
        <w:rPr>
          <w:rFonts w:ascii="Calibri" w:eastAsiaTheme="minorHAnsi" w:hAnsi="Calibri" w:cs="Calibri"/>
          <w:sz w:val="22"/>
          <w:lang w:eastAsia="en-US"/>
        </w:rPr>
        <w:t xml:space="preserve"> headline and group Determining Authority KPIs (DAKPIs) to monitor the performance of Comcare and licensees. </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 xml:space="preserve">The nine DAKPIs are also used to monitor the individual performance of licensees as part of their </w:t>
      </w:r>
      <w:r w:rsidR="000A5586">
        <w:rPr>
          <w:rFonts w:ascii="Calibri" w:eastAsiaTheme="minorHAnsi" w:hAnsi="Calibri" w:cs="Calibri"/>
          <w:sz w:val="22"/>
          <w:lang w:eastAsia="en-US"/>
        </w:rPr>
        <w:t>licence</w:t>
      </w:r>
      <w:r w:rsidRPr="004102BE">
        <w:rPr>
          <w:rFonts w:ascii="Calibri" w:eastAsiaTheme="minorHAnsi" w:hAnsi="Calibri" w:cs="Calibri"/>
          <w:sz w:val="22"/>
          <w:lang w:eastAsia="en-US"/>
        </w:rPr>
        <w:t xml:space="preserve"> requirements. The DAKPIs replaced the former SRCC indicators that were used to assess licensee performance. The SRCC, with Comcare’s assistance, sets individual targets against the DAKPIs for each licensee.</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The KPIs are developed to show:</w:t>
      </w:r>
    </w:p>
    <w:p w:rsidR="004102BE" w:rsidRPr="004102BE" w:rsidRDefault="004102BE" w:rsidP="004102BE">
      <w:pPr>
        <w:numPr>
          <w:ilvl w:val="0"/>
          <w:numId w:val="26"/>
        </w:numPr>
        <w:autoSpaceDE w:val="0"/>
        <w:autoSpaceDN w:val="0"/>
        <w:adjustRightInd w:val="0"/>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how well the Comcare scheme is going;</w:t>
      </w:r>
    </w:p>
    <w:p w:rsidR="004102BE" w:rsidRPr="004102BE" w:rsidRDefault="004102BE" w:rsidP="004102BE">
      <w:pPr>
        <w:numPr>
          <w:ilvl w:val="0"/>
          <w:numId w:val="26"/>
        </w:numPr>
        <w:autoSpaceDE w:val="0"/>
        <w:autoSpaceDN w:val="0"/>
        <w:adjustRightInd w:val="0"/>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if the scheme is meeting its goals;</w:t>
      </w:r>
    </w:p>
    <w:p w:rsidR="004102BE" w:rsidRPr="004102BE" w:rsidRDefault="004102BE" w:rsidP="004102BE">
      <w:pPr>
        <w:numPr>
          <w:ilvl w:val="0"/>
          <w:numId w:val="26"/>
        </w:numPr>
        <w:autoSpaceDE w:val="0"/>
        <w:autoSpaceDN w:val="0"/>
        <w:adjustRightInd w:val="0"/>
        <w:spacing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if the scheme stakeholders (as represented on the SRCC) are satisfied; and</w:t>
      </w:r>
    </w:p>
    <w:p w:rsidR="004102BE" w:rsidRPr="004102BE" w:rsidRDefault="004102BE" w:rsidP="004102BE">
      <w:pPr>
        <w:numPr>
          <w:ilvl w:val="0"/>
          <w:numId w:val="26"/>
        </w:numPr>
        <w:autoSpaceDE w:val="0"/>
        <w:autoSpaceDN w:val="0"/>
        <w:adjustRightInd w:val="0"/>
        <w:spacing w:after="120"/>
        <w:ind w:left="1134" w:hanging="425"/>
        <w:rPr>
          <w:rFonts w:ascii="Calibri" w:eastAsiaTheme="minorHAnsi" w:hAnsi="Calibri" w:cs="Calibri"/>
          <w:sz w:val="22"/>
          <w:lang w:eastAsia="en-US"/>
        </w:rPr>
      </w:pPr>
      <w:proofErr w:type="gramStart"/>
      <w:r w:rsidRPr="004102BE">
        <w:rPr>
          <w:rFonts w:ascii="Calibri" w:eastAsiaTheme="minorHAnsi" w:hAnsi="Calibri" w:cs="Calibri"/>
          <w:sz w:val="22"/>
          <w:lang w:eastAsia="en-US"/>
        </w:rPr>
        <w:t>if</w:t>
      </w:r>
      <w:proofErr w:type="gramEnd"/>
      <w:r w:rsidRPr="004102BE">
        <w:rPr>
          <w:rFonts w:ascii="Calibri" w:eastAsiaTheme="minorHAnsi" w:hAnsi="Calibri" w:cs="Calibri"/>
          <w:sz w:val="22"/>
          <w:lang w:eastAsia="en-US"/>
        </w:rPr>
        <w:t xml:space="preserve"> and where improvements are necessary.</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 xml:space="preserve">The scheme headline and group KPIs are outlined in </w:t>
      </w:r>
      <w:r w:rsidRPr="0035663E">
        <w:rPr>
          <w:rFonts w:ascii="Calibri" w:eastAsiaTheme="minorHAnsi" w:hAnsi="Calibri" w:cs="Calibri"/>
          <w:sz w:val="22"/>
          <w:u w:val="single"/>
          <w:lang w:eastAsia="en-US"/>
        </w:rPr>
        <w:t>Annex F</w:t>
      </w:r>
      <w:r w:rsidRPr="004102BE">
        <w:rPr>
          <w:rFonts w:ascii="Calibri" w:eastAsiaTheme="minorHAnsi" w:hAnsi="Calibri" w:cs="Calibri"/>
          <w:sz w:val="22"/>
          <w:lang w:eastAsia="en-US"/>
        </w:rPr>
        <w:t>.</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lastRenderedPageBreak/>
        <w:t>A quarterly Scheme Performance Report on current performance against targets is provided by Comcare to the SRCC at each meeting for consideration.</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While the DAKPIs used to monitor the performance of all determining authorities are the same, the yearly targets are different for Comcare and licensees for some KPIs. The targets take into consideration current performance of the determining</w:t>
      </w:r>
      <w:r w:rsidRPr="004102BE">
        <w:rPr>
          <w:rFonts w:asciiTheme="minorHAnsi" w:eastAsiaTheme="minorHAnsi" w:hAnsiTheme="minorHAnsi" w:cstheme="minorHAnsi"/>
          <w:sz w:val="22"/>
          <w:lang w:eastAsia="en-US"/>
        </w:rPr>
        <w:t xml:space="preserve"> </w:t>
      </w:r>
      <w:r w:rsidRPr="004102BE">
        <w:rPr>
          <w:rFonts w:ascii="Calibri" w:eastAsiaTheme="minorHAnsi" w:hAnsi="Calibri" w:cs="Calibri"/>
          <w:sz w:val="22"/>
          <w:lang w:eastAsia="en-US"/>
        </w:rPr>
        <w:t>authorities in order to set targets that are “a stretch” but achievable.</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The business rules underpinning each DAKPI are the same for all determining authorities, ensuring a “level playing field” in terms of performance comparisons for each KPI.</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It is noted, however, that not all KPIs apply to all determining authorities. For example, as the ACT Government is not covered by the Commonwealth WHS Act, DAKPIs that relate to the measurement of OHS performance (DAKPI 1) do not include the ACT Government.</w:t>
      </w:r>
    </w:p>
    <w:p w:rsidR="004102BE" w:rsidRPr="004102BE" w:rsidRDefault="00850445" w:rsidP="004102BE">
      <w:pPr>
        <w:numPr>
          <w:ilvl w:val="1"/>
          <w:numId w:val="31"/>
        </w:numPr>
        <w:spacing w:after="120"/>
        <w:ind w:left="709" w:hanging="709"/>
        <w:rPr>
          <w:rFonts w:ascii="Calibri" w:eastAsiaTheme="minorHAnsi" w:hAnsi="Calibri" w:cs="Calibri"/>
          <w:sz w:val="22"/>
          <w:lang w:eastAsia="en-US"/>
        </w:rPr>
      </w:pPr>
      <w:r>
        <w:rPr>
          <w:rFonts w:ascii="Calibri" w:eastAsiaTheme="minorHAnsi" w:hAnsi="Calibri" w:cs="Calibri"/>
          <w:sz w:val="22"/>
          <w:lang w:eastAsia="en-US"/>
        </w:rPr>
        <w:t>The</w:t>
      </w:r>
      <w:r w:rsidR="004102BE" w:rsidRPr="004102BE">
        <w:rPr>
          <w:rFonts w:ascii="Calibri" w:eastAsiaTheme="minorHAnsi" w:hAnsi="Calibri" w:cs="Calibri"/>
          <w:sz w:val="22"/>
          <w:lang w:eastAsia="en-US"/>
        </w:rPr>
        <w:t xml:space="preserve"> KPIs and basis of their measure</w:t>
      </w:r>
      <w:r w:rsidR="005B0029">
        <w:rPr>
          <w:rFonts w:ascii="Calibri" w:eastAsiaTheme="minorHAnsi" w:hAnsi="Calibri" w:cs="Calibri"/>
          <w:sz w:val="22"/>
          <w:lang w:eastAsia="en-US"/>
        </w:rPr>
        <w:t>ment</w:t>
      </w:r>
      <w:r w:rsidR="004102BE" w:rsidRPr="004102BE">
        <w:rPr>
          <w:rFonts w:ascii="Calibri" w:eastAsiaTheme="minorHAnsi" w:hAnsi="Calibri" w:cs="Calibri"/>
          <w:sz w:val="22"/>
          <w:lang w:eastAsia="en-US"/>
        </w:rPr>
        <w:t xml:space="preserve"> is the same for all determining authorities, </w:t>
      </w:r>
      <w:r>
        <w:rPr>
          <w:rFonts w:ascii="Calibri" w:eastAsiaTheme="minorHAnsi" w:hAnsi="Calibri" w:cs="Calibri"/>
          <w:sz w:val="22"/>
          <w:lang w:eastAsia="en-US"/>
        </w:rPr>
        <w:t xml:space="preserve">but </w:t>
      </w:r>
      <w:r w:rsidR="004102BE" w:rsidRPr="004102BE">
        <w:rPr>
          <w:rFonts w:ascii="Calibri" w:eastAsiaTheme="minorHAnsi" w:hAnsi="Calibri" w:cs="Calibri"/>
          <w:sz w:val="22"/>
          <w:lang w:eastAsia="en-US"/>
        </w:rPr>
        <w:t xml:space="preserve">the implications for </w:t>
      </w:r>
      <w:r w:rsidR="002171FD" w:rsidRPr="004102BE">
        <w:rPr>
          <w:rFonts w:ascii="Calibri" w:eastAsiaTheme="minorHAnsi" w:hAnsi="Calibri" w:cs="Calibri"/>
          <w:sz w:val="22"/>
          <w:lang w:eastAsia="en-US"/>
        </w:rPr>
        <w:t>non-compliance</w:t>
      </w:r>
      <w:r w:rsidR="004102BE" w:rsidRPr="004102BE">
        <w:rPr>
          <w:rFonts w:ascii="Calibri" w:eastAsiaTheme="minorHAnsi" w:hAnsi="Calibri" w:cs="Calibri"/>
          <w:sz w:val="22"/>
          <w:lang w:eastAsia="en-US"/>
        </w:rPr>
        <w:t xml:space="preserve"> can be quite different. While the performance assessment of individual self insurer licensees for their self insurer licence is directly impacted by their performance against the DAKPIs, the consequences for Comcare as a determining authority if it is unable to meet its targets appears to be limited to publication of its results.  Accordingly, it would seem that there is a greater incentive for the licensees to meet their targets than for Comcare.</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The KPI framework is very comprehensive and covers most aspects of scheme performance. Performance is currently measured at determining authority and overall Comcare scheme level. While performance outcomes are shared and discussed regularly at the SRCC and with the determining authorities, it is unclear how well these KPIs are currently being used to improve the performance of individual premium-paying agencies.</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Comcare also regularly reports internally on its performance against the full set of KPIs.</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 xml:space="preserve">During consultations with stakeholders, it was obvious that the licensees had a good knowledge and understanding of the KPI framework, especially the DAKPIs.  However, premium payers did not generally appear to have a clear understanding of the KPI framework. Most of the agencies consulted with, including some of the very large ones, were either unaware of the KPIs, how they were developed, or how they were being used. </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 xml:space="preserve">Premium payers expressed particular concern over the performance of the Comcare scheme, particularly in the context of the recent premium increases. This was attributed to the </w:t>
      </w:r>
      <w:r w:rsidR="00850445">
        <w:rPr>
          <w:rFonts w:ascii="Calibri" w:eastAsiaTheme="minorHAnsi" w:hAnsi="Calibri" w:cs="Calibri"/>
          <w:sz w:val="22"/>
          <w:lang w:eastAsia="en-US"/>
        </w:rPr>
        <w:t xml:space="preserve">SRCC not </w:t>
      </w:r>
      <w:proofErr w:type="gramStart"/>
      <w:r w:rsidR="00850445">
        <w:rPr>
          <w:rFonts w:ascii="Calibri" w:eastAsiaTheme="minorHAnsi" w:hAnsi="Calibri" w:cs="Calibri"/>
          <w:sz w:val="22"/>
          <w:lang w:eastAsia="en-US"/>
        </w:rPr>
        <w:t xml:space="preserve">having </w:t>
      </w:r>
      <w:r w:rsidRPr="004102BE">
        <w:rPr>
          <w:rFonts w:ascii="Calibri" w:eastAsiaTheme="minorHAnsi" w:hAnsi="Calibri" w:cs="Calibri"/>
          <w:sz w:val="22"/>
          <w:lang w:eastAsia="en-US"/>
        </w:rPr>
        <w:t xml:space="preserve"> clear</w:t>
      </w:r>
      <w:proofErr w:type="gramEnd"/>
      <w:r w:rsidRPr="004102BE">
        <w:rPr>
          <w:rFonts w:ascii="Calibri" w:eastAsiaTheme="minorHAnsi" w:hAnsi="Calibri" w:cs="Calibri"/>
          <w:sz w:val="22"/>
          <w:lang w:eastAsia="en-US"/>
        </w:rPr>
        <w:t xml:space="preserve"> oversight of Comcare’s performance as a determining authority.</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All premium payer employers have access to their claims data through an on-line portal called the Customer Information System (CIS), developed by Comcare. This provides all of the necessary details about claims cost trends</w:t>
      </w:r>
      <w:r w:rsidR="00AF2E82">
        <w:rPr>
          <w:rFonts w:ascii="Calibri" w:eastAsiaTheme="minorHAnsi" w:hAnsi="Calibri" w:cs="Calibri"/>
          <w:sz w:val="22"/>
          <w:lang w:eastAsia="en-US"/>
        </w:rPr>
        <w:t>, enabling employers</w:t>
      </w:r>
      <w:r w:rsidRPr="004102BE">
        <w:rPr>
          <w:rFonts w:ascii="Calibri" w:eastAsiaTheme="minorHAnsi" w:hAnsi="Calibri" w:cs="Calibri"/>
          <w:sz w:val="22"/>
          <w:lang w:eastAsia="en-US"/>
        </w:rPr>
        <w:t xml:space="preserve"> to produce reports for internal use to track their performance. This database is updated daily.</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CIS provides each premium payer with information on its own claims trends and on some broader claims trends. It does not, however, provide information on Comcare scheme trends based on the newly developed SRCC endorsed KPIs to enable premium payers to compare their performance with the rest of the Comcare scheme. In addition to providing data on their own performance trends, it is possible for CIS to be also used to keep premium payers updated on the performance of the overall Comcare scheme and a comparison between the performance of the premium payers and the licensees.</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 xml:space="preserve">Additionally, by including information on Comcare’s performance, it is possible for CIS to be used as a tool for premium payers to scrutinise the performance of Comcare as the determining authority for the premium payer side of the scheme. This will provide greater </w:t>
      </w:r>
      <w:r w:rsidRPr="004102BE">
        <w:rPr>
          <w:rFonts w:ascii="Calibri" w:eastAsiaTheme="minorHAnsi" w:hAnsi="Calibri" w:cs="Calibri"/>
          <w:sz w:val="22"/>
          <w:lang w:eastAsia="en-US"/>
        </w:rPr>
        <w:lastRenderedPageBreak/>
        <w:t>transparency and address some stakeholder concerns about the lack of scrutiny of Comcare’s performance as the claims manager for the premium payer side of the scheme.</w:t>
      </w:r>
    </w:p>
    <w:p w:rsidR="004102BE" w:rsidRPr="004102BE" w:rsidRDefault="004102BE" w:rsidP="004102BE">
      <w:pPr>
        <w:numPr>
          <w:ilvl w:val="1"/>
          <w:numId w:val="31"/>
        </w:numPr>
        <w:spacing w:after="120"/>
        <w:ind w:left="709" w:hanging="709"/>
        <w:rPr>
          <w:rFonts w:asciiTheme="minorHAnsi" w:eastAsiaTheme="minorHAnsi" w:hAnsiTheme="minorHAnsi" w:cstheme="minorHAnsi"/>
          <w:sz w:val="22"/>
          <w:lang w:eastAsia="en-US"/>
        </w:rPr>
      </w:pPr>
      <w:r w:rsidRPr="004102BE">
        <w:rPr>
          <w:rFonts w:ascii="Calibri" w:eastAsiaTheme="minorHAnsi" w:hAnsi="Calibri" w:cs="Calibri"/>
          <w:sz w:val="22"/>
          <w:lang w:eastAsia="en-US"/>
        </w:rPr>
        <w:t>It is also possible for the KPIs to be used to assist premium payers improve their performance. Comcare has identified the premium payers that it believes are the ones contributing most to recent claims performance trends.</w:t>
      </w:r>
    </w:p>
    <w:p w:rsidR="004102BE" w:rsidRPr="004102BE" w:rsidRDefault="004102BE" w:rsidP="004102BE">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Theme="minorHAnsi" w:eastAsiaTheme="minorHAnsi" w:hAnsiTheme="minorHAnsi" w:cstheme="minorHAnsi"/>
          <w:sz w:val="22"/>
          <w:szCs w:val="22"/>
          <w:lang w:eastAsia="en-US"/>
        </w:rPr>
      </w:pPr>
      <w:r w:rsidRPr="004102BE">
        <w:rPr>
          <w:rFonts w:asciiTheme="minorHAnsi" w:eastAsiaTheme="minorHAnsi" w:hAnsiTheme="minorHAnsi" w:cstheme="minorHAnsi"/>
          <w:b/>
          <w:sz w:val="22"/>
          <w:szCs w:val="22"/>
          <w:lang w:eastAsia="en-US"/>
        </w:rPr>
        <w:t xml:space="preserve">Recommendation </w:t>
      </w:r>
      <w:r w:rsidR="005B0029" w:rsidRPr="004102BE">
        <w:rPr>
          <w:rFonts w:asciiTheme="minorHAnsi" w:eastAsiaTheme="minorHAnsi" w:hAnsiTheme="minorHAnsi" w:cstheme="minorHAnsi"/>
          <w:b/>
          <w:sz w:val="22"/>
          <w:szCs w:val="22"/>
          <w:lang w:eastAsia="en-US"/>
        </w:rPr>
        <w:t>2</w:t>
      </w:r>
      <w:r w:rsidR="005B0029">
        <w:rPr>
          <w:rFonts w:asciiTheme="minorHAnsi" w:eastAsiaTheme="minorHAnsi" w:hAnsiTheme="minorHAnsi" w:cstheme="minorHAnsi"/>
          <w:b/>
          <w:sz w:val="22"/>
          <w:szCs w:val="22"/>
          <w:lang w:eastAsia="en-US"/>
        </w:rPr>
        <w:t>2</w:t>
      </w:r>
    </w:p>
    <w:p w:rsidR="004102BE" w:rsidRPr="004102BE" w:rsidRDefault="005B0029" w:rsidP="004102BE">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autoSpaceDE w:val="0"/>
        <w:autoSpaceDN w:val="0"/>
        <w:adjustRightInd w:val="0"/>
        <w:spacing w:after="120"/>
        <w:ind w:left="709" w:hanging="709"/>
        <w:rPr>
          <w:rFonts w:ascii="Calibri" w:eastAsiaTheme="minorHAnsi" w:hAnsi="Calibri" w:cs="Calibri"/>
          <w:sz w:val="22"/>
          <w:lang w:eastAsia="en-US"/>
        </w:rPr>
      </w:pPr>
      <w:r>
        <w:rPr>
          <w:rFonts w:ascii="Calibri" w:eastAsiaTheme="minorHAnsi" w:hAnsi="Calibri" w:cs="Calibri"/>
          <w:sz w:val="22"/>
          <w:lang w:eastAsia="en-US"/>
        </w:rPr>
        <w:t>22</w:t>
      </w:r>
      <w:r w:rsidR="004102BE" w:rsidRPr="004102BE">
        <w:rPr>
          <w:rFonts w:ascii="Calibri" w:eastAsiaTheme="minorHAnsi" w:hAnsi="Calibri" w:cs="Calibri"/>
          <w:sz w:val="22"/>
          <w:lang w:eastAsia="en-US"/>
        </w:rPr>
        <w:t>(a):</w:t>
      </w:r>
      <w:r w:rsidR="004102BE" w:rsidRPr="004102BE">
        <w:rPr>
          <w:rFonts w:ascii="Calibri" w:eastAsiaTheme="minorHAnsi" w:hAnsi="Calibri" w:cs="Calibri"/>
          <w:sz w:val="22"/>
          <w:lang w:eastAsia="en-US"/>
        </w:rPr>
        <w:tab/>
        <w:t>All the KPI results reported to the SRCC should be made available to premium payers through publication on CIS. This should include a comparison of performance of the premium payer side of the scheme and the licensees to enable premium payers to compare their individual performance with broader Comcare scheme trends.</w:t>
      </w:r>
    </w:p>
    <w:p w:rsidR="004102BE" w:rsidRPr="004102BE" w:rsidRDefault="005B0029" w:rsidP="004102BE">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autoSpaceDE w:val="0"/>
        <w:autoSpaceDN w:val="0"/>
        <w:adjustRightInd w:val="0"/>
        <w:spacing w:after="120"/>
        <w:ind w:left="709" w:hanging="709"/>
        <w:rPr>
          <w:rFonts w:ascii="Calibri" w:eastAsiaTheme="minorHAnsi" w:hAnsi="Calibri" w:cs="Calibri"/>
          <w:sz w:val="22"/>
          <w:lang w:eastAsia="en-US"/>
        </w:rPr>
      </w:pPr>
      <w:r>
        <w:rPr>
          <w:rFonts w:ascii="Calibri" w:eastAsiaTheme="minorHAnsi" w:hAnsi="Calibri" w:cs="Calibri"/>
          <w:sz w:val="22"/>
          <w:lang w:eastAsia="en-US"/>
        </w:rPr>
        <w:t>22</w:t>
      </w:r>
      <w:r w:rsidR="004102BE" w:rsidRPr="004102BE">
        <w:rPr>
          <w:rFonts w:ascii="Calibri" w:eastAsiaTheme="minorHAnsi" w:hAnsi="Calibri" w:cs="Calibri"/>
          <w:sz w:val="22"/>
          <w:lang w:eastAsia="en-US"/>
        </w:rPr>
        <w:t>(b):</w:t>
      </w:r>
      <w:r w:rsidR="004102BE" w:rsidRPr="004102BE">
        <w:rPr>
          <w:rFonts w:ascii="Calibri" w:eastAsiaTheme="minorHAnsi" w:hAnsi="Calibri" w:cs="Calibri"/>
          <w:sz w:val="22"/>
          <w:lang w:eastAsia="en-US"/>
        </w:rPr>
        <w:tab/>
        <w:t>Comcare should consider implementing a process to auto-generate key reports for selected premium payers and provide these reports to nominated staff in order to ensure senior management awareness of performance trends.</w:t>
      </w:r>
    </w:p>
    <w:p w:rsidR="004102BE" w:rsidRPr="004102BE" w:rsidRDefault="005B0029" w:rsidP="004102BE">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autoSpaceDE w:val="0"/>
        <w:autoSpaceDN w:val="0"/>
        <w:adjustRightInd w:val="0"/>
        <w:spacing w:after="120"/>
        <w:ind w:left="709" w:hanging="709"/>
        <w:rPr>
          <w:rFonts w:ascii="Calibri" w:eastAsiaTheme="minorHAnsi" w:hAnsi="Calibri" w:cs="Calibri"/>
          <w:sz w:val="22"/>
          <w:lang w:eastAsia="en-US"/>
        </w:rPr>
      </w:pPr>
      <w:r>
        <w:rPr>
          <w:rFonts w:ascii="Calibri" w:eastAsiaTheme="minorHAnsi" w:hAnsi="Calibri" w:cs="Calibri"/>
          <w:sz w:val="22"/>
          <w:lang w:eastAsia="en-US"/>
        </w:rPr>
        <w:t>22</w:t>
      </w:r>
      <w:r w:rsidR="004102BE" w:rsidRPr="004102BE">
        <w:rPr>
          <w:rFonts w:ascii="Calibri" w:eastAsiaTheme="minorHAnsi" w:hAnsi="Calibri" w:cs="Calibri"/>
          <w:sz w:val="22"/>
          <w:lang w:eastAsia="en-US"/>
        </w:rPr>
        <w:t>(c):</w:t>
      </w:r>
      <w:r w:rsidR="004102BE" w:rsidRPr="004102BE">
        <w:rPr>
          <w:rFonts w:ascii="Calibri" w:eastAsiaTheme="minorHAnsi" w:hAnsi="Calibri" w:cs="Calibri"/>
          <w:sz w:val="22"/>
          <w:lang w:eastAsia="en-US"/>
        </w:rPr>
        <w:tab/>
        <w:t xml:space="preserve">Reports should be developed to monitor and report on performance against the SRCC endorsed KPIs and targets at an individual premium payer level. The KPI results for each premium payer and licensee should be made available to them through </w:t>
      </w:r>
      <w:r w:rsidR="008E3BC6">
        <w:rPr>
          <w:rFonts w:ascii="Calibri" w:eastAsiaTheme="minorHAnsi" w:hAnsi="Calibri" w:cs="Calibri"/>
          <w:sz w:val="22"/>
          <w:lang w:eastAsia="en-US"/>
        </w:rPr>
        <w:t xml:space="preserve">the </w:t>
      </w:r>
      <w:r w:rsidR="004102BE" w:rsidRPr="004102BE">
        <w:rPr>
          <w:rFonts w:ascii="Calibri" w:eastAsiaTheme="minorHAnsi" w:hAnsi="Calibri" w:cs="Calibri"/>
          <w:sz w:val="22"/>
          <w:lang w:eastAsia="en-US"/>
        </w:rPr>
        <w:t>CIS, along with a comparison with the premium payer side of the scheme and licensees.</w:t>
      </w:r>
    </w:p>
    <w:p w:rsidR="004102BE" w:rsidRPr="004102BE" w:rsidRDefault="005B0029" w:rsidP="004102BE">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autoSpaceDE w:val="0"/>
        <w:autoSpaceDN w:val="0"/>
        <w:adjustRightInd w:val="0"/>
        <w:spacing w:after="120"/>
        <w:ind w:left="709" w:hanging="709"/>
        <w:rPr>
          <w:rFonts w:ascii="Calibri" w:eastAsiaTheme="minorHAnsi" w:hAnsi="Calibri" w:cs="Calibri"/>
          <w:sz w:val="22"/>
          <w:lang w:eastAsia="en-US"/>
        </w:rPr>
      </w:pPr>
      <w:r>
        <w:rPr>
          <w:rFonts w:ascii="Calibri" w:eastAsiaTheme="minorHAnsi" w:hAnsi="Calibri" w:cs="Calibri"/>
          <w:sz w:val="22"/>
          <w:lang w:eastAsia="en-US"/>
        </w:rPr>
        <w:t>22</w:t>
      </w:r>
      <w:r w:rsidR="004102BE" w:rsidRPr="004102BE">
        <w:rPr>
          <w:rFonts w:ascii="Calibri" w:eastAsiaTheme="minorHAnsi" w:hAnsi="Calibri" w:cs="Calibri"/>
          <w:sz w:val="22"/>
          <w:lang w:eastAsia="en-US"/>
        </w:rPr>
        <w:t>(d):</w:t>
      </w:r>
      <w:r w:rsidR="004102BE" w:rsidRPr="004102BE">
        <w:rPr>
          <w:rFonts w:ascii="Calibri" w:eastAsiaTheme="minorHAnsi" w:hAnsi="Calibri" w:cs="Calibri"/>
          <w:sz w:val="22"/>
          <w:lang w:eastAsia="en-US"/>
        </w:rPr>
        <w:tab/>
        <w:t>The individual KPI outcomes should be communicated with premium payers and Comcare should work with premium payers to develop and implement plans to improve performance on a case by case basis.</w:t>
      </w:r>
    </w:p>
    <w:p w:rsidR="00744A57" w:rsidRDefault="00744A57" w:rsidP="000D7C1C">
      <w:pPr>
        <w:keepNext/>
        <w:keepLines/>
        <w:outlineLvl w:val="2"/>
        <w:rPr>
          <w:rFonts w:ascii="Arial Bold" w:eastAsiaTheme="majorEastAsia" w:hAnsi="Arial Bold" w:cs="Calibri"/>
          <w:bCs/>
          <w:caps/>
          <w:color w:val="1F497D" w:themeColor="text2"/>
          <w:sz w:val="23"/>
          <w:szCs w:val="23"/>
        </w:rPr>
      </w:pPr>
      <w:bookmarkStart w:id="542" w:name="_Toc341778033"/>
    </w:p>
    <w:p w:rsidR="004102BE" w:rsidRPr="004102BE" w:rsidRDefault="004102BE" w:rsidP="004102BE">
      <w:pPr>
        <w:keepNext/>
        <w:keepLines/>
        <w:spacing w:before="100" w:beforeAutospacing="1" w:after="100" w:afterAutospacing="1"/>
        <w:outlineLvl w:val="2"/>
        <w:rPr>
          <w:rFonts w:ascii="Arial Bold" w:eastAsiaTheme="majorEastAsia" w:hAnsi="Arial Bold" w:cs="Calibri"/>
          <w:bCs/>
          <w:caps/>
          <w:color w:val="1F497D" w:themeColor="text2"/>
          <w:sz w:val="23"/>
          <w:szCs w:val="23"/>
        </w:rPr>
      </w:pPr>
      <w:bookmarkStart w:id="543" w:name="_Toc342578406"/>
      <w:r w:rsidRPr="004102BE">
        <w:rPr>
          <w:rFonts w:ascii="Arial Bold" w:eastAsiaTheme="majorEastAsia" w:hAnsi="Arial Bold" w:cs="Calibri"/>
          <w:bCs/>
          <w:caps/>
          <w:color w:val="1F497D" w:themeColor="text2"/>
          <w:sz w:val="23"/>
          <w:szCs w:val="23"/>
        </w:rPr>
        <w:t>An effective claims management system</w:t>
      </w:r>
      <w:bookmarkEnd w:id="542"/>
      <w:bookmarkEnd w:id="543"/>
    </w:p>
    <w:p w:rsidR="004102BE" w:rsidRPr="004102BE" w:rsidRDefault="005B0029" w:rsidP="004102BE">
      <w:pPr>
        <w:numPr>
          <w:ilvl w:val="1"/>
          <w:numId w:val="31"/>
        </w:numPr>
        <w:autoSpaceDE w:val="0"/>
        <w:autoSpaceDN w:val="0"/>
        <w:adjustRightInd w:val="0"/>
        <w:spacing w:before="120" w:after="120"/>
        <w:ind w:left="709" w:hanging="709"/>
        <w:rPr>
          <w:rFonts w:ascii="Calibri" w:eastAsiaTheme="minorHAnsi" w:hAnsi="Calibri" w:cs="Calibri"/>
          <w:sz w:val="22"/>
          <w:lang w:eastAsia="en-US"/>
        </w:rPr>
      </w:pPr>
      <w:r>
        <w:rPr>
          <w:rFonts w:ascii="Calibri" w:eastAsiaTheme="minorHAnsi" w:hAnsi="Calibri" w:cs="Calibri"/>
          <w:sz w:val="22"/>
          <w:lang w:eastAsia="en-US"/>
        </w:rPr>
        <w:t>A</w:t>
      </w:r>
      <w:r w:rsidR="004102BE" w:rsidRPr="004102BE">
        <w:rPr>
          <w:rFonts w:ascii="Calibri" w:eastAsiaTheme="minorHAnsi" w:hAnsi="Calibri" w:cs="Calibri"/>
          <w:sz w:val="22"/>
          <w:lang w:eastAsia="en-US"/>
        </w:rPr>
        <w:t xml:space="preserve"> risk management approach to identify and manage key claims management risks facing the Comcare scheme</w:t>
      </w:r>
      <w:r>
        <w:rPr>
          <w:rFonts w:ascii="Calibri" w:eastAsiaTheme="minorHAnsi" w:hAnsi="Calibri" w:cs="Calibri"/>
          <w:sz w:val="22"/>
          <w:lang w:eastAsia="en-US"/>
        </w:rPr>
        <w:t xml:space="preserve"> is essential</w:t>
      </w:r>
      <w:r w:rsidR="004102BE" w:rsidRPr="004102BE">
        <w:rPr>
          <w:rFonts w:ascii="Calibri" w:eastAsiaTheme="minorHAnsi" w:hAnsi="Calibri" w:cs="Calibri"/>
          <w:sz w:val="22"/>
          <w:lang w:eastAsia="en-US"/>
        </w:rPr>
        <w:t>.</w:t>
      </w:r>
    </w:p>
    <w:p w:rsidR="004102BE" w:rsidRPr="004102BE" w:rsidRDefault="004102BE" w:rsidP="004102BE">
      <w:pPr>
        <w:numPr>
          <w:ilvl w:val="1"/>
          <w:numId w:val="31"/>
        </w:numPr>
        <w:autoSpaceDE w:val="0"/>
        <w:autoSpaceDN w:val="0"/>
        <w:adjustRightInd w:val="0"/>
        <w:spacing w:before="120"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Learnings can be taken from the governance arrangement for licensees who are all required to be assessed against the SRCC-approved claims management systems audit tool. This audit tool is used to assess the performance of the licensees as part of their self insurance arrangements. It provides the means to review a licensee’s management of its workers’ compensation claims and to identify areas of improvement.</w:t>
      </w:r>
    </w:p>
    <w:p w:rsidR="004102BE" w:rsidRPr="004102BE" w:rsidRDefault="004102BE" w:rsidP="004102BE">
      <w:pPr>
        <w:numPr>
          <w:ilvl w:val="1"/>
          <w:numId w:val="31"/>
        </w:numPr>
        <w:autoSpaceDE w:val="0"/>
        <w:autoSpaceDN w:val="0"/>
        <w:adjustRightInd w:val="0"/>
        <w:spacing w:before="120"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The audit tool assesses licensees’ claims management systems against five elements:</w:t>
      </w:r>
    </w:p>
    <w:p w:rsidR="004102BE" w:rsidRPr="004102BE" w:rsidRDefault="004102BE" w:rsidP="004102BE">
      <w:pPr>
        <w:numPr>
          <w:ilvl w:val="0"/>
          <w:numId w:val="33"/>
        </w:numPr>
        <w:autoSpaceDE w:val="0"/>
        <w:autoSpaceDN w:val="0"/>
        <w:adjustRightInd w:val="0"/>
        <w:spacing w:before="120"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commitment and corporate governance (six criteria);</w:t>
      </w:r>
    </w:p>
    <w:p w:rsidR="004102BE" w:rsidRPr="004102BE" w:rsidRDefault="004102BE" w:rsidP="004102BE">
      <w:pPr>
        <w:numPr>
          <w:ilvl w:val="0"/>
          <w:numId w:val="33"/>
        </w:numPr>
        <w:autoSpaceDE w:val="0"/>
        <w:autoSpaceDN w:val="0"/>
        <w:adjustRightInd w:val="0"/>
        <w:spacing w:before="120"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planning (six criteria);</w:t>
      </w:r>
    </w:p>
    <w:p w:rsidR="004102BE" w:rsidRPr="004102BE" w:rsidRDefault="004102BE" w:rsidP="004102BE">
      <w:pPr>
        <w:numPr>
          <w:ilvl w:val="0"/>
          <w:numId w:val="33"/>
        </w:numPr>
        <w:autoSpaceDE w:val="0"/>
        <w:autoSpaceDN w:val="0"/>
        <w:adjustRightInd w:val="0"/>
        <w:spacing w:before="120"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implementation (24 criteria);</w:t>
      </w:r>
    </w:p>
    <w:p w:rsidR="004102BE" w:rsidRPr="004102BE" w:rsidRDefault="004102BE" w:rsidP="004102BE">
      <w:pPr>
        <w:numPr>
          <w:ilvl w:val="0"/>
          <w:numId w:val="33"/>
        </w:numPr>
        <w:autoSpaceDE w:val="0"/>
        <w:autoSpaceDN w:val="0"/>
        <w:adjustRightInd w:val="0"/>
        <w:spacing w:before="120" w:after="120"/>
        <w:ind w:left="1134" w:hanging="425"/>
        <w:rPr>
          <w:rFonts w:ascii="Calibri" w:eastAsiaTheme="minorHAnsi" w:hAnsi="Calibri" w:cs="Calibri"/>
          <w:sz w:val="22"/>
          <w:lang w:eastAsia="en-US"/>
        </w:rPr>
      </w:pPr>
      <w:r w:rsidRPr="004102BE">
        <w:rPr>
          <w:rFonts w:ascii="Calibri" w:eastAsiaTheme="minorHAnsi" w:hAnsi="Calibri" w:cs="Calibri"/>
          <w:sz w:val="22"/>
          <w:lang w:eastAsia="en-US"/>
        </w:rPr>
        <w:t>measurement and evaluation (eight criteria); and</w:t>
      </w:r>
    </w:p>
    <w:p w:rsidR="004102BE" w:rsidRPr="004102BE" w:rsidRDefault="004102BE" w:rsidP="004102BE">
      <w:pPr>
        <w:numPr>
          <w:ilvl w:val="0"/>
          <w:numId w:val="33"/>
        </w:numPr>
        <w:autoSpaceDE w:val="0"/>
        <w:autoSpaceDN w:val="0"/>
        <w:adjustRightInd w:val="0"/>
        <w:spacing w:before="120" w:after="120"/>
        <w:ind w:left="1134" w:hanging="425"/>
        <w:rPr>
          <w:rFonts w:ascii="Calibri" w:eastAsiaTheme="minorHAnsi" w:hAnsi="Calibri" w:cs="Calibri"/>
          <w:sz w:val="22"/>
          <w:lang w:eastAsia="en-US"/>
        </w:rPr>
      </w:pPr>
      <w:proofErr w:type="gramStart"/>
      <w:r w:rsidRPr="004102BE">
        <w:rPr>
          <w:rFonts w:ascii="Calibri" w:eastAsiaTheme="minorHAnsi" w:hAnsi="Calibri" w:cs="Calibri"/>
          <w:sz w:val="22"/>
          <w:lang w:eastAsia="en-US"/>
        </w:rPr>
        <w:t>review</w:t>
      </w:r>
      <w:proofErr w:type="gramEnd"/>
      <w:r w:rsidRPr="004102BE">
        <w:rPr>
          <w:rFonts w:ascii="Calibri" w:eastAsiaTheme="minorHAnsi" w:hAnsi="Calibri" w:cs="Calibri"/>
          <w:sz w:val="22"/>
          <w:lang w:eastAsia="en-US"/>
        </w:rPr>
        <w:t xml:space="preserve"> and improvement (two criteria).</w:t>
      </w:r>
    </w:p>
    <w:p w:rsidR="004102BE" w:rsidRPr="004102BE" w:rsidRDefault="004102BE" w:rsidP="004102BE">
      <w:pPr>
        <w:numPr>
          <w:ilvl w:val="1"/>
          <w:numId w:val="31"/>
        </w:numPr>
        <w:autoSpaceDE w:val="0"/>
        <w:autoSpaceDN w:val="0"/>
        <w:adjustRightInd w:val="0"/>
        <w:spacing w:before="120"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 xml:space="preserve">Although the audit tool was developed to monitor the performance of licensees, there is no doubt that Comcare as a determining authority </w:t>
      </w:r>
      <w:r w:rsidR="005B0029">
        <w:rPr>
          <w:rFonts w:ascii="Calibri" w:eastAsiaTheme="minorHAnsi" w:hAnsi="Calibri" w:cs="Calibri"/>
          <w:sz w:val="22"/>
          <w:lang w:eastAsia="en-US"/>
        </w:rPr>
        <w:t>would</w:t>
      </w:r>
      <w:r w:rsidR="005B0029" w:rsidRPr="004102BE">
        <w:rPr>
          <w:rFonts w:ascii="Calibri" w:eastAsiaTheme="minorHAnsi" w:hAnsi="Calibri" w:cs="Calibri"/>
          <w:sz w:val="22"/>
          <w:lang w:eastAsia="en-US"/>
        </w:rPr>
        <w:t xml:space="preserve"> </w:t>
      </w:r>
      <w:r w:rsidRPr="004102BE">
        <w:rPr>
          <w:rFonts w:ascii="Calibri" w:eastAsiaTheme="minorHAnsi" w:hAnsi="Calibri" w:cs="Calibri"/>
          <w:sz w:val="22"/>
          <w:lang w:eastAsia="en-US"/>
        </w:rPr>
        <w:t xml:space="preserve">also benefit from applying this </w:t>
      </w:r>
      <w:r w:rsidR="005B0029">
        <w:rPr>
          <w:rFonts w:ascii="Calibri" w:eastAsiaTheme="minorHAnsi" w:hAnsi="Calibri" w:cs="Calibri"/>
          <w:sz w:val="22"/>
          <w:lang w:eastAsia="en-US"/>
        </w:rPr>
        <w:t xml:space="preserve">tool </w:t>
      </w:r>
      <w:r w:rsidRPr="004102BE">
        <w:rPr>
          <w:rFonts w:ascii="Calibri" w:eastAsiaTheme="minorHAnsi" w:hAnsi="Calibri" w:cs="Calibri"/>
          <w:sz w:val="22"/>
          <w:lang w:eastAsia="en-US"/>
        </w:rPr>
        <w:t>to assess the effectiveness of its overall claims management systems performance.</w:t>
      </w:r>
    </w:p>
    <w:p w:rsidR="004102BE" w:rsidRPr="004102BE" w:rsidRDefault="004102BE" w:rsidP="004102BE">
      <w:pPr>
        <w:numPr>
          <w:ilvl w:val="1"/>
          <w:numId w:val="31"/>
        </w:numPr>
        <w:autoSpaceDE w:val="0"/>
        <w:autoSpaceDN w:val="0"/>
        <w:adjustRightInd w:val="0"/>
        <w:spacing w:before="120"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In 2011-12, Comcare was audited for the first time against the audit guidelines. It achieved conformance with the 90 per cent target with the claims management systems audit criteria. In comparison, licensees achieved 97 per cent conformance with the claims management systems audit criteria.</w:t>
      </w:r>
    </w:p>
    <w:p w:rsidR="004102BE" w:rsidRPr="004102BE" w:rsidRDefault="004102BE" w:rsidP="004102BE">
      <w:pPr>
        <w:numPr>
          <w:ilvl w:val="1"/>
          <w:numId w:val="31"/>
        </w:numPr>
        <w:autoSpaceDE w:val="0"/>
        <w:autoSpaceDN w:val="0"/>
        <w:adjustRightInd w:val="0"/>
        <w:spacing w:before="120" w:after="120"/>
        <w:ind w:left="709" w:hanging="709"/>
        <w:rPr>
          <w:rFonts w:asciiTheme="minorHAnsi" w:eastAsiaTheme="minorHAnsi" w:hAnsiTheme="minorHAnsi" w:cstheme="minorHAnsi"/>
          <w:sz w:val="22"/>
          <w:szCs w:val="22"/>
          <w:lang w:eastAsia="en-US"/>
        </w:rPr>
      </w:pPr>
      <w:r w:rsidRPr="004102BE">
        <w:rPr>
          <w:rFonts w:ascii="Calibri" w:eastAsiaTheme="minorHAnsi" w:hAnsi="Calibri" w:cs="Calibri"/>
          <w:sz w:val="22"/>
          <w:lang w:eastAsia="en-US"/>
        </w:rPr>
        <w:lastRenderedPageBreak/>
        <w:t>Another point of difference between Comcare and licensees is that licensees are subject to self audit (often conducted by an external firm) and also subject to audits by Comcare. Comcare chose to use internal resources for its first claims management systems audit, and may benefit from the additional scrutiny a subsequent audit conducted by an external firm, in particular a firm with experience in conducting similar audits with licensees, will bring.</w:t>
      </w:r>
    </w:p>
    <w:p w:rsidR="004102BE" w:rsidRPr="004102BE" w:rsidRDefault="004102BE" w:rsidP="004102B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Theme="minorHAnsi" w:eastAsiaTheme="minorHAnsi" w:hAnsiTheme="minorHAnsi" w:cstheme="minorBidi"/>
          <w:sz w:val="22"/>
          <w:szCs w:val="22"/>
          <w:lang w:eastAsia="en-US"/>
        </w:rPr>
      </w:pPr>
      <w:r w:rsidRPr="004102BE">
        <w:rPr>
          <w:rFonts w:ascii="Calibri" w:eastAsiaTheme="minorHAnsi" w:hAnsi="Calibri" w:cs="Calibri"/>
          <w:b/>
          <w:sz w:val="22"/>
          <w:lang w:eastAsia="en-US"/>
        </w:rPr>
        <w:t xml:space="preserve">Recommendation </w:t>
      </w:r>
      <w:r w:rsidR="005B0029" w:rsidRPr="004102BE">
        <w:rPr>
          <w:rFonts w:ascii="Calibri" w:eastAsiaTheme="minorHAnsi" w:hAnsi="Calibri" w:cs="Calibri"/>
          <w:b/>
          <w:sz w:val="22"/>
          <w:lang w:eastAsia="en-US"/>
        </w:rPr>
        <w:t>2</w:t>
      </w:r>
      <w:r w:rsidR="005B0029">
        <w:rPr>
          <w:rFonts w:ascii="Calibri" w:eastAsiaTheme="minorHAnsi" w:hAnsi="Calibri" w:cs="Calibri"/>
          <w:b/>
          <w:sz w:val="22"/>
          <w:lang w:eastAsia="en-US"/>
        </w:rPr>
        <w:t>3</w:t>
      </w:r>
    </w:p>
    <w:p w:rsidR="004102BE" w:rsidRPr="004102BE" w:rsidRDefault="005B0029" w:rsidP="004102B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autoSpaceDE w:val="0"/>
        <w:autoSpaceDN w:val="0"/>
        <w:adjustRightInd w:val="0"/>
        <w:spacing w:after="120"/>
        <w:ind w:left="709" w:hanging="709"/>
        <w:rPr>
          <w:rFonts w:ascii="Calibri" w:hAnsi="Calibri" w:cs="Calibri"/>
          <w:sz w:val="22"/>
          <w:szCs w:val="22"/>
        </w:rPr>
      </w:pPr>
      <w:r>
        <w:rPr>
          <w:rFonts w:ascii="Calibri" w:hAnsi="Calibri" w:cs="Calibri"/>
          <w:sz w:val="22"/>
          <w:szCs w:val="22"/>
        </w:rPr>
        <w:t>23</w:t>
      </w:r>
      <w:r w:rsidR="004102BE" w:rsidRPr="004102BE">
        <w:rPr>
          <w:rFonts w:ascii="Calibri" w:hAnsi="Calibri" w:cs="Calibri"/>
          <w:sz w:val="22"/>
          <w:szCs w:val="22"/>
        </w:rPr>
        <w:t>(a):</w:t>
      </w:r>
      <w:r w:rsidR="004102BE" w:rsidRPr="004102BE">
        <w:rPr>
          <w:rFonts w:ascii="Calibri" w:hAnsi="Calibri" w:cs="Calibri"/>
          <w:sz w:val="22"/>
          <w:szCs w:val="22"/>
        </w:rPr>
        <w:tab/>
        <w:t>In order to improve claims management outcomes for the premium payer side of the scheme, SRCC should, as part of its improved regulatory framework for Comcare, develop and implement a detailed and structured program to regularly audit</w:t>
      </w:r>
      <w:r w:rsidR="003C1105">
        <w:rPr>
          <w:rFonts w:ascii="Calibri" w:hAnsi="Calibri" w:cs="Calibri"/>
          <w:sz w:val="22"/>
          <w:szCs w:val="22"/>
        </w:rPr>
        <w:t xml:space="preserve"> and improve </w:t>
      </w:r>
      <w:r w:rsidR="004102BE" w:rsidRPr="004102BE">
        <w:rPr>
          <w:rFonts w:ascii="Calibri" w:hAnsi="Calibri" w:cs="Calibri"/>
          <w:sz w:val="22"/>
          <w:szCs w:val="22"/>
        </w:rPr>
        <w:t>the claims management systems tool and claims management systems.</w:t>
      </w:r>
    </w:p>
    <w:p w:rsidR="004102BE" w:rsidRPr="004102BE" w:rsidRDefault="005B0029" w:rsidP="004102B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autoSpaceDE w:val="0"/>
        <w:autoSpaceDN w:val="0"/>
        <w:adjustRightInd w:val="0"/>
        <w:spacing w:after="120"/>
        <w:ind w:left="709" w:hanging="709"/>
        <w:rPr>
          <w:sz w:val="22"/>
          <w:szCs w:val="22"/>
        </w:rPr>
      </w:pPr>
      <w:r>
        <w:rPr>
          <w:rFonts w:ascii="Calibri" w:hAnsi="Calibri" w:cs="Calibri"/>
          <w:sz w:val="22"/>
          <w:szCs w:val="22"/>
        </w:rPr>
        <w:t>23</w:t>
      </w:r>
      <w:r w:rsidR="004102BE" w:rsidRPr="004102BE">
        <w:rPr>
          <w:rFonts w:ascii="Calibri" w:hAnsi="Calibri" w:cs="Calibri"/>
          <w:sz w:val="22"/>
          <w:szCs w:val="22"/>
        </w:rPr>
        <w:t>(b):</w:t>
      </w:r>
      <w:r w:rsidR="004102BE" w:rsidRPr="004102BE">
        <w:rPr>
          <w:rFonts w:ascii="Calibri" w:hAnsi="Calibri" w:cs="Calibri"/>
          <w:sz w:val="22"/>
          <w:szCs w:val="22"/>
        </w:rPr>
        <w:tab/>
        <w:t xml:space="preserve">Comcare </w:t>
      </w:r>
      <w:r w:rsidR="00E152F6">
        <w:rPr>
          <w:rFonts w:ascii="Calibri" w:hAnsi="Calibri" w:cs="Calibri"/>
          <w:sz w:val="22"/>
          <w:szCs w:val="22"/>
        </w:rPr>
        <w:t>implement</w:t>
      </w:r>
      <w:r w:rsidR="00E152F6" w:rsidRPr="004102BE">
        <w:rPr>
          <w:rFonts w:ascii="Calibri" w:hAnsi="Calibri" w:cs="Calibri"/>
          <w:sz w:val="22"/>
          <w:szCs w:val="22"/>
        </w:rPr>
        <w:t xml:space="preserve"> </w:t>
      </w:r>
      <w:r w:rsidR="004102BE" w:rsidRPr="004102BE">
        <w:rPr>
          <w:rFonts w:ascii="Calibri" w:hAnsi="Calibri" w:cs="Calibri"/>
          <w:sz w:val="22"/>
          <w:szCs w:val="22"/>
        </w:rPr>
        <w:t>a follow up claims management systems audit conducted by an external firm with experience in conducting similar audits with licensees.</w:t>
      </w:r>
    </w:p>
    <w:p w:rsidR="00744A57" w:rsidRDefault="00744A57" w:rsidP="000D7C1C">
      <w:pPr>
        <w:keepNext/>
        <w:keepLines/>
        <w:outlineLvl w:val="2"/>
        <w:rPr>
          <w:rFonts w:ascii="Arial Bold" w:eastAsiaTheme="majorEastAsia" w:hAnsi="Arial Bold" w:cs="Calibri"/>
          <w:bCs/>
          <w:caps/>
          <w:color w:val="1F497D" w:themeColor="text2"/>
          <w:sz w:val="23"/>
          <w:szCs w:val="23"/>
        </w:rPr>
      </w:pPr>
      <w:bookmarkStart w:id="544" w:name="_Toc341778034"/>
    </w:p>
    <w:p w:rsidR="004102BE" w:rsidRPr="004102BE" w:rsidRDefault="004102BE" w:rsidP="004102BE">
      <w:pPr>
        <w:keepNext/>
        <w:keepLines/>
        <w:spacing w:before="100" w:beforeAutospacing="1" w:after="100" w:afterAutospacing="1"/>
        <w:outlineLvl w:val="2"/>
        <w:rPr>
          <w:rFonts w:ascii="Arial Bold" w:eastAsiaTheme="majorEastAsia" w:hAnsi="Arial Bold" w:cs="Calibri"/>
          <w:bCs/>
          <w:caps/>
          <w:color w:val="1F497D" w:themeColor="text2"/>
          <w:sz w:val="23"/>
          <w:szCs w:val="23"/>
        </w:rPr>
      </w:pPr>
      <w:bookmarkStart w:id="545" w:name="_Toc342578407"/>
      <w:r w:rsidRPr="004102BE">
        <w:rPr>
          <w:rFonts w:ascii="Arial Bold" w:eastAsiaTheme="majorEastAsia" w:hAnsi="Arial Bold" w:cs="Calibri"/>
          <w:bCs/>
          <w:caps/>
          <w:color w:val="1F497D" w:themeColor="text2"/>
          <w:sz w:val="23"/>
          <w:szCs w:val="23"/>
        </w:rPr>
        <w:t>ongoing claims management</w:t>
      </w:r>
      <w:bookmarkEnd w:id="544"/>
      <w:bookmarkEnd w:id="545"/>
    </w:p>
    <w:p w:rsidR="004102BE" w:rsidRPr="004102BE" w:rsidRDefault="005B0029" w:rsidP="004102BE">
      <w:pPr>
        <w:numPr>
          <w:ilvl w:val="1"/>
          <w:numId w:val="31"/>
        </w:numPr>
        <w:spacing w:after="120"/>
        <w:ind w:left="709" w:hanging="709"/>
        <w:rPr>
          <w:rFonts w:ascii="Calibri" w:eastAsiaTheme="minorHAnsi" w:hAnsi="Calibri" w:cs="Calibri"/>
          <w:sz w:val="22"/>
          <w:lang w:eastAsia="en-US"/>
        </w:rPr>
      </w:pPr>
      <w:r>
        <w:rPr>
          <w:rFonts w:ascii="Calibri" w:eastAsiaTheme="minorHAnsi" w:hAnsi="Calibri" w:cs="Calibri"/>
          <w:sz w:val="22"/>
          <w:lang w:eastAsia="en-US"/>
        </w:rPr>
        <w:t>E</w:t>
      </w:r>
      <w:r w:rsidR="004102BE" w:rsidRPr="004102BE">
        <w:rPr>
          <w:rFonts w:ascii="Calibri" w:eastAsiaTheme="minorHAnsi" w:hAnsi="Calibri" w:cs="Calibri"/>
          <w:sz w:val="22"/>
          <w:lang w:eastAsia="en-US"/>
        </w:rPr>
        <w:t>ffective management of ongoing claims is difficult to measure at present.  While indicators exist to measure most aspects of the scheme, an understanding of how long it takes Comcare to respond to ongoing claims issues such as managing incoming correspondence, receipt of new medical certificates and other information that contributes to the claims management process cannot be obtained by scrutinising current performance indicators.</w:t>
      </w:r>
    </w:p>
    <w:p w:rsidR="004102BE" w:rsidRPr="004102BE" w:rsidRDefault="006119B7" w:rsidP="004102BE">
      <w:pPr>
        <w:numPr>
          <w:ilvl w:val="1"/>
          <w:numId w:val="31"/>
        </w:numPr>
        <w:spacing w:after="120"/>
        <w:ind w:left="709" w:hanging="709"/>
        <w:rPr>
          <w:rFonts w:ascii="Calibri" w:eastAsiaTheme="minorHAnsi" w:hAnsi="Calibri" w:cs="Calibri"/>
          <w:sz w:val="22"/>
          <w:lang w:eastAsia="en-US"/>
        </w:rPr>
      </w:pPr>
      <w:r>
        <w:rPr>
          <w:rFonts w:ascii="Calibri" w:eastAsiaTheme="minorHAnsi" w:hAnsi="Calibri" w:cs="Calibri"/>
          <w:sz w:val="22"/>
          <w:lang w:eastAsia="en-US"/>
        </w:rPr>
        <w:t>Pre</w:t>
      </w:r>
      <w:r w:rsidR="004102BE" w:rsidRPr="004102BE">
        <w:rPr>
          <w:rFonts w:ascii="Calibri" w:eastAsiaTheme="minorHAnsi" w:hAnsi="Calibri" w:cs="Calibri"/>
          <w:sz w:val="22"/>
          <w:lang w:eastAsia="en-US"/>
        </w:rPr>
        <w:t xml:space="preserve">-existing medical conditions and other secondary conditions require greater attention under the scheme. While the SRC Act defines an injury to include an aggravation of a pre-existing condition, the real challenge is determining whether there is enough evidence to accept liability for an aggravation of a pre-existing medical condition and when entitlement under the SRC Act should </w:t>
      </w:r>
      <w:r w:rsidR="005B0029">
        <w:rPr>
          <w:rFonts w:ascii="Calibri" w:eastAsiaTheme="minorHAnsi" w:hAnsi="Calibri" w:cs="Calibri"/>
          <w:sz w:val="22"/>
          <w:lang w:eastAsia="en-US"/>
        </w:rPr>
        <w:t>stop</w:t>
      </w:r>
      <w:r w:rsidR="005B0029" w:rsidRPr="004102BE">
        <w:rPr>
          <w:rFonts w:ascii="Calibri" w:eastAsiaTheme="minorHAnsi" w:hAnsi="Calibri" w:cs="Calibri"/>
          <w:sz w:val="22"/>
          <w:lang w:eastAsia="en-US"/>
        </w:rPr>
        <w:t xml:space="preserve"> </w:t>
      </w:r>
      <w:r w:rsidR="004102BE" w:rsidRPr="004102BE">
        <w:rPr>
          <w:rFonts w:ascii="Calibri" w:eastAsiaTheme="minorHAnsi" w:hAnsi="Calibri" w:cs="Calibri"/>
          <w:sz w:val="22"/>
          <w:lang w:eastAsia="en-US"/>
        </w:rPr>
        <w:t>as a result of the cessation of an aggravation.</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During consultation, premium payer stakeholders expressed concern that Comcare continued to pay for aggravations of pre-existing medical conditions without consideration of medical information available, suggesting that any work-related aggravation had ceased. Comcare on the other hand has suggested that it is often difficult to separate an aggravation from an ongoing pre-existing medical condition in order to cease entitlements.</w:t>
      </w:r>
    </w:p>
    <w:p w:rsidR="004102BE" w:rsidRPr="004102BE" w:rsidRDefault="004102BE" w:rsidP="004102BE">
      <w:pPr>
        <w:numPr>
          <w:ilvl w:val="1"/>
          <w:numId w:val="31"/>
        </w:numPr>
        <w:spacing w:after="120"/>
        <w:ind w:left="709" w:hanging="709"/>
        <w:rPr>
          <w:rFonts w:asciiTheme="minorHAnsi" w:eastAsiaTheme="minorHAnsi" w:hAnsiTheme="minorHAnsi" w:cstheme="minorBidi"/>
          <w:sz w:val="22"/>
          <w:szCs w:val="22"/>
          <w:lang w:eastAsia="en-US"/>
        </w:rPr>
      </w:pPr>
      <w:r w:rsidRPr="004102BE">
        <w:rPr>
          <w:rFonts w:ascii="Calibri" w:eastAsiaTheme="minorHAnsi" w:hAnsi="Calibri" w:cs="Calibri"/>
          <w:sz w:val="22"/>
          <w:lang w:eastAsia="en-US"/>
        </w:rPr>
        <w:t xml:space="preserve">Similar concerns were expressed by stakeholders about the acceptance of secondary conditions as a result of a work-related injury. An example is where a worker who suffers a physical injury subsequently claims to have suffered a functional overlay/secondary psychiatric condition as a result of that injury. </w:t>
      </w:r>
      <w:r w:rsidR="00EB104F">
        <w:rPr>
          <w:rFonts w:ascii="Calibri" w:eastAsiaTheme="minorHAnsi" w:hAnsi="Calibri" w:cs="Calibri"/>
          <w:sz w:val="22"/>
          <w:lang w:eastAsia="en-US"/>
        </w:rPr>
        <w:t>S</w:t>
      </w:r>
      <w:r w:rsidRPr="004102BE">
        <w:rPr>
          <w:rFonts w:ascii="Calibri" w:eastAsiaTheme="minorHAnsi" w:hAnsi="Calibri" w:cs="Calibri"/>
          <w:sz w:val="22"/>
          <w:lang w:eastAsia="en-US"/>
        </w:rPr>
        <w:t xml:space="preserve">ome stakeholders </w:t>
      </w:r>
      <w:r w:rsidR="00EB104F">
        <w:rPr>
          <w:rFonts w:ascii="Calibri" w:eastAsiaTheme="minorHAnsi" w:hAnsi="Calibri" w:cs="Calibri"/>
          <w:sz w:val="22"/>
          <w:lang w:eastAsia="en-US"/>
        </w:rPr>
        <w:t xml:space="preserve">suggested </w:t>
      </w:r>
      <w:r w:rsidRPr="004102BE">
        <w:rPr>
          <w:rFonts w:ascii="Calibri" w:eastAsiaTheme="minorHAnsi" w:hAnsi="Calibri" w:cs="Calibri"/>
          <w:sz w:val="22"/>
          <w:lang w:eastAsia="en-US"/>
        </w:rPr>
        <w:t xml:space="preserve">that Comcare was accepting such secondary conditions on an open-ended basis and that </w:t>
      </w:r>
      <w:r w:rsidR="00EB104F">
        <w:rPr>
          <w:rFonts w:ascii="Calibri" w:eastAsiaTheme="minorHAnsi" w:hAnsi="Calibri" w:cs="Calibri"/>
          <w:sz w:val="22"/>
          <w:lang w:eastAsia="en-US"/>
        </w:rPr>
        <w:t>they</w:t>
      </w:r>
      <w:r w:rsidRPr="004102BE">
        <w:rPr>
          <w:rFonts w:ascii="Calibri" w:eastAsiaTheme="minorHAnsi" w:hAnsi="Calibri" w:cs="Calibri"/>
          <w:sz w:val="22"/>
          <w:lang w:eastAsia="en-US"/>
        </w:rPr>
        <w:t xml:space="preserve"> were not subject to the same level of assessment as the primary condition.</w:t>
      </w:r>
    </w:p>
    <w:p w:rsidR="004102BE" w:rsidRPr="004102BE" w:rsidRDefault="004102BE" w:rsidP="004102BE">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Theme="minorHAnsi" w:eastAsiaTheme="minorHAnsi" w:hAnsiTheme="minorHAnsi" w:cstheme="minorBidi"/>
          <w:sz w:val="22"/>
          <w:szCs w:val="22"/>
          <w:lang w:eastAsia="en-US"/>
        </w:rPr>
      </w:pPr>
      <w:r w:rsidRPr="004102BE">
        <w:rPr>
          <w:rFonts w:ascii="Calibri" w:eastAsiaTheme="minorHAnsi" w:hAnsi="Calibri" w:cs="Calibri"/>
          <w:b/>
          <w:sz w:val="22"/>
          <w:lang w:eastAsia="en-US"/>
        </w:rPr>
        <w:lastRenderedPageBreak/>
        <w:t xml:space="preserve">Recommendation </w:t>
      </w:r>
      <w:r w:rsidR="00EB104F" w:rsidRPr="004102BE">
        <w:rPr>
          <w:rFonts w:ascii="Calibri" w:eastAsiaTheme="minorHAnsi" w:hAnsi="Calibri" w:cs="Calibri"/>
          <w:b/>
          <w:sz w:val="22"/>
          <w:lang w:eastAsia="en-US"/>
        </w:rPr>
        <w:t>2</w:t>
      </w:r>
      <w:r w:rsidR="00EB104F">
        <w:rPr>
          <w:rFonts w:ascii="Calibri" w:eastAsiaTheme="minorHAnsi" w:hAnsi="Calibri" w:cs="Calibri"/>
          <w:b/>
          <w:sz w:val="22"/>
          <w:lang w:eastAsia="en-US"/>
        </w:rPr>
        <w:t>4</w:t>
      </w:r>
    </w:p>
    <w:p w:rsidR="004102BE" w:rsidRPr="004102BE" w:rsidRDefault="004102BE" w:rsidP="004102BE">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Calibri" w:hAnsi="Calibri" w:cs="Calibri"/>
          <w:sz w:val="22"/>
          <w:szCs w:val="22"/>
        </w:rPr>
      </w:pPr>
      <w:r w:rsidRPr="004102BE">
        <w:rPr>
          <w:rFonts w:ascii="Calibri" w:hAnsi="Calibri" w:cs="Calibri"/>
          <w:sz w:val="22"/>
          <w:szCs w:val="22"/>
        </w:rPr>
        <w:t>Comcare commission an independent performance audit of its ongoing claims management, focussing on:</w:t>
      </w:r>
    </w:p>
    <w:p w:rsidR="004102BE" w:rsidRPr="004102BE" w:rsidRDefault="004102BE" w:rsidP="004102BE">
      <w:pPr>
        <w:keepNext/>
        <w:keepLines/>
        <w:numPr>
          <w:ilvl w:val="0"/>
          <w:numId w:val="3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Calibri" w:eastAsiaTheme="minorHAnsi" w:hAnsi="Calibri" w:cs="Calibri"/>
          <w:sz w:val="22"/>
          <w:szCs w:val="22"/>
          <w:lang w:eastAsia="en-US"/>
        </w:rPr>
      </w:pPr>
      <w:r w:rsidRPr="004102BE">
        <w:rPr>
          <w:rFonts w:ascii="Calibri" w:eastAsiaTheme="minorHAnsi" w:hAnsi="Calibri" w:cs="Calibri"/>
          <w:sz w:val="22"/>
          <w:szCs w:val="22"/>
          <w:lang w:eastAsia="en-US"/>
        </w:rPr>
        <w:t>aggravations of pre-existing conditions; and</w:t>
      </w:r>
    </w:p>
    <w:p w:rsidR="004102BE" w:rsidRPr="004102BE" w:rsidRDefault="004102BE" w:rsidP="004102BE">
      <w:pPr>
        <w:keepNext/>
        <w:keepLines/>
        <w:numPr>
          <w:ilvl w:val="0"/>
          <w:numId w:val="3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Calibri" w:eastAsiaTheme="minorHAnsi" w:hAnsi="Calibri" w:cs="Calibri"/>
          <w:sz w:val="22"/>
          <w:szCs w:val="22"/>
          <w:lang w:eastAsia="en-US"/>
        </w:rPr>
      </w:pPr>
      <w:proofErr w:type="gramStart"/>
      <w:r w:rsidRPr="004102BE">
        <w:rPr>
          <w:rFonts w:ascii="Calibri" w:eastAsiaTheme="minorHAnsi" w:hAnsi="Calibri" w:cs="Calibri"/>
          <w:sz w:val="22"/>
          <w:szCs w:val="22"/>
          <w:lang w:eastAsia="en-US"/>
        </w:rPr>
        <w:t>secondary</w:t>
      </w:r>
      <w:proofErr w:type="gramEnd"/>
      <w:r w:rsidRPr="004102BE">
        <w:rPr>
          <w:rFonts w:ascii="Calibri" w:eastAsiaTheme="minorHAnsi" w:hAnsi="Calibri" w:cs="Calibri"/>
          <w:sz w:val="22"/>
          <w:szCs w:val="22"/>
          <w:lang w:eastAsia="en-US"/>
        </w:rPr>
        <w:t xml:space="preserve"> medical conditions and the like.</w:t>
      </w:r>
    </w:p>
    <w:p w:rsidR="004102BE" w:rsidRPr="004102BE" w:rsidRDefault="004102BE" w:rsidP="004102BE">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Calibri" w:hAnsi="Calibri" w:cs="Calibri"/>
          <w:sz w:val="22"/>
          <w:szCs w:val="22"/>
        </w:rPr>
      </w:pPr>
      <w:r w:rsidRPr="004102BE">
        <w:rPr>
          <w:rFonts w:ascii="Calibri" w:hAnsi="Calibri" w:cs="Calibri"/>
          <w:sz w:val="22"/>
          <w:szCs w:val="22"/>
        </w:rPr>
        <w:t>This audit should contain an examination of better practice in this area.</w:t>
      </w:r>
    </w:p>
    <w:p w:rsidR="004102BE" w:rsidRPr="004102BE" w:rsidRDefault="004102BE" w:rsidP="004102BE">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Calibri" w:hAnsi="Calibri" w:cs="Calibri"/>
          <w:sz w:val="22"/>
          <w:szCs w:val="22"/>
        </w:rPr>
      </w:pPr>
      <w:r w:rsidRPr="004102BE">
        <w:rPr>
          <w:rFonts w:ascii="Calibri" w:hAnsi="Calibri" w:cs="Calibri"/>
          <w:sz w:val="22"/>
          <w:szCs w:val="22"/>
        </w:rPr>
        <w:t>Comcare should develop KPIs that monitor performance in the ongoing management of claims.</w:t>
      </w:r>
    </w:p>
    <w:p w:rsidR="00744A57" w:rsidRDefault="00744A57" w:rsidP="000D7C1C">
      <w:pPr>
        <w:keepNext/>
        <w:keepLines/>
        <w:outlineLvl w:val="2"/>
        <w:rPr>
          <w:rFonts w:ascii="Arial Bold" w:eastAsiaTheme="majorEastAsia" w:hAnsi="Arial Bold" w:cs="Calibri"/>
          <w:bCs/>
          <w:caps/>
          <w:color w:val="1F497D" w:themeColor="text2"/>
          <w:sz w:val="23"/>
          <w:szCs w:val="23"/>
        </w:rPr>
      </w:pPr>
      <w:bookmarkStart w:id="546" w:name="_Toc341778035"/>
    </w:p>
    <w:p w:rsidR="004102BE" w:rsidRPr="004102BE" w:rsidRDefault="004102BE" w:rsidP="004102BE">
      <w:pPr>
        <w:keepNext/>
        <w:keepLines/>
        <w:spacing w:before="100" w:beforeAutospacing="1" w:after="100" w:afterAutospacing="1"/>
        <w:outlineLvl w:val="2"/>
        <w:rPr>
          <w:rFonts w:ascii="Arial Bold" w:eastAsiaTheme="majorEastAsia" w:hAnsi="Arial Bold" w:cs="Calibri"/>
          <w:bCs/>
          <w:caps/>
          <w:color w:val="1F497D" w:themeColor="text2"/>
          <w:sz w:val="23"/>
          <w:szCs w:val="23"/>
        </w:rPr>
      </w:pPr>
      <w:bookmarkStart w:id="547" w:name="_Toc342578408"/>
      <w:r w:rsidRPr="004102BE">
        <w:rPr>
          <w:rFonts w:ascii="Arial Bold" w:eastAsiaTheme="majorEastAsia" w:hAnsi="Arial Bold" w:cs="Calibri"/>
          <w:bCs/>
          <w:caps/>
          <w:color w:val="1F497D" w:themeColor="text2"/>
          <w:sz w:val="23"/>
          <w:szCs w:val="23"/>
        </w:rPr>
        <w:t>Incapacity payments</w:t>
      </w:r>
      <w:bookmarkEnd w:id="546"/>
      <w:bookmarkEnd w:id="547"/>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Incapacity payments are the single biggest driver of the scheme’s claims payments. As such, it is vital they are calculated correctly to minimise errors and/or overpayments.</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The</w:t>
      </w:r>
      <w:r w:rsidR="001811D8">
        <w:rPr>
          <w:rFonts w:ascii="Calibri" w:eastAsiaTheme="minorHAnsi" w:hAnsi="Calibri" w:cs="Calibri"/>
          <w:sz w:val="22"/>
          <w:lang w:eastAsia="en-US"/>
        </w:rPr>
        <w:t xml:space="preserve"> SRC Act</w:t>
      </w:r>
      <w:r w:rsidRPr="004102BE">
        <w:rPr>
          <w:rFonts w:ascii="Calibri" w:eastAsiaTheme="minorHAnsi" w:hAnsi="Calibri" w:cs="Calibri"/>
          <w:sz w:val="22"/>
          <w:lang w:eastAsia="en-US"/>
        </w:rPr>
        <w:t xml:space="preserve"> incapacity provisions are regarded as difficult to interpret and apply and stakeholders, especially the licensees, </w:t>
      </w:r>
      <w:r w:rsidR="001811D8">
        <w:rPr>
          <w:rFonts w:ascii="Calibri" w:eastAsiaTheme="minorHAnsi" w:hAnsi="Calibri" w:cs="Calibri"/>
          <w:sz w:val="22"/>
          <w:lang w:eastAsia="en-US"/>
        </w:rPr>
        <w:t>find</w:t>
      </w:r>
      <w:r w:rsidRPr="004102BE">
        <w:rPr>
          <w:rFonts w:ascii="Calibri" w:eastAsiaTheme="minorHAnsi" w:hAnsi="Calibri" w:cs="Calibri"/>
          <w:sz w:val="22"/>
          <w:lang w:eastAsia="en-US"/>
        </w:rPr>
        <w:t xml:space="preserve"> it difficult applying the current provisions to their specific circumstances. </w:t>
      </w:r>
      <w:r w:rsidR="001811D8">
        <w:rPr>
          <w:rFonts w:ascii="Calibri" w:eastAsiaTheme="minorHAnsi" w:hAnsi="Calibri" w:cs="Calibri"/>
          <w:sz w:val="22"/>
          <w:lang w:eastAsia="en-US"/>
        </w:rPr>
        <w:t>P</w:t>
      </w:r>
      <w:r w:rsidRPr="004102BE">
        <w:rPr>
          <w:rFonts w:ascii="Calibri" w:eastAsiaTheme="minorHAnsi" w:hAnsi="Calibri" w:cs="Calibri"/>
          <w:sz w:val="22"/>
          <w:lang w:eastAsia="en-US"/>
        </w:rPr>
        <w:t xml:space="preserve">remium payers </w:t>
      </w:r>
      <w:r w:rsidR="001811D8">
        <w:rPr>
          <w:rFonts w:ascii="Calibri" w:eastAsiaTheme="minorHAnsi" w:hAnsi="Calibri" w:cs="Calibri"/>
          <w:sz w:val="22"/>
          <w:lang w:eastAsia="en-US"/>
        </w:rPr>
        <w:t xml:space="preserve">also </w:t>
      </w:r>
      <w:r w:rsidRPr="004102BE">
        <w:rPr>
          <w:rFonts w:ascii="Calibri" w:eastAsiaTheme="minorHAnsi" w:hAnsi="Calibri" w:cs="Calibri"/>
          <w:sz w:val="22"/>
          <w:lang w:eastAsia="en-US"/>
        </w:rPr>
        <w:t xml:space="preserve">expressed concern </w:t>
      </w:r>
      <w:r w:rsidR="001811D8">
        <w:rPr>
          <w:rFonts w:ascii="Calibri" w:eastAsiaTheme="minorHAnsi" w:hAnsi="Calibri" w:cs="Calibri"/>
          <w:sz w:val="22"/>
          <w:lang w:eastAsia="en-US"/>
        </w:rPr>
        <w:t>about</w:t>
      </w:r>
      <w:r w:rsidRPr="004102BE">
        <w:rPr>
          <w:rFonts w:ascii="Calibri" w:eastAsiaTheme="minorHAnsi" w:hAnsi="Calibri" w:cs="Calibri"/>
          <w:sz w:val="22"/>
          <w:lang w:eastAsia="en-US"/>
        </w:rPr>
        <w:t xml:space="preserve"> Comcare </w:t>
      </w:r>
      <w:r w:rsidR="001811D8" w:rsidRPr="004102BE">
        <w:rPr>
          <w:rFonts w:ascii="Calibri" w:eastAsiaTheme="minorHAnsi" w:hAnsi="Calibri" w:cs="Calibri"/>
          <w:sz w:val="22"/>
          <w:lang w:eastAsia="en-US"/>
        </w:rPr>
        <w:t>manag</w:t>
      </w:r>
      <w:r w:rsidR="001811D8">
        <w:rPr>
          <w:rFonts w:ascii="Calibri" w:eastAsiaTheme="minorHAnsi" w:hAnsi="Calibri" w:cs="Calibri"/>
          <w:sz w:val="22"/>
          <w:lang w:eastAsia="en-US"/>
        </w:rPr>
        <w:t>ing</w:t>
      </w:r>
      <w:r w:rsidR="001811D8" w:rsidRPr="004102BE">
        <w:rPr>
          <w:rFonts w:ascii="Calibri" w:eastAsiaTheme="minorHAnsi" w:hAnsi="Calibri" w:cs="Calibri"/>
          <w:sz w:val="22"/>
          <w:lang w:eastAsia="en-US"/>
        </w:rPr>
        <w:t xml:space="preserve"> </w:t>
      </w:r>
      <w:r w:rsidRPr="004102BE">
        <w:rPr>
          <w:rFonts w:ascii="Calibri" w:eastAsiaTheme="minorHAnsi" w:hAnsi="Calibri" w:cs="Calibri"/>
          <w:sz w:val="22"/>
          <w:lang w:eastAsia="en-US"/>
        </w:rPr>
        <w:t>the processing of incapacity payments effectively.</w:t>
      </w:r>
    </w:p>
    <w:p w:rsidR="004102BE" w:rsidRPr="004102BE" w:rsidRDefault="004102BE" w:rsidP="004102BE">
      <w:pPr>
        <w:numPr>
          <w:ilvl w:val="1"/>
          <w:numId w:val="31"/>
        </w:numPr>
        <w:spacing w:after="120"/>
        <w:ind w:left="709" w:hanging="709"/>
        <w:rPr>
          <w:rFonts w:ascii="Calibri" w:eastAsiaTheme="minorHAnsi" w:hAnsi="Calibri" w:cs="Calibri"/>
          <w:sz w:val="22"/>
          <w:lang w:eastAsia="en-US"/>
        </w:rPr>
      </w:pPr>
      <w:r w:rsidRPr="004102BE">
        <w:rPr>
          <w:rFonts w:ascii="Calibri" w:eastAsiaTheme="minorHAnsi" w:hAnsi="Calibri" w:cs="Calibri"/>
          <w:sz w:val="22"/>
          <w:lang w:eastAsia="en-US"/>
        </w:rPr>
        <w:t xml:space="preserve">Management of the incapacity provisions is an ongoing challenge to the scheme. Given its complexity </w:t>
      </w:r>
      <w:r w:rsidR="00797CEF" w:rsidRPr="004102BE">
        <w:rPr>
          <w:rFonts w:ascii="Calibri" w:eastAsiaTheme="minorHAnsi" w:hAnsi="Calibri" w:cs="Calibri"/>
          <w:sz w:val="22"/>
          <w:lang w:eastAsia="en-US"/>
        </w:rPr>
        <w:t>and difficulties</w:t>
      </w:r>
      <w:r w:rsidRPr="004102BE">
        <w:rPr>
          <w:rFonts w:ascii="Calibri" w:eastAsiaTheme="minorHAnsi" w:hAnsi="Calibri" w:cs="Calibri"/>
          <w:sz w:val="22"/>
          <w:lang w:eastAsia="en-US"/>
        </w:rPr>
        <w:t xml:space="preserve"> in application, it is the subject of numerous complaints and disputes and leads to overpayments to injured employees. While these can be partly attributed to the nature of the legislation, they are also partly due to the need for Comcare to improve its overall management systems for the processing of incapacity</w:t>
      </w:r>
      <w:r w:rsidR="006119B7">
        <w:rPr>
          <w:rFonts w:ascii="Calibri" w:eastAsiaTheme="minorHAnsi" w:hAnsi="Calibri" w:cs="Calibri"/>
          <w:sz w:val="22"/>
          <w:lang w:eastAsia="en-US"/>
        </w:rPr>
        <w:t xml:space="preserve"> claims</w:t>
      </w:r>
      <w:r w:rsidRPr="004102BE">
        <w:rPr>
          <w:rFonts w:ascii="Calibri" w:eastAsiaTheme="minorHAnsi" w:hAnsi="Calibri" w:cs="Calibri"/>
          <w:sz w:val="22"/>
          <w:lang w:eastAsia="en-US"/>
        </w:rPr>
        <w:t>.</w:t>
      </w:r>
    </w:p>
    <w:p w:rsidR="004102BE" w:rsidRPr="00831F68" w:rsidRDefault="001811D8" w:rsidP="004102BE">
      <w:pPr>
        <w:numPr>
          <w:ilvl w:val="1"/>
          <w:numId w:val="31"/>
        </w:numPr>
        <w:spacing w:after="120"/>
        <w:ind w:left="709" w:hanging="709"/>
        <w:rPr>
          <w:rFonts w:asciiTheme="minorHAnsi" w:eastAsiaTheme="minorHAnsi" w:hAnsiTheme="minorHAnsi" w:cstheme="minorBidi"/>
          <w:iCs/>
          <w:sz w:val="22"/>
          <w:szCs w:val="22"/>
          <w:lang w:eastAsia="en-US"/>
        </w:rPr>
      </w:pPr>
      <w:r>
        <w:rPr>
          <w:rFonts w:ascii="Calibri" w:eastAsiaTheme="minorHAnsi" w:hAnsi="Calibri" w:cs="Calibri"/>
          <w:sz w:val="22"/>
          <w:lang w:eastAsia="en-US"/>
        </w:rPr>
        <w:t>T</w:t>
      </w:r>
      <w:r w:rsidR="004102BE" w:rsidRPr="004102BE">
        <w:rPr>
          <w:rFonts w:ascii="Calibri" w:eastAsiaTheme="minorHAnsi" w:hAnsi="Calibri" w:cs="Calibri"/>
          <w:sz w:val="22"/>
          <w:lang w:eastAsia="en-US"/>
        </w:rPr>
        <w:t xml:space="preserve">he Hanks Review will consider the </w:t>
      </w:r>
      <w:r>
        <w:rPr>
          <w:rFonts w:ascii="Calibri" w:eastAsiaTheme="minorHAnsi" w:hAnsi="Calibri" w:cs="Calibri"/>
          <w:sz w:val="22"/>
          <w:lang w:eastAsia="en-US"/>
        </w:rPr>
        <w:t xml:space="preserve">SRC Act </w:t>
      </w:r>
      <w:r w:rsidR="004102BE" w:rsidRPr="004102BE">
        <w:rPr>
          <w:rFonts w:ascii="Calibri" w:eastAsiaTheme="minorHAnsi" w:hAnsi="Calibri" w:cs="Calibri"/>
          <w:sz w:val="22"/>
          <w:lang w:eastAsia="en-US"/>
        </w:rPr>
        <w:t>incapacity provisions</w:t>
      </w:r>
      <w:r w:rsidR="008432CE">
        <w:rPr>
          <w:rFonts w:ascii="Calibri" w:eastAsiaTheme="minorHAnsi" w:hAnsi="Calibri" w:cs="Calibri"/>
          <w:sz w:val="22"/>
          <w:lang w:eastAsia="en-US"/>
        </w:rPr>
        <w:t>,</w:t>
      </w:r>
      <w:r w:rsidR="004102BE" w:rsidRPr="004102BE">
        <w:rPr>
          <w:rFonts w:ascii="Calibri" w:eastAsiaTheme="minorHAnsi" w:hAnsi="Calibri" w:cs="Calibri"/>
          <w:sz w:val="22"/>
          <w:lang w:eastAsia="en-US"/>
        </w:rPr>
        <w:t xml:space="preserve"> </w:t>
      </w:r>
      <w:r>
        <w:rPr>
          <w:rFonts w:ascii="Calibri" w:eastAsiaTheme="minorHAnsi" w:hAnsi="Calibri" w:cs="Calibri"/>
          <w:sz w:val="22"/>
          <w:lang w:eastAsia="en-US"/>
        </w:rPr>
        <w:t>but</w:t>
      </w:r>
      <w:r w:rsidR="004102BE" w:rsidRPr="004102BE">
        <w:rPr>
          <w:rFonts w:ascii="Calibri" w:eastAsiaTheme="minorHAnsi" w:hAnsi="Calibri" w:cs="Calibri"/>
          <w:sz w:val="22"/>
          <w:lang w:eastAsia="en-US"/>
        </w:rPr>
        <w:t xml:space="preserve"> it is important that Comcare has robust management systems to ensure incapacity calculations are being made in line with legislative provisions to avoid incorrect payments being made.</w:t>
      </w:r>
    </w:p>
    <w:p w:rsidR="004102BE" w:rsidRPr="004102BE" w:rsidRDefault="004102BE" w:rsidP="004102B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Calibri" w:eastAsiaTheme="minorHAnsi" w:hAnsi="Calibri" w:cs="Calibri"/>
          <w:sz w:val="22"/>
          <w:lang w:eastAsia="en-US"/>
        </w:rPr>
      </w:pPr>
      <w:r w:rsidRPr="004102BE">
        <w:rPr>
          <w:rFonts w:ascii="Calibri" w:eastAsiaTheme="minorHAnsi" w:hAnsi="Calibri" w:cs="Calibri"/>
          <w:b/>
          <w:sz w:val="22"/>
          <w:lang w:eastAsia="en-US"/>
        </w:rPr>
        <w:t xml:space="preserve">Recommendation </w:t>
      </w:r>
      <w:r w:rsidR="001811D8" w:rsidRPr="004102BE">
        <w:rPr>
          <w:rFonts w:ascii="Calibri" w:eastAsiaTheme="minorHAnsi" w:hAnsi="Calibri" w:cs="Calibri"/>
          <w:b/>
          <w:sz w:val="22"/>
          <w:lang w:eastAsia="en-US"/>
        </w:rPr>
        <w:t>2</w:t>
      </w:r>
      <w:r w:rsidR="001811D8">
        <w:rPr>
          <w:rFonts w:ascii="Calibri" w:eastAsiaTheme="minorHAnsi" w:hAnsi="Calibri" w:cs="Calibri"/>
          <w:b/>
          <w:sz w:val="22"/>
          <w:lang w:eastAsia="en-US"/>
        </w:rPr>
        <w:t>5</w:t>
      </w:r>
    </w:p>
    <w:p w:rsidR="004102BE" w:rsidRPr="004102BE" w:rsidRDefault="004102BE" w:rsidP="004102B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Calibri" w:hAnsi="Calibri" w:cs="Calibri"/>
          <w:sz w:val="22"/>
          <w:szCs w:val="22"/>
        </w:rPr>
      </w:pPr>
      <w:r w:rsidRPr="004102BE">
        <w:rPr>
          <w:rFonts w:ascii="Calibri" w:hAnsi="Calibri" w:cs="Calibri"/>
          <w:sz w:val="22"/>
          <w:szCs w:val="22"/>
        </w:rPr>
        <w:t>Comcare commission an independent performance audit of its calculation of incapacity payments, in particular:</w:t>
      </w:r>
    </w:p>
    <w:p w:rsidR="004102BE" w:rsidRPr="004102BE" w:rsidRDefault="004102BE" w:rsidP="004102BE">
      <w:pPr>
        <w:numPr>
          <w:ilvl w:val="0"/>
          <w:numId w:val="3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Calibri" w:eastAsiaTheme="minorHAnsi" w:hAnsi="Calibri" w:cs="Calibri"/>
          <w:sz w:val="22"/>
          <w:szCs w:val="22"/>
          <w:lang w:eastAsia="en-US"/>
        </w:rPr>
      </w:pPr>
      <w:r w:rsidRPr="004102BE">
        <w:rPr>
          <w:rFonts w:ascii="Calibri" w:eastAsiaTheme="minorHAnsi" w:hAnsi="Calibri" w:cs="Calibri"/>
          <w:sz w:val="22"/>
          <w:szCs w:val="22"/>
          <w:lang w:eastAsia="en-US"/>
        </w:rPr>
        <w:t>initial calculations;</w:t>
      </w:r>
    </w:p>
    <w:p w:rsidR="004102BE" w:rsidRPr="004102BE" w:rsidRDefault="004102BE" w:rsidP="004102BE">
      <w:pPr>
        <w:numPr>
          <w:ilvl w:val="0"/>
          <w:numId w:val="3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Calibri" w:eastAsiaTheme="minorHAnsi" w:hAnsi="Calibri" w:cs="Calibri"/>
          <w:sz w:val="22"/>
          <w:szCs w:val="22"/>
          <w:lang w:eastAsia="en-US"/>
        </w:rPr>
      </w:pPr>
      <w:r w:rsidRPr="004102BE">
        <w:rPr>
          <w:rFonts w:ascii="Calibri" w:eastAsiaTheme="minorHAnsi" w:hAnsi="Calibri" w:cs="Calibri"/>
          <w:sz w:val="22"/>
          <w:szCs w:val="22"/>
          <w:lang w:eastAsia="en-US"/>
        </w:rPr>
        <w:t>calculations made under s20, 21, 21A; and</w:t>
      </w:r>
    </w:p>
    <w:p w:rsidR="004102BE" w:rsidRPr="004102BE" w:rsidRDefault="004102BE" w:rsidP="004102BE">
      <w:pPr>
        <w:numPr>
          <w:ilvl w:val="0"/>
          <w:numId w:val="3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Calibri" w:eastAsiaTheme="minorHAnsi" w:hAnsi="Calibri" w:cs="Calibri"/>
          <w:sz w:val="22"/>
          <w:szCs w:val="22"/>
          <w:lang w:eastAsia="en-US"/>
        </w:rPr>
      </w:pPr>
      <w:proofErr w:type="gramStart"/>
      <w:r w:rsidRPr="004102BE">
        <w:rPr>
          <w:rFonts w:ascii="Calibri" w:eastAsiaTheme="minorHAnsi" w:hAnsi="Calibri" w:cs="Calibri"/>
          <w:sz w:val="22"/>
          <w:szCs w:val="22"/>
          <w:lang w:eastAsia="en-US"/>
        </w:rPr>
        <w:t>supporting</w:t>
      </w:r>
      <w:proofErr w:type="gramEnd"/>
      <w:r w:rsidRPr="004102BE">
        <w:rPr>
          <w:rFonts w:ascii="Calibri" w:eastAsiaTheme="minorHAnsi" w:hAnsi="Calibri" w:cs="Calibri"/>
          <w:sz w:val="22"/>
          <w:szCs w:val="22"/>
          <w:lang w:eastAsia="en-US"/>
        </w:rPr>
        <w:t xml:space="preserve"> processes such as </w:t>
      </w:r>
      <w:r w:rsidR="00920A03">
        <w:rPr>
          <w:rFonts w:ascii="Calibri" w:eastAsiaTheme="minorHAnsi" w:hAnsi="Calibri" w:cs="Calibri"/>
          <w:sz w:val="22"/>
          <w:szCs w:val="22"/>
          <w:lang w:eastAsia="en-US"/>
        </w:rPr>
        <w:t>Section</w:t>
      </w:r>
      <w:r w:rsidRPr="004102BE">
        <w:rPr>
          <w:rFonts w:ascii="Calibri" w:eastAsiaTheme="minorHAnsi" w:hAnsi="Calibri" w:cs="Calibri"/>
          <w:sz w:val="22"/>
          <w:szCs w:val="22"/>
          <w:lang w:eastAsia="en-US"/>
        </w:rPr>
        <w:t xml:space="preserve"> 8 determinations and notifications under s114B.</w:t>
      </w:r>
    </w:p>
    <w:p w:rsidR="004102BE" w:rsidRPr="004102BE" w:rsidRDefault="004102BE" w:rsidP="004102B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Calibri" w:hAnsi="Calibri" w:cs="Calibri"/>
          <w:sz w:val="22"/>
          <w:szCs w:val="22"/>
        </w:rPr>
      </w:pPr>
      <w:r w:rsidRPr="004102BE">
        <w:rPr>
          <w:rFonts w:ascii="Calibri" w:hAnsi="Calibri" w:cs="Calibri"/>
          <w:sz w:val="22"/>
          <w:szCs w:val="22"/>
        </w:rPr>
        <w:t>This audit should also contain an examination of better practice in this area.</w:t>
      </w:r>
    </w:p>
    <w:p w:rsidR="00CA434F" w:rsidRDefault="00CA434F" w:rsidP="003678BA">
      <w:pPr>
        <w:spacing w:after="120"/>
        <w:rPr>
          <w:rFonts w:ascii="Calibri" w:hAnsi="Calibri" w:cs="Calibri"/>
          <w:sz w:val="22"/>
          <w:szCs w:val="22"/>
        </w:rPr>
      </w:pPr>
    </w:p>
    <w:p w:rsidR="00797CEF" w:rsidRDefault="00797CEF" w:rsidP="00797CEF">
      <w:pPr>
        <w:spacing w:after="120"/>
        <w:rPr>
          <w:rFonts w:ascii="Calibri" w:hAnsi="Calibri" w:cs="Calibri"/>
          <w:sz w:val="22"/>
          <w:szCs w:val="22"/>
        </w:rPr>
        <w:sectPr w:rsidR="00797CEF" w:rsidSect="00F5040B">
          <w:headerReference w:type="default" r:id="rId37"/>
          <w:pgSz w:w="11906" w:h="16838"/>
          <w:pgMar w:top="1440" w:right="1440" w:bottom="1440" w:left="1440" w:header="708" w:footer="708" w:gutter="0"/>
          <w:cols w:space="708"/>
          <w:docGrid w:linePitch="360"/>
        </w:sectPr>
      </w:pPr>
    </w:p>
    <w:p w:rsidR="00797CEF" w:rsidRPr="00797CEF" w:rsidRDefault="00797CEF" w:rsidP="00797CEF">
      <w:pPr>
        <w:keepNext/>
        <w:pageBreakBefore/>
        <w:pBdr>
          <w:bottom w:val="single" w:sz="4" w:space="1" w:color="auto"/>
        </w:pBdr>
        <w:spacing w:after="240"/>
        <w:ind w:right="-142"/>
        <w:outlineLvl w:val="1"/>
        <w:rPr>
          <w:rFonts w:ascii="Cambria" w:eastAsiaTheme="majorEastAsia" w:hAnsi="Cambria" w:cstheme="majorHAnsi"/>
          <w:iCs/>
          <w:color w:val="1F497D" w:themeColor="text2"/>
          <w:kern w:val="32"/>
          <w:sz w:val="44"/>
          <w:szCs w:val="44"/>
        </w:rPr>
      </w:pPr>
      <w:bookmarkStart w:id="548" w:name="_Toc341778036"/>
      <w:bookmarkStart w:id="549" w:name="_Toc342578409"/>
      <w:r w:rsidRPr="00797CEF">
        <w:rPr>
          <w:rFonts w:ascii="Cambria" w:eastAsiaTheme="majorEastAsia" w:hAnsi="Cambria" w:cstheme="majorHAnsi"/>
          <w:iCs/>
          <w:color w:val="1F497D" w:themeColor="text2"/>
          <w:kern w:val="32"/>
          <w:sz w:val="44"/>
          <w:szCs w:val="44"/>
        </w:rPr>
        <w:lastRenderedPageBreak/>
        <w:t>Chapter 3 – Comcare’s Governance</w:t>
      </w:r>
      <w:bookmarkEnd w:id="548"/>
      <w:bookmarkEnd w:id="549"/>
    </w:p>
    <w:p w:rsidR="000A3F6D" w:rsidRPr="003678BA" w:rsidRDefault="00797CEF" w:rsidP="003678BA">
      <w:pPr>
        <w:spacing w:before="100" w:beforeAutospacing="1" w:after="100" w:afterAutospacing="1"/>
        <w:outlineLvl w:val="0"/>
        <w:rPr>
          <w:rFonts w:ascii="Calibri" w:eastAsiaTheme="minorHAnsi" w:hAnsi="Calibri" w:cs="Calibri"/>
          <w:sz w:val="22"/>
          <w:lang w:eastAsia="en-US"/>
        </w:rPr>
      </w:pPr>
      <w:bookmarkStart w:id="550" w:name="_Toc341778037"/>
      <w:bookmarkStart w:id="551" w:name="_Toc341780797"/>
      <w:bookmarkStart w:id="552" w:name="_Toc342578410"/>
      <w:r w:rsidRPr="003678BA">
        <w:rPr>
          <w:rFonts w:ascii="Calibri" w:eastAsiaTheme="minorHAnsi" w:hAnsi="Calibri" w:cs="Calibri"/>
          <w:sz w:val="22"/>
          <w:lang w:eastAsia="en-US"/>
        </w:rPr>
        <w:t xml:space="preserve">This Chapter reviews Comcare’s governance structure </w:t>
      </w:r>
      <w:r w:rsidR="00584ADA" w:rsidRPr="003678BA">
        <w:rPr>
          <w:rFonts w:ascii="Calibri" w:eastAsiaTheme="minorHAnsi" w:hAnsi="Calibri" w:cs="Calibri"/>
          <w:sz w:val="22"/>
          <w:lang w:eastAsia="en-US"/>
        </w:rPr>
        <w:t>and current</w:t>
      </w:r>
      <w:r w:rsidRPr="003678BA">
        <w:rPr>
          <w:rFonts w:ascii="Calibri" w:eastAsiaTheme="minorHAnsi" w:hAnsi="Calibri" w:cs="Calibri"/>
          <w:sz w:val="22"/>
          <w:lang w:eastAsia="en-US"/>
        </w:rPr>
        <w:t xml:space="preserve"> status as a CAC Act body.  An analysis is made of the respective attributes of CAC Act and FMA Act bodies and opportunities for improving Comcare’s governance structure are identified.</w:t>
      </w:r>
      <w:bookmarkEnd w:id="550"/>
      <w:bookmarkEnd w:id="551"/>
      <w:bookmarkEnd w:id="552"/>
    </w:p>
    <w:p w:rsidR="00797CEF" w:rsidRPr="00797CEF" w:rsidRDefault="00797CEF" w:rsidP="00797CEF">
      <w:pPr>
        <w:spacing w:before="100" w:beforeAutospacing="1" w:after="100" w:afterAutospacing="1"/>
        <w:outlineLvl w:val="0"/>
        <w:rPr>
          <w:rFonts w:ascii="Arial" w:hAnsi="Arial"/>
          <w:bCs/>
          <w:caps/>
          <w:color w:val="1F497D" w:themeColor="text2"/>
          <w:kern w:val="36"/>
          <w:sz w:val="28"/>
          <w:szCs w:val="28"/>
        </w:rPr>
      </w:pPr>
      <w:bookmarkStart w:id="553" w:name="_Toc341778038"/>
      <w:bookmarkStart w:id="554" w:name="_Toc342578411"/>
      <w:r w:rsidRPr="00797CEF">
        <w:rPr>
          <w:rFonts w:ascii="Arial" w:hAnsi="Arial"/>
          <w:bCs/>
          <w:caps/>
          <w:color w:val="1F497D" w:themeColor="text2"/>
          <w:kern w:val="36"/>
          <w:sz w:val="28"/>
          <w:szCs w:val="28"/>
        </w:rPr>
        <w:t>Governance Arrangements</w:t>
      </w:r>
      <w:bookmarkEnd w:id="553"/>
      <w:bookmarkEnd w:id="554"/>
    </w:p>
    <w:p w:rsidR="00797CEF" w:rsidRPr="00797CEF" w:rsidRDefault="00797CEF" w:rsidP="00797CEF">
      <w:pPr>
        <w:keepNext/>
        <w:keepLines/>
        <w:spacing w:before="100" w:beforeAutospacing="1" w:after="100" w:afterAutospacing="1"/>
        <w:outlineLvl w:val="2"/>
        <w:rPr>
          <w:rFonts w:ascii="Arial Bold" w:eastAsiaTheme="majorEastAsia" w:hAnsi="Arial Bold" w:cs="Calibri"/>
          <w:bCs/>
          <w:caps/>
          <w:color w:val="1F497D" w:themeColor="text2"/>
          <w:sz w:val="23"/>
          <w:szCs w:val="23"/>
        </w:rPr>
      </w:pPr>
      <w:bookmarkStart w:id="555" w:name="_Toc341778039"/>
      <w:bookmarkStart w:id="556" w:name="_Toc342578412"/>
      <w:r w:rsidRPr="00797CEF">
        <w:rPr>
          <w:rFonts w:ascii="Arial Bold" w:eastAsiaTheme="majorEastAsia" w:hAnsi="Arial Bold" w:cs="Calibri"/>
          <w:bCs/>
          <w:caps/>
          <w:color w:val="1F497D" w:themeColor="text2"/>
          <w:sz w:val="23"/>
          <w:szCs w:val="23"/>
        </w:rPr>
        <w:t>Background of CAC Act and FMA Act bodies</w:t>
      </w:r>
      <w:bookmarkEnd w:id="555"/>
      <w:bookmarkEnd w:id="556"/>
    </w:p>
    <w:p w:rsidR="00797CEF" w:rsidRPr="00797CEF" w:rsidRDefault="00797CEF" w:rsidP="00797CEF">
      <w:pPr>
        <w:numPr>
          <w:ilvl w:val="1"/>
          <w:numId w:val="60"/>
        </w:numPr>
        <w:spacing w:after="120"/>
        <w:ind w:left="709" w:hanging="709"/>
        <w:rPr>
          <w:rFonts w:ascii="Calibri" w:eastAsiaTheme="minorHAnsi" w:hAnsi="Calibri" w:cs="Calibri"/>
          <w:sz w:val="22"/>
          <w:lang w:eastAsia="en-US"/>
        </w:rPr>
      </w:pPr>
      <w:r w:rsidRPr="00797CEF">
        <w:rPr>
          <w:rFonts w:ascii="Calibri" w:eastAsiaTheme="minorHAnsi" w:hAnsi="Calibri" w:cs="Calibri"/>
          <w:sz w:val="22"/>
          <w:lang w:eastAsia="en-US"/>
        </w:rPr>
        <w:t xml:space="preserve">Australian Government agencies generally operate under either the CAC Act </w:t>
      </w:r>
      <w:r w:rsidR="000A3F6D" w:rsidRPr="00797CEF">
        <w:rPr>
          <w:rFonts w:ascii="Calibri" w:eastAsiaTheme="minorHAnsi" w:hAnsi="Calibri" w:cs="Calibri"/>
          <w:sz w:val="22"/>
          <w:lang w:eastAsia="en-US"/>
        </w:rPr>
        <w:t>or FMA</w:t>
      </w:r>
      <w:r w:rsidRPr="00797CEF">
        <w:rPr>
          <w:rFonts w:ascii="Calibri" w:eastAsiaTheme="minorHAnsi" w:hAnsi="Calibri" w:cs="Calibri"/>
          <w:sz w:val="22"/>
          <w:lang w:eastAsia="en-US"/>
        </w:rPr>
        <w:t xml:space="preserve"> Act, depending on the nature and requirements of the entity.  These Acts provide the framework used to regulate the financial management of Commonwealth agencies</w:t>
      </w:r>
      <w:r w:rsidR="000A3F6D" w:rsidRPr="00797CEF">
        <w:rPr>
          <w:rFonts w:ascii="Calibri" w:eastAsiaTheme="minorHAnsi" w:hAnsi="Calibri" w:cs="Calibri"/>
          <w:sz w:val="22"/>
          <w:lang w:eastAsia="en-US"/>
        </w:rPr>
        <w:t>.</w:t>
      </w:r>
    </w:p>
    <w:p w:rsidR="00797CEF" w:rsidRPr="00797CEF" w:rsidRDefault="00797CEF" w:rsidP="00797CEF">
      <w:pPr>
        <w:numPr>
          <w:ilvl w:val="1"/>
          <w:numId w:val="60"/>
        </w:numPr>
        <w:spacing w:after="120"/>
        <w:ind w:left="709" w:hanging="709"/>
        <w:rPr>
          <w:rFonts w:ascii="Calibri" w:eastAsiaTheme="minorHAnsi" w:hAnsi="Calibri" w:cs="Calibri"/>
          <w:sz w:val="22"/>
          <w:lang w:eastAsia="en-US"/>
        </w:rPr>
      </w:pPr>
      <w:r w:rsidRPr="00797CEF">
        <w:rPr>
          <w:rFonts w:ascii="Calibri" w:eastAsiaTheme="minorHAnsi" w:hAnsi="Calibri" w:cs="Calibri"/>
          <w:sz w:val="22"/>
          <w:lang w:eastAsia="en-US"/>
        </w:rPr>
        <w:t>When establishing a new agency the Government, through the Department of Finance and Deregulation, seeks to ensure an agency’s structure and governance is designed to help implement the Government’s policy and achieve the body’s goals in an accountable and transparent manner.  The absence of such accountability and transparency can potentially undermine the activities of the agency and the effectiveness of its policy.</w:t>
      </w:r>
      <w:r w:rsidRPr="00797CEF">
        <w:rPr>
          <w:rFonts w:asciiTheme="minorHAnsi" w:eastAsiaTheme="minorHAnsi" w:hAnsiTheme="minorHAnsi" w:cstheme="minorHAnsi"/>
          <w:sz w:val="22"/>
          <w:vertAlign w:val="superscript"/>
          <w:lang w:eastAsia="en-US"/>
        </w:rPr>
        <w:footnoteReference w:id="42"/>
      </w:r>
    </w:p>
    <w:p w:rsidR="00797CEF" w:rsidRPr="00797CEF" w:rsidRDefault="00797CEF" w:rsidP="00797CEF">
      <w:pPr>
        <w:numPr>
          <w:ilvl w:val="1"/>
          <w:numId w:val="60"/>
        </w:numPr>
        <w:spacing w:after="120"/>
        <w:ind w:left="709" w:hanging="709"/>
        <w:rPr>
          <w:rFonts w:asciiTheme="minorHAnsi" w:eastAsiaTheme="minorHAnsi" w:hAnsiTheme="minorHAnsi" w:cstheme="minorHAnsi"/>
          <w:sz w:val="22"/>
          <w:lang w:eastAsia="en-US"/>
        </w:rPr>
      </w:pPr>
      <w:r w:rsidRPr="00797CEF">
        <w:rPr>
          <w:rFonts w:ascii="Calibri" w:eastAsiaTheme="minorHAnsi" w:hAnsi="Calibri" w:cs="Calibri"/>
          <w:i/>
          <w:sz w:val="22"/>
          <w:lang w:eastAsia="en-US"/>
        </w:rPr>
        <w:t>Governance Arrangements for Australian Government Bodies</w:t>
      </w:r>
      <w:r w:rsidRPr="00797CEF">
        <w:rPr>
          <w:rFonts w:ascii="Calibri" w:eastAsiaTheme="minorHAnsi" w:hAnsi="Calibri" w:cs="Calibri"/>
          <w:sz w:val="22"/>
          <w:lang w:eastAsia="en-US"/>
        </w:rPr>
        <w:t xml:space="preserve"> clearly articulate the key distinguishing features of CAC Act and</w:t>
      </w:r>
      <w:r w:rsidRPr="00797CEF">
        <w:rPr>
          <w:rFonts w:asciiTheme="minorHAnsi" w:eastAsiaTheme="minorHAnsi" w:hAnsiTheme="minorHAnsi" w:cstheme="minorHAnsi"/>
          <w:sz w:val="22"/>
          <w:lang w:eastAsia="en-US"/>
        </w:rPr>
        <w:t xml:space="preserve"> </w:t>
      </w:r>
      <w:r w:rsidRPr="00797CEF">
        <w:rPr>
          <w:rFonts w:ascii="Calibri" w:eastAsiaTheme="minorHAnsi" w:hAnsi="Calibri" w:cs="Calibri"/>
          <w:sz w:val="22"/>
          <w:lang w:eastAsia="en-US"/>
        </w:rPr>
        <w:t xml:space="preserve">FMA Act bodies </w:t>
      </w:r>
      <w:r w:rsidR="006F1379">
        <w:rPr>
          <w:rFonts w:ascii="Calibri" w:eastAsiaTheme="minorHAnsi" w:hAnsi="Calibri" w:cs="Calibri"/>
          <w:sz w:val="22"/>
          <w:lang w:eastAsia="en-US"/>
        </w:rPr>
        <w:t>to</w:t>
      </w:r>
      <w:r w:rsidRPr="00797CEF">
        <w:rPr>
          <w:rFonts w:ascii="Calibri" w:eastAsiaTheme="minorHAnsi" w:hAnsi="Calibri" w:cs="Calibri"/>
          <w:sz w:val="22"/>
          <w:lang w:eastAsia="en-US"/>
        </w:rPr>
        <w:t xml:space="preserve"> be taken into consideration when establishing a new entity.  These features include executive management and structure, sources of funding and the basis of staff employment.  Importantly</w:t>
      </w:r>
      <w:r w:rsidR="000A3F6D" w:rsidRPr="00797CEF">
        <w:rPr>
          <w:rFonts w:ascii="Calibri" w:eastAsiaTheme="minorHAnsi" w:hAnsi="Calibri" w:cs="Calibri"/>
          <w:sz w:val="22"/>
          <w:lang w:eastAsia="en-US"/>
        </w:rPr>
        <w:t>, both</w:t>
      </w:r>
      <w:r w:rsidRPr="00797CEF">
        <w:rPr>
          <w:rFonts w:ascii="Calibri" w:eastAsiaTheme="minorHAnsi" w:hAnsi="Calibri" w:cs="Calibri"/>
          <w:sz w:val="22"/>
          <w:lang w:eastAsia="en-US"/>
        </w:rPr>
        <w:t xml:space="preserve"> the FMA Act and CAC Act can accommodate bodies with high degrees of independence</w:t>
      </w:r>
      <w:r w:rsidRPr="00797CEF">
        <w:rPr>
          <w:rFonts w:asciiTheme="minorHAnsi" w:eastAsiaTheme="minorHAnsi" w:hAnsiTheme="minorHAnsi" w:cstheme="minorHAnsi"/>
          <w:sz w:val="22"/>
          <w:lang w:eastAsia="en-US"/>
        </w:rPr>
        <w:t>.</w:t>
      </w:r>
      <w:r w:rsidRPr="00797CEF">
        <w:rPr>
          <w:rFonts w:asciiTheme="minorHAnsi" w:eastAsiaTheme="minorHAnsi" w:hAnsiTheme="minorHAnsi" w:cstheme="minorHAnsi"/>
          <w:sz w:val="22"/>
          <w:vertAlign w:val="superscript"/>
          <w:lang w:eastAsia="en-US"/>
        </w:rPr>
        <w:footnoteReference w:id="43"/>
      </w:r>
    </w:p>
    <w:p w:rsidR="00797CEF" w:rsidRPr="00797CEF" w:rsidRDefault="00797CEF" w:rsidP="00797CEF">
      <w:pPr>
        <w:spacing w:after="120"/>
        <w:rPr>
          <w:rFonts w:ascii="Calibri" w:eastAsiaTheme="minorHAnsi" w:hAnsi="Calibri" w:cs="Calibri"/>
          <w:b/>
          <w:sz w:val="22"/>
          <w:lang w:eastAsia="en-US"/>
        </w:rPr>
      </w:pPr>
      <w:r w:rsidRPr="00797CEF">
        <w:rPr>
          <w:rFonts w:ascii="Calibri" w:eastAsiaTheme="minorHAnsi" w:hAnsi="Calibri" w:cs="Calibri"/>
          <w:b/>
          <w:sz w:val="22"/>
          <w:lang w:eastAsia="en-US"/>
        </w:rPr>
        <w:t>Executive Management and Structure</w:t>
      </w:r>
    </w:p>
    <w:p w:rsidR="00797CEF" w:rsidRPr="00797CEF" w:rsidRDefault="00797CEF" w:rsidP="00797CEF">
      <w:pPr>
        <w:numPr>
          <w:ilvl w:val="1"/>
          <w:numId w:val="60"/>
        </w:numPr>
        <w:spacing w:after="120"/>
        <w:ind w:left="709" w:hanging="709"/>
        <w:rPr>
          <w:rFonts w:asciiTheme="minorHAnsi" w:eastAsiaTheme="minorHAnsi" w:hAnsiTheme="minorHAnsi" w:cstheme="minorHAnsi"/>
          <w:sz w:val="22"/>
          <w:lang w:eastAsia="en-US"/>
        </w:rPr>
      </w:pPr>
      <w:r w:rsidRPr="00797CEF">
        <w:rPr>
          <w:rFonts w:ascii="Calibri" w:eastAsiaTheme="minorHAnsi" w:hAnsi="Calibri" w:cs="Calibri"/>
          <w:sz w:val="22"/>
          <w:lang w:eastAsia="en-US"/>
        </w:rPr>
        <w:t>The executive management and structure for an agency</w:t>
      </w:r>
      <w:r w:rsidR="00033C73">
        <w:rPr>
          <w:rFonts w:ascii="Calibri" w:eastAsiaTheme="minorHAnsi" w:hAnsi="Calibri" w:cs="Calibri"/>
          <w:sz w:val="22"/>
          <w:lang w:eastAsia="en-US"/>
        </w:rPr>
        <w:t xml:space="preserve"> </w:t>
      </w:r>
      <w:r w:rsidRPr="00797CEF">
        <w:rPr>
          <w:rFonts w:ascii="Calibri" w:eastAsiaTheme="minorHAnsi" w:hAnsi="Calibri" w:cs="Calibri"/>
          <w:sz w:val="22"/>
          <w:lang w:eastAsia="en-US"/>
        </w:rPr>
        <w:t xml:space="preserve">under the FMA Act is provided through </w:t>
      </w:r>
      <w:r w:rsidR="00033C73" w:rsidRPr="00797CEF">
        <w:rPr>
          <w:rFonts w:ascii="Calibri" w:eastAsiaTheme="minorHAnsi" w:hAnsi="Calibri" w:cs="Calibri"/>
          <w:sz w:val="22"/>
          <w:lang w:eastAsia="en-US"/>
        </w:rPr>
        <w:t>that Act</w:t>
      </w:r>
      <w:r w:rsidRPr="00797CEF">
        <w:rPr>
          <w:rFonts w:ascii="Calibri" w:eastAsiaTheme="minorHAnsi" w:hAnsi="Calibri" w:cs="Calibri"/>
          <w:sz w:val="22"/>
          <w:lang w:eastAsia="en-US"/>
        </w:rPr>
        <w:t xml:space="preserve"> and the </w:t>
      </w:r>
      <w:r w:rsidRPr="00797CEF">
        <w:rPr>
          <w:rFonts w:ascii="Calibri" w:eastAsiaTheme="minorHAnsi" w:hAnsi="Calibri" w:cs="Calibri"/>
          <w:i/>
          <w:sz w:val="22"/>
          <w:lang w:eastAsia="en-US"/>
        </w:rPr>
        <w:t>Public Service Act 1999</w:t>
      </w:r>
      <w:r w:rsidRPr="00797CEF">
        <w:rPr>
          <w:rFonts w:asciiTheme="minorHAnsi" w:eastAsiaTheme="minorHAnsi" w:hAnsiTheme="minorHAnsi" w:cstheme="minorHAnsi"/>
          <w:sz w:val="22"/>
          <w:lang w:eastAsia="en-US"/>
        </w:rPr>
        <w:t>.</w:t>
      </w:r>
      <w:r w:rsidRPr="00797CEF">
        <w:rPr>
          <w:rFonts w:asciiTheme="minorHAnsi" w:eastAsiaTheme="minorHAnsi" w:hAnsiTheme="minorHAnsi" w:cstheme="minorHAnsi"/>
          <w:sz w:val="22"/>
          <w:vertAlign w:val="superscript"/>
          <w:lang w:eastAsia="en-US"/>
        </w:rPr>
        <w:footnoteReference w:id="44"/>
      </w:r>
      <w:r w:rsidRPr="00797CEF">
        <w:rPr>
          <w:rFonts w:asciiTheme="minorHAnsi" w:eastAsiaTheme="minorHAnsi" w:hAnsiTheme="minorHAnsi" w:cstheme="minorHAnsi"/>
          <w:sz w:val="22"/>
          <w:lang w:eastAsia="en-US"/>
        </w:rPr>
        <w:t xml:space="preserve">  </w:t>
      </w:r>
      <w:r w:rsidRPr="00797CEF">
        <w:rPr>
          <w:rFonts w:ascii="Calibri" w:eastAsiaTheme="minorHAnsi" w:hAnsi="Calibri" w:cs="Calibri"/>
          <w:sz w:val="22"/>
          <w:lang w:eastAsia="en-US"/>
        </w:rPr>
        <w:t>A board-like structure for an FMA Act agency, while possible, is not necessary and should only have an advisory function to assist the Chief Executive, or be used where collective statutory decision-making requires a commission for an FMA Act body.  Notably, regulatory bodies do not usually require a governing board and should therefore be under the FMA Act and it is the Government’s preference for such bodies to fall under the FMA Act</w:t>
      </w:r>
      <w:r w:rsidRPr="00797CEF">
        <w:rPr>
          <w:rFonts w:asciiTheme="minorHAnsi" w:eastAsiaTheme="minorHAnsi" w:hAnsiTheme="minorHAnsi" w:cstheme="minorHAnsi"/>
          <w:sz w:val="22"/>
          <w:lang w:eastAsia="en-US"/>
        </w:rPr>
        <w:t>.</w:t>
      </w:r>
      <w:r w:rsidRPr="00797CEF">
        <w:rPr>
          <w:rFonts w:asciiTheme="minorHAnsi" w:eastAsiaTheme="minorHAnsi" w:hAnsiTheme="minorHAnsi" w:cstheme="minorHAnsi"/>
          <w:sz w:val="22"/>
          <w:vertAlign w:val="superscript"/>
          <w:lang w:eastAsia="en-US"/>
        </w:rPr>
        <w:footnoteReference w:id="45"/>
      </w:r>
    </w:p>
    <w:p w:rsidR="00797CEF" w:rsidRPr="00797CEF" w:rsidRDefault="00797CEF" w:rsidP="00797CEF">
      <w:pPr>
        <w:numPr>
          <w:ilvl w:val="1"/>
          <w:numId w:val="60"/>
        </w:numPr>
        <w:spacing w:after="120"/>
        <w:ind w:left="709" w:hanging="709"/>
        <w:rPr>
          <w:rFonts w:asciiTheme="minorHAnsi" w:eastAsiaTheme="minorHAnsi" w:hAnsiTheme="minorHAnsi" w:cstheme="minorHAnsi"/>
          <w:sz w:val="22"/>
          <w:lang w:eastAsia="en-US"/>
        </w:rPr>
      </w:pPr>
      <w:r w:rsidRPr="00797CEF">
        <w:rPr>
          <w:rFonts w:ascii="Calibri" w:eastAsiaTheme="minorHAnsi" w:hAnsi="Calibri" w:cs="Calibri"/>
          <w:sz w:val="22"/>
          <w:lang w:eastAsia="en-US"/>
        </w:rPr>
        <w:t>A CAC Act body is a body corporate, typically with a commercial or entrepreneurial nature</w:t>
      </w:r>
      <w:r w:rsidR="006F1379">
        <w:rPr>
          <w:rFonts w:ascii="Calibri" w:eastAsiaTheme="minorHAnsi" w:hAnsi="Calibri" w:cs="Calibri"/>
          <w:sz w:val="22"/>
          <w:lang w:eastAsia="en-US"/>
        </w:rPr>
        <w:t>,</w:t>
      </w:r>
      <w:r w:rsidRPr="00797CEF">
        <w:rPr>
          <w:rFonts w:asciiTheme="minorHAnsi" w:eastAsiaTheme="minorHAnsi" w:hAnsiTheme="minorHAnsi" w:cstheme="minorBidi"/>
          <w:sz w:val="22"/>
          <w:lang w:eastAsia="en-US"/>
        </w:rPr>
        <w:t xml:space="preserve"> premised on having a governing board. This allows an entity to leverage the benefits of a mix of different experiences and skills and exercise collective decision making</w:t>
      </w:r>
      <w:r w:rsidRPr="00797CEF">
        <w:rPr>
          <w:rFonts w:asciiTheme="minorHAnsi" w:eastAsiaTheme="minorHAnsi" w:hAnsiTheme="minorHAnsi" w:cstheme="minorHAnsi"/>
          <w:sz w:val="22"/>
          <w:lang w:eastAsia="en-US"/>
        </w:rPr>
        <w:t>.</w:t>
      </w:r>
      <w:r w:rsidRPr="00797CEF">
        <w:rPr>
          <w:rFonts w:asciiTheme="minorHAnsi" w:eastAsiaTheme="minorHAnsi" w:hAnsiTheme="minorHAnsi" w:cstheme="minorHAnsi"/>
          <w:sz w:val="22"/>
          <w:vertAlign w:val="superscript"/>
          <w:lang w:eastAsia="en-US"/>
        </w:rPr>
        <w:footnoteReference w:id="46"/>
      </w:r>
    </w:p>
    <w:p w:rsidR="00797CEF" w:rsidRPr="00797CEF" w:rsidRDefault="00797CEF" w:rsidP="00797CEF">
      <w:pPr>
        <w:numPr>
          <w:ilvl w:val="1"/>
          <w:numId w:val="60"/>
        </w:numPr>
        <w:spacing w:after="120"/>
        <w:ind w:left="709" w:hanging="709"/>
        <w:rPr>
          <w:rFonts w:asciiTheme="minorHAnsi" w:eastAsiaTheme="minorHAnsi" w:hAnsiTheme="minorHAnsi" w:cstheme="minorHAnsi"/>
          <w:sz w:val="22"/>
          <w:lang w:eastAsia="en-US"/>
        </w:rPr>
      </w:pPr>
      <w:r w:rsidRPr="00797CEF">
        <w:rPr>
          <w:rFonts w:ascii="Calibri" w:eastAsiaTheme="minorHAnsi" w:hAnsi="Calibri" w:cs="Calibri"/>
          <w:sz w:val="22"/>
          <w:lang w:eastAsia="en-US"/>
        </w:rPr>
        <w:t>A governing board’s powers should include the full power to act in the interests of the relevant body which includes the ability to appoint and remove the body’s Chief Executive Officer (CEO).  In addition to sharing and potentially mitigating risk, the benefits of a board for a CAC Act body also comes from the different skills, views and experiences each member brings</w:t>
      </w:r>
      <w:r w:rsidRPr="00797CEF">
        <w:rPr>
          <w:rFonts w:asciiTheme="minorHAnsi" w:eastAsiaTheme="minorHAnsi" w:hAnsiTheme="minorHAnsi" w:cstheme="minorHAnsi"/>
          <w:sz w:val="22"/>
          <w:lang w:eastAsia="en-US"/>
        </w:rPr>
        <w:t>.</w:t>
      </w:r>
      <w:r w:rsidRPr="00797CEF">
        <w:rPr>
          <w:rFonts w:asciiTheme="minorHAnsi" w:eastAsiaTheme="minorHAnsi" w:hAnsiTheme="minorHAnsi" w:cstheme="minorHAnsi"/>
          <w:sz w:val="22"/>
          <w:vertAlign w:val="superscript"/>
          <w:lang w:eastAsia="en-US"/>
        </w:rPr>
        <w:footnoteReference w:id="47"/>
      </w:r>
      <w:r w:rsidRPr="00797CEF">
        <w:rPr>
          <w:rFonts w:asciiTheme="minorHAnsi" w:eastAsiaTheme="minorHAnsi" w:hAnsiTheme="minorHAnsi" w:cstheme="minorHAnsi"/>
          <w:sz w:val="22"/>
          <w:lang w:eastAsia="en-US"/>
        </w:rPr>
        <w:t xml:space="preserve">  </w:t>
      </w:r>
      <w:r w:rsidRPr="00797CEF">
        <w:rPr>
          <w:rFonts w:ascii="Calibri" w:eastAsiaTheme="minorHAnsi" w:hAnsi="Calibri" w:cs="Calibri"/>
          <w:sz w:val="22"/>
          <w:lang w:eastAsia="en-US"/>
        </w:rPr>
        <w:t xml:space="preserve">Under the CAC Act, the onus to properly govern the body is on its Directors, in line </w:t>
      </w:r>
      <w:r w:rsidRPr="00797CEF">
        <w:rPr>
          <w:rFonts w:ascii="Calibri" w:eastAsiaTheme="minorHAnsi" w:hAnsi="Calibri" w:cs="Calibri"/>
          <w:sz w:val="22"/>
          <w:lang w:eastAsia="en-US"/>
        </w:rPr>
        <w:lastRenderedPageBreak/>
        <w:t>with Directors’ duties.  The extent government has control over a CAC Act body is dependent on the body’s establishing legislation</w:t>
      </w:r>
      <w:r w:rsidRPr="00797CEF">
        <w:rPr>
          <w:rFonts w:asciiTheme="minorHAnsi" w:eastAsiaTheme="minorHAnsi" w:hAnsiTheme="minorHAnsi" w:cstheme="minorHAnsi"/>
          <w:sz w:val="22"/>
          <w:lang w:eastAsia="en-US"/>
        </w:rPr>
        <w:t>.</w:t>
      </w:r>
      <w:r w:rsidRPr="00797CEF">
        <w:rPr>
          <w:rFonts w:asciiTheme="minorHAnsi" w:eastAsiaTheme="minorHAnsi" w:hAnsiTheme="minorHAnsi" w:cstheme="minorHAnsi"/>
          <w:sz w:val="22"/>
          <w:vertAlign w:val="superscript"/>
          <w:lang w:eastAsia="en-US"/>
        </w:rPr>
        <w:footnoteReference w:id="48"/>
      </w:r>
    </w:p>
    <w:p w:rsidR="00797CEF" w:rsidRPr="00797CEF" w:rsidRDefault="00797CEF" w:rsidP="00797CEF">
      <w:pPr>
        <w:spacing w:after="120"/>
        <w:rPr>
          <w:rFonts w:ascii="Calibri" w:eastAsiaTheme="minorHAnsi" w:hAnsi="Calibri" w:cs="Calibri"/>
          <w:b/>
          <w:sz w:val="22"/>
          <w:lang w:eastAsia="en-US"/>
        </w:rPr>
      </w:pPr>
      <w:r w:rsidRPr="00797CEF">
        <w:rPr>
          <w:rFonts w:ascii="Calibri" w:eastAsiaTheme="minorHAnsi" w:hAnsi="Calibri" w:cs="Calibri"/>
          <w:b/>
          <w:sz w:val="22"/>
          <w:lang w:eastAsia="en-US"/>
        </w:rPr>
        <w:t>Funding Sources</w:t>
      </w:r>
    </w:p>
    <w:p w:rsidR="00797CEF" w:rsidRPr="00797CEF" w:rsidRDefault="00797CEF" w:rsidP="00797CEF">
      <w:pPr>
        <w:numPr>
          <w:ilvl w:val="1"/>
          <w:numId w:val="60"/>
        </w:numPr>
        <w:spacing w:after="120"/>
        <w:ind w:left="709" w:hanging="709"/>
        <w:rPr>
          <w:rFonts w:asciiTheme="minorHAnsi" w:eastAsiaTheme="minorHAnsi" w:hAnsiTheme="minorHAnsi" w:cstheme="minorHAnsi"/>
          <w:sz w:val="22"/>
          <w:lang w:eastAsia="en-US"/>
        </w:rPr>
      </w:pPr>
      <w:r w:rsidRPr="00797CEF">
        <w:rPr>
          <w:rFonts w:ascii="Calibri" w:eastAsiaTheme="minorHAnsi" w:hAnsi="Calibri" w:cs="Calibri"/>
          <w:sz w:val="22"/>
          <w:lang w:eastAsia="en-US"/>
        </w:rPr>
        <w:t xml:space="preserve">An FMA Act agency is financially part of the Commonwealth which retains public money that can only be spent under the authority of an appropriation from the Australian Parliament.  The FMA Act typically applies to bodies primarily budget-funded, regulators and bodies that raise public money under a Commonwealth law.  Importantly, the FMA Act focuses on the responsibilities and obligations of a Chief Executive and the manner in which they manage resources which includes, </w:t>
      </w:r>
      <w:r w:rsidR="006F1379">
        <w:rPr>
          <w:rFonts w:ascii="Calibri" w:eastAsiaTheme="minorHAnsi" w:hAnsi="Calibri" w:cs="Calibri"/>
          <w:sz w:val="22"/>
          <w:lang w:eastAsia="en-US"/>
        </w:rPr>
        <w:t>e.g.</w:t>
      </w:r>
      <w:r w:rsidRPr="00797CEF">
        <w:rPr>
          <w:rFonts w:ascii="Calibri" w:eastAsiaTheme="minorHAnsi" w:hAnsi="Calibri" w:cs="Calibri"/>
          <w:sz w:val="22"/>
          <w:lang w:eastAsia="en-US"/>
        </w:rPr>
        <w:t>, public money and public properties.  Such Commonwealth resources should be managed in a way that is efficient, effective and ethical</w:t>
      </w:r>
      <w:r w:rsidRPr="00797CEF">
        <w:rPr>
          <w:rFonts w:asciiTheme="minorHAnsi" w:eastAsiaTheme="minorHAnsi" w:hAnsiTheme="minorHAnsi" w:cstheme="minorHAnsi"/>
          <w:sz w:val="22"/>
          <w:lang w:eastAsia="en-US"/>
        </w:rPr>
        <w:t>.</w:t>
      </w:r>
      <w:r w:rsidRPr="00797CEF">
        <w:rPr>
          <w:rFonts w:asciiTheme="minorHAnsi" w:eastAsiaTheme="minorHAnsi" w:hAnsiTheme="minorHAnsi" w:cstheme="minorHAnsi"/>
          <w:sz w:val="22"/>
          <w:vertAlign w:val="superscript"/>
          <w:lang w:eastAsia="en-US"/>
        </w:rPr>
        <w:footnoteReference w:id="49"/>
      </w:r>
    </w:p>
    <w:p w:rsidR="00797CEF" w:rsidRPr="00797CEF" w:rsidRDefault="00797CEF" w:rsidP="00797CEF">
      <w:pPr>
        <w:numPr>
          <w:ilvl w:val="1"/>
          <w:numId w:val="60"/>
        </w:numPr>
        <w:spacing w:after="120"/>
        <w:ind w:left="709" w:hanging="709"/>
        <w:rPr>
          <w:rFonts w:asciiTheme="minorHAnsi" w:eastAsiaTheme="minorHAnsi" w:hAnsiTheme="minorHAnsi" w:cstheme="minorHAnsi"/>
          <w:sz w:val="22"/>
          <w:lang w:eastAsia="en-US"/>
        </w:rPr>
      </w:pPr>
      <w:r w:rsidRPr="00797CEF">
        <w:rPr>
          <w:rFonts w:ascii="Calibri" w:eastAsiaTheme="minorHAnsi" w:hAnsi="Calibri" w:cs="Calibri"/>
          <w:sz w:val="22"/>
          <w:lang w:eastAsia="en-US"/>
        </w:rPr>
        <w:t>In contrast, a CAC Act body is legally and financially separate from the Commonwealth and the Government does not typically provide a substantial proportion of the body’s funding through appropriations</w:t>
      </w:r>
      <w:r w:rsidRPr="00797CEF">
        <w:rPr>
          <w:rFonts w:asciiTheme="minorHAnsi" w:eastAsiaTheme="minorHAnsi" w:hAnsiTheme="minorHAnsi" w:cstheme="minorHAnsi"/>
          <w:sz w:val="22"/>
          <w:lang w:eastAsia="en-US"/>
        </w:rPr>
        <w:t>.</w:t>
      </w:r>
      <w:r w:rsidRPr="00797CEF">
        <w:rPr>
          <w:rFonts w:asciiTheme="minorHAnsi" w:eastAsiaTheme="minorHAnsi" w:hAnsiTheme="minorHAnsi" w:cstheme="minorHAnsi"/>
          <w:sz w:val="22"/>
          <w:vertAlign w:val="superscript"/>
          <w:lang w:eastAsia="en-US"/>
        </w:rPr>
        <w:footnoteReference w:id="50"/>
      </w:r>
      <w:r w:rsidRPr="00797CEF">
        <w:rPr>
          <w:rFonts w:asciiTheme="minorHAnsi" w:eastAsiaTheme="minorHAnsi" w:hAnsiTheme="minorHAnsi" w:cstheme="minorHAnsi"/>
          <w:sz w:val="22"/>
          <w:lang w:eastAsia="en-US"/>
        </w:rPr>
        <w:t xml:space="preserve">  </w:t>
      </w:r>
      <w:r w:rsidRPr="00797CEF">
        <w:rPr>
          <w:rFonts w:ascii="Calibri" w:eastAsiaTheme="minorHAnsi" w:hAnsi="Calibri" w:cs="Calibri"/>
          <w:sz w:val="22"/>
          <w:lang w:eastAsia="en-US"/>
        </w:rPr>
        <w:t>Under the CAC Act, Directors and officers of a CAC body are to utilise their powers and undertake their duties in the best interest of the body</w:t>
      </w:r>
      <w:r w:rsidRPr="00797CEF">
        <w:rPr>
          <w:rFonts w:asciiTheme="minorHAnsi" w:eastAsiaTheme="minorHAnsi" w:hAnsiTheme="minorHAnsi" w:cstheme="minorHAnsi"/>
          <w:sz w:val="22"/>
          <w:lang w:eastAsia="en-US"/>
        </w:rPr>
        <w:t>.</w:t>
      </w:r>
      <w:r w:rsidRPr="00797CEF">
        <w:rPr>
          <w:rFonts w:asciiTheme="minorHAnsi" w:eastAsiaTheme="minorHAnsi" w:hAnsiTheme="minorHAnsi" w:cstheme="minorHAnsi"/>
          <w:sz w:val="22"/>
          <w:vertAlign w:val="superscript"/>
          <w:lang w:eastAsia="en-US"/>
        </w:rPr>
        <w:footnoteReference w:id="51"/>
      </w:r>
    </w:p>
    <w:p w:rsidR="00797CEF" w:rsidRPr="00797CEF" w:rsidRDefault="00797CEF" w:rsidP="00797CEF">
      <w:pPr>
        <w:spacing w:after="120"/>
        <w:rPr>
          <w:rFonts w:ascii="Calibri" w:eastAsiaTheme="minorHAnsi" w:hAnsi="Calibri" w:cs="Calibri"/>
          <w:b/>
          <w:sz w:val="22"/>
          <w:lang w:eastAsia="en-US"/>
        </w:rPr>
      </w:pPr>
      <w:r w:rsidRPr="00797CEF">
        <w:rPr>
          <w:rFonts w:ascii="Calibri" w:eastAsiaTheme="minorHAnsi" w:hAnsi="Calibri" w:cs="Calibri"/>
          <w:b/>
          <w:sz w:val="22"/>
          <w:lang w:eastAsia="en-US"/>
        </w:rPr>
        <w:t>Employment of Staff</w:t>
      </w:r>
    </w:p>
    <w:p w:rsidR="00797CEF" w:rsidRDefault="00797CEF" w:rsidP="0035663E">
      <w:pPr>
        <w:numPr>
          <w:ilvl w:val="1"/>
          <w:numId w:val="60"/>
        </w:numPr>
        <w:spacing w:after="120"/>
        <w:ind w:left="709" w:hanging="709"/>
        <w:rPr>
          <w:rFonts w:ascii="Calibri" w:eastAsiaTheme="minorHAnsi" w:hAnsi="Calibri" w:cs="Calibri"/>
          <w:sz w:val="22"/>
          <w:lang w:eastAsia="en-US"/>
        </w:rPr>
      </w:pPr>
      <w:r w:rsidRPr="00797CEF">
        <w:rPr>
          <w:rFonts w:ascii="Calibri" w:eastAsiaTheme="minorHAnsi" w:hAnsi="Calibri" w:cs="Calibri"/>
          <w:sz w:val="22"/>
          <w:lang w:eastAsia="en-US"/>
        </w:rPr>
        <w:t xml:space="preserve">A body under the FMA Act typically employs staff under the Public Service Act.  Employees of a CAC Act body are generally engaged outside the Public Service Act unless there are good reasons to the contrary.  While Comcare is administered under the CAC Act, all staff with the exception of the CEO </w:t>
      </w:r>
      <w:proofErr w:type="gramStart"/>
      <w:r w:rsidRPr="00797CEF">
        <w:rPr>
          <w:rFonts w:ascii="Calibri" w:eastAsiaTheme="minorHAnsi" w:hAnsi="Calibri" w:cs="Calibri"/>
          <w:sz w:val="22"/>
          <w:lang w:eastAsia="en-US"/>
        </w:rPr>
        <w:t>are</w:t>
      </w:r>
      <w:proofErr w:type="gramEnd"/>
      <w:r w:rsidRPr="00797CEF">
        <w:rPr>
          <w:rFonts w:ascii="Calibri" w:eastAsiaTheme="minorHAnsi" w:hAnsi="Calibri" w:cs="Calibri"/>
          <w:sz w:val="22"/>
          <w:lang w:eastAsia="en-US"/>
        </w:rPr>
        <w:t xml:space="preserve"> employed under the Public Service </w:t>
      </w:r>
      <w:r w:rsidR="000A3F6D">
        <w:rPr>
          <w:rFonts w:ascii="Calibri" w:eastAsiaTheme="minorHAnsi" w:hAnsi="Calibri" w:cs="Calibri"/>
          <w:sz w:val="22"/>
          <w:lang w:eastAsia="en-US"/>
        </w:rPr>
        <w:t>Act.</w:t>
      </w:r>
    </w:p>
    <w:p w:rsidR="00841D9A" w:rsidRPr="0035663E" w:rsidRDefault="00841D9A" w:rsidP="0035663E">
      <w:pPr>
        <w:spacing w:after="120"/>
        <w:rPr>
          <w:rFonts w:ascii="Calibri" w:eastAsiaTheme="minorHAnsi" w:hAnsi="Calibri" w:cs="Calibri"/>
          <w:b/>
          <w:sz w:val="22"/>
          <w:lang w:eastAsia="en-US"/>
        </w:rPr>
      </w:pPr>
      <w:r w:rsidRPr="0035663E">
        <w:rPr>
          <w:rFonts w:ascii="Calibri" w:eastAsiaTheme="minorHAnsi" w:hAnsi="Calibri" w:cs="Calibri"/>
          <w:b/>
          <w:sz w:val="22"/>
          <w:lang w:eastAsia="en-US"/>
        </w:rPr>
        <w:t>Recent Developments</w:t>
      </w:r>
    </w:p>
    <w:p w:rsidR="00841D9A" w:rsidRDefault="00877A3A" w:rsidP="0035663E">
      <w:pPr>
        <w:numPr>
          <w:ilvl w:val="1"/>
          <w:numId w:val="60"/>
        </w:numPr>
        <w:spacing w:after="120"/>
        <w:ind w:left="709" w:hanging="709"/>
        <w:rPr>
          <w:rFonts w:ascii="Calibri" w:eastAsiaTheme="minorHAnsi" w:hAnsi="Calibri" w:cs="Calibri"/>
          <w:sz w:val="22"/>
          <w:lang w:eastAsia="en-US"/>
        </w:rPr>
      </w:pPr>
      <w:r>
        <w:rPr>
          <w:rFonts w:ascii="Calibri" w:eastAsiaTheme="minorHAnsi" w:hAnsi="Calibri" w:cs="Calibri"/>
          <w:sz w:val="22"/>
          <w:lang w:eastAsia="en-US"/>
        </w:rPr>
        <w:t>A</w:t>
      </w:r>
      <w:r w:rsidRPr="00703564">
        <w:rPr>
          <w:rFonts w:ascii="Calibri" w:eastAsiaTheme="minorHAnsi" w:hAnsi="Calibri" w:cs="Calibri"/>
          <w:sz w:val="22"/>
          <w:lang w:eastAsia="en-US"/>
        </w:rPr>
        <w:t>s part of the Government’s Commonwealth Financial Accountability Review (CFAR)</w:t>
      </w:r>
      <w:r>
        <w:rPr>
          <w:rFonts w:ascii="Calibri" w:eastAsiaTheme="minorHAnsi" w:hAnsi="Calibri" w:cs="Calibri"/>
          <w:sz w:val="22"/>
          <w:lang w:eastAsia="en-US"/>
        </w:rPr>
        <w:t xml:space="preserve"> process, </w:t>
      </w:r>
      <w:r w:rsidR="00841D9A" w:rsidRPr="00703564">
        <w:rPr>
          <w:rFonts w:ascii="Calibri" w:eastAsiaTheme="minorHAnsi" w:hAnsi="Calibri" w:cs="Calibri"/>
          <w:sz w:val="22"/>
          <w:lang w:eastAsia="en-US"/>
        </w:rPr>
        <w:t xml:space="preserve">the Minister for Finance, </w:t>
      </w:r>
      <w:r w:rsidR="008432CE">
        <w:rPr>
          <w:rFonts w:ascii="Calibri" w:eastAsiaTheme="minorHAnsi" w:hAnsi="Calibri" w:cs="Calibri"/>
          <w:sz w:val="22"/>
          <w:lang w:eastAsia="en-US"/>
        </w:rPr>
        <w:t xml:space="preserve">the </w:t>
      </w:r>
      <w:r w:rsidR="00841D9A" w:rsidRPr="00703564">
        <w:rPr>
          <w:rFonts w:ascii="Calibri" w:eastAsiaTheme="minorHAnsi" w:hAnsi="Calibri" w:cs="Calibri"/>
          <w:sz w:val="22"/>
          <w:lang w:eastAsia="en-US"/>
        </w:rPr>
        <w:t xml:space="preserve">Hon Penny Wong MP, </w:t>
      </w:r>
      <w:r>
        <w:rPr>
          <w:rFonts w:ascii="Calibri" w:eastAsiaTheme="minorHAnsi" w:hAnsi="Calibri" w:cs="Calibri"/>
          <w:sz w:val="22"/>
          <w:lang w:eastAsia="en-US"/>
        </w:rPr>
        <w:t>i</w:t>
      </w:r>
      <w:r w:rsidRPr="00703564">
        <w:rPr>
          <w:rFonts w:ascii="Calibri" w:eastAsiaTheme="minorHAnsi" w:hAnsi="Calibri" w:cs="Calibri"/>
          <w:sz w:val="22"/>
          <w:lang w:eastAsia="en-US"/>
        </w:rPr>
        <w:t xml:space="preserve">n </w:t>
      </w:r>
      <w:r>
        <w:rPr>
          <w:rFonts w:ascii="Calibri" w:eastAsiaTheme="minorHAnsi" w:hAnsi="Calibri" w:cs="Calibri"/>
          <w:sz w:val="22"/>
          <w:lang w:eastAsia="en-US"/>
        </w:rPr>
        <w:t>November 2012</w:t>
      </w:r>
      <w:r w:rsidR="00841D9A" w:rsidRPr="00703564">
        <w:rPr>
          <w:rFonts w:ascii="Calibri" w:eastAsiaTheme="minorHAnsi" w:hAnsi="Calibri" w:cs="Calibri"/>
          <w:sz w:val="22"/>
          <w:lang w:eastAsia="en-US"/>
        </w:rPr>
        <w:t xml:space="preserve"> </w:t>
      </w:r>
      <w:r w:rsidR="00841D9A" w:rsidRPr="00733EE3">
        <w:rPr>
          <w:rFonts w:ascii="Calibri" w:eastAsiaTheme="minorHAnsi" w:hAnsi="Calibri" w:cs="Calibri"/>
          <w:sz w:val="22"/>
          <w:lang w:eastAsia="en-US"/>
        </w:rPr>
        <w:t xml:space="preserve">released a Position Paper </w:t>
      </w:r>
      <w:r w:rsidR="00590A29">
        <w:rPr>
          <w:rFonts w:ascii="Calibri" w:eastAsiaTheme="minorHAnsi" w:hAnsi="Calibri" w:cs="Calibri"/>
          <w:sz w:val="22"/>
          <w:lang w:eastAsia="en-US"/>
        </w:rPr>
        <w:t>on</w:t>
      </w:r>
      <w:r w:rsidR="00841D9A" w:rsidRPr="00733EE3">
        <w:rPr>
          <w:rFonts w:ascii="Calibri" w:eastAsiaTheme="minorHAnsi" w:hAnsi="Calibri" w:cs="Calibri"/>
          <w:sz w:val="22"/>
          <w:lang w:eastAsia="en-US"/>
        </w:rPr>
        <w:t xml:space="preserve"> the Government’s focus on </w:t>
      </w:r>
      <w:r w:rsidR="00841D9A" w:rsidRPr="006D2656">
        <w:rPr>
          <w:rFonts w:ascii="Calibri" w:eastAsiaTheme="minorHAnsi" w:hAnsi="Calibri" w:cs="Calibri"/>
          <w:sz w:val="22"/>
          <w:lang w:eastAsia="en-US"/>
        </w:rPr>
        <w:t xml:space="preserve">identifying changes to the financial framework </w:t>
      </w:r>
      <w:r w:rsidR="00841D9A" w:rsidRPr="009C3262">
        <w:rPr>
          <w:rFonts w:ascii="Calibri" w:eastAsiaTheme="minorHAnsi" w:hAnsi="Calibri" w:cs="Calibri"/>
          <w:sz w:val="22"/>
          <w:lang w:eastAsia="en-US"/>
        </w:rPr>
        <w:t xml:space="preserve">of the public sector </w:t>
      </w:r>
      <w:r w:rsidR="00841D9A" w:rsidRPr="002B3F4E">
        <w:rPr>
          <w:rFonts w:ascii="Calibri" w:eastAsiaTheme="minorHAnsi" w:hAnsi="Calibri" w:cs="Calibri"/>
          <w:sz w:val="22"/>
          <w:lang w:eastAsia="en-US"/>
        </w:rPr>
        <w:t>that can boost government productivity, efficiency and performance.</w:t>
      </w:r>
      <w:r w:rsidR="00703564">
        <w:rPr>
          <w:rStyle w:val="FootnoteReference"/>
          <w:rFonts w:ascii="Calibri" w:eastAsiaTheme="minorHAnsi" w:hAnsi="Calibri" w:cs="Calibri"/>
          <w:sz w:val="22"/>
          <w:lang w:eastAsia="en-US"/>
        </w:rPr>
        <w:footnoteReference w:id="52"/>
      </w:r>
      <w:r w:rsidR="00703564" w:rsidRPr="00703564">
        <w:rPr>
          <w:rFonts w:ascii="Calibri" w:eastAsiaTheme="minorHAnsi" w:hAnsi="Calibri" w:cs="Calibri"/>
          <w:sz w:val="22"/>
          <w:lang w:eastAsia="en-US"/>
        </w:rPr>
        <w:t xml:space="preserve">  A key legislative proposal </w:t>
      </w:r>
      <w:r w:rsidR="00590A29">
        <w:rPr>
          <w:rFonts w:ascii="Calibri" w:eastAsiaTheme="minorHAnsi" w:hAnsi="Calibri" w:cs="Calibri"/>
          <w:sz w:val="22"/>
          <w:lang w:eastAsia="en-US"/>
        </w:rPr>
        <w:t>in</w:t>
      </w:r>
      <w:r w:rsidR="00703564" w:rsidRPr="00703564">
        <w:rPr>
          <w:rFonts w:ascii="Calibri" w:eastAsiaTheme="minorHAnsi" w:hAnsi="Calibri" w:cs="Calibri"/>
          <w:sz w:val="22"/>
          <w:lang w:eastAsia="en-US"/>
        </w:rPr>
        <w:t xml:space="preserve"> this </w:t>
      </w:r>
      <w:r w:rsidR="00590A29">
        <w:rPr>
          <w:rFonts w:ascii="Calibri" w:eastAsiaTheme="minorHAnsi" w:hAnsi="Calibri" w:cs="Calibri"/>
          <w:sz w:val="22"/>
          <w:lang w:eastAsia="en-US"/>
        </w:rPr>
        <w:t>Position P</w:t>
      </w:r>
      <w:r w:rsidR="00703564" w:rsidRPr="00703564">
        <w:rPr>
          <w:rFonts w:ascii="Calibri" w:eastAsiaTheme="minorHAnsi" w:hAnsi="Calibri" w:cs="Calibri"/>
          <w:sz w:val="22"/>
          <w:lang w:eastAsia="en-US"/>
        </w:rPr>
        <w:t xml:space="preserve">aper is that a single Act that sets out the fundamental </w:t>
      </w:r>
      <w:r w:rsidR="00703564" w:rsidRPr="00733EE3">
        <w:rPr>
          <w:rFonts w:ascii="Calibri" w:eastAsiaTheme="minorHAnsi" w:hAnsi="Calibri" w:cs="Calibri"/>
          <w:sz w:val="22"/>
          <w:lang w:eastAsia="en-US"/>
        </w:rPr>
        <w:t>elements of the financial framework should replace the current model that distinguishes</w:t>
      </w:r>
      <w:r w:rsidR="00703564">
        <w:rPr>
          <w:rFonts w:ascii="Calibri" w:eastAsiaTheme="minorHAnsi" w:hAnsi="Calibri" w:cs="Calibri"/>
          <w:sz w:val="22"/>
          <w:lang w:eastAsia="en-US"/>
        </w:rPr>
        <w:t xml:space="preserve"> </w:t>
      </w:r>
      <w:r w:rsidR="00703564" w:rsidRPr="00703564">
        <w:rPr>
          <w:rFonts w:ascii="Calibri" w:eastAsiaTheme="minorHAnsi" w:hAnsi="Calibri" w:cs="Calibri"/>
          <w:sz w:val="22"/>
          <w:lang w:eastAsia="en-US"/>
        </w:rPr>
        <w:t>between FMA and CAC Act bodies.</w:t>
      </w:r>
    </w:p>
    <w:p w:rsidR="00703564" w:rsidRPr="00703564" w:rsidRDefault="00703564" w:rsidP="00703564">
      <w:pPr>
        <w:numPr>
          <w:ilvl w:val="1"/>
          <w:numId w:val="60"/>
        </w:numPr>
        <w:spacing w:after="120"/>
        <w:ind w:left="709" w:hanging="709"/>
        <w:rPr>
          <w:rFonts w:ascii="Calibri" w:eastAsiaTheme="minorHAnsi" w:hAnsi="Calibri" w:cs="Calibri"/>
          <w:sz w:val="22"/>
          <w:lang w:eastAsia="en-US"/>
        </w:rPr>
      </w:pPr>
      <w:r>
        <w:rPr>
          <w:rFonts w:ascii="Calibri" w:eastAsiaTheme="minorHAnsi" w:hAnsi="Calibri" w:cs="Calibri"/>
          <w:sz w:val="22"/>
          <w:lang w:eastAsia="en-US"/>
        </w:rPr>
        <w:t xml:space="preserve">The Government is seeking submissions on the issues raised in the Position Paper </w:t>
      </w:r>
      <w:r w:rsidR="00590A29">
        <w:rPr>
          <w:rFonts w:ascii="Calibri" w:eastAsiaTheme="minorHAnsi" w:hAnsi="Calibri" w:cs="Calibri"/>
          <w:sz w:val="22"/>
          <w:lang w:eastAsia="en-US"/>
        </w:rPr>
        <w:t>prior</w:t>
      </w:r>
      <w:r>
        <w:rPr>
          <w:rFonts w:ascii="Calibri" w:eastAsiaTheme="minorHAnsi" w:hAnsi="Calibri" w:cs="Calibri"/>
          <w:sz w:val="22"/>
          <w:lang w:eastAsia="en-US"/>
        </w:rPr>
        <w:t xml:space="preserve"> to finalising its position. The recommendations made in this Report </w:t>
      </w:r>
      <w:r w:rsidR="00C74D4C">
        <w:rPr>
          <w:rFonts w:ascii="Calibri" w:eastAsiaTheme="minorHAnsi" w:hAnsi="Calibri" w:cs="Calibri"/>
          <w:sz w:val="22"/>
          <w:lang w:eastAsia="en-US"/>
        </w:rPr>
        <w:t xml:space="preserve">are </w:t>
      </w:r>
      <w:r>
        <w:rPr>
          <w:rFonts w:ascii="Calibri" w:eastAsiaTheme="minorHAnsi" w:hAnsi="Calibri" w:cs="Calibri"/>
          <w:sz w:val="22"/>
          <w:lang w:eastAsia="en-US"/>
        </w:rPr>
        <w:t>not at odds with the Position Paper</w:t>
      </w:r>
      <w:r w:rsidR="00590A29">
        <w:rPr>
          <w:rFonts w:ascii="Calibri" w:eastAsiaTheme="minorHAnsi" w:hAnsi="Calibri" w:cs="Calibri"/>
          <w:sz w:val="22"/>
          <w:lang w:eastAsia="en-US"/>
        </w:rPr>
        <w:t xml:space="preserve"> and could be seen as a first step in </w:t>
      </w:r>
      <w:r w:rsidR="006A3C81">
        <w:rPr>
          <w:rFonts w:ascii="Calibri" w:eastAsiaTheme="minorHAnsi" w:hAnsi="Calibri" w:cs="Calibri"/>
          <w:sz w:val="22"/>
          <w:lang w:eastAsia="en-US"/>
        </w:rPr>
        <w:t>a transition</w:t>
      </w:r>
      <w:r w:rsidR="00590A29">
        <w:rPr>
          <w:rFonts w:ascii="Calibri" w:eastAsiaTheme="minorHAnsi" w:hAnsi="Calibri" w:cs="Calibri"/>
          <w:sz w:val="22"/>
          <w:lang w:eastAsia="en-US"/>
        </w:rPr>
        <w:t xml:space="preserve"> process</w:t>
      </w:r>
      <w:r>
        <w:rPr>
          <w:rFonts w:ascii="Calibri" w:eastAsiaTheme="minorHAnsi" w:hAnsi="Calibri" w:cs="Calibri"/>
          <w:sz w:val="22"/>
          <w:lang w:eastAsia="en-US"/>
        </w:rPr>
        <w:t>.</w:t>
      </w:r>
    </w:p>
    <w:p w:rsidR="00797CEF" w:rsidRPr="00797CEF" w:rsidRDefault="00797CEF" w:rsidP="00797CEF">
      <w:pPr>
        <w:keepNext/>
        <w:keepLines/>
        <w:spacing w:before="100" w:beforeAutospacing="1" w:after="100" w:afterAutospacing="1"/>
        <w:outlineLvl w:val="2"/>
        <w:rPr>
          <w:rFonts w:ascii="Arial Bold" w:eastAsiaTheme="majorEastAsia" w:hAnsi="Arial Bold" w:cs="Calibri"/>
          <w:bCs/>
          <w:caps/>
          <w:color w:val="1F497D" w:themeColor="text2"/>
          <w:sz w:val="23"/>
          <w:szCs w:val="23"/>
        </w:rPr>
      </w:pPr>
      <w:bookmarkStart w:id="557" w:name="_Toc341778040"/>
      <w:bookmarkStart w:id="558" w:name="_Toc342578413"/>
      <w:r w:rsidRPr="00797CEF">
        <w:rPr>
          <w:rFonts w:ascii="Arial Bold" w:eastAsiaTheme="majorEastAsia" w:hAnsi="Arial Bold" w:cs="Calibri"/>
          <w:bCs/>
          <w:caps/>
          <w:color w:val="1F497D" w:themeColor="text2"/>
          <w:sz w:val="23"/>
          <w:szCs w:val="23"/>
        </w:rPr>
        <w:t>Comcare as a CAC Act body</w:t>
      </w:r>
      <w:bookmarkEnd w:id="557"/>
      <w:bookmarkEnd w:id="558"/>
    </w:p>
    <w:p w:rsidR="00797CEF" w:rsidRPr="00797CEF" w:rsidRDefault="00797CEF" w:rsidP="00797CEF">
      <w:pPr>
        <w:numPr>
          <w:ilvl w:val="1"/>
          <w:numId w:val="60"/>
        </w:numPr>
        <w:spacing w:after="120"/>
        <w:ind w:left="709" w:hanging="709"/>
        <w:rPr>
          <w:rFonts w:ascii="Calibri" w:eastAsiaTheme="minorHAnsi" w:hAnsi="Calibri" w:cs="Calibri"/>
          <w:sz w:val="22"/>
          <w:lang w:eastAsia="en-US"/>
        </w:rPr>
      </w:pPr>
      <w:r w:rsidRPr="00797CEF">
        <w:rPr>
          <w:rFonts w:ascii="Calibri" w:eastAsiaTheme="minorHAnsi" w:hAnsi="Calibri" w:cs="Calibri"/>
          <w:sz w:val="22"/>
          <w:lang w:eastAsia="en-US"/>
        </w:rPr>
        <w:t xml:space="preserve">Comcare is subject to the CAC Act as specified by the SRC Act.  However,  </w:t>
      </w:r>
      <w:r w:rsidR="006F1379">
        <w:rPr>
          <w:rFonts w:ascii="Calibri" w:eastAsiaTheme="minorHAnsi" w:hAnsi="Calibri" w:cs="Calibri"/>
          <w:sz w:val="22"/>
          <w:lang w:eastAsia="en-US"/>
        </w:rPr>
        <w:t>it</w:t>
      </w:r>
      <w:r w:rsidR="006F1379" w:rsidRPr="00797CEF">
        <w:rPr>
          <w:rFonts w:ascii="Calibri" w:eastAsiaTheme="minorHAnsi" w:hAnsi="Calibri" w:cs="Calibri"/>
          <w:sz w:val="22"/>
          <w:lang w:eastAsia="en-US"/>
        </w:rPr>
        <w:t xml:space="preserve"> </w:t>
      </w:r>
      <w:r w:rsidRPr="00797CEF">
        <w:rPr>
          <w:rFonts w:ascii="Calibri" w:eastAsiaTheme="minorHAnsi" w:hAnsi="Calibri" w:cs="Calibri"/>
          <w:sz w:val="22"/>
          <w:lang w:eastAsia="en-US"/>
        </w:rPr>
        <w:t>is really a hybrid entity as elements of its existing structure and functional features are typical of an FMA Act body (such as claims management processing for other  government bodies)  while others are more akin to a CAC Act body (such as the long term insurance function).</w:t>
      </w:r>
    </w:p>
    <w:p w:rsidR="00797CEF" w:rsidRPr="00797CEF" w:rsidRDefault="00797CEF" w:rsidP="00797CEF">
      <w:pPr>
        <w:numPr>
          <w:ilvl w:val="1"/>
          <w:numId w:val="60"/>
        </w:numPr>
        <w:spacing w:after="120"/>
        <w:ind w:left="709" w:hanging="709"/>
        <w:rPr>
          <w:rFonts w:ascii="Calibri" w:eastAsiaTheme="minorHAnsi" w:hAnsi="Calibri" w:cs="Calibri"/>
          <w:sz w:val="22"/>
          <w:lang w:eastAsia="en-US"/>
        </w:rPr>
      </w:pPr>
      <w:r w:rsidRPr="00797CEF">
        <w:rPr>
          <w:rFonts w:ascii="Calibri" w:eastAsiaTheme="minorHAnsi" w:hAnsi="Calibri" w:cs="Calibri"/>
          <w:sz w:val="22"/>
          <w:lang w:eastAsia="en-US"/>
        </w:rPr>
        <w:t xml:space="preserve">The SRC Act states that Comcare is constituted by a CEO, appointed by the Governor General. </w:t>
      </w:r>
      <w:r w:rsidR="006119B7">
        <w:rPr>
          <w:rFonts w:ascii="Calibri" w:eastAsiaTheme="minorHAnsi" w:hAnsi="Calibri" w:cs="Calibri"/>
          <w:sz w:val="22"/>
          <w:lang w:eastAsia="en-US"/>
        </w:rPr>
        <w:t>U</w:t>
      </w:r>
      <w:r w:rsidRPr="00797CEF">
        <w:rPr>
          <w:rFonts w:ascii="Calibri" w:eastAsiaTheme="minorHAnsi" w:hAnsi="Calibri" w:cs="Calibri"/>
          <w:sz w:val="22"/>
          <w:lang w:eastAsia="en-US"/>
        </w:rPr>
        <w:t xml:space="preserve">nlike the vast majority of other agencies subject to the CAC Act, which have a multi-member board at </w:t>
      </w:r>
      <w:r w:rsidR="006F1379">
        <w:rPr>
          <w:rFonts w:ascii="Calibri" w:eastAsiaTheme="minorHAnsi" w:hAnsi="Calibri" w:cs="Calibri"/>
          <w:sz w:val="22"/>
          <w:lang w:eastAsia="en-US"/>
        </w:rPr>
        <w:t>their</w:t>
      </w:r>
      <w:r w:rsidR="006F1379" w:rsidRPr="00797CEF">
        <w:rPr>
          <w:rFonts w:ascii="Calibri" w:eastAsiaTheme="minorHAnsi" w:hAnsi="Calibri" w:cs="Calibri"/>
          <w:sz w:val="22"/>
          <w:lang w:eastAsia="en-US"/>
        </w:rPr>
        <w:t xml:space="preserve"> </w:t>
      </w:r>
      <w:r w:rsidRPr="00797CEF">
        <w:rPr>
          <w:rFonts w:ascii="Calibri" w:eastAsiaTheme="minorHAnsi" w:hAnsi="Calibri" w:cs="Calibri"/>
          <w:sz w:val="22"/>
          <w:lang w:eastAsia="en-US"/>
        </w:rPr>
        <w:t xml:space="preserve">apex, Comcare is governed by a sole Director.  The SRC Act also states that for the purposes of the CAC Act, the Director of Comcare is its CEO, and exempts </w:t>
      </w:r>
      <w:r w:rsidRPr="00797CEF">
        <w:rPr>
          <w:rFonts w:ascii="Calibri" w:eastAsiaTheme="minorHAnsi" w:hAnsi="Calibri" w:cs="Calibri"/>
          <w:sz w:val="22"/>
          <w:lang w:eastAsia="en-US"/>
        </w:rPr>
        <w:lastRenderedPageBreak/>
        <w:t>the CEO from Sections 27F to 27L of the CAC Act which concerns, among other things, the Director’s duty to disclose material of a personal interest when conflict arises.</w:t>
      </w:r>
    </w:p>
    <w:p w:rsidR="00797CEF" w:rsidRPr="00797CEF" w:rsidRDefault="00797CEF" w:rsidP="00797CEF">
      <w:pPr>
        <w:numPr>
          <w:ilvl w:val="1"/>
          <w:numId w:val="60"/>
        </w:numPr>
        <w:spacing w:after="120"/>
        <w:ind w:left="709" w:hanging="709"/>
        <w:rPr>
          <w:rFonts w:ascii="Calibri" w:eastAsiaTheme="minorHAnsi" w:hAnsi="Calibri" w:cs="Calibri"/>
          <w:sz w:val="22"/>
          <w:lang w:eastAsia="en-US"/>
        </w:rPr>
      </w:pPr>
      <w:r w:rsidRPr="00797CEF">
        <w:rPr>
          <w:rFonts w:ascii="Calibri" w:eastAsiaTheme="minorHAnsi" w:hAnsi="Calibri" w:cs="Calibri"/>
          <w:sz w:val="22"/>
          <w:lang w:eastAsia="en-US"/>
        </w:rPr>
        <w:t xml:space="preserve">Positioning the CEO of Comcare as the Director under the CAC Act effectively creates a dual role for that individual.  The first is that of Comcare CEO which has certain responsibilities and requirements to satisfy under the SRC Act.  Unlike other CAC Act bodies with a multi-member board who share the responsibility of satisfying Director’s duties stipulated under the CAC Act, Comcare’s CEO </w:t>
      </w:r>
      <w:r w:rsidR="006F1379">
        <w:rPr>
          <w:rFonts w:ascii="Calibri" w:eastAsiaTheme="minorHAnsi" w:hAnsi="Calibri" w:cs="Calibri"/>
          <w:sz w:val="22"/>
          <w:lang w:eastAsia="en-US"/>
        </w:rPr>
        <w:t>a</w:t>
      </w:r>
      <w:r w:rsidR="006F1379" w:rsidRPr="00797CEF">
        <w:rPr>
          <w:rFonts w:ascii="Calibri" w:eastAsiaTheme="minorHAnsi" w:hAnsi="Calibri" w:cs="Calibri"/>
          <w:sz w:val="22"/>
          <w:lang w:eastAsia="en-US"/>
        </w:rPr>
        <w:t xml:space="preserve">s </w:t>
      </w:r>
      <w:r w:rsidRPr="00797CEF">
        <w:rPr>
          <w:rFonts w:ascii="Calibri" w:eastAsiaTheme="minorHAnsi" w:hAnsi="Calibri" w:cs="Calibri"/>
          <w:sz w:val="22"/>
          <w:lang w:eastAsia="en-US"/>
        </w:rPr>
        <w:t>the sole Director carries the full responsibility and risk alone.</w:t>
      </w:r>
    </w:p>
    <w:p w:rsidR="00797CEF" w:rsidRPr="00797CEF" w:rsidRDefault="00797CEF" w:rsidP="00797CEF">
      <w:pPr>
        <w:numPr>
          <w:ilvl w:val="1"/>
          <w:numId w:val="60"/>
        </w:numPr>
        <w:spacing w:after="120"/>
        <w:ind w:left="709" w:hanging="709"/>
        <w:rPr>
          <w:rFonts w:asciiTheme="minorHAnsi" w:eastAsiaTheme="minorHAnsi" w:hAnsiTheme="minorHAnsi" w:cstheme="minorHAnsi"/>
          <w:sz w:val="22"/>
          <w:lang w:eastAsia="en-US"/>
        </w:rPr>
      </w:pPr>
      <w:r w:rsidRPr="00797CEF">
        <w:rPr>
          <w:rFonts w:ascii="Calibri" w:eastAsiaTheme="minorHAnsi" w:hAnsi="Calibri" w:cs="Calibri"/>
          <w:sz w:val="22"/>
          <w:lang w:eastAsia="en-US"/>
        </w:rPr>
        <w:t xml:space="preserve">Increased personal risk for CEOs and senior management is a feature of bodies under the CAC Act where </w:t>
      </w:r>
      <w:r w:rsidR="006F1379">
        <w:rPr>
          <w:rFonts w:ascii="Calibri" w:eastAsiaTheme="minorHAnsi" w:hAnsi="Calibri" w:cs="Calibri"/>
          <w:sz w:val="22"/>
          <w:lang w:eastAsia="en-US"/>
        </w:rPr>
        <w:t>they are</w:t>
      </w:r>
      <w:r w:rsidRPr="00797CEF">
        <w:rPr>
          <w:rFonts w:ascii="Calibri" w:eastAsiaTheme="minorHAnsi" w:hAnsi="Calibri" w:cs="Calibri"/>
          <w:sz w:val="22"/>
          <w:lang w:eastAsia="en-US"/>
        </w:rPr>
        <w:t xml:space="preserve"> commercial or entrepreneurial in nature.  </w:t>
      </w:r>
      <w:r w:rsidR="006F1379">
        <w:rPr>
          <w:rFonts w:ascii="Calibri" w:eastAsiaTheme="minorHAnsi" w:hAnsi="Calibri" w:cs="Calibri"/>
          <w:sz w:val="22"/>
          <w:lang w:eastAsia="en-US"/>
        </w:rPr>
        <w:t>C</w:t>
      </w:r>
      <w:r w:rsidRPr="00797CEF">
        <w:rPr>
          <w:rFonts w:ascii="Calibri" w:eastAsiaTheme="minorHAnsi" w:hAnsi="Calibri" w:cs="Calibri"/>
          <w:sz w:val="22"/>
          <w:lang w:eastAsia="en-US"/>
        </w:rPr>
        <w:t xml:space="preserve">arriage of this risk by the CEO of Comcare is questionable, given that </w:t>
      </w:r>
      <w:r w:rsidR="006F1379">
        <w:rPr>
          <w:rFonts w:ascii="Calibri" w:eastAsiaTheme="minorHAnsi" w:hAnsi="Calibri" w:cs="Calibri"/>
          <w:sz w:val="22"/>
          <w:lang w:eastAsia="en-US"/>
        </w:rPr>
        <w:t>it</w:t>
      </w:r>
      <w:r w:rsidR="006F1379" w:rsidRPr="00797CEF">
        <w:rPr>
          <w:rFonts w:ascii="Calibri" w:eastAsiaTheme="minorHAnsi" w:hAnsi="Calibri" w:cs="Calibri"/>
          <w:sz w:val="22"/>
          <w:lang w:eastAsia="en-US"/>
        </w:rPr>
        <w:t xml:space="preserve"> </w:t>
      </w:r>
      <w:r w:rsidRPr="00797CEF">
        <w:rPr>
          <w:rFonts w:ascii="Calibri" w:eastAsiaTheme="minorHAnsi" w:hAnsi="Calibri" w:cs="Calibri"/>
          <w:sz w:val="22"/>
          <w:lang w:eastAsia="en-US"/>
        </w:rPr>
        <w:t xml:space="preserve">is a body with a mostly public </w:t>
      </w:r>
      <w:r w:rsidR="000A3F6D" w:rsidRPr="00797CEF">
        <w:rPr>
          <w:rFonts w:ascii="Calibri" w:eastAsiaTheme="minorHAnsi" w:hAnsi="Calibri" w:cs="Calibri"/>
          <w:sz w:val="22"/>
          <w:lang w:eastAsia="en-US"/>
        </w:rPr>
        <w:t>purpose.</w:t>
      </w:r>
      <w:r w:rsidRPr="00797CEF">
        <w:rPr>
          <w:rFonts w:asciiTheme="minorHAnsi" w:eastAsiaTheme="minorHAnsi" w:hAnsiTheme="minorHAnsi" w:cstheme="minorHAnsi"/>
          <w:sz w:val="22"/>
          <w:vertAlign w:val="superscript"/>
          <w:lang w:eastAsia="en-US"/>
        </w:rPr>
        <w:footnoteReference w:id="53"/>
      </w:r>
    </w:p>
    <w:p w:rsidR="00797CEF" w:rsidRPr="00797CEF" w:rsidRDefault="00797CEF" w:rsidP="00797CEF">
      <w:pPr>
        <w:numPr>
          <w:ilvl w:val="1"/>
          <w:numId w:val="60"/>
        </w:numPr>
        <w:spacing w:after="120"/>
        <w:ind w:left="709" w:hanging="709"/>
        <w:rPr>
          <w:rFonts w:ascii="Calibri" w:eastAsiaTheme="minorHAnsi" w:hAnsi="Calibri" w:cs="Calibri"/>
          <w:sz w:val="22"/>
          <w:lang w:eastAsia="en-US"/>
        </w:rPr>
      </w:pPr>
      <w:r w:rsidRPr="00797CEF">
        <w:rPr>
          <w:rFonts w:ascii="Calibri" w:eastAsiaTheme="minorHAnsi" w:hAnsi="Calibri" w:cs="Calibri"/>
          <w:sz w:val="22"/>
          <w:lang w:eastAsia="en-US"/>
        </w:rPr>
        <w:t xml:space="preserve">Comcare is not a commercial or entrepreneurial entity and the bulk of its funding is obtained from the Commonwealth Government which is public money.  This raises the question of whether it is appropriate for the CEO of Comcare to be subject to such personal risk stemming from their position as </w:t>
      </w:r>
      <w:r w:rsidR="006F1379">
        <w:rPr>
          <w:rFonts w:ascii="Calibri" w:eastAsiaTheme="minorHAnsi" w:hAnsi="Calibri" w:cs="Calibri"/>
          <w:sz w:val="22"/>
          <w:lang w:eastAsia="en-US"/>
        </w:rPr>
        <w:t xml:space="preserve">sole </w:t>
      </w:r>
      <w:r w:rsidRPr="00797CEF">
        <w:rPr>
          <w:rFonts w:ascii="Calibri" w:eastAsiaTheme="minorHAnsi" w:hAnsi="Calibri" w:cs="Calibri"/>
          <w:sz w:val="22"/>
          <w:lang w:eastAsia="en-US"/>
        </w:rPr>
        <w:t>Director for the purposes of the CAC Act.</w:t>
      </w:r>
    </w:p>
    <w:p w:rsidR="00797CEF" w:rsidRPr="00797CEF" w:rsidRDefault="00797CEF" w:rsidP="00797CEF">
      <w:pPr>
        <w:numPr>
          <w:ilvl w:val="1"/>
          <w:numId w:val="60"/>
        </w:numPr>
        <w:spacing w:after="120"/>
        <w:ind w:left="709" w:hanging="709"/>
        <w:rPr>
          <w:rFonts w:asciiTheme="minorHAnsi" w:eastAsiaTheme="minorHAnsi" w:hAnsiTheme="minorHAnsi" w:cstheme="minorHAnsi"/>
          <w:sz w:val="22"/>
          <w:lang w:eastAsia="en-US"/>
        </w:rPr>
      </w:pPr>
      <w:r w:rsidRPr="00797CEF">
        <w:rPr>
          <w:rFonts w:ascii="Calibri" w:eastAsiaTheme="minorHAnsi" w:hAnsi="Calibri" w:cs="Calibri"/>
          <w:sz w:val="22"/>
          <w:lang w:eastAsia="en-US"/>
        </w:rPr>
        <w:t>The SRC Act does not establish a board for Comcare, however it does establish the multi</w:t>
      </w:r>
      <w:r w:rsidRPr="00797CEF">
        <w:rPr>
          <w:rFonts w:ascii="Calibri" w:eastAsiaTheme="minorHAnsi" w:hAnsi="Calibri" w:cs="Calibri"/>
          <w:sz w:val="22"/>
          <w:lang w:eastAsia="en-US"/>
        </w:rPr>
        <w:noBreakHyphen/>
        <w:t xml:space="preserve">member SRCC, the composition of which is discussed in Chapter One of this report, and all of whom must be appointed by the Governor General.  The SRC Act stipulates that for the purposes of the CAC Act, the Commissioners of the SRCC are not Directors of Comcare (Section </w:t>
      </w:r>
      <w:proofErr w:type="gramStart"/>
      <w:r w:rsidRPr="00797CEF">
        <w:rPr>
          <w:rFonts w:ascii="Calibri" w:eastAsiaTheme="minorHAnsi" w:hAnsi="Calibri" w:cs="Calibri"/>
          <w:sz w:val="22"/>
          <w:lang w:eastAsia="en-US"/>
        </w:rPr>
        <w:t>89E(</w:t>
      </w:r>
      <w:proofErr w:type="gramEnd"/>
      <w:r w:rsidRPr="00797CEF">
        <w:rPr>
          <w:rFonts w:ascii="Calibri" w:eastAsiaTheme="minorHAnsi" w:hAnsi="Calibri" w:cs="Calibri"/>
          <w:sz w:val="22"/>
          <w:lang w:eastAsia="en-US"/>
        </w:rPr>
        <w:t>2A)).  Notably, Section 89E(1) was amended by the</w:t>
      </w:r>
      <w:r w:rsidRPr="00797CEF">
        <w:rPr>
          <w:rFonts w:asciiTheme="minorHAnsi" w:eastAsiaTheme="minorHAnsi" w:hAnsiTheme="minorHAnsi" w:cstheme="minorHAnsi"/>
          <w:sz w:val="22"/>
          <w:lang w:eastAsia="en-US"/>
        </w:rPr>
        <w:t xml:space="preserve"> </w:t>
      </w:r>
      <w:r w:rsidRPr="00797CEF">
        <w:rPr>
          <w:rFonts w:asciiTheme="minorHAnsi" w:eastAsiaTheme="minorHAnsi" w:hAnsiTheme="minorHAnsi" w:cstheme="minorHAnsi"/>
          <w:i/>
          <w:sz w:val="22"/>
          <w:lang w:eastAsia="en-US"/>
        </w:rPr>
        <w:t>Work Health and Safety (Transitional and Consequential Provisions) Act 2011</w:t>
      </w:r>
      <w:r w:rsidRPr="00797CEF">
        <w:rPr>
          <w:rFonts w:asciiTheme="minorHAnsi" w:eastAsiaTheme="minorHAnsi" w:hAnsiTheme="minorHAnsi" w:cstheme="minorHAnsi"/>
          <w:sz w:val="22"/>
          <w:lang w:eastAsia="en-US"/>
        </w:rPr>
        <w:t xml:space="preserve"> </w:t>
      </w:r>
      <w:r w:rsidRPr="00797CEF">
        <w:rPr>
          <w:rFonts w:ascii="Calibri" w:eastAsiaTheme="minorHAnsi" w:hAnsi="Calibri" w:cs="Calibri"/>
          <w:sz w:val="22"/>
          <w:lang w:eastAsia="en-US"/>
        </w:rPr>
        <w:t xml:space="preserve">to remove the CEO of Comcare from the SRCC membership.  </w:t>
      </w:r>
      <w:r w:rsidR="006F1379">
        <w:rPr>
          <w:rFonts w:ascii="Calibri" w:eastAsiaTheme="minorHAnsi" w:hAnsi="Calibri" w:cs="Calibri"/>
          <w:sz w:val="22"/>
          <w:lang w:eastAsia="en-US"/>
        </w:rPr>
        <w:t>Prior</w:t>
      </w:r>
      <w:r w:rsidR="006F1379" w:rsidRPr="00797CEF">
        <w:rPr>
          <w:rFonts w:ascii="Calibri" w:eastAsiaTheme="minorHAnsi" w:hAnsi="Calibri" w:cs="Calibri"/>
          <w:sz w:val="22"/>
          <w:lang w:eastAsia="en-US"/>
        </w:rPr>
        <w:t xml:space="preserve"> </w:t>
      </w:r>
      <w:r w:rsidRPr="00797CEF">
        <w:rPr>
          <w:rFonts w:ascii="Calibri" w:eastAsiaTheme="minorHAnsi" w:hAnsi="Calibri" w:cs="Calibri"/>
          <w:sz w:val="22"/>
          <w:lang w:eastAsia="en-US"/>
        </w:rPr>
        <w:t>to that, the CEO was also a Commissioner for the SRCC.  This amendment was recommended by the Comcare CEO to enhance the governance arrangements of the SRCC and Comcare.  The SRC Act states that the CEO is not a Commissioner</w:t>
      </w:r>
      <w:r w:rsidR="006F1379">
        <w:rPr>
          <w:rFonts w:ascii="Calibri" w:eastAsiaTheme="minorHAnsi" w:hAnsi="Calibri" w:cs="Calibri"/>
          <w:sz w:val="22"/>
          <w:lang w:eastAsia="en-US"/>
        </w:rPr>
        <w:t>,</w:t>
      </w:r>
      <w:r w:rsidRPr="00797CEF">
        <w:rPr>
          <w:rFonts w:ascii="Calibri" w:eastAsiaTheme="minorHAnsi" w:hAnsi="Calibri" w:cs="Calibri"/>
          <w:sz w:val="22"/>
          <w:lang w:eastAsia="en-US"/>
        </w:rPr>
        <w:t xml:space="preserve"> however the SRCC can delegate any of its functions and powers to the CEO, excluding those under the </w:t>
      </w:r>
      <w:r w:rsidRPr="00797CEF">
        <w:rPr>
          <w:rFonts w:ascii="Calibri" w:eastAsiaTheme="minorHAnsi" w:hAnsi="Calibri" w:cs="Calibri"/>
          <w:i/>
          <w:sz w:val="22"/>
          <w:lang w:eastAsia="en-US"/>
        </w:rPr>
        <w:t>Work Health and Safety Act 2011</w:t>
      </w:r>
      <w:r w:rsidRPr="00797CEF">
        <w:rPr>
          <w:rFonts w:ascii="Calibri" w:eastAsiaTheme="minorHAnsi" w:hAnsi="Calibri" w:cs="Calibri"/>
          <w:sz w:val="22"/>
          <w:lang w:eastAsia="en-US"/>
        </w:rPr>
        <w:t xml:space="preserve"> (Section 89R(1) and (2)).</w:t>
      </w:r>
    </w:p>
    <w:p w:rsidR="00797CEF" w:rsidRPr="00797CEF" w:rsidRDefault="00797CEF" w:rsidP="00797CEF">
      <w:pPr>
        <w:numPr>
          <w:ilvl w:val="1"/>
          <w:numId w:val="60"/>
        </w:numPr>
        <w:spacing w:after="120"/>
        <w:ind w:left="709" w:hanging="709"/>
        <w:rPr>
          <w:rFonts w:ascii="Calibri" w:eastAsiaTheme="minorHAnsi" w:hAnsi="Calibri" w:cs="Calibri"/>
          <w:sz w:val="22"/>
          <w:lang w:eastAsia="en-US"/>
        </w:rPr>
      </w:pPr>
      <w:r w:rsidRPr="00797CEF">
        <w:rPr>
          <w:rFonts w:ascii="Calibri" w:eastAsiaTheme="minorHAnsi" w:hAnsi="Calibri" w:cs="Calibri"/>
          <w:sz w:val="22"/>
          <w:lang w:eastAsia="en-US"/>
        </w:rPr>
        <w:t xml:space="preserve">The specific role and purpose of the SRCC </w:t>
      </w:r>
      <w:r w:rsidR="00076F5F">
        <w:rPr>
          <w:rFonts w:ascii="Calibri" w:eastAsiaTheme="minorHAnsi" w:hAnsi="Calibri" w:cs="Calibri"/>
          <w:sz w:val="22"/>
          <w:lang w:eastAsia="en-US"/>
        </w:rPr>
        <w:t>with respect to workers</w:t>
      </w:r>
      <w:r w:rsidR="001D60B1">
        <w:rPr>
          <w:rFonts w:ascii="Calibri" w:eastAsiaTheme="minorHAnsi" w:hAnsi="Calibri" w:cs="Calibri"/>
          <w:sz w:val="22"/>
          <w:lang w:eastAsia="en-US"/>
        </w:rPr>
        <w:t>’</w:t>
      </w:r>
      <w:r w:rsidR="00076F5F">
        <w:rPr>
          <w:rFonts w:ascii="Calibri" w:eastAsiaTheme="minorHAnsi" w:hAnsi="Calibri" w:cs="Calibri"/>
          <w:sz w:val="22"/>
          <w:lang w:eastAsia="en-US"/>
        </w:rPr>
        <w:t xml:space="preserve"> compensation </w:t>
      </w:r>
      <w:r w:rsidRPr="00797CEF">
        <w:rPr>
          <w:rFonts w:ascii="Calibri" w:eastAsiaTheme="minorHAnsi" w:hAnsi="Calibri" w:cs="Calibri"/>
          <w:sz w:val="22"/>
          <w:lang w:eastAsia="en-US"/>
        </w:rPr>
        <w:t xml:space="preserve">is not clearly articulated in the SRC Act, but </w:t>
      </w:r>
      <w:r w:rsidR="008432CE">
        <w:rPr>
          <w:rFonts w:ascii="Calibri" w:eastAsiaTheme="minorHAnsi" w:hAnsi="Calibri" w:cs="Calibri"/>
          <w:sz w:val="22"/>
          <w:lang w:eastAsia="en-US"/>
        </w:rPr>
        <w:t>it</w:t>
      </w:r>
      <w:r w:rsidRPr="00797CEF">
        <w:rPr>
          <w:rFonts w:ascii="Calibri" w:eastAsiaTheme="minorHAnsi" w:hAnsi="Calibri" w:cs="Calibri"/>
          <w:sz w:val="22"/>
          <w:lang w:eastAsia="en-US"/>
        </w:rPr>
        <w:t xml:space="preserve"> does identify a range of functions which include the power to prepare and issue general policy guidelines to the CEO of Comcare in relation to the SRC Act</w:t>
      </w:r>
      <w:r w:rsidR="008432CE">
        <w:rPr>
          <w:rFonts w:ascii="Calibri" w:eastAsiaTheme="minorHAnsi" w:hAnsi="Calibri" w:cs="Calibri"/>
          <w:sz w:val="22"/>
          <w:lang w:eastAsia="en-US"/>
        </w:rPr>
        <w:t>’s operation</w:t>
      </w:r>
      <w:r w:rsidRPr="00797CEF">
        <w:rPr>
          <w:rFonts w:ascii="Calibri" w:eastAsiaTheme="minorHAnsi" w:hAnsi="Calibri" w:cs="Calibri"/>
          <w:sz w:val="22"/>
          <w:lang w:eastAsia="en-US"/>
        </w:rPr>
        <w:t>.  Section 73A of the SRC Act provides that Comcare must comply with these guidelines.  In complying with the guidelines</w:t>
      </w:r>
      <w:r w:rsidR="00DE4A9A" w:rsidRPr="00797CEF">
        <w:rPr>
          <w:rFonts w:ascii="Calibri" w:eastAsiaTheme="minorHAnsi" w:hAnsi="Calibri" w:cs="Calibri"/>
          <w:sz w:val="22"/>
          <w:lang w:eastAsia="en-US"/>
        </w:rPr>
        <w:t>, the</w:t>
      </w:r>
      <w:r w:rsidRPr="00797CEF">
        <w:rPr>
          <w:rFonts w:ascii="Calibri" w:eastAsiaTheme="minorHAnsi" w:hAnsi="Calibri" w:cs="Calibri"/>
          <w:sz w:val="22"/>
          <w:lang w:eastAsia="en-US"/>
        </w:rPr>
        <w:t xml:space="preserve"> CEO must also take into account his obligations as </w:t>
      </w:r>
      <w:r w:rsidR="00317079">
        <w:rPr>
          <w:rFonts w:ascii="Calibri" w:eastAsiaTheme="minorHAnsi" w:hAnsi="Calibri" w:cs="Calibri"/>
          <w:sz w:val="22"/>
          <w:lang w:eastAsia="en-US"/>
        </w:rPr>
        <w:t>sole</w:t>
      </w:r>
      <w:r w:rsidR="00317079" w:rsidRPr="00797CEF">
        <w:rPr>
          <w:rFonts w:ascii="Calibri" w:eastAsiaTheme="minorHAnsi" w:hAnsi="Calibri" w:cs="Calibri"/>
          <w:sz w:val="22"/>
          <w:lang w:eastAsia="en-US"/>
        </w:rPr>
        <w:t xml:space="preserve"> </w:t>
      </w:r>
      <w:r w:rsidRPr="00797CEF">
        <w:rPr>
          <w:rFonts w:ascii="Calibri" w:eastAsiaTheme="minorHAnsi" w:hAnsi="Calibri" w:cs="Calibri"/>
          <w:sz w:val="22"/>
          <w:lang w:eastAsia="en-US"/>
        </w:rPr>
        <w:t>Director of Comcare under the CAC Act.</w:t>
      </w:r>
    </w:p>
    <w:p w:rsidR="00C02215" w:rsidRDefault="00797CEF">
      <w:pPr>
        <w:numPr>
          <w:ilvl w:val="1"/>
          <w:numId w:val="60"/>
        </w:numPr>
        <w:spacing w:after="120"/>
        <w:ind w:left="709" w:hanging="709"/>
        <w:rPr>
          <w:rFonts w:ascii="Calibri" w:eastAsiaTheme="minorHAnsi" w:hAnsi="Calibri" w:cs="Calibri"/>
          <w:sz w:val="22"/>
          <w:lang w:eastAsia="en-US"/>
        </w:rPr>
      </w:pPr>
      <w:r w:rsidRPr="00797CEF">
        <w:rPr>
          <w:rFonts w:ascii="Calibri" w:eastAsiaTheme="minorHAnsi" w:hAnsi="Calibri" w:cs="Calibri"/>
          <w:sz w:val="22"/>
          <w:lang w:eastAsia="en-US"/>
        </w:rPr>
        <w:t xml:space="preserve">If guidelines prepared by the </w:t>
      </w:r>
      <w:r w:rsidR="00DE4A9A" w:rsidRPr="00797CEF">
        <w:rPr>
          <w:rFonts w:ascii="Calibri" w:eastAsiaTheme="minorHAnsi" w:hAnsi="Calibri" w:cs="Calibri"/>
          <w:sz w:val="22"/>
          <w:lang w:eastAsia="en-US"/>
        </w:rPr>
        <w:t>SRCC and</w:t>
      </w:r>
      <w:r w:rsidRPr="00797CEF">
        <w:rPr>
          <w:rFonts w:ascii="Calibri" w:eastAsiaTheme="minorHAnsi" w:hAnsi="Calibri" w:cs="Calibri"/>
          <w:sz w:val="22"/>
          <w:lang w:eastAsia="en-US"/>
        </w:rPr>
        <w:t xml:space="preserve"> complied with by Comcare have unintended consequences this could potentially result in the CEO being liable and sued for a failure in their role as Director.  Such liability rests only with the CEO, and none can be attributed to the SRCC.  The SRCC does not share the burden or risk inherent in the position of Director held by Comcare’s CEO for the purposes of the CAC Act.  There is therefore scope to enhance the transparency around the relationship between Comcare’s CEO and the role of the SRCC as reflected in the SRC Act to help minimise the risks faced by the CEO as well as improve the transparency of Comcare’s governance.</w:t>
      </w:r>
    </w:p>
    <w:p w:rsidR="00797CEF" w:rsidRPr="00797CEF" w:rsidRDefault="00797CEF" w:rsidP="00797CEF">
      <w:pPr>
        <w:keepNext/>
        <w:keepLines/>
        <w:spacing w:before="100" w:beforeAutospacing="1" w:after="100" w:afterAutospacing="1"/>
        <w:outlineLvl w:val="2"/>
        <w:rPr>
          <w:rFonts w:ascii="Arial Bold" w:eastAsiaTheme="majorEastAsia" w:hAnsi="Arial Bold" w:cs="Calibri"/>
          <w:bCs/>
          <w:caps/>
          <w:color w:val="1F497D" w:themeColor="text2"/>
          <w:sz w:val="23"/>
          <w:szCs w:val="23"/>
        </w:rPr>
      </w:pPr>
      <w:bookmarkStart w:id="559" w:name="_Toc341778041"/>
      <w:bookmarkStart w:id="560" w:name="_Toc342578414"/>
      <w:r w:rsidRPr="00797CEF">
        <w:rPr>
          <w:rFonts w:ascii="Arial Bold" w:eastAsiaTheme="majorEastAsia" w:hAnsi="Arial Bold" w:cs="Calibri"/>
          <w:bCs/>
          <w:caps/>
          <w:color w:val="1F497D" w:themeColor="text2"/>
          <w:sz w:val="23"/>
          <w:szCs w:val="23"/>
        </w:rPr>
        <w:t>Establishment of a Comcare Board</w:t>
      </w:r>
      <w:bookmarkEnd w:id="559"/>
      <w:bookmarkEnd w:id="560"/>
    </w:p>
    <w:p w:rsidR="002555F4" w:rsidRDefault="00797CEF">
      <w:pPr>
        <w:numPr>
          <w:ilvl w:val="1"/>
          <w:numId w:val="60"/>
        </w:numPr>
        <w:spacing w:after="120"/>
        <w:ind w:left="709" w:hanging="709"/>
        <w:rPr>
          <w:rFonts w:ascii="Calibri" w:eastAsiaTheme="minorHAnsi" w:hAnsi="Calibri" w:cs="Calibri"/>
          <w:sz w:val="22"/>
          <w:lang w:eastAsia="en-US"/>
        </w:rPr>
      </w:pPr>
      <w:r w:rsidRPr="00797CEF">
        <w:rPr>
          <w:rFonts w:ascii="Calibri" w:eastAsiaTheme="minorHAnsi" w:hAnsi="Calibri" w:cs="Calibri"/>
          <w:sz w:val="22"/>
          <w:lang w:eastAsia="en-US"/>
        </w:rPr>
        <w:t xml:space="preserve">Given the anomaly Comcare presents as a CAC Act body without a board at its apex, it is appropriate to explore whether a board should be created to resolve this.  </w:t>
      </w:r>
      <w:r w:rsidR="00CB72D0">
        <w:rPr>
          <w:rFonts w:ascii="Calibri" w:eastAsiaTheme="minorHAnsi" w:hAnsi="Calibri" w:cs="Calibri"/>
          <w:sz w:val="22"/>
          <w:lang w:eastAsia="en-US"/>
        </w:rPr>
        <w:t>T</w:t>
      </w:r>
      <w:r w:rsidRPr="00797CEF">
        <w:rPr>
          <w:rFonts w:ascii="Calibri" w:eastAsiaTheme="minorHAnsi" w:hAnsi="Calibri" w:cs="Calibri"/>
          <w:sz w:val="22"/>
          <w:lang w:eastAsia="en-US"/>
        </w:rPr>
        <w:t>wo types of boards can be considered - governing boards and advisory boards.</w:t>
      </w:r>
    </w:p>
    <w:p w:rsidR="002555F4" w:rsidRDefault="00797CEF">
      <w:pPr>
        <w:numPr>
          <w:ilvl w:val="1"/>
          <w:numId w:val="60"/>
        </w:numPr>
        <w:spacing w:after="120"/>
        <w:ind w:left="709" w:hanging="709"/>
        <w:rPr>
          <w:rFonts w:ascii="Calibri" w:eastAsiaTheme="minorHAnsi" w:hAnsi="Calibri" w:cs="Calibri"/>
          <w:sz w:val="22"/>
          <w:lang w:eastAsia="en-US"/>
        </w:rPr>
      </w:pPr>
      <w:r w:rsidRPr="00797CEF">
        <w:rPr>
          <w:rFonts w:ascii="Calibri" w:eastAsiaTheme="minorHAnsi" w:hAnsi="Calibri" w:cs="Calibri"/>
          <w:sz w:val="22"/>
          <w:lang w:eastAsia="en-US"/>
        </w:rPr>
        <w:lastRenderedPageBreak/>
        <w:t>Generally, in the private sector, a governing board has the responsibility for the running and performance of a company.  The company’s members, such as shareholders, confer powers on the Directors that constitute the board</w:t>
      </w:r>
      <w:r w:rsidRPr="00797CEF">
        <w:rPr>
          <w:rFonts w:asciiTheme="minorHAnsi" w:eastAsiaTheme="minorHAnsi" w:hAnsiTheme="minorHAnsi" w:cstheme="minorHAnsi"/>
          <w:sz w:val="22"/>
          <w:lang w:eastAsia="en-US"/>
        </w:rPr>
        <w:t>.</w:t>
      </w:r>
      <w:r w:rsidRPr="00797CEF">
        <w:rPr>
          <w:rFonts w:asciiTheme="minorHAnsi" w:eastAsiaTheme="minorHAnsi" w:hAnsiTheme="minorHAnsi" w:cstheme="minorHAnsi"/>
          <w:sz w:val="22"/>
          <w:vertAlign w:val="superscript"/>
          <w:lang w:eastAsia="en-US"/>
        </w:rPr>
        <w:footnoteReference w:id="54"/>
      </w:r>
      <w:r w:rsidRPr="00797CEF">
        <w:rPr>
          <w:rFonts w:asciiTheme="minorHAnsi" w:eastAsiaTheme="minorHAnsi" w:hAnsiTheme="minorHAnsi" w:cstheme="minorBidi"/>
          <w:sz w:val="22"/>
          <w:szCs w:val="22"/>
          <w:vertAlign w:val="superscript"/>
          <w:lang w:eastAsia="en-US"/>
        </w:rPr>
        <w:t xml:space="preserve"> </w:t>
      </w:r>
      <w:r w:rsidRPr="00797CEF">
        <w:rPr>
          <w:rFonts w:asciiTheme="minorHAnsi" w:eastAsiaTheme="minorHAnsi" w:hAnsiTheme="minorHAnsi" w:cstheme="minorHAnsi"/>
          <w:sz w:val="22"/>
          <w:lang w:eastAsia="en-US"/>
        </w:rPr>
        <w:t xml:space="preserve"> </w:t>
      </w:r>
      <w:r w:rsidRPr="00797CEF">
        <w:rPr>
          <w:rFonts w:ascii="Calibri" w:eastAsiaTheme="minorHAnsi" w:hAnsi="Calibri" w:cs="Calibri"/>
          <w:sz w:val="22"/>
          <w:lang w:eastAsia="en-US"/>
        </w:rPr>
        <w:t>The Board should, in such cases, generally have the power to appoint and dismiss the CEO.</w:t>
      </w:r>
    </w:p>
    <w:p w:rsidR="002555F4" w:rsidRDefault="00797CEF">
      <w:pPr>
        <w:numPr>
          <w:ilvl w:val="1"/>
          <w:numId w:val="60"/>
        </w:numPr>
        <w:spacing w:after="120"/>
        <w:ind w:left="709" w:hanging="709"/>
        <w:rPr>
          <w:rFonts w:asciiTheme="minorHAnsi" w:eastAsiaTheme="minorHAnsi" w:hAnsiTheme="minorHAnsi" w:cstheme="minorHAnsi"/>
          <w:sz w:val="22"/>
          <w:lang w:eastAsia="en-US"/>
        </w:rPr>
      </w:pPr>
      <w:r w:rsidRPr="00797CEF">
        <w:rPr>
          <w:rFonts w:ascii="Calibri" w:eastAsiaTheme="minorHAnsi" w:hAnsi="Calibri" w:cs="Calibri"/>
          <w:sz w:val="22"/>
          <w:lang w:eastAsia="en-US"/>
        </w:rPr>
        <w:t xml:space="preserve">Mr John Uhrig’s 2003 </w:t>
      </w:r>
      <w:r w:rsidR="006119B7">
        <w:rPr>
          <w:rFonts w:ascii="Calibri" w:eastAsiaTheme="minorHAnsi" w:hAnsi="Calibri" w:cs="Calibri"/>
          <w:sz w:val="22"/>
          <w:lang w:eastAsia="en-US"/>
        </w:rPr>
        <w:t xml:space="preserve">governance </w:t>
      </w:r>
      <w:r w:rsidRPr="00797CEF">
        <w:rPr>
          <w:rFonts w:ascii="Calibri" w:eastAsiaTheme="minorHAnsi" w:hAnsi="Calibri" w:cs="Calibri"/>
          <w:sz w:val="22"/>
          <w:lang w:eastAsia="en-US"/>
        </w:rPr>
        <w:t xml:space="preserve">review of statutory authorities acknowledged that a governing board requires the full power to act to ensure they are effective. This is often </w:t>
      </w:r>
      <w:r w:rsidR="00CB72D0">
        <w:rPr>
          <w:rFonts w:ascii="Calibri" w:eastAsiaTheme="minorHAnsi" w:hAnsi="Calibri" w:cs="Calibri"/>
          <w:sz w:val="22"/>
          <w:lang w:eastAsia="en-US"/>
        </w:rPr>
        <w:t>the case</w:t>
      </w:r>
      <w:r w:rsidRPr="00797CEF">
        <w:rPr>
          <w:rFonts w:ascii="Calibri" w:eastAsiaTheme="minorHAnsi" w:hAnsi="Calibri" w:cs="Calibri"/>
          <w:sz w:val="22"/>
          <w:lang w:eastAsia="en-US"/>
        </w:rPr>
        <w:t xml:space="preserve"> with commercial operations</w:t>
      </w:r>
      <w:r w:rsidRPr="00797CEF">
        <w:rPr>
          <w:rFonts w:asciiTheme="minorHAnsi" w:eastAsiaTheme="minorHAnsi" w:hAnsiTheme="minorHAnsi" w:cstheme="minorHAnsi"/>
          <w:sz w:val="22"/>
          <w:lang w:eastAsia="en-US"/>
        </w:rPr>
        <w:t>.</w:t>
      </w:r>
      <w:r w:rsidRPr="00797CEF">
        <w:rPr>
          <w:rFonts w:asciiTheme="minorHAnsi" w:eastAsiaTheme="minorHAnsi" w:hAnsiTheme="minorHAnsi" w:cstheme="minorHAnsi"/>
          <w:sz w:val="22"/>
          <w:vertAlign w:val="superscript"/>
          <w:lang w:eastAsia="en-US"/>
        </w:rPr>
        <w:footnoteReference w:id="55"/>
      </w:r>
      <w:r w:rsidRPr="00797CEF">
        <w:rPr>
          <w:rFonts w:asciiTheme="minorHAnsi" w:eastAsiaTheme="minorHAnsi" w:hAnsiTheme="minorHAnsi" w:cstheme="minorHAnsi"/>
          <w:sz w:val="22"/>
          <w:vertAlign w:val="superscript"/>
          <w:lang w:eastAsia="en-US"/>
        </w:rPr>
        <w:t xml:space="preserve">  </w:t>
      </w:r>
      <w:r w:rsidRPr="00797CEF">
        <w:rPr>
          <w:rFonts w:ascii="Calibri" w:eastAsiaTheme="minorHAnsi" w:hAnsi="Calibri" w:cs="Calibri"/>
          <w:sz w:val="22"/>
          <w:lang w:eastAsia="en-US"/>
        </w:rPr>
        <w:t>Any limitation in a governing board’s power to act hinders its ability to provide governance and exercise its entrepreneurial freedom</w:t>
      </w:r>
      <w:r w:rsidRPr="00797CEF">
        <w:rPr>
          <w:rFonts w:asciiTheme="minorHAnsi" w:eastAsiaTheme="minorHAnsi" w:hAnsiTheme="minorHAnsi" w:cstheme="minorHAnsi"/>
          <w:sz w:val="22"/>
          <w:lang w:eastAsia="en-US"/>
        </w:rPr>
        <w:t>.</w:t>
      </w:r>
      <w:r w:rsidRPr="00797CEF">
        <w:rPr>
          <w:rFonts w:asciiTheme="minorHAnsi" w:eastAsiaTheme="minorHAnsi" w:hAnsiTheme="minorHAnsi" w:cstheme="minorHAnsi"/>
          <w:sz w:val="22"/>
          <w:vertAlign w:val="superscript"/>
          <w:lang w:eastAsia="en-US"/>
        </w:rPr>
        <w:footnoteReference w:id="56"/>
      </w:r>
    </w:p>
    <w:p w:rsidR="002555F4" w:rsidRDefault="00797CEF">
      <w:pPr>
        <w:numPr>
          <w:ilvl w:val="1"/>
          <w:numId w:val="60"/>
        </w:numPr>
        <w:spacing w:after="120"/>
        <w:ind w:left="709" w:hanging="709"/>
        <w:rPr>
          <w:rFonts w:asciiTheme="minorHAnsi" w:eastAsiaTheme="minorHAnsi" w:hAnsiTheme="minorHAnsi" w:cstheme="minorHAnsi"/>
          <w:sz w:val="22"/>
          <w:lang w:eastAsia="en-US"/>
        </w:rPr>
      </w:pPr>
      <w:r w:rsidRPr="00797CEF">
        <w:rPr>
          <w:rFonts w:ascii="Calibri" w:eastAsiaTheme="minorHAnsi" w:hAnsi="Calibri" w:cs="Calibri"/>
          <w:sz w:val="22"/>
          <w:lang w:eastAsia="en-US"/>
        </w:rPr>
        <w:t xml:space="preserve">In the context of the Commonwealth Government, the power and functions of a governing board </w:t>
      </w:r>
      <w:r w:rsidR="00CB72D0">
        <w:rPr>
          <w:rFonts w:ascii="Calibri" w:eastAsiaTheme="minorHAnsi" w:hAnsi="Calibri" w:cs="Calibri"/>
          <w:sz w:val="22"/>
          <w:lang w:eastAsia="en-US"/>
        </w:rPr>
        <w:t>are</w:t>
      </w:r>
      <w:r w:rsidR="00CB72D0" w:rsidRPr="00797CEF">
        <w:rPr>
          <w:rFonts w:ascii="Calibri" w:eastAsiaTheme="minorHAnsi" w:hAnsi="Calibri" w:cs="Calibri"/>
          <w:sz w:val="22"/>
          <w:lang w:eastAsia="en-US"/>
        </w:rPr>
        <w:t xml:space="preserve"> </w:t>
      </w:r>
      <w:r w:rsidRPr="00797CEF">
        <w:rPr>
          <w:rFonts w:ascii="Calibri" w:eastAsiaTheme="minorHAnsi" w:hAnsi="Calibri" w:cs="Calibri"/>
          <w:sz w:val="22"/>
          <w:lang w:eastAsia="en-US"/>
        </w:rPr>
        <w:t>stipulated in the legislation relevant to the statutory authority in question</w:t>
      </w:r>
      <w:r w:rsidRPr="00797CEF">
        <w:rPr>
          <w:rFonts w:asciiTheme="minorHAnsi" w:eastAsiaTheme="minorHAnsi" w:hAnsiTheme="minorHAnsi" w:cstheme="minorHAnsi"/>
          <w:sz w:val="22"/>
          <w:lang w:eastAsia="en-US"/>
        </w:rPr>
        <w:t>.</w:t>
      </w:r>
      <w:r w:rsidRPr="00797CEF">
        <w:rPr>
          <w:rFonts w:ascii="Calibri" w:eastAsiaTheme="minorHAnsi" w:hAnsi="Calibri" w:cs="Calibri"/>
          <w:sz w:val="22"/>
          <w:szCs w:val="22"/>
          <w:vertAlign w:val="superscript"/>
          <w:lang w:eastAsia="en-US"/>
        </w:rPr>
        <w:footnoteReference w:id="57"/>
      </w:r>
      <w:r w:rsidRPr="00797CEF">
        <w:rPr>
          <w:rFonts w:ascii="Calibri" w:eastAsiaTheme="minorHAnsi" w:hAnsi="Calibri" w:cs="Calibri"/>
          <w:sz w:val="22"/>
          <w:szCs w:val="22"/>
          <w:vertAlign w:val="superscript"/>
          <w:lang w:eastAsia="en-US"/>
        </w:rPr>
        <w:t xml:space="preserve"> </w:t>
      </w:r>
      <w:r w:rsidRPr="00797CEF">
        <w:rPr>
          <w:rFonts w:asciiTheme="minorHAnsi" w:eastAsiaTheme="minorHAnsi" w:hAnsiTheme="minorHAnsi" w:cstheme="minorHAnsi"/>
          <w:sz w:val="22"/>
          <w:lang w:eastAsia="en-US"/>
        </w:rPr>
        <w:t xml:space="preserve"> </w:t>
      </w:r>
      <w:r w:rsidRPr="00797CEF">
        <w:rPr>
          <w:rFonts w:ascii="Calibri" w:eastAsiaTheme="minorHAnsi" w:hAnsi="Calibri" w:cs="Calibri"/>
          <w:sz w:val="22"/>
          <w:lang w:eastAsia="en-US"/>
        </w:rPr>
        <w:t>Notably, the governance structure provided with a governing board does not sit well with an agency under the FMA Act given the executive management and structure is provided through that Act.  Uhrig states governing boards should be utilised in statutory authorities only where they can be given the full power to act</w:t>
      </w:r>
      <w:r w:rsidRPr="00797CEF">
        <w:rPr>
          <w:rFonts w:asciiTheme="minorHAnsi" w:eastAsiaTheme="minorHAnsi" w:hAnsiTheme="minorHAnsi" w:cstheme="minorHAnsi"/>
          <w:sz w:val="22"/>
          <w:lang w:eastAsia="en-US"/>
        </w:rPr>
        <w:t>.</w:t>
      </w:r>
      <w:r w:rsidRPr="00797CEF">
        <w:rPr>
          <w:rFonts w:asciiTheme="minorHAnsi" w:eastAsiaTheme="minorHAnsi" w:hAnsiTheme="minorHAnsi" w:cstheme="minorHAnsi"/>
          <w:sz w:val="22"/>
          <w:vertAlign w:val="superscript"/>
          <w:lang w:eastAsia="en-US"/>
        </w:rPr>
        <w:footnoteReference w:id="58"/>
      </w:r>
      <w:r w:rsidRPr="00797CEF">
        <w:rPr>
          <w:rFonts w:asciiTheme="minorHAnsi" w:eastAsiaTheme="minorHAnsi" w:hAnsiTheme="minorHAnsi" w:cstheme="minorHAnsi"/>
          <w:sz w:val="22"/>
          <w:vertAlign w:val="superscript"/>
          <w:lang w:eastAsia="en-US"/>
        </w:rPr>
        <w:t xml:space="preserve"> </w:t>
      </w:r>
    </w:p>
    <w:p w:rsidR="002555F4" w:rsidRDefault="00797CEF">
      <w:pPr>
        <w:numPr>
          <w:ilvl w:val="1"/>
          <w:numId w:val="60"/>
        </w:numPr>
        <w:spacing w:after="120"/>
        <w:ind w:left="709" w:hanging="709"/>
        <w:rPr>
          <w:rFonts w:asciiTheme="minorHAnsi" w:eastAsiaTheme="minorHAnsi" w:hAnsiTheme="minorHAnsi" w:cstheme="minorBidi"/>
          <w:sz w:val="22"/>
          <w:lang w:eastAsia="en-US"/>
        </w:rPr>
      </w:pPr>
      <w:r w:rsidRPr="00797CEF">
        <w:rPr>
          <w:rFonts w:ascii="Calibri" w:eastAsiaTheme="minorHAnsi" w:hAnsi="Calibri" w:cs="Calibri"/>
          <w:sz w:val="22"/>
          <w:lang w:eastAsia="en-US"/>
        </w:rPr>
        <w:t xml:space="preserve">Under the SRC Act, the Minister for Employment and Workplace Relations possesses the power to direct Comcare and the SRCC in relation to their performance and functions under the SRC Act (Section 73(1) and Section 89D(1) respectively). Retention of these provisions will ensure that the Government maintains the power of a Ministerial Directive.  The </w:t>
      </w:r>
      <w:r w:rsidRPr="00797CEF">
        <w:rPr>
          <w:rFonts w:asciiTheme="minorHAnsi" w:eastAsiaTheme="minorHAnsi" w:hAnsiTheme="minorHAnsi" w:cstheme="minorBidi"/>
          <w:sz w:val="22"/>
          <w:szCs w:val="22"/>
          <w:lang w:eastAsia="en-US"/>
        </w:rPr>
        <w:t>Government typically retains, and is expected to retain, control of policy and approval of strategy of regulatory bodies.</w:t>
      </w:r>
      <w:r w:rsidRPr="00797CEF">
        <w:rPr>
          <w:rFonts w:asciiTheme="minorHAnsi" w:eastAsiaTheme="minorHAnsi" w:hAnsiTheme="minorHAnsi" w:cstheme="minorBidi"/>
          <w:sz w:val="22"/>
          <w:szCs w:val="22"/>
          <w:vertAlign w:val="superscript"/>
          <w:lang w:eastAsia="en-US"/>
        </w:rPr>
        <w:footnoteReference w:id="59"/>
      </w:r>
    </w:p>
    <w:p w:rsidR="002555F4" w:rsidRDefault="00CB72D0">
      <w:pPr>
        <w:numPr>
          <w:ilvl w:val="1"/>
          <w:numId w:val="60"/>
        </w:numPr>
        <w:spacing w:after="120"/>
        <w:ind w:left="709" w:hanging="709"/>
        <w:rPr>
          <w:rFonts w:asciiTheme="minorHAnsi" w:eastAsiaTheme="minorHAnsi" w:hAnsiTheme="minorHAnsi" w:cstheme="minorBidi"/>
          <w:sz w:val="22"/>
          <w:lang w:eastAsia="en-US"/>
        </w:rPr>
      </w:pPr>
      <w:r>
        <w:rPr>
          <w:rFonts w:ascii="Calibri" w:eastAsiaTheme="minorHAnsi" w:hAnsi="Calibri" w:cs="Calibri"/>
          <w:sz w:val="22"/>
          <w:lang w:eastAsia="en-US"/>
        </w:rPr>
        <w:t>A</w:t>
      </w:r>
      <w:r w:rsidR="00797CEF" w:rsidRPr="00797CEF">
        <w:rPr>
          <w:rFonts w:ascii="Calibri" w:eastAsiaTheme="minorHAnsi" w:hAnsi="Calibri" w:cs="Calibri"/>
          <w:sz w:val="22"/>
          <w:lang w:eastAsia="en-US"/>
        </w:rPr>
        <w:t>s the functions of Comcare are not entrepreneurial, a governing board would not seem</w:t>
      </w:r>
      <w:r w:rsidR="006119B7">
        <w:rPr>
          <w:rFonts w:ascii="Calibri" w:eastAsiaTheme="minorHAnsi" w:hAnsi="Calibri" w:cs="Calibri"/>
          <w:sz w:val="22"/>
          <w:lang w:eastAsia="en-US"/>
        </w:rPr>
        <w:t xml:space="preserve"> necessary </w:t>
      </w:r>
      <w:proofErr w:type="gramStart"/>
      <w:r w:rsidR="006119B7">
        <w:rPr>
          <w:rFonts w:ascii="Calibri" w:eastAsiaTheme="minorHAnsi" w:hAnsi="Calibri" w:cs="Calibri"/>
          <w:sz w:val="22"/>
          <w:lang w:eastAsia="en-US"/>
        </w:rPr>
        <w:t xml:space="preserve">and </w:t>
      </w:r>
      <w:r w:rsidR="00797CEF" w:rsidRPr="00797CEF">
        <w:rPr>
          <w:rFonts w:ascii="Calibri" w:eastAsiaTheme="minorHAnsi" w:hAnsi="Calibri" w:cs="Calibri"/>
          <w:sz w:val="22"/>
          <w:lang w:eastAsia="en-US"/>
        </w:rPr>
        <w:t xml:space="preserve"> I</w:t>
      </w:r>
      <w:proofErr w:type="gramEnd"/>
      <w:r w:rsidR="00797CEF" w:rsidRPr="00797CEF">
        <w:rPr>
          <w:rFonts w:ascii="Calibri" w:eastAsiaTheme="minorHAnsi" w:hAnsi="Calibri" w:cs="Calibri"/>
          <w:sz w:val="22"/>
          <w:lang w:eastAsia="en-US"/>
        </w:rPr>
        <w:t xml:space="preserve"> have not seen any compelling evidence that Comcare need</w:t>
      </w:r>
      <w:r w:rsidR="006119B7">
        <w:rPr>
          <w:rFonts w:ascii="Calibri" w:eastAsiaTheme="minorHAnsi" w:hAnsi="Calibri" w:cs="Calibri"/>
          <w:sz w:val="22"/>
          <w:lang w:eastAsia="en-US"/>
        </w:rPr>
        <w:t>s</w:t>
      </w:r>
      <w:r w:rsidR="00797CEF" w:rsidRPr="00797CEF">
        <w:rPr>
          <w:rFonts w:ascii="Calibri" w:eastAsiaTheme="minorHAnsi" w:hAnsi="Calibri" w:cs="Calibri"/>
          <w:sz w:val="22"/>
          <w:lang w:eastAsia="en-US"/>
        </w:rPr>
        <w:t xml:space="preserve"> a governing board.  </w:t>
      </w:r>
      <w:r>
        <w:rPr>
          <w:rFonts w:ascii="Calibri" w:eastAsiaTheme="minorHAnsi" w:hAnsi="Calibri" w:cs="Calibri"/>
          <w:sz w:val="22"/>
          <w:lang w:eastAsia="en-US"/>
        </w:rPr>
        <w:t>E</w:t>
      </w:r>
      <w:r w:rsidR="00797CEF" w:rsidRPr="00797CEF">
        <w:rPr>
          <w:rFonts w:ascii="Calibri" w:eastAsiaTheme="minorHAnsi" w:hAnsi="Calibri" w:cs="Calibri"/>
          <w:sz w:val="22"/>
          <w:lang w:eastAsia="en-US"/>
        </w:rPr>
        <w:t xml:space="preserve">xisting guidelines for governance arrangement of Australian Government bodies </w:t>
      </w:r>
      <w:r>
        <w:rPr>
          <w:rFonts w:ascii="Calibri" w:eastAsiaTheme="minorHAnsi" w:hAnsi="Calibri" w:cs="Calibri"/>
          <w:sz w:val="22"/>
          <w:lang w:eastAsia="en-US"/>
        </w:rPr>
        <w:t>envisage</w:t>
      </w:r>
      <w:r w:rsidR="00797CEF" w:rsidRPr="00797CEF">
        <w:rPr>
          <w:rFonts w:ascii="Calibri" w:eastAsiaTheme="minorHAnsi" w:hAnsi="Calibri" w:cs="Calibri"/>
          <w:sz w:val="22"/>
          <w:lang w:eastAsia="en-US"/>
        </w:rPr>
        <w:t xml:space="preserve"> “regulatory bodies do not usually require a governing board.”  This guidance continues by adding that such bodies “should therefore be under the FMA Act.</w:t>
      </w:r>
      <w:r w:rsidR="00797CEF" w:rsidRPr="00797CEF">
        <w:rPr>
          <w:rFonts w:asciiTheme="minorHAnsi" w:eastAsiaTheme="minorHAnsi" w:hAnsiTheme="minorHAnsi" w:cstheme="minorHAnsi"/>
          <w:sz w:val="22"/>
          <w:lang w:eastAsia="en-US"/>
        </w:rPr>
        <w:t>”</w:t>
      </w:r>
      <w:r w:rsidR="00797CEF" w:rsidRPr="00797CEF">
        <w:rPr>
          <w:rFonts w:asciiTheme="minorHAnsi" w:eastAsiaTheme="minorHAnsi" w:hAnsiTheme="minorHAnsi" w:cstheme="minorHAnsi"/>
          <w:sz w:val="22"/>
          <w:vertAlign w:val="superscript"/>
          <w:lang w:eastAsia="en-US"/>
        </w:rPr>
        <w:footnoteReference w:id="60"/>
      </w:r>
    </w:p>
    <w:p w:rsidR="002555F4" w:rsidRDefault="00797CEF">
      <w:pPr>
        <w:numPr>
          <w:ilvl w:val="1"/>
          <w:numId w:val="60"/>
        </w:numPr>
        <w:spacing w:after="120"/>
        <w:ind w:left="709" w:hanging="709"/>
        <w:rPr>
          <w:rFonts w:ascii="Calibri" w:eastAsiaTheme="minorHAnsi" w:hAnsi="Calibri" w:cs="Calibri"/>
          <w:sz w:val="22"/>
          <w:lang w:eastAsia="en-US"/>
        </w:rPr>
      </w:pPr>
      <w:r w:rsidRPr="00797CEF">
        <w:rPr>
          <w:rFonts w:ascii="Calibri" w:eastAsiaTheme="minorHAnsi" w:hAnsi="Calibri" w:cs="Calibri"/>
          <w:sz w:val="22"/>
          <w:lang w:eastAsia="en-US"/>
        </w:rPr>
        <w:t xml:space="preserve">Alternatively, an advisory board comprises a selection of stakeholders who provide advice and expertise to a company’s CEO without having direct involvement in the governance and running of the </w:t>
      </w:r>
      <w:r w:rsidR="00CB72D0">
        <w:rPr>
          <w:rFonts w:ascii="Calibri" w:eastAsiaTheme="minorHAnsi" w:hAnsi="Calibri" w:cs="Calibri"/>
          <w:sz w:val="22"/>
          <w:lang w:eastAsia="en-US"/>
        </w:rPr>
        <w:t>entity</w:t>
      </w:r>
      <w:r w:rsidRPr="00797CEF">
        <w:rPr>
          <w:rFonts w:ascii="Calibri" w:eastAsiaTheme="minorHAnsi" w:hAnsi="Calibri" w:cs="Calibri"/>
          <w:sz w:val="22"/>
          <w:lang w:eastAsia="en-US"/>
        </w:rPr>
        <w:t>.  Such a board can provide a useful consultative body to help inform the work of the CEO</w:t>
      </w:r>
      <w:r w:rsidRPr="00797CEF">
        <w:rPr>
          <w:rFonts w:asciiTheme="minorHAnsi" w:eastAsiaTheme="minorHAnsi" w:hAnsiTheme="minorHAnsi" w:cstheme="minorHAnsi"/>
          <w:sz w:val="22"/>
          <w:lang w:eastAsia="en-US"/>
        </w:rPr>
        <w:t>.</w:t>
      </w:r>
      <w:r w:rsidRPr="00797CEF">
        <w:rPr>
          <w:rFonts w:ascii="Calibri" w:eastAsiaTheme="minorHAnsi" w:hAnsi="Calibri" w:cs="Calibri"/>
          <w:sz w:val="22"/>
          <w:szCs w:val="22"/>
          <w:vertAlign w:val="superscript"/>
          <w:lang w:eastAsia="en-US"/>
        </w:rPr>
        <w:footnoteReference w:id="61"/>
      </w:r>
      <w:r w:rsidRPr="00797CEF">
        <w:rPr>
          <w:rFonts w:ascii="Calibri" w:eastAsiaTheme="minorHAnsi" w:hAnsi="Calibri" w:cs="Calibri"/>
          <w:sz w:val="22"/>
          <w:szCs w:val="22"/>
          <w:vertAlign w:val="superscript"/>
          <w:lang w:eastAsia="en-US"/>
        </w:rPr>
        <w:t xml:space="preserve">  </w:t>
      </w:r>
      <w:r w:rsidRPr="00797CEF">
        <w:rPr>
          <w:rFonts w:ascii="Calibri" w:eastAsiaTheme="minorHAnsi" w:hAnsi="Calibri" w:cs="Calibri"/>
          <w:sz w:val="22"/>
          <w:lang w:eastAsia="en-US"/>
        </w:rPr>
        <w:t xml:space="preserve">Unlike a governing board, an advisory board can complement the work of an FMA Act agency as it provides an avenue to access expertise and skills that may be specialised and particularly relevant to the function of the body.  The creation of an advisory board could provide support to the CEO of Comcare to help moderate risks faced due to the dual role this person holds as CEO under the SRC Act and </w:t>
      </w:r>
      <w:r w:rsidR="00E6179B">
        <w:rPr>
          <w:rFonts w:ascii="Calibri" w:eastAsiaTheme="minorHAnsi" w:hAnsi="Calibri" w:cs="Calibri"/>
          <w:sz w:val="22"/>
          <w:lang w:eastAsia="en-US"/>
        </w:rPr>
        <w:t>D</w:t>
      </w:r>
      <w:r w:rsidR="00E6179B" w:rsidRPr="00797CEF">
        <w:rPr>
          <w:rFonts w:ascii="Calibri" w:eastAsiaTheme="minorHAnsi" w:hAnsi="Calibri" w:cs="Calibri"/>
          <w:sz w:val="22"/>
          <w:lang w:eastAsia="en-US"/>
        </w:rPr>
        <w:t xml:space="preserve">irector </w:t>
      </w:r>
      <w:r w:rsidRPr="00797CEF">
        <w:rPr>
          <w:rFonts w:ascii="Calibri" w:eastAsiaTheme="minorHAnsi" w:hAnsi="Calibri" w:cs="Calibri"/>
          <w:sz w:val="22"/>
          <w:lang w:eastAsia="en-US"/>
        </w:rPr>
        <w:t>under the CAC Act.  Ultimately all risk would continue to rest with the CEO under Comcare’s current structure as a CAC Act body as an advisory board would not have governing responsibilities.</w:t>
      </w:r>
    </w:p>
    <w:p w:rsidR="002555F4" w:rsidRDefault="00797CEF">
      <w:pPr>
        <w:numPr>
          <w:ilvl w:val="1"/>
          <w:numId w:val="60"/>
        </w:numPr>
        <w:spacing w:after="120"/>
        <w:ind w:left="709" w:hanging="709"/>
        <w:rPr>
          <w:rFonts w:ascii="Calibri" w:eastAsiaTheme="minorHAnsi" w:hAnsi="Calibri" w:cs="Calibri"/>
          <w:sz w:val="22"/>
          <w:lang w:eastAsia="en-US"/>
        </w:rPr>
      </w:pPr>
      <w:r w:rsidRPr="00797CEF">
        <w:rPr>
          <w:rFonts w:ascii="Calibri" w:eastAsiaTheme="minorHAnsi" w:hAnsi="Calibri" w:cs="Calibri"/>
          <w:sz w:val="22"/>
          <w:lang w:eastAsia="en-US"/>
        </w:rPr>
        <w:t xml:space="preserve">As currently written, the SRC Act does not give the SRCC the power of oversight and regulation over Comcare and its functions.  It does, however, have a range of functions </w:t>
      </w:r>
      <w:r w:rsidRPr="00797CEF">
        <w:rPr>
          <w:rFonts w:ascii="Calibri" w:eastAsiaTheme="minorHAnsi" w:hAnsi="Calibri" w:cs="Calibri"/>
          <w:sz w:val="22"/>
          <w:lang w:eastAsia="en-US"/>
        </w:rPr>
        <w:lastRenderedPageBreak/>
        <w:t xml:space="preserve">specified under the SRC Act including the power to prepare and issue general policy guidelines to the CEO of Comcare and the principal officer of a licensee in relation to the operation of the SRC Act.  This particular function is akin to the work of an advisory board, </w:t>
      </w:r>
      <w:r w:rsidR="00CB72D0">
        <w:rPr>
          <w:rFonts w:ascii="Calibri" w:eastAsiaTheme="minorHAnsi" w:hAnsi="Calibri" w:cs="Calibri"/>
          <w:sz w:val="22"/>
          <w:lang w:eastAsia="en-US"/>
        </w:rPr>
        <w:t>but</w:t>
      </w:r>
      <w:r w:rsidR="00CB72D0" w:rsidRPr="00797CEF">
        <w:rPr>
          <w:rFonts w:ascii="Calibri" w:eastAsiaTheme="minorHAnsi" w:hAnsi="Calibri" w:cs="Calibri"/>
          <w:sz w:val="22"/>
          <w:lang w:eastAsia="en-US"/>
        </w:rPr>
        <w:t xml:space="preserve"> </w:t>
      </w:r>
      <w:r w:rsidRPr="00797CEF">
        <w:rPr>
          <w:rFonts w:ascii="Calibri" w:eastAsiaTheme="minorHAnsi" w:hAnsi="Calibri" w:cs="Calibri"/>
          <w:sz w:val="22"/>
          <w:lang w:eastAsia="en-US"/>
        </w:rPr>
        <w:t xml:space="preserve">it should be noted that that the SRCC is not established under the SRC Act to perform the functions of a governance board for Comcare.  There is scope for the SRCC to fulfil the role of an advisory board through amendment to the SRC Act </w:t>
      </w:r>
      <w:r w:rsidR="00CB72D0">
        <w:rPr>
          <w:rFonts w:ascii="Calibri" w:eastAsiaTheme="minorHAnsi" w:hAnsi="Calibri" w:cs="Calibri"/>
          <w:sz w:val="22"/>
          <w:lang w:eastAsia="en-US"/>
        </w:rPr>
        <w:t>notwithstanding</w:t>
      </w:r>
      <w:r w:rsidRPr="00797CEF">
        <w:rPr>
          <w:rFonts w:ascii="Calibri" w:eastAsiaTheme="minorHAnsi" w:hAnsi="Calibri" w:cs="Calibri"/>
          <w:sz w:val="22"/>
          <w:lang w:eastAsia="en-US"/>
        </w:rPr>
        <w:t xml:space="preserve"> the SRCC</w:t>
      </w:r>
      <w:r w:rsidR="00CB72D0">
        <w:rPr>
          <w:rFonts w:ascii="Calibri" w:eastAsiaTheme="minorHAnsi" w:hAnsi="Calibri" w:cs="Calibri"/>
          <w:sz w:val="22"/>
          <w:lang w:eastAsia="en-US"/>
        </w:rPr>
        <w:t>’s</w:t>
      </w:r>
      <w:r w:rsidRPr="00797CEF">
        <w:rPr>
          <w:rFonts w:ascii="Calibri" w:eastAsiaTheme="minorHAnsi" w:hAnsi="Calibri" w:cs="Calibri"/>
          <w:sz w:val="22"/>
          <w:lang w:eastAsia="en-US"/>
        </w:rPr>
        <w:t xml:space="preserve"> role in other regulatory functions of the Comcare schem</w:t>
      </w:r>
      <w:r w:rsidR="000A3F6D">
        <w:rPr>
          <w:rFonts w:ascii="Calibri" w:eastAsiaTheme="minorHAnsi" w:hAnsi="Calibri" w:cs="Calibri"/>
          <w:sz w:val="22"/>
          <w:lang w:eastAsia="en-US"/>
        </w:rPr>
        <w:t>e described in Chapter Two.</w:t>
      </w:r>
    </w:p>
    <w:p w:rsidR="00797CEF" w:rsidRPr="00797CEF" w:rsidRDefault="000A3F6D" w:rsidP="00797CEF">
      <w:pPr>
        <w:spacing w:before="100" w:beforeAutospacing="1" w:after="100" w:afterAutospacing="1"/>
        <w:rPr>
          <w:rFonts w:ascii="Calibri" w:eastAsiaTheme="minorHAnsi" w:hAnsi="Calibri" w:cs="Calibri"/>
          <w:b/>
          <w:sz w:val="22"/>
          <w:szCs w:val="23"/>
          <w:lang w:eastAsia="en-US"/>
        </w:rPr>
      </w:pPr>
      <w:r w:rsidRPr="00797CEF">
        <w:rPr>
          <w:rFonts w:ascii="Calibri" w:eastAsiaTheme="minorHAnsi" w:hAnsi="Calibri" w:cs="Calibri"/>
          <w:b/>
          <w:sz w:val="22"/>
          <w:szCs w:val="23"/>
          <w:lang w:eastAsia="en-US"/>
        </w:rPr>
        <w:t>Converting</w:t>
      </w:r>
      <w:r w:rsidR="00797CEF" w:rsidRPr="00797CEF">
        <w:rPr>
          <w:rFonts w:ascii="Calibri" w:eastAsiaTheme="minorHAnsi" w:hAnsi="Calibri" w:cs="Calibri"/>
          <w:b/>
          <w:sz w:val="22"/>
          <w:szCs w:val="23"/>
          <w:lang w:eastAsia="en-US"/>
        </w:rPr>
        <w:t xml:space="preserve"> Comcare to an FMA Act Agency</w:t>
      </w:r>
    </w:p>
    <w:p w:rsidR="002555F4" w:rsidRDefault="00797CEF">
      <w:pPr>
        <w:numPr>
          <w:ilvl w:val="1"/>
          <w:numId w:val="60"/>
        </w:numPr>
        <w:spacing w:after="120"/>
        <w:ind w:left="709" w:hanging="709"/>
        <w:rPr>
          <w:rFonts w:ascii="Calibri" w:eastAsiaTheme="minorHAnsi" w:hAnsi="Calibri" w:cs="Calibri"/>
          <w:sz w:val="22"/>
          <w:lang w:eastAsia="en-US"/>
        </w:rPr>
      </w:pPr>
      <w:r w:rsidRPr="00797CEF">
        <w:rPr>
          <w:rFonts w:ascii="Calibri" w:eastAsiaTheme="minorHAnsi" w:hAnsi="Calibri" w:cs="Calibri"/>
          <w:sz w:val="22"/>
          <w:lang w:eastAsia="en-US"/>
        </w:rPr>
        <w:t>It is noteworthy and perhaps contentious in the context of Comcare being a CAC Act body that despite being established as such:</w:t>
      </w:r>
    </w:p>
    <w:p w:rsidR="00797CEF" w:rsidRPr="00797CEF" w:rsidRDefault="00797CEF" w:rsidP="00797CEF">
      <w:pPr>
        <w:numPr>
          <w:ilvl w:val="0"/>
          <w:numId w:val="36"/>
        </w:numPr>
        <w:spacing w:after="120"/>
        <w:ind w:left="1134" w:hanging="425"/>
        <w:rPr>
          <w:rFonts w:ascii="Arial Bold" w:eastAsiaTheme="minorHAnsi" w:hAnsi="Arial Bold" w:cs="Calibri"/>
          <w:sz w:val="22"/>
          <w:szCs w:val="23"/>
          <w:lang w:eastAsia="en-US"/>
        </w:rPr>
      </w:pPr>
      <w:r w:rsidRPr="00797CEF">
        <w:rPr>
          <w:rFonts w:ascii="Calibri" w:eastAsiaTheme="minorHAnsi" w:hAnsi="Calibri" w:cs="Calibri"/>
          <w:sz w:val="22"/>
          <w:lang w:eastAsia="en-US"/>
        </w:rPr>
        <w:t>most of its funding is allocated by the Commonwealth (by way of premiums and regulatory contributions from Australian Government agencies</w:t>
      </w:r>
      <w:r w:rsidR="00A73CC7">
        <w:rPr>
          <w:rFonts w:ascii="Calibri" w:eastAsiaTheme="minorHAnsi" w:hAnsi="Calibri" w:cs="Calibri"/>
          <w:sz w:val="22"/>
          <w:lang w:eastAsia="en-US"/>
        </w:rPr>
        <w:t>);</w:t>
      </w:r>
      <w:r w:rsidRPr="00797CEF">
        <w:rPr>
          <w:rFonts w:ascii="Calibri" w:eastAsiaTheme="minorHAnsi" w:hAnsi="Calibri" w:cs="Calibri"/>
          <w:sz w:val="22"/>
          <w:lang w:eastAsia="en-US"/>
        </w:rPr>
        <w:t xml:space="preserve"> </w:t>
      </w:r>
    </w:p>
    <w:p w:rsidR="00797CEF" w:rsidRPr="00797CEF" w:rsidRDefault="00797CEF" w:rsidP="00797CEF">
      <w:pPr>
        <w:numPr>
          <w:ilvl w:val="0"/>
          <w:numId w:val="36"/>
        </w:numPr>
        <w:spacing w:after="120"/>
        <w:ind w:left="1134" w:hanging="425"/>
        <w:rPr>
          <w:rFonts w:ascii="Calibri" w:eastAsiaTheme="minorHAnsi" w:hAnsi="Calibri" w:cs="Calibri"/>
          <w:sz w:val="22"/>
          <w:lang w:eastAsia="en-US"/>
        </w:rPr>
      </w:pPr>
      <w:r w:rsidRPr="00797CEF">
        <w:rPr>
          <w:rFonts w:ascii="Calibri" w:eastAsiaTheme="minorHAnsi" w:hAnsi="Calibri" w:cs="Calibri"/>
          <w:sz w:val="22"/>
          <w:lang w:eastAsia="en-US"/>
        </w:rPr>
        <w:t>it also receives funding from the Commonwealth Government in the form of:</w:t>
      </w:r>
    </w:p>
    <w:p w:rsidR="00797CEF" w:rsidRPr="00797CEF" w:rsidRDefault="00797CEF" w:rsidP="00797CEF">
      <w:pPr>
        <w:numPr>
          <w:ilvl w:val="0"/>
          <w:numId w:val="36"/>
        </w:numPr>
        <w:spacing w:after="120"/>
        <w:rPr>
          <w:rFonts w:ascii="Calibri" w:eastAsiaTheme="minorHAnsi" w:hAnsi="Calibri" w:cs="Calibri"/>
          <w:sz w:val="22"/>
          <w:lang w:eastAsia="en-US"/>
        </w:rPr>
      </w:pPr>
      <w:r w:rsidRPr="00797CEF">
        <w:rPr>
          <w:rFonts w:ascii="Calibri" w:eastAsiaTheme="minorHAnsi" w:hAnsi="Calibri" w:cs="Calibri"/>
          <w:sz w:val="22"/>
          <w:lang w:eastAsia="en-US"/>
        </w:rPr>
        <w:t>special appropriations; and</w:t>
      </w:r>
    </w:p>
    <w:p w:rsidR="00797CEF" w:rsidRPr="00797CEF" w:rsidRDefault="00797CEF" w:rsidP="00797CEF">
      <w:pPr>
        <w:numPr>
          <w:ilvl w:val="0"/>
          <w:numId w:val="36"/>
        </w:numPr>
        <w:spacing w:after="120"/>
        <w:rPr>
          <w:rFonts w:ascii="Calibri" w:eastAsiaTheme="minorHAnsi" w:hAnsi="Calibri" w:cs="Calibri"/>
          <w:sz w:val="22"/>
          <w:lang w:eastAsia="en-US"/>
        </w:rPr>
      </w:pPr>
      <w:r w:rsidRPr="00797CEF">
        <w:rPr>
          <w:rFonts w:ascii="Calibri" w:eastAsiaTheme="minorHAnsi" w:hAnsi="Calibri" w:cs="Calibri"/>
          <w:sz w:val="22"/>
          <w:lang w:eastAsia="en-US"/>
        </w:rPr>
        <w:t>departmental funding;</w:t>
      </w:r>
    </w:p>
    <w:p w:rsidR="00797CEF" w:rsidRPr="00797CEF" w:rsidRDefault="00797CEF" w:rsidP="00797CEF">
      <w:pPr>
        <w:numPr>
          <w:ilvl w:val="0"/>
          <w:numId w:val="36"/>
        </w:numPr>
        <w:spacing w:after="120"/>
        <w:ind w:left="1134" w:hanging="425"/>
        <w:rPr>
          <w:rFonts w:ascii="Calibri" w:eastAsiaTheme="minorHAnsi" w:hAnsi="Calibri" w:cs="Calibri"/>
          <w:sz w:val="22"/>
          <w:lang w:eastAsia="en-US"/>
        </w:rPr>
      </w:pPr>
      <w:r w:rsidRPr="00797CEF">
        <w:rPr>
          <w:rFonts w:ascii="Calibri" w:eastAsiaTheme="minorHAnsi" w:hAnsi="Calibri" w:cs="Calibri"/>
          <w:sz w:val="22"/>
          <w:lang w:eastAsia="en-US"/>
        </w:rPr>
        <w:t>it does not operate commercially and competitively with the objective of making a profit;</w:t>
      </w:r>
    </w:p>
    <w:p w:rsidR="00797CEF" w:rsidRPr="00797CEF" w:rsidRDefault="00797CEF" w:rsidP="00797CEF">
      <w:pPr>
        <w:numPr>
          <w:ilvl w:val="0"/>
          <w:numId w:val="36"/>
        </w:numPr>
        <w:spacing w:after="120"/>
        <w:ind w:left="1134" w:hanging="425"/>
        <w:rPr>
          <w:rFonts w:ascii="Calibri" w:eastAsiaTheme="minorHAnsi" w:hAnsi="Calibri" w:cs="Calibri"/>
          <w:sz w:val="22"/>
          <w:lang w:eastAsia="en-US"/>
        </w:rPr>
      </w:pPr>
      <w:r w:rsidRPr="00797CEF">
        <w:rPr>
          <w:rFonts w:ascii="Calibri" w:eastAsiaTheme="minorHAnsi" w:hAnsi="Calibri" w:cs="Calibri"/>
          <w:sz w:val="22"/>
          <w:lang w:eastAsia="en-US"/>
        </w:rPr>
        <w:t>it does not have an entrepreneurial focus;</w:t>
      </w:r>
    </w:p>
    <w:p w:rsidR="00797CEF" w:rsidRPr="00797CEF" w:rsidRDefault="00797CEF" w:rsidP="00797CEF">
      <w:pPr>
        <w:numPr>
          <w:ilvl w:val="0"/>
          <w:numId w:val="36"/>
        </w:numPr>
        <w:spacing w:after="120"/>
        <w:ind w:left="1134" w:hanging="425"/>
        <w:rPr>
          <w:rFonts w:ascii="Calibri" w:eastAsiaTheme="minorHAnsi" w:hAnsi="Calibri" w:cs="Calibri"/>
          <w:sz w:val="22"/>
          <w:lang w:eastAsia="en-US"/>
        </w:rPr>
      </w:pPr>
      <w:r w:rsidRPr="00797CEF">
        <w:rPr>
          <w:rFonts w:ascii="Calibri" w:eastAsiaTheme="minorHAnsi" w:hAnsi="Calibri" w:cs="Calibri"/>
          <w:sz w:val="22"/>
          <w:lang w:eastAsia="en-US"/>
        </w:rPr>
        <w:t>it does not have a governing board;</w:t>
      </w:r>
    </w:p>
    <w:p w:rsidR="00797CEF" w:rsidRPr="00797CEF" w:rsidRDefault="00797CEF" w:rsidP="00797CEF">
      <w:pPr>
        <w:numPr>
          <w:ilvl w:val="0"/>
          <w:numId w:val="36"/>
        </w:numPr>
        <w:spacing w:after="120"/>
        <w:ind w:left="1134" w:hanging="425"/>
        <w:rPr>
          <w:rFonts w:ascii="Calibri" w:eastAsiaTheme="minorHAnsi" w:hAnsi="Calibri" w:cs="Calibri"/>
          <w:sz w:val="22"/>
          <w:lang w:eastAsia="en-US"/>
        </w:rPr>
      </w:pPr>
      <w:r w:rsidRPr="00797CEF">
        <w:rPr>
          <w:rFonts w:ascii="Calibri" w:eastAsiaTheme="minorHAnsi" w:hAnsi="Calibri" w:cs="Calibri"/>
          <w:sz w:val="22"/>
          <w:lang w:eastAsia="en-US"/>
        </w:rPr>
        <w:t>its staff are employed under the Public Service Act; and</w:t>
      </w:r>
    </w:p>
    <w:p w:rsidR="00797CEF" w:rsidRPr="00797CEF" w:rsidRDefault="00797CEF" w:rsidP="00797CEF">
      <w:pPr>
        <w:numPr>
          <w:ilvl w:val="0"/>
          <w:numId w:val="36"/>
        </w:numPr>
        <w:spacing w:after="120"/>
        <w:ind w:left="1134" w:hanging="425"/>
        <w:rPr>
          <w:rFonts w:ascii="Calibri" w:eastAsiaTheme="minorHAnsi" w:hAnsi="Calibri" w:cs="Calibri"/>
          <w:sz w:val="22"/>
          <w:lang w:eastAsia="en-US"/>
        </w:rPr>
      </w:pPr>
      <w:proofErr w:type="gramStart"/>
      <w:r w:rsidRPr="00797CEF">
        <w:rPr>
          <w:rFonts w:ascii="Calibri" w:eastAsiaTheme="minorHAnsi" w:hAnsi="Calibri" w:cs="Calibri"/>
          <w:sz w:val="22"/>
          <w:lang w:eastAsia="en-US"/>
        </w:rPr>
        <w:t>the</w:t>
      </w:r>
      <w:proofErr w:type="gramEnd"/>
      <w:r w:rsidRPr="00797CEF">
        <w:rPr>
          <w:rFonts w:ascii="Calibri" w:eastAsiaTheme="minorHAnsi" w:hAnsi="Calibri" w:cs="Calibri"/>
          <w:sz w:val="22"/>
          <w:lang w:eastAsia="en-US"/>
        </w:rPr>
        <w:t xml:space="preserve"> Government retains control of a significant proportion of Comcare’s notional assets (the funds notionally  located in the CRF).</w:t>
      </w:r>
    </w:p>
    <w:p w:rsidR="002555F4" w:rsidRDefault="00797CEF">
      <w:pPr>
        <w:numPr>
          <w:ilvl w:val="1"/>
          <w:numId w:val="60"/>
        </w:numPr>
        <w:spacing w:after="120"/>
        <w:ind w:left="709" w:hanging="709"/>
        <w:rPr>
          <w:rFonts w:asciiTheme="minorHAnsi" w:eastAsiaTheme="minorHAnsi" w:hAnsiTheme="minorHAnsi" w:cstheme="minorHAnsi"/>
          <w:sz w:val="22"/>
          <w:lang w:eastAsia="en-US"/>
        </w:rPr>
      </w:pPr>
      <w:r w:rsidRPr="00797CEF">
        <w:rPr>
          <w:rFonts w:ascii="Calibri" w:eastAsiaTheme="minorHAnsi" w:hAnsi="Calibri" w:cs="Calibri"/>
          <w:sz w:val="22"/>
          <w:lang w:eastAsia="en-US"/>
        </w:rPr>
        <w:t>These features are not typical of a body established under the CAC Act</w:t>
      </w:r>
      <w:r w:rsidRPr="00797CEF">
        <w:rPr>
          <w:rFonts w:asciiTheme="minorHAnsi" w:eastAsiaTheme="minorHAnsi" w:hAnsiTheme="minorHAnsi" w:cstheme="minorHAnsi"/>
          <w:sz w:val="22"/>
          <w:lang w:eastAsia="en-US"/>
        </w:rPr>
        <w:t>.</w:t>
      </w:r>
      <w:r w:rsidRPr="00797CEF">
        <w:rPr>
          <w:rFonts w:asciiTheme="minorHAnsi" w:eastAsiaTheme="minorHAnsi" w:hAnsiTheme="minorHAnsi" w:cstheme="minorHAnsi"/>
          <w:sz w:val="22"/>
          <w:vertAlign w:val="superscript"/>
          <w:lang w:eastAsia="en-US"/>
        </w:rPr>
        <w:footnoteReference w:id="62"/>
      </w:r>
    </w:p>
    <w:p w:rsidR="002555F4" w:rsidRDefault="00797CEF">
      <w:pPr>
        <w:numPr>
          <w:ilvl w:val="1"/>
          <w:numId w:val="60"/>
        </w:numPr>
        <w:spacing w:after="120"/>
        <w:ind w:left="709" w:hanging="709"/>
        <w:rPr>
          <w:rFonts w:ascii="Calibri" w:eastAsiaTheme="minorHAnsi" w:hAnsi="Calibri" w:cs="Calibri"/>
          <w:sz w:val="22"/>
          <w:lang w:eastAsia="en-US"/>
        </w:rPr>
      </w:pPr>
      <w:r w:rsidRPr="00797CEF">
        <w:rPr>
          <w:rFonts w:ascii="Calibri" w:eastAsiaTheme="minorHAnsi" w:hAnsi="Calibri" w:cs="Calibri"/>
          <w:sz w:val="22"/>
          <w:lang w:eastAsia="en-US"/>
        </w:rPr>
        <w:t>While Comcare’s performance does not seem to be unduly affected or hampered by the fact that it is a CAC Act agency, some of Comcare’s administrative practices do seem to be inconsistent with typical CAC Act characteristics. Indeed, the very basis of Comcare having been established under the CAC Act is unclear given the significant number of its key characteristics that are inconsistent with that Act.  In practice, this has resulted in a lack of clarity around Comcare’s structure and governance, together with the CEO being subject to a level of personal risk which is problematic given Comcare’s non-commercial and non</w:t>
      </w:r>
      <w:r w:rsidRPr="00797CEF">
        <w:rPr>
          <w:rFonts w:ascii="Calibri" w:eastAsiaTheme="minorHAnsi" w:hAnsi="Calibri" w:cs="Calibri"/>
          <w:sz w:val="22"/>
          <w:lang w:eastAsia="en-US"/>
        </w:rPr>
        <w:noBreakHyphen/>
        <w:t>entrepreneurial nature.  These issues would be addressed through converting Comcare to an FMA Act agency.</w:t>
      </w:r>
    </w:p>
    <w:p w:rsidR="002555F4" w:rsidRDefault="00797CEF">
      <w:pPr>
        <w:numPr>
          <w:ilvl w:val="1"/>
          <w:numId w:val="60"/>
        </w:numPr>
        <w:spacing w:after="120"/>
        <w:ind w:left="709" w:hanging="709"/>
        <w:rPr>
          <w:rFonts w:asciiTheme="minorHAnsi" w:eastAsiaTheme="minorHAnsi" w:hAnsiTheme="minorHAnsi" w:cstheme="minorHAnsi"/>
          <w:sz w:val="22"/>
          <w:lang w:eastAsia="en-US"/>
        </w:rPr>
      </w:pPr>
      <w:r w:rsidRPr="00797CEF">
        <w:rPr>
          <w:rFonts w:ascii="Calibri" w:eastAsiaTheme="minorHAnsi" w:hAnsi="Calibri" w:cs="Calibri"/>
          <w:sz w:val="22"/>
          <w:lang w:eastAsia="en-US"/>
        </w:rPr>
        <w:t>The Government’s</w:t>
      </w:r>
      <w:r w:rsidR="007721B3">
        <w:rPr>
          <w:rFonts w:ascii="Calibri" w:eastAsiaTheme="minorHAnsi" w:hAnsi="Calibri" w:cs="Calibri"/>
          <w:sz w:val="22"/>
          <w:lang w:eastAsia="en-US"/>
        </w:rPr>
        <w:t xml:space="preserve"> CFAR</w:t>
      </w:r>
      <w:r w:rsidRPr="00797CEF">
        <w:rPr>
          <w:rFonts w:ascii="Calibri" w:eastAsiaTheme="minorHAnsi" w:hAnsi="Calibri" w:cs="Calibri"/>
          <w:sz w:val="22"/>
          <w:lang w:eastAsia="en-US"/>
        </w:rPr>
        <w:t xml:space="preserve"> discussion paper states</w:t>
      </w:r>
      <w:r w:rsidRPr="00797CEF">
        <w:rPr>
          <w:rFonts w:asciiTheme="minorHAnsi" w:eastAsiaTheme="minorHAnsi" w:hAnsiTheme="minorHAnsi" w:cstheme="minorHAnsi"/>
          <w:sz w:val="22"/>
          <w:lang w:eastAsia="en-US"/>
        </w:rPr>
        <w:t xml:space="preserve"> “</w:t>
      </w:r>
      <w:r w:rsidRPr="00797CEF">
        <w:rPr>
          <w:rFonts w:asciiTheme="minorHAnsi" w:eastAsiaTheme="minorHAnsi" w:hAnsiTheme="minorHAnsi" w:cstheme="minorHAnsi"/>
          <w:i/>
          <w:sz w:val="22"/>
          <w:lang w:eastAsia="en-US"/>
        </w:rPr>
        <w:t>experience suggests that financial structure has the potential to affect perceived autonomy... There is the perception that the FMA Act gives less operational autonomy than the CAC Act...</w:t>
      </w:r>
      <w:r w:rsidRPr="00797CEF">
        <w:rPr>
          <w:rFonts w:asciiTheme="minorHAnsi" w:eastAsiaTheme="minorHAnsi" w:hAnsiTheme="minorHAnsi" w:cstheme="minorHAnsi"/>
          <w:sz w:val="22"/>
          <w:lang w:eastAsia="en-US"/>
        </w:rPr>
        <w:t>”</w:t>
      </w:r>
      <w:r w:rsidRPr="00797CEF">
        <w:rPr>
          <w:rFonts w:asciiTheme="minorHAnsi" w:eastAsiaTheme="minorHAnsi" w:hAnsiTheme="minorHAnsi" w:cstheme="minorHAnsi"/>
          <w:sz w:val="22"/>
          <w:vertAlign w:val="superscript"/>
          <w:lang w:eastAsia="en-US"/>
        </w:rPr>
        <w:footnoteReference w:id="63"/>
      </w:r>
    </w:p>
    <w:p w:rsidR="002555F4" w:rsidRDefault="00797CEF">
      <w:pPr>
        <w:numPr>
          <w:ilvl w:val="1"/>
          <w:numId w:val="60"/>
        </w:numPr>
        <w:spacing w:after="120"/>
        <w:ind w:left="709" w:hanging="709"/>
        <w:rPr>
          <w:rFonts w:asciiTheme="minorHAnsi" w:eastAsiaTheme="minorHAnsi" w:hAnsiTheme="minorHAnsi" w:cstheme="minorHAnsi"/>
          <w:sz w:val="22"/>
          <w:lang w:eastAsia="en-US"/>
        </w:rPr>
      </w:pPr>
      <w:r w:rsidRPr="00797CEF">
        <w:rPr>
          <w:rFonts w:ascii="Calibri" w:eastAsiaTheme="minorHAnsi" w:hAnsi="Calibri" w:cs="Calibri"/>
          <w:sz w:val="22"/>
          <w:lang w:eastAsia="en-US"/>
        </w:rPr>
        <w:t xml:space="preserve">In this context, were Comcare to become an FMA Act agency, there would be nothing to prevent Comcare from continuing to perform its key regulatory and service delivery functions.  It may actually enable Comcare to enhance its focus on its primary business as opposed to its sources of funding and generating income through investments.  The FMA Act </w:t>
      </w:r>
      <w:r w:rsidRPr="00797CEF">
        <w:rPr>
          <w:rFonts w:ascii="Calibri" w:eastAsiaTheme="minorHAnsi" w:hAnsi="Calibri" w:cs="Calibri"/>
          <w:sz w:val="22"/>
          <w:lang w:eastAsia="en-US"/>
        </w:rPr>
        <w:lastRenderedPageBreak/>
        <w:t>does not need to result in a reduction of the operational autonomy that Comcare currently possesses as a CAC Act body because an entity’s autonomy is determined by its establishing legislation - in Comcare’s case, the SRC Act.  Autonomy is not determined by whether an entity is an FMA or CAC Act body</w:t>
      </w:r>
      <w:r w:rsidRPr="00797CEF">
        <w:rPr>
          <w:rFonts w:asciiTheme="minorHAnsi" w:eastAsiaTheme="minorHAnsi" w:hAnsiTheme="minorHAnsi" w:cstheme="minorHAnsi"/>
          <w:sz w:val="22"/>
          <w:lang w:eastAsia="en-US"/>
        </w:rPr>
        <w:t>.</w:t>
      </w:r>
      <w:r w:rsidRPr="00797CEF">
        <w:rPr>
          <w:rFonts w:asciiTheme="minorHAnsi" w:eastAsiaTheme="minorHAnsi" w:hAnsiTheme="minorHAnsi" w:cstheme="minorHAnsi"/>
          <w:sz w:val="22"/>
          <w:vertAlign w:val="superscript"/>
          <w:lang w:eastAsia="en-US"/>
        </w:rPr>
        <w:footnoteReference w:id="64"/>
      </w:r>
      <w:r w:rsidRPr="00797CEF">
        <w:rPr>
          <w:rFonts w:asciiTheme="minorHAnsi" w:eastAsiaTheme="minorHAnsi" w:hAnsiTheme="minorHAnsi" w:cstheme="minorHAnsi"/>
          <w:sz w:val="22"/>
          <w:lang w:eastAsia="en-US"/>
        </w:rPr>
        <w:t xml:space="preserve">  </w:t>
      </w:r>
      <w:r w:rsidRPr="00797CEF">
        <w:rPr>
          <w:rFonts w:ascii="Calibri" w:eastAsiaTheme="minorHAnsi" w:hAnsi="Calibri" w:cs="Calibri"/>
          <w:sz w:val="22"/>
          <w:lang w:eastAsia="en-US"/>
        </w:rPr>
        <w:t>For example</w:t>
      </w:r>
      <w:r w:rsidR="007721B3">
        <w:rPr>
          <w:rFonts w:ascii="Calibri" w:eastAsiaTheme="minorHAnsi" w:hAnsi="Calibri" w:cs="Calibri"/>
          <w:sz w:val="22"/>
          <w:lang w:eastAsia="en-US"/>
        </w:rPr>
        <w:t>,</w:t>
      </w:r>
      <w:r w:rsidRPr="00797CEF">
        <w:rPr>
          <w:rFonts w:ascii="Calibri" w:eastAsiaTheme="minorHAnsi" w:hAnsi="Calibri" w:cs="Calibri"/>
          <w:sz w:val="22"/>
          <w:lang w:eastAsia="en-US"/>
        </w:rPr>
        <w:t xml:space="preserve"> other FMA Act agencies with operational autonomy include the Australian Federal Police, the Australian National Audit Office and the Australian Security Intelligence Organisation</w:t>
      </w:r>
      <w:r w:rsidRPr="00797CEF">
        <w:rPr>
          <w:rFonts w:asciiTheme="minorHAnsi" w:eastAsiaTheme="minorHAnsi" w:hAnsiTheme="minorHAnsi" w:cstheme="minorHAnsi"/>
          <w:sz w:val="22"/>
          <w:lang w:eastAsia="en-US"/>
        </w:rPr>
        <w:t>.</w:t>
      </w:r>
      <w:r w:rsidRPr="00797CEF">
        <w:rPr>
          <w:rFonts w:asciiTheme="minorHAnsi" w:eastAsiaTheme="minorHAnsi" w:hAnsiTheme="minorHAnsi" w:cstheme="minorHAnsi"/>
          <w:sz w:val="22"/>
          <w:vertAlign w:val="superscript"/>
          <w:lang w:eastAsia="en-US"/>
        </w:rPr>
        <w:footnoteReference w:id="65"/>
      </w:r>
    </w:p>
    <w:p w:rsidR="002555F4" w:rsidRDefault="00797CEF">
      <w:pPr>
        <w:numPr>
          <w:ilvl w:val="1"/>
          <w:numId w:val="60"/>
        </w:numPr>
        <w:spacing w:after="120"/>
        <w:ind w:left="709" w:hanging="709"/>
        <w:rPr>
          <w:rFonts w:asciiTheme="minorHAnsi" w:eastAsiaTheme="minorHAnsi" w:hAnsiTheme="minorHAnsi" w:cstheme="minorHAnsi"/>
          <w:sz w:val="22"/>
          <w:lang w:eastAsia="en-US"/>
        </w:rPr>
      </w:pPr>
      <w:r w:rsidRPr="00797CEF">
        <w:rPr>
          <w:rFonts w:ascii="Calibri" w:eastAsiaTheme="minorHAnsi" w:hAnsi="Calibri" w:cs="Calibri"/>
          <w:sz w:val="22"/>
          <w:lang w:eastAsia="en-US"/>
        </w:rPr>
        <w:t>Given the flexibility that exists under the FMA Act, it would be possible, for example, for Comcare to continue to operate its own bank account as it currently does as a CAC Act body and there is also scope for it to be a body corporate as an FMA Act agency if required</w:t>
      </w:r>
      <w:r w:rsidRPr="00797CEF">
        <w:rPr>
          <w:rFonts w:asciiTheme="minorHAnsi" w:eastAsiaTheme="minorHAnsi" w:hAnsiTheme="minorHAnsi" w:cstheme="minorHAnsi"/>
          <w:sz w:val="22"/>
          <w:lang w:eastAsia="en-US"/>
        </w:rPr>
        <w:t>.</w:t>
      </w:r>
      <w:r w:rsidRPr="00797CEF">
        <w:rPr>
          <w:rFonts w:asciiTheme="minorHAnsi" w:eastAsiaTheme="minorHAnsi" w:hAnsiTheme="minorHAnsi" w:cstheme="minorHAnsi"/>
          <w:sz w:val="22"/>
          <w:vertAlign w:val="superscript"/>
          <w:lang w:eastAsia="en-US"/>
        </w:rPr>
        <w:footnoteReference w:id="66"/>
      </w:r>
    </w:p>
    <w:p w:rsidR="002555F4" w:rsidRDefault="006E236C">
      <w:pPr>
        <w:numPr>
          <w:ilvl w:val="1"/>
          <w:numId w:val="60"/>
        </w:numPr>
        <w:spacing w:after="120"/>
        <w:ind w:left="709" w:hanging="709"/>
        <w:rPr>
          <w:rFonts w:asciiTheme="minorHAnsi" w:eastAsiaTheme="minorHAnsi" w:hAnsiTheme="minorHAnsi" w:cstheme="minorHAnsi"/>
          <w:sz w:val="22"/>
          <w:lang w:eastAsia="en-US"/>
        </w:rPr>
      </w:pPr>
      <w:r w:rsidRPr="006E236C">
        <w:rPr>
          <w:rFonts w:asciiTheme="minorHAnsi" w:eastAsiaTheme="minorHAnsi" w:hAnsiTheme="minorHAnsi" w:cstheme="minorBidi"/>
          <w:sz w:val="22"/>
          <w:szCs w:val="22"/>
          <w:lang w:eastAsia="en-US"/>
        </w:rPr>
        <w:t>Reclassification</w:t>
      </w:r>
      <w:r w:rsidR="00797CEF" w:rsidRPr="00797CEF">
        <w:rPr>
          <w:rFonts w:ascii="Calibri" w:eastAsiaTheme="minorHAnsi" w:hAnsi="Calibri" w:cs="Calibri"/>
          <w:sz w:val="22"/>
          <w:lang w:eastAsia="en-US"/>
        </w:rPr>
        <w:t xml:space="preserve"> of Comcare under the FMA Act </w:t>
      </w:r>
      <w:r w:rsidR="00E6179B">
        <w:rPr>
          <w:rFonts w:ascii="Calibri" w:eastAsiaTheme="minorHAnsi" w:hAnsi="Calibri" w:cs="Calibri"/>
          <w:sz w:val="22"/>
          <w:lang w:eastAsia="en-US"/>
        </w:rPr>
        <w:t>would</w:t>
      </w:r>
      <w:r w:rsidR="00E6179B" w:rsidRPr="00797CEF">
        <w:rPr>
          <w:rFonts w:ascii="Calibri" w:eastAsiaTheme="minorHAnsi" w:hAnsi="Calibri" w:cs="Calibri"/>
          <w:sz w:val="22"/>
          <w:lang w:eastAsia="en-US"/>
        </w:rPr>
        <w:t xml:space="preserve"> </w:t>
      </w:r>
      <w:r w:rsidR="007721B3">
        <w:rPr>
          <w:rFonts w:ascii="Calibri" w:eastAsiaTheme="minorHAnsi" w:hAnsi="Calibri" w:cs="Calibri"/>
          <w:sz w:val="22"/>
          <w:lang w:eastAsia="en-US"/>
        </w:rPr>
        <w:t>enhance</w:t>
      </w:r>
      <w:r w:rsidR="00797CEF" w:rsidRPr="00797CEF">
        <w:rPr>
          <w:rFonts w:ascii="Calibri" w:eastAsiaTheme="minorHAnsi" w:hAnsi="Calibri" w:cs="Calibri"/>
          <w:sz w:val="22"/>
          <w:lang w:eastAsia="en-US"/>
        </w:rPr>
        <w:t xml:space="preserve"> governance and reporting and help to resolve current concerns around Comcare’s prudential management, discussed below.  It is arguable whether it would provide greater transparency to the Commonwealth Government </w:t>
      </w:r>
      <w:r w:rsidR="00DE4A9A" w:rsidRPr="00797CEF">
        <w:rPr>
          <w:rFonts w:ascii="Calibri" w:eastAsiaTheme="minorHAnsi" w:hAnsi="Calibri" w:cs="Calibri"/>
          <w:sz w:val="22"/>
          <w:lang w:eastAsia="en-US"/>
        </w:rPr>
        <w:t>on Comcare’s</w:t>
      </w:r>
      <w:r w:rsidR="00797CEF" w:rsidRPr="00797CEF">
        <w:rPr>
          <w:rFonts w:ascii="Calibri" w:eastAsiaTheme="minorHAnsi" w:hAnsi="Calibri" w:cs="Calibri"/>
          <w:sz w:val="22"/>
          <w:lang w:eastAsia="en-US"/>
        </w:rPr>
        <w:t xml:space="preserve"> financial management. On the other hand, it might also remove the risk Comcare’s CEO currently faces under the present governance arrangements</w:t>
      </w:r>
      <w:r w:rsidR="000A3F6D" w:rsidRPr="00797CEF">
        <w:rPr>
          <w:rFonts w:ascii="Calibri" w:eastAsiaTheme="minorHAnsi" w:hAnsi="Calibri" w:cs="Calibri"/>
          <w:sz w:val="22"/>
          <w:lang w:eastAsia="en-US"/>
        </w:rPr>
        <w:t>.</w:t>
      </w:r>
      <w:r w:rsidR="00797CEF" w:rsidRPr="00797CEF">
        <w:rPr>
          <w:rFonts w:asciiTheme="minorHAnsi" w:eastAsiaTheme="minorHAnsi" w:hAnsiTheme="minorHAnsi" w:cstheme="minorHAnsi"/>
          <w:sz w:val="22"/>
          <w:vertAlign w:val="superscript"/>
          <w:lang w:eastAsia="en-US"/>
        </w:rPr>
        <w:footnoteReference w:id="67"/>
      </w:r>
      <w:r w:rsidR="00797CEF" w:rsidRPr="00797CEF">
        <w:rPr>
          <w:rFonts w:asciiTheme="minorHAnsi" w:eastAsiaTheme="minorHAnsi" w:hAnsiTheme="minorHAnsi" w:cstheme="minorBidi"/>
          <w:sz w:val="22"/>
          <w:szCs w:val="22"/>
          <w:vertAlign w:val="superscript"/>
          <w:lang w:eastAsia="en-US"/>
        </w:rPr>
        <w:t xml:space="preserve"> </w:t>
      </w:r>
    </w:p>
    <w:p w:rsidR="002555F4" w:rsidRDefault="006E236C">
      <w:pPr>
        <w:numPr>
          <w:ilvl w:val="1"/>
          <w:numId w:val="60"/>
        </w:numPr>
        <w:spacing w:after="120"/>
        <w:ind w:left="709" w:hanging="709"/>
        <w:rPr>
          <w:rFonts w:asciiTheme="minorHAnsi" w:eastAsiaTheme="minorHAnsi" w:hAnsiTheme="minorHAnsi" w:cstheme="minorBidi"/>
          <w:sz w:val="22"/>
          <w:szCs w:val="22"/>
          <w:lang w:eastAsia="en-US"/>
        </w:rPr>
      </w:pPr>
      <w:r w:rsidRPr="006E236C">
        <w:rPr>
          <w:rFonts w:asciiTheme="minorHAnsi" w:eastAsiaTheme="minorHAnsi" w:hAnsiTheme="minorHAnsi" w:cstheme="minorBidi"/>
          <w:sz w:val="22"/>
          <w:szCs w:val="22"/>
          <w:lang w:eastAsia="en-US"/>
        </w:rPr>
        <w:t>Given Comcare’s power to collect premiums and regulatory fees from Commonwealth Government agencies under the SRC Act, reclassification to an FMA Act agency would also be consistent with the Governance Arrangement for Australian Government Bodies which states:</w:t>
      </w:r>
      <w:r w:rsidR="00BC7372">
        <w:rPr>
          <w:rFonts w:asciiTheme="minorHAnsi" w:eastAsiaTheme="minorHAnsi" w:hAnsiTheme="minorHAnsi" w:cstheme="minorBidi"/>
          <w:sz w:val="22"/>
          <w:szCs w:val="22"/>
          <w:lang w:eastAsia="en-US"/>
        </w:rPr>
        <w:t xml:space="preserve"> </w:t>
      </w:r>
      <w:r w:rsidRPr="006E236C">
        <w:rPr>
          <w:rFonts w:asciiTheme="minorHAnsi" w:eastAsiaTheme="minorHAnsi" w:hAnsiTheme="minorHAnsi" w:cstheme="minorBidi"/>
          <w:sz w:val="22"/>
          <w:szCs w:val="22"/>
          <w:lang w:eastAsia="en-US"/>
        </w:rPr>
        <w:t>“</w:t>
      </w:r>
      <w:r w:rsidRPr="006E236C">
        <w:rPr>
          <w:rFonts w:asciiTheme="minorHAnsi" w:eastAsiaTheme="minorHAnsi" w:hAnsiTheme="minorHAnsi" w:cstheme="minorBidi"/>
          <w:i/>
          <w:sz w:val="22"/>
          <w:szCs w:val="22"/>
          <w:lang w:eastAsia="en-US"/>
        </w:rPr>
        <w:t>A body that is expected to raise public money under a law of the Commonwealth – either by levy, licence fee, cost recovery or any coercive power – should preferably be established as an FMA Act agency.  One key reason is that the FMA Act provides a rigorous framework for the collection, management and expenditure of public money generally</w:t>
      </w:r>
      <w:r w:rsidRPr="006E236C">
        <w:rPr>
          <w:rFonts w:asciiTheme="minorHAnsi" w:eastAsiaTheme="minorHAnsi" w:hAnsiTheme="minorHAnsi" w:cstheme="minorBidi"/>
          <w:sz w:val="22"/>
          <w:szCs w:val="22"/>
          <w:lang w:eastAsia="en-US"/>
        </w:rPr>
        <w:t>.”</w:t>
      </w:r>
      <w:r w:rsidRPr="006E236C">
        <w:rPr>
          <w:rFonts w:asciiTheme="minorHAnsi" w:eastAsiaTheme="minorHAnsi" w:hAnsiTheme="minorHAnsi" w:cstheme="minorBidi"/>
          <w:sz w:val="20"/>
          <w:szCs w:val="20"/>
          <w:vertAlign w:val="superscript"/>
          <w:lang w:eastAsia="en-US"/>
        </w:rPr>
        <w:footnoteReference w:id="68"/>
      </w:r>
    </w:p>
    <w:p w:rsidR="002555F4" w:rsidRDefault="00797CEF">
      <w:pPr>
        <w:numPr>
          <w:ilvl w:val="1"/>
          <w:numId w:val="60"/>
        </w:numPr>
        <w:spacing w:after="120"/>
        <w:ind w:left="709" w:hanging="709"/>
        <w:rPr>
          <w:rFonts w:ascii="Calibri" w:eastAsiaTheme="minorHAnsi" w:hAnsi="Calibri" w:cs="Calibri"/>
          <w:sz w:val="22"/>
          <w:lang w:eastAsia="en-US"/>
        </w:rPr>
      </w:pPr>
      <w:r w:rsidRPr="00797CEF">
        <w:rPr>
          <w:rFonts w:asciiTheme="minorHAnsi" w:eastAsiaTheme="minorHAnsi" w:hAnsiTheme="minorHAnsi" w:cstheme="minorHAnsi"/>
          <w:sz w:val="22"/>
          <w:lang w:eastAsia="en-US"/>
        </w:rPr>
        <w:t>Additionally, i</w:t>
      </w:r>
      <w:r w:rsidRPr="00797CEF">
        <w:rPr>
          <w:rFonts w:asciiTheme="minorHAnsi" w:eastAsiaTheme="minorHAnsi" w:hAnsiTheme="minorHAnsi" w:cstheme="minorBidi"/>
          <w:sz w:val="22"/>
          <w:szCs w:val="22"/>
          <w:lang w:eastAsia="en-US"/>
        </w:rPr>
        <w:t xml:space="preserve">t </w:t>
      </w:r>
      <w:r w:rsidR="006E236C" w:rsidRPr="006E236C">
        <w:rPr>
          <w:rFonts w:ascii="Calibri" w:eastAsiaTheme="minorHAnsi" w:hAnsi="Calibri" w:cs="Calibri"/>
          <w:sz w:val="22"/>
          <w:lang w:eastAsia="en-US"/>
        </w:rPr>
        <w:t>would</w:t>
      </w:r>
      <w:r w:rsidRPr="00797CEF">
        <w:rPr>
          <w:rFonts w:asciiTheme="minorHAnsi" w:eastAsiaTheme="minorHAnsi" w:hAnsiTheme="minorHAnsi" w:cstheme="minorBidi"/>
          <w:sz w:val="22"/>
          <w:szCs w:val="22"/>
          <w:lang w:eastAsia="en-US"/>
        </w:rPr>
        <w:t xml:space="preserve"> be possible for Comcare, if it became an FMA Act body, to be created as a legal identity separate from the Commonwealth by establishing it as a body corporate.  The creation of a separate corporate identity would enable Comcare to have the power to sue and be sued in its own corporate name if required.</w:t>
      </w:r>
      <w:r w:rsidRPr="00797CEF">
        <w:rPr>
          <w:rFonts w:asciiTheme="minorHAnsi" w:eastAsiaTheme="minorHAnsi" w:hAnsiTheme="minorHAnsi" w:cstheme="minorBidi"/>
          <w:sz w:val="22"/>
          <w:szCs w:val="22"/>
          <w:vertAlign w:val="superscript"/>
          <w:lang w:eastAsia="en-US"/>
        </w:rPr>
        <w:footnoteReference w:id="69"/>
      </w:r>
    </w:p>
    <w:p w:rsidR="002555F4" w:rsidRDefault="00797CEF">
      <w:pPr>
        <w:numPr>
          <w:ilvl w:val="1"/>
          <w:numId w:val="60"/>
        </w:numPr>
        <w:spacing w:after="120"/>
        <w:ind w:left="709" w:hanging="709"/>
        <w:rPr>
          <w:rFonts w:ascii="Calibri" w:eastAsiaTheme="minorHAnsi" w:hAnsi="Calibri" w:cs="Calibri"/>
          <w:sz w:val="22"/>
          <w:lang w:eastAsia="en-US"/>
        </w:rPr>
      </w:pPr>
      <w:r w:rsidRPr="00797CEF">
        <w:rPr>
          <w:rFonts w:asciiTheme="minorHAnsi" w:eastAsiaTheme="minorHAnsi" w:hAnsiTheme="minorHAnsi" w:cstheme="minorBidi"/>
          <w:sz w:val="22"/>
          <w:szCs w:val="22"/>
          <w:lang w:eastAsia="en-US"/>
        </w:rPr>
        <w:t xml:space="preserve">Some </w:t>
      </w:r>
      <w:r w:rsidRPr="00C977AE">
        <w:rPr>
          <w:rFonts w:asciiTheme="minorHAnsi" w:eastAsiaTheme="minorHAnsi" w:hAnsiTheme="minorHAnsi" w:cstheme="minorHAnsi"/>
          <w:sz w:val="22"/>
          <w:lang w:eastAsia="en-US"/>
        </w:rPr>
        <w:t>useful</w:t>
      </w:r>
      <w:r w:rsidRPr="00797CEF">
        <w:rPr>
          <w:rFonts w:asciiTheme="minorHAnsi" w:eastAsiaTheme="minorHAnsi" w:hAnsiTheme="minorHAnsi" w:cstheme="minorBidi"/>
          <w:sz w:val="22"/>
          <w:szCs w:val="22"/>
          <w:lang w:eastAsia="en-US"/>
        </w:rPr>
        <w:t xml:space="preserve"> examples of the governance structures of like bodies, Comcover and </w:t>
      </w:r>
      <w:r w:rsidR="00CB72D0">
        <w:rPr>
          <w:rFonts w:asciiTheme="minorHAnsi" w:eastAsiaTheme="minorHAnsi" w:hAnsiTheme="minorHAnsi" w:cstheme="minorBidi"/>
          <w:sz w:val="22"/>
          <w:szCs w:val="22"/>
          <w:lang w:eastAsia="en-US"/>
        </w:rPr>
        <w:t>the Civil Aviation Safety Authority (</w:t>
      </w:r>
      <w:r w:rsidRPr="00797CEF">
        <w:rPr>
          <w:rFonts w:asciiTheme="minorHAnsi" w:eastAsiaTheme="minorHAnsi" w:hAnsiTheme="minorHAnsi" w:cstheme="minorBidi"/>
          <w:sz w:val="22"/>
          <w:szCs w:val="22"/>
          <w:lang w:eastAsia="en-US"/>
        </w:rPr>
        <w:t>CASA</w:t>
      </w:r>
      <w:r w:rsidR="00CB72D0">
        <w:rPr>
          <w:rFonts w:asciiTheme="minorHAnsi" w:eastAsiaTheme="minorHAnsi" w:hAnsiTheme="minorHAnsi" w:cstheme="minorBidi"/>
          <w:sz w:val="22"/>
          <w:szCs w:val="22"/>
          <w:lang w:eastAsia="en-US"/>
        </w:rPr>
        <w:t>)</w:t>
      </w:r>
      <w:r w:rsidRPr="00797CEF">
        <w:rPr>
          <w:rFonts w:asciiTheme="minorHAnsi" w:eastAsiaTheme="minorHAnsi" w:hAnsiTheme="minorHAnsi" w:cstheme="minorBidi"/>
          <w:sz w:val="22"/>
          <w:szCs w:val="22"/>
          <w:lang w:eastAsia="en-US"/>
        </w:rPr>
        <w:t xml:space="preserve">, are provided in </w:t>
      </w:r>
      <w:r w:rsidRPr="0035663E">
        <w:rPr>
          <w:rFonts w:asciiTheme="minorHAnsi" w:eastAsiaTheme="minorHAnsi" w:hAnsiTheme="minorHAnsi" w:cstheme="minorBidi"/>
          <w:sz w:val="22"/>
          <w:szCs w:val="22"/>
          <w:u w:val="single"/>
          <w:lang w:eastAsia="en-US"/>
        </w:rPr>
        <w:t xml:space="preserve">Annex </w:t>
      </w:r>
      <w:r w:rsidR="00DE4A9A" w:rsidRPr="0035663E">
        <w:rPr>
          <w:rFonts w:asciiTheme="minorHAnsi" w:eastAsiaTheme="minorHAnsi" w:hAnsiTheme="minorHAnsi" w:cstheme="minorBidi"/>
          <w:sz w:val="22"/>
          <w:szCs w:val="22"/>
          <w:u w:val="single"/>
          <w:lang w:eastAsia="en-US"/>
        </w:rPr>
        <w:t>G</w:t>
      </w:r>
      <w:r w:rsidR="00711A61">
        <w:rPr>
          <w:rFonts w:asciiTheme="minorHAnsi" w:eastAsiaTheme="minorHAnsi" w:hAnsiTheme="minorHAnsi" w:cstheme="minorBidi"/>
          <w:sz w:val="22"/>
          <w:szCs w:val="22"/>
          <w:u w:val="single"/>
          <w:lang w:eastAsia="en-US"/>
        </w:rPr>
        <w:t xml:space="preserve"> and Annex H</w:t>
      </w:r>
      <w:r w:rsidRPr="00797CEF">
        <w:rPr>
          <w:rFonts w:asciiTheme="minorHAnsi" w:eastAsiaTheme="minorHAnsi" w:hAnsiTheme="minorHAnsi" w:cstheme="minorBidi"/>
          <w:sz w:val="22"/>
          <w:szCs w:val="22"/>
          <w:lang w:eastAsia="en-US"/>
        </w:rPr>
        <w:t>.</w:t>
      </w:r>
    </w:p>
    <w:p w:rsidR="002555F4" w:rsidRDefault="006E236C">
      <w:pPr>
        <w:numPr>
          <w:ilvl w:val="1"/>
          <w:numId w:val="60"/>
        </w:numPr>
        <w:spacing w:after="120"/>
        <w:ind w:left="709" w:hanging="709"/>
        <w:rPr>
          <w:rFonts w:ascii="Calibri" w:eastAsiaTheme="minorHAnsi" w:hAnsi="Calibri" w:cs="Calibri"/>
          <w:sz w:val="22"/>
          <w:lang w:eastAsia="en-US"/>
        </w:rPr>
      </w:pPr>
      <w:r w:rsidRPr="006E236C">
        <w:rPr>
          <w:rFonts w:asciiTheme="minorHAnsi" w:eastAsiaTheme="minorHAnsi" w:hAnsiTheme="minorHAnsi" w:cstheme="minorHAnsi"/>
          <w:sz w:val="22"/>
          <w:lang w:eastAsia="en-US"/>
        </w:rPr>
        <w:t>Converting</w:t>
      </w:r>
      <w:r w:rsidR="00797CEF" w:rsidRPr="00797CEF">
        <w:rPr>
          <w:rFonts w:ascii="Calibri" w:eastAsiaTheme="minorHAnsi" w:hAnsi="Calibri" w:cs="Calibri"/>
          <w:sz w:val="22"/>
          <w:lang w:eastAsia="en-US"/>
        </w:rPr>
        <w:t xml:space="preserve"> Comcare to an FMA Act agency would also resolve the </w:t>
      </w:r>
      <w:r w:rsidR="00CB72D0" w:rsidRPr="00797CEF">
        <w:rPr>
          <w:rFonts w:ascii="Calibri" w:eastAsiaTheme="minorHAnsi" w:hAnsi="Calibri" w:cs="Calibri"/>
          <w:sz w:val="22"/>
          <w:lang w:eastAsia="en-US"/>
        </w:rPr>
        <w:t>incongru</w:t>
      </w:r>
      <w:r w:rsidR="00CB72D0">
        <w:rPr>
          <w:rFonts w:ascii="Calibri" w:eastAsiaTheme="minorHAnsi" w:hAnsi="Calibri" w:cs="Calibri"/>
          <w:sz w:val="22"/>
          <w:lang w:eastAsia="en-US"/>
        </w:rPr>
        <w:t>ity</w:t>
      </w:r>
      <w:r w:rsidR="00CB72D0" w:rsidRPr="00797CEF">
        <w:rPr>
          <w:rFonts w:ascii="Calibri" w:eastAsiaTheme="minorHAnsi" w:hAnsi="Calibri" w:cs="Calibri"/>
          <w:sz w:val="22"/>
          <w:lang w:eastAsia="en-US"/>
        </w:rPr>
        <w:t xml:space="preserve"> </w:t>
      </w:r>
      <w:r w:rsidR="00797CEF" w:rsidRPr="00797CEF">
        <w:rPr>
          <w:rFonts w:ascii="Calibri" w:eastAsiaTheme="minorHAnsi" w:hAnsi="Calibri" w:cs="Calibri"/>
          <w:sz w:val="22"/>
          <w:lang w:eastAsia="en-US"/>
        </w:rPr>
        <w:t>that exists between Comcare and the Seafarers Safety, Rehabilitation and Compensation Authority.  Comcare is responsible for the management of the Seafarers Authority which operates under the FMA Act.</w:t>
      </w:r>
    </w:p>
    <w:p w:rsidR="002555F4" w:rsidRPr="00522B03" w:rsidRDefault="00797CEF">
      <w:pPr>
        <w:numPr>
          <w:ilvl w:val="1"/>
          <w:numId w:val="60"/>
        </w:numPr>
        <w:spacing w:after="120"/>
        <w:ind w:left="709" w:hanging="709"/>
        <w:rPr>
          <w:rFonts w:ascii="Calibri" w:eastAsiaTheme="minorHAnsi" w:hAnsi="Calibri" w:cs="Calibri"/>
          <w:sz w:val="22"/>
          <w:lang w:eastAsia="en-US"/>
        </w:rPr>
      </w:pPr>
      <w:r w:rsidRPr="00797CEF">
        <w:rPr>
          <w:rFonts w:ascii="Calibri" w:eastAsiaTheme="minorHAnsi" w:hAnsi="Calibri" w:cs="Calibri"/>
          <w:sz w:val="22"/>
          <w:lang w:eastAsia="en-US"/>
        </w:rPr>
        <w:t xml:space="preserve">An </w:t>
      </w:r>
      <w:r w:rsidR="006E236C" w:rsidRPr="006E236C">
        <w:rPr>
          <w:rFonts w:asciiTheme="minorHAnsi" w:eastAsiaTheme="minorHAnsi" w:hAnsiTheme="minorHAnsi" w:cstheme="minorHAnsi"/>
          <w:sz w:val="22"/>
          <w:lang w:eastAsia="en-US"/>
        </w:rPr>
        <w:t>important</w:t>
      </w:r>
      <w:r w:rsidRPr="00797CEF">
        <w:rPr>
          <w:rFonts w:ascii="Calibri" w:eastAsiaTheme="minorHAnsi" w:hAnsi="Calibri" w:cs="Calibri"/>
          <w:sz w:val="22"/>
          <w:lang w:eastAsia="en-US"/>
        </w:rPr>
        <w:t xml:space="preserve"> issue to consider is whether by converting </w:t>
      </w:r>
      <w:r w:rsidR="000E341C">
        <w:rPr>
          <w:rFonts w:ascii="Calibri" w:eastAsiaTheme="minorHAnsi" w:hAnsi="Calibri" w:cs="Calibri"/>
          <w:sz w:val="22"/>
          <w:lang w:eastAsia="en-US"/>
        </w:rPr>
        <w:t xml:space="preserve">Comcare </w:t>
      </w:r>
      <w:r w:rsidRPr="00797CEF">
        <w:rPr>
          <w:rFonts w:ascii="Calibri" w:eastAsiaTheme="minorHAnsi" w:hAnsi="Calibri" w:cs="Calibri"/>
          <w:sz w:val="22"/>
          <w:lang w:eastAsia="en-US"/>
        </w:rPr>
        <w:t xml:space="preserve">to an FMA Act </w:t>
      </w:r>
      <w:r w:rsidR="000E341C">
        <w:rPr>
          <w:rFonts w:ascii="Calibri" w:hAnsi="Calibri" w:cs="Calibri"/>
        </w:rPr>
        <w:t xml:space="preserve">body, any future operating loss </w:t>
      </w:r>
      <w:r w:rsidR="000E341C" w:rsidRPr="0035663E">
        <w:rPr>
          <w:rFonts w:ascii="Calibri" w:hAnsi="Calibri" w:cs="Calibri"/>
          <w:sz w:val="22"/>
          <w:szCs w:val="22"/>
        </w:rPr>
        <w:t>attributable to actuarial modelling</w:t>
      </w:r>
      <w:r w:rsidR="000E341C">
        <w:rPr>
          <w:rFonts w:ascii="Calibri" w:hAnsi="Calibri" w:cs="Calibri"/>
        </w:rPr>
        <w:t xml:space="preserve"> would impact on </w:t>
      </w:r>
      <w:r w:rsidRPr="00797CEF">
        <w:rPr>
          <w:rFonts w:ascii="Calibri" w:eastAsiaTheme="minorHAnsi" w:hAnsi="Calibri" w:cs="Calibri"/>
          <w:sz w:val="22"/>
          <w:lang w:eastAsia="en-US"/>
        </w:rPr>
        <w:t xml:space="preserve">the Government’s budget bottom line.  Advice received from the Department of Finance and Deregulation is that where </w:t>
      </w:r>
      <w:r w:rsidRPr="003678BA">
        <w:rPr>
          <w:rFonts w:asciiTheme="minorHAnsi" w:eastAsiaTheme="minorHAnsi" w:hAnsiTheme="minorHAnsi" w:cstheme="minorBidi"/>
          <w:sz w:val="22"/>
          <w:szCs w:val="22"/>
          <w:lang w:eastAsia="en-US"/>
        </w:rPr>
        <w:t xml:space="preserve">an agency (such as Comcare) that is part of the General Government Sector (GGS) experiences an operating loss due to actuarial modelling (as opposed to experiencing a </w:t>
      </w:r>
      <w:r w:rsidR="000E341C">
        <w:rPr>
          <w:rFonts w:asciiTheme="minorHAnsi" w:eastAsiaTheme="minorHAnsi" w:hAnsiTheme="minorHAnsi" w:cstheme="minorBidi"/>
          <w:i/>
          <w:iCs/>
          <w:sz w:val="22"/>
          <w:szCs w:val="22"/>
          <w:lang w:eastAsia="en-US"/>
        </w:rPr>
        <w:t xml:space="preserve">genuine </w:t>
      </w:r>
      <w:r w:rsidRPr="003678BA">
        <w:rPr>
          <w:rFonts w:asciiTheme="minorHAnsi" w:eastAsiaTheme="minorHAnsi" w:hAnsiTheme="minorHAnsi" w:cstheme="minorBidi"/>
          <w:sz w:val="22"/>
          <w:szCs w:val="22"/>
          <w:lang w:eastAsia="en-US"/>
        </w:rPr>
        <w:t xml:space="preserve">operating loss) there is no impact on the </w:t>
      </w:r>
      <w:r w:rsidR="00F5001A">
        <w:rPr>
          <w:rFonts w:asciiTheme="minorHAnsi" w:eastAsiaTheme="minorHAnsi" w:hAnsiTheme="minorHAnsi" w:cstheme="minorBidi"/>
          <w:sz w:val="22"/>
          <w:szCs w:val="22"/>
          <w:lang w:eastAsia="en-US"/>
        </w:rPr>
        <w:t>G</w:t>
      </w:r>
      <w:r w:rsidR="00F5001A" w:rsidRPr="003678BA">
        <w:rPr>
          <w:rFonts w:asciiTheme="minorHAnsi" w:eastAsiaTheme="minorHAnsi" w:hAnsiTheme="minorHAnsi" w:cstheme="minorBidi"/>
          <w:sz w:val="22"/>
          <w:szCs w:val="22"/>
          <w:lang w:eastAsia="en-US"/>
        </w:rPr>
        <w:t xml:space="preserve">overnment’s </w:t>
      </w:r>
      <w:r w:rsidRPr="003678BA">
        <w:rPr>
          <w:rFonts w:asciiTheme="minorHAnsi" w:eastAsiaTheme="minorHAnsi" w:hAnsiTheme="minorHAnsi" w:cstheme="minorBidi"/>
          <w:sz w:val="22"/>
          <w:szCs w:val="22"/>
          <w:lang w:eastAsia="en-US"/>
        </w:rPr>
        <w:t>Fiscal Balance or on the Underlying Cash Balance. This is regardless of whether the agency falls under the FMA Act or the CAC Act.</w:t>
      </w:r>
    </w:p>
    <w:p w:rsidR="00FB3790" w:rsidRDefault="00FB3790" w:rsidP="00522B03">
      <w:pPr>
        <w:spacing w:after="120"/>
        <w:ind w:left="709"/>
        <w:rPr>
          <w:rFonts w:ascii="Calibri" w:eastAsiaTheme="minorHAnsi" w:hAnsi="Calibri" w:cs="Calibri"/>
          <w:sz w:val="22"/>
          <w:lang w:eastAsia="en-US"/>
        </w:rPr>
      </w:pPr>
    </w:p>
    <w:p w:rsidR="002555F4" w:rsidRDefault="006E236C" w:rsidP="0035663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Calibri" w:eastAsiaTheme="minorHAnsi" w:hAnsi="Calibri" w:cs="Calibri"/>
          <w:b/>
          <w:sz w:val="22"/>
          <w:lang w:eastAsia="en-US"/>
        </w:rPr>
      </w:pPr>
      <w:r w:rsidRPr="006E236C">
        <w:rPr>
          <w:rFonts w:ascii="Calibri" w:eastAsiaTheme="minorHAnsi" w:hAnsi="Calibri" w:cs="Calibri"/>
          <w:b/>
          <w:sz w:val="22"/>
          <w:lang w:eastAsia="en-US"/>
        </w:rPr>
        <w:lastRenderedPageBreak/>
        <w:t xml:space="preserve">Recommendation </w:t>
      </w:r>
      <w:r w:rsidR="00D916EA" w:rsidRPr="006E236C">
        <w:rPr>
          <w:rFonts w:ascii="Calibri" w:eastAsiaTheme="minorHAnsi" w:hAnsi="Calibri" w:cs="Calibri"/>
          <w:b/>
          <w:sz w:val="22"/>
          <w:lang w:eastAsia="en-US"/>
        </w:rPr>
        <w:t>2</w:t>
      </w:r>
      <w:r w:rsidR="00D916EA">
        <w:rPr>
          <w:rFonts w:ascii="Calibri" w:eastAsiaTheme="minorHAnsi" w:hAnsi="Calibri" w:cs="Calibri"/>
          <w:b/>
          <w:sz w:val="22"/>
          <w:lang w:eastAsia="en-US"/>
        </w:rPr>
        <w:t>6</w:t>
      </w:r>
    </w:p>
    <w:p w:rsidR="00797CEF" w:rsidRPr="00797CEF" w:rsidRDefault="00797CEF" w:rsidP="00797CEF">
      <w:pPr>
        <w:keepNext/>
        <w:keepLines/>
        <w:numPr>
          <w:ilvl w:val="0"/>
          <w:numId w:val="3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120"/>
        <w:ind w:left="426" w:hanging="426"/>
        <w:rPr>
          <w:rFonts w:ascii="Calibri" w:eastAsiaTheme="minorHAnsi" w:hAnsi="Calibri" w:cs="Calibri"/>
          <w:sz w:val="22"/>
          <w:lang w:eastAsia="en-US"/>
        </w:rPr>
      </w:pPr>
      <w:r w:rsidRPr="00797CEF">
        <w:rPr>
          <w:rFonts w:ascii="Calibri" w:eastAsiaTheme="minorHAnsi" w:hAnsi="Calibri" w:cs="Calibri"/>
          <w:sz w:val="22"/>
          <w:lang w:eastAsia="en-US"/>
        </w:rPr>
        <w:t xml:space="preserve">Comcare be converted to an FMA Act agency </w:t>
      </w:r>
      <w:r w:rsidR="00F5001A">
        <w:rPr>
          <w:rFonts w:ascii="Calibri" w:eastAsiaTheme="minorHAnsi" w:hAnsi="Calibri" w:cs="Calibri"/>
          <w:sz w:val="22"/>
          <w:lang w:eastAsia="en-US"/>
        </w:rPr>
        <w:t>to</w:t>
      </w:r>
      <w:r w:rsidRPr="00797CEF">
        <w:rPr>
          <w:rFonts w:ascii="Calibri" w:eastAsiaTheme="minorHAnsi" w:hAnsi="Calibri" w:cs="Calibri"/>
          <w:sz w:val="22"/>
          <w:lang w:eastAsia="en-US"/>
        </w:rPr>
        <w:t xml:space="preserve"> resolve the complexities and inconsistencies around Comcare as a CAC Act body, while allowing Comcare to retain as little or as much independence to conduct its business as the Government deems appropriate.</w:t>
      </w:r>
    </w:p>
    <w:p w:rsidR="00797CEF" w:rsidRPr="00797CEF" w:rsidRDefault="00797CEF" w:rsidP="00797CEF">
      <w:pPr>
        <w:numPr>
          <w:ilvl w:val="0"/>
          <w:numId w:val="3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120"/>
        <w:ind w:left="426" w:hanging="426"/>
        <w:rPr>
          <w:rFonts w:asciiTheme="minorHAnsi" w:eastAsiaTheme="minorHAnsi" w:hAnsiTheme="minorHAnsi" w:cstheme="minorHAnsi"/>
          <w:sz w:val="22"/>
          <w:szCs w:val="22"/>
          <w:lang w:eastAsia="en-US"/>
        </w:rPr>
      </w:pPr>
      <w:r w:rsidRPr="00797CEF">
        <w:rPr>
          <w:rFonts w:ascii="Calibri" w:eastAsiaTheme="minorHAnsi" w:hAnsi="Calibri" w:cs="Calibri"/>
          <w:sz w:val="22"/>
          <w:lang w:eastAsia="en-US"/>
        </w:rPr>
        <w:t>As part of converting Comcare to an FMA Act agency, consideration be given to establishing an advisory board, made up of industry experts, for the purposes of advising and supporting the Chief Executive.</w:t>
      </w:r>
    </w:p>
    <w:p w:rsidR="00797CEF" w:rsidRPr="00797CEF" w:rsidRDefault="00797CEF" w:rsidP="00797CEF">
      <w:pPr>
        <w:spacing w:after="120"/>
        <w:rPr>
          <w:rFonts w:ascii="Calibri" w:hAnsi="Calibri" w:cs="Calibri"/>
        </w:rPr>
      </w:pPr>
    </w:p>
    <w:p w:rsidR="000A3F6D" w:rsidRDefault="000A3F6D" w:rsidP="00797CEF">
      <w:pPr>
        <w:spacing w:after="120"/>
        <w:rPr>
          <w:rFonts w:ascii="Calibri" w:hAnsi="Calibri" w:cs="Calibri"/>
          <w:sz w:val="22"/>
          <w:szCs w:val="22"/>
        </w:rPr>
        <w:sectPr w:rsidR="000A3F6D" w:rsidSect="00F5040B">
          <w:headerReference w:type="default" r:id="rId38"/>
          <w:pgSz w:w="11906" w:h="16838"/>
          <w:pgMar w:top="1440" w:right="1440" w:bottom="1440" w:left="1440" w:header="708" w:footer="708" w:gutter="0"/>
          <w:cols w:space="708"/>
          <w:docGrid w:linePitch="360"/>
        </w:sectPr>
      </w:pPr>
    </w:p>
    <w:p w:rsidR="000A3F6D" w:rsidRPr="000A3F6D" w:rsidRDefault="000A3F6D" w:rsidP="000A3F6D">
      <w:pPr>
        <w:keepNext/>
        <w:pageBreakBefore/>
        <w:pBdr>
          <w:bottom w:val="single" w:sz="4" w:space="1" w:color="auto"/>
        </w:pBdr>
        <w:spacing w:after="240"/>
        <w:ind w:right="-142"/>
        <w:outlineLvl w:val="1"/>
        <w:rPr>
          <w:rFonts w:ascii="Cambria" w:eastAsiaTheme="majorEastAsia" w:hAnsi="Cambria" w:cstheme="majorHAnsi"/>
          <w:iCs/>
          <w:color w:val="1F497D" w:themeColor="text2"/>
          <w:kern w:val="32"/>
          <w:sz w:val="44"/>
          <w:szCs w:val="44"/>
        </w:rPr>
      </w:pPr>
      <w:bookmarkStart w:id="561" w:name="_Toc341778042"/>
      <w:bookmarkStart w:id="562" w:name="_Toc342578415"/>
      <w:r w:rsidRPr="000A3F6D">
        <w:rPr>
          <w:rFonts w:ascii="Cambria" w:eastAsiaTheme="majorEastAsia" w:hAnsi="Cambria" w:cstheme="majorHAnsi"/>
          <w:iCs/>
          <w:color w:val="1F497D" w:themeColor="text2"/>
          <w:kern w:val="32"/>
          <w:sz w:val="44"/>
          <w:szCs w:val="44"/>
        </w:rPr>
        <w:lastRenderedPageBreak/>
        <w:t>Chapter 4 - Financial Framework</w:t>
      </w:r>
      <w:bookmarkEnd w:id="561"/>
      <w:bookmarkEnd w:id="562"/>
    </w:p>
    <w:p w:rsidR="000A3F6D" w:rsidRPr="000A3F6D" w:rsidRDefault="000A3F6D" w:rsidP="000A3F6D">
      <w:pPr>
        <w:spacing w:before="100" w:beforeAutospacing="1" w:after="100" w:afterAutospacing="1"/>
        <w:outlineLvl w:val="0"/>
        <w:rPr>
          <w:rFonts w:ascii="Arial" w:hAnsi="Arial"/>
          <w:bCs/>
          <w:caps/>
          <w:color w:val="1F497D" w:themeColor="text2"/>
          <w:kern w:val="36"/>
          <w:sz w:val="28"/>
          <w:szCs w:val="28"/>
        </w:rPr>
      </w:pPr>
      <w:bookmarkStart w:id="563" w:name="_Toc341778043"/>
      <w:bookmarkStart w:id="564" w:name="_Toc342578416"/>
      <w:r w:rsidRPr="000A3F6D">
        <w:rPr>
          <w:rFonts w:ascii="Arial" w:hAnsi="Arial"/>
          <w:bCs/>
          <w:caps/>
          <w:color w:val="1F497D" w:themeColor="text2"/>
          <w:kern w:val="36"/>
          <w:sz w:val="28"/>
          <w:szCs w:val="28"/>
        </w:rPr>
        <w:t>Comcare’s Funding Sources</w:t>
      </w:r>
      <w:bookmarkEnd w:id="563"/>
      <w:bookmarkEnd w:id="564"/>
    </w:p>
    <w:p w:rsidR="000A3F6D" w:rsidRPr="000A3F6D" w:rsidRDefault="000A3F6D" w:rsidP="000A3F6D">
      <w:pPr>
        <w:keepNext/>
        <w:keepLines/>
        <w:numPr>
          <w:ilvl w:val="1"/>
          <w:numId w:val="55"/>
        </w:numPr>
        <w:spacing w:after="120"/>
        <w:ind w:hanging="720"/>
        <w:rPr>
          <w:rFonts w:ascii="Calibri" w:eastAsiaTheme="minorHAnsi" w:hAnsi="Calibri" w:cs="Calibri"/>
          <w:sz w:val="22"/>
          <w:szCs w:val="22"/>
          <w:lang w:eastAsia="en-US"/>
        </w:rPr>
      </w:pPr>
      <w:r w:rsidRPr="000A3F6D">
        <w:rPr>
          <w:rFonts w:ascii="Calibri" w:eastAsiaTheme="minorHAnsi" w:hAnsi="Calibri" w:cs="Calibri"/>
          <w:sz w:val="22"/>
          <w:szCs w:val="22"/>
          <w:lang w:eastAsia="en-US"/>
        </w:rPr>
        <w:t>Comcare has recently reported a considerable operating loss for the premium scheme, which has led it to increase, significantly, the premiums payable by the premium payers.  This increase is, in part, to place Comcare in a better financial position to meet its projected outstanding claims liabilities in coming years.</w:t>
      </w:r>
    </w:p>
    <w:p w:rsidR="000A3F6D" w:rsidRPr="000A3F6D" w:rsidRDefault="000A3F6D" w:rsidP="000A3F6D">
      <w:pPr>
        <w:keepNext/>
        <w:keepLines/>
        <w:numPr>
          <w:ilvl w:val="1"/>
          <w:numId w:val="55"/>
        </w:numPr>
        <w:spacing w:after="120"/>
        <w:ind w:hanging="720"/>
        <w:rPr>
          <w:rFonts w:ascii="Calibri" w:eastAsiaTheme="minorHAnsi" w:hAnsi="Calibri" w:cs="Calibri"/>
          <w:sz w:val="22"/>
          <w:szCs w:val="22"/>
          <w:lang w:eastAsia="en-US"/>
        </w:rPr>
      </w:pPr>
      <w:r w:rsidRPr="000A3F6D">
        <w:rPr>
          <w:rFonts w:ascii="Calibri" w:eastAsiaTheme="minorHAnsi" w:hAnsi="Calibri" w:cs="Calibri"/>
          <w:sz w:val="22"/>
          <w:szCs w:val="22"/>
          <w:lang w:eastAsia="en-US"/>
        </w:rPr>
        <w:t>This Chapter addresses Comcare’s premium framework, including how premiums are determined and distributed across premium payers and when they are notified and required to pay the forward year premiums.</w:t>
      </w:r>
      <w:r w:rsidR="00D66F75">
        <w:rPr>
          <w:rFonts w:ascii="Calibri" w:eastAsiaTheme="minorHAnsi" w:hAnsi="Calibri" w:cs="Calibri"/>
          <w:sz w:val="22"/>
          <w:szCs w:val="22"/>
          <w:lang w:eastAsia="en-US"/>
        </w:rPr>
        <w:t xml:space="preserve"> </w:t>
      </w:r>
      <w:r w:rsidR="001C6EA1">
        <w:rPr>
          <w:rFonts w:ascii="Calibri" w:eastAsiaTheme="minorHAnsi" w:hAnsi="Calibri" w:cs="Calibri"/>
          <w:sz w:val="22"/>
          <w:szCs w:val="22"/>
          <w:lang w:eastAsia="en-US"/>
        </w:rPr>
        <w:t>P</w:t>
      </w:r>
      <w:r w:rsidRPr="000A3F6D">
        <w:rPr>
          <w:rFonts w:ascii="Calibri" w:eastAsiaTheme="minorHAnsi" w:hAnsi="Calibri" w:cs="Calibri"/>
          <w:sz w:val="22"/>
          <w:szCs w:val="22"/>
          <w:lang w:eastAsia="en-US"/>
        </w:rPr>
        <w:t xml:space="preserve">remium payers report </w:t>
      </w:r>
      <w:r w:rsidR="00D66F75">
        <w:rPr>
          <w:rFonts w:ascii="Calibri" w:eastAsiaTheme="minorHAnsi" w:hAnsi="Calibri" w:cs="Calibri"/>
          <w:sz w:val="22"/>
          <w:szCs w:val="22"/>
          <w:lang w:eastAsia="en-US"/>
        </w:rPr>
        <w:t xml:space="preserve">that </w:t>
      </w:r>
      <w:r w:rsidRPr="000A3F6D">
        <w:rPr>
          <w:rFonts w:ascii="Calibri" w:eastAsiaTheme="minorHAnsi" w:hAnsi="Calibri" w:cs="Calibri"/>
          <w:sz w:val="22"/>
          <w:szCs w:val="22"/>
          <w:lang w:eastAsia="en-US"/>
        </w:rPr>
        <w:t xml:space="preserve">the timing of Comcare’s premiums </w:t>
      </w:r>
      <w:r w:rsidR="00D66F75">
        <w:rPr>
          <w:rFonts w:ascii="Calibri" w:eastAsiaTheme="minorHAnsi" w:hAnsi="Calibri" w:cs="Calibri"/>
          <w:sz w:val="22"/>
          <w:szCs w:val="22"/>
          <w:lang w:eastAsia="en-US"/>
        </w:rPr>
        <w:t xml:space="preserve">conflicts with </w:t>
      </w:r>
      <w:r w:rsidRPr="000A3F6D">
        <w:rPr>
          <w:rFonts w:ascii="Calibri" w:eastAsiaTheme="minorHAnsi" w:hAnsi="Calibri" w:cs="Calibri"/>
          <w:sz w:val="22"/>
          <w:szCs w:val="22"/>
          <w:lang w:eastAsia="en-US"/>
        </w:rPr>
        <w:t xml:space="preserve">finalisation of the Australian Government Budget, </w:t>
      </w:r>
      <w:r w:rsidR="001C6EA1" w:rsidRPr="000A3F6D">
        <w:rPr>
          <w:rFonts w:ascii="Calibri" w:eastAsiaTheme="minorHAnsi" w:hAnsi="Calibri" w:cs="Calibri"/>
          <w:sz w:val="22"/>
          <w:szCs w:val="22"/>
          <w:lang w:eastAsia="en-US"/>
        </w:rPr>
        <w:t>present</w:t>
      </w:r>
      <w:r w:rsidR="001C6EA1">
        <w:rPr>
          <w:rFonts w:ascii="Calibri" w:eastAsiaTheme="minorHAnsi" w:hAnsi="Calibri" w:cs="Calibri"/>
          <w:sz w:val="22"/>
          <w:szCs w:val="22"/>
          <w:lang w:eastAsia="en-US"/>
        </w:rPr>
        <w:t>ing</w:t>
      </w:r>
      <w:r w:rsidR="001C6EA1" w:rsidRPr="000A3F6D">
        <w:rPr>
          <w:rFonts w:ascii="Calibri" w:eastAsiaTheme="minorHAnsi" w:hAnsi="Calibri" w:cs="Calibri"/>
          <w:sz w:val="22"/>
          <w:szCs w:val="22"/>
          <w:lang w:eastAsia="en-US"/>
        </w:rPr>
        <w:t xml:space="preserve"> </w:t>
      </w:r>
      <w:r w:rsidRPr="000A3F6D">
        <w:rPr>
          <w:rFonts w:ascii="Calibri" w:eastAsiaTheme="minorHAnsi" w:hAnsi="Calibri" w:cs="Calibri"/>
          <w:sz w:val="22"/>
          <w:szCs w:val="22"/>
          <w:lang w:eastAsia="en-US"/>
        </w:rPr>
        <w:t xml:space="preserve">a budgeting challenge for </w:t>
      </w:r>
      <w:r w:rsidR="001C6EA1">
        <w:rPr>
          <w:rFonts w:ascii="Calibri" w:eastAsiaTheme="minorHAnsi" w:hAnsi="Calibri" w:cs="Calibri"/>
          <w:sz w:val="22"/>
          <w:szCs w:val="22"/>
          <w:lang w:eastAsia="en-US"/>
        </w:rPr>
        <w:t>them</w:t>
      </w:r>
      <w:r w:rsidRPr="000A3F6D">
        <w:rPr>
          <w:rFonts w:ascii="Calibri" w:eastAsiaTheme="minorHAnsi" w:hAnsi="Calibri" w:cs="Calibri"/>
          <w:sz w:val="22"/>
          <w:szCs w:val="22"/>
          <w:lang w:eastAsia="en-US"/>
        </w:rPr>
        <w:t>.  Similar timing issues are experienced by the licensees in relation to the regulatory fees paid to Comcare.</w:t>
      </w:r>
    </w:p>
    <w:p w:rsidR="000A3F6D" w:rsidRPr="000A3F6D" w:rsidRDefault="000A3F6D" w:rsidP="000A3F6D">
      <w:pPr>
        <w:keepNext/>
        <w:keepLines/>
        <w:numPr>
          <w:ilvl w:val="1"/>
          <w:numId w:val="55"/>
        </w:numPr>
        <w:spacing w:after="120"/>
        <w:ind w:hanging="720"/>
        <w:rPr>
          <w:rFonts w:ascii="Calibri" w:eastAsiaTheme="minorHAnsi" w:hAnsi="Calibri" w:cs="Calibri"/>
          <w:sz w:val="22"/>
          <w:szCs w:val="22"/>
          <w:lang w:eastAsia="en-US"/>
        </w:rPr>
      </w:pPr>
      <w:r w:rsidRPr="000A3F6D">
        <w:rPr>
          <w:rFonts w:ascii="Calibri" w:eastAsiaTheme="minorHAnsi" w:hAnsi="Calibri" w:cs="Calibri"/>
          <w:sz w:val="22"/>
          <w:szCs w:val="22"/>
          <w:lang w:eastAsia="en-US"/>
        </w:rPr>
        <w:t>As Comcare is not subject to supervision in the same way as insurance companies operating in the private sector, prudential management is also explored in this Chapter.</w:t>
      </w:r>
    </w:p>
    <w:p w:rsidR="000A3F6D" w:rsidRPr="000A3F6D" w:rsidRDefault="000A3F6D" w:rsidP="000A3F6D">
      <w:pPr>
        <w:keepNext/>
        <w:keepLines/>
        <w:numPr>
          <w:ilvl w:val="1"/>
          <w:numId w:val="55"/>
        </w:numPr>
        <w:spacing w:after="120"/>
        <w:ind w:hanging="720"/>
        <w:rPr>
          <w:rFonts w:ascii="Calibri" w:eastAsiaTheme="minorHAnsi" w:hAnsi="Calibri" w:cs="Calibri"/>
          <w:sz w:val="22"/>
          <w:szCs w:val="22"/>
          <w:lang w:eastAsia="en-US"/>
        </w:rPr>
      </w:pPr>
      <w:r w:rsidRPr="000A3F6D">
        <w:rPr>
          <w:rFonts w:ascii="Calibri" w:eastAsiaTheme="minorHAnsi" w:hAnsi="Calibri" w:cs="Calibri"/>
          <w:sz w:val="22"/>
          <w:szCs w:val="22"/>
          <w:lang w:eastAsia="en-US"/>
        </w:rPr>
        <w:t>On commencement of the SRC Act in 1988, the premiums and regulatory contributions from premium payers were held in the Consolidation Revenue Fund (CRF) and available to Comcare to meet the expenses of the scheme.  In 2002, Comcare began to receive premiums and regulatory contributions directly.  This provided Comcare with the opportunity to invest the collected funds to increase its funding pool.  Under Section 90C of the SRC Act, the balance of the pre-2002 premiums paid into the CRF and notional interest thereon, are supposed to remain available for Comcare to meet its liabilities.</w:t>
      </w:r>
    </w:p>
    <w:p w:rsidR="000A3F6D" w:rsidRPr="000A3F6D" w:rsidRDefault="000A3F6D" w:rsidP="000A3F6D">
      <w:pPr>
        <w:keepNext/>
        <w:keepLines/>
        <w:numPr>
          <w:ilvl w:val="1"/>
          <w:numId w:val="55"/>
        </w:numPr>
        <w:spacing w:after="120"/>
        <w:ind w:hanging="720"/>
        <w:rPr>
          <w:rFonts w:ascii="Calibri" w:eastAsiaTheme="minorHAnsi" w:hAnsi="Calibri" w:cs="Calibri"/>
          <w:sz w:val="22"/>
          <w:szCs w:val="22"/>
          <w:lang w:eastAsia="en-US"/>
        </w:rPr>
      </w:pPr>
      <w:r w:rsidRPr="000A3F6D">
        <w:rPr>
          <w:rFonts w:ascii="Calibri" w:eastAsiaTheme="minorHAnsi" w:hAnsi="Calibri" w:cs="Calibri"/>
          <w:sz w:val="22"/>
          <w:szCs w:val="22"/>
          <w:lang w:eastAsia="en-US"/>
        </w:rPr>
        <w:t xml:space="preserve">In practice, Comcare’s primary source of revenue </w:t>
      </w:r>
      <w:r w:rsidR="001C6EA1">
        <w:rPr>
          <w:rFonts w:ascii="Calibri" w:eastAsiaTheme="minorHAnsi" w:hAnsi="Calibri" w:cs="Calibri"/>
          <w:sz w:val="22"/>
          <w:szCs w:val="22"/>
          <w:lang w:eastAsia="en-US"/>
        </w:rPr>
        <w:t>comes</w:t>
      </w:r>
      <w:r w:rsidRPr="000A3F6D">
        <w:rPr>
          <w:rFonts w:ascii="Calibri" w:eastAsiaTheme="minorHAnsi" w:hAnsi="Calibri" w:cs="Calibri"/>
          <w:sz w:val="22"/>
          <w:szCs w:val="22"/>
          <w:lang w:eastAsia="en-US"/>
        </w:rPr>
        <w:t xml:space="preserve"> from premium payers since 1 July 2002 and interest earned </w:t>
      </w:r>
      <w:r w:rsidR="00033C73" w:rsidRPr="000A3F6D">
        <w:rPr>
          <w:rFonts w:ascii="Calibri" w:eastAsiaTheme="minorHAnsi" w:hAnsi="Calibri" w:cs="Calibri"/>
          <w:sz w:val="22"/>
          <w:szCs w:val="22"/>
          <w:lang w:eastAsia="en-US"/>
        </w:rPr>
        <w:t>through investment</w:t>
      </w:r>
      <w:r w:rsidRPr="000A3F6D">
        <w:rPr>
          <w:rFonts w:ascii="Calibri" w:eastAsiaTheme="minorHAnsi" w:hAnsi="Calibri" w:cs="Calibri"/>
          <w:sz w:val="22"/>
          <w:szCs w:val="22"/>
          <w:lang w:eastAsia="en-US"/>
        </w:rPr>
        <w:t xml:space="preserve"> of those contributions.  The combination of these two sources of funding is referred to as Comcare-</w:t>
      </w:r>
      <w:r w:rsidR="001001E1">
        <w:rPr>
          <w:rFonts w:ascii="Calibri" w:eastAsiaTheme="minorHAnsi" w:hAnsi="Calibri" w:cs="Calibri"/>
          <w:sz w:val="22"/>
          <w:szCs w:val="22"/>
          <w:lang w:eastAsia="en-US"/>
        </w:rPr>
        <w:t>R</w:t>
      </w:r>
      <w:r w:rsidRPr="000A3F6D">
        <w:rPr>
          <w:rFonts w:ascii="Calibri" w:eastAsiaTheme="minorHAnsi" w:hAnsi="Calibri" w:cs="Calibri"/>
          <w:sz w:val="22"/>
          <w:szCs w:val="22"/>
          <w:lang w:eastAsia="en-US"/>
        </w:rPr>
        <w:t xml:space="preserve">etained </w:t>
      </w:r>
      <w:r w:rsidR="001001E1">
        <w:rPr>
          <w:rFonts w:ascii="Calibri" w:eastAsiaTheme="minorHAnsi" w:hAnsi="Calibri" w:cs="Calibri"/>
          <w:sz w:val="22"/>
          <w:szCs w:val="22"/>
          <w:lang w:eastAsia="en-US"/>
        </w:rPr>
        <w:t>F</w:t>
      </w:r>
      <w:r w:rsidRPr="000A3F6D">
        <w:rPr>
          <w:rFonts w:ascii="Calibri" w:eastAsiaTheme="minorHAnsi" w:hAnsi="Calibri" w:cs="Calibri"/>
          <w:sz w:val="22"/>
          <w:szCs w:val="22"/>
          <w:lang w:eastAsia="en-US"/>
        </w:rPr>
        <w:t>unds</w:t>
      </w:r>
      <w:r w:rsidR="001001E1">
        <w:rPr>
          <w:rFonts w:ascii="Calibri" w:eastAsiaTheme="minorHAnsi" w:hAnsi="Calibri" w:cs="Calibri"/>
          <w:sz w:val="22"/>
          <w:szCs w:val="22"/>
          <w:lang w:eastAsia="en-US"/>
        </w:rPr>
        <w:t xml:space="preserve"> (CCRF)</w:t>
      </w:r>
      <w:r w:rsidRPr="000A3F6D">
        <w:rPr>
          <w:rFonts w:ascii="Calibri" w:eastAsiaTheme="minorHAnsi" w:hAnsi="Calibri" w:cs="Calibri"/>
          <w:sz w:val="22"/>
          <w:szCs w:val="22"/>
          <w:lang w:eastAsia="en-US"/>
        </w:rPr>
        <w:t>.</w:t>
      </w:r>
    </w:p>
    <w:p w:rsidR="000A3F6D" w:rsidRPr="000A3F6D" w:rsidRDefault="000A3F6D" w:rsidP="000A3F6D">
      <w:pPr>
        <w:keepNext/>
        <w:keepLines/>
        <w:numPr>
          <w:ilvl w:val="1"/>
          <w:numId w:val="55"/>
        </w:numPr>
        <w:spacing w:after="120"/>
        <w:ind w:hanging="720"/>
        <w:rPr>
          <w:rFonts w:ascii="Calibri" w:eastAsiaTheme="minorHAnsi" w:hAnsi="Calibri" w:cs="Calibri"/>
          <w:sz w:val="22"/>
          <w:szCs w:val="22"/>
          <w:lang w:eastAsia="en-US"/>
        </w:rPr>
      </w:pPr>
      <w:r w:rsidRPr="000A3F6D">
        <w:rPr>
          <w:rFonts w:ascii="Calibri" w:eastAsiaTheme="minorHAnsi" w:hAnsi="Calibri" w:cs="Calibri"/>
          <w:sz w:val="22"/>
          <w:szCs w:val="22"/>
          <w:lang w:eastAsia="en-US"/>
        </w:rPr>
        <w:t xml:space="preserve">Comcare also receives: </w:t>
      </w:r>
    </w:p>
    <w:p w:rsidR="000A3F6D" w:rsidRPr="000A3F6D" w:rsidRDefault="000A3F6D" w:rsidP="000A3F6D">
      <w:pPr>
        <w:numPr>
          <w:ilvl w:val="0"/>
          <w:numId w:val="52"/>
        </w:numPr>
        <w:spacing w:after="120"/>
        <w:ind w:left="1080"/>
        <w:rPr>
          <w:rFonts w:ascii="Calibri" w:eastAsiaTheme="minorHAnsi" w:hAnsi="Calibri" w:cs="Calibri"/>
          <w:sz w:val="22"/>
          <w:lang w:eastAsia="en-US"/>
        </w:rPr>
      </w:pPr>
      <w:r w:rsidRPr="000A3F6D">
        <w:rPr>
          <w:rFonts w:ascii="Calibri" w:eastAsiaTheme="minorHAnsi" w:hAnsi="Calibri" w:cs="Calibri"/>
          <w:sz w:val="22"/>
          <w:lang w:eastAsia="en-US"/>
        </w:rPr>
        <w:t>Commonwealth special appropriations to meet the costs associated with the payment and management of pre-1989 claims (commonly referred to as pre</w:t>
      </w:r>
      <w:r w:rsidRPr="000A3F6D">
        <w:rPr>
          <w:rFonts w:ascii="Calibri" w:eastAsiaTheme="minorHAnsi" w:hAnsi="Calibri" w:cs="Calibri"/>
          <w:sz w:val="22"/>
          <w:lang w:eastAsia="en-US"/>
        </w:rPr>
        <w:noBreakHyphen/>
        <w:t xml:space="preserve">premium claims).  Section 90B stipulates that Comcare can receive the necessary funding to discharge liabilities incurred on claims before commencement of the SRC Act;  </w:t>
      </w:r>
    </w:p>
    <w:p w:rsidR="000A3F6D" w:rsidRPr="000A3F6D" w:rsidRDefault="000A3F6D" w:rsidP="000A3F6D">
      <w:pPr>
        <w:numPr>
          <w:ilvl w:val="0"/>
          <w:numId w:val="52"/>
        </w:numPr>
        <w:spacing w:after="120"/>
        <w:ind w:left="1080"/>
        <w:rPr>
          <w:rFonts w:ascii="Calibri" w:eastAsiaTheme="minorHAnsi" w:hAnsi="Calibri" w:cs="Calibri"/>
          <w:sz w:val="22"/>
          <w:lang w:eastAsia="en-US"/>
        </w:rPr>
      </w:pPr>
      <w:proofErr w:type="gramStart"/>
      <w:r w:rsidRPr="000A3F6D">
        <w:rPr>
          <w:rFonts w:ascii="Calibri" w:eastAsiaTheme="minorHAnsi" w:hAnsi="Calibri" w:cs="Calibri"/>
          <w:sz w:val="22"/>
          <w:lang w:eastAsia="en-US"/>
        </w:rPr>
        <w:t>special</w:t>
      </w:r>
      <w:proofErr w:type="gramEnd"/>
      <w:r w:rsidRPr="000A3F6D">
        <w:rPr>
          <w:rFonts w:ascii="Calibri" w:eastAsiaTheme="minorHAnsi" w:hAnsi="Calibri" w:cs="Calibri"/>
          <w:sz w:val="22"/>
          <w:lang w:eastAsia="en-US"/>
        </w:rPr>
        <w:t xml:space="preserve"> appropriations where there are insufficient Comcare</w:t>
      </w:r>
      <w:r w:rsidRPr="000A3F6D">
        <w:rPr>
          <w:rFonts w:ascii="Calibri" w:eastAsiaTheme="minorHAnsi" w:hAnsi="Calibri" w:cs="Calibri"/>
          <w:sz w:val="22"/>
          <w:lang w:eastAsia="en-US"/>
        </w:rPr>
        <w:noBreakHyphen/>
        <w:t xml:space="preserve">retained funds to meet the claims liabilities up to a maximum amount specified by the SRC Act.  Section 90C of the SRC Act stipulates that Comcare must meet the cost of its liabilities, damages and operational expenses through Comcare-retained funds.  </w:t>
      </w:r>
      <w:r w:rsidR="001C6EA1">
        <w:rPr>
          <w:rFonts w:ascii="Calibri" w:eastAsiaTheme="minorHAnsi" w:hAnsi="Calibri" w:cs="Calibri"/>
          <w:sz w:val="22"/>
          <w:lang w:eastAsia="en-US"/>
        </w:rPr>
        <w:t>W</w:t>
      </w:r>
      <w:r w:rsidRPr="000A3F6D">
        <w:rPr>
          <w:rFonts w:ascii="Calibri" w:eastAsiaTheme="minorHAnsi" w:hAnsi="Calibri" w:cs="Calibri"/>
          <w:sz w:val="22"/>
          <w:lang w:eastAsia="en-US"/>
        </w:rPr>
        <w:t>here Comcare has insufficient funds to do so, this section of the SRC Act enables the Commonwealth to provide the required funds to make the payment up to a maximum specified amount.  When claims liabilities exceed the maximum limit, Comcare experiences a shortfall in funding and then must report an operating loss for the financial year as was the case for 2011-12</w:t>
      </w:r>
      <w:r w:rsidR="001C6EA1">
        <w:rPr>
          <w:rFonts w:ascii="Calibri" w:eastAsiaTheme="minorHAnsi" w:hAnsi="Calibri" w:cs="Calibri"/>
          <w:sz w:val="22"/>
          <w:lang w:eastAsia="en-US"/>
        </w:rPr>
        <w:t>,</w:t>
      </w:r>
      <w:r w:rsidR="001C6EA1" w:rsidRPr="000A3F6D">
        <w:rPr>
          <w:rFonts w:ascii="Calibri" w:eastAsiaTheme="minorHAnsi" w:hAnsi="Calibri" w:cs="Calibri"/>
          <w:sz w:val="22"/>
          <w:lang w:eastAsia="en-US"/>
        </w:rPr>
        <w:t xml:space="preserve"> </w:t>
      </w:r>
      <w:r w:rsidRPr="000A3F6D">
        <w:rPr>
          <w:rFonts w:ascii="Calibri" w:eastAsiaTheme="minorHAnsi" w:hAnsi="Calibri" w:cs="Calibri"/>
          <w:sz w:val="22"/>
          <w:lang w:eastAsia="en-US"/>
        </w:rPr>
        <w:t>the first time this has occurred under the existing funding model;</w:t>
      </w:r>
      <w:r w:rsidR="001C6EA1" w:rsidRPr="000A3F6D">
        <w:rPr>
          <w:rFonts w:ascii="Calibri" w:eastAsiaTheme="minorHAnsi" w:hAnsi="Calibri" w:cs="Calibri"/>
          <w:sz w:val="22"/>
          <w:vertAlign w:val="superscript"/>
          <w:lang w:eastAsia="en-US"/>
        </w:rPr>
        <w:footnoteReference w:id="70"/>
      </w:r>
    </w:p>
    <w:p w:rsidR="000A3F6D" w:rsidRPr="000A3F6D" w:rsidRDefault="000A3F6D" w:rsidP="000A3F6D">
      <w:pPr>
        <w:numPr>
          <w:ilvl w:val="0"/>
          <w:numId w:val="52"/>
        </w:numPr>
        <w:spacing w:after="120"/>
        <w:ind w:left="1080"/>
        <w:rPr>
          <w:rFonts w:ascii="Calibri" w:eastAsiaTheme="minorHAnsi" w:hAnsi="Calibri" w:cs="Calibri"/>
          <w:sz w:val="22"/>
          <w:lang w:eastAsia="en-US"/>
        </w:rPr>
      </w:pPr>
      <w:proofErr w:type="gramStart"/>
      <w:r w:rsidRPr="000A3F6D">
        <w:rPr>
          <w:rFonts w:ascii="Calibri" w:eastAsiaTheme="minorHAnsi" w:hAnsi="Calibri" w:cs="Calibri"/>
          <w:sz w:val="22"/>
          <w:lang w:eastAsia="en-US"/>
        </w:rPr>
        <w:t>regulatory</w:t>
      </w:r>
      <w:proofErr w:type="gramEnd"/>
      <w:r w:rsidRPr="000A3F6D">
        <w:rPr>
          <w:rFonts w:ascii="Calibri" w:eastAsiaTheme="minorHAnsi" w:hAnsi="Calibri" w:cs="Calibri"/>
          <w:sz w:val="22"/>
          <w:lang w:eastAsia="en-US"/>
        </w:rPr>
        <w:t xml:space="preserve"> contributions from premium payers and licensees under the scheme are specified by Sections 97D and 104A of the SRC Act.  These contributions reflect the </w:t>
      </w:r>
      <w:r w:rsidRPr="000A3F6D">
        <w:rPr>
          <w:rFonts w:ascii="Calibri" w:eastAsiaTheme="minorHAnsi" w:hAnsi="Calibri" w:cs="Calibri"/>
          <w:sz w:val="22"/>
          <w:lang w:eastAsia="en-US"/>
        </w:rPr>
        <w:lastRenderedPageBreak/>
        <w:t>estimated cost incurred by the SRCC and Comcare in carrying out their respective functions under the SRC Act, the</w:t>
      </w:r>
      <w:r w:rsidRPr="000A3F6D">
        <w:rPr>
          <w:rFonts w:asciiTheme="minorHAnsi" w:eastAsiaTheme="minorHAnsi" w:hAnsiTheme="minorHAnsi" w:cstheme="minorHAnsi"/>
          <w:sz w:val="22"/>
          <w:szCs w:val="22"/>
          <w:lang w:eastAsia="en-US"/>
        </w:rPr>
        <w:t xml:space="preserve"> </w:t>
      </w:r>
      <w:r w:rsidRPr="000A3F6D">
        <w:rPr>
          <w:rFonts w:asciiTheme="minorHAnsi" w:eastAsiaTheme="minorHAnsi" w:hAnsiTheme="minorHAnsi" w:cstheme="minorHAnsi"/>
          <w:i/>
          <w:sz w:val="22"/>
          <w:szCs w:val="22"/>
          <w:lang w:eastAsia="en-US"/>
        </w:rPr>
        <w:t>Occupational Health and Safety Act 1991</w:t>
      </w:r>
      <w:r w:rsidRPr="000A3F6D">
        <w:rPr>
          <w:rFonts w:asciiTheme="minorHAnsi" w:eastAsiaTheme="minorHAnsi" w:hAnsiTheme="minorHAnsi" w:cstheme="minorHAnsi"/>
          <w:sz w:val="22"/>
          <w:szCs w:val="22"/>
          <w:lang w:eastAsia="en-US"/>
        </w:rPr>
        <w:t xml:space="preserve">, the </w:t>
      </w:r>
      <w:r w:rsidRPr="000A3F6D">
        <w:rPr>
          <w:rFonts w:asciiTheme="minorHAnsi" w:eastAsiaTheme="minorHAnsi" w:hAnsiTheme="minorHAnsi" w:cstheme="minorHAnsi"/>
          <w:i/>
          <w:sz w:val="22"/>
          <w:szCs w:val="22"/>
          <w:lang w:eastAsia="en-US"/>
        </w:rPr>
        <w:t>Work Health and Safety Act 2011</w:t>
      </w:r>
      <w:r w:rsidRPr="000A3F6D">
        <w:rPr>
          <w:rFonts w:asciiTheme="minorHAnsi" w:eastAsiaTheme="minorHAnsi" w:hAnsiTheme="minorHAnsi" w:cstheme="minorHAnsi"/>
          <w:sz w:val="22"/>
          <w:szCs w:val="22"/>
          <w:lang w:eastAsia="en-US"/>
        </w:rPr>
        <w:t xml:space="preserve"> </w:t>
      </w:r>
      <w:r w:rsidRPr="000A3F6D">
        <w:rPr>
          <w:rFonts w:ascii="Calibri" w:eastAsiaTheme="minorHAnsi" w:hAnsi="Calibri" w:cs="Calibri"/>
          <w:sz w:val="22"/>
          <w:lang w:eastAsia="en-US"/>
        </w:rPr>
        <w:t>and the</w:t>
      </w:r>
      <w:r w:rsidRPr="000A3F6D">
        <w:rPr>
          <w:rFonts w:asciiTheme="minorHAnsi" w:eastAsiaTheme="minorHAnsi" w:hAnsiTheme="minorHAnsi" w:cstheme="minorHAnsi"/>
          <w:sz w:val="22"/>
          <w:szCs w:val="22"/>
          <w:lang w:eastAsia="en-US"/>
        </w:rPr>
        <w:t xml:space="preserve"> </w:t>
      </w:r>
      <w:r w:rsidRPr="000A3F6D">
        <w:rPr>
          <w:rFonts w:asciiTheme="minorHAnsi" w:eastAsiaTheme="minorHAnsi" w:hAnsiTheme="minorHAnsi" w:cstheme="minorHAnsi"/>
          <w:i/>
          <w:sz w:val="22"/>
          <w:szCs w:val="22"/>
          <w:lang w:eastAsia="en-US"/>
        </w:rPr>
        <w:t>Work Health and Safety (Transitional and Consequential Provisions) Act 2011</w:t>
      </w:r>
      <w:r w:rsidRPr="000A3F6D">
        <w:rPr>
          <w:rFonts w:asciiTheme="minorHAnsi" w:eastAsiaTheme="minorHAnsi" w:hAnsiTheme="minorHAnsi" w:cstheme="minorHAnsi"/>
          <w:sz w:val="22"/>
          <w:szCs w:val="22"/>
          <w:lang w:eastAsia="en-US"/>
        </w:rPr>
        <w:t xml:space="preserve"> </w:t>
      </w:r>
      <w:r w:rsidRPr="000A3F6D">
        <w:rPr>
          <w:rFonts w:ascii="Calibri" w:eastAsiaTheme="minorHAnsi" w:hAnsi="Calibri" w:cs="Calibri"/>
          <w:sz w:val="22"/>
          <w:lang w:eastAsia="en-US"/>
        </w:rPr>
        <w:t>relevant to the agency or self-insured licensee;</w:t>
      </w:r>
    </w:p>
    <w:p w:rsidR="000A3F6D" w:rsidRPr="000A3F6D" w:rsidRDefault="000A3F6D" w:rsidP="000A3F6D">
      <w:pPr>
        <w:numPr>
          <w:ilvl w:val="0"/>
          <w:numId w:val="52"/>
        </w:numPr>
        <w:spacing w:after="120"/>
        <w:ind w:left="1080"/>
        <w:rPr>
          <w:rFonts w:ascii="Calibri" w:eastAsiaTheme="minorHAnsi" w:hAnsi="Calibri" w:cs="Calibri"/>
          <w:sz w:val="22"/>
          <w:lang w:eastAsia="en-US"/>
        </w:rPr>
      </w:pPr>
      <w:r w:rsidRPr="000A3F6D">
        <w:rPr>
          <w:rFonts w:ascii="Calibri" w:eastAsiaTheme="minorHAnsi" w:hAnsi="Calibri" w:cs="Calibri"/>
          <w:sz w:val="22"/>
          <w:lang w:eastAsia="en-US"/>
        </w:rPr>
        <w:t xml:space="preserve">an annual appropriation to meet the costs associated with running the agency, which includes activities concerning </w:t>
      </w:r>
      <w:r w:rsidR="00D66F75">
        <w:rPr>
          <w:rFonts w:ascii="Calibri" w:eastAsiaTheme="minorHAnsi" w:hAnsi="Calibri" w:cs="Calibri"/>
          <w:sz w:val="22"/>
          <w:lang w:eastAsia="en-US"/>
        </w:rPr>
        <w:t>a</w:t>
      </w:r>
      <w:r w:rsidRPr="000A3F6D">
        <w:rPr>
          <w:rFonts w:ascii="Calibri" w:eastAsiaTheme="minorHAnsi" w:hAnsi="Calibri" w:cs="Calibri"/>
          <w:sz w:val="22"/>
          <w:lang w:eastAsia="en-US"/>
        </w:rPr>
        <w:t>sbestos</w:t>
      </w:r>
      <w:r w:rsidRPr="000A3F6D">
        <w:rPr>
          <w:rFonts w:ascii="Calibri" w:eastAsiaTheme="minorHAnsi" w:hAnsi="Calibri" w:cs="Calibri"/>
          <w:sz w:val="22"/>
          <w:lang w:eastAsia="en-US"/>
        </w:rPr>
        <w:noBreakHyphen/>
        <w:t>related claims management and administration of the Seafarers Safety, Rehabilitation and Compensation Authority; and</w:t>
      </w:r>
    </w:p>
    <w:p w:rsidR="000A3F6D" w:rsidRPr="000A3F6D" w:rsidRDefault="000A3F6D" w:rsidP="000A3F6D">
      <w:pPr>
        <w:numPr>
          <w:ilvl w:val="0"/>
          <w:numId w:val="52"/>
        </w:numPr>
        <w:spacing w:after="120"/>
        <w:ind w:left="1080"/>
        <w:rPr>
          <w:rFonts w:ascii="Calibri" w:eastAsiaTheme="minorHAnsi" w:hAnsi="Calibri" w:cs="Calibri"/>
          <w:sz w:val="22"/>
          <w:lang w:eastAsia="en-US"/>
        </w:rPr>
      </w:pPr>
      <w:proofErr w:type="gramStart"/>
      <w:r w:rsidRPr="000A3F6D">
        <w:rPr>
          <w:rFonts w:ascii="Calibri" w:eastAsiaTheme="minorHAnsi" w:hAnsi="Calibri" w:cs="Calibri"/>
          <w:sz w:val="22"/>
          <w:lang w:eastAsia="en-US"/>
        </w:rPr>
        <w:t>a</w:t>
      </w:r>
      <w:proofErr w:type="gramEnd"/>
      <w:r w:rsidRPr="000A3F6D">
        <w:rPr>
          <w:rFonts w:ascii="Calibri" w:eastAsiaTheme="minorHAnsi" w:hAnsi="Calibri" w:cs="Calibri"/>
          <w:sz w:val="22"/>
          <w:lang w:eastAsia="en-US"/>
        </w:rPr>
        <w:t xml:space="preserve"> special appropriation for the management of </w:t>
      </w:r>
      <w:r w:rsidR="00D66F75">
        <w:rPr>
          <w:rFonts w:ascii="Calibri" w:eastAsiaTheme="minorHAnsi" w:hAnsi="Calibri" w:cs="Calibri"/>
          <w:sz w:val="22"/>
          <w:lang w:eastAsia="en-US"/>
        </w:rPr>
        <w:t>a</w:t>
      </w:r>
      <w:r w:rsidRPr="000A3F6D">
        <w:rPr>
          <w:rFonts w:ascii="Calibri" w:eastAsiaTheme="minorHAnsi" w:hAnsi="Calibri" w:cs="Calibri"/>
          <w:sz w:val="22"/>
          <w:lang w:eastAsia="en-US"/>
        </w:rPr>
        <w:t>sbestos</w:t>
      </w:r>
      <w:r w:rsidRPr="000A3F6D">
        <w:rPr>
          <w:rFonts w:ascii="Calibri" w:eastAsiaTheme="minorHAnsi" w:hAnsi="Calibri" w:cs="Calibri"/>
          <w:sz w:val="22"/>
          <w:lang w:eastAsia="en-US"/>
        </w:rPr>
        <w:noBreakHyphen/>
        <w:t>related claims under the</w:t>
      </w:r>
      <w:r w:rsidRPr="000A3F6D">
        <w:rPr>
          <w:rFonts w:asciiTheme="minorHAnsi" w:eastAsiaTheme="minorHAnsi" w:hAnsiTheme="minorHAnsi" w:cstheme="minorHAnsi"/>
          <w:i/>
          <w:sz w:val="22"/>
          <w:szCs w:val="22"/>
          <w:lang w:eastAsia="en-US"/>
        </w:rPr>
        <w:t xml:space="preserve"> Asbestos-related Claims (Management of Commonwealth Liabilities) Act 2005</w:t>
      </w:r>
      <w:r w:rsidRPr="000A3F6D">
        <w:rPr>
          <w:rFonts w:asciiTheme="minorHAnsi" w:eastAsiaTheme="minorHAnsi" w:hAnsiTheme="minorHAnsi" w:cstheme="minorHAnsi"/>
          <w:sz w:val="22"/>
          <w:szCs w:val="22"/>
          <w:lang w:eastAsia="en-US"/>
        </w:rPr>
        <w:t>.</w:t>
      </w:r>
    </w:p>
    <w:p w:rsidR="000A3F6D" w:rsidRPr="000A3F6D" w:rsidRDefault="000A3F6D" w:rsidP="000A3F6D">
      <w:pPr>
        <w:spacing w:before="100" w:beforeAutospacing="1" w:after="100" w:afterAutospacing="1"/>
        <w:outlineLvl w:val="0"/>
        <w:rPr>
          <w:rFonts w:ascii="Arial" w:hAnsi="Arial"/>
          <w:bCs/>
          <w:caps/>
          <w:color w:val="1F497D" w:themeColor="text2"/>
          <w:kern w:val="36"/>
          <w:sz w:val="28"/>
          <w:szCs w:val="28"/>
        </w:rPr>
      </w:pPr>
      <w:bookmarkStart w:id="565" w:name="_Toc341778044"/>
      <w:bookmarkStart w:id="566" w:name="_Toc342578417"/>
      <w:r w:rsidRPr="000A3F6D">
        <w:rPr>
          <w:rFonts w:ascii="Arial" w:hAnsi="Arial"/>
          <w:bCs/>
          <w:caps/>
          <w:color w:val="1F497D" w:themeColor="text2"/>
          <w:kern w:val="36"/>
          <w:sz w:val="28"/>
          <w:szCs w:val="28"/>
        </w:rPr>
        <w:t>Prudential Management</w:t>
      </w:r>
      <w:bookmarkEnd w:id="565"/>
      <w:bookmarkEnd w:id="566"/>
    </w:p>
    <w:p w:rsidR="000A3F6D" w:rsidRPr="000A3F6D" w:rsidRDefault="000A3F6D" w:rsidP="000A3F6D">
      <w:pPr>
        <w:keepNext/>
        <w:keepLines/>
        <w:numPr>
          <w:ilvl w:val="1"/>
          <w:numId w:val="55"/>
        </w:numPr>
        <w:spacing w:after="120"/>
        <w:ind w:hanging="720"/>
        <w:rPr>
          <w:rFonts w:ascii="Calibri" w:eastAsiaTheme="minorHAnsi" w:hAnsi="Calibri" w:cs="Calibri"/>
          <w:sz w:val="22"/>
          <w:szCs w:val="22"/>
          <w:lang w:eastAsia="en-US"/>
        </w:rPr>
      </w:pPr>
      <w:r w:rsidRPr="000A3F6D">
        <w:rPr>
          <w:rFonts w:ascii="Calibri" w:eastAsiaTheme="minorHAnsi" w:hAnsi="Calibri" w:cs="Calibri"/>
          <w:sz w:val="22"/>
          <w:szCs w:val="22"/>
          <w:lang w:eastAsia="en-US"/>
        </w:rPr>
        <w:t xml:space="preserve">The concept of a prudential management framework in the public sector is taken to refer to the legislation, policy and guidelines that assist to: </w:t>
      </w:r>
    </w:p>
    <w:p w:rsidR="000A3F6D" w:rsidRPr="000A3F6D" w:rsidRDefault="000A3F6D" w:rsidP="000A3F6D">
      <w:pPr>
        <w:numPr>
          <w:ilvl w:val="0"/>
          <w:numId w:val="47"/>
        </w:numPr>
        <w:spacing w:after="120"/>
        <w:ind w:left="1134" w:hanging="425"/>
        <w:rPr>
          <w:rFonts w:ascii="Calibri" w:eastAsiaTheme="minorHAnsi" w:hAnsi="Calibri" w:cs="Calibri"/>
          <w:sz w:val="22"/>
          <w:lang w:eastAsia="en-US"/>
        </w:rPr>
      </w:pPr>
      <w:r w:rsidRPr="000A3F6D">
        <w:rPr>
          <w:rFonts w:ascii="Calibri" w:eastAsiaTheme="minorHAnsi" w:hAnsi="Calibri" w:cs="Calibri"/>
          <w:sz w:val="22"/>
          <w:lang w:eastAsia="en-US"/>
        </w:rPr>
        <w:t>implement and maintain good financial management practices;</w:t>
      </w:r>
    </w:p>
    <w:p w:rsidR="000A3F6D" w:rsidRPr="000A3F6D" w:rsidRDefault="000A3F6D" w:rsidP="000A3F6D">
      <w:pPr>
        <w:numPr>
          <w:ilvl w:val="0"/>
          <w:numId w:val="47"/>
        </w:numPr>
        <w:spacing w:after="120"/>
        <w:ind w:left="1134" w:hanging="425"/>
        <w:rPr>
          <w:rFonts w:ascii="Calibri" w:eastAsiaTheme="minorHAnsi" w:hAnsi="Calibri" w:cs="Calibri"/>
          <w:sz w:val="22"/>
          <w:lang w:eastAsia="en-US"/>
        </w:rPr>
      </w:pPr>
      <w:r w:rsidRPr="000A3F6D">
        <w:rPr>
          <w:rFonts w:ascii="Calibri" w:eastAsiaTheme="minorHAnsi" w:hAnsi="Calibri" w:cs="Calibri"/>
          <w:sz w:val="22"/>
          <w:lang w:eastAsia="en-US"/>
        </w:rPr>
        <w:t>achieve a consistent standard of accountability and financial reporting;</w:t>
      </w:r>
    </w:p>
    <w:p w:rsidR="000A3F6D" w:rsidRPr="000A3F6D" w:rsidRDefault="000A3F6D" w:rsidP="000A3F6D">
      <w:pPr>
        <w:numPr>
          <w:ilvl w:val="0"/>
          <w:numId w:val="47"/>
        </w:numPr>
        <w:spacing w:after="120"/>
        <w:ind w:left="1134" w:hanging="425"/>
        <w:rPr>
          <w:rFonts w:ascii="Calibri" w:eastAsiaTheme="minorHAnsi" w:hAnsi="Calibri" w:cs="Calibri"/>
          <w:sz w:val="22"/>
          <w:lang w:eastAsia="en-US"/>
        </w:rPr>
      </w:pPr>
      <w:r w:rsidRPr="000A3F6D">
        <w:rPr>
          <w:rFonts w:ascii="Calibri" w:eastAsiaTheme="minorHAnsi" w:hAnsi="Calibri" w:cs="Calibri"/>
          <w:sz w:val="22"/>
          <w:lang w:eastAsia="en-US"/>
        </w:rPr>
        <w:t>implement appropriate risk management practices; and</w:t>
      </w:r>
    </w:p>
    <w:p w:rsidR="000A3F6D" w:rsidRPr="000A3F6D" w:rsidRDefault="000A3F6D" w:rsidP="000A3F6D">
      <w:pPr>
        <w:numPr>
          <w:ilvl w:val="0"/>
          <w:numId w:val="47"/>
        </w:numPr>
        <w:spacing w:after="120"/>
        <w:ind w:left="1134" w:hanging="425"/>
        <w:rPr>
          <w:rFonts w:asciiTheme="minorHAnsi" w:eastAsiaTheme="minorHAnsi" w:hAnsiTheme="minorHAnsi" w:cstheme="minorHAnsi"/>
          <w:sz w:val="22"/>
          <w:szCs w:val="22"/>
          <w:lang w:eastAsia="en-US"/>
        </w:rPr>
      </w:pPr>
      <w:proofErr w:type="gramStart"/>
      <w:r w:rsidRPr="000A3F6D">
        <w:rPr>
          <w:rFonts w:ascii="Calibri" w:eastAsiaTheme="minorHAnsi" w:hAnsi="Calibri" w:cs="Calibri"/>
          <w:sz w:val="22"/>
          <w:lang w:eastAsia="en-US"/>
        </w:rPr>
        <w:t>maintain</w:t>
      </w:r>
      <w:proofErr w:type="gramEnd"/>
      <w:r w:rsidRPr="000A3F6D">
        <w:rPr>
          <w:rFonts w:ascii="Calibri" w:eastAsiaTheme="minorHAnsi" w:hAnsi="Calibri" w:cs="Calibri"/>
          <w:sz w:val="22"/>
          <w:lang w:eastAsia="en-US"/>
        </w:rPr>
        <w:t xml:space="preserve"> appropriate governance frameworks</w:t>
      </w:r>
      <w:r w:rsidRPr="000A3F6D">
        <w:rPr>
          <w:rFonts w:asciiTheme="minorHAnsi" w:eastAsiaTheme="minorHAnsi" w:hAnsiTheme="minorHAnsi" w:cstheme="minorHAnsi"/>
          <w:sz w:val="22"/>
          <w:szCs w:val="22"/>
          <w:lang w:eastAsia="en-US"/>
        </w:rPr>
        <w:t>.</w:t>
      </w:r>
      <w:r w:rsidRPr="000A3F6D">
        <w:rPr>
          <w:rFonts w:asciiTheme="minorHAnsi" w:eastAsiaTheme="minorHAnsi" w:hAnsiTheme="minorHAnsi" w:cstheme="minorHAnsi"/>
          <w:sz w:val="22"/>
          <w:vertAlign w:val="superscript"/>
          <w:lang w:eastAsia="en-US"/>
        </w:rPr>
        <w:footnoteReference w:id="71"/>
      </w:r>
    </w:p>
    <w:p w:rsidR="000A3F6D" w:rsidRPr="000A3F6D" w:rsidRDefault="000A3F6D" w:rsidP="000A3F6D">
      <w:pPr>
        <w:numPr>
          <w:ilvl w:val="1"/>
          <w:numId w:val="55"/>
        </w:numPr>
        <w:spacing w:after="120"/>
        <w:ind w:hanging="720"/>
        <w:rPr>
          <w:rFonts w:ascii="Calibri" w:eastAsiaTheme="minorHAnsi" w:hAnsi="Calibri" w:cs="Calibri"/>
          <w:sz w:val="22"/>
          <w:lang w:eastAsia="en-US"/>
        </w:rPr>
      </w:pPr>
      <w:r w:rsidRPr="000A3F6D">
        <w:rPr>
          <w:rFonts w:ascii="Calibri" w:eastAsiaTheme="minorHAnsi" w:hAnsi="Calibri" w:cs="Calibri"/>
          <w:sz w:val="22"/>
          <w:lang w:eastAsia="en-US"/>
        </w:rPr>
        <w:t>The detailed and robust arrangements currently in place for the SRCC and Comcare to prudentially manage licensees are not presently extended to the premium payers.</w:t>
      </w:r>
    </w:p>
    <w:p w:rsidR="000A3F6D" w:rsidRPr="000A3F6D" w:rsidRDefault="000A3F6D" w:rsidP="000A3F6D">
      <w:pPr>
        <w:numPr>
          <w:ilvl w:val="1"/>
          <w:numId w:val="55"/>
        </w:numPr>
        <w:spacing w:after="120"/>
        <w:ind w:hanging="720"/>
        <w:rPr>
          <w:rFonts w:ascii="Calibri" w:eastAsiaTheme="minorHAnsi" w:hAnsi="Calibri" w:cs="Calibri"/>
          <w:lang w:eastAsia="en-US"/>
        </w:rPr>
      </w:pPr>
      <w:r w:rsidRPr="000A3F6D">
        <w:rPr>
          <w:rFonts w:ascii="Calibri" w:eastAsiaTheme="minorHAnsi" w:hAnsi="Calibri" w:cs="Calibri"/>
          <w:sz w:val="22"/>
          <w:lang w:eastAsia="en-US"/>
        </w:rPr>
        <w:t>The SRC Act provides for some elements of the prudential management of Comcare’s compensation liabilities. For example, it requires premiums to be fully funded (Section 97A) and allows the SRCC to issue guidelines for setting premiums (Section 97E), but it does not set out a comprehensive prudential framework.  Nor is a framework provided by other pieces of Government legislation or policy that could easily lend itself to the prudential management of Comcare’s compensation liabilities.  Consequently, Comcare is drafting its own prudential management policy.</w:t>
      </w:r>
      <w:r w:rsidRPr="000A3F6D">
        <w:rPr>
          <w:rFonts w:asciiTheme="minorHAnsi" w:eastAsiaTheme="minorHAnsi" w:hAnsiTheme="minorHAnsi" w:cstheme="minorHAnsi"/>
          <w:sz w:val="22"/>
          <w:vertAlign w:val="superscript"/>
          <w:lang w:eastAsia="en-US"/>
        </w:rPr>
        <w:footnoteReference w:id="72"/>
      </w:r>
      <w:r w:rsidRPr="000A3F6D">
        <w:rPr>
          <w:rFonts w:asciiTheme="minorHAnsi" w:eastAsiaTheme="minorHAnsi" w:hAnsiTheme="minorHAnsi" w:cstheme="minorHAnsi"/>
          <w:sz w:val="22"/>
          <w:vertAlign w:val="superscript"/>
          <w:lang w:eastAsia="en-US"/>
        </w:rPr>
        <w:t xml:space="preserve"> </w:t>
      </w:r>
    </w:p>
    <w:p w:rsidR="000A3F6D" w:rsidRPr="000A3F6D" w:rsidRDefault="000A3F6D" w:rsidP="000A3F6D">
      <w:pPr>
        <w:numPr>
          <w:ilvl w:val="1"/>
          <w:numId w:val="55"/>
        </w:numPr>
        <w:spacing w:after="120"/>
        <w:ind w:hanging="720"/>
        <w:rPr>
          <w:rFonts w:asciiTheme="minorHAnsi" w:eastAsiaTheme="minorHAnsi" w:hAnsiTheme="minorHAnsi" w:cstheme="minorHAnsi"/>
          <w:sz w:val="22"/>
          <w:szCs w:val="22"/>
          <w:lang w:eastAsia="en-US"/>
        </w:rPr>
      </w:pPr>
      <w:r w:rsidRPr="000A3F6D">
        <w:rPr>
          <w:rFonts w:ascii="Calibri" w:eastAsiaTheme="minorHAnsi" w:hAnsi="Calibri" w:cs="Calibri"/>
          <w:sz w:val="22"/>
          <w:lang w:eastAsia="en-US"/>
        </w:rPr>
        <w:t xml:space="preserve">To help inform this policy, </w:t>
      </w:r>
      <w:r w:rsidRPr="000A3F6D">
        <w:rPr>
          <w:rFonts w:ascii="Calibri" w:eastAsiaTheme="minorHAnsi" w:hAnsi="Calibri" w:cs="Calibri"/>
          <w:sz w:val="22"/>
          <w:szCs w:val="22"/>
          <w:lang w:eastAsia="en-US"/>
        </w:rPr>
        <w:t>Comcare</w:t>
      </w:r>
      <w:r w:rsidRPr="000A3F6D">
        <w:rPr>
          <w:rFonts w:ascii="Calibri" w:eastAsiaTheme="minorHAnsi" w:hAnsi="Calibri" w:cs="Calibri"/>
          <w:sz w:val="22"/>
          <w:lang w:eastAsia="en-US"/>
        </w:rPr>
        <w:t xml:space="preserve"> is looking at selected prudential frameworks currently in place in different jurisdictions, including the framework established by the Australian Prudential Regulation Authority (APRA) and that developed in Victoria for the three public sector insurance agencies (WorkSafe</w:t>
      </w:r>
      <w:r w:rsidR="001C6EA1">
        <w:rPr>
          <w:rFonts w:ascii="Calibri" w:eastAsiaTheme="minorHAnsi" w:hAnsi="Calibri" w:cs="Calibri"/>
          <w:sz w:val="22"/>
          <w:lang w:eastAsia="en-US"/>
        </w:rPr>
        <w:t xml:space="preserve"> Victoria</w:t>
      </w:r>
      <w:r w:rsidRPr="000A3F6D">
        <w:rPr>
          <w:rFonts w:ascii="Calibri" w:eastAsiaTheme="minorHAnsi" w:hAnsi="Calibri" w:cs="Calibri"/>
          <w:sz w:val="22"/>
          <w:lang w:eastAsia="en-US"/>
        </w:rPr>
        <w:t>, the Transport and Accident Commission and the Victorian Managed Insurance Authority).  APRA is the prudential regulator of the private Australian financial services industry.  It also oversees general insurance, reinsurance and life insurance agencies.  As Comcare is an Australian Government agency whose compensation liabilities are funded by Government (Commonwealth appropriations and premium payers), it is not supervised by APRA</w:t>
      </w:r>
      <w:r w:rsidRPr="000A3F6D">
        <w:rPr>
          <w:rFonts w:asciiTheme="minorHAnsi" w:eastAsiaTheme="minorHAnsi" w:hAnsiTheme="minorHAnsi" w:cstheme="minorHAnsi"/>
          <w:sz w:val="22"/>
          <w:szCs w:val="22"/>
          <w:lang w:eastAsia="en-US"/>
        </w:rPr>
        <w:t>.</w:t>
      </w:r>
      <w:r w:rsidRPr="000A3F6D">
        <w:rPr>
          <w:rFonts w:asciiTheme="minorHAnsi" w:eastAsiaTheme="minorHAnsi" w:hAnsiTheme="minorHAnsi" w:cstheme="minorHAnsi"/>
          <w:sz w:val="22"/>
          <w:vertAlign w:val="superscript"/>
          <w:lang w:eastAsia="en-US"/>
        </w:rPr>
        <w:footnoteReference w:id="73"/>
      </w:r>
    </w:p>
    <w:p w:rsidR="000A3F6D" w:rsidRPr="000A3F6D" w:rsidRDefault="000A3F6D" w:rsidP="000A3F6D">
      <w:pPr>
        <w:numPr>
          <w:ilvl w:val="1"/>
          <w:numId w:val="55"/>
        </w:numPr>
        <w:spacing w:after="120"/>
        <w:ind w:hanging="720"/>
        <w:rPr>
          <w:rFonts w:asciiTheme="minorHAnsi" w:eastAsiaTheme="minorHAnsi" w:hAnsiTheme="minorHAnsi" w:cstheme="minorHAnsi"/>
          <w:sz w:val="22"/>
          <w:szCs w:val="22"/>
          <w:lang w:eastAsia="en-US"/>
        </w:rPr>
      </w:pPr>
      <w:r w:rsidRPr="000A3F6D">
        <w:rPr>
          <w:rFonts w:ascii="Calibri" w:eastAsiaTheme="minorHAnsi" w:hAnsi="Calibri" w:cs="Calibri"/>
          <w:sz w:val="22"/>
          <w:lang w:eastAsia="en-US"/>
        </w:rPr>
        <w:t xml:space="preserve">Despite the absence of a formal prudential policy to guide Comcare’s work, it nevertheless engages in prudent practices to help minimise risk to its business.  For example, as part of determining its liability reserve, Comcare uses an external actuarial valuation of its liabilities </w:t>
      </w:r>
      <w:r w:rsidRPr="000A3F6D">
        <w:rPr>
          <w:rFonts w:ascii="Calibri" w:eastAsiaTheme="minorHAnsi" w:hAnsi="Calibri" w:cs="Calibri"/>
          <w:sz w:val="22"/>
          <w:lang w:eastAsia="en-US"/>
        </w:rPr>
        <w:lastRenderedPageBreak/>
        <w:t xml:space="preserve">as an important part of </w:t>
      </w:r>
      <w:r w:rsidR="001C6EA1">
        <w:rPr>
          <w:rFonts w:ascii="Calibri" w:eastAsiaTheme="minorHAnsi" w:hAnsi="Calibri" w:cs="Calibri"/>
          <w:sz w:val="22"/>
          <w:lang w:eastAsia="en-US"/>
        </w:rPr>
        <w:t>its</w:t>
      </w:r>
      <w:r w:rsidR="001C6EA1" w:rsidRPr="000A3F6D">
        <w:rPr>
          <w:rFonts w:ascii="Calibri" w:eastAsiaTheme="minorHAnsi" w:hAnsi="Calibri" w:cs="Calibri"/>
          <w:sz w:val="22"/>
          <w:lang w:eastAsia="en-US"/>
        </w:rPr>
        <w:t xml:space="preserve"> </w:t>
      </w:r>
      <w:r w:rsidRPr="000A3F6D">
        <w:rPr>
          <w:rFonts w:ascii="Calibri" w:eastAsiaTheme="minorHAnsi" w:hAnsi="Calibri" w:cs="Calibri"/>
          <w:sz w:val="22"/>
          <w:lang w:eastAsia="en-US"/>
        </w:rPr>
        <w:t xml:space="preserve">accountability and risk management.  </w:t>
      </w:r>
      <w:r w:rsidR="00F62990" w:rsidRPr="000A3F6D">
        <w:rPr>
          <w:rFonts w:ascii="Calibri" w:eastAsiaTheme="minorHAnsi" w:hAnsi="Calibri" w:cs="Calibri"/>
          <w:sz w:val="22"/>
          <w:lang w:eastAsia="en-US"/>
        </w:rPr>
        <w:t>This contrasts</w:t>
      </w:r>
      <w:r w:rsidRPr="000A3F6D">
        <w:rPr>
          <w:rFonts w:ascii="Calibri" w:eastAsiaTheme="minorHAnsi" w:hAnsi="Calibri" w:cs="Calibri"/>
          <w:sz w:val="22"/>
          <w:lang w:eastAsia="en-US"/>
        </w:rPr>
        <w:t xml:space="preserve"> with standard APRA practice which allows insurers’ valuations to be conducted by internal actuaries.</w:t>
      </w:r>
      <w:r w:rsidRPr="000A3F6D">
        <w:rPr>
          <w:rFonts w:asciiTheme="minorHAnsi" w:eastAsiaTheme="minorHAnsi" w:hAnsiTheme="minorHAnsi" w:cstheme="minorHAnsi"/>
          <w:sz w:val="22"/>
          <w:szCs w:val="22"/>
          <w:vertAlign w:val="superscript"/>
          <w:lang w:eastAsia="en-US"/>
        </w:rPr>
        <w:footnoteReference w:id="74"/>
      </w:r>
    </w:p>
    <w:p w:rsidR="000A3F6D" w:rsidRPr="000A3F6D" w:rsidRDefault="000A3F6D" w:rsidP="000A3F6D">
      <w:pPr>
        <w:keepNext/>
        <w:keepLines/>
        <w:spacing w:after="120"/>
        <w:rPr>
          <w:rFonts w:ascii="Calibri" w:eastAsiaTheme="minorHAnsi" w:hAnsi="Calibri" w:cs="Calibri"/>
          <w:b/>
          <w:sz w:val="22"/>
          <w:lang w:eastAsia="en-US"/>
        </w:rPr>
      </w:pPr>
      <w:r w:rsidRPr="000A3F6D">
        <w:rPr>
          <w:rFonts w:ascii="Calibri" w:eastAsiaTheme="minorHAnsi" w:hAnsi="Calibri" w:cs="Calibri"/>
          <w:b/>
          <w:sz w:val="22"/>
          <w:lang w:eastAsia="en-US"/>
        </w:rPr>
        <w:t>Capital and Comcare’s Funding Ratio</w:t>
      </w:r>
    </w:p>
    <w:p w:rsidR="000A3F6D" w:rsidRPr="000A3F6D" w:rsidRDefault="000A3F6D" w:rsidP="000A3F6D">
      <w:pPr>
        <w:keepNext/>
        <w:keepLines/>
        <w:numPr>
          <w:ilvl w:val="1"/>
          <w:numId w:val="55"/>
        </w:numPr>
        <w:spacing w:after="120"/>
        <w:ind w:hanging="720"/>
        <w:rPr>
          <w:rFonts w:asciiTheme="minorHAnsi" w:eastAsiaTheme="minorHAnsi" w:hAnsiTheme="minorHAnsi" w:cstheme="minorHAnsi"/>
          <w:sz w:val="22"/>
          <w:szCs w:val="22"/>
          <w:lang w:eastAsia="en-US"/>
        </w:rPr>
      </w:pPr>
      <w:r w:rsidRPr="000A3F6D">
        <w:rPr>
          <w:rFonts w:ascii="Calibri" w:eastAsiaTheme="minorHAnsi" w:hAnsi="Calibri" w:cs="Calibri"/>
          <w:sz w:val="22"/>
          <w:lang w:eastAsia="en-US"/>
        </w:rPr>
        <w:t xml:space="preserve">APRA </w:t>
      </w:r>
      <w:r w:rsidRPr="000A3F6D">
        <w:rPr>
          <w:rFonts w:ascii="Calibri" w:eastAsiaTheme="minorHAnsi" w:hAnsi="Calibri" w:cs="Calibri"/>
          <w:sz w:val="22"/>
          <w:szCs w:val="22"/>
          <w:lang w:eastAsia="en-US"/>
        </w:rPr>
        <w:t>views</w:t>
      </w:r>
      <w:r w:rsidRPr="000A3F6D">
        <w:rPr>
          <w:rFonts w:ascii="Calibri" w:eastAsiaTheme="minorHAnsi" w:hAnsi="Calibri" w:cs="Calibri"/>
          <w:sz w:val="22"/>
          <w:lang w:eastAsia="en-US"/>
        </w:rPr>
        <w:t xml:space="preserve"> capital as “the cornerstone of an insurer’s financial strength.”  Capital provides an insurer with the ability to withstand unanticipated losses from its activities and the opportunity to address problems while being able to continue operations.  As a result, APRA requires insurers to maintain adequate capital reserves in excess of its Minimum Capital Requirements at all times</w:t>
      </w:r>
      <w:r w:rsidRPr="000A3F6D">
        <w:rPr>
          <w:rFonts w:asciiTheme="minorHAnsi" w:eastAsiaTheme="minorHAnsi" w:hAnsiTheme="minorHAnsi" w:cstheme="minorHAnsi"/>
          <w:sz w:val="22"/>
          <w:szCs w:val="22"/>
          <w:lang w:eastAsia="en-US"/>
        </w:rPr>
        <w:t>.</w:t>
      </w:r>
      <w:r w:rsidRPr="000A3F6D">
        <w:rPr>
          <w:rFonts w:asciiTheme="minorHAnsi" w:eastAsiaTheme="minorHAnsi" w:hAnsiTheme="minorHAnsi" w:cstheme="minorHAnsi"/>
          <w:sz w:val="22"/>
          <w:szCs w:val="22"/>
          <w:vertAlign w:val="superscript"/>
          <w:lang w:eastAsia="en-US"/>
        </w:rPr>
        <w:footnoteReference w:id="75"/>
      </w:r>
      <w:r w:rsidRPr="000A3F6D">
        <w:rPr>
          <w:rFonts w:asciiTheme="minorHAnsi" w:eastAsiaTheme="minorHAnsi" w:hAnsiTheme="minorHAnsi" w:cstheme="minorBidi"/>
          <w:sz w:val="22"/>
          <w:szCs w:val="22"/>
          <w:vertAlign w:val="superscript"/>
          <w:lang w:eastAsia="en-US"/>
        </w:rPr>
        <w:t xml:space="preserve"> </w:t>
      </w:r>
    </w:p>
    <w:p w:rsidR="000A3F6D" w:rsidRPr="000A3F6D" w:rsidRDefault="000A3F6D" w:rsidP="000A3F6D">
      <w:pPr>
        <w:keepNext/>
        <w:keepLines/>
        <w:numPr>
          <w:ilvl w:val="1"/>
          <w:numId w:val="55"/>
        </w:numPr>
        <w:spacing w:after="120"/>
        <w:ind w:hanging="720"/>
        <w:rPr>
          <w:rFonts w:asciiTheme="minorHAnsi" w:eastAsiaTheme="minorHAnsi" w:hAnsiTheme="minorHAnsi" w:cstheme="minorHAnsi"/>
          <w:sz w:val="22"/>
          <w:szCs w:val="22"/>
          <w:lang w:eastAsia="en-US"/>
        </w:rPr>
      </w:pPr>
      <w:r w:rsidRPr="000A3F6D">
        <w:rPr>
          <w:rFonts w:ascii="Calibri" w:eastAsiaTheme="minorHAnsi" w:hAnsi="Calibri" w:cs="Calibri"/>
          <w:sz w:val="22"/>
          <w:lang w:eastAsia="en-US"/>
        </w:rPr>
        <w:t>Given its funding sources, Comcare does not have a Minimum Capital Requirement, nor has the Commonwealth provided Comcare with any capital.  Additionally, the SRC Act does not specifically deal with whether Comcare should hold capital against the risk of “insolvency” of the premium payer side of the scheme, nor does it require Comcare to achieve a return on capital or pay the Commonwealth a dividend</w:t>
      </w:r>
      <w:r w:rsidRPr="000A3F6D">
        <w:rPr>
          <w:rFonts w:asciiTheme="minorHAnsi" w:eastAsiaTheme="minorHAnsi" w:hAnsiTheme="minorHAnsi" w:cstheme="minorHAnsi"/>
          <w:sz w:val="22"/>
          <w:szCs w:val="22"/>
          <w:lang w:eastAsia="en-US"/>
        </w:rPr>
        <w:t>.</w:t>
      </w:r>
      <w:r w:rsidRPr="000A3F6D">
        <w:rPr>
          <w:rFonts w:asciiTheme="minorHAnsi" w:eastAsiaTheme="minorHAnsi" w:hAnsiTheme="minorHAnsi" w:cstheme="minorHAnsi"/>
          <w:sz w:val="22"/>
          <w:szCs w:val="22"/>
          <w:vertAlign w:val="superscript"/>
          <w:lang w:eastAsia="en-US"/>
        </w:rPr>
        <w:footnoteReference w:id="76"/>
      </w:r>
    </w:p>
    <w:p w:rsidR="000A3F6D" w:rsidRPr="000A3F6D" w:rsidRDefault="000A3F6D" w:rsidP="000A3F6D">
      <w:pPr>
        <w:keepNext/>
        <w:keepLines/>
        <w:numPr>
          <w:ilvl w:val="1"/>
          <w:numId w:val="55"/>
        </w:numPr>
        <w:spacing w:after="120"/>
        <w:ind w:hanging="720"/>
        <w:rPr>
          <w:rFonts w:ascii="Calibri" w:eastAsiaTheme="minorHAnsi" w:hAnsi="Calibri" w:cs="Calibri"/>
          <w:sz w:val="22"/>
          <w:szCs w:val="22"/>
          <w:lang w:eastAsia="en-US"/>
        </w:rPr>
      </w:pPr>
      <w:r w:rsidRPr="000A3F6D">
        <w:rPr>
          <w:rFonts w:ascii="Calibri" w:eastAsiaTheme="minorHAnsi" w:hAnsi="Calibri" w:cs="Calibri"/>
          <w:sz w:val="22"/>
          <w:szCs w:val="22"/>
          <w:lang w:eastAsia="en-US"/>
        </w:rPr>
        <w:t>In place of capital requirements, as part of its prudential management, Comcare uses a funding ratio which applies only to the premium payer side of the scheme.  The funding ratio is defined as A÷L where:</w:t>
      </w:r>
    </w:p>
    <w:p w:rsidR="000A3F6D" w:rsidRPr="000A3F6D" w:rsidRDefault="000A3F6D" w:rsidP="000A3F6D">
      <w:pPr>
        <w:spacing w:after="120"/>
        <w:ind w:left="1440"/>
        <w:rPr>
          <w:rFonts w:ascii="Calibri" w:hAnsi="Calibri" w:cs="Calibri"/>
          <w:sz w:val="22"/>
          <w:szCs w:val="22"/>
        </w:rPr>
      </w:pPr>
      <w:r w:rsidRPr="000A3F6D">
        <w:rPr>
          <w:rFonts w:ascii="Calibri" w:hAnsi="Calibri" w:cs="Calibri"/>
          <w:sz w:val="22"/>
          <w:szCs w:val="22"/>
        </w:rPr>
        <w:t xml:space="preserve">A = the value of the assets available to meet premium payer business liabilities, being the total of Comcare-retained funds relating to Premium business and the </w:t>
      </w:r>
      <w:r w:rsidR="006B77DC">
        <w:rPr>
          <w:rFonts w:ascii="Calibri" w:hAnsi="Calibri" w:cs="Calibri"/>
          <w:sz w:val="22"/>
          <w:szCs w:val="22"/>
        </w:rPr>
        <w:t>full</w:t>
      </w:r>
      <w:r w:rsidR="006B77DC" w:rsidRPr="000A3F6D">
        <w:rPr>
          <w:rFonts w:ascii="Calibri" w:hAnsi="Calibri" w:cs="Calibri"/>
          <w:sz w:val="22"/>
          <w:szCs w:val="22"/>
        </w:rPr>
        <w:t xml:space="preserve"> </w:t>
      </w:r>
      <w:r w:rsidRPr="000A3F6D">
        <w:rPr>
          <w:rFonts w:ascii="Calibri" w:hAnsi="Calibri" w:cs="Calibri"/>
          <w:sz w:val="22"/>
          <w:szCs w:val="22"/>
        </w:rPr>
        <w:t>amount in the CRF; and</w:t>
      </w:r>
    </w:p>
    <w:p w:rsidR="000A3F6D" w:rsidRPr="000A3F6D" w:rsidRDefault="000A3F6D" w:rsidP="000A3F6D">
      <w:pPr>
        <w:spacing w:after="120"/>
        <w:ind w:left="1440"/>
        <w:rPr>
          <w:rFonts w:ascii="Calibri" w:hAnsi="Calibri" w:cs="Calibri"/>
          <w:sz w:val="22"/>
          <w:szCs w:val="22"/>
        </w:rPr>
      </w:pPr>
      <w:r w:rsidRPr="000A3F6D">
        <w:rPr>
          <w:rFonts w:ascii="Calibri" w:hAnsi="Calibri" w:cs="Calibri"/>
          <w:sz w:val="22"/>
          <w:szCs w:val="22"/>
        </w:rPr>
        <w:t>L = the value of Comcare’s claims liabilities for premium payer business, i.e. inclusive of claims management expenses, net of third party recoveries and including a margin which provides for an intended 75 per cent probability of sufficiency</w:t>
      </w:r>
      <w:r w:rsidRPr="000A3F6D">
        <w:rPr>
          <w:rFonts w:cstheme="minorHAnsi"/>
        </w:rPr>
        <w:t>.</w:t>
      </w:r>
      <w:r w:rsidRPr="000A3F6D">
        <w:rPr>
          <w:rFonts w:asciiTheme="minorHAnsi" w:eastAsiaTheme="minorHAnsi" w:hAnsiTheme="minorHAnsi" w:cstheme="minorHAnsi"/>
          <w:sz w:val="22"/>
          <w:szCs w:val="22"/>
          <w:vertAlign w:val="superscript"/>
          <w:lang w:eastAsia="en-US"/>
        </w:rPr>
        <w:footnoteReference w:id="77"/>
      </w:r>
      <w:r w:rsidRPr="000A3F6D">
        <w:rPr>
          <w:rFonts w:asciiTheme="minorHAnsi" w:eastAsiaTheme="minorHAnsi" w:hAnsiTheme="minorHAnsi"/>
          <w:sz w:val="22"/>
          <w:szCs w:val="22"/>
          <w:vertAlign w:val="superscript"/>
          <w:lang w:eastAsia="en-US"/>
        </w:rPr>
        <w:t xml:space="preserve"> </w:t>
      </w:r>
    </w:p>
    <w:p w:rsidR="000A3F6D" w:rsidRPr="000A3F6D" w:rsidRDefault="000A3F6D" w:rsidP="000A3F6D">
      <w:pPr>
        <w:numPr>
          <w:ilvl w:val="1"/>
          <w:numId w:val="55"/>
        </w:numPr>
        <w:spacing w:after="120"/>
        <w:ind w:hanging="720"/>
        <w:rPr>
          <w:rFonts w:ascii="Calibri" w:eastAsiaTheme="minorHAnsi" w:hAnsi="Calibri" w:cs="Calibri"/>
          <w:sz w:val="22"/>
          <w:lang w:eastAsia="en-US"/>
        </w:rPr>
      </w:pPr>
      <w:r w:rsidRPr="000A3F6D">
        <w:rPr>
          <w:rFonts w:ascii="Calibri" w:eastAsiaTheme="minorHAnsi" w:hAnsi="Calibri" w:cs="Calibri"/>
          <w:sz w:val="22"/>
          <w:lang w:eastAsia="en-US"/>
        </w:rPr>
        <w:t xml:space="preserve">The </w:t>
      </w:r>
      <w:r w:rsidRPr="000A3F6D">
        <w:rPr>
          <w:rFonts w:ascii="Calibri" w:eastAsiaTheme="minorHAnsi" w:hAnsi="Calibri" w:cs="Calibri"/>
          <w:sz w:val="22"/>
          <w:szCs w:val="22"/>
          <w:lang w:eastAsia="en-US"/>
        </w:rPr>
        <w:t>funding</w:t>
      </w:r>
      <w:r w:rsidRPr="000A3F6D">
        <w:rPr>
          <w:rFonts w:ascii="Calibri" w:eastAsiaTheme="minorHAnsi" w:hAnsi="Calibri" w:cs="Calibri"/>
          <w:sz w:val="22"/>
          <w:lang w:eastAsia="en-US"/>
        </w:rPr>
        <w:t xml:space="preserve"> ratio approach is common for workers’ compensations schemes in Australia.  For example, this approach is also taken by NSW WorkCover, Queensland WorkCover, South Australia WorkCover and Victoria </w:t>
      </w:r>
      <w:r w:rsidR="00B5517B" w:rsidRPr="000A3F6D">
        <w:rPr>
          <w:rFonts w:ascii="Calibri" w:eastAsiaTheme="minorHAnsi" w:hAnsi="Calibri" w:cs="Calibri"/>
          <w:sz w:val="22"/>
          <w:lang w:eastAsia="en-US"/>
        </w:rPr>
        <w:t>Work</w:t>
      </w:r>
      <w:r w:rsidR="00B5517B">
        <w:rPr>
          <w:rFonts w:ascii="Calibri" w:eastAsiaTheme="minorHAnsi" w:hAnsi="Calibri" w:cs="Calibri"/>
          <w:sz w:val="22"/>
          <w:lang w:eastAsia="en-US"/>
        </w:rPr>
        <w:t>S</w:t>
      </w:r>
      <w:r w:rsidR="00B5517B" w:rsidRPr="000A3F6D">
        <w:rPr>
          <w:rFonts w:ascii="Calibri" w:eastAsiaTheme="minorHAnsi" w:hAnsi="Calibri" w:cs="Calibri"/>
          <w:sz w:val="22"/>
          <w:lang w:eastAsia="en-US"/>
        </w:rPr>
        <w:t>afe</w:t>
      </w:r>
      <w:r w:rsidRPr="000A3F6D">
        <w:rPr>
          <w:rFonts w:ascii="Calibri" w:eastAsiaTheme="minorHAnsi" w:hAnsi="Calibri" w:cs="Calibri"/>
          <w:sz w:val="22"/>
          <w:lang w:eastAsia="en-US"/>
        </w:rPr>
        <w:t>.</w:t>
      </w:r>
    </w:p>
    <w:p w:rsidR="000A3F6D" w:rsidRPr="000A3F6D" w:rsidRDefault="000A3F6D" w:rsidP="000A3F6D">
      <w:pPr>
        <w:numPr>
          <w:ilvl w:val="1"/>
          <w:numId w:val="55"/>
        </w:numPr>
        <w:spacing w:after="120"/>
        <w:ind w:hanging="720"/>
        <w:rPr>
          <w:rFonts w:asciiTheme="minorHAnsi" w:eastAsiaTheme="minorHAnsi" w:hAnsiTheme="minorHAnsi" w:cstheme="minorHAnsi"/>
          <w:sz w:val="22"/>
          <w:szCs w:val="22"/>
          <w:lang w:eastAsia="en-US"/>
        </w:rPr>
      </w:pPr>
      <w:r w:rsidRPr="000A3F6D">
        <w:rPr>
          <w:rFonts w:ascii="Calibri" w:eastAsiaTheme="minorHAnsi" w:hAnsi="Calibri" w:cs="Calibri"/>
          <w:sz w:val="22"/>
          <w:lang w:eastAsia="en-US"/>
        </w:rPr>
        <w:t xml:space="preserve">Comcare’s funding ratio was 65 per cent at 30 June 2012, meaning its assets cover 65 per cent of its total estimated outstanding liabilities.  When Comcare’s funding ratio is falling </w:t>
      </w:r>
      <w:r w:rsidRPr="000A3F6D">
        <w:rPr>
          <w:rFonts w:ascii="Calibri" w:eastAsiaTheme="minorHAnsi" w:hAnsi="Calibri" w:cs="Calibri"/>
          <w:sz w:val="22"/>
          <w:szCs w:val="22"/>
          <w:lang w:eastAsia="en-US"/>
        </w:rPr>
        <w:t>short</w:t>
      </w:r>
      <w:r w:rsidRPr="000A3F6D">
        <w:rPr>
          <w:rFonts w:ascii="Calibri" w:eastAsiaTheme="minorHAnsi" w:hAnsi="Calibri" w:cs="Calibri"/>
          <w:sz w:val="22"/>
          <w:lang w:eastAsia="en-US"/>
        </w:rPr>
        <w:t xml:space="preserve"> and liabilities are outstripping assets, the only course of action available to it under the current legislative framework is to increase premiums to readjust the ratios</w:t>
      </w:r>
      <w:r w:rsidRPr="000A3F6D">
        <w:rPr>
          <w:rFonts w:asciiTheme="minorHAnsi" w:eastAsiaTheme="minorHAnsi" w:hAnsiTheme="minorHAnsi" w:cstheme="minorHAnsi"/>
          <w:sz w:val="22"/>
          <w:szCs w:val="22"/>
          <w:lang w:eastAsia="en-US"/>
        </w:rPr>
        <w:t>.</w:t>
      </w:r>
      <w:r w:rsidRPr="000A3F6D">
        <w:rPr>
          <w:rFonts w:asciiTheme="minorHAnsi" w:eastAsiaTheme="minorHAnsi" w:hAnsiTheme="minorHAnsi" w:cstheme="minorHAnsi"/>
          <w:sz w:val="22"/>
          <w:szCs w:val="22"/>
          <w:vertAlign w:val="superscript"/>
          <w:lang w:eastAsia="en-US"/>
        </w:rPr>
        <w:footnoteReference w:id="78"/>
      </w:r>
    </w:p>
    <w:p w:rsidR="000A3F6D" w:rsidRPr="000A3F6D" w:rsidRDefault="000A3F6D" w:rsidP="000A3F6D">
      <w:pPr>
        <w:numPr>
          <w:ilvl w:val="1"/>
          <w:numId w:val="55"/>
        </w:numPr>
        <w:spacing w:after="120"/>
        <w:ind w:hanging="720"/>
        <w:rPr>
          <w:rFonts w:asciiTheme="minorHAnsi" w:eastAsiaTheme="minorHAnsi" w:hAnsiTheme="minorHAnsi" w:cstheme="minorHAnsi"/>
          <w:sz w:val="22"/>
          <w:szCs w:val="22"/>
          <w:lang w:eastAsia="en-US"/>
        </w:rPr>
      </w:pPr>
      <w:r w:rsidRPr="000A3F6D">
        <w:rPr>
          <w:rFonts w:ascii="Calibri" w:eastAsiaTheme="minorHAnsi" w:hAnsi="Calibri" w:cs="Calibri"/>
          <w:sz w:val="22"/>
          <w:lang w:eastAsia="en-US"/>
        </w:rPr>
        <w:t xml:space="preserve">There is no requirement or provision in the SRC Act that stipulates how and over what time period Comcare should address its funding ratio shortfall to return to a level of 100 per cent.  </w:t>
      </w:r>
      <w:r w:rsidRPr="000A3F6D">
        <w:rPr>
          <w:rFonts w:ascii="Calibri" w:eastAsiaTheme="minorHAnsi" w:hAnsi="Calibri" w:cs="Calibri"/>
          <w:sz w:val="22"/>
          <w:szCs w:val="22"/>
          <w:lang w:eastAsia="en-US"/>
        </w:rPr>
        <w:t>Comcare</w:t>
      </w:r>
      <w:r w:rsidRPr="000A3F6D">
        <w:rPr>
          <w:rFonts w:ascii="Calibri" w:eastAsiaTheme="minorHAnsi" w:hAnsi="Calibri" w:cs="Calibri"/>
          <w:sz w:val="22"/>
          <w:lang w:eastAsia="en-US"/>
        </w:rPr>
        <w:t xml:space="preserve"> is currently aiming to achieve a funding ratio better that 100 per cent within five to ten years from 2011-12, an objective this Review concurs with.  A funding ratio of 100 per cent would provide coverage of estimated liabilities, without the provision of a buffer.  A funding ratio over 100 per cent would provide a buffer or reserve for Comcare.  This would be equivalent to the buffer</w:t>
      </w:r>
      <w:r w:rsidRPr="000A3F6D">
        <w:rPr>
          <w:rFonts w:asciiTheme="minorHAnsi" w:eastAsiaTheme="minorHAnsi" w:hAnsiTheme="minorHAnsi" w:cstheme="minorHAnsi"/>
          <w:sz w:val="22"/>
          <w:szCs w:val="22"/>
          <w:lang w:eastAsia="en-US"/>
        </w:rPr>
        <w:t xml:space="preserve"> </w:t>
      </w:r>
      <w:r w:rsidRPr="000A3F6D">
        <w:rPr>
          <w:rFonts w:ascii="Calibri" w:eastAsiaTheme="minorHAnsi" w:hAnsi="Calibri" w:cs="Calibri"/>
          <w:sz w:val="22"/>
          <w:lang w:eastAsia="en-US"/>
        </w:rPr>
        <w:t>created under APRA’s requirement that an insurer have in excess of its Minimum Capital Requirements</w:t>
      </w:r>
      <w:r w:rsidRPr="000A3F6D">
        <w:rPr>
          <w:rFonts w:asciiTheme="minorHAnsi" w:eastAsiaTheme="minorHAnsi" w:hAnsiTheme="minorHAnsi" w:cstheme="minorHAnsi"/>
          <w:sz w:val="22"/>
          <w:szCs w:val="22"/>
          <w:lang w:eastAsia="en-US"/>
        </w:rPr>
        <w:t>.</w:t>
      </w:r>
      <w:r w:rsidRPr="000A3F6D">
        <w:rPr>
          <w:rFonts w:asciiTheme="minorHAnsi" w:eastAsiaTheme="minorHAnsi" w:hAnsiTheme="minorHAnsi" w:cstheme="minorHAnsi"/>
          <w:sz w:val="22"/>
          <w:szCs w:val="22"/>
          <w:vertAlign w:val="superscript"/>
          <w:lang w:eastAsia="en-US"/>
        </w:rPr>
        <w:footnoteReference w:id="79"/>
      </w:r>
    </w:p>
    <w:p w:rsidR="000A3F6D" w:rsidRPr="000A3F6D" w:rsidRDefault="000A3F6D" w:rsidP="000A3F6D">
      <w:pPr>
        <w:numPr>
          <w:ilvl w:val="1"/>
          <w:numId w:val="55"/>
        </w:numPr>
        <w:spacing w:after="120"/>
        <w:ind w:hanging="720"/>
        <w:rPr>
          <w:rFonts w:ascii="Calibri" w:eastAsiaTheme="minorHAnsi" w:hAnsi="Calibri" w:cs="Calibri"/>
          <w:sz w:val="22"/>
          <w:lang w:eastAsia="en-US"/>
        </w:rPr>
      </w:pPr>
      <w:r w:rsidRPr="000A3F6D">
        <w:rPr>
          <w:rFonts w:ascii="Calibri" w:eastAsiaTheme="minorHAnsi" w:hAnsi="Calibri" w:cs="Calibri"/>
          <w:sz w:val="22"/>
          <w:lang w:eastAsia="en-US"/>
        </w:rPr>
        <w:lastRenderedPageBreak/>
        <w:t>In comparison to Comcare’s actual funding ratio, workers’ compensation schemes across other jurisdictions vary from 65 per cent in South Australia WorkCover to 108 per cent in Victoria WorkSafe and 112 per cent in Queensland WorkCover</w:t>
      </w:r>
      <w:r w:rsidRPr="000A3F6D">
        <w:rPr>
          <w:rFonts w:asciiTheme="minorHAnsi" w:eastAsiaTheme="minorHAnsi" w:hAnsiTheme="minorHAnsi" w:cstheme="minorHAnsi"/>
          <w:sz w:val="22"/>
          <w:szCs w:val="22"/>
          <w:lang w:eastAsia="en-US"/>
        </w:rPr>
        <w:t>.</w:t>
      </w:r>
      <w:r w:rsidRPr="000A3F6D">
        <w:rPr>
          <w:rFonts w:asciiTheme="minorHAnsi" w:eastAsiaTheme="minorHAnsi" w:hAnsiTheme="minorHAnsi" w:cstheme="minorHAnsi"/>
          <w:sz w:val="22"/>
          <w:szCs w:val="22"/>
          <w:vertAlign w:val="superscript"/>
          <w:lang w:eastAsia="en-US"/>
        </w:rPr>
        <w:t xml:space="preserve"> </w:t>
      </w:r>
      <w:r w:rsidRPr="000A3F6D">
        <w:rPr>
          <w:rFonts w:asciiTheme="minorHAnsi" w:eastAsiaTheme="minorHAnsi" w:hAnsiTheme="minorHAnsi" w:cstheme="minorHAnsi"/>
          <w:sz w:val="22"/>
          <w:szCs w:val="22"/>
          <w:vertAlign w:val="superscript"/>
          <w:lang w:eastAsia="en-US"/>
        </w:rPr>
        <w:footnoteReference w:id="80"/>
      </w:r>
      <w:r w:rsidRPr="000A3F6D">
        <w:rPr>
          <w:rFonts w:asciiTheme="minorHAnsi" w:eastAsiaTheme="minorHAnsi" w:hAnsiTheme="minorHAnsi" w:cstheme="minorHAnsi"/>
          <w:sz w:val="22"/>
          <w:szCs w:val="22"/>
          <w:lang w:eastAsia="en-US"/>
        </w:rPr>
        <w:t xml:space="preserve">  </w:t>
      </w:r>
      <w:r w:rsidRPr="000A3F6D">
        <w:rPr>
          <w:rFonts w:ascii="Calibri" w:eastAsiaTheme="minorHAnsi" w:hAnsi="Calibri" w:cs="Calibri"/>
          <w:sz w:val="22"/>
          <w:lang w:eastAsia="en-US"/>
        </w:rPr>
        <w:t xml:space="preserve">It is not uncommon, </w:t>
      </w:r>
      <w:r w:rsidRPr="000A3F6D">
        <w:rPr>
          <w:rFonts w:ascii="Calibri" w:eastAsiaTheme="minorHAnsi" w:hAnsi="Calibri" w:cs="Calibri"/>
          <w:sz w:val="22"/>
          <w:szCs w:val="22"/>
          <w:lang w:eastAsia="en-US"/>
        </w:rPr>
        <w:t>however,</w:t>
      </w:r>
      <w:r w:rsidRPr="000A3F6D">
        <w:rPr>
          <w:rFonts w:ascii="Calibri" w:eastAsiaTheme="minorHAnsi" w:hAnsi="Calibri" w:cs="Calibri"/>
          <w:sz w:val="22"/>
          <w:lang w:eastAsia="en-US"/>
        </w:rPr>
        <w:t xml:space="preserve"> for any of these schemes to experience some level of volatility in their funding ratios from year to year.  This is due to a number of reasons, some of which are outside their control (such as the returns from investments), and others which are (such as claim cost payment trends).  Sometimes the response by governments to the deterioration in the funding ratio is to seek legislative change reducing the level of benefits available to injured workers (as is currently the case in New South Wales).</w:t>
      </w:r>
    </w:p>
    <w:p w:rsidR="000A3F6D" w:rsidRPr="000A3F6D" w:rsidRDefault="000A3F6D" w:rsidP="000A3F6D">
      <w:pPr>
        <w:numPr>
          <w:ilvl w:val="1"/>
          <w:numId w:val="55"/>
        </w:numPr>
        <w:spacing w:after="120"/>
        <w:ind w:hanging="720"/>
        <w:rPr>
          <w:rFonts w:ascii="Calibri" w:eastAsiaTheme="minorHAnsi" w:hAnsi="Calibri" w:cs="Calibri"/>
          <w:sz w:val="22"/>
          <w:lang w:eastAsia="en-US"/>
        </w:rPr>
      </w:pPr>
      <w:r w:rsidRPr="000A3F6D">
        <w:rPr>
          <w:rFonts w:ascii="Calibri" w:eastAsiaTheme="minorHAnsi" w:hAnsi="Calibri" w:cs="Calibri"/>
          <w:sz w:val="22"/>
          <w:lang w:eastAsia="en-US"/>
        </w:rPr>
        <w:t>For Comcare’s financial reporting, the figure calculated for its assets reflects the level of funds in the CRF that become recognised where there are insufficient Comcare</w:t>
      </w:r>
      <w:r w:rsidRPr="000A3F6D">
        <w:rPr>
          <w:rFonts w:ascii="Calibri" w:eastAsiaTheme="minorHAnsi" w:hAnsi="Calibri" w:cs="Calibri"/>
          <w:sz w:val="22"/>
          <w:lang w:eastAsia="en-US"/>
        </w:rPr>
        <w:noBreakHyphen/>
        <w:t xml:space="preserve">retained funds to meet claims liability.  The sum recognised in the CRF in these instances essentially matches the claims liability that cannot be met through the Comcare-retained funds, up to a maximum amount specified in Section 90C(3) of the SRC Act.  This concept of asset will only recognise </w:t>
      </w:r>
      <w:r w:rsidRPr="000A3F6D">
        <w:rPr>
          <w:rFonts w:ascii="Calibri" w:eastAsiaTheme="minorHAnsi" w:hAnsi="Calibri" w:cs="Calibri"/>
          <w:sz w:val="22"/>
          <w:szCs w:val="22"/>
          <w:lang w:eastAsia="en-US"/>
        </w:rPr>
        <w:t>the</w:t>
      </w:r>
      <w:r w:rsidRPr="000A3F6D">
        <w:rPr>
          <w:rFonts w:ascii="Calibri" w:eastAsiaTheme="minorHAnsi" w:hAnsi="Calibri" w:cs="Calibri"/>
          <w:sz w:val="22"/>
          <w:lang w:eastAsia="en-US"/>
        </w:rPr>
        <w:t xml:space="preserve"> full asset value of the CRF associated with the scheme where the claims liabilities exhaust the Comcare-retained funds and reaches the maximum payment value specified by the SRC Act.  The 2011-12 financial </w:t>
      </w:r>
      <w:proofErr w:type="gramStart"/>
      <w:r w:rsidRPr="000A3F6D">
        <w:rPr>
          <w:rFonts w:ascii="Calibri" w:eastAsiaTheme="minorHAnsi" w:hAnsi="Calibri" w:cs="Calibri"/>
          <w:sz w:val="22"/>
          <w:lang w:eastAsia="en-US"/>
        </w:rPr>
        <w:t>year</w:t>
      </w:r>
      <w:proofErr w:type="gramEnd"/>
      <w:r w:rsidRPr="000A3F6D">
        <w:rPr>
          <w:rFonts w:ascii="Calibri" w:eastAsiaTheme="minorHAnsi" w:hAnsi="Calibri" w:cs="Calibri"/>
          <w:sz w:val="22"/>
          <w:lang w:eastAsia="en-US"/>
        </w:rPr>
        <w:t xml:space="preserve"> saw Comcare realise the full value of the asset in the CRF as claims liabilities exhausted Comcare-retained funds as well as reaching the maximum amount payable from the CRF.</w:t>
      </w:r>
      <w:r w:rsidRPr="000A3F6D">
        <w:rPr>
          <w:rFonts w:asciiTheme="minorHAnsi" w:eastAsiaTheme="minorHAnsi" w:hAnsiTheme="minorHAnsi" w:cstheme="minorHAnsi"/>
          <w:sz w:val="22"/>
          <w:szCs w:val="22"/>
          <w:vertAlign w:val="superscript"/>
          <w:lang w:eastAsia="en-US"/>
        </w:rPr>
        <w:t xml:space="preserve"> </w:t>
      </w:r>
      <w:r w:rsidRPr="000A3F6D">
        <w:rPr>
          <w:rFonts w:asciiTheme="minorHAnsi" w:eastAsiaTheme="minorHAnsi" w:hAnsiTheme="minorHAnsi" w:cstheme="minorHAnsi"/>
          <w:sz w:val="22"/>
          <w:szCs w:val="22"/>
          <w:vertAlign w:val="superscript"/>
          <w:lang w:eastAsia="en-US"/>
        </w:rPr>
        <w:footnoteReference w:id="81"/>
      </w:r>
      <w:r w:rsidRPr="000A3F6D">
        <w:rPr>
          <w:rFonts w:asciiTheme="minorHAnsi" w:eastAsiaTheme="minorHAnsi" w:hAnsiTheme="minorHAnsi" w:cstheme="minorHAnsi"/>
          <w:sz w:val="22"/>
          <w:szCs w:val="22"/>
          <w:lang w:eastAsia="en-US"/>
        </w:rPr>
        <w:t xml:space="preserve">  </w:t>
      </w:r>
      <w:r w:rsidRPr="000A3F6D">
        <w:rPr>
          <w:rFonts w:ascii="Calibri" w:eastAsiaTheme="minorHAnsi" w:hAnsi="Calibri" w:cs="Calibri"/>
          <w:sz w:val="22"/>
          <w:lang w:eastAsia="en-US"/>
        </w:rPr>
        <w:t>As</w:t>
      </w:r>
      <w:r w:rsidRPr="000A3F6D">
        <w:rPr>
          <w:rFonts w:asciiTheme="minorHAnsi" w:eastAsiaTheme="minorHAnsi" w:hAnsiTheme="minorHAnsi" w:cstheme="minorHAnsi"/>
          <w:sz w:val="22"/>
          <w:szCs w:val="22"/>
          <w:lang w:eastAsia="en-US"/>
        </w:rPr>
        <w:t xml:space="preserve"> </w:t>
      </w:r>
      <w:r w:rsidRPr="000A3F6D">
        <w:rPr>
          <w:rFonts w:ascii="Calibri" w:eastAsiaTheme="minorHAnsi" w:hAnsi="Calibri" w:cs="Calibri"/>
          <w:sz w:val="22"/>
          <w:lang w:eastAsia="en-US"/>
        </w:rPr>
        <w:t>a result, Comcare reported an operating loss in the order of $426 million for 2011-12.</w:t>
      </w:r>
    </w:p>
    <w:p w:rsidR="000A3F6D" w:rsidRPr="000A3F6D" w:rsidRDefault="000A3F6D" w:rsidP="000A3F6D">
      <w:pPr>
        <w:keepNext/>
        <w:keepLines/>
        <w:numPr>
          <w:ilvl w:val="1"/>
          <w:numId w:val="55"/>
        </w:numPr>
        <w:spacing w:after="120"/>
        <w:ind w:hanging="720"/>
        <w:rPr>
          <w:rFonts w:ascii="Calibri" w:eastAsiaTheme="minorHAnsi" w:hAnsi="Calibri" w:cs="Calibri"/>
          <w:sz w:val="22"/>
          <w:lang w:eastAsia="en-US"/>
        </w:rPr>
      </w:pPr>
      <w:r w:rsidRPr="000A3F6D">
        <w:rPr>
          <w:rFonts w:ascii="Calibri" w:eastAsiaTheme="minorHAnsi" w:hAnsi="Calibri" w:cs="Calibri"/>
          <w:sz w:val="22"/>
          <w:lang w:eastAsia="en-US"/>
        </w:rPr>
        <w:t xml:space="preserve">Figure 4.1 shows Comcare’s liabilities for 2010-11 and 2011-12 against its </w:t>
      </w:r>
      <w:r w:rsidR="00023148">
        <w:rPr>
          <w:rFonts w:ascii="Calibri" w:eastAsiaTheme="minorHAnsi" w:hAnsi="Calibri" w:cs="Calibri"/>
          <w:sz w:val="22"/>
          <w:lang w:eastAsia="en-US"/>
        </w:rPr>
        <w:t xml:space="preserve">funding </w:t>
      </w:r>
      <w:r w:rsidRPr="000A3F6D">
        <w:rPr>
          <w:rFonts w:ascii="Calibri" w:eastAsiaTheme="minorHAnsi" w:hAnsi="Calibri" w:cs="Calibri"/>
          <w:sz w:val="22"/>
          <w:lang w:eastAsia="en-US"/>
        </w:rPr>
        <w:t xml:space="preserve">sources for those financial years.  Comcare’s </w:t>
      </w:r>
      <w:r w:rsidR="00023148" w:rsidRPr="000A3F6D">
        <w:rPr>
          <w:rFonts w:ascii="Calibri" w:eastAsiaTheme="minorHAnsi" w:hAnsi="Calibri" w:cs="Calibri"/>
          <w:sz w:val="22"/>
          <w:lang w:eastAsia="en-US"/>
        </w:rPr>
        <w:t xml:space="preserve">2010-11 </w:t>
      </w:r>
      <w:r w:rsidRPr="000A3F6D">
        <w:rPr>
          <w:rFonts w:ascii="Calibri" w:eastAsiaTheme="minorHAnsi" w:hAnsi="Calibri" w:cs="Calibri"/>
          <w:sz w:val="22"/>
          <w:lang w:eastAsia="en-US"/>
        </w:rPr>
        <w:t>liabilities utilised all of the Comcare-retained funds and recognised the bulk, but not all, of the available funds in the CRF.  In 2011-12 on the other hand, total outstanding liabilities outstripped Comcare’s retained funds and the full value of the available funds in the CRF, thus resulting in a funding shortfall/deficit.</w:t>
      </w:r>
    </w:p>
    <w:p w:rsidR="006315DC" w:rsidRPr="000A3F6D" w:rsidRDefault="006315DC" w:rsidP="006315DC">
      <w:pPr>
        <w:keepNext/>
        <w:keepLines/>
        <w:numPr>
          <w:ilvl w:val="1"/>
          <w:numId w:val="55"/>
        </w:numPr>
        <w:spacing w:after="120"/>
        <w:ind w:hanging="720"/>
        <w:rPr>
          <w:rFonts w:asciiTheme="minorHAnsi" w:eastAsiaTheme="minorHAnsi" w:hAnsiTheme="minorHAnsi" w:cstheme="minorHAnsi"/>
          <w:sz w:val="22"/>
          <w:szCs w:val="22"/>
          <w:lang w:eastAsia="en-US"/>
        </w:rPr>
      </w:pPr>
      <w:r w:rsidRPr="000A3F6D">
        <w:rPr>
          <w:rFonts w:ascii="Calibri" w:eastAsiaTheme="minorHAnsi" w:hAnsi="Calibri" w:cs="Calibri"/>
          <w:sz w:val="22"/>
          <w:lang w:eastAsia="en-US"/>
        </w:rPr>
        <w:t xml:space="preserve">By only </w:t>
      </w:r>
      <w:r w:rsidRPr="000A3F6D">
        <w:rPr>
          <w:rFonts w:ascii="Calibri" w:eastAsiaTheme="minorHAnsi" w:hAnsi="Calibri" w:cs="Calibri"/>
          <w:sz w:val="22"/>
          <w:szCs w:val="22"/>
          <w:lang w:eastAsia="en-US"/>
        </w:rPr>
        <w:t>recognising</w:t>
      </w:r>
      <w:r w:rsidRPr="000A3F6D">
        <w:rPr>
          <w:rFonts w:ascii="Calibri" w:eastAsiaTheme="minorHAnsi" w:hAnsi="Calibri" w:cs="Calibri"/>
          <w:sz w:val="22"/>
          <w:lang w:eastAsia="en-US"/>
        </w:rPr>
        <w:t xml:space="preserve"> the amount in the CRF in accordance with the SRC Act provisions, Comcare’s financial statements cannot consistently provide an accurate representation of its actual financial performance.  This issue is recognised by Comcare and it has also been acknowledged by PricewaterhouseCoopers in its 2012 report into Comcare’s financial management framework</w:t>
      </w:r>
      <w:r w:rsidRPr="000A3F6D">
        <w:rPr>
          <w:rFonts w:asciiTheme="minorHAnsi" w:eastAsiaTheme="minorHAnsi" w:hAnsiTheme="minorHAnsi" w:cstheme="minorHAnsi"/>
          <w:sz w:val="22"/>
          <w:szCs w:val="22"/>
          <w:lang w:eastAsia="en-US"/>
        </w:rPr>
        <w:t>.</w:t>
      </w:r>
      <w:r w:rsidRPr="000A3F6D">
        <w:rPr>
          <w:rFonts w:asciiTheme="minorHAnsi" w:eastAsiaTheme="minorHAnsi" w:hAnsiTheme="minorHAnsi" w:cstheme="minorHAnsi"/>
          <w:sz w:val="22"/>
          <w:szCs w:val="22"/>
          <w:vertAlign w:val="superscript"/>
          <w:lang w:eastAsia="en-US"/>
        </w:rPr>
        <w:footnoteReference w:id="82"/>
      </w:r>
      <w:r w:rsidRPr="000A3F6D">
        <w:rPr>
          <w:rFonts w:asciiTheme="minorHAnsi" w:eastAsiaTheme="minorHAnsi" w:hAnsiTheme="minorHAnsi" w:cstheme="minorBidi"/>
          <w:sz w:val="22"/>
          <w:szCs w:val="22"/>
          <w:vertAlign w:val="superscript"/>
          <w:lang w:eastAsia="en-US"/>
        </w:rPr>
        <w:t xml:space="preserve"> </w:t>
      </w:r>
    </w:p>
    <w:p w:rsidR="006315DC" w:rsidRPr="000A3F6D" w:rsidRDefault="006315DC" w:rsidP="006315DC">
      <w:pPr>
        <w:numPr>
          <w:ilvl w:val="1"/>
          <w:numId w:val="55"/>
        </w:numPr>
        <w:spacing w:after="120"/>
        <w:ind w:hanging="720"/>
        <w:rPr>
          <w:rFonts w:ascii="Calibri" w:eastAsiaTheme="minorHAnsi" w:hAnsi="Calibri" w:cs="Calibri"/>
          <w:sz w:val="22"/>
          <w:lang w:eastAsia="en-US"/>
        </w:rPr>
      </w:pPr>
      <w:r w:rsidRPr="000A3F6D">
        <w:rPr>
          <w:rFonts w:ascii="Calibri" w:eastAsiaTheme="minorHAnsi" w:hAnsi="Calibri" w:cs="Calibri"/>
          <w:sz w:val="22"/>
          <w:szCs w:val="22"/>
          <w:lang w:eastAsia="en-US"/>
        </w:rPr>
        <w:t>Interestingly</w:t>
      </w:r>
      <w:r w:rsidRPr="000A3F6D">
        <w:rPr>
          <w:rFonts w:ascii="Calibri" w:eastAsiaTheme="minorHAnsi" w:hAnsi="Calibri" w:cs="Calibri"/>
          <w:sz w:val="22"/>
          <w:lang w:eastAsia="en-US"/>
        </w:rPr>
        <w:t>, as part of Comcare’s strategic planning and prudential management, which helps inform their strategic planning, Comcare recognises the full sum that sits in the CRF as its asset.  This provides Comcare with a more accurate account of its liabilities and assets.</w:t>
      </w:r>
    </w:p>
    <w:p w:rsidR="000A3F6D" w:rsidRPr="000A3F6D" w:rsidRDefault="000A3F6D" w:rsidP="000A3F6D">
      <w:pPr>
        <w:rPr>
          <w:rFonts w:ascii="Calibri" w:eastAsiaTheme="minorHAnsi" w:hAnsi="Calibri" w:cs="Calibri"/>
          <w:sz w:val="22"/>
          <w:lang w:eastAsia="en-US"/>
        </w:rPr>
      </w:pPr>
    </w:p>
    <w:p w:rsidR="000A3F6D" w:rsidRPr="000A3F6D" w:rsidRDefault="000A3F6D" w:rsidP="000A3F6D">
      <w:pPr>
        <w:keepNext/>
        <w:keepLines/>
        <w:spacing w:after="120"/>
        <w:jc w:val="center"/>
        <w:rPr>
          <w:rFonts w:ascii="Calibri" w:eastAsiaTheme="minorHAnsi" w:hAnsi="Calibri" w:cs="Calibri"/>
          <w:b/>
          <w:sz w:val="22"/>
          <w:lang w:eastAsia="en-US"/>
        </w:rPr>
      </w:pPr>
      <w:r w:rsidRPr="000A3F6D">
        <w:rPr>
          <w:rFonts w:ascii="Calibri" w:eastAsiaTheme="minorHAnsi" w:hAnsi="Calibri" w:cs="Calibri"/>
          <w:b/>
          <w:sz w:val="22"/>
          <w:lang w:eastAsia="en-US"/>
        </w:rPr>
        <w:lastRenderedPageBreak/>
        <w:t>Figure 4.1: Comcare’s Liabilities and Funding for 2010-11 and 2011-12</w:t>
      </w:r>
    </w:p>
    <w:p w:rsidR="000A3F6D" w:rsidRPr="000A3F6D" w:rsidRDefault="000A3F6D" w:rsidP="000A3F6D">
      <w:pPr>
        <w:keepNext/>
        <w:keepLines/>
        <w:spacing w:after="120"/>
        <w:ind w:left="709" w:hanging="709"/>
        <w:jc w:val="center"/>
        <w:rPr>
          <w:rFonts w:ascii="Calibri" w:eastAsiaTheme="minorHAnsi" w:hAnsi="Calibri" w:cs="Calibri"/>
          <w:b/>
          <w:noProof/>
          <w:sz w:val="22"/>
          <w:szCs w:val="22"/>
          <w:lang w:eastAsia="en-US"/>
        </w:rPr>
      </w:pPr>
      <w:r w:rsidRPr="0035663E">
        <w:rPr>
          <w:rFonts w:ascii="Calibri" w:eastAsiaTheme="minorHAnsi" w:hAnsi="Calibri" w:cs="Calibri"/>
          <w:b/>
          <w:noProof/>
          <w:sz w:val="22"/>
          <w:szCs w:val="22"/>
        </w:rPr>
        <w:drawing>
          <wp:inline distT="0" distB="0" distL="0" distR="0" wp14:anchorId="730FB54F" wp14:editId="3CAB9E6C">
            <wp:extent cx="5731510" cy="4806875"/>
            <wp:effectExtent l="0" t="0" r="21590" b="13335"/>
            <wp:docPr id="12" name="Chart 1" descr="This graph displays Comcare's liabilities and funding for 2010 to 2011, and 2011 to 2012.  &#10;&#10;Liability:&#10;2010 to 2011: 1.5 billion dollars&#10;2011 to 2012: 2.15 billion dollars&#10;&#10;Funding:&#10;2010 to 2011 - CCRF 190 million; CRF 1.36 billion; CRF surplus 100 million.&#10;&#10;2011 to 2012 - CCRF 210 million; CRF 1.39 billion; CRF funding deficit 570 million&#10;" title="Figure 4.1: Comcare’s Liabilities and Funding for 2010-11 and 2011-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0A3F6D" w:rsidRPr="000A3F6D" w:rsidRDefault="000A3F6D" w:rsidP="000A3F6D">
      <w:pPr>
        <w:keepNext/>
        <w:keepLines/>
        <w:ind w:left="709"/>
        <w:contextualSpacing/>
        <w:jc w:val="right"/>
        <w:rPr>
          <w:rFonts w:asciiTheme="minorHAnsi" w:eastAsiaTheme="minorHAnsi" w:hAnsiTheme="minorHAnsi" w:cstheme="minorBidi"/>
          <w:sz w:val="20"/>
          <w:szCs w:val="20"/>
          <w:lang w:eastAsia="en-US"/>
        </w:rPr>
      </w:pPr>
      <w:r w:rsidRPr="000A3F6D">
        <w:rPr>
          <w:rFonts w:asciiTheme="minorHAnsi" w:eastAsiaTheme="minorHAnsi" w:hAnsiTheme="minorHAnsi" w:cstheme="minorBidi"/>
          <w:sz w:val="20"/>
          <w:szCs w:val="20"/>
          <w:lang w:eastAsia="en-US"/>
        </w:rPr>
        <w:t>Source: Comcare 2012</w:t>
      </w:r>
    </w:p>
    <w:p w:rsidR="000A3F6D" w:rsidRPr="000A3F6D" w:rsidRDefault="000A3F6D" w:rsidP="000A3F6D">
      <w:pPr>
        <w:keepNext/>
        <w:keepLines/>
        <w:rPr>
          <w:rFonts w:ascii="Calibri" w:hAnsi="Calibri" w:cs="Calibri"/>
        </w:rPr>
      </w:pPr>
    </w:p>
    <w:p w:rsidR="000A3F6D" w:rsidRPr="000A3F6D" w:rsidRDefault="000A3F6D" w:rsidP="000A3F6D">
      <w:pPr>
        <w:keepNext/>
        <w:keepLines/>
        <w:spacing w:after="120"/>
        <w:rPr>
          <w:rFonts w:ascii="Calibri" w:eastAsiaTheme="minorHAnsi" w:hAnsi="Calibri" w:cs="Calibri"/>
          <w:b/>
          <w:sz w:val="22"/>
          <w:lang w:eastAsia="en-US"/>
        </w:rPr>
      </w:pPr>
      <w:r w:rsidRPr="000A3F6D">
        <w:rPr>
          <w:rFonts w:ascii="Calibri" w:eastAsiaTheme="minorHAnsi" w:hAnsi="Calibri" w:cs="Calibri"/>
          <w:b/>
          <w:sz w:val="22"/>
          <w:lang w:eastAsia="en-US"/>
        </w:rPr>
        <w:t xml:space="preserve">Probability of Sufficiency  </w:t>
      </w:r>
    </w:p>
    <w:p w:rsidR="000A3F6D" w:rsidRPr="000A3F6D" w:rsidRDefault="000A3F6D" w:rsidP="000A3F6D">
      <w:pPr>
        <w:keepNext/>
        <w:keepLines/>
        <w:numPr>
          <w:ilvl w:val="1"/>
          <w:numId w:val="55"/>
        </w:numPr>
        <w:spacing w:after="120"/>
        <w:ind w:hanging="720"/>
        <w:rPr>
          <w:rFonts w:ascii="Calibri" w:eastAsiaTheme="minorHAnsi" w:hAnsi="Calibri" w:cs="Calibri"/>
          <w:sz w:val="22"/>
          <w:lang w:eastAsia="en-US"/>
        </w:rPr>
      </w:pPr>
      <w:r w:rsidRPr="000A3F6D">
        <w:rPr>
          <w:rFonts w:ascii="Calibri" w:eastAsiaTheme="minorHAnsi" w:hAnsi="Calibri" w:cs="Calibri"/>
          <w:sz w:val="22"/>
          <w:lang w:eastAsia="en-US"/>
        </w:rPr>
        <w:t xml:space="preserve">The </w:t>
      </w:r>
      <w:r w:rsidRPr="000A3F6D">
        <w:rPr>
          <w:rFonts w:ascii="Calibri" w:eastAsiaTheme="minorHAnsi" w:hAnsi="Calibri" w:cs="Calibri"/>
          <w:sz w:val="22"/>
          <w:szCs w:val="22"/>
          <w:lang w:eastAsia="en-US"/>
        </w:rPr>
        <w:t>probability</w:t>
      </w:r>
      <w:r w:rsidRPr="000A3F6D">
        <w:rPr>
          <w:rFonts w:ascii="Calibri" w:eastAsiaTheme="minorHAnsi" w:hAnsi="Calibri" w:cs="Calibri"/>
          <w:sz w:val="22"/>
          <w:lang w:eastAsia="en-US"/>
        </w:rPr>
        <w:t xml:space="preserve"> of sufficiency is the extent to which an insurer can cover a specified amount of a claims liability.  As part of its prudential management and strategic planning, Comcare uses a 75 per cent probability of sufficiency.  In its financial statements, however, Comcare reports on a central estimate of 50 per cent probability of sufficiency for its claim liabilities, i.e., being able to meet the estimated cost of 50 per cent of a claim liability.  This level of probability is based on Australian Accounting Standards relevant at the time of reporting.</w:t>
      </w:r>
    </w:p>
    <w:p w:rsidR="000A3F6D" w:rsidRPr="000A3F6D" w:rsidRDefault="000A3F6D" w:rsidP="000A3F6D">
      <w:pPr>
        <w:keepNext/>
        <w:keepLines/>
        <w:numPr>
          <w:ilvl w:val="1"/>
          <w:numId w:val="55"/>
        </w:numPr>
        <w:spacing w:after="120"/>
        <w:ind w:hanging="720"/>
        <w:rPr>
          <w:rFonts w:ascii="Calibri" w:eastAsiaTheme="minorHAnsi" w:hAnsi="Calibri" w:cs="Calibri"/>
          <w:sz w:val="22"/>
          <w:lang w:eastAsia="en-US"/>
        </w:rPr>
      </w:pPr>
      <w:r w:rsidRPr="000A3F6D">
        <w:rPr>
          <w:rFonts w:ascii="Calibri" w:eastAsiaTheme="minorHAnsi" w:hAnsi="Calibri" w:cs="Calibri"/>
          <w:sz w:val="22"/>
          <w:lang w:eastAsia="en-US"/>
        </w:rPr>
        <w:t>This level is significantly lower than comparable insurers.  APRA requires insurers to retain the value of net assets at the level of 75 per cent probability of sufficiency, in addition to its requirements around minimum levels of capital.</w:t>
      </w:r>
      <w:r w:rsidRPr="000A3F6D">
        <w:rPr>
          <w:rFonts w:asciiTheme="minorHAnsi" w:eastAsiaTheme="minorHAnsi" w:hAnsiTheme="minorHAnsi" w:cstheme="minorHAnsi"/>
          <w:sz w:val="22"/>
          <w:szCs w:val="22"/>
          <w:vertAlign w:val="superscript"/>
          <w:lang w:eastAsia="en-US"/>
        </w:rPr>
        <w:footnoteReference w:id="83"/>
      </w:r>
      <w:r w:rsidRPr="000A3F6D">
        <w:rPr>
          <w:rFonts w:asciiTheme="minorHAnsi" w:eastAsiaTheme="minorHAnsi" w:hAnsiTheme="minorHAnsi"/>
          <w:sz w:val="22"/>
          <w:szCs w:val="22"/>
          <w:vertAlign w:val="superscript"/>
          <w:lang w:eastAsia="en-US"/>
        </w:rPr>
        <w:t xml:space="preserve"> </w:t>
      </w:r>
      <w:r w:rsidRPr="000A3F6D">
        <w:rPr>
          <w:rFonts w:ascii="Calibri" w:eastAsiaTheme="minorHAnsi" w:hAnsi="Calibri" w:cs="Calibri"/>
          <w:sz w:val="22"/>
          <w:lang w:eastAsia="en-US"/>
        </w:rPr>
        <w:t xml:space="preserve"> </w:t>
      </w:r>
    </w:p>
    <w:p w:rsidR="000A3F6D" w:rsidRPr="000A3F6D" w:rsidRDefault="000A3F6D" w:rsidP="000A3F6D">
      <w:pPr>
        <w:keepNext/>
        <w:keepLines/>
        <w:numPr>
          <w:ilvl w:val="1"/>
          <w:numId w:val="55"/>
        </w:numPr>
        <w:spacing w:after="120"/>
        <w:ind w:hanging="720"/>
        <w:rPr>
          <w:rFonts w:ascii="Calibri" w:eastAsiaTheme="minorHAnsi" w:hAnsi="Calibri" w:cs="Calibri"/>
          <w:sz w:val="22"/>
          <w:lang w:eastAsia="en-US"/>
        </w:rPr>
      </w:pPr>
      <w:r w:rsidRPr="000A3F6D">
        <w:rPr>
          <w:rFonts w:ascii="Calibri" w:eastAsiaTheme="minorHAnsi" w:hAnsi="Calibri" w:cs="Calibri"/>
          <w:sz w:val="22"/>
          <w:lang w:eastAsia="en-US"/>
        </w:rPr>
        <w:lastRenderedPageBreak/>
        <w:t xml:space="preserve">Reporting a 75 per cent probability of sufficiency for Comcare’s liability reserving basis in its financial reports would contribute to its prudential management as it would more fully recognise the inherent uncertainty in placing a value on long-tail workers’ compensation liabilities which would, in time, increase  Comcare’s funding reserve.  It would also be consistent with the standard for valuation of insurance liabilities for insurers authorised in the </w:t>
      </w:r>
      <w:r w:rsidRPr="000A3F6D">
        <w:rPr>
          <w:rFonts w:ascii="Calibri" w:eastAsiaTheme="minorHAnsi" w:hAnsi="Calibri" w:cs="Calibri"/>
          <w:i/>
          <w:sz w:val="22"/>
          <w:lang w:eastAsia="en-US"/>
        </w:rPr>
        <w:t>Insurance Act 1973</w:t>
      </w:r>
      <w:r w:rsidRPr="000A3F6D">
        <w:rPr>
          <w:rFonts w:ascii="Calibri" w:eastAsiaTheme="minorHAnsi" w:hAnsi="Calibri" w:cs="Calibri"/>
          <w:sz w:val="22"/>
          <w:lang w:eastAsia="en-US"/>
        </w:rPr>
        <w:t xml:space="preserve"> and as prescribed in APRA’s prudential standard GPS310; and the practice of most other Australasian government insurers and compensation authorities.</w:t>
      </w:r>
      <w:r w:rsidRPr="000A3F6D">
        <w:rPr>
          <w:rFonts w:asciiTheme="minorHAnsi" w:eastAsiaTheme="minorHAnsi" w:hAnsiTheme="minorHAnsi" w:cstheme="minorHAnsi"/>
          <w:sz w:val="22"/>
          <w:szCs w:val="22"/>
          <w:vertAlign w:val="superscript"/>
          <w:lang w:eastAsia="en-US"/>
        </w:rPr>
        <w:footnoteReference w:id="84"/>
      </w:r>
      <w:r w:rsidRPr="000A3F6D">
        <w:rPr>
          <w:rFonts w:asciiTheme="minorHAnsi" w:eastAsiaTheme="minorHAnsi" w:hAnsiTheme="minorHAnsi" w:cstheme="minorHAnsi"/>
          <w:sz w:val="22"/>
          <w:szCs w:val="22"/>
          <w:vertAlign w:val="superscript"/>
          <w:lang w:eastAsia="en-US"/>
        </w:rPr>
        <w:t xml:space="preserve"> </w:t>
      </w:r>
      <w:r w:rsidRPr="000A3F6D">
        <w:rPr>
          <w:rFonts w:asciiTheme="minorHAnsi" w:eastAsiaTheme="minorHAnsi" w:hAnsiTheme="minorHAnsi"/>
          <w:sz w:val="22"/>
          <w:szCs w:val="22"/>
          <w:vertAlign w:val="superscript"/>
          <w:lang w:eastAsia="en-US"/>
        </w:rPr>
        <w:t xml:space="preserve"> </w:t>
      </w:r>
    </w:p>
    <w:p w:rsidR="000A3F6D" w:rsidRPr="000A3F6D" w:rsidRDefault="000A3F6D" w:rsidP="000A3F6D">
      <w:pPr>
        <w:spacing w:after="120"/>
        <w:rPr>
          <w:rFonts w:ascii="Calibri" w:eastAsiaTheme="minorHAnsi" w:hAnsi="Calibri" w:cs="Calibri"/>
          <w:b/>
          <w:sz w:val="22"/>
          <w:lang w:eastAsia="en-US"/>
        </w:rPr>
      </w:pPr>
      <w:r w:rsidRPr="000A3F6D">
        <w:rPr>
          <w:rFonts w:ascii="Calibri" w:eastAsiaTheme="minorHAnsi" w:hAnsi="Calibri" w:cs="Calibri"/>
          <w:b/>
          <w:sz w:val="22"/>
          <w:lang w:eastAsia="en-US"/>
        </w:rPr>
        <w:t>In the Event of a Catastrophe</w:t>
      </w:r>
    </w:p>
    <w:p w:rsidR="000A3F6D" w:rsidRPr="000A3F6D" w:rsidRDefault="000A3F6D" w:rsidP="000A3F6D">
      <w:pPr>
        <w:keepNext/>
        <w:keepLines/>
        <w:numPr>
          <w:ilvl w:val="1"/>
          <w:numId w:val="55"/>
        </w:numPr>
        <w:spacing w:after="120"/>
        <w:ind w:hanging="720"/>
        <w:rPr>
          <w:rFonts w:asciiTheme="minorHAnsi" w:eastAsiaTheme="minorHAnsi" w:hAnsiTheme="minorHAnsi" w:cstheme="minorHAnsi"/>
          <w:sz w:val="22"/>
          <w:szCs w:val="22"/>
          <w:lang w:eastAsia="en-US"/>
        </w:rPr>
      </w:pPr>
      <w:r w:rsidRPr="000A3F6D">
        <w:rPr>
          <w:rFonts w:ascii="Calibri" w:eastAsiaTheme="minorHAnsi" w:hAnsi="Calibri" w:cs="Calibri"/>
          <w:sz w:val="22"/>
          <w:lang w:eastAsia="en-US"/>
        </w:rPr>
        <w:t>Unlike private sector insurers and licensees under the Comcare scheme, Comcare does not have, nor is it required to have, reinsurance for its scheme.  Consequently, there is a risk to Comcare’s viability in the event of a single catastrophic event such as war or acts of terrorism in Australia and/or overseas, an incident at a major hazard facility or a natural catastrophe.  There is the expectation that Comcare-retained funds and access to the CRF would be adequate to meet short</w:t>
      </w:r>
      <w:r w:rsidRPr="000A3F6D">
        <w:rPr>
          <w:rFonts w:ascii="Calibri" w:eastAsiaTheme="minorHAnsi" w:hAnsi="Calibri" w:cs="Calibri"/>
          <w:sz w:val="22"/>
          <w:lang w:eastAsia="en-US"/>
        </w:rPr>
        <w:noBreakHyphen/>
        <w:t>term requirements, but it is not clear how longer term cash-flow demands would be met</w:t>
      </w:r>
      <w:r w:rsidRPr="000A3F6D">
        <w:rPr>
          <w:rFonts w:asciiTheme="minorHAnsi" w:eastAsiaTheme="minorHAnsi" w:hAnsiTheme="minorHAnsi" w:cstheme="minorHAnsi"/>
          <w:sz w:val="22"/>
          <w:szCs w:val="22"/>
          <w:lang w:eastAsia="en-US"/>
        </w:rPr>
        <w:t>.</w:t>
      </w:r>
      <w:r w:rsidRPr="000A3F6D">
        <w:rPr>
          <w:rFonts w:asciiTheme="minorHAnsi" w:eastAsiaTheme="minorHAnsi" w:hAnsiTheme="minorHAnsi" w:cstheme="minorHAnsi"/>
          <w:sz w:val="22"/>
          <w:szCs w:val="22"/>
          <w:vertAlign w:val="superscript"/>
          <w:lang w:eastAsia="en-US"/>
        </w:rPr>
        <w:footnoteReference w:id="85"/>
      </w:r>
      <w:r w:rsidRPr="000A3F6D">
        <w:rPr>
          <w:rFonts w:asciiTheme="minorHAnsi" w:eastAsiaTheme="minorHAnsi" w:hAnsiTheme="minorHAnsi" w:cstheme="minorBidi"/>
          <w:sz w:val="22"/>
          <w:szCs w:val="22"/>
          <w:vertAlign w:val="superscript"/>
          <w:lang w:eastAsia="en-US"/>
        </w:rPr>
        <w:t xml:space="preserve"> </w:t>
      </w:r>
    </w:p>
    <w:p w:rsidR="000A3F6D" w:rsidRPr="000A3F6D" w:rsidRDefault="000A3F6D" w:rsidP="000A3F6D">
      <w:pPr>
        <w:keepNext/>
        <w:keepLines/>
        <w:numPr>
          <w:ilvl w:val="1"/>
          <w:numId w:val="55"/>
        </w:numPr>
        <w:spacing w:after="120"/>
        <w:ind w:hanging="720"/>
        <w:rPr>
          <w:rFonts w:ascii="Calibri" w:eastAsiaTheme="minorHAnsi" w:hAnsi="Calibri" w:cs="Calibri"/>
          <w:sz w:val="22"/>
          <w:lang w:eastAsia="en-US"/>
        </w:rPr>
      </w:pPr>
      <w:r w:rsidRPr="000A3F6D">
        <w:rPr>
          <w:rFonts w:ascii="Calibri" w:eastAsiaTheme="minorHAnsi" w:hAnsi="Calibri" w:cs="Calibri"/>
          <w:sz w:val="22"/>
          <w:lang w:eastAsia="en-US"/>
        </w:rPr>
        <w:t>Section 90C of the SRC Act places certain limitations on Comcare’s ability to access additional funding from the CRF when faced with a liability deficit as it places a cap on the level of funding the Commonwealth can provide when claims liabilities outstrip the Comcare-retained funds.  This means that the only real avenue open to it, when faced with a deficit, is to increase premiums in order to build up reserves to meet its future liabilities.</w:t>
      </w:r>
    </w:p>
    <w:p w:rsidR="00FB3790" w:rsidRDefault="000A3F6D" w:rsidP="00522B03">
      <w:pPr>
        <w:keepNext/>
        <w:keepLines/>
        <w:numPr>
          <w:ilvl w:val="1"/>
          <w:numId w:val="55"/>
        </w:numPr>
        <w:spacing w:after="120"/>
        <w:ind w:hanging="720"/>
        <w:rPr>
          <w:rFonts w:cstheme="minorHAnsi"/>
        </w:rPr>
      </w:pPr>
      <w:r w:rsidRPr="000A3F6D">
        <w:rPr>
          <w:rFonts w:ascii="Calibri" w:eastAsiaTheme="minorHAnsi" w:hAnsi="Calibri" w:cs="Calibri"/>
          <w:sz w:val="22"/>
          <w:lang w:eastAsia="en-US"/>
        </w:rPr>
        <w:t>PricewaterhouseCoopers states</w:t>
      </w:r>
      <w:r w:rsidRPr="000A3F6D">
        <w:rPr>
          <w:rFonts w:asciiTheme="minorHAnsi" w:eastAsiaTheme="minorHAnsi" w:hAnsiTheme="minorHAnsi" w:cstheme="minorHAnsi"/>
          <w:sz w:val="22"/>
          <w:szCs w:val="22"/>
          <w:lang w:eastAsia="en-US"/>
        </w:rPr>
        <w:t xml:space="preserve"> “... </w:t>
      </w:r>
      <w:r w:rsidRPr="000A3F6D">
        <w:rPr>
          <w:rFonts w:asciiTheme="minorHAnsi" w:eastAsiaTheme="minorHAnsi" w:hAnsiTheme="minorHAnsi" w:cstheme="minorHAnsi"/>
          <w:i/>
          <w:sz w:val="22"/>
          <w:szCs w:val="22"/>
          <w:lang w:eastAsia="en-US"/>
        </w:rPr>
        <w:t>it is critical to Comcare’s ongoing Risk Management to establish whether it is, or is not, financially supported by the Commonwealth beyond those funds established by Section 90C(3) of the SRC Act</w:t>
      </w:r>
      <w:r w:rsidRPr="000A3F6D">
        <w:rPr>
          <w:rFonts w:asciiTheme="minorHAnsi" w:eastAsiaTheme="minorHAnsi" w:hAnsiTheme="minorHAnsi" w:cstheme="minorHAnsi"/>
          <w:sz w:val="22"/>
          <w:szCs w:val="22"/>
          <w:lang w:eastAsia="en-US"/>
        </w:rPr>
        <w:t>.”</w:t>
      </w:r>
      <w:r w:rsidRPr="000A3F6D">
        <w:rPr>
          <w:rFonts w:asciiTheme="minorHAnsi" w:eastAsiaTheme="minorHAnsi" w:hAnsiTheme="minorHAnsi" w:cstheme="minorHAnsi"/>
          <w:sz w:val="22"/>
          <w:szCs w:val="22"/>
          <w:vertAlign w:val="superscript"/>
          <w:lang w:eastAsia="en-US"/>
        </w:rPr>
        <w:footnoteReference w:id="86"/>
      </w:r>
      <w:r w:rsidRPr="000A3F6D">
        <w:rPr>
          <w:rFonts w:asciiTheme="minorHAnsi" w:eastAsiaTheme="minorHAnsi" w:hAnsiTheme="minorHAnsi" w:cstheme="minorHAnsi"/>
          <w:sz w:val="22"/>
          <w:szCs w:val="22"/>
          <w:lang w:eastAsia="en-US"/>
        </w:rPr>
        <w:t xml:space="preserve">  </w:t>
      </w:r>
      <w:r w:rsidRPr="000A3F6D">
        <w:rPr>
          <w:rFonts w:ascii="Calibri" w:eastAsiaTheme="minorHAnsi" w:hAnsi="Calibri" w:cs="Calibri"/>
          <w:sz w:val="22"/>
          <w:lang w:eastAsia="en-US"/>
        </w:rPr>
        <w:t>Greater certainty and clarity is needed about the Commonwealth’s role in providing supplementary funding to Comcare when its liabilities exceed its assets, particularly in the case of a catastrophic event, as it may be necessary for Comcare to obtain reinsurance to cover any future shortfall to resolve this potential risk</w:t>
      </w:r>
      <w:r w:rsidRPr="000A3F6D">
        <w:rPr>
          <w:rFonts w:asciiTheme="minorHAnsi" w:eastAsiaTheme="minorHAnsi" w:hAnsiTheme="minorHAnsi" w:cstheme="minorHAnsi"/>
          <w:sz w:val="22"/>
          <w:szCs w:val="22"/>
          <w:lang w:eastAsia="en-US"/>
        </w:rPr>
        <w:t>.</w:t>
      </w:r>
      <w:r w:rsidRPr="000A3F6D">
        <w:rPr>
          <w:rFonts w:asciiTheme="minorHAnsi" w:eastAsiaTheme="minorHAnsi" w:hAnsiTheme="minorHAnsi" w:cstheme="minorHAnsi"/>
          <w:sz w:val="22"/>
          <w:szCs w:val="22"/>
          <w:vertAlign w:val="superscript"/>
          <w:lang w:eastAsia="en-US"/>
        </w:rPr>
        <w:footnoteReference w:id="87"/>
      </w:r>
      <w:r w:rsidRPr="000A3F6D">
        <w:rPr>
          <w:rFonts w:asciiTheme="minorHAnsi" w:eastAsiaTheme="minorHAnsi" w:hAnsiTheme="minorHAnsi" w:cstheme="minorBidi"/>
          <w:sz w:val="22"/>
          <w:szCs w:val="22"/>
          <w:vertAlign w:val="superscript"/>
          <w:lang w:eastAsia="en-US"/>
        </w:rPr>
        <w:t xml:space="preserve"> </w:t>
      </w:r>
    </w:p>
    <w:p w:rsidR="002555F4" w:rsidRDefault="006E236C" w:rsidP="0035663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Calibri" w:eastAsiaTheme="minorHAnsi" w:hAnsi="Calibri" w:cs="Calibri"/>
          <w:b/>
          <w:sz w:val="22"/>
          <w:lang w:eastAsia="en-US"/>
        </w:rPr>
      </w:pPr>
      <w:r w:rsidRPr="006E236C">
        <w:rPr>
          <w:rFonts w:ascii="Calibri" w:eastAsiaTheme="minorHAnsi" w:hAnsi="Calibri" w:cs="Calibri"/>
          <w:b/>
          <w:sz w:val="22"/>
          <w:lang w:eastAsia="en-US"/>
        </w:rPr>
        <w:t xml:space="preserve">Recommendation </w:t>
      </w:r>
      <w:r w:rsidR="00D916EA" w:rsidRPr="006E236C">
        <w:rPr>
          <w:rFonts w:ascii="Calibri" w:eastAsiaTheme="minorHAnsi" w:hAnsi="Calibri" w:cs="Calibri"/>
          <w:b/>
          <w:sz w:val="22"/>
          <w:lang w:eastAsia="en-US"/>
        </w:rPr>
        <w:t>2</w:t>
      </w:r>
      <w:r w:rsidR="00D916EA">
        <w:rPr>
          <w:rFonts w:ascii="Calibri" w:eastAsiaTheme="minorHAnsi" w:hAnsi="Calibri" w:cs="Calibri"/>
          <w:b/>
          <w:sz w:val="22"/>
          <w:lang w:eastAsia="en-US"/>
        </w:rPr>
        <w:t>7</w:t>
      </w:r>
    </w:p>
    <w:p w:rsidR="000A3F6D" w:rsidRPr="000A3F6D" w:rsidRDefault="000A3F6D" w:rsidP="000A3F6D">
      <w:pPr>
        <w:numPr>
          <w:ilvl w:val="0"/>
          <w:numId w:val="3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120"/>
        <w:ind w:left="426" w:hanging="426"/>
        <w:rPr>
          <w:rFonts w:ascii="Calibri" w:eastAsiaTheme="minorHAnsi" w:hAnsi="Calibri" w:cs="Calibri"/>
          <w:sz w:val="22"/>
          <w:lang w:eastAsia="en-US"/>
        </w:rPr>
      </w:pPr>
      <w:r w:rsidRPr="000A3F6D">
        <w:rPr>
          <w:rFonts w:ascii="Calibri" w:eastAsiaTheme="minorHAnsi" w:hAnsi="Calibri" w:cs="Calibri"/>
          <w:sz w:val="22"/>
          <w:lang w:eastAsia="en-US"/>
        </w:rPr>
        <w:t>The Commonwealth Government’s role in providing supplementary funding to Comcare when its liabilities exceed its assets should be clearly established;</w:t>
      </w:r>
    </w:p>
    <w:p w:rsidR="000A3F6D" w:rsidRPr="000A3F6D" w:rsidRDefault="000A3F6D" w:rsidP="000A3F6D">
      <w:pPr>
        <w:numPr>
          <w:ilvl w:val="0"/>
          <w:numId w:val="3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120"/>
        <w:ind w:left="426" w:hanging="426"/>
        <w:rPr>
          <w:rFonts w:ascii="Calibri" w:eastAsiaTheme="minorHAnsi" w:hAnsi="Calibri" w:cs="Calibri"/>
          <w:sz w:val="22"/>
          <w:lang w:eastAsia="en-US"/>
        </w:rPr>
      </w:pPr>
      <w:r w:rsidRPr="000A3F6D">
        <w:rPr>
          <w:rFonts w:ascii="Calibri" w:eastAsiaTheme="minorHAnsi" w:hAnsi="Calibri" w:cs="Calibri"/>
          <w:sz w:val="22"/>
          <w:lang w:eastAsia="en-US"/>
        </w:rPr>
        <w:t>Comcare should work with DEEWR to finalise the prudential management strategy;</w:t>
      </w:r>
    </w:p>
    <w:p w:rsidR="000A3F6D" w:rsidRPr="000A3F6D" w:rsidRDefault="000A3F6D" w:rsidP="000A3F6D">
      <w:pPr>
        <w:numPr>
          <w:ilvl w:val="0"/>
          <w:numId w:val="3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120"/>
        <w:ind w:left="426" w:hanging="426"/>
        <w:rPr>
          <w:rFonts w:ascii="Calibri" w:eastAsiaTheme="minorHAnsi" w:hAnsi="Calibri" w:cs="Calibri"/>
          <w:sz w:val="22"/>
          <w:lang w:eastAsia="en-US"/>
        </w:rPr>
      </w:pPr>
      <w:r w:rsidRPr="000A3F6D">
        <w:rPr>
          <w:rFonts w:ascii="Calibri" w:eastAsiaTheme="minorHAnsi" w:hAnsi="Calibri" w:cs="Calibri"/>
          <w:sz w:val="22"/>
          <w:lang w:eastAsia="en-US"/>
        </w:rPr>
        <w:t xml:space="preserve">Consideration should be given to amending the SRC Act to enable Comcare to recognise the full value of the premium fund assets in the CRF in its financial statements; </w:t>
      </w:r>
    </w:p>
    <w:p w:rsidR="000A3F6D" w:rsidRPr="000A3F6D" w:rsidRDefault="000A3F6D" w:rsidP="000A3F6D">
      <w:pPr>
        <w:numPr>
          <w:ilvl w:val="0"/>
          <w:numId w:val="3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120"/>
        <w:ind w:left="426" w:hanging="426"/>
        <w:rPr>
          <w:rFonts w:ascii="Calibri" w:eastAsiaTheme="minorHAnsi" w:hAnsi="Calibri" w:cs="Calibri"/>
          <w:sz w:val="22"/>
          <w:lang w:eastAsia="en-US"/>
        </w:rPr>
      </w:pPr>
      <w:r w:rsidRPr="000A3F6D">
        <w:rPr>
          <w:rFonts w:ascii="Calibri" w:eastAsiaTheme="minorHAnsi" w:hAnsi="Calibri" w:cs="Calibri"/>
          <w:sz w:val="22"/>
          <w:lang w:eastAsia="en-US"/>
        </w:rPr>
        <w:t>Comcare should report a 75 per cent probability of sufficiency for its liability reserving basis in its financial reports; and</w:t>
      </w:r>
    </w:p>
    <w:p w:rsidR="000A3F6D" w:rsidRPr="000A3F6D" w:rsidRDefault="000A3F6D" w:rsidP="000A3F6D">
      <w:pPr>
        <w:numPr>
          <w:ilvl w:val="0"/>
          <w:numId w:val="3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120"/>
        <w:ind w:left="426" w:hanging="426"/>
        <w:rPr>
          <w:rFonts w:ascii="Calibri" w:eastAsiaTheme="minorHAnsi" w:hAnsi="Calibri" w:cs="Calibri"/>
          <w:sz w:val="22"/>
          <w:lang w:eastAsia="en-US"/>
        </w:rPr>
      </w:pPr>
      <w:r w:rsidRPr="000A3F6D">
        <w:rPr>
          <w:rFonts w:ascii="Calibri" w:eastAsiaTheme="minorHAnsi" w:hAnsi="Calibri" w:cs="Calibri"/>
          <w:sz w:val="22"/>
          <w:lang w:eastAsia="en-US"/>
        </w:rPr>
        <w:t xml:space="preserve">The SRC Act should be amended to make it clear to what extent the Government is able to provide supplementary funding to the Comcare premium-funded scheme (over and above the provisions in </w:t>
      </w:r>
      <w:r w:rsidR="00920A03">
        <w:rPr>
          <w:rFonts w:ascii="Calibri" w:eastAsiaTheme="minorHAnsi" w:hAnsi="Calibri" w:cs="Calibri"/>
          <w:sz w:val="22"/>
          <w:lang w:eastAsia="en-US"/>
        </w:rPr>
        <w:t>Section</w:t>
      </w:r>
      <w:r w:rsidRPr="000A3F6D">
        <w:rPr>
          <w:rFonts w:ascii="Calibri" w:eastAsiaTheme="minorHAnsi" w:hAnsi="Calibri" w:cs="Calibri"/>
          <w:sz w:val="22"/>
          <w:lang w:eastAsia="en-US"/>
        </w:rPr>
        <w:t xml:space="preserve"> </w:t>
      </w:r>
      <w:proofErr w:type="gramStart"/>
      <w:r w:rsidRPr="000A3F6D">
        <w:rPr>
          <w:rFonts w:ascii="Calibri" w:eastAsiaTheme="minorHAnsi" w:hAnsi="Calibri" w:cs="Calibri"/>
          <w:sz w:val="22"/>
          <w:lang w:eastAsia="en-US"/>
        </w:rPr>
        <w:t>90C(</w:t>
      </w:r>
      <w:proofErr w:type="gramEnd"/>
      <w:r w:rsidRPr="000A3F6D">
        <w:rPr>
          <w:rFonts w:ascii="Calibri" w:eastAsiaTheme="minorHAnsi" w:hAnsi="Calibri" w:cs="Calibri"/>
          <w:sz w:val="22"/>
          <w:lang w:eastAsia="en-US"/>
        </w:rPr>
        <w:t>3)) in the event of a catastrophe.</w:t>
      </w:r>
    </w:p>
    <w:p w:rsidR="000A3F6D" w:rsidRPr="000A3F6D" w:rsidRDefault="000A3F6D" w:rsidP="000A3F6D">
      <w:pPr>
        <w:keepNext/>
        <w:keepLines/>
        <w:spacing w:before="100" w:beforeAutospacing="1" w:after="100" w:afterAutospacing="1"/>
        <w:outlineLvl w:val="2"/>
        <w:rPr>
          <w:rFonts w:ascii="Arial Bold" w:eastAsiaTheme="majorEastAsia" w:hAnsi="Arial Bold" w:cs="Calibri"/>
          <w:bCs/>
          <w:caps/>
          <w:color w:val="1F497D" w:themeColor="text2"/>
          <w:sz w:val="23"/>
          <w:szCs w:val="23"/>
        </w:rPr>
      </w:pPr>
    </w:p>
    <w:p w:rsidR="000A3F6D" w:rsidRPr="000A3F6D" w:rsidRDefault="000A3F6D" w:rsidP="000A3F6D">
      <w:pPr>
        <w:keepNext/>
        <w:keepLines/>
        <w:spacing w:before="100" w:beforeAutospacing="1" w:after="100" w:afterAutospacing="1"/>
        <w:outlineLvl w:val="2"/>
        <w:rPr>
          <w:rFonts w:ascii="Arial Bold" w:eastAsiaTheme="majorEastAsia" w:hAnsi="Arial Bold" w:cs="Calibri"/>
          <w:bCs/>
          <w:caps/>
          <w:color w:val="1F497D" w:themeColor="text2"/>
          <w:sz w:val="23"/>
          <w:szCs w:val="23"/>
        </w:rPr>
      </w:pPr>
      <w:bookmarkStart w:id="567" w:name="_Toc341778045"/>
      <w:bookmarkStart w:id="568" w:name="_Toc342578418"/>
      <w:r w:rsidRPr="000A3F6D">
        <w:rPr>
          <w:rFonts w:ascii="Arial Bold" w:eastAsiaTheme="majorEastAsia" w:hAnsi="Arial Bold" w:cs="Calibri"/>
          <w:bCs/>
          <w:caps/>
          <w:color w:val="1F497D" w:themeColor="text2"/>
          <w:sz w:val="23"/>
          <w:szCs w:val="23"/>
        </w:rPr>
        <w:t>The SRCC and Comcare’s management of financial risk associated with licensees</w:t>
      </w:r>
      <w:bookmarkEnd w:id="567"/>
      <w:bookmarkEnd w:id="568"/>
    </w:p>
    <w:p w:rsidR="000A3F6D" w:rsidRPr="000A3F6D" w:rsidRDefault="000A3F6D" w:rsidP="000A3F6D">
      <w:pPr>
        <w:keepNext/>
        <w:keepLines/>
        <w:numPr>
          <w:ilvl w:val="1"/>
          <w:numId w:val="55"/>
        </w:numPr>
        <w:spacing w:after="120"/>
        <w:ind w:left="709" w:hanging="709"/>
        <w:rPr>
          <w:rFonts w:ascii="Calibri" w:eastAsiaTheme="minorHAnsi" w:hAnsi="Calibri" w:cs="Calibri"/>
          <w:sz w:val="22"/>
          <w:lang w:eastAsia="en-US"/>
        </w:rPr>
      </w:pPr>
      <w:r w:rsidRPr="000A3F6D">
        <w:rPr>
          <w:rFonts w:ascii="Calibri" w:eastAsiaTheme="minorHAnsi" w:hAnsi="Calibri" w:cs="Calibri"/>
          <w:sz w:val="22"/>
          <w:lang w:eastAsia="en-US"/>
        </w:rPr>
        <w:t xml:space="preserve">The financial and prudential conditions of a </w:t>
      </w:r>
      <w:r w:rsidR="000A5586">
        <w:rPr>
          <w:rFonts w:ascii="Calibri" w:eastAsiaTheme="minorHAnsi" w:hAnsi="Calibri" w:cs="Calibri"/>
          <w:sz w:val="22"/>
          <w:lang w:eastAsia="en-US"/>
        </w:rPr>
        <w:t>licence</w:t>
      </w:r>
      <w:r w:rsidRPr="000A3F6D">
        <w:rPr>
          <w:rFonts w:ascii="Calibri" w:eastAsiaTheme="minorHAnsi" w:hAnsi="Calibri" w:cs="Calibri"/>
          <w:sz w:val="22"/>
          <w:lang w:eastAsia="en-US"/>
        </w:rPr>
        <w:t xml:space="preserve"> are designed to ensure that the SRCC is aware of the financial suitability of an organisation to hold a </w:t>
      </w:r>
      <w:r w:rsidR="000A5586">
        <w:rPr>
          <w:rFonts w:ascii="Calibri" w:eastAsiaTheme="minorHAnsi" w:hAnsi="Calibri" w:cs="Calibri"/>
          <w:sz w:val="22"/>
          <w:lang w:eastAsia="en-US"/>
        </w:rPr>
        <w:t>licence</w:t>
      </w:r>
      <w:r w:rsidRPr="000A3F6D">
        <w:rPr>
          <w:rFonts w:ascii="Calibri" w:eastAsiaTheme="minorHAnsi" w:hAnsi="Calibri" w:cs="Calibri"/>
          <w:sz w:val="22"/>
          <w:lang w:eastAsia="en-US"/>
        </w:rPr>
        <w:t xml:space="preserve"> and the ability of the organisation to pay its workers' compensation liabilities.</w:t>
      </w:r>
    </w:p>
    <w:p w:rsidR="000A3F6D" w:rsidRPr="000A3F6D" w:rsidRDefault="000A3F6D" w:rsidP="000A3F6D">
      <w:pPr>
        <w:keepNext/>
        <w:keepLines/>
        <w:numPr>
          <w:ilvl w:val="1"/>
          <w:numId w:val="55"/>
        </w:numPr>
        <w:spacing w:after="120"/>
        <w:ind w:left="709" w:hanging="709"/>
        <w:rPr>
          <w:rFonts w:ascii="Calibri" w:eastAsiaTheme="minorHAnsi" w:hAnsi="Calibri" w:cs="Calibri"/>
          <w:sz w:val="22"/>
          <w:lang w:eastAsia="en-US"/>
        </w:rPr>
      </w:pPr>
      <w:r w:rsidRPr="000A3F6D">
        <w:rPr>
          <w:rFonts w:ascii="Calibri" w:eastAsiaTheme="minorHAnsi" w:hAnsi="Calibri" w:cs="Calibri"/>
          <w:sz w:val="22"/>
          <w:lang w:eastAsia="en-US"/>
        </w:rPr>
        <w:t xml:space="preserve">All licensees are subject to the SRCC’s Conditions of </w:t>
      </w:r>
      <w:r w:rsidR="000A5586">
        <w:rPr>
          <w:rFonts w:ascii="Calibri" w:eastAsiaTheme="minorHAnsi" w:hAnsi="Calibri" w:cs="Calibri"/>
          <w:sz w:val="22"/>
          <w:lang w:eastAsia="en-US"/>
        </w:rPr>
        <w:t>Licence</w:t>
      </w:r>
      <w:r w:rsidRPr="000A3F6D">
        <w:rPr>
          <w:rFonts w:ascii="Calibri" w:eastAsiaTheme="minorHAnsi" w:hAnsi="Calibri" w:cs="Calibri"/>
          <w:sz w:val="22"/>
          <w:lang w:eastAsia="en-US"/>
        </w:rPr>
        <w:t xml:space="preserve"> which includes a range of prudential conditions that</w:t>
      </w:r>
      <w:r w:rsidR="00675B30">
        <w:rPr>
          <w:rFonts w:ascii="Calibri" w:eastAsiaTheme="minorHAnsi" w:hAnsi="Calibri" w:cs="Calibri"/>
          <w:sz w:val="22"/>
          <w:lang w:eastAsia="en-US"/>
        </w:rPr>
        <w:t xml:space="preserve"> </w:t>
      </w:r>
      <w:r w:rsidRPr="000A3F6D">
        <w:rPr>
          <w:rFonts w:ascii="Calibri" w:eastAsiaTheme="minorHAnsi" w:hAnsi="Calibri" w:cs="Calibri"/>
          <w:sz w:val="22"/>
          <w:lang w:eastAsia="en-US"/>
        </w:rPr>
        <w:t>require a licensee to obtain, on a yearly basis:</w:t>
      </w:r>
    </w:p>
    <w:p w:rsidR="000A3F6D" w:rsidRPr="000A3F6D" w:rsidRDefault="000A3F6D" w:rsidP="000A3F6D">
      <w:pPr>
        <w:numPr>
          <w:ilvl w:val="0"/>
          <w:numId w:val="43"/>
        </w:numPr>
        <w:spacing w:after="120"/>
        <w:ind w:left="1134" w:hanging="425"/>
        <w:rPr>
          <w:rFonts w:ascii="Calibri" w:eastAsiaTheme="minorHAnsi" w:hAnsi="Calibri" w:cs="Calibri"/>
          <w:sz w:val="22"/>
          <w:lang w:eastAsia="en-US"/>
        </w:rPr>
      </w:pPr>
      <w:r w:rsidRPr="000A3F6D">
        <w:rPr>
          <w:rFonts w:ascii="Calibri" w:eastAsiaTheme="minorHAnsi" w:hAnsi="Calibri" w:cs="Calibri"/>
          <w:sz w:val="22"/>
          <w:lang w:eastAsia="en-US"/>
        </w:rPr>
        <w:t>an actuarial assessment of current and projected outstanding workers’ compensation liabilities;</w:t>
      </w:r>
    </w:p>
    <w:p w:rsidR="000A3F6D" w:rsidRPr="000A3F6D" w:rsidRDefault="000A3F6D" w:rsidP="000A3F6D">
      <w:pPr>
        <w:numPr>
          <w:ilvl w:val="0"/>
          <w:numId w:val="43"/>
        </w:numPr>
        <w:spacing w:after="120"/>
        <w:ind w:left="1134" w:hanging="425"/>
        <w:rPr>
          <w:rFonts w:ascii="Calibri" w:eastAsiaTheme="minorHAnsi" w:hAnsi="Calibri" w:cs="Calibri"/>
          <w:sz w:val="22"/>
          <w:lang w:eastAsia="en-US"/>
        </w:rPr>
      </w:pPr>
      <w:r w:rsidRPr="000A3F6D">
        <w:rPr>
          <w:rFonts w:ascii="Calibri" w:eastAsiaTheme="minorHAnsi" w:hAnsi="Calibri" w:cs="Calibri"/>
          <w:sz w:val="22"/>
          <w:lang w:eastAsia="en-US"/>
        </w:rPr>
        <w:t>a guarantee based on the 95th percentile of outstanding workers’ compensation liabilities, subject to a minimum of $2.5 million;</w:t>
      </w:r>
    </w:p>
    <w:p w:rsidR="000A3F6D" w:rsidRPr="000A3F6D" w:rsidRDefault="000A3F6D" w:rsidP="000A3F6D">
      <w:pPr>
        <w:numPr>
          <w:ilvl w:val="0"/>
          <w:numId w:val="43"/>
        </w:numPr>
        <w:spacing w:after="120"/>
        <w:ind w:left="1134" w:hanging="425"/>
        <w:rPr>
          <w:rFonts w:ascii="Calibri" w:eastAsiaTheme="minorHAnsi" w:hAnsi="Calibri" w:cs="Calibri"/>
          <w:sz w:val="22"/>
          <w:lang w:eastAsia="en-US"/>
        </w:rPr>
      </w:pPr>
      <w:r w:rsidRPr="000A3F6D">
        <w:rPr>
          <w:rFonts w:ascii="Calibri" w:eastAsiaTheme="minorHAnsi" w:hAnsi="Calibri" w:cs="Calibri"/>
          <w:sz w:val="22"/>
          <w:lang w:eastAsia="en-US"/>
        </w:rPr>
        <w:t>a reinsurance policy with a reinsurance retention amount as approved by the SRCC; and</w:t>
      </w:r>
    </w:p>
    <w:p w:rsidR="000A3F6D" w:rsidRPr="000A3F6D" w:rsidRDefault="000A3F6D" w:rsidP="000A3F6D">
      <w:pPr>
        <w:numPr>
          <w:ilvl w:val="0"/>
          <w:numId w:val="43"/>
        </w:numPr>
        <w:spacing w:after="120"/>
        <w:ind w:left="1134" w:hanging="425"/>
        <w:rPr>
          <w:rFonts w:asciiTheme="minorHAnsi" w:eastAsiaTheme="minorHAnsi" w:hAnsiTheme="minorHAnsi" w:cstheme="minorHAnsi"/>
          <w:sz w:val="22"/>
          <w:szCs w:val="22"/>
          <w:lang w:eastAsia="en-US"/>
        </w:rPr>
      </w:pPr>
      <w:proofErr w:type="gramStart"/>
      <w:r w:rsidRPr="000A3F6D">
        <w:rPr>
          <w:rFonts w:ascii="Calibri" w:eastAsiaTheme="minorHAnsi" w:hAnsi="Calibri" w:cs="Calibri"/>
          <w:sz w:val="22"/>
          <w:lang w:eastAsia="en-US"/>
        </w:rPr>
        <w:t>certification</w:t>
      </w:r>
      <w:proofErr w:type="gramEnd"/>
      <w:r w:rsidRPr="000A3F6D">
        <w:rPr>
          <w:rFonts w:ascii="Calibri" w:eastAsiaTheme="minorHAnsi" w:hAnsi="Calibri" w:cs="Calibri"/>
          <w:sz w:val="22"/>
          <w:lang w:eastAsia="en-US"/>
        </w:rPr>
        <w:t xml:space="preserve"> by the principal officer of the licensee that the actuarial assessment has been made in accordance with the </w:t>
      </w:r>
      <w:r w:rsidR="000A5586">
        <w:rPr>
          <w:rFonts w:ascii="Calibri" w:eastAsiaTheme="minorHAnsi" w:hAnsi="Calibri" w:cs="Calibri"/>
          <w:sz w:val="22"/>
          <w:lang w:eastAsia="en-US"/>
        </w:rPr>
        <w:t>licence</w:t>
      </w:r>
      <w:r w:rsidRPr="000A3F6D">
        <w:rPr>
          <w:rFonts w:ascii="Calibri" w:eastAsiaTheme="minorHAnsi" w:hAnsi="Calibri" w:cs="Calibri"/>
          <w:sz w:val="22"/>
          <w:lang w:eastAsia="en-US"/>
        </w:rPr>
        <w:t xml:space="preserve"> conditions, provision has been made in the accounts for meeting the estimated liabilities and the licensee has the capacity to meet any single claim up to the reinsurance retention amount</w:t>
      </w:r>
      <w:r w:rsidRPr="000A3F6D">
        <w:rPr>
          <w:rFonts w:asciiTheme="minorHAnsi" w:eastAsiaTheme="minorHAnsi" w:hAnsiTheme="minorHAnsi" w:cstheme="minorHAnsi"/>
          <w:sz w:val="22"/>
          <w:szCs w:val="22"/>
          <w:lang w:eastAsia="en-US"/>
        </w:rPr>
        <w:t>.</w:t>
      </w:r>
      <w:r w:rsidRPr="000A3F6D">
        <w:rPr>
          <w:rFonts w:asciiTheme="minorHAnsi" w:eastAsiaTheme="minorHAnsi" w:hAnsiTheme="minorHAnsi" w:cstheme="minorHAnsi"/>
          <w:sz w:val="22"/>
          <w:szCs w:val="22"/>
          <w:vertAlign w:val="superscript"/>
          <w:lang w:eastAsia="en-US"/>
        </w:rPr>
        <w:footnoteReference w:id="88"/>
      </w:r>
      <w:r w:rsidRPr="000A3F6D">
        <w:rPr>
          <w:rFonts w:asciiTheme="minorHAnsi" w:eastAsiaTheme="minorHAnsi" w:hAnsiTheme="minorHAnsi" w:cstheme="minorBidi"/>
          <w:sz w:val="22"/>
          <w:szCs w:val="22"/>
          <w:vertAlign w:val="superscript"/>
          <w:lang w:eastAsia="en-US"/>
        </w:rPr>
        <w:t xml:space="preserve"> </w:t>
      </w:r>
    </w:p>
    <w:p w:rsidR="007A2621" w:rsidRDefault="000A3F6D" w:rsidP="0035663E">
      <w:pPr>
        <w:keepLines/>
        <w:numPr>
          <w:ilvl w:val="1"/>
          <w:numId w:val="55"/>
        </w:numPr>
        <w:spacing w:after="120"/>
        <w:ind w:left="709" w:hanging="709"/>
        <w:rPr>
          <w:rFonts w:asciiTheme="minorHAnsi" w:eastAsiaTheme="minorHAnsi" w:hAnsiTheme="minorHAnsi" w:cstheme="minorHAnsi"/>
          <w:sz w:val="22"/>
          <w:szCs w:val="22"/>
          <w:lang w:eastAsia="en-US"/>
        </w:rPr>
      </w:pPr>
      <w:r w:rsidRPr="000A3F6D">
        <w:rPr>
          <w:rFonts w:ascii="Calibri" w:eastAsiaTheme="minorHAnsi" w:hAnsi="Calibri" w:cs="Calibri"/>
          <w:sz w:val="22"/>
          <w:lang w:eastAsia="en-US"/>
        </w:rPr>
        <w:t>The guarantee is a key aspect of the prudential management of licensees</w:t>
      </w:r>
      <w:r w:rsidR="00FF0A37">
        <w:rPr>
          <w:rFonts w:ascii="Calibri" w:eastAsiaTheme="minorHAnsi" w:hAnsi="Calibri" w:cs="Calibri"/>
          <w:sz w:val="22"/>
          <w:lang w:eastAsia="en-US"/>
        </w:rPr>
        <w:t>, giving</w:t>
      </w:r>
      <w:r w:rsidRPr="000A3F6D">
        <w:rPr>
          <w:rFonts w:ascii="Calibri" w:eastAsiaTheme="minorHAnsi" w:hAnsi="Calibri" w:cs="Calibri"/>
          <w:sz w:val="22"/>
          <w:lang w:eastAsia="en-US"/>
        </w:rPr>
        <w:t xml:space="preserve"> the SRCC access, on demand, to a specified amount of money which can be used to meet the licensee’s obligations.  This can occur whether or not the licensee is solvent or there are claims against the licensee by other creditors.  The signatories to the guarantee are the SRCC</w:t>
      </w:r>
      <w:r w:rsidR="00FF0A37">
        <w:rPr>
          <w:rFonts w:ascii="Calibri" w:eastAsiaTheme="minorHAnsi" w:hAnsi="Calibri" w:cs="Calibri"/>
          <w:sz w:val="22"/>
          <w:lang w:eastAsia="en-US"/>
        </w:rPr>
        <w:t>,</w:t>
      </w:r>
      <w:r w:rsidRPr="000A3F6D">
        <w:rPr>
          <w:rFonts w:ascii="Calibri" w:eastAsiaTheme="minorHAnsi" w:hAnsi="Calibri" w:cs="Calibri"/>
          <w:sz w:val="22"/>
          <w:lang w:eastAsia="en-US"/>
        </w:rPr>
        <w:t xml:space="preserve"> Comcare and the financial institution which provides the</w:t>
      </w:r>
      <w:r w:rsidRPr="000A3F6D">
        <w:rPr>
          <w:rFonts w:asciiTheme="minorHAnsi" w:eastAsiaTheme="minorHAnsi" w:hAnsiTheme="minorHAnsi" w:cstheme="minorHAnsi"/>
          <w:sz w:val="22"/>
          <w:szCs w:val="22"/>
          <w:lang w:eastAsia="en-US"/>
        </w:rPr>
        <w:t xml:space="preserve"> </w:t>
      </w:r>
      <w:r w:rsidRPr="000A3F6D">
        <w:rPr>
          <w:rFonts w:ascii="Calibri" w:eastAsiaTheme="minorHAnsi" w:hAnsi="Calibri" w:cs="Calibri"/>
          <w:sz w:val="22"/>
          <w:lang w:eastAsia="en-US"/>
        </w:rPr>
        <w:t xml:space="preserve">guarantee.  The licensee is not a signatory and so </w:t>
      </w:r>
      <w:r w:rsidR="00FF0A37">
        <w:rPr>
          <w:rFonts w:ascii="Calibri" w:eastAsiaTheme="minorHAnsi" w:hAnsi="Calibri" w:cs="Calibri"/>
          <w:sz w:val="22"/>
          <w:lang w:eastAsia="en-US"/>
        </w:rPr>
        <w:t>would</w:t>
      </w:r>
      <w:r w:rsidR="00FF0A37" w:rsidRPr="000A3F6D">
        <w:rPr>
          <w:rFonts w:ascii="Calibri" w:eastAsiaTheme="minorHAnsi" w:hAnsi="Calibri" w:cs="Calibri"/>
          <w:sz w:val="22"/>
          <w:lang w:eastAsia="en-US"/>
        </w:rPr>
        <w:t xml:space="preserve"> </w:t>
      </w:r>
      <w:r w:rsidRPr="000A3F6D">
        <w:rPr>
          <w:rFonts w:ascii="Calibri" w:eastAsiaTheme="minorHAnsi" w:hAnsi="Calibri" w:cs="Calibri"/>
          <w:sz w:val="22"/>
          <w:lang w:eastAsia="en-US"/>
        </w:rPr>
        <w:t>not</w:t>
      </w:r>
      <w:r w:rsidR="00FF0A37">
        <w:rPr>
          <w:rFonts w:ascii="Calibri" w:eastAsiaTheme="minorHAnsi" w:hAnsi="Calibri" w:cs="Calibri"/>
          <w:sz w:val="22"/>
          <w:lang w:eastAsia="en-US"/>
        </w:rPr>
        <w:t xml:space="preserve"> be</w:t>
      </w:r>
      <w:r w:rsidRPr="000A3F6D">
        <w:rPr>
          <w:rFonts w:ascii="Calibri" w:eastAsiaTheme="minorHAnsi" w:hAnsi="Calibri" w:cs="Calibri"/>
          <w:sz w:val="22"/>
          <w:lang w:eastAsia="en-US"/>
        </w:rPr>
        <w:t xml:space="preserve"> a party to any decision to ‘call-in’ the guarantee</w:t>
      </w:r>
      <w:r w:rsidRPr="000A3F6D">
        <w:rPr>
          <w:rFonts w:asciiTheme="minorHAnsi" w:eastAsiaTheme="minorHAnsi" w:hAnsiTheme="minorHAnsi" w:cstheme="minorHAnsi"/>
          <w:sz w:val="22"/>
          <w:szCs w:val="22"/>
          <w:lang w:eastAsia="en-US"/>
        </w:rPr>
        <w:t>.</w:t>
      </w:r>
      <w:r w:rsidRPr="000A3F6D">
        <w:rPr>
          <w:rFonts w:asciiTheme="minorHAnsi" w:eastAsiaTheme="minorHAnsi" w:hAnsiTheme="minorHAnsi" w:cstheme="minorHAnsi"/>
          <w:sz w:val="22"/>
          <w:szCs w:val="22"/>
          <w:vertAlign w:val="superscript"/>
          <w:lang w:eastAsia="en-US"/>
        </w:rPr>
        <w:footnoteReference w:id="89"/>
      </w:r>
    </w:p>
    <w:p w:rsidR="00744A57" w:rsidRDefault="000A3F6D" w:rsidP="000D7C1C">
      <w:pPr>
        <w:keepLines/>
        <w:numPr>
          <w:ilvl w:val="1"/>
          <w:numId w:val="55"/>
        </w:numPr>
        <w:spacing w:after="120"/>
        <w:ind w:left="709" w:hanging="709"/>
        <w:rPr>
          <w:rFonts w:asciiTheme="minorHAnsi" w:eastAsiaTheme="minorHAnsi" w:hAnsiTheme="minorHAnsi" w:cstheme="minorHAnsi"/>
          <w:sz w:val="22"/>
          <w:szCs w:val="22"/>
          <w:lang w:eastAsia="en-US"/>
        </w:rPr>
      </w:pPr>
      <w:r w:rsidRPr="007A2621">
        <w:rPr>
          <w:rFonts w:ascii="Calibri" w:eastAsiaTheme="minorHAnsi" w:hAnsi="Calibri" w:cs="Calibri"/>
          <w:sz w:val="22"/>
          <w:lang w:eastAsia="en-US"/>
        </w:rPr>
        <w:t xml:space="preserve">To manage and reduce the potential risk associated with licensees further, the SRCC requires that some licensees have in place cross or parent guarantees.  These </w:t>
      </w:r>
      <w:r w:rsidR="00E84289" w:rsidRPr="007A2621">
        <w:rPr>
          <w:rFonts w:ascii="Calibri" w:eastAsiaTheme="minorHAnsi" w:hAnsi="Calibri" w:cs="Calibri"/>
          <w:sz w:val="22"/>
          <w:lang w:eastAsia="en-US"/>
        </w:rPr>
        <w:t xml:space="preserve">cross </w:t>
      </w:r>
      <w:r w:rsidRPr="007A2621">
        <w:rPr>
          <w:rFonts w:ascii="Calibri" w:eastAsiaTheme="minorHAnsi" w:hAnsi="Calibri" w:cs="Calibri"/>
          <w:sz w:val="22"/>
          <w:lang w:eastAsia="en-US"/>
        </w:rPr>
        <w:t xml:space="preserve">or </w:t>
      </w:r>
      <w:r w:rsidR="00E84289" w:rsidRPr="007A2621">
        <w:rPr>
          <w:rFonts w:ascii="Calibri" w:eastAsiaTheme="minorHAnsi" w:hAnsi="Calibri" w:cs="Calibri"/>
          <w:sz w:val="22"/>
          <w:lang w:eastAsia="en-US"/>
        </w:rPr>
        <w:t xml:space="preserve">parent </w:t>
      </w:r>
      <w:r w:rsidRPr="007A2621">
        <w:rPr>
          <w:rFonts w:ascii="Calibri" w:eastAsiaTheme="minorHAnsi" w:hAnsi="Calibri" w:cs="Calibri"/>
          <w:sz w:val="22"/>
          <w:lang w:eastAsia="en-US"/>
        </w:rPr>
        <w:t>guarantees place an obligation on a parent and/or sibling company to guarantee the debt of a licensee, providing an additional level of security above that offered by guarantees</w:t>
      </w:r>
      <w:r w:rsidRPr="007A2621">
        <w:rPr>
          <w:rFonts w:asciiTheme="minorHAnsi" w:eastAsiaTheme="minorHAnsi" w:hAnsiTheme="minorHAnsi" w:cstheme="minorHAnsi"/>
          <w:sz w:val="22"/>
          <w:szCs w:val="22"/>
          <w:lang w:eastAsia="en-US"/>
        </w:rPr>
        <w:t>.</w:t>
      </w:r>
      <w:r w:rsidRPr="000A3F6D">
        <w:rPr>
          <w:rFonts w:asciiTheme="minorHAnsi" w:eastAsiaTheme="minorHAnsi" w:hAnsiTheme="minorHAnsi" w:cstheme="minorHAnsi"/>
          <w:sz w:val="22"/>
          <w:szCs w:val="22"/>
          <w:vertAlign w:val="superscript"/>
          <w:lang w:eastAsia="en-US"/>
        </w:rPr>
        <w:footnoteReference w:id="90"/>
      </w:r>
    </w:p>
    <w:p w:rsidR="00744A57" w:rsidRDefault="000A3F6D" w:rsidP="000D7C1C">
      <w:pPr>
        <w:keepLines/>
        <w:numPr>
          <w:ilvl w:val="1"/>
          <w:numId w:val="55"/>
        </w:numPr>
        <w:spacing w:after="120"/>
        <w:ind w:left="709" w:hanging="709"/>
        <w:rPr>
          <w:rFonts w:asciiTheme="minorHAnsi" w:eastAsiaTheme="minorHAnsi" w:hAnsiTheme="minorHAnsi" w:cstheme="minorHAnsi"/>
          <w:sz w:val="22"/>
          <w:szCs w:val="22"/>
          <w:lang w:eastAsia="en-US"/>
        </w:rPr>
      </w:pPr>
      <w:r w:rsidRPr="007A2621">
        <w:rPr>
          <w:rFonts w:ascii="Calibri" w:eastAsiaTheme="minorHAnsi" w:hAnsi="Calibri" w:cs="Calibri"/>
          <w:sz w:val="22"/>
          <w:lang w:eastAsia="en-US"/>
        </w:rPr>
        <w:t>Reinsurance is also required of every licensee to minimise its compensation liability for any single event.  The licensee</w:t>
      </w:r>
      <w:r w:rsidR="00FF0A37" w:rsidRPr="007A2621">
        <w:rPr>
          <w:rFonts w:ascii="Calibri" w:eastAsiaTheme="minorHAnsi" w:hAnsi="Calibri" w:cs="Calibri"/>
          <w:sz w:val="22"/>
          <w:lang w:eastAsia="en-US"/>
        </w:rPr>
        <w:t>’s</w:t>
      </w:r>
      <w:r w:rsidRPr="007A2621">
        <w:rPr>
          <w:rFonts w:ascii="Calibri" w:eastAsiaTheme="minorHAnsi" w:hAnsi="Calibri" w:cs="Calibri"/>
          <w:sz w:val="22"/>
          <w:lang w:eastAsia="en-US"/>
        </w:rPr>
        <w:t xml:space="preserve"> reinsurance</w:t>
      </w:r>
      <w:r w:rsidR="00FF0A37" w:rsidRPr="007A2621">
        <w:rPr>
          <w:rFonts w:ascii="Calibri" w:eastAsiaTheme="minorHAnsi" w:hAnsi="Calibri" w:cs="Calibri"/>
          <w:sz w:val="22"/>
          <w:lang w:eastAsia="en-US"/>
        </w:rPr>
        <w:t xml:space="preserve"> level</w:t>
      </w:r>
      <w:r w:rsidRPr="007A2621">
        <w:rPr>
          <w:rFonts w:ascii="Calibri" w:eastAsiaTheme="minorHAnsi" w:hAnsi="Calibri" w:cs="Calibri"/>
          <w:sz w:val="22"/>
          <w:lang w:eastAsia="en-US"/>
        </w:rPr>
        <w:t xml:space="preserve"> is determined by the SRCC based on an actuary’s recommendations in the licensee’s regular liability report to the SRCC</w:t>
      </w:r>
      <w:r w:rsidRPr="007A2621">
        <w:rPr>
          <w:rFonts w:asciiTheme="minorHAnsi" w:eastAsiaTheme="minorHAnsi" w:hAnsiTheme="minorHAnsi" w:cstheme="minorHAnsi"/>
          <w:sz w:val="22"/>
          <w:szCs w:val="22"/>
          <w:lang w:eastAsia="en-US"/>
        </w:rPr>
        <w:t>.</w:t>
      </w:r>
      <w:r w:rsidRPr="000A3F6D">
        <w:rPr>
          <w:rFonts w:asciiTheme="minorHAnsi" w:eastAsiaTheme="minorHAnsi" w:hAnsiTheme="minorHAnsi" w:cstheme="minorHAnsi"/>
          <w:sz w:val="22"/>
          <w:szCs w:val="22"/>
          <w:vertAlign w:val="superscript"/>
          <w:lang w:eastAsia="en-US"/>
        </w:rPr>
        <w:footnoteReference w:id="91"/>
      </w:r>
    </w:p>
    <w:p w:rsidR="00744A57" w:rsidRDefault="000A3F6D" w:rsidP="000D7C1C">
      <w:pPr>
        <w:keepLines/>
        <w:numPr>
          <w:ilvl w:val="1"/>
          <w:numId w:val="55"/>
        </w:numPr>
        <w:spacing w:after="120"/>
        <w:ind w:left="709" w:hanging="709"/>
        <w:rPr>
          <w:rFonts w:ascii="Calibri" w:eastAsiaTheme="minorHAnsi" w:hAnsi="Calibri" w:cs="Calibri"/>
          <w:sz w:val="22"/>
          <w:lang w:eastAsia="en-US"/>
        </w:rPr>
      </w:pPr>
      <w:r w:rsidRPr="007A2621">
        <w:rPr>
          <w:rFonts w:ascii="Calibri" w:eastAsiaTheme="minorHAnsi" w:hAnsi="Calibri" w:cs="Calibri"/>
          <w:sz w:val="22"/>
          <w:lang w:eastAsia="en-US"/>
        </w:rPr>
        <w:t xml:space="preserve">Under the financial conditions of a </w:t>
      </w:r>
      <w:r w:rsidR="000A5586">
        <w:rPr>
          <w:rFonts w:ascii="Calibri" w:eastAsiaTheme="minorHAnsi" w:hAnsi="Calibri" w:cs="Calibri"/>
          <w:sz w:val="22"/>
          <w:lang w:eastAsia="en-US"/>
        </w:rPr>
        <w:t>licence</w:t>
      </w:r>
      <w:r w:rsidRPr="007A2621">
        <w:rPr>
          <w:rFonts w:ascii="Calibri" w:eastAsiaTheme="minorHAnsi" w:hAnsi="Calibri" w:cs="Calibri"/>
          <w:sz w:val="22"/>
          <w:lang w:eastAsia="en-US"/>
        </w:rPr>
        <w:t>, licensees are subject to continual financial monitoring and may be subject to an annual risk based desktop review process using the licensee</w:t>
      </w:r>
      <w:r w:rsidR="00FF0A37" w:rsidRPr="007A2621">
        <w:rPr>
          <w:rFonts w:ascii="Calibri" w:eastAsiaTheme="minorHAnsi" w:hAnsi="Calibri" w:cs="Calibri"/>
          <w:sz w:val="22"/>
          <w:lang w:eastAsia="en-US"/>
        </w:rPr>
        <w:t>’</w:t>
      </w:r>
      <w:r w:rsidRPr="007A2621">
        <w:rPr>
          <w:rFonts w:ascii="Calibri" w:eastAsiaTheme="minorHAnsi" w:hAnsi="Calibri" w:cs="Calibri"/>
          <w:sz w:val="22"/>
          <w:lang w:eastAsia="en-US"/>
        </w:rPr>
        <w:t>s audited financial statements. The financial monitoring and desktop review are conducted by independent financial experts.</w:t>
      </w:r>
    </w:p>
    <w:p w:rsidR="000A3F6D" w:rsidRDefault="000A3F6D" w:rsidP="000A3F6D">
      <w:pPr>
        <w:keepNext/>
        <w:keepLines/>
        <w:numPr>
          <w:ilvl w:val="1"/>
          <w:numId w:val="55"/>
        </w:numPr>
        <w:spacing w:after="120"/>
        <w:ind w:left="709" w:hanging="709"/>
        <w:rPr>
          <w:rFonts w:asciiTheme="minorHAnsi" w:eastAsiaTheme="minorHAnsi" w:hAnsiTheme="minorHAnsi" w:cstheme="minorHAnsi"/>
          <w:sz w:val="22"/>
          <w:szCs w:val="22"/>
          <w:lang w:eastAsia="en-US"/>
        </w:rPr>
      </w:pPr>
      <w:r w:rsidRPr="000A3F6D">
        <w:rPr>
          <w:rFonts w:ascii="Calibri" w:eastAsiaTheme="minorHAnsi" w:hAnsi="Calibri" w:cs="Calibri"/>
          <w:sz w:val="22"/>
          <w:lang w:eastAsia="en-US"/>
        </w:rPr>
        <w:lastRenderedPageBreak/>
        <w:t xml:space="preserve">The sufficiency of self-insurer prudential and financial arrangements was considered as part of the 2009 report on the </w:t>
      </w:r>
      <w:r w:rsidR="00573B66" w:rsidRPr="00573B66">
        <w:rPr>
          <w:rFonts w:ascii="Calibri" w:eastAsiaTheme="minorHAnsi" w:hAnsi="Calibri" w:cs="Calibri"/>
          <w:i/>
          <w:sz w:val="22"/>
          <w:lang w:eastAsia="en-US"/>
        </w:rPr>
        <w:t>Review of Self-Insuranc</w:t>
      </w:r>
      <w:r w:rsidR="00573B66" w:rsidRPr="004F4B3D">
        <w:rPr>
          <w:rFonts w:ascii="Calibri" w:eastAsiaTheme="minorHAnsi" w:hAnsi="Calibri" w:cs="Calibri"/>
          <w:i/>
          <w:sz w:val="22"/>
          <w:lang w:eastAsia="en-US"/>
        </w:rPr>
        <w:t>e Arrangem</w:t>
      </w:r>
      <w:r w:rsidR="00573B66" w:rsidRPr="00955CF8">
        <w:rPr>
          <w:rFonts w:ascii="Calibri" w:eastAsiaTheme="minorHAnsi" w:hAnsi="Calibri" w:cs="Calibri"/>
          <w:i/>
          <w:sz w:val="22"/>
          <w:lang w:eastAsia="en-US"/>
        </w:rPr>
        <w:t xml:space="preserve">ents </w:t>
      </w:r>
      <w:proofErr w:type="gramStart"/>
      <w:r w:rsidR="00573B66" w:rsidRPr="00955CF8">
        <w:rPr>
          <w:rFonts w:ascii="Calibri" w:eastAsiaTheme="minorHAnsi" w:hAnsi="Calibri" w:cs="Calibri"/>
          <w:i/>
          <w:sz w:val="22"/>
          <w:lang w:eastAsia="en-US"/>
        </w:rPr>
        <w:t>Under</w:t>
      </w:r>
      <w:proofErr w:type="gramEnd"/>
      <w:r w:rsidR="00573B66" w:rsidRPr="00955CF8">
        <w:rPr>
          <w:rFonts w:ascii="Calibri" w:eastAsiaTheme="minorHAnsi" w:hAnsi="Calibri" w:cs="Calibri"/>
          <w:i/>
          <w:sz w:val="22"/>
          <w:lang w:eastAsia="en-US"/>
        </w:rPr>
        <w:t xml:space="preserve"> the Comcare Scheme</w:t>
      </w:r>
      <w:r w:rsidRPr="000A3F6D">
        <w:rPr>
          <w:rFonts w:ascii="Calibri" w:eastAsiaTheme="minorHAnsi" w:hAnsi="Calibri" w:cs="Calibri"/>
          <w:sz w:val="22"/>
          <w:lang w:eastAsia="en-US"/>
        </w:rPr>
        <w:t>. Some stakeholders had expressed concerns that prudential arrangements were not strong enough and could expose the Comcare scheme to additional liability should a licensee fail. The report concluded that in considering self insurance arrangements under the Comcare scheme,</w:t>
      </w:r>
      <w:r w:rsidRPr="000A3F6D">
        <w:rPr>
          <w:rFonts w:asciiTheme="minorHAnsi" w:eastAsiaTheme="minorHAnsi" w:hAnsiTheme="minorHAnsi" w:cstheme="minorHAnsi"/>
          <w:sz w:val="22"/>
          <w:szCs w:val="22"/>
          <w:lang w:eastAsia="en-US"/>
        </w:rPr>
        <w:t xml:space="preserve"> “</w:t>
      </w:r>
      <w:r w:rsidRPr="000A3F6D">
        <w:rPr>
          <w:rFonts w:asciiTheme="minorHAnsi" w:eastAsiaTheme="minorHAnsi" w:hAnsiTheme="minorHAnsi" w:cstheme="minorHAnsi"/>
          <w:i/>
          <w:sz w:val="22"/>
          <w:szCs w:val="22"/>
          <w:lang w:eastAsia="en-US"/>
        </w:rPr>
        <w:t>it found no evidence that the arrangements posed a risk to premium payers or the Commonwealth</w:t>
      </w:r>
      <w:r w:rsidRPr="000A3F6D">
        <w:rPr>
          <w:rFonts w:asciiTheme="minorHAnsi" w:eastAsiaTheme="minorHAnsi" w:hAnsiTheme="minorHAnsi" w:cstheme="minorHAnsi"/>
          <w:sz w:val="22"/>
          <w:szCs w:val="22"/>
          <w:lang w:eastAsia="en-US"/>
        </w:rPr>
        <w:t>‘. It also concluded that ’</w:t>
      </w:r>
      <w:r w:rsidRPr="000A3F6D">
        <w:rPr>
          <w:rFonts w:asciiTheme="minorHAnsi" w:eastAsiaTheme="minorHAnsi" w:hAnsiTheme="minorHAnsi" w:cstheme="minorHAnsi"/>
          <w:i/>
          <w:sz w:val="22"/>
          <w:szCs w:val="22"/>
          <w:lang w:eastAsia="en-US"/>
        </w:rPr>
        <w:t>the scheme’s prudential and financial requirements of licensees, including reinsurance, the provision of bank or other guarantees and independent reviews of actuarial liabilities, were sufficient to minimise the risk”</w:t>
      </w:r>
      <w:r w:rsidRPr="000A3F6D">
        <w:rPr>
          <w:rFonts w:asciiTheme="minorHAnsi" w:eastAsiaTheme="minorHAnsi" w:hAnsiTheme="minorHAnsi" w:cstheme="minorHAnsi"/>
          <w:sz w:val="22"/>
          <w:szCs w:val="22"/>
          <w:lang w:eastAsia="en-US"/>
        </w:rPr>
        <w:t>.</w:t>
      </w:r>
      <w:r w:rsidRPr="000A3F6D">
        <w:rPr>
          <w:rFonts w:asciiTheme="minorHAnsi" w:eastAsiaTheme="minorHAnsi" w:hAnsiTheme="minorHAnsi" w:cstheme="minorHAnsi"/>
          <w:sz w:val="22"/>
          <w:szCs w:val="22"/>
          <w:vertAlign w:val="superscript"/>
          <w:lang w:eastAsia="en-US"/>
        </w:rPr>
        <w:footnoteReference w:id="92"/>
      </w:r>
    </w:p>
    <w:p w:rsidR="00675B30" w:rsidRPr="000A3F6D" w:rsidRDefault="00675B30" w:rsidP="003678BA">
      <w:pPr>
        <w:keepNext/>
        <w:keepLines/>
        <w:spacing w:after="120"/>
        <w:ind w:left="709"/>
        <w:rPr>
          <w:rFonts w:asciiTheme="minorHAnsi" w:eastAsiaTheme="minorHAnsi" w:hAnsiTheme="minorHAnsi" w:cstheme="minorHAnsi"/>
          <w:sz w:val="22"/>
          <w:szCs w:val="22"/>
          <w:lang w:eastAsia="en-US"/>
        </w:rPr>
      </w:pPr>
    </w:p>
    <w:p w:rsidR="000A3F6D" w:rsidRPr="000A3F6D" w:rsidRDefault="000A3F6D" w:rsidP="000A3F6D">
      <w:pPr>
        <w:spacing w:before="100" w:beforeAutospacing="1" w:after="100" w:afterAutospacing="1"/>
        <w:outlineLvl w:val="0"/>
        <w:rPr>
          <w:rFonts w:ascii="Arial" w:hAnsi="Arial"/>
          <w:bCs/>
          <w:caps/>
          <w:color w:val="1F497D" w:themeColor="text2"/>
          <w:kern w:val="36"/>
          <w:sz w:val="28"/>
          <w:szCs w:val="28"/>
        </w:rPr>
      </w:pPr>
      <w:bookmarkStart w:id="569" w:name="_Toc341778046"/>
      <w:bookmarkStart w:id="570" w:name="_Toc342578419"/>
      <w:r w:rsidRPr="000A3F6D">
        <w:rPr>
          <w:rFonts w:ascii="Arial" w:hAnsi="Arial"/>
          <w:bCs/>
          <w:caps/>
          <w:color w:val="1F497D" w:themeColor="text2"/>
          <w:kern w:val="36"/>
          <w:sz w:val="28"/>
          <w:szCs w:val="28"/>
        </w:rPr>
        <w:t>The Premium Framework</w:t>
      </w:r>
      <w:bookmarkEnd w:id="569"/>
      <w:bookmarkEnd w:id="570"/>
    </w:p>
    <w:p w:rsidR="000A3F6D" w:rsidRPr="000A3F6D" w:rsidRDefault="000A3F6D" w:rsidP="000A3F6D">
      <w:pPr>
        <w:keepNext/>
        <w:keepLines/>
        <w:spacing w:before="100" w:beforeAutospacing="1" w:after="100" w:afterAutospacing="1"/>
        <w:outlineLvl w:val="2"/>
        <w:rPr>
          <w:rFonts w:ascii="Arial Bold" w:eastAsiaTheme="majorEastAsia" w:hAnsi="Arial Bold" w:cs="Calibri"/>
          <w:bCs/>
          <w:caps/>
          <w:color w:val="1F497D" w:themeColor="text2"/>
          <w:sz w:val="23"/>
          <w:szCs w:val="23"/>
        </w:rPr>
      </w:pPr>
      <w:bookmarkStart w:id="571" w:name="_Toc341778047"/>
      <w:bookmarkStart w:id="572" w:name="_Toc342578420"/>
      <w:r w:rsidRPr="000A3F6D">
        <w:rPr>
          <w:rFonts w:ascii="Arial Bold" w:eastAsiaTheme="majorEastAsia" w:hAnsi="Arial Bold" w:cs="Calibri"/>
          <w:bCs/>
          <w:caps/>
          <w:color w:val="1F497D" w:themeColor="text2"/>
          <w:sz w:val="23"/>
          <w:szCs w:val="23"/>
        </w:rPr>
        <w:t>Legislative Provisions and SRCC Guidelines</w:t>
      </w:r>
      <w:bookmarkEnd w:id="571"/>
      <w:bookmarkEnd w:id="572"/>
    </w:p>
    <w:p w:rsidR="000A3F6D" w:rsidRPr="000A3F6D" w:rsidRDefault="000A3F6D" w:rsidP="000A3F6D">
      <w:pPr>
        <w:keepNext/>
        <w:keepLines/>
        <w:numPr>
          <w:ilvl w:val="1"/>
          <w:numId w:val="55"/>
        </w:numPr>
        <w:spacing w:after="120"/>
        <w:ind w:left="709" w:hanging="709"/>
        <w:rPr>
          <w:rFonts w:ascii="Calibri" w:eastAsiaTheme="minorHAnsi" w:hAnsi="Calibri" w:cs="Calibri"/>
          <w:sz w:val="22"/>
          <w:lang w:eastAsia="en-US"/>
        </w:rPr>
      </w:pPr>
      <w:r w:rsidRPr="000A3F6D">
        <w:rPr>
          <w:rFonts w:ascii="Calibri" w:eastAsiaTheme="minorHAnsi" w:hAnsi="Calibri" w:cs="Calibri"/>
          <w:sz w:val="22"/>
          <w:lang w:eastAsia="en-US"/>
        </w:rPr>
        <w:t xml:space="preserve">Division 4A of the SRC Act provides the legislative framework under which premiums are managed.  Under </w:t>
      </w:r>
      <w:r w:rsidR="00920A03">
        <w:rPr>
          <w:rFonts w:ascii="Calibri" w:eastAsiaTheme="minorHAnsi" w:hAnsi="Calibri" w:cs="Calibri"/>
          <w:sz w:val="22"/>
          <w:lang w:eastAsia="en-US"/>
        </w:rPr>
        <w:t>Section</w:t>
      </w:r>
      <w:r w:rsidRPr="000A3F6D">
        <w:rPr>
          <w:rFonts w:ascii="Calibri" w:eastAsiaTheme="minorHAnsi" w:hAnsi="Calibri" w:cs="Calibri"/>
          <w:sz w:val="22"/>
          <w:lang w:eastAsia="en-US"/>
        </w:rPr>
        <w:t xml:space="preserve"> 97 of the SRC Act, Comcare has the power to determine the workers’ compensation premium and regulatory contribution to be paid by each premium payer and authority for each financial year.</w:t>
      </w:r>
    </w:p>
    <w:p w:rsidR="000A3F6D" w:rsidRPr="000A3F6D" w:rsidRDefault="000A3F6D" w:rsidP="000A3F6D">
      <w:pPr>
        <w:keepNext/>
        <w:keepLines/>
        <w:numPr>
          <w:ilvl w:val="1"/>
          <w:numId w:val="55"/>
        </w:numPr>
        <w:spacing w:after="120"/>
        <w:ind w:left="709" w:hanging="709"/>
        <w:rPr>
          <w:rFonts w:ascii="Calibri" w:eastAsiaTheme="minorHAnsi" w:hAnsi="Calibri" w:cs="Calibri"/>
          <w:sz w:val="22"/>
          <w:lang w:eastAsia="en-US"/>
        </w:rPr>
      </w:pPr>
      <w:r w:rsidRPr="000A3F6D">
        <w:rPr>
          <w:rFonts w:ascii="Calibri" w:eastAsiaTheme="minorHAnsi" w:hAnsi="Calibri" w:cs="Calibri"/>
          <w:sz w:val="22"/>
          <w:lang w:eastAsia="en-US"/>
        </w:rPr>
        <w:t>There are two main components of the premium amount:</w:t>
      </w:r>
    </w:p>
    <w:p w:rsidR="000A3F6D" w:rsidRPr="000A3F6D" w:rsidRDefault="000A3F6D" w:rsidP="000A3F6D">
      <w:pPr>
        <w:numPr>
          <w:ilvl w:val="2"/>
          <w:numId w:val="50"/>
        </w:numPr>
        <w:spacing w:after="120"/>
        <w:ind w:hanging="437"/>
        <w:rPr>
          <w:rFonts w:ascii="Calibri" w:eastAsiaTheme="minorHAnsi" w:hAnsi="Calibri" w:cs="Calibri"/>
          <w:sz w:val="22"/>
          <w:lang w:eastAsia="en-US"/>
        </w:rPr>
      </w:pPr>
      <w:proofErr w:type="gramStart"/>
      <w:r w:rsidRPr="000A3F6D">
        <w:rPr>
          <w:rFonts w:ascii="Calibri" w:eastAsiaTheme="minorHAnsi" w:hAnsi="Calibri" w:cs="Calibri"/>
          <w:sz w:val="22"/>
          <w:lang w:eastAsia="en-US"/>
        </w:rPr>
        <w:t>the</w:t>
      </w:r>
      <w:proofErr w:type="gramEnd"/>
      <w:r w:rsidRPr="000A3F6D">
        <w:rPr>
          <w:rFonts w:ascii="Calibri" w:eastAsiaTheme="minorHAnsi" w:hAnsi="Calibri" w:cs="Calibri"/>
          <w:sz w:val="22"/>
          <w:lang w:eastAsia="en-US"/>
        </w:rPr>
        <w:t xml:space="preserve"> prescribed amount is the premium liability as determined in accordance with the formula set out in </w:t>
      </w:r>
      <w:r w:rsidR="00920A03">
        <w:rPr>
          <w:rFonts w:ascii="Calibri" w:eastAsiaTheme="minorHAnsi" w:hAnsi="Calibri" w:cs="Calibri"/>
          <w:sz w:val="22"/>
          <w:lang w:eastAsia="en-US"/>
        </w:rPr>
        <w:t>Section</w:t>
      </w:r>
      <w:r w:rsidRPr="000A3F6D">
        <w:rPr>
          <w:rFonts w:ascii="Calibri" w:eastAsiaTheme="minorHAnsi" w:hAnsi="Calibri" w:cs="Calibri"/>
          <w:sz w:val="22"/>
          <w:lang w:eastAsia="en-US"/>
        </w:rPr>
        <w:t xml:space="preserve"> 97A(3) of the SRC Act.  This is the core component of the premium and is determined by Comcare taking into account a premium payer’s trend in claims performance for claims lodged in the financial year in question; and</w:t>
      </w:r>
    </w:p>
    <w:p w:rsidR="000A3F6D" w:rsidRPr="000A3F6D" w:rsidRDefault="000A3F6D" w:rsidP="000A3F6D">
      <w:pPr>
        <w:numPr>
          <w:ilvl w:val="2"/>
          <w:numId w:val="50"/>
        </w:numPr>
        <w:spacing w:after="120"/>
        <w:ind w:hanging="437"/>
        <w:rPr>
          <w:rFonts w:ascii="Calibri" w:eastAsiaTheme="minorHAnsi" w:hAnsi="Calibri" w:cs="Calibri"/>
          <w:sz w:val="22"/>
          <w:lang w:eastAsia="en-US"/>
        </w:rPr>
      </w:pPr>
      <w:proofErr w:type="gramStart"/>
      <w:r w:rsidRPr="000A3F6D">
        <w:rPr>
          <w:rFonts w:ascii="Calibri" w:eastAsiaTheme="minorHAnsi" w:hAnsi="Calibri" w:cs="Calibri"/>
          <w:sz w:val="22"/>
          <w:lang w:eastAsia="en-US"/>
        </w:rPr>
        <w:t>the</w:t>
      </w:r>
      <w:proofErr w:type="gramEnd"/>
      <w:r w:rsidRPr="000A3F6D">
        <w:rPr>
          <w:rFonts w:ascii="Calibri" w:eastAsiaTheme="minorHAnsi" w:hAnsi="Calibri" w:cs="Calibri"/>
          <w:sz w:val="22"/>
          <w:lang w:eastAsia="en-US"/>
        </w:rPr>
        <w:t xml:space="preserve"> bonus or penalty amount is determined following reassessment of a premium payer’s previous year’s premium rate based on the development of their claims for injuries suffered in that year and the two previous years.  If a premium payer’s rate is revised down (mainly because of good claims performance compared to the original estimate), this is referred to as a bonus. If the rate is revised up, this is called a penalty.</w:t>
      </w:r>
    </w:p>
    <w:p w:rsidR="000A3F6D" w:rsidRPr="000A3F6D" w:rsidRDefault="000A3F6D" w:rsidP="000A3F6D">
      <w:pPr>
        <w:keepNext/>
        <w:keepLines/>
        <w:numPr>
          <w:ilvl w:val="1"/>
          <w:numId w:val="55"/>
        </w:numPr>
        <w:spacing w:after="120"/>
        <w:ind w:left="709" w:hanging="709"/>
        <w:rPr>
          <w:rFonts w:ascii="Calibri" w:eastAsiaTheme="minorHAnsi" w:hAnsi="Calibri" w:cs="Calibri"/>
          <w:sz w:val="22"/>
          <w:lang w:eastAsia="en-US"/>
        </w:rPr>
      </w:pPr>
      <w:r w:rsidRPr="000A3F6D">
        <w:rPr>
          <w:rFonts w:ascii="Calibri" w:eastAsiaTheme="minorHAnsi" w:hAnsi="Calibri" w:cs="Calibri"/>
          <w:sz w:val="22"/>
          <w:lang w:eastAsia="en-US"/>
        </w:rPr>
        <w:t>The bonus and penalty system is designed to provide a fairer assessment of a premium payer’s actual claim performance.  Because estimates of the lifetime cost of a claim become more reliable over time, this process provides an opportunity to reflect the actual claims management performance of each premium payer.  A premium payer is likely to receive a bonus if it is able to manage its claims and achieve better return to work outcomes than was originally anticipated when the premium was initially set.  Alternatively, they will receive a penalty if its actual claims cost performance is worse than was initially estimated.</w:t>
      </w:r>
    </w:p>
    <w:p w:rsidR="000A3F6D" w:rsidRPr="000A3F6D" w:rsidRDefault="000A3F6D" w:rsidP="000A3F6D">
      <w:pPr>
        <w:keepNext/>
        <w:keepLines/>
        <w:numPr>
          <w:ilvl w:val="1"/>
          <w:numId w:val="55"/>
        </w:numPr>
        <w:spacing w:after="120"/>
        <w:ind w:left="709" w:hanging="709"/>
        <w:rPr>
          <w:rFonts w:ascii="Calibri" w:eastAsiaTheme="minorHAnsi" w:hAnsi="Calibri" w:cs="Calibri"/>
          <w:sz w:val="22"/>
          <w:lang w:eastAsia="en-US"/>
        </w:rPr>
      </w:pPr>
      <w:r w:rsidRPr="000A3F6D">
        <w:rPr>
          <w:rFonts w:ascii="Calibri" w:eastAsiaTheme="minorHAnsi" w:hAnsi="Calibri" w:cs="Calibri"/>
          <w:sz w:val="22"/>
          <w:lang w:eastAsia="en-US"/>
        </w:rPr>
        <w:t>The SRCC has the power under Section 97E to issue guidelines for Comcare’s determination of premiums and regulatory contributions</w:t>
      </w:r>
      <w:r w:rsidRPr="000A3F6D">
        <w:rPr>
          <w:rFonts w:asciiTheme="minorHAnsi" w:eastAsiaTheme="minorHAnsi" w:hAnsiTheme="minorHAnsi" w:cstheme="minorHAnsi"/>
          <w:sz w:val="22"/>
          <w:lang w:eastAsia="en-US"/>
        </w:rPr>
        <w:t xml:space="preserve">. </w:t>
      </w:r>
      <w:r w:rsidRPr="000A3F6D">
        <w:rPr>
          <w:rFonts w:ascii="Calibri" w:eastAsiaTheme="minorHAnsi" w:hAnsi="Calibri" w:cs="Calibri"/>
          <w:sz w:val="22"/>
          <w:lang w:eastAsia="en-US"/>
        </w:rPr>
        <w:t xml:space="preserve">The SRCC issued Premium Guidelines in the 2002-03 financial </w:t>
      </w:r>
      <w:proofErr w:type="gramStart"/>
      <w:r w:rsidRPr="000A3F6D">
        <w:rPr>
          <w:rFonts w:ascii="Calibri" w:eastAsiaTheme="minorHAnsi" w:hAnsi="Calibri" w:cs="Calibri"/>
          <w:sz w:val="22"/>
          <w:lang w:eastAsia="en-US"/>
        </w:rPr>
        <w:t>year</w:t>
      </w:r>
      <w:proofErr w:type="gramEnd"/>
      <w:r w:rsidRPr="000A3F6D">
        <w:rPr>
          <w:rFonts w:ascii="Calibri" w:eastAsiaTheme="minorHAnsi" w:hAnsi="Calibri" w:cs="Calibri"/>
          <w:sz w:val="22"/>
          <w:lang w:eastAsia="en-US"/>
        </w:rPr>
        <w:t xml:space="preserve"> and is currently reviewing them.  The Guidelines require Comcare to comply with the following:</w:t>
      </w:r>
    </w:p>
    <w:p w:rsidR="000A3F6D" w:rsidRPr="000A3F6D" w:rsidRDefault="000A3F6D" w:rsidP="000A3F6D">
      <w:pPr>
        <w:numPr>
          <w:ilvl w:val="2"/>
          <w:numId w:val="44"/>
        </w:numPr>
        <w:spacing w:after="120"/>
        <w:ind w:left="1134" w:hanging="436"/>
        <w:rPr>
          <w:rFonts w:ascii="Calibri" w:eastAsiaTheme="minorHAnsi" w:hAnsi="Calibri" w:cs="Calibri"/>
          <w:sz w:val="22"/>
          <w:lang w:eastAsia="en-US"/>
        </w:rPr>
      </w:pPr>
      <w:r w:rsidRPr="000A3F6D">
        <w:rPr>
          <w:rFonts w:ascii="Calibri" w:eastAsiaTheme="minorHAnsi" w:hAnsi="Calibri" w:cs="Calibri"/>
          <w:sz w:val="22"/>
          <w:lang w:eastAsia="en-US"/>
        </w:rPr>
        <w:t>the workers’ compensation scheme under the SRC Act is to be fully funded on a year-by-year basis;</w:t>
      </w:r>
    </w:p>
    <w:p w:rsidR="000A3F6D" w:rsidRPr="000A3F6D" w:rsidRDefault="000A3F6D" w:rsidP="000A3F6D">
      <w:pPr>
        <w:numPr>
          <w:ilvl w:val="2"/>
          <w:numId w:val="44"/>
        </w:numPr>
        <w:spacing w:after="120"/>
        <w:ind w:left="1134" w:hanging="436"/>
        <w:rPr>
          <w:rFonts w:ascii="Calibri" w:eastAsiaTheme="minorHAnsi" w:hAnsi="Calibri" w:cs="Calibri"/>
          <w:sz w:val="22"/>
          <w:lang w:eastAsia="en-US"/>
        </w:rPr>
      </w:pPr>
      <w:r w:rsidRPr="000A3F6D">
        <w:rPr>
          <w:rFonts w:ascii="Calibri" w:eastAsiaTheme="minorHAnsi" w:hAnsi="Calibri" w:cs="Calibri"/>
          <w:sz w:val="22"/>
          <w:lang w:eastAsia="en-US"/>
        </w:rPr>
        <w:lastRenderedPageBreak/>
        <w:t xml:space="preserve">premium rates should respond to claim performance while avoiding excessive fluctuations on a year-by-year basis; </w:t>
      </w:r>
    </w:p>
    <w:p w:rsidR="000A3F6D" w:rsidRPr="000A3F6D" w:rsidRDefault="000A3F6D" w:rsidP="000A3F6D">
      <w:pPr>
        <w:numPr>
          <w:ilvl w:val="2"/>
          <w:numId w:val="44"/>
        </w:numPr>
        <w:spacing w:after="120"/>
        <w:ind w:left="1134" w:hanging="436"/>
        <w:rPr>
          <w:rFonts w:ascii="Calibri" w:eastAsiaTheme="minorHAnsi" w:hAnsi="Calibri" w:cs="Calibri"/>
          <w:sz w:val="22"/>
          <w:lang w:eastAsia="en-US"/>
        </w:rPr>
      </w:pPr>
      <w:r w:rsidRPr="000A3F6D">
        <w:rPr>
          <w:rFonts w:ascii="Calibri" w:eastAsiaTheme="minorHAnsi" w:hAnsi="Calibri" w:cs="Calibri"/>
          <w:sz w:val="22"/>
          <w:lang w:eastAsia="en-US"/>
        </w:rPr>
        <w:t>significant long-term cross-subsidisation between entities and Commonwealth authorities should be avoided;</w:t>
      </w:r>
    </w:p>
    <w:p w:rsidR="000A3F6D" w:rsidRPr="000A3F6D" w:rsidRDefault="000A3F6D" w:rsidP="000A3F6D">
      <w:pPr>
        <w:numPr>
          <w:ilvl w:val="2"/>
          <w:numId w:val="44"/>
        </w:numPr>
        <w:spacing w:after="120"/>
        <w:ind w:left="1134" w:hanging="436"/>
        <w:rPr>
          <w:rFonts w:ascii="Calibri" w:eastAsiaTheme="minorHAnsi" w:hAnsi="Calibri" w:cs="Calibri"/>
          <w:sz w:val="22"/>
          <w:lang w:eastAsia="en-US"/>
        </w:rPr>
      </w:pPr>
      <w:r w:rsidRPr="000A3F6D">
        <w:rPr>
          <w:rFonts w:ascii="Calibri" w:eastAsiaTheme="minorHAnsi" w:hAnsi="Calibri" w:cs="Calibri"/>
          <w:sz w:val="22"/>
          <w:lang w:eastAsia="en-US"/>
        </w:rPr>
        <w:t>methodology for calculation of premiums in one year should be used to calculate penalty and bonus amounts in the following year (regardless of whether the methodology has been varied in the interim);</w:t>
      </w:r>
    </w:p>
    <w:p w:rsidR="000A3F6D" w:rsidRPr="000A3F6D" w:rsidRDefault="000A3F6D" w:rsidP="000A3F6D">
      <w:pPr>
        <w:numPr>
          <w:ilvl w:val="2"/>
          <w:numId w:val="44"/>
        </w:numPr>
        <w:spacing w:after="120"/>
        <w:ind w:left="1134" w:hanging="436"/>
        <w:rPr>
          <w:rFonts w:ascii="Calibri" w:eastAsiaTheme="minorHAnsi" w:hAnsi="Calibri" w:cs="Calibri"/>
          <w:sz w:val="22"/>
          <w:lang w:eastAsia="en-US"/>
        </w:rPr>
      </w:pPr>
      <w:r w:rsidRPr="000A3F6D">
        <w:rPr>
          <w:rFonts w:ascii="Calibri" w:eastAsiaTheme="minorHAnsi" w:hAnsi="Calibri" w:cs="Calibri"/>
          <w:sz w:val="22"/>
          <w:lang w:eastAsia="en-US"/>
        </w:rPr>
        <w:t>impact of claim performance and other variable costs on premiums must be transparent and explained to agencies;</w:t>
      </w:r>
    </w:p>
    <w:p w:rsidR="000A3F6D" w:rsidRPr="000A3F6D" w:rsidRDefault="000A3F6D" w:rsidP="000A3F6D">
      <w:pPr>
        <w:numPr>
          <w:ilvl w:val="2"/>
          <w:numId w:val="44"/>
        </w:numPr>
        <w:spacing w:after="120"/>
        <w:ind w:left="1134" w:hanging="436"/>
        <w:rPr>
          <w:rFonts w:ascii="Calibri" w:eastAsiaTheme="minorHAnsi" w:hAnsi="Calibri" w:cs="Calibri"/>
          <w:sz w:val="22"/>
          <w:lang w:eastAsia="en-US"/>
        </w:rPr>
      </w:pPr>
      <w:r w:rsidRPr="000A3F6D">
        <w:rPr>
          <w:rFonts w:ascii="Calibri" w:eastAsiaTheme="minorHAnsi" w:hAnsi="Calibri" w:cs="Calibri"/>
          <w:sz w:val="22"/>
          <w:lang w:eastAsia="en-US"/>
        </w:rPr>
        <w:t>indicative rates for premiums should be advised to agencies in time for consideration in the context of agencies’ budgets for the following financial year;</w:t>
      </w:r>
    </w:p>
    <w:p w:rsidR="000A3F6D" w:rsidRPr="000A3F6D" w:rsidRDefault="000A3F6D" w:rsidP="000A3F6D">
      <w:pPr>
        <w:numPr>
          <w:ilvl w:val="2"/>
          <w:numId w:val="44"/>
        </w:numPr>
        <w:spacing w:after="120"/>
        <w:ind w:left="1134" w:hanging="436"/>
        <w:rPr>
          <w:rFonts w:ascii="Calibri" w:eastAsiaTheme="minorHAnsi" w:hAnsi="Calibri" w:cs="Calibri"/>
          <w:sz w:val="22"/>
          <w:lang w:eastAsia="en-US"/>
        </w:rPr>
      </w:pPr>
      <w:r w:rsidRPr="000A3F6D">
        <w:rPr>
          <w:rFonts w:ascii="Calibri" w:eastAsiaTheme="minorHAnsi" w:hAnsi="Calibri" w:cs="Calibri"/>
          <w:sz w:val="22"/>
          <w:lang w:eastAsia="en-US"/>
        </w:rPr>
        <w:t>adjustments due to correction of data should only be made if identified before finalisation of the charge to which they relate;</w:t>
      </w:r>
    </w:p>
    <w:p w:rsidR="000A3F6D" w:rsidRPr="000A3F6D" w:rsidRDefault="000A3F6D" w:rsidP="000A3F6D">
      <w:pPr>
        <w:numPr>
          <w:ilvl w:val="2"/>
          <w:numId w:val="44"/>
        </w:numPr>
        <w:spacing w:after="120"/>
        <w:ind w:left="1134" w:hanging="436"/>
        <w:rPr>
          <w:rFonts w:ascii="Calibri" w:eastAsiaTheme="minorHAnsi" w:hAnsi="Calibri" w:cs="Calibri"/>
          <w:sz w:val="22"/>
          <w:lang w:eastAsia="en-US"/>
        </w:rPr>
      </w:pPr>
      <w:r w:rsidRPr="000A3F6D">
        <w:rPr>
          <w:rFonts w:ascii="Calibri" w:eastAsiaTheme="minorHAnsi" w:hAnsi="Calibri" w:cs="Calibri"/>
          <w:sz w:val="22"/>
          <w:lang w:eastAsia="en-US"/>
        </w:rPr>
        <w:t>calculation of premiums, bonuses and penalties should be based upon the most recent estimates of claims from the responsibility period;</w:t>
      </w:r>
    </w:p>
    <w:p w:rsidR="000A3F6D" w:rsidRPr="000A3F6D" w:rsidRDefault="000A3F6D" w:rsidP="000A3F6D">
      <w:pPr>
        <w:numPr>
          <w:ilvl w:val="2"/>
          <w:numId w:val="44"/>
        </w:numPr>
        <w:spacing w:after="120"/>
        <w:ind w:left="1134" w:hanging="436"/>
        <w:rPr>
          <w:rFonts w:ascii="Calibri" w:eastAsiaTheme="minorHAnsi" w:hAnsi="Calibri" w:cs="Calibri"/>
          <w:sz w:val="22"/>
          <w:lang w:eastAsia="en-US"/>
        </w:rPr>
      </w:pPr>
      <w:r w:rsidRPr="000A3F6D">
        <w:rPr>
          <w:rFonts w:ascii="Calibri" w:eastAsiaTheme="minorHAnsi" w:hAnsi="Calibri" w:cs="Calibri"/>
          <w:sz w:val="22"/>
          <w:lang w:eastAsia="en-US"/>
        </w:rPr>
        <w:t>significant changes to premiums methodology will be explained to agencies;</w:t>
      </w:r>
    </w:p>
    <w:p w:rsidR="000A3F6D" w:rsidRPr="000A3F6D" w:rsidRDefault="000A3F6D" w:rsidP="000A3F6D">
      <w:pPr>
        <w:numPr>
          <w:ilvl w:val="2"/>
          <w:numId w:val="44"/>
        </w:numPr>
        <w:tabs>
          <w:tab w:val="left" w:pos="1418"/>
        </w:tabs>
        <w:spacing w:after="120"/>
        <w:ind w:left="1134" w:hanging="436"/>
        <w:rPr>
          <w:rFonts w:ascii="Calibri" w:eastAsiaTheme="minorHAnsi" w:hAnsi="Calibri" w:cs="Calibri"/>
          <w:sz w:val="22"/>
          <w:lang w:eastAsia="en-US"/>
        </w:rPr>
      </w:pPr>
      <w:r w:rsidRPr="000A3F6D">
        <w:rPr>
          <w:rFonts w:ascii="Calibri" w:eastAsiaTheme="minorHAnsi" w:hAnsi="Calibri" w:cs="Calibri"/>
          <w:sz w:val="22"/>
          <w:lang w:eastAsia="en-US"/>
        </w:rPr>
        <w:t>Comcare will seek to avoid inequitable ’rate shock‘, as far as practicable, in the movement of premium rates for a customer between consecutive years; and</w:t>
      </w:r>
    </w:p>
    <w:p w:rsidR="000A3F6D" w:rsidRPr="000A3F6D" w:rsidRDefault="000A3F6D" w:rsidP="000A3F6D">
      <w:pPr>
        <w:numPr>
          <w:ilvl w:val="2"/>
          <w:numId w:val="44"/>
        </w:numPr>
        <w:tabs>
          <w:tab w:val="left" w:pos="1418"/>
        </w:tabs>
        <w:spacing w:after="120"/>
        <w:ind w:left="1134" w:hanging="437"/>
        <w:rPr>
          <w:rFonts w:ascii="Calibri" w:eastAsiaTheme="minorHAnsi" w:hAnsi="Calibri" w:cs="Calibri"/>
          <w:sz w:val="22"/>
          <w:lang w:eastAsia="en-US"/>
        </w:rPr>
      </w:pPr>
      <w:r w:rsidRPr="000A3F6D">
        <w:rPr>
          <w:rFonts w:ascii="Calibri" w:eastAsiaTheme="minorHAnsi" w:hAnsi="Calibri" w:cs="Calibri"/>
          <w:sz w:val="22"/>
          <w:lang w:eastAsia="en-US"/>
        </w:rPr>
        <w:t>Comcare will report to the SRCC each year on the performance of the system for determining and collecting premiums and seek the SRCC’s endorsement of changes to the premiums model.</w:t>
      </w:r>
    </w:p>
    <w:p w:rsidR="000A3F6D" w:rsidRPr="000A3F6D" w:rsidRDefault="000A3F6D" w:rsidP="000A3F6D">
      <w:pPr>
        <w:keepNext/>
        <w:keepLines/>
        <w:spacing w:before="100" w:beforeAutospacing="1" w:after="100" w:afterAutospacing="1"/>
        <w:outlineLvl w:val="2"/>
        <w:rPr>
          <w:rFonts w:ascii="Arial Bold" w:eastAsiaTheme="majorEastAsia" w:hAnsi="Arial Bold" w:cs="Calibri"/>
          <w:bCs/>
          <w:caps/>
          <w:color w:val="1F497D" w:themeColor="text2"/>
          <w:sz w:val="23"/>
          <w:szCs w:val="23"/>
        </w:rPr>
      </w:pPr>
      <w:bookmarkStart w:id="573" w:name="_Toc341778048"/>
      <w:bookmarkStart w:id="574" w:name="_Toc342578421"/>
      <w:r w:rsidRPr="000A3F6D">
        <w:rPr>
          <w:rFonts w:ascii="Arial Bold" w:eastAsiaTheme="majorEastAsia" w:hAnsi="Arial Bold" w:cs="Calibri"/>
          <w:bCs/>
          <w:caps/>
          <w:color w:val="1F497D" w:themeColor="text2"/>
          <w:sz w:val="23"/>
          <w:szCs w:val="23"/>
        </w:rPr>
        <w:t>The Premium Process</w:t>
      </w:r>
      <w:bookmarkEnd w:id="573"/>
      <w:bookmarkEnd w:id="574"/>
    </w:p>
    <w:p w:rsidR="000A3F6D" w:rsidRPr="000A3F6D" w:rsidRDefault="000A3F6D" w:rsidP="000A3F6D">
      <w:pPr>
        <w:keepNext/>
        <w:keepLines/>
        <w:numPr>
          <w:ilvl w:val="1"/>
          <w:numId w:val="55"/>
        </w:numPr>
        <w:spacing w:after="120"/>
        <w:ind w:left="709" w:hanging="709"/>
        <w:rPr>
          <w:rFonts w:ascii="Calibri" w:eastAsiaTheme="minorHAnsi" w:hAnsi="Calibri" w:cs="Calibri"/>
          <w:sz w:val="22"/>
          <w:lang w:eastAsia="en-US"/>
        </w:rPr>
      </w:pPr>
      <w:r w:rsidRPr="000A3F6D">
        <w:rPr>
          <w:rFonts w:ascii="Calibri" w:eastAsiaTheme="minorHAnsi" w:hAnsi="Calibri" w:cs="Calibri"/>
          <w:sz w:val="22"/>
          <w:lang w:eastAsia="en-US"/>
        </w:rPr>
        <w:t>Comcare is required to make a determination of the premium amount to be paid by each premium payer in respect of each financial year.</w:t>
      </w:r>
    </w:p>
    <w:p w:rsidR="000A3F6D" w:rsidRPr="000A3F6D" w:rsidRDefault="000A3F6D" w:rsidP="000A3F6D">
      <w:pPr>
        <w:keepNext/>
        <w:keepLines/>
        <w:numPr>
          <w:ilvl w:val="1"/>
          <w:numId w:val="55"/>
        </w:numPr>
        <w:spacing w:after="120"/>
        <w:ind w:left="709" w:hanging="709"/>
        <w:rPr>
          <w:rFonts w:ascii="Calibri" w:eastAsiaTheme="minorHAnsi" w:hAnsi="Calibri" w:cs="Calibri"/>
          <w:sz w:val="22"/>
          <w:lang w:eastAsia="en-US"/>
        </w:rPr>
      </w:pPr>
      <w:r w:rsidRPr="000A3F6D">
        <w:rPr>
          <w:rFonts w:ascii="Calibri" w:eastAsiaTheme="minorHAnsi" w:hAnsi="Calibri" w:cs="Calibri"/>
          <w:sz w:val="22"/>
          <w:lang w:eastAsia="en-US"/>
        </w:rPr>
        <w:t xml:space="preserve">Under </w:t>
      </w:r>
      <w:r w:rsidR="00171440">
        <w:rPr>
          <w:rFonts w:ascii="Calibri" w:eastAsiaTheme="minorHAnsi" w:hAnsi="Calibri" w:cs="Calibri"/>
          <w:sz w:val="22"/>
          <w:lang w:eastAsia="en-US"/>
        </w:rPr>
        <w:t>S</w:t>
      </w:r>
      <w:r w:rsidR="00171440" w:rsidRPr="000A3F6D">
        <w:rPr>
          <w:rFonts w:ascii="Calibri" w:eastAsiaTheme="minorHAnsi" w:hAnsi="Calibri" w:cs="Calibri"/>
          <w:sz w:val="22"/>
          <w:lang w:eastAsia="en-US"/>
        </w:rPr>
        <w:t xml:space="preserve">ection </w:t>
      </w:r>
      <w:r w:rsidRPr="000A3F6D">
        <w:rPr>
          <w:rFonts w:ascii="Calibri" w:eastAsiaTheme="minorHAnsi" w:hAnsi="Calibri" w:cs="Calibri"/>
          <w:sz w:val="22"/>
          <w:lang w:eastAsia="en-US"/>
        </w:rPr>
        <w:t>97F of the SRC Act, premium payers are obliged to provide Comcare with wage and salary details payable for the next financial year by 30 April each year. They are also obliged to provide Comcare with any other relevant detail that Comcare requires in order to calculate premiums by the same date.</w:t>
      </w:r>
    </w:p>
    <w:p w:rsidR="000A3F6D" w:rsidRPr="000A3F6D" w:rsidRDefault="000A3F6D" w:rsidP="000A3F6D">
      <w:pPr>
        <w:keepNext/>
        <w:keepLines/>
        <w:numPr>
          <w:ilvl w:val="1"/>
          <w:numId w:val="55"/>
        </w:numPr>
        <w:spacing w:after="120"/>
        <w:ind w:left="709" w:hanging="709"/>
        <w:rPr>
          <w:rFonts w:ascii="Calibri" w:eastAsiaTheme="minorHAnsi" w:hAnsi="Calibri" w:cs="Calibri"/>
          <w:sz w:val="22"/>
          <w:lang w:eastAsia="en-US"/>
        </w:rPr>
      </w:pPr>
      <w:r w:rsidRPr="000A3F6D">
        <w:rPr>
          <w:rFonts w:ascii="Calibri" w:eastAsiaTheme="minorHAnsi" w:hAnsi="Calibri" w:cs="Calibri"/>
          <w:sz w:val="22"/>
          <w:lang w:eastAsia="en-US"/>
        </w:rPr>
        <w:t>In determining the premiums for each financial year, Comcare takes the following steps:</w:t>
      </w:r>
    </w:p>
    <w:p w:rsidR="000A3F6D" w:rsidRPr="000A3F6D" w:rsidRDefault="000A3F6D" w:rsidP="000A3F6D">
      <w:pPr>
        <w:numPr>
          <w:ilvl w:val="2"/>
          <w:numId w:val="44"/>
        </w:numPr>
        <w:spacing w:after="120"/>
        <w:ind w:left="1134" w:hanging="436"/>
        <w:rPr>
          <w:rFonts w:ascii="Calibri" w:eastAsiaTheme="minorHAnsi" w:hAnsi="Calibri" w:cs="Calibri"/>
          <w:sz w:val="22"/>
          <w:szCs w:val="22"/>
          <w:lang w:eastAsia="en-US"/>
        </w:rPr>
      </w:pPr>
      <w:r w:rsidRPr="000A3F6D">
        <w:rPr>
          <w:rFonts w:ascii="Calibri" w:eastAsiaTheme="minorHAnsi" w:hAnsi="Calibri" w:cs="Calibri"/>
          <w:sz w:val="22"/>
          <w:lang w:eastAsia="en-US"/>
        </w:rPr>
        <w:t>determine the central estimate premium pool for premium business;</w:t>
      </w:r>
    </w:p>
    <w:p w:rsidR="000A3F6D" w:rsidRPr="000A3F6D" w:rsidRDefault="000A3F6D" w:rsidP="000A3F6D">
      <w:pPr>
        <w:numPr>
          <w:ilvl w:val="2"/>
          <w:numId w:val="44"/>
        </w:numPr>
        <w:spacing w:after="120"/>
        <w:ind w:left="1134" w:hanging="436"/>
        <w:rPr>
          <w:rFonts w:ascii="Calibri" w:eastAsiaTheme="minorHAnsi" w:hAnsi="Calibri" w:cs="Calibri"/>
          <w:sz w:val="22"/>
          <w:szCs w:val="22"/>
          <w:lang w:eastAsia="en-US"/>
        </w:rPr>
      </w:pPr>
      <w:r w:rsidRPr="000A3F6D">
        <w:rPr>
          <w:rFonts w:ascii="Calibri" w:eastAsiaTheme="minorHAnsi" w:hAnsi="Calibri" w:cs="Calibri"/>
          <w:sz w:val="22"/>
          <w:lang w:eastAsia="en-US"/>
        </w:rPr>
        <w:t>determine the final premium pool, including any margin above or below the central estimate; and</w:t>
      </w:r>
    </w:p>
    <w:p w:rsidR="000A3F6D" w:rsidRPr="000A3F6D" w:rsidRDefault="000A3F6D" w:rsidP="000A3F6D">
      <w:pPr>
        <w:numPr>
          <w:ilvl w:val="2"/>
          <w:numId w:val="44"/>
        </w:numPr>
        <w:spacing w:after="120"/>
        <w:ind w:left="1134" w:hanging="436"/>
        <w:rPr>
          <w:rFonts w:ascii="Calibri" w:eastAsiaTheme="minorHAnsi" w:hAnsi="Calibri" w:cs="Calibri"/>
          <w:sz w:val="22"/>
          <w:szCs w:val="22"/>
          <w:lang w:eastAsia="en-US"/>
        </w:rPr>
      </w:pPr>
      <w:proofErr w:type="gramStart"/>
      <w:r w:rsidRPr="000A3F6D">
        <w:rPr>
          <w:rFonts w:ascii="Calibri" w:eastAsiaTheme="minorHAnsi" w:hAnsi="Calibri" w:cs="Calibri"/>
          <w:sz w:val="22"/>
          <w:lang w:eastAsia="en-US"/>
        </w:rPr>
        <w:t>determine</w:t>
      </w:r>
      <w:proofErr w:type="gramEnd"/>
      <w:r w:rsidRPr="000A3F6D">
        <w:rPr>
          <w:rFonts w:ascii="Calibri" w:eastAsiaTheme="minorHAnsi" w:hAnsi="Calibri" w:cs="Calibri"/>
          <w:sz w:val="22"/>
          <w:lang w:eastAsia="en-US"/>
        </w:rPr>
        <w:t xml:space="preserve"> premiums for individual Australian Government agency premium payers.</w:t>
      </w:r>
      <w:r w:rsidRPr="000A3F6D">
        <w:rPr>
          <w:rFonts w:asciiTheme="minorHAnsi" w:eastAsiaTheme="minorHAnsi" w:hAnsiTheme="minorHAnsi" w:cstheme="minorHAnsi"/>
          <w:sz w:val="22"/>
          <w:szCs w:val="22"/>
          <w:vertAlign w:val="superscript"/>
          <w:lang w:eastAsia="en-US"/>
        </w:rPr>
        <w:footnoteReference w:id="93"/>
      </w:r>
    </w:p>
    <w:p w:rsidR="000A3F6D" w:rsidRPr="000A3F6D" w:rsidRDefault="000A3F6D" w:rsidP="000A3F6D">
      <w:pPr>
        <w:keepNext/>
        <w:keepLines/>
        <w:numPr>
          <w:ilvl w:val="1"/>
          <w:numId w:val="55"/>
        </w:numPr>
        <w:spacing w:after="120"/>
        <w:ind w:left="709" w:hanging="709"/>
        <w:rPr>
          <w:rFonts w:ascii="Calibri" w:eastAsiaTheme="minorHAnsi" w:hAnsi="Calibri" w:cs="Calibri"/>
          <w:sz w:val="22"/>
          <w:lang w:eastAsia="en-US"/>
        </w:rPr>
      </w:pPr>
      <w:r w:rsidRPr="000A3F6D">
        <w:rPr>
          <w:rFonts w:ascii="Calibri" w:eastAsiaTheme="minorHAnsi" w:hAnsi="Calibri" w:cs="Calibri"/>
          <w:sz w:val="22"/>
          <w:lang w:eastAsia="en-US"/>
        </w:rPr>
        <w:lastRenderedPageBreak/>
        <w:t xml:space="preserve">The central estimate premium pool is the estimate of the amount required to fully fund the estimated cost of claims arising from injuries and diseases sustained in the premium year, including related claims management costs. Comcare engages the services of an external actuary, currently Taylor Fry Pty Ltd, for this valuation which is done in line with the Actuaries’ Institute Professional Standards and Australian Accounting </w:t>
      </w:r>
      <w:r w:rsidR="00E84289">
        <w:rPr>
          <w:rFonts w:ascii="Calibri" w:eastAsiaTheme="minorHAnsi" w:hAnsi="Calibri" w:cs="Calibri"/>
          <w:sz w:val="22"/>
          <w:lang w:eastAsia="en-US"/>
        </w:rPr>
        <w:t>S</w:t>
      </w:r>
      <w:r w:rsidRPr="000A3F6D">
        <w:rPr>
          <w:rFonts w:ascii="Calibri" w:eastAsiaTheme="minorHAnsi" w:hAnsi="Calibri" w:cs="Calibri"/>
          <w:sz w:val="22"/>
          <w:lang w:eastAsia="en-US"/>
        </w:rPr>
        <w:t>tandards.</w:t>
      </w:r>
    </w:p>
    <w:p w:rsidR="000A3F6D" w:rsidRPr="000A3F6D" w:rsidRDefault="000A3F6D" w:rsidP="000A3F6D">
      <w:pPr>
        <w:keepNext/>
        <w:keepLines/>
        <w:numPr>
          <w:ilvl w:val="1"/>
          <w:numId w:val="55"/>
        </w:numPr>
        <w:spacing w:after="120"/>
        <w:ind w:left="709" w:hanging="709"/>
        <w:rPr>
          <w:rFonts w:ascii="Calibri" w:eastAsiaTheme="minorHAnsi" w:hAnsi="Calibri" w:cs="Calibri"/>
          <w:sz w:val="22"/>
          <w:lang w:eastAsia="en-US"/>
        </w:rPr>
      </w:pPr>
      <w:r w:rsidRPr="000A3F6D">
        <w:rPr>
          <w:rFonts w:ascii="Calibri" w:eastAsiaTheme="minorHAnsi" w:hAnsi="Calibri" w:cs="Calibri"/>
          <w:sz w:val="22"/>
          <w:lang w:eastAsia="en-US"/>
        </w:rPr>
        <w:t xml:space="preserve">The final premium pool is determined by Comcare’s CEO taking into account the SRC Guidelines and obligations under the CAC Act, including </w:t>
      </w:r>
      <w:proofErr w:type="gramStart"/>
      <w:r w:rsidRPr="000A3F6D">
        <w:rPr>
          <w:rFonts w:ascii="Calibri" w:eastAsiaTheme="minorHAnsi" w:hAnsi="Calibri" w:cs="Calibri"/>
          <w:sz w:val="22"/>
          <w:lang w:eastAsia="en-US"/>
        </w:rPr>
        <w:t>to exercise</w:t>
      </w:r>
      <w:proofErr w:type="gramEnd"/>
      <w:r w:rsidRPr="000A3F6D">
        <w:rPr>
          <w:rFonts w:ascii="Calibri" w:eastAsiaTheme="minorHAnsi" w:hAnsi="Calibri" w:cs="Calibri"/>
          <w:sz w:val="22"/>
          <w:lang w:eastAsia="en-US"/>
        </w:rPr>
        <w:t xml:space="preserve"> care and due diligence, the business judgement rule and good faith.</w:t>
      </w:r>
    </w:p>
    <w:p w:rsidR="000A3F6D" w:rsidRPr="000A3F6D" w:rsidRDefault="000A3F6D" w:rsidP="000A3F6D">
      <w:pPr>
        <w:keepNext/>
        <w:keepLines/>
        <w:numPr>
          <w:ilvl w:val="1"/>
          <w:numId w:val="55"/>
        </w:numPr>
        <w:spacing w:after="120"/>
        <w:ind w:left="709" w:hanging="709"/>
        <w:rPr>
          <w:rFonts w:ascii="Calibri" w:eastAsiaTheme="minorHAnsi" w:hAnsi="Calibri" w:cs="Calibri"/>
          <w:sz w:val="22"/>
          <w:lang w:eastAsia="en-US"/>
        </w:rPr>
      </w:pPr>
      <w:r w:rsidRPr="000A3F6D">
        <w:rPr>
          <w:rFonts w:ascii="Calibri" w:eastAsiaTheme="minorHAnsi" w:hAnsi="Calibri" w:cs="Calibri"/>
          <w:sz w:val="22"/>
          <w:lang w:eastAsia="en-US"/>
        </w:rPr>
        <w:t>Comcare sets two premium pools – one for the Australian Government agency premium payers and one for the ACT Government. The external actuary provides two separate actuarial valuation reports; the methodology and approach taken for both assessments being identical, with assumptions differing to reflect differences in claims experience.</w:t>
      </w:r>
    </w:p>
    <w:p w:rsidR="000A3F6D" w:rsidRPr="000A3F6D" w:rsidRDefault="000A3F6D" w:rsidP="000A3F6D">
      <w:pPr>
        <w:keepNext/>
        <w:keepLines/>
        <w:numPr>
          <w:ilvl w:val="1"/>
          <w:numId w:val="55"/>
        </w:numPr>
        <w:spacing w:after="120"/>
        <w:ind w:left="709" w:hanging="709"/>
        <w:rPr>
          <w:rFonts w:ascii="Calibri" w:eastAsiaTheme="minorHAnsi" w:hAnsi="Calibri" w:cs="Calibri"/>
          <w:sz w:val="22"/>
          <w:lang w:eastAsia="en-US"/>
        </w:rPr>
      </w:pPr>
      <w:r w:rsidRPr="000A3F6D">
        <w:rPr>
          <w:rFonts w:ascii="Calibri" w:eastAsiaTheme="minorHAnsi" w:hAnsi="Calibri" w:cs="Calibri"/>
          <w:sz w:val="22"/>
          <w:lang w:eastAsia="en-US"/>
        </w:rPr>
        <w:t xml:space="preserve">The Australian Government agency premium pool is apportioned among the </w:t>
      </w:r>
      <w:r w:rsidR="00023148">
        <w:rPr>
          <w:rFonts w:ascii="Calibri" w:eastAsiaTheme="minorHAnsi" w:hAnsi="Calibri" w:cs="Calibri"/>
          <w:sz w:val="22"/>
          <w:lang w:eastAsia="en-US"/>
        </w:rPr>
        <w:t>Commonwealth</w:t>
      </w:r>
      <w:r w:rsidRPr="000A3F6D">
        <w:rPr>
          <w:rFonts w:ascii="Calibri" w:eastAsiaTheme="minorHAnsi" w:hAnsi="Calibri" w:cs="Calibri"/>
          <w:sz w:val="22"/>
          <w:lang w:eastAsia="en-US"/>
        </w:rPr>
        <w:t xml:space="preserve"> agencies. The premium for each agency respond</w:t>
      </w:r>
      <w:r w:rsidR="00023148">
        <w:rPr>
          <w:rFonts w:ascii="Calibri" w:eastAsiaTheme="minorHAnsi" w:hAnsi="Calibri" w:cs="Calibri"/>
          <w:sz w:val="22"/>
          <w:lang w:eastAsia="en-US"/>
        </w:rPr>
        <w:t>s</w:t>
      </w:r>
      <w:r w:rsidRPr="000A3F6D">
        <w:rPr>
          <w:rFonts w:ascii="Calibri" w:eastAsiaTheme="minorHAnsi" w:hAnsi="Calibri" w:cs="Calibri"/>
          <w:sz w:val="22"/>
          <w:lang w:eastAsia="en-US"/>
        </w:rPr>
        <w:t xml:space="preserve"> to trends in their claims performance as well as trends across the whole system. This is aimed at providing a direct financial incentive to agencies to reduce their workers’ compensation costs through effective occupational health and safety, rehabilitation and return to work measures.</w:t>
      </w:r>
    </w:p>
    <w:p w:rsidR="000A3F6D" w:rsidRPr="000A3F6D" w:rsidRDefault="000A3F6D" w:rsidP="000A3F6D">
      <w:pPr>
        <w:keepNext/>
        <w:keepLines/>
        <w:numPr>
          <w:ilvl w:val="1"/>
          <w:numId w:val="55"/>
        </w:numPr>
        <w:spacing w:after="120"/>
        <w:ind w:left="709" w:hanging="709"/>
        <w:rPr>
          <w:rFonts w:ascii="Calibri" w:eastAsiaTheme="minorHAnsi" w:hAnsi="Calibri" w:cs="Calibri"/>
          <w:sz w:val="22"/>
          <w:lang w:eastAsia="en-US"/>
        </w:rPr>
      </w:pPr>
      <w:r w:rsidRPr="000A3F6D">
        <w:rPr>
          <w:rFonts w:ascii="Calibri" w:eastAsiaTheme="minorHAnsi" w:hAnsi="Calibri" w:cs="Calibri"/>
          <w:sz w:val="22"/>
          <w:lang w:eastAsia="en-US"/>
        </w:rPr>
        <w:t>The methodology for calculating the premiums for each premium payer agency is through an apportionment of the total premium pool based on each agency’s share of total claims costs.  This is measured by using:</w:t>
      </w:r>
    </w:p>
    <w:p w:rsidR="000A3F6D" w:rsidRPr="000A3F6D" w:rsidRDefault="000A3F6D" w:rsidP="000A3F6D">
      <w:pPr>
        <w:numPr>
          <w:ilvl w:val="2"/>
          <w:numId w:val="45"/>
        </w:numPr>
        <w:spacing w:after="120"/>
        <w:ind w:left="1134" w:hanging="425"/>
        <w:rPr>
          <w:rFonts w:ascii="Calibri" w:eastAsiaTheme="minorHAnsi" w:hAnsi="Calibri" w:cs="Calibri"/>
          <w:sz w:val="22"/>
          <w:lang w:eastAsia="en-US"/>
        </w:rPr>
      </w:pPr>
      <w:r w:rsidRPr="000A3F6D">
        <w:rPr>
          <w:rFonts w:ascii="Calibri" w:eastAsiaTheme="minorHAnsi" w:hAnsi="Calibri" w:cs="Calibri"/>
          <w:sz w:val="22"/>
          <w:lang w:eastAsia="en-US"/>
        </w:rPr>
        <w:t>the number of accepted claims; and</w:t>
      </w:r>
    </w:p>
    <w:p w:rsidR="000A3F6D" w:rsidRPr="000A3F6D" w:rsidRDefault="000A3F6D" w:rsidP="000A3F6D">
      <w:pPr>
        <w:numPr>
          <w:ilvl w:val="2"/>
          <w:numId w:val="45"/>
        </w:numPr>
        <w:spacing w:after="120"/>
        <w:ind w:left="1134" w:hanging="425"/>
        <w:rPr>
          <w:rFonts w:ascii="Calibri" w:eastAsiaTheme="minorHAnsi" w:hAnsi="Calibri" w:cs="Calibri"/>
          <w:sz w:val="22"/>
          <w:lang w:eastAsia="en-US"/>
        </w:rPr>
      </w:pPr>
      <w:proofErr w:type="gramStart"/>
      <w:r w:rsidRPr="000A3F6D">
        <w:rPr>
          <w:rFonts w:ascii="Calibri" w:eastAsiaTheme="minorHAnsi" w:hAnsi="Calibri" w:cs="Calibri"/>
          <w:sz w:val="22"/>
          <w:lang w:eastAsia="en-US"/>
        </w:rPr>
        <w:t>the</w:t>
      </w:r>
      <w:proofErr w:type="gramEnd"/>
      <w:r w:rsidRPr="000A3F6D">
        <w:rPr>
          <w:rFonts w:ascii="Calibri" w:eastAsiaTheme="minorHAnsi" w:hAnsi="Calibri" w:cs="Calibri"/>
          <w:sz w:val="22"/>
          <w:lang w:eastAsia="en-US"/>
        </w:rPr>
        <w:t xml:space="preserve"> estimated cost of these claims (actual costs paid to date plus estimated future costs).</w:t>
      </w:r>
    </w:p>
    <w:p w:rsidR="000A3F6D" w:rsidRPr="000A3F6D" w:rsidRDefault="000A3F6D" w:rsidP="000D7C1C">
      <w:pPr>
        <w:keepNext/>
        <w:keepLines/>
        <w:numPr>
          <w:ilvl w:val="1"/>
          <w:numId w:val="55"/>
        </w:numPr>
        <w:spacing w:after="120"/>
        <w:ind w:left="709" w:hanging="709"/>
        <w:rPr>
          <w:rFonts w:ascii="Calibri" w:eastAsiaTheme="minorHAnsi" w:hAnsi="Calibri" w:cs="Calibri"/>
          <w:sz w:val="22"/>
          <w:lang w:eastAsia="en-US"/>
        </w:rPr>
      </w:pPr>
      <w:r w:rsidRPr="000A3F6D">
        <w:rPr>
          <w:rFonts w:ascii="Calibri" w:eastAsiaTheme="minorHAnsi" w:hAnsi="Calibri" w:cs="Calibri"/>
          <w:sz w:val="22"/>
          <w:lang w:eastAsia="en-US"/>
        </w:rPr>
        <w:t>The apportionment takes into account the credibility of each premium payer’s claims experience.  In this way, the bigger a premium payer’s claim volume, the faster the premium responds to that premium payer’s own experience.</w:t>
      </w:r>
    </w:p>
    <w:p w:rsidR="000A3F6D" w:rsidRPr="000A3F6D" w:rsidRDefault="000A3F6D" w:rsidP="000D7C1C">
      <w:pPr>
        <w:keepNext/>
        <w:keepLines/>
        <w:numPr>
          <w:ilvl w:val="1"/>
          <w:numId w:val="55"/>
        </w:numPr>
        <w:spacing w:after="120"/>
        <w:ind w:left="709" w:hanging="709"/>
        <w:rPr>
          <w:rFonts w:asciiTheme="minorHAnsi" w:eastAsiaTheme="minorHAnsi" w:hAnsiTheme="minorHAnsi" w:cstheme="minorHAnsi"/>
          <w:sz w:val="22"/>
          <w:szCs w:val="22"/>
          <w:lang w:eastAsia="en-US"/>
        </w:rPr>
      </w:pPr>
      <w:r w:rsidRPr="000A3F6D">
        <w:rPr>
          <w:rFonts w:ascii="Calibri" w:eastAsiaTheme="minorHAnsi" w:hAnsi="Calibri" w:cs="Calibri"/>
          <w:sz w:val="22"/>
          <w:lang w:eastAsia="en-US"/>
        </w:rPr>
        <w:t>Comcare issues an annual publication to assist premium payers with an understanding of the premium process and what they can do to influence their premium rates</w:t>
      </w:r>
      <w:r w:rsidRPr="000A3F6D">
        <w:rPr>
          <w:rFonts w:asciiTheme="minorHAnsi" w:eastAsiaTheme="minorHAnsi" w:hAnsiTheme="minorHAnsi" w:cstheme="minorHAnsi"/>
          <w:sz w:val="22"/>
          <w:szCs w:val="22"/>
          <w:lang w:eastAsia="en-US"/>
        </w:rPr>
        <w:t>.</w:t>
      </w:r>
      <w:r w:rsidRPr="000A3F6D">
        <w:rPr>
          <w:rFonts w:asciiTheme="minorHAnsi" w:eastAsiaTheme="minorHAnsi" w:hAnsiTheme="minorHAnsi" w:cstheme="minorHAnsi"/>
          <w:sz w:val="22"/>
          <w:vertAlign w:val="superscript"/>
          <w:lang w:eastAsia="en-US"/>
        </w:rPr>
        <w:footnoteReference w:id="94"/>
      </w:r>
      <w:r w:rsidRPr="000A3F6D">
        <w:rPr>
          <w:rFonts w:asciiTheme="minorHAnsi" w:eastAsiaTheme="minorHAnsi" w:hAnsiTheme="minorHAnsi" w:cstheme="minorBidi"/>
          <w:sz w:val="22"/>
          <w:vertAlign w:val="superscript"/>
          <w:lang w:eastAsia="en-US"/>
        </w:rPr>
        <w:t xml:space="preserve"> </w:t>
      </w:r>
      <w:r w:rsidRPr="000A3F6D">
        <w:rPr>
          <w:rFonts w:asciiTheme="minorHAnsi" w:eastAsiaTheme="minorHAnsi" w:hAnsiTheme="minorHAnsi" w:cstheme="minorBidi"/>
          <w:sz w:val="22"/>
          <w:lang w:eastAsia="en-US"/>
        </w:rPr>
        <w:t xml:space="preserve"> </w:t>
      </w:r>
      <w:r w:rsidRPr="000A3F6D">
        <w:rPr>
          <w:rFonts w:ascii="Calibri" w:eastAsiaTheme="minorHAnsi" w:hAnsi="Calibri" w:cs="Calibri"/>
          <w:sz w:val="22"/>
          <w:lang w:eastAsia="en-US"/>
        </w:rPr>
        <w:t>Further guidance is provided on Comcare’s website on how to go about devolving (or splitting) the premium across cost centres within the respective premium payer</w:t>
      </w:r>
      <w:r w:rsidR="00171440">
        <w:rPr>
          <w:rFonts w:ascii="Calibri" w:eastAsiaTheme="minorHAnsi" w:hAnsi="Calibri" w:cs="Calibri"/>
          <w:sz w:val="22"/>
          <w:lang w:eastAsia="en-US"/>
        </w:rPr>
        <w:t>’</w:t>
      </w:r>
      <w:r w:rsidRPr="000A3F6D">
        <w:rPr>
          <w:rFonts w:ascii="Calibri" w:eastAsiaTheme="minorHAnsi" w:hAnsi="Calibri" w:cs="Calibri"/>
          <w:sz w:val="22"/>
          <w:lang w:eastAsia="en-US"/>
        </w:rPr>
        <w:t>s</w:t>
      </w:r>
      <w:r w:rsidR="00171440">
        <w:rPr>
          <w:rFonts w:ascii="Calibri" w:eastAsiaTheme="minorHAnsi" w:hAnsi="Calibri" w:cs="Calibri"/>
          <w:sz w:val="22"/>
          <w:lang w:eastAsia="en-US"/>
        </w:rPr>
        <w:t xml:space="preserve"> organisation</w:t>
      </w:r>
      <w:r w:rsidRPr="000A3F6D">
        <w:rPr>
          <w:rFonts w:asciiTheme="minorHAnsi" w:eastAsiaTheme="minorHAnsi" w:hAnsiTheme="minorHAnsi" w:cstheme="minorHAnsi"/>
          <w:sz w:val="22"/>
          <w:szCs w:val="22"/>
          <w:lang w:eastAsia="en-US"/>
        </w:rPr>
        <w:t>.</w:t>
      </w:r>
      <w:r w:rsidRPr="000A3F6D">
        <w:rPr>
          <w:rFonts w:asciiTheme="minorHAnsi" w:eastAsiaTheme="minorHAnsi" w:hAnsiTheme="minorHAnsi" w:cstheme="minorHAnsi"/>
          <w:sz w:val="22"/>
          <w:szCs w:val="22"/>
          <w:vertAlign w:val="superscript"/>
          <w:lang w:eastAsia="en-US"/>
        </w:rPr>
        <w:footnoteReference w:id="95"/>
      </w:r>
    </w:p>
    <w:p w:rsidR="000A3F6D" w:rsidRPr="000A3F6D" w:rsidRDefault="000A3F6D" w:rsidP="000D7C1C">
      <w:pPr>
        <w:keepNext/>
        <w:keepLines/>
        <w:numPr>
          <w:ilvl w:val="1"/>
          <w:numId w:val="55"/>
        </w:numPr>
        <w:spacing w:after="120"/>
        <w:ind w:left="709" w:hanging="709"/>
        <w:rPr>
          <w:rFonts w:ascii="Calibri" w:eastAsiaTheme="minorHAnsi" w:hAnsi="Calibri" w:cs="Calibri"/>
          <w:sz w:val="22"/>
          <w:lang w:eastAsia="en-US"/>
        </w:rPr>
      </w:pPr>
      <w:r w:rsidRPr="000A3F6D">
        <w:rPr>
          <w:rFonts w:ascii="Calibri" w:eastAsiaTheme="minorHAnsi" w:hAnsi="Calibri" w:cs="Calibri"/>
          <w:sz w:val="22"/>
          <w:lang w:eastAsia="en-US"/>
        </w:rPr>
        <w:t xml:space="preserve">Once it has calculated the premiums, Comcare is obliged under </w:t>
      </w:r>
      <w:r w:rsidR="00171440">
        <w:rPr>
          <w:rFonts w:ascii="Calibri" w:eastAsiaTheme="minorHAnsi" w:hAnsi="Calibri" w:cs="Calibri"/>
          <w:sz w:val="22"/>
          <w:lang w:eastAsia="en-US"/>
        </w:rPr>
        <w:t>S</w:t>
      </w:r>
      <w:r w:rsidR="00171440" w:rsidRPr="000A3F6D">
        <w:rPr>
          <w:rFonts w:ascii="Calibri" w:eastAsiaTheme="minorHAnsi" w:hAnsi="Calibri" w:cs="Calibri"/>
          <w:sz w:val="22"/>
          <w:lang w:eastAsia="en-US"/>
        </w:rPr>
        <w:t xml:space="preserve">ection </w:t>
      </w:r>
      <w:r w:rsidRPr="000A3F6D">
        <w:rPr>
          <w:rFonts w:ascii="Calibri" w:eastAsiaTheme="minorHAnsi" w:hAnsi="Calibri" w:cs="Calibri"/>
          <w:sz w:val="22"/>
          <w:lang w:eastAsia="en-US"/>
        </w:rPr>
        <w:t>97G of the SRC Act to provide each premium payer with a notice of its determination regarding the premium payable. There are no specific timeframes stipulated in the SRC Act for this to happen and Comcare aims to notify premium payers of the premiums commencing the following financial year by 1 July each year.</w:t>
      </w:r>
    </w:p>
    <w:p w:rsidR="000A3F6D" w:rsidRPr="000A3F6D" w:rsidRDefault="000A3F6D" w:rsidP="000D7C1C">
      <w:pPr>
        <w:numPr>
          <w:ilvl w:val="1"/>
          <w:numId w:val="55"/>
        </w:numPr>
        <w:spacing w:after="120"/>
        <w:ind w:left="709" w:hanging="709"/>
        <w:rPr>
          <w:rFonts w:ascii="Calibri" w:eastAsiaTheme="minorHAnsi" w:hAnsi="Calibri" w:cs="Calibri"/>
          <w:sz w:val="22"/>
          <w:lang w:eastAsia="en-US"/>
        </w:rPr>
      </w:pPr>
      <w:r w:rsidRPr="000A3F6D">
        <w:rPr>
          <w:rFonts w:ascii="Calibri" w:eastAsiaTheme="minorHAnsi" w:hAnsi="Calibri" w:cs="Calibri"/>
          <w:sz w:val="22"/>
          <w:lang w:eastAsia="en-US"/>
        </w:rPr>
        <w:t>Premium payers are obliged to pay their premiums within 30 days of receiving the notice. Interest is payable on any outstanding amounts after that date.</w:t>
      </w:r>
    </w:p>
    <w:p w:rsidR="000A3F6D" w:rsidRPr="000A3F6D" w:rsidRDefault="000A3F6D" w:rsidP="000D7C1C">
      <w:pPr>
        <w:numPr>
          <w:ilvl w:val="1"/>
          <w:numId w:val="55"/>
        </w:numPr>
        <w:spacing w:after="120"/>
        <w:ind w:left="709" w:hanging="709"/>
        <w:rPr>
          <w:rFonts w:ascii="Calibri" w:eastAsiaTheme="minorHAnsi" w:hAnsi="Calibri" w:cs="Calibri"/>
          <w:sz w:val="22"/>
          <w:lang w:eastAsia="en-US"/>
        </w:rPr>
      </w:pPr>
      <w:r w:rsidRPr="000A3F6D">
        <w:rPr>
          <w:rFonts w:ascii="Calibri" w:eastAsiaTheme="minorHAnsi" w:hAnsi="Calibri" w:cs="Calibri"/>
          <w:sz w:val="22"/>
          <w:lang w:eastAsia="en-US"/>
        </w:rPr>
        <w:t xml:space="preserve">A premium payer who disputes their premium notice can apply to Comcare for a review and, if not satisfied with the response of the review, apply to the SRCC for a further review. The premium still has to be paid in the required timeframe even if this request has been lodged. </w:t>
      </w:r>
    </w:p>
    <w:p w:rsidR="000A3F6D" w:rsidRPr="000A3F6D" w:rsidRDefault="000A3F6D" w:rsidP="000A3F6D">
      <w:pPr>
        <w:keepNext/>
        <w:keepLines/>
        <w:numPr>
          <w:ilvl w:val="1"/>
          <w:numId w:val="55"/>
        </w:numPr>
        <w:spacing w:after="120"/>
        <w:ind w:left="709" w:hanging="709"/>
        <w:rPr>
          <w:rFonts w:ascii="Calibri" w:eastAsiaTheme="minorHAnsi" w:hAnsi="Calibri" w:cs="Calibri"/>
          <w:sz w:val="22"/>
          <w:lang w:eastAsia="en-US"/>
        </w:rPr>
      </w:pPr>
      <w:r w:rsidRPr="000A3F6D">
        <w:rPr>
          <w:rFonts w:ascii="Calibri" w:eastAsiaTheme="minorHAnsi" w:hAnsi="Calibri" w:cs="Calibri"/>
          <w:sz w:val="22"/>
          <w:lang w:eastAsia="en-US"/>
        </w:rPr>
        <w:lastRenderedPageBreak/>
        <w:t xml:space="preserve">If a premium payer successfully disputes their premiums and the final premium payable is less than originally indicated, Comcare is required under </w:t>
      </w:r>
      <w:r w:rsidR="00171440">
        <w:rPr>
          <w:rFonts w:ascii="Calibri" w:eastAsiaTheme="minorHAnsi" w:hAnsi="Calibri" w:cs="Calibri"/>
          <w:sz w:val="22"/>
          <w:lang w:eastAsia="en-US"/>
        </w:rPr>
        <w:t>S</w:t>
      </w:r>
      <w:r w:rsidR="00171440" w:rsidRPr="000A3F6D">
        <w:rPr>
          <w:rFonts w:ascii="Calibri" w:eastAsiaTheme="minorHAnsi" w:hAnsi="Calibri" w:cs="Calibri"/>
          <w:sz w:val="22"/>
          <w:lang w:eastAsia="en-US"/>
        </w:rPr>
        <w:t xml:space="preserve">ection </w:t>
      </w:r>
      <w:r w:rsidRPr="000A3F6D">
        <w:rPr>
          <w:rFonts w:ascii="Calibri" w:eastAsiaTheme="minorHAnsi" w:hAnsi="Calibri" w:cs="Calibri"/>
          <w:sz w:val="22"/>
          <w:lang w:eastAsia="en-US"/>
        </w:rPr>
        <w:t xml:space="preserve">97L to refund the difference between the amount originally paid and the reduced amount.  The SRC Act does not prescribe a time limit for a request for a review to be concluded, but interest is payable on the amount refundable for every day of the overpayment period. It is therefore in Comcare’s interest to finalise any request for review as quickly as possible in order to minimise the amount of </w:t>
      </w:r>
      <w:r w:rsidR="00171440">
        <w:rPr>
          <w:rFonts w:ascii="Calibri" w:eastAsiaTheme="minorHAnsi" w:hAnsi="Calibri" w:cs="Calibri"/>
          <w:sz w:val="22"/>
          <w:lang w:eastAsia="en-US"/>
        </w:rPr>
        <w:t xml:space="preserve">any </w:t>
      </w:r>
      <w:r w:rsidRPr="000A3F6D">
        <w:rPr>
          <w:rFonts w:ascii="Calibri" w:eastAsiaTheme="minorHAnsi" w:hAnsi="Calibri" w:cs="Calibri"/>
          <w:sz w:val="22"/>
          <w:lang w:eastAsia="en-US"/>
        </w:rPr>
        <w:t>interest payable.</w:t>
      </w:r>
    </w:p>
    <w:p w:rsidR="000A3F6D" w:rsidRPr="000A3F6D" w:rsidRDefault="000A3F6D" w:rsidP="000A3F6D">
      <w:pPr>
        <w:keepNext/>
        <w:keepLines/>
        <w:numPr>
          <w:ilvl w:val="1"/>
          <w:numId w:val="55"/>
        </w:numPr>
        <w:spacing w:after="120"/>
        <w:ind w:left="709" w:hanging="709"/>
        <w:rPr>
          <w:rFonts w:ascii="Calibri" w:eastAsiaTheme="minorHAnsi" w:hAnsi="Calibri" w:cs="Calibri"/>
          <w:sz w:val="22"/>
          <w:lang w:eastAsia="en-US"/>
        </w:rPr>
      </w:pPr>
      <w:r w:rsidRPr="000A3F6D">
        <w:rPr>
          <w:rFonts w:ascii="Calibri" w:eastAsiaTheme="minorHAnsi" w:hAnsi="Calibri" w:cs="Calibri"/>
          <w:sz w:val="22"/>
          <w:lang w:eastAsia="en-US"/>
        </w:rPr>
        <w:t xml:space="preserve">There are no provisions in the SRC Act requiring Comcare to retain separate funds for the ACT Government premium. All premium revenue since 1 July 2002 has therefore been credited to </w:t>
      </w:r>
      <w:r w:rsidR="00E84289">
        <w:rPr>
          <w:rFonts w:ascii="Calibri" w:eastAsiaTheme="minorHAnsi" w:hAnsi="Calibri" w:cs="Calibri"/>
          <w:sz w:val="22"/>
          <w:lang w:eastAsia="en-US"/>
        </w:rPr>
        <w:t xml:space="preserve">the </w:t>
      </w:r>
      <w:r w:rsidRPr="000A3F6D">
        <w:rPr>
          <w:rFonts w:ascii="Calibri" w:eastAsiaTheme="minorHAnsi" w:hAnsi="Calibri" w:cs="Calibri"/>
          <w:sz w:val="22"/>
          <w:lang w:eastAsia="en-US"/>
        </w:rPr>
        <w:t xml:space="preserve">Comcare </w:t>
      </w:r>
      <w:r w:rsidR="00E84289">
        <w:rPr>
          <w:rFonts w:ascii="Calibri" w:eastAsiaTheme="minorHAnsi" w:hAnsi="Calibri" w:cs="Calibri"/>
          <w:sz w:val="22"/>
          <w:lang w:eastAsia="en-US"/>
        </w:rPr>
        <w:t>R</w:t>
      </w:r>
      <w:r w:rsidRPr="000A3F6D">
        <w:rPr>
          <w:rFonts w:ascii="Calibri" w:eastAsiaTheme="minorHAnsi" w:hAnsi="Calibri" w:cs="Calibri"/>
          <w:sz w:val="22"/>
          <w:lang w:eastAsia="en-US"/>
        </w:rPr>
        <w:t xml:space="preserve">etained </w:t>
      </w:r>
      <w:r w:rsidR="00E84289">
        <w:rPr>
          <w:rFonts w:ascii="Calibri" w:eastAsiaTheme="minorHAnsi" w:hAnsi="Calibri" w:cs="Calibri"/>
          <w:sz w:val="22"/>
          <w:lang w:eastAsia="en-US"/>
        </w:rPr>
        <w:t>F</w:t>
      </w:r>
      <w:r w:rsidRPr="000A3F6D">
        <w:rPr>
          <w:rFonts w:ascii="Calibri" w:eastAsiaTheme="minorHAnsi" w:hAnsi="Calibri" w:cs="Calibri"/>
          <w:sz w:val="22"/>
          <w:lang w:eastAsia="en-US"/>
        </w:rPr>
        <w:t>und and all claim payments for both Australian Government agencies and the ACT Government claims are drawn from the same retained funds. As a result</w:t>
      </w:r>
      <w:r w:rsidR="00E84289">
        <w:rPr>
          <w:rFonts w:ascii="Calibri" w:eastAsiaTheme="minorHAnsi" w:hAnsi="Calibri" w:cs="Calibri"/>
          <w:sz w:val="22"/>
          <w:lang w:eastAsia="en-US"/>
        </w:rPr>
        <w:t>,</w:t>
      </w:r>
      <w:r w:rsidRPr="000A3F6D">
        <w:rPr>
          <w:rFonts w:ascii="Calibri" w:eastAsiaTheme="minorHAnsi" w:hAnsi="Calibri" w:cs="Calibri"/>
          <w:sz w:val="22"/>
          <w:lang w:eastAsia="en-US"/>
        </w:rPr>
        <w:t xml:space="preserve"> there is limited visibility of how premiums from different government sources are spent</w:t>
      </w:r>
      <w:r w:rsidR="00023148">
        <w:rPr>
          <w:rFonts w:ascii="Calibri" w:eastAsiaTheme="minorHAnsi" w:hAnsi="Calibri" w:cs="Calibri"/>
          <w:sz w:val="22"/>
          <w:lang w:eastAsia="en-US"/>
        </w:rPr>
        <w:t>,</w:t>
      </w:r>
      <w:r w:rsidRPr="000A3F6D">
        <w:rPr>
          <w:rFonts w:ascii="Calibri" w:eastAsiaTheme="minorHAnsi" w:hAnsi="Calibri" w:cs="Calibri"/>
          <w:sz w:val="22"/>
          <w:lang w:eastAsia="en-US"/>
        </w:rPr>
        <w:t xml:space="preserve"> </w:t>
      </w:r>
      <w:r w:rsidR="00023148" w:rsidRPr="000A3F6D">
        <w:rPr>
          <w:rFonts w:ascii="Calibri" w:eastAsiaTheme="minorHAnsi" w:hAnsi="Calibri" w:cs="Calibri"/>
          <w:sz w:val="22"/>
          <w:lang w:eastAsia="en-US"/>
        </w:rPr>
        <w:t>mean</w:t>
      </w:r>
      <w:r w:rsidR="00023148">
        <w:rPr>
          <w:rFonts w:ascii="Calibri" w:eastAsiaTheme="minorHAnsi" w:hAnsi="Calibri" w:cs="Calibri"/>
          <w:sz w:val="22"/>
          <w:lang w:eastAsia="en-US"/>
        </w:rPr>
        <w:t>ing</w:t>
      </w:r>
      <w:r w:rsidR="00023148" w:rsidRPr="000A3F6D">
        <w:rPr>
          <w:rFonts w:ascii="Calibri" w:eastAsiaTheme="minorHAnsi" w:hAnsi="Calibri" w:cs="Calibri"/>
          <w:sz w:val="22"/>
          <w:lang w:eastAsia="en-US"/>
        </w:rPr>
        <w:t xml:space="preserve"> </w:t>
      </w:r>
      <w:r w:rsidRPr="000A3F6D">
        <w:rPr>
          <w:rFonts w:ascii="Calibri" w:eastAsiaTheme="minorHAnsi" w:hAnsi="Calibri" w:cs="Calibri"/>
          <w:sz w:val="22"/>
          <w:lang w:eastAsia="en-US"/>
        </w:rPr>
        <w:t>premiums from one government could be subsidising the other, contrary to the Premium Guidelines.  Premiums paid before 1 July 2002 by all premium payers, including the ACT Government, remain in CRF</w:t>
      </w:r>
      <w:r w:rsidR="00023148">
        <w:rPr>
          <w:rFonts w:ascii="Calibri" w:eastAsiaTheme="minorHAnsi" w:hAnsi="Calibri" w:cs="Calibri"/>
          <w:sz w:val="22"/>
          <w:lang w:eastAsia="en-US"/>
        </w:rPr>
        <w:t>,</w:t>
      </w:r>
      <w:r w:rsidRPr="000A3F6D">
        <w:rPr>
          <w:rFonts w:ascii="Calibri" w:eastAsiaTheme="minorHAnsi" w:hAnsi="Calibri" w:cs="Calibri"/>
          <w:sz w:val="22"/>
          <w:lang w:eastAsia="en-US"/>
        </w:rPr>
        <w:t xml:space="preserve"> available for future appropriation in line with the provisions of </w:t>
      </w:r>
      <w:r w:rsidR="00171440">
        <w:rPr>
          <w:rFonts w:ascii="Calibri" w:eastAsiaTheme="minorHAnsi" w:hAnsi="Calibri" w:cs="Calibri"/>
          <w:sz w:val="22"/>
          <w:lang w:eastAsia="en-US"/>
        </w:rPr>
        <w:t>S</w:t>
      </w:r>
      <w:r w:rsidR="00171440" w:rsidRPr="000A3F6D">
        <w:rPr>
          <w:rFonts w:ascii="Calibri" w:eastAsiaTheme="minorHAnsi" w:hAnsi="Calibri" w:cs="Calibri"/>
          <w:sz w:val="22"/>
          <w:lang w:eastAsia="en-US"/>
        </w:rPr>
        <w:t xml:space="preserve">ection </w:t>
      </w:r>
      <w:r w:rsidRPr="000A3F6D">
        <w:rPr>
          <w:rFonts w:ascii="Calibri" w:eastAsiaTheme="minorHAnsi" w:hAnsi="Calibri" w:cs="Calibri"/>
          <w:sz w:val="22"/>
          <w:lang w:eastAsia="en-US"/>
        </w:rPr>
        <w:t>90C of the SRC Act.</w:t>
      </w:r>
    </w:p>
    <w:p w:rsidR="000A3F6D" w:rsidRPr="000A3F6D" w:rsidRDefault="000A3F6D" w:rsidP="000A3F6D">
      <w:pPr>
        <w:keepNext/>
        <w:keepLines/>
        <w:numPr>
          <w:ilvl w:val="1"/>
          <w:numId w:val="55"/>
        </w:numPr>
        <w:spacing w:after="120"/>
        <w:ind w:left="709" w:hanging="709"/>
        <w:rPr>
          <w:rFonts w:ascii="Calibri" w:eastAsiaTheme="minorHAnsi" w:hAnsi="Calibri" w:cs="Calibri"/>
          <w:sz w:val="22"/>
          <w:lang w:eastAsia="en-US"/>
        </w:rPr>
      </w:pPr>
      <w:r w:rsidRPr="000A3F6D">
        <w:rPr>
          <w:rFonts w:ascii="Calibri" w:eastAsiaTheme="minorHAnsi" w:hAnsi="Calibri" w:cs="Calibri"/>
          <w:sz w:val="22"/>
          <w:lang w:eastAsia="en-US"/>
        </w:rPr>
        <w:t xml:space="preserve">In October 2010, PricewaterhouseCoopers recommended </w:t>
      </w:r>
      <w:r w:rsidR="00171440">
        <w:rPr>
          <w:rFonts w:ascii="Calibri" w:eastAsiaTheme="minorHAnsi" w:hAnsi="Calibri" w:cs="Calibri"/>
          <w:sz w:val="22"/>
          <w:lang w:eastAsia="en-US"/>
        </w:rPr>
        <w:t>that</w:t>
      </w:r>
      <w:r w:rsidR="00171440" w:rsidRPr="000A3F6D">
        <w:rPr>
          <w:rFonts w:ascii="Calibri" w:eastAsiaTheme="minorHAnsi" w:hAnsi="Calibri" w:cs="Calibri"/>
          <w:sz w:val="22"/>
          <w:lang w:eastAsia="en-US"/>
        </w:rPr>
        <w:t xml:space="preserve"> </w:t>
      </w:r>
      <w:r w:rsidRPr="000A3F6D">
        <w:rPr>
          <w:rFonts w:ascii="Calibri" w:eastAsiaTheme="minorHAnsi" w:hAnsi="Calibri" w:cs="Calibri"/>
          <w:sz w:val="22"/>
          <w:lang w:eastAsia="en-US"/>
        </w:rPr>
        <w:t xml:space="preserve">Comcare consider the extent to which the ACT Government and Australian Government Agencies should fully support their own costs (including past shortfalls) or whether these </w:t>
      </w:r>
      <w:r w:rsidR="00171440">
        <w:rPr>
          <w:rFonts w:ascii="Calibri" w:eastAsiaTheme="minorHAnsi" w:hAnsi="Calibri" w:cs="Calibri"/>
          <w:sz w:val="22"/>
          <w:lang w:eastAsia="en-US"/>
        </w:rPr>
        <w:t>should continue to be</w:t>
      </w:r>
      <w:r w:rsidR="00171440" w:rsidRPr="000A3F6D">
        <w:rPr>
          <w:rFonts w:ascii="Calibri" w:eastAsiaTheme="minorHAnsi" w:hAnsi="Calibri" w:cs="Calibri"/>
          <w:sz w:val="22"/>
          <w:lang w:eastAsia="en-US"/>
        </w:rPr>
        <w:t xml:space="preserve"> </w:t>
      </w:r>
      <w:r w:rsidRPr="000A3F6D">
        <w:rPr>
          <w:rFonts w:ascii="Calibri" w:eastAsiaTheme="minorHAnsi" w:hAnsi="Calibri" w:cs="Calibri"/>
          <w:sz w:val="22"/>
          <w:lang w:eastAsia="en-US"/>
        </w:rPr>
        <w:t>borne as a single group (as is currently the case). Comcare continues to treat costs and shortfalls as a single group, reporting a single funding ratio and applying a common margin to both premium pools. The current deficiency in net assets and the calculation of the funding ratio represent the overall position of the premium payer side of the scheme as a whole (Australian Government and ACT Government combined).</w:t>
      </w:r>
    </w:p>
    <w:p w:rsidR="000A3F6D" w:rsidRPr="000A3F6D" w:rsidRDefault="000A3F6D" w:rsidP="000A3F6D">
      <w:pPr>
        <w:keepNext/>
        <w:keepLines/>
        <w:numPr>
          <w:ilvl w:val="1"/>
          <w:numId w:val="55"/>
        </w:numPr>
        <w:spacing w:after="120"/>
        <w:ind w:left="709" w:hanging="709"/>
        <w:rPr>
          <w:rFonts w:ascii="Calibri" w:eastAsiaTheme="minorHAnsi" w:hAnsi="Calibri" w:cs="Calibri"/>
          <w:sz w:val="22"/>
          <w:lang w:eastAsia="en-US"/>
        </w:rPr>
      </w:pPr>
      <w:r w:rsidRPr="000A3F6D">
        <w:rPr>
          <w:rFonts w:ascii="Calibri" w:eastAsiaTheme="minorHAnsi" w:hAnsi="Calibri" w:cs="Calibri"/>
          <w:sz w:val="22"/>
          <w:lang w:eastAsia="en-US"/>
        </w:rPr>
        <w:t>Applying a single funding ratio to both funds</w:t>
      </w:r>
      <w:r w:rsidR="00F62990">
        <w:rPr>
          <w:rFonts w:ascii="Calibri" w:eastAsiaTheme="minorHAnsi" w:hAnsi="Calibri" w:cs="Calibri"/>
          <w:sz w:val="22"/>
          <w:lang w:eastAsia="en-US"/>
        </w:rPr>
        <w:t xml:space="preserve"> </w:t>
      </w:r>
      <w:r w:rsidRPr="000A3F6D">
        <w:rPr>
          <w:rFonts w:ascii="Calibri" w:eastAsiaTheme="minorHAnsi" w:hAnsi="Calibri" w:cs="Calibri"/>
          <w:sz w:val="22"/>
          <w:lang w:eastAsia="en-US"/>
        </w:rPr>
        <w:t>may mean that there is an element of cross</w:t>
      </w:r>
      <w:r w:rsidRPr="000A3F6D">
        <w:rPr>
          <w:rFonts w:ascii="Calibri" w:eastAsiaTheme="minorHAnsi" w:hAnsi="Calibri" w:cs="Calibri"/>
          <w:sz w:val="22"/>
          <w:lang w:eastAsia="en-US"/>
        </w:rPr>
        <w:noBreakHyphen/>
        <w:t>subsidisation. If the actual experiences of both funds differ from the margins applied, then this would result in one scheme cross-subsidising the other. Cross</w:t>
      </w:r>
      <w:r w:rsidRPr="000A3F6D">
        <w:rPr>
          <w:rFonts w:ascii="Calibri" w:eastAsiaTheme="minorHAnsi" w:hAnsi="Calibri" w:cs="Calibri"/>
          <w:sz w:val="22"/>
          <w:lang w:eastAsia="en-US"/>
        </w:rPr>
        <w:noBreakHyphen/>
        <w:t>subsidisation is, however, limited as both schemes are valued separately before being combined for the purpose of determining a single funding ratio and the margins to be applied.</w:t>
      </w:r>
    </w:p>
    <w:p w:rsidR="000A3F6D" w:rsidRPr="000A3F6D" w:rsidRDefault="00023148" w:rsidP="000A3F6D">
      <w:pPr>
        <w:keepNext/>
        <w:keepLines/>
        <w:numPr>
          <w:ilvl w:val="1"/>
          <w:numId w:val="55"/>
        </w:numPr>
        <w:spacing w:after="120"/>
        <w:ind w:left="709" w:hanging="709"/>
        <w:rPr>
          <w:rFonts w:ascii="Calibri" w:eastAsiaTheme="minorHAnsi" w:hAnsi="Calibri" w:cs="Calibri"/>
          <w:sz w:val="22"/>
          <w:lang w:eastAsia="en-US"/>
        </w:rPr>
      </w:pPr>
      <w:r>
        <w:rPr>
          <w:rFonts w:ascii="Calibri" w:eastAsiaTheme="minorHAnsi" w:hAnsi="Calibri" w:cs="Calibri"/>
          <w:sz w:val="22"/>
          <w:lang w:eastAsia="en-US"/>
        </w:rPr>
        <w:t>H</w:t>
      </w:r>
      <w:r w:rsidR="000A3F6D" w:rsidRPr="000A3F6D">
        <w:rPr>
          <w:rFonts w:ascii="Calibri" w:eastAsiaTheme="minorHAnsi" w:hAnsi="Calibri" w:cs="Calibri"/>
          <w:sz w:val="22"/>
          <w:lang w:eastAsia="en-US"/>
        </w:rPr>
        <w:t>aving separate funds would enable the true performance of each fund to be properly assessed. This approach would introduce an element of increased volatility to both schemes, especially for the smaller scheme, which is the ACT Government’s. Any changes in valuation could significantly affect the funding ratios and margins to be applied thereby impacting on the premiums charged year to year.</w:t>
      </w:r>
    </w:p>
    <w:p w:rsidR="000A3F6D" w:rsidRPr="000A3F6D" w:rsidRDefault="000A3F6D" w:rsidP="000A3F6D">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ind w:left="851" w:hanging="851"/>
        <w:rPr>
          <w:rFonts w:ascii="Calibri" w:eastAsiaTheme="minorHAnsi" w:hAnsi="Calibri" w:cs="Calibri"/>
          <w:b/>
          <w:sz w:val="22"/>
          <w:lang w:eastAsia="en-US"/>
        </w:rPr>
      </w:pPr>
      <w:r w:rsidRPr="000A3F6D">
        <w:rPr>
          <w:rFonts w:ascii="Calibri" w:eastAsiaTheme="minorHAnsi" w:hAnsi="Calibri" w:cs="Calibri"/>
          <w:b/>
          <w:sz w:val="22"/>
          <w:lang w:eastAsia="en-US"/>
        </w:rPr>
        <w:t xml:space="preserve">Recommendation </w:t>
      </w:r>
      <w:r w:rsidR="00D916EA" w:rsidRPr="000A3F6D">
        <w:rPr>
          <w:rFonts w:ascii="Calibri" w:eastAsiaTheme="minorHAnsi" w:hAnsi="Calibri" w:cs="Calibri"/>
          <w:b/>
          <w:sz w:val="22"/>
          <w:lang w:eastAsia="en-US"/>
        </w:rPr>
        <w:t>2</w:t>
      </w:r>
      <w:r w:rsidR="00D916EA">
        <w:rPr>
          <w:rFonts w:ascii="Calibri" w:eastAsiaTheme="minorHAnsi" w:hAnsi="Calibri" w:cs="Calibri"/>
          <w:b/>
          <w:sz w:val="22"/>
          <w:lang w:eastAsia="en-US"/>
        </w:rPr>
        <w:t>8</w:t>
      </w:r>
    </w:p>
    <w:p w:rsidR="000A3F6D" w:rsidRPr="006E4538" w:rsidRDefault="000A3F6D" w:rsidP="0035663E">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rPr>
          <w:rFonts w:ascii="Calibri" w:eastAsiaTheme="minorHAnsi" w:hAnsi="Calibri" w:cs="Calibri"/>
          <w:sz w:val="22"/>
          <w:lang w:eastAsia="en-US"/>
        </w:rPr>
      </w:pPr>
      <w:r w:rsidRPr="000A3F6D">
        <w:rPr>
          <w:rFonts w:ascii="Calibri" w:eastAsiaTheme="minorHAnsi" w:hAnsi="Calibri" w:cs="Calibri"/>
          <w:sz w:val="22"/>
          <w:lang w:eastAsia="en-US"/>
        </w:rPr>
        <w:t>Comcare should establish two separate funds (one for the</w:t>
      </w:r>
      <w:r w:rsidR="00DE4A9A">
        <w:rPr>
          <w:rFonts w:ascii="Calibri" w:eastAsiaTheme="minorHAnsi" w:hAnsi="Calibri" w:cs="Calibri"/>
          <w:sz w:val="22"/>
          <w:lang w:eastAsia="en-US"/>
        </w:rPr>
        <w:t xml:space="preserve"> </w:t>
      </w:r>
      <w:r w:rsidRPr="000A3F6D">
        <w:rPr>
          <w:rFonts w:ascii="Calibri" w:eastAsiaTheme="minorHAnsi" w:hAnsi="Calibri" w:cs="Calibri"/>
          <w:sz w:val="22"/>
          <w:lang w:eastAsia="en-US"/>
        </w:rPr>
        <w:t xml:space="preserve">Commonwealth and one for the ACT) in the interests of transparency and to enhance </w:t>
      </w:r>
      <w:r w:rsidR="00675B30" w:rsidRPr="000A3F6D">
        <w:rPr>
          <w:rFonts w:ascii="Calibri" w:eastAsiaTheme="minorHAnsi" w:hAnsi="Calibri" w:cs="Calibri"/>
          <w:sz w:val="22"/>
          <w:lang w:eastAsia="en-US"/>
        </w:rPr>
        <w:t>the incentives</w:t>
      </w:r>
      <w:r w:rsidRPr="000A3F6D">
        <w:rPr>
          <w:rFonts w:ascii="Calibri" w:eastAsiaTheme="minorHAnsi" w:hAnsi="Calibri" w:cs="Calibri"/>
          <w:sz w:val="22"/>
          <w:lang w:eastAsia="en-US"/>
        </w:rPr>
        <w:t xml:space="preserve"> and price signals.</w:t>
      </w:r>
    </w:p>
    <w:p w:rsidR="000A3F6D" w:rsidRPr="000A3F6D" w:rsidRDefault="000A3F6D" w:rsidP="000A3F6D">
      <w:pPr>
        <w:keepNext/>
        <w:keepLines/>
        <w:spacing w:before="100" w:beforeAutospacing="1" w:after="100" w:afterAutospacing="1"/>
        <w:outlineLvl w:val="2"/>
        <w:rPr>
          <w:rFonts w:ascii="Arial Bold" w:eastAsiaTheme="majorEastAsia" w:hAnsi="Arial Bold" w:cs="Calibri"/>
          <w:bCs/>
          <w:caps/>
          <w:color w:val="1F497D" w:themeColor="text2"/>
          <w:sz w:val="23"/>
          <w:szCs w:val="23"/>
        </w:rPr>
      </w:pPr>
      <w:bookmarkStart w:id="575" w:name="_Toc341778049"/>
      <w:bookmarkStart w:id="576" w:name="_Toc342578422"/>
      <w:r w:rsidRPr="000A3F6D">
        <w:rPr>
          <w:rFonts w:ascii="Arial Bold" w:eastAsiaTheme="majorEastAsia" w:hAnsi="Arial Bold" w:cs="Calibri"/>
          <w:bCs/>
          <w:caps/>
          <w:color w:val="1F497D" w:themeColor="text2"/>
          <w:sz w:val="23"/>
          <w:szCs w:val="23"/>
        </w:rPr>
        <w:lastRenderedPageBreak/>
        <w:t>Recent Premium Increases</w:t>
      </w:r>
      <w:bookmarkEnd w:id="575"/>
      <w:bookmarkEnd w:id="576"/>
    </w:p>
    <w:p w:rsidR="000A3F6D" w:rsidRPr="000A3F6D" w:rsidRDefault="000A3F6D" w:rsidP="000A3F6D">
      <w:pPr>
        <w:keepNext/>
        <w:keepLines/>
        <w:numPr>
          <w:ilvl w:val="1"/>
          <w:numId w:val="55"/>
        </w:numPr>
        <w:spacing w:after="120"/>
        <w:ind w:left="709" w:hanging="709"/>
        <w:rPr>
          <w:rFonts w:ascii="Calibri" w:eastAsiaTheme="minorHAnsi" w:hAnsi="Calibri" w:cs="Calibri"/>
          <w:sz w:val="22"/>
          <w:lang w:eastAsia="en-US"/>
        </w:rPr>
      </w:pPr>
      <w:r w:rsidRPr="000A3F6D">
        <w:rPr>
          <w:rFonts w:ascii="Calibri" w:eastAsiaTheme="minorHAnsi" w:hAnsi="Calibri" w:cs="Calibri"/>
          <w:sz w:val="22"/>
          <w:lang w:eastAsia="en-US"/>
        </w:rPr>
        <w:t xml:space="preserve">As a result of the scheme’s outstanding liability valuations, and after a number of years of premium reductions, Comcare increased the total premium pool for the Australian Government and ACT Government in 2011-12 and again in 2012-13. There has been an increase of $385M in 2012-13. </w:t>
      </w:r>
      <w:r w:rsidR="00B5517B">
        <w:rPr>
          <w:rFonts w:ascii="Calibri" w:eastAsiaTheme="minorHAnsi" w:hAnsi="Calibri" w:cs="Calibri"/>
          <w:sz w:val="22"/>
          <w:lang w:eastAsia="en-US"/>
        </w:rPr>
        <w:t>Figure 4.2</w:t>
      </w:r>
      <w:r w:rsidRPr="000A3F6D">
        <w:rPr>
          <w:rFonts w:ascii="Calibri" w:eastAsiaTheme="minorHAnsi" w:hAnsi="Calibri" w:cs="Calibri"/>
          <w:sz w:val="22"/>
          <w:lang w:eastAsia="en-US"/>
        </w:rPr>
        <w:t xml:space="preserve"> shows the recent history of average premium rates for Australian Government and ACT Government premium payers.</w:t>
      </w:r>
    </w:p>
    <w:p w:rsidR="006315DC" w:rsidRDefault="006315DC" w:rsidP="000A3F6D">
      <w:pPr>
        <w:keepNext/>
        <w:keepLines/>
        <w:spacing w:after="120"/>
        <w:jc w:val="center"/>
        <w:rPr>
          <w:rFonts w:ascii="Calibri" w:eastAsiaTheme="minorHAnsi" w:hAnsi="Calibri" w:cs="Calibri"/>
          <w:b/>
          <w:sz w:val="22"/>
          <w:lang w:eastAsia="en-US"/>
        </w:rPr>
      </w:pPr>
    </w:p>
    <w:p w:rsidR="000A3F6D" w:rsidRPr="000A3F6D" w:rsidRDefault="000A3F6D" w:rsidP="000A3F6D">
      <w:pPr>
        <w:keepNext/>
        <w:keepLines/>
        <w:spacing w:after="120"/>
        <w:jc w:val="center"/>
        <w:rPr>
          <w:rFonts w:ascii="Calibri" w:eastAsiaTheme="minorHAnsi" w:hAnsi="Calibri" w:cs="Calibri"/>
          <w:b/>
          <w:sz w:val="22"/>
          <w:lang w:eastAsia="en-US"/>
        </w:rPr>
      </w:pPr>
      <w:r w:rsidRPr="000A3F6D">
        <w:rPr>
          <w:rFonts w:ascii="Calibri" w:eastAsiaTheme="minorHAnsi" w:hAnsi="Calibri" w:cs="Calibri"/>
          <w:b/>
          <w:sz w:val="22"/>
          <w:lang w:eastAsia="en-US"/>
        </w:rPr>
        <w:t>Figure 4.2: Premium rates</w:t>
      </w:r>
    </w:p>
    <w:p w:rsidR="000A3F6D" w:rsidRPr="000A3F6D" w:rsidRDefault="000A3F6D" w:rsidP="000A3F6D">
      <w:pPr>
        <w:keepNext/>
        <w:keepLines/>
        <w:spacing w:after="120"/>
        <w:ind w:left="709" w:hanging="709"/>
        <w:jc w:val="center"/>
        <w:rPr>
          <w:rFonts w:ascii="Calibri" w:eastAsiaTheme="minorHAnsi" w:hAnsi="Calibri" w:cs="Calibri"/>
          <w:b/>
          <w:noProof/>
          <w:sz w:val="22"/>
          <w:szCs w:val="22"/>
          <w:lang w:eastAsia="en-US"/>
        </w:rPr>
      </w:pPr>
      <w:r w:rsidRPr="0035663E">
        <w:rPr>
          <w:rFonts w:ascii="Calibri" w:eastAsiaTheme="minorHAnsi" w:hAnsi="Calibri" w:cs="Calibri"/>
          <w:b/>
          <w:noProof/>
          <w:sz w:val="22"/>
          <w:szCs w:val="22"/>
        </w:rPr>
        <w:drawing>
          <wp:inline distT="0" distB="0" distL="0" distR="0" wp14:anchorId="567A2C50" wp14:editId="2802CD6F">
            <wp:extent cx="5486400" cy="3200400"/>
            <wp:effectExtent l="0" t="0" r="19050" b="19050"/>
            <wp:docPr id="13" name="Chart 8" descr="The graph shows the premium rates, as a percentage of payroll, for the financial year 2006 to 2013.  Data is for both the Australian Government and the ACT Government.&#10;&#10;2006 to 2007&#10;Australian Government:1.77 percent of payroll&#10;ACT Government: 3.03 percent of payroll&#10;&#10;2007 to 2008&#10;Australian Government:1.55 percent of payroll&#10;ACT Government: 2.74 percent of payroll&#10;&#10;2008 to 2009&#10;Australian Government:1.36 percent of payroll&#10;ACT Government: 2.66 percent of payroll&#10;&#10;2009 to 2010&#10;Australian Government:1.25 percent of payroll&#10;ACT Government: 2.74 percent of payroll&#10;&#10;2010 to 2011&#10;Australian Government:1.2 percent of payroll&#10;ACT Government: 3 percent of payroll&#10;&#10;2011 to 2012&#10;Australian Government:1.41 percent of payroll&#10;ACT Government: 3.39 percent of payroll&#10;&#10;2012 to 2013&#10;Australian Government:1.77 percent of payroll&#10;ACT Government: 4.05 percent of payroll&#10;&#10;&#10;&#10;&#10;&#10;" title="Figure 4.2 Premium rates"/>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0A3F6D" w:rsidRPr="000A3F6D" w:rsidRDefault="000A3F6D" w:rsidP="000A3F6D">
      <w:pPr>
        <w:keepNext/>
        <w:keepLines/>
        <w:ind w:left="709"/>
        <w:contextualSpacing/>
        <w:jc w:val="right"/>
        <w:rPr>
          <w:rFonts w:asciiTheme="minorHAnsi" w:eastAsiaTheme="minorHAnsi" w:hAnsiTheme="minorHAnsi" w:cstheme="minorBidi"/>
          <w:sz w:val="20"/>
          <w:szCs w:val="20"/>
          <w:lang w:eastAsia="en-US"/>
        </w:rPr>
      </w:pPr>
      <w:r w:rsidRPr="000A3F6D">
        <w:rPr>
          <w:rFonts w:asciiTheme="minorHAnsi" w:eastAsiaTheme="minorHAnsi" w:hAnsiTheme="minorHAnsi" w:cstheme="minorBidi"/>
          <w:sz w:val="20"/>
          <w:szCs w:val="20"/>
          <w:lang w:eastAsia="en-US"/>
        </w:rPr>
        <w:t>Source: Comcare 2012</w:t>
      </w:r>
    </w:p>
    <w:p w:rsidR="000A3F6D" w:rsidRPr="000A3F6D" w:rsidRDefault="000A3F6D" w:rsidP="000A3F6D">
      <w:pPr>
        <w:spacing w:after="200" w:line="276" w:lineRule="auto"/>
        <w:ind w:left="709"/>
        <w:contextualSpacing/>
        <w:rPr>
          <w:rFonts w:ascii="Calibri" w:eastAsiaTheme="minorHAnsi" w:hAnsi="Calibri" w:cs="Calibri"/>
          <w:sz w:val="22"/>
          <w:lang w:eastAsia="en-US"/>
        </w:rPr>
      </w:pPr>
    </w:p>
    <w:p w:rsidR="000A3F6D" w:rsidRPr="000A3F6D" w:rsidRDefault="000A3F6D" w:rsidP="000A3F6D">
      <w:pPr>
        <w:keepNext/>
        <w:keepLines/>
        <w:numPr>
          <w:ilvl w:val="1"/>
          <w:numId w:val="55"/>
        </w:numPr>
        <w:spacing w:after="120"/>
        <w:ind w:left="709" w:hanging="709"/>
        <w:rPr>
          <w:rFonts w:ascii="Calibri" w:eastAsiaTheme="minorHAnsi" w:hAnsi="Calibri" w:cs="Calibri"/>
          <w:sz w:val="22"/>
          <w:lang w:eastAsia="en-US"/>
        </w:rPr>
      </w:pPr>
      <w:r w:rsidRPr="000A3F6D">
        <w:rPr>
          <w:rFonts w:ascii="Calibri" w:eastAsiaTheme="minorHAnsi" w:hAnsi="Calibri" w:cs="Calibri"/>
          <w:sz w:val="22"/>
          <w:lang w:eastAsia="en-US"/>
        </w:rPr>
        <w:t>The recent significant premium increases are due to the upward pressure on claims costs.</w:t>
      </w:r>
    </w:p>
    <w:p w:rsidR="000A3F6D" w:rsidRPr="000A3F6D" w:rsidRDefault="000A3F6D" w:rsidP="000A3F6D">
      <w:pPr>
        <w:keepNext/>
        <w:keepLines/>
        <w:numPr>
          <w:ilvl w:val="1"/>
          <w:numId w:val="55"/>
        </w:numPr>
        <w:spacing w:after="120"/>
        <w:ind w:left="709" w:hanging="709"/>
        <w:rPr>
          <w:rFonts w:asciiTheme="minorHAnsi" w:eastAsiaTheme="minorHAnsi" w:hAnsiTheme="minorHAnsi" w:cstheme="minorBidi"/>
          <w:sz w:val="22"/>
          <w:szCs w:val="22"/>
          <w:lang w:eastAsia="en-US"/>
        </w:rPr>
      </w:pPr>
      <w:r w:rsidRPr="000A3F6D">
        <w:rPr>
          <w:rFonts w:ascii="Calibri" w:eastAsiaTheme="minorHAnsi" w:hAnsi="Calibri" w:cs="Calibri"/>
          <w:sz w:val="22"/>
          <w:lang w:eastAsia="en-US"/>
        </w:rPr>
        <w:t>The Taylor Fry central estimate of the 2012-13 Australian Government premium pool was $268.</w:t>
      </w:r>
      <w:r w:rsidR="00884184" w:rsidRPr="000A3F6D">
        <w:rPr>
          <w:rFonts w:ascii="Calibri" w:eastAsiaTheme="minorHAnsi" w:hAnsi="Calibri" w:cs="Calibri"/>
          <w:sz w:val="22"/>
          <w:lang w:eastAsia="en-US"/>
        </w:rPr>
        <w:t>3</w:t>
      </w:r>
      <w:r w:rsidR="00884184">
        <w:rPr>
          <w:rFonts w:ascii="Calibri" w:eastAsiaTheme="minorHAnsi" w:hAnsi="Calibri" w:cs="Calibri"/>
          <w:sz w:val="22"/>
          <w:lang w:eastAsia="en-US"/>
        </w:rPr>
        <w:t>m</w:t>
      </w:r>
      <w:r w:rsidRPr="000A3F6D">
        <w:rPr>
          <w:rFonts w:ascii="Calibri" w:eastAsiaTheme="minorHAnsi" w:hAnsi="Calibri" w:cs="Calibri"/>
          <w:sz w:val="22"/>
          <w:lang w:eastAsia="en-US"/>
        </w:rPr>
        <w:t>, or $1,368 per Full Time Equivalent (FTE) employee. This represents an increase of 33 per cent per FTE from the corresponding estimate for the 2011-12 premium pool of $201.7</w:t>
      </w:r>
      <w:r w:rsidR="00884184">
        <w:rPr>
          <w:rFonts w:ascii="Calibri" w:eastAsiaTheme="minorHAnsi" w:hAnsi="Calibri" w:cs="Calibri"/>
          <w:sz w:val="22"/>
          <w:lang w:eastAsia="en-US"/>
        </w:rPr>
        <w:t>m</w:t>
      </w:r>
      <w:r w:rsidRPr="000A3F6D">
        <w:rPr>
          <w:rFonts w:ascii="Calibri" w:eastAsiaTheme="minorHAnsi" w:hAnsi="Calibri" w:cs="Calibri"/>
          <w:sz w:val="22"/>
          <w:lang w:eastAsia="en-US"/>
        </w:rPr>
        <w:t>, or $1,027 per FTE in the 30 June 2011 valuation.</w:t>
      </w:r>
    </w:p>
    <w:p w:rsidR="000A3F6D" w:rsidRPr="000A3F6D" w:rsidRDefault="000A3F6D" w:rsidP="000A3F6D">
      <w:pPr>
        <w:keepNext/>
        <w:keepLines/>
        <w:numPr>
          <w:ilvl w:val="1"/>
          <w:numId w:val="55"/>
        </w:numPr>
        <w:spacing w:after="120"/>
        <w:ind w:left="709" w:hanging="709"/>
        <w:rPr>
          <w:rFonts w:asciiTheme="minorHAnsi" w:eastAsiaTheme="minorHAnsi" w:hAnsiTheme="minorHAnsi" w:cstheme="minorBidi"/>
          <w:sz w:val="22"/>
          <w:szCs w:val="22"/>
          <w:lang w:eastAsia="en-US"/>
        </w:rPr>
      </w:pPr>
      <w:r w:rsidRPr="000A3F6D">
        <w:rPr>
          <w:rFonts w:ascii="Calibri" w:eastAsiaTheme="minorHAnsi" w:hAnsi="Calibri" w:cs="Calibri"/>
          <w:sz w:val="22"/>
          <w:lang w:eastAsia="en-US"/>
        </w:rPr>
        <w:t>The Taylor Fry central estimate of the 2012-13 ACT Government premium pool was $62.0</w:t>
      </w:r>
      <w:r w:rsidR="00884184">
        <w:rPr>
          <w:rFonts w:ascii="Calibri" w:eastAsiaTheme="minorHAnsi" w:hAnsi="Calibri" w:cs="Calibri"/>
          <w:sz w:val="22"/>
          <w:lang w:eastAsia="en-US"/>
        </w:rPr>
        <w:t>m</w:t>
      </w:r>
      <w:r w:rsidRPr="000A3F6D">
        <w:rPr>
          <w:rFonts w:ascii="Calibri" w:eastAsiaTheme="minorHAnsi" w:hAnsi="Calibri" w:cs="Calibri"/>
          <w:sz w:val="22"/>
          <w:lang w:eastAsia="en-US"/>
        </w:rPr>
        <w:t>, or $3,067 per FTE</w:t>
      </w:r>
      <w:r w:rsidR="00023148">
        <w:rPr>
          <w:rFonts w:ascii="Calibri" w:eastAsiaTheme="minorHAnsi" w:hAnsi="Calibri" w:cs="Calibri"/>
          <w:sz w:val="22"/>
          <w:lang w:eastAsia="en-US"/>
        </w:rPr>
        <w:t>,</w:t>
      </w:r>
      <w:r w:rsidRPr="000A3F6D">
        <w:rPr>
          <w:rFonts w:ascii="Calibri" w:eastAsiaTheme="minorHAnsi" w:hAnsi="Calibri" w:cs="Calibri"/>
          <w:sz w:val="22"/>
          <w:lang w:eastAsia="en-US"/>
        </w:rPr>
        <w:t xml:space="preserve"> </w:t>
      </w:r>
      <w:r w:rsidR="00023148" w:rsidRPr="000A3F6D">
        <w:rPr>
          <w:rFonts w:ascii="Calibri" w:eastAsiaTheme="minorHAnsi" w:hAnsi="Calibri" w:cs="Calibri"/>
          <w:sz w:val="22"/>
          <w:lang w:eastAsia="en-US"/>
        </w:rPr>
        <w:t>represent</w:t>
      </w:r>
      <w:r w:rsidR="00023148">
        <w:rPr>
          <w:rFonts w:ascii="Calibri" w:eastAsiaTheme="minorHAnsi" w:hAnsi="Calibri" w:cs="Calibri"/>
          <w:sz w:val="22"/>
          <w:lang w:eastAsia="en-US"/>
        </w:rPr>
        <w:t>ing</w:t>
      </w:r>
      <w:r w:rsidR="00023148" w:rsidRPr="000A3F6D">
        <w:rPr>
          <w:rFonts w:ascii="Calibri" w:eastAsiaTheme="minorHAnsi" w:hAnsi="Calibri" w:cs="Calibri"/>
          <w:sz w:val="22"/>
          <w:lang w:eastAsia="en-US"/>
        </w:rPr>
        <w:t xml:space="preserve"> </w:t>
      </w:r>
      <w:r w:rsidRPr="000A3F6D">
        <w:rPr>
          <w:rFonts w:ascii="Calibri" w:eastAsiaTheme="minorHAnsi" w:hAnsi="Calibri" w:cs="Calibri"/>
          <w:sz w:val="22"/>
          <w:lang w:eastAsia="en-US"/>
        </w:rPr>
        <w:t>an increase of 25 per cent per FTE from the corresponding estimate for the 2011-12 premium pool of $48.5</w:t>
      </w:r>
      <w:r w:rsidR="00884184">
        <w:rPr>
          <w:rFonts w:ascii="Calibri" w:eastAsiaTheme="minorHAnsi" w:hAnsi="Calibri" w:cs="Calibri"/>
          <w:sz w:val="22"/>
          <w:lang w:eastAsia="en-US"/>
        </w:rPr>
        <w:t>m</w:t>
      </w:r>
      <w:r w:rsidRPr="000A3F6D">
        <w:rPr>
          <w:rFonts w:ascii="Calibri" w:eastAsiaTheme="minorHAnsi" w:hAnsi="Calibri" w:cs="Calibri"/>
          <w:sz w:val="22"/>
          <w:lang w:eastAsia="en-US"/>
        </w:rPr>
        <w:t>, or $2,455 per FTE</w:t>
      </w:r>
      <w:r w:rsidR="00023148">
        <w:rPr>
          <w:rFonts w:ascii="Calibri" w:eastAsiaTheme="minorHAnsi" w:hAnsi="Calibri" w:cs="Calibri"/>
          <w:sz w:val="22"/>
          <w:lang w:eastAsia="en-US"/>
        </w:rPr>
        <w:t>.</w:t>
      </w:r>
    </w:p>
    <w:p w:rsidR="000A3F6D" w:rsidRPr="000A3F6D" w:rsidRDefault="000A3F6D" w:rsidP="000A3F6D">
      <w:pPr>
        <w:keepNext/>
        <w:keepLines/>
        <w:numPr>
          <w:ilvl w:val="1"/>
          <w:numId w:val="55"/>
        </w:numPr>
        <w:spacing w:after="120"/>
        <w:ind w:left="709" w:hanging="709"/>
        <w:rPr>
          <w:rFonts w:ascii="Calibri" w:eastAsiaTheme="minorHAnsi" w:hAnsi="Calibri" w:cs="Calibri"/>
          <w:sz w:val="22"/>
          <w:lang w:eastAsia="en-US"/>
        </w:rPr>
      </w:pPr>
      <w:r w:rsidRPr="000A3F6D">
        <w:rPr>
          <w:rFonts w:ascii="Calibri" w:eastAsiaTheme="minorHAnsi" w:hAnsi="Calibri" w:cs="Calibri"/>
          <w:sz w:val="22"/>
          <w:lang w:eastAsia="en-US"/>
        </w:rPr>
        <w:t>Taylor Fry attribute the premium increases to the following main factors:</w:t>
      </w:r>
    </w:p>
    <w:p w:rsidR="002555F4" w:rsidRDefault="000A3F6D" w:rsidP="0035663E">
      <w:pPr>
        <w:numPr>
          <w:ilvl w:val="2"/>
          <w:numId w:val="45"/>
        </w:numPr>
        <w:spacing w:after="120"/>
        <w:ind w:left="1134" w:hanging="425"/>
        <w:rPr>
          <w:rFonts w:ascii="Calibri" w:eastAsiaTheme="minorHAnsi" w:hAnsi="Calibri" w:cs="Calibri"/>
          <w:sz w:val="22"/>
          <w:lang w:eastAsia="en-US"/>
        </w:rPr>
      </w:pPr>
      <w:r w:rsidRPr="000A3F6D">
        <w:rPr>
          <w:rFonts w:ascii="Calibri" w:eastAsiaTheme="minorHAnsi" w:hAnsi="Calibri" w:cs="Calibri"/>
          <w:sz w:val="22"/>
          <w:lang w:eastAsia="en-US"/>
        </w:rPr>
        <w:t>approximately ten per cent increase due to two years’ general inflation;</w:t>
      </w:r>
    </w:p>
    <w:p w:rsidR="002555F4" w:rsidRDefault="000A3F6D" w:rsidP="0035663E">
      <w:pPr>
        <w:numPr>
          <w:ilvl w:val="2"/>
          <w:numId w:val="45"/>
        </w:numPr>
        <w:spacing w:after="120"/>
        <w:ind w:left="1134" w:hanging="425"/>
        <w:rPr>
          <w:rFonts w:ascii="Calibri" w:eastAsiaTheme="minorHAnsi" w:hAnsi="Calibri" w:cs="Calibri"/>
          <w:sz w:val="22"/>
          <w:lang w:eastAsia="en-US"/>
        </w:rPr>
      </w:pPr>
      <w:r w:rsidRPr="000A3F6D">
        <w:rPr>
          <w:rFonts w:ascii="Calibri" w:eastAsiaTheme="minorHAnsi" w:hAnsi="Calibri" w:cs="Calibri"/>
          <w:sz w:val="22"/>
          <w:lang w:eastAsia="en-US"/>
        </w:rPr>
        <w:t>approximately 15 per cent increase due to reductions in market interest rates used to discount future payments to present value; and</w:t>
      </w:r>
    </w:p>
    <w:p w:rsidR="002555F4" w:rsidRDefault="000A3F6D" w:rsidP="0035663E">
      <w:pPr>
        <w:numPr>
          <w:ilvl w:val="2"/>
          <w:numId w:val="45"/>
        </w:numPr>
        <w:spacing w:after="120"/>
        <w:ind w:left="1134" w:hanging="425"/>
        <w:rPr>
          <w:rFonts w:ascii="Calibri" w:eastAsiaTheme="minorHAnsi" w:hAnsi="Calibri" w:cs="Calibri"/>
          <w:sz w:val="22"/>
          <w:lang w:eastAsia="en-US"/>
        </w:rPr>
      </w:pPr>
      <w:r w:rsidRPr="000A3F6D">
        <w:rPr>
          <w:rFonts w:ascii="Calibri" w:eastAsiaTheme="minorHAnsi" w:hAnsi="Calibri" w:cs="Calibri"/>
          <w:sz w:val="22"/>
          <w:lang w:eastAsia="en-US"/>
        </w:rPr>
        <w:t>approximately 30 per cent (Commonwealth) and 20 per cent (ACT Government) increase in the average cost of claims (after wage inflation), due to a range of factors including an increasing proportion of more complex claims, longer claim durations and increases in projected claims continuance rates for long term incapacity and medical costs.</w:t>
      </w:r>
    </w:p>
    <w:p w:rsidR="000A3F6D" w:rsidRPr="000A3F6D" w:rsidRDefault="000A3F6D" w:rsidP="000A3F6D">
      <w:pPr>
        <w:keepNext/>
        <w:keepLines/>
        <w:numPr>
          <w:ilvl w:val="1"/>
          <w:numId w:val="55"/>
        </w:numPr>
        <w:spacing w:after="120"/>
        <w:ind w:left="709" w:hanging="709"/>
        <w:rPr>
          <w:rFonts w:ascii="Calibri" w:eastAsiaTheme="minorHAnsi" w:hAnsi="Calibri" w:cs="Calibri"/>
          <w:sz w:val="22"/>
          <w:lang w:eastAsia="en-US"/>
        </w:rPr>
      </w:pPr>
      <w:r w:rsidRPr="000A3F6D">
        <w:rPr>
          <w:rFonts w:ascii="Calibri" w:eastAsiaTheme="minorHAnsi" w:hAnsi="Calibri" w:cs="Calibri"/>
          <w:sz w:val="22"/>
          <w:lang w:eastAsia="en-US"/>
        </w:rPr>
        <w:lastRenderedPageBreak/>
        <w:t xml:space="preserve">During consultations with premium payer stakeholders, concerns were raised about the current premium process. These are summarised </w:t>
      </w:r>
      <w:r w:rsidR="00171440">
        <w:rPr>
          <w:rFonts w:ascii="Calibri" w:eastAsiaTheme="minorHAnsi" w:hAnsi="Calibri" w:cs="Calibri"/>
          <w:sz w:val="22"/>
          <w:lang w:eastAsia="en-US"/>
        </w:rPr>
        <w:t>below</w:t>
      </w:r>
      <w:r w:rsidRPr="000A3F6D">
        <w:rPr>
          <w:rFonts w:ascii="Calibri" w:eastAsiaTheme="minorHAnsi" w:hAnsi="Calibri" w:cs="Calibri"/>
          <w:sz w:val="22"/>
          <w:lang w:eastAsia="en-US"/>
        </w:rPr>
        <w:t>:</w:t>
      </w:r>
    </w:p>
    <w:p w:rsidR="000A3F6D" w:rsidRPr="000A3F6D" w:rsidRDefault="000A3F6D" w:rsidP="000A3F6D">
      <w:pPr>
        <w:spacing w:after="120"/>
        <w:rPr>
          <w:rFonts w:ascii="Calibri" w:eastAsiaTheme="minorHAnsi" w:hAnsi="Calibri" w:cs="Calibri"/>
          <w:b/>
          <w:sz w:val="22"/>
          <w:lang w:eastAsia="en-US"/>
        </w:rPr>
      </w:pPr>
      <w:r w:rsidRPr="000A3F6D">
        <w:rPr>
          <w:rFonts w:ascii="Calibri" w:eastAsiaTheme="minorHAnsi" w:hAnsi="Calibri" w:cs="Calibri"/>
          <w:b/>
          <w:sz w:val="22"/>
          <w:lang w:eastAsia="en-US"/>
        </w:rPr>
        <w:t>The Premium Cycle</w:t>
      </w:r>
    </w:p>
    <w:p w:rsidR="000A3F6D" w:rsidRPr="000A3F6D" w:rsidRDefault="000A3F6D" w:rsidP="000A3F6D">
      <w:pPr>
        <w:keepNext/>
        <w:keepLines/>
        <w:numPr>
          <w:ilvl w:val="1"/>
          <w:numId w:val="55"/>
        </w:numPr>
        <w:spacing w:after="120"/>
        <w:ind w:left="709" w:hanging="709"/>
        <w:rPr>
          <w:rFonts w:ascii="Calibri" w:eastAsiaTheme="minorHAnsi" w:hAnsi="Calibri" w:cs="Calibri"/>
          <w:sz w:val="22"/>
          <w:lang w:eastAsia="en-US"/>
        </w:rPr>
      </w:pPr>
      <w:r w:rsidRPr="000A3F6D">
        <w:rPr>
          <w:rFonts w:ascii="Calibri" w:eastAsiaTheme="minorHAnsi" w:hAnsi="Calibri" w:cs="Calibri"/>
          <w:sz w:val="22"/>
          <w:lang w:eastAsia="en-US"/>
        </w:rPr>
        <w:t xml:space="preserve">Stakeholders raised concerns that the premium cycle did not fit with the normal Australian Government budgeting cycle. For example, stakeholders are required to provide their salaries and wages details for the next financial year by 30 April each year, but </w:t>
      </w:r>
      <w:r w:rsidR="006E4538" w:rsidRPr="000A3F6D">
        <w:rPr>
          <w:rFonts w:ascii="Calibri" w:eastAsiaTheme="minorHAnsi" w:hAnsi="Calibri" w:cs="Calibri"/>
          <w:sz w:val="22"/>
          <w:lang w:eastAsia="en-US"/>
        </w:rPr>
        <w:t>most would</w:t>
      </w:r>
      <w:r w:rsidRPr="000A3F6D">
        <w:rPr>
          <w:rFonts w:ascii="Calibri" w:eastAsiaTheme="minorHAnsi" w:hAnsi="Calibri" w:cs="Calibri"/>
          <w:sz w:val="22"/>
          <w:lang w:eastAsia="en-US"/>
        </w:rPr>
        <w:t xml:space="preserve"> not have a firm idea at that stage what their funding/staffing levels are going to be for the next year. Comcare advises that in practice stakeholders can sometimes take until May when they are aware of their final budget position before providing these figures.</w:t>
      </w:r>
    </w:p>
    <w:p w:rsidR="000A3F6D" w:rsidRPr="000A3F6D" w:rsidRDefault="000A3F6D" w:rsidP="000A3F6D">
      <w:pPr>
        <w:numPr>
          <w:ilvl w:val="1"/>
          <w:numId w:val="55"/>
        </w:numPr>
        <w:spacing w:after="120"/>
        <w:ind w:left="709" w:hanging="709"/>
        <w:rPr>
          <w:rFonts w:ascii="Calibri" w:eastAsiaTheme="minorHAnsi" w:hAnsi="Calibri" w:cs="Calibri"/>
          <w:sz w:val="22"/>
          <w:szCs w:val="22"/>
          <w:lang w:eastAsia="en-US"/>
        </w:rPr>
      </w:pPr>
      <w:r w:rsidRPr="000A3F6D">
        <w:rPr>
          <w:rFonts w:ascii="Calibri" w:eastAsiaTheme="minorHAnsi" w:hAnsi="Calibri" w:cs="Calibri"/>
          <w:sz w:val="22"/>
          <w:lang w:eastAsia="en-US"/>
        </w:rPr>
        <w:t xml:space="preserve">Similarly, premiums payable for the next financial year are provided to premium payers in </w:t>
      </w:r>
      <w:r w:rsidRPr="000A3F6D">
        <w:rPr>
          <w:rFonts w:ascii="Calibri" w:eastAsiaTheme="minorHAnsi" w:hAnsi="Calibri" w:cs="Calibri"/>
          <w:sz w:val="22"/>
          <w:szCs w:val="22"/>
          <w:lang w:eastAsia="en-US"/>
        </w:rPr>
        <w:t>late June, by which time it is too late to make an appropriate allocation in their budget</w:t>
      </w:r>
    </w:p>
    <w:p w:rsidR="000A3F6D" w:rsidRPr="000A3F6D" w:rsidRDefault="000A3F6D" w:rsidP="000A3F6D">
      <w:pPr>
        <w:keepNext/>
        <w:keepLines/>
        <w:spacing w:after="120"/>
        <w:rPr>
          <w:rFonts w:ascii="Calibri" w:hAnsi="Calibri" w:cs="Calibri"/>
        </w:rPr>
      </w:pPr>
      <w:r w:rsidRPr="000A3F6D">
        <w:rPr>
          <w:rFonts w:ascii="Calibri" w:eastAsiaTheme="minorHAnsi" w:hAnsi="Calibri" w:cs="Calibri"/>
          <w:b/>
          <w:sz w:val="22"/>
          <w:lang w:eastAsia="en-US"/>
        </w:rPr>
        <w:t>Transparency of the Premium Calculation Process</w:t>
      </w:r>
    </w:p>
    <w:p w:rsidR="000A3F6D" w:rsidRPr="000A3F6D" w:rsidRDefault="000A3F6D" w:rsidP="000A3F6D">
      <w:pPr>
        <w:keepNext/>
        <w:keepLines/>
        <w:numPr>
          <w:ilvl w:val="1"/>
          <w:numId w:val="55"/>
        </w:numPr>
        <w:spacing w:after="120"/>
        <w:ind w:left="709" w:hanging="709"/>
        <w:rPr>
          <w:rFonts w:ascii="Calibri" w:eastAsiaTheme="minorHAnsi" w:hAnsi="Calibri" w:cs="Calibri"/>
          <w:sz w:val="22"/>
          <w:lang w:eastAsia="en-US"/>
        </w:rPr>
      </w:pPr>
      <w:r w:rsidRPr="000A3F6D">
        <w:rPr>
          <w:rFonts w:ascii="Calibri" w:eastAsiaTheme="minorHAnsi" w:hAnsi="Calibri" w:cs="Calibri"/>
          <w:sz w:val="22"/>
          <w:lang w:eastAsia="en-US"/>
        </w:rPr>
        <w:t>Most premium</w:t>
      </w:r>
      <w:r w:rsidR="00884184">
        <w:rPr>
          <w:rFonts w:ascii="Calibri" w:eastAsiaTheme="minorHAnsi" w:hAnsi="Calibri" w:cs="Calibri"/>
          <w:sz w:val="22"/>
          <w:lang w:eastAsia="en-US"/>
        </w:rPr>
        <w:t xml:space="preserve"> </w:t>
      </w:r>
      <w:r w:rsidRPr="000A3F6D">
        <w:rPr>
          <w:rFonts w:ascii="Calibri" w:eastAsiaTheme="minorHAnsi" w:hAnsi="Calibri" w:cs="Calibri"/>
          <w:sz w:val="22"/>
          <w:lang w:eastAsia="en-US"/>
        </w:rPr>
        <w:t xml:space="preserve">payer stakeholders described the premium calculation process and formula as </w:t>
      </w:r>
      <w:r w:rsidR="00884184">
        <w:rPr>
          <w:rFonts w:ascii="Calibri" w:eastAsiaTheme="minorHAnsi" w:hAnsi="Calibri" w:cs="Calibri"/>
          <w:sz w:val="22"/>
          <w:lang w:eastAsia="en-US"/>
        </w:rPr>
        <w:t>obscure</w:t>
      </w:r>
      <w:r w:rsidR="00171440">
        <w:rPr>
          <w:rFonts w:ascii="Calibri" w:eastAsiaTheme="minorHAnsi" w:hAnsi="Calibri" w:cs="Calibri"/>
          <w:sz w:val="22"/>
          <w:lang w:eastAsia="en-US"/>
        </w:rPr>
        <w:t>,</w:t>
      </w:r>
      <w:r w:rsidRPr="000A3F6D">
        <w:rPr>
          <w:rFonts w:ascii="Calibri" w:eastAsiaTheme="minorHAnsi" w:hAnsi="Calibri" w:cs="Calibri"/>
          <w:sz w:val="22"/>
          <w:lang w:eastAsia="en-US"/>
        </w:rPr>
        <w:t xml:space="preserve"> </w:t>
      </w:r>
      <w:r w:rsidR="00171440" w:rsidRPr="000A3F6D">
        <w:rPr>
          <w:rFonts w:ascii="Calibri" w:eastAsiaTheme="minorHAnsi" w:hAnsi="Calibri" w:cs="Calibri"/>
          <w:sz w:val="22"/>
          <w:lang w:eastAsia="en-US"/>
        </w:rPr>
        <w:t>express</w:t>
      </w:r>
      <w:r w:rsidR="00171440">
        <w:rPr>
          <w:rFonts w:ascii="Calibri" w:eastAsiaTheme="minorHAnsi" w:hAnsi="Calibri" w:cs="Calibri"/>
          <w:sz w:val="22"/>
          <w:lang w:eastAsia="en-US"/>
        </w:rPr>
        <w:t>ing</w:t>
      </w:r>
      <w:r w:rsidR="00171440" w:rsidRPr="000A3F6D">
        <w:rPr>
          <w:rFonts w:ascii="Calibri" w:eastAsiaTheme="minorHAnsi" w:hAnsi="Calibri" w:cs="Calibri"/>
          <w:sz w:val="22"/>
          <w:lang w:eastAsia="en-US"/>
        </w:rPr>
        <w:t xml:space="preserve"> </w:t>
      </w:r>
      <w:r w:rsidRPr="000A3F6D">
        <w:rPr>
          <w:rFonts w:ascii="Calibri" w:eastAsiaTheme="minorHAnsi" w:hAnsi="Calibri" w:cs="Calibri"/>
          <w:sz w:val="22"/>
          <w:lang w:eastAsia="en-US"/>
        </w:rPr>
        <w:t>frustration that despite numerous meetings with Comcare, it remained difficult to understand exactly how the premiums are calculated.  These stakeholders felt that a better understanding of how premiums are calculated would assist in better targeting their activities with a view to reducing their premiums.</w:t>
      </w:r>
    </w:p>
    <w:p w:rsidR="000A3F6D" w:rsidRPr="000A3F6D" w:rsidRDefault="000A3F6D" w:rsidP="000A3F6D">
      <w:pPr>
        <w:keepNext/>
        <w:keepLines/>
        <w:numPr>
          <w:ilvl w:val="1"/>
          <w:numId w:val="55"/>
        </w:numPr>
        <w:spacing w:after="120"/>
        <w:ind w:left="709" w:hanging="709"/>
        <w:rPr>
          <w:rFonts w:ascii="Calibri" w:eastAsiaTheme="minorHAnsi" w:hAnsi="Calibri" w:cs="Calibri"/>
          <w:sz w:val="22"/>
          <w:lang w:eastAsia="en-US"/>
        </w:rPr>
      </w:pPr>
      <w:r w:rsidRPr="000A3F6D">
        <w:rPr>
          <w:rFonts w:ascii="Calibri" w:eastAsiaTheme="minorHAnsi" w:hAnsi="Calibri" w:cs="Calibri"/>
          <w:sz w:val="22"/>
          <w:lang w:eastAsia="en-US"/>
        </w:rPr>
        <w:t>In a similar vein, premium payer stakeholders were concerned that despite their best efforts and some good return to work outcomes, this was not being recognised in the premiums and they are still experiencing premium increases.</w:t>
      </w:r>
    </w:p>
    <w:p w:rsidR="000A3F6D" w:rsidRPr="000A3F6D" w:rsidRDefault="000A3F6D" w:rsidP="000A3F6D">
      <w:pPr>
        <w:keepNext/>
        <w:keepLines/>
        <w:numPr>
          <w:ilvl w:val="1"/>
          <w:numId w:val="55"/>
        </w:numPr>
        <w:spacing w:after="120"/>
        <w:ind w:left="709" w:hanging="709"/>
        <w:rPr>
          <w:rFonts w:ascii="Calibri" w:eastAsiaTheme="minorHAnsi" w:hAnsi="Calibri" w:cs="Calibri"/>
          <w:sz w:val="22"/>
          <w:lang w:eastAsia="en-US"/>
        </w:rPr>
      </w:pPr>
      <w:r w:rsidRPr="000A3F6D">
        <w:rPr>
          <w:rFonts w:ascii="Calibri" w:eastAsiaTheme="minorHAnsi" w:hAnsi="Calibri" w:cs="Calibri"/>
          <w:sz w:val="22"/>
          <w:lang w:eastAsia="en-US"/>
        </w:rPr>
        <w:t xml:space="preserve">Premium payer stakeholders also </w:t>
      </w:r>
      <w:r w:rsidR="00171440">
        <w:rPr>
          <w:rFonts w:ascii="Calibri" w:eastAsiaTheme="minorHAnsi" w:hAnsi="Calibri" w:cs="Calibri"/>
          <w:sz w:val="22"/>
          <w:lang w:eastAsia="en-US"/>
        </w:rPr>
        <w:t>wanted</w:t>
      </w:r>
      <w:r w:rsidRPr="000A3F6D">
        <w:rPr>
          <w:rFonts w:ascii="Calibri" w:eastAsiaTheme="minorHAnsi" w:hAnsi="Calibri" w:cs="Calibri"/>
          <w:sz w:val="22"/>
          <w:lang w:eastAsia="en-US"/>
        </w:rPr>
        <w:t xml:space="preserve"> a process implemented that can </w:t>
      </w:r>
      <w:r w:rsidR="00171440">
        <w:rPr>
          <w:rFonts w:ascii="Calibri" w:eastAsiaTheme="minorHAnsi" w:hAnsi="Calibri" w:cs="Calibri"/>
          <w:sz w:val="22"/>
          <w:lang w:eastAsia="en-US"/>
        </w:rPr>
        <w:t>indicate</w:t>
      </w:r>
      <w:r w:rsidRPr="000A3F6D">
        <w:rPr>
          <w:rFonts w:ascii="Calibri" w:eastAsiaTheme="minorHAnsi" w:hAnsi="Calibri" w:cs="Calibri"/>
          <w:sz w:val="22"/>
          <w:lang w:eastAsia="en-US"/>
        </w:rPr>
        <w:t xml:space="preserve"> their likely next year premium throughout the year </w:t>
      </w:r>
      <w:r w:rsidR="00171440">
        <w:rPr>
          <w:rFonts w:ascii="Calibri" w:eastAsiaTheme="minorHAnsi" w:hAnsi="Calibri" w:cs="Calibri"/>
          <w:sz w:val="22"/>
          <w:lang w:eastAsia="en-US"/>
        </w:rPr>
        <w:t>to</w:t>
      </w:r>
      <w:r w:rsidRPr="000A3F6D">
        <w:rPr>
          <w:rFonts w:ascii="Calibri" w:eastAsiaTheme="minorHAnsi" w:hAnsi="Calibri" w:cs="Calibri"/>
          <w:sz w:val="22"/>
          <w:lang w:eastAsia="en-US"/>
        </w:rPr>
        <w:t xml:space="preserve"> assist them in more proactively managing this financial risk to their respective organisations.</w:t>
      </w:r>
    </w:p>
    <w:p w:rsidR="000A3F6D" w:rsidRPr="000A3F6D" w:rsidRDefault="000A3F6D" w:rsidP="000A3F6D">
      <w:pPr>
        <w:spacing w:after="120"/>
        <w:rPr>
          <w:rFonts w:ascii="Calibri" w:eastAsiaTheme="minorHAnsi" w:hAnsi="Calibri" w:cs="Calibri"/>
          <w:b/>
          <w:sz w:val="22"/>
          <w:lang w:eastAsia="en-US"/>
        </w:rPr>
      </w:pPr>
      <w:r w:rsidRPr="000A3F6D">
        <w:rPr>
          <w:rFonts w:ascii="Calibri" w:eastAsiaTheme="minorHAnsi" w:hAnsi="Calibri" w:cs="Calibri"/>
          <w:b/>
          <w:sz w:val="22"/>
          <w:lang w:eastAsia="en-US"/>
        </w:rPr>
        <w:t>Impact of Comcare’s Claims Determination Processes</w:t>
      </w:r>
    </w:p>
    <w:p w:rsidR="000A3F6D" w:rsidRPr="000A3F6D" w:rsidRDefault="000A3F6D" w:rsidP="000A3F6D">
      <w:pPr>
        <w:keepNext/>
        <w:keepLines/>
        <w:numPr>
          <w:ilvl w:val="1"/>
          <w:numId w:val="55"/>
        </w:numPr>
        <w:spacing w:after="120"/>
        <w:ind w:left="709" w:hanging="709"/>
        <w:rPr>
          <w:rFonts w:ascii="Calibri" w:eastAsiaTheme="minorHAnsi" w:hAnsi="Calibri" w:cs="Calibri"/>
          <w:sz w:val="22"/>
          <w:lang w:eastAsia="en-US"/>
        </w:rPr>
      </w:pPr>
      <w:r w:rsidRPr="000A3F6D">
        <w:rPr>
          <w:rFonts w:ascii="Calibri" w:eastAsiaTheme="minorHAnsi" w:hAnsi="Calibri" w:cs="Calibri"/>
          <w:sz w:val="22"/>
          <w:lang w:eastAsia="en-US"/>
        </w:rPr>
        <w:t xml:space="preserve">Some premium payer stakeholders felt that recent </w:t>
      </w:r>
      <w:r w:rsidR="006859D3" w:rsidRPr="000A3F6D">
        <w:rPr>
          <w:rFonts w:ascii="Calibri" w:eastAsiaTheme="minorHAnsi" w:hAnsi="Calibri" w:cs="Calibri"/>
          <w:sz w:val="22"/>
          <w:lang w:eastAsia="en-US"/>
        </w:rPr>
        <w:t xml:space="preserve">premium </w:t>
      </w:r>
      <w:r w:rsidRPr="000A3F6D">
        <w:rPr>
          <w:rFonts w:ascii="Calibri" w:eastAsiaTheme="minorHAnsi" w:hAnsi="Calibri" w:cs="Calibri"/>
          <w:sz w:val="22"/>
          <w:lang w:eastAsia="en-US"/>
        </w:rPr>
        <w:t xml:space="preserve">increases have been largely </w:t>
      </w:r>
      <w:r w:rsidR="00023148">
        <w:rPr>
          <w:rFonts w:ascii="Calibri" w:eastAsiaTheme="minorHAnsi" w:hAnsi="Calibri" w:cs="Calibri"/>
          <w:sz w:val="22"/>
          <w:lang w:eastAsia="en-US"/>
        </w:rPr>
        <w:t>due</w:t>
      </w:r>
      <w:r w:rsidR="00023148" w:rsidRPr="000A3F6D">
        <w:rPr>
          <w:rFonts w:ascii="Calibri" w:eastAsiaTheme="minorHAnsi" w:hAnsi="Calibri" w:cs="Calibri"/>
          <w:sz w:val="22"/>
          <w:lang w:eastAsia="en-US"/>
        </w:rPr>
        <w:t xml:space="preserve"> </w:t>
      </w:r>
      <w:r w:rsidRPr="000A3F6D">
        <w:rPr>
          <w:rFonts w:ascii="Calibri" w:eastAsiaTheme="minorHAnsi" w:hAnsi="Calibri" w:cs="Calibri"/>
          <w:sz w:val="22"/>
          <w:lang w:eastAsia="en-US"/>
        </w:rPr>
        <w:t>to Comcare’s processes which have led it to accept more claims than previously</w:t>
      </w:r>
      <w:r w:rsidR="00620506">
        <w:rPr>
          <w:rFonts w:ascii="Calibri" w:eastAsiaTheme="minorHAnsi" w:hAnsi="Calibri" w:cs="Calibri"/>
          <w:sz w:val="22"/>
          <w:lang w:eastAsia="en-US"/>
        </w:rPr>
        <w:t>’’</w:t>
      </w:r>
      <w:r w:rsidRPr="000A3F6D">
        <w:rPr>
          <w:rFonts w:ascii="Calibri" w:eastAsiaTheme="minorHAnsi" w:hAnsi="Calibri" w:cs="Calibri"/>
          <w:sz w:val="22"/>
          <w:lang w:eastAsia="en-US"/>
        </w:rPr>
        <w:t>.  While there have been increases in claims acceptance rates, these do not bear a direct proportional relationship to the more significant increase in Comcare’s liabilities, and any individual premium payer’s premium assessment.   This issue is discussed in Chapter Two.</w:t>
      </w:r>
    </w:p>
    <w:p w:rsidR="000A3F6D" w:rsidRPr="000A3F6D" w:rsidRDefault="000A3F6D" w:rsidP="000A3F6D">
      <w:pPr>
        <w:spacing w:after="120"/>
        <w:rPr>
          <w:rFonts w:ascii="Calibri" w:eastAsiaTheme="minorHAnsi" w:hAnsi="Calibri" w:cs="Calibri"/>
          <w:b/>
          <w:sz w:val="22"/>
          <w:lang w:eastAsia="en-US"/>
        </w:rPr>
      </w:pPr>
      <w:r w:rsidRPr="000A3F6D">
        <w:rPr>
          <w:rFonts w:ascii="Calibri" w:eastAsiaTheme="minorHAnsi" w:hAnsi="Calibri" w:cs="Calibri"/>
          <w:b/>
          <w:sz w:val="22"/>
          <w:lang w:eastAsia="en-US"/>
        </w:rPr>
        <w:t>Increase in the Number of Mental Disease Claims</w:t>
      </w:r>
    </w:p>
    <w:p w:rsidR="000A3F6D" w:rsidRPr="000A3F6D" w:rsidRDefault="000A3F6D" w:rsidP="000A3F6D">
      <w:pPr>
        <w:keepNext/>
        <w:keepLines/>
        <w:numPr>
          <w:ilvl w:val="1"/>
          <w:numId w:val="55"/>
        </w:numPr>
        <w:spacing w:after="120"/>
        <w:ind w:left="709" w:hanging="709"/>
        <w:rPr>
          <w:rFonts w:ascii="Calibri" w:eastAsiaTheme="minorHAnsi" w:hAnsi="Calibri" w:cs="Calibri"/>
          <w:sz w:val="22"/>
          <w:lang w:eastAsia="en-US"/>
        </w:rPr>
      </w:pPr>
      <w:r w:rsidRPr="000A3F6D">
        <w:rPr>
          <w:rFonts w:ascii="Calibri" w:eastAsiaTheme="minorHAnsi" w:hAnsi="Calibri" w:cs="Calibri"/>
          <w:sz w:val="22"/>
          <w:lang w:eastAsia="en-US"/>
        </w:rPr>
        <w:t>Most stakeholders consulted acknowledged the steady increase in the number, duration, and associated costs of mental disease claims and the impact this was having on the outstanding claims liabilities. Many were of the view that the ’reasonable administrative action‘ test in the legislation was not working as effectively as was originally intended and that mental disease claims were generally much more difficult to manage and achieve a return to work. This issue is also discussed in more detail in Chapter Two.</w:t>
      </w:r>
    </w:p>
    <w:p w:rsidR="000A3F6D" w:rsidRPr="000A3F6D" w:rsidRDefault="000A3F6D" w:rsidP="000A3F6D">
      <w:pPr>
        <w:spacing w:after="120"/>
        <w:rPr>
          <w:rFonts w:ascii="Calibri" w:eastAsiaTheme="minorHAnsi" w:hAnsi="Calibri" w:cs="Calibri"/>
          <w:b/>
          <w:sz w:val="22"/>
          <w:lang w:eastAsia="en-US"/>
        </w:rPr>
      </w:pPr>
      <w:r w:rsidRPr="000A3F6D">
        <w:rPr>
          <w:rFonts w:ascii="Calibri" w:eastAsiaTheme="minorHAnsi" w:hAnsi="Calibri" w:cs="Calibri"/>
          <w:b/>
          <w:sz w:val="22"/>
          <w:lang w:eastAsia="en-US"/>
        </w:rPr>
        <w:t>Returning to Fully Funded Status</w:t>
      </w:r>
    </w:p>
    <w:p w:rsidR="00FB3790" w:rsidRDefault="000A3F6D" w:rsidP="00522B03">
      <w:pPr>
        <w:keepNext/>
        <w:keepLines/>
        <w:numPr>
          <w:ilvl w:val="1"/>
          <w:numId w:val="55"/>
        </w:numPr>
        <w:spacing w:after="120"/>
        <w:ind w:left="709" w:hanging="709"/>
        <w:rPr>
          <w:rFonts w:ascii="Calibri" w:eastAsiaTheme="minorHAnsi" w:hAnsi="Calibri" w:cs="Calibri"/>
          <w:sz w:val="22"/>
          <w:lang w:eastAsia="en-US"/>
        </w:rPr>
      </w:pPr>
      <w:r w:rsidRPr="000A3F6D">
        <w:rPr>
          <w:rFonts w:ascii="Calibri" w:eastAsiaTheme="minorHAnsi" w:hAnsi="Calibri" w:cs="Calibri"/>
          <w:sz w:val="22"/>
          <w:lang w:eastAsia="en-US"/>
        </w:rPr>
        <w:t>While most stakeholders acknowledged that the Comcare scheme needs to be fully funded, they questioned the speed at which this is being attempted. They queried whether this was one of the main reasons behind the significant increase in the 2012</w:t>
      </w:r>
      <w:r w:rsidR="006E4538">
        <w:rPr>
          <w:rFonts w:ascii="Calibri" w:eastAsiaTheme="minorHAnsi" w:hAnsi="Calibri" w:cs="Calibri"/>
          <w:sz w:val="22"/>
          <w:lang w:eastAsia="en-US"/>
        </w:rPr>
        <w:t>-</w:t>
      </w:r>
      <w:r w:rsidRPr="000A3F6D">
        <w:rPr>
          <w:rFonts w:ascii="Calibri" w:eastAsiaTheme="minorHAnsi" w:hAnsi="Calibri" w:cs="Calibri"/>
          <w:sz w:val="22"/>
          <w:lang w:eastAsia="en-US"/>
        </w:rPr>
        <w:t>13 premiums.</w:t>
      </w:r>
    </w:p>
    <w:p w:rsidR="002555F4" w:rsidRDefault="006E236C" w:rsidP="0035663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Calibri" w:eastAsiaTheme="minorHAnsi" w:hAnsi="Calibri" w:cs="Calibri"/>
          <w:b/>
          <w:sz w:val="22"/>
          <w:lang w:eastAsia="en-US"/>
        </w:rPr>
      </w:pPr>
      <w:r w:rsidRPr="006E236C">
        <w:rPr>
          <w:rFonts w:ascii="Calibri" w:eastAsiaTheme="minorHAnsi" w:hAnsi="Calibri" w:cs="Calibri"/>
          <w:b/>
          <w:sz w:val="22"/>
          <w:lang w:eastAsia="en-US"/>
        </w:rPr>
        <w:t xml:space="preserve">Recommendation </w:t>
      </w:r>
      <w:r w:rsidR="00D916EA">
        <w:rPr>
          <w:rFonts w:ascii="Calibri" w:eastAsiaTheme="minorHAnsi" w:hAnsi="Calibri" w:cs="Calibri"/>
          <w:b/>
          <w:sz w:val="22"/>
          <w:lang w:eastAsia="en-US"/>
        </w:rPr>
        <w:t>29</w:t>
      </w:r>
    </w:p>
    <w:p w:rsidR="000A3F6D" w:rsidRPr="000A3F6D" w:rsidRDefault="000A3F6D" w:rsidP="000A3F6D">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ascii="Calibri" w:hAnsi="Calibri" w:cs="Calibri"/>
          <w:b/>
          <w:sz w:val="22"/>
          <w:szCs w:val="22"/>
        </w:rPr>
      </w:pPr>
      <w:r w:rsidRPr="000A3F6D">
        <w:rPr>
          <w:rFonts w:ascii="Calibri" w:hAnsi="Calibri" w:cs="Calibri"/>
          <w:sz w:val="22"/>
          <w:szCs w:val="22"/>
        </w:rPr>
        <w:t xml:space="preserve">Comcare </w:t>
      </w:r>
      <w:r w:rsidR="008E3BC6">
        <w:rPr>
          <w:rFonts w:ascii="Calibri" w:hAnsi="Calibri" w:cs="Calibri"/>
          <w:sz w:val="22"/>
          <w:szCs w:val="22"/>
        </w:rPr>
        <w:t>conduct</w:t>
      </w:r>
      <w:r w:rsidRPr="000A3F6D">
        <w:rPr>
          <w:rFonts w:ascii="Calibri" w:hAnsi="Calibri" w:cs="Calibri"/>
          <w:sz w:val="22"/>
          <w:szCs w:val="22"/>
        </w:rPr>
        <w:t xml:space="preserve"> a</w:t>
      </w:r>
      <w:r w:rsidR="000A1294">
        <w:rPr>
          <w:rFonts w:ascii="Calibri" w:hAnsi="Calibri" w:cs="Calibri"/>
          <w:sz w:val="22"/>
          <w:szCs w:val="22"/>
        </w:rPr>
        <w:t>n</w:t>
      </w:r>
      <w:r w:rsidRPr="000A3F6D">
        <w:rPr>
          <w:rFonts w:ascii="Calibri" w:hAnsi="Calibri" w:cs="Calibri"/>
          <w:sz w:val="22"/>
          <w:szCs w:val="22"/>
        </w:rPr>
        <w:t xml:space="preserve"> </w:t>
      </w:r>
      <w:r w:rsidR="000A1294">
        <w:rPr>
          <w:rFonts w:ascii="Calibri" w:hAnsi="Calibri" w:cs="Calibri"/>
          <w:sz w:val="22"/>
          <w:szCs w:val="22"/>
        </w:rPr>
        <w:t>information</w:t>
      </w:r>
      <w:r w:rsidR="000A1294" w:rsidRPr="000A3F6D">
        <w:rPr>
          <w:rFonts w:ascii="Calibri" w:hAnsi="Calibri" w:cs="Calibri"/>
          <w:sz w:val="22"/>
          <w:szCs w:val="22"/>
        </w:rPr>
        <w:t xml:space="preserve"> </w:t>
      </w:r>
      <w:r w:rsidRPr="000A3F6D">
        <w:rPr>
          <w:rFonts w:ascii="Calibri" w:hAnsi="Calibri" w:cs="Calibri"/>
          <w:sz w:val="22"/>
          <w:szCs w:val="22"/>
        </w:rPr>
        <w:t>campaign to ensure premium paying agencies have a better</w:t>
      </w:r>
      <w:r w:rsidR="00675B30">
        <w:rPr>
          <w:rFonts w:ascii="Calibri" w:hAnsi="Calibri" w:cs="Calibri"/>
          <w:sz w:val="22"/>
          <w:szCs w:val="22"/>
        </w:rPr>
        <w:t xml:space="preserve"> </w:t>
      </w:r>
      <w:r w:rsidRPr="000A3F6D">
        <w:rPr>
          <w:rFonts w:ascii="Calibri" w:hAnsi="Calibri" w:cs="Calibri"/>
          <w:sz w:val="22"/>
          <w:szCs w:val="22"/>
        </w:rPr>
        <w:t>understanding of the Premium Framework, especially the inputs into and the methodology used to calculate premiums and the distribution of premiums across agencies.</w:t>
      </w:r>
    </w:p>
    <w:p w:rsidR="002555F4" w:rsidRDefault="006E236C" w:rsidP="0035663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Calibri" w:eastAsiaTheme="minorHAnsi" w:hAnsi="Calibri" w:cs="Calibri"/>
          <w:b/>
          <w:sz w:val="22"/>
          <w:lang w:eastAsia="en-US"/>
        </w:rPr>
      </w:pPr>
      <w:r w:rsidRPr="006E236C">
        <w:rPr>
          <w:rFonts w:ascii="Calibri" w:eastAsiaTheme="minorHAnsi" w:hAnsi="Calibri" w:cs="Calibri"/>
          <w:b/>
          <w:sz w:val="22"/>
          <w:lang w:eastAsia="en-US"/>
        </w:rPr>
        <w:lastRenderedPageBreak/>
        <w:t xml:space="preserve">Recommendation </w:t>
      </w:r>
      <w:r w:rsidR="00D916EA">
        <w:rPr>
          <w:rFonts w:ascii="Calibri" w:eastAsiaTheme="minorHAnsi" w:hAnsi="Calibri" w:cs="Calibri"/>
          <w:b/>
          <w:sz w:val="22"/>
          <w:lang w:eastAsia="en-US"/>
        </w:rPr>
        <w:t>30</w:t>
      </w:r>
    </w:p>
    <w:p w:rsidR="000A3F6D" w:rsidRPr="000A3F6D" w:rsidRDefault="000A3F6D" w:rsidP="000A3F6D">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ascii="Calibri" w:hAnsi="Calibri" w:cs="Calibri"/>
          <w:b/>
          <w:sz w:val="22"/>
          <w:szCs w:val="22"/>
        </w:rPr>
      </w:pPr>
      <w:r w:rsidRPr="000A3F6D">
        <w:rPr>
          <w:rFonts w:ascii="Calibri" w:hAnsi="Calibri" w:cs="Calibri"/>
          <w:sz w:val="22"/>
          <w:szCs w:val="22"/>
        </w:rPr>
        <w:t>In order to assist stakeholders with their budgeting processes, Comcare should develop an estimating tool for use by premium</w:t>
      </w:r>
      <w:r w:rsidR="00C977AE">
        <w:rPr>
          <w:rFonts w:ascii="Calibri" w:hAnsi="Calibri" w:cs="Calibri"/>
          <w:sz w:val="22"/>
          <w:szCs w:val="22"/>
        </w:rPr>
        <w:t xml:space="preserve"> </w:t>
      </w:r>
      <w:r w:rsidRPr="000A3F6D">
        <w:rPr>
          <w:rFonts w:ascii="Calibri" w:hAnsi="Calibri" w:cs="Calibri"/>
          <w:sz w:val="22"/>
          <w:szCs w:val="22"/>
        </w:rPr>
        <w:t>paying stakeholders throughout the financial year to help them understand their likely premium requirements for the upcoming financial year and also consider bringing forward the timing of the premium determination.</w:t>
      </w:r>
    </w:p>
    <w:p w:rsidR="002555F4" w:rsidRDefault="006E236C" w:rsidP="0035663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Calibri" w:eastAsiaTheme="minorHAnsi" w:hAnsi="Calibri" w:cs="Calibri"/>
          <w:b/>
          <w:sz w:val="22"/>
          <w:lang w:eastAsia="en-US"/>
        </w:rPr>
      </w:pPr>
      <w:r w:rsidRPr="006E236C">
        <w:rPr>
          <w:rFonts w:ascii="Calibri" w:eastAsiaTheme="minorHAnsi" w:hAnsi="Calibri" w:cs="Calibri"/>
          <w:b/>
          <w:sz w:val="22"/>
          <w:lang w:eastAsia="en-US"/>
        </w:rPr>
        <w:t xml:space="preserve">Recommendation </w:t>
      </w:r>
      <w:r w:rsidR="00D916EA" w:rsidRPr="006E236C">
        <w:rPr>
          <w:rFonts w:ascii="Calibri" w:eastAsiaTheme="minorHAnsi" w:hAnsi="Calibri" w:cs="Calibri"/>
          <w:b/>
          <w:sz w:val="22"/>
          <w:lang w:eastAsia="en-US"/>
        </w:rPr>
        <w:t>3</w:t>
      </w:r>
      <w:r w:rsidR="00D916EA">
        <w:rPr>
          <w:rFonts w:ascii="Calibri" w:eastAsiaTheme="minorHAnsi" w:hAnsi="Calibri" w:cs="Calibri"/>
          <w:b/>
          <w:sz w:val="22"/>
          <w:lang w:eastAsia="en-US"/>
        </w:rPr>
        <w:t>1</w:t>
      </w:r>
    </w:p>
    <w:p w:rsidR="000A3F6D" w:rsidRPr="000A3F6D" w:rsidRDefault="000A3F6D" w:rsidP="000A3F6D">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ascii="Calibri" w:hAnsi="Calibri" w:cs="Calibri"/>
          <w:b/>
          <w:sz w:val="22"/>
          <w:szCs w:val="22"/>
        </w:rPr>
      </w:pPr>
      <w:proofErr w:type="gramStart"/>
      <w:r w:rsidRPr="000A3F6D">
        <w:rPr>
          <w:rFonts w:ascii="Calibri" w:hAnsi="Calibri" w:cs="Calibri"/>
          <w:sz w:val="22"/>
          <w:szCs w:val="22"/>
        </w:rPr>
        <w:t>Comcare to review its current methodology for determining the yearly licensing fees for licensees and engage in a communication campaign to better educate self-insured licensees on the methodology used.</w:t>
      </w:r>
      <w:proofErr w:type="gramEnd"/>
    </w:p>
    <w:p w:rsidR="002555F4" w:rsidRDefault="006E236C" w:rsidP="0035663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autoSpaceDE w:val="0"/>
        <w:autoSpaceDN w:val="0"/>
        <w:adjustRightInd w:val="0"/>
        <w:spacing w:after="120"/>
        <w:rPr>
          <w:rFonts w:ascii="Calibri" w:eastAsiaTheme="minorHAnsi" w:hAnsi="Calibri" w:cs="Calibri"/>
          <w:b/>
          <w:sz w:val="22"/>
          <w:lang w:eastAsia="en-US"/>
        </w:rPr>
      </w:pPr>
      <w:r w:rsidRPr="006E236C">
        <w:rPr>
          <w:rFonts w:ascii="Calibri" w:eastAsiaTheme="minorHAnsi" w:hAnsi="Calibri" w:cs="Calibri"/>
          <w:b/>
          <w:sz w:val="22"/>
          <w:lang w:eastAsia="en-US"/>
        </w:rPr>
        <w:t xml:space="preserve">Recommendation </w:t>
      </w:r>
      <w:r w:rsidR="00D916EA" w:rsidRPr="006E236C">
        <w:rPr>
          <w:rFonts w:ascii="Calibri" w:eastAsiaTheme="minorHAnsi" w:hAnsi="Calibri" w:cs="Calibri"/>
          <w:b/>
          <w:sz w:val="22"/>
          <w:lang w:eastAsia="en-US"/>
        </w:rPr>
        <w:t>3</w:t>
      </w:r>
      <w:r w:rsidR="00D916EA">
        <w:rPr>
          <w:rFonts w:ascii="Calibri" w:eastAsiaTheme="minorHAnsi" w:hAnsi="Calibri" w:cs="Calibri"/>
          <w:b/>
          <w:sz w:val="22"/>
          <w:lang w:eastAsia="en-US"/>
        </w:rPr>
        <w:t>2</w:t>
      </w:r>
    </w:p>
    <w:p w:rsidR="000A3F6D" w:rsidRPr="000A3F6D" w:rsidRDefault="000A3F6D" w:rsidP="000A3F6D">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szCs w:val="22"/>
        </w:rPr>
      </w:pPr>
      <w:r w:rsidRPr="000A3F6D">
        <w:rPr>
          <w:rFonts w:ascii="Calibri" w:hAnsi="Calibri" w:cs="Calibri"/>
          <w:sz w:val="22"/>
          <w:szCs w:val="22"/>
        </w:rPr>
        <w:t xml:space="preserve">Comcare to introduce the practice of notifying self-insured licensees no later than 31 January of the current financial year of the licensing fees to be paid to enable the organisation to budget </w:t>
      </w:r>
      <w:r w:rsidR="006859D3" w:rsidRPr="000A3F6D">
        <w:rPr>
          <w:rFonts w:ascii="Calibri" w:hAnsi="Calibri" w:cs="Calibri"/>
          <w:sz w:val="22"/>
          <w:szCs w:val="22"/>
        </w:rPr>
        <w:t xml:space="preserve">appropriately </w:t>
      </w:r>
      <w:r w:rsidRPr="000A3F6D">
        <w:rPr>
          <w:rFonts w:ascii="Calibri" w:hAnsi="Calibri" w:cs="Calibri"/>
          <w:sz w:val="22"/>
          <w:szCs w:val="22"/>
        </w:rPr>
        <w:t>for their workers</w:t>
      </w:r>
      <w:r w:rsidR="00C977AE">
        <w:rPr>
          <w:rFonts w:ascii="Calibri" w:hAnsi="Calibri" w:cs="Calibri"/>
          <w:sz w:val="22"/>
          <w:szCs w:val="22"/>
        </w:rPr>
        <w:t>’</w:t>
      </w:r>
      <w:r w:rsidRPr="000A3F6D">
        <w:rPr>
          <w:rFonts w:ascii="Calibri" w:hAnsi="Calibri" w:cs="Calibri"/>
          <w:sz w:val="22"/>
          <w:szCs w:val="22"/>
        </w:rPr>
        <w:t xml:space="preserve"> compensation expenses.</w:t>
      </w:r>
    </w:p>
    <w:p w:rsidR="000A3F6D" w:rsidRPr="000A3F6D" w:rsidRDefault="000A3F6D" w:rsidP="000A3F6D">
      <w:pPr>
        <w:keepNext/>
        <w:keepLines/>
        <w:spacing w:before="100" w:beforeAutospacing="1" w:after="100" w:afterAutospacing="1"/>
        <w:outlineLvl w:val="2"/>
        <w:rPr>
          <w:rFonts w:ascii="Arial Bold" w:eastAsiaTheme="majorEastAsia" w:hAnsi="Arial Bold" w:cs="Calibri"/>
          <w:bCs/>
          <w:caps/>
          <w:color w:val="1F497D" w:themeColor="text2"/>
          <w:sz w:val="23"/>
          <w:szCs w:val="23"/>
        </w:rPr>
      </w:pPr>
      <w:bookmarkStart w:id="577" w:name="_Toc341778050"/>
      <w:bookmarkStart w:id="578" w:name="_Toc342578423"/>
      <w:r w:rsidRPr="000A3F6D">
        <w:rPr>
          <w:rFonts w:ascii="Arial Bold" w:eastAsiaTheme="majorEastAsia" w:hAnsi="Arial Bold" w:cs="Calibri"/>
          <w:bCs/>
          <w:caps/>
          <w:color w:val="1F497D" w:themeColor="text2"/>
          <w:sz w:val="23"/>
          <w:szCs w:val="23"/>
        </w:rPr>
        <w:t>The Financial Viability of the premium funded Scheme</w:t>
      </w:r>
      <w:bookmarkEnd w:id="577"/>
      <w:bookmarkEnd w:id="578"/>
    </w:p>
    <w:p w:rsidR="000A3F6D" w:rsidRPr="000A3F6D" w:rsidRDefault="000A3F6D" w:rsidP="000A3F6D">
      <w:pPr>
        <w:keepNext/>
        <w:keepLines/>
        <w:numPr>
          <w:ilvl w:val="1"/>
          <w:numId w:val="55"/>
        </w:numPr>
        <w:spacing w:after="120"/>
        <w:ind w:left="709" w:hanging="709"/>
        <w:rPr>
          <w:rFonts w:ascii="Calibri" w:eastAsiaTheme="minorHAnsi" w:hAnsi="Calibri" w:cs="Calibri"/>
          <w:sz w:val="22"/>
          <w:lang w:eastAsia="en-US"/>
        </w:rPr>
      </w:pPr>
      <w:r w:rsidRPr="000A3F6D">
        <w:rPr>
          <w:rFonts w:ascii="Calibri" w:eastAsiaTheme="minorHAnsi" w:hAnsi="Calibri" w:cs="Calibri"/>
          <w:sz w:val="22"/>
          <w:lang w:eastAsia="en-US"/>
        </w:rPr>
        <w:t>The premium payer side of the scheme is currently operating in deficit with a funding ratio of 65 per cent. The net outstanding claims liability estimate as at 30 June 2011 was $1,499.</w:t>
      </w:r>
      <w:r w:rsidR="00C977AE" w:rsidRPr="000A3F6D">
        <w:rPr>
          <w:rFonts w:ascii="Calibri" w:eastAsiaTheme="minorHAnsi" w:hAnsi="Calibri" w:cs="Calibri"/>
          <w:sz w:val="22"/>
          <w:lang w:eastAsia="en-US"/>
        </w:rPr>
        <w:t>6</w:t>
      </w:r>
      <w:r w:rsidR="00C977AE">
        <w:rPr>
          <w:rFonts w:ascii="Calibri" w:eastAsiaTheme="minorHAnsi" w:hAnsi="Calibri" w:cs="Calibri"/>
          <w:sz w:val="22"/>
          <w:lang w:eastAsia="en-US"/>
        </w:rPr>
        <w:t>m</w:t>
      </w:r>
      <w:r w:rsidR="00C977AE" w:rsidRPr="000A3F6D">
        <w:rPr>
          <w:rFonts w:ascii="Calibri" w:eastAsiaTheme="minorHAnsi" w:hAnsi="Calibri" w:cs="Calibri"/>
          <w:sz w:val="22"/>
          <w:lang w:eastAsia="en-US"/>
        </w:rPr>
        <w:t xml:space="preserve"> </w:t>
      </w:r>
      <w:r w:rsidRPr="000A3F6D">
        <w:rPr>
          <w:rFonts w:ascii="Calibri" w:eastAsiaTheme="minorHAnsi" w:hAnsi="Calibri" w:cs="Calibri"/>
          <w:sz w:val="22"/>
          <w:lang w:eastAsia="en-US"/>
        </w:rPr>
        <w:t>and was at that time projected to increase to $1,538.</w:t>
      </w:r>
      <w:r w:rsidR="00C977AE" w:rsidRPr="000A3F6D">
        <w:rPr>
          <w:rFonts w:ascii="Calibri" w:eastAsiaTheme="minorHAnsi" w:hAnsi="Calibri" w:cs="Calibri"/>
          <w:sz w:val="22"/>
          <w:lang w:eastAsia="en-US"/>
        </w:rPr>
        <w:t>3</w:t>
      </w:r>
      <w:r w:rsidR="00C977AE">
        <w:rPr>
          <w:rFonts w:ascii="Calibri" w:eastAsiaTheme="minorHAnsi" w:hAnsi="Calibri" w:cs="Calibri"/>
          <w:sz w:val="22"/>
          <w:lang w:eastAsia="en-US"/>
        </w:rPr>
        <w:t>m</w:t>
      </w:r>
      <w:r w:rsidR="00C977AE" w:rsidRPr="000A3F6D">
        <w:rPr>
          <w:rFonts w:ascii="Calibri" w:eastAsiaTheme="minorHAnsi" w:hAnsi="Calibri" w:cs="Calibri"/>
          <w:sz w:val="22"/>
          <w:lang w:eastAsia="en-US"/>
        </w:rPr>
        <w:t xml:space="preserve"> </w:t>
      </w:r>
      <w:r w:rsidRPr="000A3F6D">
        <w:rPr>
          <w:rFonts w:ascii="Calibri" w:eastAsiaTheme="minorHAnsi" w:hAnsi="Calibri" w:cs="Calibri"/>
          <w:sz w:val="22"/>
          <w:lang w:eastAsia="en-US"/>
        </w:rPr>
        <w:t>at 30 June 2012. The mid-year valuation conducted by Taylor Fry in February 2012, however, estimated this liability to be higher than originally forecast.</w:t>
      </w:r>
    </w:p>
    <w:p w:rsidR="000A3F6D" w:rsidRPr="000A3F6D" w:rsidRDefault="000A3F6D" w:rsidP="000A3F6D">
      <w:pPr>
        <w:keepNext/>
        <w:keepLines/>
        <w:numPr>
          <w:ilvl w:val="1"/>
          <w:numId w:val="55"/>
        </w:numPr>
        <w:spacing w:after="120"/>
        <w:ind w:left="709" w:hanging="709"/>
        <w:rPr>
          <w:rFonts w:ascii="Calibri" w:eastAsiaTheme="minorHAnsi" w:hAnsi="Calibri" w:cs="Calibri"/>
          <w:sz w:val="22"/>
          <w:lang w:eastAsia="en-US"/>
        </w:rPr>
      </w:pPr>
      <w:r w:rsidRPr="000A3F6D">
        <w:rPr>
          <w:rFonts w:ascii="Calibri" w:eastAsiaTheme="minorHAnsi" w:hAnsi="Calibri" w:cs="Calibri"/>
          <w:sz w:val="22"/>
          <w:lang w:eastAsia="en-US"/>
        </w:rPr>
        <w:t>Taylor Fry attributed this increase to the following main factors:</w:t>
      </w:r>
    </w:p>
    <w:p w:rsidR="002555F4" w:rsidRDefault="000A3F6D" w:rsidP="0035663E">
      <w:pPr>
        <w:numPr>
          <w:ilvl w:val="2"/>
          <w:numId w:val="45"/>
        </w:numPr>
        <w:spacing w:after="120"/>
        <w:ind w:left="1134" w:hanging="425"/>
        <w:rPr>
          <w:rFonts w:ascii="Calibri" w:eastAsiaTheme="minorHAnsi" w:hAnsi="Calibri" w:cs="Calibri"/>
          <w:sz w:val="22"/>
          <w:lang w:eastAsia="en-US"/>
        </w:rPr>
      </w:pPr>
      <w:r w:rsidRPr="000A3F6D">
        <w:rPr>
          <w:rFonts w:ascii="Calibri" w:eastAsiaTheme="minorHAnsi" w:hAnsi="Calibri" w:cs="Calibri"/>
          <w:sz w:val="22"/>
          <w:lang w:eastAsia="en-US"/>
        </w:rPr>
        <w:t xml:space="preserve">a recalibration of claim continuance rates at longer durations since injury, i.e. increases in the proportions of claims that are projected to continue receiving compensation payments for incapacity and/or medical expenses at durations greater than ten to </w:t>
      </w:r>
      <w:r w:rsidR="00750609">
        <w:rPr>
          <w:rFonts w:ascii="Calibri" w:eastAsiaTheme="minorHAnsi" w:hAnsi="Calibri" w:cs="Calibri"/>
          <w:sz w:val="22"/>
          <w:lang w:eastAsia="en-US"/>
        </w:rPr>
        <w:t>12</w:t>
      </w:r>
      <w:r w:rsidR="00750609" w:rsidRPr="000A3F6D">
        <w:rPr>
          <w:rFonts w:ascii="Calibri" w:eastAsiaTheme="minorHAnsi" w:hAnsi="Calibri" w:cs="Calibri"/>
          <w:sz w:val="22"/>
          <w:lang w:eastAsia="en-US"/>
        </w:rPr>
        <w:t xml:space="preserve"> </w:t>
      </w:r>
      <w:r w:rsidRPr="000A3F6D">
        <w:rPr>
          <w:rFonts w:ascii="Calibri" w:eastAsiaTheme="minorHAnsi" w:hAnsi="Calibri" w:cs="Calibri"/>
          <w:sz w:val="22"/>
          <w:lang w:eastAsia="en-US"/>
        </w:rPr>
        <w:t>years after injury;</w:t>
      </w:r>
    </w:p>
    <w:p w:rsidR="002555F4" w:rsidRDefault="000A3F6D" w:rsidP="0035663E">
      <w:pPr>
        <w:numPr>
          <w:ilvl w:val="2"/>
          <w:numId w:val="45"/>
        </w:numPr>
        <w:spacing w:after="120"/>
        <w:ind w:left="1134" w:hanging="425"/>
        <w:rPr>
          <w:rFonts w:ascii="Calibri" w:eastAsiaTheme="minorHAnsi" w:hAnsi="Calibri" w:cs="Calibri"/>
          <w:sz w:val="22"/>
          <w:lang w:eastAsia="en-US"/>
        </w:rPr>
      </w:pPr>
      <w:r w:rsidRPr="000A3F6D">
        <w:rPr>
          <w:rFonts w:ascii="Calibri" w:eastAsiaTheme="minorHAnsi" w:hAnsi="Calibri" w:cs="Calibri"/>
          <w:sz w:val="22"/>
          <w:lang w:eastAsia="en-US"/>
        </w:rPr>
        <w:t xml:space="preserve">large decreases in the market risk free rates of return used to discount the liability estimates to present values; </w:t>
      </w:r>
    </w:p>
    <w:p w:rsidR="002555F4" w:rsidRDefault="000A3F6D" w:rsidP="0035663E">
      <w:pPr>
        <w:numPr>
          <w:ilvl w:val="2"/>
          <w:numId w:val="45"/>
        </w:numPr>
        <w:spacing w:after="120"/>
        <w:ind w:left="1134" w:hanging="425"/>
        <w:rPr>
          <w:rFonts w:ascii="Calibri" w:eastAsiaTheme="minorHAnsi" w:hAnsi="Calibri" w:cs="Calibri"/>
          <w:sz w:val="22"/>
          <w:lang w:eastAsia="en-US"/>
        </w:rPr>
      </w:pPr>
      <w:r w:rsidRPr="000A3F6D">
        <w:rPr>
          <w:rFonts w:ascii="Calibri" w:eastAsiaTheme="minorHAnsi" w:hAnsi="Calibri" w:cs="Calibri"/>
          <w:sz w:val="22"/>
          <w:lang w:eastAsia="en-US"/>
        </w:rPr>
        <w:t xml:space="preserve">the number of injured workers in receipt of incapacity and/or medical payments was higher than forecast; </w:t>
      </w:r>
    </w:p>
    <w:p w:rsidR="002555F4" w:rsidRDefault="000A3F6D" w:rsidP="0035663E">
      <w:pPr>
        <w:numPr>
          <w:ilvl w:val="2"/>
          <w:numId w:val="45"/>
        </w:numPr>
        <w:spacing w:after="120"/>
        <w:ind w:left="1134" w:hanging="425"/>
        <w:rPr>
          <w:rFonts w:ascii="Calibri" w:eastAsiaTheme="minorHAnsi" w:hAnsi="Calibri" w:cs="Calibri"/>
          <w:sz w:val="22"/>
          <w:lang w:eastAsia="en-US"/>
        </w:rPr>
      </w:pPr>
      <w:r w:rsidRPr="000A3F6D">
        <w:rPr>
          <w:rFonts w:ascii="Calibri" w:eastAsiaTheme="minorHAnsi" w:hAnsi="Calibri" w:cs="Calibri"/>
          <w:sz w:val="22"/>
          <w:lang w:eastAsia="en-US"/>
        </w:rPr>
        <w:t>an increase in the number of mental disease claims receiving incapacity payments; and</w:t>
      </w:r>
    </w:p>
    <w:p w:rsidR="002555F4" w:rsidRDefault="000A3F6D" w:rsidP="0035663E">
      <w:pPr>
        <w:numPr>
          <w:ilvl w:val="2"/>
          <w:numId w:val="45"/>
        </w:numPr>
        <w:spacing w:after="120"/>
        <w:ind w:left="1134" w:hanging="425"/>
        <w:rPr>
          <w:rFonts w:ascii="Calibri" w:eastAsiaTheme="minorHAnsi" w:hAnsi="Calibri" w:cs="Calibri"/>
          <w:sz w:val="22"/>
          <w:lang w:eastAsia="en-US"/>
        </w:rPr>
      </w:pPr>
      <w:proofErr w:type="gramStart"/>
      <w:r w:rsidRPr="000A3F6D">
        <w:rPr>
          <w:rFonts w:ascii="Calibri" w:eastAsiaTheme="minorHAnsi" w:hAnsi="Calibri" w:cs="Calibri"/>
          <w:sz w:val="22"/>
          <w:lang w:eastAsia="en-US"/>
        </w:rPr>
        <w:t>an</w:t>
      </w:r>
      <w:proofErr w:type="gramEnd"/>
      <w:r w:rsidRPr="000A3F6D">
        <w:rPr>
          <w:rFonts w:ascii="Calibri" w:eastAsiaTheme="minorHAnsi" w:hAnsi="Calibri" w:cs="Calibri"/>
          <w:sz w:val="22"/>
          <w:lang w:eastAsia="en-US"/>
        </w:rPr>
        <w:t xml:space="preserve"> increase in claims administration expenses.</w:t>
      </w:r>
    </w:p>
    <w:p w:rsidR="002555F4" w:rsidRPr="0035663E" w:rsidRDefault="000A3F6D" w:rsidP="000D7C1C">
      <w:pPr>
        <w:keepLines/>
        <w:numPr>
          <w:ilvl w:val="1"/>
          <w:numId w:val="55"/>
        </w:numPr>
        <w:spacing w:after="120"/>
        <w:ind w:left="709" w:hanging="709"/>
        <w:rPr>
          <w:rFonts w:ascii="Calibri" w:eastAsiaTheme="minorHAnsi" w:hAnsi="Calibri"/>
          <w:sz w:val="22"/>
        </w:rPr>
      </w:pPr>
      <w:r w:rsidRPr="00831F68">
        <w:rPr>
          <w:rFonts w:ascii="Calibri" w:eastAsiaTheme="minorHAnsi" w:hAnsi="Calibri" w:cs="Calibri"/>
          <w:sz w:val="22"/>
          <w:lang w:eastAsia="en-US"/>
        </w:rPr>
        <w:t xml:space="preserve">A peer review of the Taylor Fry mid-year estimates by an external consulting actuary, Finity Consulting Pty Ltd, confirmed the reasonableness of these estimates.  It noted that </w:t>
      </w:r>
      <w:proofErr w:type="gramStart"/>
      <w:r w:rsidRPr="00831F68">
        <w:rPr>
          <w:rFonts w:ascii="Calibri" w:eastAsiaTheme="minorHAnsi" w:hAnsi="Calibri" w:cs="Calibri"/>
          <w:sz w:val="22"/>
          <w:lang w:eastAsia="en-US"/>
        </w:rPr>
        <w:t>its review of the liabilities indicate</w:t>
      </w:r>
      <w:proofErr w:type="gramEnd"/>
      <w:r w:rsidRPr="00831F68">
        <w:rPr>
          <w:rFonts w:ascii="Calibri" w:eastAsiaTheme="minorHAnsi" w:hAnsi="Calibri" w:cs="Calibri"/>
          <w:sz w:val="22"/>
          <w:lang w:eastAsia="en-US"/>
        </w:rPr>
        <w:t xml:space="preserve"> that:</w:t>
      </w:r>
      <w:r w:rsidR="00831F68" w:rsidRPr="00831F68">
        <w:rPr>
          <w:rFonts w:ascii="Calibri" w:eastAsiaTheme="minorHAnsi" w:hAnsi="Calibri" w:cs="Calibri"/>
          <w:sz w:val="22"/>
          <w:lang w:eastAsia="en-US"/>
        </w:rPr>
        <w:t xml:space="preserve"> </w:t>
      </w:r>
      <w:r w:rsidR="006E236C" w:rsidRPr="0035663E">
        <w:rPr>
          <w:rFonts w:ascii="Calibri" w:eastAsiaTheme="minorHAnsi" w:hAnsi="Calibri"/>
          <w:sz w:val="22"/>
        </w:rPr>
        <w:t xml:space="preserve">“... </w:t>
      </w:r>
      <w:r w:rsidRPr="00A90484">
        <w:rPr>
          <w:rFonts w:ascii="Calibri" w:eastAsiaTheme="minorHAnsi" w:hAnsi="Calibri" w:cs="Calibri"/>
          <w:i/>
          <w:sz w:val="22"/>
          <w:lang w:eastAsia="en-US"/>
        </w:rPr>
        <w:t>the increases in liability have, for the most part, not been in response to experience that has emerged in the past six to 12 months. While there appears to have been some deterioration in the past six to 12 months, the increases put through by Taylor Fry for this review have moved assumptions to be broadly in line with experience over the last three to five years... In our view, the assumptions by Taylor Fry are consistent with the experience of Commonwealth and ACT schemes observed over the past five years</w:t>
      </w:r>
      <w:r w:rsidR="006E236C" w:rsidRPr="0035663E">
        <w:rPr>
          <w:rFonts w:ascii="Calibri" w:eastAsiaTheme="minorHAnsi" w:hAnsi="Calibri"/>
          <w:sz w:val="22"/>
        </w:rPr>
        <w:t xml:space="preserve"> ...”</w:t>
      </w:r>
      <w:r w:rsidR="006E236C" w:rsidRPr="0035663E">
        <w:rPr>
          <w:rFonts w:ascii="Calibri" w:eastAsiaTheme="minorHAnsi" w:hAnsi="Calibri"/>
          <w:sz w:val="22"/>
          <w:vertAlign w:val="superscript"/>
        </w:rPr>
        <w:footnoteReference w:id="96"/>
      </w:r>
    </w:p>
    <w:p w:rsidR="002555F4" w:rsidRDefault="000A3F6D" w:rsidP="0035663E">
      <w:pPr>
        <w:keepLines/>
        <w:numPr>
          <w:ilvl w:val="1"/>
          <w:numId w:val="55"/>
        </w:numPr>
        <w:spacing w:after="120"/>
        <w:ind w:left="709" w:hanging="709"/>
        <w:rPr>
          <w:rFonts w:ascii="Calibri" w:eastAsiaTheme="minorHAnsi" w:hAnsi="Calibri" w:cs="Calibri"/>
          <w:sz w:val="22"/>
          <w:lang w:eastAsia="en-US"/>
        </w:rPr>
      </w:pPr>
      <w:r w:rsidRPr="000A3F6D">
        <w:rPr>
          <w:rFonts w:ascii="Calibri" w:eastAsiaTheme="minorHAnsi" w:hAnsi="Calibri" w:cs="Calibri"/>
          <w:sz w:val="22"/>
          <w:lang w:eastAsia="en-US"/>
        </w:rPr>
        <w:lastRenderedPageBreak/>
        <w:t xml:space="preserve">Following the mid-year valuation, Comcare advised the Australian National Audit Office (ANAO) that an operating loss would be reported for 2011-12 because the increase in premium scheme claim liabilities exceeded the remaining unrecognised balance receivable from the CRF under </w:t>
      </w:r>
      <w:r w:rsidR="00920A03">
        <w:rPr>
          <w:rFonts w:ascii="Calibri" w:eastAsiaTheme="minorHAnsi" w:hAnsi="Calibri" w:cs="Calibri"/>
          <w:sz w:val="22"/>
          <w:lang w:eastAsia="en-US"/>
        </w:rPr>
        <w:t>Section</w:t>
      </w:r>
      <w:r w:rsidRPr="000A3F6D">
        <w:rPr>
          <w:rFonts w:ascii="Calibri" w:eastAsiaTheme="minorHAnsi" w:hAnsi="Calibri" w:cs="Calibri"/>
          <w:sz w:val="22"/>
          <w:lang w:eastAsia="en-US"/>
        </w:rPr>
        <w:t xml:space="preserve"> 90C of the SRC Act. The Minister for Finance and Deregulation approved an operating loss.</w:t>
      </w:r>
    </w:p>
    <w:p w:rsidR="002555F4" w:rsidRDefault="000A3F6D" w:rsidP="0035663E">
      <w:pPr>
        <w:keepLines/>
        <w:numPr>
          <w:ilvl w:val="1"/>
          <w:numId w:val="55"/>
        </w:numPr>
        <w:spacing w:after="120"/>
        <w:ind w:left="709" w:hanging="709"/>
        <w:rPr>
          <w:rFonts w:ascii="Calibri" w:eastAsiaTheme="minorHAnsi" w:hAnsi="Calibri" w:cs="Calibri"/>
          <w:sz w:val="22"/>
          <w:lang w:eastAsia="en-US"/>
        </w:rPr>
      </w:pPr>
      <w:r w:rsidRPr="000A3F6D">
        <w:rPr>
          <w:rFonts w:ascii="Calibri" w:eastAsiaTheme="minorHAnsi" w:hAnsi="Calibri" w:cs="Calibri"/>
          <w:sz w:val="22"/>
          <w:lang w:eastAsia="en-US"/>
        </w:rPr>
        <w:t>Taylor Fry’s final valuation of the net outstanding liabilities of the premium funded scheme as at 30 June 2012 was $2,134.</w:t>
      </w:r>
      <w:r w:rsidR="00C977AE" w:rsidRPr="000A3F6D">
        <w:rPr>
          <w:rFonts w:ascii="Calibri" w:eastAsiaTheme="minorHAnsi" w:hAnsi="Calibri" w:cs="Calibri"/>
          <w:sz w:val="22"/>
          <w:lang w:eastAsia="en-US"/>
        </w:rPr>
        <w:t>2</w:t>
      </w:r>
      <w:r w:rsidR="00C977AE">
        <w:rPr>
          <w:rFonts w:ascii="Calibri" w:eastAsiaTheme="minorHAnsi" w:hAnsi="Calibri" w:cs="Calibri"/>
          <w:sz w:val="22"/>
          <w:lang w:eastAsia="en-US"/>
        </w:rPr>
        <w:t>m</w:t>
      </w:r>
      <w:r w:rsidRPr="000A3F6D">
        <w:rPr>
          <w:rFonts w:ascii="Calibri" w:eastAsiaTheme="minorHAnsi" w:hAnsi="Calibri" w:cs="Calibri"/>
          <w:sz w:val="22"/>
          <w:lang w:eastAsia="en-US"/>
        </w:rPr>
        <w:t>, $595.</w:t>
      </w:r>
      <w:r w:rsidR="00C977AE" w:rsidRPr="000A3F6D">
        <w:rPr>
          <w:rFonts w:ascii="Calibri" w:eastAsiaTheme="minorHAnsi" w:hAnsi="Calibri" w:cs="Calibri"/>
          <w:sz w:val="22"/>
          <w:lang w:eastAsia="en-US"/>
        </w:rPr>
        <w:t>9</w:t>
      </w:r>
      <w:r w:rsidR="00C977AE">
        <w:rPr>
          <w:rFonts w:ascii="Calibri" w:eastAsiaTheme="minorHAnsi" w:hAnsi="Calibri" w:cs="Calibri"/>
          <w:sz w:val="22"/>
          <w:lang w:eastAsia="en-US"/>
        </w:rPr>
        <w:t>m</w:t>
      </w:r>
      <w:r w:rsidR="00C977AE" w:rsidRPr="000A3F6D">
        <w:rPr>
          <w:rFonts w:ascii="Calibri" w:eastAsiaTheme="minorHAnsi" w:hAnsi="Calibri" w:cs="Calibri"/>
          <w:sz w:val="22"/>
          <w:lang w:eastAsia="en-US"/>
        </w:rPr>
        <w:t xml:space="preserve"> </w:t>
      </w:r>
      <w:r w:rsidRPr="000A3F6D">
        <w:rPr>
          <w:rFonts w:ascii="Calibri" w:eastAsiaTheme="minorHAnsi" w:hAnsi="Calibri" w:cs="Calibri"/>
          <w:sz w:val="22"/>
          <w:lang w:eastAsia="en-US"/>
        </w:rPr>
        <w:t>more than was originally estimated 12 months earlier and a more than 30 per cent increase in outstanding liabilities. The main factors contributing to this increase were the same as those identified in the mid-year valuation.</w:t>
      </w:r>
    </w:p>
    <w:p w:rsidR="002555F4" w:rsidRDefault="000A3F6D" w:rsidP="0035663E">
      <w:pPr>
        <w:keepLines/>
        <w:numPr>
          <w:ilvl w:val="1"/>
          <w:numId w:val="55"/>
        </w:numPr>
        <w:spacing w:after="120"/>
        <w:ind w:left="709" w:hanging="709"/>
        <w:rPr>
          <w:rFonts w:ascii="Calibri" w:eastAsiaTheme="minorHAnsi" w:hAnsi="Calibri" w:cs="Calibri"/>
          <w:sz w:val="22"/>
          <w:lang w:eastAsia="en-US"/>
        </w:rPr>
      </w:pPr>
      <w:r w:rsidRPr="000A3F6D">
        <w:rPr>
          <w:rFonts w:ascii="Calibri" w:eastAsiaTheme="minorHAnsi" w:hAnsi="Calibri" w:cs="Calibri"/>
          <w:sz w:val="22"/>
          <w:lang w:eastAsia="en-US"/>
        </w:rPr>
        <w:t>The actuarial reports by Taylor Fry and Finity were provided to the ANAO for the audit of Comcare’s financial statements. The ANAO engaged Ernst and Young to provide actuarial support to the audit. ANAO’s closing report concluded that the valuation results were within a reasonable range.</w:t>
      </w:r>
    </w:p>
    <w:p w:rsidR="002555F4" w:rsidRDefault="000A3F6D" w:rsidP="0035663E">
      <w:pPr>
        <w:keepLines/>
        <w:numPr>
          <w:ilvl w:val="1"/>
          <w:numId w:val="55"/>
        </w:numPr>
        <w:spacing w:after="120"/>
        <w:ind w:left="709" w:hanging="709"/>
        <w:rPr>
          <w:rFonts w:ascii="Calibri" w:eastAsiaTheme="minorHAnsi" w:hAnsi="Calibri" w:cs="Calibri"/>
          <w:sz w:val="22"/>
          <w:lang w:eastAsia="en-US"/>
        </w:rPr>
      </w:pPr>
      <w:r w:rsidRPr="000A3F6D">
        <w:rPr>
          <w:rFonts w:ascii="Calibri" w:eastAsiaTheme="minorHAnsi" w:hAnsi="Calibri" w:cs="Calibri"/>
          <w:sz w:val="22"/>
          <w:lang w:eastAsia="en-US"/>
        </w:rPr>
        <w:t>Even though Comcare’s funding framework is heavily based on the assumption that its source of premiums will be available on an ongoing basis, its financial sustainability is also affected by the appreciation of its notional assets in the CRF.</w:t>
      </w:r>
    </w:p>
    <w:p w:rsidR="000A3F6D" w:rsidRPr="000A3F6D" w:rsidRDefault="000A3F6D" w:rsidP="000A3F6D">
      <w:pPr>
        <w:keepNext/>
        <w:keepLines/>
        <w:numPr>
          <w:ilvl w:val="1"/>
          <w:numId w:val="55"/>
        </w:numPr>
        <w:spacing w:after="120"/>
        <w:ind w:left="709" w:hanging="709"/>
        <w:rPr>
          <w:rFonts w:ascii="Calibri" w:eastAsiaTheme="minorHAnsi" w:hAnsi="Calibri" w:cs="Calibri"/>
          <w:sz w:val="22"/>
          <w:lang w:eastAsia="en-US"/>
        </w:rPr>
      </w:pPr>
      <w:r w:rsidRPr="000A3F6D">
        <w:rPr>
          <w:rFonts w:ascii="Calibri" w:eastAsiaTheme="minorHAnsi" w:hAnsi="Calibri" w:cs="Calibri"/>
          <w:sz w:val="22"/>
          <w:lang w:eastAsia="en-US"/>
        </w:rPr>
        <w:t>A challenge faced by Comcare in meeting its liabilities is that it does not have full autonomy over the investment of its assets.  The SRC Act specifies that notional interest is applied to the CRF balance for pre-2002 claims.  Section 3 of the SRC Act specifies that the notional interest rate is determined by the Minister responsible for the CAC Act which is the Minister for Finance and Deregulation.  The rate is currently subject to short-term, six-month overnight indexed swaps.  For Comcare-retained funds on the other hand, Comcare’s Investment Policy stipulates that cash and term deposits are used.  The earning rate of these short-term investments is typically lower than long-term investment options.  Comcare’s current investment policy also allows for investment in “at call” accounts, term deposits with APRA-regulated banks and Commonwealth, State and Territory securities.</w:t>
      </w:r>
    </w:p>
    <w:p w:rsidR="000A3F6D" w:rsidRPr="000A3F6D" w:rsidRDefault="000A3F6D" w:rsidP="000A3F6D">
      <w:pPr>
        <w:keepNext/>
        <w:keepLines/>
        <w:numPr>
          <w:ilvl w:val="1"/>
          <w:numId w:val="55"/>
        </w:numPr>
        <w:spacing w:after="120"/>
        <w:ind w:left="709" w:hanging="709"/>
        <w:rPr>
          <w:rFonts w:ascii="Calibri" w:eastAsiaTheme="minorHAnsi" w:hAnsi="Calibri" w:cs="Calibri"/>
          <w:sz w:val="22"/>
          <w:lang w:eastAsia="en-US"/>
        </w:rPr>
      </w:pPr>
      <w:r w:rsidRPr="000A3F6D">
        <w:rPr>
          <w:rFonts w:ascii="Calibri" w:eastAsiaTheme="minorHAnsi" w:hAnsi="Calibri" w:cs="Calibri"/>
          <w:sz w:val="22"/>
          <w:lang w:eastAsia="en-US"/>
        </w:rPr>
        <w:t xml:space="preserve">As a result, Comcare’s investments are not keeping pace with the ever increasing cost of its claims liabilities.  Due to the discrepancy between the </w:t>
      </w:r>
      <w:proofErr w:type="gramStart"/>
      <w:r w:rsidRPr="000A3F6D">
        <w:rPr>
          <w:rFonts w:ascii="Calibri" w:eastAsiaTheme="minorHAnsi" w:hAnsi="Calibri" w:cs="Calibri"/>
          <w:sz w:val="22"/>
          <w:lang w:eastAsia="en-US"/>
        </w:rPr>
        <w:t>interest</w:t>
      </w:r>
      <w:proofErr w:type="gramEnd"/>
      <w:r w:rsidRPr="000A3F6D">
        <w:rPr>
          <w:rFonts w:ascii="Calibri" w:eastAsiaTheme="minorHAnsi" w:hAnsi="Calibri" w:cs="Calibri"/>
          <w:sz w:val="22"/>
          <w:lang w:eastAsia="en-US"/>
        </w:rPr>
        <w:t xml:space="preserve"> of the notional CRF balance not keeping pace with the increasing claims liability, this is creating a shortfall in the funds generated through investment as Comcare must first utilise its original funds or assets to pay existing claims.  This is placing additional financial strain on the scheme.</w:t>
      </w:r>
      <w:r w:rsidRPr="000A3F6D">
        <w:rPr>
          <w:rFonts w:asciiTheme="minorHAnsi" w:eastAsiaTheme="minorHAnsi" w:hAnsiTheme="minorHAnsi" w:cstheme="minorHAnsi"/>
          <w:sz w:val="22"/>
          <w:szCs w:val="22"/>
          <w:vertAlign w:val="superscript"/>
          <w:lang w:eastAsia="en-US"/>
        </w:rPr>
        <w:footnoteReference w:id="97"/>
      </w:r>
    </w:p>
    <w:p w:rsidR="000A3F6D" w:rsidRPr="000A3F6D" w:rsidRDefault="000A3F6D" w:rsidP="000A3F6D">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ascii="Calibri" w:hAnsi="Calibri" w:cs="Calibri"/>
          <w:b/>
          <w:sz w:val="22"/>
          <w:szCs w:val="22"/>
        </w:rPr>
      </w:pPr>
      <w:r w:rsidRPr="000A3F6D">
        <w:rPr>
          <w:rFonts w:ascii="Calibri" w:hAnsi="Calibri" w:cs="Calibri"/>
          <w:b/>
          <w:sz w:val="22"/>
          <w:szCs w:val="22"/>
        </w:rPr>
        <w:t xml:space="preserve">Recommendation </w:t>
      </w:r>
      <w:r w:rsidR="00D916EA" w:rsidRPr="000A3F6D">
        <w:rPr>
          <w:rFonts w:ascii="Calibri" w:hAnsi="Calibri" w:cs="Calibri"/>
          <w:b/>
          <w:sz w:val="22"/>
          <w:szCs w:val="22"/>
        </w:rPr>
        <w:t>3</w:t>
      </w:r>
      <w:r w:rsidR="00D916EA">
        <w:rPr>
          <w:rFonts w:ascii="Calibri" w:hAnsi="Calibri" w:cs="Calibri"/>
          <w:b/>
          <w:sz w:val="22"/>
          <w:szCs w:val="22"/>
        </w:rPr>
        <w:t>3</w:t>
      </w:r>
    </w:p>
    <w:p w:rsidR="000A3F6D" w:rsidRPr="000A3F6D" w:rsidRDefault="000A3F6D" w:rsidP="000A3F6D">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ascii="Calibri" w:hAnsi="Calibri" w:cs="Calibri"/>
          <w:sz w:val="22"/>
          <w:szCs w:val="22"/>
        </w:rPr>
        <w:sectPr w:rsidR="000A3F6D" w:rsidRPr="000A3F6D" w:rsidSect="00F5040B">
          <w:headerReference w:type="even" r:id="rId41"/>
          <w:footerReference w:type="default" r:id="rId42"/>
          <w:headerReference w:type="first" r:id="rId43"/>
          <w:pgSz w:w="11906" w:h="16838"/>
          <w:pgMar w:top="1440" w:right="1440" w:bottom="1440" w:left="1440" w:header="708" w:footer="708" w:gutter="0"/>
          <w:cols w:space="708"/>
          <w:docGrid w:linePitch="360"/>
        </w:sectPr>
      </w:pPr>
      <w:r w:rsidRPr="000A3F6D">
        <w:rPr>
          <w:rFonts w:ascii="Calibri" w:hAnsi="Calibri" w:cs="Calibri"/>
          <w:sz w:val="22"/>
          <w:szCs w:val="22"/>
        </w:rPr>
        <w:t>Comcare should seek to have the Minister for Finance and Deregulation reconsider the current notional interest rates applied to the CRF in an effort improve their ability to keep pace with the increasing costs of claims liabilities.</w:t>
      </w:r>
    </w:p>
    <w:p w:rsidR="00B354AF" w:rsidRDefault="007B1C79" w:rsidP="007B1C79">
      <w:pPr>
        <w:keepNext/>
        <w:pageBreakBefore/>
        <w:pBdr>
          <w:bottom w:val="single" w:sz="4" w:space="1" w:color="auto"/>
        </w:pBdr>
        <w:spacing w:after="240"/>
        <w:ind w:right="-142"/>
        <w:outlineLvl w:val="1"/>
        <w:rPr>
          <w:rFonts w:ascii="Calibri" w:hAnsi="Calibri" w:cs="Calibri"/>
          <w:b/>
          <w:sz w:val="28"/>
          <w:szCs w:val="28"/>
        </w:rPr>
        <w:sectPr w:rsidR="00B354AF" w:rsidSect="0042201E">
          <w:headerReference w:type="default" r:id="rId44"/>
          <w:pgSz w:w="11906" w:h="16838"/>
          <w:pgMar w:top="1440" w:right="1440" w:bottom="1440" w:left="1440" w:header="708" w:footer="708" w:gutter="0"/>
          <w:cols w:space="708"/>
          <w:docGrid w:linePitch="360"/>
        </w:sectPr>
      </w:pPr>
      <w:bookmarkStart w:id="579" w:name="_Toc342578424"/>
      <w:r w:rsidRPr="007B1C79">
        <w:rPr>
          <w:rFonts w:ascii="Cambria" w:eastAsiaTheme="majorEastAsia" w:hAnsi="Cambria" w:cstheme="majorHAnsi"/>
          <w:iCs/>
          <w:color w:val="1F497D" w:themeColor="text2"/>
          <w:kern w:val="32"/>
          <w:sz w:val="44"/>
          <w:szCs w:val="44"/>
        </w:rPr>
        <w:lastRenderedPageBreak/>
        <w:t>Annexes</w:t>
      </w:r>
      <w:bookmarkEnd w:id="579"/>
      <w:r>
        <w:rPr>
          <w:rFonts w:ascii="Calibri" w:hAnsi="Calibri" w:cs="Calibri"/>
          <w:b/>
          <w:sz w:val="28"/>
          <w:szCs w:val="28"/>
        </w:rPr>
        <w:br w:type="page"/>
      </w:r>
    </w:p>
    <w:p w:rsidR="007B600B" w:rsidRPr="008B228F" w:rsidRDefault="008B228F" w:rsidP="008B228F">
      <w:pPr>
        <w:spacing w:before="100" w:beforeAutospacing="1" w:after="100" w:afterAutospacing="1"/>
        <w:outlineLvl w:val="0"/>
        <w:rPr>
          <w:rFonts w:ascii="Arial" w:hAnsi="Arial"/>
          <w:bCs/>
          <w:caps/>
          <w:color w:val="1F497D" w:themeColor="text2"/>
          <w:kern w:val="36"/>
          <w:sz w:val="28"/>
          <w:szCs w:val="28"/>
        </w:rPr>
      </w:pPr>
      <w:bookmarkStart w:id="580" w:name="_Toc342578425"/>
      <w:r>
        <w:rPr>
          <w:rFonts w:ascii="Arial" w:hAnsi="Arial"/>
          <w:bCs/>
          <w:caps/>
          <w:color w:val="1F497D" w:themeColor="text2"/>
          <w:kern w:val="36"/>
          <w:sz w:val="28"/>
          <w:szCs w:val="28"/>
        </w:rPr>
        <w:lastRenderedPageBreak/>
        <w:t xml:space="preserve">Annex A - </w:t>
      </w:r>
      <w:r w:rsidR="007B600B" w:rsidRPr="008B228F">
        <w:rPr>
          <w:rFonts w:ascii="Arial" w:hAnsi="Arial"/>
          <w:bCs/>
          <w:caps/>
          <w:color w:val="1F497D" w:themeColor="text2"/>
          <w:kern w:val="36"/>
          <w:sz w:val="28"/>
          <w:szCs w:val="28"/>
        </w:rPr>
        <w:t>Safety, Rehabilitation and Compensation Act 1988 (SRC Act)</w:t>
      </w:r>
      <w:r w:rsidR="00750609" w:rsidRPr="008B228F">
        <w:rPr>
          <w:rFonts w:ascii="Arial" w:hAnsi="Arial"/>
          <w:bCs/>
          <w:caps/>
          <w:color w:val="1F497D" w:themeColor="text2"/>
          <w:kern w:val="36"/>
          <w:sz w:val="28"/>
          <w:szCs w:val="28"/>
        </w:rPr>
        <w:t xml:space="preserve"> Review</w:t>
      </w:r>
      <w:r>
        <w:rPr>
          <w:rFonts w:ascii="Arial" w:hAnsi="Arial"/>
          <w:bCs/>
          <w:caps/>
          <w:color w:val="1F497D" w:themeColor="text2"/>
          <w:kern w:val="36"/>
          <w:sz w:val="28"/>
          <w:szCs w:val="28"/>
        </w:rPr>
        <w:t xml:space="preserve"> - </w:t>
      </w:r>
      <w:r w:rsidR="007B600B" w:rsidRPr="008B228F">
        <w:rPr>
          <w:rFonts w:ascii="Arial" w:hAnsi="Arial"/>
          <w:bCs/>
          <w:caps/>
          <w:color w:val="1F497D" w:themeColor="text2"/>
          <w:kern w:val="36"/>
          <w:sz w:val="28"/>
          <w:szCs w:val="28"/>
        </w:rPr>
        <w:t>Terms of Reference</w:t>
      </w:r>
      <w:bookmarkEnd w:id="580"/>
    </w:p>
    <w:p w:rsidR="007B600B" w:rsidRPr="007B600B" w:rsidRDefault="007B600B" w:rsidP="007B600B">
      <w:pPr>
        <w:rPr>
          <w:rFonts w:ascii="Calibri" w:hAnsi="Calibri" w:cs="Calibri"/>
          <w:sz w:val="22"/>
          <w:szCs w:val="22"/>
        </w:rPr>
      </w:pPr>
    </w:p>
    <w:p w:rsidR="007B600B" w:rsidRPr="007B600B" w:rsidRDefault="007B600B" w:rsidP="007B600B">
      <w:pPr>
        <w:rPr>
          <w:rFonts w:ascii="Calibri" w:hAnsi="Calibri" w:cs="Calibri"/>
          <w:sz w:val="22"/>
          <w:szCs w:val="22"/>
        </w:rPr>
      </w:pPr>
      <w:r w:rsidRPr="007B600B">
        <w:rPr>
          <w:rFonts w:ascii="Calibri" w:hAnsi="Calibri" w:cs="Calibri"/>
          <w:sz w:val="22"/>
          <w:szCs w:val="22"/>
        </w:rPr>
        <w:t>The Australian Government aims to build a stronger, fairer Australia through improved productivity, national security, increased social inclusion and building community resilience.</w:t>
      </w:r>
    </w:p>
    <w:p w:rsidR="007B600B" w:rsidRPr="007B600B" w:rsidRDefault="007B600B" w:rsidP="007B600B">
      <w:pPr>
        <w:rPr>
          <w:rFonts w:ascii="Calibri" w:hAnsi="Calibri" w:cs="Calibri"/>
          <w:sz w:val="22"/>
          <w:szCs w:val="22"/>
        </w:rPr>
      </w:pPr>
    </w:p>
    <w:p w:rsidR="007B600B" w:rsidRPr="007B600B" w:rsidRDefault="007B600B" w:rsidP="007B600B">
      <w:pPr>
        <w:rPr>
          <w:rFonts w:ascii="Calibri" w:hAnsi="Calibri" w:cs="Calibri"/>
          <w:sz w:val="22"/>
          <w:szCs w:val="22"/>
        </w:rPr>
      </w:pPr>
      <w:r w:rsidRPr="007B600B">
        <w:rPr>
          <w:rFonts w:ascii="Calibri" w:hAnsi="Calibri" w:cs="Calibri"/>
          <w:sz w:val="22"/>
          <w:szCs w:val="22"/>
        </w:rPr>
        <w:t>The impact of workplace harm on workers and their families is significant. For this reason, the Government is committed to ensuring that the Safety, Rehabilitation and Compensation Act 1988 (SRC Act) provides fair and appropriate workers’ compensation arrangements for all workers covered by that legislation.</w:t>
      </w:r>
    </w:p>
    <w:p w:rsidR="007B600B" w:rsidRPr="007B600B" w:rsidRDefault="007B600B" w:rsidP="007B600B">
      <w:pPr>
        <w:rPr>
          <w:rFonts w:ascii="Calibri" w:hAnsi="Calibri" w:cs="Calibri"/>
          <w:sz w:val="22"/>
          <w:szCs w:val="22"/>
        </w:rPr>
      </w:pPr>
    </w:p>
    <w:p w:rsidR="007B600B" w:rsidRPr="007B600B" w:rsidRDefault="007B600B" w:rsidP="007B600B">
      <w:pPr>
        <w:rPr>
          <w:rFonts w:ascii="Calibri" w:hAnsi="Calibri" w:cs="Calibri"/>
          <w:sz w:val="22"/>
          <w:szCs w:val="22"/>
        </w:rPr>
      </w:pPr>
      <w:r w:rsidRPr="007B600B">
        <w:rPr>
          <w:rFonts w:ascii="Calibri" w:hAnsi="Calibri" w:cs="Calibri"/>
          <w:sz w:val="22"/>
          <w:szCs w:val="22"/>
        </w:rPr>
        <w:t>The Government believes that the Comcare scheme should be exemplary in its scheme-design as well as in its service delivery. To ensure the federal workers’ compensation arrangements reflect contemporary social models and best practice, the review will take into account arrangements within Australian and overseas accident compensation schemes. Issues such as the national disability reforms and reducing red tape will also be considered.</w:t>
      </w:r>
    </w:p>
    <w:p w:rsidR="007B600B" w:rsidRPr="007B600B" w:rsidRDefault="007B600B" w:rsidP="007B600B">
      <w:pPr>
        <w:rPr>
          <w:rFonts w:ascii="Calibri" w:hAnsi="Calibri" w:cs="Calibri"/>
          <w:sz w:val="22"/>
          <w:szCs w:val="22"/>
        </w:rPr>
      </w:pPr>
    </w:p>
    <w:p w:rsidR="007B600B" w:rsidRPr="007B600B" w:rsidRDefault="007B600B" w:rsidP="007B600B">
      <w:pPr>
        <w:rPr>
          <w:rFonts w:ascii="Calibri" w:hAnsi="Calibri" w:cs="Calibri"/>
          <w:sz w:val="22"/>
          <w:szCs w:val="22"/>
        </w:rPr>
      </w:pPr>
      <w:r w:rsidRPr="007B600B">
        <w:rPr>
          <w:rFonts w:ascii="Calibri" w:hAnsi="Calibri" w:cs="Calibri"/>
          <w:sz w:val="22"/>
          <w:szCs w:val="22"/>
        </w:rPr>
        <w:t>The review will inquire and report on:</w:t>
      </w:r>
    </w:p>
    <w:p w:rsidR="007B600B" w:rsidRPr="007B600B" w:rsidRDefault="007B600B" w:rsidP="007B600B">
      <w:pPr>
        <w:rPr>
          <w:rFonts w:ascii="Calibri" w:hAnsi="Calibri" w:cs="Calibri"/>
          <w:sz w:val="22"/>
          <w:szCs w:val="22"/>
        </w:rPr>
      </w:pPr>
    </w:p>
    <w:p w:rsidR="007B600B" w:rsidRPr="007B600B" w:rsidRDefault="007B600B" w:rsidP="007B600B">
      <w:pPr>
        <w:numPr>
          <w:ilvl w:val="0"/>
          <w:numId w:val="53"/>
        </w:numPr>
        <w:ind w:left="426" w:hanging="426"/>
        <w:contextualSpacing/>
        <w:rPr>
          <w:rFonts w:ascii="Calibri" w:hAnsi="Calibri" w:cs="Calibri"/>
          <w:sz w:val="22"/>
          <w:szCs w:val="22"/>
        </w:rPr>
      </w:pPr>
      <w:r w:rsidRPr="007B600B">
        <w:rPr>
          <w:rFonts w:ascii="Calibri" w:hAnsi="Calibri" w:cs="Calibri"/>
          <w:sz w:val="22"/>
          <w:szCs w:val="22"/>
        </w:rPr>
        <w:t>Any legislative anomalies and updates that need to be addressed, including:</w:t>
      </w:r>
    </w:p>
    <w:p w:rsidR="007B600B" w:rsidRPr="007B600B" w:rsidRDefault="007B600B" w:rsidP="007B600B">
      <w:pPr>
        <w:numPr>
          <w:ilvl w:val="1"/>
          <w:numId w:val="54"/>
        </w:numPr>
        <w:ind w:left="1418" w:hanging="709"/>
        <w:contextualSpacing/>
        <w:rPr>
          <w:rFonts w:ascii="Calibri" w:hAnsi="Calibri" w:cs="Calibri"/>
          <w:sz w:val="22"/>
          <w:szCs w:val="22"/>
        </w:rPr>
      </w:pPr>
      <w:r w:rsidRPr="007B600B">
        <w:rPr>
          <w:rFonts w:ascii="Calibri" w:hAnsi="Calibri" w:cs="Calibri"/>
          <w:sz w:val="22"/>
          <w:szCs w:val="22"/>
        </w:rPr>
        <w:t>identifying and resolving anomalies in the legislation and in the operation of the scheme;</w:t>
      </w:r>
    </w:p>
    <w:p w:rsidR="007B600B" w:rsidRPr="007B600B" w:rsidRDefault="007B600B" w:rsidP="007B600B">
      <w:pPr>
        <w:numPr>
          <w:ilvl w:val="1"/>
          <w:numId w:val="54"/>
        </w:numPr>
        <w:ind w:left="1418" w:hanging="709"/>
        <w:contextualSpacing/>
        <w:rPr>
          <w:rFonts w:ascii="Calibri" w:hAnsi="Calibri" w:cs="Calibri"/>
          <w:sz w:val="22"/>
          <w:szCs w:val="22"/>
        </w:rPr>
      </w:pPr>
      <w:r w:rsidRPr="007B600B">
        <w:rPr>
          <w:rFonts w:ascii="Calibri" w:hAnsi="Calibri" w:cs="Calibri"/>
          <w:sz w:val="22"/>
          <w:szCs w:val="22"/>
        </w:rPr>
        <w:t>the framework to achieve the objectives of providing an equitable and cost-effective compensation system, with a particular emphasis on the improved rehabilitation of injured workers;</w:t>
      </w:r>
    </w:p>
    <w:p w:rsidR="007B600B" w:rsidRPr="007B600B" w:rsidRDefault="007B600B" w:rsidP="007B600B">
      <w:pPr>
        <w:numPr>
          <w:ilvl w:val="1"/>
          <w:numId w:val="54"/>
        </w:numPr>
        <w:ind w:left="1418" w:hanging="709"/>
        <w:contextualSpacing/>
        <w:rPr>
          <w:rFonts w:ascii="Calibri" w:hAnsi="Calibri" w:cs="Calibri"/>
          <w:sz w:val="22"/>
          <w:szCs w:val="22"/>
        </w:rPr>
      </w:pPr>
      <w:r w:rsidRPr="007B600B">
        <w:rPr>
          <w:rFonts w:ascii="Calibri" w:hAnsi="Calibri" w:cs="Calibri"/>
          <w:sz w:val="22"/>
          <w:szCs w:val="22"/>
        </w:rPr>
        <w:t>ensuring fair and equitable financial, medical and rehabilitation support for injured workers and their families;</w:t>
      </w:r>
    </w:p>
    <w:p w:rsidR="007B600B" w:rsidRPr="007B600B" w:rsidRDefault="007B600B" w:rsidP="007B600B">
      <w:pPr>
        <w:numPr>
          <w:ilvl w:val="1"/>
          <w:numId w:val="54"/>
        </w:numPr>
        <w:ind w:left="1418" w:hanging="709"/>
        <w:contextualSpacing/>
        <w:rPr>
          <w:rFonts w:ascii="Calibri" w:hAnsi="Calibri" w:cs="Calibri"/>
          <w:sz w:val="22"/>
          <w:szCs w:val="22"/>
        </w:rPr>
      </w:pPr>
      <w:r w:rsidRPr="007B600B">
        <w:rPr>
          <w:rFonts w:ascii="Calibri" w:hAnsi="Calibri" w:cs="Calibri"/>
          <w:sz w:val="22"/>
          <w:szCs w:val="22"/>
        </w:rPr>
        <w:t>a framework to resolve disputes quickly, fairly and at a low cost; and</w:t>
      </w:r>
    </w:p>
    <w:p w:rsidR="007B600B" w:rsidRPr="007B600B" w:rsidRDefault="007B600B" w:rsidP="007B600B">
      <w:pPr>
        <w:numPr>
          <w:ilvl w:val="1"/>
          <w:numId w:val="54"/>
        </w:numPr>
        <w:ind w:left="1418" w:hanging="709"/>
        <w:contextualSpacing/>
        <w:rPr>
          <w:rFonts w:ascii="Calibri" w:hAnsi="Calibri" w:cs="Calibri"/>
          <w:sz w:val="22"/>
          <w:szCs w:val="22"/>
        </w:rPr>
      </w:pPr>
      <w:proofErr w:type="gramStart"/>
      <w:r w:rsidRPr="007B600B">
        <w:rPr>
          <w:rFonts w:ascii="Calibri" w:hAnsi="Calibri" w:cs="Calibri"/>
          <w:sz w:val="22"/>
          <w:szCs w:val="22"/>
        </w:rPr>
        <w:t>ensuring</w:t>
      </w:r>
      <w:proofErr w:type="gramEnd"/>
      <w:r w:rsidRPr="007B600B">
        <w:rPr>
          <w:rFonts w:ascii="Calibri" w:hAnsi="Calibri" w:cs="Calibri"/>
          <w:sz w:val="22"/>
          <w:szCs w:val="22"/>
        </w:rPr>
        <w:t xml:space="preserve"> the application of workers’ compensation legislation does not disadvantage workers over the age of 65 and there is no gap between the workers’ compensation age limit and the foreshadowed increase to the age pension eligibility age to 67 by 2023.</w:t>
      </w:r>
    </w:p>
    <w:p w:rsidR="007B600B" w:rsidRPr="007B600B" w:rsidRDefault="007B600B" w:rsidP="007B600B">
      <w:pPr>
        <w:rPr>
          <w:rFonts w:ascii="Calibri" w:hAnsi="Calibri" w:cs="Calibri"/>
          <w:sz w:val="22"/>
          <w:szCs w:val="22"/>
        </w:rPr>
      </w:pPr>
    </w:p>
    <w:p w:rsidR="007B600B" w:rsidRPr="007B600B" w:rsidRDefault="007B600B" w:rsidP="007B600B">
      <w:pPr>
        <w:numPr>
          <w:ilvl w:val="0"/>
          <w:numId w:val="53"/>
        </w:numPr>
        <w:ind w:left="426" w:hanging="426"/>
        <w:contextualSpacing/>
        <w:rPr>
          <w:rFonts w:ascii="Calibri" w:hAnsi="Calibri" w:cs="Calibri"/>
          <w:sz w:val="22"/>
          <w:szCs w:val="22"/>
        </w:rPr>
      </w:pPr>
      <w:r w:rsidRPr="007B600B">
        <w:rPr>
          <w:rFonts w:ascii="Calibri" w:hAnsi="Calibri" w:cs="Calibri"/>
          <w:sz w:val="22"/>
          <w:szCs w:val="22"/>
        </w:rPr>
        <w:t>The performance of the Comcare scheme and ways to improve its operation, including:</w:t>
      </w:r>
    </w:p>
    <w:p w:rsidR="007B600B" w:rsidRPr="007B600B" w:rsidRDefault="007B600B" w:rsidP="007B600B">
      <w:pPr>
        <w:numPr>
          <w:ilvl w:val="1"/>
          <w:numId w:val="53"/>
        </w:numPr>
        <w:ind w:left="1418" w:hanging="709"/>
        <w:contextualSpacing/>
        <w:rPr>
          <w:rFonts w:ascii="Calibri" w:hAnsi="Calibri" w:cs="Calibri"/>
          <w:sz w:val="22"/>
          <w:szCs w:val="22"/>
        </w:rPr>
      </w:pPr>
      <w:r w:rsidRPr="007B600B">
        <w:rPr>
          <w:rFonts w:ascii="Calibri" w:hAnsi="Calibri" w:cs="Calibri"/>
          <w:sz w:val="22"/>
          <w:szCs w:val="22"/>
        </w:rPr>
        <w:t>an examination of the different outcomes achieved by private and public sector employers concerning the recovery and return to work of injured workers; and</w:t>
      </w:r>
    </w:p>
    <w:p w:rsidR="007B600B" w:rsidRPr="007B600B" w:rsidRDefault="007B600B" w:rsidP="007B600B">
      <w:pPr>
        <w:numPr>
          <w:ilvl w:val="1"/>
          <w:numId w:val="53"/>
        </w:numPr>
        <w:ind w:left="1418" w:hanging="709"/>
        <w:contextualSpacing/>
        <w:rPr>
          <w:rFonts w:ascii="Calibri" w:hAnsi="Calibri" w:cs="Calibri"/>
          <w:sz w:val="22"/>
          <w:szCs w:val="22"/>
        </w:rPr>
      </w:pPr>
      <w:proofErr w:type="gramStart"/>
      <w:r w:rsidRPr="007B600B">
        <w:rPr>
          <w:rFonts w:ascii="Calibri" w:hAnsi="Calibri" w:cs="Calibri"/>
          <w:sz w:val="22"/>
          <w:szCs w:val="22"/>
        </w:rPr>
        <w:t>improved</w:t>
      </w:r>
      <w:proofErr w:type="gramEnd"/>
      <w:r w:rsidRPr="007B600B">
        <w:rPr>
          <w:rFonts w:ascii="Calibri" w:hAnsi="Calibri" w:cs="Calibri"/>
          <w:sz w:val="22"/>
          <w:szCs w:val="22"/>
        </w:rPr>
        <w:t xml:space="preserve"> delivery of recovery and support services by Comcare.</w:t>
      </w:r>
    </w:p>
    <w:p w:rsidR="007B600B" w:rsidRPr="007B600B" w:rsidRDefault="007B600B" w:rsidP="007B600B">
      <w:pPr>
        <w:rPr>
          <w:rFonts w:ascii="Calibri" w:hAnsi="Calibri" w:cs="Calibri"/>
          <w:sz w:val="22"/>
          <w:szCs w:val="22"/>
        </w:rPr>
      </w:pPr>
    </w:p>
    <w:p w:rsidR="007B600B" w:rsidRPr="007B600B" w:rsidRDefault="007B600B" w:rsidP="007B600B">
      <w:pPr>
        <w:numPr>
          <w:ilvl w:val="0"/>
          <w:numId w:val="53"/>
        </w:numPr>
        <w:ind w:left="426" w:hanging="426"/>
        <w:contextualSpacing/>
        <w:rPr>
          <w:rFonts w:ascii="Calibri" w:hAnsi="Calibri" w:cs="Calibri"/>
          <w:sz w:val="22"/>
          <w:szCs w:val="22"/>
        </w:rPr>
      </w:pPr>
      <w:r w:rsidRPr="007B600B">
        <w:rPr>
          <w:rFonts w:ascii="Calibri" w:hAnsi="Calibri" w:cs="Calibri"/>
          <w:sz w:val="22"/>
          <w:szCs w:val="22"/>
        </w:rPr>
        <w:t>The financial framework of the Comcare scheme, including:</w:t>
      </w:r>
    </w:p>
    <w:p w:rsidR="007B600B" w:rsidRPr="007B600B" w:rsidRDefault="007B600B" w:rsidP="007B600B">
      <w:pPr>
        <w:numPr>
          <w:ilvl w:val="1"/>
          <w:numId w:val="53"/>
        </w:numPr>
        <w:ind w:left="1418" w:hanging="709"/>
        <w:contextualSpacing/>
        <w:rPr>
          <w:rFonts w:ascii="Calibri" w:hAnsi="Calibri" w:cs="Calibri"/>
          <w:sz w:val="22"/>
          <w:szCs w:val="22"/>
        </w:rPr>
      </w:pPr>
      <w:r w:rsidRPr="007B600B">
        <w:rPr>
          <w:rFonts w:ascii="Calibri" w:hAnsi="Calibri" w:cs="Calibri"/>
          <w:sz w:val="22"/>
          <w:szCs w:val="22"/>
        </w:rPr>
        <w:t>the financial sustainability of the scheme;</w:t>
      </w:r>
    </w:p>
    <w:p w:rsidR="007B600B" w:rsidRPr="007B600B" w:rsidRDefault="007B600B" w:rsidP="007B600B">
      <w:pPr>
        <w:numPr>
          <w:ilvl w:val="1"/>
          <w:numId w:val="53"/>
        </w:numPr>
        <w:ind w:left="1418" w:hanging="709"/>
        <w:contextualSpacing/>
        <w:rPr>
          <w:rFonts w:ascii="Calibri" w:hAnsi="Calibri" w:cs="Calibri"/>
          <w:sz w:val="22"/>
          <w:szCs w:val="22"/>
        </w:rPr>
      </w:pPr>
      <w:r w:rsidRPr="007B600B">
        <w:rPr>
          <w:rFonts w:ascii="Calibri" w:hAnsi="Calibri" w:cs="Calibri"/>
          <w:sz w:val="22"/>
          <w:szCs w:val="22"/>
        </w:rPr>
        <w:t>a premium framework that improves and rewards scheme performance;</w:t>
      </w:r>
    </w:p>
    <w:p w:rsidR="007B600B" w:rsidRPr="007B600B" w:rsidRDefault="007B600B" w:rsidP="007B600B">
      <w:pPr>
        <w:numPr>
          <w:ilvl w:val="1"/>
          <w:numId w:val="53"/>
        </w:numPr>
        <w:ind w:left="1418" w:hanging="709"/>
        <w:contextualSpacing/>
        <w:rPr>
          <w:rFonts w:ascii="Calibri" w:hAnsi="Calibri" w:cs="Calibri"/>
          <w:sz w:val="22"/>
          <w:szCs w:val="22"/>
        </w:rPr>
      </w:pPr>
      <w:r w:rsidRPr="007B600B">
        <w:rPr>
          <w:rFonts w:ascii="Calibri" w:hAnsi="Calibri" w:cs="Calibri"/>
          <w:sz w:val="22"/>
          <w:szCs w:val="22"/>
        </w:rPr>
        <w:t>the governance arrangements for Comcare; and</w:t>
      </w:r>
    </w:p>
    <w:p w:rsidR="007B600B" w:rsidRPr="007B600B" w:rsidRDefault="007B600B" w:rsidP="007B600B">
      <w:pPr>
        <w:numPr>
          <w:ilvl w:val="1"/>
          <w:numId w:val="53"/>
        </w:numPr>
        <w:ind w:left="1418" w:hanging="709"/>
        <w:contextualSpacing/>
        <w:rPr>
          <w:rFonts w:ascii="Calibri" w:hAnsi="Calibri" w:cs="Calibri"/>
          <w:sz w:val="22"/>
          <w:szCs w:val="22"/>
        </w:rPr>
      </w:pPr>
      <w:proofErr w:type="gramStart"/>
      <w:r w:rsidRPr="007B600B">
        <w:rPr>
          <w:rFonts w:ascii="Calibri" w:hAnsi="Calibri" w:cs="Calibri"/>
          <w:sz w:val="22"/>
          <w:szCs w:val="22"/>
        </w:rPr>
        <w:t>ensuring</w:t>
      </w:r>
      <w:proofErr w:type="gramEnd"/>
      <w:r w:rsidRPr="007B600B">
        <w:rPr>
          <w:rFonts w:ascii="Calibri" w:hAnsi="Calibri" w:cs="Calibri"/>
          <w:sz w:val="22"/>
          <w:szCs w:val="22"/>
        </w:rPr>
        <w:t xml:space="preserve"> that the financial framework is consistent with contemporary prudential management practice.</w:t>
      </w:r>
    </w:p>
    <w:p w:rsidR="007B600B" w:rsidRPr="007B600B" w:rsidRDefault="007B600B" w:rsidP="007B600B">
      <w:pPr>
        <w:rPr>
          <w:rFonts w:ascii="Calibri" w:hAnsi="Calibri" w:cs="Calibri"/>
          <w:sz w:val="22"/>
          <w:szCs w:val="22"/>
        </w:rPr>
      </w:pPr>
    </w:p>
    <w:p w:rsidR="007B600B" w:rsidRDefault="007B600B" w:rsidP="007B600B">
      <w:pPr>
        <w:rPr>
          <w:rFonts w:ascii="Calibri" w:hAnsi="Calibri" w:cs="Calibri"/>
          <w:sz w:val="22"/>
          <w:szCs w:val="22"/>
        </w:rPr>
        <w:sectPr w:rsidR="007B600B" w:rsidSect="0042201E">
          <w:headerReference w:type="default" r:id="rId45"/>
          <w:pgSz w:w="11906" w:h="16838"/>
          <w:pgMar w:top="1440" w:right="1440" w:bottom="1440" w:left="1440" w:header="708" w:footer="708" w:gutter="0"/>
          <w:cols w:space="708"/>
          <w:docGrid w:linePitch="360"/>
        </w:sectPr>
      </w:pPr>
      <w:r w:rsidRPr="007B600B">
        <w:rPr>
          <w:rFonts w:ascii="Calibri" w:hAnsi="Calibri" w:cs="Calibri"/>
          <w:sz w:val="22"/>
          <w:szCs w:val="22"/>
        </w:rPr>
        <w:t>The review will be finalised by 1 February 2013. It is the Government’s intention that the review will not consider any reduction in existing benefits afforded to workers covered by the Comcare scheme.</w:t>
      </w:r>
    </w:p>
    <w:p w:rsidR="007B600B" w:rsidRPr="008B228F" w:rsidRDefault="008B228F">
      <w:pPr>
        <w:spacing w:before="100" w:beforeAutospacing="1" w:after="100" w:afterAutospacing="1"/>
        <w:outlineLvl w:val="0"/>
        <w:rPr>
          <w:rFonts w:ascii="Arial" w:hAnsi="Arial"/>
          <w:bCs/>
          <w:caps/>
          <w:color w:val="1F497D" w:themeColor="text2"/>
          <w:kern w:val="36"/>
          <w:sz w:val="28"/>
          <w:szCs w:val="28"/>
        </w:rPr>
      </w:pPr>
      <w:bookmarkStart w:id="581" w:name="_Toc342578426"/>
      <w:r>
        <w:rPr>
          <w:rFonts w:ascii="Arial" w:hAnsi="Arial"/>
          <w:bCs/>
          <w:caps/>
          <w:color w:val="1F497D" w:themeColor="text2"/>
          <w:kern w:val="36"/>
          <w:sz w:val="28"/>
          <w:szCs w:val="28"/>
        </w:rPr>
        <w:lastRenderedPageBreak/>
        <w:t xml:space="preserve">annex b - </w:t>
      </w:r>
      <w:r w:rsidR="007B600B" w:rsidRPr="008B228F">
        <w:rPr>
          <w:rFonts w:ascii="Arial" w:hAnsi="Arial"/>
          <w:bCs/>
          <w:caps/>
          <w:color w:val="1F497D" w:themeColor="text2"/>
          <w:kern w:val="36"/>
          <w:sz w:val="28"/>
          <w:szCs w:val="28"/>
        </w:rPr>
        <w:t>List of Consultations</w:t>
      </w:r>
      <w:bookmarkEnd w:id="581"/>
    </w:p>
    <w:tbl>
      <w:tblPr>
        <w:tblStyle w:val="TableGrid2"/>
        <w:tblW w:w="0" w:type="auto"/>
        <w:tblInd w:w="360" w:type="dxa"/>
        <w:tblLook w:val="04A0" w:firstRow="1" w:lastRow="0" w:firstColumn="1" w:lastColumn="0" w:noHBand="0" w:noVBand="1"/>
        <w:tblCaption w:val="Annex B - List of consultations"/>
        <w:tblDescription w:val="The table lists organisation name and date of consultation"/>
      </w:tblPr>
      <w:tblGrid>
        <w:gridCol w:w="5985"/>
        <w:gridCol w:w="2897"/>
      </w:tblGrid>
      <w:tr w:rsidR="007B600B" w:rsidRPr="007B600B" w:rsidTr="00F76E26">
        <w:trPr>
          <w:tblHeader/>
        </w:trPr>
        <w:tc>
          <w:tcPr>
            <w:tcW w:w="5985" w:type="dxa"/>
          </w:tcPr>
          <w:p w:rsidR="007B600B" w:rsidRPr="007B600B" w:rsidRDefault="007B600B" w:rsidP="007B600B">
            <w:pPr>
              <w:spacing w:before="100" w:beforeAutospacing="1" w:after="120" w:line="288" w:lineRule="auto"/>
              <w:jc w:val="center"/>
              <w:rPr>
                <w:rFonts w:ascii="Calibri" w:hAnsi="Calibri" w:cs="Calibri"/>
                <w:b/>
              </w:rPr>
            </w:pPr>
            <w:r w:rsidRPr="007B600B">
              <w:rPr>
                <w:rFonts w:ascii="Calibri" w:hAnsi="Calibri" w:cs="Calibri"/>
                <w:b/>
              </w:rPr>
              <w:t>Organisation</w:t>
            </w:r>
          </w:p>
        </w:tc>
        <w:tc>
          <w:tcPr>
            <w:tcW w:w="2897" w:type="dxa"/>
          </w:tcPr>
          <w:p w:rsidR="007B600B" w:rsidRPr="007B600B" w:rsidRDefault="007B600B" w:rsidP="007B600B">
            <w:pPr>
              <w:spacing w:before="100" w:beforeAutospacing="1" w:after="120" w:line="288" w:lineRule="auto"/>
              <w:jc w:val="center"/>
              <w:rPr>
                <w:rFonts w:ascii="Calibri" w:hAnsi="Calibri" w:cs="Calibri"/>
                <w:b/>
              </w:rPr>
            </w:pPr>
            <w:r w:rsidRPr="007B600B">
              <w:rPr>
                <w:rFonts w:ascii="Calibri" w:hAnsi="Calibri" w:cs="Calibri"/>
                <w:b/>
              </w:rPr>
              <w:t>Date of consultation</w:t>
            </w:r>
          </w:p>
        </w:tc>
      </w:tr>
      <w:tr w:rsidR="00AA0F8E" w:rsidRPr="007B600B" w:rsidTr="00584ADA">
        <w:tc>
          <w:tcPr>
            <w:tcW w:w="5985" w:type="dxa"/>
          </w:tcPr>
          <w:p w:rsidR="00AA0F8E" w:rsidRPr="007B600B" w:rsidRDefault="00AA0F8E" w:rsidP="007B600B">
            <w:pPr>
              <w:spacing w:before="100" w:beforeAutospacing="1" w:after="120" w:line="288" w:lineRule="auto"/>
              <w:rPr>
                <w:rFonts w:ascii="Calibri" w:hAnsi="Calibri" w:cs="Calibri"/>
              </w:rPr>
            </w:pPr>
            <w:r w:rsidRPr="007B600B">
              <w:rPr>
                <w:rFonts w:ascii="Calibri" w:hAnsi="Calibri" w:cs="Calibri"/>
              </w:rPr>
              <w:t>Comcare</w:t>
            </w:r>
          </w:p>
        </w:tc>
        <w:tc>
          <w:tcPr>
            <w:tcW w:w="2897" w:type="dxa"/>
          </w:tcPr>
          <w:p w:rsidR="00AA0F8E" w:rsidRPr="007B600B" w:rsidRDefault="00AA0F8E" w:rsidP="007B600B">
            <w:pPr>
              <w:spacing w:before="100" w:beforeAutospacing="1" w:after="120" w:line="288" w:lineRule="auto"/>
              <w:rPr>
                <w:rFonts w:ascii="Calibri" w:hAnsi="Calibri" w:cs="Calibri"/>
              </w:rPr>
            </w:pPr>
            <w:r w:rsidRPr="007B600B">
              <w:rPr>
                <w:rFonts w:ascii="Calibri" w:hAnsi="Calibri" w:cs="Calibri"/>
              </w:rPr>
              <w:t>25 July</w:t>
            </w:r>
            <w:r>
              <w:rPr>
                <w:rFonts w:ascii="Calibri" w:hAnsi="Calibri" w:cs="Calibri"/>
              </w:rPr>
              <w:t xml:space="preserve">, </w:t>
            </w:r>
            <w:r w:rsidRPr="007B600B">
              <w:rPr>
                <w:rFonts w:ascii="Calibri" w:hAnsi="Calibri" w:cs="Calibri"/>
              </w:rPr>
              <w:t>22 August</w:t>
            </w:r>
            <w:r>
              <w:rPr>
                <w:rFonts w:ascii="Calibri" w:hAnsi="Calibri" w:cs="Calibri"/>
              </w:rPr>
              <w:t>, 23 October, 24 October, 26 October, and 16 November 2012</w:t>
            </w:r>
          </w:p>
        </w:tc>
      </w:tr>
      <w:tr w:rsidR="00AA0F8E" w:rsidRPr="007B600B" w:rsidTr="00584ADA">
        <w:tc>
          <w:tcPr>
            <w:tcW w:w="5985" w:type="dxa"/>
          </w:tcPr>
          <w:p w:rsidR="00AA0F8E" w:rsidRPr="007B600B" w:rsidRDefault="00AA0F8E" w:rsidP="007B600B">
            <w:pPr>
              <w:spacing w:before="100" w:beforeAutospacing="1" w:after="120" w:line="288" w:lineRule="auto"/>
              <w:rPr>
                <w:rFonts w:ascii="Calibri" w:hAnsi="Calibri" w:cs="Calibri"/>
              </w:rPr>
            </w:pPr>
            <w:r w:rsidRPr="007B600B">
              <w:rPr>
                <w:rFonts w:ascii="Calibri" w:hAnsi="Calibri" w:cs="Calibri"/>
              </w:rPr>
              <w:t>Mr Peter Henneken (SRCC Chair)</w:t>
            </w:r>
          </w:p>
        </w:tc>
        <w:tc>
          <w:tcPr>
            <w:tcW w:w="2897" w:type="dxa"/>
          </w:tcPr>
          <w:p w:rsidR="00AA0F8E" w:rsidRPr="007B600B" w:rsidRDefault="00AA0F8E" w:rsidP="007B600B">
            <w:pPr>
              <w:spacing w:before="100" w:beforeAutospacing="1" w:after="120" w:line="288" w:lineRule="auto"/>
              <w:rPr>
                <w:rFonts w:ascii="Calibri" w:hAnsi="Calibri" w:cs="Calibri"/>
              </w:rPr>
            </w:pPr>
            <w:r w:rsidRPr="007B600B">
              <w:rPr>
                <w:rFonts w:ascii="Calibri" w:hAnsi="Calibri" w:cs="Calibri"/>
              </w:rPr>
              <w:t>26 July 2012</w:t>
            </w:r>
          </w:p>
        </w:tc>
      </w:tr>
      <w:tr w:rsidR="00AA0F8E" w:rsidRPr="007B600B" w:rsidTr="00584ADA">
        <w:tc>
          <w:tcPr>
            <w:tcW w:w="5985" w:type="dxa"/>
          </w:tcPr>
          <w:p w:rsidR="00AA0F8E" w:rsidRPr="007B600B" w:rsidRDefault="00AA0F8E" w:rsidP="007B600B">
            <w:pPr>
              <w:spacing w:before="100" w:beforeAutospacing="1" w:after="120" w:line="288" w:lineRule="auto"/>
              <w:rPr>
                <w:rFonts w:ascii="Calibri" w:hAnsi="Calibri" w:cs="Calibri"/>
              </w:rPr>
            </w:pPr>
            <w:r w:rsidRPr="007B600B">
              <w:rPr>
                <w:rFonts w:ascii="Calibri" w:hAnsi="Calibri" w:cs="Calibri"/>
              </w:rPr>
              <w:t>ACT Government</w:t>
            </w:r>
          </w:p>
        </w:tc>
        <w:tc>
          <w:tcPr>
            <w:tcW w:w="2897" w:type="dxa"/>
          </w:tcPr>
          <w:p w:rsidR="00AA0F8E" w:rsidRPr="007B600B" w:rsidRDefault="00AA0F8E" w:rsidP="007B600B">
            <w:pPr>
              <w:spacing w:before="100" w:beforeAutospacing="1" w:after="120" w:line="288" w:lineRule="auto"/>
              <w:rPr>
                <w:rFonts w:ascii="Calibri" w:hAnsi="Calibri" w:cs="Calibri"/>
              </w:rPr>
            </w:pPr>
            <w:r w:rsidRPr="007B600B">
              <w:rPr>
                <w:rFonts w:ascii="Calibri" w:hAnsi="Calibri" w:cs="Calibri"/>
              </w:rPr>
              <w:t>26 July 2012</w:t>
            </w:r>
          </w:p>
        </w:tc>
      </w:tr>
      <w:tr w:rsidR="00AA0F8E" w:rsidRPr="007B600B" w:rsidTr="00584ADA">
        <w:tc>
          <w:tcPr>
            <w:tcW w:w="5985" w:type="dxa"/>
          </w:tcPr>
          <w:p w:rsidR="00AA0F8E" w:rsidRPr="007B600B" w:rsidRDefault="00AA0F8E" w:rsidP="007B600B">
            <w:pPr>
              <w:spacing w:before="100" w:beforeAutospacing="1" w:after="120" w:line="288" w:lineRule="auto"/>
              <w:rPr>
                <w:rFonts w:ascii="Calibri" w:hAnsi="Calibri" w:cs="Calibri"/>
              </w:rPr>
            </w:pPr>
            <w:r w:rsidRPr="007B600B">
              <w:rPr>
                <w:rFonts w:ascii="Calibri" w:hAnsi="Calibri" w:cs="Calibri"/>
              </w:rPr>
              <w:t>National Australia Bank (NAB)</w:t>
            </w:r>
          </w:p>
        </w:tc>
        <w:tc>
          <w:tcPr>
            <w:tcW w:w="2897" w:type="dxa"/>
          </w:tcPr>
          <w:p w:rsidR="00AA0F8E" w:rsidRPr="007B600B" w:rsidRDefault="00AA0F8E" w:rsidP="007B600B">
            <w:pPr>
              <w:spacing w:before="100" w:beforeAutospacing="1" w:after="120" w:line="288" w:lineRule="auto"/>
              <w:rPr>
                <w:rFonts w:ascii="Calibri" w:hAnsi="Calibri" w:cs="Calibri"/>
              </w:rPr>
            </w:pPr>
            <w:r w:rsidRPr="007B600B">
              <w:rPr>
                <w:rFonts w:ascii="Calibri" w:hAnsi="Calibri" w:cs="Calibri"/>
              </w:rPr>
              <w:t>13 August 2012</w:t>
            </w:r>
          </w:p>
        </w:tc>
      </w:tr>
      <w:tr w:rsidR="00AA0F8E" w:rsidRPr="007B600B" w:rsidTr="00584ADA">
        <w:tc>
          <w:tcPr>
            <w:tcW w:w="5985" w:type="dxa"/>
          </w:tcPr>
          <w:p w:rsidR="00AA0F8E" w:rsidRPr="007B600B" w:rsidRDefault="00AA0F8E" w:rsidP="007B600B">
            <w:pPr>
              <w:spacing w:before="100" w:beforeAutospacing="1" w:after="120" w:line="288" w:lineRule="auto"/>
              <w:rPr>
                <w:rFonts w:ascii="Calibri" w:hAnsi="Calibri" w:cs="Calibri"/>
              </w:rPr>
            </w:pPr>
            <w:r w:rsidRPr="007B600B">
              <w:rPr>
                <w:rFonts w:ascii="Calibri" w:hAnsi="Calibri" w:cs="Calibri"/>
              </w:rPr>
              <w:t>Australian Rehabilitation Providers Association</w:t>
            </w:r>
          </w:p>
        </w:tc>
        <w:tc>
          <w:tcPr>
            <w:tcW w:w="2897" w:type="dxa"/>
          </w:tcPr>
          <w:p w:rsidR="00AA0F8E" w:rsidRPr="007B600B" w:rsidRDefault="00AA0F8E" w:rsidP="007B600B">
            <w:pPr>
              <w:spacing w:before="100" w:beforeAutospacing="1" w:after="120" w:line="288" w:lineRule="auto"/>
              <w:rPr>
                <w:rFonts w:ascii="Calibri" w:hAnsi="Calibri" w:cs="Calibri"/>
              </w:rPr>
            </w:pPr>
            <w:r w:rsidRPr="007B600B">
              <w:rPr>
                <w:rFonts w:ascii="Calibri" w:hAnsi="Calibri" w:cs="Calibri"/>
              </w:rPr>
              <w:t>13 August 2012</w:t>
            </w:r>
          </w:p>
        </w:tc>
      </w:tr>
      <w:tr w:rsidR="00AA0F8E" w:rsidRPr="007B600B" w:rsidTr="00584ADA">
        <w:tc>
          <w:tcPr>
            <w:tcW w:w="5985" w:type="dxa"/>
          </w:tcPr>
          <w:p w:rsidR="00AA0F8E" w:rsidRPr="007B600B" w:rsidRDefault="00AA0F8E" w:rsidP="007B600B">
            <w:pPr>
              <w:spacing w:before="100" w:beforeAutospacing="1" w:after="120" w:line="288" w:lineRule="auto"/>
              <w:rPr>
                <w:rFonts w:ascii="Calibri" w:hAnsi="Calibri" w:cs="Calibri"/>
              </w:rPr>
            </w:pPr>
            <w:r w:rsidRPr="007B600B">
              <w:rPr>
                <w:rFonts w:ascii="Calibri" w:hAnsi="Calibri" w:cs="Calibri"/>
              </w:rPr>
              <w:t>Department of Foreign Affairs and Trade</w:t>
            </w:r>
          </w:p>
        </w:tc>
        <w:tc>
          <w:tcPr>
            <w:tcW w:w="2897" w:type="dxa"/>
          </w:tcPr>
          <w:p w:rsidR="00AA0F8E" w:rsidRPr="007B600B" w:rsidRDefault="00AA0F8E" w:rsidP="007B600B">
            <w:pPr>
              <w:spacing w:before="100" w:beforeAutospacing="1" w:after="120" w:line="288" w:lineRule="auto"/>
              <w:rPr>
                <w:rFonts w:ascii="Calibri" w:hAnsi="Calibri" w:cs="Calibri"/>
              </w:rPr>
            </w:pPr>
            <w:r w:rsidRPr="007B600B">
              <w:rPr>
                <w:rFonts w:ascii="Calibri" w:hAnsi="Calibri" w:cs="Calibri"/>
              </w:rPr>
              <w:t>13 August 2012</w:t>
            </w:r>
          </w:p>
        </w:tc>
      </w:tr>
      <w:tr w:rsidR="00AA0F8E" w:rsidRPr="007B600B" w:rsidTr="00584ADA">
        <w:tc>
          <w:tcPr>
            <w:tcW w:w="5985" w:type="dxa"/>
          </w:tcPr>
          <w:p w:rsidR="00AA0F8E" w:rsidRPr="007B600B" w:rsidRDefault="00AA0F8E" w:rsidP="007B600B">
            <w:pPr>
              <w:spacing w:before="100" w:beforeAutospacing="1" w:after="120" w:line="288" w:lineRule="auto"/>
              <w:rPr>
                <w:rFonts w:ascii="Calibri" w:hAnsi="Calibri" w:cs="Calibri"/>
              </w:rPr>
            </w:pPr>
            <w:r w:rsidRPr="007B600B">
              <w:rPr>
                <w:rFonts w:ascii="Calibri" w:hAnsi="Calibri" w:cs="Calibri"/>
              </w:rPr>
              <w:t>WorkCover Western Australia</w:t>
            </w:r>
          </w:p>
        </w:tc>
        <w:tc>
          <w:tcPr>
            <w:tcW w:w="2897" w:type="dxa"/>
          </w:tcPr>
          <w:p w:rsidR="00AA0F8E" w:rsidRPr="007B600B" w:rsidRDefault="00AA0F8E" w:rsidP="007B600B">
            <w:pPr>
              <w:spacing w:before="100" w:beforeAutospacing="1" w:after="120" w:line="288" w:lineRule="auto"/>
              <w:rPr>
                <w:rFonts w:ascii="Calibri" w:hAnsi="Calibri" w:cs="Calibri"/>
              </w:rPr>
            </w:pPr>
            <w:r w:rsidRPr="007B600B">
              <w:rPr>
                <w:rFonts w:ascii="Calibri" w:hAnsi="Calibri" w:cs="Calibri"/>
              </w:rPr>
              <w:t>13 August 2012</w:t>
            </w:r>
          </w:p>
        </w:tc>
      </w:tr>
      <w:tr w:rsidR="00AA0F8E" w:rsidRPr="007B600B" w:rsidTr="00584ADA">
        <w:tc>
          <w:tcPr>
            <w:tcW w:w="5985" w:type="dxa"/>
          </w:tcPr>
          <w:p w:rsidR="00AA0F8E" w:rsidRPr="007B600B" w:rsidRDefault="00AA0F8E" w:rsidP="007B600B">
            <w:pPr>
              <w:spacing w:before="100" w:beforeAutospacing="1" w:after="120" w:line="288" w:lineRule="auto"/>
              <w:rPr>
                <w:rFonts w:ascii="Calibri" w:hAnsi="Calibri" w:cs="Calibri"/>
              </w:rPr>
            </w:pPr>
            <w:r w:rsidRPr="007B600B">
              <w:rPr>
                <w:rFonts w:ascii="Calibri" w:hAnsi="Calibri" w:cs="Calibri"/>
              </w:rPr>
              <w:t>QBE Insurance</w:t>
            </w:r>
          </w:p>
        </w:tc>
        <w:tc>
          <w:tcPr>
            <w:tcW w:w="2897" w:type="dxa"/>
          </w:tcPr>
          <w:p w:rsidR="00AA0F8E" w:rsidRPr="007B600B" w:rsidRDefault="00AA0F8E" w:rsidP="007B600B">
            <w:pPr>
              <w:spacing w:before="100" w:beforeAutospacing="1" w:after="120" w:line="288" w:lineRule="auto"/>
              <w:rPr>
                <w:rFonts w:ascii="Calibri" w:hAnsi="Calibri" w:cs="Calibri"/>
              </w:rPr>
            </w:pPr>
            <w:r w:rsidRPr="007B600B">
              <w:rPr>
                <w:rFonts w:ascii="Calibri" w:hAnsi="Calibri" w:cs="Calibri"/>
              </w:rPr>
              <w:t>16 August 2012</w:t>
            </w:r>
          </w:p>
        </w:tc>
      </w:tr>
      <w:tr w:rsidR="00AA0F8E" w:rsidRPr="007B600B" w:rsidTr="00584ADA">
        <w:tc>
          <w:tcPr>
            <w:tcW w:w="5985" w:type="dxa"/>
          </w:tcPr>
          <w:p w:rsidR="00AA0F8E" w:rsidRPr="007B600B" w:rsidRDefault="00AA0F8E" w:rsidP="007B600B">
            <w:pPr>
              <w:spacing w:before="100" w:beforeAutospacing="1" w:after="120" w:line="288" w:lineRule="auto"/>
              <w:rPr>
                <w:rFonts w:ascii="Calibri" w:hAnsi="Calibri" w:cs="Calibri"/>
              </w:rPr>
            </w:pPr>
            <w:r w:rsidRPr="007B600B">
              <w:rPr>
                <w:rFonts w:ascii="Calibri" w:hAnsi="Calibri" w:cs="Calibri"/>
              </w:rPr>
              <w:t>Department of Finance and Deregulation</w:t>
            </w:r>
          </w:p>
        </w:tc>
        <w:tc>
          <w:tcPr>
            <w:tcW w:w="2897" w:type="dxa"/>
          </w:tcPr>
          <w:p w:rsidR="00AA0F8E" w:rsidRPr="007B600B" w:rsidRDefault="00AA0F8E" w:rsidP="007B600B">
            <w:pPr>
              <w:spacing w:after="120"/>
              <w:rPr>
                <w:rFonts w:ascii="Calibri" w:eastAsiaTheme="minorHAnsi" w:hAnsi="Calibri" w:cs="Calibri"/>
                <w:i/>
                <w:iCs/>
                <w:lang w:eastAsia="en-US"/>
              </w:rPr>
            </w:pPr>
            <w:r w:rsidRPr="007B600B">
              <w:rPr>
                <w:rFonts w:ascii="Calibri" w:eastAsiaTheme="minorHAnsi" w:hAnsi="Calibri" w:cs="Calibri"/>
                <w:lang w:eastAsia="en-US"/>
              </w:rPr>
              <w:t>16 August 2012</w:t>
            </w:r>
          </w:p>
        </w:tc>
      </w:tr>
      <w:tr w:rsidR="00AA0F8E" w:rsidRPr="007B600B" w:rsidTr="00584ADA">
        <w:tc>
          <w:tcPr>
            <w:tcW w:w="5985" w:type="dxa"/>
          </w:tcPr>
          <w:p w:rsidR="00AA0F8E" w:rsidRPr="007B600B" w:rsidRDefault="00AA0F8E" w:rsidP="007B600B">
            <w:pPr>
              <w:spacing w:before="100" w:beforeAutospacing="1" w:after="120" w:line="288" w:lineRule="auto"/>
              <w:rPr>
                <w:rFonts w:ascii="Calibri" w:hAnsi="Calibri" w:cs="Calibri"/>
              </w:rPr>
            </w:pPr>
            <w:r w:rsidRPr="007B600B">
              <w:rPr>
                <w:rFonts w:ascii="Calibri" w:hAnsi="Calibri" w:cs="Calibri"/>
              </w:rPr>
              <w:t>Department of Defence</w:t>
            </w:r>
          </w:p>
        </w:tc>
        <w:tc>
          <w:tcPr>
            <w:tcW w:w="2897" w:type="dxa"/>
          </w:tcPr>
          <w:p w:rsidR="00AA0F8E" w:rsidRPr="007B600B" w:rsidRDefault="00AA0F8E" w:rsidP="007B600B">
            <w:pPr>
              <w:spacing w:after="120"/>
              <w:rPr>
                <w:rFonts w:ascii="Calibri" w:eastAsiaTheme="minorHAnsi" w:hAnsi="Calibri" w:cs="Calibri"/>
                <w:i/>
                <w:iCs/>
                <w:lang w:eastAsia="en-US"/>
              </w:rPr>
            </w:pPr>
            <w:r w:rsidRPr="007B600B">
              <w:rPr>
                <w:rFonts w:ascii="Calibri" w:eastAsiaTheme="minorHAnsi" w:hAnsi="Calibri" w:cs="Calibri"/>
                <w:lang w:eastAsia="en-US"/>
              </w:rPr>
              <w:t>16 August 2012</w:t>
            </w:r>
          </w:p>
        </w:tc>
      </w:tr>
      <w:tr w:rsidR="00AA0F8E" w:rsidRPr="007B600B" w:rsidTr="00584ADA">
        <w:tc>
          <w:tcPr>
            <w:tcW w:w="5985" w:type="dxa"/>
          </w:tcPr>
          <w:p w:rsidR="00AA0F8E" w:rsidRPr="007B600B" w:rsidRDefault="00AA0F8E" w:rsidP="007B600B">
            <w:pPr>
              <w:spacing w:before="100" w:beforeAutospacing="1" w:after="120" w:line="288" w:lineRule="auto"/>
              <w:rPr>
                <w:rFonts w:ascii="Calibri" w:hAnsi="Calibri" w:cs="Calibri"/>
              </w:rPr>
            </w:pPr>
            <w:r w:rsidRPr="007B600B">
              <w:rPr>
                <w:rFonts w:ascii="Calibri" w:hAnsi="Calibri" w:cs="Calibri"/>
              </w:rPr>
              <w:t>Customs</w:t>
            </w:r>
          </w:p>
        </w:tc>
        <w:tc>
          <w:tcPr>
            <w:tcW w:w="2897" w:type="dxa"/>
          </w:tcPr>
          <w:p w:rsidR="00AA0F8E" w:rsidRPr="007B600B" w:rsidRDefault="00AA0F8E" w:rsidP="007B600B">
            <w:pPr>
              <w:spacing w:after="120"/>
              <w:rPr>
                <w:rFonts w:ascii="Calibri" w:eastAsiaTheme="minorHAnsi" w:hAnsi="Calibri" w:cs="Calibri"/>
                <w:i/>
                <w:iCs/>
                <w:lang w:eastAsia="en-US"/>
              </w:rPr>
            </w:pPr>
            <w:r w:rsidRPr="007B600B">
              <w:rPr>
                <w:rFonts w:ascii="Calibri" w:eastAsiaTheme="minorHAnsi" w:hAnsi="Calibri" w:cs="Calibri"/>
                <w:lang w:eastAsia="en-US"/>
              </w:rPr>
              <w:t>16 August 2012</w:t>
            </w:r>
          </w:p>
        </w:tc>
      </w:tr>
      <w:tr w:rsidR="00AA0F8E" w:rsidRPr="007B600B" w:rsidTr="00584ADA">
        <w:tc>
          <w:tcPr>
            <w:tcW w:w="5985" w:type="dxa"/>
          </w:tcPr>
          <w:p w:rsidR="00AA0F8E" w:rsidRPr="007B600B" w:rsidRDefault="00AA0F8E" w:rsidP="007B600B">
            <w:pPr>
              <w:spacing w:before="100" w:beforeAutospacing="1" w:after="120" w:line="288" w:lineRule="auto"/>
              <w:rPr>
                <w:rFonts w:ascii="Calibri" w:hAnsi="Calibri" w:cs="Calibri"/>
              </w:rPr>
            </w:pPr>
            <w:r w:rsidRPr="007B600B">
              <w:rPr>
                <w:rFonts w:ascii="Calibri" w:hAnsi="Calibri" w:cs="Calibri"/>
              </w:rPr>
              <w:t>Australian Taxation Office (ATO)</w:t>
            </w:r>
          </w:p>
        </w:tc>
        <w:tc>
          <w:tcPr>
            <w:tcW w:w="2897" w:type="dxa"/>
          </w:tcPr>
          <w:p w:rsidR="00AA0F8E" w:rsidRPr="007B600B" w:rsidRDefault="00AA0F8E" w:rsidP="007B600B">
            <w:pPr>
              <w:spacing w:after="120"/>
              <w:rPr>
                <w:rFonts w:ascii="Calibri" w:eastAsiaTheme="minorHAnsi" w:hAnsi="Calibri" w:cs="Calibri"/>
                <w:i/>
                <w:iCs/>
                <w:lang w:eastAsia="en-US"/>
              </w:rPr>
            </w:pPr>
            <w:r w:rsidRPr="007B600B">
              <w:rPr>
                <w:rFonts w:ascii="Calibri" w:eastAsiaTheme="minorHAnsi" w:hAnsi="Calibri" w:cs="Calibri"/>
                <w:lang w:eastAsia="en-US"/>
              </w:rPr>
              <w:t>16 August 2012</w:t>
            </w:r>
          </w:p>
        </w:tc>
      </w:tr>
      <w:tr w:rsidR="00AA0F8E" w:rsidRPr="007B600B" w:rsidTr="00584ADA">
        <w:tc>
          <w:tcPr>
            <w:tcW w:w="5985" w:type="dxa"/>
          </w:tcPr>
          <w:p w:rsidR="00AA0F8E" w:rsidRPr="007B600B" w:rsidRDefault="00AA0F8E" w:rsidP="007B600B">
            <w:pPr>
              <w:spacing w:before="100" w:beforeAutospacing="1" w:after="120" w:line="288" w:lineRule="auto"/>
              <w:rPr>
                <w:rFonts w:ascii="Calibri" w:hAnsi="Calibri" w:cs="Calibri"/>
              </w:rPr>
            </w:pPr>
            <w:r w:rsidRPr="007B600B">
              <w:rPr>
                <w:rFonts w:ascii="Calibri" w:hAnsi="Calibri" w:cs="Calibri"/>
              </w:rPr>
              <w:t>Department of Human Services (DHS)</w:t>
            </w:r>
          </w:p>
        </w:tc>
        <w:tc>
          <w:tcPr>
            <w:tcW w:w="2897" w:type="dxa"/>
          </w:tcPr>
          <w:p w:rsidR="00AA0F8E" w:rsidRPr="007B600B" w:rsidRDefault="00AA0F8E" w:rsidP="007B600B">
            <w:pPr>
              <w:spacing w:after="120"/>
              <w:rPr>
                <w:rFonts w:ascii="Calibri" w:eastAsiaTheme="minorHAnsi" w:hAnsi="Calibri" w:cs="Calibri"/>
                <w:i/>
                <w:iCs/>
                <w:lang w:eastAsia="en-US"/>
              </w:rPr>
            </w:pPr>
            <w:r w:rsidRPr="007B600B">
              <w:rPr>
                <w:rFonts w:ascii="Calibri" w:eastAsiaTheme="minorHAnsi" w:hAnsi="Calibri" w:cs="Calibri"/>
                <w:lang w:eastAsia="en-US"/>
              </w:rPr>
              <w:t>16 August 2012</w:t>
            </w:r>
          </w:p>
        </w:tc>
      </w:tr>
      <w:tr w:rsidR="00AA0F8E" w:rsidRPr="007B600B" w:rsidTr="00584ADA">
        <w:tc>
          <w:tcPr>
            <w:tcW w:w="5985" w:type="dxa"/>
          </w:tcPr>
          <w:p w:rsidR="00AA0F8E" w:rsidRPr="007B600B" w:rsidRDefault="00AA0F8E" w:rsidP="007B600B">
            <w:pPr>
              <w:spacing w:before="100" w:beforeAutospacing="1" w:after="120" w:line="288" w:lineRule="auto"/>
              <w:rPr>
                <w:rFonts w:ascii="Calibri" w:hAnsi="Calibri" w:cs="Calibri"/>
              </w:rPr>
            </w:pPr>
            <w:r w:rsidRPr="007B600B">
              <w:rPr>
                <w:rFonts w:ascii="Calibri" w:hAnsi="Calibri" w:cs="Calibri"/>
              </w:rPr>
              <w:t>Australian Federal Police</w:t>
            </w:r>
          </w:p>
        </w:tc>
        <w:tc>
          <w:tcPr>
            <w:tcW w:w="2897" w:type="dxa"/>
          </w:tcPr>
          <w:p w:rsidR="00AA0F8E" w:rsidRPr="007B600B" w:rsidRDefault="00AA0F8E" w:rsidP="007B600B">
            <w:pPr>
              <w:spacing w:before="100" w:beforeAutospacing="1" w:after="120" w:line="288" w:lineRule="auto"/>
              <w:rPr>
                <w:rFonts w:ascii="Calibri" w:hAnsi="Calibri" w:cs="Calibri"/>
              </w:rPr>
            </w:pPr>
            <w:r w:rsidRPr="007B600B">
              <w:rPr>
                <w:rFonts w:ascii="Calibri" w:hAnsi="Calibri" w:cs="Calibri"/>
              </w:rPr>
              <w:t>20 August 2012</w:t>
            </w:r>
          </w:p>
        </w:tc>
      </w:tr>
      <w:tr w:rsidR="00AA0F8E" w:rsidRPr="007B600B" w:rsidTr="00584ADA">
        <w:tc>
          <w:tcPr>
            <w:tcW w:w="5985" w:type="dxa"/>
          </w:tcPr>
          <w:p w:rsidR="00AA0F8E" w:rsidRPr="007B600B" w:rsidRDefault="00AA0F8E" w:rsidP="007B600B">
            <w:pPr>
              <w:spacing w:before="100" w:beforeAutospacing="1" w:after="120" w:line="288" w:lineRule="auto"/>
              <w:rPr>
                <w:rFonts w:ascii="Calibri" w:hAnsi="Calibri" w:cs="Calibri"/>
              </w:rPr>
            </w:pPr>
            <w:r w:rsidRPr="007B600B">
              <w:rPr>
                <w:rFonts w:ascii="Calibri" w:hAnsi="Calibri" w:cs="Calibri"/>
              </w:rPr>
              <w:t>Australian Government Actuary</w:t>
            </w:r>
          </w:p>
        </w:tc>
        <w:tc>
          <w:tcPr>
            <w:tcW w:w="2897" w:type="dxa"/>
          </w:tcPr>
          <w:p w:rsidR="00AA0F8E" w:rsidRPr="007B600B" w:rsidRDefault="00AA0F8E" w:rsidP="007B600B">
            <w:pPr>
              <w:spacing w:after="120"/>
              <w:rPr>
                <w:rFonts w:ascii="Calibri" w:eastAsiaTheme="minorHAnsi" w:hAnsi="Calibri" w:cs="Calibri"/>
                <w:i/>
                <w:iCs/>
                <w:lang w:eastAsia="en-US"/>
              </w:rPr>
            </w:pPr>
            <w:r w:rsidRPr="007B600B">
              <w:rPr>
                <w:rFonts w:ascii="Calibri" w:eastAsiaTheme="minorHAnsi" w:hAnsi="Calibri" w:cs="Calibri"/>
                <w:lang w:eastAsia="en-US"/>
              </w:rPr>
              <w:t>20 August 2012</w:t>
            </w:r>
          </w:p>
        </w:tc>
      </w:tr>
      <w:tr w:rsidR="00AA0F8E" w:rsidRPr="007B600B" w:rsidTr="00584ADA">
        <w:tc>
          <w:tcPr>
            <w:tcW w:w="5985" w:type="dxa"/>
          </w:tcPr>
          <w:p w:rsidR="00AA0F8E" w:rsidRPr="007B600B" w:rsidRDefault="00AA0F8E" w:rsidP="007B600B">
            <w:pPr>
              <w:spacing w:before="100" w:beforeAutospacing="1" w:after="120" w:line="288" w:lineRule="auto"/>
              <w:rPr>
                <w:rFonts w:ascii="Calibri" w:hAnsi="Calibri" w:cs="Calibri"/>
              </w:rPr>
            </w:pPr>
            <w:r w:rsidRPr="007B600B">
              <w:rPr>
                <w:rFonts w:ascii="Calibri" w:hAnsi="Calibri" w:cs="Calibri"/>
              </w:rPr>
              <w:t>John Holland</w:t>
            </w:r>
          </w:p>
        </w:tc>
        <w:tc>
          <w:tcPr>
            <w:tcW w:w="2897" w:type="dxa"/>
          </w:tcPr>
          <w:p w:rsidR="00AA0F8E" w:rsidRPr="007B600B" w:rsidRDefault="00AA0F8E" w:rsidP="007B600B">
            <w:pPr>
              <w:spacing w:after="120"/>
              <w:rPr>
                <w:rFonts w:ascii="Calibri" w:eastAsiaTheme="minorHAnsi" w:hAnsi="Calibri" w:cs="Calibri"/>
                <w:i/>
                <w:iCs/>
                <w:lang w:eastAsia="en-US"/>
              </w:rPr>
            </w:pPr>
            <w:r w:rsidRPr="007B600B">
              <w:rPr>
                <w:rFonts w:ascii="Calibri" w:eastAsiaTheme="minorHAnsi" w:hAnsi="Calibri" w:cs="Calibri"/>
                <w:lang w:eastAsia="en-US"/>
              </w:rPr>
              <w:t>20 August 2012</w:t>
            </w:r>
          </w:p>
        </w:tc>
      </w:tr>
      <w:tr w:rsidR="00AA0F8E" w:rsidRPr="007B600B" w:rsidTr="00584ADA">
        <w:tc>
          <w:tcPr>
            <w:tcW w:w="5985" w:type="dxa"/>
          </w:tcPr>
          <w:p w:rsidR="00AA0F8E" w:rsidRPr="007B600B" w:rsidRDefault="00AA0F8E" w:rsidP="007B600B">
            <w:pPr>
              <w:spacing w:before="100" w:beforeAutospacing="1" w:after="120" w:line="288" w:lineRule="auto"/>
              <w:rPr>
                <w:rFonts w:ascii="Calibri" w:hAnsi="Calibri" w:cs="Calibri"/>
              </w:rPr>
            </w:pPr>
            <w:r w:rsidRPr="007B600B">
              <w:rPr>
                <w:rFonts w:ascii="Calibri" w:hAnsi="Calibri" w:cs="Calibri"/>
              </w:rPr>
              <w:t>Department of Immigration and Citizenship</w:t>
            </w:r>
          </w:p>
        </w:tc>
        <w:tc>
          <w:tcPr>
            <w:tcW w:w="2897" w:type="dxa"/>
          </w:tcPr>
          <w:p w:rsidR="00AA0F8E" w:rsidRPr="007B600B" w:rsidRDefault="00AA0F8E" w:rsidP="007B600B">
            <w:pPr>
              <w:spacing w:after="120"/>
              <w:rPr>
                <w:rFonts w:ascii="Calibri" w:eastAsiaTheme="minorHAnsi" w:hAnsi="Calibri" w:cs="Calibri"/>
                <w:i/>
                <w:iCs/>
                <w:lang w:eastAsia="en-US"/>
              </w:rPr>
            </w:pPr>
            <w:r w:rsidRPr="007B600B">
              <w:rPr>
                <w:rFonts w:ascii="Calibri" w:eastAsiaTheme="minorHAnsi" w:hAnsi="Calibri" w:cs="Calibri"/>
                <w:lang w:eastAsia="en-US"/>
              </w:rPr>
              <w:t>20 August 2012</w:t>
            </w:r>
          </w:p>
        </w:tc>
      </w:tr>
      <w:tr w:rsidR="00AA0F8E" w:rsidRPr="007B600B" w:rsidTr="00584ADA">
        <w:tc>
          <w:tcPr>
            <w:tcW w:w="5985" w:type="dxa"/>
          </w:tcPr>
          <w:p w:rsidR="00AA0F8E" w:rsidRPr="007B600B" w:rsidRDefault="00AA0F8E" w:rsidP="007B600B">
            <w:pPr>
              <w:spacing w:before="100" w:beforeAutospacing="1" w:after="120" w:line="288" w:lineRule="auto"/>
              <w:rPr>
                <w:rFonts w:ascii="Calibri" w:hAnsi="Calibri" w:cs="Calibri"/>
              </w:rPr>
            </w:pPr>
            <w:r w:rsidRPr="007B600B">
              <w:rPr>
                <w:rFonts w:ascii="Calibri" w:hAnsi="Calibri" w:cs="Calibri"/>
              </w:rPr>
              <w:t>Telstra</w:t>
            </w:r>
          </w:p>
        </w:tc>
        <w:tc>
          <w:tcPr>
            <w:tcW w:w="2897" w:type="dxa"/>
          </w:tcPr>
          <w:p w:rsidR="00AA0F8E" w:rsidRPr="007B600B" w:rsidRDefault="00AA0F8E" w:rsidP="007B600B">
            <w:pPr>
              <w:spacing w:after="120"/>
              <w:rPr>
                <w:rFonts w:ascii="Calibri" w:eastAsiaTheme="minorHAnsi" w:hAnsi="Calibri" w:cs="Calibri"/>
                <w:i/>
                <w:iCs/>
                <w:lang w:eastAsia="en-US"/>
              </w:rPr>
            </w:pPr>
            <w:r w:rsidRPr="007B600B">
              <w:rPr>
                <w:rFonts w:ascii="Calibri" w:eastAsiaTheme="minorHAnsi" w:hAnsi="Calibri" w:cs="Calibri"/>
                <w:lang w:eastAsia="en-US"/>
              </w:rPr>
              <w:t>20 August 2012</w:t>
            </w:r>
          </w:p>
        </w:tc>
      </w:tr>
      <w:tr w:rsidR="00AA0F8E" w:rsidRPr="007B600B" w:rsidTr="00584ADA">
        <w:tc>
          <w:tcPr>
            <w:tcW w:w="5985" w:type="dxa"/>
          </w:tcPr>
          <w:p w:rsidR="00AA0F8E" w:rsidRPr="007B600B" w:rsidRDefault="00AA0F8E" w:rsidP="007B600B">
            <w:pPr>
              <w:spacing w:before="100" w:beforeAutospacing="1" w:after="120" w:line="288" w:lineRule="auto"/>
              <w:rPr>
                <w:rFonts w:ascii="Calibri" w:hAnsi="Calibri" w:cs="Calibri"/>
              </w:rPr>
            </w:pPr>
            <w:r w:rsidRPr="007B600B">
              <w:rPr>
                <w:rFonts w:ascii="Calibri" w:hAnsi="Calibri" w:cs="Calibri"/>
              </w:rPr>
              <w:t>ACTU</w:t>
            </w:r>
          </w:p>
        </w:tc>
        <w:tc>
          <w:tcPr>
            <w:tcW w:w="2897" w:type="dxa"/>
          </w:tcPr>
          <w:p w:rsidR="00AA0F8E" w:rsidRPr="007B600B" w:rsidRDefault="00AA0F8E" w:rsidP="007B600B">
            <w:pPr>
              <w:spacing w:after="120"/>
              <w:rPr>
                <w:rFonts w:ascii="Calibri" w:eastAsiaTheme="minorHAnsi" w:hAnsi="Calibri" w:cs="Calibri"/>
                <w:i/>
                <w:iCs/>
                <w:lang w:eastAsia="en-US"/>
              </w:rPr>
            </w:pPr>
            <w:r w:rsidRPr="007B600B">
              <w:rPr>
                <w:rFonts w:ascii="Calibri" w:eastAsiaTheme="minorHAnsi" w:hAnsi="Calibri" w:cs="Calibri"/>
                <w:lang w:eastAsia="en-US"/>
              </w:rPr>
              <w:t>20 August 2012</w:t>
            </w:r>
          </w:p>
        </w:tc>
      </w:tr>
      <w:tr w:rsidR="00AA0F8E" w:rsidRPr="007B600B" w:rsidTr="00584ADA">
        <w:tc>
          <w:tcPr>
            <w:tcW w:w="5985" w:type="dxa"/>
          </w:tcPr>
          <w:p w:rsidR="00AA0F8E" w:rsidRPr="007B600B" w:rsidRDefault="00AA0F8E" w:rsidP="007B600B">
            <w:pPr>
              <w:spacing w:before="100" w:beforeAutospacing="1" w:after="120" w:line="288" w:lineRule="auto"/>
              <w:rPr>
                <w:rFonts w:ascii="Calibri" w:hAnsi="Calibri" w:cs="Calibri"/>
              </w:rPr>
            </w:pPr>
            <w:r w:rsidRPr="007B600B">
              <w:rPr>
                <w:rFonts w:ascii="Calibri" w:hAnsi="Calibri" w:cs="Calibri"/>
              </w:rPr>
              <w:t>Taylor Fry Consulting Actuaries</w:t>
            </w:r>
          </w:p>
        </w:tc>
        <w:tc>
          <w:tcPr>
            <w:tcW w:w="2897" w:type="dxa"/>
          </w:tcPr>
          <w:p w:rsidR="00AA0F8E" w:rsidRPr="007B600B" w:rsidRDefault="00AA0F8E" w:rsidP="007B600B">
            <w:pPr>
              <w:spacing w:before="100" w:beforeAutospacing="1" w:after="120" w:line="288" w:lineRule="auto"/>
              <w:rPr>
                <w:rFonts w:ascii="Calibri" w:hAnsi="Calibri" w:cs="Calibri"/>
              </w:rPr>
            </w:pPr>
            <w:r w:rsidRPr="007B600B">
              <w:rPr>
                <w:rFonts w:ascii="Calibri" w:hAnsi="Calibri" w:cs="Calibri"/>
              </w:rPr>
              <w:t>21 August 2012</w:t>
            </w:r>
          </w:p>
        </w:tc>
      </w:tr>
      <w:tr w:rsidR="00AA0F8E" w:rsidRPr="007B600B" w:rsidTr="00584ADA">
        <w:tc>
          <w:tcPr>
            <w:tcW w:w="5985" w:type="dxa"/>
          </w:tcPr>
          <w:p w:rsidR="00AA0F8E" w:rsidRPr="007B600B" w:rsidRDefault="00AA0F8E" w:rsidP="007B600B">
            <w:pPr>
              <w:spacing w:before="100" w:beforeAutospacing="1" w:after="120" w:line="288" w:lineRule="auto"/>
              <w:rPr>
                <w:rFonts w:ascii="Calibri" w:hAnsi="Calibri" w:cs="Calibri"/>
              </w:rPr>
            </w:pPr>
            <w:r w:rsidRPr="007B600B">
              <w:rPr>
                <w:rFonts w:ascii="Calibri" w:hAnsi="Calibri" w:cs="Calibri"/>
              </w:rPr>
              <w:t>Commonwealth Bank</w:t>
            </w:r>
          </w:p>
        </w:tc>
        <w:tc>
          <w:tcPr>
            <w:tcW w:w="2897" w:type="dxa"/>
          </w:tcPr>
          <w:p w:rsidR="00AA0F8E" w:rsidRPr="007B600B" w:rsidRDefault="00AA0F8E" w:rsidP="007B600B">
            <w:pPr>
              <w:spacing w:after="120"/>
              <w:rPr>
                <w:rFonts w:ascii="Calibri" w:eastAsiaTheme="minorHAnsi" w:hAnsi="Calibri" w:cs="Calibri"/>
                <w:i/>
                <w:iCs/>
                <w:lang w:eastAsia="en-US"/>
              </w:rPr>
            </w:pPr>
            <w:r w:rsidRPr="007B600B">
              <w:rPr>
                <w:rFonts w:ascii="Calibri" w:eastAsiaTheme="minorHAnsi" w:hAnsi="Calibri" w:cs="Calibri"/>
                <w:lang w:eastAsia="en-US"/>
              </w:rPr>
              <w:t>21 August 2012</w:t>
            </w:r>
          </w:p>
        </w:tc>
      </w:tr>
      <w:tr w:rsidR="00AA0F8E" w:rsidRPr="007B600B" w:rsidTr="00584ADA">
        <w:tc>
          <w:tcPr>
            <w:tcW w:w="5985" w:type="dxa"/>
          </w:tcPr>
          <w:p w:rsidR="00AA0F8E" w:rsidRPr="007B600B" w:rsidRDefault="00AA0F8E" w:rsidP="007B600B">
            <w:pPr>
              <w:spacing w:before="100" w:beforeAutospacing="1" w:after="120" w:line="288" w:lineRule="auto"/>
              <w:rPr>
                <w:rFonts w:ascii="Calibri" w:hAnsi="Calibri" w:cs="Calibri"/>
              </w:rPr>
            </w:pPr>
            <w:r w:rsidRPr="007B600B">
              <w:rPr>
                <w:rFonts w:ascii="Calibri" w:hAnsi="Calibri" w:cs="Calibri"/>
              </w:rPr>
              <w:t>Mr Steve Somogyi (SRCC Member)</w:t>
            </w:r>
          </w:p>
        </w:tc>
        <w:tc>
          <w:tcPr>
            <w:tcW w:w="2897" w:type="dxa"/>
          </w:tcPr>
          <w:p w:rsidR="00AA0F8E" w:rsidRPr="007B600B" w:rsidRDefault="00AA0F8E" w:rsidP="007B600B">
            <w:pPr>
              <w:spacing w:after="120"/>
              <w:rPr>
                <w:rFonts w:ascii="Calibri" w:eastAsiaTheme="minorHAnsi" w:hAnsi="Calibri" w:cs="Calibri"/>
                <w:i/>
                <w:iCs/>
                <w:lang w:eastAsia="en-US"/>
              </w:rPr>
            </w:pPr>
            <w:r w:rsidRPr="007B600B">
              <w:rPr>
                <w:rFonts w:ascii="Calibri" w:eastAsiaTheme="minorHAnsi" w:hAnsi="Calibri" w:cs="Calibri"/>
                <w:lang w:eastAsia="en-US"/>
              </w:rPr>
              <w:t>21 August 2012</w:t>
            </w:r>
          </w:p>
        </w:tc>
      </w:tr>
      <w:tr w:rsidR="00AA0F8E" w:rsidRPr="007B600B" w:rsidTr="00584ADA">
        <w:tc>
          <w:tcPr>
            <w:tcW w:w="5985" w:type="dxa"/>
          </w:tcPr>
          <w:p w:rsidR="00AA0F8E" w:rsidRPr="007B600B" w:rsidRDefault="00AA0F8E" w:rsidP="007B600B">
            <w:pPr>
              <w:spacing w:before="100" w:beforeAutospacing="1" w:after="120" w:line="288" w:lineRule="auto"/>
              <w:rPr>
                <w:rFonts w:ascii="Calibri" w:hAnsi="Calibri" w:cs="Calibri"/>
              </w:rPr>
            </w:pPr>
            <w:r w:rsidRPr="007B600B">
              <w:rPr>
                <w:rFonts w:ascii="Calibri" w:hAnsi="Calibri" w:cs="Calibri"/>
              </w:rPr>
              <w:t>Military Rehabilitation and Compensation Commission (MRCC)</w:t>
            </w:r>
          </w:p>
        </w:tc>
        <w:tc>
          <w:tcPr>
            <w:tcW w:w="2897" w:type="dxa"/>
          </w:tcPr>
          <w:p w:rsidR="00AA0F8E" w:rsidRPr="007B600B" w:rsidRDefault="00AA0F8E" w:rsidP="007B600B">
            <w:pPr>
              <w:spacing w:before="100" w:beforeAutospacing="1" w:after="120" w:line="288" w:lineRule="auto"/>
              <w:rPr>
                <w:rFonts w:ascii="Calibri" w:hAnsi="Calibri" w:cs="Calibri"/>
              </w:rPr>
            </w:pPr>
            <w:r w:rsidRPr="007B600B">
              <w:rPr>
                <w:rFonts w:ascii="Calibri" w:hAnsi="Calibri" w:cs="Calibri"/>
              </w:rPr>
              <w:t>17 September 2012</w:t>
            </w:r>
          </w:p>
        </w:tc>
      </w:tr>
      <w:tr w:rsidR="00AA0F8E" w:rsidRPr="007B600B" w:rsidTr="00584ADA">
        <w:tc>
          <w:tcPr>
            <w:tcW w:w="5985" w:type="dxa"/>
          </w:tcPr>
          <w:p w:rsidR="00AA0F8E" w:rsidRPr="007B600B" w:rsidRDefault="00AA0F8E" w:rsidP="007B600B">
            <w:pPr>
              <w:spacing w:before="100" w:beforeAutospacing="1" w:after="120" w:line="288" w:lineRule="auto"/>
              <w:rPr>
                <w:rFonts w:ascii="Calibri" w:hAnsi="Calibri" w:cs="Calibri"/>
              </w:rPr>
            </w:pPr>
            <w:r w:rsidRPr="007B600B">
              <w:rPr>
                <w:rFonts w:ascii="Calibri" w:hAnsi="Calibri" w:cs="Calibri"/>
              </w:rPr>
              <w:lastRenderedPageBreak/>
              <w:t>Safety Rehabilitation and Compensation Commission (SRCC)</w:t>
            </w:r>
          </w:p>
        </w:tc>
        <w:tc>
          <w:tcPr>
            <w:tcW w:w="2897" w:type="dxa"/>
          </w:tcPr>
          <w:p w:rsidR="00AA0F8E" w:rsidRPr="007B600B" w:rsidRDefault="00AA0F8E" w:rsidP="007B600B">
            <w:pPr>
              <w:spacing w:before="100" w:beforeAutospacing="1" w:after="120" w:line="288" w:lineRule="auto"/>
              <w:rPr>
                <w:rFonts w:ascii="Calibri" w:hAnsi="Calibri" w:cs="Calibri"/>
              </w:rPr>
            </w:pPr>
            <w:r w:rsidRPr="007B600B">
              <w:rPr>
                <w:rFonts w:ascii="Calibri" w:hAnsi="Calibri" w:cs="Calibri"/>
              </w:rPr>
              <w:t>15 October 2012</w:t>
            </w:r>
          </w:p>
        </w:tc>
      </w:tr>
      <w:tr w:rsidR="00AA0F8E" w:rsidRPr="007B600B" w:rsidTr="00584ADA">
        <w:tc>
          <w:tcPr>
            <w:tcW w:w="5985" w:type="dxa"/>
          </w:tcPr>
          <w:p w:rsidR="00AA0F8E" w:rsidRPr="007B600B" w:rsidRDefault="00AA0F8E" w:rsidP="007B600B">
            <w:pPr>
              <w:spacing w:before="100" w:beforeAutospacing="1" w:after="120" w:line="288" w:lineRule="auto"/>
              <w:rPr>
                <w:rFonts w:ascii="Calibri" w:hAnsi="Calibri" w:cs="Calibri"/>
              </w:rPr>
            </w:pPr>
            <w:r>
              <w:rPr>
                <w:rFonts w:ascii="Calibri" w:hAnsi="Calibri" w:cs="Calibri"/>
              </w:rPr>
              <w:t>Andrea Shaw (SRCC Member)</w:t>
            </w:r>
          </w:p>
        </w:tc>
        <w:tc>
          <w:tcPr>
            <w:tcW w:w="2897" w:type="dxa"/>
          </w:tcPr>
          <w:p w:rsidR="00AA0F8E" w:rsidRPr="007B600B" w:rsidRDefault="00AA0F8E" w:rsidP="007B600B">
            <w:pPr>
              <w:spacing w:before="100" w:beforeAutospacing="1" w:after="120" w:line="288" w:lineRule="auto"/>
              <w:rPr>
                <w:rFonts w:ascii="Calibri" w:hAnsi="Calibri" w:cs="Calibri"/>
              </w:rPr>
            </w:pPr>
            <w:r>
              <w:rPr>
                <w:rFonts w:ascii="Calibri" w:hAnsi="Calibri" w:cs="Calibri"/>
              </w:rPr>
              <w:t>24 October</w:t>
            </w:r>
          </w:p>
        </w:tc>
      </w:tr>
      <w:tr w:rsidR="00AA0F8E" w:rsidRPr="007B600B" w:rsidTr="00584ADA">
        <w:tc>
          <w:tcPr>
            <w:tcW w:w="5985" w:type="dxa"/>
          </w:tcPr>
          <w:p w:rsidR="00AA0F8E" w:rsidRPr="007B600B" w:rsidRDefault="00AA0F8E" w:rsidP="007B600B">
            <w:pPr>
              <w:spacing w:before="100" w:beforeAutospacing="1" w:after="120" w:line="288" w:lineRule="auto"/>
              <w:rPr>
                <w:rFonts w:ascii="Calibri" w:hAnsi="Calibri" w:cs="Calibri"/>
              </w:rPr>
            </w:pPr>
            <w:r>
              <w:rPr>
                <w:rFonts w:ascii="Calibri" w:hAnsi="Calibri" w:cs="Calibri"/>
              </w:rPr>
              <w:t>Ian Campbell (Department of Veteran’s Affairs, MRCC Member)</w:t>
            </w:r>
          </w:p>
        </w:tc>
        <w:tc>
          <w:tcPr>
            <w:tcW w:w="2897" w:type="dxa"/>
          </w:tcPr>
          <w:p w:rsidR="00AA0F8E" w:rsidRPr="007B600B" w:rsidRDefault="00AA0F8E" w:rsidP="007B600B">
            <w:pPr>
              <w:spacing w:before="100" w:beforeAutospacing="1" w:after="120" w:line="288" w:lineRule="auto"/>
              <w:rPr>
                <w:rFonts w:ascii="Calibri" w:hAnsi="Calibri" w:cs="Calibri"/>
              </w:rPr>
            </w:pPr>
            <w:r>
              <w:rPr>
                <w:rFonts w:ascii="Calibri" w:hAnsi="Calibri" w:cs="Calibri"/>
              </w:rPr>
              <w:t>6 November</w:t>
            </w:r>
          </w:p>
        </w:tc>
      </w:tr>
    </w:tbl>
    <w:p w:rsidR="007B600B" w:rsidRDefault="007B600B" w:rsidP="007B600B">
      <w:pPr>
        <w:rPr>
          <w:rFonts w:ascii="Calibri" w:hAnsi="Calibri" w:cs="Calibri"/>
          <w:sz w:val="22"/>
          <w:szCs w:val="22"/>
        </w:rPr>
        <w:sectPr w:rsidR="007B600B" w:rsidSect="0042201E">
          <w:headerReference w:type="default" r:id="rId46"/>
          <w:pgSz w:w="11906" w:h="16838"/>
          <w:pgMar w:top="1440" w:right="1440" w:bottom="1440" w:left="1440" w:header="708" w:footer="708" w:gutter="0"/>
          <w:cols w:space="708"/>
          <w:docGrid w:linePitch="360"/>
        </w:sectPr>
      </w:pPr>
    </w:p>
    <w:p w:rsidR="007B600B" w:rsidRPr="008B228F" w:rsidRDefault="008B228F">
      <w:pPr>
        <w:spacing w:before="100" w:beforeAutospacing="1" w:after="100" w:afterAutospacing="1"/>
        <w:outlineLvl w:val="0"/>
        <w:rPr>
          <w:rFonts w:ascii="Arial" w:hAnsi="Arial"/>
          <w:bCs/>
          <w:caps/>
          <w:color w:val="1F497D" w:themeColor="text2"/>
          <w:kern w:val="36"/>
          <w:sz w:val="28"/>
          <w:szCs w:val="28"/>
        </w:rPr>
      </w:pPr>
      <w:bookmarkStart w:id="582" w:name="_Toc341778053"/>
      <w:bookmarkStart w:id="583" w:name="_Toc341780813"/>
      <w:bookmarkStart w:id="584" w:name="_Toc342578427"/>
      <w:r>
        <w:rPr>
          <w:rFonts w:ascii="Arial" w:hAnsi="Arial"/>
          <w:bCs/>
          <w:caps/>
          <w:color w:val="1F497D" w:themeColor="text2"/>
          <w:kern w:val="36"/>
          <w:sz w:val="28"/>
          <w:szCs w:val="28"/>
        </w:rPr>
        <w:lastRenderedPageBreak/>
        <w:t xml:space="preserve">annex c - </w:t>
      </w:r>
      <w:r w:rsidR="007B600B" w:rsidRPr="008B228F">
        <w:rPr>
          <w:rFonts w:ascii="Arial" w:hAnsi="Arial"/>
          <w:bCs/>
          <w:caps/>
          <w:color w:val="1F497D" w:themeColor="text2"/>
          <w:kern w:val="36"/>
          <w:sz w:val="28"/>
          <w:szCs w:val="28"/>
        </w:rPr>
        <w:t>SRCC’s Accountability responsibilities under the SRC Act and WHS Act</w:t>
      </w:r>
      <w:bookmarkEnd w:id="582"/>
      <w:bookmarkEnd w:id="583"/>
      <w:bookmarkEnd w:id="584"/>
    </w:p>
    <w:p w:rsidR="007B600B" w:rsidRPr="007B600B" w:rsidRDefault="007B600B" w:rsidP="007B600B">
      <w:pPr>
        <w:rPr>
          <w:rFonts w:ascii="Verdana" w:hAnsi="Verdana"/>
          <w:sz w:val="20"/>
          <w:szCs w:val="20"/>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1700"/>
        <w:gridCol w:w="2694"/>
        <w:gridCol w:w="2835"/>
      </w:tblGrid>
      <w:tr w:rsidR="007B600B" w:rsidRPr="007B600B" w:rsidTr="000D7C1C">
        <w:trPr>
          <w:tblHeader/>
        </w:trPr>
        <w:tc>
          <w:tcPr>
            <w:tcW w:w="2269" w:type="dxa"/>
            <w:shd w:val="clear" w:color="auto" w:fill="E6E6E6"/>
            <w:vAlign w:val="center"/>
          </w:tcPr>
          <w:p w:rsidR="007B600B" w:rsidRPr="007B600B" w:rsidRDefault="007B600B" w:rsidP="007B600B">
            <w:pPr>
              <w:rPr>
                <w:rFonts w:ascii="Arial" w:hAnsi="Arial" w:cs="Arial"/>
                <w:b/>
                <w:sz w:val="20"/>
                <w:szCs w:val="20"/>
                <w:lang w:val="en-US"/>
              </w:rPr>
            </w:pPr>
            <w:bookmarkStart w:id="585" w:name="OLE_LINK1"/>
            <w:bookmarkStart w:id="586" w:name="OLE_LINK2"/>
            <w:r w:rsidRPr="007B600B">
              <w:rPr>
                <w:rFonts w:ascii="Arial" w:hAnsi="Arial" w:cs="Arial"/>
                <w:b/>
                <w:sz w:val="20"/>
                <w:szCs w:val="20"/>
                <w:lang w:val="en-US"/>
              </w:rPr>
              <w:t>SRC Act</w:t>
            </w:r>
          </w:p>
          <w:p w:rsidR="007B600B" w:rsidRPr="007B600B" w:rsidRDefault="007B600B" w:rsidP="007B600B">
            <w:pPr>
              <w:rPr>
                <w:rFonts w:ascii="Arial" w:hAnsi="Arial" w:cs="Arial"/>
                <w:b/>
                <w:sz w:val="20"/>
                <w:szCs w:val="20"/>
                <w:lang w:val="en-US"/>
              </w:rPr>
            </w:pPr>
            <w:r w:rsidRPr="007B600B">
              <w:rPr>
                <w:rFonts w:ascii="Arial" w:hAnsi="Arial" w:cs="Arial"/>
                <w:b/>
                <w:sz w:val="20"/>
                <w:szCs w:val="20"/>
                <w:lang w:val="en-US"/>
              </w:rPr>
              <w:t>Major function</w:t>
            </w:r>
          </w:p>
        </w:tc>
        <w:tc>
          <w:tcPr>
            <w:tcW w:w="1700" w:type="dxa"/>
            <w:shd w:val="clear" w:color="auto" w:fill="E6E6E6"/>
            <w:vAlign w:val="center"/>
          </w:tcPr>
          <w:p w:rsidR="007B600B" w:rsidRPr="007B600B" w:rsidRDefault="007B600B" w:rsidP="007B600B">
            <w:pPr>
              <w:rPr>
                <w:rFonts w:ascii="Arial" w:hAnsi="Arial" w:cs="Arial"/>
                <w:b/>
                <w:sz w:val="20"/>
                <w:szCs w:val="20"/>
                <w:lang w:val="en-US"/>
              </w:rPr>
            </w:pPr>
            <w:r w:rsidRPr="007B600B">
              <w:rPr>
                <w:rFonts w:ascii="Arial" w:hAnsi="Arial" w:cs="Arial"/>
                <w:b/>
                <w:sz w:val="20"/>
                <w:szCs w:val="20"/>
                <w:lang w:val="en-US"/>
              </w:rPr>
              <w:t>SRC Act</w:t>
            </w:r>
          </w:p>
          <w:p w:rsidR="007B600B" w:rsidRPr="007B600B" w:rsidRDefault="007B600B" w:rsidP="007B600B">
            <w:pPr>
              <w:rPr>
                <w:rFonts w:ascii="Arial" w:hAnsi="Arial" w:cs="Arial"/>
                <w:b/>
                <w:sz w:val="20"/>
                <w:szCs w:val="20"/>
                <w:lang w:val="en-US"/>
              </w:rPr>
            </w:pPr>
            <w:r w:rsidRPr="007B600B">
              <w:rPr>
                <w:rFonts w:ascii="Arial" w:hAnsi="Arial" w:cs="Arial"/>
                <w:b/>
                <w:sz w:val="20"/>
                <w:szCs w:val="20"/>
                <w:lang w:val="en-US"/>
              </w:rPr>
              <w:t>Legislation reference</w:t>
            </w:r>
          </w:p>
        </w:tc>
        <w:tc>
          <w:tcPr>
            <w:tcW w:w="2694" w:type="dxa"/>
            <w:shd w:val="clear" w:color="auto" w:fill="E6E6E6"/>
            <w:vAlign w:val="center"/>
          </w:tcPr>
          <w:p w:rsidR="007B600B" w:rsidRPr="007B600B" w:rsidRDefault="007B600B" w:rsidP="007B600B">
            <w:pPr>
              <w:rPr>
                <w:rFonts w:ascii="Arial" w:hAnsi="Arial" w:cs="Arial"/>
                <w:b/>
                <w:sz w:val="20"/>
                <w:szCs w:val="20"/>
                <w:lang w:val="en-US"/>
              </w:rPr>
            </w:pPr>
            <w:r w:rsidRPr="007B600B">
              <w:rPr>
                <w:rFonts w:ascii="Arial" w:hAnsi="Arial" w:cs="Arial"/>
                <w:b/>
                <w:sz w:val="20"/>
                <w:szCs w:val="20"/>
                <w:lang w:val="en-US"/>
              </w:rPr>
              <w:t>How the SRCC exercises function</w:t>
            </w:r>
          </w:p>
        </w:tc>
        <w:tc>
          <w:tcPr>
            <w:tcW w:w="2835" w:type="dxa"/>
            <w:shd w:val="clear" w:color="auto" w:fill="E6E6E6"/>
            <w:vAlign w:val="center"/>
          </w:tcPr>
          <w:p w:rsidR="007B600B" w:rsidRPr="007B600B" w:rsidRDefault="007B600B" w:rsidP="007B600B">
            <w:pPr>
              <w:rPr>
                <w:rFonts w:ascii="Arial" w:hAnsi="Arial" w:cs="Arial"/>
                <w:b/>
                <w:sz w:val="20"/>
                <w:szCs w:val="20"/>
                <w:lang w:val="en-US"/>
              </w:rPr>
            </w:pPr>
            <w:r w:rsidRPr="007B600B">
              <w:rPr>
                <w:rFonts w:ascii="Arial" w:hAnsi="Arial" w:cs="Arial"/>
                <w:b/>
                <w:sz w:val="20"/>
                <w:szCs w:val="20"/>
                <w:lang w:val="en-US"/>
              </w:rPr>
              <w:t>How Comcare assists exercise of function</w:t>
            </w:r>
          </w:p>
        </w:tc>
      </w:tr>
      <w:bookmarkEnd w:id="585"/>
      <w:bookmarkEnd w:id="586"/>
      <w:tr w:rsidR="007B600B" w:rsidRPr="007B600B" w:rsidTr="000D7C1C">
        <w:tc>
          <w:tcPr>
            <w:tcW w:w="2269" w:type="dxa"/>
            <w:shd w:val="clear" w:color="auto" w:fill="auto"/>
          </w:tcPr>
          <w:p w:rsidR="007B600B" w:rsidRPr="007B600B" w:rsidRDefault="007B600B" w:rsidP="007B600B">
            <w:pPr>
              <w:rPr>
                <w:rFonts w:ascii="Arial" w:hAnsi="Arial" w:cs="Arial"/>
                <w:sz w:val="20"/>
                <w:szCs w:val="20"/>
                <w:lang w:val="en-US"/>
              </w:rPr>
            </w:pPr>
            <w:r w:rsidRPr="007B600B">
              <w:rPr>
                <w:rFonts w:ascii="Arial" w:hAnsi="Arial" w:cs="Arial"/>
                <w:sz w:val="20"/>
                <w:szCs w:val="20"/>
                <w:lang w:val="en-US"/>
              </w:rPr>
              <w:t>Ensure Equity of Outcomes under SRC Act</w:t>
            </w:r>
          </w:p>
        </w:tc>
        <w:tc>
          <w:tcPr>
            <w:tcW w:w="1700" w:type="dxa"/>
            <w:shd w:val="clear" w:color="auto" w:fill="auto"/>
          </w:tcPr>
          <w:p w:rsidR="00744A57" w:rsidRDefault="007B600B" w:rsidP="000D7C1C">
            <w:pPr>
              <w:ind w:right="175"/>
              <w:rPr>
                <w:rFonts w:ascii="Arial" w:hAnsi="Arial" w:cs="Arial"/>
                <w:sz w:val="20"/>
                <w:szCs w:val="20"/>
                <w:lang w:val="en-US"/>
              </w:rPr>
            </w:pPr>
            <w:r w:rsidRPr="007B600B">
              <w:rPr>
                <w:rFonts w:ascii="Arial" w:hAnsi="Arial" w:cs="Arial"/>
                <w:sz w:val="20"/>
                <w:szCs w:val="20"/>
                <w:lang w:val="en-US"/>
              </w:rPr>
              <w:t xml:space="preserve">SRC89B(a) </w:t>
            </w:r>
          </w:p>
        </w:tc>
        <w:tc>
          <w:tcPr>
            <w:tcW w:w="2694" w:type="dxa"/>
            <w:shd w:val="clear" w:color="auto" w:fill="auto"/>
          </w:tcPr>
          <w:p w:rsidR="007B600B" w:rsidRPr="007B600B" w:rsidRDefault="007B600B" w:rsidP="007B600B">
            <w:pPr>
              <w:rPr>
                <w:rFonts w:ascii="Arial" w:hAnsi="Arial" w:cs="Arial"/>
                <w:sz w:val="20"/>
                <w:szCs w:val="20"/>
                <w:lang w:val="en-US"/>
              </w:rPr>
            </w:pPr>
            <w:r w:rsidRPr="007B600B">
              <w:rPr>
                <w:rFonts w:ascii="Arial" w:hAnsi="Arial" w:cs="Arial"/>
                <w:sz w:val="20"/>
                <w:szCs w:val="20"/>
                <w:lang w:val="en-US"/>
              </w:rPr>
              <w:t>Performance of all determining authorities against SRCC Indicators considered annually</w:t>
            </w:r>
          </w:p>
          <w:p w:rsidR="007B600B" w:rsidRPr="007B600B" w:rsidRDefault="007B600B" w:rsidP="007B600B">
            <w:pPr>
              <w:rPr>
                <w:rFonts w:ascii="Arial" w:hAnsi="Arial" w:cs="Arial"/>
                <w:sz w:val="20"/>
                <w:szCs w:val="20"/>
                <w:lang w:val="en-US"/>
              </w:rPr>
            </w:pPr>
          </w:p>
        </w:tc>
        <w:tc>
          <w:tcPr>
            <w:tcW w:w="2835" w:type="dxa"/>
          </w:tcPr>
          <w:p w:rsidR="007B600B" w:rsidRPr="007B600B" w:rsidRDefault="007B600B" w:rsidP="007B600B">
            <w:pPr>
              <w:rPr>
                <w:rFonts w:ascii="Arial" w:hAnsi="Arial" w:cs="Arial"/>
                <w:sz w:val="20"/>
                <w:szCs w:val="20"/>
                <w:lang w:val="en-US"/>
              </w:rPr>
            </w:pPr>
            <w:r w:rsidRPr="007B600B">
              <w:rPr>
                <w:rFonts w:ascii="Arial" w:hAnsi="Arial" w:cs="Arial"/>
                <w:sz w:val="20"/>
                <w:szCs w:val="20"/>
                <w:lang w:val="en-US"/>
              </w:rPr>
              <w:t xml:space="preserve">Comcare reports on performance of all determining authorities including </w:t>
            </w:r>
            <w:proofErr w:type="gramStart"/>
            <w:r w:rsidRPr="007B600B">
              <w:rPr>
                <w:rFonts w:ascii="Arial" w:hAnsi="Arial" w:cs="Arial"/>
                <w:sz w:val="20"/>
                <w:szCs w:val="20"/>
                <w:lang w:val="en-US"/>
              </w:rPr>
              <w:t>itself</w:t>
            </w:r>
            <w:proofErr w:type="gramEnd"/>
            <w:r w:rsidRPr="007B600B">
              <w:rPr>
                <w:rFonts w:ascii="Arial" w:hAnsi="Arial" w:cs="Arial"/>
                <w:sz w:val="20"/>
                <w:szCs w:val="20"/>
                <w:lang w:val="en-US"/>
              </w:rPr>
              <w:t>.</w:t>
            </w:r>
          </w:p>
        </w:tc>
      </w:tr>
      <w:tr w:rsidR="007B600B" w:rsidRPr="007B600B" w:rsidTr="000D7C1C">
        <w:tc>
          <w:tcPr>
            <w:tcW w:w="2269" w:type="dxa"/>
            <w:shd w:val="clear" w:color="auto" w:fill="auto"/>
          </w:tcPr>
          <w:p w:rsidR="007B600B" w:rsidRPr="007B600B" w:rsidRDefault="007B600B" w:rsidP="007B600B">
            <w:pPr>
              <w:rPr>
                <w:rFonts w:ascii="Arial" w:hAnsi="Arial" w:cs="Arial"/>
                <w:sz w:val="20"/>
                <w:szCs w:val="20"/>
                <w:lang w:val="en-US"/>
              </w:rPr>
            </w:pPr>
            <w:r w:rsidRPr="007B600B">
              <w:rPr>
                <w:rFonts w:ascii="Arial" w:hAnsi="Arial" w:cs="Arial"/>
                <w:sz w:val="20"/>
                <w:szCs w:val="20"/>
                <w:lang w:val="en-US"/>
              </w:rPr>
              <w:t>Providing advice to Minister</w:t>
            </w:r>
          </w:p>
        </w:tc>
        <w:tc>
          <w:tcPr>
            <w:tcW w:w="1700" w:type="dxa"/>
            <w:shd w:val="clear" w:color="auto" w:fill="auto"/>
          </w:tcPr>
          <w:p w:rsidR="007B600B" w:rsidRPr="007B600B" w:rsidRDefault="007B600B" w:rsidP="007B600B">
            <w:pPr>
              <w:rPr>
                <w:rFonts w:ascii="Arial" w:hAnsi="Arial" w:cs="Arial"/>
                <w:sz w:val="20"/>
                <w:szCs w:val="20"/>
                <w:lang w:val="en-US"/>
              </w:rPr>
            </w:pPr>
            <w:r w:rsidRPr="007B600B">
              <w:rPr>
                <w:rFonts w:ascii="Arial" w:hAnsi="Arial" w:cs="Arial"/>
                <w:sz w:val="20"/>
                <w:szCs w:val="20"/>
                <w:lang w:val="en-US"/>
              </w:rPr>
              <w:t>SRC89B(b)</w:t>
            </w:r>
          </w:p>
        </w:tc>
        <w:tc>
          <w:tcPr>
            <w:tcW w:w="2694" w:type="dxa"/>
            <w:shd w:val="clear" w:color="auto" w:fill="auto"/>
          </w:tcPr>
          <w:p w:rsidR="007B600B" w:rsidRPr="007B600B" w:rsidRDefault="007B600B" w:rsidP="007B600B">
            <w:pPr>
              <w:rPr>
                <w:rFonts w:ascii="Arial" w:hAnsi="Arial" w:cs="Arial"/>
                <w:sz w:val="20"/>
                <w:szCs w:val="20"/>
                <w:lang w:val="en-US"/>
              </w:rPr>
            </w:pPr>
            <w:r w:rsidRPr="007B600B">
              <w:rPr>
                <w:rFonts w:ascii="Arial" w:hAnsi="Arial" w:cs="Arial"/>
                <w:sz w:val="20"/>
                <w:szCs w:val="20"/>
                <w:lang w:val="en-US"/>
              </w:rPr>
              <w:t>Quarterly report to Minister</w:t>
            </w:r>
          </w:p>
        </w:tc>
        <w:tc>
          <w:tcPr>
            <w:tcW w:w="2835" w:type="dxa"/>
          </w:tcPr>
          <w:p w:rsidR="007B600B" w:rsidRPr="007B600B" w:rsidRDefault="007B600B" w:rsidP="007B600B">
            <w:pPr>
              <w:rPr>
                <w:rFonts w:ascii="Arial" w:hAnsi="Arial" w:cs="Arial"/>
                <w:sz w:val="20"/>
                <w:szCs w:val="20"/>
                <w:lang w:val="en-US"/>
              </w:rPr>
            </w:pPr>
            <w:r w:rsidRPr="007B600B">
              <w:rPr>
                <w:rFonts w:ascii="Arial" w:hAnsi="Arial" w:cs="Arial"/>
                <w:sz w:val="20"/>
                <w:szCs w:val="20"/>
                <w:lang w:val="en-US"/>
              </w:rPr>
              <w:t>Comcare drafts advice based on SRCC’s views.</w:t>
            </w:r>
          </w:p>
          <w:p w:rsidR="007B600B" w:rsidRPr="007B600B" w:rsidRDefault="007B600B" w:rsidP="007B600B">
            <w:pPr>
              <w:rPr>
                <w:rFonts w:ascii="Arial" w:hAnsi="Arial" w:cs="Arial"/>
                <w:sz w:val="20"/>
                <w:szCs w:val="20"/>
                <w:lang w:val="en-US"/>
              </w:rPr>
            </w:pPr>
          </w:p>
          <w:p w:rsidR="007B600B" w:rsidRPr="007B600B" w:rsidRDefault="007B600B" w:rsidP="007B600B">
            <w:pPr>
              <w:rPr>
                <w:rFonts w:ascii="Arial" w:hAnsi="Arial" w:cs="Arial"/>
                <w:sz w:val="20"/>
                <w:szCs w:val="20"/>
                <w:lang w:val="en-US"/>
              </w:rPr>
            </w:pPr>
            <w:r w:rsidRPr="007B600B">
              <w:rPr>
                <w:rFonts w:ascii="Arial" w:hAnsi="Arial" w:cs="Arial"/>
                <w:sz w:val="20"/>
                <w:szCs w:val="20"/>
                <w:lang w:val="en-US"/>
              </w:rPr>
              <w:t>Comcare provides research and analysis about the operations of the Act to the SRCC</w:t>
            </w:r>
          </w:p>
          <w:p w:rsidR="007B600B" w:rsidRPr="007B600B" w:rsidRDefault="007B600B" w:rsidP="007B600B">
            <w:pPr>
              <w:rPr>
                <w:rFonts w:ascii="Arial" w:hAnsi="Arial" w:cs="Arial"/>
                <w:sz w:val="20"/>
                <w:szCs w:val="20"/>
                <w:lang w:val="en-US"/>
              </w:rPr>
            </w:pPr>
          </w:p>
        </w:tc>
      </w:tr>
      <w:tr w:rsidR="007B600B" w:rsidRPr="007B600B" w:rsidTr="000D7C1C">
        <w:tc>
          <w:tcPr>
            <w:tcW w:w="2269" w:type="dxa"/>
            <w:shd w:val="clear" w:color="auto" w:fill="auto"/>
          </w:tcPr>
          <w:p w:rsidR="007B600B" w:rsidRPr="007B600B" w:rsidRDefault="007B600B" w:rsidP="007B600B">
            <w:pPr>
              <w:rPr>
                <w:rFonts w:ascii="Arial" w:hAnsi="Arial" w:cs="Arial"/>
                <w:sz w:val="20"/>
                <w:szCs w:val="20"/>
                <w:lang w:val="en-US"/>
              </w:rPr>
            </w:pPr>
            <w:r w:rsidRPr="007B600B">
              <w:rPr>
                <w:rFonts w:ascii="Arial" w:hAnsi="Arial" w:cs="Arial"/>
                <w:sz w:val="20"/>
                <w:szCs w:val="20"/>
                <w:lang w:val="en-US"/>
              </w:rPr>
              <w:t>Providing guidance/direction to jurisdiction</w:t>
            </w:r>
          </w:p>
        </w:tc>
        <w:tc>
          <w:tcPr>
            <w:tcW w:w="1700" w:type="dxa"/>
            <w:shd w:val="clear" w:color="auto" w:fill="auto"/>
          </w:tcPr>
          <w:p w:rsidR="007B600B" w:rsidRDefault="007B600B" w:rsidP="007B600B">
            <w:pPr>
              <w:rPr>
                <w:rFonts w:ascii="Arial" w:hAnsi="Arial" w:cs="Arial"/>
                <w:sz w:val="20"/>
                <w:szCs w:val="20"/>
                <w:lang w:val="en-US"/>
              </w:rPr>
            </w:pPr>
            <w:r w:rsidRPr="007B600B">
              <w:rPr>
                <w:rFonts w:ascii="Arial" w:hAnsi="Arial" w:cs="Arial"/>
                <w:sz w:val="20"/>
                <w:szCs w:val="20"/>
                <w:lang w:val="en-US"/>
              </w:rPr>
              <w:t xml:space="preserve">SRC73A SRC97E(1) SRC97E(2) SRC97H </w:t>
            </w:r>
          </w:p>
          <w:p w:rsidR="00B354AF" w:rsidRPr="007B600B" w:rsidRDefault="00B354AF" w:rsidP="007B600B">
            <w:pPr>
              <w:rPr>
                <w:rFonts w:ascii="Arial" w:hAnsi="Arial" w:cs="Arial"/>
                <w:sz w:val="20"/>
                <w:szCs w:val="20"/>
                <w:lang w:val="en-US"/>
              </w:rPr>
            </w:pPr>
          </w:p>
        </w:tc>
        <w:tc>
          <w:tcPr>
            <w:tcW w:w="2694" w:type="dxa"/>
            <w:shd w:val="clear" w:color="auto" w:fill="auto"/>
          </w:tcPr>
          <w:p w:rsidR="007B600B" w:rsidRPr="007B600B" w:rsidRDefault="007B600B" w:rsidP="007B600B">
            <w:pPr>
              <w:rPr>
                <w:rFonts w:ascii="Arial" w:hAnsi="Arial" w:cs="Arial"/>
                <w:sz w:val="20"/>
                <w:szCs w:val="20"/>
                <w:lang w:val="en-US"/>
              </w:rPr>
            </w:pPr>
            <w:r w:rsidRPr="007B600B">
              <w:rPr>
                <w:rFonts w:ascii="Arial" w:hAnsi="Arial" w:cs="Arial"/>
                <w:sz w:val="20"/>
                <w:szCs w:val="20"/>
                <w:lang w:val="en-US"/>
              </w:rPr>
              <w:t>SRCC issues guidance, advice and directions to jurisdiction</w:t>
            </w:r>
          </w:p>
          <w:p w:rsidR="007B600B" w:rsidRPr="007B600B" w:rsidRDefault="007B600B" w:rsidP="007B600B">
            <w:pPr>
              <w:rPr>
                <w:rFonts w:ascii="Arial" w:hAnsi="Arial" w:cs="Arial"/>
                <w:sz w:val="20"/>
                <w:szCs w:val="20"/>
                <w:lang w:val="en-US"/>
              </w:rPr>
            </w:pPr>
          </w:p>
        </w:tc>
        <w:tc>
          <w:tcPr>
            <w:tcW w:w="2835" w:type="dxa"/>
            <w:shd w:val="clear" w:color="auto" w:fill="auto"/>
          </w:tcPr>
          <w:p w:rsidR="007B600B" w:rsidRPr="007B600B" w:rsidRDefault="007B600B" w:rsidP="007B600B">
            <w:pPr>
              <w:rPr>
                <w:rFonts w:ascii="Arial" w:hAnsi="Arial" w:cs="Arial"/>
                <w:sz w:val="20"/>
                <w:szCs w:val="20"/>
                <w:lang w:val="en-US"/>
              </w:rPr>
            </w:pPr>
            <w:r w:rsidRPr="007B600B">
              <w:rPr>
                <w:rFonts w:ascii="Arial" w:hAnsi="Arial" w:cs="Arial"/>
                <w:sz w:val="20"/>
                <w:szCs w:val="20"/>
                <w:lang w:val="en-US"/>
              </w:rPr>
              <w:t>Comcare assists in preparation of guidelines, advice and directions</w:t>
            </w:r>
          </w:p>
        </w:tc>
      </w:tr>
      <w:tr w:rsidR="007B600B" w:rsidRPr="007B600B" w:rsidTr="000D7C1C">
        <w:tc>
          <w:tcPr>
            <w:tcW w:w="2269" w:type="dxa"/>
            <w:shd w:val="clear" w:color="auto" w:fill="auto"/>
          </w:tcPr>
          <w:p w:rsidR="007B600B" w:rsidRPr="007B600B" w:rsidRDefault="007B600B" w:rsidP="007B600B">
            <w:pPr>
              <w:rPr>
                <w:rFonts w:ascii="Arial" w:hAnsi="Arial" w:cs="Arial"/>
                <w:sz w:val="20"/>
                <w:szCs w:val="20"/>
                <w:lang w:val="en-US"/>
              </w:rPr>
            </w:pPr>
            <w:r w:rsidRPr="007B600B">
              <w:rPr>
                <w:rFonts w:ascii="Arial" w:hAnsi="Arial" w:cs="Arial"/>
                <w:sz w:val="20"/>
                <w:szCs w:val="20"/>
                <w:lang w:val="en-US"/>
              </w:rPr>
              <w:t>Licensing</w:t>
            </w:r>
          </w:p>
          <w:p w:rsidR="007B600B" w:rsidRPr="007B600B" w:rsidRDefault="007B600B" w:rsidP="000A5586">
            <w:pPr>
              <w:rPr>
                <w:rFonts w:ascii="Arial" w:hAnsi="Arial" w:cs="Arial"/>
                <w:sz w:val="20"/>
                <w:szCs w:val="20"/>
                <w:lang w:val="en-US"/>
              </w:rPr>
            </w:pPr>
            <w:r w:rsidRPr="007B600B">
              <w:rPr>
                <w:rFonts w:ascii="Arial" w:hAnsi="Arial" w:cs="Arial"/>
                <w:sz w:val="20"/>
                <w:szCs w:val="20"/>
                <w:lang w:val="en-US"/>
              </w:rPr>
              <w:t>Self-insurance licen</w:t>
            </w:r>
            <w:r w:rsidR="000A5586">
              <w:rPr>
                <w:rFonts w:ascii="Arial" w:hAnsi="Arial" w:cs="Arial"/>
                <w:sz w:val="20"/>
                <w:szCs w:val="20"/>
                <w:lang w:val="en-US"/>
              </w:rPr>
              <w:t>c</w:t>
            </w:r>
            <w:r w:rsidRPr="007B600B">
              <w:rPr>
                <w:rFonts w:ascii="Arial" w:hAnsi="Arial" w:cs="Arial"/>
                <w:sz w:val="20"/>
                <w:szCs w:val="20"/>
                <w:lang w:val="en-US"/>
              </w:rPr>
              <w:t>es</w:t>
            </w:r>
          </w:p>
        </w:tc>
        <w:tc>
          <w:tcPr>
            <w:tcW w:w="1700" w:type="dxa"/>
            <w:shd w:val="clear" w:color="auto" w:fill="auto"/>
          </w:tcPr>
          <w:p w:rsidR="007B600B" w:rsidRDefault="007B600B" w:rsidP="007B600B">
            <w:pPr>
              <w:rPr>
                <w:rFonts w:ascii="Arial" w:hAnsi="Arial" w:cs="Arial"/>
                <w:sz w:val="20"/>
                <w:szCs w:val="20"/>
                <w:lang w:val="en-US"/>
              </w:rPr>
            </w:pPr>
            <w:r w:rsidRPr="007B600B">
              <w:rPr>
                <w:rFonts w:ascii="Arial" w:hAnsi="Arial" w:cs="Arial"/>
                <w:sz w:val="20"/>
                <w:szCs w:val="20"/>
                <w:lang w:val="en-US"/>
              </w:rPr>
              <w:t xml:space="preserve">SRC102(2) SRC103(1) SRC103(2) SRC104(1) SRC104A SRC105(1) SRC105(2) SRC106(1) SRC107 SRC108(2) SRC108(B)(2) SRC108D  </w:t>
            </w:r>
          </w:p>
          <w:p w:rsidR="00B354AF" w:rsidRPr="007B600B" w:rsidRDefault="00B354AF" w:rsidP="007B600B">
            <w:pPr>
              <w:rPr>
                <w:rFonts w:ascii="Arial" w:hAnsi="Arial" w:cs="Arial"/>
                <w:sz w:val="20"/>
                <w:szCs w:val="20"/>
                <w:lang w:val="en-US"/>
              </w:rPr>
            </w:pPr>
          </w:p>
        </w:tc>
        <w:tc>
          <w:tcPr>
            <w:tcW w:w="2694" w:type="dxa"/>
            <w:shd w:val="clear" w:color="auto" w:fill="auto"/>
          </w:tcPr>
          <w:p w:rsidR="007B600B" w:rsidRPr="007B600B" w:rsidRDefault="000A5586" w:rsidP="007B600B">
            <w:pPr>
              <w:rPr>
                <w:rFonts w:ascii="Arial" w:hAnsi="Arial" w:cs="Arial"/>
                <w:sz w:val="20"/>
                <w:szCs w:val="20"/>
                <w:lang w:val="en-US"/>
              </w:rPr>
            </w:pPr>
            <w:r>
              <w:rPr>
                <w:rFonts w:ascii="Arial" w:hAnsi="Arial" w:cs="Arial"/>
                <w:sz w:val="20"/>
                <w:szCs w:val="20"/>
                <w:lang w:val="en-US"/>
              </w:rPr>
              <w:t>Licence</w:t>
            </w:r>
            <w:r w:rsidR="007B600B" w:rsidRPr="007B600B">
              <w:rPr>
                <w:rFonts w:ascii="Arial" w:hAnsi="Arial" w:cs="Arial"/>
                <w:sz w:val="20"/>
                <w:szCs w:val="20"/>
                <w:lang w:val="en-US"/>
              </w:rPr>
              <w:t xml:space="preserve"> applications assessed against requirements in Act and decision made based on evidence considered</w:t>
            </w:r>
          </w:p>
          <w:p w:rsidR="007B600B" w:rsidRDefault="007B600B" w:rsidP="007B600B">
            <w:pPr>
              <w:rPr>
                <w:rFonts w:ascii="Arial" w:hAnsi="Arial" w:cs="Arial"/>
                <w:sz w:val="20"/>
                <w:szCs w:val="20"/>
                <w:lang w:val="en-US"/>
              </w:rPr>
            </w:pPr>
          </w:p>
          <w:p w:rsidR="00B354AF" w:rsidRDefault="00B354AF" w:rsidP="007B600B">
            <w:pPr>
              <w:rPr>
                <w:rFonts w:ascii="Arial" w:hAnsi="Arial" w:cs="Arial"/>
                <w:sz w:val="20"/>
                <w:szCs w:val="20"/>
                <w:lang w:val="en-US"/>
              </w:rPr>
            </w:pPr>
          </w:p>
          <w:p w:rsidR="00B354AF" w:rsidRPr="007B600B" w:rsidRDefault="00B354AF" w:rsidP="007B600B">
            <w:pPr>
              <w:rPr>
                <w:rFonts w:ascii="Arial" w:hAnsi="Arial" w:cs="Arial"/>
                <w:sz w:val="20"/>
                <w:szCs w:val="20"/>
                <w:lang w:val="en-US"/>
              </w:rPr>
            </w:pPr>
          </w:p>
          <w:p w:rsidR="007B600B" w:rsidRPr="007B600B" w:rsidRDefault="007B600B" w:rsidP="007B600B">
            <w:pPr>
              <w:rPr>
                <w:rFonts w:ascii="Arial" w:hAnsi="Arial" w:cs="Arial"/>
                <w:sz w:val="20"/>
                <w:szCs w:val="20"/>
                <w:lang w:val="en-US"/>
              </w:rPr>
            </w:pPr>
            <w:r w:rsidRPr="007B600B">
              <w:rPr>
                <w:rFonts w:ascii="Arial" w:hAnsi="Arial" w:cs="Arial"/>
                <w:sz w:val="20"/>
                <w:szCs w:val="20"/>
                <w:lang w:val="en-US"/>
              </w:rPr>
              <w:t xml:space="preserve">Fees, scope and conditions set on individual basis and reflected in </w:t>
            </w:r>
            <w:r w:rsidR="000A5586">
              <w:rPr>
                <w:rFonts w:ascii="Arial" w:hAnsi="Arial" w:cs="Arial"/>
                <w:sz w:val="20"/>
                <w:szCs w:val="20"/>
                <w:lang w:val="en-US"/>
              </w:rPr>
              <w:t>licence</w:t>
            </w:r>
            <w:r w:rsidRPr="007B600B">
              <w:rPr>
                <w:rFonts w:ascii="Arial" w:hAnsi="Arial" w:cs="Arial"/>
                <w:sz w:val="20"/>
                <w:szCs w:val="20"/>
                <w:lang w:val="en-US"/>
              </w:rPr>
              <w:t xml:space="preserve"> conditions</w:t>
            </w:r>
          </w:p>
          <w:p w:rsidR="007B600B" w:rsidRPr="007B600B" w:rsidRDefault="007B600B" w:rsidP="007B600B">
            <w:pPr>
              <w:rPr>
                <w:rFonts w:ascii="Arial" w:hAnsi="Arial" w:cs="Arial"/>
                <w:sz w:val="20"/>
                <w:szCs w:val="20"/>
                <w:lang w:val="en-US"/>
              </w:rPr>
            </w:pPr>
          </w:p>
        </w:tc>
        <w:tc>
          <w:tcPr>
            <w:tcW w:w="2835" w:type="dxa"/>
          </w:tcPr>
          <w:p w:rsidR="007B600B" w:rsidRPr="007B600B" w:rsidRDefault="007B600B" w:rsidP="007B600B">
            <w:pPr>
              <w:rPr>
                <w:rFonts w:ascii="Arial" w:hAnsi="Arial" w:cs="Arial"/>
                <w:sz w:val="20"/>
                <w:szCs w:val="20"/>
                <w:lang w:val="en-US"/>
              </w:rPr>
            </w:pPr>
            <w:r w:rsidRPr="007B600B">
              <w:rPr>
                <w:rFonts w:ascii="Arial" w:hAnsi="Arial" w:cs="Arial"/>
                <w:sz w:val="20"/>
                <w:szCs w:val="20"/>
                <w:lang w:val="en-US"/>
              </w:rPr>
              <w:t xml:space="preserve">Comcare conducts </w:t>
            </w:r>
            <w:r w:rsidR="000A5586">
              <w:rPr>
                <w:rFonts w:ascii="Arial" w:hAnsi="Arial" w:cs="Arial"/>
                <w:sz w:val="20"/>
                <w:szCs w:val="20"/>
                <w:lang w:val="en-US"/>
              </w:rPr>
              <w:t>licence</w:t>
            </w:r>
            <w:r w:rsidRPr="007B600B">
              <w:rPr>
                <w:rFonts w:ascii="Arial" w:hAnsi="Arial" w:cs="Arial"/>
                <w:sz w:val="20"/>
                <w:szCs w:val="20"/>
                <w:lang w:val="en-US"/>
              </w:rPr>
              <w:t xml:space="preserve"> application assessment on behalf of SRCC and advises on merits of </w:t>
            </w:r>
            <w:r w:rsidR="000A5586">
              <w:rPr>
                <w:rFonts w:ascii="Arial" w:hAnsi="Arial" w:cs="Arial"/>
                <w:sz w:val="20"/>
                <w:szCs w:val="20"/>
                <w:lang w:val="en-US"/>
              </w:rPr>
              <w:t>licence</w:t>
            </w:r>
            <w:r w:rsidRPr="007B600B">
              <w:rPr>
                <w:rFonts w:ascii="Arial" w:hAnsi="Arial" w:cs="Arial"/>
                <w:sz w:val="20"/>
                <w:szCs w:val="20"/>
                <w:lang w:val="en-US"/>
              </w:rPr>
              <w:t xml:space="preserve"> application and compliance with legislative provisions.</w:t>
            </w:r>
          </w:p>
          <w:p w:rsidR="007B600B" w:rsidRPr="007B600B" w:rsidRDefault="007B600B" w:rsidP="007B600B">
            <w:pPr>
              <w:rPr>
                <w:rFonts w:ascii="Arial" w:hAnsi="Arial" w:cs="Arial"/>
                <w:sz w:val="20"/>
                <w:szCs w:val="20"/>
                <w:lang w:val="en-US"/>
              </w:rPr>
            </w:pPr>
          </w:p>
          <w:p w:rsidR="007B600B" w:rsidRPr="007B600B" w:rsidRDefault="007B600B" w:rsidP="007B600B">
            <w:pPr>
              <w:rPr>
                <w:rFonts w:ascii="Arial" w:hAnsi="Arial" w:cs="Arial"/>
                <w:sz w:val="20"/>
                <w:szCs w:val="20"/>
                <w:lang w:val="en-US"/>
              </w:rPr>
            </w:pPr>
          </w:p>
          <w:p w:rsidR="007B600B" w:rsidRPr="007B600B" w:rsidRDefault="007B600B" w:rsidP="007B600B">
            <w:pPr>
              <w:rPr>
                <w:rFonts w:ascii="Arial" w:hAnsi="Arial" w:cs="Arial"/>
                <w:sz w:val="20"/>
                <w:szCs w:val="20"/>
                <w:lang w:val="en-US"/>
              </w:rPr>
            </w:pPr>
            <w:r w:rsidRPr="007B600B">
              <w:rPr>
                <w:rFonts w:ascii="Arial" w:hAnsi="Arial" w:cs="Arial"/>
                <w:sz w:val="20"/>
                <w:szCs w:val="20"/>
                <w:lang w:val="en-US"/>
              </w:rPr>
              <w:t xml:space="preserve">Comcare advises on fees, scope and conditions of </w:t>
            </w:r>
            <w:r w:rsidR="000A5586">
              <w:rPr>
                <w:rFonts w:ascii="Arial" w:hAnsi="Arial" w:cs="Arial"/>
                <w:sz w:val="20"/>
                <w:szCs w:val="20"/>
                <w:lang w:val="en-US"/>
              </w:rPr>
              <w:t>licence</w:t>
            </w:r>
            <w:r w:rsidRPr="007B600B">
              <w:rPr>
                <w:rFonts w:ascii="Arial" w:hAnsi="Arial" w:cs="Arial"/>
                <w:sz w:val="20"/>
                <w:szCs w:val="20"/>
                <w:lang w:val="en-US"/>
              </w:rPr>
              <w:t>.</w:t>
            </w:r>
          </w:p>
        </w:tc>
      </w:tr>
      <w:tr w:rsidR="007B600B" w:rsidRPr="007B600B" w:rsidTr="000D7C1C">
        <w:trPr>
          <w:cantSplit/>
        </w:trPr>
        <w:tc>
          <w:tcPr>
            <w:tcW w:w="2269" w:type="dxa"/>
            <w:shd w:val="clear" w:color="auto" w:fill="auto"/>
          </w:tcPr>
          <w:p w:rsidR="007B600B" w:rsidRPr="007B600B" w:rsidRDefault="007B600B" w:rsidP="007B600B">
            <w:pPr>
              <w:rPr>
                <w:rFonts w:ascii="Arial" w:hAnsi="Arial" w:cs="Arial"/>
                <w:sz w:val="20"/>
                <w:szCs w:val="20"/>
                <w:lang w:val="en-US"/>
              </w:rPr>
            </w:pPr>
            <w:r w:rsidRPr="007B600B">
              <w:rPr>
                <w:rFonts w:ascii="Arial" w:hAnsi="Arial" w:cs="Arial"/>
                <w:sz w:val="20"/>
                <w:szCs w:val="20"/>
                <w:lang w:val="en-US"/>
              </w:rPr>
              <w:t>Other:</w:t>
            </w:r>
          </w:p>
          <w:p w:rsidR="007B600B" w:rsidRPr="007B600B" w:rsidRDefault="007B600B" w:rsidP="007B600B">
            <w:pPr>
              <w:rPr>
                <w:rFonts w:ascii="Arial" w:hAnsi="Arial" w:cs="Arial"/>
                <w:sz w:val="20"/>
                <w:szCs w:val="20"/>
                <w:lang w:val="en-US"/>
              </w:rPr>
            </w:pPr>
            <w:r w:rsidRPr="007B600B">
              <w:rPr>
                <w:rFonts w:ascii="Arial" w:hAnsi="Arial" w:cs="Arial"/>
                <w:sz w:val="20"/>
                <w:szCs w:val="20"/>
                <w:lang w:val="en-US"/>
              </w:rPr>
              <w:t>Administrative</w:t>
            </w:r>
          </w:p>
        </w:tc>
        <w:tc>
          <w:tcPr>
            <w:tcW w:w="1700" w:type="dxa"/>
            <w:shd w:val="clear" w:color="auto" w:fill="auto"/>
          </w:tcPr>
          <w:p w:rsidR="007B600B" w:rsidRPr="007B600B" w:rsidRDefault="007B600B" w:rsidP="007B600B">
            <w:pPr>
              <w:rPr>
                <w:rFonts w:ascii="Arial" w:hAnsi="Arial" w:cs="Arial"/>
                <w:sz w:val="20"/>
                <w:szCs w:val="20"/>
                <w:lang w:val="en-US"/>
              </w:rPr>
            </w:pPr>
            <w:r w:rsidRPr="007B600B">
              <w:rPr>
                <w:rFonts w:ascii="Arial" w:hAnsi="Arial" w:cs="Arial"/>
                <w:sz w:val="20"/>
                <w:szCs w:val="20"/>
                <w:lang w:val="en-US"/>
              </w:rPr>
              <w:t xml:space="preserve">SRC89R SRC89S </w:t>
            </w:r>
          </w:p>
        </w:tc>
        <w:tc>
          <w:tcPr>
            <w:tcW w:w="2694" w:type="dxa"/>
            <w:shd w:val="clear" w:color="auto" w:fill="auto"/>
          </w:tcPr>
          <w:p w:rsidR="007B600B" w:rsidRPr="007B600B" w:rsidRDefault="007B600B" w:rsidP="007B600B">
            <w:pPr>
              <w:rPr>
                <w:rFonts w:ascii="Arial" w:hAnsi="Arial" w:cs="Arial"/>
                <w:sz w:val="20"/>
                <w:szCs w:val="20"/>
                <w:lang w:val="en-US"/>
              </w:rPr>
            </w:pPr>
            <w:r w:rsidRPr="007B600B">
              <w:rPr>
                <w:rFonts w:ascii="Arial" w:hAnsi="Arial" w:cs="Arial"/>
                <w:sz w:val="20"/>
                <w:szCs w:val="20"/>
                <w:lang w:val="en-US"/>
              </w:rPr>
              <w:t>SRCC authorises Annual Report and publication of statistical information</w:t>
            </w:r>
          </w:p>
          <w:p w:rsidR="007B600B" w:rsidRPr="007B600B" w:rsidRDefault="007B600B" w:rsidP="007B600B">
            <w:pPr>
              <w:rPr>
                <w:rFonts w:ascii="Arial" w:hAnsi="Arial" w:cs="Arial"/>
                <w:sz w:val="20"/>
                <w:szCs w:val="20"/>
                <w:lang w:val="en-US"/>
              </w:rPr>
            </w:pPr>
          </w:p>
          <w:p w:rsidR="007B600B" w:rsidRPr="007B600B" w:rsidRDefault="007B600B" w:rsidP="007B600B">
            <w:pPr>
              <w:rPr>
                <w:rFonts w:ascii="Arial" w:hAnsi="Arial" w:cs="Arial"/>
                <w:sz w:val="20"/>
                <w:szCs w:val="20"/>
                <w:lang w:val="en-US"/>
              </w:rPr>
            </w:pPr>
            <w:r w:rsidRPr="007B600B">
              <w:rPr>
                <w:rFonts w:ascii="Arial" w:hAnsi="Arial" w:cs="Arial"/>
                <w:sz w:val="20"/>
                <w:szCs w:val="20"/>
                <w:lang w:val="en-US"/>
              </w:rPr>
              <w:t>SRCC conducts annual review of delegated functions</w:t>
            </w:r>
          </w:p>
          <w:p w:rsidR="007B600B" w:rsidRPr="007B600B" w:rsidRDefault="007B600B" w:rsidP="007B600B">
            <w:pPr>
              <w:rPr>
                <w:rFonts w:ascii="Arial" w:hAnsi="Arial" w:cs="Arial"/>
                <w:sz w:val="20"/>
                <w:szCs w:val="20"/>
                <w:lang w:val="en-US"/>
              </w:rPr>
            </w:pPr>
          </w:p>
        </w:tc>
        <w:tc>
          <w:tcPr>
            <w:tcW w:w="2835" w:type="dxa"/>
            <w:shd w:val="clear" w:color="auto" w:fill="auto"/>
          </w:tcPr>
          <w:p w:rsidR="007B600B" w:rsidRPr="007B600B" w:rsidRDefault="007B600B" w:rsidP="007B600B">
            <w:pPr>
              <w:rPr>
                <w:rFonts w:ascii="Arial" w:hAnsi="Arial" w:cs="Arial"/>
                <w:sz w:val="20"/>
                <w:szCs w:val="20"/>
                <w:lang w:val="en-US"/>
              </w:rPr>
            </w:pPr>
            <w:r w:rsidRPr="007B600B">
              <w:rPr>
                <w:rFonts w:ascii="Arial" w:hAnsi="Arial" w:cs="Arial"/>
                <w:sz w:val="20"/>
                <w:szCs w:val="20"/>
                <w:lang w:val="en-US"/>
              </w:rPr>
              <w:t>Comcare prepares reports for SRCC’s consideration.</w:t>
            </w:r>
          </w:p>
          <w:p w:rsidR="007B600B" w:rsidRPr="007B600B" w:rsidRDefault="007B600B" w:rsidP="007B600B">
            <w:pPr>
              <w:rPr>
                <w:rFonts w:ascii="Arial" w:hAnsi="Arial" w:cs="Arial"/>
                <w:sz w:val="20"/>
                <w:szCs w:val="20"/>
                <w:lang w:val="en-US"/>
              </w:rPr>
            </w:pPr>
          </w:p>
          <w:p w:rsidR="007B600B" w:rsidRPr="007B600B" w:rsidRDefault="007B600B" w:rsidP="007B600B">
            <w:pPr>
              <w:rPr>
                <w:rFonts w:ascii="Arial" w:hAnsi="Arial" w:cs="Arial"/>
                <w:sz w:val="20"/>
                <w:szCs w:val="20"/>
                <w:lang w:val="en-US"/>
              </w:rPr>
            </w:pPr>
          </w:p>
          <w:p w:rsidR="007B600B" w:rsidRDefault="007B600B" w:rsidP="007B600B">
            <w:pPr>
              <w:rPr>
                <w:rFonts w:ascii="Arial" w:hAnsi="Arial" w:cs="Arial"/>
                <w:sz w:val="20"/>
                <w:szCs w:val="20"/>
                <w:lang w:val="en-US"/>
              </w:rPr>
            </w:pPr>
            <w:r w:rsidRPr="007B600B">
              <w:rPr>
                <w:rFonts w:ascii="Arial" w:hAnsi="Arial" w:cs="Arial"/>
                <w:sz w:val="20"/>
                <w:szCs w:val="20"/>
                <w:lang w:val="en-US"/>
              </w:rPr>
              <w:t>Comcare represents SRCC on regulatory bodies.</w:t>
            </w:r>
          </w:p>
          <w:p w:rsidR="00B354AF" w:rsidRPr="007B600B" w:rsidRDefault="00B354AF" w:rsidP="007B600B">
            <w:pPr>
              <w:rPr>
                <w:rFonts w:ascii="Arial" w:hAnsi="Arial" w:cs="Arial"/>
                <w:sz w:val="20"/>
                <w:szCs w:val="20"/>
                <w:lang w:val="en-US"/>
              </w:rPr>
            </w:pPr>
          </w:p>
        </w:tc>
      </w:tr>
      <w:tr w:rsidR="007B600B" w:rsidRPr="007B600B" w:rsidTr="000D7C1C">
        <w:tc>
          <w:tcPr>
            <w:tcW w:w="2269" w:type="dxa"/>
            <w:shd w:val="clear" w:color="auto" w:fill="auto"/>
          </w:tcPr>
          <w:p w:rsidR="007B600B" w:rsidRPr="007B600B" w:rsidRDefault="007B600B" w:rsidP="007B600B">
            <w:pPr>
              <w:rPr>
                <w:rFonts w:ascii="Arial" w:hAnsi="Arial" w:cs="Arial"/>
                <w:sz w:val="20"/>
                <w:szCs w:val="20"/>
                <w:lang w:val="en-US"/>
              </w:rPr>
            </w:pPr>
            <w:r w:rsidRPr="007B600B">
              <w:rPr>
                <w:rFonts w:ascii="Arial" w:hAnsi="Arial" w:cs="Arial"/>
                <w:sz w:val="20"/>
                <w:szCs w:val="20"/>
                <w:lang w:val="en-US"/>
              </w:rPr>
              <w:t>Other:</w:t>
            </w:r>
          </w:p>
          <w:p w:rsidR="007B600B" w:rsidRDefault="007B600B" w:rsidP="007B600B">
            <w:pPr>
              <w:rPr>
                <w:rFonts w:ascii="Arial" w:hAnsi="Arial" w:cs="Arial"/>
                <w:sz w:val="20"/>
                <w:szCs w:val="20"/>
                <w:lang w:val="en-US"/>
              </w:rPr>
            </w:pPr>
            <w:r w:rsidRPr="007B600B">
              <w:rPr>
                <w:rFonts w:ascii="Arial" w:hAnsi="Arial" w:cs="Arial"/>
                <w:sz w:val="20"/>
                <w:szCs w:val="20"/>
                <w:lang w:val="en-US"/>
              </w:rPr>
              <w:t>Review fees and charges</w:t>
            </w:r>
          </w:p>
          <w:p w:rsidR="00B354AF" w:rsidRPr="007B600B" w:rsidRDefault="00B354AF" w:rsidP="007B600B">
            <w:pPr>
              <w:rPr>
                <w:rFonts w:ascii="Arial" w:hAnsi="Arial" w:cs="Arial"/>
                <w:sz w:val="20"/>
                <w:szCs w:val="20"/>
                <w:lang w:val="en-US"/>
              </w:rPr>
            </w:pPr>
          </w:p>
        </w:tc>
        <w:tc>
          <w:tcPr>
            <w:tcW w:w="1700" w:type="dxa"/>
            <w:shd w:val="clear" w:color="auto" w:fill="auto"/>
          </w:tcPr>
          <w:p w:rsidR="007B600B" w:rsidRPr="007B600B" w:rsidRDefault="007B600B" w:rsidP="007B600B">
            <w:pPr>
              <w:rPr>
                <w:rFonts w:ascii="Arial" w:hAnsi="Arial" w:cs="Arial"/>
                <w:sz w:val="20"/>
                <w:szCs w:val="20"/>
                <w:lang w:val="en-US"/>
              </w:rPr>
            </w:pPr>
            <w:r w:rsidRPr="007B600B">
              <w:rPr>
                <w:rFonts w:ascii="Arial" w:hAnsi="Arial" w:cs="Arial"/>
                <w:sz w:val="20"/>
                <w:szCs w:val="20"/>
                <w:lang w:val="en-US"/>
              </w:rPr>
              <w:t>SRC97K</w:t>
            </w:r>
          </w:p>
        </w:tc>
        <w:tc>
          <w:tcPr>
            <w:tcW w:w="2694" w:type="dxa"/>
            <w:shd w:val="clear" w:color="auto" w:fill="auto"/>
          </w:tcPr>
          <w:p w:rsidR="007B600B" w:rsidRPr="007B600B" w:rsidRDefault="007B600B" w:rsidP="007B600B">
            <w:pPr>
              <w:rPr>
                <w:rFonts w:ascii="Arial" w:hAnsi="Arial" w:cs="Arial"/>
                <w:sz w:val="20"/>
                <w:szCs w:val="20"/>
                <w:lang w:val="en-US"/>
              </w:rPr>
            </w:pPr>
            <w:r w:rsidRPr="007B600B">
              <w:rPr>
                <w:rFonts w:ascii="Arial" w:hAnsi="Arial" w:cs="Arial"/>
                <w:sz w:val="20"/>
                <w:szCs w:val="20"/>
                <w:lang w:val="en-US"/>
              </w:rPr>
              <w:t>Reviews conducted if required</w:t>
            </w:r>
          </w:p>
          <w:p w:rsidR="007B600B" w:rsidRPr="007B600B" w:rsidRDefault="007B600B" w:rsidP="007B600B">
            <w:pPr>
              <w:rPr>
                <w:rFonts w:ascii="Arial" w:hAnsi="Arial" w:cs="Arial"/>
                <w:sz w:val="20"/>
                <w:szCs w:val="20"/>
                <w:lang w:val="en-US"/>
              </w:rPr>
            </w:pPr>
          </w:p>
        </w:tc>
        <w:tc>
          <w:tcPr>
            <w:tcW w:w="2835" w:type="dxa"/>
          </w:tcPr>
          <w:p w:rsidR="007B600B" w:rsidRPr="007B600B" w:rsidRDefault="007B600B" w:rsidP="007B600B">
            <w:pPr>
              <w:rPr>
                <w:rFonts w:ascii="Arial" w:hAnsi="Arial" w:cs="Arial"/>
                <w:sz w:val="20"/>
                <w:szCs w:val="20"/>
                <w:lang w:val="en-US"/>
              </w:rPr>
            </w:pPr>
            <w:r w:rsidRPr="007B600B">
              <w:rPr>
                <w:rFonts w:ascii="Arial" w:hAnsi="Arial" w:cs="Arial"/>
                <w:sz w:val="20"/>
                <w:szCs w:val="20"/>
                <w:lang w:val="en-US"/>
              </w:rPr>
              <w:t>Comcare provides advice on merits of objections.</w:t>
            </w:r>
          </w:p>
        </w:tc>
      </w:tr>
    </w:tbl>
    <w:p w:rsidR="007B600B" w:rsidRPr="007B600B" w:rsidRDefault="007B600B" w:rsidP="007B600B">
      <w:pPr>
        <w:rPr>
          <w:rFonts w:ascii="Times" w:hAnsi="Times"/>
          <w:szCs w:val="20"/>
          <w:lang w:val="en-US"/>
        </w:rPr>
        <w:sectPr w:rsidR="007B600B" w:rsidRPr="007B600B" w:rsidSect="000D7C1C">
          <w:headerReference w:type="default" r:id="rId47"/>
          <w:pgSz w:w="11906" w:h="16838" w:code="9"/>
          <w:pgMar w:top="1440" w:right="1440" w:bottom="1440" w:left="1440" w:header="360" w:footer="297" w:gutter="0"/>
          <w:cols w:space="708"/>
          <w:docGrid w:linePitch="360"/>
        </w:sectPr>
      </w:pPr>
    </w:p>
    <w:p w:rsidR="007B600B" w:rsidRPr="007B600B" w:rsidRDefault="007B600B" w:rsidP="007B600B">
      <w:pPr>
        <w:rPr>
          <w:rFonts w:ascii="Times" w:hAnsi="Times"/>
          <w:szCs w:val="20"/>
          <w:lang w:val="en-US"/>
        </w:rPr>
      </w:pPr>
    </w:p>
    <w:tbl>
      <w:tblPr>
        <w:tblW w:w="9498"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2269"/>
        <w:gridCol w:w="1701"/>
        <w:gridCol w:w="2693"/>
        <w:gridCol w:w="2835"/>
      </w:tblGrid>
      <w:tr w:rsidR="007B600B" w:rsidRPr="007B600B" w:rsidTr="000D7C1C">
        <w:trPr>
          <w:tblHeader/>
        </w:trPr>
        <w:tc>
          <w:tcPr>
            <w:tcW w:w="2269" w:type="dxa"/>
            <w:shd w:val="clear" w:color="auto" w:fill="E6E6E6"/>
            <w:vAlign w:val="center"/>
          </w:tcPr>
          <w:p w:rsidR="007B600B" w:rsidRPr="007B600B" w:rsidRDefault="007B600B" w:rsidP="007B600B">
            <w:pPr>
              <w:rPr>
                <w:rFonts w:ascii="Arial" w:hAnsi="Arial" w:cs="Arial"/>
                <w:b/>
                <w:sz w:val="20"/>
                <w:szCs w:val="20"/>
                <w:lang w:val="en-US"/>
              </w:rPr>
            </w:pPr>
            <w:r w:rsidRPr="007B600B">
              <w:rPr>
                <w:rFonts w:ascii="Arial" w:hAnsi="Arial" w:cs="Arial"/>
                <w:b/>
                <w:sz w:val="20"/>
                <w:szCs w:val="20"/>
                <w:lang w:val="en-US"/>
              </w:rPr>
              <w:t>WHS Act</w:t>
            </w:r>
          </w:p>
          <w:p w:rsidR="007B600B" w:rsidRPr="007B600B" w:rsidRDefault="007B600B" w:rsidP="007B600B">
            <w:pPr>
              <w:rPr>
                <w:rFonts w:ascii="Arial" w:hAnsi="Arial" w:cs="Arial"/>
                <w:b/>
                <w:sz w:val="20"/>
                <w:szCs w:val="20"/>
                <w:lang w:val="en-US"/>
              </w:rPr>
            </w:pPr>
            <w:r w:rsidRPr="007B600B">
              <w:rPr>
                <w:rFonts w:ascii="Arial" w:hAnsi="Arial" w:cs="Arial"/>
                <w:b/>
                <w:sz w:val="20"/>
                <w:szCs w:val="20"/>
                <w:lang w:val="en-US"/>
              </w:rPr>
              <w:t>Major function</w:t>
            </w:r>
          </w:p>
        </w:tc>
        <w:tc>
          <w:tcPr>
            <w:tcW w:w="1701" w:type="dxa"/>
            <w:shd w:val="clear" w:color="auto" w:fill="E6E6E6"/>
            <w:vAlign w:val="center"/>
          </w:tcPr>
          <w:p w:rsidR="007B600B" w:rsidRPr="007B600B" w:rsidRDefault="007B600B" w:rsidP="007B600B">
            <w:pPr>
              <w:rPr>
                <w:rFonts w:ascii="Arial" w:hAnsi="Arial" w:cs="Arial"/>
                <w:b/>
                <w:sz w:val="20"/>
                <w:szCs w:val="20"/>
                <w:lang w:val="en-US"/>
              </w:rPr>
            </w:pPr>
            <w:r w:rsidRPr="007B600B">
              <w:rPr>
                <w:rFonts w:ascii="Arial" w:hAnsi="Arial" w:cs="Arial"/>
                <w:b/>
                <w:sz w:val="20"/>
                <w:szCs w:val="20"/>
                <w:lang w:val="en-US"/>
              </w:rPr>
              <w:t>WHS Act</w:t>
            </w:r>
          </w:p>
          <w:p w:rsidR="007B600B" w:rsidRPr="007B600B" w:rsidRDefault="007B600B" w:rsidP="007B600B">
            <w:pPr>
              <w:rPr>
                <w:rFonts w:ascii="Arial" w:hAnsi="Arial" w:cs="Arial"/>
                <w:b/>
                <w:sz w:val="20"/>
                <w:szCs w:val="20"/>
                <w:lang w:val="en-US"/>
              </w:rPr>
            </w:pPr>
            <w:r w:rsidRPr="007B600B">
              <w:rPr>
                <w:rFonts w:ascii="Arial" w:hAnsi="Arial" w:cs="Arial"/>
                <w:b/>
                <w:sz w:val="20"/>
                <w:szCs w:val="20"/>
                <w:lang w:val="en-US"/>
              </w:rPr>
              <w:t>Legislation reference</w:t>
            </w:r>
          </w:p>
        </w:tc>
        <w:tc>
          <w:tcPr>
            <w:tcW w:w="2693" w:type="dxa"/>
            <w:shd w:val="clear" w:color="auto" w:fill="E6E6E6"/>
            <w:vAlign w:val="center"/>
          </w:tcPr>
          <w:p w:rsidR="007B600B" w:rsidRPr="007B600B" w:rsidRDefault="007B600B" w:rsidP="007B600B">
            <w:pPr>
              <w:rPr>
                <w:rFonts w:ascii="Arial" w:hAnsi="Arial" w:cs="Arial"/>
                <w:b/>
                <w:sz w:val="20"/>
                <w:szCs w:val="20"/>
                <w:lang w:val="en-US"/>
              </w:rPr>
            </w:pPr>
            <w:r w:rsidRPr="007B600B">
              <w:rPr>
                <w:rFonts w:ascii="Arial" w:hAnsi="Arial" w:cs="Arial"/>
                <w:b/>
                <w:sz w:val="20"/>
                <w:szCs w:val="20"/>
                <w:lang w:val="en-US"/>
              </w:rPr>
              <w:t>How the SRCC exercises function</w:t>
            </w:r>
          </w:p>
        </w:tc>
        <w:tc>
          <w:tcPr>
            <w:tcW w:w="2835" w:type="dxa"/>
            <w:shd w:val="clear" w:color="auto" w:fill="E6E6E6"/>
          </w:tcPr>
          <w:p w:rsidR="007B600B" w:rsidRPr="007B600B" w:rsidRDefault="007B600B" w:rsidP="007B600B">
            <w:pPr>
              <w:rPr>
                <w:rFonts w:ascii="Arial" w:hAnsi="Arial" w:cs="Arial"/>
                <w:b/>
                <w:sz w:val="20"/>
                <w:szCs w:val="20"/>
                <w:lang w:val="en-US"/>
              </w:rPr>
            </w:pPr>
            <w:r w:rsidRPr="007B600B">
              <w:rPr>
                <w:rFonts w:ascii="Arial" w:hAnsi="Arial" w:cs="Arial"/>
                <w:b/>
                <w:sz w:val="20"/>
                <w:szCs w:val="20"/>
                <w:lang w:val="en-US"/>
              </w:rPr>
              <w:t>How Comcare assists exercise of function</w:t>
            </w:r>
          </w:p>
        </w:tc>
      </w:tr>
      <w:tr w:rsidR="007B600B" w:rsidRPr="007B600B" w:rsidTr="000D7C1C">
        <w:tblPrEx>
          <w:tblBorders>
            <w:insideH w:val="single" w:sz="4" w:space="0" w:color="auto"/>
          </w:tblBorders>
          <w:tblLook w:val="01E0" w:firstRow="1" w:lastRow="1" w:firstColumn="1" w:lastColumn="1" w:noHBand="0" w:noVBand="0"/>
        </w:tblPrEx>
        <w:tc>
          <w:tcPr>
            <w:tcW w:w="2269" w:type="dxa"/>
            <w:shd w:val="clear" w:color="auto" w:fill="auto"/>
          </w:tcPr>
          <w:p w:rsidR="007B600B" w:rsidRPr="007B600B" w:rsidRDefault="007B600B" w:rsidP="007B600B">
            <w:pPr>
              <w:spacing w:before="100" w:beforeAutospacing="1" w:after="100" w:afterAutospacing="1"/>
              <w:rPr>
                <w:rFonts w:ascii="Arial" w:hAnsi="Arial" w:cs="Arial"/>
                <w:sz w:val="20"/>
                <w:szCs w:val="19"/>
              </w:rPr>
            </w:pPr>
            <w:r w:rsidRPr="007B600B">
              <w:rPr>
                <w:rFonts w:ascii="Arial" w:hAnsi="Arial" w:cs="Arial"/>
                <w:sz w:val="20"/>
                <w:szCs w:val="19"/>
              </w:rPr>
              <w:t>(a) to advise the Minister on the administration of this Act</w:t>
            </w:r>
          </w:p>
        </w:tc>
        <w:tc>
          <w:tcPr>
            <w:tcW w:w="1701" w:type="dxa"/>
            <w:shd w:val="clear" w:color="auto" w:fill="auto"/>
          </w:tcPr>
          <w:p w:rsidR="007B600B" w:rsidRPr="007B600B" w:rsidRDefault="007B600B" w:rsidP="007B600B">
            <w:pPr>
              <w:rPr>
                <w:rFonts w:ascii="Arial" w:hAnsi="Arial" w:cs="Arial"/>
                <w:sz w:val="20"/>
                <w:szCs w:val="20"/>
                <w:lang w:val="en-US"/>
              </w:rPr>
            </w:pPr>
            <w:r w:rsidRPr="007B600B">
              <w:rPr>
                <w:rFonts w:ascii="Arial" w:hAnsi="Arial" w:cs="Arial"/>
                <w:sz w:val="20"/>
                <w:szCs w:val="20"/>
                <w:lang w:val="en-US"/>
              </w:rPr>
              <w:t>WHS Act</w:t>
            </w:r>
          </w:p>
          <w:p w:rsidR="007B600B" w:rsidRPr="007B600B" w:rsidRDefault="007B600B" w:rsidP="007B600B">
            <w:pPr>
              <w:rPr>
                <w:rFonts w:ascii="Arial" w:hAnsi="Arial" w:cs="Arial"/>
                <w:sz w:val="20"/>
                <w:szCs w:val="20"/>
                <w:lang w:val="en-US"/>
              </w:rPr>
            </w:pPr>
            <w:r w:rsidRPr="007B600B">
              <w:rPr>
                <w:rFonts w:ascii="Arial" w:hAnsi="Arial" w:cs="Arial"/>
                <w:sz w:val="20"/>
                <w:szCs w:val="20"/>
                <w:lang w:val="en-US"/>
              </w:rPr>
              <w:t>Schedule 2, Part 2, 2(a)</w:t>
            </w:r>
          </w:p>
        </w:tc>
        <w:tc>
          <w:tcPr>
            <w:tcW w:w="2693" w:type="dxa"/>
            <w:shd w:val="clear" w:color="auto" w:fill="auto"/>
          </w:tcPr>
          <w:p w:rsidR="007B600B" w:rsidRPr="007B600B" w:rsidRDefault="007B600B" w:rsidP="007B600B">
            <w:pPr>
              <w:rPr>
                <w:rFonts w:ascii="Arial" w:hAnsi="Arial" w:cs="Arial"/>
                <w:sz w:val="20"/>
                <w:szCs w:val="20"/>
                <w:lang w:val="en-US"/>
              </w:rPr>
            </w:pPr>
            <w:r w:rsidRPr="007B600B">
              <w:rPr>
                <w:rFonts w:ascii="Arial" w:hAnsi="Arial" w:cs="Arial"/>
                <w:sz w:val="20"/>
                <w:szCs w:val="20"/>
                <w:lang w:val="en-US"/>
              </w:rPr>
              <w:t>Quarterly report to Minister</w:t>
            </w:r>
          </w:p>
        </w:tc>
        <w:tc>
          <w:tcPr>
            <w:tcW w:w="2835" w:type="dxa"/>
          </w:tcPr>
          <w:p w:rsidR="007B600B" w:rsidRPr="007B600B" w:rsidRDefault="007B600B" w:rsidP="007B600B">
            <w:pPr>
              <w:rPr>
                <w:rFonts w:ascii="Arial" w:hAnsi="Arial" w:cs="Arial"/>
                <w:sz w:val="20"/>
                <w:szCs w:val="20"/>
                <w:lang w:val="en-US"/>
              </w:rPr>
            </w:pPr>
            <w:r w:rsidRPr="007B600B">
              <w:rPr>
                <w:rFonts w:ascii="Arial" w:hAnsi="Arial" w:cs="Arial"/>
                <w:sz w:val="20"/>
                <w:szCs w:val="20"/>
                <w:lang w:val="en-US"/>
              </w:rPr>
              <w:t>Comcare drafts advice based on SRCC’s views.</w:t>
            </w:r>
          </w:p>
          <w:p w:rsidR="007B600B" w:rsidRPr="007B600B" w:rsidRDefault="007B600B" w:rsidP="007B600B">
            <w:pPr>
              <w:rPr>
                <w:rFonts w:ascii="Arial" w:hAnsi="Arial" w:cs="Arial"/>
                <w:sz w:val="20"/>
                <w:szCs w:val="20"/>
                <w:lang w:val="en-US"/>
              </w:rPr>
            </w:pPr>
          </w:p>
          <w:p w:rsidR="007B600B" w:rsidRPr="007B600B" w:rsidRDefault="007B600B" w:rsidP="007B600B">
            <w:pPr>
              <w:rPr>
                <w:rFonts w:ascii="Arial" w:hAnsi="Arial" w:cs="Arial"/>
                <w:sz w:val="20"/>
                <w:szCs w:val="20"/>
                <w:lang w:val="en-US"/>
              </w:rPr>
            </w:pPr>
            <w:r w:rsidRPr="007B600B">
              <w:rPr>
                <w:rFonts w:ascii="Arial" w:hAnsi="Arial" w:cs="Arial"/>
                <w:sz w:val="20"/>
                <w:szCs w:val="20"/>
                <w:lang w:val="en-US"/>
              </w:rPr>
              <w:t>Comcare provides research and analysis about the operations of the Act to the SRCC.</w:t>
            </w:r>
          </w:p>
          <w:p w:rsidR="007B600B" w:rsidRPr="007B600B" w:rsidRDefault="007B600B" w:rsidP="007B600B">
            <w:pPr>
              <w:rPr>
                <w:rFonts w:ascii="Arial" w:hAnsi="Arial" w:cs="Arial"/>
                <w:sz w:val="20"/>
                <w:szCs w:val="20"/>
                <w:lang w:val="en-US"/>
              </w:rPr>
            </w:pPr>
          </w:p>
        </w:tc>
      </w:tr>
      <w:tr w:rsidR="007B600B" w:rsidRPr="007B600B" w:rsidTr="000D7C1C">
        <w:tblPrEx>
          <w:tblBorders>
            <w:insideH w:val="single" w:sz="4" w:space="0" w:color="auto"/>
          </w:tblBorders>
          <w:tblLook w:val="01E0" w:firstRow="1" w:lastRow="1" w:firstColumn="1" w:lastColumn="1" w:noHBand="0" w:noVBand="0"/>
        </w:tblPrEx>
        <w:tc>
          <w:tcPr>
            <w:tcW w:w="2269" w:type="dxa"/>
            <w:shd w:val="clear" w:color="auto" w:fill="auto"/>
          </w:tcPr>
          <w:p w:rsidR="007B600B" w:rsidRPr="007B600B" w:rsidRDefault="007B600B" w:rsidP="007B600B">
            <w:pPr>
              <w:tabs>
                <w:tab w:val="left" w:pos="567"/>
              </w:tabs>
              <w:ind w:right="-58"/>
              <w:rPr>
                <w:rFonts w:ascii="Arial" w:hAnsi="Arial"/>
                <w:sz w:val="20"/>
                <w:szCs w:val="26"/>
                <w:lang w:val="en-US"/>
              </w:rPr>
            </w:pPr>
            <w:r w:rsidRPr="007B600B">
              <w:rPr>
                <w:rFonts w:ascii="Arial" w:hAnsi="Arial"/>
                <w:sz w:val="20"/>
                <w:szCs w:val="26"/>
                <w:lang w:val="en-US"/>
              </w:rPr>
              <w:t>(b) to advise and make recommendations to the Minister on the most effective means of giving effect to the objects of this Act</w:t>
            </w:r>
          </w:p>
          <w:p w:rsidR="007B600B" w:rsidRPr="007B600B" w:rsidRDefault="007B600B" w:rsidP="007B600B">
            <w:pPr>
              <w:tabs>
                <w:tab w:val="left" w:pos="567"/>
              </w:tabs>
              <w:ind w:right="-58"/>
              <w:rPr>
                <w:rFonts w:ascii="Arial" w:hAnsi="Arial"/>
                <w:sz w:val="20"/>
                <w:szCs w:val="26"/>
                <w:lang w:val="en-US"/>
              </w:rPr>
            </w:pPr>
          </w:p>
        </w:tc>
        <w:tc>
          <w:tcPr>
            <w:tcW w:w="1701" w:type="dxa"/>
            <w:shd w:val="clear" w:color="auto" w:fill="auto"/>
          </w:tcPr>
          <w:p w:rsidR="007B600B" w:rsidRPr="007B600B" w:rsidRDefault="007B600B" w:rsidP="007B600B">
            <w:pPr>
              <w:rPr>
                <w:rFonts w:ascii="Arial" w:hAnsi="Arial" w:cs="Arial"/>
                <w:sz w:val="20"/>
                <w:szCs w:val="20"/>
                <w:lang w:val="en-US"/>
              </w:rPr>
            </w:pPr>
            <w:r w:rsidRPr="007B600B">
              <w:rPr>
                <w:rFonts w:ascii="Arial" w:hAnsi="Arial" w:cs="Arial"/>
                <w:sz w:val="20"/>
                <w:szCs w:val="20"/>
                <w:lang w:val="en-US"/>
              </w:rPr>
              <w:t>WHS Act</w:t>
            </w:r>
          </w:p>
          <w:p w:rsidR="007B600B" w:rsidRPr="007B600B" w:rsidRDefault="007B600B" w:rsidP="007B600B">
            <w:pPr>
              <w:tabs>
                <w:tab w:val="left" w:pos="567"/>
              </w:tabs>
              <w:ind w:right="-58"/>
              <w:rPr>
                <w:rFonts w:ascii="Arial" w:hAnsi="Arial"/>
                <w:sz w:val="20"/>
                <w:szCs w:val="26"/>
                <w:lang w:val="en-US"/>
              </w:rPr>
            </w:pPr>
            <w:r w:rsidRPr="007B600B">
              <w:rPr>
                <w:rFonts w:ascii="Arial" w:hAnsi="Arial" w:cs="Arial"/>
                <w:sz w:val="20"/>
                <w:szCs w:val="20"/>
                <w:lang w:val="en-US"/>
              </w:rPr>
              <w:t>Schedule 2, Part 2, 2(b)</w:t>
            </w:r>
          </w:p>
        </w:tc>
        <w:tc>
          <w:tcPr>
            <w:tcW w:w="2693" w:type="dxa"/>
            <w:shd w:val="clear" w:color="auto" w:fill="auto"/>
          </w:tcPr>
          <w:p w:rsidR="007B600B" w:rsidRPr="007B600B" w:rsidRDefault="007B600B" w:rsidP="007B600B">
            <w:pPr>
              <w:rPr>
                <w:rFonts w:ascii="Arial" w:hAnsi="Arial" w:cs="Arial"/>
                <w:sz w:val="20"/>
                <w:szCs w:val="20"/>
                <w:lang w:val="en-US"/>
              </w:rPr>
            </w:pPr>
            <w:r w:rsidRPr="007B600B">
              <w:rPr>
                <w:rFonts w:ascii="Arial" w:hAnsi="Arial" w:cs="Arial"/>
                <w:sz w:val="20"/>
                <w:szCs w:val="20"/>
                <w:lang w:val="en-US"/>
              </w:rPr>
              <w:t>Oversight of Comcare’s regulatory functions</w:t>
            </w:r>
          </w:p>
        </w:tc>
        <w:tc>
          <w:tcPr>
            <w:tcW w:w="2835" w:type="dxa"/>
          </w:tcPr>
          <w:p w:rsidR="007B600B" w:rsidRPr="007B600B" w:rsidRDefault="007B600B" w:rsidP="007B600B">
            <w:pPr>
              <w:rPr>
                <w:rFonts w:ascii="Arial" w:hAnsi="Arial" w:cs="Arial"/>
                <w:sz w:val="20"/>
                <w:szCs w:val="20"/>
                <w:lang w:val="en-US"/>
              </w:rPr>
            </w:pPr>
            <w:r w:rsidRPr="007B600B">
              <w:rPr>
                <w:rFonts w:ascii="Arial" w:hAnsi="Arial" w:cs="Arial"/>
                <w:sz w:val="20"/>
                <w:szCs w:val="20"/>
                <w:lang w:val="en-US"/>
              </w:rPr>
              <w:t>Comcare drafts advice based on SRCC’s views.</w:t>
            </w:r>
          </w:p>
          <w:p w:rsidR="007B600B" w:rsidRPr="007B600B" w:rsidRDefault="007B600B" w:rsidP="007B600B">
            <w:pPr>
              <w:rPr>
                <w:rFonts w:ascii="Arial" w:hAnsi="Arial" w:cs="Arial"/>
                <w:sz w:val="20"/>
                <w:szCs w:val="20"/>
                <w:lang w:val="en-US"/>
              </w:rPr>
            </w:pPr>
          </w:p>
          <w:p w:rsidR="007B600B" w:rsidRPr="007B600B" w:rsidRDefault="007B600B" w:rsidP="007B600B">
            <w:pPr>
              <w:rPr>
                <w:rFonts w:ascii="Arial" w:hAnsi="Arial" w:cs="Arial"/>
                <w:sz w:val="20"/>
                <w:szCs w:val="20"/>
                <w:lang w:val="en-US"/>
              </w:rPr>
            </w:pPr>
            <w:r w:rsidRPr="007B600B">
              <w:rPr>
                <w:rFonts w:ascii="Arial" w:hAnsi="Arial" w:cs="Arial"/>
                <w:sz w:val="20"/>
                <w:szCs w:val="20"/>
                <w:lang w:val="en-US"/>
              </w:rPr>
              <w:t>Comcare provides research and analysis about the operations of the Act to the SRCC.</w:t>
            </w:r>
          </w:p>
        </w:tc>
      </w:tr>
      <w:tr w:rsidR="007B600B" w:rsidRPr="007B600B" w:rsidTr="000D7C1C">
        <w:tblPrEx>
          <w:tblBorders>
            <w:insideH w:val="single" w:sz="4" w:space="0" w:color="auto"/>
          </w:tblBorders>
          <w:tblLook w:val="01E0" w:firstRow="1" w:lastRow="1" w:firstColumn="1" w:lastColumn="1" w:noHBand="0" w:noVBand="0"/>
        </w:tblPrEx>
        <w:tc>
          <w:tcPr>
            <w:tcW w:w="2269" w:type="dxa"/>
            <w:shd w:val="clear" w:color="auto" w:fill="auto"/>
          </w:tcPr>
          <w:p w:rsidR="007B600B" w:rsidRPr="007B600B" w:rsidRDefault="007B600B" w:rsidP="007B600B">
            <w:pPr>
              <w:tabs>
                <w:tab w:val="left" w:pos="567"/>
              </w:tabs>
              <w:ind w:right="-58"/>
              <w:rPr>
                <w:rFonts w:ascii="Arial" w:hAnsi="Arial"/>
                <w:sz w:val="20"/>
                <w:szCs w:val="26"/>
                <w:lang w:val="en-US"/>
              </w:rPr>
            </w:pPr>
            <w:r w:rsidRPr="007B600B">
              <w:rPr>
                <w:rFonts w:ascii="Arial" w:hAnsi="Arial"/>
                <w:sz w:val="20"/>
                <w:szCs w:val="26"/>
                <w:lang w:val="en-US"/>
              </w:rPr>
              <w:t>(c) to enquire into and make recommendations to the Minister on any matter relating to work health and safety referred to the SRCC by the Minister</w:t>
            </w:r>
          </w:p>
          <w:p w:rsidR="007B600B" w:rsidRPr="007B600B" w:rsidRDefault="007B600B" w:rsidP="007B600B">
            <w:pPr>
              <w:tabs>
                <w:tab w:val="left" w:pos="567"/>
              </w:tabs>
              <w:ind w:right="-58"/>
              <w:rPr>
                <w:rFonts w:ascii="Arial" w:hAnsi="Arial"/>
                <w:sz w:val="20"/>
                <w:szCs w:val="26"/>
                <w:lang w:val="en-US"/>
              </w:rPr>
            </w:pPr>
          </w:p>
        </w:tc>
        <w:tc>
          <w:tcPr>
            <w:tcW w:w="1701" w:type="dxa"/>
            <w:shd w:val="clear" w:color="auto" w:fill="auto"/>
          </w:tcPr>
          <w:p w:rsidR="007B600B" w:rsidRPr="007B600B" w:rsidRDefault="007B600B" w:rsidP="007B600B">
            <w:pPr>
              <w:rPr>
                <w:rFonts w:ascii="Arial" w:hAnsi="Arial" w:cs="Arial"/>
                <w:sz w:val="20"/>
                <w:szCs w:val="20"/>
                <w:lang w:val="en-US"/>
              </w:rPr>
            </w:pPr>
            <w:r w:rsidRPr="007B600B">
              <w:rPr>
                <w:rFonts w:ascii="Arial" w:hAnsi="Arial" w:cs="Arial"/>
                <w:sz w:val="20"/>
                <w:szCs w:val="20"/>
                <w:lang w:val="en-US"/>
              </w:rPr>
              <w:t>WHS Act</w:t>
            </w:r>
          </w:p>
          <w:p w:rsidR="007B600B" w:rsidRPr="007B600B" w:rsidRDefault="007B600B" w:rsidP="007B600B">
            <w:pPr>
              <w:tabs>
                <w:tab w:val="left" w:pos="567"/>
              </w:tabs>
              <w:ind w:right="-58"/>
              <w:rPr>
                <w:rFonts w:ascii="Arial" w:hAnsi="Arial"/>
                <w:sz w:val="20"/>
                <w:szCs w:val="26"/>
                <w:lang w:val="en-US"/>
              </w:rPr>
            </w:pPr>
            <w:r w:rsidRPr="007B600B">
              <w:rPr>
                <w:rFonts w:ascii="Arial" w:hAnsi="Arial" w:cs="Arial"/>
                <w:sz w:val="20"/>
                <w:szCs w:val="20"/>
                <w:lang w:val="en-US"/>
              </w:rPr>
              <w:t>Schedule 2, Part 2, 2(c)</w:t>
            </w:r>
          </w:p>
        </w:tc>
        <w:tc>
          <w:tcPr>
            <w:tcW w:w="2693" w:type="dxa"/>
            <w:shd w:val="clear" w:color="auto" w:fill="auto"/>
          </w:tcPr>
          <w:p w:rsidR="007B600B" w:rsidRPr="007B600B" w:rsidRDefault="007B600B" w:rsidP="007B600B">
            <w:pPr>
              <w:rPr>
                <w:rFonts w:ascii="Arial" w:hAnsi="Arial" w:cs="Arial"/>
                <w:sz w:val="20"/>
                <w:szCs w:val="20"/>
                <w:lang w:val="en-US"/>
              </w:rPr>
            </w:pPr>
            <w:r w:rsidRPr="007B600B">
              <w:rPr>
                <w:rFonts w:ascii="Arial" w:hAnsi="Arial" w:cs="Arial"/>
                <w:sz w:val="20"/>
                <w:szCs w:val="20"/>
                <w:lang w:val="en-US"/>
              </w:rPr>
              <w:t>Respond to any WHS matters referred by the Minister</w:t>
            </w:r>
          </w:p>
        </w:tc>
        <w:tc>
          <w:tcPr>
            <w:tcW w:w="2835" w:type="dxa"/>
          </w:tcPr>
          <w:p w:rsidR="007B600B" w:rsidRPr="007B600B" w:rsidRDefault="007B600B" w:rsidP="007B600B">
            <w:pPr>
              <w:rPr>
                <w:rFonts w:ascii="Arial" w:hAnsi="Arial" w:cs="Arial"/>
                <w:sz w:val="20"/>
                <w:szCs w:val="20"/>
                <w:lang w:val="en-US"/>
              </w:rPr>
            </w:pPr>
            <w:r w:rsidRPr="007B600B">
              <w:rPr>
                <w:rFonts w:ascii="Arial" w:hAnsi="Arial" w:cs="Arial"/>
                <w:sz w:val="20"/>
                <w:szCs w:val="20"/>
                <w:lang w:val="en-US"/>
              </w:rPr>
              <w:t>Comcare drafts advice based on SRCC’s views.</w:t>
            </w:r>
          </w:p>
          <w:p w:rsidR="007B600B" w:rsidRPr="007B600B" w:rsidRDefault="007B600B" w:rsidP="007B600B">
            <w:pPr>
              <w:rPr>
                <w:rFonts w:ascii="Arial" w:hAnsi="Arial" w:cs="Arial"/>
                <w:sz w:val="20"/>
                <w:szCs w:val="20"/>
                <w:lang w:val="en-US"/>
              </w:rPr>
            </w:pPr>
          </w:p>
          <w:p w:rsidR="007B600B" w:rsidRPr="007B600B" w:rsidRDefault="007B600B" w:rsidP="007B600B">
            <w:pPr>
              <w:rPr>
                <w:rFonts w:ascii="Arial" w:hAnsi="Arial" w:cs="Arial"/>
                <w:sz w:val="20"/>
                <w:szCs w:val="20"/>
                <w:lang w:val="en-US"/>
              </w:rPr>
            </w:pPr>
            <w:r w:rsidRPr="007B600B">
              <w:rPr>
                <w:rFonts w:ascii="Arial" w:hAnsi="Arial" w:cs="Arial"/>
                <w:sz w:val="20"/>
                <w:szCs w:val="20"/>
                <w:lang w:val="en-US"/>
              </w:rPr>
              <w:t>Comcare provides advice to SRCC.</w:t>
            </w:r>
          </w:p>
        </w:tc>
      </w:tr>
      <w:tr w:rsidR="007B600B" w:rsidRPr="007B600B" w:rsidTr="000D7C1C">
        <w:tblPrEx>
          <w:tblBorders>
            <w:insideH w:val="single" w:sz="4" w:space="0" w:color="auto"/>
          </w:tblBorders>
          <w:tblLook w:val="01E0" w:firstRow="1" w:lastRow="1" w:firstColumn="1" w:lastColumn="1" w:noHBand="0" w:noVBand="0"/>
        </w:tblPrEx>
        <w:tc>
          <w:tcPr>
            <w:tcW w:w="2269" w:type="dxa"/>
            <w:shd w:val="clear" w:color="auto" w:fill="auto"/>
          </w:tcPr>
          <w:p w:rsidR="007B600B" w:rsidRPr="007B600B" w:rsidRDefault="007B600B" w:rsidP="007B600B">
            <w:pPr>
              <w:tabs>
                <w:tab w:val="left" w:pos="567"/>
              </w:tabs>
              <w:ind w:right="-58"/>
              <w:rPr>
                <w:rFonts w:ascii="Arial" w:hAnsi="Arial"/>
                <w:sz w:val="20"/>
                <w:szCs w:val="26"/>
                <w:lang w:val="en-US"/>
              </w:rPr>
            </w:pPr>
            <w:r w:rsidRPr="007B600B">
              <w:rPr>
                <w:rFonts w:ascii="Arial" w:hAnsi="Arial"/>
                <w:sz w:val="20"/>
                <w:szCs w:val="26"/>
                <w:lang w:val="en-US"/>
              </w:rPr>
              <w:t xml:space="preserve">(d) </w:t>
            </w:r>
            <w:proofErr w:type="gramStart"/>
            <w:r w:rsidRPr="007B600B">
              <w:rPr>
                <w:rFonts w:ascii="Arial" w:hAnsi="Arial"/>
                <w:sz w:val="20"/>
                <w:szCs w:val="26"/>
                <w:lang w:val="en-US"/>
              </w:rPr>
              <w:t>to</w:t>
            </w:r>
            <w:proofErr w:type="gramEnd"/>
            <w:r w:rsidRPr="007B600B">
              <w:rPr>
                <w:rFonts w:ascii="Arial" w:hAnsi="Arial"/>
                <w:sz w:val="20"/>
                <w:szCs w:val="26"/>
                <w:lang w:val="en-US"/>
              </w:rPr>
              <w:t xml:space="preserve"> provide a forum for consultation between Comcare and persons conducting businesses or undertakings, workers and the bodies that represent them.</w:t>
            </w:r>
          </w:p>
          <w:p w:rsidR="007B600B" w:rsidRPr="007B600B" w:rsidRDefault="007B600B" w:rsidP="007B600B">
            <w:pPr>
              <w:tabs>
                <w:tab w:val="left" w:pos="567"/>
              </w:tabs>
              <w:ind w:right="-58"/>
              <w:rPr>
                <w:rFonts w:ascii="Arial" w:hAnsi="Arial"/>
                <w:sz w:val="20"/>
                <w:szCs w:val="26"/>
                <w:lang w:val="en-US"/>
              </w:rPr>
            </w:pPr>
          </w:p>
        </w:tc>
        <w:tc>
          <w:tcPr>
            <w:tcW w:w="1701" w:type="dxa"/>
            <w:shd w:val="clear" w:color="auto" w:fill="auto"/>
          </w:tcPr>
          <w:p w:rsidR="007B600B" w:rsidRPr="007B600B" w:rsidRDefault="007B600B" w:rsidP="007B600B">
            <w:pPr>
              <w:rPr>
                <w:rFonts w:ascii="Arial" w:hAnsi="Arial" w:cs="Arial"/>
                <w:sz w:val="20"/>
                <w:szCs w:val="20"/>
                <w:lang w:val="en-US"/>
              </w:rPr>
            </w:pPr>
            <w:r w:rsidRPr="007B600B">
              <w:rPr>
                <w:rFonts w:ascii="Arial" w:hAnsi="Arial" w:cs="Arial"/>
                <w:sz w:val="20"/>
                <w:szCs w:val="20"/>
                <w:lang w:val="en-US"/>
              </w:rPr>
              <w:t>WHS Act</w:t>
            </w:r>
          </w:p>
          <w:p w:rsidR="007B600B" w:rsidRPr="007B600B" w:rsidRDefault="007B600B" w:rsidP="007B600B">
            <w:pPr>
              <w:rPr>
                <w:rFonts w:ascii="Arial" w:hAnsi="Arial" w:cs="Arial"/>
                <w:sz w:val="20"/>
                <w:szCs w:val="20"/>
                <w:lang w:val="en-US"/>
              </w:rPr>
            </w:pPr>
            <w:r w:rsidRPr="007B600B">
              <w:rPr>
                <w:rFonts w:ascii="Arial" w:hAnsi="Arial" w:cs="Arial"/>
                <w:sz w:val="20"/>
                <w:szCs w:val="20"/>
                <w:lang w:val="en-US"/>
              </w:rPr>
              <w:t>Schedule 2, Part 2, 2(d)</w:t>
            </w:r>
          </w:p>
        </w:tc>
        <w:tc>
          <w:tcPr>
            <w:tcW w:w="2693" w:type="dxa"/>
            <w:shd w:val="clear" w:color="auto" w:fill="auto"/>
          </w:tcPr>
          <w:p w:rsidR="007B600B" w:rsidRPr="007B600B" w:rsidRDefault="007B600B" w:rsidP="007B600B">
            <w:pPr>
              <w:rPr>
                <w:rFonts w:ascii="Arial" w:hAnsi="Arial" w:cs="Arial"/>
                <w:sz w:val="20"/>
                <w:szCs w:val="20"/>
                <w:lang w:val="en-US"/>
              </w:rPr>
            </w:pPr>
            <w:r w:rsidRPr="007B600B">
              <w:rPr>
                <w:rFonts w:ascii="Arial" w:hAnsi="Arial" w:cs="Arial"/>
                <w:sz w:val="20"/>
                <w:szCs w:val="20"/>
                <w:lang w:val="en-US"/>
              </w:rPr>
              <w:t>Acts as a consultative body for Comcare in its role as regulator</w:t>
            </w:r>
          </w:p>
        </w:tc>
        <w:tc>
          <w:tcPr>
            <w:tcW w:w="2835" w:type="dxa"/>
          </w:tcPr>
          <w:p w:rsidR="007B600B" w:rsidRPr="007B600B" w:rsidRDefault="007B600B" w:rsidP="007B600B">
            <w:pPr>
              <w:tabs>
                <w:tab w:val="left" w:pos="1208"/>
              </w:tabs>
              <w:rPr>
                <w:rFonts w:ascii="Arial" w:hAnsi="Arial" w:cs="Arial"/>
                <w:sz w:val="20"/>
                <w:szCs w:val="20"/>
                <w:lang w:val="en-US"/>
              </w:rPr>
            </w:pPr>
            <w:r w:rsidRPr="007B600B">
              <w:rPr>
                <w:rFonts w:ascii="Arial" w:hAnsi="Arial" w:cs="Arial"/>
                <w:sz w:val="20"/>
                <w:szCs w:val="20"/>
                <w:lang w:val="en-US"/>
              </w:rPr>
              <w:t>Comcare seeks SRCC’s views</w:t>
            </w:r>
          </w:p>
        </w:tc>
      </w:tr>
    </w:tbl>
    <w:p w:rsidR="007B600B" w:rsidRPr="007B600B" w:rsidRDefault="007B600B" w:rsidP="007B600B">
      <w:pPr>
        <w:tabs>
          <w:tab w:val="left" w:pos="567"/>
        </w:tabs>
        <w:ind w:right="-58"/>
        <w:rPr>
          <w:sz w:val="26"/>
          <w:szCs w:val="26"/>
          <w:lang w:val="en-US"/>
        </w:rPr>
      </w:pPr>
    </w:p>
    <w:p w:rsidR="007B600B" w:rsidRDefault="007B600B" w:rsidP="00797CEF">
      <w:pPr>
        <w:spacing w:after="120"/>
        <w:rPr>
          <w:rFonts w:ascii="Calibri" w:hAnsi="Calibri" w:cs="Calibri"/>
          <w:sz w:val="22"/>
          <w:szCs w:val="22"/>
        </w:rPr>
        <w:sectPr w:rsidR="007B600B" w:rsidSect="000D7C1C">
          <w:pgSz w:w="11906" w:h="16838"/>
          <w:pgMar w:top="1440" w:right="1440" w:bottom="1440" w:left="1440" w:header="708" w:footer="708" w:gutter="0"/>
          <w:cols w:space="708"/>
          <w:docGrid w:linePitch="360"/>
        </w:sectPr>
      </w:pPr>
    </w:p>
    <w:p w:rsidR="007B600B" w:rsidRPr="008B228F" w:rsidRDefault="008B228F" w:rsidP="008B228F">
      <w:pPr>
        <w:spacing w:before="100" w:beforeAutospacing="1" w:after="100" w:afterAutospacing="1"/>
        <w:outlineLvl w:val="0"/>
        <w:rPr>
          <w:rFonts w:ascii="Arial" w:hAnsi="Arial"/>
          <w:bCs/>
          <w:caps/>
          <w:color w:val="1F497D" w:themeColor="text2"/>
          <w:kern w:val="36"/>
          <w:sz w:val="28"/>
          <w:szCs w:val="28"/>
        </w:rPr>
      </w:pPr>
      <w:bookmarkStart w:id="587" w:name="_Toc341778055"/>
      <w:bookmarkStart w:id="588" w:name="_Toc341780815"/>
      <w:bookmarkStart w:id="589" w:name="_Toc342578428"/>
      <w:r>
        <w:rPr>
          <w:rFonts w:ascii="Arial" w:hAnsi="Arial"/>
          <w:bCs/>
          <w:caps/>
          <w:color w:val="1F497D" w:themeColor="text2"/>
          <w:kern w:val="36"/>
          <w:sz w:val="28"/>
          <w:szCs w:val="28"/>
        </w:rPr>
        <w:lastRenderedPageBreak/>
        <w:t xml:space="preserve">annex d - </w:t>
      </w:r>
      <w:r w:rsidR="007B600B" w:rsidRPr="008B228F">
        <w:rPr>
          <w:rFonts w:ascii="Arial" w:hAnsi="Arial"/>
          <w:bCs/>
          <w:caps/>
          <w:color w:val="1F497D" w:themeColor="text2"/>
          <w:kern w:val="36"/>
          <w:sz w:val="28"/>
          <w:szCs w:val="28"/>
        </w:rPr>
        <w:t>List of Current Licensees</w:t>
      </w:r>
      <w:bookmarkEnd w:id="587"/>
      <w:bookmarkEnd w:id="588"/>
      <w:bookmarkEnd w:id="589"/>
    </w:p>
    <w:p w:rsidR="007B600B" w:rsidRDefault="007B600B" w:rsidP="007B600B">
      <w:pPr>
        <w:shd w:val="clear" w:color="auto" w:fill="FFFFFF"/>
        <w:spacing w:before="100" w:beforeAutospacing="1" w:after="100" w:afterAutospacing="1" w:line="336" w:lineRule="atLeast"/>
        <w:rPr>
          <w:rFonts w:asciiTheme="minorHAnsi" w:hAnsiTheme="minorHAnsi" w:cstheme="minorHAnsi"/>
          <w:color w:val="000000"/>
          <w:sz w:val="22"/>
          <w:szCs w:val="22"/>
        </w:rPr>
      </w:pPr>
      <w:r w:rsidRPr="007B600B">
        <w:rPr>
          <w:rFonts w:asciiTheme="minorHAnsi" w:hAnsiTheme="minorHAnsi" w:cstheme="minorHAnsi"/>
          <w:color w:val="000000"/>
          <w:sz w:val="22"/>
          <w:szCs w:val="22"/>
        </w:rPr>
        <w:t>There are currently 30 licensees under the SRC Act:</w:t>
      </w:r>
    </w:p>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91"/>
        <w:gridCol w:w="1701"/>
        <w:gridCol w:w="1705"/>
        <w:gridCol w:w="1487"/>
      </w:tblGrid>
      <w:tr w:rsidR="009E1E51" w:rsidRPr="009E1E51" w:rsidTr="0035663E">
        <w:tc>
          <w:tcPr>
            <w:tcW w:w="2150" w:type="pct"/>
            <w:vAlign w:val="center"/>
            <w:hideMark/>
          </w:tcPr>
          <w:p w:rsidR="009E1E51" w:rsidRPr="009E1E51" w:rsidRDefault="009E1E51" w:rsidP="0035663E">
            <w:pPr>
              <w:spacing w:after="200" w:line="276" w:lineRule="auto"/>
              <w:jc w:val="center"/>
              <w:rPr>
                <w:rFonts w:ascii="Calibri" w:eastAsia="Calibri" w:hAnsi="Calibri"/>
                <w:b/>
                <w:bCs/>
                <w:lang w:eastAsia="en-US"/>
              </w:rPr>
            </w:pPr>
            <w:r w:rsidRPr="009E1E51">
              <w:rPr>
                <w:rFonts w:ascii="Calibri" w:eastAsia="Calibri" w:hAnsi="Calibri"/>
                <w:b/>
                <w:bCs/>
                <w:sz w:val="22"/>
                <w:szCs w:val="22"/>
                <w:lang w:eastAsia="en-US"/>
              </w:rPr>
              <w:t>Licensee</w:t>
            </w:r>
          </w:p>
        </w:tc>
        <w:tc>
          <w:tcPr>
            <w:tcW w:w="991" w:type="pct"/>
            <w:vAlign w:val="center"/>
            <w:hideMark/>
          </w:tcPr>
          <w:p w:rsidR="009E1E51" w:rsidRPr="009E1E51" w:rsidRDefault="009E1E51" w:rsidP="0035663E">
            <w:pPr>
              <w:spacing w:after="200" w:line="276" w:lineRule="auto"/>
              <w:jc w:val="center"/>
              <w:rPr>
                <w:rFonts w:ascii="Calibri" w:eastAsia="Calibri" w:hAnsi="Calibri"/>
                <w:b/>
                <w:bCs/>
                <w:lang w:eastAsia="en-US"/>
              </w:rPr>
            </w:pPr>
            <w:r w:rsidRPr="009E1E51">
              <w:rPr>
                <w:rFonts w:ascii="Calibri" w:eastAsia="Calibri" w:hAnsi="Calibri"/>
                <w:b/>
                <w:bCs/>
                <w:sz w:val="22"/>
                <w:szCs w:val="22"/>
                <w:lang w:eastAsia="en-US"/>
              </w:rPr>
              <w:t>Former/Trading name</w:t>
            </w:r>
          </w:p>
        </w:tc>
        <w:tc>
          <w:tcPr>
            <w:tcW w:w="993" w:type="pct"/>
            <w:vAlign w:val="center"/>
            <w:hideMark/>
          </w:tcPr>
          <w:p w:rsidR="009E1E51" w:rsidRPr="009E1E51" w:rsidRDefault="009E1E51" w:rsidP="000A5586">
            <w:pPr>
              <w:spacing w:after="200" w:line="276" w:lineRule="auto"/>
              <w:jc w:val="center"/>
              <w:rPr>
                <w:rFonts w:ascii="Calibri" w:eastAsia="Calibri" w:hAnsi="Calibri"/>
                <w:b/>
                <w:bCs/>
                <w:lang w:eastAsia="en-US"/>
              </w:rPr>
            </w:pPr>
            <w:r w:rsidRPr="009E1E51">
              <w:rPr>
                <w:rFonts w:ascii="Calibri" w:eastAsia="Calibri" w:hAnsi="Calibri"/>
                <w:b/>
                <w:bCs/>
                <w:sz w:val="22"/>
                <w:szCs w:val="22"/>
                <w:lang w:eastAsia="en-US"/>
              </w:rPr>
              <w:t>Commencement date of licen</w:t>
            </w:r>
            <w:r w:rsidR="000A5586">
              <w:rPr>
                <w:rFonts w:ascii="Calibri" w:eastAsia="Calibri" w:hAnsi="Calibri"/>
                <w:b/>
                <w:bCs/>
                <w:sz w:val="22"/>
                <w:szCs w:val="22"/>
                <w:lang w:eastAsia="en-US"/>
              </w:rPr>
              <w:t>c</w:t>
            </w:r>
            <w:r w:rsidRPr="009E1E51">
              <w:rPr>
                <w:rFonts w:ascii="Calibri" w:eastAsia="Calibri" w:hAnsi="Calibri"/>
                <w:b/>
                <w:bCs/>
                <w:sz w:val="22"/>
                <w:szCs w:val="22"/>
                <w:lang w:eastAsia="en-US"/>
              </w:rPr>
              <w:t>e</w:t>
            </w:r>
          </w:p>
        </w:tc>
        <w:tc>
          <w:tcPr>
            <w:tcW w:w="866" w:type="pct"/>
            <w:vAlign w:val="center"/>
            <w:hideMark/>
          </w:tcPr>
          <w:p w:rsidR="009E1E51" w:rsidRPr="009E1E51" w:rsidRDefault="009E1E51" w:rsidP="0035663E">
            <w:pPr>
              <w:spacing w:after="200" w:line="276" w:lineRule="auto"/>
              <w:jc w:val="center"/>
              <w:rPr>
                <w:rFonts w:ascii="Calibri" w:eastAsia="Calibri" w:hAnsi="Calibri"/>
                <w:b/>
                <w:bCs/>
                <w:lang w:eastAsia="en-US"/>
              </w:rPr>
            </w:pPr>
            <w:r w:rsidRPr="009E1E51">
              <w:rPr>
                <w:rFonts w:ascii="Calibri" w:eastAsia="Calibri" w:hAnsi="Calibri"/>
                <w:b/>
                <w:bCs/>
                <w:sz w:val="22"/>
                <w:szCs w:val="22"/>
                <w:lang w:eastAsia="en-US"/>
              </w:rPr>
              <w:t xml:space="preserve">Current </w:t>
            </w:r>
            <w:r w:rsidR="000A5586">
              <w:rPr>
                <w:rFonts w:ascii="Calibri" w:eastAsia="Calibri" w:hAnsi="Calibri"/>
                <w:b/>
                <w:bCs/>
                <w:sz w:val="22"/>
                <w:szCs w:val="22"/>
                <w:lang w:eastAsia="en-US"/>
              </w:rPr>
              <w:t>licence</w:t>
            </w:r>
            <w:r w:rsidRPr="009E1E51">
              <w:rPr>
                <w:rFonts w:ascii="Calibri" w:eastAsia="Calibri" w:hAnsi="Calibri"/>
                <w:b/>
                <w:bCs/>
                <w:sz w:val="22"/>
                <w:szCs w:val="22"/>
                <w:lang w:eastAsia="en-US"/>
              </w:rPr>
              <w:t xml:space="preserve"> expiry date</w:t>
            </w:r>
          </w:p>
        </w:tc>
      </w:tr>
      <w:tr w:rsidR="009E1E51" w:rsidRPr="009E1E51" w:rsidTr="0035663E">
        <w:tc>
          <w:tcPr>
            <w:tcW w:w="2150" w:type="pct"/>
            <w:vAlign w:val="center"/>
            <w:hideMark/>
          </w:tcPr>
          <w:p w:rsidR="009E1E51" w:rsidRPr="009E1E51" w:rsidRDefault="009E1E51" w:rsidP="0035663E">
            <w:pPr>
              <w:spacing w:after="200" w:line="276" w:lineRule="auto"/>
              <w:ind w:left="147" w:hanging="5"/>
              <w:rPr>
                <w:rFonts w:ascii="Calibri" w:eastAsia="Calibri" w:hAnsi="Calibri"/>
                <w:lang w:eastAsia="en-US"/>
              </w:rPr>
            </w:pPr>
            <w:r w:rsidRPr="009E1E51">
              <w:rPr>
                <w:rFonts w:ascii="Calibri" w:eastAsia="Calibri" w:hAnsi="Calibri"/>
                <w:sz w:val="22"/>
                <w:szCs w:val="22"/>
                <w:lang w:eastAsia="en-US"/>
              </w:rPr>
              <w:t>Asciano Services Pty Ltd</w:t>
            </w:r>
          </w:p>
        </w:tc>
        <w:tc>
          <w:tcPr>
            <w:tcW w:w="991" w:type="pct"/>
            <w:vAlign w:val="center"/>
            <w:hideMark/>
          </w:tcPr>
          <w:p w:rsidR="009E1E51" w:rsidRPr="009E1E51" w:rsidRDefault="009E1E51" w:rsidP="0035663E">
            <w:pPr>
              <w:spacing w:after="200" w:line="276" w:lineRule="auto"/>
              <w:ind w:left="142"/>
              <w:rPr>
                <w:rFonts w:ascii="Calibri" w:eastAsia="Calibri" w:hAnsi="Calibri"/>
                <w:lang w:eastAsia="en-US"/>
              </w:rPr>
            </w:pPr>
            <w:r w:rsidRPr="009E1E51">
              <w:rPr>
                <w:rFonts w:ascii="Calibri" w:eastAsia="Calibri" w:hAnsi="Calibri"/>
                <w:sz w:val="22"/>
                <w:szCs w:val="22"/>
                <w:lang w:eastAsia="en-US"/>
              </w:rPr>
              <w:t>Pacific National (ACT) Limited</w:t>
            </w:r>
          </w:p>
        </w:tc>
        <w:tc>
          <w:tcPr>
            <w:tcW w:w="993"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01/07/2001</w:t>
            </w:r>
          </w:p>
        </w:tc>
        <w:tc>
          <w:tcPr>
            <w:tcW w:w="866"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30/06/2013</w:t>
            </w:r>
          </w:p>
        </w:tc>
      </w:tr>
      <w:tr w:rsidR="009E1E51" w:rsidRPr="009E1E51" w:rsidTr="0035663E">
        <w:tc>
          <w:tcPr>
            <w:tcW w:w="2150" w:type="pct"/>
            <w:vAlign w:val="center"/>
            <w:hideMark/>
          </w:tcPr>
          <w:p w:rsidR="009E1E51" w:rsidRPr="009E1E51" w:rsidRDefault="009E1E51" w:rsidP="0035663E">
            <w:pPr>
              <w:spacing w:after="200" w:line="276" w:lineRule="auto"/>
              <w:ind w:left="147" w:hanging="5"/>
              <w:rPr>
                <w:rFonts w:ascii="Calibri" w:eastAsia="Calibri" w:hAnsi="Calibri"/>
                <w:lang w:eastAsia="en-US"/>
              </w:rPr>
            </w:pPr>
            <w:r w:rsidRPr="009E1E51">
              <w:rPr>
                <w:rFonts w:ascii="Calibri" w:eastAsia="Calibri" w:hAnsi="Calibri"/>
                <w:sz w:val="22"/>
                <w:szCs w:val="22"/>
                <w:lang w:eastAsia="en-US"/>
              </w:rPr>
              <w:t>Australian air Express Pty Ltd</w:t>
            </w:r>
          </w:p>
        </w:tc>
        <w:tc>
          <w:tcPr>
            <w:tcW w:w="991" w:type="pct"/>
            <w:vAlign w:val="center"/>
            <w:hideMark/>
          </w:tcPr>
          <w:p w:rsidR="009E1E51" w:rsidRPr="009E1E51" w:rsidRDefault="009E1E51" w:rsidP="0035663E">
            <w:pPr>
              <w:spacing w:after="200" w:line="276" w:lineRule="auto"/>
              <w:ind w:left="142"/>
              <w:rPr>
                <w:rFonts w:ascii="Calibri" w:eastAsia="Calibri" w:hAnsi="Calibri"/>
                <w:lang w:eastAsia="en-US"/>
              </w:rPr>
            </w:pPr>
            <w:r w:rsidRPr="009E1E51">
              <w:rPr>
                <w:rFonts w:ascii="Calibri" w:eastAsia="Calibri" w:hAnsi="Calibri"/>
                <w:sz w:val="22"/>
                <w:szCs w:val="22"/>
                <w:lang w:eastAsia="en-US"/>
              </w:rPr>
              <w:t> </w:t>
            </w:r>
          </w:p>
        </w:tc>
        <w:tc>
          <w:tcPr>
            <w:tcW w:w="993"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01/07/1999</w:t>
            </w:r>
          </w:p>
        </w:tc>
        <w:tc>
          <w:tcPr>
            <w:tcW w:w="866"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30/06/2013</w:t>
            </w:r>
          </w:p>
        </w:tc>
      </w:tr>
      <w:tr w:rsidR="009E1E51" w:rsidRPr="009E1E51" w:rsidTr="0035663E">
        <w:tc>
          <w:tcPr>
            <w:tcW w:w="2150" w:type="pct"/>
            <w:vAlign w:val="center"/>
            <w:hideMark/>
          </w:tcPr>
          <w:p w:rsidR="009E1E51" w:rsidRPr="009E1E51" w:rsidRDefault="009E1E51" w:rsidP="0035663E">
            <w:pPr>
              <w:spacing w:after="200" w:line="276" w:lineRule="auto"/>
              <w:ind w:left="147" w:hanging="5"/>
              <w:rPr>
                <w:rFonts w:ascii="Calibri" w:eastAsia="Calibri" w:hAnsi="Calibri"/>
                <w:lang w:eastAsia="en-US"/>
              </w:rPr>
            </w:pPr>
            <w:r w:rsidRPr="009E1E51">
              <w:rPr>
                <w:rFonts w:ascii="Calibri" w:eastAsia="Calibri" w:hAnsi="Calibri"/>
                <w:sz w:val="22"/>
                <w:szCs w:val="22"/>
                <w:lang w:eastAsia="en-US"/>
              </w:rPr>
              <w:t>Australian Air Express Retail Pty Ltd</w:t>
            </w:r>
          </w:p>
        </w:tc>
        <w:tc>
          <w:tcPr>
            <w:tcW w:w="991" w:type="pct"/>
            <w:vAlign w:val="center"/>
            <w:hideMark/>
          </w:tcPr>
          <w:p w:rsidR="009E1E51" w:rsidRPr="009E1E51" w:rsidRDefault="009E1E51" w:rsidP="0035663E">
            <w:pPr>
              <w:spacing w:after="200" w:line="276" w:lineRule="auto"/>
              <w:ind w:left="142"/>
              <w:rPr>
                <w:rFonts w:ascii="Calibri" w:eastAsia="Calibri" w:hAnsi="Calibri"/>
                <w:lang w:eastAsia="en-US"/>
              </w:rPr>
            </w:pPr>
            <w:r w:rsidRPr="009E1E51">
              <w:rPr>
                <w:rFonts w:ascii="Calibri" w:eastAsia="Calibri" w:hAnsi="Calibri"/>
                <w:sz w:val="22"/>
                <w:szCs w:val="22"/>
                <w:lang w:eastAsia="en-US"/>
              </w:rPr>
              <w:t> </w:t>
            </w:r>
          </w:p>
        </w:tc>
        <w:tc>
          <w:tcPr>
            <w:tcW w:w="993"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01/07/2011</w:t>
            </w:r>
          </w:p>
        </w:tc>
        <w:tc>
          <w:tcPr>
            <w:tcW w:w="866"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30/06/2013</w:t>
            </w:r>
          </w:p>
        </w:tc>
      </w:tr>
      <w:tr w:rsidR="009E1E51" w:rsidRPr="009E1E51" w:rsidTr="0035663E">
        <w:tc>
          <w:tcPr>
            <w:tcW w:w="2150" w:type="pct"/>
            <w:vAlign w:val="center"/>
            <w:hideMark/>
          </w:tcPr>
          <w:p w:rsidR="009E1E51" w:rsidRPr="009E1E51" w:rsidRDefault="009E1E51" w:rsidP="0035663E">
            <w:pPr>
              <w:spacing w:after="200" w:line="276" w:lineRule="auto"/>
              <w:ind w:left="147" w:hanging="5"/>
              <w:rPr>
                <w:rFonts w:ascii="Calibri" w:eastAsia="Calibri" w:hAnsi="Calibri"/>
                <w:lang w:eastAsia="en-US"/>
              </w:rPr>
            </w:pPr>
            <w:r w:rsidRPr="009E1E51">
              <w:rPr>
                <w:rFonts w:ascii="Calibri" w:eastAsia="Calibri" w:hAnsi="Calibri"/>
                <w:sz w:val="22"/>
                <w:szCs w:val="22"/>
                <w:lang w:eastAsia="en-US"/>
              </w:rPr>
              <w:t>Australian Postal Corporation</w:t>
            </w:r>
          </w:p>
        </w:tc>
        <w:tc>
          <w:tcPr>
            <w:tcW w:w="991" w:type="pct"/>
            <w:vAlign w:val="center"/>
            <w:hideMark/>
          </w:tcPr>
          <w:p w:rsidR="009E1E51" w:rsidRPr="009E1E51" w:rsidRDefault="009E1E51" w:rsidP="0035663E">
            <w:pPr>
              <w:spacing w:after="200" w:line="276" w:lineRule="auto"/>
              <w:ind w:left="142"/>
              <w:rPr>
                <w:rFonts w:ascii="Calibri" w:eastAsia="Calibri" w:hAnsi="Calibri"/>
                <w:lang w:eastAsia="en-US"/>
              </w:rPr>
            </w:pPr>
            <w:r w:rsidRPr="009E1E51">
              <w:rPr>
                <w:rFonts w:ascii="Calibri" w:eastAsia="Calibri" w:hAnsi="Calibri"/>
                <w:sz w:val="22"/>
                <w:szCs w:val="22"/>
                <w:lang w:eastAsia="en-US"/>
              </w:rPr>
              <w:t> </w:t>
            </w:r>
          </w:p>
        </w:tc>
        <w:tc>
          <w:tcPr>
            <w:tcW w:w="993"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30/06/1992</w:t>
            </w:r>
          </w:p>
        </w:tc>
        <w:tc>
          <w:tcPr>
            <w:tcW w:w="866"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30/06/2014</w:t>
            </w:r>
          </w:p>
        </w:tc>
      </w:tr>
      <w:tr w:rsidR="009E1E51" w:rsidRPr="009E1E51" w:rsidTr="0035663E">
        <w:tc>
          <w:tcPr>
            <w:tcW w:w="2150" w:type="pct"/>
            <w:vAlign w:val="center"/>
            <w:hideMark/>
          </w:tcPr>
          <w:p w:rsidR="009E1E51" w:rsidRPr="009E1E51" w:rsidRDefault="009E1E51" w:rsidP="0035663E">
            <w:pPr>
              <w:spacing w:after="200" w:line="276" w:lineRule="auto"/>
              <w:ind w:left="147" w:hanging="5"/>
              <w:rPr>
                <w:rFonts w:ascii="Calibri" w:eastAsia="Calibri" w:hAnsi="Calibri"/>
                <w:lang w:eastAsia="en-US"/>
              </w:rPr>
            </w:pPr>
            <w:r w:rsidRPr="009E1E51">
              <w:rPr>
                <w:rFonts w:ascii="Calibri" w:eastAsia="Calibri" w:hAnsi="Calibri"/>
                <w:sz w:val="22"/>
                <w:szCs w:val="22"/>
                <w:lang w:eastAsia="en-US"/>
              </w:rPr>
              <w:t>Avanteos Pty Ltd</w:t>
            </w:r>
          </w:p>
        </w:tc>
        <w:tc>
          <w:tcPr>
            <w:tcW w:w="991" w:type="pct"/>
            <w:vAlign w:val="center"/>
            <w:hideMark/>
          </w:tcPr>
          <w:p w:rsidR="009E1E51" w:rsidRPr="009E1E51" w:rsidRDefault="009E1E51" w:rsidP="0035663E">
            <w:pPr>
              <w:spacing w:after="200" w:line="276" w:lineRule="auto"/>
              <w:ind w:left="142"/>
              <w:rPr>
                <w:rFonts w:ascii="Calibri" w:eastAsia="Calibri" w:hAnsi="Calibri"/>
                <w:lang w:eastAsia="en-US"/>
              </w:rPr>
            </w:pPr>
            <w:r w:rsidRPr="009E1E51">
              <w:rPr>
                <w:rFonts w:ascii="Calibri" w:eastAsia="Calibri" w:hAnsi="Calibri"/>
                <w:sz w:val="22"/>
                <w:szCs w:val="22"/>
                <w:lang w:eastAsia="en-US"/>
              </w:rPr>
              <w:t> </w:t>
            </w:r>
          </w:p>
        </w:tc>
        <w:tc>
          <w:tcPr>
            <w:tcW w:w="993"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31/03/2008</w:t>
            </w:r>
          </w:p>
        </w:tc>
        <w:tc>
          <w:tcPr>
            <w:tcW w:w="866"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30/06/2014</w:t>
            </w:r>
          </w:p>
        </w:tc>
      </w:tr>
      <w:tr w:rsidR="009E1E51" w:rsidRPr="009E1E51" w:rsidTr="0035663E">
        <w:tc>
          <w:tcPr>
            <w:tcW w:w="2150" w:type="pct"/>
            <w:vAlign w:val="center"/>
            <w:hideMark/>
          </w:tcPr>
          <w:p w:rsidR="009E1E51" w:rsidRPr="009E1E51" w:rsidRDefault="009E1E51" w:rsidP="0035663E">
            <w:pPr>
              <w:spacing w:after="200" w:line="276" w:lineRule="auto"/>
              <w:ind w:left="147" w:hanging="5"/>
              <w:rPr>
                <w:rFonts w:ascii="Calibri" w:eastAsia="Calibri" w:hAnsi="Calibri"/>
                <w:lang w:eastAsia="en-US"/>
              </w:rPr>
            </w:pPr>
            <w:r w:rsidRPr="009E1E51">
              <w:rPr>
                <w:rFonts w:ascii="Calibri" w:eastAsia="Calibri" w:hAnsi="Calibri"/>
                <w:sz w:val="22"/>
                <w:szCs w:val="22"/>
                <w:lang w:eastAsia="en-US"/>
              </w:rPr>
              <w:t>BIS Industries Ltd</w:t>
            </w:r>
          </w:p>
        </w:tc>
        <w:tc>
          <w:tcPr>
            <w:tcW w:w="991" w:type="pct"/>
            <w:vAlign w:val="center"/>
            <w:hideMark/>
          </w:tcPr>
          <w:p w:rsidR="009E1E51" w:rsidRPr="009E1E51" w:rsidRDefault="009E1E51" w:rsidP="0035663E">
            <w:pPr>
              <w:spacing w:after="200" w:line="276" w:lineRule="auto"/>
              <w:ind w:left="142"/>
              <w:rPr>
                <w:rFonts w:ascii="Calibri" w:eastAsia="Calibri" w:hAnsi="Calibri"/>
                <w:lang w:eastAsia="en-US"/>
              </w:rPr>
            </w:pPr>
            <w:r w:rsidRPr="009E1E51">
              <w:rPr>
                <w:rFonts w:ascii="Calibri" w:eastAsia="Calibri" w:hAnsi="Calibri"/>
                <w:sz w:val="22"/>
                <w:szCs w:val="22"/>
                <w:lang w:eastAsia="en-US"/>
              </w:rPr>
              <w:t> </w:t>
            </w:r>
          </w:p>
        </w:tc>
        <w:tc>
          <w:tcPr>
            <w:tcW w:w="993"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01/10/2008</w:t>
            </w:r>
          </w:p>
        </w:tc>
        <w:tc>
          <w:tcPr>
            <w:tcW w:w="866"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30/06/2015</w:t>
            </w:r>
          </w:p>
        </w:tc>
      </w:tr>
      <w:tr w:rsidR="009E1E51" w:rsidRPr="009E1E51" w:rsidTr="0035663E">
        <w:tc>
          <w:tcPr>
            <w:tcW w:w="2150" w:type="pct"/>
            <w:vAlign w:val="center"/>
            <w:hideMark/>
          </w:tcPr>
          <w:p w:rsidR="009E1E51" w:rsidRPr="009E1E51" w:rsidRDefault="009E1E51" w:rsidP="0035663E">
            <w:pPr>
              <w:spacing w:after="200" w:line="276" w:lineRule="auto"/>
              <w:ind w:left="147" w:hanging="5"/>
              <w:rPr>
                <w:rFonts w:ascii="Calibri" w:eastAsia="Calibri" w:hAnsi="Calibri"/>
                <w:lang w:eastAsia="en-US"/>
              </w:rPr>
            </w:pPr>
            <w:r w:rsidRPr="009E1E51">
              <w:rPr>
                <w:rFonts w:ascii="Calibri" w:eastAsia="Calibri" w:hAnsi="Calibri"/>
                <w:sz w:val="22"/>
                <w:szCs w:val="22"/>
                <w:lang w:eastAsia="en-US"/>
              </w:rPr>
              <w:t>Border Express Pty Ltd</w:t>
            </w:r>
          </w:p>
        </w:tc>
        <w:tc>
          <w:tcPr>
            <w:tcW w:w="991" w:type="pct"/>
            <w:vAlign w:val="center"/>
            <w:hideMark/>
          </w:tcPr>
          <w:p w:rsidR="009E1E51" w:rsidRPr="009E1E51" w:rsidRDefault="009E1E51" w:rsidP="0035663E">
            <w:pPr>
              <w:spacing w:after="200" w:line="276" w:lineRule="auto"/>
              <w:ind w:left="142"/>
              <w:rPr>
                <w:rFonts w:ascii="Calibri" w:eastAsia="Calibri" w:hAnsi="Calibri"/>
                <w:lang w:eastAsia="en-US"/>
              </w:rPr>
            </w:pPr>
            <w:r w:rsidRPr="009E1E51">
              <w:rPr>
                <w:rFonts w:ascii="Calibri" w:eastAsia="Calibri" w:hAnsi="Calibri"/>
                <w:sz w:val="22"/>
                <w:szCs w:val="22"/>
                <w:lang w:eastAsia="en-US"/>
              </w:rPr>
              <w:t> </w:t>
            </w:r>
          </w:p>
        </w:tc>
        <w:tc>
          <w:tcPr>
            <w:tcW w:w="993"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01/01/2008</w:t>
            </w:r>
          </w:p>
        </w:tc>
        <w:tc>
          <w:tcPr>
            <w:tcW w:w="866"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30/06/2014</w:t>
            </w:r>
          </w:p>
        </w:tc>
      </w:tr>
      <w:tr w:rsidR="009E1E51" w:rsidRPr="009E1E51" w:rsidTr="0035663E">
        <w:tc>
          <w:tcPr>
            <w:tcW w:w="2150" w:type="pct"/>
            <w:vAlign w:val="center"/>
            <w:hideMark/>
          </w:tcPr>
          <w:p w:rsidR="009E1E51" w:rsidRPr="009E1E51" w:rsidRDefault="009E1E51" w:rsidP="0035663E">
            <w:pPr>
              <w:spacing w:after="200" w:line="276" w:lineRule="auto"/>
              <w:ind w:left="147" w:hanging="5"/>
              <w:rPr>
                <w:rFonts w:ascii="Calibri" w:eastAsia="Calibri" w:hAnsi="Calibri"/>
                <w:lang w:eastAsia="en-US"/>
              </w:rPr>
            </w:pPr>
            <w:r w:rsidRPr="009E1E51">
              <w:rPr>
                <w:rFonts w:ascii="Calibri" w:eastAsia="Calibri" w:hAnsi="Calibri"/>
                <w:sz w:val="22"/>
                <w:szCs w:val="22"/>
                <w:lang w:eastAsia="en-US"/>
              </w:rPr>
              <w:t>Chubb Security Services Ltd</w:t>
            </w:r>
          </w:p>
        </w:tc>
        <w:tc>
          <w:tcPr>
            <w:tcW w:w="991" w:type="pct"/>
            <w:vAlign w:val="center"/>
            <w:hideMark/>
          </w:tcPr>
          <w:p w:rsidR="009E1E51" w:rsidRPr="009E1E51" w:rsidRDefault="009E1E51" w:rsidP="0035663E">
            <w:pPr>
              <w:spacing w:after="200" w:line="276" w:lineRule="auto"/>
              <w:ind w:left="142"/>
              <w:rPr>
                <w:rFonts w:ascii="Calibri" w:eastAsia="Calibri" w:hAnsi="Calibri"/>
                <w:lang w:eastAsia="en-US"/>
              </w:rPr>
            </w:pPr>
            <w:r w:rsidRPr="009E1E51">
              <w:rPr>
                <w:rFonts w:ascii="Calibri" w:eastAsia="Calibri" w:hAnsi="Calibri"/>
                <w:sz w:val="22"/>
                <w:szCs w:val="22"/>
                <w:lang w:eastAsia="en-US"/>
              </w:rPr>
              <w:t> </w:t>
            </w:r>
          </w:p>
        </w:tc>
        <w:tc>
          <w:tcPr>
            <w:tcW w:w="993"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01/07/2007</w:t>
            </w:r>
          </w:p>
        </w:tc>
        <w:tc>
          <w:tcPr>
            <w:tcW w:w="866"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30/06/2013</w:t>
            </w:r>
          </w:p>
        </w:tc>
      </w:tr>
      <w:tr w:rsidR="009E1E51" w:rsidRPr="009E1E51" w:rsidTr="0035663E">
        <w:tc>
          <w:tcPr>
            <w:tcW w:w="2150" w:type="pct"/>
            <w:vAlign w:val="center"/>
            <w:hideMark/>
          </w:tcPr>
          <w:p w:rsidR="009E1E51" w:rsidRPr="009E1E51" w:rsidRDefault="009E1E51" w:rsidP="0035663E">
            <w:pPr>
              <w:spacing w:after="200" w:line="276" w:lineRule="auto"/>
              <w:ind w:left="147" w:hanging="5"/>
              <w:rPr>
                <w:rFonts w:ascii="Calibri" w:eastAsia="Calibri" w:hAnsi="Calibri"/>
                <w:lang w:eastAsia="en-US"/>
              </w:rPr>
            </w:pPr>
            <w:r w:rsidRPr="009E1E51">
              <w:rPr>
                <w:rFonts w:ascii="Calibri" w:eastAsia="Calibri" w:hAnsi="Calibri"/>
                <w:sz w:val="22"/>
                <w:szCs w:val="22"/>
                <w:lang w:eastAsia="en-US"/>
              </w:rPr>
              <w:t>Colonial First State Property Management Pty Ltd</w:t>
            </w:r>
          </w:p>
        </w:tc>
        <w:tc>
          <w:tcPr>
            <w:tcW w:w="991" w:type="pct"/>
            <w:vAlign w:val="center"/>
            <w:hideMark/>
          </w:tcPr>
          <w:p w:rsidR="009E1E51" w:rsidRPr="009E1E51" w:rsidRDefault="009E1E51" w:rsidP="0035663E">
            <w:pPr>
              <w:spacing w:after="200" w:line="276" w:lineRule="auto"/>
              <w:ind w:left="142"/>
              <w:rPr>
                <w:rFonts w:ascii="Calibri" w:eastAsia="Calibri" w:hAnsi="Calibri"/>
                <w:lang w:eastAsia="en-US"/>
              </w:rPr>
            </w:pPr>
            <w:r w:rsidRPr="009E1E51">
              <w:rPr>
                <w:rFonts w:ascii="Calibri" w:eastAsia="Calibri" w:hAnsi="Calibri"/>
                <w:sz w:val="22"/>
                <w:szCs w:val="22"/>
                <w:lang w:eastAsia="en-US"/>
              </w:rPr>
              <w:t> </w:t>
            </w:r>
          </w:p>
        </w:tc>
        <w:tc>
          <w:tcPr>
            <w:tcW w:w="993"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31/03/2008</w:t>
            </w:r>
          </w:p>
        </w:tc>
        <w:tc>
          <w:tcPr>
            <w:tcW w:w="866"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30/06/2014</w:t>
            </w:r>
          </w:p>
        </w:tc>
      </w:tr>
      <w:tr w:rsidR="009E1E51" w:rsidRPr="009E1E51" w:rsidTr="0035663E">
        <w:tc>
          <w:tcPr>
            <w:tcW w:w="2150" w:type="pct"/>
            <w:vAlign w:val="center"/>
            <w:hideMark/>
          </w:tcPr>
          <w:p w:rsidR="009E1E51" w:rsidRPr="009E1E51" w:rsidRDefault="009E1E51" w:rsidP="0035663E">
            <w:pPr>
              <w:spacing w:after="200" w:line="276" w:lineRule="auto"/>
              <w:ind w:left="147" w:hanging="5"/>
              <w:rPr>
                <w:rFonts w:ascii="Calibri" w:eastAsia="Calibri" w:hAnsi="Calibri"/>
                <w:lang w:eastAsia="en-US"/>
              </w:rPr>
            </w:pPr>
            <w:r w:rsidRPr="009E1E51">
              <w:rPr>
                <w:rFonts w:ascii="Calibri" w:eastAsia="Calibri" w:hAnsi="Calibri"/>
                <w:sz w:val="22"/>
                <w:szCs w:val="22"/>
                <w:lang w:eastAsia="en-US"/>
              </w:rPr>
              <w:t>Colonial Services Pty Ltd</w:t>
            </w:r>
          </w:p>
        </w:tc>
        <w:tc>
          <w:tcPr>
            <w:tcW w:w="991" w:type="pct"/>
            <w:vAlign w:val="center"/>
            <w:hideMark/>
          </w:tcPr>
          <w:p w:rsidR="009E1E51" w:rsidRPr="009E1E51" w:rsidRDefault="009E1E51" w:rsidP="0035663E">
            <w:pPr>
              <w:spacing w:after="200" w:line="276" w:lineRule="auto"/>
              <w:ind w:left="142"/>
              <w:rPr>
                <w:rFonts w:ascii="Calibri" w:eastAsia="Calibri" w:hAnsi="Calibri"/>
                <w:lang w:eastAsia="en-US"/>
              </w:rPr>
            </w:pPr>
            <w:r w:rsidRPr="009E1E51">
              <w:rPr>
                <w:rFonts w:ascii="Calibri" w:eastAsia="Calibri" w:hAnsi="Calibri"/>
                <w:sz w:val="22"/>
                <w:szCs w:val="22"/>
                <w:lang w:eastAsia="en-US"/>
              </w:rPr>
              <w:t> </w:t>
            </w:r>
          </w:p>
        </w:tc>
        <w:tc>
          <w:tcPr>
            <w:tcW w:w="993"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31/03/2008</w:t>
            </w:r>
          </w:p>
        </w:tc>
        <w:tc>
          <w:tcPr>
            <w:tcW w:w="866"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30/06/2014</w:t>
            </w:r>
          </w:p>
        </w:tc>
      </w:tr>
      <w:tr w:rsidR="009E1E51" w:rsidRPr="009E1E51" w:rsidTr="0035663E">
        <w:tc>
          <w:tcPr>
            <w:tcW w:w="2150" w:type="pct"/>
            <w:vAlign w:val="center"/>
            <w:hideMark/>
          </w:tcPr>
          <w:p w:rsidR="009E1E51" w:rsidRPr="009E1E51" w:rsidRDefault="009E1E51" w:rsidP="0035663E">
            <w:pPr>
              <w:spacing w:after="200" w:line="276" w:lineRule="auto"/>
              <w:ind w:left="147" w:hanging="5"/>
              <w:rPr>
                <w:rFonts w:ascii="Calibri" w:eastAsia="Calibri" w:hAnsi="Calibri"/>
                <w:lang w:eastAsia="en-US"/>
              </w:rPr>
            </w:pPr>
            <w:r w:rsidRPr="009E1E51">
              <w:rPr>
                <w:rFonts w:ascii="Calibri" w:eastAsia="Calibri" w:hAnsi="Calibri"/>
                <w:sz w:val="22"/>
                <w:szCs w:val="22"/>
                <w:lang w:eastAsia="en-US"/>
              </w:rPr>
              <w:t>Commonwealth Bank of Australia Ltd</w:t>
            </w:r>
          </w:p>
        </w:tc>
        <w:tc>
          <w:tcPr>
            <w:tcW w:w="991" w:type="pct"/>
            <w:vAlign w:val="center"/>
            <w:hideMark/>
          </w:tcPr>
          <w:p w:rsidR="009E1E51" w:rsidRPr="009E1E51" w:rsidRDefault="009E1E51" w:rsidP="0035663E">
            <w:pPr>
              <w:spacing w:after="200" w:line="276" w:lineRule="auto"/>
              <w:ind w:left="142"/>
              <w:rPr>
                <w:rFonts w:ascii="Calibri" w:eastAsia="Calibri" w:hAnsi="Calibri"/>
                <w:lang w:eastAsia="en-US"/>
              </w:rPr>
            </w:pPr>
            <w:r w:rsidRPr="009E1E51">
              <w:rPr>
                <w:rFonts w:ascii="Calibri" w:eastAsia="Calibri" w:hAnsi="Calibri"/>
                <w:sz w:val="22"/>
                <w:szCs w:val="22"/>
                <w:lang w:eastAsia="en-US"/>
              </w:rPr>
              <w:t> </w:t>
            </w:r>
          </w:p>
        </w:tc>
        <w:tc>
          <w:tcPr>
            <w:tcW w:w="993"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31/03/2008</w:t>
            </w:r>
          </w:p>
        </w:tc>
        <w:tc>
          <w:tcPr>
            <w:tcW w:w="866"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30/06/2014</w:t>
            </w:r>
          </w:p>
        </w:tc>
      </w:tr>
      <w:tr w:rsidR="009E1E51" w:rsidRPr="009E1E51" w:rsidTr="0035663E">
        <w:tc>
          <w:tcPr>
            <w:tcW w:w="2150" w:type="pct"/>
            <w:vAlign w:val="center"/>
            <w:hideMark/>
          </w:tcPr>
          <w:p w:rsidR="009E1E51" w:rsidRPr="009E1E51" w:rsidRDefault="009E1E51" w:rsidP="0035663E">
            <w:pPr>
              <w:spacing w:after="200" w:line="276" w:lineRule="auto"/>
              <w:ind w:left="147" w:hanging="5"/>
              <w:rPr>
                <w:rFonts w:ascii="Calibri" w:eastAsia="Calibri" w:hAnsi="Calibri"/>
                <w:lang w:eastAsia="en-US"/>
              </w:rPr>
            </w:pPr>
            <w:r w:rsidRPr="009E1E51">
              <w:rPr>
                <w:rFonts w:ascii="Calibri" w:eastAsia="Calibri" w:hAnsi="Calibri"/>
                <w:sz w:val="22"/>
                <w:szCs w:val="22"/>
                <w:lang w:eastAsia="en-US"/>
              </w:rPr>
              <w:t>Commonwealth Insurance Ltd</w:t>
            </w:r>
          </w:p>
        </w:tc>
        <w:tc>
          <w:tcPr>
            <w:tcW w:w="991" w:type="pct"/>
            <w:vAlign w:val="center"/>
            <w:hideMark/>
          </w:tcPr>
          <w:p w:rsidR="009E1E51" w:rsidRPr="009E1E51" w:rsidRDefault="009E1E51" w:rsidP="0035663E">
            <w:pPr>
              <w:spacing w:after="200" w:line="276" w:lineRule="auto"/>
              <w:ind w:left="142"/>
              <w:rPr>
                <w:rFonts w:ascii="Calibri" w:eastAsia="Calibri" w:hAnsi="Calibri"/>
                <w:lang w:eastAsia="en-US"/>
              </w:rPr>
            </w:pPr>
            <w:r w:rsidRPr="009E1E51">
              <w:rPr>
                <w:rFonts w:ascii="Calibri" w:eastAsia="Calibri" w:hAnsi="Calibri"/>
                <w:sz w:val="22"/>
                <w:szCs w:val="22"/>
                <w:lang w:eastAsia="en-US"/>
              </w:rPr>
              <w:t> </w:t>
            </w:r>
          </w:p>
        </w:tc>
        <w:tc>
          <w:tcPr>
            <w:tcW w:w="993"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31/03/2008</w:t>
            </w:r>
          </w:p>
        </w:tc>
        <w:tc>
          <w:tcPr>
            <w:tcW w:w="866"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30/06/2014</w:t>
            </w:r>
          </w:p>
        </w:tc>
      </w:tr>
      <w:tr w:rsidR="009E1E51" w:rsidRPr="009E1E51" w:rsidTr="0035663E">
        <w:tc>
          <w:tcPr>
            <w:tcW w:w="2150" w:type="pct"/>
            <w:vAlign w:val="center"/>
            <w:hideMark/>
          </w:tcPr>
          <w:p w:rsidR="009E1E51" w:rsidRPr="009E1E51" w:rsidRDefault="009E1E51" w:rsidP="0035663E">
            <w:pPr>
              <w:spacing w:after="200" w:line="276" w:lineRule="auto"/>
              <w:ind w:left="147" w:hanging="5"/>
              <w:rPr>
                <w:rFonts w:ascii="Calibri" w:eastAsia="Calibri" w:hAnsi="Calibri"/>
                <w:lang w:eastAsia="en-US"/>
              </w:rPr>
            </w:pPr>
            <w:r w:rsidRPr="009E1E51">
              <w:rPr>
                <w:rFonts w:ascii="Calibri" w:eastAsia="Calibri" w:hAnsi="Calibri"/>
                <w:sz w:val="22"/>
                <w:szCs w:val="22"/>
                <w:lang w:eastAsia="en-US"/>
              </w:rPr>
              <w:t>Commonwealth Securities Ltd</w:t>
            </w:r>
          </w:p>
        </w:tc>
        <w:tc>
          <w:tcPr>
            <w:tcW w:w="991" w:type="pct"/>
            <w:vAlign w:val="center"/>
            <w:hideMark/>
          </w:tcPr>
          <w:p w:rsidR="009E1E51" w:rsidRPr="009E1E51" w:rsidRDefault="009E1E51" w:rsidP="0035663E">
            <w:pPr>
              <w:spacing w:after="200" w:line="276" w:lineRule="auto"/>
              <w:ind w:left="142"/>
              <w:rPr>
                <w:rFonts w:ascii="Calibri" w:eastAsia="Calibri" w:hAnsi="Calibri"/>
                <w:lang w:eastAsia="en-US"/>
              </w:rPr>
            </w:pPr>
            <w:r w:rsidRPr="009E1E51">
              <w:rPr>
                <w:rFonts w:ascii="Calibri" w:eastAsia="Calibri" w:hAnsi="Calibri"/>
                <w:sz w:val="22"/>
                <w:szCs w:val="22"/>
                <w:lang w:eastAsia="en-US"/>
              </w:rPr>
              <w:t> </w:t>
            </w:r>
          </w:p>
        </w:tc>
        <w:tc>
          <w:tcPr>
            <w:tcW w:w="993"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31/03/2008</w:t>
            </w:r>
          </w:p>
        </w:tc>
        <w:tc>
          <w:tcPr>
            <w:tcW w:w="866"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30/06/2014</w:t>
            </w:r>
          </w:p>
        </w:tc>
      </w:tr>
      <w:tr w:rsidR="009E1E51" w:rsidRPr="009E1E51" w:rsidTr="0035663E">
        <w:tc>
          <w:tcPr>
            <w:tcW w:w="2150" w:type="pct"/>
            <w:vAlign w:val="center"/>
            <w:hideMark/>
          </w:tcPr>
          <w:p w:rsidR="009E1E51" w:rsidRPr="009E1E51" w:rsidRDefault="009E1E51" w:rsidP="0035663E">
            <w:pPr>
              <w:spacing w:after="200" w:line="276" w:lineRule="auto"/>
              <w:ind w:left="147" w:hanging="5"/>
              <w:rPr>
                <w:rFonts w:ascii="Calibri" w:eastAsia="Calibri" w:hAnsi="Calibri"/>
                <w:lang w:eastAsia="en-US"/>
              </w:rPr>
            </w:pPr>
            <w:r w:rsidRPr="009E1E51">
              <w:rPr>
                <w:rFonts w:ascii="Calibri" w:eastAsia="Calibri" w:hAnsi="Calibri"/>
                <w:sz w:val="22"/>
                <w:szCs w:val="22"/>
                <w:lang w:eastAsia="en-US"/>
              </w:rPr>
              <w:t>CSL Ltd</w:t>
            </w:r>
          </w:p>
        </w:tc>
        <w:tc>
          <w:tcPr>
            <w:tcW w:w="991" w:type="pct"/>
            <w:vAlign w:val="center"/>
            <w:hideMark/>
          </w:tcPr>
          <w:p w:rsidR="009E1E51" w:rsidRPr="009E1E51" w:rsidRDefault="009E1E51" w:rsidP="0035663E">
            <w:pPr>
              <w:spacing w:after="200" w:line="276" w:lineRule="auto"/>
              <w:ind w:left="142"/>
              <w:rPr>
                <w:rFonts w:ascii="Calibri" w:eastAsia="Calibri" w:hAnsi="Calibri"/>
                <w:lang w:eastAsia="en-US"/>
              </w:rPr>
            </w:pPr>
            <w:r w:rsidRPr="009E1E51">
              <w:rPr>
                <w:rFonts w:ascii="Calibri" w:eastAsia="Calibri" w:hAnsi="Calibri"/>
                <w:sz w:val="22"/>
                <w:szCs w:val="22"/>
                <w:lang w:eastAsia="en-US"/>
              </w:rPr>
              <w:t> </w:t>
            </w:r>
          </w:p>
        </w:tc>
        <w:tc>
          <w:tcPr>
            <w:tcW w:w="993"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03/06/1994</w:t>
            </w:r>
          </w:p>
        </w:tc>
        <w:tc>
          <w:tcPr>
            <w:tcW w:w="866"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30/06/2015</w:t>
            </w:r>
          </w:p>
        </w:tc>
      </w:tr>
      <w:tr w:rsidR="009E1E51" w:rsidRPr="009E1E51" w:rsidTr="0035663E">
        <w:tc>
          <w:tcPr>
            <w:tcW w:w="2150" w:type="pct"/>
            <w:vAlign w:val="center"/>
            <w:hideMark/>
          </w:tcPr>
          <w:p w:rsidR="009E1E51" w:rsidRPr="009E1E51" w:rsidRDefault="009E1E51" w:rsidP="0035663E">
            <w:pPr>
              <w:spacing w:after="200" w:line="276" w:lineRule="auto"/>
              <w:ind w:left="147" w:hanging="5"/>
              <w:rPr>
                <w:rFonts w:ascii="Calibri" w:eastAsia="Calibri" w:hAnsi="Calibri"/>
                <w:lang w:eastAsia="en-US"/>
              </w:rPr>
            </w:pPr>
            <w:r w:rsidRPr="009E1E51">
              <w:rPr>
                <w:rFonts w:ascii="Calibri" w:eastAsia="Calibri" w:hAnsi="Calibri"/>
                <w:sz w:val="22"/>
                <w:szCs w:val="22"/>
                <w:lang w:eastAsia="en-US"/>
              </w:rPr>
              <w:t>Fleetmaster Services Pty Ltd</w:t>
            </w:r>
          </w:p>
        </w:tc>
        <w:tc>
          <w:tcPr>
            <w:tcW w:w="991" w:type="pct"/>
            <w:vAlign w:val="center"/>
            <w:hideMark/>
          </w:tcPr>
          <w:p w:rsidR="009E1E51" w:rsidRPr="009E1E51" w:rsidRDefault="009E1E51" w:rsidP="0035663E">
            <w:pPr>
              <w:spacing w:after="200" w:line="276" w:lineRule="auto"/>
              <w:ind w:left="142"/>
              <w:rPr>
                <w:rFonts w:ascii="Calibri" w:eastAsia="Calibri" w:hAnsi="Calibri"/>
                <w:lang w:eastAsia="en-US"/>
              </w:rPr>
            </w:pPr>
            <w:r w:rsidRPr="009E1E51">
              <w:rPr>
                <w:rFonts w:ascii="Calibri" w:eastAsia="Calibri" w:hAnsi="Calibri"/>
                <w:sz w:val="22"/>
                <w:szCs w:val="22"/>
                <w:lang w:eastAsia="en-US"/>
              </w:rPr>
              <w:t> </w:t>
            </w:r>
          </w:p>
        </w:tc>
        <w:tc>
          <w:tcPr>
            <w:tcW w:w="993"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01/04/2009</w:t>
            </w:r>
          </w:p>
        </w:tc>
        <w:tc>
          <w:tcPr>
            <w:tcW w:w="866"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30/06/2015</w:t>
            </w:r>
          </w:p>
        </w:tc>
      </w:tr>
      <w:tr w:rsidR="009E1E51" w:rsidRPr="009E1E51" w:rsidTr="0035663E">
        <w:tc>
          <w:tcPr>
            <w:tcW w:w="2150" w:type="pct"/>
            <w:vAlign w:val="center"/>
            <w:hideMark/>
          </w:tcPr>
          <w:p w:rsidR="009E1E51" w:rsidRPr="009E1E51" w:rsidRDefault="009E1E51" w:rsidP="0035663E">
            <w:pPr>
              <w:spacing w:after="200" w:line="276" w:lineRule="auto"/>
              <w:ind w:left="147" w:hanging="5"/>
              <w:rPr>
                <w:rFonts w:ascii="Calibri" w:eastAsia="Calibri" w:hAnsi="Calibri"/>
                <w:lang w:eastAsia="en-US"/>
              </w:rPr>
            </w:pPr>
            <w:r w:rsidRPr="009E1E51">
              <w:rPr>
                <w:rFonts w:ascii="Calibri" w:eastAsia="Calibri" w:hAnsi="Calibri"/>
                <w:sz w:val="22"/>
                <w:szCs w:val="22"/>
                <w:lang w:eastAsia="en-US"/>
              </w:rPr>
              <w:t>John Holland Group Pty Ltd</w:t>
            </w:r>
          </w:p>
        </w:tc>
        <w:tc>
          <w:tcPr>
            <w:tcW w:w="991" w:type="pct"/>
            <w:vAlign w:val="center"/>
            <w:hideMark/>
          </w:tcPr>
          <w:p w:rsidR="009E1E51" w:rsidRPr="009E1E51" w:rsidRDefault="009E1E51" w:rsidP="0035663E">
            <w:pPr>
              <w:spacing w:after="200" w:line="276" w:lineRule="auto"/>
              <w:ind w:left="142"/>
              <w:rPr>
                <w:rFonts w:ascii="Calibri" w:eastAsia="Calibri" w:hAnsi="Calibri"/>
                <w:lang w:eastAsia="en-US"/>
              </w:rPr>
            </w:pPr>
            <w:r w:rsidRPr="009E1E51">
              <w:rPr>
                <w:rFonts w:ascii="Calibri" w:eastAsia="Calibri" w:hAnsi="Calibri"/>
                <w:sz w:val="22"/>
                <w:szCs w:val="22"/>
                <w:lang w:eastAsia="en-US"/>
              </w:rPr>
              <w:t> </w:t>
            </w:r>
          </w:p>
        </w:tc>
        <w:tc>
          <w:tcPr>
            <w:tcW w:w="993"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01/01/2007</w:t>
            </w:r>
          </w:p>
        </w:tc>
        <w:tc>
          <w:tcPr>
            <w:tcW w:w="866"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30/06/2016</w:t>
            </w:r>
          </w:p>
        </w:tc>
      </w:tr>
      <w:tr w:rsidR="009E1E51" w:rsidRPr="009E1E51" w:rsidTr="0035663E">
        <w:tc>
          <w:tcPr>
            <w:tcW w:w="2150" w:type="pct"/>
            <w:vAlign w:val="center"/>
            <w:hideMark/>
          </w:tcPr>
          <w:p w:rsidR="009E1E51" w:rsidRPr="009E1E51" w:rsidRDefault="009E1E51" w:rsidP="0035663E">
            <w:pPr>
              <w:spacing w:after="200" w:line="276" w:lineRule="auto"/>
              <w:ind w:left="147" w:hanging="5"/>
              <w:rPr>
                <w:rFonts w:ascii="Calibri" w:eastAsia="Calibri" w:hAnsi="Calibri"/>
                <w:lang w:eastAsia="en-US"/>
              </w:rPr>
            </w:pPr>
            <w:r w:rsidRPr="009E1E51">
              <w:rPr>
                <w:rFonts w:ascii="Calibri" w:eastAsia="Calibri" w:hAnsi="Calibri"/>
                <w:sz w:val="22"/>
                <w:szCs w:val="22"/>
                <w:lang w:eastAsia="en-US"/>
              </w:rPr>
              <w:t>John Holland Pty Ltd</w:t>
            </w:r>
          </w:p>
        </w:tc>
        <w:tc>
          <w:tcPr>
            <w:tcW w:w="991" w:type="pct"/>
            <w:vAlign w:val="center"/>
            <w:hideMark/>
          </w:tcPr>
          <w:p w:rsidR="009E1E51" w:rsidRPr="009E1E51" w:rsidRDefault="009E1E51" w:rsidP="0035663E">
            <w:pPr>
              <w:spacing w:after="200" w:line="276" w:lineRule="auto"/>
              <w:ind w:left="142"/>
              <w:rPr>
                <w:rFonts w:ascii="Calibri" w:eastAsia="Calibri" w:hAnsi="Calibri"/>
                <w:lang w:eastAsia="en-US"/>
              </w:rPr>
            </w:pPr>
            <w:r w:rsidRPr="009E1E51">
              <w:rPr>
                <w:rFonts w:ascii="Calibri" w:eastAsia="Calibri" w:hAnsi="Calibri"/>
                <w:sz w:val="22"/>
                <w:szCs w:val="22"/>
                <w:lang w:eastAsia="en-US"/>
              </w:rPr>
              <w:t> </w:t>
            </w:r>
          </w:p>
        </w:tc>
        <w:tc>
          <w:tcPr>
            <w:tcW w:w="993"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01/01/2007</w:t>
            </w:r>
          </w:p>
        </w:tc>
        <w:tc>
          <w:tcPr>
            <w:tcW w:w="866"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30/06/2016</w:t>
            </w:r>
          </w:p>
        </w:tc>
      </w:tr>
      <w:tr w:rsidR="009E1E51" w:rsidRPr="009E1E51" w:rsidTr="0035663E">
        <w:tc>
          <w:tcPr>
            <w:tcW w:w="2150" w:type="pct"/>
            <w:vAlign w:val="center"/>
            <w:hideMark/>
          </w:tcPr>
          <w:p w:rsidR="009E1E51" w:rsidRPr="009E1E51" w:rsidRDefault="009E1E51" w:rsidP="0035663E">
            <w:pPr>
              <w:spacing w:after="200" w:line="276" w:lineRule="auto"/>
              <w:ind w:left="147" w:hanging="5"/>
              <w:rPr>
                <w:rFonts w:ascii="Calibri" w:eastAsia="Calibri" w:hAnsi="Calibri"/>
                <w:lang w:eastAsia="en-US"/>
              </w:rPr>
            </w:pPr>
            <w:r w:rsidRPr="009E1E51">
              <w:rPr>
                <w:rFonts w:ascii="Calibri" w:eastAsia="Calibri" w:hAnsi="Calibri"/>
                <w:sz w:val="22"/>
                <w:szCs w:val="22"/>
                <w:lang w:eastAsia="en-US"/>
              </w:rPr>
              <w:t>John Holland Rail Pty Ltd</w:t>
            </w:r>
          </w:p>
        </w:tc>
        <w:tc>
          <w:tcPr>
            <w:tcW w:w="991" w:type="pct"/>
            <w:vAlign w:val="center"/>
            <w:hideMark/>
          </w:tcPr>
          <w:p w:rsidR="009E1E51" w:rsidRPr="009E1E51" w:rsidRDefault="009E1E51" w:rsidP="0035663E">
            <w:pPr>
              <w:spacing w:after="200" w:line="276" w:lineRule="auto"/>
              <w:ind w:left="142"/>
              <w:rPr>
                <w:rFonts w:ascii="Calibri" w:eastAsia="Calibri" w:hAnsi="Calibri"/>
                <w:lang w:eastAsia="en-US"/>
              </w:rPr>
            </w:pPr>
            <w:r w:rsidRPr="009E1E51">
              <w:rPr>
                <w:rFonts w:ascii="Calibri" w:eastAsia="Calibri" w:hAnsi="Calibri"/>
                <w:sz w:val="22"/>
                <w:szCs w:val="22"/>
                <w:lang w:eastAsia="en-US"/>
              </w:rPr>
              <w:t> </w:t>
            </w:r>
          </w:p>
        </w:tc>
        <w:tc>
          <w:tcPr>
            <w:tcW w:w="993"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01/01/2007</w:t>
            </w:r>
          </w:p>
        </w:tc>
        <w:tc>
          <w:tcPr>
            <w:tcW w:w="866"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30/06/2016</w:t>
            </w:r>
          </w:p>
        </w:tc>
      </w:tr>
      <w:tr w:rsidR="009E1E51" w:rsidRPr="009E1E51" w:rsidTr="0035663E">
        <w:tc>
          <w:tcPr>
            <w:tcW w:w="2150" w:type="pct"/>
            <w:vAlign w:val="center"/>
            <w:hideMark/>
          </w:tcPr>
          <w:p w:rsidR="009E1E51" w:rsidRPr="009E1E51" w:rsidRDefault="009E1E51" w:rsidP="0035663E">
            <w:pPr>
              <w:spacing w:after="200" w:line="276" w:lineRule="auto"/>
              <w:ind w:left="147" w:hanging="5"/>
              <w:rPr>
                <w:rFonts w:ascii="Calibri" w:eastAsia="Calibri" w:hAnsi="Calibri"/>
                <w:lang w:eastAsia="en-US"/>
              </w:rPr>
            </w:pPr>
            <w:r w:rsidRPr="009E1E51">
              <w:rPr>
                <w:rFonts w:ascii="Calibri" w:eastAsia="Calibri" w:hAnsi="Calibri"/>
                <w:sz w:val="22"/>
                <w:szCs w:val="22"/>
                <w:lang w:eastAsia="en-US"/>
              </w:rPr>
              <w:t>K&amp;S Freighters Pty Ltd</w:t>
            </w:r>
          </w:p>
        </w:tc>
        <w:tc>
          <w:tcPr>
            <w:tcW w:w="991" w:type="pct"/>
            <w:vAlign w:val="center"/>
            <w:hideMark/>
          </w:tcPr>
          <w:p w:rsidR="009E1E51" w:rsidRPr="009E1E51" w:rsidRDefault="009E1E51" w:rsidP="0035663E">
            <w:pPr>
              <w:spacing w:after="200" w:line="276" w:lineRule="auto"/>
              <w:ind w:left="142"/>
              <w:rPr>
                <w:rFonts w:ascii="Calibri" w:eastAsia="Calibri" w:hAnsi="Calibri"/>
                <w:lang w:eastAsia="en-US"/>
              </w:rPr>
            </w:pPr>
            <w:r w:rsidRPr="009E1E51">
              <w:rPr>
                <w:rFonts w:ascii="Calibri" w:eastAsia="Calibri" w:hAnsi="Calibri"/>
                <w:sz w:val="22"/>
                <w:szCs w:val="22"/>
                <w:lang w:eastAsia="en-US"/>
              </w:rPr>
              <w:t> </w:t>
            </w:r>
          </w:p>
        </w:tc>
        <w:tc>
          <w:tcPr>
            <w:tcW w:w="993"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01/07/2006</w:t>
            </w:r>
          </w:p>
        </w:tc>
        <w:tc>
          <w:tcPr>
            <w:tcW w:w="866"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30/06/2016</w:t>
            </w:r>
          </w:p>
        </w:tc>
      </w:tr>
      <w:tr w:rsidR="009E1E51" w:rsidRPr="009E1E51" w:rsidTr="0035663E">
        <w:tc>
          <w:tcPr>
            <w:tcW w:w="2150" w:type="pct"/>
            <w:vAlign w:val="center"/>
            <w:hideMark/>
          </w:tcPr>
          <w:p w:rsidR="009E1E51" w:rsidRPr="009E1E51" w:rsidRDefault="009E1E51" w:rsidP="0035663E">
            <w:pPr>
              <w:spacing w:after="200" w:line="276" w:lineRule="auto"/>
              <w:ind w:left="147" w:hanging="5"/>
              <w:rPr>
                <w:rFonts w:ascii="Calibri" w:eastAsia="Calibri" w:hAnsi="Calibri"/>
                <w:lang w:eastAsia="en-US"/>
              </w:rPr>
            </w:pPr>
            <w:r w:rsidRPr="009E1E51">
              <w:rPr>
                <w:rFonts w:ascii="Calibri" w:eastAsia="Calibri" w:hAnsi="Calibri"/>
                <w:sz w:val="22"/>
                <w:szCs w:val="22"/>
                <w:lang w:eastAsia="en-US"/>
              </w:rPr>
              <w:t>Linfox Australia Pty Ltd</w:t>
            </w:r>
          </w:p>
        </w:tc>
        <w:tc>
          <w:tcPr>
            <w:tcW w:w="991" w:type="pct"/>
            <w:vAlign w:val="center"/>
            <w:hideMark/>
          </w:tcPr>
          <w:p w:rsidR="009E1E51" w:rsidRPr="009E1E51" w:rsidRDefault="009E1E51" w:rsidP="0035663E">
            <w:pPr>
              <w:spacing w:after="200" w:line="276" w:lineRule="auto"/>
              <w:ind w:left="142"/>
              <w:rPr>
                <w:rFonts w:ascii="Calibri" w:eastAsia="Calibri" w:hAnsi="Calibri"/>
                <w:lang w:eastAsia="en-US"/>
              </w:rPr>
            </w:pPr>
            <w:r w:rsidRPr="009E1E51">
              <w:rPr>
                <w:rFonts w:ascii="Calibri" w:eastAsia="Calibri" w:hAnsi="Calibri"/>
                <w:sz w:val="22"/>
                <w:szCs w:val="22"/>
                <w:lang w:eastAsia="en-US"/>
              </w:rPr>
              <w:t> </w:t>
            </w:r>
          </w:p>
        </w:tc>
        <w:tc>
          <w:tcPr>
            <w:tcW w:w="993"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03/04/2006</w:t>
            </w:r>
          </w:p>
        </w:tc>
        <w:tc>
          <w:tcPr>
            <w:tcW w:w="866"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30/06/2015</w:t>
            </w:r>
          </w:p>
        </w:tc>
      </w:tr>
      <w:tr w:rsidR="009E1E51" w:rsidRPr="009E1E51" w:rsidTr="0035663E">
        <w:tc>
          <w:tcPr>
            <w:tcW w:w="2150" w:type="pct"/>
            <w:vAlign w:val="center"/>
            <w:hideMark/>
          </w:tcPr>
          <w:p w:rsidR="009E1E51" w:rsidRPr="009E1E51" w:rsidRDefault="009E1E51" w:rsidP="0035663E">
            <w:pPr>
              <w:spacing w:after="200" w:line="276" w:lineRule="auto"/>
              <w:ind w:left="147" w:hanging="5"/>
              <w:rPr>
                <w:rFonts w:ascii="Calibri" w:eastAsia="Calibri" w:hAnsi="Calibri"/>
                <w:lang w:eastAsia="en-US"/>
              </w:rPr>
            </w:pPr>
            <w:r w:rsidRPr="009E1E51">
              <w:rPr>
                <w:rFonts w:ascii="Calibri" w:eastAsia="Calibri" w:hAnsi="Calibri"/>
                <w:sz w:val="22"/>
                <w:szCs w:val="22"/>
                <w:lang w:eastAsia="en-US"/>
              </w:rPr>
              <w:t>Linfox Armaguard Pty Ltd</w:t>
            </w:r>
          </w:p>
        </w:tc>
        <w:tc>
          <w:tcPr>
            <w:tcW w:w="991" w:type="pct"/>
            <w:vAlign w:val="center"/>
            <w:hideMark/>
          </w:tcPr>
          <w:p w:rsidR="009E1E51" w:rsidRPr="009E1E51" w:rsidRDefault="009E1E51" w:rsidP="0035663E">
            <w:pPr>
              <w:spacing w:after="200" w:line="276" w:lineRule="auto"/>
              <w:ind w:left="142"/>
              <w:rPr>
                <w:rFonts w:ascii="Calibri" w:eastAsia="Calibri" w:hAnsi="Calibri"/>
                <w:lang w:eastAsia="en-US"/>
              </w:rPr>
            </w:pPr>
            <w:r w:rsidRPr="009E1E51">
              <w:rPr>
                <w:rFonts w:ascii="Calibri" w:eastAsia="Calibri" w:hAnsi="Calibri"/>
                <w:sz w:val="22"/>
                <w:szCs w:val="22"/>
                <w:lang w:eastAsia="en-US"/>
              </w:rPr>
              <w:t> </w:t>
            </w:r>
          </w:p>
        </w:tc>
        <w:tc>
          <w:tcPr>
            <w:tcW w:w="993"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03/04/2006</w:t>
            </w:r>
          </w:p>
        </w:tc>
        <w:tc>
          <w:tcPr>
            <w:tcW w:w="866"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30/06/2015</w:t>
            </w:r>
          </w:p>
        </w:tc>
      </w:tr>
      <w:tr w:rsidR="009E1E51" w:rsidRPr="009E1E51" w:rsidTr="0035663E">
        <w:tc>
          <w:tcPr>
            <w:tcW w:w="2150" w:type="pct"/>
            <w:vAlign w:val="center"/>
            <w:hideMark/>
          </w:tcPr>
          <w:p w:rsidR="009E1E51" w:rsidRPr="009E1E51" w:rsidRDefault="009E1E51" w:rsidP="0035663E">
            <w:pPr>
              <w:spacing w:after="200" w:line="276" w:lineRule="auto"/>
              <w:ind w:left="147" w:hanging="5"/>
              <w:rPr>
                <w:rFonts w:ascii="Calibri" w:eastAsia="Calibri" w:hAnsi="Calibri"/>
                <w:lang w:eastAsia="en-US"/>
              </w:rPr>
            </w:pPr>
            <w:r w:rsidRPr="009E1E51">
              <w:rPr>
                <w:rFonts w:ascii="Calibri" w:eastAsia="Calibri" w:hAnsi="Calibri"/>
                <w:sz w:val="22"/>
                <w:szCs w:val="22"/>
                <w:lang w:eastAsia="en-US"/>
              </w:rPr>
              <w:lastRenderedPageBreak/>
              <w:t>National Australia Bank Ltd</w:t>
            </w:r>
          </w:p>
        </w:tc>
        <w:tc>
          <w:tcPr>
            <w:tcW w:w="991" w:type="pct"/>
            <w:vAlign w:val="center"/>
            <w:hideMark/>
          </w:tcPr>
          <w:p w:rsidR="009E1E51" w:rsidRPr="009E1E51" w:rsidRDefault="009E1E51" w:rsidP="0035663E">
            <w:pPr>
              <w:spacing w:after="200" w:line="276" w:lineRule="auto"/>
              <w:ind w:left="142"/>
              <w:rPr>
                <w:rFonts w:ascii="Calibri" w:eastAsia="Calibri" w:hAnsi="Calibri"/>
                <w:lang w:eastAsia="en-US"/>
              </w:rPr>
            </w:pPr>
            <w:r w:rsidRPr="009E1E51">
              <w:rPr>
                <w:rFonts w:ascii="Calibri" w:eastAsia="Calibri" w:hAnsi="Calibri"/>
                <w:sz w:val="22"/>
                <w:szCs w:val="22"/>
                <w:lang w:eastAsia="en-US"/>
              </w:rPr>
              <w:t> </w:t>
            </w:r>
          </w:p>
        </w:tc>
        <w:tc>
          <w:tcPr>
            <w:tcW w:w="993"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13/04/2007</w:t>
            </w:r>
          </w:p>
        </w:tc>
        <w:tc>
          <w:tcPr>
            <w:tcW w:w="866"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30/06/2016</w:t>
            </w:r>
          </w:p>
        </w:tc>
      </w:tr>
      <w:tr w:rsidR="009E1E51" w:rsidRPr="009E1E51" w:rsidTr="0035663E">
        <w:tc>
          <w:tcPr>
            <w:tcW w:w="2150" w:type="pct"/>
            <w:vAlign w:val="center"/>
            <w:hideMark/>
          </w:tcPr>
          <w:p w:rsidR="009E1E51" w:rsidRPr="009E1E51" w:rsidRDefault="009E1E51" w:rsidP="0035663E">
            <w:pPr>
              <w:spacing w:after="200" w:line="276" w:lineRule="auto"/>
              <w:ind w:left="147" w:hanging="5"/>
              <w:rPr>
                <w:rFonts w:ascii="Calibri" w:eastAsia="Calibri" w:hAnsi="Calibri"/>
                <w:lang w:eastAsia="en-US"/>
              </w:rPr>
            </w:pPr>
            <w:r w:rsidRPr="009E1E51">
              <w:rPr>
                <w:rFonts w:ascii="Calibri" w:eastAsia="Calibri" w:hAnsi="Calibri"/>
                <w:sz w:val="22"/>
                <w:szCs w:val="22"/>
                <w:lang w:eastAsia="en-US"/>
              </w:rPr>
              <w:t>National Wealth Management Services Ltd</w:t>
            </w:r>
          </w:p>
        </w:tc>
        <w:tc>
          <w:tcPr>
            <w:tcW w:w="991" w:type="pct"/>
            <w:vAlign w:val="center"/>
            <w:hideMark/>
          </w:tcPr>
          <w:p w:rsidR="009E1E51" w:rsidRPr="009E1E51" w:rsidRDefault="009E1E51" w:rsidP="0035663E">
            <w:pPr>
              <w:spacing w:after="200" w:line="276" w:lineRule="auto"/>
              <w:ind w:left="142"/>
              <w:rPr>
                <w:rFonts w:ascii="Calibri" w:eastAsia="Calibri" w:hAnsi="Calibri"/>
                <w:lang w:eastAsia="en-US"/>
              </w:rPr>
            </w:pPr>
            <w:r w:rsidRPr="009E1E51">
              <w:rPr>
                <w:rFonts w:ascii="Calibri" w:eastAsia="Calibri" w:hAnsi="Calibri"/>
                <w:sz w:val="22"/>
                <w:szCs w:val="22"/>
                <w:lang w:eastAsia="en-US"/>
              </w:rPr>
              <w:t>MLC</w:t>
            </w:r>
          </w:p>
        </w:tc>
        <w:tc>
          <w:tcPr>
            <w:tcW w:w="993"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13/04/2007</w:t>
            </w:r>
          </w:p>
        </w:tc>
        <w:tc>
          <w:tcPr>
            <w:tcW w:w="866"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30/06/2016</w:t>
            </w:r>
          </w:p>
        </w:tc>
      </w:tr>
      <w:tr w:rsidR="009E1E51" w:rsidRPr="009E1E51" w:rsidTr="0035663E">
        <w:tc>
          <w:tcPr>
            <w:tcW w:w="2150" w:type="pct"/>
            <w:vAlign w:val="center"/>
            <w:hideMark/>
          </w:tcPr>
          <w:p w:rsidR="009E1E51" w:rsidRPr="009E1E51" w:rsidRDefault="009E1E51" w:rsidP="0035663E">
            <w:pPr>
              <w:spacing w:after="200" w:line="276" w:lineRule="auto"/>
              <w:ind w:left="147" w:hanging="5"/>
              <w:rPr>
                <w:rFonts w:ascii="Calibri" w:eastAsia="Calibri" w:hAnsi="Calibri"/>
                <w:lang w:eastAsia="en-US"/>
              </w:rPr>
            </w:pPr>
            <w:r w:rsidRPr="009E1E51">
              <w:rPr>
                <w:rFonts w:ascii="Calibri" w:eastAsia="Calibri" w:hAnsi="Calibri"/>
                <w:sz w:val="22"/>
                <w:szCs w:val="22"/>
                <w:lang w:eastAsia="en-US"/>
              </w:rPr>
              <w:t>Optus Administration Pty Ltd</w:t>
            </w:r>
          </w:p>
        </w:tc>
        <w:tc>
          <w:tcPr>
            <w:tcW w:w="991" w:type="pct"/>
            <w:vAlign w:val="center"/>
            <w:hideMark/>
          </w:tcPr>
          <w:p w:rsidR="009E1E51" w:rsidRPr="009E1E51" w:rsidRDefault="009E1E51" w:rsidP="0035663E">
            <w:pPr>
              <w:spacing w:after="200" w:line="276" w:lineRule="auto"/>
              <w:ind w:left="142"/>
              <w:rPr>
                <w:rFonts w:ascii="Calibri" w:eastAsia="Calibri" w:hAnsi="Calibri"/>
                <w:lang w:eastAsia="en-US"/>
              </w:rPr>
            </w:pPr>
            <w:r w:rsidRPr="009E1E51">
              <w:rPr>
                <w:rFonts w:ascii="Calibri" w:eastAsia="Calibri" w:hAnsi="Calibri"/>
                <w:sz w:val="22"/>
                <w:szCs w:val="22"/>
                <w:lang w:eastAsia="en-US"/>
              </w:rPr>
              <w:t> </w:t>
            </w:r>
          </w:p>
        </w:tc>
        <w:tc>
          <w:tcPr>
            <w:tcW w:w="993"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01/07/2005</w:t>
            </w:r>
          </w:p>
        </w:tc>
        <w:tc>
          <w:tcPr>
            <w:tcW w:w="866"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30/06/2015</w:t>
            </w:r>
          </w:p>
        </w:tc>
      </w:tr>
      <w:tr w:rsidR="009E1E51" w:rsidRPr="009E1E51" w:rsidTr="0035663E">
        <w:tc>
          <w:tcPr>
            <w:tcW w:w="2150" w:type="pct"/>
            <w:vAlign w:val="center"/>
            <w:hideMark/>
          </w:tcPr>
          <w:p w:rsidR="009E1E51" w:rsidRPr="009E1E51" w:rsidRDefault="009E1E51" w:rsidP="0035663E">
            <w:pPr>
              <w:spacing w:after="200" w:line="276" w:lineRule="auto"/>
              <w:ind w:left="147" w:hanging="5"/>
              <w:rPr>
                <w:rFonts w:ascii="Calibri" w:eastAsia="Calibri" w:hAnsi="Calibri"/>
                <w:lang w:eastAsia="en-US"/>
              </w:rPr>
            </w:pPr>
            <w:r w:rsidRPr="009E1E51">
              <w:rPr>
                <w:rFonts w:ascii="Calibri" w:eastAsia="Calibri" w:hAnsi="Calibri"/>
                <w:sz w:val="22"/>
                <w:szCs w:val="22"/>
                <w:lang w:eastAsia="en-US"/>
              </w:rPr>
              <w:t>Reserve Bank of Australia</w:t>
            </w:r>
          </w:p>
        </w:tc>
        <w:tc>
          <w:tcPr>
            <w:tcW w:w="991" w:type="pct"/>
            <w:vAlign w:val="center"/>
            <w:hideMark/>
          </w:tcPr>
          <w:p w:rsidR="009E1E51" w:rsidRPr="009E1E51" w:rsidRDefault="009E1E51" w:rsidP="0035663E">
            <w:pPr>
              <w:spacing w:after="200" w:line="276" w:lineRule="auto"/>
              <w:ind w:left="142"/>
              <w:rPr>
                <w:rFonts w:ascii="Calibri" w:eastAsia="Calibri" w:hAnsi="Calibri"/>
                <w:lang w:eastAsia="en-US"/>
              </w:rPr>
            </w:pPr>
            <w:r w:rsidRPr="009E1E51">
              <w:rPr>
                <w:rFonts w:ascii="Calibri" w:eastAsia="Calibri" w:hAnsi="Calibri"/>
                <w:sz w:val="22"/>
                <w:szCs w:val="22"/>
                <w:lang w:eastAsia="en-US"/>
              </w:rPr>
              <w:t> </w:t>
            </w:r>
          </w:p>
        </w:tc>
        <w:tc>
          <w:tcPr>
            <w:tcW w:w="993"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01/05/1996</w:t>
            </w:r>
          </w:p>
        </w:tc>
        <w:tc>
          <w:tcPr>
            <w:tcW w:w="866"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30/06/2015</w:t>
            </w:r>
          </w:p>
        </w:tc>
      </w:tr>
      <w:tr w:rsidR="009E1E51" w:rsidRPr="009E1E51" w:rsidTr="0035663E">
        <w:tc>
          <w:tcPr>
            <w:tcW w:w="2150" w:type="pct"/>
            <w:vAlign w:val="center"/>
            <w:hideMark/>
          </w:tcPr>
          <w:p w:rsidR="009E1E51" w:rsidRPr="009E1E51" w:rsidRDefault="009E1E51" w:rsidP="0035663E">
            <w:pPr>
              <w:spacing w:after="200" w:line="276" w:lineRule="auto"/>
              <w:ind w:left="147" w:hanging="5"/>
              <w:rPr>
                <w:rFonts w:ascii="Calibri" w:eastAsia="Calibri" w:hAnsi="Calibri"/>
                <w:lang w:eastAsia="en-US"/>
              </w:rPr>
            </w:pPr>
            <w:r w:rsidRPr="009E1E51">
              <w:rPr>
                <w:rFonts w:ascii="Calibri" w:eastAsia="Calibri" w:hAnsi="Calibri"/>
                <w:sz w:val="22"/>
                <w:szCs w:val="22"/>
                <w:lang w:eastAsia="en-US"/>
              </w:rPr>
              <w:t>Telstra Corporation Ltd</w:t>
            </w:r>
          </w:p>
        </w:tc>
        <w:tc>
          <w:tcPr>
            <w:tcW w:w="991" w:type="pct"/>
            <w:vAlign w:val="center"/>
            <w:hideMark/>
          </w:tcPr>
          <w:p w:rsidR="009E1E51" w:rsidRPr="009E1E51" w:rsidRDefault="009E1E51" w:rsidP="0035663E">
            <w:pPr>
              <w:spacing w:after="200" w:line="276" w:lineRule="auto"/>
              <w:ind w:left="142"/>
              <w:rPr>
                <w:rFonts w:ascii="Calibri" w:eastAsia="Calibri" w:hAnsi="Calibri"/>
                <w:lang w:eastAsia="en-US"/>
              </w:rPr>
            </w:pPr>
            <w:r w:rsidRPr="009E1E51">
              <w:rPr>
                <w:rFonts w:ascii="Calibri" w:eastAsia="Calibri" w:hAnsi="Calibri"/>
                <w:sz w:val="22"/>
                <w:szCs w:val="22"/>
                <w:lang w:eastAsia="en-US"/>
              </w:rPr>
              <w:t> </w:t>
            </w:r>
          </w:p>
        </w:tc>
        <w:tc>
          <w:tcPr>
            <w:tcW w:w="993"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30/06/1992</w:t>
            </w:r>
          </w:p>
        </w:tc>
        <w:tc>
          <w:tcPr>
            <w:tcW w:w="866"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30/06/2014</w:t>
            </w:r>
          </w:p>
        </w:tc>
      </w:tr>
      <w:tr w:rsidR="009E1E51" w:rsidRPr="009E1E51" w:rsidTr="0035663E">
        <w:tc>
          <w:tcPr>
            <w:tcW w:w="2150" w:type="pct"/>
            <w:vAlign w:val="center"/>
            <w:hideMark/>
          </w:tcPr>
          <w:p w:rsidR="009E1E51" w:rsidRPr="009E1E51" w:rsidRDefault="009E1E51" w:rsidP="0035663E">
            <w:pPr>
              <w:spacing w:after="200" w:line="276" w:lineRule="auto"/>
              <w:ind w:left="147" w:hanging="5"/>
              <w:rPr>
                <w:rFonts w:ascii="Calibri" w:eastAsia="Calibri" w:hAnsi="Calibri"/>
                <w:lang w:eastAsia="en-US"/>
              </w:rPr>
            </w:pPr>
            <w:r w:rsidRPr="009E1E51">
              <w:rPr>
                <w:rFonts w:ascii="Calibri" w:eastAsia="Calibri" w:hAnsi="Calibri"/>
                <w:sz w:val="22"/>
                <w:szCs w:val="22"/>
                <w:lang w:eastAsia="en-US"/>
              </w:rPr>
              <w:t>Thales Australia</w:t>
            </w:r>
          </w:p>
        </w:tc>
        <w:tc>
          <w:tcPr>
            <w:tcW w:w="991" w:type="pct"/>
            <w:vAlign w:val="center"/>
            <w:hideMark/>
          </w:tcPr>
          <w:p w:rsidR="009E1E51" w:rsidRPr="009E1E51" w:rsidRDefault="009E1E51" w:rsidP="0035663E">
            <w:pPr>
              <w:spacing w:after="200" w:line="276" w:lineRule="auto"/>
              <w:ind w:left="142"/>
              <w:rPr>
                <w:rFonts w:ascii="Calibri" w:eastAsia="Calibri" w:hAnsi="Calibri"/>
                <w:lang w:eastAsia="en-US"/>
              </w:rPr>
            </w:pPr>
            <w:r w:rsidRPr="009E1E51">
              <w:rPr>
                <w:rFonts w:ascii="Calibri" w:eastAsia="Calibri" w:hAnsi="Calibri"/>
                <w:sz w:val="22"/>
                <w:szCs w:val="22"/>
                <w:lang w:eastAsia="en-US"/>
              </w:rPr>
              <w:t>ADI Ltd</w:t>
            </w:r>
          </w:p>
        </w:tc>
        <w:tc>
          <w:tcPr>
            <w:tcW w:w="993"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07/02/1996</w:t>
            </w:r>
          </w:p>
        </w:tc>
        <w:tc>
          <w:tcPr>
            <w:tcW w:w="866"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30/06/2013</w:t>
            </w:r>
          </w:p>
        </w:tc>
      </w:tr>
      <w:tr w:rsidR="009E1E51" w:rsidRPr="009E1E51" w:rsidTr="0035663E">
        <w:tc>
          <w:tcPr>
            <w:tcW w:w="2150" w:type="pct"/>
            <w:vAlign w:val="center"/>
            <w:hideMark/>
          </w:tcPr>
          <w:p w:rsidR="009E1E51" w:rsidRPr="009E1E51" w:rsidRDefault="009E1E51" w:rsidP="0035663E">
            <w:pPr>
              <w:spacing w:after="200" w:line="276" w:lineRule="auto"/>
              <w:ind w:left="147" w:hanging="5"/>
              <w:rPr>
                <w:rFonts w:ascii="Calibri" w:eastAsia="Calibri" w:hAnsi="Calibri"/>
                <w:lang w:eastAsia="en-US"/>
              </w:rPr>
            </w:pPr>
            <w:r w:rsidRPr="009E1E51">
              <w:rPr>
                <w:rFonts w:ascii="Calibri" w:eastAsia="Calibri" w:hAnsi="Calibri"/>
                <w:sz w:val="22"/>
                <w:szCs w:val="22"/>
                <w:lang w:eastAsia="en-US"/>
              </w:rPr>
              <w:t>TNT Australia Pty Ltd</w:t>
            </w:r>
          </w:p>
        </w:tc>
        <w:tc>
          <w:tcPr>
            <w:tcW w:w="991" w:type="pct"/>
            <w:vAlign w:val="center"/>
            <w:hideMark/>
          </w:tcPr>
          <w:p w:rsidR="009E1E51" w:rsidRPr="009E1E51" w:rsidRDefault="009E1E51" w:rsidP="0035663E">
            <w:pPr>
              <w:spacing w:after="200" w:line="276" w:lineRule="auto"/>
              <w:ind w:left="142"/>
              <w:rPr>
                <w:rFonts w:ascii="Calibri" w:eastAsia="Calibri" w:hAnsi="Calibri"/>
                <w:lang w:eastAsia="en-US"/>
              </w:rPr>
            </w:pPr>
            <w:r w:rsidRPr="009E1E51">
              <w:rPr>
                <w:rFonts w:ascii="Calibri" w:eastAsia="Calibri" w:hAnsi="Calibri"/>
                <w:sz w:val="22"/>
                <w:szCs w:val="22"/>
                <w:lang w:eastAsia="en-US"/>
              </w:rPr>
              <w:t> </w:t>
            </w:r>
          </w:p>
        </w:tc>
        <w:tc>
          <w:tcPr>
            <w:tcW w:w="993"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01/07/2008</w:t>
            </w:r>
          </w:p>
        </w:tc>
        <w:tc>
          <w:tcPr>
            <w:tcW w:w="866"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30/06/2014</w:t>
            </w:r>
          </w:p>
        </w:tc>
      </w:tr>
      <w:tr w:rsidR="009E1E51" w:rsidRPr="009E1E51" w:rsidTr="0035663E">
        <w:tc>
          <w:tcPr>
            <w:tcW w:w="2150" w:type="pct"/>
            <w:vAlign w:val="center"/>
            <w:hideMark/>
          </w:tcPr>
          <w:p w:rsidR="009E1E51" w:rsidRPr="009E1E51" w:rsidRDefault="009E1E51" w:rsidP="0035663E">
            <w:pPr>
              <w:spacing w:after="200" w:line="276" w:lineRule="auto"/>
              <w:ind w:left="147" w:hanging="5"/>
              <w:rPr>
                <w:rFonts w:ascii="Calibri" w:eastAsia="Calibri" w:hAnsi="Calibri"/>
                <w:lang w:eastAsia="en-US"/>
              </w:rPr>
            </w:pPr>
            <w:r w:rsidRPr="009E1E51">
              <w:rPr>
                <w:rFonts w:ascii="Calibri" w:eastAsia="Calibri" w:hAnsi="Calibri"/>
                <w:sz w:val="22"/>
                <w:szCs w:val="22"/>
                <w:lang w:eastAsia="en-US"/>
              </w:rPr>
              <w:t>Transpacific Industries Pty Ltd</w:t>
            </w:r>
          </w:p>
        </w:tc>
        <w:tc>
          <w:tcPr>
            <w:tcW w:w="991" w:type="pct"/>
            <w:vAlign w:val="center"/>
            <w:hideMark/>
          </w:tcPr>
          <w:p w:rsidR="009E1E51" w:rsidRPr="009E1E51" w:rsidRDefault="009E1E51" w:rsidP="0035663E">
            <w:pPr>
              <w:spacing w:after="200" w:line="276" w:lineRule="auto"/>
              <w:ind w:left="142"/>
              <w:rPr>
                <w:rFonts w:ascii="Calibri" w:eastAsia="Calibri" w:hAnsi="Calibri"/>
                <w:lang w:eastAsia="en-US"/>
              </w:rPr>
            </w:pPr>
            <w:r w:rsidRPr="009E1E51">
              <w:rPr>
                <w:rFonts w:ascii="Calibri" w:eastAsia="Calibri" w:hAnsi="Calibri"/>
                <w:sz w:val="22"/>
                <w:szCs w:val="22"/>
                <w:lang w:eastAsia="en-US"/>
              </w:rPr>
              <w:t> </w:t>
            </w:r>
          </w:p>
        </w:tc>
        <w:tc>
          <w:tcPr>
            <w:tcW w:w="993"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01/07/2008</w:t>
            </w:r>
          </w:p>
        </w:tc>
        <w:tc>
          <w:tcPr>
            <w:tcW w:w="866"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30/06/2014</w:t>
            </w:r>
          </w:p>
        </w:tc>
      </w:tr>
      <w:tr w:rsidR="009E1E51" w:rsidRPr="009E1E51" w:rsidTr="0035663E">
        <w:tc>
          <w:tcPr>
            <w:tcW w:w="2150" w:type="pct"/>
            <w:vAlign w:val="center"/>
            <w:hideMark/>
          </w:tcPr>
          <w:p w:rsidR="009E1E51" w:rsidRPr="009E1E51" w:rsidRDefault="009E1E51" w:rsidP="0035663E">
            <w:pPr>
              <w:spacing w:after="200" w:line="276" w:lineRule="auto"/>
              <w:ind w:left="147" w:hanging="5"/>
              <w:rPr>
                <w:rFonts w:ascii="Calibri" w:eastAsia="Calibri" w:hAnsi="Calibri"/>
                <w:lang w:eastAsia="en-US"/>
              </w:rPr>
            </w:pPr>
            <w:r w:rsidRPr="009E1E51">
              <w:rPr>
                <w:rFonts w:ascii="Calibri" w:eastAsia="Calibri" w:hAnsi="Calibri"/>
                <w:sz w:val="22"/>
                <w:szCs w:val="22"/>
                <w:lang w:eastAsia="en-US"/>
              </w:rPr>
              <w:t>Visionstream Pty Ltd</w:t>
            </w:r>
          </w:p>
        </w:tc>
        <w:tc>
          <w:tcPr>
            <w:tcW w:w="991" w:type="pct"/>
            <w:vAlign w:val="center"/>
            <w:hideMark/>
          </w:tcPr>
          <w:p w:rsidR="009E1E51" w:rsidRPr="009E1E51" w:rsidRDefault="009E1E51" w:rsidP="0035663E">
            <w:pPr>
              <w:spacing w:after="200" w:line="276" w:lineRule="auto"/>
              <w:ind w:left="142"/>
              <w:rPr>
                <w:rFonts w:ascii="Calibri" w:eastAsia="Calibri" w:hAnsi="Calibri"/>
                <w:lang w:eastAsia="en-US"/>
              </w:rPr>
            </w:pPr>
            <w:r w:rsidRPr="009E1E51">
              <w:rPr>
                <w:rFonts w:ascii="Calibri" w:eastAsia="Calibri" w:hAnsi="Calibri"/>
                <w:sz w:val="22"/>
                <w:szCs w:val="22"/>
                <w:lang w:eastAsia="en-US"/>
              </w:rPr>
              <w:t> </w:t>
            </w:r>
          </w:p>
        </w:tc>
        <w:tc>
          <w:tcPr>
            <w:tcW w:w="993"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01/07/1999</w:t>
            </w:r>
          </w:p>
        </w:tc>
        <w:tc>
          <w:tcPr>
            <w:tcW w:w="866" w:type="pct"/>
            <w:vAlign w:val="center"/>
            <w:hideMark/>
          </w:tcPr>
          <w:p w:rsidR="009E1E51" w:rsidRPr="009E1E51" w:rsidRDefault="009E1E51" w:rsidP="0035663E">
            <w:pPr>
              <w:spacing w:after="200" w:line="276" w:lineRule="auto"/>
              <w:jc w:val="center"/>
              <w:rPr>
                <w:rFonts w:ascii="Calibri" w:eastAsia="Calibri" w:hAnsi="Calibri"/>
                <w:lang w:eastAsia="en-US"/>
              </w:rPr>
            </w:pPr>
            <w:r w:rsidRPr="009E1E51">
              <w:rPr>
                <w:rFonts w:ascii="Calibri" w:eastAsia="Calibri" w:hAnsi="Calibri"/>
                <w:sz w:val="22"/>
                <w:szCs w:val="22"/>
                <w:lang w:eastAsia="en-US"/>
              </w:rPr>
              <w:t>30/06/2015</w:t>
            </w:r>
          </w:p>
        </w:tc>
      </w:tr>
    </w:tbl>
    <w:p w:rsidR="009E1E51" w:rsidRPr="007B600B" w:rsidRDefault="009E1E51" w:rsidP="007B600B">
      <w:pPr>
        <w:shd w:val="clear" w:color="auto" w:fill="FFFFFF"/>
        <w:spacing w:before="100" w:beforeAutospacing="1" w:after="100" w:afterAutospacing="1" w:line="336" w:lineRule="atLeast"/>
        <w:rPr>
          <w:rFonts w:asciiTheme="minorHAnsi" w:hAnsiTheme="minorHAnsi" w:cstheme="minorHAnsi"/>
          <w:color w:val="000000"/>
          <w:sz w:val="22"/>
          <w:szCs w:val="22"/>
        </w:rPr>
      </w:pPr>
    </w:p>
    <w:p w:rsidR="007B600B" w:rsidRPr="007B600B" w:rsidRDefault="007B600B" w:rsidP="007B600B">
      <w:pPr>
        <w:spacing w:after="120"/>
        <w:ind w:hanging="709"/>
        <w:rPr>
          <w:rFonts w:asciiTheme="minorHAnsi" w:eastAsiaTheme="minorHAnsi" w:hAnsiTheme="minorHAnsi" w:cstheme="minorBidi"/>
          <w:sz w:val="22"/>
          <w:szCs w:val="22"/>
          <w:lang w:eastAsia="en-US"/>
        </w:rPr>
      </w:pPr>
    </w:p>
    <w:p w:rsidR="007B600B" w:rsidRDefault="007B600B" w:rsidP="00797CEF">
      <w:pPr>
        <w:spacing w:after="120"/>
        <w:rPr>
          <w:rFonts w:ascii="Calibri" w:hAnsi="Calibri" w:cs="Calibri"/>
          <w:sz w:val="22"/>
          <w:szCs w:val="22"/>
        </w:rPr>
        <w:sectPr w:rsidR="007B600B" w:rsidSect="0042201E">
          <w:headerReference w:type="default" r:id="rId48"/>
          <w:pgSz w:w="11906" w:h="16838"/>
          <w:pgMar w:top="1440" w:right="1440" w:bottom="1440" w:left="1440" w:header="708" w:footer="708" w:gutter="0"/>
          <w:cols w:space="708"/>
          <w:docGrid w:linePitch="360"/>
        </w:sectPr>
      </w:pPr>
    </w:p>
    <w:p w:rsidR="007B600B" w:rsidRPr="008B228F" w:rsidRDefault="008B228F">
      <w:pPr>
        <w:spacing w:before="100" w:beforeAutospacing="1" w:after="100" w:afterAutospacing="1"/>
        <w:outlineLvl w:val="0"/>
        <w:rPr>
          <w:rFonts w:ascii="Arial" w:hAnsi="Arial"/>
          <w:bCs/>
          <w:caps/>
          <w:color w:val="1F497D" w:themeColor="text2"/>
          <w:kern w:val="36"/>
          <w:sz w:val="28"/>
          <w:szCs w:val="28"/>
        </w:rPr>
      </w:pPr>
      <w:bookmarkStart w:id="590" w:name="_Toc342578429"/>
      <w:r>
        <w:rPr>
          <w:rFonts w:ascii="Arial" w:hAnsi="Arial"/>
          <w:bCs/>
          <w:caps/>
          <w:color w:val="1F497D" w:themeColor="text2"/>
          <w:kern w:val="36"/>
          <w:sz w:val="28"/>
          <w:szCs w:val="28"/>
        </w:rPr>
        <w:lastRenderedPageBreak/>
        <w:t xml:space="preserve">annex e - </w:t>
      </w:r>
      <w:r w:rsidR="007B600B" w:rsidRPr="008B228F">
        <w:rPr>
          <w:rFonts w:ascii="Arial" w:hAnsi="Arial"/>
          <w:bCs/>
          <w:caps/>
          <w:color w:val="1F497D" w:themeColor="text2"/>
          <w:kern w:val="36"/>
          <w:sz w:val="28"/>
          <w:szCs w:val="28"/>
        </w:rPr>
        <w:t>Premium Sector KPI Scorecard</w:t>
      </w:r>
      <w:bookmarkEnd w:id="590"/>
    </w:p>
    <w:p w:rsidR="007B600B" w:rsidRPr="007B600B" w:rsidRDefault="007B600B" w:rsidP="007B600B">
      <w:pPr>
        <w:spacing w:after="200" w:line="276" w:lineRule="auto"/>
        <w:jc w:val="center"/>
        <w:rPr>
          <w:rFonts w:ascii="Verdana" w:eastAsiaTheme="minorHAnsi" w:hAnsi="Verdana" w:cstheme="minorBidi"/>
          <w:sz w:val="20"/>
          <w:szCs w:val="22"/>
          <w:lang w:eastAsia="en-US"/>
        </w:rPr>
      </w:pPr>
      <w:r w:rsidRPr="007B600B">
        <w:rPr>
          <w:rFonts w:ascii="Verdana" w:eastAsiaTheme="minorHAnsi" w:hAnsi="Verdana" w:cstheme="minorBidi"/>
          <w:sz w:val="20"/>
          <w:szCs w:val="22"/>
          <w:lang w:eastAsia="en-US"/>
        </w:rPr>
        <w:t>Performance to 30 June 2012</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bottom w:w="11" w:type="dxa"/>
        </w:tblCellMar>
        <w:tblLook w:val="01E0" w:firstRow="1" w:lastRow="1" w:firstColumn="1" w:lastColumn="1" w:noHBand="0" w:noVBand="0"/>
      </w:tblPr>
      <w:tblGrid>
        <w:gridCol w:w="3475"/>
        <w:gridCol w:w="1610"/>
        <w:gridCol w:w="940"/>
        <w:gridCol w:w="977"/>
        <w:gridCol w:w="7"/>
        <w:gridCol w:w="943"/>
        <w:gridCol w:w="7"/>
        <w:gridCol w:w="882"/>
        <w:gridCol w:w="7"/>
        <w:gridCol w:w="1136"/>
        <w:gridCol w:w="7"/>
      </w:tblGrid>
      <w:tr w:rsidR="007B600B" w:rsidRPr="007B600B" w:rsidTr="000D7C1C">
        <w:trPr>
          <w:jc w:val="center"/>
        </w:trPr>
        <w:tc>
          <w:tcPr>
            <w:tcW w:w="3475" w:type="dxa"/>
            <w:vMerge w:val="restart"/>
            <w:tcBorders>
              <w:top w:val="single" w:sz="4" w:space="0" w:color="auto"/>
              <w:left w:val="nil"/>
              <w:right w:val="nil"/>
            </w:tcBorders>
            <w:shd w:val="clear" w:color="auto" w:fill="auto"/>
            <w:vAlign w:val="center"/>
          </w:tcPr>
          <w:p w:rsidR="007B600B" w:rsidRPr="007B600B" w:rsidRDefault="007B600B" w:rsidP="007B600B">
            <w:pPr>
              <w:spacing w:after="200" w:line="276" w:lineRule="auto"/>
              <w:jc w:val="center"/>
              <w:rPr>
                <w:rFonts w:asciiTheme="minorHAnsi" w:eastAsiaTheme="minorHAnsi" w:hAnsiTheme="minorHAnsi" w:cstheme="minorBidi"/>
                <w:lang w:eastAsia="en-US"/>
              </w:rPr>
            </w:pPr>
            <w:r w:rsidRPr="007B600B">
              <w:rPr>
                <w:rFonts w:asciiTheme="minorHAnsi" w:eastAsiaTheme="minorHAnsi" w:hAnsiTheme="minorHAnsi" w:cstheme="minorBidi"/>
                <w:sz w:val="22"/>
                <w:szCs w:val="22"/>
                <w:lang w:eastAsia="en-US"/>
              </w:rPr>
              <w:br w:type="page"/>
            </w:r>
          </w:p>
        </w:tc>
        <w:tc>
          <w:tcPr>
            <w:tcW w:w="1610" w:type="dxa"/>
            <w:vMerge w:val="restart"/>
            <w:tcBorders>
              <w:top w:val="single" w:sz="4" w:space="0" w:color="auto"/>
              <w:left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b/>
                <w:sz w:val="18"/>
                <w:szCs w:val="18"/>
                <w:lang w:eastAsia="en-US"/>
              </w:rPr>
            </w:pPr>
            <w:r w:rsidRPr="007B600B">
              <w:rPr>
                <w:rFonts w:ascii="Arial" w:eastAsiaTheme="minorHAnsi" w:hAnsi="Arial" w:cs="Arial"/>
                <w:b/>
                <w:sz w:val="18"/>
                <w:szCs w:val="18"/>
                <w:lang w:eastAsia="en-US"/>
              </w:rPr>
              <w:t>Accountability</w:t>
            </w:r>
          </w:p>
        </w:tc>
        <w:tc>
          <w:tcPr>
            <w:tcW w:w="940" w:type="dxa"/>
            <w:vMerge w:val="restart"/>
            <w:tcBorders>
              <w:top w:val="single" w:sz="4" w:space="0" w:color="auto"/>
              <w:left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b/>
                <w:sz w:val="18"/>
                <w:szCs w:val="18"/>
                <w:lang w:eastAsia="en-US"/>
              </w:rPr>
            </w:pPr>
            <w:r w:rsidRPr="007B600B">
              <w:rPr>
                <w:rFonts w:ascii="Arial" w:eastAsiaTheme="minorHAnsi" w:hAnsi="Arial" w:cs="Arial"/>
                <w:b/>
                <w:sz w:val="18"/>
                <w:szCs w:val="18"/>
                <w:lang w:eastAsia="en-US"/>
              </w:rPr>
              <w:t>Target</w:t>
            </w:r>
          </w:p>
          <w:p w:rsidR="007B600B" w:rsidRPr="007B600B" w:rsidRDefault="007B600B" w:rsidP="007B600B">
            <w:pPr>
              <w:spacing w:after="200" w:line="276" w:lineRule="auto"/>
              <w:jc w:val="center"/>
              <w:rPr>
                <w:rFonts w:ascii="Arial" w:eastAsiaTheme="minorHAnsi" w:hAnsi="Arial" w:cs="Arial"/>
                <w:b/>
                <w:sz w:val="18"/>
                <w:szCs w:val="18"/>
                <w:lang w:eastAsia="en-US"/>
              </w:rPr>
            </w:pPr>
            <w:r w:rsidRPr="007B600B">
              <w:rPr>
                <w:rFonts w:ascii="Arial" w:eastAsiaTheme="minorHAnsi" w:hAnsi="Arial" w:cs="Arial"/>
                <w:b/>
                <w:sz w:val="18"/>
                <w:szCs w:val="18"/>
                <w:lang w:eastAsia="en-US"/>
              </w:rPr>
              <w:t>2011–12</w:t>
            </w:r>
          </w:p>
        </w:tc>
        <w:tc>
          <w:tcPr>
            <w:tcW w:w="3966" w:type="dxa"/>
            <w:gridSpan w:val="8"/>
            <w:tcBorders>
              <w:top w:val="single" w:sz="4" w:space="0" w:color="auto"/>
              <w:left w:val="nil"/>
              <w:bottom w:val="single" w:sz="4" w:space="0" w:color="auto"/>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b/>
                <w:sz w:val="18"/>
                <w:szCs w:val="18"/>
                <w:lang w:eastAsia="en-US"/>
              </w:rPr>
            </w:pPr>
            <w:r w:rsidRPr="007B600B">
              <w:rPr>
                <w:rFonts w:ascii="Arial" w:eastAsiaTheme="minorHAnsi" w:hAnsi="Arial" w:cs="Arial"/>
                <w:b/>
                <w:sz w:val="18"/>
                <w:szCs w:val="18"/>
                <w:lang w:eastAsia="en-US"/>
              </w:rPr>
              <w:t>Latest performance</w:t>
            </w:r>
          </w:p>
        </w:tc>
      </w:tr>
      <w:tr w:rsidR="007B600B" w:rsidRPr="007B600B" w:rsidTr="000D7C1C">
        <w:trPr>
          <w:jc w:val="center"/>
        </w:trPr>
        <w:tc>
          <w:tcPr>
            <w:tcW w:w="3475" w:type="dxa"/>
            <w:vMerge/>
            <w:tcBorders>
              <w:left w:val="nil"/>
              <w:bottom w:val="single" w:sz="4" w:space="0" w:color="auto"/>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p>
        </w:tc>
        <w:tc>
          <w:tcPr>
            <w:tcW w:w="1610" w:type="dxa"/>
            <w:vMerge/>
            <w:tcBorders>
              <w:left w:val="nil"/>
              <w:bottom w:val="single" w:sz="4" w:space="0" w:color="auto"/>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b/>
                <w:sz w:val="18"/>
                <w:szCs w:val="18"/>
                <w:lang w:eastAsia="en-US"/>
              </w:rPr>
            </w:pPr>
          </w:p>
        </w:tc>
        <w:tc>
          <w:tcPr>
            <w:tcW w:w="940" w:type="dxa"/>
            <w:vMerge/>
            <w:tcBorders>
              <w:left w:val="nil"/>
              <w:bottom w:val="single" w:sz="4" w:space="0" w:color="auto"/>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b/>
                <w:sz w:val="18"/>
                <w:szCs w:val="18"/>
                <w:lang w:eastAsia="en-US"/>
              </w:rPr>
            </w:pPr>
          </w:p>
        </w:tc>
        <w:tc>
          <w:tcPr>
            <w:tcW w:w="984" w:type="dxa"/>
            <w:gridSpan w:val="2"/>
            <w:tcBorders>
              <w:top w:val="single" w:sz="4" w:space="0" w:color="auto"/>
              <w:left w:val="nil"/>
              <w:bottom w:val="single" w:sz="4" w:space="0" w:color="auto"/>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b/>
                <w:sz w:val="18"/>
                <w:szCs w:val="18"/>
                <w:lang w:eastAsia="en-US"/>
              </w:rPr>
            </w:pPr>
            <w:r w:rsidRPr="007B600B">
              <w:rPr>
                <w:rFonts w:ascii="Arial" w:eastAsiaTheme="minorHAnsi" w:hAnsi="Arial" w:cs="Arial"/>
                <w:b/>
                <w:sz w:val="18"/>
                <w:szCs w:val="18"/>
                <w:lang w:eastAsia="en-US"/>
              </w:rPr>
              <w:t>Result</w:t>
            </w:r>
          </w:p>
        </w:tc>
        <w:tc>
          <w:tcPr>
            <w:tcW w:w="950" w:type="dxa"/>
            <w:gridSpan w:val="2"/>
            <w:tcBorders>
              <w:top w:val="single" w:sz="4" w:space="0" w:color="auto"/>
              <w:left w:val="nil"/>
              <w:bottom w:val="single" w:sz="4" w:space="0" w:color="auto"/>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b/>
                <w:sz w:val="18"/>
                <w:szCs w:val="18"/>
                <w:lang w:eastAsia="en-US"/>
              </w:rPr>
            </w:pPr>
            <w:r w:rsidRPr="007B600B">
              <w:rPr>
                <w:rFonts w:ascii="Arial" w:eastAsiaTheme="minorHAnsi" w:hAnsi="Arial" w:cs="Arial"/>
                <w:b/>
                <w:sz w:val="18"/>
                <w:szCs w:val="18"/>
                <w:lang w:eastAsia="en-US"/>
              </w:rPr>
              <w:t>Status</w:t>
            </w:r>
          </w:p>
        </w:tc>
        <w:tc>
          <w:tcPr>
            <w:tcW w:w="889" w:type="dxa"/>
            <w:gridSpan w:val="2"/>
            <w:tcBorders>
              <w:top w:val="single" w:sz="4" w:space="0" w:color="auto"/>
              <w:left w:val="nil"/>
              <w:bottom w:val="single" w:sz="4" w:space="0" w:color="auto"/>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b/>
                <w:sz w:val="18"/>
                <w:szCs w:val="18"/>
                <w:lang w:eastAsia="en-US"/>
              </w:rPr>
            </w:pPr>
            <w:r w:rsidRPr="007B600B">
              <w:rPr>
                <w:rFonts w:ascii="Arial" w:eastAsiaTheme="minorHAnsi" w:hAnsi="Arial" w:cs="Arial"/>
                <w:b/>
                <w:sz w:val="20"/>
                <w:szCs w:val="20"/>
                <w:lang w:eastAsia="en-US"/>
              </w:rPr>
              <w:t>*</w:t>
            </w:r>
            <w:r w:rsidRPr="007B600B">
              <w:rPr>
                <w:rFonts w:ascii="Arial" w:eastAsiaTheme="minorHAnsi" w:hAnsi="Arial" w:cs="Arial"/>
                <w:b/>
                <w:sz w:val="18"/>
                <w:szCs w:val="18"/>
                <w:lang w:eastAsia="en-US"/>
              </w:rPr>
              <w:t>Trend</w:t>
            </w:r>
          </w:p>
        </w:tc>
        <w:tc>
          <w:tcPr>
            <w:tcW w:w="1143" w:type="dxa"/>
            <w:gridSpan w:val="2"/>
            <w:tcBorders>
              <w:top w:val="single" w:sz="4" w:space="0" w:color="auto"/>
              <w:left w:val="nil"/>
              <w:bottom w:val="single" w:sz="4" w:space="0" w:color="auto"/>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b/>
                <w:sz w:val="18"/>
                <w:szCs w:val="18"/>
                <w:lang w:eastAsia="en-US"/>
              </w:rPr>
            </w:pPr>
            <w:r w:rsidRPr="007B600B">
              <w:rPr>
                <w:rFonts w:ascii="Arial" w:eastAsiaTheme="minorHAnsi" w:hAnsi="Arial" w:cs="Arial"/>
                <w:b/>
                <w:sz w:val="18"/>
                <w:szCs w:val="18"/>
                <w:lang w:eastAsia="en-US"/>
              </w:rPr>
              <w:t>Reporting period</w:t>
            </w:r>
          </w:p>
        </w:tc>
      </w:tr>
      <w:tr w:rsidR="007B600B" w:rsidRPr="007B600B" w:rsidTr="000D7C1C">
        <w:trPr>
          <w:gridAfter w:val="1"/>
          <w:wAfter w:w="7" w:type="dxa"/>
          <w:trHeight w:val="284"/>
          <w:jc w:val="center"/>
        </w:trPr>
        <w:tc>
          <w:tcPr>
            <w:tcW w:w="9984" w:type="dxa"/>
            <w:gridSpan w:val="10"/>
            <w:tcBorders>
              <w:top w:val="single" w:sz="4" w:space="0" w:color="auto"/>
              <w:left w:val="nil"/>
              <w:bottom w:val="single" w:sz="4" w:space="0" w:color="auto"/>
              <w:right w:val="nil"/>
            </w:tcBorders>
            <w:shd w:val="clear" w:color="auto" w:fill="33CCCC"/>
            <w:vAlign w:val="center"/>
          </w:tcPr>
          <w:p w:rsidR="007B600B" w:rsidRPr="007B600B" w:rsidRDefault="007B600B" w:rsidP="007B600B">
            <w:pPr>
              <w:spacing w:after="200" w:line="276" w:lineRule="auto"/>
              <w:rPr>
                <w:rFonts w:ascii="Arial" w:eastAsiaTheme="minorHAnsi" w:hAnsi="Arial" w:cs="Arial"/>
                <w:b/>
                <w:sz w:val="20"/>
                <w:szCs w:val="20"/>
                <w:lang w:eastAsia="en-US"/>
              </w:rPr>
            </w:pPr>
            <w:r w:rsidRPr="007B600B">
              <w:rPr>
                <w:rFonts w:ascii="Verdana" w:eastAsiaTheme="minorHAnsi" w:hAnsi="Verdana" w:cstheme="minorBidi"/>
                <w:b/>
                <w:sz w:val="20"/>
                <w:szCs w:val="20"/>
                <w:lang w:eastAsia="en-US"/>
              </w:rPr>
              <w:t>Back at work</w:t>
            </w:r>
          </w:p>
        </w:tc>
      </w:tr>
      <w:tr w:rsidR="007B600B" w:rsidRPr="007B600B" w:rsidTr="000D7C1C">
        <w:trPr>
          <w:trHeight w:val="284"/>
          <w:jc w:val="center"/>
        </w:trPr>
        <w:tc>
          <w:tcPr>
            <w:tcW w:w="3475" w:type="dxa"/>
            <w:tcBorders>
              <w:top w:val="single" w:sz="4" w:space="0" w:color="auto"/>
              <w:left w:val="nil"/>
              <w:bottom w:val="nil"/>
              <w:right w:val="nil"/>
            </w:tcBorders>
            <w:shd w:val="clear" w:color="auto" w:fill="auto"/>
            <w:vAlign w:val="center"/>
          </w:tcPr>
          <w:p w:rsidR="007B600B" w:rsidRPr="007B600B" w:rsidRDefault="007B600B" w:rsidP="007B600B">
            <w:pPr>
              <w:tabs>
                <w:tab w:val="left" w:pos="482"/>
              </w:tabs>
              <w:spacing w:after="200" w:line="276" w:lineRule="auto"/>
              <w:ind w:left="482" w:hanging="482"/>
              <w:rPr>
                <w:rFonts w:ascii="Arial" w:eastAsiaTheme="minorHAnsi" w:hAnsi="Arial" w:cs="Arial"/>
                <w:sz w:val="18"/>
                <w:szCs w:val="18"/>
                <w:lang w:eastAsia="en-US"/>
              </w:rPr>
            </w:pPr>
            <w:bookmarkStart w:id="591" w:name="_Hlk303260881"/>
            <w:r w:rsidRPr="007B600B">
              <w:rPr>
                <w:rFonts w:ascii="Arial" w:eastAsiaTheme="minorHAnsi" w:hAnsi="Arial" w:cs="Arial"/>
                <w:sz w:val="18"/>
                <w:szCs w:val="18"/>
                <w:lang w:eastAsia="en-US"/>
              </w:rPr>
              <w:t>B1</w:t>
            </w:r>
            <w:r w:rsidRPr="007B600B">
              <w:rPr>
                <w:rFonts w:ascii="Arial" w:eastAsiaTheme="minorHAnsi" w:hAnsi="Arial" w:cs="Arial"/>
                <w:sz w:val="18"/>
                <w:szCs w:val="18"/>
                <w:lang w:eastAsia="en-US"/>
              </w:rPr>
              <w:tab/>
              <w:t>Durable RTW rate</w:t>
            </w:r>
          </w:p>
        </w:tc>
        <w:tc>
          <w:tcPr>
            <w:tcW w:w="1610" w:type="dxa"/>
            <w:tcBorders>
              <w:top w:val="single" w:sz="4" w:space="0" w:color="auto"/>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GM RSG</w:t>
            </w:r>
          </w:p>
        </w:tc>
        <w:tc>
          <w:tcPr>
            <w:tcW w:w="940" w:type="dxa"/>
            <w:tcBorders>
              <w:top w:val="single" w:sz="4" w:space="0" w:color="auto"/>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highlight w:val="yellow"/>
                <w:lang w:eastAsia="en-US"/>
              </w:rPr>
            </w:pPr>
            <w:r w:rsidRPr="007B600B">
              <w:rPr>
                <w:rFonts w:ascii="Arial" w:eastAsiaTheme="minorHAnsi" w:hAnsi="Arial" w:cs="Arial"/>
                <w:sz w:val="18"/>
                <w:szCs w:val="18"/>
                <w:lang w:eastAsia="en-US"/>
              </w:rPr>
              <w:t>88%</w:t>
            </w:r>
          </w:p>
        </w:tc>
        <w:tc>
          <w:tcPr>
            <w:tcW w:w="984" w:type="dxa"/>
            <w:gridSpan w:val="2"/>
            <w:tcBorders>
              <w:top w:val="single" w:sz="4" w:space="0" w:color="auto"/>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78%</w:t>
            </w:r>
          </w:p>
        </w:tc>
        <w:tc>
          <w:tcPr>
            <w:tcW w:w="950" w:type="dxa"/>
            <w:gridSpan w:val="2"/>
            <w:tcBorders>
              <w:top w:val="single" w:sz="4" w:space="0" w:color="auto"/>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color w:val="FF0000"/>
                <w:sz w:val="32"/>
                <w:szCs w:val="32"/>
                <w:lang w:eastAsia="en-US"/>
              </w:rPr>
              <w:sym w:font="Wingdings 2" w:char="F04F"/>
            </w:r>
          </w:p>
        </w:tc>
        <w:tc>
          <w:tcPr>
            <w:tcW w:w="889" w:type="dxa"/>
            <w:gridSpan w:val="2"/>
            <w:tcBorders>
              <w:top w:val="single" w:sz="4" w:space="0" w:color="auto"/>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b/>
                <w:color w:val="008000"/>
                <w:sz w:val="28"/>
                <w:szCs w:val="28"/>
                <w:lang w:eastAsia="en-US"/>
              </w:rPr>
            </w:pPr>
            <w:r w:rsidRPr="007B600B">
              <w:rPr>
                <w:rFonts w:ascii="Arial" w:eastAsiaTheme="minorHAnsi" w:hAnsi="Arial" w:cs="Arial"/>
                <w:b/>
                <w:color w:val="FF0000"/>
                <w:sz w:val="28"/>
                <w:szCs w:val="28"/>
                <w:lang w:eastAsia="en-US"/>
              </w:rPr>
              <w:sym w:font="Wingdings" w:char="F044"/>
            </w:r>
          </w:p>
        </w:tc>
        <w:tc>
          <w:tcPr>
            <w:tcW w:w="1143" w:type="dxa"/>
            <w:gridSpan w:val="2"/>
            <w:tcBorders>
              <w:top w:val="single" w:sz="4" w:space="0" w:color="auto"/>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2011–12</w:t>
            </w:r>
          </w:p>
        </w:tc>
      </w:tr>
      <w:bookmarkEnd w:id="591"/>
      <w:tr w:rsidR="007B600B" w:rsidRPr="007B600B" w:rsidTr="000D7C1C">
        <w:trPr>
          <w:trHeight w:val="284"/>
          <w:jc w:val="center"/>
        </w:trPr>
        <w:tc>
          <w:tcPr>
            <w:tcW w:w="3475" w:type="dxa"/>
            <w:tcBorders>
              <w:top w:val="nil"/>
              <w:left w:val="nil"/>
              <w:bottom w:val="nil"/>
              <w:right w:val="nil"/>
            </w:tcBorders>
            <w:shd w:val="clear" w:color="auto" w:fill="auto"/>
            <w:vAlign w:val="center"/>
          </w:tcPr>
          <w:p w:rsidR="007B600B" w:rsidRPr="007B600B" w:rsidRDefault="007B600B" w:rsidP="007B600B">
            <w:pPr>
              <w:tabs>
                <w:tab w:val="left" w:pos="482"/>
              </w:tabs>
              <w:spacing w:after="200" w:line="276" w:lineRule="auto"/>
              <w:ind w:left="482" w:hanging="482"/>
              <w:rPr>
                <w:rFonts w:ascii="Arial" w:eastAsiaTheme="minorHAnsi" w:hAnsi="Arial" w:cs="Arial"/>
                <w:sz w:val="18"/>
                <w:szCs w:val="18"/>
                <w:lang w:eastAsia="en-US"/>
              </w:rPr>
            </w:pPr>
            <w:r w:rsidRPr="007B600B">
              <w:rPr>
                <w:rFonts w:ascii="Arial" w:eastAsiaTheme="minorHAnsi" w:hAnsi="Arial" w:cs="Arial"/>
                <w:sz w:val="18"/>
                <w:szCs w:val="18"/>
                <w:lang w:eastAsia="en-US"/>
              </w:rPr>
              <w:t>B2</w:t>
            </w:r>
            <w:r w:rsidRPr="007B600B">
              <w:rPr>
                <w:rFonts w:ascii="Arial" w:eastAsiaTheme="minorHAnsi" w:hAnsi="Arial" w:cs="Arial"/>
                <w:sz w:val="18"/>
                <w:szCs w:val="18"/>
                <w:lang w:eastAsia="en-US"/>
              </w:rPr>
              <w:tab/>
              <w:t>Timeliness – determination of new claims (DAKPI 7) COMCARE ONLY</w:t>
            </w:r>
          </w:p>
        </w:tc>
        <w:tc>
          <w:tcPr>
            <w:tcW w:w="1610" w:type="dxa"/>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GM RSG</w:t>
            </w:r>
          </w:p>
        </w:tc>
        <w:tc>
          <w:tcPr>
            <w:tcW w:w="940" w:type="dxa"/>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66%</w:t>
            </w:r>
          </w:p>
        </w:tc>
        <w:tc>
          <w:tcPr>
            <w:tcW w:w="984"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83%</w:t>
            </w:r>
          </w:p>
        </w:tc>
        <w:tc>
          <w:tcPr>
            <w:tcW w:w="950"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color w:val="008000"/>
                <w:sz w:val="32"/>
                <w:szCs w:val="32"/>
                <w:lang w:eastAsia="en-US"/>
              </w:rPr>
            </w:pPr>
            <w:r w:rsidRPr="007B600B">
              <w:rPr>
                <w:rFonts w:ascii="Arial" w:eastAsiaTheme="minorHAnsi" w:hAnsi="Arial" w:cs="Arial"/>
                <w:color w:val="008000"/>
                <w:sz w:val="32"/>
                <w:szCs w:val="32"/>
                <w:lang w:eastAsia="en-US"/>
              </w:rPr>
              <w:sym w:font="Wingdings 2" w:char="F050"/>
            </w:r>
          </w:p>
        </w:tc>
        <w:tc>
          <w:tcPr>
            <w:tcW w:w="889"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b/>
                <w:color w:val="008000"/>
                <w:sz w:val="28"/>
                <w:szCs w:val="28"/>
                <w:lang w:eastAsia="en-US"/>
              </w:rPr>
            </w:pPr>
            <w:r w:rsidRPr="007B600B">
              <w:rPr>
                <w:rFonts w:ascii="Arial" w:eastAsiaTheme="minorHAnsi" w:hAnsi="Arial" w:cs="Arial"/>
                <w:b/>
                <w:color w:val="008000"/>
                <w:sz w:val="28"/>
                <w:szCs w:val="28"/>
                <w:lang w:eastAsia="en-US"/>
              </w:rPr>
              <w:sym w:font="Wingdings" w:char="F043"/>
            </w:r>
          </w:p>
        </w:tc>
        <w:tc>
          <w:tcPr>
            <w:tcW w:w="1143"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2011–12</w:t>
            </w:r>
          </w:p>
        </w:tc>
      </w:tr>
      <w:tr w:rsidR="007B600B" w:rsidRPr="007B600B" w:rsidTr="000D7C1C">
        <w:trPr>
          <w:trHeight w:val="447"/>
          <w:jc w:val="center"/>
        </w:trPr>
        <w:tc>
          <w:tcPr>
            <w:tcW w:w="3475" w:type="dxa"/>
            <w:tcBorders>
              <w:top w:val="nil"/>
              <w:left w:val="nil"/>
              <w:bottom w:val="nil"/>
              <w:right w:val="nil"/>
            </w:tcBorders>
            <w:shd w:val="clear" w:color="auto" w:fill="auto"/>
            <w:vAlign w:val="center"/>
          </w:tcPr>
          <w:p w:rsidR="007B600B" w:rsidRPr="007B600B" w:rsidRDefault="007B600B" w:rsidP="007B600B">
            <w:pPr>
              <w:tabs>
                <w:tab w:val="left" w:pos="482"/>
              </w:tabs>
              <w:spacing w:after="200" w:line="276" w:lineRule="auto"/>
              <w:ind w:left="482" w:hanging="482"/>
              <w:rPr>
                <w:rFonts w:ascii="Arial" w:eastAsiaTheme="minorHAnsi" w:hAnsi="Arial" w:cs="Arial"/>
                <w:sz w:val="18"/>
                <w:szCs w:val="18"/>
                <w:lang w:eastAsia="en-US"/>
              </w:rPr>
            </w:pPr>
            <w:r w:rsidRPr="007B600B">
              <w:rPr>
                <w:rFonts w:ascii="Arial" w:eastAsiaTheme="minorHAnsi" w:hAnsi="Arial" w:cs="Arial"/>
                <w:sz w:val="18"/>
                <w:szCs w:val="18"/>
                <w:lang w:eastAsia="en-US"/>
              </w:rPr>
              <w:t>B3</w:t>
            </w:r>
            <w:r w:rsidRPr="007B600B">
              <w:rPr>
                <w:rFonts w:ascii="Arial" w:eastAsiaTheme="minorHAnsi" w:hAnsi="Arial" w:cs="Arial"/>
                <w:sz w:val="18"/>
                <w:szCs w:val="18"/>
                <w:lang w:eastAsia="en-US"/>
              </w:rPr>
              <w:tab/>
              <w:t>Audit results – rehabilitation management systems (DAKPI 6)</w:t>
            </w:r>
          </w:p>
        </w:tc>
        <w:tc>
          <w:tcPr>
            <w:tcW w:w="1610" w:type="dxa"/>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All Executive</w:t>
            </w:r>
          </w:p>
        </w:tc>
        <w:tc>
          <w:tcPr>
            <w:tcW w:w="940" w:type="dxa"/>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highlight w:val="yellow"/>
                <w:lang w:eastAsia="en-US"/>
              </w:rPr>
            </w:pPr>
            <w:r w:rsidRPr="007B600B">
              <w:rPr>
                <w:rFonts w:ascii="Arial" w:eastAsiaTheme="minorHAnsi" w:hAnsi="Arial" w:cs="Arial"/>
                <w:sz w:val="18"/>
                <w:szCs w:val="18"/>
                <w:lang w:eastAsia="en-US"/>
              </w:rPr>
              <w:t>n/a</w:t>
            </w:r>
          </w:p>
        </w:tc>
        <w:tc>
          <w:tcPr>
            <w:tcW w:w="984"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n/a</w:t>
            </w:r>
          </w:p>
        </w:tc>
        <w:tc>
          <w:tcPr>
            <w:tcW w:w="950"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n/a</w:t>
            </w:r>
          </w:p>
        </w:tc>
        <w:tc>
          <w:tcPr>
            <w:tcW w:w="889"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n/a</w:t>
            </w:r>
          </w:p>
        </w:tc>
        <w:tc>
          <w:tcPr>
            <w:tcW w:w="1143"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2011–12</w:t>
            </w:r>
          </w:p>
        </w:tc>
      </w:tr>
      <w:tr w:rsidR="007B600B" w:rsidRPr="007B600B" w:rsidTr="000D7C1C">
        <w:trPr>
          <w:trHeight w:val="284"/>
          <w:jc w:val="center"/>
        </w:trPr>
        <w:tc>
          <w:tcPr>
            <w:tcW w:w="3475" w:type="dxa"/>
            <w:tcBorders>
              <w:top w:val="nil"/>
              <w:left w:val="nil"/>
              <w:bottom w:val="nil"/>
              <w:right w:val="nil"/>
            </w:tcBorders>
            <w:shd w:val="clear" w:color="auto" w:fill="auto"/>
            <w:vAlign w:val="center"/>
          </w:tcPr>
          <w:p w:rsidR="007B600B" w:rsidRPr="007B600B" w:rsidRDefault="007B600B" w:rsidP="007B600B">
            <w:pPr>
              <w:tabs>
                <w:tab w:val="left" w:pos="482"/>
              </w:tabs>
              <w:spacing w:after="200" w:line="276" w:lineRule="auto"/>
              <w:ind w:left="482" w:hanging="482"/>
              <w:rPr>
                <w:rFonts w:ascii="Arial" w:eastAsiaTheme="minorHAnsi" w:hAnsi="Arial" w:cs="Arial"/>
                <w:sz w:val="18"/>
                <w:szCs w:val="18"/>
                <w:lang w:eastAsia="en-US"/>
              </w:rPr>
            </w:pPr>
            <w:bookmarkStart w:id="592" w:name="_Hlk302309506"/>
            <w:r w:rsidRPr="007B600B">
              <w:rPr>
                <w:rFonts w:ascii="Arial" w:eastAsiaTheme="minorHAnsi" w:hAnsi="Arial" w:cs="Arial"/>
                <w:sz w:val="18"/>
                <w:szCs w:val="18"/>
                <w:lang w:eastAsia="en-US"/>
              </w:rPr>
              <w:t>B4</w:t>
            </w:r>
            <w:r w:rsidRPr="007B600B">
              <w:rPr>
                <w:rFonts w:ascii="Arial" w:eastAsiaTheme="minorHAnsi" w:hAnsi="Arial" w:cs="Arial"/>
                <w:sz w:val="18"/>
                <w:szCs w:val="18"/>
                <w:lang w:eastAsia="en-US"/>
              </w:rPr>
              <w:tab/>
              <w:t>Audit results – claims management systems (DAKPI 9) COMCARE ONLY</w:t>
            </w:r>
          </w:p>
        </w:tc>
        <w:tc>
          <w:tcPr>
            <w:tcW w:w="1610" w:type="dxa"/>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GM RSG</w:t>
            </w:r>
          </w:p>
        </w:tc>
        <w:tc>
          <w:tcPr>
            <w:tcW w:w="940" w:type="dxa"/>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highlight w:val="yellow"/>
                <w:lang w:eastAsia="en-US"/>
              </w:rPr>
            </w:pPr>
            <w:r w:rsidRPr="007B600B">
              <w:rPr>
                <w:rFonts w:ascii="Arial" w:eastAsiaTheme="minorHAnsi" w:hAnsi="Arial" w:cs="Arial"/>
                <w:sz w:val="18"/>
                <w:szCs w:val="18"/>
                <w:lang w:eastAsia="en-US"/>
              </w:rPr>
              <w:t>90%</w:t>
            </w:r>
          </w:p>
        </w:tc>
        <w:tc>
          <w:tcPr>
            <w:tcW w:w="984"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90%</w:t>
            </w:r>
          </w:p>
        </w:tc>
        <w:tc>
          <w:tcPr>
            <w:tcW w:w="950"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color w:val="008000"/>
                <w:sz w:val="32"/>
                <w:szCs w:val="32"/>
                <w:lang w:eastAsia="en-US"/>
              </w:rPr>
              <w:sym w:font="Wingdings 2" w:char="F050"/>
            </w:r>
          </w:p>
        </w:tc>
        <w:tc>
          <w:tcPr>
            <w:tcW w:w="889"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n/a</w:t>
            </w:r>
          </w:p>
        </w:tc>
        <w:tc>
          <w:tcPr>
            <w:tcW w:w="1143"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2011–12</w:t>
            </w:r>
          </w:p>
        </w:tc>
      </w:tr>
      <w:bookmarkEnd w:id="592"/>
      <w:tr w:rsidR="007B600B" w:rsidRPr="007B600B" w:rsidTr="000D7C1C">
        <w:trPr>
          <w:trHeight w:val="284"/>
          <w:jc w:val="center"/>
        </w:trPr>
        <w:tc>
          <w:tcPr>
            <w:tcW w:w="3475" w:type="dxa"/>
            <w:tcBorders>
              <w:top w:val="nil"/>
              <w:left w:val="nil"/>
              <w:bottom w:val="single" w:sz="4" w:space="0" w:color="auto"/>
              <w:right w:val="nil"/>
            </w:tcBorders>
            <w:shd w:val="clear" w:color="auto" w:fill="auto"/>
            <w:vAlign w:val="center"/>
          </w:tcPr>
          <w:p w:rsidR="007B600B" w:rsidRPr="007B600B" w:rsidRDefault="007B600B" w:rsidP="007B600B">
            <w:pPr>
              <w:tabs>
                <w:tab w:val="left" w:pos="482"/>
              </w:tabs>
              <w:spacing w:after="200" w:line="276" w:lineRule="auto"/>
              <w:ind w:left="482" w:hanging="482"/>
              <w:rPr>
                <w:rFonts w:ascii="Arial" w:eastAsiaTheme="minorHAnsi" w:hAnsi="Arial" w:cs="Arial"/>
                <w:sz w:val="18"/>
                <w:szCs w:val="18"/>
                <w:lang w:eastAsia="en-US"/>
              </w:rPr>
            </w:pPr>
            <w:r w:rsidRPr="007B600B">
              <w:rPr>
                <w:rFonts w:ascii="Arial" w:eastAsiaTheme="minorHAnsi" w:hAnsi="Arial" w:cs="Arial"/>
                <w:sz w:val="18"/>
                <w:szCs w:val="18"/>
                <w:lang w:eastAsia="en-US"/>
              </w:rPr>
              <w:t>B5</w:t>
            </w:r>
            <w:r w:rsidRPr="007B600B">
              <w:rPr>
                <w:rFonts w:ascii="Arial" w:eastAsiaTheme="minorHAnsi" w:hAnsi="Arial" w:cs="Arial"/>
                <w:sz w:val="18"/>
                <w:szCs w:val="18"/>
                <w:lang w:eastAsia="en-US"/>
              </w:rPr>
              <w:tab/>
              <w:t>Timeliness – resolution of asbestos claims</w:t>
            </w:r>
          </w:p>
        </w:tc>
        <w:tc>
          <w:tcPr>
            <w:tcW w:w="1610" w:type="dxa"/>
            <w:tcBorders>
              <w:top w:val="nil"/>
              <w:left w:val="nil"/>
              <w:bottom w:val="single" w:sz="4" w:space="0" w:color="auto"/>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GM RSG</w:t>
            </w:r>
          </w:p>
        </w:tc>
        <w:tc>
          <w:tcPr>
            <w:tcW w:w="940" w:type="dxa"/>
            <w:tcBorders>
              <w:top w:val="nil"/>
              <w:left w:val="nil"/>
              <w:bottom w:val="single" w:sz="4" w:space="0" w:color="auto"/>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65%</w:t>
            </w:r>
          </w:p>
        </w:tc>
        <w:tc>
          <w:tcPr>
            <w:tcW w:w="984" w:type="dxa"/>
            <w:gridSpan w:val="2"/>
            <w:tcBorders>
              <w:top w:val="nil"/>
              <w:left w:val="nil"/>
              <w:bottom w:val="single" w:sz="4" w:space="0" w:color="auto"/>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69%</w:t>
            </w:r>
          </w:p>
        </w:tc>
        <w:tc>
          <w:tcPr>
            <w:tcW w:w="950" w:type="dxa"/>
            <w:gridSpan w:val="2"/>
            <w:tcBorders>
              <w:top w:val="nil"/>
              <w:left w:val="nil"/>
              <w:bottom w:val="single" w:sz="4" w:space="0" w:color="auto"/>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color w:val="008000"/>
                <w:sz w:val="32"/>
                <w:szCs w:val="32"/>
                <w:lang w:eastAsia="en-US"/>
              </w:rPr>
            </w:pPr>
            <w:r w:rsidRPr="007B600B">
              <w:rPr>
                <w:rFonts w:ascii="Arial" w:eastAsiaTheme="minorHAnsi" w:hAnsi="Arial" w:cs="Arial"/>
                <w:color w:val="008000"/>
                <w:sz w:val="32"/>
                <w:szCs w:val="32"/>
                <w:lang w:eastAsia="en-US"/>
              </w:rPr>
              <w:sym w:font="Wingdings 2" w:char="F050"/>
            </w:r>
          </w:p>
        </w:tc>
        <w:tc>
          <w:tcPr>
            <w:tcW w:w="889" w:type="dxa"/>
            <w:gridSpan w:val="2"/>
            <w:tcBorders>
              <w:top w:val="nil"/>
              <w:left w:val="nil"/>
              <w:bottom w:val="single" w:sz="4" w:space="0" w:color="auto"/>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b/>
                <w:color w:val="008000"/>
                <w:sz w:val="28"/>
                <w:szCs w:val="28"/>
                <w:lang w:eastAsia="en-US"/>
              </w:rPr>
            </w:pPr>
            <w:r w:rsidRPr="007B600B">
              <w:rPr>
                <w:rFonts w:ascii="Arial" w:eastAsiaTheme="minorHAnsi" w:hAnsi="Arial" w:cs="Arial"/>
                <w:b/>
                <w:color w:val="008000"/>
                <w:sz w:val="28"/>
                <w:szCs w:val="28"/>
                <w:lang w:eastAsia="en-US"/>
              </w:rPr>
              <w:sym w:font="Wingdings" w:char="F043"/>
            </w:r>
          </w:p>
        </w:tc>
        <w:tc>
          <w:tcPr>
            <w:tcW w:w="1143" w:type="dxa"/>
            <w:gridSpan w:val="2"/>
            <w:tcBorders>
              <w:top w:val="nil"/>
              <w:left w:val="nil"/>
              <w:bottom w:val="single" w:sz="4" w:space="0" w:color="auto"/>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val="en-US" w:eastAsia="en-US"/>
              </w:rPr>
            </w:pPr>
            <w:r w:rsidRPr="007B600B">
              <w:rPr>
                <w:rFonts w:ascii="Arial" w:eastAsiaTheme="minorHAnsi" w:hAnsi="Arial" w:cs="Arial"/>
                <w:sz w:val="18"/>
                <w:szCs w:val="18"/>
                <w:lang w:eastAsia="en-US"/>
              </w:rPr>
              <w:t>2011–12</w:t>
            </w:r>
          </w:p>
        </w:tc>
      </w:tr>
      <w:tr w:rsidR="007B600B" w:rsidRPr="007B600B" w:rsidTr="000D7C1C">
        <w:trPr>
          <w:gridAfter w:val="1"/>
          <w:wAfter w:w="7" w:type="dxa"/>
          <w:trHeight w:val="284"/>
          <w:jc w:val="center"/>
        </w:trPr>
        <w:tc>
          <w:tcPr>
            <w:tcW w:w="3475" w:type="dxa"/>
            <w:tcBorders>
              <w:top w:val="single" w:sz="4" w:space="0" w:color="auto"/>
              <w:left w:val="nil"/>
              <w:bottom w:val="nil"/>
              <w:right w:val="nil"/>
            </w:tcBorders>
            <w:shd w:val="clear" w:color="auto" w:fill="auto"/>
            <w:vAlign w:val="center"/>
          </w:tcPr>
          <w:p w:rsidR="007B600B" w:rsidRPr="007B600B" w:rsidRDefault="007B600B" w:rsidP="007B600B">
            <w:pPr>
              <w:tabs>
                <w:tab w:val="left" w:pos="482"/>
              </w:tabs>
              <w:spacing w:after="200" w:line="276" w:lineRule="auto"/>
              <w:ind w:left="482" w:hanging="482"/>
              <w:rPr>
                <w:rFonts w:ascii="Arial" w:eastAsiaTheme="minorHAnsi" w:hAnsi="Arial" w:cs="Arial"/>
                <w:sz w:val="18"/>
                <w:szCs w:val="18"/>
                <w:lang w:eastAsia="en-US"/>
              </w:rPr>
            </w:pPr>
            <w:r w:rsidRPr="007B600B">
              <w:rPr>
                <w:rFonts w:ascii="Arial" w:eastAsiaTheme="minorHAnsi" w:hAnsi="Arial" w:cs="Arial"/>
                <w:sz w:val="18"/>
                <w:szCs w:val="18"/>
                <w:lang w:eastAsia="en-US"/>
              </w:rPr>
              <w:t>B1.1</w:t>
            </w:r>
            <w:r w:rsidRPr="007B600B">
              <w:rPr>
                <w:rFonts w:ascii="Arial" w:eastAsiaTheme="minorHAnsi" w:hAnsi="Arial" w:cs="Arial"/>
                <w:sz w:val="18"/>
                <w:szCs w:val="18"/>
                <w:lang w:eastAsia="en-US"/>
              </w:rPr>
              <w:tab/>
              <w:t>Stable RTW rate</w:t>
            </w:r>
          </w:p>
        </w:tc>
        <w:tc>
          <w:tcPr>
            <w:tcW w:w="1610" w:type="dxa"/>
            <w:tcBorders>
              <w:top w:val="single" w:sz="4" w:space="0" w:color="auto"/>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GM RSG</w:t>
            </w:r>
          </w:p>
        </w:tc>
        <w:tc>
          <w:tcPr>
            <w:tcW w:w="4899" w:type="dxa"/>
            <w:gridSpan w:val="8"/>
            <w:tcBorders>
              <w:top w:val="single" w:sz="4" w:space="0" w:color="auto"/>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To be considered further in 2012</w:t>
            </w:r>
          </w:p>
        </w:tc>
      </w:tr>
      <w:tr w:rsidR="007B600B" w:rsidRPr="007B600B" w:rsidTr="000D7C1C">
        <w:trPr>
          <w:trHeight w:val="284"/>
          <w:jc w:val="center"/>
        </w:trPr>
        <w:tc>
          <w:tcPr>
            <w:tcW w:w="3475" w:type="dxa"/>
            <w:tcBorders>
              <w:top w:val="nil"/>
              <w:left w:val="nil"/>
              <w:bottom w:val="nil"/>
              <w:right w:val="nil"/>
            </w:tcBorders>
            <w:shd w:val="clear" w:color="auto" w:fill="auto"/>
            <w:vAlign w:val="center"/>
          </w:tcPr>
          <w:p w:rsidR="007B600B" w:rsidRPr="007B600B" w:rsidRDefault="007B600B" w:rsidP="007B600B">
            <w:pPr>
              <w:tabs>
                <w:tab w:val="left" w:pos="482"/>
              </w:tabs>
              <w:spacing w:after="200" w:line="276" w:lineRule="auto"/>
              <w:ind w:left="482" w:hanging="482"/>
              <w:rPr>
                <w:rFonts w:ascii="Arial" w:eastAsiaTheme="minorHAnsi" w:hAnsi="Arial" w:cs="Arial"/>
                <w:sz w:val="18"/>
                <w:szCs w:val="18"/>
                <w:lang w:eastAsia="en-US"/>
              </w:rPr>
            </w:pPr>
            <w:r w:rsidRPr="007B600B">
              <w:rPr>
                <w:rFonts w:ascii="Arial" w:eastAsiaTheme="minorHAnsi" w:hAnsi="Arial" w:cs="Arial"/>
                <w:sz w:val="18"/>
                <w:szCs w:val="18"/>
                <w:lang w:eastAsia="en-US"/>
              </w:rPr>
              <w:t>B1.2</w:t>
            </w:r>
            <w:r w:rsidRPr="007B600B">
              <w:rPr>
                <w:rFonts w:ascii="Arial" w:eastAsiaTheme="minorHAnsi" w:hAnsi="Arial" w:cs="Arial"/>
                <w:sz w:val="18"/>
                <w:szCs w:val="18"/>
                <w:lang w:eastAsia="en-US"/>
              </w:rPr>
              <w:tab/>
              <w:t>Claims continuance rate – 13 weeks (DAKPI 5)</w:t>
            </w:r>
          </w:p>
        </w:tc>
        <w:tc>
          <w:tcPr>
            <w:tcW w:w="1610" w:type="dxa"/>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GM RSG</w:t>
            </w:r>
          </w:p>
        </w:tc>
        <w:tc>
          <w:tcPr>
            <w:tcW w:w="940" w:type="dxa"/>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46%</w:t>
            </w:r>
          </w:p>
        </w:tc>
        <w:tc>
          <w:tcPr>
            <w:tcW w:w="984"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52%</w:t>
            </w:r>
          </w:p>
        </w:tc>
        <w:tc>
          <w:tcPr>
            <w:tcW w:w="950"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color w:val="FF0000"/>
                <w:sz w:val="32"/>
                <w:szCs w:val="32"/>
                <w:lang w:eastAsia="en-US"/>
              </w:rPr>
            </w:pPr>
            <w:r w:rsidRPr="007B600B">
              <w:rPr>
                <w:rFonts w:ascii="Arial" w:eastAsiaTheme="minorHAnsi" w:hAnsi="Arial" w:cs="Arial"/>
                <w:color w:val="FF0000"/>
                <w:sz w:val="32"/>
                <w:szCs w:val="32"/>
                <w:lang w:eastAsia="en-US"/>
              </w:rPr>
              <w:sym w:font="Wingdings 2" w:char="F04F"/>
            </w:r>
          </w:p>
        </w:tc>
        <w:tc>
          <w:tcPr>
            <w:tcW w:w="889"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28"/>
                <w:szCs w:val="28"/>
                <w:lang w:eastAsia="en-US"/>
              </w:rPr>
            </w:pPr>
            <w:r w:rsidRPr="007B600B">
              <w:rPr>
                <w:rFonts w:ascii="Arial" w:eastAsiaTheme="minorHAnsi" w:hAnsi="Arial" w:cs="Arial"/>
                <w:b/>
                <w:color w:val="548DD4" w:themeColor="text2" w:themeTint="99"/>
                <w:sz w:val="28"/>
                <w:szCs w:val="28"/>
                <w:lang w:eastAsia="en-US"/>
              </w:rPr>
              <w:sym w:font="Wingdings" w:char="F046"/>
            </w:r>
          </w:p>
        </w:tc>
        <w:tc>
          <w:tcPr>
            <w:tcW w:w="1143"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2011–12</w:t>
            </w:r>
          </w:p>
        </w:tc>
      </w:tr>
      <w:tr w:rsidR="007B600B" w:rsidRPr="007B600B" w:rsidTr="000D7C1C">
        <w:trPr>
          <w:trHeight w:val="284"/>
          <w:jc w:val="center"/>
        </w:trPr>
        <w:tc>
          <w:tcPr>
            <w:tcW w:w="3475" w:type="dxa"/>
            <w:tcBorders>
              <w:top w:val="nil"/>
              <w:left w:val="nil"/>
              <w:bottom w:val="nil"/>
              <w:right w:val="nil"/>
            </w:tcBorders>
            <w:shd w:val="clear" w:color="auto" w:fill="auto"/>
            <w:vAlign w:val="center"/>
          </w:tcPr>
          <w:p w:rsidR="007B600B" w:rsidRPr="007B600B" w:rsidRDefault="007B600B" w:rsidP="007B600B">
            <w:pPr>
              <w:tabs>
                <w:tab w:val="left" w:pos="482"/>
              </w:tabs>
              <w:spacing w:after="200" w:line="276" w:lineRule="auto"/>
              <w:ind w:left="482" w:hanging="482"/>
              <w:rPr>
                <w:rFonts w:ascii="Arial" w:eastAsiaTheme="minorHAnsi" w:hAnsi="Arial" w:cs="Arial"/>
                <w:sz w:val="18"/>
                <w:szCs w:val="18"/>
                <w:lang w:eastAsia="en-US"/>
              </w:rPr>
            </w:pPr>
            <w:r w:rsidRPr="007B600B">
              <w:rPr>
                <w:rFonts w:ascii="Arial" w:eastAsiaTheme="minorHAnsi" w:hAnsi="Arial" w:cs="Arial"/>
                <w:sz w:val="18"/>
                <w:szCs w:val="18"/>
                <w:lang w:eastAsia="en-US"/>
              </w:rPr>
              <w:t>B1.3</w:t>
            </w:r>
            <w:r w:rsidRPr="007B600B">
              <w:rPr>
                <w:rFonts w:ascii="Arial" w:eastAsiaTheme="minorHAnsi" w:hAnsi="Arial" w:cs="Arial"/>
                <w:sz w:val="18"/>
                <w:szCs w:val="18"/>
                <w:lang w:eastAsia="en-US"/>
              </w:rPr>
              <w:tab/>
              <w:t>Claims continuance rate – 26 weeks</w:t>
            </w:r>
          </w:p>
        </w:tc>
        <w:tc>
          <w:tcPr>
            <w:tcW w:w="1610" w:type="dxa"/>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GM RSG</w:t>
            </w:r>
          </w:p>
        </w:tc>
        <w:tc>
          <w:tcPr>
            <w:tcW w:w="940" w:type="dxa"/>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27%</w:t>
            </w:r>
          </w:p>
        </w:tc>
        <w:tc>
          <w:tcPr>
            <w:tcW w:w="984"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32%</w:t>
            </w:r>
          </w:p>
        </w:tc>
        <w:tc>
          <w:tcPr>
            <w:tcW w:w="950"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color w:val="FF0000"/>
                <w:sz w:val="32"/>
                <w:szCs w:val="32"/>
                <w:lang w:eastAsia="en-US"/>
              </w:rPr>
            </w:pPr>
            <w:r w:rsidRPr="007B600B">
              <w:rPr>
                <w:rFonts w:ascii="Arial" w:eastAsiaTheme="minorHAnsi" w:hAnsi="Arial" w:cs="Arial"/>
                <w:color w:val="FF0000"/>
                <w:sz w:val="32"/>
                <w:szCs w:val="32"/>
                <w:lang w:eastAsia="en-US"/>
              </w:rPr>
              <w:sym w:font="Wingdings 2" w:char="F04F"/>
            </w:r>
          </w:p>
        </w:tc>
        <w:tc>
          <w:tcPr>
            <w:tcW w:w="889"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b/>
                <w:color w:val="008000"/>
                <w:sz w:val="28"/>
                <w:szCs w:val="28"/>
                <w:lang w:eastAsia="en-US"/>
              </w:rPr>
            </w:pPr>
            <w:r w:rsidRPr="007B600B">
              <w:rPr>
                <w:rFonts w:ascii="Arial" w:eastAsiaTheme="minorHAnsi" w:hAnsi="Arial" w:cs="Arial"/>
                <w:b/>
                <w:color w:val="FF0000"/>
                <w:sz w:val="28"/>
                <w:szCs w:val="28"/>
                <w:lang w:eastAsia="en-US"/>
              </w:rPr>
              <w:sym w:font="Wingdings" w:char="F044"/>
            </w:r>
          </w:p>
        </w:tc>
        <w:tc>
          <w:tcPr>
            <w:tcW w:w="1143"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2011–12</w:t>
            </w:r>
          </w:p>
        </w:tc>
      </w:tr>
      <w:tr w:rsidR="007B600B" w:rsidRPr="007B600B" w:rsidTr="000D7C1C">
        <w:trPr>
          <w:trHeight w:val="284"/>
          <w:jc w:val="center"/>
        </w:trPr>
        <w:tc>
          <w:tcPr>
            <w:tcW w:w="3475" w:type="dxa"/>
            <w:tcBorders>
              <w:top w:val="nil"/>
              <w:left w:val="nil"/>
              <w:bottom w:val="nil"/>
              <w:right w:val="nil"/>
            </w:tcBorders>
            <w:shd w:val="clear" w:color="auto" w:fill="auto"/>
            <w:vAlign w:val="center"/>
          </w:tcPr>
          <w:p w:rsidR="007B600B" w:rsidRPr="007B600B" w:rsidRDefault="007B600B" w:rsidP="007B600B">
            <w:pPr>
              <w:tabs>
                <w:tab w:val="left" w:pos="482"/>
              </w:tabs>
              <w:spacing w:after="200" w:line="276" w:lineRule="auto"/>
              <w:ind w:left="482" w:hanging="482"/>
              <w:rPr>
                <w:rFonts w:ascii="Arial" w:eastAsiaTheme="minorHAnsi" w:hAnsi="Arial" w:cs="Arial"/>
                <w:sz w:val="18"/>
                <w:szCs w:val="18"/>
                <w:lang w:eastAsia="en-US"/>
              </w:rPr>
            </w:pPr>
            <w:r w:rsidRPr="007B600B">
              <w:rPr>
                <w:rFonts w:ascii="Arial" w:eastAsiaTheme="minorHAnsi" w:hAnsi="Arial" w:cs="Arial"/>
                <w:sz w:val="18"/>
                <w:szCs w:val="18"/>
                <w:lang w:eastAsia="en-US"/>
              </w:rPr>
              <w:t>B1.4</w:t>
            </w:r>
            <w:r w:rsidRPr="007B600B">
              <w:rPr>
                <w:rFonts w:ascii="Arial" w:eastAsiaTheme="minorHAnsi" w:hAnsi="Arial" w:cs="Arial"/>
                <w:sz w:val="18"/>
                <w:szCs w:val="18"/>
                <w:lang w:eastAsia="en-US"/>
              </w:rPr>
              <w:tab/>
              <w:t>Timeliness – claim lodgement by employer</w:t>
            </w:r>
          </w:p>
        </w:tc>
        <w:tc>
          <w:tcPr>
            <w:tcW w:w="1610" w:type="dxa"/>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Chief Actuary</w:t>
            </w:r>
          </w:p>
        </w:tc>
        <w:tc>
          <w:tcPr>
            <w:tcW w:w="940" w:type="dxa"/>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57%</w:t>
            </w:r>
          </w:p>
        </w:tc>
        <w:tc>
          <w:tcPr>
            <w:tcW w:w="984"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49%</w:t>
            </w:r>
          </w:p>
        </w:tc>
        <w:tc>
          <w:tcPr>
            <w:tcW w:w="950"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color w:val="FF0000"/>
                <w:sz w:val="32"/>
                <w:szCs w:val="32"/>
                <w:lang w:eastAsia="en-US"/>
              </w:rPr>
            </w:pPr>
            <w:r w:rsidRPr="007B600B">
              <w:rPr>
                <w:rFonts w:ascii="Arial" w:eastAsiaTheme="minorHAnsi" w:hAnsi="Arial" w:cs="Arial"/>
                <w:color w:val="FF0000"/>
                <w:sz w:val="32"/>
                <w:szCs w:val="32"/>
                <w:lang w:eastAsia="en-US"/>
              </w:rPr>
              <w:sym w:font="Wingdings 2" w:char="F04F"/>
            </w:r>
          </w:p>
        </w:tc>
        <w:tc>
          <w:tcPr>
            <w:tcW w:w="889"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b/>
                <w:color w:val="008000"/>
                <w:sz w:val="28"/>
                <w:szCs w:val="28"/>
                <w:lang w:eastAsia="en-US"/>
              </w:rPr>
            </w:pPr>
            <w:r w:rsidRPr="007B600B">
              <w:rPr>
                <w:rFonts w:ascii="Arial" w:eastAsiaTheme="minorHAnsi" w:hAnsi="Arial" w:cs="Arial"/>
                <w:b/>
                <w:color w:val="008000"/>
                <w:sz w:val="28"/>
                <w:szCs w:val="28"/>
                <w:lang w:eastAsia="en-US"/>
              </w:rPr>
              <w:sym w:font="Wingdings" w:char="F043"/>
            </w:r>
          </w:p>
        </w:tc>
        <w:tc>
          <w:tcPr>
            <w:tcW w:w="1143"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2011–12</w:t>
            </w:r>
          </w:p>
        </w:tc>
      </w:tr>
      <w:tr w:rsidR="007B600B" w:rsidRPr="007B600B" w:rsidTr="000D7C1C">
        <w:trPr>
          <w:trHeight w:val="284"/>
          <w:jc w:val="center"/>
        </w:trPr>
        <w:tc>
          <w:tcPr>
            <w:tcW w:w="3475" w:type="dxa"/>
            <w:tcBorders>
              <w:top w:val="nil"/>
              <w:left w:val="nil"/>
              <w:bottom w:val="nil"/>
              <w:right w:val="nil"/>
            </w:tcBorders>
            <w:shd w:val="clear" w:color="auto" w:fill="auto"/>
            <w:vAlign w:val="center"/>
          </w:tcPr>
          <w:p w:rsidR="007B600B" w:rsidRPr="007B600B" w:rsidRDefault="007B600B" w:rsidP="007B600B">
            <w:pPr>
              <w:tabs>
                <w:tab w:val="left" w:pos="482"/>
              </w:tabs>
              <w:spacing w:after="200" w:line="276" w:lineRule="auto"/>
              <w:ind w:left="482" w:hanging="482"/>
              <w:rPr>
                <w:rFonts w:ascii="Arial" w:eastAsiaTheme="minorHAnsi" w:hAnsi="Arial" w:cs="Arial"/>
                <w:sz w:val="18"/>
                <w:szCs w:val="18"/>
                <w:lang w:eastAsia="en-US"/>
              </w:rPr>
            </w:pPr>
            <w:r w:rsidRPr="007B600B">
              <w:rPr>
                <w:rFonts w:ascii="Arial" w:eastAsiaTheme="minorHAnsi" w:hAnsi="Arial" w:cs="Arial"/>
                <w:sz w:val="18"/>
                <w:szCs w:val="18"/>
                <w:lang w:eastAsia="en-US"/>
              </w:rPr>
              <w:t>B2.1</w:t>
            </w:r>
            <w:r w:rsidRPr="007B600B">
              <w:rPr>
                <w:rFonts w:ascii="Arial" w:eastAsiaTheme="minorHAnsi" w:hAnsi="Arial" w:cs="Arial"/>
                <w:sz w:val="18"/>
                <w:szCs w:val="18"/>
                <w:lang w:eastAsia="en-US"/>
              </w:rPr>
              <w:tab/>
              <w:t>Timeliness –  processing of non-incapacity payments COMCARE ONLY</w:t>
            </w:r>
          </w:p>
        </w:tc>
        <w:tc>
          <w:tcPr>
            <w:tcW w:w="1610" w:type="dxa"/>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COO</w:t>
            </w:r>
          </w:p>
        </w:tc>
        <w:tc>
          <w:tcPr>
            <w:tcW w:w="940" w:type="dxa"/>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80%</w:t>
            </w:r>
          </w:p>
        </w:tc>
        <w:tc>
          <w:tcPr>
            <w:tcW w:w="984"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81%</w:t>
            </w:r>
          </w:p>
        </w:tc>
        <w:tc>
          <w:tcPr>
            <w:tcW w:w="950"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color w:val="008000"/>
                <w:sz w:val="32"/>
                <w:szCs w:val="32"/>
                <w:lang w:eastAsia="en-US"/>
              </w:rPr>
              <w:sym w:font="Wingdings 2" w:char="F050"/>
            </w:r>
          </w:p>
        </w:tc>
        <w:tc>
          <w:tcPr>
            <w:tcW w:w="889"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b/>
                <w:color w:val="008000"/>
                <w:sz w:val="28"/>
                <w:szCs w:val="28"/>
                <w:lang w:eastAsia="en-US"/>
              </w:rPr>
              <w:sym w:font="Wingdings" w:char="F043"/>
            </w:r>
          </w:p>
        </w:tc>
        <w:tc>
          <w:tcPr>
            <w:tcW w:w="1143"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2011–12</w:t>
            </w:r>
          </w:p>
        </w:tc>
      </w:tr>
      <w:tr w:rsidR="007B600B" w:rsidRPr="007B600B" w:rsidTr="000D7C1C">
        <w:trPr>
          <w:trHeight w:val="284"/>
          <w:jc w:val="center"/>
        </w:trPr>
        <w:tc>
          <w:tcPr>
            <w:tcW w:w="3475" w:type="dxa"/>
            <w:tcBorders>
              <w:top w:val="nil"/>
              <w:left w:val="nil"/>
              <w:bottom w:val="nil"/>
              <w:right w:val="nil"/>
            </w:tcBorders>
            <w:shd w:val="clear" w:color="auto" w:fill="auto"/>
            <w:vAlign w:val="center"/>
          </w:tcPr>
          <w:p w:rsidR="007B600B" w:rsidRPr="007B600B" w:rsidRDefault="007B600B" w:rsidP="007B600B">
            <w:pPr>
              <w:tabs>
                <w:tab w:val="left" w:pos="482"/>
              </w:tabs>
              <w:spacing w:after="200" w:line="276" w:lineRule="auto"/>
              <w:ind w:left="482" w:hanging="482"/>
              <w:rPr>
                <w:rFonts w:ascii="Arial" w:eastAsiaTheme="minorHAnsi" w:hAnsi="Arial" w:cs="Arial"/>
                <w:sz w:val="18"/>
                <w:szCs w:val="18"/>
                <w:lang w:eastAsia="en-US"/>
              </w:rPr>
            </w:pPr>
            <w:r w:rsidRPr="007B600B">
              <w:rPr>
                <w:rFonts w:ascii="Arial" w:eastAsiaTheme="minorHAnsi" w:hAnsi="Arial" w:cs="Arial"/>
                <w:sz w:val="18"/>
                <w:szCs w:val="18"/>
                <w:lang w:eastAsia="en-US"/>
              </w:rPr>
              <w:t>B2.2</w:t>
            </w:r>
            <w:r w:rsidRPr="007B600B">
              <w:rPr>
                <w:rFonts w:ascii="Arial" w:eastAsiaTheme="minorHAnsi" w:hAnsi="Arial" w:cs="Arial"/>
                <w:sz w:val="18"/>
                <w:szCs w:val="18"/>
                <w:lang w:eastAsia="en-US"/>
              </w:rPr>
              <w:tab/>
              <w:t>Timeliness – decisions on requests for reconsideration (DAKPI 8) COMCARE ONLY</w:t>
            </w:r>
          </w:p>
        </w:tc>
        <w:tc>
          <w:tcPr>
            <w:tcW w:w="1610" w:type="dxa"/>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GM RSG</w:t>
            </w:r>
          </w:p>
        </w:tc>
        <w:tc>
          <w:tcPr>
            <w:tcW w:w="940" w:type="dxa"/>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68%</w:t>
            </w:r>
          </w:p>
        </w:tc>
        <w:tc>
          <w:tcPr>
            <w:tcW w:w="984"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34%</w:t>
            </w:r>
          </w:p>
        </w:tc>
        <w:tc>
          <w:tcPr>
            <w:tcW w:w="950"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color w:val="FF0000"/>
                <w:sz w:val="32"/>
                <w:szCs w:val="32"/>
                <w:lang w:eastAsia="en-US"/>
              </w:rPr>
            </w:pPr>
            <w:r w:rsidRPr="007B600B">
              <w:rPr>
                <w:rFonts w:ascii="Arial" w:eastAsiaTheme="minorHAnsi" w:hAnsi="Arial" w:cs="Arial"/>
                <w:color w:val="FF0000"/>
                <w:sz w:val="32"/>
                <w:szCs w:val="32"/>
                <w:lang w:eastAsia="en-US"/>
              </w:rPr>
              <w:sym w:font="Wingdings 2" w:char="F04F"/>
            </w:r>
          </w:p>
        </w:tc>
        <w:tc>
          <w:tcPr>
            <w:tcW w:w="889"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28"/>
                <w:szCs w:val="28"/>
                <w:lang w:eastAsia="en-US"/>
              </w:rPr>
            </w:pPr>
            <w:r w:rsidRPr="007B600B">
              <w:rPr>
                <w:rFonts w:ascii="Arial" w:eastAsiaTheme="minorHAnsi" w:hAnsi="Arial" w:cs="Arial"/>
                <w:b/>
                <w:color w:val="FF0000"/>
                <w:sz w:val="22"/>
                <w:szCs w:val="22"/>
                <w:lang w:eastAsia="en-US"/>
              </w:rPr>
              <w:t>**</w:t>
            </w:r>
            <w:r w:rsidRPr="007B600B">
              <w:rPr>
                <w:rFonts w:ascii="Arial" w:eastAsiaTheme="minorHAnsi" w:hAnsi="Arial" w:cs="Arial"/>
                <w:b/>
                <w:color w:val="FF0000"/>
                <w:sz w:val="28"/>
                <w:szCs w:val="28"/>
                <w:lang w:eastAsia="en-US"/>
              </w:rPr>
              <w:sym w:font="Wingdings" w:char="F044"/>
            </w:r>
          </w:p>
        </w:tc>
        <w:tc>
          <w:tcPr>
            <w:tcW w:w="1143"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2011–12</w:t>
            </w:r>
          </w:p>
        </w:tc>
      </w:tr>
      <w:tr w:rsidR="007B600B" w:rsidRPr="007B600B" w:rsidTr="000D7C1C">
        <w:trPr>
          <w:trHeight w:val="284"/>
          <w:jc w:val="center"/>
        </w:trPr>
        <w:tc>
          <w:tcPr>
            <w:tcW w:w="3475" w:type="dxa"/>
            <w:tcBorders>
              <w:top w:val="nil"/>
              <w:left w:val="nil"/>
              <w:bottom w:val="nil"/>
              <w:right w:val="nil"/>
            </w:tcBorders>
            <w:shd w:val="clear" w:color="auto" w:fill="auto"/>
            <w:vAlign w:val="center"/>
          </w:tcPr>
          <w:p w:rsidR="007B600B" w:rsidRPr="007B600B" w:rsidRDefault="007B600B" w:rsidP="007B600B">
            <w:pPr>
              <w:tabs>
                <w:tab w:val="left" w:pos="482"/>
              </w:tabs>
              <w:spacing w:after="200" w:line="276" w:lineRule="auto"/>
              <w:ind w:left="482" w:hanging="482"/>
              <w:rPr>
                <w:rFonts w:ascii="Arial" w:eastAsiaTheme="minorHAnsi" w:hAnsi="Arial" w:cs="Arial"/>
                <w:sz w:val="18"/>
                <w:szCs w:val="18"/>
                <w:lang w:eastAsia="en-US"/>
              </w:rPr>
            </w:pPr>
            <w:bookmarkStart w:id="593" w:name="_Hlk302550865"/>
            <w:r w:rsidRPr="007B600B">
              <w:rPr>
                <w:rFonts w:ascii="Arial" w:eastAsiaTheme="minorHAnsi" w:hAnsi="Arial" w:cs="Arial"/>
                <w:sz w:val="18"/>
                <w:szCs w:val="18"/>
                <w:lang w:eastAsia="en-US"/>
              </w:rPr>
              <w:t>B2.3</w:t>
            </w:r>
            <w:r w:rsidRPr="007B600B">
              <w:rPr>
                <w:rFonts w:ascii="Arial" w:eastAsiaTheme="minorHAnsi" w:hAnsi="Arial" w:cs="Arial"/>
                <w:sz w:val="18"/>
                <w:szCs w:val="18"/>
                <w:lang w:eastAsia="en-US"/>
              </w:rPr>
              <w:tab/>
              <w:t>Timeliness – decisions on appeals COMCARE ONLY</w:t>
            </w:r>
          </w:p>
        </w:tc>
        <w:tc>
          <w:tcPr>
            <w:tcW w:w="1610" w:type="dxa"/>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General Counsel</w:t>
            </w:r>
          </w:p>
        </w:tc>
        <w:tc>
          <w:tcPr>
            <w:tcW w:w="940" w:type="dxa"/>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52%</w:t>
            </w:r>
          </w:p>
        </w:tc>
        <w:tc>
          <w:tcPr>
            <w:tcW w:w="984"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54%</w:t>
            </w:r>
          </w:p>
        </w:tc>
        <w:tc>
          <w:tcPr>
            <w:tcW w:w="950"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color w:val="008000"/>
                <w:sz w:val="32"/>
                <w:szCs w:val="32"/>
                <w:lang w:eastAsia="en-US"/>
              </w:rPr>
            </w:pPr>
            <w:r w:rsidRPr="007B600B">
              <w:rPr>
                <w:rFonts w:ascii="Arial" w:eastAsiaTheme="minorHAnsi" w:hAnsi="Arial" w:cs="Arial"/>
                <w:color w:val="008000"/>
                <w:sz w:val="32"/>
                <w:szCs w:val="32"/>
                <w:lang w:eastAsia="en-US"/>
              </w:rPr>
              <w:sym w:font="Wingdings 2" w:char="F050"/>
            </w:r>
          </w:p>
        </w:tc>
        <w:tc>
          <w:tcPr>
            <w:tcW w:w="889"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b/>
                <w:color w:val="008000"/>
                <w:sz w:val="28"/>
                <w:szCs w:val="28"/>
                <w:lang w:eastAsia="en-US"/>
              </w:rPr>
            </w:pPr>
            <w:r w:rsidRPr="007B600B">
              <w:rPr>
                <w:rFonts w:ascii="Arial" w:eastAsiaTheme="minorHAnsi" w:hAnsi="Arial" w:cs="Arial"/>
                <w:b/>
                <w:color w:val="548DD4" w:themeColor="text2" w:themeTint="99"/>
                <w:sz w:val="28"/>
                <w:szCs w:val="28"/>
                <w:lang w:eastAsia="en-US"/>
              </w:rPr>
              <w:sym w:font="Wingdings" w:char="F046"/>
            </w:r>
          </w:p>
        </w:tc>
        <w:tc>
          <w:tcPr>
            <w:tcW w:w="1143"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2011–12</w:t>
            </w:r>
          </w:p>
        </w:tc>
      </w:tr>
      <w:bookmarkEnd w:id="593"/>
      <w:tr w:rsidR="007B600B" w:rsidRPr="007B600B" w:rsidTr="000D7C1C">
        <w:trPr>
          <w:trHeight w:val="284"/>
          <w:jc w:val="center"/>
        </w:trPr>
        <w:tc>
          <w:tcPr>
            <w:tcW w:w="3475" w:type="dxa"/>
            <w:tcBorders>
              <w:top w:val="nil"/>
              <w:left w:val="nil"/>
              <w:bottom w:val="nil"/>
              <w:right w:val="nil"/>
            </w:tcBorders>
            <w:shd w:val="clear" w:color="auto" w:fill="auto"/>
            <w:vAlign w:val="center"/>
          </w:tcPr>
          <w:p w:rsidR="007B600B" w:rsidRPr="007B600B" w:rsidRDefault="007B600B" w:rsidP="007B600B">
            <w:pPr>
              <w:tabs>
                <w:tab w:val="left" w:pos="482"/>
              </w:tabs>
              <w:spacing w:after="200" w:line="276" w:lineRule="auto"/>
              <w:ind w:left="482" w:hanging="482"/>
              <w:rPr>
                <w:rFonts w:ascii="Arial" w:eastAsiaTheme="minorHAnsi" w:hAnsi="Arial" w:cs="Arial"/>
                <w:sz w:val="18"/>
                <w:szCs w:val="18"/>
                <w:lang w:eastAsia="en-US"/>
              </w:rPr>
            </w:pPr>
            <w:r w:rsidRPr="007B600B">
              <w:rPr>
                <w:rFonts w:ascii="Arial" w:eastAsiaTheme="minorHAnsi" w:hAnsi="Arial" w:cs="Arial"/>
                <w:sz w:val="18"/>
                <w:szCs w:val="18"/>
                <w:lang w:eastAsia="en-US"/>
              </w:rPr>
              <w:t>B2.4</w:t>
            </w:r>
            <w:r w:rsidRPr="007B600B">
              <w:rPr>
                <w:rFonts w:ascii="Arial" w:eastAsiaTheme="minorHAnsi" w:hAnsi="Arial" w:cs="Arial"/>
                <w:sz w:val="18"/>
                <w:szCs w:val="18"/>
                <w:lang w:eastAsia="en-US"/>
              </w:rPr>
              <w:tab/>
              <w:t>Disputation rate – reconsiderations COMCARE ONLY</w:t>
            </w:r>
          </w:p>
        </w:tc>
        <w:tc>
          <w:tcPr>
            <w:tcW w:w="1610" w:type="dxa"/>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GM RSG</w:t>
            </w:r>
          </w:p>
        </w:tc>
        <w:tc>
          <w:tcPr>
            <w:tcW w:w="940" w:type="dxa"/>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7.4</w:t>
            </w:r>
          </w:p>
        </w:tc>
        <w:tc>
          <w:tcPr>
            <w:tcW w:w="984"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7.1</w:t>
            </w:r>
          </w:p>
        </w:tc>
        <w:tc>
          <w:tcPr>
            <w:tcW w:w="950"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color w:val="FF0000"/>
                <w:sz w:val="32"/>
                <w:szCs w:val="32"/>
                <w:lang w:eastAsia="en-US"/>
              </w:rPr>
            </w:pPr>
            <w:r w:rsidRPr="007B600B">
              <w:rPr>
                <w:rFonts w:ascii="Arial" w:eastAsiaTheme="minorHAnsi" w:hAnsi="Arial" w:cs="Arial"/>
                <w:color w:val="008000"/>
                <w:sz w:val="32"/>
                <w:szCs w:val="32"/>
                <w:lang w:eastAsia="en-US"/>
              </w:rPr>
              <w:sym w:font="Wingdings 2" w:char="F050"/>
            </w:r>
          </w:p>
        </w:tc>
        <w:tc>
          <w:tcPr>
            <w:tcW w:w="889"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28"/>
                <w:szCs w:val="28"/>
                <w:lang w:eastAsia="en-US"/>
              </w:rPr>
            </w:pPr>
            <w:bookmarkStart w:id="594" w:name="OLE_LINK3"/>
            <w:bookmarkStart w:id="595" w:name="OLE_LINK4"/>
            <w:r w:rsidRPr="007B600B">
              <w:rPr>
                <w:rFonts w:ascii="Arial" w:eastAsiaTheme="minorHAnsi" w:hAnsi="Arial" w:cs="Arial"/>
                <w:b/>
                <w:color w:val="008000"/>
                <w:sz w:val="28"/>
                <w:szCs w:val="28"/>
                <w:lang w:eastAsia="en-US"/>
              </w:rPr>
              <w:sym w:font="Wingdings" w:char="F043"/>
            </w:r>
            <w:bookmarkEnd w:id="594"/>
            <w:bookmarkEnd w:id="595"/>
          </w:p>
        </w:tc>
        <w:tc>
          <w:tcPr>
            <w:tcW w:w="1143"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2011–12</w:t>
            </w:r>
          </w:p>
        </w:tc>
      </w:tr>
      <w:tr w:rsidR="007B600B" w:rsidRPr="007B600B" w:rsidTr="000D7C1C">
        <w:trPr>
          <w:trHeight w:val="284"/>
          <w:jc w:val="center"/>
        </w:trPr>
        <w:tc>
          <w:tcPr>
            <w:tcW w:w="3475" w:type="dxa"/>
            <w:tcBorders>
              <w:top w:val="nil"/>
              <w:left w:val="nil"/>
              <w:bottom w:val="nil"/>
              <w:right w:val="nil"/>
            </w:tcBorders>
            <w:shd w:val="clear" w:color="auto" w:fill="auto"/>
            <w:vAlign w:val="center"/>
          </w:tcPr>
          <w:p w:rsidR="007B600B" w:rsidRPr="007B600B" w:rsidRDefault="007B600B" w:rsidP="007B600B">
            <w:pPr>
              <w:tabs>
                <w:tab w:val="left" w:pos="482"/>
              </w:tabs>
              <w:spacing w:after="200" w:line="276" w:lineRule="auto"/>
              <w:ind w:left="482" w:hanging="482"/>
              <w:rPr>
                <w:rFonts w:ascii="Arial" w:eastAsiaTheme="minorHAnsi" w:hAnsi="Arial" w:cs="Arial"/>
                <w:sz w:val="18"/>
                <w:szCs w:val="18"/>
                <w:lang w:eastAsia="en-US"/>
              </w:rPr>
            </w:pPr>
            <w:r w:rsidRPr="007B600B">
              <w:rPr>
                <w:rFonts w:ascii="Arial" w:eastAsiaTheme="minorHAnsi" w:hAnsi="Arial" w:cs="Arial"/>
                <w:sz w:val="18"/>
                <w:szCs w:val="18"/>
                <w:lang w:eastAsia="en-US"/>
              </w:rPr>
              <w:t>B2.5</w:t>
            </w:r>
            <w:r w:rsidRPr="007B600B">
              <w:rPr>
                <w:rFonts w:ascii="Arial" w:eastAsiaTheme="minorHAnsi" w:hAnsi="Arial" w:cs="Arial"/>
                <w:sz w:val="18"/>
                <w:szCs w:val="18"/>
                <w:lang w:eastAsia="en-US"/>
              </w:rPr>
              <w:tab/>
              <w:t>Disputation rate – appeals COMCARE ONLY</w:t>
            </w:r>
          </w:p>
        </w:tc>
        <w:tc>
          <w:tcPr>
            <w:tcW w:w="1610" w:type="dxa"/>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GM RSG</w:t>
            </w:r>
          </w:p>
        </w:tc>
        <w:tc>
          <w:tcPr>
            <w:tcW w:w="940" w:type="dxa"/>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34.0</w:t>
            </w:r>
          </w:p>
        </w:tc>
        <w:tc>
          <w:tcPr>
            <w:tcW w:w="984"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35.5</w:t>
            </w:r>
          </w:p>
        </w:tc>
        <w:tc>
          <w:tcPr>
            <w:tcW w:w="950"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color w:val="FF0000"/>
                <w:sz w:val="32"/>
                <w:szCs w:val="32"/>
                <w:lang w:eastAsia="en-US"/>
              </w:rPr>
              <w:sym w:font="Wingdings 2" w:char="F04F"/>
            </w:r>
          </w:p>
        </w:tc>
        <w:tc>
          <w:tcPr>
            <w:tcW w:w="889"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b/>
                <w:color w:val="548DD4" w:themeColor="text2" w:themeTint="99"/>
                <w:sz w:val="28"/>
                <w:szCs w:val="28"/>
                <w:lang w:eastAsia="en-US"/>
              </w:rPr>
              <w:sym w:font="Wingdings" w:char="F046"/>
            </w:r>
          </w:p>
        </w:tc>
        <w:tc>
          <w:tcPr>
            <w:tcW w:w="1143"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2011–12</w:t>
            </w:r>
          </w:p>
        </w:tc>
      </w:tr>
      <w:tr w:rsidR="007B600B" w:rsidRPr="007B600B" w:rsidTr="000D7C1C">
        <w:trPr>
          <w:trHeight w:val="284"/>
          <w:jc w:val="center"/>
        </w:trPr>
        <w:tc>
          <w:tcPr>
            <w:tcW w:w="3475" w:type="dxa"/>
            <w:tcBorders>
              <w:top w:val="nil"/>
              <w:left w:val="nil"/>
              <w:bottom w:val="nil"/>
              <w:right w:val="nil"/>
            </w:tcBorders>
            <w:shd w:val="clear" w:color="auto" w:fill="auto"/>
            <w:vAlign w:val="center"/>
          </w:tcPr>
          <w:p w:rsidR="007B600B" w:rsidRPr="007B600B" w:rsidRDefault="007B600B" w:rsidP="007B600B">
            <w:pPr>
              <w:tabs>
                <w:tab w:val="left" w:pos="482"/>
              </w:tabs>
              <w:spacing w:after="200" w:line="276" w:lineRule="auto"/>
              <w:ind w:left="482" w:hanging="482"/>
              <w:rPr>
                <w:rFonts w:ascii="Arial" w:eastAsiaTheme="minorHAnsi" w:hAnsi="Arial" w:cs="Arial"/>
                <w:sz w:val="18"/>
                <w:szCs w:val="18"/>
                <w:lang w:eastAsia="en-US"/>
              </w:rPr>
            </w:pPr>
            <w:r w:rsidRPr="007B600B">
              <w:rPr>
                <w:rFonts w:ascii="Arial" w:eastAsiaTheme="minorHAnsi" w:hAnsi="Arial" w:cs="Arial"/>
                <w:sz w:val="18"/>
                <w:szCs w:val="18"/>
                <w:lang w:eastAsia="en-US"/>
              </w:rPr>
              <w:lastRenderedPageBreak/>
              <w:t>B2.6</w:t>
            </w:r>
            <w:r w:rsidRPr="007B600B">
              <w:rPr>
                <w:rFonts w:ascii="Arial" w:eastAsiaTheme="minorHAnsi" w:hAnsi="Arial" w:cs="Arial"/>
                <w:sz w:val="18"/>
                <w:szCs w:val="18"/>
                <w:lang w:eastAsia="en-US"/>
              </w:rPr>
              <w:tab/>
              <w:t>Affirmation rate – reconsiderations COMCARE ONLY</w:t>
            </w:r>
          </w:p>
        </w:tc>
        <w:tc>
          <w:tcPr>
            <w:tcW w:w="1610" w:type="dxa"/>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GM RSG</w:t>
            </w:r>
          </w:p>
        </w:tc>
        <w:tc>
          <w:tcPr>
            <w:tcW w:w="940" w:type="dxa"/>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75%</w:t>
            </w:r>
          </w:p>
        </w:tc>
        <w:tc>
          <w:tcPr>
            <w:tcW w:w="984"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68%</w:t>
            </w:r>
          </w:p>
        </w:tc>
        <w:tc>
          <w:tcPr>
            <w:tcW w:w="950"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color w:val="FF0000"/>
                <w:sz w:val="32"/>
                <w:szCs w:val="32"/>
                <w:lang w:eastAsia="en-US"/>
              </w:rPr>
            </w:pPr>
            <w:r w:rsidRPr="007B600B">
              <w:rPr>
                <w:rFonts w:ascii="Arial" w:eastAsiaTheme="minorHAnsi" w:hAnsi="Arial" w:cs="Arial"/>
                <w:color w:val="FF0000"/>
                <w:sz w:val="32"/>
                <w:szCs w:val="32"/>
                <w:lang w:eastAsia="en-US"/>
              </w:rPr>
              <w:sym w:font="Wingdings 2" w:char="F04F"/>
            </w:r>
          </w:p>
        </w:tc>
        <w:tc>
          <w:tcPr>
            <w:tcW w:w="889"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28"/>
                <w:szCs w:val="28"/>
                <w:lang w:eastAsia="en-US"/>
              </w:rPr>
            </w:pPr>
            <w:r w:rsidRPr="007B600B">
              <w:rPr>
                <w:rFonts w:ascii="Arial" w:eastAsiaTheme="minorHAnsi" w:hAnsi="Arial" w:cs="Arial"/>
                <w:b/>
                <w:color w:val="FF0000"/>
                <w:sz w:val="28"/>
                <w:szCs w:val="28"/>
                <w:lang w:eastAsia="en-US"/>
              </w:rPr>
              <w:sym w:font="Wingdings" w:char="F044"/>
            </w:r>
          </w:p>
        </w:tc>
        <w:tc>
          <w:tcPr>
            <w:tcW w:w="1143"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2011–12</w:t>
            </w:r>
          </w:p>
        </w:tc>
      </w:tr>
      <w:tr w:rsidR="007B600B" w:rsidRPr="007B600B" w:rsidTr="000D7C1C">
        <w:trPr>
          <w:trHeight w:val="284"/>
          <w:jc w:val="center"/>
        </w:trPr>
        <w:tc>
          <w:tcPr>
            <w:tcW w:w="3475" w:type="dxa"/>
            <w:tcBorders>
              <w:top w:val="nil"/>
              <w:left w:val="nil"/>
              <w:bottom w:val="nil"/>
              <w:right w:val="nil"/>
            </w:tcBorders>
            <w:shd w:val="clear" w:color="auto" w:fill="auto"/>
            <w:vAlign w:val="center"/>
          </w:tcPr>
          <w:p w:rsidR="007B600B" w:rsidRPr="007B600B" w:rsidRDefault="007B600B" w:rsidP="007B600B">
            <w:pPr>
              <w:tabs>
                <w:tab w:val="left" w:pos="482"/>
              </w:tabs>
              <w:spacing w:after="200" w:line="276" w:lineRule="auto"/>
              <w:ind w:left="482" w:hanging="482"/>
              <w:rPr>
                <w:rFonts w:ascii="Arial" w:eastAsiaTheme="minorHAnsi" w:hAnsi="Arial" w:cs="Arial"/>
                <w:sz w:val="18"/>
                <w:szCs w:val="18"/>
                <w:lang w:eastAsia="en-US"/>
              </w:rPr>
            </w:pPr>
            <w:r w:rsidRPr="007B600B">
              <w:rPr>
                <w:rFonts w:ascii="Arial" w:eastAsiaTheme="minorHAnsi" w:hAnsi="Arial" w:cs="Arial"/>
                <w:sz w:val="18"/>
                <w:szCs w:val="18"/>
                <w:lang w:eastAsia="en-US"/>
              </w:rPr>
              <w:t>B2.7</w:t>
            </w:r>
            <w:r w:rsidRPr="007B600B">
              <w:rPr>
                <w:rFonts w:ascii="Arial" w:eastAsiaTheme="minorHAnsi" w:hAnsi="Arial" w:cs="Arial"/>
                <w:sz w:val="18"/>
                <w:szCs w:val="18"/>
                <w:lang w:eastAsia="en-US"/>
              </w:rPr>
              <w:tab/>
              <w:t>Affirmation rate – appeals COMCARE ONLY</w:t>
            </w:r>
          </w:p>
        </w:tc>
        <w:tc>
          <w:tcPr>
            <w:tcW w:w="1610" w:type="dxa"/>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GM RSG</w:t>
            </w:r>
          </w:p>
        </w:tc>
        <w:tc>
          <w:tcPr>
            <w:tcW w:w="940" w:type="dxa"/>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57%</w:t>
            </w:r>
          </w:p>
        </w:tc>
        <w:tc>
          <w:tcPr>
            <w:tcW w:w="984"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51%</w:t>
            </w:r>
          </w:p>
        </w:tc>
        <w:tc>
          <w:tcPr>
            <w:tcW w:w="950"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color w:val="FF0000"/>
                <w:sz w:val="32"/>
                <w:szCs w:val="32"/>
                <w:lang w:eastAsia="en-US"/>
              </w:rPr>
              <w:sym w:font="Wingdings 2" w:char="F04F"/>
            </w:r>
          </w:p>
        </w:tc>
        <w:tc>
          <w:tcPr>
            <w:tcW w:w="889"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b/>
                <w:color w:val="008000"/>
                <w:sz w:val="28"/>
                <w:szCs w:val="28"/>
                <w:lang w:eastAsia="en-US"/>
              </w:rPr>
              <w:sym w:font="Wingdings" w:char="F043"/>
            </w:r>
          </w:p>
        </w:tc>
        <w:tc>
          <w:tcPr>
            <w:tcW w:w="1143"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2011–12</w:t>
            </w:r>
          </w:p>
        </w:tc>
      </w:tr>
      <w:tr w:rsidR="007B600B" w:rsidRPr="007B600B" w:rsidTr="000D7C1C">
        <w:trPr>
          <w:gridAfter w:val="1"/>
          <w:wAfter w:w="7" w:type="dxa"/>
          <w:trHeight w:val="284"/>
          <w:jc w:val="center"/>
        </w:trPr>
        <w:tc>
          <w:tcPr>
            <w:tcW w:w="3475" w:type="dxa"/>
            <w:tcBorders>
              <w:top w:val="nil"/>
              <w:left w:val="nil"/>
              <w:bottom w:val="nil"/>
              <w:right w:val="nil"/>
            </w:tcBorders>
            <w:shd w:val="clear" w:color="auto" w:fill="auto"/>
            <w:vAlign w:val="center"/>
          </w:tcPr>
          <w:p w:rsidR="007B600B" w:rsidRPr="007B600B" w:rsidRDefault="007B600B" w:rsidP="007B600B">
            <w:pPr>
              <w:tabs>
                <w:tab w:val="left" w:pos="482"/>
              </w:tabs>
              <w:spacing w:after="200" w:line="276" w:lineRule="auto"/>
              <w:ind w:left="482" w:hanging="482"/>
              <w:rPr>
                <w:rFonts w:ascii="Arial" w:eastAsiaTheme="minorHAnsi" w:hAnsi="Arial" w:cs="Arial"/>
                <w:sz w:val="18"/>
                <w:szCs w:val="18"/>
                <w:lang w:eastAsia="en-US"/>
              </w:rPr>
            </w:pPr>
            <w:r w:rsidRPr="007B600B">
              <w:rPr>
                <w:rFonts w:ascii="Arial" w:eastAsiaTheme="minorHAnsi" w:hAnsi="Arial" w:cs="Arial"/>
                <w:sz w:val="18"/>
                <w:szCs w:val="18"/>
                <w:lang w:eastAsia="en-US"/>
              </w:rPr>
              <w:t>B4.1</w:t>
            </w:r>
            <w:r w:rsidRPr="007B600B">
              <w:rPr>
                <w:rFonts w:ascii="Arial" w:eastAsiaTheme="minorHAnsi" w:hAnsi="Arial" w:cs="Arial"/>
                <w:sz w:val="18"/>
                <w:szCs w:val="18"/>
                <w:lang w:eastAsia="en-US"/>
              </w:rPr>
              <w:tab/>
              <w:t>Employer Performance Index – support and recovery for injured workers</w:t>
            </w:r>
          </w:p>
        </w:tc>
        <w:tc>
          <w:tcPr>
            <w:tcW w:w="1610" w:type="dxa"/>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All Executive</w:t>
            </w:r>
          </w:p>
        </w:tc>
        <w:tc>
          <w:tcPr>
            <w:tcW w:w="940" w:type="dxa"/>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76%</w:t>
            </w:r>
          </w:p>
        </w:tc>
        <w:tc>
          <w:tcPr>
            <w:tcW w:w="977" w:type="dxa"/>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71%</w:t>
            </w:r>
          </w:p>
        </w:tc>
        <w:tc>
          <w:tcPr>
            <w:tcW w:w="950"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color w:val="FF0000"/>
                <w:sz w:val="32"/>
                <w:szCs w:val="32"/>
                <w:lang w:eastAsia="en-US"/>
              </w:rPr>
              <w:sym w:font="Wingdings 2" w:char="F04F"/>
            </w:r>
          </w:p>
        </w:tc>
        <w:tc>
          <w:tcPr>
            <w:tcW w:w="889"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n/a</w:t>
            </w:r>
          </w:p>
        </w:tc>
        <w:tc>
          <w:tcPr>
            <w:tcW w:w="1143"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2011–12</w:t>
            </w:r>
          </w:p>
        </w:tc>
      </w:tr>
      <w:tr w:rsidR="007B600B" w:rsidRPr="007B600B" w:rsidTr="000D7C1C">
        <w:trPr>
          <w:gridAfter w:val="1"/>
          <w:wAfter w:w="7" w:type="dxa"/>
          <w:trHeight w:val="284"/>
          <w:jc w:val="center"/>
        </w:trPr>
        <w:tc>
          <w:tcPr>
            <w:tcW w:w="3475" w:type="dxa"/>
            <w:tcBorders>
              <w:top w:val="nil"/>
              <w:left w:val="nil"/>
              <w:bottom w:val="nil"/>
              <w:right w:val="nil"/>
            </w:tcBorders>
            <w:shd w:val="clear" w:color="auto" w:fill="auto"/>
            <w:vAlign w:val="center"/>
          </w:tcPr>
          <w:p w:rsidR="007B600B" w:rsidRPr="007B600B" w:rsidRDefault="007B600B" w:rsidP="007B600B">
            <w:pPr>
              <w:tabs>
                <w:tab w:val="left" w:pos="482"/>
              </w:tabs>
              <w:spacing w:after="200" w:line="276" w:lineRule="auto"/>
              <w:ind w:left="482" w:hanging="482"/>
              <w:rPr>
                <w:rFonts w:ascii="Arial" w:eastAsiaTheme="minorHAnsi" w:hAnsi="Arial" w:cs="Arial"/>
                <w:sz w:val="18"/>
                <w:szCs w:val="18"/>
                <w:lang w:eastAsia="en-US"/>
              </w:rPr>
            </w:pPr>
            <w:r w:rsidRPr="007B600B">
              <w:rPr>
                <w:rFonts w:ascii="Arial" w:eastAsiaTheme="minorHAnsi" w:hAnsi="Arial" w:cs="Arial"/>
                <w:sz w:val="18"/>
                <w:szCs w:val="18"/>
                <w:lang w:eastAsia="en-US"/>
              </w:rPr>
              <w:t>B4.2</w:t>
            </w:r>
            <w:r w:rsidRPr="007B600B">
              <w:rPr>
                <w:rFonts w:ascii="Arial" w:eastAsiaTheme="minorHAnsi" w:hAnsi="Arial" w:cs="Arial"/>
                <w:sz w:val="18"/>
                <w:szCs w:val="18"/>
                <w:lang w:eastAsia="en-US"/>
              </w:rPr>
              <w:tab/>
              <w:t>Comcare Service Index – injury and claims management services</w:t>
            </w:r>
          </w:p>
        </w:tc>
        <w:tc>
          <w:tcPr>
            <w:tcW w:w="1610" w:type="dxa"/>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GM RSG</w:t>
            </w:r>
          </w:p>
        </w:tc>
        <w:tc>
          <w:tcPr>
            <w:tcW w:w="940" w:type="dxa"/>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73%</w:t>
            </w:r>
          </w:p>
        </w:tc>
        <w:tc>
          <w:tcPr>
            <w:tcW w:w="977" w:type="dxa"/>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64%</w:t>
            </w:r>
          </w:p>
        </w:tc>
        <w:tc>
          <w:tcPr>
            <w:tcW w:w="950"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color w:val="FF0000"/>
                <w:sz w:val="32"/>
                <w:szCs w:val="32"/>
                <w:lang w:eastAsia="en-US"/>
              </w:rPr>
              <w:sym w:font="Wingdings 2" w:char="F04F"/>
            </w:r>
          </w:p>
        </w:tc>
        <w:tc>
          <w:tcPr>
            <w:tcW w:w="889"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n/a</w:t>
            </w:r>
          </w:p>
        </w:tc>
        <w:tc>
          <w:tcPr>
            <w:tcW w:w="1143"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2011–12</w:t>
            </w:r>
          </w:p>
        </w:tc>
      </w:tr>
      <w:tr w:rsidR="007B600B" w:rsidRPr="007B600B" w:rsidTr="000D7C1C">
        <w:trPr>
          <w:gridAfter w:val="1"/>
          <w:wAfter w:w="7" w:type="dxa"/>
          <w:trHeight w:val="284"/>
          <w:jc w:val="center"/>
        </w:trPr>
        <w:tc>
          <w:tcPr>
            <w:tcW w:w="3475" w:type="dxa"/>
            <w:tcBorders>
              <w:top w:val="nil"/>
              <w:left w:val="nil"/>
              <w:bottom w:val="nil"/>
              <w:right w:val="nil"/>
            </w:tcBorders>
            <w:shd w:val="clear" w:color="auto" w:fill="auto"/>
            <w:vAlign w:val="center"/>
          </w:tcPr>
          <w:p w:rsidR="007B600B" w:rsidRPr="007B600B" w:rsidRDefault="007B600B" w:rsidP="007B600B">
            <w:pPr>
              <w:tabs>
                <w:tab w:val="left" w:pos="482"/>
              </w:tabs>
              <w:spacing w:after="200" w:line="276" w:lineRule="auto"/>
              <w:ind w:left="482" w:hanging="482"/>
              <w:rPr>
                <w:rFonts w:ascii="Arial" w:eastAsiaTheme="minorHAnsi" w:hAnsi="Arial" w:cs="Arial"/>
                <w:sz w:val="18"/>
                <w:szCs w:val="18"/>
                <w:lang w:eastAsia="en-US"/>
              </w:rPr>
            </w:pPr>
            <w:r w:rsidRPr="007B600B">
              <w:rPr>
                <w:rFonts w:ascii="Arial" w:eastAsiaTheme="minorHAnsi" w:hAnsi="Arial" w:cs="Arial"/>
                <w:sz w:val="18"/>
                <w:szCs w:val="18"/>
                <w:lang w:eastAsia="en-US"/>
              </w:rPr>
              <w:t>B4.3</w:t>
            </w:r>
            <w:r w:rsidRPr="007B600B">
              <w:rPr>
                <w:rFonts w:ascii="Arial" w:eastAsiaTheme="minorHAnsi" w:hAnsi="Arial" w:cs="Arial"/>
                <w:sz w:val="18"/>
                <w:szCs w:val="18"/>
                <w:lang w:eastAsia="en-US"/>
              </w:rPr>
              <w:tab/>
              <w:t>Actuarial release – injury and claims management</w:t>
            </w:r>
          </w:p>
        </w:tc>
        <w:tc>
          <w:tcPr>
            <w:tcW w:w="1610" w:type="dxa"/>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GM RSG</w:t>
            </w:r>
          </w:p>
        </w:tc>
        <w:tc>
          <w:tcPr>
            <w:tcW w:w="940" w:type="dxa"/>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$0M</w:t>
            </w:r>
          </w:p>
        </w:tc>
        <w:tc>
          <w:tcPr>
            <w:tcW w:w="977" w:type="dxa"/>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$-404.3M</w:t>
            </w:r>
          </w:p>
        </w:tc>
        <w:tc>
          <w:tcPr>
            <w:tcW w:w="950"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color w:val="FF0000"/>
                <w:sz w:val="32"/>
                <w:szCs w:val="32"/>
                <w:lang w:eastAsia="en-US"/>
              </w:rPr>
              <w:sym w:font="Wingdings 2" w:char="F04F"/>
            </w:r>
          </w:p>
        </w:tc>
        <w:tc>
          <w:tcPr>
            <w:tcW w:w="889"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n/a</w:t>
            </w:r>
          </w:p>
        </w:tc>
        <w:tc>
          <w:tcPr>
            <w:tcW w:w="1143"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2011–12</w:t>
            </w:r>
          </w:p>
        </w:tc>
      </w:tr>
      <w:tr w:rsidR="007B600B" w:rsidRPr="007B600B" w:rsidTr="000D7C1C">
        <w:trPr>
          <w:gridAfter w:val="1"/>
          <w:wAfter w:w="7" w:type="dxa"/>
          <w:trHeight w:val="284"/>
          <w:jc w:val="center"/>
        </w:trPr>
        <w:tc>
          <w:tcPr>
            <w:tcW w:w="3475" w:type="dxa"/>
            <w:tcBorders>
              <w:top w:val="nil"/>
              <w:left w:val="nil"/>
              <w:bottom w:val="nil"/>
              <w:right w:val="nil"/>
            </w:tcBorders>
            <w:shd w:val="clear" w:color="auto" w:fill="auto"/>
            <w:vAlign w:val="center"/>
          </w:tcPr>
          <w:p w:rsidR="007B600B" w:rsidRPr="007B600B" w:rsidRDefault="007B600B" w:rsidP="007B600B">
            <w:pPr>
              <w:tabs>
                <w:tab w:val="left" w:pos="482"/>
              </w:tabs>
              <w:spacing w:after="200" w:line="276" w:lineRule="auto"/>
              <w:ind w:left="482" w:hanging="482"/>
              <w:rPr>
                <w:rFonts w:ascii="Arial" w:eastAsiaTheme="minorHAnsi" w:hAnsi="Arial" w:cs="Arial"/>
                <w:sz w:val="18"/>
                <w:szCs w:val="18"/>
                <w:lang w:eastAsia="en-US"/>
              </w:rPr>
            </w:pPr>
            <w:r w:rsidRPr="007B600B">
              <w:rPr>
                <w:rFonts w:ascii="Arial" w:eastAsiaTheme="minorHAnsi" w:hAnsi="Arial" w:cs="Arial"/>
                <w:sz w:val="18"/>
                <w:szCs w:val="18"/>
                <w:lang w:eastAsia="en-US"/>
              </w:rPr>
              <w:t>B5.1</w:t>
            </w:r>
            <w:r w:rsidRPr="007B600B">
              <w:rPr>
                <w:rFonts w:ascii="Arial" w:eastAsiaTheme="minorHAnsi" w:hAnsi="Arial" w:cs="Arial"/>
                <w:sz w:val="18"/>
                <w:szCs w:val="18"/>
                <w:lang w:eastAsia="en-US"/>
              </w:rPr>
              <w:tab/>
              <w:t>Percentage of value of asbestos claim settlements recovered from 3rd parties</w:t>
            </w:r>
          </w:p>
        </w:tc>
        <w:tc>
          <w:tcPr>
            <w:tcW w:w="1610" w:type="dxa"/>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GM RSG</w:t>
            </w:r>
          </w:p>
        </w:tc>
        <w:tc>
          <w:tcPr>
            <w:tcW w:w="940" w:type="dxa"/>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5%</w:t>
            </w:r>
          </w:p>
        </w:tc>
        <w:tc>
          <w:tcPr>
            <w:tcW w:w="977" w:type="dxa"/>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10%</w:t>
            </w:r>
          </w:p>
        </w:tc>
        <w:tc>
          <w:tcPr>
            <w:tcW w:w="950"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color w:val="008000"/>
                <w:sz w:val="32"/>
                <w:szCs w:val="32"/>
                <w:lang w:eastAsia="en-US"/>
              </w:rPr>
            </w:pPr>
            <w:r w:rsidRPr="007B600B">
              <w:rPr>
                <w:rFonts w:ascii="Arial" w:eastAsiaTheme="minorHAnsi" w:hAnsi="Arial" w:cs="Arial"/>
                <w:color w:val="008000"/>
                <w:sz w:val="32"/>
                <w:szCs w:val="32"/>
                <w:lang w:eastAsia="en-US"/>
              </w:rPr>
              <w:sym w:font="Wingdings 2" w:char="F050"/>
            </w:r>
          </w:p>
        </w:tc>
        <w:tc>
          <w:tcPr>
            <w:tcW w:w="889"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28"/>
                <w:szCs w:val="28"/>
                <w:lang w:eastAsia="en-US"/>
              </w:rPr>
            </w:pPr>
            <w:r w:rsidRPr="007B600B">
              <w:rPr>
                <w:rFonts w:ascii="Arial" w:eastAsiaTheme="minorHAnsi" w:hAnsi="Arial" w:cs="Arial"/>
                <w:b/>
                <w:color w:val="FF0000"/>
                <w:sz w:val="28"/>
                <w:szCs w:val="28"/>
                <w:lang w:eastAsia="en-US"/>
              </w:rPr>
              <w:sym w:font="Wingdings" w:char="F044"/>
            </w:r>
          </w:p>
        </w:tc>
        <w:tc>
          <w:tcPr>
            <w:tcW w:w="1143" w:type="dxa"/>
            <w:gridSpan w:val="2"/>
            <w:tcBorders>
              <w:top w:val="nil"/>
              <w:left w:val="nil"/>
              <w:bottom w:val="nil"/>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2011–12</w:t>
            </w:r>
          </w:p>
        </w:tc>
      </w:tr>
      <w:tr w:rsidR="007B600B" w:rsidRPr="007B600B" w:rsidTr="000D7C1C">
        <w:trPr>
          <w:gridAfter w:val="1"/>
          <w:wAfter w:w="7" w:type="dxa"/>
          <w:trHeight w:val="284"/>
          <w:jc w:val="center"/>
        </w:trPr>
        <w:tc>
          <w:tcPr>
            <w:tcW w:w="3475" w:type="dxa"/>
            <w:tcBorders>
              <w:top w:val="nil"/>
              <w:left w:val="nil"/>
              <w:bottom w:val="single" w:sz="4" w:space="0" w:color="auto"/>
              <w:right w:val="nil"/>
            </w:tcBorders>
            <w:shd w:val="clear" w:color="auto" w:fill="auto"/>
            <w:vAlign w:val="center"/>
          </w:tcPr>
          <w:p w:rsidR="007B600B" w:rsidRPr="007B600B" w:rsidRDefault="007B600B" w:rsidP="007B600B">
            <w:pPr>
              <w:tabs>
                <w:tab w:val="left" w:pos="482"/>
              </w:tabs>
              <w:spacing w:after="200" w:line="276" w:lineRule="auto"/>
              <w:ind w:left="482" w:hanging="482"/>
              <w:rPr>
                <w:rFonts w:ascii="Arial" w:eastAsiaTheme="minorHAnsi" w:hAnsi="Arial" w:cs="Arial"/>
                <w:sz w:val="18"/>
                <w:szCs w:val="18"/>
                <w:lang w:eastAsia="en-US"/>
              </w:rPr>
            </w:pPr>
            <w:r w:rsidRPr="007B600B">
              <w:rPr>
                <w:rFonts w:ascii="Arial" w:eastAsiaTheme="minorHAnsi" w:hAnsi="Arial" w:cs="Arial"/>
                <w:sz w:val="18"/>
                <w:szCs w:val="18"/>
                <w:lang w:eastAsia="en-US"/>
              </w:rPr>
              <w:t>B5.2</w:t>
            </w:r>
            <w:r w:rsidRPr="007B600B">
              <w:rPr>
                <w:rFonts w:ascii="Arial" w:eastAsiaTheme="minorHAnsi" w:hAnsi="Arial" w:cs="Arial"/>
                <w:sz w:val="18"/>
                <w:szCs w:val="18"/>
                <w:lang w:eastAsia="en-US"/>
              </w:rPr>
              <w:tab/>
              <w:t>Actuarial release – asbestos claims management</w:t>
            </w:r>
          </w:p>
        </w:tc>
        <w:tc>
          <w:tcPr>
            <w:tcW w:w="1610" w:type="dxa"/>
            <w:tcBorders>
              <w:top w:val="nil"/>
              <w:left w:val="nil"/>
              <w:bottom w:val="single" w:sz="4" w:space="0" w:color="auto"/>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GM RSG</w:t>
            </w:r>
          </w:p>
        </w:tc>
        <w:tc>
          <w:tcPr>
            <w:tcW w:w="940" w:type="dxa"/>
            <w:tcBorders>
              <w:top w:val="nil"/>
              <w:left w:val="nil"/>
              <w:bottom w:val="single" w:sz="4" w:space="0" w:color="auto"/>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$0M</w:t>
            </w:r>
          </w:p>
        </w:tc>
        <w:tc>
          <w:tcPr>
            <w:tcW w:w="977" w:type="dxa"/>
            <w:tcBorders>
              <w:top w:val="nil"/>
              <w:left w:val="nil"/>
              <w:bottom w:val="single" w:sz="4" w:space="0" w:color="auto"/>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$36.9M</w:t>
            </w:r>
          </w:p>
        </w:tc>
        <w:tc>
          <w:tcPr>
            <w:tcW w:w="950" w:type="dxa"/>
            <w:gridSpan w:val="2"/>
            <w:tcBorders>
              <w:top w:val="nil"/>
              <w:left w:val="nil"/>
              <w:bottom w:val="single" w:sz="4" w:space="0" w:color="auto"/>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color w:val="008000"/>
                <w:sz w:val="32"/>
                <w:szCs w:val="32"/>
                <w:lang w:eastAsia="en-US"/>
              </w:rPr>
              <w:sym w:font="Wingdings 2" w:char="F050"/>
            </w:r>
          </w:p>
        </w:tc>
        <w:tc>
          <w:tcPr>
            <w:tcW w:w="889" w:type="dxa"/>
            <w:gridSpan w:val="2"/>
            <w:tcBorders>
              <w:top w:val="nil"/>
              <w:left w:val="nil"/>
              <w:bottom w:val="single" w:sz="4" w:space="0" w:color="auto"/>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n/a</w:t>
            </w:r>
          </w:p>
        </w:tc>
        <w:tc>
          <w:tcPr>
            <w:tcW w:w="1143" w:type="dxa"/>
            <w:gridSpan w:val="2"/>
            <w:tcBorders>
              <w:top w:val="nil"/>
              <w:left w:val="nil"/>
              <w:bottom w:val="single" w:sz="4" w:space="0" w:color="auto"/>
              <w:right w:val="nil"/>
            </w:tcBorders>
            <w:shd w:val="clear" w:color="auto" w:fill="auto"/>
            <w:vAlign w:val="center"/>
          </w:tcPr>
          <w:p w:rsidR="007B600B" w:rsidRPr="007B600B" w:rsidRDefault="007B600B" w:rsidP="007B600B">
            <w:pPr>
              <w:spacing w:after="200" w:line="276" w:lineRule="auto"/>
              <w:jc w:val="center"/>
              <w:rPr>
                <w:rFonts w:ascii="Arial" w:eastAsiaTheme="minorHAnsi" w:hAnsi="Arial" w:cs="Arial"/>
                <w:sz w:val="18"/>
                <w:szCs w:val="18"/>
                <w:lang w:eastAsia="en-US"/>
              </w:rPr>
            </w:pPr>
            <w:r w:rsidRPr="007B600B">
              <w:rPr>
                <w:rFonts w:ascii="Arial" w:eastAsiaTheme="minorHAnsi" w:hAnsi="Arial" w:cs="Arial"/>
                <w:sz w:val="18"/>
                <w:szCs w:val="18"/>
                <w:lang w:eastAsia="en-US"/>
              </w:rPr>
              <w:t>2011–12</w:t>
            </w:r>
          </w:p>
        </w:tc>
      </w:tr>
    </w:tbl>
    <w:p w:rsidR="007B600B" w:rsidRPr="007B600B" w:rsidRDefault="007B600B" w:rsidP="007B600B">
      <w:pPr>
        <w:spacing w:after="200" w:line="276" w:lineRule="auto"/>
        <w:rPr>
          <w:rFonts w:ascii="Arial" w:eastAsiaTheme="minorHAnsi" w:hAnsi="Arial" w:cs="Arial"/>
          <w:sz w:val="18"/>
          <w:szCs w:val="18"/>
          <w:lang w:eastAsia="en-US"/>
        </w:rPr>
      </w:pPr>
      <w:bookmarkStart w:id="596" w:name="OLE_LINK17"/>
      <w:bookmarkStart w:id="597" w:name="OLE_LINK18"/>
      <w:r w:rsidRPr="007B600B">
        <w:rPr>
          <w:rFonts w:ascii="Arial" w:eastAsiaTheme="minorHAnsi" w:hAnsi="Arial" w:cs="Arial"/>
          <w:sz w:val="20"/>
          <w:szCs w:val="20"/>
          <w:lang w:eastAsia="en-US"/>
        </w:rPr>
        <w:t>*</w:t>
      </w:r>
      <w:r w:rsidRPr="007B600B">
        <w:rPr>
          <w:rFonts w:ascii="Arial" w:eastAsiaTheme="minorHAnsi" w:hAnsi="Arial" w:cs="Arial"/>
          <w:sz w:val="18"/>
          <w:szCs w:val="18"/>
          <w:lang w:eastAsia="en-US"/>
        </w:rPr>
        <w:t xml:space="preserve"> Trend is based on a comparison with the previous financial year’s result. </w:t>
      </w:r>
      <w:r w:rsidRPr="007B600B">
        <w:rPr>
          <w:rFonts w:ascii="Arial" w:eastAsiaTheme="minorHAnsi" w:hAnsi="Arial" w:cs="Arial"/>
          <w:b/>
          <w:color w:val="008000"/>
          <w:sz w:val="28"/>
          <w:szCs w:val="28"/>
          <w:lang w:eastAsia="en-US"/>
        </w:rPr>
        <w:sym w:font="Wingdings" w:char="F043"/>
      </w:r>
      <w:r w:rsidRPr="007B600B">
        <w:rPr>
          <w:rFonts w:ascii="Arial" w:eastAsiaTheme="minorHAnsi" w:hAnsi="Arial" w:cs="Arial"/>
          <w:b/>
          <w:color w:val="008000"/>
          <w:sz w:val="28"/>
          <w:szCs w:val="28"/>
          <w:lang w:eastAsia="en-US"/>
        </w:rPr>
        <w:t xml:space="preserve"> </w:t>
      </w:r>
      <w:r w:rsidRPr="007B600B">
        <w:rPr>
          <w:rFonts w:ascii="Arial" w:eastAsiaTheme="minorHAnsi" w:hAnsi="Arial" w:cs="Arial"/>
          <w:sz w:val="18"/>
          <w:szCs w:val="18"/>
          <w:lang w:eastAsia="en-US"/>
        </w:rPr>
        <w:t xml:space="preserve">- Improving  </w:t>
      </w:r>
      <w:r w:rsidRPr="007B600B">
        <w:rPr>
          <w:rFonts w:ascii="Arial" w:eastAsiaTheme="minorHAnsi" w:hAnsi="Arial" w:cs="Arial"/>
          <w:b/>
          <w:color w:val="FF0000"/>
          <w:sz w:val="28"/>
          <w:szCs w:val="28"/>
          <w:lang w:eastAsia="en-US"/>
        </w:rPr>
        <w:sym w:font="Wingdings" w:char="F044"/>
      </w:r>
      <w:r w:rsidRPr="007B600B">
        <w:rPr>
          <w:rFonts w:ascii="Arial" w:eastAsiaTheme="minorHAnsi" w:hAnsi="Arial" w:cs="Arial"/>
          <w:b/>
          <w:color w:val="FF0000"/>
          <w:sz w:val="28"/>
          <w:szCs w:val="28"/>
          <w:lang w:eastAsia="en-US"/>
        </w:rPr>
        <w:t xml:space="preserve"> </w:t>
      </w:r>
      <w:r w:rsidRPr="007B600B">
        <w:rPr>
          <w:rFonts w:ascii="Arial" w:eastAsiaTheme="minorHAnsi" w:hAnsi="Arial" w:cs="Arial"/>
          <w:sz w:val="18"/>
          <w:szCs w:val="18"/>
          <w:lang w:eastAsia="en-US"/>
        </w:rPr>
        <w:t xml:space="preserve">- Deteriorating  </w:t>
      </w:r>
      <w:r w:rsidRPr="007B600B">
        <w:rPr>
          <w:rFonts w:ascii="Arial" w:eastAsiaTheme="minorHAnsi" w:hAnsi="Arial" w:cs="Arial"/>
          <w:b/>
          <w:color w:val="548DD4" w:themeColor="text2" w:themeTint="99"/>
          <w:sz w:val="28"/>
          <w:szCs w:val="28"/>
          <w:lang w:eastAsia="en-US"/>
        </w:rPr>
        <w:sym w:font="Wingdings" w:char="F046"/>
      </w:r>
      <w:r w:rsidRPr="007B600B">
        <w:rPr>
          <w:rFonts w:ascii="Arial" w:eastAsiaTheme="minorHAnsi" w:hAnsi="Arial" w:cs="Arial"/>
          <w:sz w:val="18"/>
          <w:szCs w:val="18"/>
          <w:lang w:eastAsia="en-US"/>
        </w:rPr>
        <w:t xml:space="preserve"> - Unchanged</w:t>
      </w:r>
    </w:p>
    <w:p w:rsidR="007B600B" w:rsidRPr="007B600B" w:rsidRDefault="007B600B" w:rsidP="007B600B">
      <w:pPr>
        <w:spacing w:after="200" w:line="276" w:lineRule="auto"/>
        <w:rPr>
          <w:rFonts w:asciiTheme="minorHAnsi" w:eastAsiaTheme="minorHAnsi" w:hAnsiTheme="minorHAnsi" w:cstheme="minorBidi"/>
          <w:sz w:val="22"/>
          <w:szCs w:val="22"/>
          <w:lang w:eastAsia="en-US"/>
        </w:rPr>
      </w:pPr>
      <w:r w:rsidRPr="007B600B">
        <w:rPr>
          <w:rFonts w:ascii="Arial" w:eastAsiaTheme="minorHAnsi" w:hAnsi="Arial" w:cs="Arial"/>
          <w:color w:val="FF0000"/>
          <w:sz w:val="20"/>
          <w:szCs w:val="20"/>
          <w:lang w:eastAsia="en-US"/>
        </w:rPr>
        <w:t>**</w:t>
      </w:r>
      <w:r w:rsidRPr="007B600B">
        <w:rPr>
          <w:rFonts w:ascii="Arial" w:eastAsiaTheme="minorHAnsi" w:hAnsi="Arial" w:cs="Arial"/>
          <w:sz w:val="18"/>
          <w:szCs w:val="18"/>
          <w:lang w:eastAsia="en-US"/>
        </w:rPr>
        <w:t xml:space="preserve"> B2.2 Performance during 2011–12 is not directly comparable to 2010–11 performance due to a change in measurement basis from 1 Jan 2011 (i.e. now recording from date of receipt rather than date of commencement of reconsideration).</w:t>
      </w:r>
      <w:bookmarkEnd w:id="596"/>
      <w:bookmarkEnd w:id="597"/>
    </w:p>
    <w:p w:rsidR="007B600B" w:rsidRDefault="007B600B" w:rsidP="00797CEF">
      <w:pPr>
        <w:spacing w:after="120"/>
        <w:rPr>
          <w:rFonts w:ascii="Calibri" w:hAnsi="Calibri" w:cs="Calibri"/>
          <w:sz w:val="22"/>
          <w:szCs w:val="22"/>
        </w:rPr>
        <w:sectPr w:rsidR="007B600B" w:rsidSect="000D7C1C">
          <w:headerReference w:type="default" r:id="rId49"/>
          <w:pgSz w:w="11906" w:h="16838"/>
          <w:pgMar w:top="1440" w:right="1440" w:bottom="1440" w:left="1440" w:header="708" w:footer="708" w:gutter="0"/>
          <w:cols w:space="708"/>
          <w:docGrid w:linePitch="360"/>
        </w:sectPr>
      </w:pPr>
    </w:p>
    <w:p w:rsidR="007B600B" w:rsidRPr="008B228F" w:rsidRDefault="008B228F" w:rsidP="008B228F">
      <w:pPr>
        <w:spacing w:before="100" w:beforeAutospacing="1" w:after="100" w:afterAutospacing="1"/>
        <w:outlineLvl w:val="0"/>
        <w:rPr>
          <w:rFonts w:ascii="Arial" w:hAnsi="Arial"/>
          <w:bCs/>
          <w:caps/>
          <w:color w:val="1F497D" w:themeColor="text2"/>
          <w:kern w:val="36"/>
          <w:sz w:val="28"/>
          <w:szCs w:val="28"/>
        </w:rPr>
      </w:pPr>
      <w:bookmarkStart w:id="598" w:name="_Toc342578430"/>
      <w:r>
        <w:rPr>
          <w:rFonts w:ascii="Arial" w:hAnsi="Arial"/>
          <w:bCs/>
          <w:caps/>
          <w:color w:val="1F497D" w:themeColor="text2"/>
          <w:kern w:val="36"/>
          <w:sz w:val="28"/>
          <w:szCs w:val="28"/>
        </w:rPr>
        <w:lastRenderedPageBreak/>
        <w:t xml:space="preserve">annex f - </w:t>
      </w:r>
      <w:r w:rsidR="007B600B" w:rsidRPr="008B228F">
        <w:rPr>
          <w:rFonts w:ascii="Arial" w:hAnsi="Arial"/>
          <w:bCs/>
          <w:caps/>
          <w:color w:val="1F497D" w:themeColor="text2"/>
          <w:kern w:val="36"/>
          <w:sz w:val="28"/>
          <w:szCs w:val="28"/>
        </w:rPr>
        <w:t>Comcare Scheme and Headline KPIs</w:t>
      </w:r>
      <w:bookmarkEnd w:id="598"/>
    </w:p>
    <w:p w:rsidR="007B600B" w:rsidRPr="007B600B" w:rsidRDefault="007B600B" w:rsidP="007B600B">
      <w:pPr>
        <w:ind w:left="709"/>
        <w:contextualSpacing/>
        <w:jc w:val="center"/>
        <w:rPr>
          <w:rFonts w:ascii="Calibri" w:eastAsiaTheme="minorHAnsi" w:hAnsi="Calibri" w:cs="Calibri"/>
          <w:sz w:val="22"/>
          <w:lang w:eastAsia="en-US"/>
        </w:rPr>
      </w:pPr>
    </w:p>
    <w:tbl>
      <w:tblPr>
        <w:tblW w:w="9259" w:type="dxa"/>
        <w:jc w:val="center"/>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652"/>
        <w:gridCol w:w="4773"/>
        <w:gridCol w:w="1278"/>
        <w:gridCol w:w="1278"/>
        <w:gridCol w:w="1278"/>
      </w:tblGrid>
      <w:tr w:rsidR="007B600B" w:rsidRPr="007B600B" w:rsidTr="00584ADA">
        <w:trPr>
          <w:cantSplit/>
          <w:tblHeader/>
          <w:jc w:val="center"/>
        </w:trPr>
        <w:tc>
          <w:tcPr>
            <w:tcW w:w="5425" w:type="dxa"/>
            <w:gridSpan w:val="2"/>
            <w:tcBorders>
              <w:bottom w:val="single" w:sz="4" w:space="0" w:color="auto"/>
            </w:tcBorders>
            <w:shd w:val="clear" w:color="auto" w:fill="C4BC96" w:themeFill="background2" w:themeFillShade="BF"/>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b/>
                <w:lang w:eastAsia="en-US"/>
              </w:rPr>
            </w:pPr>
            <w:r w:rsidRPr="007B600B">
              <w:rPr>
                <w:rFonts w:ascii="Calibri" w:eastAsiaTheme="minorHAnsi" w:hAnsi="Calibri" w:cs="Calibri"/>
                <w:b/>
                <w:sz w:val="22"/>
                <w:lang w:eastAsia="en-US"/>
              </w:rPr>
              <w:t>Headline/Group level KPI</w:t>
            </w:r>
          </w:p>
        </w:tc>
        <w:tc>
          <w:tcPr>
            <w:tcW w:w="1278" w:type="dxa"/>
            <w:tcBorders>
              <w:bottom w:val="single" w:sz="4" w:space="0" w:color="auto"/>
            </w:tcBorders>
            <w:shd w:val="clear" w:color="auto" w:fill="C4BC96" w:themeFill="background2" w:themeFillShade="BF"/>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b/>
                <w:lang w:eastAsia="en-US"/>
              </w:rPr>
            </w:pPr>
            <w:r w:rsidRPr="007B600B">
              <w:rPr>
                <w:rFonts w:ascii="Calibri" w:eastAsiaTheme="minorHAnsi" w:hAnsi="Calibri" w:cs="Calibri"/>
                <w:b/>
                <w:sz w:val="22"/>
                <w:lang w:eastAsia="en-US"/>
              </w:rPr>
              <w:t>Aligned to Strategic Priority *</w:t>
            </w:r>
          </w:p>
        </w:tc>
        <w:tc>
          <w:tcPr>
            <w:tcW w:w="1278" w:type="dxa"/>
            <w:tcBorders>
              <w:bottom w:val="single" w:sz="4" w:space="0" w:color="auto"/>
            </w:tcBorders>
            <w:shd w:val="clear" w:color="auto" w:fill="C4BC96" w:themeFill="background2" w:themeFillShade="BF"/>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b/>
                <w:lang w:eastAsia="en-US"/>
              </w:rPr>
            </w:pPr>
            <w:r w:rsidRPr="007B600B">
              <w:rPr>
                <w:rFonts w:ascii="Calibri" w:eastAsiaTheme="minorHAnsi" w:hAnsi="Calibri" w:cs="Calibri"/>
                <w:b/>
                <w:sz w:val="22"/>
                <w:lang w:eastAsia="en-US"/>
              </w:rPr>
              <w:t>Reported to SRCC</w:t>
            </w:r>
          </w:p>
        </w:tc>
        <w:tc>
          <w:tcPr>
            <w:tcW w:w="1278" w:type="dxa"/>
            <w:tcBorders>
              <w:bottom w:val="single" w:sz="4" w:space="0" w:color="auto"/>
            </w:tcBorders>
            <w:shd w:val="clear" w:color="auto" w:fill="C4BC96" w:themeFill="background2" w:themeFillShade="BF"/>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b/>
                <w:lang w:eastAsia="en-US"/>
              </w:rPr>
            </w:pPr>
            <w:r w:rsidRPr="007B600B">
              <w:rPr>
                <w:rFonts w:ascii="Calibri" w:eastAsiaTheme="minorHAnsi" w:hAnsi="Calibri" w:cs="Calibri"/>
                <w:b/>
                <w:sz w:val="22"/>
                <w:lang w:eastAsia="en-US"/>
              </w:rPr>
              <w:t>Reported in PBS **</w:t>
            </w:r>
          </w:p>
        </w:tc>
      </w:tr>
      <w:tr w:rsidR="007B600B" w:rsidRPr="007B600B" w:rsidTr="00584ADA">
        <w:trPr>
          <w:cantSplit/>
          <w:jc w:val="center"/>
        </w:trPr>
        <w:tc>
          <w:tcPr>
            <w:tcW w:w="9259" w:type="dxa"/>
            <w:gridSpan w:val="5"/>
            <w:shd w:val="clear" w:color="auto" w:fill="BBE0E3"/>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Healthy at work, safe at work</w:t>
            </w:r>
          </w:p>
        </w:tc>
      </w:tr>
      <w:tr w:rsidR="007B600B" w:rsidRPr="007B600B" w:rsidTr="00584ADA">
        <w:trPr>
          <w:cantSplit/>
          <w:jc w:val="center"/>
        </w:trPr>
        <w:tc>
          <w:tcPr>
            <w:tcW w:w="652"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H1</w:t>
            </w:r>
          </w:p>
        </w:tc>
        <w:tc>
          <w:tcPr>
            <w:tcW w:w="4773"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Number of fatalities</w:t>
            </w:r>
          </w:p>
        </w:tc>
        <w:tc>
          <w:tcPr>
            <w:tcW w:w="1278"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2</w:t>
            </w:r>
          </w:p>
        </w:tc>
        <w:tc>
          <w:tcPr>
            <w:tcW w:w="1278"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Yes^</w:t>
            </w:r>
          </w:p>
        </w:tc>
        <w:tc>
          <w:tcPr>
            <w:tcW w:w="1278"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r>
      <w:tr w:rsidR="007B600B" w:rsidRPr="007B600B" w:rsidTr="00584ADA">
        <w:trPr>
          <w:cantSplit/>
          <w:jc w:val="center"/>
        </w:trPr>
        <w:tc>
          <w:tcPr>
            <w:tcW w:w="652"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H1.1</w:t>
            </w:r>
          </w:p>
        </w:tc>
        <w:tc>
          <w:tcPr>
            <w:tcW w:w="4773"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Number of notified worker fatalities</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2</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Yes</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r>
      <w:tr w:rsidR="007B600B" w:rsidRPr="007B600B" w:rsidTr="00584ADA">
        <w:trPr>
          <w:cantSplit/>
          <w:jc w:val="center"/>
        </w:trPr>
        <w:tc>
          <w:tcPr>
            <w:tcW w:w="652"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H1.2</w:t>
            </w:r>
          </w:p>
        </w:tc>
        <w:tc>
          <w:tcPr>
            <w:tcW w:w="4773"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Number of compensated injury fatalities</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2</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Yes</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1.1</w:t>
            </w:r>
          </w:p>
        </w:tc>
      </w:tr>
      <w:tr w:rsidR="007B600B" w:rsidRPr="007B600B" w:rsidTr="00584ADA">
        <w:trPr>
          <w:cantSplit/>
          <w:jc w:val="center"/>
        </w:trPr>
        <w:tc>
          <w:tcPr>
            <w:tcW w:w="652"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H2</w:t>
            </w:r>
          </w:p>
        </w:tc>
        <w:tc>
          <w:tcPr>
            <w:tcW w:w="4773"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Incidence of serious claims</w:t>
            </w:r>
          </w:p>
        </w:tc>
        <w:tc>
          <w:tcPr>
            <w:tcW w:w="1278"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2</w:t>
            </w:r>
          </w:p>
        </w:tc>
        <w:tc>
          <w:tcPr>
            <w:tcW w:w="1278"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Yes^</w:t>
            </w:r>
          </w:p>
        </w:tc>
        <w:tc>
          <w:tcPr>
            <w:tcW w:w="1278"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1.1</w:t>
            </w:r>
          </w:p>
        </w:tc>
      </w:tr>
      <w:tr w:rsidR="007B600B" w:rsidRPr="007B600B" w:rsidTr="00584ADA">
        <w:trPr>
          <w:cantSplit/>
          <w:jc w:val="center"/>
        </w:trPr>
        <w:tc>
          <w:tcPr>
            <w:tcW w:w="652"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H2.1</w:t>
            </w:r>
          </w:p>
        </w:tc>
        <w:tc>
          <w:tcPr>
            <w:tcW w:w="4773"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Incidence of claims</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2</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Yes^</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r>
      <w:tr w:rsidR="007B600B" w:rsidRPr="007B600B" w:rsidTr="00584ADA">
        <w:trPr>
          <w:cantSplit/>
          <w:jc w:val="center"/>
        </w:trPr>
        <w:tc>
          <w:tcPr>
            <w:tcW w:w="652"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H2.2</w:t>
            </w:r>
          </w:p>
        </w:tc>
        <w:tc>
          <w:tcPr>
            <w:tcW w:w="4773"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Lost time due to work-related injury/disease</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2</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Yes</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r>
      <w:tr w:rsidR="007B600B" w:rsidRPr="007B600B" w:rsidTr="00584ADA">
        <w:trPr>
          <w:cantSplit/>
          <w:jc w:val="center"/>
        </w:trPr>
        <w:tc>
          <w:tcPr>
            <w:tcW w:w="652"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H3</w:t>
            </w:r>
          </w:p>
        </w:tc>
        <w:tc>
          <w:tcPr>
            <w:tcW w:w="4773"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Success of prosecutions and civil actions</w:t>
            </w:r>
          </w:p>
        </w:tc>
        <w:tc>
          <w:tcPr>
            <w:tcW w:w="1278"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3</w:t>
            </w:r>
          </w:p>
        </w:tc>
        <w:tc>
          <w:tcPr>
            <w:tcW w:w="1278"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c>
          <w:tcPr>
            <w:tcW w:w="1278"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1.1</w:t>
            </w:r>
          </w:p>
        </w:tc>
      </w:tr>
      <w:tr w:rsidR="007B600B" w:rsidRPr="007B600B" w:rsidTr="00584ADA">
        <w:trPr>
          <w:cantSplit/>
          <w:jc w:val="center"/>
        </w:trPr>
        <w:tc>
          <w:tcPr>
            <w:tcW w:w="652"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H3.1</w:t>
            </w:r>
          </w:p>
        </w:tc>
        <w:tc>
          <w:tcPr>
            <w:tcW w:w="4773"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Serious incident investigation conversion rate</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3</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r>
      <w:tr w:rsidR="007B600B" w:rsidRPr="007B600B" w:rsidTr="00584ADA">
        <w:trPr>
          <w:cantSplit/>
          <w:jc w:val="center"/>
        </w:trPr>
        <w:tc>
          <w:tcPr>
            <w:tcW w:w="652"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H3.2</w:t>
            </w:r>
          </w:p>
        </w:tc>
        <w:tc>
          <w:tcPr>
            <w:tcW w:w="4773"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Percentage of intervention work that is proactive</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2</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r>
      <w:tr w:rsidR="007B600B" w:rsidRPr="007B600B" w:rsidTr="00584ADA">
        <w:trPr>
          <w:cantSplit/>
          <w:jc w:val="center"/>
        </w:trPr>
        <w:tc>
          <w:tcPr>
            <w:tcW w:w="652"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H3.3</w:t>
            </w:r>
          </w:p>
        </w:tc>
        <w:tc>
          <w:tcPr>
            <w:tcW w:w="4773"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Timeliness – completion of inspection investigations</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3</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r>
      <w:tr w:rsidR="007B600B" w:rsidRPr="007B600B" w:rsidTr="00584ADA">
        <w:trPr>
          <w:cantSplit/>
          <w:jc w:val="center"/>
        </w:trPr>
        <w:tc>
          <w:tcPr>
            <w:tcW w:w="652"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H3.4</w:t>
            </w:r>
          </w:p>
        </w:tc>
        <w:tc>
          <w:tcPr>
            <w:tcW w:w="4773"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Timeliness – completion of serious incident investigations</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3</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r>
      <w:tr w:rsidR="007B600B" w:rsidRPr="007B600B" w:rsidTr="00584ADA">
        <w:trPr>
          <w:cantSplit/>
          <w:jc w:val="center"/>
        </w:trPr>
        <w:tc>
          <w:tcPr>
            <w:tcW w:w="652"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H4</w:t>
            </w:r>
          </w:p>
        </w:tc>
        <w:tc>
          <w:tcPr>
            <w:tcW w:w="4773"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Audit results – WHS management systems</w:t>
            </w:r>
          </w:p>
        </w:tc>
        <w:tc>
          <w:tcPr>
            <w:tcW w:w="1278"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1 &amp; 2</w:t>
            </w:r>
          </w:p>
        </w:tc>
        <w:tc>
          <w:tcPr>
            <w:tcW w:w="1278"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Yes^</w:t>
            </w:r>
          </w:p>
        </w:tc>
        <w:tc>
          <w:tcPr>
            <w:tcW w:w="1278"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r>
      <w:tr w:rsidR="007B600B" w:rsidRPr="007B600B" w:rsidTr="00584ADA">
        <w:trPr>
          <w:cantSplit/>
          <w:jc w:val="center"/>
        </w:trPr>
        <w:tc>
          <w:tcPr>
            <w:tcW w:w="652"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H4.1</w:t>
            </w:r>
          </w:p>
        </w:tc>
        <w:tc>
          <w:tcPr>
            <w:tcW w:w="4773"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Responsiveness of employers in actioning audit findings</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2</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Yes</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r>
      <w:tr w:rsidR="007B600B" w:rsidRPr="007B600B" w:rsidTr="00584ADA">
        <w:trPr>
          <w:cantSplit/>
          <w:jc w:val="center"/>
        </w:trPr>
        <w:tc>
          <w:tcPr>
            <w:tcW w:w="652"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H4.2</w:t>
            </w:r>
          </w:p>
        </w:tc>
        <w:tc>
          <w:tcPr>
            <w:tcW w:w="4773"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WHS incident notifications per 100 serious claims</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2</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Yes</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r>
      <w:tr w:rsidR="007B600B" w:rsidRPr="007B600B" w:rsidTr="00584ADA">
        <w:trPr>
          <w:cantSplit/>
          <w:jc w:val="center"/>
        </w:trPr>
        <w:tc>
          <w:tcPr>
            <w:tcW w:w="652"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H4.3</w:t>
            </w:r>
          </w:p>
        </w:tc>
        <w:tc>
          <w:tcPr>
            <w:tcW w:w="4773"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Employer Performance Index – work health and safety in the workplace</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2</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Yes</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r>
      <w:tr w:rsidR="007B600B" w:rsidRPr="007B600B" w:rsidTr="00584ADA">
        <w:trPr>
          <w:cantSplit/>
          <w:jc w:val="center"/>
        </w:trPr>
        <w:tc>
          <w:tcPr>
            <w:tcW w:w="652"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H4.4</w:t>
            </w:r>
          </w:p>
        </w:tc>
        <w:tc>
          <w:tcPr>
            <w:tcW w:w="4773"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Comcare Service Index – support and regulation for work health and safety</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1, 2 &amp; 9</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Yes</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1.1</w:t>
            </w:r>
          </w:p>
        </w:tc>
      </w:tr>
      <w:tr w:rsidR="007B600B" w:rsidRPr="007B600B" w:rsidTr="00584ADA">
        <w:trPr>
          <w:cantSplit/>
          <w:jc w:val="center"/>
        </w:trPr>
        <w:tc>
          <w:tcPr>
            <w:tcW w:w="652"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lastRenderedPageBreak/>
              <w:t>H4.5</w:t>
            </w:r>
          </w:p>
        </w:tc>
        <w:tc>
          <w:tcPr>
            <w:tcW w:w="4773"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Actuarial release – claims incidence</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2 &amp; 12</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r>
      <w:tr w:rsidR="007B600B" w:rsidRPr="007B600B" w:rsidTr="00584ADA">
        <w:trPr>
          <w:cantSplit/>
          <w:jc w:val="center"/>
        </w:trPr>
        <w:tc>
          <w:tcPr>
            <w:tcW w:w="652"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H5</w:t>
            </w:r>
          </w:p>
        </w:tc>
        <w:tc>
          <w:tcPr>
            <w:tcW w:w="4773"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Perceived ability of employers to transition to new WHS laws</w:t>
            </w:r>
          </w:p>
        </w:tc>
        <w:tc>
          <w:tcPr>
            <w:tcW w:w="1278"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4</w:t>
            </w:r>
          </w:p>
        </w:tc>
        <w:tc>
          <w:tcPr>
            <w:tcW w:w="1278"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c>
          <w:tcPr>
            <w:tcW w:w="1278"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r>
      <w:tr w:rsidR="007B600B" w:rsidRPr="007B600B" w:rsidTr="00584ADA">
        <w:trPr>
          <w:cantSplit/>
          <w:jc w:val="center"/>
        </w:trPr>
        <w:tc>
          <w:tcPr>
            <w:tcW w:w="9259" w:type="dxa"/>
            <w:gridSpan w:val="5"/>
            <w:shd w:val="clear" w:color="auto" w:fill="BBE0E3"/>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Back at work</w:t>
            </w:r>
          </w:p>
        </w:tc>
      </w:tr>
      <w:tr w:rsidR="007B600B" w:rsidRPr="007B600B" w:rsidTr="00584ADA">
        <w:trPr>
          <w:cantSplit/>
          <w:jc w:val="center"/>
        </w:trPr>
        <w:tc>
          <w:tcPr>
            <w:tcW w:w="652"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B1</w:t>
            </w:r>
          </w:p>
        </w:tc>
        <w:tc>
          <w:tcPr>
            <w:tcW w:w="4773"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Durable RTW rate</w:t>
            </w:r>
          </w:p>
        </w:tc>
        <w:tc>
          <w:tcPr>
            <w:tcW w:w="1278"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5 &amp; 6</w:t>
            </w:r>
          </w:p>
        </w:tc>
        <w:tc>
          <w:tcPr>
            <w:tcW w:w="1278"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Yes</w:t>
            </w:r>
          </w:p>
        </w:tc>
        <w:tc>
          <w:tcPr>
            <w:tcW w:w="1278"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1.1</w:t>
            </w:r>
          </w:p>
        </w:tc>
      </w:tr>
      <w:tr w:rsidR="007B600B" w:rsidRPr="007B600B" w:rsidTr="00584ADA">
        <w:trPr>
          <w:cantSplit/>
          <w:jc w:val="center"/>
        </w:trPr>
        <w:tc>
          <w:tcPr>
            <w:tcW w:w="652"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B1.1</w:t>
            </w:r>
          </w:p>
        </w:tc>
        <w:tc>
          <w:tcPr>
            <w:tcW w:w="4773"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Stable RTW rate</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5 &amp; 6</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Yes</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r>
      <w:tr w:rsidR="007B600B" w:rsidRPr="007B600B" w:rsidTr="00584ADA">
        <w:trPr>
          <w:cantSplit/>
          <w:jc w:val="center"/>
        </w:trPr>
        <w:tc>
          <w:tcPr>
            <w:tcW w:w="652"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B1.2</w:t>
            </w:r>
          </w:p>
        </w:tc>
        <w:tc>
          <w:tcPr>
            <w:tcW w:w="4773"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Claims continuance rate – 13 weeks</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5 &amp; 6</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Yes^</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r>
      <w:tr w:rsidR="007B600B" w:rsidRPr="007B600B" w:rsidTr="00584ADA">
        <w:trPr>
          <w:cantSplit/>
          <w:jc w:val="center"/>
        </w:trPr>
        <w:tc>
          <w:tcPr>
            <w:tcW w:w="652"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B1.3</w:t>
            </w:r>
          </w:p>
        </w:tc>
        <w:tc>
          <w:tcPr>
            <w:tcW w:w="4773"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Claims continuance rate – 26 weeks</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5 &amp; 6</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Yes</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r>
      <w:tr w:rsidR="007B600B" w:rsidRPr="007B600B" w:rsidTr="00584ADA">
        <w:trPr>
          <w:cantSplit/>
          <w:jc w:val="center"/>
        </w:trPr>
        <w:tc>
          <w:tcPr>
            <w:tcW w:w="652"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B1.4</w:t>
            </w:r>
          </w:p>
        </w:tc>
        <w:tc>
          <w:tcPr>
            <w:tcW w:w="4773"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Timeliness – claim lodgement by employer</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5 &amp; 6</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Yes</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r>
      <w:tr w:rsidR="007B600B" w:rsidRPr="007B600B" w:rsidTr="00584ADA">
        <w:trPr>
          <w:cantSplit/>
          <w:jc w:val="center"/>
        </w:trPr>
        <w:tc>
          <w:tcPr>
            <w:tcW w:w="652"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B2</w:t>
            </w:r>
          </w:p>
        </w:tc>
        <w:tc>
          <w:tcPr>
            <w:tcW w:w="4773"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Timeliness –  determination of new claims</w:t>
            </w:r>
          </w:p>
        </w:tc>
        <w:tc>
          <w:tcPr>
            <w:tcW w:w="1278"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5 &amp; 7</w:t>
            </w:r>
          </w:p>
        </w:tc>
        <w:tc>
          <w:tcPr>
            <w:tcW w:w="1278"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Yes^</w:t>
            </w:r>
          </w:p>
        </w:tc>
        <w:tc>
          <w:tcPr>
            <w:tcW w:w="1278"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r>
      <w:tr w:rsidR="007B600B" w:rsidRPr="007B600B" w:rsidTr="00584ADA">
        <w:trPr>
          <w:cantSplit/>
          <w:jc w:val="center"/>
        </w:trPr>
        <w:tc>
          <w:tcPr>
            <w:tcW w:w="652"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B2.1</w:t>
            </w:r>
          </w:p>
        </w:tc>
        <w:tc>
          <w:tcPr>
            <w:tcW w:w="4773"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Timeliness –  processing of non-incapacity payments</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5 &amp; 9</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r>
      <w:tr w:rsidR="007B600B" w:rsidRPr="007B600B" w:rsidTr="00584ADA">
        <w:trPr>
          <w:cantSplit/>
          <w:jc w:val="center"/>
        </w:trPr>
        <w:tc>
          <w:tcPr>
            <w:tcW w:w="652"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B2.2</w:t>
            </w:r>
          </w:p>
        </w:tc>
        <w:tc>
          <w:tcPr>
            <w:tcW w:w="4773"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Timeliness – decisions on requests for reconsideration</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5 &amp; 7</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Yes^</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r>
      <w:tr w:rsidR="007B600B" w:rsidRPr="007B600B" w:rsidTr="00584ADA">
        <w:trPr>
          <w:cantSplit/>
          <w:jc w:val="center"/>
        </w:trPr>
        <w:tc>
          <w:tcPr>
            <w:tcW w:w="652"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B2.3</w:t>
            </w:r>
          </w:p>
        </w:tc>
        <w:tc>
          <w:tcPr>
            <w:tcW w:w="4773"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Timeliness – decisions on appeals</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5 &amp; 7</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Yes</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r>
      <w:tr w:rsidR="007B600B" w:rsidRPr="007B600B" w:rsidTr="00584ADA">
        <w:trPr>
          <w:cantSplit/>
          <w:jc w:val="center"/>
        </w:trPr>
        <w:tc>
          <w:tcPr>
            <w:tcW w:w="652"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B2.4</w:t>
            </w:r>
          </w:p>
        </w:tc>
        <w:tc>
          <w:tcPr>
            <w:tcW w:w="4773"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Disputation rate – reconsiderations</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5 &amp; 7</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Yes</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r>
      <w:tr w:rsidR="007B600B" w:rsidRPr="007B600B" w:rsidTr="00584ADA">
        <w:trPr>
          <w:cantSplit/>
          <w:jc w:val="center"/>
        </w:trPr>
        <w:tc>
          <w:tcPr>
            <w:tcW w:w="652"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B2.5</w:t>
            </w:r>
          </w:p>
        </w:tc>
        <w:tc>
          <w:tcPr>
            <w:tcW w:w="4773"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Disputation rate – appeals</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5 &amp; 7</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Yes</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r>
      <w:tr w:rsidR="007B600B" w:rsidRPr="007B600B" w:rsidTr="00584ADA">
        <w:trPr>
          <w:cantSplit/>
          <w:jc w:val="center"/>
        </w:trPr>
        <w:tc>
          <w:tcPr>
            <w:tcW w:w="652"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B2.6</w:t>
            </w:r>
          </w:p>
        </w:tc>
        <w:tc>
          <w:tcPr>
            <w:tcW w:w="4773"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Affirmation rate – reconsiderations</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7</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Yes</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r>
      <w:tr w:rsidR="007B600B" w:rsidRPr="007B600B" w:rsidTr="00584ADA">
        <w:trPr>
          <w:cantSplit/>
          <w:jc w:val="center"/>
        </w:trPr>
        <w:tc>
          <w:tcPr>
            <w:tcW w:w="652"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B2.7</w:t>
            </w:r>
          </w:p>
        </w:tc>
        <w:tc>
          <w:tcPr>
            <w:tcW w:w="4773"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Affirmation rate – appeals</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7</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Yes</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r>
      <w:tr w:rsidR="007B600B" w:rsidRPr="007B600B" w:rsidTr="00584ADA">
        <w:trPr>
          <w:cantSplit/>
          <w:jc w:val="center"/>
        </w:trPr>
        <w:tc>
          <w:tcPr>
            <w:tcW w:w="652" w:type="dxa"/>
            <w:tcBorders>
              <w:top w:val="nil"/>
            </w:tcBorders>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B3</w:t>
            </w:r>
          </w:p>
        </w:tc>
        <w:tc>
          <w:tcPr>
            <w:tcW w:w="4773" w:type="dxa"/>
            <w:tcBorders>
              <w:top w:val="nil"/>
            </w:tcBorders>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Audit results – rehabilitation management systems</w:t>
            </w:r>
          </w:p>
        </w:tc>
        <w:tc>
          <w:tcPr>
            <w:tcW w:w="1278" w:type="dxa"/>
            <w:tcBorders>
              <w:top w:val="nil"/>
            </w:tcBorders>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6</w:t>
            </w:r>
          </w:p>
        </w:tc>
        <w:tc>
          <w:tcPr>
            <w:tcW w:w="1278" w:type="dxa"/>
            <w:tcBorders>
              <w:top w:val="nil"/>
            </w:tcBorders>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Yes^</w:t>
            </w:r>
          </w:p>
        </w:tc>
        <w:tc>
          <w:tcPr>
            <w:tcW w:w="1278" w:type="dxa"/>
            <w:tcBorders>
              <w:top w:val="nil"/>
            </w:tcBorders>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r>
      <w:tr w:rsidR="007B600B" w:rsidRPr="007B600B" w:rsidTr="00584ADA">
        <w:trPr>
          <w:cantSplit/>
          <w:jc w:val="center"/>
        </w:trPr>
        <w:tc>
          <w:tcPr>
            <w:tcW w:w="652"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B4</w:t>
            </w:r>
          </w:p>
        </w:tc>
        <w:tc>
          <w:tcPr>
            <w:tcW w:w="4773"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Audit results – claims management systems</w:t>
            </w:r>
          </w:p>
        </w:tc>
        <w:tc>
          <w:tcPr>
            <w:tcW w:w="1278"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5 &amp; 7</w:t>
            </w:r>
          </w:p>
        </w:tc>
        <w:tc>
          <w:tcPr>
            <w:tcW w:w="1278"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Yes^</w:t>
            </w:r>
          </w:p>
        </w:tc>
        <w:tc>
          <w:tcPr>
            <w:tcW w:w="1278"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r>
      <w:tr w:rsidR="007B600B" w:rsidRPr="007B600B" w:rsidTr="00584ADA">
        <w:trPr>
          <w:cantSplit/>
          <w:jc w:val="center"/>
        </w:trPr>
        <w:tc>
          <w:tcPr>
            <w:tcW w:w="652"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B4.1</w:t>
            </w:r>
          </w:p>
        </w:tc>
        <w:tc>
          <w:tcPr>
            <w:tcW w:w="4773"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Employer Performance Index – support and recovery for injured workers</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6</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Yes</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r>
      <w:tr w:rsidR="007B600B" w:rsidRPr="007B600B" w:rsidTr="00584ADA">
        <w:trPr>
          <w:cantSplit/>
          <w:jc w:val="center"/>
        </w:trPr>
        <w:tc>
          <w:tcPr>
            <w:tcW w:w="652"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lastRenderedPageBreak/>
              <w:t>B4.2</w:t>
            </w:r>
          </w:p>
        </w:tc>
        <w:tc>
          <w:tcPr>
            <w:tcW w:w="4773"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Comcare Service Index – injury and claims management services</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5, 6 &amp; 9</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Yes</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1.2</w:t>
            </w:r>
          </w:p>
        </w:tc>
      </w:tr>
      <w:tr w:rsidR="007B600B" w:rsidRPr="007B600B" w:rsidTr="00584ADA">
        <w:trPr>
          <w:cantSplit/>
          <w:trHeight w:val="634"/>
          <w:jc w:val="center"/>
        </w:trPr>
        <w:tc>
          <w:tcPr>
            <w:tcW w:w="652"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B4.3</w:t>
            </w:r>
          </w:p>
        </w:tc>
        <w:tc>
          <w:tcPr>
            <w:tcW w:w="4773"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Actuarial release – injury and claims management</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5, 6, 7 &amp; 12</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r>
      <w:tr w:rsidR="007B600B" w:rsidRPr="007B600B" w:rsidTr="00584ADA">
        <w:trPr>
          <w:cantSplit/>
          <w:jc w:val="center"/>
        </w:trPr>
        <w:tc>
          <w:tcPr>
            <w:tcW w:w="652"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B5</w:t>
            </w:r>
          </w:p>
        </w:tc>
        <w:tc>
          <w:tcPr>
            <w:tcW w:w="4773"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Timeliness – resolution of asbestos claims</w:t>
            </w:r>
          </w:p>
        </w:tc>
        <w:tc>
          <w:tcPr>
            <w:tcW w:w="1278"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8</w:t>
            </w:r>
          </w:p>
        </w:tc>
        <w:tc>
          <w:tcPr>
            <w:tcW w:w="1278"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c>
          <w:tcPr>
            <w:tcW w:w="1278"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1.3</w:t>
            </w:r>
          </w:p>
        </w:tc>
      </w:tr>
      <w:tr w:rsidR="007B600B" w:rsidRPr="007B600B" w:rsidTr="00584ADA">
        <w:trPr>
          <w:cantSplit/>
          <w:jc w:val="center"/>
        </w:trPr>
        <w:tc>
          <w:tcPr>
            <w:tcW w:w="652"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B5.1</w:t>
            </w:r>
          </w:p>
        </w:tc>
        <w:tc>
          <w:tcPr>
            <w:tcW w:w="4773"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Percentage of the value of asbestos claim settlements recovered from third parties</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8</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1.3</w:t>
            </w:r>
          </w:p>
        </w:tc>
      </w:tr>
      <w:tr w:rsidR="007B600B" w:rsidRPr="007B600B" w:rsidTr="00584ADA">
        <w:trPr>
          <w:cantSplit/>
          <w:jc w:val="center"/>
        </w:trPr>
        <w:tc>
          <w:tcPr>
            <w:tcW w:w="652"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B5.2</w:t>
            </w:r>
          </w:p>
        </w:tc>
        <w:tc>
          <w:tcPr>
            <w:tcW w:w="4773"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Actuarial release – asbestos claims management</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8 &amp; 12</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r>
      <w:tr w:rsidR="007B600B" w:rsidRPr="007B600B" w:rsidTr="00584ADA">
        <w:trPr>
          <w:cantSplit/>
          <w:jc w:val="center"/>
        </w:trPr>
        <w:tc>
          <w:tcPr>
            <w:tcW w:w="9259" w:type="dxa"/>
            <w:gridSpan w:val="5"/>
            <w:shd w:val="clear" w:color="auto" w:fill="BBE0E3"/>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Scheme at work</w:t>
            </w:r>
          </w:p>
        </w:tc>
      </w:tr>
      <w:tr w:rsidR="007B600B" w:rsidRPr="007B600B" w:rsidTr="00584ADA">
        <w:trPr>
          <w:cantSplit/>
          <w:jc w:val="center"/>
        </w:trPr>
        <w:tc>
          <w:tcPr>
            <w:tcW w:w="652"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S1</w:t>
            </w:r>
          </w:p>
        </w:tc>
        <w:tc>
          <w:tcPr>
            <w:tcW w:w="4773"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 xml:space="preserve">Funding ratio </w:t>
            </w:r>
          </w:p>
        </w:tc>
        <w:tc>
          <w:tcPr>
            <w:tcW w:w="1278"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12</w:t>
            </w:r>
          </w:p>
        </w:tc>
        <w:tc>
          <w:tcPr>
            <w:tcW w:w="1278"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c>
          <w:tcPr>
            <w:tcW w:w="1278"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1.2</w:t>
            </w:r>
          </w:p>
        </w:tc>
      </w:tr>
      <w:tr w:rsidR="007B600B" w:rsidRPr="007B600B" w:rsidTr="00584ADA">
        <w:trPr>
          <w:cantSplit/>
          <w:jc w:val="center"/>
        </w:trPr>
        <w:tc>
          <w:tcPr>
            <w:tcW w:w="652"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S1.1</w:t>
            </w:r>
          </w:p>
        </w:tc>
        <w:tc>
          <w:tcPr>
            <w:tcW w:w="4773"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Average premium rate</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12</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1.2</w:t>
            </w:r>
          </w:p>
        </w:tc>
      </w:tr>
      <w:tr w:rsidR="007B600B" w:rsidRPr="007B600B" w:rsidTr="00584ADA">
        <w:trPr>
          <w:cantSplit/>
          <w:jc w:val="center"/>
        </w:trPr>
        <w:tc>
          <w:tcPr>
            <w:tcW w:w="652"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S2</w:t>
            </w:r>
          </w:p>
        </w:tc>
        <w:tc>
          <w:tcPr>
            <w:tcW w:w="4773"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Actuarial release – claims incidence and management</w:t>
            </w:r>
          </w:p>
        </w:tc>
        <w:tc>
          <w:tcPr>
            <w:tcW w:w="1278"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2, 5, 6, 7 &amp; 12</w:t>
            </w:r>
          </w:p>
        </w:tc>
        <w:tc>
          <w:tcPr>
            <w:tcW w:w="1278"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c>
          <w:tcPr>
            <w:tcW w:w="1278"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r>
      <w:tr w:rsidR="007B600B" w:rsidRPr="007B600B" w:rsidTr="00584ADA">
        <w:trPr>
          <w:cantSplit/>
          <w:jc w:val="center"/>
        </w:trPr>
        <w:tc>
          <w:tcPr>
            <w:tcW w:w="652"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S3</w:t>
            </w:r>
          </w:p>
        </w:tc>
        <w:tc>
          <w:tcPr>
            <w:tcW w:w="4773"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Scheme Reputation Index (public trust and confidence in Comcare scheme)</w:t>
            </w:r>
          </w:p>
        </w:tc>
        <w:tc>
          <w:tcPr>
            <w:tcW w:w="1278"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11, 12</w:t>
            </w:r>
          </w:p>
        </w:tc>
        <w:tc>
          <w:tcPr>
            <w:tcW w:w="1278"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c>
          <w:tcPr>
            <w:tcW w:w="1278"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r>
      <w:tr w:rsidR="007B600B" w:rsidRPr="007B600B" w:rsidTr="00584ADA">
        <w:trPr>
          <w:cantSplit/>
          <w:jc w:val="center"/>
        </w:trPr>
        <w:tc>
          <w:tcPr>
            <w:tcW w:w="652"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S3.1</w:t>
            </w:r>
          </w:p>
        </w:tc>
        <w:tc>
          <w:tcPr>
            <w:tcW w:w="4773"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 xml:space="preserve">Percentage of licensees compliant with </w:t>
            </w:r>
            <w:r w:rsidR="000A5586">
              <w:rPr>
                <w:rFonts w:ascii="Calibri" w:eastAsiaTheme="minorHAnsi" w:hAnsi="Calibri" w:cs="Calibri"/>
                <w:sz w:val="22"/>
                <w:lang w:eastAsia="en-US"/>
              </w:rPr>
              <w:t>licence</w:t>
            </w:r>
            <w:r w:rsidRPr="007B600B">
              <w:rPr>
                <w:rFonts w:ascii="Calibri" w:eastAsiaTheme="minorHAnsi" w:hAnsi="Calibri" w:cs="Calibri"/>
                <w:sz w:val="22"/>
                <w:lang w:eastAsia="en-US"/>
              </w:rPr>
              <w:t xml:space="preserve"> conditions</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2, 5, 6, 12</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Yes</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1.2</w:t>
            </w:r>
          </w:p>
        </w:tc>
      </w:tr>
      <w:tr w:rsidR="007B600B" w:rsidRPr="007B600B" w:rsidTr="00584ADA">
        <w:trPr>
          <w:cantSplit/>
          <w:jc w:val="center"/>
        </w:trPr>
        <w:tc>
          <w:tcPr>
            <w:tcW w:w="652"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S3.2</w:t>
            </w:r>
          </w:p>
        </w:tc>
        <w:tc>
          <w:tcPr>
            <w:tcW w:w="4773"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Audit Committee’s assessment of Comcare’s administrative procedures and practices</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12</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r>
      <w:tr w:rsidR="007B600B" w:rsidRPr="007B600B" w:rsidTr="00584ADA">
        <w:trPr>
          <w:cantSplit/>
          <w:jc w:val="center"/>
        </w:trPr>
        <w:tc>
          <w:tcPr>
            <w:tcW w:w="652"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S3.3</w:t>
            </w:r>
          </w:p>
        </w:tc>
        <w:tc>
          <w:tcPr>
            <w:tcW w:w="4773"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Premium scheme operating costs as a percentage of premium claim payments</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7</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r>
      <w:tr w:rsidR="007B600B" w:rsidRPr="007B600B" w:rsidTr="00584ADA">
        <w:trPr>
          <w:cantSplit/>
          <w:jc w:val="center"/>
        </w:trPr>
        <w:tc>
          <w:tcPr>
            <w:tcW w:w="652"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S3.4</w:t>
            </w:r>
          </w:p>
        </w:tc>
        <w:tc>
          <w:tcPr>
            <w:tcW w:w="4773"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WHS regulatory charges per FTE employee</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12</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Yes</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r>
      <w:tr w:rsidR="007B600B" w:rsidRPr="007B600B" w:rsidTr="00584ADA">
        <w:trPr>
          <w:cantSplit/>
          <w:jc w:val="center"/>
        </w:trPr>
        <w:tc>
          <w:tcPr>
            <w:tcW w:w="652"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S4</w:t>
            </w:r>
          </w:p>
        </w:tc>
        <w:tc>
          <w:tcPr>
            <w:tcW w:w="4773"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 xml:space="preserve">Employer Performance Index </w:t>
            </w:r>
          </w:p>
        </w:tc>
        <w:tc>
          <w:tcPr>
            <w:tcW w:w="1278"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1, 2, 4, 5 &amp; 6</w:t>
            </w:r>
          </w:p>
        </w:tc>
        <w:tc>
          <w:tcPr>
            <w:tcW w:w="1278"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Yes</w:t>
            </w:r>
          </w:p>
        </w:tc>
        <w:tc>
          <w:tcPr>
            <w:tcW w:w="1278"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r>
      <w:tr w:rsidR="007B600B" w:rsidRPr="007B600B" w:rsidTr="00584ADA">
        <w:trPr>
          <w:cantSplit/>
          <w:jc w:val="center"/>
        </w:trPr>
        <w:tc>
          <w:tcPr>
            <w:tcW w:w="652"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S5</w:t>
            </w:r>
          </w:p>
        </w:tc>
        <w:tc>
          <w:tcPr>
            <w:tcW w:w="4773"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Comcare Service Index</w:t>
            </w:r>
          </w:p>
        </w:tc>
        <w:tc>
          <w:tcPr>
            <w:tcW w:w="1278"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1 to 6 &amp; 9</w:t>
            </w:r>
          </w:p>
        </w:tc>
        <w:tc>
          <w:tcPr>
            <w:tcW w:w="1278"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Yes</w:t>
            </w:r>
          </w:p>
        </w:tc>
        <w:tc>
          <w:tcPr>
            <w:tcW w:w="1278"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r>
      <w:tr w:rsidR="007B600B" w:rsidRPr="007B600B" w:rsidTr="00584ADA">
        <w:trPr>
          <w:cantSplit/>
          <w:jc w:val="center"/>
        </w:trPr>
        <w:tc>
          <w:tcPr>
            <w:tcW w:w="652"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S6</w:t>
            </w:r>
          </w:p>
        </w:tc>
        <w:tc>
          <w:tcPr>
            <w:tcW w:w="4773"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Employee Engagement</w:t>
            </w:r>
          </w:p>
        </w:tc>
        <w:tc>
          <w:tcPr>
            <w:tcW w:w="1278"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9</w:t>
            </w:r>
          </w:p>
        </w:tc>
        <w:tc>
          <w:tcPr>
            <w:tcW w:w="1278"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c>
          <w:tcPr>
            <w:tcW w:w="1278" w:type="dxa"/>
            <w:shd w:val="clear" w:color="auto" w:fill="D9D9D9"/>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r>
      <w:tr w:rsidR="007B600B" w:rsidRPr="007B600B" w:rsidTr="00584ADA">
        <w:trPr>
          <w:cantSplit/>
          <w:jc w:val="center"/>
        </w:trPr>
        <w:tc>
          <w:tcPr>
            <w:tcW w:w="652"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lastRenderedPageBreak/>
              <w:t>S6.1</w:t>
            </w:r>
          </w:p>
        </w:tc>
        <w:tc>
          <w:tcPr>
            <w:tcW w:w="4773"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Delivery against 2015 Strategic Plan</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9</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r>
      <w:tr w:rsidR="007B600B" w:rsidRPr="007B600B" w:rsidTr="00584ADA">
        <w:trPr>
          <w:cantSplit/>
          <w:jc w:val="center"/>
        </w:trPr>
        <w:tc>
          <w:tcPr>
            <w:tcW w:w="652"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S6.2</w:t>
            </w:r>
          </w:p>
        </w:tc>
        <w:tc>
          <w:tcPr>
            <w:tcW w:w="4773"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SRCC’s satisfaction with the quality of support provided by Comcare</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9, 10 &amp; 12</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Yes</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r>
      <w:tr w:rsidR="007B600B" w:rsidRPr="007B600B" w:rsidTr="00584ADA">
        <w:trPr>
          <w:cantSplit/>
          <w:jc w:val="center"/>
        </w:trPr>
        <w:tc>
          <w:tcPr>
            <w:tcW w:w="652"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S6.3</w:t>
            </w:r>
          </w:p>
        </w:tc>
        <w:tc>
          <w:tcPr>
            <w:tcW w:w="4773"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Seacare Authority’s satisfaction with the quality of support provided by Comcare</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9 &amp; 12</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r>
      <w:tr w:rsidR="007B600B" w:rsidRPr="007B600B" w:rsidTr="00584ADA">
        <w:trPr>
          <w:cantSplit/>
          <w:jc w:val="center"/>
        </w:trPr>
        <w:tc>
          <w:tcPr>
            <w:tcW w:w="652"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S6.4</w:t>
            </w:r>
          </w:p>
        </w:tc>
        <w:tc>
          <w:tcPr>
            <w:tcW w:w="4773"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Legal costs as a percentage of total scheme costs</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12</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r>
      <w:tr w:rsidR="007B600B" w:rsidRPr="007B600B" w:rsidTr="00584ADA">
        <w:trPr>
          <w:cantSplit/>
          <w:jc w:val="center"/>
        </w:trPr>
        <w:tc>
          <w:tcPr>
            <w:tcW w:w="652"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S6.5</w:t>
            </w:r>
          </w:p>
        </w:tc>
        <w:tc>
          <w:tcPr>
            <w:tcW w:w="4773"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Quality of core data</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10</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Yes</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r>
      <w:tr w:rsidR="007B600B" w:rsidRPr="007B600B" w:rsidTr="00584ADA">
        <w:trPr>
          <w:cantSplit/>
          <w:jc w:val="center"/>
        </w:trPr>
        <w:tc>
          <w:tcPr>
            <w:tcW w:w="652"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S6.6</w:t>
            </w:r>
          </w:p>
        </w:tc>
        <w:tc>
          <w:tcPr>
            <w:tcW w:w="4773"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Availability of Comcare’s ICT systems</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r w:rsidRPr="007B600B">
              <w:rPr>
                <w:rFonts w:ascii="Calibri" w:eastAsiaTheme="minorHAnsi" w:hAnsi="Calibri" w:cs="Calibri"/>
                <w:sz w:val="22"/>
                <w:lang w:eastAsia="en-US"/>
              </w:rPr>
              <w:t>10</w:t>
            </w: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c>
          <w:tcPr>
            <w:tcW w:w="1278" w:type="dxa"/>
            <w:tcMar>
              <w:top w:w="57" w:type="dxa"/>
              <w:bottom w:w="57" w:type="dxa"/>
            </w:tcMar>
            <w:vAlign w:val="center"/>
          </w:tcPr>
          <w:p w:rsidR="007B600B" w:rsidRPr="007B600B" w:rsidRDefault="007B600B" w:rsidP="007B600B">
            <w:pPr>
              <w:spacing w:before="100" w:beforeAutospacing="1" w:after="120" w:line="288" w:lineRule="auto"/>
              <w:rPr>
                <w:rFonts w:ascii="Calibri" w:eastAsiaTheme="minorHAnsi" w:hAnsi="Calibri" w:cs="Calibri"/>
                <w:lang w:eastAsia="en-US"/>
              </w:rPr>
            </w:pPr>
          </w:p>
        </w:tc>
      </w:tr>
    </w:tbl>
    <w:p w:rsidR="007B600B" w:rsidRPr="007B600B" w:rsidRDefault="007B600B" w:rsidP="007B600B">
      <w:pPr>
        <w:spacing w:before="100" w:beforeAutospacing="1" w:after="120" w:line="288" w:lineRule="auto"/>
        <w:ind w:left="720"/>
        <w:rPr>
          <w:rFonts w:ascii="Calibri" w:eastAsiaTheme="minorHAnsi" w:hAnsi="Calibri" w:cs="Calibri"/>
          <w:sz w:val="22"/>
          <w:lang w:eastAsia="en-US"/>
        </w:rPr>
      </w:pPr>
      <w:r w:rsidRPr="007B600B">
        <w:rPr>
          <w:rFonts w:ascii="Calibri" w:eastAsiaTheme="minorHAnsi" w:hAnsi="Calibri" w:cs="Calibri"/>
          <w:sz w:val="22"/>
          <w:lang w:eastAsia="en-US"/>
        </w:rPr>
        <w:t xml:space="preserve">* </w:t>
      </w:r>
      <w:r w:rsidRPr="007B600B">
        <w:rPr>
          <w:rFonts w:ascii="Calibri" w:eastAsiaTheme="minorHAnsi" w:hAnsi="Calibri" w:cs="Calibri"/>
          <w:sz w:val="22"/>
          <w:lang w:eastAsia="en-US"/>
        </w:rPr>
        <w:tab/>
        <w:t>Comcare’s 2015 Strategic Priorities</w:t>
      </w:r>
      <w:r w:rsidRPr="007B600B">
        <w:rPr>
          <w:rFonts w:ascii="Calibri" w:eastAsiaTheme="minorHAnsi" w:hAnsi="Calibri" w:cs="Calibri"/>
          <w:sz w:val="22"/>
          <w:lang w:eastAsia="en-US"/>
        </w:rPr>
        <w:br/>
        <w:t>**</w:t>
      </w:r>
      <w:r w:rsidRPr="007B600B">
        <w:rPr>
          <w:rFonts w:ascii="Calibri" w:eastAsiaTheme="minorHAnsi" w:hAnsi="Calibri" w:cs="Calibri"/>
          <w:sz w:val="22"/>
          <w:lang w:eastAsia="en-US"/>
        </w:rPr>
        <w:tab/>
        <w:t>Comcare’s 2011–12 PBS outcome statements</w:t>
      </w:r>
      <w:r w:rsidRPr="007B600B">
        <w:rPr>
          <w:rFonts w:ascii="Calibri" w:eastAsiaTheme="minorHAnsi" w:hAnsi="Calibri" w:cs="Calibri"/>
          <w:sz w:val="22"/>
          <w:lang w:eastAsia="en-US"/>
        </w:rPr>
        <w:br/>
        <w:t>^</w:t>
      </w:r>
      <w:r w:rsidRPr="007B600B">
        <w:rPr>
          <w:rFonts w:ascii="Calibri" w:eastAsiaTheme="minorHAnsi" w:hAnsi="Calibri" w:cs="Calibri"/>
          <w:sz w:val="22"/>
          <w:lang w:eastAsia="en-US"/>
        </w:rPr>
        <w:tab/>
        <w:t>Determining Authority KPI (DAKPI)</w:t>
      </w:r>
    </w:p>
    <w:p w:rsidR="00DE4A9A" w:rsidRDefault="00DE4A9A" w:rsidP="00797CEF">
      <w:pPr>
        <w:spacing w:after="120"/>
        <w:rPr>
          <w:rFonts w:ascii="Calibri" w:hAnsi="Calibri" w:cs="Calibri"/>
          <w:sz w:val="22"/>
          <w:szCs w:val="22"/>
        </w:rPr>
        <w:sectPr w:rsidR="00DE4A9A" w:rsidSect="00584ADA">
          <w:headerReference w:type="default" r:id="rId50"/>
          <w:pgSz w:w="11906" w:h="16838"/>
          <w:pgMar w:top="1440" w:right="1440" w:bottom="1440" w:left="1440" w:header="708" w:footer="708" w:gutter="0"/>
          <w:cols w:space="708"/>
          <w:docGrid w:linePitch="360"/>
        </w:sectPr>
      </w:pPr>
    </w:p>
    <w:p w:rsidR="000A3F6D" w:rsidRDefault="000A3F6D" w:rsidP="003678BA">
      <w:pPr>
        <w:spacing w:after="120"/>
        <w:jc w:val="right"/>
        <w:rPr>
          <w:rFonts w:ascii="Calibri" w:hAnsi="Calibri" w:cs="Calibri"/>
          <w:sz w:val="22"/>
          <w:szCs w:val="22"/>
        </w:rPr>
      </w:pPr>
    </w:p>
    <w:p w:rsidR="00DE4A9A" w:rsidRPr="008B228F" w:rsidRDefault="008B228F" w:rsidP="008B228F">
      <w:pPr>
        <w:spacing w:before="100" w:beforeAutospacing="1" w:after="100" w:afterAutospacing="1"/>
        <w:outlineLvl w:val="0"/>
        <w:rPr>
          <w:rFonts w:ascii="Arial" w:hAnsi="Arial"/>
          <w:bCs/>
          <w:caps/>
          <w:color w:val="1F497D" w:themeColor="text2"/>
          <w:kern w:val="36"/>
          <w:sz w:val="28"/>
          <w:szCs w:val="28"/>
        </w:rPr>
      </w:pPr>
      <w:bookmarkStart w:id="599" w:name="_Toc341778056"/>
      <w:bookmarkStart w:id="600" w:name="_Toc341780816"/>
      <w:bookmarkStart w:id="601" w:name="_Toc342578431"/>
      <w:r>
        <w:rPr>
          <w:rFonts w:ascii="Arial" w:hAnsi="Arial"/>
          <w:bCs/>
          <w:caps/>
          <w:color w:val="1F497D" w:themeColor="text2"/>
          <w:kern w:val="36"/>
          <w:sz w:val="28"/>
          <w:szCs w:val="28"/>
        </w:rPr>
        <w:t xml:space="preserve">annex G - </w:t>
      </w:r>
      <w:r w:rsidR="00DE4A9A" w:rsidRPr="008B228F">
        <w:rPr>
          <w:rFonts w:ascii="Arial" w:hAnsi="Arial"/>
          <w:bCs/>
          <w:caps/>
          <w:color w:val="1F497D" w:themeColor="text2"/>
          <w:kern w:val="36"/>
          <w:sz w:val="28"/>
          <w:szCs w:val="28"/>
        </w:rPr>
        <w:t>Comcover – an insurance scheme within an FMA Act agency</w:t>
      </w:r>
      <w:bookmarkEnd w:id="599"/>
      <w:bookmarkEnd w:id="600"/>
      <w:bookmarkEnd w:id="601"/>
    </w:p>
    <w:p w:rsidR="00DE4A9A" w:rsidRPr="003678BA" w:rsidRDefault="00DE4A9A" w:rsidP="003678BA">
      <w:pPr>
        <w:pStyle w:val="ListParagraph"/>
        <w:numPr>
          <w:ilvl w:val="0"/>
          <w:numId w:val="61"/>
        </w:numPr>
        <w:spacing w:after="120"/>
        <w:ind w:left="357" w:hanging="357"/>
        <w:contextualSpacing w:val="0"/>
        <w:rPr>
          <w:rFonts w:ascii="Calibri" w:hAnsi="Calibri" w:cs="Calibri"/>
        </w:rPr>
      </w:pPr>
      <w:r w:rsidRPr="003678BA">
        <w:rPr>
          <w:rFonts w:ascii="Calibri" w:hAnsi="Calibri" w:cs="Calibri"/>
        </w:rPr>
        <w:t>Comcover is the insurance fund for the Australian Government, providing insurance and promoting best practice risk management to Australian departments and agencies.  Comcover sits within and is administered by the Insurance and Risk Management Branch in the Department of Finance and Deregulation, an FMA Act agency.  As it is part of an FMA agency, its administrative structure and processes provide a useful insight into a possible form Comcare could take or at least draw on if it is converted to an FMA Act body.</w:t>
      </w:r>
    </w:p>
    <w:p w:rsidR="00DE4A9A" w:rsidRPr="003678BA" w:rsidRDefault="00DE4A9A" w:rsidP="003678BA">
      <w:pPr>
        <w:pStyle w:val="ListParagraph"/>
        <w:numPr>
          <w:ilvl w:val="0"/>
          <w:numId w:val="61"/>
        </w:numPr>
        <w:spacing w:after="120"/>
        <w:ind w:left="357" w:hanging="357"/>
        <w:contextualSpacing w:val="0"/>
        <w:rPr>
          <w:rFonts w:ascii="Calibri" w:hAnsi="Calibri" w:cs="Calibri"/>
        </w:rPr>
      </w:pPr>
      <w:r w:rsidRPr="003678BA">
        <w:rPr>
          <w:rFonts w:ascii="Calibri" w:hAnsi="Calibri" w:cs="Calibri"/>
        </w:rPr>
        <w:t>Like Comcare, Comcover collects premiums from participating members to provide training, education, risk management evaluation services and to meet the costs of insurance claims.</w:t>
      </w:r>
      <w:r w:rsidRPr="00DE4A9A">
        <w:rPr>
          <w:vertAlign w:val="superscript"/>
        </w:rPr>
        <w:footnoteReference w:id="98"/>
      </w:r>
      <w:r w:rsidRPr="003678BA">
        <w:rPr>
          <w:vertAlign w:val="superscript"/>
        </w:rPr>
        <w:t xml:space="preserve"> </w:t>
      </w:r>
      <w:r w:rsidRPr="003678BA">
        <w:rPr>
          <w:rFonts w:ascii="Calibri" w:hAnsi="Calibri" w:cs="Calibri"/>
        </w:rPr>
        <w:t xml:space="preserve">  Comcover’s primary source of revenue is obtained through the collection of premiums from government agencies.  It is required to service all of its claims through the collection of premiums.  These funds sit in a special account which attracts interest, but does not require active investment by Comcover.</w:t>
      </w:r>
    </w:p>
    <w:p w:rsidR="00DE4A9A" w:rsidRPr="003678BA" w:rsidRDefault="00DE4A9A" w:rsidP="003678BA">
      <w:pPr>
        <w:pStyle w:val="ListParagraph"/>
        <w:numPr>
          <w:ilvl w:val="0"/>
          <w:numId w:val="61"/>
        </w:numPr>
        <w:spacing w:after="120"/>
        <w:ind w:left="357" w:hanging="357"/>
        <w:contextualSpacing w:val="0"/>
        <w:rPr>
          <w:rFonts w:ascii="Calibri" w:hAnsi="Calibri" w:cs="Calibri"/>
        </w:rPr>
      </w:pPr>
      <w:r w:rsidRPr="003678BA">
        <w:rPr>
          <w:rFonts w:ascii="Calibri" w:hAnsi="Calibri" w:cs="Calibri"/>
        </w:rPr>
        <w:t>Comcover, like Comcare, uses actuarial modelling to determine premiums for the upcoming year.  Premium calculations are released in the January before the financial year in which they will take effect.</w:t>
      </w:r>
    </w:p>
    <w:p w:rsidR="00DE4A9A" w:rsidRPr="003678BA" w:rsidRDefault="00DE4A9A" w:rsidP="003678BA">
      <w:pPr>
        <w:pStyle w:val="ListParagraph"/>
        <w:numPr>
          <w:ilvl w:val="0"/>
          <w:numId w:val="61"/>
        </w:numPr>
        <w:spacing w:after="120"/>
        <w:ind w:left="357" w:hanging="357"/>
        <w:contextualSpacing w:val="0"/>
        <w:rPr>
          <w:rFonts w:ascii="Calibri" w:hAnsi="Calibri" w:cs="Calibri"/>
        </w:rPr>
      </w:pPr>
      <w:r w:rsidRPr="003678BA">
        <w:rPr>
          <w:rFonts w:ascii="Calibri" w:hAnsi="Calibri" w:cs="Calibri"/>
        </w:rPr>
        <w:t xml:space="preserve">In the event of a catastrophic event such as a massive flood or cyclone, where Comcover’s pool of premiums is insufficient to cover costs, Comcover, as an FMA Act body, is able to seek additional funding from the Commonwealth as part of the Budget process.  This is not currently available to Comcare as it is a CAC Act body.  As noted in paragraph </w:t>
      </w:r>
      <w:r w:rsidR="00DD2824">
        <w:rPr>
          <w:rFonts w:ascii="Calibri" w:hAnsi="Calibri" w:cs="Calibri"/>
        </w:rPr>
        <w:t>4.26</w:t>
      </w:r>
      <w:r w:rsidRPr="003678BA">
        <w:rPr>
          <w:rFonts w:ascii="Calibri" w:hAnsi="Calibri" w:cs="Calibri"/>
        </w:rPr>
        <w:t>, at present Comcare does not have a safety net such as reinsurance or the ability to directly approach the Commonwealth Government to seek any additional funding if there is a catastrophic event for which it is unable to meet the costs.</w:t>
      </w:r>
    </w:p>
    <w:p w:rsidR="00DE4A9A" w:rsidRPr="003678BA" w:rsidRDefault="00DE4A9A" w:rsidP="003678BA">
      <w:pPr>
        <w:pStyle w:val="ListParagraph"/>
        <w:numPr>
          <w:ilvl w:val="0"/>
          <w:numId w:val="61"/>
        </w:numPr>
        <w:spacing w:after="120"/>
        <w:rPr>
          <w:rFonts w:ascii="Calibri" w:hAnsi="Calibri" w:cs="Calibri"/>
        </w:rPr>
      </w:pPr>
      <w:r w:rsidRPr="003678BA">
        <w:rPr>
          <w:rFonts w:ascii="Calibri" w:hAnsi="Calibri" w:cs="Calibri"/>
        </w:rPr>
        <w:t xml:space="preserve">As a Branch within the Department of Finance and Deregulation, at the head of Comcover is the First Assistant Secretary (FAS).  Comcover also has an Advisory Council, which was established in 1988 and is comprised of a Chairman, who is also the FAS, and members appointed by the Minister responsible for Comcover, the Special Minister of State.  Comcover’s Advisory Council typically includes at least two fund members and two industry representatives.  The role of the Advisory Council is to provide high level, strategic advice to Comcover and independent advice to the Special Minister of State. </w:t>
      </w:r>
      <w:r w:rsidRPr="00DE4A9A">
        <w:rPr>
          <w:vertAlign w:val="superscript"/>
        </w:rPr>
        <w:footnoteReference w:id="99"/>
      </w:r>
    </w:p>
    <w:p w:rsidR="00B354AF" w:rsidRDefault="00B354AF">
      <w:pPr>
        <w:spacing w:after="120"/>
        <w:ind w:hanging="709"/>
        <w:rPr>
          <w:rFonts w:ascii="Arial Bold" w:eastAsiaTheme="majorEastAsia" w:hAnsi="Arial Bold" w:cs="Calibri"/>
          <w:bCs/>
          <w:caps/>
          <w:color w:val="1F497D" w:themeColor="text2"/>
          <w:sz w:val="23"/>
          <w:szCs w:val="23"/>
        </w:rPr>
        <w:sectPr w:rsidR="00B354AF" w:rsidSect="00584ADA">
          <w:headerReference w:type="default" r:id="rId51"/>
          <w:pgSz w:w="11906" w:h="16838"/>
          <w:pgMar w:top="1440" w:right="1440" w:bottom="1440" w:left="1440" w:header="708" w:footer="708" w:gutter="0"/>
          <w:cols w:space="708"/>
          <w:docGrid w:linePitch="360"/>
        </w:sectPr>
      </w:pPr>
    </w:p>
    <w:p w:rsidR="00DE4A9A" w:rsidRPr="000D7C1C" w:rsidRDefault="00E855FB">
      <w:pPr>
        <w:spacing w:before="100" w:beforeAutospacing="1" w:after="100" w:afterAutospacing="1"/>
        <w:outlineLvl w:val="0"/>
        <w:rPr>
          <w:rFonts w:ascii="Arial" w:hAnsi="Arial"/>
          <w:bCs/>
          <w:caps/>
          <w:color w:val="1F497D" w:themeColor="text2"/>
          <w:kern w:val="36"/>
          <w:sz w:val="28"/>
          <w:szCs w:val="28"/>
        </w:rPr>
      </w:pPr>
      <w:bookmarkStart w:id="602" w:name="_Toc341778057"/>
      <w:bookmarkStart w:id="603" w:name="_Toc341780817"/>
      <w:bookmarkStart w:id="604" w:name="_Toc342578432"/>
      <w:r w:rsidRPr="000D7C1C">
        <w:rPr>
          <w:rFonts w:ascii="Arial" w:hAnsi="Arial"/>
          <w:bCs/>
          <w:caps/>
          <w:color w:val="1F497D" w:themeColor="text2"/>
          <w:kern w:val="36"/>
          <w:sz w:val="28"/>
          <w:szCs w:val="28"/>
        </w:rPr>
        <w:lastRenderedPageBreak/>
        <w:t>Annex H - Civil Aviation Safety Authority – A CAC Act Body</w:t>
      </w:r>
      <w:bookmarkEnd w:id="602"/>
      <w:bookmarkEnd w:id="603"/>
      <w:bookmarkEnd w:id="604"/>
    </w:p>
    <w:p w:rsidR="00DE4A9A" w:rsidRPr="003678BA" w:rsidRDefault="00DE4A9A" w:rsidP="003678BA">
      <w:pPr>
        <w:pStyle w:val="ListParagraph"/>
        <w:numPr>
          <w:ilvl w:val="0"/>
          <w:numId w:val="62"/>
        </w:numPr>
        <w:spacing w:after="120"/>
        <w:ind w:left="357" w:hanging="357"/>
        <w:contextualSpacing w:val="0"/>
        <w:rPr>
          <w:rFonts w:ascii="Calibri" w:hAnsi="Calibri" w:cs="Calibri"/>
        </w:rPr>
      </w:pPr>
      <w:r w:rsidRPr="003678BA">
        <w:rPr>
          <w:rFonts w:ascii="Calibri" w:hAnsi="Calibri" w:cs="Calibri"/>
        </w:rPr>
        <w:t xml:space="preserve">The Civil Aviation Safety Authority (CASA) was established on 6 July 1995 as an independent statutory authority by an amendment to the Civil Aviation Act 1988. Under </w:t>
      </w:r>
      <w:r w:rsidR="00634247">
        <w:rPr>
          <w:rFonts w:ascii="Calibri" w:hAnsi="Calibri" w:cs="Calibri"/>
        </w:rPr>
        <w:t>SectionSection</w:t>
      </w:r>
      <w:r w:rsidRPr="003678BA">
        <w:rPr>
          <w:rFonts w:ascii="Calibri" w:hAnsi="Calibri" w:cs="Calibri"/>
        </w:rPr>
        <w:t xml:space="preserve"> 9 of the Civil Aviation Act, CASA’s primary function is to regulate the safety of civil air operations in Australia and the operation of Australian aircraft overseas.</w:t>
      </w:r>
    </w:p>
    <w:p w:rsidR="00DE4A9A" w:rsidRPr="003678BA" w:rsidRDefault="00DE4A9A" w:rsidP="003678BA">
      <w:pPr>
        <w:pStyle w:val="ListParagraph"/>
        <w:numPr>
          <w:ilvl w:val="0"/>
          <w:numId w:val="62"/>
        </w:numPr>
        <w:spacing w:after="120"/>
        <w:ind w:left="357" w:hanging="357"/>
        <w:contextualSpacing w:val="0"/>
        <w:rPr>
          <w:rFonts w:ascii="Calibri" w:hAnsi="Calibri" w:cs="Calibri"/>
        </w:rPr>
      </w:pPr>
      <w:r w:rsidRPr="003678BA">
        <w:rPr>
          <w:rFonts w:ascii="Calibri" w:hAnsi="Calibri" w:cs="Calibri"/>
        </w:rPr>
        <w:t>As a statutory aut</w:t>
      </w:r>
      <w:r w:rsidR="00183331" w:rsidRPr="003678BA">
        <w:rPr>
          <w:rFonts w:ascii="Calibri" w:hAnsi="Calibri" w:cs="Calibri"/>
        </w:rPr>
        <w:t>hority, CASA is a CAC Act body.</w:t>
      </w:r>
    </w:p>
    <w:p w:rsidR="00DE4A9A" w:rsidRPr="003678BA" w:rsidRDefault="00DE4A9A" w:rsidP="003678BA">
      <w:pPr>
        <w:spacing w:after="120"/>
        <w:rPr>
          <w:rFonts w:ascii="Calibri" w:eastAsiaTheme="minorHAnsi" w:hAnsi="Calibri" w:cs="Calibri"/>
          <w:b/>
          <w:sz w:val="22"/>
          <w:szCs w:val="22"/>
        </w:rPr>
      </w:pPr>
      <w:r w:rsidRPr="003678BA">
        <w:rPr>
          <w:rFonts w:ascii="Calibri" w:eastAsiaTheme="minorHAnsi" w:hAnsi="Calibri" w:cs="Calibri"/>
          <w:b/>
          <w:sz w:val="22"/>
          <w:szCs w:val="22"/>
        </w:rPr>
        <w:t>CASA Board</w:t>
      </w:r>
    </w:p>
    <w:p w:rsidR="00DE4A9A" w:rsidRPr="003678BA" w:rsidRDefault="00DE4A9A" w:rsidP="003678BA">
      <w:pPr>
        <w:pStyle w:val="ListParagraph"/>
        <w:numPr>
          <w:ilvl w:val="0"/>
          <w:numId w:val="62"/>
        </w:numPr>
        <w:spacing w:after="120"/>
        <w:ind w:left="357" w:hanging="357"/>
        <w:contextualSpacing w:val="0"/>
        <w:rPr>
          <w:rFonts w:ascii="Calibri" w:hAnsi="Calibri" w:cs="Calibri"/>
        </w:rPr>
      </w:pPr>
      <w:r w:rsidRPr="003678BA">
        <w:rPr>
          <w:rFonts w:ascii="Calibri" w:hAnsi="Calibri" w:cs="Calibri"/>
        </w:rPr>
        <w:t xml:space="preserve">The CASA Board is established under Part VII of the </w:t>
      </w:r>
      <w:r w:rsidRPr="003678BA">
        <w:rPr>
          <w:rFonts w:ascii="Calibri" w:hAnsi="Calibri" w:cs="Calibri"/>
          <w:i/>
        </w:rPr>
        <w:t>Civil Aviation Act 1988</w:t>
      </w:r>
      <w:r w:rsidRPr="003678BA">
        <w:rPr>
          <w:rFonts w:ascii="Calibri" w:hAnsi="Calibri" w:cs="Calibri"/>
        </w:rPr>
        <w:t>.  The Board consists of the Director of Aviation Safety (the Director) and up to four members including the Chair and the Deputy Chair.</w:t>
      </w:r>
    </w:p>
    <w:p w:rsidR="00DE4A9A" w:rsidRPr="003678BA" w:rsidRDefault="00DE4A9A" w:rsidP="003678BA">
      <w:pPr>
        <w:pStyle w:val="ListParagraph"/>
        <w:numPr>
          <w:ilvl w:val="0"/>
          <w:numId w:val="62"/>
        </w:numPr>
        <w:spacing w:after="120"/>
        <w:ind w:left="357" w:hanging="357"/>
        <w:contextualSpacing w:val="0"/>
        <w:rPr>
          <w:rFonts w:ascii="Calibri" w:hAnsi="Calibri" w:cs="Calibri"/>
        </w:rPr>
      </w:pPr>
      <w:r w:rsidRPr="003678BA">
        <w:rPr>
          <w:rFonts w:ascii="Calibri" w:hAnsi="Calibri" w:cs="Calibri"/>
        </w:rPr>
        <w:t>Board members are appointed on a part-time basis by the Minister for a term of three years, subject to possible reappointment.  In appointing the Board members, the Minister must ensure that there is an appropriate balance of professional expertise, but need not ensure that particular sectors of the aviation industry are represented.</w:t>
      </w:r>
    </w:p>
    <w:p w:rsidR="00DE4A9A" w:rsidRPr="003678BA" w:rsidRDefault="00DE4A9A" w:rsidP="003678BA">
      <w:pPr>
        <w:pStyle w:val="ListParagraph"/>
        <w:numPr>
          <w:ilvl w:val="0"/>
          <w:numId w:val="62"/>
        </w:numPr>
        <w:spacing w:after="120"/>
        <w:ind w:left="360"/>
        <w:rPr>
          <w:rFonts w:ascii="Calibri" w:hAnsi="Calibri" w:cs="Calibri"/>
        </w:rPr>
      </w:pPr>
      <w:r w:rsidRPr="003678BA">
        <w:rPr>
          <w:rFonts w:ascii="Calibri" w:hAnsi="Calibri" w:cs="Calibri"/>
        </w:rPr>
        <w:t>The functions of the Board under the Act are to:</w:t>
      </w:r>
    </w:p>
    <w:p w:rsidR="00DE4A9A" w:rsidRPr="00DE4A9A" w:rsidRDefault="00DE4A9A" w:rsidP="003678BA">
      <w:pPr>
        <w:numPr>
          <w:ilvl w:val="0"/>
          <w:numId w:val="63"/>
        </w:numPr>
        <w:spacing w:after="120"/>
        <w:ind w:left="1134" w:hanging="425"/>
        <w:rPr>
          <w:rFonts w:ascii="Calibri" w:eastAsiaTheme="minorHAnsi" w:hAnsi="Calibri" w:cs="Calibri"/>
          <w:sz w:val="22"/>
          <w:szCs w:val="22"/>
          <w:lang w:eastAsia="en-US"/>
        </w:rPr>
      </w:pPr>
      <w:r w:rsidRPr="00DE4A9A">
        <w:rPr>
          <w:rFonts w:ascii="Calibri" w:eastAsiaTheme="minorHAnsi" w:hAnsi="Calibri" w:cs="Calibri"/>
          <w:sz w:val="22"/>
          <w:szCs w:val="22"/>
          <w:lang w:eastAsia="en-US"/>
        </w:rPr>
        <w:t>decide CASA’s objectives, strategies and policies;</w:t>
      </w:r>
    </w:p>
    <w:p w:rsidR="00DE4A9A" w:rsidRPr="00DE4A9A" w:rsidRDefault="00DE4A9A" w:rsidP="003678BA">
      <w:pPr>
        <w:numPr>
          <w:ilvl w:val="0"/>
          <w:numId w:val="63"/>
        </w:numPr>
        <w:spacing w:after="120"/>
        <w:ind w:left="1134" w:hanging="425"/>
        <w:rPr>
          <w:rFonts w:ascii="Calibri" w:eastAsiaTheme="minorHAnsi" w:hAnsi="Calibri" w:cs="Calibri"/>
          <w:sz w:val="22"/>
          <w:szCs w:val="22"/>
          <w:lang w:eastAsia="en-US"/>
        </w:rPr>
      </w:pPr>
      <w:r w:rsidRPr="00DE4A9A">
        <w:rPr>
          <w:rFonts w:ascii="Calibri" w:eastAsiaTheme="minorHAnsi" w:hAnsi="Calibri" w:cs="Calibri"/>
          <w:sz w:val="22"/>
          <w:szCs w:val="22"/>
          <w:lang w:eastAsia="en-US"/>
        </w:rPr>
        <w:t xml:space="preserve">ensure that CASA performs its functions in a proper, efficient and effective manner; and </w:t>
      </w:r>
    </w:p>
    <w:p w:rsidR="00DE4A9A" w:rsidRPr="00DE4A9A" w:rsidRDefault="00DE4A9A" w:rsidP="003678BA">
      <w:pPr>
        <w:numPr>
          <w:ilvl w:val="0"/>
          <w:numId w:val="63"/>
        </w:numPr>
        <w:spacing w:after="120"/>
        <w:ind w:left="1134" w:hanging="425"/>
        <w:rPr>
          <w:rFonts w:ascii="Calibri" w:eastAsiaTheme="minorHAnsi" w:hAnsi="Calibri" w:cs="Calibri"/>
          <w:sz w:val="22"/>
          <w:szCs w:val="22"/>
          <w:lang w:eastAsia="en-US"/>
        </w:rPr>
      </w:pPr>
      <w:proofErr w:type="gramStart"/>
      <w:r w:rsidRPr="00DE4A9A">
        <w:rPr>
          <w:rFonts w:ascii="Calibri" w:eastAsiaTheme="minorHAnsi" w:hAnsi="Calibri" w:cs="Calibri"/>
          <w:sz w:val="22"/>
          <w:szCs w:val="22"/>
          <w:lang w:eastAsia="en-US"/>
        </w:rPr>
        <w:t>ensure</w:t>
      </w:r>
      <w:proofErr w:type="gramEnd"/>
      <w:r w:rsidRPr="00DE4A9A">
        <w:rPr>
          <w:rFonts w:ascii="Calibri" w:eastAsiaTheme="minorHAnsi" w:hAnsi="Calibri" w:cs="Calibri"/>
          <w:sz w:val="22"/>
          <w:szCs w:val="22"/>
          <w:lang w:eastAsia="en-US"/>
        </w:rPr>
        <w:t xml:space="preserve"> that CASA complies with specified Ministerial Directions.</w:t>
      </w:r>
    </w:p>
    <w:p w:rsidR="00DE4A9A" w:rsidRPr="003678BA" w:rsidRDefault="00DE4A9A" w:rsidP="003678BA">
      <w:pPr>
        <w:pStyle w:val="ListParagraph"/>
        <w:numPr>
          <w:ilvl w:val="0"/>
          <w:numId w:val="63"/>
        </w:numPr>
        <w:spacing w:after="120"/>
        <w:ind w:left="1134" w:hanging="425"/>
        <w:contextualSpacing w:val="0"/>
        <w:rPr>
          <w:rFonts w:ascii="Calibri" w:hAnsi="Calibri" w:cs="Calibri"/>
        </w:rPr>
      </w:pPr>
      <w:r w:rsidRPr="003678BA">
        <w:rPr>
          <w:rFonts w:ascii="Calibri" w:hAnsi="Calibri" w:cs="Calibri"/>
        </w:rPr>
        <w:t>After consulting with the Minister, the Board appoints the Director for a period of five years, subject to possible reappointment.</w:t>
      </w:r>
    </w:p>
    <w:p w:rsidR="00DE4A9A" w:rsidRPr="003678BA" w:rsidRDefault="00DE4A9A" w:rsidP="003678BA">
      <w:pPr>
        <w:spacing w:after="120"/>
        <w:rPr>
          <w:rFonts w:ascii="Calibri" w:eastAsiaTheme="minorHAnsi" w:hAnsi="Calibri" w:cs="Calibri"/>
          <w:b/>
        </w:rPr>
      </w:pPr>
      <w:r w:rsidRPr="003678BA">
        <w:rPr>
          <w:rFonts w:ascii="Calibri" w:eastAsiaTheme="minorHAnsi" w:hAnsi="Calibri" w:cs="Calibri"/>
          <w:b/>
        </w:rPr>
        <w:t>Director of Aviation Safety</w:t>
      </w:r>
    </w:p>
    <w:p w:rsidR="00DE4A9A" w:rsidRPr="003678BA" w:rsidRDefault="00DE4A9A" w:rsidP="003678BA">
      <w:pPr>
        <w:pStyle w:val="ListParagraph"/>
        <w:numPr>
          <w:ilvl w:val="0"/>
          <w:numId w:val="62"/>
        </w:numPr>
        <w:spacing w:after="120"/>
        <w:ind w:left="357" w:hanging="357"/>
        <w:contextualSpacing w:val="0"/>
        <w:rPr>
          <w:rFonts w:ascii="Calibri" w:hAnsi="Calibri" w:cs="Calibri"/>
        </w:rPr>
      </w:pPr>
      <w:r w:rsidRPr="003678BA">
        <w:rPr>
          <w:rFonts w:ascii="Calibri" w:hAnsi="Calibri" w:cs="Calibri"/>
        </w:rPr>
        <w:t>The Director holds a full time executive position and is subject to the directions of, or policies determined by, the Board.  The Director is responsible for the day-to-day management of CASA, and anything done by the Director in the name of, or on behalf of CASA, is taken to have been done by CASA.</w:t>
      </w:r>
    </w:p>
    <w:p w:rsidR="00DE4A9A" w:rsidRPr="003678BA" w:rsidRDefault="00DE4A9A" w:rsidP="003678BA">
      <w:pPr>
        <w:pStyle w:val="ListParagraph"/>
        <w:numPr>
          <w:ilvl w:val="0"/>
          <w:numId w:val="62"/>
        </w:numPr>
        <w:spacing w:after="120"/>
        <w:ind w:left="357" w:hanging="357"/>
        <w:contextualSpacing w:val="0"/>
        <w:rPr>
          <w:rFonts w:ascii="Calibri" w:hAnsi="Calibri" w:cs="Calibri"/>
        </w:rPr>
      </w:pPr>
      <w:r w:rsidRPr="003678BA">
        <w:rPr>
          <w:rFonts w:ascii="Calibri" w:hAnsi="Calibri" w:cs="Calibri"/>
        </w:rPr>
        <w:t>Subject to the strict limitations of the Board’s functions, the Director is solely responsible and directly accountable to the Board which has no role in regulatory decision-making.</w:t>
      </w:r>
    </w:p>
    <w:p w:rsidR="00DE4A9A" w:rsidRPr="003678BA" w:rsidRDefault="00DE4A9A" w:rsidP="003678BA">
      <w:pPr>
        <w:pStyle w:val="ListParagraph"/>
        <w:numPr>
          <w:ilvl w:val="0"/>
          <w:numId w:val="62"/>
        </w:numPr>
        <w:spacing w:after="120"/>
        <w:ind w:left="357" w:hanging="357"/>
        <w:contextualSpacing w:val="0"/>
        <w:rPr>
          <w:rFonts w:ascii="Calibri" w:hAnsi="Calibri" w:cs="Calibri"/>
        </w:rPr>
      </w:pPr>
      <w:r w:rsidRPr="003678BA">
        <w:rPr>
          <w:rFonts w:ascii="Calibri" w:hAnsi="Calibri" w:cs="Calibri"/>
        </w:rPr>
        <w:t xml:space="preserve">The Civil Aviation Act also empowers the Director to engage </w:t>
      </w:r>
      <w:proofErr w:type="gramStart"/>
      <w:r w:rsidRPr="003678BA">
        <w:rPr>
          <w:rFonts w:ascii="Calibri" w:hAnsi="Calibri" w:cs="Calibri"/>
        </w:rPr>
        <w:t>staff, who are</w:t>
      </w:r>
      <w:proofErr w:type="gramEnd"/>
      <w:r w:rsidRPr="003678BA">
        <w:rPr>
          <w:rFonts w:ascii="Calibri" w:hAnsi="Calibri" w:cs="Calibri"/>
        </w:rPr>
        <w:t xml:space="preserve"> employed under the Act.</w:t>
      </w:r>
    </w:p>
    <w:p w:rsidR="00DE4A9A" w:rsidRPr="003678BA" w:rsidRDefault="00DE4A9A" w:rsidP="003678BA">
      <w:pPr>
        <w:spacing w:after="120"/>
        <w:rPr>
          <w:rFonts w:ascii="Calibri" w:eastAsiaTheme="minorHAnsi" w:hAnsi="Calibri" w:cs="Calibri"/>
          <w:b/>
        </w:rPr>
      </w:pPr>
      <w:r w:rsidRPr="003678BA">
        <w:rPr>
          <w:rFonts w:ascii="Calibri" w:eastAsiaTheme="minorHAnsi" w:hAnsi="Calibri" w:cs="Calibri"/>
          <w:b/>
        </w:rPr>
        <w:t>Division of Responsibility between the Board and the Director</w:t>
      </w:r>
    </w:p>
    <w:p w:rsidR="00DE4A9A" w:rsidRPr="003678BA" w:rsidRDefault="00DE4A9A" w:rsidP="003678BA">
      <w:pPr>
        <w:pStyle w:val="ListParagraph"/>
        <w:numPr>
          <w:ilvl w:val="0"/>
          <w:numId w:val="62"/>
        </w:numPr>
        <w:spacing w:after="120"/>
        <w:ind w:left="357" w:hanging="357"/>
        <w:contextualSpacing w:val="0"/>
        <w:rPr>
          <w:rFonts w:ascii="Calibri" w:hAnsi="Calibri" w:cs="Calibri"/>
        </w:rPr>
      </w:pPr>
      <w:r w:rsidRPr="003678BA">
        <w:rPr>
          <w:rFonts w:ascii="Calibri" w:hAnsi="Calibri" w:cs="Calibri"/>
        </w:rPr>
        <w:t>Certain matters are reserved by the Civil Aviation Act and the CAC Act to be dealt with by the Board.  In addition, under Section 73(1) of the Civil Aviation Act, the Board could decide that certain other specified matters must be dealt with by the Board rather than by the Director acting alone.</w:t>
      </w:r>
    </w:p>
    <w:p w:rsidR="00DE4A9A" w:rsidRPr="003678BA" w:rsidRDefault="00DE4A9A" w:rsidP="003678BA">
      <w:pPr>
        <w:pStyle w:val="ListParagraph"/>
        <w:numPr>
          <w:ilvl w:val="0"/>
          <w:numId w:val="62"/>
        </w:numPr>
        <w:spacing w:after="120"/>
        <w:ind w:left="360"/>
        <w:rPr>
          <w:rFonts w:ascii="Calibri" w:hAnsi="Calibri" w:cs="Calibri"/>
        </w:rPr>
      </w:pPr>
      <w:r w:rsidRPr="003678BA">
        <w:rPr>
          <w:rFonts w:ascii="Calibri" w:hAnsi="Calibri" w:cs="Calibri"/>
        </w:rPr>
        <w:t>The statutorily reserved matters are:</w:t>
      </w:r>
    </w:p>
    <w:p w:rsidR="00DE4A9A" w:rsidRPr="00DE4A9A" w:rsidRDefault="00DE4A9A" w:rsidP="00DE4A9A">
      <w:pPr>
        <w:numPr>
          <w:ilvl w:val="0"/>
          <w:numId w:val="36"/>
        </w:numPr>
        <w:spacing w:after="120"/>
        <w:ind w:left="1134" w:hanging="425"/>
        <w:rPr>
          <w:rFonts w:ascii="Calibri" w:eastAsiaTheme="minorHAnsi" w:hAnsi="Calibri" w:cs="Calibri"/>
          <w:sz w:val="22"/>
          <w:szCs w:val="22"/>
          <w:lang w:eastAsia="en-US"/>
        </w:rPr>
      </w:pPr>
      <w:r w:rsidRPr="00DE4A9A">
        <w:rPr>
          <w:rFonts w:ascii="Calibri" w:eastAsiaTheme="minorHAnsi" w:hAnsi="Calibri" w:cs="Calibri"/>
          <w:sz w:val="22"/>
          <w:szCs w:val="22"/>
          <w:lang w:eastAsia="en-US"/>
        </w:rPr>
        <w:t>accepting the Director’s resignation and terminating the Director’s appointment;</w:t>
      </w:r>
    </w:p>
    <w:p w:rsidR="00DE4A9A" w:rsidRPr="00DE4A9A" w:rsidRDefault="00DE4A9A" w:rsidP="00DE4A9A">
      <w:pPr>
        <w:numPr>
          <w:ilvl w:val="0"/>
          <w:numId w:val="36"/>
        </w:numPr>
        <w:spacing w:after="120"/>
        <w:ind w:left="1134" w:hanging="425"/>
        <w:rPr>
          <w:rFonts w:ascii="Calibri" w:eastAsiaTheme="minorHAnsi" w:hAnsi="Calibri" w:cs="Calibri"/>
          <w:sz w:val="22"/>
          <w:szCs w:val="22"/>
          <w:lang w:eastAsia="en-US"/>
        </w:rPr>
      </w:pPr>
      <w:r w:rsidRPr="00DE4A9A">
        <w:rPr>
          <w:rFonts w:ascii="Calibri" w:eastAsiaTheme="minorHAnsi" w:hAnsi="Calibri" w:cs="Calibri"/>
          <w:sz w:val="22"/>
          <w:szCs w:val="22"/>
          <w:lang w:eastAsia="en-US"/>
        </w:rPr>
        <w:lastRenderedPageBreak/>
        <w:t>preparation of the Corporate Plan;</w:t>
      </w:r>
    </w:p>
    <w:p w:rsidR="00DE4A9A" w:rsidRPr="00DE4A9A" w:rsidRDefault="00DE4A9A" w:rsidP="00DE4A9A">
      <w:pPr>
        <w:numPr>
          <w:ilvl w:val="0"/>
          <w:numId w:val="36"/>
        </w:numPr>
        <w:spacing w:after="120"/>
        <w:ind w:left="1134" w:hanging="425"/>
        <w:rPr>
          <w:rFonts w:ascii="Calibri" w:eastAsiaTheme="minorHAnsi" w:hAnsi="Calibri" w:cs="Calibri"/>
          <w:sz w:val="22"/>
          <w:szCs w:val="22"/>
          <w:lang w:eastAsia="en-US"/>
        </w:rPr>
      </w:pPr>
      <w:r w:rsidRPr="00DE4A9A">
        <w:rPr>
          <w:rFonts w:ascii="Calibri" w:eastAsiaTheme="minorHAnsi" w:hAnsi="Calibri" w:cs="Calibri"/>
          <w:sz w:val="22"/>
          <w:szCs w:val="22"/>
          <w:lang w:eastAsia="en-US"/>
        </w:rPr>
        <w:t>preparation and delivery to the Minister of the Annual Report;</w:t>
      </w:r>
    </w:p>
    <w:p w:rsidR="00DE4A9A" w:rsidRPr="00DE4A9A" w:rsidRDefault="00DE4A9A" w:rsidP="00DE4A9A">
      <w:pPr>
        <w:numPr>
          <w:ilvl w:val="0"/>
          <w:numId w:val="36"/>
        </w:numPr>
        <w:spacing w:after="120"/>
        <w:ind w:left="1134" w:hanging="425"/>
        <w:rPr>
          <w:rFonts w:ascii="Calibri" w:eastAsiaTheme="minorHAnsi" w:hAnsi="Calibri" w:cs="Calibri"/>
          <w:sz w:val="22"/>
          <w:szCs w:val="22"/>
          <w:lang w:eastAsia="en-US"/>
        </w:rPr>
      </w:pPr>
      <w:r w:rsidRPr="00DE4A9A">
        <w:rPr>
          <w:rFonts w:ascii="Calibri" w:eastAsiaTheme="minorHAnsi" w:hAnsi="Calibri" w:cs="Calibri"/>
          <w:sz w:val="22"/>
          <w:szCs w:val="22"/>
          <w:lang w:eastAsia="en-US"/>
        </w:rPr>
        <w:t>preparation of Budget estimates;</w:t>
      </w:r>
    </w:p>
    <w:p w:rsidR="00DE4A9A" w:rsidRPr="00DE4A9A" w:rsidRDefault="00DE4A9A" w:rsidP="00DE4A9A">
      <w:pPr>
        <w:numPr>
          <w:ilvl w:val="0"/>
          <w:numId w:val="36"/>
        </w:numPr>
        <w:spacing w:after="120"/>
        <w:ind w:left="1134" w:hanging="425"/>
        <w:rPr>
          <w:rFonts w:ascii="Calibri" w:eastAsiaTheme="minorHAnsi" w:hAnsi="Calibri" w:cs="Calibri"/>
          <w:sz w:val="22"/>
          <w:szCs w:val="22"/>
          <w:lang w:eastAsia="en-US"/>
        </w:rPr>
      </w:pPr>
      <w:r w:rsidRPr="00DE4A9A">
        <w:rPr>
          <w:rFonts w:ascii="Calibri" w:eastAsiaTheme="minorHAnsi" w:hAnsi="Calibri" w:cs="Calibri"/>
          <w:sz w:val="22"/>
          <w:szCs w:val="22"/>
          <w:lang w:eastAsia="en-US"/>
        </w:rPr>
        <w:t xml:space="preserve">convening Board meetings; and </w:t>
      </w:r>
    </w:p>
    <w:p w:rsidR="00DE4A9A" w:rsidRPr="00DE4A9A" w:rsidRDefault="00DE4A9A" w:rsidP="003678BA">
      <w:pPr>
        <w:numPr>
          <w:ilvl w:val="0"/>
          <w:numId w:val="36"/>
        </w:numPr>
        <w:spacing w:after="120"/>
        <w:ind w:left="1134" w:hanging="425"/>
        <w:rPr>
          <w:rFonts w:ascii="Calibri" w:eastAsiaTheme="minorHAnsi" w:hAnsi="Calibri" w:cs="Calibri"/>
          <w:sz w:val="22"/>
          <w:szCs w:val="22"/>
          <w:lang w:eastAsia="en-US"/>
        </w:rPr>
      </w:pPr>
      <w:proofErr w:type="gramStart"/>
      <w:r w:rsidRPr="00DE4A9A">
        <w:rPr>
          <w:rFonts w:ascii="Calibri" w:eastAsiaTheme="minorHAnsi" w:hAnsi="Calibri" w:cs="Calibri"/>
          <w:sz w:val="22"/>
          <w:szCs w:val="22"/>
          <w:lang w:eastAsia="en-US"/>
        </w:rPr>
        <w:t>determination</w:t>
      </w:r>
      <w:proofErr w:type="gramEnd"/>
      <w:r w:rsidRPr="00DE4A9A">
        <w:rPr>
          <w:rFonts w:ascii="Calibri" w:eastAsiaTheme="minorHAnsi" w:hAnsi="Calibri" w:cs="Calibri"/>
          <w:sz w:val="22"/>
          <w:szCs w:val="22"/>
          <w:lang w:eastAsia="en-US"/>
        </w:rPr>
        <w:t xml:space="preserve"> of how the Board should regularise proceedings at its meetings.</w:t>
      </w:r>
    </w:p>
    <w:p w:rsidR="00933202" w:rsidRDefault="00933202">
      <w:pPr>
        <w:spacing w:after="120"/>
        <w:ind w:hanging="709"/>
        <w:rPr>
          <w:rFonts w:ascii="Calibri" w:hAnsi="Calibri" w:cs="Calibri"/>
          <w:sz w:val="22"/>
          <w:szCs w:val="22"/>
        </w:rPr>
      </w:pPr>
      <w:r>
        <w:rPr>
          <w:rFonts w:ascii="Calibri" w:hAnsi="Calibri" w:cs="Calibri"/>
          <w:sz w:val="22"/>
          <w:szCs w:val="22"/>
        </w:rPr>
        <w:br w:type="page"/>
      </w:r>
    </w:p>
    <w:p w:rsidR="00DE4A9A" w:rsidRPr="00CA434F" w:rsidRDefault="00744A57" w:rsidP="003678BA">
      <w:pPr>
        <w:spacing w:after="120"/>
        <w:rPr>
          <w:rFonts w:ascii="Calibri" w:hAnsi="Calibri" w:cs="Calibri"/>
          <w:sz w:val="22"/>
          <w:szCs w:val="22"/>
        </w:rPr>
      </w:pPr>
      <w:r w:rsidRPr="000D7C1C">
        <w:rPr>
          <w:rFonts w:ascii="Calibri" w:hAnsi="Calibri" w:cs="Calibri"/>
          <w:noProof/>
          <w:sz w:val="22"/>
          <w:szCs w:val="22"/>
        </w:rPr>
        <w:lastRenderedPageBreak/>
        <w:drawing>
          <wp:anchor distT="0" distB="0" distL="114300" distR="114300" simplePos="0" relativeHeight="251699200" behindDoc="0" locked="0" layoutInCell="1" allowOverlap="1">
            <wp:simplePos x="0" y="0"/>
            <wp:positionH relativeFrom="column">
              <wp:posOffset>-924754</wp:posOffset>
            </wp:positionH>
            <wp:positionV relativeFrom="page">
              <wp:posOffset>-8697</wp:posOffset>
            </wp:positionV>
            <wp:extent cx="7577059" cy="10694504"/>
            <wp:effectExtent l="0" t="0" r="5080" b="0"/>
            <wp:wrapNone/>
            <wp:docPr id="16" name="Picture 16" title="end pag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577059" cy="10694504"/>
                    </a:xfrm>
                    <a:prstGeom prst="rect">
                      <a:avLst/>
                    </a:prstGeom>
                    <a:noFill/>
                    <a:ln>
                      <a:noFill/>
                    </a:ln>
                  </pic:spPr>
                </pic:pic>
              </a:graphicData>
            </a:graphic>
          </wp:anchor>
        </w:drawing>
      </w:r>
    </w:p>
    <w:sectPr w:rsidR="00DE4A9A" w:rsidRPr="00CA434F" w:rsidSect="00584ADA">
      <w:headerReference w:type="default" r:id="rId53"/>
      <w:footerReference w:type="default" r:id="rId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766" w:rsidRDefault="00614766" w:rsidP="00111216">
      <w:r>
        <w:separator/>
      </w:r>
    </w:p>
  </w:endnote>
  <w:endnote w:type="continuationSeparator" w:id="0">
    <w:p w:rsidR="00614766" w:rsidRDefault="00614766" w:rsidP="00111216">
      <w:r>
        <w:continuationSeparator/>
      </w:r>
    </w:p>
  </w:endnote>
  <w:endnote w:type="continuationNotice" w:id="1">
    <w:p w:rsidR="00614766" w:rsidRDefault="006147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antGarde CondBook">
    <w:altName w:val="AvantGarde CondBook"/>
    <w:panose1 w:val="00000000000000000000"/>
    <w:charset w:val="00"/>
    <w:family w:val="swiss"/>
    <w:notTrueType/>
    <w:pitch w:val="default"/>
    <w:sig w:usb0="00000003" w:usb1="00000000" w:usb2="00000000" w:usb3="00000000" w:csb0="00000001" w:csb1="00000000"/>
  </w:font>
  <w:font w:name="Avenir LT 55 Roman">
    <w:altName w:val="Avenir LT 55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2010514275"/>
      <w:docPartObj>
        <w:docPartGallery w:val="Page Numbers (Bottom of Page)"/>
        <w:docPartUnique/>
      </w:docPartObj>
    </w:sdtPr>
    <w:sdtEndPr>
      <w:rPr>
        <w:rFonts w:asciiTheme="minorHAnsi" w:hAnsiTheme="minorHAnsi" w:cstheme="minorHAnsi"/>
        <w:sz w:val="22"/>
        <w:szCs w:val="22"/>
      </w:rPr>
    </w:sdtEndPr>
    <w:sdtContent>
      <w:p w:rsidR="00614766" w:rsidRPr="00A50B5E" w:rsidRDefault="00614766" w:rsidP="00111216">
        <w:pPr>
          <w:pStyle w:val="EndnoteText"/>
          <w:jc w:val="left"/>
          <w:rPr>
            <w:rFonts w:ascii="Arial" w:hAnsi="Arial" w:cs="Arial"/>
            <w:sz w:val="16"/>
            <w:szCs w:val="16"/>
          </w:rPr>
        </w:pPr>
      </w:p>
      <w:p w:rsidR="00614766" w:rsidRPr="001A5CFA" w:rsidRDefault="00AD7BEF" w:rsidP="00111216">
        <w:pPr>
          <w:pStyle w:val="Footer"/>
          <w:jc w:val="center"/>
          <w:rPr>
            <w:rFonts w:asciiTheme="minorHAnsi" w:hAnsiTheme="minorHAnsi" w:cstheme="minorHAnsi"/>
            <w:sz w:val="22"/>
            <w:szCs w:val="22"/>
          </w:rPr>
        </w:pPr>
      </w:p>
    </w:sdtContent>
  </w:sdt>
  <w:p w:rsidR="00614766" w:rsidRDefault="006147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510423"/>
      <w:docPartObj>
        <w:docPartGallery w:val="Page Numbers (Bottom of Page)"/>
        <w:docPartUnique/>
      </w:docPartObj>
    </w:sdtPr>
    <w:sdtEndPr/>
    <w:sdtContent>
      <w:p w:rsidR="00614766" w:rsidRDefault="00614766">
        <w:pPr>
          <w:pStyle w:val="Footer"/>
          <w:pBdr>
            <w:top w:val="single" w:sz="4" w:space="1" w:color="auto"/>
          </w:pBdr>
          <w:rPr>
            <w:rFonts w:asciiTheme="majorHAnsi" w:hAnsiTheme="majorHAnsi"/>
          </w:rPr>
        </w:pPr>
        <w:r w:rsidRPr="00A50B5E">
          <w:rPr>
            <w:rFonts w:ascii="Arial" w:hAnsi="Arial" w:cs="Arial"/>
            <w:sz w:val="16"/>
            <w:szCs w:val="16"/>
          </w:rPr>
          <w:t>Review of</w:t>
        </w:r>
        <w:r>
          <w:rPr>
            <w:rFonts w:ascii="Arial" w:hAnsi="Arial" w:cs="Arial"/>
            <w:sz w:val="16"/>
            <w:szCs w:val="16"/>
          </w:rPr>
          <w:t xml:space="preserve"> the</w:t>
        </w:r>
        <w:r w:rsidRPr="00A50B5E">
          <w:rPr>
            <w:rFonts w:ascii="Arial" w:hAnsi="Arial" w:cs="Arial"/>
            <w:sz w:val="16"/>
            <w:szCs w:val="16"/>
          </w:rPr>
          <w:t xml:space="preserve"> Comcare Scheme</w:t>
        </w:r>
        <w:r>
          <w:rPr>
            <w:rFonts w:ascii="Arial" w:hAnsi="Arial" w:cs="Arial"/>
            <w:sz w:val="16"/>
            <w:szCs w:val="16"/>
          </w:rPr>
          <w:t>’s P</w:t>
        </w:r>
        <w:r w:rsidRPr="00A50B5E">
          <w:rPr>
            <w:rFonts w:ascii="Arial" w:hAnsi="Arial" w:cs="Arial"/>
            <w:sz w:val="16"/>
            <w:szCs w:val="16"/>
          </w:rPr>
          <w:t>erformance</w:t>
        </w:r>
        <w:r>
          <w:rPr>
            <w:rFonts w:ascii="Arial" w:hAnsi="Arial" w:cs="Arial"/>
            <w:sz w:val="16"/>
            <w:szCs w:val="16"/>
          </w:rPr>
          <w:t>, Governance</w:t>
        </w:r>
        <w:r w:rsidRPr="00A50B5E">
          <w:rPr>
            <w:rFonts w:ascii="Arial" w:hAnsi="Arial" w:cs="Arial"/>
            <w:sz w:val="16"/>
            <w:szCs w:val="16"/>
          </w:rPr>
          <w:t xml:space="preserve"> and </w:t>
        </w:r>
        <w:r>
          <w:rPr>
            <w:rFonts w:ascii="Arial" w:hAnsi="Arial" w:cs="Arial"/>
            <w:sz w:val="16"/>
            <w:szCs w:val="16"/>
          </w:rPr>
          <w:t>F</w:t>
        </w:r>
        <w:r w:rsidRPr="00A50B5E">
          <w:rPr>
            <w:rFonts w:ascii="Arial" w:hAnsi="Arial" w:cs="Arial"/>
            <w:sz w:val="16"/>
            <w:szCs w:val="16"/>
          </w:rPr>
          <w:t xml:space="preserve">inancial </w:t>
        </w:r>
        <w:r>
          <w:rPr>
            <w:rFonts w:ascii="Arial" w:hAnsi="Arial" w:cs="Arial"/>
            <w:sz w:val="16"/>
            <w:szCs w:val="16"/>
          </w:rPr>
          <w:t>F</w:t>
        </w:r>
        <w:r w:rsidRPr="00A50B5E">
          <w:rPr>
            <w:rFonts w:ascii="Arial" w:hAnsi="Arial" w:cs="Arial"/>
            <w:sz w:val="16"/>
            <w:szCs w:val="16"/>
          </w:rPr>
          <w:t>ramework</w:t>
        </w:r>
        <w:r w:rsidRPr="00090023">
          <w:rPr>
            <w:rFonts w:asciiTheme="majorHAnsi" w:hAnsiTheme="majorHAnsi"/>
            <w:sz w:val="20"/>
            <w:szCs w:val="20"/>
          </w:rPr>
          <w:ptab w:relativeTo="margin" w:alignment="right" w:leader="none"/>
        </w:r>
        <w:r w:rsidRPr="00090023">
          <w:rPr>
            <w:rFonts w:asciiTheme="majorHAnsi" w:hAnsiTheme="majorHAnsi"/>
            <w:sz w:val="20"/>
            <w:szCs w:val="20"/>
          </w:rPr>
          <w:t xml:space="preserve">Page </w:t>
        </w:r>
        <w:r w:rsidRPr="00090023">
          <w:rPr>
            <w:sz w:val="20"/>
            <w:szCs w:val="20"/>
          </w:rPr>
          <w:fldChar w:fldCharType="begin"/>
        </w:r>
        <w:r w:rsidRPr="00090023">
          <w:rPr>
            <w:sz w:val="20"/>
            <w:szCs w:val="20"/>
          </w:rPr>
          <w:instrText xml:space="preserve"> PAGE   \* MERGEFORMAT </w:instrText>
        </w:r>
        <w:r w:rsidRPr="00090023">
          <w:rPr>
            <w:sz w:val="20"/>
            <w:szCs w:val="20"/>
          </w:rPr>
          <w:fldChar w:fldCharType="separate"/>
        </w:r>
        <w:r w:rsidR="00AD7BEF" w:rsidRPr="00AD7BEF">
          <w:rPr>
            <w:rFonts w:asciiTheme="majorHAnsi" w:hAnsiTheme="majorHAnsi"/>
            <w:noProof/>
            <w:sz w:val="20"/>
            <w:szCs w:val="20"/>
          </w:rPr>
          <w:t>i</w:t>
        </w:r>
        <w:r w:rsidRPr="00090023">
          <w:rPr>
            <w:sz w:val="20"/>
            <w:szCs w:val="20"/>
          </w:rPr>
          <w:fldChar w:fldCharType="end"/>
        </w:r>
      </w:p>
      <w:p w:rsidR="00614766" w:rsidRDefault="00AD7BEF">
        <w:pPr>
          <w:pStyle w:val="Footer"/>
          <w:jc w:val="right"/>
        </w:pPr>
      </w:p>
    </w:sdtContent>
  </w:sdt>
  <w:p w:rsidR="00614766" w:rsidRDefault="006147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66" w:rsidRDefault="0061476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66" w:rsidRDefault="0061476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66" w:rsidRDefault="00614766">
    <w:pPr>
      <w:pStyle w:val="Footer"/>
      <w:pBdr>
        <w:top w:val="single" w:sz="4" w:space="1" w:color="auto"/>
      </w:pBdr>
      <w:rPr>
        <w:rFonts w:asciiTheme="majorHAnsi" w:hAnsiTheme="majorHAnsi"/>
      </w:rPr>
    </w:pPr>
    <w:r w:rsidRPr="00A50B5E">
      <w:rPr>
        <w:rFonts w:ascii="Arial" w:hAnsi="Arial" w:cs="Arial"/>
        <w:sz w:val="16"/>
        <w:szCs w:val="16"/>
      </w:rPr>
      <w:t>Review of</w:t>
    </w:r>
    <w:r>
      <w:rPr>
        <w:rFonts w:ascii="Arial" w:hAnsi="Arial" w:cs="Arial"/>
        <w:sz w:val="16"/>
        <w:szCs w:val="16"/>
      </w:rPr>
      <w:t xml:space="preserve"> the</w:t>
    </w:r>
    <w:r w:rsidRPr="00A50B5E">
      <w:rPr>
        <w:rFonts w:ascii="Arial" w:hAnsi="Arial" w:cs="Arial"/>
        <w:sz w:val="16"/>
        <w:szCs w:val="16"/>
      </w:rPr>
      <w:t xml:space="preserve"> Comcare Scheme</w:t>
    </w:r>
    <w:r>
      <w:rPr>
        <w:rFonts w:ascii="Arial" w:hAnsi="Arial" w:cs="Arial"/>
        <w:sz w:val="16"/>
        <w:szCs w:val="16"/>
      </w:rPr>
      <w:t>’s P</w:t>
    </w:r>
    <w:r w:rsidRPr="00A50B5E">
      <w:rPr>
        <w:rFonts w:ascii="Arial" w:hAnsi="Arial" w:cs="Arial"/>
        <w:sz w:val="16"/>
        <w:szCs w:val="16"/>
      </w:rPr>
      <w:t>erformance</w:t>
    </w:r>
    <w:r>
      <w:rPr>
        <w:rFonts w:ascii="Arial" w:hAnsi="Arial" w:cs="Arial"/>
        <w:sz w:val="16"/>
        <w:szCs w:val="16"/>
      </w:rPr>
      <w:t>, Governance</w:t>
    </w:r>
    <w:r w:rsidRPr="00A50B5E">
      <w:rPr>
        <w:rFonts w:ascii="Arial" w:hAnsi="Arial" w:cs="Arial"/>
        <w:sz w:val="16"/>
        <w:szCs w:val="16"/>
      </w:rPr>
      <w:t xml:space="preserve"> and </w:t>
    </w:r>
    <w:r>
      <w:rPr>
        <w:rFonts w:ascii="Arial" w:hAnsi="Arial" w:cs="Arial"/>
        <w:sz w:val="16"/>
        <w:szCs w:val="16"/>
      </w:rPr>
      <w:t>F</w:t>
    </w:r>
    <w:r w:rsidRPr="00A50B5E">
      <w:rPr>
        <w:rFonts w:ascii="Arial" w:hAnsi="Arial" w:cs="Arial"/>
        <w:sz w:val="16"/>
        <w:szCs w:val="16"/>
      </w:rPr>
      <w:t xml:space="preserve">inancial </w:t>
    </w:r>
    <w:r>
      <w:rPr>
        <w:rFonts w:ascii="Arial" w:hAnsi="Arial" w:cs="Arial"/>
        <w:sz w:val="16"/>
        <w:szCs w:val="16"/>
      </w:rPr>
      <w:t>Framework</w:t>
    </w:r>
    <w:r w:rsidRPr="00090023">
      <w:rPr>
        <w:rFonts w:asciiTheme="majorHAnsi" w:hAnsiTheme="majorHAnsi"/>
        <w:sz w:val="20"/>
        <w:szCs w:val="20"/>
      </w:rPr>
      <w:ptab w:relativeTo="margin" w:alignment="right" w:leader="none"/>
    </w:r>
    <w:r w:rsidRPr="00090023">
      <w:rPr>
        <w:rFonts w:asciiTheme="majorHAnsi" w:hAnsiTheme="majorHAnsi"/>
        <w:sz w:val="20"/>
        <w:szCs w:val="20"/>
      </w:rPr>
      <w:t xml:space="preserve">Page </w:t>
    </w:r>
    <w:r w:rsidRPr="00090023">
      <w:rPr>
        <w:sz w:val="20"/>
        <w:szCs w:val="20"/>
      </w:rPr>
      <w:fldChar w:fldCharType="begin"/>
    </w:r>
    <w:r w:rsidRPr="00090023">
      <w:rPr>
        <w:sz w:val="20"/>
        <w:szCs w:val="20"/>
      </w:rPr>
      <w:instrText xml:space="preserve"> PAGE   \* MERGEFORMAT </w:instrText>
    </w:r>
    <w:r w:rsidRPr="00090023">
      <w:rPr>
        <w:sz w:val="20"/>
        <w:szCs w:val="20"/>
      </w:rPr>
      <w:fldChar w:fldCharType="separate"/>
    </w:r>
    <w:r w:rsidR="00AD7BEF" w:rsidRPr="00AD7BEF">
      <w:rPr>
        <w:rFonts w:asciiTheme="majorHAnsi" w:hAnsiTheme="majorHAnsi"/>
        <w:noProof/>
        <w:sz w:val="20"/>
        <w:szCs w:val="20"/>
      </w:rPr>
      <w:t>102</w:t>
    </w:r>
    <w:r w:rsidRPr="00090023">
      <w:rPr>
        <w:sz w:val="20"/>
        <w:szCs w:val="20"/>
      </w:rPr>
      <w:fldChar w:fldCharType="end"/>
    </w:r>
  </w:p>
  <w:p w:rsidR="00614766" w:rsidRDefault="00614766">
    <w:pPr>
      <w:pStyle w:val="Footer"/>
      <w:jc w:val="right"/>
    </w:pPr>
  </w:p>
  <w:p w:rsidR="00614766" w:rsidRDefault="0061476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66" w:rsidRDefault="00614766">
    <w:pPr>
      <w:pStyle w:val="Footer"/>
      <w:jc w:val="right"/>
    </w:pPr>
  </w:p>
  <w:p w:rsidR="00614766" w:rsidRDefault="006147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766" w:rsidRDefault="00614766" w:rsidP="00111216">
      <w:r>
        <w:separator/>
      </w:r>
    </w:p>
  </w:footnote>
  <w:footnote w:type="continuationSeparator" w:id="0">
    <w:p w:rsidR="00614766" w:rsidRDefault="00614766" w:rsidP="00111216">
      <w:r>
        <w:continuationSeparator/>
      </w:r>
    </w:p>
  </w:footnote>
  <w:footnote w:type="continuationNotice" w:id="1">
    <w:p w:rsidR="00614766" w:rsidRDefault="00614766"/>
  </w:footnote>
  <w:footnote w:id="2">
    <w:p w:rsidR="00614766" w:rsidRPr="00977EF9" w:rsidRDefault="00614766" w:rsidP="00C50E48">
      <w:pPr>
        <w:pStyle w:val="FootnoteText"/>
        <w:rPr>
          <w:rFonts w:ascii="Calibri" w:hAnsi="Calibri" w:cs="Calibri"/>
        </w:rPr>
      </w:pPr>
      <w:r w:rsidRPr="005320D0">
        <w:rPr>
          <w:rStyle w:val="FootnoteReference"/>
          <w:rFonts w:ascii="Calibri" w:hAnsi="Calibri" w:cs="Calibri"/>
        </w:rPr>
        <w:footnoteRef/>
      </w:r>
      <w:r w:rsidRPr="005320D0">
        <w:rPr>
          <w:rFonts w:ascii="Calibri" w:hAnsi="Calibri" w:cs="Calibri"/>
        </w:rPr>
        <w:t xml:space="preserve"> Hansard, Minister’s </w:t>
      </w:r>
      <w:proofErr w:type="gramStart"/>
      <w:r w:rsidRPr="005320D0">
        <w:rPr>
          <w:rFonts w:ascii="Calibri" w:hAnsi="Calibri" w:cs="Calibri"/>
        </w:rPr>
        <w:t>Second</w:t>
      </w:r>
      <w:proofErr w:type="gramEnd"/>
      <w:r w:rsidRPr="005320D0">
        <w:rPr>
          <w:rFonts w:ascii="Calibri" w:hAnsi="Calibri" w:cs="Calibri"/>
        </w:rPr>
        <w:t xml:space="preserve"> Reading Speech – </w:t>
      </w:r>
      <w:r w:rsidRPr="005320D0">
        <w:rPr>
          <w:rFonts w:ascii="Calibri" w:hAnsi="Calibri" w:cs="Calibri"/>
          <w:i/>
        </w:rPr>
        <w:t>Commonwealth Employees’ Rehabilitation and Compensation Act, 1988,</w:t>
      </w:r>
      <w:r w:rsidRPr="005320D0">
        <w:rPr>
          <w:rFonts w:ascii="Calibri" w:hAnsi="Calibri" w:cs="Calibri"/>
        </w:rPr>
        <w:t xml:space="preserve"> 27 April 1988.</w:t>
      </w:r>
    </w:p>
  </w:footnote>
  <w:footnote w:id="3">
    <w:p w:rsidR="00614766" w:rsidRPr="00977EF9" w:rsidRDefault="00614766" w:rsidP="00C50E48">
      <w:pPr>
        <w:pStyle w:val="FootnoteText"/>
        <w:rPr>
          <w:rFonts w:ascii="Calibri" w:hAnsi="Calibri" w:cs="Calibri"/>
        </w:rPr>
      </w:pPr>
      <w:r w:rsidRPr="005320D0">
        <w:rPr>
          <w:rStyle w:val="FootnoteReference"/>
          <w:rFonts w:ascii="Calibri" w:hAnsi="Calibri" w:cs="Calibri"/>
        </w:rPr>
        <w:footnoteRef/>
      </w:r>
      <w:r w:rsidRPr="005320D0">
        <w:rPr>
          <w:rFonts w:ascii="Calibri" w:hAnsi="Calibri" w:cs="Calibri"/>
        </w:rPr>
        <w:t xml:space="preserve"> </w:t>
      </w:r>
      <w:proofErr w:type="gramStart"/>
      <w:r w:rsidRPr="005320D0">
        <w:rPr>
          <w:rFonts w:ascii="Calibri" w:hAnsi="Calibri" w:cs="Calibri"/>
        </w:rPr>
        <w:t>S</w:t>
      </w:r>
      <w:r>
        <w:rPr>
          <w:rFonts w:ascii="Calibri" w:hAnsi="Calibri" w:cs="Calibri"/>
        </w:rPr>
        <w:t>ection</w:t>
      </w:r>
      <w:r w:rsidRPr="005320D0">
        <w:rPr>
          <w:rFonts w:ascii="Calibri" w:hAnsi="Calibri" w:cs="Calibri"/>
        </w:rPr>
        <w:t xml:space="preserve"> 100, SRC Act.</w:t>
      </w:r>
      <w:proofErr w:type="gramEnd"/>
    </w:p>
  </w:footnote>
  <w:footnote w:id="4">
    <w:p w:rsidR="00614766" w:rsidRPr="00977EF9" w:rsidRDefault="00614766" w:rsidP="00C50E48">
      <w:pPr>
        <w:pStyle w:val="NormalWeb"/>
        <w:shd w:val="clear" w:color="auto" w:fill="FFFFFF"/>
        <w:spacing w:before="0" w:beforeAutospacing="0" w:after="0" w:afterAutospacing="0"/>
        <w:rPr>
          <w:rFonts w:ascii="Calibri" w:hAnsi="Calibri" w:cs="Calibri"/>
          <w:sz w:val="20"/>
          <w:szCs w:val="20"/>
        </w:rPr>
      </w:pPr>
      <w:r w:rsidRPr="005320D0">
        <w:rPr>
          <w:rStyle w:val="FootnoteReference"/>
          <w:rFonts w:ascii="Calibri" w:hAnsi="Calibri" w:cs="Calibri"/>
          <w:sz w:val="20"/>
          <w:szCs w:val="20"/>
        </w:rPr>
        <w:footnoteRef/>
      </w:r>
      <w:r w:rsidRPr="005320D0">
        <w:rPr>
          <w:rFonts w:ascii="Calibri" w:hAnsi="Calibri" w:cs="Calibri"/>
          <w:sz w:val="20"/>
          <w:szCs w:val="20"/>
        </w:rPr>
        <w:t xml:space="preserve"> The application must contain those elements as set out in the </w:t>
      </w:r>
      <w:hyperlink r:id="rId1" w:tgtFrame="_blank" w:history="1">
        <w:r w:rsidRPr="005320D0">
          <w:rPr>
            <w:rStyle w:val="Hyperlink"/>
            <w:rFonts w:ascii="Calibri" w:hAnsi="Calibri" w:cs="Calibri"/>
            <w:color w:val="auto"/>
            <w:sz w:val="20"/>
            <w:szCs w:val="20"/>
          </w:rPr>
          <w:t>Safety, Rehabilitation and Compensation Regulations 2002</w:t>
        </w:r>
      </w:hyperlink>
      <w:r w:rsidRPr="005320D0">
        <w:rPr>
          <w:rFonts w:ascii="Calibri" w:hAnsi="Calibri" w:cs="Calibri"/>
          <w:sz w:val="20"/>
          <w:szCs w:val="20"/>
        </w:rPr>
        <w:t xml:space="preserve"> (Part 4).</w:t>
      </w:r>
    </w:p>
  </w:footnote>
  <w:footnote w:id="5">
    <w:p w:rsidR="00614766" w:rsidRPr="00977EF9" w:rsidRDefault="00614766" w:rsidP="00C50E48">
      <w:pPr>
        <w:pStyle w:val="FootnoteText"/>
        <w:rPr>
          <w:rFonts w:ascii="Calibri" w:hAnsi="Calibri" w:cs="Calibri"/>
        </w:rPr>
      </w:pPr>
      <w:r w:rsidRPr="005320D0">
        <w:rPr>
          <w:rStyle w:val="FootnoteReference"/>
          <w:rFonts w:ascii="Calibri" w:hAnsi="Calibri" w:cs="Calibri"/>
        </w:rPr>
        <w:footnoteRef/>
      </w:r>
      <w:r w:rsidRPr="005320D0">
        <w:rPr>
          <w:rFonts w:ascii="Calibri" w:hAnsi="Calibri" w:cs="Calibri"/>
        </w:rPr>
        <w:t xml:space="preserve"> </w:t>
      </w:r>
      <w:proofErr w:type="gramStart"/>
      <w:r w:rsidRPr="005320D0">
        <w:rPr>
          <w:rFonts w:ascii="Calibri" w:hAnsi="Calibri" w:cs="Calibri"/>
        </w:rPr>
        <w:t>Attorney-General (Vic) v Andrews [2007] HCA 9; (2007) 233 ALR 389; 81 ALJR 729 (21 March 2007).</w:t>
      </w:r>
      <w:proofErr w:type="gramEnd"/>
    </w:p>
  </w:footnote>
  <w:footnote w:id="6">
    <w:p w:rsidR="00614766" w:rsidRDefault="00614766" w:rsidP="00C50E48">
      <w:pPr>
        <w:pStyle w:val="FootnoteText"/>
      </w:pPr>
      <w:r>
        <w:rPr>
          <w:rStyle w:val="FootnoteReference"/>
        </w:rPr>
        <w:footnoteRef/>
      </w:r>
      <w:r>
        <w:t xml:space="preserve"> </w:t>
      </w:r>
      <w:proofErr w:type="gramStart"/>
      <w:r w:rsidRPr="00D309F7">
        <w:rPr>
          <w:rFonts w:ascii="Calibri" w:eastAsiaTheme="minorHAnsi" w:hAnsi="Calibri" w:cs="Calibri"/>
          <w:lang w:eastAsia="en-US"/>
        </w:rPr>
        <w:t xml:space="preserve">2011-2012 Comcare </w:t>
      </w:r>
      <w:r w:rsidRPr="006E236C">
        <w:rPr>
          <w:rFonts w:ascii="Calibri" w:hAnsi="Calibri" w:cs="Calibri"/>
        </w:rPr>
        <w:t>Annual</w:t>
      </w:r>
      <w:r w:rsidRPr="00D309F7">
        <w:rPr>
          <w:rFonts w:ascii="Calibri" w:eastAsiaTheme="minorHAnsi" w:hAnsi="Calibri" w:cs="Calibri"/>
          <w:lang w:eastAsia="en-US"/>
        </w:rPr>
        <w:t xml:space="preserve"> Report</w:t>
      </w:r>
      <w:r>
        <w:rPr>
          <w:rFonts w:ascii="Calibri" w:eastAsiaTheme="minorHAnsi" w:hAnsi="Calibri" w:cs="Calibri"/>
          <w:lang w:eastAsia="en-US"/>
        </w:rPr>
        <w:t>.</w:t>
      </w:r>
      <w:proofErr w:type="gramEnd"/>
    </w:p>
  </w:footnote>
  <w:footnote w:id="7">
    <w:p w:rsidR="00614766" w:rsidRPr="00D1048D" w:rsidRDefault="00614766" w:rsidP="00C50E48">
      <w:pPr>
        <w:autoSpaceDE w:val="0"/>
        <w:autoSpaceDN w:val="0"/>
        <w:adjustRightInd w:val="0"/>
        <w:rPr>
          <w:rFonts w:ascii="Calibri" w:hAnsi="Calibri" w:cs="Calibri"/>
          <w:sz w:val="20"/>
          <w:szCs w:val="20"/>
        </w:rPr>
      </w:pPr>
      <w:r w:rsidRPr="00D1048D">
        <w:rPr>
          <w:rStyle w:val="FootnoteReference"/>
          <w:rFonts w:ascii="Calibri" w:hAnsi="Calibri" w:cs="Calibri"/>
          <w:sz w:val="20"/>
          <w:szCs w:val="20"/>
        </w:rPr>
        <w:footnoteRef/>
      </w:r>
      <w:r w:rsidRPr="005320D0">
        <w:rPr>
          <w:rFonts w:ascii="Calibri" w:hAnsi="Calibri" w:cs="Calibri"/>
          <w:sz w:val="20"/>
          <w:szCs w:val="20"/>
        </w:rPr>
        <w:t xml:space="preserve"> </w:t>
      </w:r>
      <w:proofErr w:type="gramStart"/>
      <w:r w:rsidRPr="005320D0">
        <w:rPr>
          <w:rFonts w:ascii="Calibri" w:eastAsiaTheme="minorHAnsi" w:hAnsi="Calibri" w:cs="Calibri"/>
          <w:sz w:val="20"/>
          <w:szCs w:val="20"/>
          <w:lang w:eastAsia="en-US"/>
        </w:rPr>
        <w:t>Report of the Review of Self-insurance arrangements under the Comcare Scheme.</w:t>
      </w:r>
      <w:proofErr w:type="gramEnd"/>
    </w:p>
  </w:footnote>
  <w:footnote w:id="8">
    <w:p w:rsidR="00614766" w:rsidRDefault="00614766" w:rsidP="00C50E48">
      <w:pPr>
        <w:pStyle w:val="Heading1"/>
        <w:spacing w:before="0" w:beforeAutospacing="0" w:after="0" w:afterAutospacing="0"/>
        <w:rPr>
          <w:rFonts w:ascii="Calibri" w:hAnsi="Calibri" w:cs="Calibri"/>
          <w:b w:val="0"/>
          <w:sz w:val="20"/>
          <w:szCs w:val="20"/>
        </w:rPr>
      </w:pPr>
      <w:r w:rsidRPr="005320D0">
        <w:rPr>
          <w:rStyle w:val="FootnoteReference"/>
          <w:rFonts w:ascii="Calibri" w:hAnsi="Calibri" w:cs="Calibri"/>
          <w:b w:val="0"/>
          <w:sz w:val="20"/>
          <w:szCs w:val="20"/>
        </w:rPr>
        <w:footnoteRef/>
      </w:r>
      <w:r w:rsidRPr="005320D0">
        <w:rPr>
          <w:rFonts w:ascii="Calibri" w:hAnsi="Calibri" w:cs="Calibri"/>
          <w:b w:val="0"/>
          <w:sz w:val="20"/>
          <w:szCs w:val="20"/>
        </w:rPr>
        <w:t xml:space="preserve"> Media release “Improvements to </w:t>
      </w:r>
      <w:r w:rsidRPr="006E236C">
        <w:rPr>
          <w:rFonts w:ascii="Calibri" w:hAnsi="Calibri" w:cs="Calibri"/>
          <w:b w:val="0"/>
          <w:bCs w:val="0"/>
          <w:kern w:val="0"/>
          <w:sz w:val="20"/>
          <w:szCs w:val="20"/>
        </w:rPr>
        <w:t>the</w:t>
      </w:r>
      <w:r w:rsidRPr="005320D0">
        <w:rPr>
          <w:rFonts w:ascii="Calibri" w:hAnsi="Calibri" w:cs="Calibri"/>
          <w:b w:val="0"/>
          <w:sz w:val="20"/>
          <w:szCs w:val="20"/>
        </w:rPr>
        <w:t xml:space="preserve"> Comcare scheme announced” </w:t>
      </w:r>
      <w:r w:rsidRPr="00644E72">
        <w:rPr>
          <w:rFonts w:ascii="Calibri" w:hAnsi="Calibri" w:cs="Calibri"/>
          <w:b w:val="0"/>
          <w:sz w:val="20"/>
          <w:szCs w:val="20"/>
        </w:rPr>
        <w:t>http://ministers.deewr.gov.au/gillard/improvements-comcare-scheme-announced</w:t>
      </w:r>
      <w:r w:rsidRPr="005320D0">
        <w:rPr>
          <w:rFonts w:ascii="Calibri" w:hAnsi="Calibri" w:cs="Calibri"/>
          <w:b w:val="0"/>
          <w:sz w:val="20"/>
          <w:szCs w:val="20"/>
        </w:rPr>
        <w:t xml:space="preserve"> </w:t>
      </w:r>
    </w:p>
    <w:p w:rsidR="00614766" w:rsidRDefault="00614766" w:rsidP="00C50E48">
      <w:pPr>
        <w:pStyle w:val="FootnoteText"/>
      </w:pPr>
    </w:p>
  </w:footnote>
  <w:footnote w:id="9">
    <w:p w:rsidR="00614766" w:rsidRPr="00D1048D" w:rsidRDefault="00614766" w:rsidP="00C50E48">
      <w:pPr>
        <w:pStyle w:val="FootnoteText"/>
        <w:rPr>
          <w:rFonts w:ascii="Calibri" w:hAnsi="Calibri" w:cs="Calibri"/>
        </w:rPr>
      </w:pPr>
      <w:r w:rsidRPr="005320D0">
        <w:rPr>
          <w:rStyle w:val="FootnoteReference"/>
          <w:rFonts w:ascii="Calibri" w:hAnsi="Calibri" w:cs="Calibri"/>
        </w:rPr>
        <w:footnoteRef/>
      </w:r>
      <w:r w:rsidRPr="005320D0">
        <w:rPr>
          <w:rFonts w:ascii="Calibri" w:hAnsi="Calibri" w:cs="Calibri"/>
        </w:rPr>
        <w:t xml:space="preserve"> </w:t>
      </w:r>
      <w:hyperlink r:id="rId2" w:history="1">
        <w:r w:rsidRPr="00923D34">
          <w:rPr>
            <w:rStyle w:val="Hyperlink"/>
            <w:rFonts w:ascii="Calibri" w:hAnsi="Calibri" w:cs="Calibri"/>
          </w:rPr>
          <w:t>http://www.srcc.gov.au/__data/assets/pdf_file/0003/37173/Guidelines_License_application_evaluation_</w:t>
        </w:r>
        <w:r w:rsidRPr="0076537A">
          <w:rPr>
            <w:rStyle w:val="Hyperlink"/>
            <w:rFonts w:ascii="Calibri" w:hAnsi="Calibri" w:cs="Calibri"/>
          </w:rPr>
          <w:t xml:space="preserve"> </w:t>
        </w:r>
        <w:r w:rsidRPr="00923D34">
          <w:rPr>
            <w:rStyle w:val="Hyperlink"/>
            <w:rFonts w:ascii="Calibri" w:hAnsi="Calibri" w:cs="Calibri"/>
          </w:rPr>
          <w:t>Pub_39_Jan2006.pdf</w:t>
        </w:r>
      </w:hyperlink>
      <w:r w:rsidRPr="005320D0">
        <w:rPr>
          <w:rFonts w:ascii="Calibri" w:hAnsi="Calibri" w:cs="Calibri"/>
        </w:rPr>
        <w:t xml:space="preserve"> </w:t>
      </w:r>
    </w:p>
  </w:footnote>
  <w:footnote w:id="10">
    <w:p w:rsidR="00614766" w:rsidRPr="00D1048D" w:rsidRDefault="00614766" w:rsidP="00C50E48">
      <w:pPr>
        <w:pStyle w:val="FootnoteText"/>
        <w:rPr>
          <w:rFonts w:ascii="Calibri" w:hAnsi="Calibri" w:cs="Calibri"/>
        </w:rPr>
      </w:pPr>
      <w:r w:rsidRPr="005320D0">
        <w:rPr>
          <w:rStyle w:val="FootnoteReference"/>
          <w:rFonts w:ascii="Calibri" w:hAnsi="Calibri" w:cs="Calibri"/>
        </w:rPr>
        <w:footnoteRef/>
      </w:r>
      <w:r w:rsidRPr="005320D0">
        <w:rPr>
          <w:rFonts w:ascii="Calibri" w:hAnsi="Calibri" w:cs="Calibri"/>
        </w:rPr>
        <w:t xml:space="preserve"> While the SRCC and Comcare each have regulatory roles, most of the regulatory functions in relation to workers’ compensation lie with the SRCC.</w:t>
      </w:r>
    </w:p>
  </w:footnote>
  <w:footnote w:id="11">
    <w:p w:rsidR="00614766" w:rsidRPr="00644E72" w:rsidRDefault="00614766" w:rsidP="00C50E48">
      <w:pPr>
        <w:pStyle w:val="Heading1"/>
        <w:spacing w:before="0" w:beforeAutospacing="0" w:after="0" w:afterAutospacing="0"/>
        <w:rPr>
          <w:rStyle w:val="Hyperlink"/>
          <w:rFonts w:ascii="Calibri" w:hAnsi="Calibri" w:cs="Calibri"/>
          <w:b w:val="0"/>
          <w:sz w:val="20"/>
          <w:szCs w:val="20"/>
        </w:rPr>
      </w:pPr>
      <w:r>
        <w:rPr>
          <w:rStyle w:val="FootnoteReference"/>
          <w:bCs w:val="0"/>
          <w:kern w:val="0"/>
        </w:rPr>
        <w:fldChar w:fldCharType="begin"/>
      </w:r>
      <w:r>
        <w:rPr>
          <w:rStyle w:val="FootnoteReference"/>
          <w:bCs w:val="0"/>
          <w:kern w:val="0"/>
        </w:rPr>
        <w:instrText xml:space="preserve"> HYPERLINK "http://www.finance.gov.au/publications/flipchart/index.html" \o "Flipchart of FMA Act/CAC Act Agencies" </w:instrText>
      </w:r>
      <w:r>
        <w:rPr>
          <w:rStyle w:val="FootnoteReference"/>
          <w:bCs w:val="0"/>
          <w:kern w:val="0"/>
        </w:rPr>
        <w:fldChar w:fldCharType="separate"/>
      </w:r>
      <w:r w:rsidRPr="00644E72">
        <w:rPr>
          <w:rStyle w:val="Hyperlink"/>
          <w:rFonts w:ascii="Calibri" w:hAnsi="Calibri" w:cs="Calibri"/>
          <w:b w:val="0"/>
          <w:bCs w:val="0"/>
          <w:kern w:val="0"/>
          <w:sz w:val="20"/>
          <w:szCs w:val="20"/>
          <w:vertAlign w:val="superscript"/>
        </w:rPr>
        <w:footnoteRef/>
      </w:r>
      <w:r w:rsidRPr="00644E72">
        <w:rPr>
          <w:rStyle w:val="Hyperlink"/>
          <w:bCs w:val="0"/>
          <w:kern w:val="0"/>
          <w:vertAlign w:val="superscript"/>
        </w:rPr>
        <w:t xml:space="preserve"> </w:t>
      </w:r>
      <w:r w:rsidRPr="00644E72">
        <w:rPr>
          <w:rStyle w:val="Hyperlink"/>
          <w:rFonts w:ascii="Calibri" w:hAnsi="Calibri" w:cs="Calibri"/>
          <w:b w:val="0"/>
          <w:sz w:val="20"/>
          <w:szCs w:val="20"/>
        </w:rPr>
        <w:t xml:space="preserve">Flipchart of FMA Act Agencies / CAC Act Bodies http://www.finance.gov.au/publications/flipchart/index.html </w:t>
      </w:r>
    </w:p>
    <w:p w:rsidR="00614766" w:rsidRDefault="00614766" w:rsidP="00C50E48">
      <w:pPr>
        <w:pStyle w:val="FootnoteText"/>
      </w:pPr>
      <w:r>
        <w:rPr>
          <w:rStyle w:val="FootnoteReference"/>
          <w:b/>
          <w:sz w:val="48"/>
          <w:szCs w:val="48"/>
        </w:rPr>
        <w:fldChar w:fldCharType="end"/>
      </w:r>
    </w:p>
  </w:footnote>
  <w:footnote w:id="12">
    <w:p w:rsidR="00614766" w:rsidRDefault="00614766" w:rsidP="00C50E48">
      <w:pPr>
        <w:pStyle w:val="FootnoteText"/>
      </w:pPr>
      <w:r w:rsidRPr="006E236C">
        <w:rPr>
          <w:rStyle w:val="FootnoteReference"/>
          <w:rFonts w:ascii="Calibri" w:hAnsi="Calibri" w:cs="Calibri"/>
        </w:rPr>
        <w:footnoteRef/>
      </w:r>
      <w:r w:rsidRPr="006E236C">
        <w:rPr>
          <w:rStyle w:val="FootnoteReference"/>
          <w:rFonts w:ascii="Calibri" w:hAnsi="Calibri" w:cs="Calibri"/>
        </w:rPr>
        <w:t xml:space="preserve"> </w:t>
      </w:r>
      <w:proofErr w:type="gramStart"/>
      <w:r w:rsidRPr="00A70574">
        <w:rPr>
          <w:rFonts w:ascii="Calibri" w:hAnsi="Calibri" w:cs="Calibri"/>
        </w:rPr>
        <w:t>Section 142 of the SRC Act</w:t>
      </w:r>
      <w:r>
        <w:rPr>
          <w:rFonts w:ascii="Calibri" w:hAnsi="Calibri" w:cs="Calibri"/>
        </w:rPr>
        <w:t>.</w:t>
      </w:r>
      <w:proofErr w:type="gramEnd"/>
    </w:p>
  </w:footnote>
  <w:footnote w:id="13">
    <w:p w:rsidR="00614766" w:rsidRDefault="00614766" w:rsidP="00C50E48">
      <w:pPr>
        <w:pStyle w:val="FootnoteText"/>
      </w:pPr>
      <w:r w:rsidRPr="006E236C">
        <w:rPr>
          <w:rStyle w:val="FootnoteReference"/>
          <w:rFonts w:ascii="Calibri" w:hAnsi="Calibri" w:cs="Calibri"/>
        </w:rPr>
        <w:footnoteRef/>
      </w:r>
      <w:r>
        <w:t xml:space="preserve"> </w:t>
      </w:r>
      <w:r w:rsidRPr="00AA2A2A">
        <w:rPr>
          <w:rFonts w:asciiTheme="minorHAnsi" w:hAnsiTheme="minorHAnsi" w:cstheme="minorHAnsi"/>
        </w:rPr>
        <w:t xml:space="preserve">Government Response to the Review of Military Compensation </w:t>
      </w:r>
      <w:proofErr w:type="gramStart"/>
      <w:r w:rsidRPr="00AA2A2A">
        <w:rPr>
          <w:rFonts w:asciiTheme="minorHAnsi" w:hAnsiTheme="minorHAnsi" w:cstheme="minorHAnsi"/>
        </w:rPr>
        <w:t>Arrangements,</w:t>
      </w:r>
      <w:proofErr w:type="gramEnd"/>
      <w:r w:rsidRPr="00AA2A2A">
        <w:rPr>
          <w:rFonts w:asciiTheme="minorHAnsi" w:hAnsiTheme="minorHAnsi" w:cstheme="minorHAnsi"/>
        </w:rPr>
        <w:t xml:space="preserve"> May 2012</w:t>
      </w:r>
      <w:r>
        <w:rPr>
          <w:rFonts w:asciiTheme="minorHAnsi" w:hAnsiTheme="minorHAnsi" w:cstheme="minorHAnsi"/>
        </w:rPr>
        <w:t>.</w:t>
      </w:r>
    </w:p>
  </w:footnote>
  <w:footnote w:id="14">
    <w:p w:rsidR="00614766" w:rsidRPr="00D1048D" w:rsidRDefault="00614766" w:rsidP="00C50E48">
      <w:pPr>
        <w:pStyle w:val="FootnoteText"/>
        <w:rPr>
          <w:rFonts w:ascii="Calibri" w:hAnsi="Calibri" w:cs="Calibri"/>
        </w:rPr>
      </w:pPr>
      <w:r w:rsidRPr="005320D0">
        <w:rPr>
          <w:rStyle w:val="FootnoteReference"/>
          <w:rFonts w:ascii="Calibri" w:hAnsi="Calibri" w:cs="Calibri"/>
        </w:rPr>
        <w:footnoteRef/>
      </w:r>
      <w:r w:rsidRPr="005320D0">
        <w:rPr>
          <w:rFonts w:ascii="Calibri" w:hAnsi="Calibri" w:cs="Calibri"/>
        </w:rPr>
        <w:t xml:space="preserve"> See for example, </w:t>
      </w:r>
      <w:r w:rsidRPr="005320D0">
        <w:rPr>
          <w:rFonts w:ascii="Calibri" w:hAnsi="Calibri" w:cs="Calibri"/>
          <w:i/>
        </w:rPr>
        <w:t>Comcare Premiums, Your Guide to 2012 – 13,</w:t>
      </w:r>
      <w:r w:rsidRPr="005320D0">
        <w:rPr>
          <w:rFonts w:ascii="Calibri" w:hAnsi="Calibri" w:cs="Calibri"/>
        </w:rPr>
        <w:t xml:space="preserve"> Comcare publication, PUB26, June 2012.</w:t>
      </w:r>
    </w:p>
  </w:footnote>
  <w:footnote w:id="15">
    <w:p w:rsidR="00614766" w:rsidRPr="00D1048D" w:rsidRDefault="00614766" w:rsidP="00C50E48">
      <w:pPr>
        <w:pStyle w:val="FootnoteText"/>
        <w:rPr>
          <w:rFonts w:ascii="Calibri" w:hAnsi="Calibri" w:cs="Calibri"/>
        </w:rPr>
      </w:pPr>
      <w:r w:rsidRPr="005320D0">
        <w:rPr>
          <w:rStyle w:val="FootnoteReference"/>
          <w:rFonts w:ascii="Calibri" w:hAnsi="Calibri" w:cs="Calibri"/>
        </w:rPr>
        <w:footnoteRef/>
      </w:r>
      <w:r w:rsidRPr="0061557C">
        <w:rPr>
          <w:rFonts w:ascii="Calibri" w:hAnsi="Calibri" w:cs="Calibri"/>
        </w:rPr>
        <w:t xml:space="preserve"> </w:t>
      </w:r>
      <w:r w:rsidRPr="005320D0">
        <w:rPr>
          <w:rFonts w:ascii="Calibri" w:hAnsi="Calibri" w:cs="Calibri"/>
        </w:rPr>
        <w:t xml:space="preserve">Published January 2012, and available at </w:t>
      </w:r>
      <w:hyperlink r:id="rId3" w:tooltip="SRCC Guidance for Employers" w:history="1">
        <w:r w:rsidRPr="00644E72">
          <w:t>http://www.srcc.gov.au/publications/guidance_for_employers</w:t>
        </w:r>
      </w:hyperlink>
      <w:r w:rsidRPr="005320D0">
        <w:rPr>
          <w:rFonts w:ascii="Calibri" w:hAnsi="Calibri" w:cs="Calibri"/>
        </w:rPr>
        <w:t xml:space="preserve"> </w:t>
      </w:r>
    </w:p>
  </w:footnote>
  <w:footnote w:id="16">
    <w:p w:rsidR="00614766" w:rsidRPr="00621EE0" w:rsidRDefault="00614766" w:rsidP="004102BE">
      <w:pPr>
        <w:pStyle w:val="FootnoteText"/>
        <w:rPr>
          <w:rFonts w:ascii="Calibri" w:hAnsi="Calibri" w:cs="Calibri"/>
        </w:rPr>
      </w:pPr>
      <w:r w:rsidRPr="006E236C">
        <w:rPr>
          <w:rStyle w:val="FootnoteReference"/>
          <w:rFonts w:ascii="Calibri" w:hAnsi="Calibri" w:cs="Calibri"/>
        </w:rPr>
        <w:footnoteRef/>
      </w:r>
      <w:r>
        <w:rPr>
          <w:rFonts w:ascii="Calibri" w:hAnsi="Calibri" w:cs="Calibri"/>
        </w:rPr>
        <w:t xml:space="preserve"> Safe Work Australia </w:t>
      </w:r>
      <w:r w:rsidRPr="00E13037">
        <w:rPr>
          <w:rFonts w:ascii="Calibri" w:hAnsi="Calibri" w:cs="Calibri"/>
          <w:i/>
        </w:rPr>
        <w:t>Comparative Performance Monitoring Report, 14th Edition</w:t>
      </w:r>
      <w:r>
        <w:rPr>
          <w:rFonts w:ascii="Calibri" w:hAnsi="Calibri" w:cs="Calibri"/>
        </w:rPr>
        <w:t>: October 2012.</w:t>
      </w:r>
    </w:p>
  </w:footnote>
  <w:footnote w:id="17">
    <w:p w:rsidR="00614766" w:rsidRDefault="00614766" w:rsidP="00D80950">
      <w:pPr>
        <w:pStyle w:val="FootnoteText"/>
      </w:pPr>
      <w:r w:rsidRPr="00573B66">
        <w:rPr>
          <w:rStyle w:val="FootnoteReference"/>
          <w:rFonts w:ascii="Calibri" w:hAnsi="Calibri" w:cs="Calibri"/>
        </w:rPr>
        <w:footnoteRef/>
      </w:r>
      <w:r w:rsidRPr="00573B66">
        <w:rPr>
          <w:rStyle w:val="FootnoteReference"/>
          <w:rFonts w:ascii="Calibri" w:hAnsi="Calibri" w:cs="Calibri"/>
        </w:rPr>
        <w:t xml:space="preserve"> </w:t>
      </w:r>
      <w:r w:rsidRPr="00E13037">
        <w:rPr>
          <w:rFonts w:asciiTheme="minorHAnsi" w:hAnsiTheme="minorHAnsi" w:cstheme="minorHAnsi"/>
        </w:rPr>
        <w:t>Productivity Commission Inquiry Report No.27, 6 March 2004; National Workers Compensation and Occupational Health and Safety Frameworks</w:t>
      </w:r>
      <w:r>
        <w:rPr>
          <w:rFonts w:asciiTheme="minorHAnsi" w:hAnsiTheme="minorHAnsi" w:cstheme="minorHAnsi"/>
        </w:rPr>
        <w:t>.</w:t>
      </w:r>
    </w:p>
  </w:footnote>
  <w:footnote w:id="18">
    <w:p w:rsidR="00614766" w:rsidRDefault="00614766" w:rsidP="004102BE">
      <w:pPr>
        <w:pStyle w:val="FootnoteText"/>
      </w:pPr>
      <w:r w:rsidRPr="006E236C">
        <w:rPr>
          <w:rStyle w:val="FootnoteReference"/>
          <w:rFonts w:ascii="Calibri" w:hAnsi="Calibri" w:cs="Calibri"/>
        </w:rPr>
        <w:footnoteRef/>
      </w:r>
      <w:r>
        <w:t xml:space="preserve"> </w:t>
      </w:r>
      <w:r>
        <w:rPr>
          <w:rFonts w:ascii="Calibri" w:hAnsi="Calibri" w:cs="Calibri"/>
        </w:rPr>
        <w:t>O</w:t>
      </w:r>
      <w:r w:rsidRPr="005951D5">
        <w:rPr>
          <w:rFonts w:ascii="Calibri" w:hAnsi="Calibri" w:cs="Calibri"/>
        </w:rPr>
        <w:t>ne member of the SRCC is a</w:t>
      </w:r>
      <w:r>
        <w:rPr>
          <w:rFonts w:ascii="Calibri" w:hAnsi="Calibri" w:cs="Calibri"/>
        </w:rPr>
        <w:t>n ADF</w:t>
      </w:r>
      <w:r w:rsidRPr="005951D5">
        <w:rPr>
          <w:rFonts w:ascii="Calibri" w:hAnsi="Calibri" w:cs="Calibri"/>
        </w:rPr>
        <w:t xml:space="preserve"> member </w:t>
      </w:r>
      <w:r>
        <w:rPr>
          <w:rFonts w:ascii="Calibri" w:hAnsi="Calibri" w:cs="Calibri"/>
        </w:rPr>
        <w:t>who is</w:t>
      </w:r>
      <w:r w:rsidRPr="005951D5">
        <w:rPr>
          <w:rFonts w:ascii="Calibri" w:hAnsi="Calibri" w:cs="Calibri"/>
        </w:rPr>
        <w:t xml:space="preserve"> there to represent members of the uniformed forces, not the civilian </w:t>
      </w:r>
      <w:r>
        <w:rPr>
          <w:rFonts w:ascii="Calibri" w:hAnsi="Calibri" w:cs="Calibri"/>
        </w:rPr>
        <w:t>side</w:t>
      </w:r>
      <w:r w:rsidRPr="005951D5">
        <w:rPr>
          <w:rFonts w:ascii="Calibri" w:hAnsi="Calibri" w:cs="Calibri"/>
        </w:rPr>
        <w:t xml:space="preserve"> of the Department of Defence</w:t>
      </w:r>
      <w:r>
        <w:rPr>
          <w:rFonts w:ascii="Calibri" w:hAnsi="Calibri" w:cs="Calibri"/>
        </w:rPr>
        <w:t>.</w:t>
      </w:r>
    </w:p>
  </w:footnote>
  <w:footnote w:id="19">
    <w:p w:rsidR="00614766" w:rsidRDefault="00614766" w:rsidP="004102BE">
      <w:pPr>
        <w:pStyle w:val="FootnoteText"/>
      </w:pPr>
      <w:r w:rsidRPr="006E236C">
        <w:rPr>
          <w:rStyle w:val="FootnoteReference"/>
          <w:rFonts w:ascii="Calibri" w:hAnsi="Calibri" w:cs="Calibri"/>
        </w:rPr>
        <w:footnoteRef/>
      </w:r>
      <w:r>
        <w:t xml:space="preserve"> </w:t>
      </w:r>
      <w:r w:rsidRPr="005951D5">
        <w:rPr>
          <w:rFonts w:ascii="Calibri" w:hAnsi="Calibri" w:cs="Calibri"/>
        </w:rPr>
        <w:t>Available at: http://www.srcc.gov.au/__data/assets/pdf_file/0003/37173/Guidelines_Licence_application_evaluation_Pub_39_Jan2006.pdf</w:t>
      </w:r>
    </w:p>
  </w:footnote>
  <w:footnote w:id="20">
    <w:p w:rsidR="00614766" w:rsidRPr="005951D5" w:rsidRDefault="00614766" w:rsidP="004102BE">
      <w:pPr>
        <w:pStyle w:val="FootnoteText"/>
        <w:rPr>
          <w:rFonts w:ascii="Calibri" w:hAnsi="Calibri" w:cs="Calibri"/>
        </w:rPr>
      </w:pPr>
      <w:r w:rsidRPr="006E236C">
        <w:rPr>
          <w:rStyle w:val="FootnoteReference"/>
          <w:rFonts w:ascii="Calibri" w:hAnsi="Calibri" w:cs="Calibri"/>
        </w:rPr>
        <w:footnoteRef/>
      </w:r>
      <w:r>
        <w:t xml:space="preserve"> </w:t>
      </w:r>
      <w:r w:rsidRPr="005951D5">
        <w:rPr>
          <w:rFonts w:ascii="Calibri" w:hAnsi="Calibri" w:cs="Calibri"/>
          <w:i/>
        </w:rPr>
        <w:t>Estimate of the Premium Pool for both the Commonwealth and Act Schemes</w:t>
      </w:r>
      <w:r w:rsidRPr="005951D5">
        <w:rPr>
          <w:rFonts w:ascii="Calibri" w:hAnsi="Calibri" w:cs="Calibri"/>
        </w:rPr>
        <w:t>; prepared by Taylor Fry (both dated 8 June 2012)</w:t>
      </w:r>
      <w:r>
        <w:rPr>
          <w:rFonts w:ascii="Calibri" w:hAnsi="Calibri" w:cs="Calibri"/>
        </w:rPr>
        <w:t>.</w:t>
      </w:r>
    </w:p>
  </w:footnote>
  <w:footnote w:id="21">
    <w:p w:rsidR="00614766" w:rsidRDefault="00614766" w:rsidP="004102BE">
      <w:pPr>
        <w:pStyle w:val="FootnoteText"/>
      </w:pPr>
      <w:r w:rsidRPr="006E236C">
        <w:rPr>
          <w:rStyle w:val="FootnoteReference"/>
          <w:rFonts w:ascii="Calibri" w:hAnsi="Calibri" w:cs="Calibri"/>
        </w:rPr>
        <w:footnoteRef/>
      </w:r>
      <w:r>
        <w:t xml:space="preserve"> </w:t>
      </w:r>
      <w:proofErr w:type="gramStart"/>
      <w:r w:rsidRPr="005951D5">
        <w:rPr>
          <w:rFonts w:ascii="Calibri" w:hAnsi="Calibri" w:cs="Calibri"/>
        </w:rPr>
        <w:t>Section 5A of the SRC Act</w:t>
      </w:r>
      <w:r>
        <w:rPr>
          <w:rFonts w:ascii="Calibri" w:hAnsi="Calibri" w:cs="Calibri"/>
        </w:rPr>
        <w:t>.</w:t>
      </w:r>
      <w:proofErr w:type="gramEnd"/>
    </w:p>
  </w:footnote>
  <w:footnote w:id="22">
    <w:p w:rsidR="00614766" w:rsidRDefault="00614766" w:rsidP="00C70727">
      <w:pPr>
        <w:pStyle w:val="FootnoteText"/>
      </w:pPr>
      <w:r w:rsidRPr="006E236C">
        <w:rPr>
          <w:rStyle w:val="FootnoteReference"/>
          <w:rFonts w:ascii="Calibri" w:hAnsi="Calibri" w:cs="Calibri"/>
        </w:rPr>
        <w:footnoteRef/>
      </w:r>
      <w:r w:rsidRPr="006E236C">
        <w:rPr>
          <w:rStyle w:val="FootnoteReference"/>
          <w:rFonts w:ascii="Calibri" w:hAnsi="Calibri" w:cs="Calibri"/>
        </w:rPr>
        <w:t xml:space="preserve"> </w:t>
      </w:r>
      <w:r w:rsidRPr="006E236C">
        <w:rPr>
          <w:rFonts w:ascii="Calibri" w:hAnsi="Calibri" w:cs="Calibri"/>
        </w:rPr>
        <w:t>[2012] AATA 795 (14 November 2012)</w:t>
      </w:r>
      <w:r>
        <w:rPr>
          <w:rFonts w:ascii="Calibri" w:hAnsi="Calibri" w:cs="Calibri"/>
        </w:rPr>
        <w:t>.</w:t>
      </w:r>
    </w:p>
  </w:footnote>
  <w:footnote w:id="23">
    <w:p w:rsidR="00614766" w:rsidRPr="005951D5" w:rsidRDefault="00614766" w:rsidP="004102BE">
      <w:pPr>
        <w:pStyle w:val="FootnoteText"/>
        <w:rPr>
          <w:rFonts w:ascii="Calibri" w:hAnsi="Calibri" w:cs="Calibri"/>
        </w:rPr>
      </w:pPr>
      <w:r w:rsidRPr="006E236C">
        <w:rPr>
          <w:rStyle w:val="FootnoteReference"/>
          <w:rFonts w:ascii="Calibri" w:hAnsi="Calibri" w:cs="Calibri"/>
        </w:rPr>
        <w:footnoteRef/>
      </w:r>
      <w:r>
        <w:t xml:space="preserve"> </w:t>
      </w:r>
      <w:proofErr w:type="gramStart"/>
      <w:r w:rsidRPr="00E13037">
        <w:rPr>
          <w:rFonts w:ascii="Calibri" w:hAnsi="Calibri" w:cs="Calibri"/>
        </w:rPr>
        <w:t>Comcare data</w:t>
      </w:r>
      <w:r>
        <w:rPr>
          <w:rFonts w:ascii="Calibri" w:hAnsi="Calibri" w:cs="Calibri"/>
        </w:rPr>
        <w:t>.</w:t>
      </w:r>
      <w:proofErr w:type="gramEnd"/>
    </w:p>
  </w:footnote>
  <w:footnote w:id="24">
    <w:p w:rsidR="00614766" w:rsidRDefault="00614766" w:rsidP="00CC0B77">
      <w:pPr>
        <w:pStyle w:val="FootnoteText"/>
      </w:pPr>
      <w:r>
        <w:rPr>
          <w:rStyle w:val="FootnoteReference"/>
        </w:rPr>
        <w:footnoteRef/>
      </w:r>
      <w:r>
        <w:t xml:space="preserve"> </w:t>
      </w:r>
      <w:r w:rsidRPr="0035663E">
        <w:rPr>
          <w:rFonts w:ascii="Calibri" w:hAnsi="Calibri" w:cs="Calibri"/>
        </w:rPr>
        <w:t>Contact Stuart King (</w:t>
      </w:r>
      <w:hyperlink r:id="rId4" w:history="1">
        <w:r w:rsidRPr="0035663E">
          <w:rPr>
            <w:rFonts w:ascii="Calibri" w:hAnsi="Calibri" w:cs="Calibri"/>
          </w:rPr>
          <w:t>stuart@risktobusiness.com</w:t>
        </w:r>
      </w:hyperlink>
      <w:r w:rsidRPr="0035663E">
        <w:rPr>
          <w:rFonts w:ascii="Calibri" w:hAnsi="Calibri" w:cs="Calibri"/>
        </w:rPr>
        <w:t>) or John Evans (john@culturalimprint.com.au).</w:t>
      </w:r>
    </w:p>
  </w:footnote>
  <w:footnote w:id="25">
    <w:p w:rsidR="00614766" w:rsidRPr="005951D5" w:rsidRDefault="00614766" w:rsidP="004102BE">
      <w:pPr>
        <w:pStyle w:val="FootnoteText"/>
        <w:rPr>
          <w:rFonts w:ascii="Calibri" w:hAnsi="Calibri" w:cs="Calibri"/>
        </w:rPr>
      </w:pPr>
      <w:r w:rsidRPr="006E236C">
        <w:rPr>
          <w:rStyle w:val="FootnoteReference"/>
          <w:rFonts w:ascii="Calibri" w:hAnsi="Calibri" w:cs="Calibri"/>
        </w:rPr>
        <w:footnoteRef/>
      </w:r>
      <w:r w:rsidRPr="006E236C">
        <w:rPr>
          <w:rFonts w:ascii="Calibri" w:hAnsi="Calibri"/>
        </w:rPr>
        <w:t xml:space="preserve"> </w:t>
      </w:r>
      <w:r w:rsidRPr="005951D5">
        <w:rPr>
          <w:rFonts w:ascii="Calibri" w:hAnsi="Calibri" w:cs="Calibri"/>
        </w:rPr>
        <w:t>The total average cost is the cost paid to date plus the estimated outstanding liability</w:t>
      </w:r>
      <w:r>
        <w:rPr>
          <w:rFonts w:ascii="Calibri" w:hAnsi="Calibri" w:cs="Calibri"/>
        </w:rPr>
        <w:t>.</w:t>
      </w:r>
    </w:p>
  </w:footnote>
  <w:footnote w:id="26">
    <w:p w:rsidR="00614766" w:rsidRPr="00CF144C" w:rsidRDefault="00614766" w:rsidP="004102BE">
      <w:pPr>
        <w:pStyle w:val="FootnoteText"/>
      </w:pPr>
      <w:r w:rsidRPr="006E236C">
        <w:rPr>
          <w:rStyle w:val="FootnoteReference"/>
          <w:rFonts w:ascii="Calibri" w:hAnsi="Calibri" w:cs="Calibri"/>
        </w:rPr>
        <w:footnoteRef/>
      </w:r>
      <w:r w:rsidRPr="005951D5">
        <w:rPr>
          <w:rFonts w:ascii="Calibri" w:hAnsi="Calibri" w:cs="Calibri"/>
        </w:rPr>
        <w:t xml:space="preserve"> </w:t>
      </w:r>
      <w:proofErr w:type="gramStart"/>
      <w:r>
        <w:rPr>
          <w:rFonts w:ascii="Calibri" w:hAnsi="Calibri" w:cs="Calibri"/>
        </w:rPr>
        <w:t>Comcare data.</w:t>
      </w:r>
      <w:proofErr w:type="gramEnd"/>
    </w:p>
  </w:footnote>
  <w:footnote w:id="27">
    <w:p w:rsidR="00614766" w:rsidRPr="005951D5" w:rsidRDefault="00614766" w:rsidP="004102BE">
      <w:pPr>
        <w:pStyle w:val="FootnoteText"/>
        <w:rPr>
          <w:rFonts w:ascii="Calibri" w:hAnsi="Calibri" w:cs="Calibri"/>
        </w:rPr>
      </w:pPr>
      <w:r w:rsidRPr="006E236C">
        <w:rPr>
          <w:rStyle w:val="FootnoteReference"/>
          <w:rFonts w:ascii="Calibri" w:hAnsi="Calibri" w:cs="Calibri"/>
        </w:rPr>
        <w:footnoteRef/>
      </w:r>
      <w:r w:rsidRPr="006E236C">
        <w:rPr>
          <w:rStyle w:val="FootnoteReference"/>
          <w:rFonts w:cs="Calibri"/>
        </w:rPr>
        <w:t xml:space="preserve"> </w:t>
      </w:r>
      <w:r w:rsidRPr="005951D5">
        <w:rPr>
          <w:rFonts w:ascii="Calibri" w:hAnsi="Calibri" w:cs="Calibri"/>
        </w:rPr>
        <w:t>Comcare’s publication</w:t>
      </w:r>
      <w:r>
        <w:t xml:space="preserve"> </w:t>
      </w:r>
      <w:r w:rsidRPr="005951D5">
        <w:rPr>
          <w:rFonts w:ascii="Calibri" w:hAnsi="Calibri" w:cs="Calibri"/>
        </w:rPr>
        <w:t>Comcare</w:t>
      </w:r>
      <w:r>
        <w:rPr>
          <w:i/>
        </w:rPr>
        <w:t xml:space="preserve"> Premiums, Your Guide to 2012 – 13,</w:t>
      </w:r>
      <w:r>
        <w:t xml:space="preserve"> </w:t>
      </w:r>
      <w:r w:rsidRPr="005951D5">
        <w:rPr>
          <w:rFonts w:ascii="Calibri" w:hAnsi="Calibri" w:cs="Calibri"/>
        </w:rPr>
        <w:t>Comcare publication, PUB26, June 2012 provides information on how employer premiums are calculated</w:t>
      </w:r>
      <w:r>
        <w:rPr>
          <w:rFonts w:ascii="Calibri" w:hAnsi="Calibri" w:cs="Calibri"/>
        </w:rPr>
        <w:t>.</w:t>
      </w:r>
    </w:p>
  </w:footnote>
  <w:footnote w:id="28">
    <w:p w:rsidR="00614766" w:rsidRPr="005951D5" w:rsidRDefault="00614766" w:rsidP="004102BE">
      <w:pPr>
        <w:pStyle w:val="FootnoteText"/>
        <w:rPr>
          <w:rFonts w:ascii="Calibri" w:hAnsi="Calibri" w:cs="Calibri"/>
        </w:rPr>
      </w:pPr>
      <w:r w:rsidRPr="006E236C">
        <w:rPr>
          <w:rStyle w:val="FootnoteReference"/>
          <w:rFonts w:ascii="Calibri" w:hAnsi="Calibri" w:cs="Calibri"/>
        </w:rPr>
        <w:footnoteRef/>
      </w:r>
      <w:r w:rsidRPr="006E236C">
        <w:rPr>
          <w:rFonts w:ascii="Calibri" w:hAnsi="Calibri"/>
        </w:rPr>
        <w:t xml:space="preserve"> </w:t>
      </w:r>
      <w:r w:rsidRPr="005951D5">
        <w:rPr>
          <w:rFonts w:ascii="Calibri" w:hAnsi="Calibri" w:cs="Calibri"/>
        </w:rPr>
        <w:t>SRCC Annual Report 2010-11</w:t>
      </w:r>
      <w:r>
        <w:rPr>
          <w:rFonts w:ascii="Calibri" w:hAnsi="Calibri" w:cs="Calibri"/>
        </w:rPr>
        <w:t>.</w:t>
      </w:r>
    </w:p>
  </w:footnote>
  <w:footnote w:id="29">
    <w:p w:rsidR="00614766" w:rsidRPr="005951D5" w:rsidRDefault="00614766" w:rsidP="004102BE">
      <w:pPr>
        <w:pStyle w:val="FootnoteText"/>
        <w:rPr>
          <w:rFonts w:ascii="Calibri" w:hAnsi="Calibri" w:cs="Calibri"/>
        </w:rPr>
      </w:pPr>
      <w:r w:rsidRPr="006E236C">
        <w:rPr>
          <w:rStyle w:val="FootnoteReference"/>
          <w:rFonts w:ascii="Calibri" w:hAnsi="Calibri" w:cs="Calibri"/>
        </w:rPr>
        <w:footnoteRef/>
      </w:r>
      <w:r w:rsidRPr="005951D5">
        <w:rPr>
          <w:rFonts w:ascii="Calibri" w:hAnsi="Calibri" w:cs="Calibri"/>
        </w:rPr>
        <w:t xml:space="preserve"> Heads of Workers’ Compensation Authorities, 2010-11 Australian and New Zealand Return to Work Monitor</w:t>
      </w:r>
      <w:r>
        <w:rPr>
          <w:rFonts w:ascii="Calibri" w:hAnsi="Calibri" w:cs="Calibri"/>
        </w:rPr>
        <w:t>.</w:t>
      </w:r>
    </w:p>
  </w:footnote>
  <w:footnote w:id="30">
    <w:p w:rsidR="00614766" w:rsidRPr="005951D5" w:rsidRDefault="00614766" w:rsidP="004102BE">
      <w:pPr>
        <w:pStyle w:val="FootnoteText"/>
        <w:rPr>
          <w:rFonts w:ascii="Calibri" w:hAnsi="Calibri" w:cs="Calibri"/>
        </w:rPr>
      </w:pPr>
      <w:r w:rsidRPr="006E236C">
        <w:rPr>
          <w:rStyle w:val="FootnoteReference"/>
          <w:rFonts w:ascii="Calibri" w:hAnsi="Calibri" w:cs="Calibri"/>
        </w:rPr>
        <w:footnoteRef/>
      </w:r>
      <w:r w:rsidRPr="005951D5">
        <w:rPr>
          <w:rFonts w:ascii="Calibri" w:hAnsi="Calibri" w:cs="Calibri"/>
        </w:rPr>
        <w:t xml:space="preserve"> The figures reported in the RTW Monitor do not include responses from injured workers employed by the licensees.</w:t>
      </w:r>
    </w:p>
  </w:footnote>
  <w:footnote w:id="31">
    <w:p w:rsidR="00614766" w:rsidRPr="00350909" w:rsidRDefault="00614766" w:rsidP="004102BE">
      <w:pPr>
        <w:pStyle w:val="FootnoteText"/>
      </w:pPr>
      <w:r w:rsidRPr="006E236C">
        <w:rPr>
          <w:rStyle w:val="FootnoteReference"/>
          <w:rFonts w:ascii="Calibri" w:hAnsi="Calibri" w:cs="Calibri"/>
        </w:rPr>
        <w:footnoteRef/>
      </w:r>
      <w:r>
        <w:t xml:space="preserve"> </w:t>
      </w:r>
      <w:proofErr w:type="gramStart"/>
      <w:r w:rsidRPr="005951D5">
        <w:rPr>
          <w:rFonts w:ascii="Calibri" w:hAnsi="Calibri" w:cs="Calibri"/>
          <w:i/>
        </w:rPr>
        <w:t>Guidelines for Rehabilitation Authorities, 2012</w:t>
      </w:r>
      <w:r>
        <w:t xml:space="preserve">; </w:t>
      </w:r>
      <w:r w:rsidRPr="005951D5">
        <w:rPr>
          <w:rFonts w:ascii="Calibri" w:hAnsi="Calibri" w:cs="Calibri"/>
        </w:rPr>
        <w:t>Comcare publication</w:t>
      </w:r>
      <w:r>
        <w:rPr>
          <w:rFonts w:ascii="Calibri" w:hAnsi="Calibri" w:cs="Calibri"/>
        </w:rPr>
        <w:t>.</w:t>
      </w:r>
      <w:proofErr w:type="gramEnd"/>
    </w:p>
  </w:footnote>
  <w:footnote w:id="32">
    <w:p w:rsidR="00614766" w:rsidRDefault="00614766" w:rsidP="004102BE">
      <w:pPr>
        <w:pStyle w:val="FootnoteText"/>
      </w:pPr>
      <w:r w:rsidRPr="006E236C">
        <w:rPr>
          <w:rStyle w:val="FootnoteReference"/>
          <w:rFonts w:ascii="Calibri" w:hAnsi="Calibri" w:cs="Calibri"/>
        </w:rPr>
        <w:footnoteRef/>
      </w:r>
      <w:r>
        <w:t xml:space="preserve"> </w:t>
      </w:r>
      <w:proofErr w:type="gramStart"/>
      <w:r w:rsidRPr="005951D5">
        <w:rPr>
          <w:i/>
        </w:rPr>
        <w:t>Comcare in the Future – Recommendations for a New Strategy</w:t>
      </w:r>
      <w:r>
        <w:t xml:space="preserve">, </w:t>
      </w:r>
      <w:r w:rsidRPr="005951D5">
        <w:rPr>
          <w:rFonts w:ascii="Calibri" w:hAnsi="Calibri" w:cs="Calibri"/>
        </w:rPr>
        <w:t>Ernst and Young, p. 19, 2010</w:t>
      </w:r>
      <w:r>
        <w:rPr>
          <w:rFonts w:ascii="Calibri" w:hAnsi="Calibri" w:cs="Calibri"/>
        </w:rPr>
        <w:t>.</w:t>
      </w:r>
      <w:proofErr w:type="gramEnd"/>
    </w:p>
  </w:footnote>
  <w:footnote w:id="33">
    <w:p w:rsidR="00614766" w:rsidRPr="0035512E" w:rsidRDefault="00614766" w:rsidP="004102BE">
      <w:pPr>
        <w:pStyle w:val="FootnoteText"/>
        <w:rPr>
          <w:rFonts w:ascii="Calibri" w:hAnsi="Calibri" w:cs="Calibri"/>
        </w:rPr>
      </w:pPr>
      <w:r w:rsidRPr="006E236C">
        <w:rPr>
          <w:rStyle w:val="FootnoteReference"/>
          <w:rFonts w:ascii="Calibri" w:hAnsi="Calibri" w:cs="Calibri"/>
        </w:rPr>
        <w:footnoteRef/>
      </w:r>
      <w:r w:rsidRPr="006E236C">
        <w:rPr>
          <w:rFonts w:ascii="Calibri" w:hAnsi="Calibri"/>
        </w:rPr>
        <w:t xml:space="preserve"> </w:t>
      </w:r>
      <w:r w:rsidRPr="005951D5">
        <w:rPr>
          <w:rFonts w:ascii="Calibri" w:hAnsi="Calibri" w:cs="Calibri"/>
        </w:rPr>
        <w:t>See for example</w:t>
      </w:r>
      <w:r w:rsidRPr="0035512E">
        <w:rPr>
          <w:rFonts w:ascii="Calibri" w:hAnsi="Calibri" w:cs="Calibri"/>
        </w:rPr>
        <w:t xml:space="preserve">: </w:t>
      </w:r>
      <w:hyperlink r:id="rId5" w:tooltip="Worksafe Victoria - Return to Work Information" w:history="1">
        <w:r w:rsidRPr="0035512E">
          <w:rPr>
            <w:rFonts w:ascii="Calibri" w:hAnsi="Calibri" w:cs="Calibri"/>
          </w:rPr>
          <w:t>http://www.worksafe.vic.gov.au/return-to-work</w:t>
        </w:r>
      </w:hyperlink>
      <w:r w:rsidRPr="0035512E">
        <w:rPr>
          <w:rFonts w:ascii="Calibri" w:hAnsi="Calibri" w:cs="Calibri"/>
        </w:rPr>
        <w:t xml:space="preserve"> </w:t>
      </w:r>
    </w:p>
  </w:footnote>
  <w:footnote w:id="34">
    <w:p w:rsidR="00614766" w:rsidRDefault="00614766" w:rsidP="004102BE">
      <w:pPr>
        <w:pStyle w:val="FootnoteText"/>
      </w:pPr>
      <w:r w:rsidRPr="006E236C">
        <w:rPr>
          <w:rStyle w:val="FootnoteReference"/>
          <w:rFonts w:ascii="Calibri" w:hAnsi="Calibri" w:cs="Calibri"/>
        </w:rPr>
        <w:footnoteRef/>
      </w:r>
      <w:r>
        <w:t xml:space="preserve"> </w:t>
      </w:r>
      <w:proofErr w:type="gramStart"/>
      <w:r w:rsidRPr="005951D5">
        <w:rPr>
          <w:rFonts w:ascii="Calibri" w:hAnsi="Calibri" w:cs="Calibri"/>
        </w:rPr>
        <w:t>[1995] FCA, 1246; 1995 21 AAR 392</w:t>
      </w:r>
      <w:r>
        <w:rPr>
          <w:rFonts w:ascii="Calibri" w:hAnsi="Calibri" w:cs="Calibri"/>
        </w:rPr>
        <w:t>.</w:t>
      </w:r>
      <w:proofErr w:type="gramEnd"/>
    </w:p>
  </w:footnote>
  <w:footnote w:id="35">
    <w:p w:rsidR="00614766" w:rsidRPr="005951D5" w:rsidRDefault="00614766" w:rsidP="001517AF">
      <w:pPr>
        <w:pStyle w:val="FootnoteText"/>
        <w:rPr>
          <w:rFonts w:ascii="Calibri" w:hAnsi="Calibri" w:cs="Calibri"/>
        </w:rPr>
      </w:pPr>
      <w:r w:rsidRPr="00D25234">
        <w:rPr>
          <w:rStyle w:val="FootnoteReference"/>
          <w:rFonts w:ascii="Calibri" w:hAnsi="Calibri" w:cs="Calibri"/>
        </w:rPr>
        <w:footnoteRef/>
      </w:r>
      <w:r w:rsidRPr="00D25234">
        <w:rPr>
          <w:rFonts w:ascii="Calibri" w:hAnsi="Calibri"/>
        </w:rPr>
        <w:t xml:space="preserve"> </w:t>
      </w:r>
      <w:r w:rsidRPr="006B48FE">
        <w:rPr>
          <w:i/>
        </w:rPr>
        <w:t>Comcare in the Future,</w:t>
      </w:r>
      <w:r>
        <w:rPr>
          <w:i/>
        </w:rPr>
        <w:t xml:space="preserve"> </w:t>
      </w:r>
      <w:r w:rsidRPr="006B48FE">
        <w:rPr>
          <w:i/>
        </w:rPr>
        <w:t>Recommendations</w:t>
      </w:r>
      <w:r>
        <w:rPr>
          <w:i/>
        </w:rPr>
        <w:t xml:space="preserve"> </w:t>
      </w:r>
      <w:r w:rsidRPr="006B48FE">
        <w:rPr>
          <w:i/>
        </w:rPr>
        <w:t>for a New Strategy</w:t>
      </w:r>
      <w:r>
        <w:t xml:space="preserve">; </w:t>
      </w:r>
      <w:r w:rsidRPr="005951D5">
        <w:rPr>
          <w:rFonts w:ascii="Calibri" w:hAnsi="Calibri" w:cs="Calibri"/>
        </w:rPr>
        <w:t xml:space="preserve">Ernst and Young report to Comcare, March 2010, pages 19 </w:t>
      </w:r>
      <w:r>
        <w:rPr>
          <w:rFonts w:ascii="Calibri" w:hAnsi="Calibri" w:cs="Calibri"/>
        </w:rPr>
        <w:t>and</w:t>
      </w:r>
      <w:r w:rsidRPr="005951D5">
        <w:rPr>
          <w:rFonts w:ascii="Calibri" w:hAnsi="Calibri" w:cs="Calibri"/>
        </w:rPr>
        <w:t xml:space="preserve"> 20</w:t>
      </w:r>
      <w:r>
        <w:rPr>
          <w:rFonts w:ascii="Calibri" w:hAnsi="Calibri" w:cs="Calibri"/>
        </w:rPr>
        <w:t>.</w:t>
      </w:r>
    </w:p>
  </w:footnote>
  <w:footnote w:id="36">
    <w:p w:rsidR="00614766" w:rsidRPr="005951D5" w:rsidRDefault="00614766" w:rsidP="004102BE">
      <w:pPr>
        <w:pStyle w:val="FootnoteText"/>
        <w:rPr>
          <w:rFonts w:ascii="Calibri" w:hAnsi="Calibri" w:cs="Calibri"/>
        </w:rPr>
      </w:pPr>
      <w:r w:rsidRPr="006E236C">
        <w:rPr>
          <w:rStyle w:val="FootnoteReference"/>
          <w:rFonts w:ascii="Calibri" w:hAnsi="Calibri" w:cs="Calibri"/>
        </w:rPr>
        <w:footnoteRef/>
      </w:r>
      <w:r>
        <w:t xml:space="preserve"> </w:t>
      </w:r>
      <w:r w:rsidRPr="005951D5">
        <w:rPr>
          <w:rFonts w:ascii="Calibri" w:hAnsi="Calibri" w:cs="Calibri"/>
        </w:rPr>
        <w:t>The detailed recommendations can be found on pages 30 &amp; 31 of the above report</w:t>
      </w:r>
      <w:r>
        <w:rPr>
          <w:rFonts w:ascii="Calibri" w:hAnsi="Calibri" w:cs="Calibri"/>
        </w:rPr>
        <w:t>.</w:t>
      </w:r>
    </w:p>
  </w:footnote>
  <w:footnote w:id="37">
    <w:p w:rsidR="00614766" w:rsidRDefault="00614766" w:rsidP="004102BE">
      <w:pPr>
        <w:pStyle w:val="FootnoteText"/>
      </w:pPr>
      <w:r w:rsidRPr="006E236C">
        <w:rPr>
          <w:rStyle w:val="FootnoteReference"/>
          <w:rFonts w:ascii="Calibri" w:hAnsi="Calibri" w:cs="Calibri"/>
        </w:rPr>
        <w:footnoteRef/>
      </w:r>
      <w:r>
        <w:t xml:space="preserve"> </w:t>
      </w:r>
      <w:proofErr w:type="gramStart"/>
      <w:r w:rsidRPr="006E236C">
        <w:rPr>
          <w:rFonts w:ascii="Calibri" w:hAnsi="Calibri" w:cs="Calibri"/>
        </w:rPr>
        <w:t>[2012] FCAFC 21</w:t>
      </w:r>
      <w:r>
        <w:rPr>
          <w:rFonts w:ascii="Calibri" w:hAnsi="Calibri" w:cs="Calibri"/>
        </w:rPr>
        <w:t>.</w:t>
      </w:r>
      <w:proofErr w:type="gramEnd"/>
    </w:p>
  </w:footnote>
  <w:footnote w:id="38">
    <w:p w:rsidR="00614766" w:rsidRDefault="00614766" w:rsidP="004102BE">
      <w:pPr>
        <w:pStyle w:val="FootnoteText"/>
      </w:pPr>
      <w:r w:rsidRPr="006E236C">
        <w:rPr>
          <w:rStyle w:val="FootnoteReference"/>
          <w:rFonts w:ascii="Calibri" w:hAnsi="Calibri" w:cs="Calibri"/>
        </w:rPr>
        <w:footnoteRef/>
      </w:r>
      <w:r>
        <w:t xml:space="preserve"> </w:t>
      </w:r>
      <w:proofErr w:type="gramStart"/>
      <w:r w:rsidRPr="005951D5">
        <w:rPr>
          <w:rFonts w:ascii="Calibri" w:hAnsi="Calibri" w:cs="Calibri"/>
        </w:rPr>
        <w:t>Comcare Internal Audit report, Audit Number 2011/8</w:t>
      </w:r>
      <w:r>
        <w:rPr>
          <w:rFonts w:ascii="Calibri" w:hAnsi="Calibri" w:cs="Calibri"/>
        </w:rPr>
        <w:t>.</w:t>
      </w:r>
      <w:proofErr w:type="gramEnd"/>
    </w:p>
  </w:footnote>
  <w:footnote w:id="39">
    <w:p w:rsidR="00614766" w:rsidRDefault="00614766" w:rsidP="004102BE">
      <w:pPr>
        <w:pStyle w:val="FootnoteText"/>
      </w:pPr>
      <w:r w:rsidRPr="006E236C">
        <w:rPr>
          <w:rStyle w:val="FootnoteReference"/>
          <w:rFonts w:ascii="Calibri" w:hAnsi="Calibri" w:cs="Calibri"/>
        </w:rPr>
        <w:footnoteRef/>
      </w:r>
      <w:r>
        <w:t xml:space="preserve"> </w:t>
      </w:r>
      <w:r w:rsidRPr="006E236C">
        <w:rPr>
          <w:rFonts w:ascii="Calibri" w:hAnsi="Calibri" w:cs="Calibri"/>
          <w:i/>
        </w:rPr>
        <w:t>Clinical Framework for the Delivery of Health Services</w:t>
      </w:r>
      <w:r w:rsidRPr="006E236C">
        <w:rPr>
          <w:rFonts w:ascii="Calibri" w:hAnsi="Calibri" w:cs="Calibri"/>
        </w:rPr>
        <w:t xml:space="preserve">, </w:t>
      </w:r>
      <w:r w:rsidRPr="005951D5">
        <w:rPr>
          <w:rFonts w:ascii="Calibri" w:hAnsi="Calibri" w:cs="Calibri"/>
        </w:rPr>
        <w:t>joint VWA/TAC publication, revised June 2012</w:t>
      </w:r>
    </w:p>
  </w:footnote>
  <w:footnote w:id="40">
    <w:p w:rsidR="00614766" w:rsidRPr="005951D5" w:rsidRDefault="00614766" w:rsidP="004102BE">
      <w:pPr>
        <w:pStyle w:val="FootnoteText"/>
        <w:rPr>
          <w:rFonts w:ascii="Calibri" w:hAnsi="Calibri" w:cs="Calibri"/>
        </w:rPr>
      </w:pPr>
      <w:r w:rsidRPr="006E236C">
        <w:rPr>
          <w:rStyle w:val="FootnoteReference"/>
          <w:rFonts w:ascii="Calibri" w:hAnsi="Calibri" w:cs="Calibri"/>
        </w:rPr>
        <w:footnoteRef/>
      </w:r>
      <w:r>
        <w:t xml:space="preserve"> </w:t>
      </w:r>
      <w:r w:rsidRPr="005951D5">
        <w:rPr>
          <w:rFonts w:ascii="Calibri" w:hAnsi="Calibri" w:cs="Calibri"/>
        </w:rPr>
        <w:t>In recent times, Comcare has reviewed and updated its treatment policy and guidelines for Physiotherapy and Psychology treatment both of which can be found on the Comcare website (www.comcare.gov.au)</w:t>
      </w:r>
      <w:r>
        <w:rPr>
          <w:rFonts w:ascii="Calibri" w:hAnsi="Calibri" w:cs="Calibri"/>
        </w:rPr>
        <w:t>.</w:t>
      </w:r>
    </w:p>
  </w:footnote>
  <w:footnote w:id="41">
    <w:p w:rsidR="00614766" w:rsidRDefault="00614766" w:rsidP="004102BE">
      <w:pPr>
        <w:pStyle w:val="FootnoteText"/>
      </w:pPr>
      <w:r w:rsidRPr="006E236C">
        <w:rPr>
          <w:rStyle w:val="FootnoteReference"/>
          <w:rFonts w:ascii="Calibri" w:hAnsi="Calibri" w:cs="Calibri"/>
        </w:rPr>
        <w:footnoteRef/>
      </w:r>
      <w:r w:rsidRPr="006E236C">
        <w:rPr>
          <w:rStyle w:val="FootnoteReference"/>
          <w:rFonts w:cs="Calibri"/>
        </w:rPr>
        <w:t xml:space="preserve"> </w:t>
      </w:r>
      <w:r w:rsidRPr="006E236C">
        <w:rPr>
          <w:rFonts w:asciiTheme="minorHAnsi" w:hAnsiTheme="minorHAnsi" w:cstheme="minorHAnsi"/>
        </w:rPr>
        <w:t>Prior to this, Comcare’s Audit Committee was made up of one independent Chairperson, the Comcare Deputy CEO and two Comcare General Managers.</w:t>
      </w:r>
    </w:p>
  </w:footnote>
  <w:footnote w:id="42">
    <w:p w:rsidR="00614766" w:rsidRPr="00CA150B" w:rsidRDefault="00614766" w:rsidP="00797CEF">
      <w:pPr>
        <w:pStyle w:val="FootnoteText"/>
        <w:rPr>
          <w:rFonts w:asciiTheme="minorHAnsi" w:hAnsiTheme="minorHAnsi" w:cstheme="minorHAnsi"/>
        </w:rPr>
      </w:pPr>
      <w:r w:rsidRPr="00CA150B">
        <w:rPr>
          <w:rStyle w:val="FootnoteReference"/>
          <w:rFonts w:asciiTheme="minorHAnsi" w:hAnsiTheme="minorHAnsi" w:cstheme="minorHAnsi"/>
        </w:rPr>
        <w:footnoteRef/>
      </w:r>
      <w:r w:rsidRPr="00CA150B">
        <w:rPr>
          <w:rFonts w:asciiTheme="minorHAnsi" w:hAnsiTheme="minorHAnsi" w:cstheme="minorHAnsi"/>
        </w:rPr>
        <w:t xml:space="preserve"> DOFA</w:t>
      </w:r>
      <w:r>
        <w:rPr>
          <w:rFonts w:asciiTheme="minorHAnsi" w:hAnsiTheme="minorHAnsi" w:cstheme="minorHAnsi"/>
        </w:rPr>
        <w:t>,</w:t>
      </w:r>
      <w:r w:rsidRPr="00CA150B">
        <w:rPr>
          <w:rFonts w:asciiTheme="minorHAnsi" w:hAnsiTheme="minorHAnsi" w:cstheme="minorHAnsi"/>
        </w:rPr>
        <w:t xml:space="preserve"> </w:t>
      </w:r>
      <w:r w:rsidRPr="00CA150B">
        <w:rPr>
          <w:rFonts w:asciiTheme="minorHAnsi" w:hAnsiTheme="minorHAnsi" w:cstheme="minorHAnsi"/>
          <w:i/>
        </w:rPr>
        <w:t>Governance Arrangements for Australian Government Bodies</w:t>
      </w:r>
      <w:r w:rsidRPr="00CA150B">
        <w:rPr>
          <w:rFonts w:asciiTheme="minorHAnsi" w:hAnsiTheme="minorHAnsi" w:cstheme="minorHAnsi"/>
        </w:rPr>
        <w:t>, August 2005</w:t>
      </w:r>
      <w:r>
        <w:rPr>
          <w:rFonts w:asciiTheme="minorHAnsi" w:hAnsiTheme="minorHAnsi" w:cstheme="minorHAnsi"/>
        </w:rPr>
        <w:t>.</w:t>
      </w:r>
    </w:p>
  </w:footnote>
  <w:footnote w:id="43">
    <w:p w:rsidR="00614766" w:rsidRPr="00B07B4A" w:rsidRDefault="00614766" w:rsidP="00797CEF">
      <w:pPr>
        <w:pStyle w:val="FootnoteText"/>
        <w:rPr>
          <w:rFonts w:asciiTheme="minorHAnsi" w:hAnsiTheme="minorHAnsi" w:cstheme="minorHAnsi"/>
        </w:rPr>
      </w:pPr>
      <w:r w:rsidRPr="006E236C">
        <w:rPr>
          <w:rStyle w:val="FootnoteReference"/>
          <w:rFonts w:asciiTheme="minorHAnsi" w:hAnsiTheme="minorHAnsi"/>
        </w:rPr>
        <w:footnoteRef/>
      </w:r>
      <w:r w:rsidRPr="006E236C">
        <w:rPr>
          <w:rFonts w:asciiTheme="minorHAnsi" w:hAnsiTheme="minorHAnsi"/>
        </w:rPr>
        <w:t xml:space="preserve"> </w:t>
      </w:r>
      <w:r>
        <w:rPr>
          <w:rFonts w:asciiTheme="minorHAnsi" w:hAnsiTheme="minorHAnsi" w:cstheme="minorHAnsi"/>
        </w:rPr>
        <w:t>Ibid.</w:t>
      </w:r>
    </w:p>
  </w:footnote>
  <w:footnote w:id="44">
    <w:p w:rsidR="00614766" w:rsidRDefault="00614766" w:rsidP="00797CEF">
      <w:pPr>
        <w:pStyle w:val="FootnoteText"/>
      </w:pPr>
      <w:r w:rsidRPr="006E236C">
        <w:rPr>
          <w:rStyle w:val="FootnoteReference"/>
          <w:rFonts w:asciiTheme="minorHAnsi" w:hAnsiTheme="minorHAnsi"/>
        </w:rPr>
        <w:footnoteRef/>
      </w:r>
      <w:r>
        <w:t xml:space="preserve"> </w:t>
      </w:r>
      <w:r>
        <w:rPr>
          <w:rFonts w:asciiTheme="minorHAnsi" w:hAnsiTheme="minorHAnsi" w:cstheme="minorHAnsi"/>
        </w:rPr>
        <w:t>Ibid</w:t>
      </w:r>
      <w:r w:rsidRPr="00B07B4A">
        <w:rPr>
          <w:rFonts w:asciiTheme="minorHAnsi" w:hAnsiTheme="minorHAnsi" w:cstheme="minorHAnsi"/>
        </w:rPr>
        <w:t>, page </w:t>
      </w:r>
      <w:r>
        <w:rPr>
          <w:rFonts w:asciiTheme="minorHAnsi" w:hAnsiTheme="minorHAnsi" w:cstheme="minorHAnsi"/>
        </w:rPr>
        <w:t>19, 39.</w:t>
      </w:r>
    </w:p>
  </w:footnote>
  <w:footnote w:id="45">
    <w:p w:rsidR="00614766" w:rsidRDefault="00614766" w:rsidP="00797CEF">
      <w:pPr>
        <w:pStyle w:val="FootnoteText"/>
      </w:pPr>
      <w:r w:rsidRPr="006E236C">
        <w:rPr>
          <w:rStyle w:val="FootnoteReference"/>
          <w:rFonts w:asciiTheme="minorHAnsi" w:hAnsiTheme="minorHAnsi"/>
        </w:rPr>
        <w:footnoteRef/>
      </w:r>
      <w:r>
        <w:t xml:space="preserve"> </w:t>
      </w:r>
      <w:r>
        <w:rPr>
          <w:rFonts w:asciiTheme="minorHAnsi" w:hAnsiTheme="minorHAnsi" w:cstheme="minorHAnsi"/>
        </w:rPr>
        <w:t>Ibid</w:t>
      </w:r>
      <w:r w:rsidRPr="00B07B4A">
        <w:rPr>
          <w:rFonts w:asciiTheme="minorHAnsi" w:hAnsiTheme="minorHAnsi" w:cstheme="minorHAnsi"/>
        </w:rPr>
        <w:t>, page 35</w:t>
      </w:r>
      <w:r>
        <w:rPr>
          <w:rFonts w:asciiTheme="minorHAnsi" w:hAnsiTheme="minorHAnsi" w:cstheme="minorHAnsi"/>
        </w:rPr>
        <w:t>.</w:t>
      </w:r>
    </w:p>
  </w:footnote>
  <w:footnote w:id="46">
    <w:p w:rsidR="00614766" w:rsidRDefault="00614766" w:rsidP="00797CEF">
      <w:pPr>
        <w:pStyle w:val="FootnoteText"/>
      </w:pPr>
      <w:r w:rsidRPr="006E236C">
        <w:rPr>
          <w:rStyle w:val="FootnoteReference"/>
          <w:rFonts w:asciiTheme="minorHAnsi" w:hAnsiTheme="minorHAnsi"/>
        </w:rPr>
        <w:footnoteRef/>
      </w:r>
      <w:r w:rsidRPr="006E236C">
        <w:rPr>
          <w:rFonts w:asciiTheme="minorHAnsi" w:hAnsiTheme="minorHAnsi"/>
        </w:rPr>
        <w:t xml:space="preserve"> </w:t>
      </w:r>
      <w:r w:rsidRPr="00B07B4A">
        <w:rPr>
          <w:rFonts w:asciiTheme="minorHAnsi" w:hAnsiTheme="minorHAnsi" w:cstheme="minorHAnsi"/>
        </w:rPr>
        <w:t>DOFA</w:t>
      </w:r>
      <w:proofErr w:type="gramStart"/>
      <w:r>
        <w:rPr>
          <w:rFonts w:asciiTheme="minorHAnsi" w:hAnsiTheme="minorHAnsi" w:cstheme="minorHAnsi"/>
        </w:rPr>
        <w:t>,</w:t>
      </w:r>
      <w:r w:rsidRPr="00B07B4A">
        <w:rPr>
          <w:rFonts w:asciiTheme="minorHAnsi" w:hAnsiTheme="minorHAnsi" w:cstheme="minorHAnsi"/>
        </w:rPr>
        <w:t>,</w:t>
      </w:r>
      <w:proofErr w:type="gramEnd"/>
      <w:r w:rsidRPr="00B07B4A">
        <w:rPr>
          <w:rFonts w:asciiTheme="minorHAnsi" w:hAnsiTheme="minorHAnsi" w:cstheme="minorHAnsi"/>
        </w:rPr>
        <w:t xml:space="preserve"> </w:t>
      </w:r>
      <w:r w:rsidRPr="00B07B4A">
        <w:rPr>
          <w:rFonts w:asciiTheme="minorHAnsi" w:hAnsiTheme="minorHAnsi" w:cstheme="minorHAnsi"/>
          <w:i/>
        </w:rPr>
        <w:t>Is Less More? Towards Better Commonwealth Performance</w:t>
      </w:r>
      <w:r w:rsidRPr="00B07B4A">
        <w:rPr>
          <w:rFonts w:asciiTheme="minorHAnsi" w:hAnsiTheme="minorHAnsi" w:cstheme="minorHAnsi"/>
        </w:rPr>
        <w:t>, March 2012, page 31</w:t>
      </w:r>
      <w:r>
        <w:rPr>
          <w:rFonts w:asciiTheme="minorHAnsi" w:hAnsiTheme="minorHAnsi" w:cstheme="minorHAnsi"/>
        </w:rPr>
        <w:t>.</w:t>
      </w:r>
    </w:p>
  </w:footnote>
  <w:footnote w:id="47">
    <w:p w:rsidR="00614766" w:rsidRDefault="00614766" w:rsidP="00797CEF">
      <w:pPr>
        <w:pStyle w:val="FootnoteText"/>
      </w:pPr>
      <w:r w:rsidRPr="006E236C">
        <w:rPr>
          <w:rStyle w:val="FootnoteReference"/>
          <w:rFonts w:asciiTheme="minorHAnsi" w:hAnsiTheme="minorHAnsi"/>
        </w:rPr>
        <w:footnoteRef/>
      </w:r>
      <w:r w:rsidRPr="006E236C">
        <w:rPr>
          <w:rFonts w:asciiTheme="minorHAnsi" w:hAnsiTheme="minorHAnsi"/>
        </w:rPr>
        <w:t xml:space="preserve"> </w:t>
      </w:r>
      <w:r w:rsidRPr="00B07B4A">
        <w:rPr>
          <w:rFonts w:asciiTheme="minorHAnsi" w:hAnsiTheme="minorHAnsi" w:cstheme="minorHAnsi"/>
        </w:rPr>
        <w:t xml:space="preserve">DOFA </w:t>
      </w:r>
      <w:r w:rsidRPr="00B07B4A">
        <w:rPr>
          <w:rFonts w:asciiTheme="minorHAnsi" w:hAnsiTheme="minorHAnsi" w:cstheme="minorHAnsi"/>
          <w:i/>
        </w:rPr>
        <w:t>Governance Arrangements for Australian Government Bodies</w:t>
      </w:r>
      <w:r w:rsidRPr="00B07B4A">
        <w:rPr>
          <w:rFonts w:asciiTheme="minorHAnsi" w:hAnsiTheme="minorHAnsi" w:cstheme="minorHAnsi"/>
        </w:rPr>
        <w:t>, August 2005, page 35</w:t>
      </w:r>
      <w:r>
        <w:rPr>
          <w:rFonts w:asciiTheme="minorHAnsi" w:hAnsiTheme="minorHAnsi" w:cstheme="minorHAnsi"/>
        </w:rPr>
        <w:t>.</w:t>
      </w:r>
    </w:p>
  </w:footnote>
  <w:footnote w:id="48">
    <w:p w:rsidR="00614766" w:rsidRDefault="00614766" w:rsidP="00797CEF">
      <w:pPr>
        <w:pStyle w:val="FootnoteText"/>
      </w:pPr>
      <w:r w:rsidRPr="006E236C">
        <w:rPr>
          <w:rStyle w:val="FootnoteReference"/>
          <w:rFonts w:asciiTheme="minorHAnsi" w:hAnsiTheme="minorHAnsi"/>
        </w:rPr>
        <w:footnoteRef/>
      </w:r>
      <w:r w:rsidRPr="006E236C">
        <w:rPr>
          <w:rFonts w:asciiTheme="minorHAnsi" w:hAnsiTheme="minorHAnsi"/>
        </w:rPr>
        <w:t xml:space="preserve"> </w:t>
      </w:r>
      <w:r w:rsidRPr="00B07B4A">
        <w:rPr>
          <w:rFonts w:asciiTheme="minorHAnsi" w:hAnsiTheme="minorHAnsi" w:cstheme="minorHAnsi"/>
        </w:rPr>
        <w:t>DOFA</w:t>
      </w:r>
      <w:r>
        <w:rPr>
          <w:rFonts w:asciiTheme="minorHAnsi" w:hAnsiTheme="minorHAnsi" w:cstheme="minorHAnsi"/>
        </w:rPr>
        <w:t>,</w:t>
      </w:r>
      <w:r w:rsidRPr="00B07B4A">
        <w:rPr>
          <w:rFonts w:asciiTheme="minorHAnsi" w:hAnsiTheme="minorHAnsi" w:cstheme="minorHAnsi"/>
        </w:rPr>
        <w:t xml:space="preserve"> </w:t>
      </w:r>
      <w:r w:rsidRPr="00B07B4A">
        <w:rPr>
          <w:rFonts w:asciiTheme="minorHAnsi" w:hAnsiTheme="minorHAnsi" w:cstheme="minorHAnsi"/>
          <w:i/>
        </w:rPr>
        <w:t>Governance Arrangements for Australian Government Bodies</w:t>
      </w:r>
      <w:r w:rsidRPr="00B07B4A">
        <w:rPr>
          <w:rFonts w:asciiTheme="minorHAnsi" w:hAnsiTheme="minorHAnsi" w:cstheme="minorHAnsi"/>
        </w:rPr>
        <w:t>, August 2005, page </w:t>
      </w:r>
      <w:r w:rsidRPr="00667CED">
        <w:rPr>
          <w:rFonts w:asciiTheme="minorHAnsi" w:hAnsiTheme="minorHAnsi" w:cstheme="minorHAnsi"/>
        </w:rPr>
        <w:t>x</w:t>
      </w:r>
      <w:r>
        <w:rPr>
          <w:rFonts w:asciiTheme="minorHAnsi" w:hAnsiTheme="minorHAnsi" w:cstheme="minorHAnsi"/>
        </w:rPr>
        <w:t>.</w:t>
      </w:r>
    </w:p>
  </w:footnote>
  <w:footnote w:id="49">
    <w:p w:rsidR="00614766" w:rsidRDefault="00614766" w:rsidP="00797CEF">
      <w:pPr>
        <w:pStyle w:val="FootnoteText"/>
      </w:pPr>
      <w:r w:rsidRPr="006E236C">
        <w:rPr>
          <w:rStyle w:val="FootnoteReference"/>
          <w:rFonts w:asciiTheme="minorHAnsi" w:hAnsiTheme="minorHAnsi"/>
        </w:rPr>
        <w:footnoteRef/>
      </w:r>
      <w:r w:rsidRPr="006E236C">
        <w:rPr>
          <w:rFonts w:asciiTheme="minorHAnsi" w:hAnsiTheme="minorHAnsi"/>
        </w:rPr>
        <w:t xml:space="preserve"> </w:t>
      </w:r>
      <w:r>
        <w:rPr>
          <w:rFonts w:asciiTheme="minorHAnsi" w:hAnsiTheme="minorHAnsi" w:cstheme="minorHAnsi"/>
        </w:rPr>
        <w:t>Ibid</w:t>
      </w:r>
      <w:r w:rsidRPr="00B07B4A">
        <w:rPr>
          <w:rFonts w:asciiTheme="minorHAnsi" w:hAnsiTheme="minorHAnsi" w:cstheme="minorHAnsi"/>
        </w:rPr>
        <w:t>, page 19</w:t>
      </w:r>
      <w:r>
        <w:rPr>
          <w:rFonts w:asciiTheme="minorHAnsi" w:hAnsiTheme="minorHAnsi" w:cstheme="minorHAnsi"/>
        </w:rPr>
        <w:t>.</w:t>
      </w:r>
    </w:p>
  </w:footnote>
  <w:footnote w:id="50">
    <w:p w:rsidR="00614766" w:rsidRDefault="00614766" w:rsidP="00797CEF">
      <w:pPr>
        <w:pStyle w:val="FootnoteText"/>
      </w:pPr>
      <w:r w:rsidRPr="006E236C">
        <w:rPr>
          <w:rStyle w:val="FootnoteReference"/>
          <w:rFonts w:asciiTheme="minorHAnsi" w:hAnsiTheme="minorHAnsi"/>
        </w:rPr>
        <w:footnoteRef/>
      </w:r>
      <w:r w:rsidRPr="006E236C">
        <w:rPr>
          <w:rFonts w:asciiTheme="minorHAnsi" w:hAnsiTheme="minorHAnsi"/>
        </w:rPr>
        <w:t xml:space="preserve"> </w:t>
      </w:r>
      <w:r>
        <w:rPr>
          <w:rFonts w:asciiTheme="minorHAnsi" w:hAnsiTheme="minorHAnsi" w:cstheme="minorHAnsi"/>
        </w:rPr>
        <w:t>Ibid</w:t>
      </w:r>
      <w:r w:rsidRPr="00B07B4A">
        <w:rPr>
          <w:rFonts w:asciiTheme="minorHAnsi" w:hAnsiTheme="minorHAnsi" w:cstheme="minorHAnsi"/>
        </w:rPr>
        <w:t>, page 7</w:t>
      </w:r>
      <w:r>
        <w:rPr>
          <w:rFonts w:asciiTheme="minorHAnsi" w:hAnsiTheme="minorHAnsi" w:cstheme="minorHAnsi"/>
        </w:rPr>
        <w:t>.</w:t>
      </w:r>
    </w:p>
  </w:footnote>
  <w:footnote w:id="51">
    <w:p w:rsidR="00614766" w:rsidRDefault="00614766" w:rsidP="00797CEF">
      <w:pPr>
        <w:pStyle w:val="FootnoteText"/>
      </w:pPr>
      <w:r w:rsidRPr="006E236C">
        <w:rPr>
          <w:rStyle w:val="FootnoteReference"/>
          <w:rFonts w:asciiTheme="minorHAnsi" w:hAnsiTheme="minorHAnsi"/>
        </w:rPr>
        <w:footnoteRef/>
      </w:r>
      <w:r w:rsidRPr="006E236C">
        <w:rPr>
          <w:rFonts w:asciiTheme="minorHAnsi" w:hAnsiTheme="minorHAnsi"/>
        </w:rPr>
        <w:t xml:space="preserve"> </w:t>
      </w:r>
      <w:r>
        <w:rPr>
          <w:rFonts w:asciiTheme="minorHAnsi" w:hAnsiTheme="minorHAnsi" w:cstheme="minorHAnsi"/>
        </w:rPr>
        <w:t>Ibid</w:t>
      </w:r>
      <w:r w:rsidRPr="00B07B4A">
        <w:rPr>
          <w:rFonts w:asciiTheme="minorHAnsi" w:hAnsiTheme="minorHAnsi" w:cstheme="minorHAnsi"/>
        </w:rPr>
        <w:t>, page 18</w:t>
      </w:r>
      <w:r>
        <w:rPr>
          <w:rFonts w:asciiTheme="minorHAnsi" w:hAnsiTheme="minorHAnsi" w:cstheme="minorHAnsi"/>
        </w:rPr>
        <w:t>.</w:t>
      </w:r>
    </w:p>
  </w:footnote>
  <w:footnote w:id="52">
    <w:p w:rsidR="00614766" w:rsidRDefault="00614766">
      <w:pPr>
        <w:pStyle w:val="FootnoteText"/>
      </w:pPr>
      <w:r>
        <w:rPr>
          <w:rStyle w:val="FootnoteReference"/>
        </w:rPr>
        <w:footnoteRef/>
      </w:r>
      <w:r>
        <w:t xml:space="preserve"> </w:t>
      </w:r>
      <w:r w:rsidRPr="00703564">
        <w:t>http://www.cfar.finance.gov.au/files/2012/11/cfar-position-paper.pdf</w:t>
      </w:r>
    </w:p>
  </w:footnote>
  <w:footnote w:id="53">
    <w:p w:rsidR="00614766" w:rsidRDefault="00614766" w:rsidP="00797CEF">
      <w:pPr>
        <w:pStyle w:val="FootnoteText"/>
      </w:pPr>
      <w:r w:rsidRPr="006E236C">
        <w:rPr>
          <w:rStyle w:val="FootnoteReference"/>
          <w:rFonts w:asciiTheme="minorHAnsi" w:hAnsiTheme="minorHAnsi"/>
        </w:rPr>
        <w:footnoteRef/>
      </w:r>
      <w:r w:rsidRPr="006E236C">
        <w:rPr>
          <w:rFonts w:asciiTheme="minorHAnsi" w:hAnsiTheme="minorHAnsi"/>
        </w:rPr>
        <w:t xml:space="preserve"> </w:t>
      </w:r>
      <w:r w:rsidRPr="00B07B4A">
        <w:rPr>
          <w:rFonts w:asciiTheme="minorHAnsi" w:hAnsiTheme="minorHAnsi" w:cstheme="minorHAnsi"/>
        </w:rPr>
        <w:t xml:space="preserve">DOFA, </w:t>
      </w:r>
      <w:r w:rsidRPr="00B07B4A">
        <w:rPr>
          <w:rFonts w:asciiTheme="minorHAnsi" w:hAnsiTheme="minorHAnsi" w:cstheme="minorHAnsi"/>
          <w:i/>
        </w:rPr>
        <w:t xml:space="preserve">Is Less </w:t>
      </w:r>
      <w:proofErr w:type="gramStart"/>
      <w:r w:rsidRPr="00B07B4A">
        <w:rPr>
          <w:rFonts w:asciiTheme="minorHAnsi" w:hAnsiTheme="minorHAnsi" w:cstheme="minorHAnsi"/>
          <w:i/>
        </w:rPr>
        <w:t>More</w:t>
      </w:r>
      <w:proofErr w:type="gramEnd"/>
      <w:r w:rsidRPr="00B07B4A">
        <w:rPr>
          <w:rFonts w:asciiTheme="minorHAnsi" w:hAnsiTheme="minorHAnsi" w:cstheme="minorHAnsi"/>
          <w:i/>
        </w:rPr>
        <w:t>? Towards Better Commonwealth Performance</w:t>
      </w:r>
      <w:r w:rsidRPr="00B07B4A">
        <w:rPr>
          <w:rFonts w:asciiTheme="minorHAnsi" w:hAnsiTheme="minorHAnsi" w:cstheme="minorHAnsi"/>
        </w:rPr>
        <w:t>, March 2012, page 30</w:t>
      </w:r>
      <w:r>
        <w:rPr>
          <w:rFonts w:asciiTheme="minorHAnsi" w:hAnsiTheme="minorHAnsi" w:cstheme="minorHAnsi"/>
        </w:rPr>
        <w:t>.</w:t>
      </w:r>
    </w:p>
  </w:footnote>
  <w:footnote w:id="54">
    <w:p w:rsidR="00614766" w:rsidRDefault="00614766" w:rsidP="00797CEF">
      <w:pPr>
        <w:pStyle w:val="FootnoteText"/>
      </w:pPr>
      <w:r w:rsidRPr="006E236C">
        <w:rPr>
          <w:rStyle w:val="FootnoteReference"/>
          <w:rFonts w:asciiTheme="minorHAnsi" w:hAnsiTheme="minorHAnsi"/>
        </w:rPr>
        <w:footnoteRef/>
      </w:r>
      <w:r w:rsidRPr="006E236C">
        <w:rPr>
          <w:rFonts w:asciiTheme="minorHAnsi" w:hAnsiTheme="minorHAnsi"/>
        </w:rPr>
        <w:t xml:space="preserve"> </w:t>
      </w:r>
      <w:r w:rsidRPr="00803E09">
        <w:rPr>
          <w:rFonts w:asciiTheme="minorHAnsi" w:hAnsiTheme="minorHAnsi" w:cstheme="minorHAnsi"/>
        </w:rPr>
        <w:t>DOFA</w:t>
      </w:r>
      <w:r>
        <w:rPr>
          <w:rFonts w:asciiTheme="minorHAnsi" w:hAnsiTheme="minorHAnsi" w:cstheme="minorHAnsi"/>
        </w:rPr>
        <w:t>,</w:t>
      </w:r>
      <w:r w:rsidRPr="00803E09">
        <w:rPr>
          <w:rFonts w:asciiTheme="minorHAnsi" w:hAnsiTheme="minorHAnsi" w:cstheme="minorHAnsi"/>
        </w:rPr>
        <w:t xml:space="preserve"> </w:t>
      </w:r>
      <w:r w:rsidRPr="00803E09">
        <w:rPr>
          <w:rFonts w:asciiTheme="minorHAnsi" w:hAnsiTheme="minorHAnsi" w:cstheme="minorHAnsi"/>
          <w:i/>
        </w:rPr>
        <w:t>Governance Arrangements for Australian Government Bodies</w:t>
      </w:r>
      <w:r w:rsidRPr="00803E09">
        <w:rPr>
          <w:rFonts w:asciiTheme="minorHAnsi" w:hAnsiTheme="minorHAnsi" w:cstheme="minorHAnsi"/>
        </w:rPr>
        <w:t>, August 2005, page 35</w:t>
      </w:r>
      <w:r>
        <w:rPr>
          <w:rFonts w:asciiTheme="minorHAnsi" w:hAnsiTheme="minorHAnsi" w:cstheme="minorHAnsi"/>
        </w:rPr>
        <w:t>.</w:t>
      </w:r>
    </w:p>
  </w:footnote>
  <w:footnote w:id="55">
    <w:p w:rsidR="00614766" w:rsidRDefault="00614766" w:rsidP="00797CEF">
      <w:pPr>
        <w:pStyle w:val="FootnoteText"/>
      </w:pPr>
      <w:r w:rsidRPr="006E236C">
        <w:rPr>
          <w:rStyle w:val="FootnoteReference"/>
          <w:rFonts w:asciiTheme="minorHAnsi" w:hAnsiTheme="minorHAnsi"/>
        </w:rPr>
        <w:footnoteRef/>
      </w:r>
      <w:r>
        <w:t xml:space="preserve"> </w:t>
      </w:r>
      <w:r w:rsidRPr="00803E09">
        <w:rPr>
          <w:rFonts w:asciiTheme="minorHAnsi" w:hAnsiTheme="minorHAnsi" w:cstheme="minorHAnsi"/>
        </w:rPr>
        <w:t xml:space="preserve">Uhrig, J. </w:t>
      </w:r>
      <w:r w:rsidRPr="00803E09">
        <w:rPr>
          <w:rFonts w:asciiTheme="minorHAnsi" w:hAnsiTheme="minorHAnsi" w:cstheme="minorHAnsi"/>
          <w:i/>
        </w:rPr>
        <w:t>Review of the Corporate Governance of Statutory Authorities and Office Holders</w:t>
      </w:r>
      <w:r w:rsidRPr="00803E09">
        <w:rPr>
          <w:rFonts w:asciiTheme="minorHAnsi" w:hAnsiTheme="minorHAnsi" w:cstheme="minorHAnsi"/>
        </w:rPr>
        <w:t>, 27 June 2003, page 34-35</w:t>
      </w:r>
      <w:r>
        <w:rPr>
          <w:rFonts w:asciiTheme="minorHAnsi" w:hAnsiTheme="minorHAnsi" w:cstheme="minorHAnsi"/>
        </w:rPr>
        <w:t>.</w:t>
      </w:r>
    </w:p>
  </w:footnote>
  <w:footnote w:id="56">
    <w:p w:rsidR="00614766" w:rsidRDefault="00614766" w:rsidP="00797CEF">
      <w:pPr>
        <w:pStyle w:val="FootnoteText"/>
      </w:pPr>
      <w:r w:rsidRPr="006E236C">
        <w:rPr>
          <w:rStyle w:val="FootnoteReference"/>
          <w:rFonts w:asciiTheme="minorHAnsi" w:hAnsiTheme="minorHAnsi"/>
        </w:rPr>
        <w:footnoteRef/>
      </w:r>
      <w:r w:rsidRPr="006E236C">
        <w:rPr>
          <w:rFonts w:asciiTheme="minorHAnsi" w:hAnsiTheme="minorHAnsi"/>
        </w:rPr>
        <w:t xml:space="preserve"> </w:t>
      </w:r>
      <w:r w:rsidRPr="00803E09">
        <w:rPr>
          <w:rFonts w:asciiTheme="minorHAnsi" w:hAnsiTheme="minorHAnsi" w:cstheme="minorHAnsi"/>
        </w:rPr>
        <w:t>DOFA</w:t>
      </w:r>
      <w:r>
        <w:rPr>
          <w:rFonts w:asciiTheme="minorHAnsi" w:hAnsiTheme="minorHAnsi" w:cstheme="minorHAnsi"/>
        </w:rPr>
        <w:t>,</w:t>
      </w:r>
      <w:r w:rsidRPr="00803E09">
        <w:rPr>
          <w:rFonts w:asciiTheme="minorHAnsi" w:hAnsiTheme="minorHAnsi" w:cstheme="minorHAnsi"/>
        </w:rPr>
        <w:t xml:space="preserve"> </w:t>
      </w:r>
      <w:r w:rsidRPr="00803E09">
        <w:rPr>
          <w:rFonts w:asciiTheme="minorHAnsi" w:hAnsiTheme="minorHAnsi" w:cstheme="minorHAnsi"/>
          <w:i/>
        </w:rPr>
        <w:t>Governance Arrangements for Australian Government Bodies</w:t>
      </w:r>
      <w:r w:rsidRPr="00803E09">
        <w:rPr>
          <w:rFonts w:asciiTheme="minorHAnsi" w:hAnsiTheme="minorHAnsi" w:cstheme="minorHAnsi"/>
        </w:rPr>
        <w:t>, August 2005, page 35</w:t>
      </w:r>
      <w:r>
        <w:rPr>
          <w:rFonts w:asciiTheme="minorHAnsi" w:hAnsiTheme="minorHAnsi" w:cstheme="minorHAnsi"/>
        </w:rPr>
        <w:t>.</w:t>
      </w:r>
    </w:p>
  </w:footnote>
  <w:footnote w:id="57">
    <w:p w:rsidR="00614766" w:rsidRDefault="00614766" w:rsidP="00797CEF">
      <w:pPr>
        <w:pStyle w:val="FootnoteText"/>
      </w:pPr>
      <w:r w:rsidRPr="006E236C">
        <w:rPr>
          <w:rStyle w:val="FootnoteReference"/>
          <w:rFonts w:asciiTheme="minorHAnsi" w:hAnsiTheme="minorHAnsi"/>
        </w:rPr>
        <w:footnoteRef/>
      </w:r>
      <w:r w:rsidRPr="006E236C">
        <w:rPr>
          <w:rFonts w:asciiTheme="minorHAnsi" w:hAnsiTheme="minorHAnsi"/>
        </w:rPr>
        <w:t xml:space="preserve"> </w:t>
      </w:r>
      <w:r w:rsidRPr="00803E09">
        <w:rPr>
          <w:rFonts w:asciiTheme="minorHAnsi" w:hAnsiTheme="minorHAnsi" w:cstheme="minorHAnsi"/>
          <w:i/>
        </w:rPr>
        <w:t>Ibid</w:t>
      </w:r>
      <w:r>
        <w:rPr>
          <w:rFonts w:asciiTheme="minorHAnsi" w:hAnsiTheme="minorHAnsi" w:cstheme="minorHAnsi"/>
          <w:i/>
        </w:rPr>
        <w:t>.</w:t>
      </w:r>
    </w:p>
  </w:footnote>
  <w:footnote w:id="58">
    <w:p w:rsidR="00614766" w:rsidRDefault="00614766" w:rsidP="00797CEF">
      <w:pPr>
        <w:pStyle w:val="FootnoteText"/>
      </w:pPr>
      <w:r w:rsidRPr="006E236C">
        <w:rPr>
          <w:rStyle w:val="FootnoteReference"/>
          <w:rFonts w:asciiTheme="minorHAnsi" w:hAnsiTheme="minorHAnsi"/>
        </w:rPr>
        <w:footnoteRef/>
      </w:r>
      <w:r>
        <w:t xml:space="preserve"> </w:t>
      </w:r>
      <w:r w:rsidRPr="00803E09">
        <w:rPr>
          <w:rFonts w:asciiTheme="minorHAnsi" w:hAnsiTheme="minorHAnsi" w:cstheme="minorHAnsi"/>
        </w:rPr>
        <w:t xml:space="preserve">Uhrig, J. </w:t>
      </w:r>
      <w:r w:rsidRPr="00803E09">
        <w:rPr>
          <w:rFonts w:asciiTheme="minorHAnsi" w:hAnsiTheme="minorHAnsi" w:cstheme="minorHAnsi"/>
          <w:i/>
        </w:rPr>
        <w:t>Review of the Corporate Governance of Statutory Authorities and Office Holders</w:t>
      </w:r>
      <w:r w:rsidRPr="00803E09">
        <w:rPr>
          <w:rFonts w:asciiTheme="minorHAnsi" w:hAnsiTheme="minorHAnsi" w:cstheme="minorHAnsi"/>
        </w:rPr>
        <w:t>, 27 June 2003, page 12</w:t>
      </w:r>
      <w:r>
        <w:rPr>
          <w:rFonts w:asciiTheme="minorHAnsi" w:hAnsiTheme="minorHAnsi" w:cstheme="minorHAnsi"/>
        </w:rPr>
        <w:t>.</w:t>
      </w:r>
    </w:p>
  </w:footnote>
  <w:footnote w:id="59">
    <w:p w:rsidR="00614766" w:rsidRDefault="00614766" w:rsidP="00797CEF">
      <w:pPr>
        <w:pStyle w:val="FootnoteText"/>
      </w:pPr>
      <w:r w:rsidRPr="006E236C">
        <w:rPr>
          <w:rStyle w:val="FootnoteReference"/>
          <w:rFonts w:asciiTheme="minorHAnsi" w:hAnsiTheme="minorHAnsi"/>
        </w:rPr>
        <w:footnoteRef/>
      </w:r>
      <w:r w:rsidRPr="006E236C">
        <w:rPr>
          <w:rFonts w:asciiTheme="minorHAnsi" w:hAnsiTheme="minorHAnsi"/>
        </w:rPr>
        <w:t xml:space="preserve"> </w:t>
      </w:r>
      <w:r w:rsidRPr="00803E09">
        <w:rPr>
          <w:rFonts w:asciiTheme="minorHAnsi" w:hAnsiTheme="minorHAnsi" w:cstheme="minorHAnsi"/>
        </w:rPr>
        <w:t>DOFA</w:t>
      </w:r>
      <w:r>
        <w:rPr>
          <w:rFonts w:asciiTheme="minorHAnsi" w:hAnsiTheme="minorHAnsi" w:cstheme="minorHAnsi"/>
        </w:rPr>
        <w:t>,</w:t>
      </w:r>
      <w:r w:rsidRPr="00803E09">
        <w:rPr>
          <w:rFonts w:asciiTheme="minorHAnsi" w:hAnsiTheme="minorHAnsi" w:cstheme="minorHAnsi"/>
        </w:rPr>
        <w:t xml:space="preserve"> </w:t>
      </w:r>
      <w:r w:rsidRPr="00803E09">
        <w:rPr>
          <w:rFonts w:asciiTheme="minorHAnsi" w:hAnsiTheme="minorHAnsi" w:cstheme="minorHAnsi"/>
          <w:i/>
        </w:rPr>
        <w:t>Governance Arrangements for Australian Government Bodies</w:t>
      </w:r>
      <w:r w:rsidRPr="00803E09">
        <w:rPr>
          <w:rFonts w:asciiTheme="minorHAnsi" w:hAnsiTheme="minorHAnsi" w:cstheme="minorHAnsi"/>
        </w:rPr>
        <w:t>, August 2005, page </w:t>
      </w:r>
      <w:r>
        <w:rPr>
          <w:rFonts w:asciiTheme="minorHAnsi" w:hAnsiTheme="minorHAnsi" w:cstheme="minorHAnsi"/>
        </w:rPr>
        <w:t>40.</w:t>
      </w:r>
    </w:p>
  </w:footnote>
  <w:footnote w:id="60">
    <w:p w:rsidR="00614766" w:rsidRDefault="00614766" w:rsidP="00797CEF">
      <w:pPr>
        <w:pStyle w:val="FootnoteText"/>
      </w:pPr>
      <w:r w:rsidRPr="006E236C">
        <w:rPr>
          <w:rStyle w:val="FootnoteReference"/>
          <w:rFonts w:asciiTheme="minorHAnsi" w:hAnsiTheme="minorHAnsi"/>
        </w:rPr>
        <w:footnoteRef/>
      </w:r>
      <w:r w:rsidRPr="006E236C">
        <w:rPr>
          <w:rFonts w:asciiTheme="minorHAnsi" w:hAnsiTheme="minorHAnsi"/>
        </w:rPr>
        <w:t xml:space="preserve"> </w:t>
      </w:r>
      <w:r>
        <w:rPr>
          <w:rFonts w:asciiTheme="minorHAnsi" w:hAnsiTheme="minorHAnsi" w:cstheme="minorHAnsi"/>
        </w:rPr>
        <w:t>Ibid</w:t>
      </w:r>
      <w:r w:rsidRPr="00803E09">
        <w:rPr>
          <w:rFonts w:asciiTheme="minorHAnsi" w:hAnsiTheme="minorHAnsi" w:cstheme="minorHAnsi"/>
        </w:rPr>
        <w:t>, page 38</w:t>
      </w:r>
      <w:r>
        <w:rPr>
          <w:rFonts w:asciiTheme="minorHAnsi" w:hAnsiTheme="minorHAnsi" w:cstheme="minorHAnsi"/>
        </w:rPr>
        <w:t>.</w:t>
      </w:r>
    </w:p>
  </w:footnote>
  <w:footnote w:id="61">
    <w:p w:rsidR="00614766" w:rsidRDefault="00614766" w:rsidP="00797CEF">
      <w:pPr>
        <w:pStyle w:val="FootnoteText"/>
      </w:pPr>
      <w:r w:rsidRPr="006E236C">
        <w:rPr>
          <w:rStyle w:val="FootnoteReference"/>
          <w:rFonts w:asciiTheme="minorHAnsi" w:hAnsiTheme="minorHAnsi"/>
        </w:rPr>
        <w:footnoteRef/>
      </w:r>
      <w:r>
        <w:t xml:space="preserve"> </w:t>
      </w:r>
      <w:r>
        <w:rPr>
          <w:rFonts w:asciiTheme="minorHAnsi" w:hAnsiTheme="minorHAnsi" w:cstheme="minorHAnsi"/>
        </w:rPr>
        <w:t>Ibid</w:t>
      </w:r>
      <w:r w:rsidRPr="00803E09">
        <w:rPr>
          <w:rFonts w:asciiTheme="minorHAnsi" w:hAnsiTheme="minorHAnsi" w:cstheme="minorHAnsi"/>
        </w:rPr>
        <w:t>, page 38</w:t>
      </w:r>
      <w:r>
        <w:rPr>
          <w:rFonts w:asciiTheme="minorHAnsi" w:hAnsiTheme="minorHAnsi" w:cstheme="minorHAnsi"/>
        </w:rPr>
        <w:t>.</w:t>
      </w:r>
    </w:p>
  </w:footnote>
  <w:footnote w:id="62">
    <w:p w:rsidR="00614766" w:rsidRDefault="00614766" w:rsidP="00797CEF">
      <w:pPr>
        <w:pStyle w:val="FootnoteText"/>
      </w:pPr>
      <w:r w:rsidRPr="006E236C">
        <w:rPr>
          <w:rStyle w:val="FootnoteReference"/>
          <w:rFonts w:asciiTheme="minorHAnsi" w:hAnsiTheme="minorHAnsi"/>
        </w:rPr>
        <w:footnoteRef/>
      </w:r>
      <w:r w:rsidRPr="006E236C">
        <w:rPr>
          <w:rFonts w:asciiTheme="minorHAnsi" w:hAnsiTheme="minorHAnsi"/>
        </w:rPr>
        <w:t xml:space="preserve"> </w:t>
      </w:r>
      <w:r>
        <w:rPr>
          <w:rFonts w:asciiTheme="minorHAnsi" w:hAnsiTheme="minorHAnsi" w:cstheme="minorHAnsi"/>
        </w:rPr>
        <w:t>Ibid</w:t>
      </w:r>
      <w:r w:rsidRPr="00EA4F8A">
        <w:rPr>
          <w:rFonts w:asciiTheme="minorHAnsi" w:hAnsiTheme="minorHAnsi" w:cstheme="minorHAnsi"/>
        </w:rPr>
        <w:t>, page 24</w:t>
      </w:r>
      <w:r>
        <w:rPr>
          <w:rFonts w:asciiTheme="minorHAnsi" w:hAnsiTheme="minorHAnsi" w:cstheme="minorHAnsi"/>
        </w:rPr>
        <w:t>.</w:t>
      </w:r>
    </w:p>
  </w:footnote>
  <w:footnote w:id="63">
    <w:p w:rsidR="00614766" w:rsidRDefault="00614766" w:rsidP="00797CEF">
      <w:pPr>
        <w:pStyle w:val="FootnoteText"/>
      </w:pPr>
      <w:r w:rsidRPr="006E236C">
        <w:rPr>
          <w:rStyle w:val="FootnoteReference"/>
          <w:rFonts w:asciiTheme="minorHAnsi" w:hAnsiTheme="minorHAnsi"/>
        </w:rPr>
        <w:footnoteRef/>
      </w:r>
      <w:r>
        <w:t xml:space="preserve"> </w:t>
      </w:r>
      <w:r w:rsidRPr="00EA4F8A">
        <w:rPr>
          <w:rFonts w:asciiTheme="minorHAnsi" w:hAnsiTheme="minorHAnsi" w:cstheme="minorHAnsi"/>
        </w:rPr>
        <w:t xml:space="preserve">DOFA, </w:t>
      </w:r>
      <w:r w:rsidRPr="00EA4F8A">
        <w:rPr>
          <w:rFonts w:asciiTheme="minorHAnsi" w:hAnsiTheme="minorHAnsi" w:cstheme="minorHAnsi"/>
          <w:i/>
        </w:rPr>
        <w:t xml:space="preserve">Is Less </w:t>
      </w:r>
      <w:proofErr w:type="gramStart"/>
      <w:r w:rsidRPr="00EA4F8A">
        <w:rPr>
          <w:rFonts w:asciiTheme="minorHAnsi" w:hAnsiTheme="minorHAnsi" w:cstheme="minorHAnsi"/>
          <w:i/>
        </w:rPr>
        <w:t>More</w:t>
      </w:r>
      <w:proofErr w:type="gramEnd"/>
      <w:r w:rsidRPr="00EA4F8A">
        <w:rPr>
          <w:rFonts w:asciiTheme="minorHAnsi" w:hAnsiTheme="minorHAnsi" w:cstheme="minorHAnsi"/>
          <w:i/>
        </w:rPr>
        <w:t>? Towards Better Commonwealth Performance</w:t>
      </w:r>
      <w:r w:rsidRPr="00EA4F8A">
        <w:rPr>
          <w:rFonts w:asciiTheme="minorHAnsi" w:hAnsiTheme="minorHAnsi" w:cstheme="minorHAnsi"/>
        </w:rPr>
        <w:t>, March 2012, page 30</w:t>
      </w:r>
      <w:r>
        <w:rPr>
          <w:rFonts w:asciiTheme="minorHAnsi" w:hAnsiTheme="minorHAnsi" w:cstheme="minorHAnsi"/>
        </w:rPr>
        <w:t>.</w:t>
      </w:r>
    </w:p>
  </w:footnote>
  <w:footnote w:id="64">
    <w:p w:rsidR="00614766" w:rsidRDefault="00614766" w:rsidP="00797CEF">
      <w:pPr>
        <w:pStyle w:val="FootnoteText"/>
      </w:pPr>
      <w:r w:rsidRPr="006E236C">
        <w:rPr>
          <w:rStyle w:val="FootnoteReference"/>
          <w:rFonts w:asciiTheme="minorHAnsi" w:hAnsiTheme="minorHAnsi"/>
        </w:rPr>
        <w:footnoteRef/>
      </w:r>
      <w:r w:rsidRPr="006E236C">
        <w:rPr>
          <w:rFonts w:asciiTheme="minorHAnsi" w:hAnsiTheme="minorHAnsi"/>
        </w:rPr>
        <w:t xml:space="preserve"> </w:t>
      </w:r>
      <w:r>
        <w:rPr>
          <w:rFonts w:asciiTheme="minorHAnsi" w:hAnsiTheme="minorHAnsi" w:cstheme="minorHAnsi"/>
        </w:rPr>
        <w:t>Ibid</w:t>
      </w:r>
      <w:r w:rsidRPr="00EA4F8A">
        <w:rPr>
          <w:rFonts w:asciiTheme="minorHAnsi" w:hAnsiTheme="minorHAnsi" w:cstheme="minorHAnsi"/>
        </w:rPr>
        <w:t>, page 30</w:t>
      </w:r>
      <w:r>
        <w:rPr>
          <w:rFonts w:asciiTheme="minorHAnsi" w:hAnsiTheme="minorHAnsi" w:cstheme="minorHAnsi"/>
        </w:rPr>
        <w:t>.</w:t>
      </w:r>
    </w:p>
  </w:footnote>
  <w:footnote w:id="65">
    <w:p w:rsidR="00614766" w:rsidRPr="00A55078" w:rsidRDefault="00614766" w:rsidP="00797CEF">
      <w:pPr>
        <w:pStyle w:val="FootnoteText"/>
        <w:rPr>
          <w:rFonts w:asciiTheme="minorHAnsi" w:hAnsiTheme="minorHAnsi" w:cstheme="minorHAnsi"/>
        </w:rPr>
      </w:pPr>
      <w:r w:rsidRPr="006E236C">
        <w:rPr>
          <w:rStyle w:val="FootnoteReference"/>
          <w:rFonts w:asciiTheme="minorHAnsi" w:hAnsiTheme="minorHAnsi"/>
        </w:rPr>
        <w:footnoteRef/>
      </w:r>
      <w:r w:rsidRPr="006E236C">
        <w:rPr>
          <w:rFonts w:asciiTheme="minorHAnsi" w:hAnsiTheme="minorHAnsi"/>
        </w:rPr>
        <w:t xml:space="preserve"> </w:t>
      </w:r>
      <w:r w:rsidRPr="006E236C">
        <w:rPr>
          <w:rFonts w:ascii="Calibri" w:hAnsi="Calibri" w:cs="Calibri"/>
        </w:rPr>
        <w:t>Ibid.</w:t>
      </w:r>
    </w:p>
  </w:footnote>
  <w:footnote w:id="66">
    <w:p w:rsidR="00614766" w:rsidRDefault="00614766" w:rsidP="00797CEF">
      <w:pPr>
        <w:pStyle w:val="FootnoteText"/>
      </w:pPr>
      <w:r w:rsidRPr="006E236C">
        <w:rPr>
          <w:rStyle w:val="FootnoteReference"/>
          <w:rFonts w:asciiTheme="minorHAnsi" w:hAnsiTheme="minorHAnsi"/>
        </w:rPr>
        <w:footnoteRef/>
      </w:r>
      <w:r w:rsidRPr="006E236C">
        <w:rPr>
          <w:rFonts w:asciiTheme="minorHAnsi" w:hAnsiTheme="minorHAnsi"/>
        </w:rPr>
        <w:t xml:space="preserve"> </w:t>
      </w:r>
      <w:r>
        <w:rPr>
          <w:rFonts w:asciiTheme="minorHAnsi" w:hAnsiTheme="minorHAnsi" w:cstheme="minorHAnsi"/>
        </w:rPr>
        <w:t>Ibid</w:t>
      </w:r>
      <w:r w:rsidRPr="00A55078">
        <w:rPr>
          <w:rFonts w:asciiTheme="minorHAnsi" w:hAnsiTheme="minorHAnsi" w:cstheme="minorHAnsi"/>
        </w:rPr>
        <w:t>, page 12, 22</w:t>
      </w:r>
      <w:r>
        <w:rPr>
          <w:rFonts w:asciiTheme="minorHAnsi" w:hAnsiTheme="minorHAnsi" w:cstheme="minorHAnsi"/>
        </w:rPr>
        <w:t>.</w:t>
      </w:r>
    </w:p>
  </w:footnote>
  <w:footnote w:id="67">
    <w:p w:rsidR="00614766" w:rsidRDefault="00614766" w:rsidP="00797CEF">
      <w:pPr>
        <w:pStyle w:val="FootnoteText"/>
      </w:pPr>
      <w:r w:rsidRPr="006E236C">
        <w:rPr>
          <w:rStyle w:val="FootnoteReference"/>
          <w:rFonts w:asciiTheme="minorHAnsi" w:hAnsiTheme="minorHAnsi"/>
        </w:rPr>
        <w:footnoteRef/>
      </w:r>
      <w:r w:rsidRPr="006E236C">
        <w:rPr>
          <w:rFonts w:asciiTheme="minorHAnsi" w:hAnsiTheme="minorHAnsi"/>
        </w:rPr>
        <w:t xml:space="preserve"> </w:t>
      </w:r>
      <w:r>
        <w:rPr>
          <w:rFonts w:asciiTheme="minorHAnsi" w:hAnsiTheme="minorHAnsi" w:cstheme="minorHAnsi"/>
        </w:rPr>
        <w:t>Ibid</w:t>
      </w:r>
      <w:r w:rsidRPr="00A55078">
        <w:rPr>
          <w:rFonts w:asciiTheme="minorHAnsi" w:hAnsiTheme="minorHAnsi" w:cstheme="minorHAnsi"/>
        </w:rPr>
        <w:t>, page 32</w:t>
      </w:r>
      <w:r>
        <w:rPr>
          <w:rFonts w:asciiTheme="minorHAnsi" w:hAnsiTheme="minorHAnsi" w:cstheme="minorHAnsi"/>
        </w:rPr>
        <w:t>.</w:t>
      </w:r>
    </w:p>
  </w:footnote>
  <w:footnote w:id="68">
    <w:p w:rsidR="00614766" w:rsidRDefault="00614766" w:rsidP="00797CEF">
      <w:pPr>
        <w:pStyle w:val="FootnoteText"/>
      </w:pPr>
      <w:r w:rsidRPr="006E236C">
        <w:rPr>
          <w:rStyle w:val="FootnoteReference"/>
          <w:rFonts w:asciiTheme="minorHAnsi" w:hAnsiTheme="minorHAnsi"/>
        </w:rPr>
        <w:footnoteRef/>
      </w:r>
      <w:r w:rsidRPr="006E236C">
        <w:rPr>
          <w:rFonts w:asciiTheme="minorHAnsi" w:hAnsiTheme="minorHAnsi"/>
        </w:rPr>
        <w:t xml:space="preserve"> </w:t>
      </w:r>
      <w:r>
        <w:rPr>
          <w:rFonts w:asciiTheme="minorHAnsi" w:hAnsiTheme="minorHAnsi" w:cstheme="minorHAnsi"/>
        </w:rPr>
        <w:t>Ibid</w:t>
      </w:r>
      <w:r w:rsidRPr="00A55078">
        <w:rPr>
          <w:rFonts w:asciiTheme="minorHAnsi" w:hAnsiTheme="minorHAnsi" w:cstheme="minorHAnsi"/>
        </w:rPr>
        <w:t>, page 21</w:t>
      </w:r>
      <w:r>
        <w:rPr>
          <w:rFonts w:asciiTheme="minorHAnsi" w:hAnsiTheme="minorHAnsi" w:cstheme="minorHAnsi"/>
        </w:rPr>
        <w:t>.</w:t>
      </w:r>
    </w:p>
  </w:footnote>
  <w:footnote w:id="69">
    <w:p w:rsidR="00614766" w:rsidRDefault="00614766" w:rsidP="00797CEF">
      <w:pPr>
        <w:pStyle w:val="FootnoteText"/>
      </w:pPr>
      <w:r w:rsidRPr="006E236C">
        <w:rPr>
          <w:rStyle w:val="FootnoteReference"/>
          <w:rFonts w:asciiTheme="minorHAnsi" w:eastAsiaTheme="majorEastAsia" w:hAnsiTheme="minorHAnsi"/>
        </w:rPr>
        <w:footnoteRef/>
      </w:r>
      <w:r w:rsidRPr="006E236C">
        <w:rPr>
          <w:rFonts w:asciiTheme="minorHAnsi" w:hAnsiTheme="minorHAnsi"/>
        </w:rPr>
        <w:t xml:space="preserve"> </w:t>
      </w:r>
      <w:r>
        <w:rPr>
          <w:rFonts w:asciiTheme="minorHAnsi" w:hAnsiTheme="minorHAnsi" w:cstheme="minorHAnsi"/>
        </w:rPr>
        <w:t>Ibid</w:t>
      </w:r>
      <w:r w:rsidRPr="006E236C">
        <w:rPr>
          <w:rFonts w:asciiTheme="minorHAnsi" w:hAnsiTheme="minorHAnsi" w:cstheme="minorHAnsi"/>
        </w:rPr>
        <w:t>, page 21</w:t>
      </w:r>
      <w:r>
        <w:rPr>
          <w:rFonts w:asciiTheme="minorHAnsi" w:hAnsiTheme="minorHAnsi" w:cstheme="minorHAnsi"/>
        </w:rPr>
        <w:t>.</w:t>
      </w:r>
    </w:p>
  </w:footnote>
  <w:footnote w:id="70">
    <w:p w:rsidR="00614766" w:rsidRDefault="00614766" w:rsidP="001C6EA1">
      <w:pPr>
        <w:pStyle w:val="FootnoteText"/>
      </w:pPr>
      <w:r w:rsidRPr="006E236C">
        <w:rPr>
          <w:rStyle w:val="FootnoteReference"/>
          <w:rFonts w:asciiTheme="minorHAnsi" w:hAnsiTheme="minorHAnsi"/>
        </w:rPr>
        <w:footnoteRef/>
      </w:r>
      <w:r w:rsidRPr="006E236C">
        <w:rPr>
          <w:rFonts w:asciiTheme="minorHAnsi" w:hAnsiTheme="minorHAnsi"/>
        </w:rPr>
        <w:t xml:space="preserve"> </w:t>
      </w:r>
      <w:r w:rsidRPr="00747CAD">
        <w:rPr>
          <w:rFonts w:asciiTheme="minorHAnsi" w:hAnsiTheme="minorHAnsi" w:cstheme="minorHAnsi"/>
        </w:rPr>
        <w:t xml:space="preserve">PricewaterhouseCoopers, </w:t>
      </w:r>
      <w:r w:rsidRPr="00747CAD">
        <w:rPr>
          <w:rFonts w:asciiTheme="minorHAnsi" w:hAnsiTheme="minorHAnsi" w:cstheme="minorHAnsi"/>
          <w:i/>
        </w:rPr>
        <w:t xml:space="preserve">Comcare Review of Financial Management Framework Final Report, </w:t>
      </w:r>
      <w:r w:rsidRPr="00747CAD">
        <w:rPr>
          <w:rFonts w:asciiTheme="minorHAnsi" w:hAnsiTheme="minorHAnsi" w:cstheme="minorHAnsi"/>
        </w:rPr>
        <w:t xml:space="preserve">23 August 2012, page </w:t>
      </w:r>
      <w:r>
        <w:rPr>
          <w:rFonts w:asciiTheme="minorHAnsi" w:hAnsiTheme="minorHAnsi" w:cstheme="minorHAnsi"/>
        </w:rPr>
        <w:t>27.</w:t>
      </w:r>
    </w:p>
  </w:footnote>
  <w:footnote w:id="71">
    <w:p w:rsidR="00614766" w:rsidRDefault="00614766" w:rsidP="000A3F6D">
      <w:pPr>
        <w:pStyle w:val="FootnoteText"/>
      </w:pPr>
      <w:r w:rsidRPr="006E236C">
        <w:rPr>
          <w:rStyle w:val="FootnoteReference"/>
          <w:rFonts w:asciiTheme="minorHAnsi" w:hAnsiTheme="minorHAnsi"/>
        </w:rPr>
        <w:footnoteRef/>
      </w:r>
      <w:r w:rsidRPr="006E236C">
        <w:rPr>
          <w:rFonts w:asciiTheme="minorHAnsi" w:hAnsiTheme="minorHAnsi"/>
        </w:rPr>
        <w:t xml:space="preserve"> </w:t>
      </w:r>
      <w:proofErr w:type="gramStart"/>
      <w:r w:rsidRPr="00747CAD">
        <w:rPr>
          <w:rFonts w:asciiTheme="minorHAnsi" w:hAnsiTheme="minorHAnsi" w:cstheme="minorHAnsi"/>
        </w:rPr>
        <w:t xml:space="preserve">Department of Treasury and Finance, </w:t>
      </w:r>
      <w:r w:rsidRPr="00747CAD">
        <w:rPr>
          <w:rFonts w:asciiTheme="minorHAnsi" w:hAnsiTheme="minorHAnsi" w:cstheme="minorHAnsi"/>
          <w:i/>
        </w:rPr>
        <w:t xml:space="preserve">Prudential insurance standards for Victorian Government insurance agencies, </w:t>
      </w:r>
      <w:r w:rsidRPr="00747CAD">
        <w:rPr>
          <w:rFonts w:asciiTheme="minorHAnsi" w:hAnsiTheme="minorHAnsi" w:cstheme="minorHAnsi"/>
        </w:rPr>
        <w:t>September 2010.</w:t>
      </w:r>
      <w:proofErr w:type="gramEnd"/>
    </w:p>
  </w:footnote>
  <w:footnote w:id="72">
    <w:p w:rsidR="00614766" w:rsidRDefault="00614766" w:rsidP="000A3F6D">
      <w:pPr>
        <w:pStyle w:val="FootnoteText"/>
      </w:pPr>
      <w:r w:rsidRPr="006E236C">
        <w:rPr>
          <w:rStyle w:val="FootnoteReference"/>
          <w:rFonts w:asciiTheme="minorHAnsi" w:hAnsiTheme="minorHAnsi"/>
        </w:rPr>
        <w:footnoteRef/>
      </w:r>
      <w:r w:rsidRPr="006E236C">
        <w:rPr>
          <w:rFonts w:asciiTheme="minorHAnsi" w:hAnsiTheme="minorHAnsi"/>
        </w:rPr>
        <w:t xml:space="preserve"> </w:t>
      </w:r>
      <w:r w:rsidRPr="00747CAD">
        <w:rPr>
          <w:rFonts w:asciiTheme="minorHAnsi" w:hAnsiTheme="minorHAnsi" w:cstheme="minorHAnsi"/>
          <w:i/>
        </w:rPr>
        <w:t>Discussion Paper: Prudential Management Policy for Comcare’s Compensation Liabilities</w:t>
      </w:r>
      <w:r>
        <w:rPr>
          <w:rFonts w:asciiTheme="minorHAnsi" w:hAnsiTheme="minorHAnsi" w:cstheme="minorHAnsi"/>
          <w:i/>
        </w:rPr>
        <w:t>.</w:t>
      </w:r>
    </w:p>
  </w:footnote>
  <w:footnote w:id="73">
    <w:p w:rsidR="00614766" w:rsidRDefault="00614766" w:rsidP="000A3F6D">
      <w:pPr>
        <w:pStyle w:val="FootnoteText"/>
      </w:pPr>
      <w:r w:rsidRPr="006E236C">
        <w:rPr>
          <w:rStyle w:val="FootnoteReference"/>
          <w:rFonts w:asciiTheme="minorHAnsi" w:hAnsiTheme="minorHAnsi"/>
        </w:rPr>
        <w:footnoteRef/>
      </w:r>
      <w:r w:rsidRPr="006E236C">
        <w:rPr>
          <w:rFonts w:asciiTheme="minorHAnsi" w:hAnsiTheme="minorHAnsi"/>
        </w:rPr>
        <w:t xml:space="preserve"> </w:t>
      </w:r>
      <w:r w:rsidRPr="006E236C">
        <w:rPr>
          <w:rFonts w:ascii="Calibri" w:hAnsi="Calibri" w:cs="Calibri"/>
        </w:rPr>
        <w:t>Ibid</w:t>
      </w:r>
      <w:r>
        <w:rPr>
          <w:rFonts w:ascii="Calibri" w:hAnsi="Calibri" w:cs="Calibri"/>
          <w:i/>
        </w:rPr>
        <w:t>.</w:t>
      </w:r>
    </w:p>
  </w:footnote>
  <w:footnote w:id="74">
    <w:p w:rsidR="00614766" w:rsidRDefault="00614766" w:rsidP="000A3F6D">
      <w:pPr>
        <w:pStyle w:val="FootnoteText"/>
      </w:pPr>
      <w:r w:rsidRPr="006E236C">
        <w:rPr>
          <w:rStyle w:val="FootnoteReference"/>
          <w:rFonts w:asciiTheme="minorHAnsi" w:hAnsiTheme="minorHAnsi"/>
        </w:rPr>
        <w:footnoteRef/>
      </w:r>
      <w:r w:rsidRPr="006E236C">
        <w:rPr>
          <w:rFonts w:asciiTheme="minorHAnsi" w:hAnsiTheme="minorHAnsi"/>
        </w:rPr>
        <w:t xml:space="preserve"> </w:t>
      </w:r>
      <w:r>
        <w:rPr>
          <w:rFonts w:asciiTheme="minorHAnsi" w:hAnsiTheme="minorHAnsi" w:cstheme="minorHAnsi"/>
        </w:rPr>
        <w:t>Ibid</w:t>
      </w:r>
      <w:r>
        <w:rPr>
          <w:rFonts w:asciiTheme="minorHAnsi" w:hAnsiTheme="minorHAnsi" w:cstheme="minorHAnsi"/>
          <w:i/>
        </w:rPr>
        <w:t>.</w:t>
      </w:r>
    </w:p>
  </w:footnote>
  <w:footnote w:id="75">
    <w:p w:rsidR="00614766" w:rsidRDefault="00614766" w:rsidP="000A3F6D">
      <w:pPr>
        <w:pStyle w:val="FootnoteText"/>
      </w:pPr>
      <w:r w:rsidRPr="006E236C">
        <w:rPr>
          <w:rStyle w:val="FootnoteReference"/>
          <w:rFonts w:asciiTheme="minorHAnsi" w:hAnsiTheme="minorHAnsi"/>
        </w:rPr>
        <w:footnoteRef/>
      </w:r>
      <w:r w:rsidRPr="006E236C">
        <w:rPr>
          <w:rFonts w:asciiTheme="minorHAnsi" w:hAnsiTheme="minorHAnsi"/>
        </w:rPr>
        <w:t xml:space="preserve"> </w:t>
      </w:r>
      <w:r w:rsidRPr="00747CAD">
        <w:rPr>
          <w:rFonts w:asciiTheme="minorHAnsi" w:hAnsiTheme="minorHAnsi" w:cstheme="minorHAnsi"/>
        </w:rPr>
        <w:t xml:space="preserve">APRA </w:t>
      </w:r>
      <w:r w:rsidRPr="00747CAD">
        <w:rPr>
          <w:rFonts w:asciiTheme="minorHAnsi" w:hAnsiTheme="minorHAnsi" w:cstheme="minorHAnsi"/>
          <w:i/>
        </w:rPr>
        <w:t>Prudential Pr</w:t>
      </w:r>
      <w:r>
        <w:rPr>
          <w:rFonts w:asciiTheme="minorHAnsi" w:hAnsiTheme="minorHAnsi" w:cstheme="minorHAnsi"/>
          <w:i/>
        </w:rPr>
        <w:t>act</w:t>
      </w:r>
      <w:r w:rsidRPr="00747CAD">
        <w:rPr>
          <w:rFonts w:asciiTheme="minorHAnsi" w:hAnsiTheme="minorHAnsi" w:cstheme="minorHAnsi"/>
          <w:i/>
        </w:rPr>
        <w:t>ice Guide GPG 110 Capital Adequacy: Capital Management</w:t>
      </w:r>
      <w:r w:rsidRPr="00747CAD">
        <w:rPr>
          <w:rFonts w:asciiTheme="minorHAnsi" w:hAnsiTheme="minorHAnsi" w:cstheme="minorHAnsi"/>
        </w:rPr>
        <w:t>, July 2008</w:t>
      </w:r>
      <w:r>
        <w:rPr>
          <w:rFonts w:asciiTheme="minorHAnsi" w:hAnsiTheme="minorHAnsi" w:cstheme="minorHAnsi"/>
        </w:rPr>
        <w:t>.</w:t>
      </w:r>
    </w:p>
  </w:footnote>
  <w:footnote w:id="76">
    <w:p w:rsidR="00614766" w:rsidRDefault="00614766" w:rsidP="000A3F6D">
      <w:pPr>
        <w:pStyle w:val="FootnoteText"/>
      </w:pPr>
      <w:r w:rsidRPr="006E236C">
        <w:rPr>
          <w:rStyle w:val="FootnoteReference"/>
          <w:rFonts w:asciiTheme="minorHAnsi" w:hAnsiTheme="minorHAnsi"/>
        </w:rPr>
        <w:footnoteRef/>
      </w:r>
      <w:r w:rsidRPr="006E236C">
        <w:rPr>
          <w:rFonts w:asciiTheme="minorHAnsi" w:hAnsiTheme="minorHAnsi"/>
        </w:rPr>
        <w:t xml:space="preserve"> </w:t>
      </w:r>
      <w:r w:rsidRPr="00747CAD">
        <w:rPr>
          <w:rFonts w:asciiTheme="minorHAnsi" w:hAnsiTheme="minorHAnsi" w:cstheme="minorHAnsi"/>
          <w:i/>
        </w:rPr>
        <w:t>Discussion Paper: Prudential Management Policy for Comcare’s Compensation Liabilities</w:t>
      </w:r>
      <w:r>
        <w:rPr>
          <w:rFonts w:asciiTheme="minorHAnsi" w:hAnsiTheme="minorHAnsi" w:cstheme="minorHAnsi"/>
          <w:i/>
        </w:rPr>
        <w:t>.</w:t>
      </w:r>
    </w:p>
  </w:footnote>
  <w:footnote w:id="77">
    <w:p w:rsidR="00614766" w:rsidRDefault="00614766" w:rsidP="000A3F6D">
      <w:pPr>
        <w:pStyle w:val="FootnoteText"/>
      </w:pPr>
      <w:r w:rsidRPr="006E236C">
        <w:rPr>
          <w:rStyle w:val="FootnoteReference"/>
          <w:rFonts w:asciiTheme="minorHAnsi" w:hAnsiTheme="minorHAnsi"/>
        </w:rPr>
        <w:footnoteRef/>
      </w:r>
      <w:r w:rsidRPr="006E236C">
        <w:rPr>
          <w:rFonts w:asciiTheme="minorHAnsi" w:hAnsiTheme="minorHAnsi"/>
        </w:rPr>
        <w:t xml:space="preserve"> </w:t>
      </w:r>
      <w:proofErr w:type="gramStart"/>
      <w:r w:rsidRPr="00747CAD">
        <w:rPr>
          <w:rFonts w:asciiTheme="minorHAnsi" w:hAnsiTheme="minorHAnsi" w:cstheme="minorHAnsi"/>
        </w:rPr>
        <w:t xml:space="preserve">Comcare Minute </w:t>
      </w:r>
      <w:r w:rsidRPr="00747CAD">
        <w:rPr>
          <w:rFonts w:asciiTheme="minorHAnsi" w:hAnsiTheme="minorHAnsi" w:cstheme="minorHAnsi"/>
          <w:i/>
        </w:rPr>
        <w:t>Framework for Setting 2012-13 Premiums</w:t>
      </w:r>
      <w:r>
        <w:rPr>
          <w:rFonts w:asciiTheme="minorHAnsi" w:hAnsiTheme="minorHAnsi" w:cstheme="minorHAnsi"/>
          <w:i/>
        </w:rPr>
        <w:t>.</w:t>
      </w:r>
      <w:proofErr w:type="gramEnd"/>
    </w:p>
  </w:footnote>
  <w:footnote w:id="78">
    <w:p w:rsidR="00614766" w:rsidRDefault="00614766" w:rsidP="000A3F6D">
      <w:pPr>
        <w:pStyle w:val="FootnoteText"/>
      </w:pPr>
      <w:r w:rsidRPr="006E236C">
        <w:rPr>
          <w:rStyle w:val="FootnoteReference"/>
          <w:rFonts w:asciiTheme="minorHAnsi" w:hAnsiTheme="minorHAnsi"/>
        </w:rPr>
        <w:footnoteRef/>
      </w:r>
      <w:r w:rsidRPr="006E236C">
        <w:rPr>
          <w:rFonts w:asciiTheme="minorHAnsi" w:hAnsiTheme="minorHAnsi"/>
        </w:rPr>
        <w:t xml:space="preserve"> </w:t>
      </w:r>
      <w:r w:rsidRPr="00747CAD">
        <w:rPr>
          <w:rFonts w:asciiTheme="minorHAnsi" w:hAnsiTheme="minorHAnsi" w:cstheme="minorHAnsi"/>
        </w:rPr>
        <w:t xml:space="preserve">PricewaterhouseCoopers, </w:t>
      </w:r>
      <w:r w:rsidRPr="00747CAD">
        <w:rPr>
          <w:rFonts w:asciiTheme="minorHAnsi" w:hAnsiTheme="minorHAnsi" w:cstheme="minorHAnsi"/>
          <w:i/>
        </w:rPr>
        <w:t xml:space="preserve">Comcare Review of Financial Management Framework Final Report, </w:t>
      </w:r>
      <w:r w:rsidRPr="00747CAD">
        <w:rPr>
          <w:rFonts w:asciiTheme="minorHAnsi" w:hAnsiTheme="minorHAnsi" w:cstheme="minorHAnsi"/>
        </w:rPr>
        <w:t>23 August 2012, page 17.</w:t>
      </w:r>
    </w:p>
  </w:footnote>
  <w:footnote w:id="79">
    <w:p w:rsidR="00614766" w:rsidRDefault="00614766" w:rsidP="000A3F6D">
      <w:pPr>
        <w:pStyle w:val="FootnoteText"/>
      </w:pPr>
      <w:r w:rsidRPr="006E236C">
        <w:rPr>
          <w:rStyle w:val="FootnoteReference"/>
          <w:rFonts w:asciiTheme="minorHAnsi" w:hAnsiTheme="minorHAnsi"/>
        </w:rPr>
        <w:footnoteRef/>
      </w:r>
      <w:r w:rsidRPr="006E236C">
        <w:rPr>
          <w:rFonts w:asciiTheme="minorHAnsi" w:hAnsiTheme="minorHAnsi"/>
        </w:rPr>
        <w:t xml:space="preserve"> </w:t>
      </w:r>
      <w:r w:rsidRPr="00747CAD">
        <w:rPr>
          <w:rFonts w:asciiTheme="minorHAnsi" w:hAnsiTheme="minorHAnsi" w:cstheme="minorHAnsi"/>
          <w:i/>
        </w:rPr>
        <w:t>Discussion Paper: Prudential Management Policy for Comcare’s Compensation Liabilities</w:t>
      </w:r>
      <w:r>
        <w:rPr>
          <w:rFonts w:asciiTheme="minorHAnsi" w:hAnsiTheme="minorHAnsi" w:cstheme="minorHAnsi"/>
          <w:i/>
        </w:rPr>
        <w:t>.</w:t>
      </w:r>
    </w:p>
  </w:footnote>
  <w:footnote w:id="80">
    <w:p w:rsidR="00614766" w:rsidRPr="00794C5F" w:rsidRDefault="00614766" w:rsidP="000A3F6D">
      <w:pPr>
        <w:pStyle w:val="FootnoteText"/>
        <w:rPr>
          <w:i/>
        </w:rPr>
      </w:pPr>
      <w:r w:rsidRPr="006E236C">
        <w:rPr>
          <w:rStyle w:val="FootnoteReference"/>
          <w:rFonts w:asciiTheme="minorHAnsi" w:hAnsiTheme="minorHAnsi"/>
        </w:rPr>
        <w:footnoteRef/>
      </w:r>
      <w:r w:rsidRPr="006E236C">
        <w:rPr>
          <w:rFonts w:asciiTheme="minorHAnsi" w:hAnsiTheme="minorHAnsi"/>
        </w:rPr>
        <w:t xml:space="preserve"> </w:t>
      </w:r>
      <w:r>
        <w:rPr>
          <w:rFonts w:ascii="Calibri" w:hAnsi="Calibri" w:cs="Calibri"/>
        </w:rPr>
        <w:t>I</w:t>
      </w:r>
      <w:r w:rsidRPr="006E236C">
        <w:rPr>
          <w:rFonts w:ascii="Calibri" w:hAnsi="Calibri" w:cs="Calibri"/>
        </w:rPr>
        <w:t>bid</w:t>
      </w:r>
      <w:r>
        <w:rPr>
          <w:rFonts w:ascii="Calibri" w:hAnsi="Calibri" w:cs="Calibri"/>
        </w:rPr>
        <w:t>.</w:t>
      </w:r>
    </w:p>
  </w:footnote>
  <w:footnote w:id="81">
    <w:p w:rsidR="00614766" w:rsidRDefault="00614766" w:rsidP="000A3F6D">
      <w:pPr>
        <w:pStyle w:val="FootnoteText"/>
      </w:pPr>
      <w:r w:rsidRPr="006E236C">
        <w:rPr>
          <w:rStyle w:val="FootnoteReference"/>
          <w:rFonts w:asciiTheme="minorHAnsi" w:hAnsiTheme="minorHAnsi"/>
        </w:rPr>
        <w:footnoteRef/>
      </w:r>
      <w:r w:rsidRPr="006E236C">
        <w:rPr>
          <w:rFonts w:asciiTheme="minorHAnsi" w:hAnsiTheme="minorHAnsi"/>
        </w:rPr>
        <w:t xml:space="preserve"> </w:t>
      </w:r>
      <w:r w:rsidRPr="00747CAD">
        <w:rPr>
          <w:rFonts w:asciiTheme="minorHAnsi" w:hAnsiTheme="minorHAnsi" w:cstheme="minorHAnsi"/>
        </w:rPr>
        <w:t xml:space="preserve">PricewaterhouseCoopers, </w:t>
      </w:r>
      <w:r w:rsidRPr="00747CAD">
        <w:rPr>
          <w:rFonts w:asciiTheme="minorHAnsi" w:hAnsiTheme="minorHAnsi" w:cstheme="minorHAnsi"/>
          <w:i/>
        </w:rPr>
        <w:t xml:space="preserve">Comcare Review of Financial Management Framework Final Report, </w:t>
      </w:r>
      <w:r w:rsidRPr="00747CAD">
        <w:rPr>
          <w:rFonts w:asciiTheme="minorHAnsi" w:hAnsiTheme="minorHAnsi" w:cstheme="minorHAnsi"/>
        </w:rPr>
        <w:t>23 August 2012, page 17</w:t>
      </w:r>
      <w:r>
        <w:rPr>
          <w:rFonts w:asciiTheme="minorHAnsi" w:hAnsiTheme="minorHAnsi" w:cstheme="minorHAnsi"/>
        </w:rPr>
        <w:t>.</w:t>
      </w:r>
    </w:p>
  </w:footnote>
  <w:footnote w:id="82">
    <w:p w:rsidR="00614766" w:rsidRDefault="00614766" w:rsidP="006315DC">
      <w:pPr>
        <w:pStyle w:val="FootnoteText"/>
      </w:pPr>
      <w:r w:rsidRPr="006E236C">
        <w:rPr>
          <w:rStyle w:val="FootnoteReference"/>
          <w:rFonts w:asciiTheme="minorHAnsi" w:hAnsiTheme="minorHAnsi"/>
        </w:rPr>
        <w:footnoteRef/>
      </w:r>
      <w:r w:rsidRPr="006E236C">
        <w:rPr>
          <w:rFonts w:asciiTheme="minorHAnsi" w:hAnsiTheme="minorHAnsi"/>
        </w:rPr>
        <w:t xml:space="preserve"> </w:t>
      </w:r>
      <w:r>
        <w:rPr>
          <w:rFonts w:asciiTheme="minorHAnsi" w:hAnsiTheme="minorHAnsi" w:cstheme="minorHAnsi"/>
        </w:rPr>
        <w:t>Ibid</w:t>
      </w:r>
      <w:r w:rsidRPr="006D108D">
        <w:rPr>
          <w:rFonts w:asciiTheme="minorHAnsi" w:hAnsiTheme="minorHAnsi" w:cstheme="minorHAnsi"/>
        </w:rPr>
        <w:t>, page 26</w:t>
      </w:r>
      <w:r>
        <w:rPr>
          <w:rFonts w:asciiTheme="minorHAnsi" w:hAnsiTheme="minorHAnsi" w:cstheme="minorHAnsi"/>
        </w:rPr>
        <w:t>.</w:t>
      </w:r>
    </w:p>
  </w:footnote>
  <w:footnote w:id="83">
    <w:p w:rsidR="00614766" w:rsidRDefault="00614766" w:rsidP="000A3F6D">
      <w:pPr>
        <w:pStyle w:val="FootnoteText"/>
      </w:pPr>
      <w:r w:rsidRPr="006E236C">
        <w:rPr>
          <w:rStyle w:val="FootnoteReference"/>
          <w:rFonts w:asciiTheme="minorHAnsi" w:hAnsiTheme="minorHAnsi"/>
        </w:rPr>
        <w:footnoteRef/>
      </w:r>
      <w:r w:rsidRPr="006E236C">
        <w:rPr>
          <w:rFonts w:asciiTheme="minorHAnsi" w:hAnsiTheme="minorHAnsi"/>
        </w:rPr>
        <w:t xml:space="preserve"> </w:t>
      </w:r>
      <w:r w:rsidRPr="007F75BB">
        <w:rPr>
          <w:rFonts w:asciiTheme="minorHAnsi" w:hAnsiTheme="minorHAnsi" w:cstheme="minorHAnsi"/>
          <w:i/>
        </w:rPr>
        <w:t>Discussion Paper: Prudential Management Policy for Comcare’s Compensation Liabilities</w:t>
      </w:r>
      <w:r>
        <w:rPr>
          <w:rFonts w:asciiTheme="minorHAnsi" w:hAnsiTheme="minorHAnsi" w:cstheme="minorHAnsi"/>
          <w:i/>
        </w:rPr>
        <w:t>.</w:t>
      </w:r>
    </w:p>
  </w:footnote>
  <w:footnote w:id="84">
    <w:p w:rsidR="00614766" w:rsidRDefault="00614766" w:rsidP="000A3F6D">
      <w:pPr>
        <w:pStyle w:val="FootnoteText"/>
      </w:pPr>
      <w:r w:rsidRPr="006E236C">
        <w:rPr>
          <w:rStyle w:val="FootnoteReference"/>
          <w:rFonts w:asciiTheme="minorHAnsi" w:hAnsiTheme="minorHAnsi"/>
        </w:rPr>
        <w:footnoteRef/>
      </w:r>
      <w:r w:rsidRPr="006E236C">
        <w:rPr>
          <w:rFonts w:asciiTheme="minorHAnsi" w:hAnsiTheme="minorHAnsi"/>
        </w:rPr>
        <w:t xml:space="preserve"> </w:t>
      </w:r>
      <w:r w:rsidRPr="006E236C">
        <w:rPr>
          <w:rFonts w:ascii="Calibri" w:hAnsi="Calibri" w:cs="Calibri"/>
        </w:rPr>
        <w:t>Ibid</w:t>
      </w:r>
      <w:r>
        <w:rPr>
          <w:rFonts w:ascii="Calibri" w:hAnsi="Calibri" w:cs="Calibri"/>
        </w:rPr>
        <w:t>.</w:t>
      </w:r>
    </w:p>
  </w:footnote>
  <w:footnote w:id="85">
    <w:p w:rsidR="00614766" w:rsidRDefault="00614766" w:rsidP="000A3F6D">
      <w:pPr>
        <w:pStyle w:val="FootnoteText"/>
      </w:pPr>
      <w:r w:rsidRPr="006E236C">
        <w:rPr>
          <w:rStyle w:val="FootnoteReference"/>
          <w:rFonts w:asciiTheme="minorHAnsi" w:hAnsiTheme="minorHAnsi"/>
        </w:rPr>
        <w:footnoteRef/>
      </w:r>
      <w:r w:rsidRPr="006E236C">
        <w:rPr>
          <w:rFonts w:asciiTheme="minorHAnsi" w:hAnsiTheme="minorHAnsi"/>
        </w:rPr>
        <w:t xml:space="preserve"> </w:t>
      </w:r>
      <w:r>
        <w:rPr>
          <w:rFonts w:asciiTheme="minorHAnsi" w:hAnsiTheme="minorHAnsi" w:cstheme="minorHAnsi"/>
        </w:rPr>
        <w:t>Ibid</w:t>
      </w:r>
      <w:r>
        <w:rPr>
          <w:rFonts w:asciiTheme="minorHAnsi" w:hAnsiTheme="minorHAnsi" w:cstheme="minorHAnsi"/>
          <w:i/>
        </w:rPr>
        <w:t>.</w:t>
      </w:r>
    </w:p>
  </w:footnote>
  <w:footnote w:id="86">
    <w:p w:rsidR="00614766" w:rsidRDefault="00614766" w:rsidP="000A3F6D">
      <w:pPr>
        <w:pStyle w:val="FootnoteText"/>
      </w:pPr>
      <w:r w:rsidRPr="006E236C">
        <w:rPr>
          <w:rStyle w:val="FootnoteReference"/>
          <w:rFonts w:asciiTheme="minorHAnsi" w:hAnsiTheme="minorHAnsi"/>
        </w:rPr>
        <w:footnoteRef/>
      </w:r>
      <w:r w:rsidRPr="006E236C">
        <w:rPr>
          <w:rFonts w:asciiTheme="minorHAnsi" w:hAnsiTheme="minorHAnsi"/>
        </w:rPr>
        <w:t xml:space="preserve"> </w:t>
      </w:r>
      <w:r w:rsidRPr="007F75BB">
        <w:rPr>
          <w:rFonts w:ascii="Calibri" w:hAnsi="Calibri" w:cs="Calibri"/>
        </w:rPr>
        <w:t xml:space="preserve">PricewaterhouseCoopers, </w:t>
      </w:r>
      <w:r w:rsidRPr="007F75BB">
        <w:rPr>
          <w:rFonts w:ascii="Calibri" w:hAnsi="Calibri" w:cs="Calibri"/>
          <w:i/>
        </w:rPr>
        <w:t xml:space="preserve">Comcare Review of Financial Management Framework Final Report, </w:t>
      </w:r>
      <w:r w:rsidRPr="007F75BB">
        <w:rPr>
          <w:rFonts w:ascii="Calibri" w:hAnsi="Calibri" w:cs="Calibri"/>
        </w:rPr>
        <w:t>23 August 2012, page 17.</w:t>
      </w:r>
    </w:p>
  </w:footnote>
  <w:footnote w:id="87">
    <w:p w:rsidR="00614766" w:rsidRDefault="00614766" w:rsidP="000A3F6D">
      <w:pPr>
        <w:pStyle w:val="FootnoteText"/>
      </w:pPr>
      <w:r w:rsidRPr="006E236C">
        <w:rPr>
          <w:rStyle w:val="FootnoteReference"/>
          <w:rFonts w:asciiTheme="minorHAnsi" w:hAnsiTheme="minorHAnsi"/>
        </w:rPr>
        <w:footnoteRef/>
      </w:r>
      <w:r>
        <w:t xml:space="preserve"> </w:t>
      </w:r>
      <w:r w:rsidRPr="007F75BB">
        <w:rPr>
          <w:rFonts w:asciiTheme="minorHAnsi" w:hAnsiTheme="minorHAnsi" w:cstheme="minorHAnsi"/>
          <w:i/>
        </w:rPr>
        <w:t>Discussion Paper: Prudential Management Policy for Comcare’s Compensation Liabilities</w:t>
      </w:r>
      <w:r>
        <w:rPr>
          <w:rFonts w:asciiTheme="minorHAnsi" w:hAnsiTheme="minorHAnsi" w:cstheme="minorHAnsi"/>
          <w:i/>
        </w:rPr>
        <w:t>.</w:t>
      </w:r>
    </w:p>
  </w:footnote>
  <w:footnote w:id="88">
    <w:p w:rsidR="00614766" w:rsidRPr="00EC28D4" w:rsidRDefault="00614766" w:rsidP="000A3F6D">
      <w:pPr>
        <w:pStyle w:val="FootnoteText"/>
        <w:rPr>
          <w:rFonts w:ascii="Calibri" w:hAnsi="Calibri" w:cs="Calibri"/>
        </w:rPr>
      </w:pPr>
      <w:r w:rsidRPr="006E236C">
        <w:rPr>
          <w:rStyle w:val="FootnoteReference"/>
          <w:rFonts w:asciiTheme="minorHAnsi" w:hAnsiTheme="minorHAnsi"/>
        </w:rPr>
        <w:footnoteRef/>
      </w:r>
      <w:r w:rsidRPr="006E236C">
        <w:rPr>
          <w:rFonts w:asciiTheme="minorHAnsi" w:hAnsiTheme="minorHAnsi"/>
        </w:rPr>
        <w:t xml:space="preserve"> </w:t>
      </w:r>
      <w:r w:rsidRPr="007F75BB">
        <w:rPr>
          <w:rFonts w:ascii="Calibri" w:hAnsi="Calibri" w:cs="Calibri"/>
          <w:i/>
        </w:rPr>
        <w:t>SRCC – Prudential and financial conditions of licence</w:t>
      </w:r>
      <w:r w:rsidRPr="007F75BB">
        <w:rPr>
          <w:rFonts w:ascii="Calibri" w:hAnsi="Calibri" w:cs="Calibri"/>
        </w:rPr>
        <w:t xml:space="preserve">, Australian Government, 17 September 2012, </w:t>
      </w:r>
      <w:hyperlink r:id="rId6" w:tooltip="SRCC - Prudential and financial conditions of licence" w:history="1">
        <w:r w:rsidRPr="00EC28D4">
          <w:t>http://www.srcc.gov.au/self_insurance/licence_conditions_and_performance_standards_outcomes/prudential_and_financial_conditions_of_a_licence</w:t>
        </w:r>
      </w:hyperlink>
    </w:p>
  </w:footnote>
  <w:footnote w:id="89">
    <w:p w:rsidR="00614766" w:rsidRPr="008771E4" w:rsidRDefault="00614766" w:rsidP="000A3F6D">
      <w:pPr>
        <w:pStyle w:val="FootnoteText"/>
        <w:rPr>
          <w:i/>
        </w:rPr>
      </w:pPr>
      <w:r w:rsidRPr="006E236C">
        <w:rPr>
          <w:rStyle w:val="FootnoteReference"/>
          <w:rFonts w:asciiTheme="minorHAnsi" w:hAnsiTheme="minorHAnsi"/>
        </w:rPr>
        <w:footnoteRef/>
      </w:r>
      <w:r w:rsidRPr="006E236C">
        <w:rPr>
          <w:rFonts w:asciiTheme="minorHAnsi" w:hAnsiTheme="minorHAnsi"/>
        </w:rPr>
        <w:t xml:space="preserve"> </w:t>
      </w:r>
      <w:proofErr w:type="gramStart"/>
      <w:r w:rsidRPr="007F75BB">
        <w:rPr>
          <w:rFonts w:asciiTheme="minorHAnsi" w:hAnsiTheme="minorHAnsi" w:cstheme="minorHAnsi"/>
          <w:i/>
        </w:rPr>
        <w:t>Comcare’s submission to the Review of the Comcare Scheme</w:t>
      </w:r>
      <w:r w:rsidRPr="007F75BB">
        <w:rPr>
          <w:rFonts w:asciiTheme="minorHAnsi" w:hAnsiTheme="minorHAnsi" w:cstheme="minorHAnsi"/>
        </w:rPr>
        <w:t>, Australian Government, 22 February 2008</w:t>
      </w:r>
      <w:r>
        <w:rPr>
          <w:rFonts w:asciiTheme="minorHAnsi" w:hAnsiTheme="minorHAnsi" w:cstheme="minorHAnsi"/>
        </w:rPr>
        <w:t>.</w:t>
      </w:r>
      <w:proofErr w:type="gramEnd"/>
    </w:p>
  </w:footnote>
  <w:footnote w:id="90">
    <w:p w:rsidR="00614766" w:rsidRPr="008771E4" w:rsidRDefault="00614766" w:rsidP="000A3F6D">
      <w:pPr>
        <w:pStyle w:val="FootnoteText"/>
        <w:rPr>
          <w:i/>
        </w:rPr>
      </w:pPr>
      <w:r w:rsidRPr="006E236C">
        <w:rPr>
          <w:rStyle w:val="FootnoteReference"/>
          <w:rFonts w:asciiTheme="minorHAnsi" w:hAnsiTheme="minorHAnsi"/>
        </w:rPr>
        <w:footnoteRef/>
      </w:r>
      <w:r w:rsidRPr="006E236C">
        <w:rPr>
          <w:rFonts w:asciiTheme="minorHAnsi" w:hAnsiTheme="minorHAnsi"/>
        </w:rPr>
        <w:t xml:space="preserve"> </w:t>
      </w:r>
      <w:r w:rsidRPr="006E236C">
        <w:rPr>
          <w:rFonts w:asciiTheme="minorHAnsi" w:hAnsiTheme="minorHAnsi" w:cstheme="minorHAnsi"/>
        </w:rPr>
        <w:t>Ibid</w:t>
      </w:r>
      <w:r>
        <w:rPr>
          <w:rFonts w:asciiTheme="minorHAnsi" w:hAnsiTheme="minorHAnsi" w:cstheme="minorHAnsi"/>
          <w:i/>
        </w:rPr>
        <w:t>.</w:t>
      </w:r>
    </w:p>
  </w:footnote>
  <w:footnote w:id="91">
    <w:p w:rsidR="00614766" w:rsidRDefault="00614766" w:rsidP="000A3F6D">
      <w:pPr>
        <w:pStyle w:val="FootnoteText"/>
      </w:pPr>
      <w:r w:rsidRPr="006E236C">
        <w:rPr>
          <w:rStyle w:val="FootnoteReference"/>
          <w:rFonts w:asciiTheme="minorHAnsi" w:hAnsiTheme="minorHAnsi"/>
        </w:rPr>
        <w:footnoteRef/>
      </w:r>
      <w:r>
        <w:t xml:space="preserve"> </w:t>
      </w:r>
      <w:r>
        <w:rPr>
          <w:rFonts w:asciiTheme="minorHAnsi" w:hAnsiTheme="minorHAnsi" w:cstheme="minorHAnsi"/>
        </w:rPr>
        <w:t>Ibid.</w:t>
      </w:r>
    </w:p>
  </w:footnote>
  <w:footnote w:id="92">
    <w:p w:rsidR="00614766" w:rsidRPr="00BC57C6" w:rsidRDefault="00614766" w:rsidP="000A3F6D">
      <w:pPr>
        <w:pStyle w:val="FootnoteText"/>
        <w:rPr>
          <w:rFonts w:asciiTheme="minorHAnsi" w:hAnsiTheme="minorHAnsi" w:cstheme="minorHAnsi"/>
          <w:i/>
        </w:rPr>
      </w:pPr>
      <w:r w:rsidRPr="006E236C">
        <w:rPr>
          <w:rStyle w:val="FootnoteReference"/>
          <w:rFonts w:asciiTheme="minorHAnsi" w:hAnsiTheme="minorHAnsi"/>
        </w:rPr>
        <w:footnoteRef/>
      </w:r>
      <w:r w:rsidRPr="006E236C">
        <w:rPr>
          <w:rFonts w:asciiTheme="minorHAnsi" w:hAnsiTheme="minorHAnsi"/>
          <w:i/>
        </w:rPr>
        <w:t xml:space="preserve"> </w:t>
      </w:r>
      <w:r w:rsidRPr="00BC57C6">
        <w:rPr>
          <w:rFonts w:asciiTheme="minorHAnsi" w:hAnsiTheme="minorHAnsi" w:cstheme="minorHAnsi"/>
        </w:rPr>
        <w:t>DEEWR</w:t>
      </w:r>
      <w:r>
        <w:rPr>
          <w:rFonts w:asciiTheme="minorHAnsi" w:hAnsiTheme="minorHAnsi" w:cstheme="minorHAnsi"/>
          <w:i/>
        </w:rPr>
        <w:t xml:space="preserve"> </w:t>
      </w:r>
      <w:r w:rsidRPr="00BC57C6">
        <w:rPr>
          <w:rFonts w:asciiTheme="minorHAnsi" w:hAnsiTheme="minorHAnsi" w:cstheme="minorHAnsi"/>
          <w:i/>
        </w:rPr>
        <w:t xml:space="preserve">Report of the Review of Self-Insurance Arrangements </w:t>
      </w:r>
      <w:proofErr w:type="gramStart"/>
      <w:r w:rsidRPr="00BC57C6">
        <w:rPr>
          <w:rFonts w:asciiTheme="minorHAnsi" w:hAnsiTheme="minorHAnsi" w:cstheme="minorHAnsi"/>
          <w:i/>
        </w:rPr>
        <w:t>Under</w:t>
      </w:r>
      <w:proofErr w:type="gramEnd"/>
      <w:r w:rsidRPr="00BC57C6">
        <w:rPr>
          <w:rFonts w:asciiTheme="minorHAnsi" w:hAnsiTheme="minorHAnsi" w:cstheme="minorHAnsi"/>
          <w:i/>
        </w:rPr>
        <w:t xml:space="preserve"> the Comcare Scheme</w:t>
      </w:r>
      <w:r w:rsidRPr="00BC57C6">
        <w:rPr>
          <w:rFonts w:asciiTheme="minorHAnsi" w:hAnsiTheme="minorHAnsi" w:cstheme="minorHAnsi"/>
        </w:rPr>
        <w:t>, January 2009, page 10</w:t>
      </w:r>
      <w:r>
        <w:rPr>
          <w:rFonts w:asciiTheme="minorHAnsi" w:hAnsiTheme="minorHAnsi" w:cstheme="minorHAnsi"/>
        </w:rPr>
        <w:t>.</w:t>
      </w:r>
    </w:p>
  </w:footnote>
  <w:footnote w:id="93">
    <w:p w:rsidR="00614766" w:rsidRDefault="00614766" w:rsidP="000A3F6D">
      <w:pPr>
        <w:pStyle w:val="FootnoteText"/>
      </w:pPr>
      <w:r w:rsidRPr="006E236C">
        <w:rPr>
          <w:rStyle w:val="FootnoteReference"/>
          <w:rFonts w:asciiTheme="minorHAnsi" w:hAnsiTheme="minorHAnsi"/>
        </w:rPr>
        <w:footnoteRef/>
      </w:r>
      <w:r w:rsidRPr="006E236C">
        <w:rPr>
          <w:rFonts w:asciiTheme="minorHAnsi" w:hAnsiTheme="minorHAnsi"/>
        </w:rPr>
        <w:t xml:space="preserve"> </w:t>
      </w:r>
      <w:r w:rsidRPr="007F75BB">
        <w:rPr>
          <w:rFonts w:asciiTheme="minorHAnsi" w:hAnsiTheme="minorHAnsi" w:cstheme="minorHAnsi"/>
        </w:rPr>
        <w:t xml:space="preserve">This </w:t>
      </w:r>
      <w:r>
        <w:rPr>
          <w:rFonts w:asciiTheme="minorHAnsi" w:hAnsiTheme="minorHAnsi" w:cstheme="minorHAnsi"/>
        </w:rPr>
        <w:t>step</w:t>
      </w:r>
      <w:r w:rsidRPr="007F75BB">
        <w:rPr>
          <w:rFonts w:asciiTheme="minorHAnsi" w:hAnsiTheme="minorHAnsi" w:cstheme="minorHAnsi"/>
        </w:rPr>
        <w:t xml:space="preserve"> only applies to the Commonwealth Agencies. Comcare invoices the </w:t>
      </w:r>
      <w:r>
        <w:rPr>
          <w:rFonts w:asciiTheme="minorHAnsi" w:hAnsiTheme="minorHAnsi" w:cstheme="minorHAnsi"/>
        </w:rPr>
        <w:t>ACT</w:t>
      </w:r>
      <w:r w:rsidRPr="007F75BB">
        <w:rPr>
          <w:rFonts w:asciiTheme="minorHAnsi" w:hAnsiTheme="minorHAnsi" w:cstheme="minorHAnsi"/>
        </w:rPr>
        <w:t xml:space="preserve"> Government a single premium which the </w:t>
      </w:r>
      <w:r>
        <w:rPr>
          <w:rFonts w:asciiTheme="minorHAnsi" w:hAnsiTheme="minorHAnsi" w:cstheme="minorHAnsi"/>
        </w:rPr>
        <w:t>ACT</w:t>
      </w:r>
      <w:r w:rsidRPr="007F75BB">
        <w:rPr>
          <w:rFonts w:asciiTheme="minorHAnsi" w:hAnsiTheme="minorHAnsi" w:cstheme="minorHAnsi"/>
        </w:rPr>
        <w:t xml:space="preserve"> Government devolves internally to its various Agencies.</w:t>
      </w:r>
    </w:p>
  </w:footnote>
  <w:footnote w:id="94">
    <w:p w:rsidR="00614766" w:rsidRPr="00410A08" w:rsidRDefault="00614766" w:rsidP="000A3F6D">
      <w:pPr>
        <w:pStyle w:val="FootnoteText"/>
      </w:pPr>
      <w:r w:rsidRPr="006E236C">
        <w:rPr>
          <w:rStyle w:val="FootnoteReference"/>
          <w:rFonts w:asciiTheme="minorHAnsi" w:hAnsiTheme="minorHAnsi"/>
        </w:rPr>
        <w:footnoteRef/>
      </w:r>
      <w:r w:rsidRPr="006E236C">
        <w:rPr>
          <w:rFonts w:asciiTheme="minorHAnsi" w:hAnsiTheme="minorHAnsi"/>
        </w:rPr>
        <w:t xml:space="preserve"> </w:t>
      </w:r>
      <w:r w:rsidRPr="006E236C">
        <w:rPr>
          <w:rFonts w:ascii="Calibri" w:hAnsi="Calibri" w:cs="Calibri"/>
        </w:rPr>
        <w:t>See, for example</w:t>
      </w:r>
      <w:r w:rsidRPr="007F75BB">
        <w:rPr>
          <w:rFonts w:asciiTheme="minorHAnsi" w:hAnsiTheme="minorHAnsi" w:cstheme="minorHAnsi"/>
        </w:rPr>
        <w:t xml:space="preserve">, </w:t>
      </w:r>
      <w:r w:rsidRPr="007F75BB">
        <w:rPr>
          <w:rFonts w:asciiTheme="minorHAnsi" w:hAnsiTheme="minorHAnsi" w:cstheme="minorHAnsi"/>
          <w:i/>
        </w:rPr>
        <w:t>Comcare Premiums, Your Guide to 2012-13</w:t>
      </w:r>
      <w:r w:rsidRPr="007F75BB">
        <w:rPr>
          <w:rFonts w:asciiTheme="minorHAnsi" w:hAnsiTheme="minorHAnsi" w:cstheme="minorHAnsi"/>
        </w:rPr>
        <w:t>, Comcare publication, PUB26, June 2012</w:t>
      </w:r>
      <w:r>
        <w:rPr>
          <w:rFonts w:asciiTheme="minorHAnsi" w:hAnsiTheme="minorHAnsi" w:cstheme="minorHAnsi"/>
        </w:rPr>
        <w:t>.</w:t>
      </w:r>
    </w:p>
  </w:footnote>
  <w:footnote w:id="95">
    <w:p w:rsidR="00614766" w:rsidRDefault="00614766" w:rsidP="000A3F6D">
      <w:pPr>
        <w:pStyle w:val="FootnoteText"/>
      </w:pPr>
      <w:r w:rsidRPr="006E236C">
        <w:rPr>
          <w:rStyle w:val="FootnoteReference"/>
          <w:rFonts w:asciiTheme="minorHAnsi" w:hAnsiTheme="minorHAnsi"/>
        </w:rPr>
        <w:footnoteRef/>
      </w:r>
      <w:r w:rsidRPr="006E236C">
        <w:rPr>
          <w:rFonts w:asciiTheme="minorHAnsi" w:hAnsiTheme="minorHAnsi"/>
        </w:rPr>
        <w:t xml:space="preserve"> </w:t>
      </w:r>
      <w:r w:rsidRPr="007F75BB">
        <w:rPr>
          <w:rFonts w:asciiTheme="minorHAnsi" w:hAnsiTheme="minorHAnsi" w:cstheme="minorHAnsi"/>
        </w:rPr>
        <w:t>http://www.comcare.gov.au/__data/assets/pdf_file/0003/95340/Guide_to_premium_devolution_-_splitting_a_premium_within_an_agency.pdf</w:t>
      </w:r>
    </w:p>
  </w:footnote>
  <w:footnote w:id="96">
    <w:p w:rsidR="00614766" w:rsidRDefault="00614766" w:rsidP="000A3F6D">
      <w:pPr>
        <w:pStyle w:val="FootnoteText"/>
      </w:pPr>
      <w:r w:rsidRPr="006E236C">
        <w:rPr>
          <w:rStyle w:val="FootnoteReference"/>
          <w:rFonts w:asciiTheme="minorHAnsi" w:hAnsiTheme="minorHAnsi" w:cstheme="minorHAnsi"/>
        </w:rPr>
        <w:footnoteRef/>
      </w:r>
      <w:r w:rsidRPr="006E236C">
        <w:rPr>
          <w:rFonts w:asciiTheme="minorHAnsi" w:hAnsiTheme="minorHAnsi" w:cstheme="minorHAnsi"/>
        </w:rPr>
        <w:t xml:space="preserve"> </w:t>
      </w:r>
      <w:proofErr w:type="gramStart"/>
      <w:r w:rsidRPr="00774575">
        <w:rPr>
          <w:rFonts w:asciiTheme="minorHAnsi" w:hAnsiTheme="minorHAnsi" w:cstheme="minorHAnsi"/>
        </w:rPr>
        <w:t>Finity Consulting Pty Ltd report to Comcare April 2012.</w:t>
      </w:r>
      <w:proofErr w:type="gramEnd"/>
    </w:p>
  </w:footnote>
  <w:footnote w:id="97">
    <w:p w:rsidR="00614766" w:rsidRDefault="00614766" w:rsidP="000A3F6D">
      <w:pPr>
        <w:pStyle w:val="FootnoteText"/>
      </w:pPr>
      <w:r w:rsidRPr="006E236C">
        <w:rPr>
          <w:rStyle w:val="FootnoteReference"/>
          <w:rFonts w:asciiTheme="minorHAnsi" w:hAnsiTheme="minorHAnsi" w:cstheme="minorHAnsi"/>
        </w:rPr>
        <w:footnoteRef/>
      </w:r>
      <w:r w:rsidRPr="006E236C">
        <w:rPr>
          <w:rFonts w:asciiTheme="minorHAnsi" w:hAnsiTheme="minorHAnsi" w:cstheme="minorHAnsi"/>
        </w:rPr>
        <w:t xml:space="preserve"> </w:t>
      </w:r>
      <w:r w:rsidRPr="00774575">
        <w:rPr>
          <w:rFonts w:asciiTheme="minorHAnsi" w:hAnsiTheme="minorHAnsi" w:cstheme="minorHAnsi"/>
          <w:i/>
        </w:rPr>
        <w:t>Discussion Paper: Prudential Management Policy for Comcare’s Compensation Liabilities</w:t>
      </w:r>
      <w:r>
        <w:rPr>
          <w:rFonts w:asciiTheme="minorHAnsi" w:hAnsiTheme="minorHAnsi" w:cstheme="minorHAnsi"/>
          <w:i/>
        </w:rPr>
        <w:t>.</w:t>
      </w:r>
    </w:p>
  </w:footnote>
  <w:footnote w:id="98">
    <w:p w:rsidR="00614766" w:rsidRDefault="00614766" w:rsidP="00DE4A9A">
      <w:pPr>
        <w:pStyle w:val="FootnoteText"/>
      </w:pPr>
      <w:r>
        <w:rPr>
          <w:rStyle w:val="FootnoteReference"/>
          <w:rFonts w:eastAsiaTheme="majorEastAsia"/>
        </w:rPr>
        <w:footnoteRef/>
      </w:r>
      <w:r>
        <w:t xml:space="preserve"> </w:t>
      </w:r>
      <w:hyperlink r:id="rId7" w:history="1">
        <w:r w:rsidRPr="00127DD2">
          <w:rPr>
            <w:rStyle w:val="Hyperlink"/>
          </w:rPr>
          <w:t>http://www.finance.gov.au/about-the-department/asset-management-and-parliamentary-services.html</w:t>
        </w:r>
      </w:hyperlink>
    </w:p>
    <w:p w:rsidR="00614766" w:rsidRDefault="00614766" w:rsidP="00DE4A9A">
      <w:pPr>
        <w:pStyle w:val="FootnoteText"/>
      </w:pPr>
    </w:p>
  </w:footnote>
  <w:footnote w:id="99">
    <w:p w:rsidR="00614766" w:rsidRDefault="00614766" w:rsidP="00DE4A9A">
      <w:pPr>
        <w:pStyle w:val="FootnoteText"/>
      </w:pPr>
      <w:r>
        <w:rPr>
          <w:rStyle w:val="FootnoteReference"/>
          <w:rFonts w:eastAsiaTheme="majorEastAsia"/>
        </w:rPr>
        <w:footnoteRef/>
      </w:r>
      <w:r>
        <w:t xml:space="preserve"> </w:t>
      </w:r>
      <w:r w:rsidRPr="00C902FC">
        <w:t>http://www.finance.gov.au/comcover/comcover-advisory-council.html</w:t>
      </w:r>
    </w:p>
    <w:p w:rsidR="00614766" w:rsidRDefault="00614766" w:rsidP="00DE4A9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66" w:rsidRDefault="00AD7B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4059" o:spid="_x0000_s2050" type="#_x0000_t136" style="position:absolute;margin-left:0;margin-top:0;width:454.5pt;height:181.8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66" w:rsidRDefault="00AD7B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1" type="#_x0000_t136" style="position:absolute;margin-left:0;margin-top:0;width:454.5pt;height:181.8pt;rotation:315;z-index:-2516387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66" w:rsidRDefault="00AD7B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0" type="#_x0000_t136" style="position:absolute;margin-left:0;margin-top:0;width:454.5pt;height:181.8pt;rotation:315;z-index:-25163980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66" w:rsidRDefault="00614766" w:rsidP="000D7C1C">
    <w:pPr>
      <w:pStyle w:val="Header"/>
      <w:tabs>
        <w:tab w:val="clear" w:pos="4513"/>
        <w:tab w:val="clear" w:pos="9026"/>
        <w:tab w:val="left" w:pos="7839"/>
      </w:tabs>
      <w:rPr>
        <w:rFonts w:ascii="Helvetica" w:hAnsi="Helvetica" w:cs="Arial"/>
        <w:b/>
        <w:sz w:val="18"/>
      </w:rPr>
    </w:pPr>
    <w:r>
      <w:rPr>
        <w:rFonts w:ascii="Helvetica" w:hAnsi="Helvetica" w:cs="Arial"/>
        <w:b/>
        <w:sz w:val="18"/>
      </w:rP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66" w:rsidRPr="007B600B" w:rsidRDefault="00614766" w:rsidP="00B354AF">
    <w:pPr>
      <w:keepNext/>
      <w:pageBreakBefore/>
      <w:pBdr>
        <w:bottom w:val="single" w:sz="4" w:space="1" w:color="auto"/>
      </w:pBdr>
      <w:spacing w:after="120"/>
      <w:ind w:right="-142"/>
      <w:jc w:val="right"/>
      <w:outlineLvl w:val="1"/>
      <w:rPr>
        <w:rFonts w:ascii="Calibri" w:hAnsi="Calibri" w:cs="Calibri"/>
        <w:b/>
        <w:iCs/>
        <w:kern w:val="32"/>
        <w:sz w:val="28"/>
        <w:szCs w:val="28"/>
      </w:rPr>
    </w:pPr>
    <w:r w:rsidRPr="007B600B">
      <w:rPr>
        <w:rFonts w:ascii="Calibri" w:hAnsi="Calibri" w:cs="Calibri"/>
        <w:b/>
        <w:iCs/>
        <w:kern w:val="32"/>
        <w:sz w:val="28"/>
        <w:szCs w:val="28"/>
      </w:rPr>
      <w:t xml:space="preserve">Annex </w:t>
    </w:r>
    <w:r>
      <w:rPr>
        <w:rFonts w:ascii="Calibri" w:hAnsi="Calibri" w:cs="Calibri"/>
        <w:b/>
        <w:iCs/>
        <w:kern w:val="32"/>
        <w:sz w:val="28"/>
        <w:szCs w:val="28"/>
      </w:rPr>
      <w:t>A</w:t>
    </w:r>
  </w:p>
  <w:p w:rsidR="00614766" w:rsidRDefault="00614766" w:rsidP="000D7C1C">
    <w:pPr>
      <w:pStyle w:val="Header"/>
      <w:tabs>
        <w:tab w:val="clear" w:pos="4513"/>
        <w:tab w:val="clear" w:pos="9026"/>
        <w:tab w:val="left" w:pos="7839"/>
      </w:tabs>
      <w:rPr>
        <w:rFonts w:ascii="Helvetica" w:hAnsi="Helvetica" w:cs="Arial"/>
        <w:b/>
        <w:sz w:val="18"/>
      </w:rPr>
    </w:pPr>
    <w:r>
      <w:rPr>
        <w:rFonts w:ascii="Helvetica" w:hAnsi="Helvetica" w:cs="Arial"/>
        <w:b/>
        <w:sz w:val="18"/>
      </w:rP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66" w:rsidRPr="007B600B" w:rsidRDefault="00614766" w:rsidP="00B354AF">
    <w:pPr>
      <w:keepNext/>
      <w:pageBreakBefore/>
      <w:pBdr>
        <w:bottom w:val="single" w:sz="4" w:space="1" w:color="auto"/>
      </w:pBdr>
      <w:spacing w:after="120"/>
      <w:ind w:right="-142"/>
      <w:jc w:val="right"/>
      <w:outlineLvl w:val="1"/>
      <w:rPr>
        <w:rFonts w:ascii="Calibri" w:hAnsi="Calibri" w:cs="Calibri"/>
        <w:b/>
        <w:iCs/>
        <w:kern w:val="32"/>
        <w:sz w:val="28"/>
        <w:szCs w:val="28"/>
      </w:rPr>
    </w:pPr>
    <w:r w:rsidRPr="007B600B">
      <w:rPr>
        <w:rFonts w:ascii="Calibri" w:hAnsi="Calibri" w:cs="Calibri"/>
        <w:b/>
        <w:iCs/>
        <w:kern w:val="32"/>
        <w:sz w:val="28"/>
        <w:szCs w:val="28"/>
      </w:rPr>
      <w:t>Annex B</w:t>
    </w:r>
  </w:p>
  <w:p w:rsidR="00614766" w:rsidRDefault="00614766" w:rsidP="00797CEF">
    <w:pPr>
      <w:pStyle w:val="Header"/>
      <w:tabs>
        <w:tab w:val="center" w:pos="6840"/>
        <w:tab w:val="right" w:pos="13860"/>
      </w:tabs>
      <w:rPr>
        <w:rFonts w:ascii="Helvetica" w:hAnsi="Helvetica" w:cs="Arial"/>
        <w:b/>
        <w:sz w:val="18"/>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66" w:rsidRPr="007B600B" w:rsidRDefault="00614766" w:rsidP="00B354AF">
    <w:pPr>
      <w:keepNext/>
      <w:pageBreakBefore/>
      <w:pBdr>
        <w:bottom w:val="single" w:sz="4" w:space="1" w:color="auto"/>
      </w:pBdr>
      <w:spacing w:after="120"/>
      <w:ind w:right="-142"/>
      <w:jc w:val="right"/>
      <w:outlineLvl w:val="1"/>
      <w:rPr>
        <w:rFonts w:ascii="Calibri" w:hAnsi="Calibri" w:cs="Calibri"/>
        <w:b/>
        <w:iCs/>
        <w:kern w:val="32"/>
        <w:sz w:val="28"/>
        <w:szCs w:val="28"/>
      </w:rPr>
    </w:pPr>
    <w:r w:rsidRPr="007B600B">
      <w:rPr>
        <w:rFonts w:ascii="Calibri" w:hAnsi="Calibri" w:cs="Calibri"/>
        <w:b/>
        <w:iCs/>
        <w:kern w:val="32"/>
        <w:sz w:val="28"/>
        <w:szCs w:val="28"/>
      </w:rPr>
      <w:t xml:space="preserve">Annex </w:t>
    </w:r>
    <w:r>
      <w:rPr>
        <w:rFonts w:ascii="Calibri" w:hAnsi="Calibri" w:cs="Calibri"/>
        <w:b/>
        <w:iCs/>
        <w:kern w:val="32"/>
        <w:sz w:val="28"/>
        <w:szCs w:val="28"/>
      </w:rPr>
      <w:t>C</w:t>
    </w:r>
  </w:p>
  <w:p w:rsidR="00614766" w:rsidRDefault="00614766" w:rsidP="000D7C1C">
    <w:pPr>
      <w:pStyle w:val="Header"/>
      <w:tabs>
        <w:tab w:val="center" w:pos="6840"/>
        <w:tab w:val="right" w:pos="13860"/>
      </w:tabs>
      <w:rPr>
        <w:rFonts w:ascii="Helvetica" w:hAnsi="Helvetica" w:cs="Arial"/>
        <w:b/>
        <w:sz w:val="18"/>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66" w:rsidRPr="007B600B" w:rsidRDefault="00614766" w:rsidP="00B354AF">
    <w:pPr>
      <w:keepNext/>
      <w:pageBreakBefore/>
      <w:pBdr>
        <w:bottom w:val="single" w:sz="4" w:space="1" w:color="auto"/>
      </w:pBdr>
      <w:spacing w:after="120"/>
      <w:ind w:right="-142"/>
      <w:jc w:val="right"/>
      <w:outlineLvl w:val="1"/>
      <w:rPr>
        <w:rFonts w:ascii="Calibri" w:hAnsi="Calibri" w:cs="Calibri"/>
        <w:b/>
        <w:iCs/>
        <w:kern w:val="32"/>
        <w:sz w:val="28"/>
        <w:szCs w:val="28"/>
      </w:rPr>
    </w:pPr>
    <w:r w:rsidRPr="007B600B">
      <w:rPr>
        <w:rFonts w:ascii="Calibri" w:hAnsi="Calibri" w:cs="Calibri"/>
        <w:b/>
        <w:iCs/>
        <w:kern w:val="32"/>
        <w:sz w:val="28"/>
        <w:szCs w:val="28"/>
      </w:rPr>
      <w:t xml:space="preserve">Annex </w:t>
    </w:r>
    <w:r>
      <w:rPr>
        <w:rFonts w:ascii="Calibri" w:hAnsi="Calibri" w:cs="Calibri"/>
        <w:b/>
        <w:iCs/>
        <w:kern w:val="32"/>
        <w:sz w:val="28"/>
        <w:szCs w:val="28"/>
      </w:rPr>
      <w:t>D</w:t>
    </w:r>
  </w:p>
  <w:p w:rsidR="00614766" w:rsidRDefault="00614766" w:rsidP="000D7C1C">
    <w:pPr>
      <w:pStyle w:val="Header"/>
      <w:tabs>
        <w:tab w:val="center" w:pos="6840"/>
        <w:tab w:val="right" w:pos="13860"/>
      </w:tabs>
      <w:rPr>
        <w:rFonts w:ascii="Helvetica" w:hAnsi="Helvetica" w:cs="Arial"/>
        <w:b/>
        <w:sz w:val="18"/>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66" w:rsidRPr="007B600B" w:rsidRDefault="00614766" w:rsidP="00B354AF">
    <w:pPr>
      <w:keepNext/>
      <w:pageBreakBefore/>
      <w:pBdr>
        <w:bottom w:val="single" w:sz="4" w:space="1" w:color="auto"/>
      </w:pBdr>
      <w:spacing w:after="120"/>
      <w:ind w:right="-142"/>
      <w:jc w:val="right"/>
      <w:outlineLvl w:val="1"/>
      <w:rPr>
        <w:rFonts w:ascii="Calibri" w:hAnsi="Calibri" w:cs="Calibri"/>
        <w:b/>
        <w:iCs/>
        <w:kern w:val="32"/>
        <w:sz w:val="28"/>
        <w:szCs w:val="28"/>
      </w:rPr>
    </w:pPr>
    <w:r w:rsidRPr="007B600B">
      <w:rPr>
        <w:rFonts w:ascii="Calibri" w:hAnsi="Calibri" w:cs="Calibri"/>
        <w:b/>
        <w:iCs/>
        <w:kern w:val="32"/>
        <w:sz w:val="28"/>
        <w:szCs w:val="28"/>
      </w:rPr>
      <w:t xml:space="preserve">Annex </w:t>
    </w:r>
    <w:r>
      <w:rPr>
        <w:rFonts w:ascii="Calibri" w:hAnsi="Calibri" w:cs="Calibri"/>
        <w:b/>
        <w:iCs/>
        <w:kern w:val="32"/>
        <w:sz w:val="28"/>
        <w:szCs w:val="28"/>
      </w:rPr>
      <w:t>E</w:t>
    </w:r>
  </w:p>
  <w:p w:rsidR="00614766" w:rsidRDefault="00614766" w:rsidP="000D7C1C">
    <w:pPr>
      <w:pStyle w:val="Header"/>
      <w:tabs>
        <w:tab w:val="center" w:pos="6840"/>
        <w:tab w:val="right" w:pos="13860"/>
      </w:tabs>
      <w:rPr>
        <w:rFonts w:ascii="Helvetica" w:hAnsi="Helvetica" w:cs="Arial"/>
        <w:b/>
        <w:sz w:val="18"/>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66" w:rsidRPr="007B600B" w:rsidRDefault="00614766" w:rsidP="00B354AF">
    <w:pPr>
      <w:keepNext/>
      <w:pageBreakBefore/>
      <w:pBdr>
        <w:bottom w:val="single" w:sz="4" w:space="1" w:color="auto"/>
      </w:pBdr>
      <w:spacing w:after="120"/>
      <w:ind w:right="-142"/>
      <w:jc w:val="right"/>
      <w:outlineLvl w:val="1"/>
      <w:rPr>
        <w:rFonts w:ascii="Calibri" w:hAnsi="Calibri" w:cs="Calibri"/>
        <w:b/>
        <w:iCs/>
        <w:kern w:val="32"/>
        <w:sz w:val="28"/>
        <w:szCs w:val="28"/>
      </w:rPr>
    </w:pPr>
    <w:r w:rsidRPr="007B600B">
      <w:rPr>
        <w:rFonts w:ascii="Calibri" w:hAnsi="Calibri" w:cs="Calibri"/>
        <w:b/>
        <w:iCs/>
        <w:kern w:val="32"/>
        <w:sz w:val="28"/>
        <w:szCs w:val="28"/>
      </w:rPr>
      <w:t xml:space="preserve">Annex </w:t>
    </w:r>
    <w:r>
      <w:rPr>
        <w:rFonts w:ascii="Calibri" w:hAnsi="Calibri" w:cs="Calibri"/>
        <w:b/>
        <w:iCs/>
        <w:kern w:val="32"/>
        <w:sz w:val="28"/>
        <w:szCs w:val="28"/>
      </w:rPr>
      <w:t>F</w:t>
    </w:r>
  </w:p>
  <w:p w:rsidR="00614766" w:rsidRDefault="00614766" w:rsidP="000D7C1C">
    <w:pPr>
      <w:pStyle w:val="Header"/>
      <w:tabs>
        <w:tab w:val="center" w:pos="6840"/>
        <w:tab w:val="right" w:pos="13860"/>
      </w:tabs>
      <w:rPr>
        <w:rFonts w:ascii="Helvetica" w:hAnsi="Helvetica" w:cs="Arial"/>
        <w:b/>
        <w:sz w:val="18"/>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66" w:rsidRPr="007B600B" w:rsidRDefault="00614766" w:rsidP="00B354AF">
    <w:pPr>
      <w:keepNext/>
      <w:pageBreakBefore/>
      <w:pBdr>
        <w:bottom w:val="single" w:sz="4" w:space="1" w:color="auto"/>
      </w:pBdr>
      <w:spacing w:after="120"/>
      <w:ind w:right="-142"/>
      <w:jc w:val="right"/>
      <w:outlineLvl w:val="1"/>
      <w:rPr>
        <w:rFonts w:ascii="Calibri" w:hAnsi="Calibri" w:cs="Calibri"/>
        <w:b/>
        <w:iCs/>
        <w:kern w:val="32"/>
        <w:sz w:val="28"/>
        <w:szCs w:val="28"/>
      </w:rPr>
    </w:pPr>
    <w:r w:rsidRPr="007B600B">
      <w:rPr>
        <w:rFonts w:ascii="Calibri" w:hAnsi="Calibri" w:cs="Calibri"/>
        <w:b/>
        <w:iCs/>
        <w:kern w:val="32"/>
        <w:sz w:val="28"/>
        <w:szCs w:val="28"/>
      </w:rPr>
      <w:t xml:space="preserve">Annex </w:t>
    </w:r>
    <w:r>
      <w:rPr>
        <w:rFonts w:ascii="Calibri" w:hAnsi="Calibri" w:cs="Calibri"/>
        <w:b/>
        <w:iCs/>
        <w:kern w:val="32"/>
        <w:sz w:val="28"/>
        <w:szCs w:val="28"/>
      </w:rPr>
      <w:t>G</w:t>
    </w:r>
  </w:p>
  <w:p w:rsidR="00614766" w:rsidRDefault="00614766" w:rsidP="000D7C1C">
    <w:pPr>
      <w:pStyle w:val="Header"/>
      <w:tabs>
        <w:tab w:val="center" w:pos="6840"/>
        <w:tab w:val="right" w:pos="13860"/>
      </w:tabs>
      <w:rPr>
        <w:rFonts w:ascii="Helvetica" w:hAnsi="Helvetica" w:cs="Arial"/>
        <w:b/>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66" w:rsidRDefault="00AD7B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4058" o:spid="_x0000_s2049" type="#_x0000_t136" style="position:absolute;margin-left:0;margin-top:0;width:454.5pt;height:181.8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66" w:rsidRDefault="00614766">
    <w:pPr>
      <w:pStyle w:val="Header"/>
      <w:tabs>
        <w:tab w:val="center" w:pos="6840"/>
        <w:tab w:val="right" w:pos="13860"/>
      </w:tabs>
      <w:rPr>
        <w:rFonts w:ascii="Helvetica" w:hAnsi="Helvetica" w:cs="Arial"/>
        <w:b/>
        <w:sz w:val="18"/>
      </w:rPr>
    </w:pPr>
    <w:r w:rsidRPr="008513D3">
      <w:rPr>
        <w:rFonts w:ascii="Helvetica" w:hAnsi="Helvetica" w:cs="Arial"/>
        <w:sz w:val="18"/>
      </w:rPr>
      <w:tab/>
    </w:r>
    <w:r>
      <w:rPr>
        <w:rFonts w:ascii="Helvetica" w:hAnsi="Helvetica" w:cs="Arial"/>
        <w:b/>
        <w:sz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66" w:rsidRDefault="00AD7B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4062" o:spid="_x0000_s2053" type="#_x0000_t136" style="position:absolute;margin-left:0;margin-top:0;width:454.5pt;height:181.8pt;rotation:315;z-index:-2516480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66" w:rsidRDefault="00AD7B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4061" o:spid="_x0000_s2052" type="#_x0000_t136" style="position:absolute;margin-left:0;margin-top:0;width:454.5pt;height:181.8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66" w:rsidRDefault="0061476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66" w:rsidRDefault="00614766" w:rsidP="004102BE">
    <w:pPr>
      <w:pStyle w:val="Header"/>
      <w:tabs>
        <w:tab w:val="center" w:pos="6840"/>
        <w:tab w:val="right" w:pos="13860"/>
      </w:tabs>
      <w:rPr>
        <w:rFonts w:ascii="Helvetica" w:hAnsi="Helvetica" w:cs="Arial"/>
        <w:b/>
        <w:sz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66" w:rsidRDefault="0061476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66" w:rsidRDefault="00614766" w:rsidP="004102BE">
    <w:pPr>
      <w:pStyle w:val="Header"/>
      <w:tabs>
        <w:tab w:val="center" w:pos="6840"/>
        <w:tab w:val="right" w:pos="13860"/>
      </w:tabs>
      <w:rPr>
        <w:rFonts w:ascii="Helvetica" w:hAnsi="Helvetica" w:cs="Arial"/>
        <w:b/>
        <w:sz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66" w:rsidRDefault="00614766" w:rsidP="000D7C1C">
    <w:pPr>
      <w:pStyle w:val="Header"/>
      <w:tabs>
        <w:tab w:val="clear" w:pos="4513"/>
        <w:tab w:val="clear" w:pos="9026"/>
        <w:tab w:val="left" w:pos="7839"/>
      </w:tabs>
      <w:rPr>
        <w:rFonts w:ascii="Helvetica" w:hAnsi="Helvetica" w:cs="Arial"/>
        <w:b/>
        <w:sz w:val="18"/>
      </w:rPr>
    </w:pPr>
    <w:r>
      <w:rPr>
        <w:rFonts w:ascii="Helvetica" w:hAnsi="Helvetica" w:cs="Arial"/>
        <w:b/>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4FDC"/>
    <w:multiLevelType w:val="hybridMultilevel"/>
    <w:tmpl w:val="7A0A7428"/>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
    <w:nsid w:val="03310F4C"/>
    <w:multiLevelType w:val="multilevel"/>
    <w:tmpl w:val="4B7C2C3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sz w:val="22"/>
        <w:szCs w:val="22"/>
      </w:rPr>
    </w:lvl>
    <w:lvl w:ilvl="2">
      <w:start w:val="1"/>
      <w:numFmt w:val="bullet"/>
      <w:lvlText w:val=""/>
      <w:lvlJc w:val="left"/>
      <w:pPr>
        <w:ind w:left="1440" w:hanging="720"/>
      </w:pPr>
      <w:rPr>
        <w:rFonts w:ascii="Symbol" w:hAnsi="Symbol"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06977F84"/>
    <w:multiLevelType w:val="hybridMultilevel"/>
    <w:tmpl w:val="986A9398"/>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nsid w:val="0A5A5A96"/>
    <w:multiLevelType w:val="multilevel"/>
    <w:tmpl w:val="CE6A6AEE"/>
    <w:lvl w:ilvl="0">
      <w:start w:val="3"/>
      <w:numFmt w:val="decimal"/>
      <w:lvlText w:val="%1"/>
      <w:lvlJc w:val="left"/>
      <w:pPr>
        <w:ind w:left="375" w:hanging="375"/>
      </w:pPr>
      <w:rPr>
        <w:rFonts w:hint="default"/>
      </w:rPr>
    </w:lvl>
    <w:lvl w:ilvl="1">
      <w:start w:val="12"/>
      <w:numFmt w:val="decimal"/>
      <w:lvlText w:val="%1.%2"/>
      <w:lvlJc w:val="left"/>
      <w:pPr>
        <w:ind w:left="517" w:hanging="375"/>
      </w:pPr>
      <w:rPr>
        <w:rFonts w:asciiTheme="minorHAnsi" w:hAnsiTheme="minorHAnsi" w:cstheme="minorHAnsi" w:hint="default"/>
        <w:sz w:val="22"/>
        <w:szCs w:val="22"/>
      </w:rPr>
    </w:lvl>
    <w:lvl w:ilvl="2">
      <w:start w:val="1"/>
      <w:numFmt w:val="bullet"/>
      <w:lvlText w:val=""/>
      <w:lvlJc w:val="left"/>
      <w:pPr>
        <w:ind w:left="1146" w:hanging="720"/>
      </w:pPr>
      <w:rPr>
        <w:rFonts w:ascii="Symbol" w:hAnsi="Symbo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CA8455D"/>
    <w:multiLevelType w:val="hybridMultilevel"/>
    <w:tmpl w:val="632E5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AC7976"/>
    <w:multiLevelType w:val="hybridMultilevel"/>
    <w:tmpl w:val="DE502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6C824D4"/>
    <w:multiLevelType w:val="hybridMultilevel"/>
    <w:tmpl w:val="2AF67146"/>
    <w:lvl w:ilvl="0" w:tplc="C5F4A9E6">
      <w:start w:val="1"/>
      <w:numFmt w:val="decimal"/>
      <w:lvlText w:val="1.%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7361953"/>
    <w:multiLevelType w:val="multilevel"/>
    <w:tmpl w:val="4B7C2C3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19D4168E"/>
    <w:multiLevelType w:val="hybridMultilevel"/>
    <w:tmpl w:val="108AE3F0"/>
    <w:lvl w:ilvl="0" w:tplc="C512CAD4">
      <w:start w:val="1"/>
      <w:numFmt w:val="decimal"/>
      <w:lvlText w:val="1.%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ADE6CF6"/>
    <w:multiLevelType w:val="multilevel"/>
    <w:tmpl w:val="F6DCD9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C435A02"/>
    <w:multiLevelType w:val="multilevel"/>
    <w:tmpl w:val="CB8EB4B0"/>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D771188"/>
    <w:multiLevelType w:val="hybridMultilevel"/>
    <w:tmpl w:val="9192301A"/>
    <w:lvl w:ilvl="0" w:tplc="0C090001">
      <w:start w:val="1"/>
      <w:numFmt w:val="bullet"/>
      <w:lvlText w:val=""/>
      <w:lvlJc w:val="left"/>
      <w:pPr>
        <w:ind w:left="1332" w:hanging="360"/>
      </w:pPr>
      <w:rPr>
        <w:rFonts w:ascii="Symbol" w:hAnsi="Symbol" w:hint="default"/>
      </w:rPr>
    </w:lvl>
    <w:lvl w:ilvl="1" w:tplc="B21C52CC">
      <w:numFmt w:val="bullet"/>
      <w:lvlText w:val="-"/>
      <w:lvlJc w:val="left"/>
      <w:pPr>
        <w:ind w:left="2052" w:hanging="360"/>
      </w:pPr>
      <w:rPr>
        <w:rFonts w:ascii="Calibri" w:eastAsiaTheme="minorHAnsi" w:hAnsi="Calibri" w:cs="Calibri" w:hint="default"/>
      </w:rPr>
    </w:lvl>
    <w:lvl w:ilvl="2" w:tplc="0C090005" w:tentative="1">
      <w:start w:val="1"/>
      <w:numFmt w:val="bullet"/>
      <w:lvlText w:val=""/>
      <w:lvlJc w:val="left"/>
      <w:pPr>
        <w:ind w:left="2772" w:hanging="360"/>
      </w:pPr>
      <w:rPr>
        <w:rFonts w:ascii="Wingdings" w:hAnsi="Wingdings" w:hint="default"/>
      </w:rPr>
    </w:lvl>
    <w:lvl w:ilvl="3" w:tplc="0C090001" w:tentative="1">
      <w:start w:val="1"/>
      <w:numFmt w:val="bullet"/>
      <w:lvlText w:val=""/>
      <w:lvlJc w:val="left"/>
      <w:pPr>
        <w:ind w:left="3492" w:hanging="360"/>
      </w:pPr>
      <w:rPr>
        <w:rFonts w:ascii="Symbol" w:hAnsi="Symbol" w:hint="default"/>
      </w:rPr>
    </w:lvl>
    <w:lvl w:ilvl="4" w:tplc="0C090003" w:tentative="1">
      <w:start w:val="1"/>
      <w:numFmt w:val="bullet"/>
      <w:lvlText w:val="o"/>
      <w:lvlJc w:val="left"/>
      <w:pPr>
        <w:ind w:left="4212" w:hanging="360"/>
      </w:pPr>
      <w:rPr>
        <w:rFonts w:ascii="Courier New" w:hAnsi="Courier New" w:cs="Courier New" w:hint="default"/>
      </w:rPr>
    </w:lvl>
    <w:lvl w:ilvl="5" w:tplc="0C090005" w:tentative="1">
      <w:start w:val="1"/>
      <w:numFmt w:val="bullet"/>
      <w:lvlText w:val=""/>
      <w:lvlJc w:val="left"/>
      <w:pPr>
        <w:ind w:left="4932" w:hanging="360"/>
      </w:pPr>
      <w:rPr>
        <w:rFonts w:ascii="Wingdings" w:hAnsi="Wingdings" w:hint="default"/>
      </w:rPr>
    </w:lvl>
    <w:lvl w:ilvl="6" w:tplc="0C090001" w:tentative="1">
      <w:start w:val="1"/>
      <w:numFmt w:val="bullet"/>
      <w:lvlText w:val=""/>
      <w:lvlJc w:val="left"/>
      <w:pPr>
        <w:ind w:left="5652" w:hanging="360"/>
      </w:pPr>
      <w:rPr>
        <w:rFonts w:ascii="Symbol" w:hAnsi="Symbol" w:hint="default"/>
      </w:rPr>
    </w:lvl>
    <w:lvl w:ilvl="7" w:tplc="0C090003" w:tentative="1">
      <w:start w:val="1"/>
      <w:numFmt w:val="bullet"/>
      <w:lvlText w:val="o"/>
      <w:lvlJc w:val="left"/>
      <w:pPr>
        <w:ind w:left="6372" w:hanging="360"/>
      </w:pPr>
      <w:rPr>
        <w:rFonts w:ascii="Courier New" w:hAnsi="Courier New" w:cs="Courier New" w:hint="default"/>
      </w:rPr>
    </w:lvl>
    <w:lvl w:ilvl="8" w:tplc="0C090005" w:tentative="1">
      <w:start w:val="1"/>
      <w:numFmt w:val="bullet"/>
      <w:lvlText w:val=""/>
      <w:lvlJc w:val="left"/>
      <w:pPr>
        <w:ind w:left="7092" w:hanging="360"/>
      </w:pPr>
      <w:rPr>
        <w:rFonts w:ascii="Wingdings" w:hAnsi="Wingdings" w:hint="default"/>
      </w:rPr>
    </w:lvl>
  </w:abstractNum>
  <w:abstractNum w:abstractNumId="12">
    <w:nsid w:val="1F5777FC"/>
    <w:multiLevelType w:val="hybridMultilevel"/>
    <w:tmpl w:val="8CD89B94"/>
    <w:lvl w:ilvl="0" w:tplc="C5F4A9E6">
      <w:start w:val="1"/>
      <w:numFmt w:val="decimal"/>
      <w:lvlText w:val="1.%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1020B11"/>
    <w:multiLevelType w:val="multilevel"/>
    <w:tmpl w:val="0C09001D"/>
    <w:styleLink w:val="Style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43A727C"/>
    <w:multiLevelType w:val="hybridMultilevel"/>
    <w:tmpl w:val="B4220EF6"/>
    <w:lvl w:ilvl="0" w:tplc="C512CAD4">
      <w:start w:val="1"/>
      <w:numFmt w:val="decimal"/>
      <w:lvlText w:val="1.%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5224B5A"/>
    <w:multiLevelType w:val="multilevel"/>
    <w:tmpl w:val="FE942E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7465EAF"/>
    <w:multiLevelType w:val="hybridMultilevel"/>
    <w:tmpl w:val="31F63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9C7792D"/>
    <w:multiLevelType w:val="hybridMultilevel"/>
    <w:tmpl w:val="06228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AFC48D5"/>
    <w:multiLevelType w:val="hybridMultilevel"/>
    <w:tmpl w:val="CE425E2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CBF4C4B"/>
    <w:multiLevelType w:val="multilevel"/>
    <w:tmpl w:val="4B7C2C3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32E256DD"/>
    <w:multiLevelType w:val="multilevel"/>
    <w:tmpl w:val="CE6A6AEE"/>
    <w:lvl w:ilvl="0">
      <w:start w:val="3"/>
      <w:numFmt w:val="decimal"/>
      <w:lvlText w:val="%1"/>
      <w:lvlJc w:val="left"/>
      <w:pPr>
        <w:ind w:left="375" w:hanging="375"/>
      </w:pPr>
      <w:rPr>
        <w:rFonts w:hint="default"/>
      </w:rPr>
    </w:lvl>
    <w:lvl w:ilvl="1">
      <w:start w:val="12"/>
      <w:numFmt w:val="decimal"/>
      <w:lvlText w:val="%1.%2"/>
      <w:lvlJc w:val="left"/>
      <w:pPr>
        <w:ind w:left="517" w:hanging="375"/>
      </w:pPr>
      <w:rPr>
        <w:rFonts w:asciiTheme="minorHAnsi" w:hAnsiTheme="minorHAnsi" w:cstheme="minorHAnsi" w:hint="default"/>
        <w:sz w:val="22"/>
        <w:szCs w:val="22"/>
      </w:rPr>
    </w:lvl>
    <w:lvl w:ilvl="2">
      <w:start w:val="1"/>
      <w:numFmt w:val="bullet"/>
      <w:lvlText w:val=""/>
      <w:lvlJc w:val="left"/>
      <w:pPr>
        <w:ind w:left="1146" w:hanging="720"/>
      </w:pPr>
      <w:rPr>
        <w:rFonts w:ascii="Symbol" w:hAnsi="Symbo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8E45342"/>
    <w:multiLevelType w:val="multilevel"/>
    <w:tmpl w:val="D30E4AAA"/>
    <w:lvl w:ilvl="0">
      <w:start w:val="3"/>
      <w:numFmt w:val="decimal"/>
      <w:lvlText w:val="%1"/>
      <w:lvlJc w:val="left"/>
      <w:pPr>
        <w:ind w:left="375" w:hanging="375"/>
      </w:pPr>
      <w:rPr>
        <w:rFonts w:hint="default"/>
      </w:rPr>
    </w:lvl>
    <w:lvl w:ilvl="1">
      <w:start w:val="20"/>
      <w:numFmt w:val="decimal"/>
      <w:lvlText w:val="%1.%2"/>
      <w:lvlJc w:val="left"/>
      <w:pPr>
        <w:ind w:left="517" w:hanging="375"/>
      </w:pPr>
      <w:rPr>
        <w:rFonts w:asciiTheme="minorHAnsi" w:hAnsiTheme="minorHAnsi" w:cstheme="minorHAnsi" w:hint="default"/>
        <w:i w:val="0"/>
        <w:sz w:val="22"/>
        <w:szCs w:val="22"/>
      </w:rPr>
    </w:lvl>
    <w:lvl w:ilvl="2">
      <w:start w:val="1"/>
      <w:numFmt w:val="bullet"/>
      <w:lvlText w:val=""/>
      <w:lvlJc w:val="left"/>
      <w:pPr>
        <w:ind w:left="1146" w:hanging="720"/>
      </w:pPr>
      <w:rPr>
        <w:rFonts w:ascii="Symbol" w:hAnsi="Symbo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9BB7DD1"/>
    <w:multiLevelType w:val="hybridMultilevel"/>
    <w:tmpl w:val="C4D4B4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3B4A3931"/>
    <w:multiLevelType w:val="hybridMultilevel"/>
    <w:tmpl w:val="86305A5C"/>
    <w:lvl w:ilvl="0" w:tplc="790C3898">
      <w:start w:val="1"/>
      <w:numFmt w:val="decimal"/>
      <w:lvlText w:val="1.%1"/>
      <w:lvlJc w:val="left"/>
      <w:pPr>
        <w:ind w:left="720" w:hanging="360"/>
      </w:pPr>
      <w:rPr>
        <w:rFonts w:hint="default"/>
      </w:rPr>
    </w:lvl>
    <w:lvl w:ilvl="1" w:tplc="6E36AB62">
      <w:start w:val="1"/>
      <w:numFmt w:val="decimal"/>
      <w:lvlText w:val="1.34.%2"/>
      <w:lvlJc w:val="left"/>
      <w:pPr>
        <w:ind w:left="1211"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CCC1C6C"/>
    <w:multiLevelType w:val="hybridMultilevel"/>
    <w:tmpl w:val="041041C0"/>
    <w:lvl w:ilvl="0" w:tplc="C5F4A9E6">
      <w:start w:val="1"/>
      <w:numFmt w:val="decimal"/>
      <w:lvlText w:val="1.%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ECC4CD2"/>
    <w:multiLevelType w:val="hybridMultilevel"/>
    <w:tmpl w:val="B5224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F82252E"/>
    <w:multiLevelType w:val="hybridMultilevel"/>
    <w:tmpl w:val="1220A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08E4F30"/>
    <w:multiLevelType w:val="hybridMultilevel"/>
    <w:tmpl w:val="41B04706"/>
    <w:lvl w:ilvl="0" w:tplc="C5F4A9E6">
      <w:start w:val="1"/>
      <w:numFmt w:val="decimal"/>
      <w:lvlText w:val="1.%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17F6BAD"/>
    <w:multiLevelType w:val="hybridMultilevel"/>
    <w:tmpl w:val="57FE1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27C3EAA"/>
    <w:multiLevelType w:val="hybridMultilevel"/>
    <w:tmpl w:val="882ED0B0"/>
    <w:lvl w:ilvl="0" w:tplc="C512CAD4">
      <w:start w:val="1"/>
      <w:numFmt w:val="decimal"/>
      <w:lvlText w:val="1.%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2EB64D9"/>
    <w:multiLevelType w:val="hybridMultilevel"/>
    <w:tmpl w:val="4CA23182"/>
    <w:lvl w:ilvl="0" w:tplc="C512CAD4">
      <w:start w:val="1"/>
      <w:numFmt w:val="decimal"/>
      <w:lvlText w:val="1.%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3D33B94"/>
    <w:multiLevelType w:val="multilevel"/>
    <w:tmpl w:val="5868FFE8"/>
    <w:lvl w:ilvl="0">
      <w:start w:val="1"/>
      <w:numFmt w:val="bullet"/>
      <w:lvlText w:val=""/>
      <w:lvlJc w:val="left"/>
      <w:pPr>
        <w:tabs>
          <w:tab w:val="num" w:pos="1183"/>
        </w:tabs>
        <w:ind w:left="1183" w:hanging="360"/>
      </w:pPr>
      <w:rPr>
        <w:rFonts w:ascii="Symbol" w:hAnsi="Symbol" w:hint="default"/>
        <w:sz w:val="20"/>
      </w:rPr>
    </w:lvl>
    <w:lvl w:ilvl="1">
      <w:numFmt w:val="bullet"/>
      <w:lvlText w:val="-"/>
      <w:lvlJc w:val="left"/>
      <w:pPr>
        <w:ind w:left="1903" w:hanging="360"/>
      </w:pPr>
      <w:rPr>
        <w:rFonts w:ascii="Calibri" w:eastAsiaTheme="minorHAnsi" w:hAnsi="Calibri" w:cs="Calibri" w:hint="default"/>
      </w:rPr>
    </w:lvl>
    <w:lvl w:ilvl="2">
      <w:start w:val="1"/>
      <w:numFmt w:val="bullet"/>
      <w:lvlText w:val=""/>
      <w:lvlJc w:val="left"/>
      <w:pPr>
        <w:tabs>
          <w:tab w:val="num" w:pos="2623"/>
        </w:tabs>
        <w:ind w:left="2623" w:hanging="360"/>
      </w:pPr>
      <w:rPr>
        <w:rFonts w:ascii="Wingdings" w:hAnsi="Wingdings" w:hint="default"/>
        <w:sz w:val="20"/>
      </w:rPr>
    </w:lvl>
    <w:lvl w:ilvl="3">
      <w:start w:val="1"/>
      <w:numFmt w:val="bullet"/>
      <w:lvlText w:val=""/>
      <w:lvlJc w:val="left"/>
      <w:pPr>
        <w:tabs>
          <w:tab w:val="num" w:pos="3343"/>
        </w:tabs>
        <w:ind w:left="3343" w:hanging="360"/>
      </w:pPr>
      <w:rPr>
        <w:rFonts w:ascii="Wingdings" w:hAnsi="Wingdings" w:hint="default"/>
        <w:sz w:val="20"/>
      </w:rPr>
    </w:lvl>
    <w:lvl w:ilvl="4">
      <w:start w:val="1"/>
      <w:numFmt w:val="bullet"/>
      <w:lvlText w:val=""/>
      <w:lvlJc w:val="left"/>
      <w:pPr>
        <w:tabs>
          <w:tab w:val="num" w:pos="4063"/>
        </w:tabs>
        <w:ind w:left="4063" w:hanging="360"/>
      </w:pPr>
      <w:rPr>
        <w:rFonts w:ascii="Wingdings" w:hAnsi="Wingdings" w:hint="default"/>
        <w:sz w:val="20"/>
      </w:rPr>
    </w:lvl>
    <w:lvl w:ilvl="5">
      <w:start w:val="1"/>
      <w:numFmt w:val="bullet"/>
      <w:lvlText w:val=""/>
      <w:lvlJc w:val="left"/>
      <w:pPr>
        <w:tabs>
          <w:tab w:val="num" w:pos="4783"/>
        </w:tabs>
        <w:ind w:left="4783" w:hanging="360"/>
      </w:pPr>
      <w:rPr>
        <w:rFonts w:ascii="Wingdings" w:hAnsi="Wingdings" w:hint="default"/>
        <w:sz w:val="20"/>
      </w:rPr>
    </w:lvl>
    <w:lvl w:ilvl="6">
      <w:start w:val="1"/>
      <w:numFmt w:val="bullet"/>
      <w:lvlText w:val=""/>
      <w:lvlJc w:val="left"/>
      <w:pPr>
        <w:tabs>
          <w:tab w:val="num" w:pos="5503"/>
        </w:tabs>
        <w:ind w:left="5503" w:hanging="360"/>
      </w:pPr>
      <w:rPr>
        <w:rFonts w:ascii="Wingdings" w:hAnsi="Wingdings" w:hint="default"/>
        <w:sz w:val="20"/>
      </w:rPr>
    </w:lvl>
    <w:lvl w:ilvl="7" w:tentative="1">
      <w:start w:val="1"/>
      <w:numFmt w:val="bullet"/>
      <w:lvlText w:val=""/>
      <w:lvlJc w:val="left"/>
      <w:pPr>
        <w:tabs>
          <w:tab w:val="num" w:pos="6223"/>
        </w:tabs>
        <w:ind w:left="6223" w:hanging="360"/>
      </w:pPr>
      <w:rPr>
        <w:rFonts w:ascii="Wingdings" w:hAnsi="Wingdings" w:hint="default"/>
        <w:sz w:val="20"/>
      </w:rPr>
    </w:lvl>
    <w:lvl w:ilvl="8" w:tentative="1">
      <w:start w:val="1"/>
      <w:numFmt w:val="bullet"/>
      <w:lvlText w:val=""/>
      <w:lvlJc w:val="left"/>
      <w:pPr>
        <w:tabs>
          <w:tab w:val="num" w:pos="6943"/>
        </w:tabs>
        <w:ind w:left="6943" w:hanging="360"/>
      </w:pPr>
      <w:rPr>
        <w:rFonts w:ascii="Wingdings" w:hAnsi="Wingdings" w:hint="default"/>
        <w:sz w:val="20"/>
      </w:rPr>
    </w:lvl>
  </w:abstractNum>
  <w:abstractNum w:abstractNumId="32">
    <w:nsid w:val="475839A0"/>
    <w:multiLevelType w:val="hybridMultilevel"/>
    <w:tmpl w:val="0238768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3">
    <w:nsid w:val="4B5B2A5A"/>
    <w:multiLevelType w:val="hybridMultilevel"/>
    <w:tmpl w:val="F664FA4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4">
    <w:nsid w:val="4D0C7C48"/>
    <w:multiLevelType w:val="multilevel"/>
    <w:tmpl w:val="F6DCD9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15611D3"/>
    <w:multiLevelType w:val="hybridMultilevel"/>
    <w:tmpl w:val="F55EA340"/>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36">
    <w:nsid w:val="521B261E"/>
    <w:multiLevelType w:val="hybridMultilevel"/>
    <w:tmpl w:val="86305A5C"/>
    <w:lvl w:ilvl="0" w:tplc="790C3898">
      <w:start w:val="1"/>
      <w:numFmt w:val="decimal"/>
      <w:lvlText w:val="1.%1"/>
      <w:lvlJc w:val="left"/>
      <w:pPr>
        <w:ind w:left="720" w:hanging="360"/>
      </w:pPr>
      <w:rPr>
        <w:rFonts w:hint="default"/>
      </w:rPr>
    </w:lvl>
    <w:lvl w:ilvl="1" w:tplc="6E36AB62">
      <w:start w:val="1"/>
      <w:numFmt w:val="decimal"/>
      <w:lvlText w:val="1.34.%2"/>
      <w:lvlJc w:val="left"/>
      <w:pPr>
        <w:ind w:left="1211"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2CF165B"/>
    <w:multiLevelType w:val="hybridMultilevel"/>
    <w:tmpl w:val="A99EAB56"/>
    <w:lvl w:ilvl="0" w:tplc="C5F4A9E6">
      <w:start w:val="1"/>
      <w:numFmt w:val="decimal"/>
      <w:lvlText w:val="1.%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54311C5F"/>
    <w:multiLevelType w:val="hybridMultilevel"/>
    <w:tmpl w:val="76B2FF9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9">
    <w:nsid w:val="54377780"/>
    <w:multiLevelType w:val="hybridMultilevel"/>
    <w:tmpl w:val="98741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6BB7FAB"/>
    <w:multiLevelType w:val="hybridMultilevel"/>
    <w:tmpl w:val="0EBA445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1">
    <w:nsid w:val="597F1A5D"/>
    <w:multiLevelType w:val="hybridMultilevel"/>
    <w:tmpl w:val="26505782"/>
    <w:lvl w:ilvl="0" w:tplc="0C090001">
      <w:start w:val="1"/>
      <w:numFmt w:val="bullet"/>
      <w:lvlText w:val=""/>
      <w:lvlJc w:val="left"/>
      <w:pPr>
        <w:ind w:left="1789" w:hanging="360"/>
      </w:pPr>
      <w:rPr>
        <w:rFonts w:ascii="Symbol" w:hAnsi="Symbol" w:hint="default"/>
      </w:rPr>
    </w:lvl>
    <w:lvl w:ilvl="1" w:tplc="0C090003" w:tentative="1">
      <w:start w:val="1"/>
      <w:numFmt w:val="bullet"/>
      <w:lvlText w:val="o"/>
      <w:lvlJc w:val="left"/>
      <w:pPr>
        <w:ind w:left="2509" w:hanging="360"/>
      </w:pPr>
      <w:rPr>
        <w:rFonts w:ascii="Courier New" w:hAnsi="Courier New" w:cs="Courier New" w:hint="default"/>
      </w:rPr>
    </w:lvl>
    <w:lvl w:ilvl="2" w:tplc="0C090005" w:tentative="1">
      <w:start w:val="1"/>
      <w:numFmt w:val="bullet"/>
      <w:lvlText w:val=""/>
      <w:lvlJc w:val="left"/>
      <w:pPr>
        <w:ind w:left="3229" w:hanging="360"/>
      </w:pPr>
      <w:rPr>
        <w:rFonts w:ascii="Wingdings" w:hAnsi="Wingdings" w:hint="default"/>
      </w:rPr>
    </w:lvl>
    <w:lvl w:ilvl="3" w:tplc="0C090001" w:tentative="1">
      <w:start w:val="1"/>
      <w:numFmt w:val="bullet"/>
      <w:lvlText w:val=""/>
      <w:lvlJc w:val="left"/>
      <w:pPr>
        <w:ind w:left="3949" w:hanging="360"/>
      </w:pPr>
      <w:rPr>
        <w:rFonts w:ascii="Symbol" w:hAnsi="Symbol" w:hint="default"/>
      </w:rPr>
    </w:lvl>
    <w:lvl w:ilvl="4" w:tplc="0C090003" w:tentative="1">
      <w:start w:val="1"/>
      <w:numFmt w:val="bullet"/>
      <w:lvlText w:val="o"/>
      <w:lvlJc w:val="left"/>
      <w:pPr>
        <w:ind w:left="4669" w:hanging="360"/>
      </w:pPr>
      <w:rPr>
        <w:rFonts w:ascii="Courier New" w:hAnsi="Courier New" w:cs="Courier New" w:hint="default"/>
      </w:rPr>
    </w:lvl>
    <w:lvl w:ilvl="5" w:tplc="0C090005" w:tentative="1">
      <w:start w:val="1"/>
      <w:numFmt w:val="bullet"/>
      <w:lvlText w:val=""/>
      <w:lvlJc w:val="left"/>
      <w:pPr>
        <w:ind w:left="5389" w:hanging="360"/>
      </w:pPr>
      <w:rPr>
        <w:rFonts w:ascii="Wingdings" w:hAnsi="Wingdings" w:hint="default"/>
      </w:rPr>
    </w:lvl>
    <w:lvl w:ilvl="6" w:tplc="0C090001" w:tentative="1">
      <w:start w:val="1"/>
      <w:numFmt w:val="bullet"/>
      <w:lvlText w:val=""/>
      <w:lvlJc w:val="left"/>
      <w:pPr>
        <w:ind w:left="6109" w:hanging="360"/>
      </w:pPr>
      <w:rPr>
        <w:rFonts w:ascii="Symbol" w:hAnsi="Symbol" w:hint="default"/>
      </w:rPr>
    </w:lvl>
    <w:lvl w:ilvl="7" w:tplc="0C090003" w:tentative="1">
      <w:start w:val="1"/>
      <w:numFmt w:val="bullet"/>
      <w:lvlText w:val="o"/>
      <w:lvlJc w:val="left"/>
      <w:pPr>
        <w:ind w:left="6829" w:hanging="360"/>
      </w:pPr>
      <w:rPr>
        <w:rFonts w:ascii="Courier New" w:hAnsi="Courier New" w:cs="Courier New" w:hint="default"/>
      </w:rPr>
    </w:lvl>
    <w:lvl w:ilvl="8" w:tplc="0C090005" w:tentative="1">
      <w:start w:val="1"/>
      <w:numFmt w:val="bullet"/>
      <w:lvlText w:val=""/>
      <w:lvlJc w:val="left"/>
      <w:pPr>
        <w:ind w:left="7549" w:hanging="360"/>
      </w:pPr>
      <w:rPr>
        <w:rFonts w:ascii="Wingdings" w:hAnsi="Wingdings" w:hint="default"/>
      </w:rPr>
    </w:lvl>
  </w:abstractNum>
  <w:abstractNum w:abstractNumId="42">
    <w:nsid w:val="5DD803C0"/>
    <w:multiLevelType w:val="multilevel"/>
    <w:tmpl w:val="4B7C2C3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nsid w:val="5F1E45B1"/>
    <w:multiLevelType w:val="hybridMultilevel"/>
    <w:tmpl w:val="D10C65F0"/>
    <w:lvl w:ilvl="0" w:tplc="C5F4A9E6">
      <w:start w:val="1"/>
      <w:numFmt w:val="decimal"/>
      <w:lvlText w:val="1.%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180"/>
      </w:pPr>
      <w:rPr>
        <w:rFonts w:ascii="Courier New" w:hAnsi="Courier New" w:cs="Courier New"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60AD1002"/>
    <w:multiLevelType w:val="hybridMultilevel"/>
    <w:tmpl w:val="BCDE4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11D6D7A"/>
    <w:multiLevelType w:val="multilevel"/>
    <w:tmpl w:val="1BF04A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61F3792B"/>
    <w:multiLevelType w:val="hybridMultilevel"/>
    <w:tmpl w:val="53181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41246C8"/>
    <w:multiLevelType w:val="hybridMultilevel"/>
    <w:tmpl w:val="513C0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54D7F8F"/>
    <w:multiLevelType w:val="hybridMultilevel"/>
    <w:tmpl w:val="1166D83C"/>
    <w:lvl w:ilvl="0" w:tplc="0C090001">
      <w:start w:val="1"/>
      <w:numFmt w:val="bullet"/>
      <w:lvlText w:val=""/>
      <w:lvlJc w:val="left"/>
      <w:pPr>
        <w:ind w:left="643"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9">
    <w:nsid w:val="66452E2F"/>
    <w:multiLevelType w:val="hybridMultilevel"/>
    <w:tmpl w:val="DA64D248"/>
    <w:lvl w:ilvl="0" w:tplc="C5F4A9E6">
      <w:start w:val="1"/>
      <w:numFmt w:val="decimal"/>
      <w:lvlText w:val="1.%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664824DD"/>
    <w:multiLevelType w:val="multilevel"/>
    <w:tmpl w:val="BF00EB0A"/>
    <w:lvl w:ilvl="0">
      <w:start w:val="1"/>
      <w:numFmt w:val="decimal"/>
      <w:lvlText w:val="%1"/>
      <w:lvlJc w:val="left"/>
      <w:pPr>
        <w:ind w:left="375" w:hanging="375"/>
      </w:pPr>
      <w:rPr>
        <w:rFonts w:hint="default"/>
      </w:rPr>
    </w:lvl>
    <w:lvl w:ilvl="1">
      <w:start w:val="36"/>
      <w:numFmt w:val="decimal"/>
      <w:lvlText w:val="%1.%2"/>
      <w:lvlJc w:val="left"/>
      <w:pPr>
        <w:ind w:left="1809" w:hanging="375"/>
      </w:pPr>
      <w:rPr>
        <w:rFonts w:hint="default"/>
      </w:rPr>
    </w:lvl>
    <w:lvl w:ilvl="2">
      <w:start w:val="1"/>
      <w:numFmt w:val="decimal"/>
      <w:lvlText w:val="%1.%2.%3"/>
      <w:lvlJc w:val="left"/>
      <w:pPr>
        <w:ind w:left="3588" w:hanging="720"/>
      </w:pPr>
      <w:rPr>
        <w:rFonts w:hint="default"/>
      </w:rPr>
    </w:lvl>
    <w:lvl w:ilvl="3">
      <w:start w:val="1"/>
      <w:numFmt w:val="decimal"/>
      <w:lvlText w:val="%1.%2.%3.%4"/>
      <w:lvlJc w:val="left"/>
      <w:pPr>
        <w:ind w:left="5022" w:hanging="720"/>
      </w:pPr>
      <w:rPr>
        <w:rFonts w:hint="default"/>
      </w:rPr>
    </w:lvl>
    <w:lvl w:ilvl="4">
      <w:start w:val="1"/>
      <w:numFmt w:val="decimal"/>
      <w:lvlText w:val="%1.%2.%3.%4.%5"/>
      <w:lvlJc w:val="left"/>
      <w:pPr>
        <w:ind w:left="6816" w:hanging="1080"/>
      </w:pPr>
      <w:rPr>
        <w:rFonts w:hint="default"/>
      </w:rPr>
    </w:lvl>
    <w:lvl w:ilvl="5">
      <w:start w:val="1"/>
      <w:numFmt w:val="decimal"/>
      <w:lvlText w:val="%1.%2.%3.%4.%5.%6"/>
      <w:lvlJc w:val="left"/>
      <w:pPr>
        <w:ind w:left="8250" w:hanging="1080"/>
      </w:pPr>
      <w:rPr>
        <w:rFonts w:hint="default"/>
      </w:rPr>
    </w:lvl>
    <w:lvl w:ilvl="6">
      <w:start w:val="1"/>
      <w:numFmt w:val="decimal"/>
      <w:lvlText w:val="%1.%2.%3.%4.%5.%6.%7"/>
      <w:lvlJc w:val="left"/>
      <w:pPr>
        <w:ind w:left="10044" w:hanging="1440"/>
      </w:pPr>
      <w:rPr>
        <w:rFonts w:hint="default"/>
      </w:rPr>
    </w:lvl>
    <w:lvl w:ilvl="7">
      <w:start w:val="1"/>
      <w:numFmt w:val="decimal"/>
      <w:lvlText w:val="%1.%2.%3.%4.%5.%6.%7.%8"/>
      <w:lvlJc w:val="left"/>
      <w:pPr>
        <w:ind w:left="11478" w:hanging="1440"/>
      </w:pPr>
      <w:rPr>
        <w:rFonts w:hint="default"/>
      </w:rPr>
    </w:lvl>
    <w:lvl w:ilvl="8">
      <w:start w:val="1"/>
      <w:numFmt w:val="decimal"/>
      <w:lvlText w:val="%1.%2.%3.%4.%5.%6.%7.%8.%9"/>
      <w:lvlJc w:val="left"/>
      <w:pPr>
        <w:ind w:left="12912" w:hanging="1440"/>
      </w:pPr>
      <w:rPr>
        <w:rFonts w:hint="default"/>
      </w:rPr>
    </w:lvl>
  </w:abstractNum>
  <w:abstractNum w:abstractNumId="51">
    <w:nsid w:val="67D815C7"/>
    <w:multiLevelType w:val="hybridMultilevel"/>
    <w:tmpl w:val="50CAC3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6A8C40DF"/>
    <w:multiLevelType w:val="hybridMultilevel"/>
    <w:tmpl w:val="B5E0CC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nsid w:val="6D01075A"/>
    <w:multiLevelType w:val="hybridMultilevel"/>
    <w:tmpl w:val="79309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701D68FC"/>
    <w:multiLevelType w:val="hybridMultilevel"/>
    <w:tmpl w:val="D41A9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709D10FE"/>
    <w:multiLevelType w:val="multilevel"/>
    <w:tmpl w:val="042EABF8"/>
    <w:lvl w:ilvl="0">
      <w:start w:val="2"/>
      <w:numFmt w:val="decimal"/>
      <w:lvlText w:val="%1"/>
      <w:lvlJc w:val="left"/>
      <w:pPr>
        <w:ind w:left="480" w:hanging="480"/>
      </w:pPr>
      <w:rPr>
        <w:rFonts w:hint="default"/>
      </w:rPr>
    </w:lvl>
    <w:lvl w:ilvl="1">
      <w:start w:val="167"/>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6">
    <w:nsid w:val="71761AE1"/>
    <w:multiLevelType w:val="hybridMultilevel"/>
    <w:tmpl w:val="DDDE2B5A"/>
    <w:lvl w:ilvl="0" w:tplc="C5F4A9E6">
      <w:start w:val="1"/>
      <w:numFmt w:val="decimal"/>
      <w:lvlText w:val="1.%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721D18F2"/>
    <w:multiLevelType w:val="multilevel"/>
    <w:tmpl w:val="2C007C3C"/>
    <w:styleLink w:val="Style3"/>
    <w:lvl w:ilvl="0">
      <w:start w:val="3"/>
      <w:numFmt w:val="decimal"/>
      <w:lvlText w:val="%1.1"/>
      <w:lvlJc w:val="left"/>
      <w:pPr>
        <w:ind w:left="357" w:hanging="357"/>
      </w:pPr>
      <w:rPr>
        <w:rFonts w:hint="default"/>
      </w:rPr>
    </w:lvl>
    <w:lvl w:ilvl="1">
      <w:start w:val="1"/>
      <w:numFmt w:val="none"/>
      <w:lvlText w:val="3.1.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8">
    <w:nsid w:val="741811AC"/>
    <w:multiLevelType w:val="hybridMultilevel"/>
    <w:tmpl w:val="6520D4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9">
    <w:nsid w:val="75144A4B"/>
    <w:multiLevelType w:val="hybridMultilevel"/>
    <w:tmpl w:val="B7827E7A"/>
    <w:lvl w:ilvl="0" w:tplc="5218E822">
      <w:start w:val="1"/>
      <w:numFmt w:val="bullet"/>
      <w:pStyle w:val="ListBullet"/>
      <w:lvlText w:val=""/>
      <w:lvlJc w:val="left"/>
      <w:pPr>
        <w:ind w:left="360" w:hanging="360"/>
      </w:pPr>
      <w:rPr>
        <w:rFonts w:ascii="Symbol" w:hAnsi="Symbol" w:hint="default"/>
      </w:rPr>
    </w:lvl>
    <w:lvl w:ilvl="1" w:tplc="E76CAF38">
      <w:start w:val="1"/>
      <w:numFmt w:val="bullet"/>
      <w:lvlText w:val="o"/>
      <w:lvlJc w:val="left"/>
      <w:pPr>
        <w:ind w:left="1080" w:hanging="360"/>
      </w:pPr>
      <w:rPr>
        <w:rFonts w:ascii="Courier New" w:hAnsi="Courier New" w:cs="Courier New" w:hint="default"/>
      </w:rPr>
    </w:lvl>
    <w:lvl w:ilvl="2" w:tplc="AB18402C" w:tentative="1">
      <w:start w:val="1"/>
      <w:numFmt w:val="bullet"/>
      <w:lvlText w:val=""/>
      <w:lvlJc w:val="left"/>
      <w:pPr>
        <w:ind w:left="1800" w:hanging="360"/>
      </w:pPr>
      <w:rPr>
        <w:rFonts w:ascii="Wingdings" w:hAnsi="Wingdings" w:hint="default"/>
      </w:rPr>
    </w:lvl>
    <w:lvl w:ilvl="3" w:tplc="3A66B960" w:tentative="1">
      <w:start w:val="1"/>
      <w:numFmt w:val="bullet"/>
      <w:lvlText w:val=""/>
      <w:lvlJc w:val="left"/>
      <w:pPr>
        <w:ind w:left="2520" w:hanging="360"/>
      </w:pPr>
      <w:rPr>
        <w:rFonts w:ascii="Symbol" w:hAnsi="Symbol" w:hint="default"/>
      </w:rPr>
    </w:lvl>
    <w:lvl w:ilvl="4" w:tplc="49B056F4" w:tentative="1">
      <w:start w:val="1"/>
      <w:numFmt w:val="bullet"/>
      <w:lvlText w:val="o"/>
      <w:lvlJc w:val="left"/>
      <w:pPr>
        <w:ind w:left="3240" w:hanging="360"/>
      </w:pPr>
      <w:rPr>
        <w:rFonts w:ascii="Courier New" w:hAnsi="Courier New" w:cs="Courier New" w:hint="default"/>
      </w:rPr>
    </w:lvl>
    <w:lvl w:ilvl="5" w:tplc="35021014" w:tentative="1">
      <w:start w:val="1"/>
      <w:numFmt w:val="bullet"/>
      <w:lvlText w:val=""/>
      <w:lvlJc w:val="left"/>
      <w:pPr>
        <w:ind w:left="3960" w:hanging="360"/>
      </w:pPr>
      <w:rPr>
        <w:rFonts w:ascii="Wingdings" w:hAnsi="Wingdings" w:hint="default"/>
      </w:rPr>
    </w:lvl>
    <w:lvl w:ilvl="6" w:tplc="4E20AEEE" w:tentative="1">
      <w:start w:val="1"/>
      <w:numFmt w:val="bullet"/>
      <w:lvlText w:val=""/>
      <w:lvlJc w:val="left"/>
      <w:pPr>
        <w:ind w:left="4680" w:hanging="360"/>
      </w:pPr>
      <w:rPr>
        <w:rFonts w:ascii="Symbol" w:hAnsi="Symbol" w:hint="default"/>
      </w:rPr>
    </w:lvl>
    <w:lvl w:ilvl="7" w:tplc="86503A7A" w:tentative="1">
      <w:start w:val="1"/>
      <w:numFmt w:val="bullet"/>
      <w:lvlText w:val="o"/>
      <w:lvlJc w:val="left"/>
      <w:pPr>
        <w:ind w:left="5400" w:hanging="360"/>
      </w:pPr>
      <w:rPr>
        <w:rFonts w:ascii="Courier New" w:hAnsi="Courier New" w:cs="Courier New" w:hint="default"/>
      </w:rPr>
    </w:lvl>
    <w:lvl w:ilvl="8" w:tplc="C766241E" w:tentative="1">
      <w:start w:val="1"/>
      <w:numFmt w:val="bullet"/>
      <w:lvlText w:val=""/>
      <w:lvlJc w:val="left"/>
      <w:pPr>
        <w:ind w:left="6120" w:hanging="360"/>
      </w:pPr>
      <w:rPr>
        <w:rFonts w:ascii="Wingdings" w:hAnsi="Wingdings" w:hint="default"/>
      </w:rPr>
    </w:lvl>
  </w:abstractNum>
  <w:abstractNum w:abstractNumId="60">
    <w:nsid w:val="77C3464A"/>
    <w:multiLevelType w:val="hybridMultilevel"/>
    <w:tmpl w:val="9C504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7B3C07B3"/>
    <w:multiLevelType w:val="multilevel"/>
    <w:tmpl w:val="D5EEC492"/>
    <w:styleLink w:val="Style4"/>
    <w:lvl w:ilvl="0">
      <w:start w:val="1"/>
      <w:numFmt w:val="none"/>
      <w:lvlText w:val="3.1"/>
      <w:lvlJc w:val="left"/>
      <w:pPr>
        <w:ind w:left="360" w:hanging="360"/>
      </w:pPr>
      <w:rPr>
        <w:rFonts w:ascii="Calibri" w:hAnsi="Calibri" w:hint="default"/>
      </w:rPr>
    </w:lvl>
    <w:lvl w:ilvl="1">
      <w:start w:val="1"/>
      <w:numFmt w:val="none"/>
      <w:lvlText w:val="3.2"/>
      <w:lvlJc w:val="left"/>
      <w:pPr>
        <w:ind w:left="357" w:firstLine="3"/>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7CC31400"/>
    <w:multiLevelType w:val="multilevel"/>
    <w:tmpl w:val="0C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7DD51D96"/>
    <w:multiLevelType w:val="hybridMultilevel"/>
    <w:tmpl w:val="F71ECCE6"/>
    <w:lvl w:ilvl="0" w:tplc="0C090011">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60"/>
  </w:num>
  <w:num w:numId="3">
    <w:abstractNumId w:val="36"/>
  </w:num>
  <w:num w:numId="4">
    <w:abstractNumId w:val="37"/>
  </w:num>
  <w:num w:numId="5">
    <w:abstractNumId w:val="27"/>
  </w:num>
  <w:num w:numId="6">
    <w:abstractNumId w:val="12"/>
  </w:num>
  <w:num w:numId="7">
    <w:abstractNumId w:val="6"/>
  </w:num>
  <w:num w:numId="8">
    <w:abstractNumId w:val="56"/>
  </w:num>
  <w:num w:numId="9">
    <w:abstractNumId w:val="24"/>
  </w:num>
  <w:num w:numId="10">
    <w:abstractNumId w:val="49"/>
  </w:num>
  <w:num w:numId="11">
    <w:abstractNumId w:val="30"/>
  </w:num>
  <w:num w:numId="12">
    <w:abstractNumId w:val="14"/>
  </w:num>
  <w:num w:numId="13">
    <w:abstractNumId w:val="8"/>
  </w:num>
  <w:num w:numId="14">
    <w:abstractNumId w:val="29"/>
  </w:num>
  <w:num w:numId="15">
    <w:abstractNumId w:val="47"/>
  </w:num>
  <w:num w:numId="16">
    <w:abstractNumId w:val="28"/>
  </w:num>
  <w:num w:numId="17">
    <w:abstractNumId w:val="43"/>
  </w:num>
  <w:num w:numId="18">
    <w:abstractNumId w:val="46"/>
  </w:num>
  <w:num w:numId="19">
    <w:abstractNumId w:val="50"/>
  </w:num>
  <w:num w:numId="20">
    <w:abstractNumId w:val="54"/>
  </w:num>
  <w:num w:numId="21">
    <w:abstractNumId w:val="5"/>
  </w:num>
  <w:num w:numId="22">
    <w:abstractNumId w:val="48"/>
  </w:num>
  <w:num w:numId="23">
    <w:abstractNumId w:val="31"/>
  </w:num>
  <w:num w:numId="24">
    <w:abstractNumId w:val="38"/>
  </w:num>
  <w:num w:numId="25">
    <w:abstractNumId w:val="63"/>
  </w:num>
  <w:num w:numId="26">
    <w:abstractNumId w:val="39"/>
  </w:num>
  <w:num w:numId="27">
    <w:abstractNumId w:val="35"/>
  </w:num>
  <w:num w:numId="28">
    <w:abstractNumId w:val="33"/>
  </w:num>
  <w:num w:numId="29">
    <w:abstractNumId w:val="11"/>
  </w:num>
  <w:num w:numId="30">
    <w:abstractNumId w:val="41"/>
  </w:num>
  <w:num w:numId="31">
    <w:abstractNumId w:val="10"/>
  </w:num>
  <w:num w:numId="32">
    <w:abstractNumId w:val="55"/>
  </w:num>
  <w:num w:numId="33">
    <w:abstractNumId w:val="40"/>
  </w:num>
  <w:num w:numId="34">
    <w:abstractNumId w:val="22"/>
  </w:num>
  <w:num w:numId="35">
    <w:abstractNumId w:val="4"/>
  </w:num>
  <w:num w:numId="36">
    <w:abstractNumId w:val="0"/>
  </w:num>
  <w:num w:numId="37">
    <w:abstractNumId w:val="9"/>
  </w:num>
  <w:num w:numId="38">
    <w:abstractNumId w:val="21"/>
  </w:num>
  <w:num w:numId="39">
    <w:abstractNumId w:val="62"/>
  </w:num>
  <w:num w:numId="40">
    <w:abstractNumId w:val="13"/>
  </w:num>
  <w:num w:numId="41">
    <w:abstractNumId w:val="57"/>
  </w:num>
  <w:num w:numId="42">
    <w:abstractNumId w:val="61"/>
  </w:num>
  <w:num w:numId="43">
    <w:abstractNumId w:val="17"/>
  </w:num>
  <w:num w:numId="44">
    <w:abstractNumId w:val="19"/>
  </w:num>
  <w:num w:numId="45">
    <w:abstractNumId w:val="42"/>
  </w:num>
  <w:num w:numId="46">
    <w:abstractNumId w:val="7"/>
  </w:num>
  <w:num w:numId="47">
    <w:abstractNumId w:val="26"/>
  </w:num>
  <w:num w:numId="48">
    <w:abstractNumId w:val="58"/>
  </w:num>
  <w:num w:numId="49">
    <w:abstractNumId w:val="3"/>
  </w:num>
  <w:num w:numId="50">
    <w:abstractNumId w:val="20"/>
  </w:num>
  <w:num w:numId="51">
    <w:abstractNumId w:val="59"/>
  </w:num>
  <w:num w:numId="52">
    <w:abstractNumId w:val="32"/>
  </w:num>
  <w:num w:numId="53">
    <w:abstractNumId w:val="45"/>
  </w:num>
  <w:num w:numId="54">
    <w:abstractNumId w:val="15"/>
  </w:num>
  <w:num w:numId="55">
    <w:abstractNumId w:val="1"/>
  </w:num>
  <w:num w:numId="56">
    <w:abstractNumId w:val="25"/>
  </w:num>
  <w:num w:numId="57">
    <w:abstractNumId w:val="44"/>
  </w:num>
  <w:num w:numId="58">
    <w:abstractNumId w:val="53"/>
  </w:num>
  <w:num w:numId="59">
    <w:abstractNumId w:val="2"/>
  </w:num>
  <w:num w:numId="60">
    <w:abstractNumId w:val="34"/>
  </w:num>
  <w:num w:numId="61">
    <w:abstractNumId w:val="52"/>
  </w:num>
  <w:num w:numId="62">
    <w:abstractNumId w:val="51"/>
  </w:num>
  <w:num w:numId="63">
    <w:abstractNumId w:val="18"/>
  </w:num>
  <w:num w:numId="64">
    <w:abstractNumId w:val="2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7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111216"/>
    <w:rsid w:val="0000038C"/>
    <w:rsid w:val="000015D6"/>
    <w:rsid w:val="00002F4D"/>
    <w:rsid w:val="00011B86"/>
    <w:rsid w:val="00012261"/>
    <w:rsid w:val="00023148"/>
    <w:rsid w:val="00032497"/>
    <w:rsid w:val="00033C73"/>
    <w:rsid w:val="00035677"/>
    <w:rsid w:val="00040347"/>
    <w:rsid w:val="000472AF"/>
    <w:rsid w:val="000519AF"/>
    <w:rsid w:val="0005581F"/>
    <w:rsid w:val="00056539"/>
    <w:rsid w:val="00063416"/>
    <w:rsid w:val="0007577B"/>
    <w:rsid w:val="00076F5F"/>
    <w:rsid w:val="00077A07"/>
    <w:rsid w:val="000820F8"/>
    <w:rsid w:val="000A1294"/>
    <w:rsid w:val="000A21F9"/>
    <w:rsid w:val="000A3375"/>
    <w:rsid w:val="000A3F6D"/>
    <w:rsid w:val="000A5586"/>
    <w:rsid w:val="000B0E0E"/>
    <w:rsid w:val="000B34F5"/>
    <w:rsid w:val="000B351E"/>
    <w:rsid w:val="000B5FA8"/>
    <w:rsid w:val="000C2A97"/>
    <w:rsid w:val="000C44D9"/>
    <w:rsid w:val="000C7524"/>
    <w:rsid w:val="000D456C"/>
    <w:rsid w:val="000D6464"/>
    <w:rsid w:val="000D7C1C"/>
    <w:rsid w:val="000D7E07"/>
    <w:rsid w:val="000E2171"/>
    <w:rsid w:val="000E341C"/>
    <w:rsid w:val="000E5D11"/>
    <w:rsid w:val="000E5FBE"/>
    <w:rsid w:val="000F48E5"/>
    <w:rsid w:val="001001E1"/>
    <w:rsid w:val="00100C37"/>
    <w:rsid w:val="00100CEC"/>
    <w:rsid w:val="00110DF1"/>
    <w:rsid w:val="00111216"/>
    <w:rsid w:val="00115AEF"/>
    <w:rsid w:val="00121330"/>
    <w:rsid w:val="001230B5"/>
    <w:rsid w:val="00123480"/>
    <w:rsid w:val="00124656"/>
    <w:rsid w:val="00130806"/>
    <w:rsid w:val="00140427"/>
    <w:rsid w:val="00143D86"/>
    <w:rsid w:val="00146F8D"/>
    <w:rsid w:val="001517AF"/>
    <w:rsid w:val="00151EE5"/>
    <w:rsid w:val="00152CB9"/>
    <w:rsid w:val="00154759"/>
    <w:rsid w:val="001611C9"/>
    <w:rsid w:val="00165B6A"/>
    <w:rsid w:val="00167BD0"/>
    <w:rsid w:val="00171440"/>
    <w:rsid w:val="00171CFA"/>
    <w:rsid w:val="00171EA9"/>
    <w:rsid w:val="00173FC9"/>
    <w:rsid w:val="001742DB"/>
    <w:rsid w:val="00176768"/>
    <w:rsid w:val="00177508"/>
    <w:rsid w:val="00180226"/>
    <w:rsid w:val="001811D8"/>
    <w:rsid w:val="00183331"/>
    <w:rsid w:val="00191A6D"/>
    <w:rsid w:val="00191FDE"/>
    <w:rsid w:val="001930A0"/>
    <w:rsid w:val="00193204"/>
    <w:rsid w:val="001A12B2"/>
    <w:rsid w:val="001A3498"/>
    <w:rsid w:val="001A4551"/>
    <w:rsid w:val="001A6F4C"/>
    <w:rsid w:val="001C65A0"/>
    <w:rsid w:val="001C6EA1"/>
    <w:rsid w:val="001D5C82"/>
    <w:rsid w:val="001D60B1"/>
    <w:rsid w:val="001E0E61"/>
    <w:rsid w:val="001E2955"/>
    <w:rsid w:val="001E747B"/>
    <w:rsid w:val="002002CC"/>
    <w:rsid w:val="00202BA6"/>
    <w:rsid w:val="00203ECB"/>
    <w:rsid w:val="00213178"/>
    <w:rsid w:val="002135FF"/>
    <w:rsid w:val="0021471D"/>
    <w:rsid w:val="002158ED"/>
    <w:rsid w:val="002171FD"/>
    <w:rsid w:val="00220579"/>
    <w:rsid w:val="00225963"/>
    <w:rsid w:val="002426EE"/>
    <w:rsid w:val="00243BF6"/>
    <w:rsid w:val="0025029F"/>
    <w:rsid w:val="002516A0"/>
    <w:rsid w:val="002546D1"/>
    <w:rsid w:val="002555F4"/>
    <w:rsid w:val="002557C3"/>
    <w:rsid w:val="0025696F"/>
    <w:rsid w:val="00264139"/>
    <w:rsid w:val="00267983"/>
    <w:rsid w:val="00270E9C"/>
    <w:rsid w:val="00271AE7"/>
    <w:rsid w:val="00285014"/>
    <w:rsid w:val="00285BCE"/>
    <w:rsid w:val="00286287"/>
    <w:rsid w:val="002901A7"/>
    <w:rsid w:val="00290859"/>
    <w:rsid w:val="0029316A"/>
    <w:rsid w:val="002932B3"/>
    <w:rsid w:val="0029454B"/>
    <w:rsid w:val="002A0336"/>
    <w:rsid w:val="002A2F89"/>
    <w:rsid w:val="002B3D74"/>
    <w:rsid w:val="002B3F4E"/>
    <w:rsid w:val="002B5104"/>
    <w:rsid w:val="002C0913"/>
    <w:rsid w:val="002C43C2"/>
    <w:rsid w:val="002C4799"/>
    <w:rsid w:val="002C74EE"/>
    <w:rsid w:val="002D3687"/>
    <w:rsid w:val="002D7E16"/>
    <w:rsid w:val="002E5856"/>
    <w:rsid w:val="002E5F18"/>
    <w:rsid w:val="002F09D6"/>
    <w:rsid w:val="002F431E"/>
    <w:rsid w:val="002F783E"/>
    <w:rsid w:val="0030057C"/>
    <w:rsid w:val="00302018"/>
    <w:rsid w:val="00303E94"/>
    <w:rsid w:val="00304FD6"/>
    <w:rsid w:val="003132C4"/>
    <w:rsid w:val="00314E1B"/>
    <w:rsid w:val="00317079"/>
    <w:rsid w:val="00331F91"/>
    <w:rsid w:val="00332C86"/>
    <w:rsid w:val="00334B9A"/>
    <w:rsid w:val="00334F90"/>
    <w:rsid w:val="00337876"/>
    <w:rsid w:val="00341C6F"/>
    <w:rsid w:val="0034266C"/>
    <w:rsid w:val="00342AE9"/>
    <w:rsid w:val="0034688E"/>
    <w:rsid w:val="003514F0"/>
    <w:rsid w:val="0035663E"/>
    <w:rsid w:val="00363BCC"/>
    <w:rsid w:val="00365EDA"/>
    <w:rsid w:val="003678BA"/>
    <w:rsid w:val="00370C4D"/>
    <w:rsid w:val="0037358F"/>
    <w:rsid w:val="00373844"/>
    <w:rsid w:val="00373953"/>
    <w:rsid w:val="00384104"/>
    <w:rsid w:val="00392721"/>
    <w:rsid w:val="00397078"/>
    <w:rsid w:val="003A5F10"/>
    <w:rsid w:val="003B19E8"/>
    <w:rsid w:val="003B237B"/>
    <w:rsid w:val="003B2381"/>
    <w:rsid w:val="003B4C2D"/>
    <w:rsid w:val="003C0D08"/>
    <w:rsid w:val="003C1105"/>
    <w:rsid w:val="003C16D7"/>
    <w:rsid w:val="003C26C4"/>
    <w:rsid w:val="003C478D"/>
    <w:rsid w:val="003D006A"/>
    <w:rsid w:val="003D01D4"/>
    <w:rsid w:val="003D4727"/>
    <w:rsid w:val="003D5072"/>
    <w:rsid w:val="003D63E6"/>
    <w:rsid w:val="003D734F"/>
    <w:rsid w:val="003E11E1"/>
    <w:rsid w:val="003E2EC3"/>
    <w:rsid w:val="003F4D1A"/>
    <w:rsid w:val="003F5D11"/>
    <w:rsid w:val="003F7AAF"/>
    <w:rsid w:val="00400335"/>
    <w:rsid w:val="00400403"/>
    <w:rsid w:val="004051F6"/>
    <w:rsid w:val="0041013D"/>
    <w:rsid w:val="004102BE"/>
    <w:rsid w:val="004145DF"/>
    <w:rsid w:val="0041510F"/>
    <w:rsid w:val="00417058"/>
    <w:rsid w:val="00420282"/>
    <w:rsid w:val="0042201E"/>
    <w:rsid w:val="0042361E"/>
    <w:rsid w:val="00425267"/>
    <w:rsid w:val="00425E18"/>
    <w:rsid w:val="00426AAE"/>
    <w:rsid w:val="00427013"/>
    <w:rsid w:val="004306FE"/>
    <w:rsid w:val="00431310"/>
    <w:rsid w:val="004338E3"/>
    <w:rsid w:val="00434E26"/>
    <w:rsid w:val="00436DB1"/>
    <w:rsid w:val="00437258"/>
    <w:rsid w:val="004416A3"/>
    <w:rsid w:val="00442B45"/>
    <w:rsid w:val="00442F19"/>
    <w:rsid w:val="00443A40"/>
    <w:rsid w:val="00446127"/>
    <w:rsid w:val="00454D90"/>
    <w:rsid w:val="004578E4"/>
    <w:rsid w:val="00457BC0"/>
    <w:rsid w:val="00460364"/>
    <w:rsid w:val="00465438"/>
    <w:rsid w:val="0046658A"/>
    <w:rsid w:val="004714E5"/>
    <w:rsid w:val="00480545"/>
    <w:rsid w:val="0048189F"/>
    <w:rsid w:val="0048245E"/>
    <w:rsid w:val="0049190B"/>
    <w:rsid w:val="0049756C"/>
    <w:rsid w:val="004A1922"/>
    <w:rsid w:val="004A2A7B"/>
    <w:rsid w:val="004A37E6"/>
    <w:rsid w:val="004B5352"/>
    <w:rsid w:val="004C2C1A"/>
    <w:rsid w:val="004C2EE9"/>
    <w:rsid w:val="004D137C"/>
    <w:rsid w:val="004D6515"/>
    <w:rsid w:val="004E5DDA"/>
    <w:rsid w:val="004F3309"/>
    <w:rsid w:val="004F4B3D"/>
    <w:rsid w:val="004F510A"/>
    <w:rsid w:val="00503430"/>
    <w:rsid w:val="00504FB5"/>
    <w:rsid w:val="0050660D"/>
    <w:rsid w:val="005117A8"/>
    <w:rsid w:val="00520478"/>
    <w:rsid w:val="00522B03"/>
    <w:rsid w:val="00522FF0"/>
    <w:rsid w:val="005235DC"/>
    <w:rsid w:val="00524DB4"/>
    <w:rsid w:val="00540A79"/>
    <w:rsid w:val="00551BE5"/>
    <w:rsid w:val="0055570F"/>
    <w:rsid w:val="00561248"/>
    <w:rsid w:val="005621AD"/>
    <w:rsid w:val="005643A7"/>
    <w:rsid w:val="00564CA3"/>
    <w:rsid w:val="00571F1A"/>
    <w:rsid w:val="00573098"/>
    <w:rsid w:val="00573B66"/>
    <w:rsid w:val="005742BD"/>
    <w:rsid w:val="00574802"/>
    <w:rsid w:val="00576193"/>
    <w:rsid w:val="00581A02"/>
    <w:rsid w:val="00584ADA"/>
    <w:rsid w:val="00586626"/>
    <w:rsid w:val="0058723D"/>
    <w:rsid w:val="00590A29"/>
    <w:rsid w:val="0059217F"/>
    <w:rsid w:val="00593CF5"/>
    <w:rsid w:val="00593DF3"/>
    <w:rsid w:val="005946E4"/>
    <w:rsid w:val="00595D4E"/>
    <w:rsid w:val="005A1B91"/>
    <w:rsid w:val="005B0029"/>
    <w:rsid w:val="005B2C7D"/>
    <w:rsid w:val="005B71F1"/>
    <w:rsid w:val="005B7CC1"/>
    <w:rsid w:val="005C50E2"/>
    <w:rsid w:val="005C56C6"/>
    <w:rsid w:val="005D15C9"/>
    <w:rsid w:val="005D2A80"/>
    <w:rsid w:val="005D32A8"/>
    <w:rsid w:val="005D4DF3"/>
    <w:rsid w:val="005D619D"/>
    <w:rsid w:val="005E6D10"/>
    <w:rsid w:val="005E73C7"/>
    <w:rsid w:val="005F085B"/>
    <w:rsid w:val="005F3CAF"/>
    <w:rsid w:val="00604C27"/>
    <w:rsid w:val="00604FA9"/>
    <w:rsid w:val="006119B7"/>
    <w:rsid w:val="00614766"/>
    <w:rsid w:val="0061557C"/>
    <w:rsid w:val="00620506"/>
    <w:rsid w:val="00624A5E"/>
    <w:rsid w:val="00627251"/>
    <w:rsid w:val="00630B11"/>
    <w:rsid w:val="00631351"/>
    <w:rsid w:val="006315DC"/>
    <w:rsid w:val="00633413"/>
    <w:rsid w:val="00634247"/>
    <w:rsid w:val="00636565"/>
    <w:rsid w:val="00636E12"/>
    <w:rsid w:val="006439AA"/>
    <w:rsid w:val="00644E72"/>
    <w:rsid w:val="0065040D"/>
    <w:rsid w:val="00651BBB"/>
    <w:rsid w:val="00653D9A"/>
    <w:rsid w:val="0065716E"/>
    <w:rsid w:val="006630DD"/>
    <w:rsid w:val="00665579"/>
    <w:rsid w:val="00667CED"/>
    <w:rsid w:val="00670CA8"/>
    <w:rsid w:val="00675B30"/>
    <w:rsid w:val="00676B10"/>
    <w:rsid w:val="006832B8"/>
    <w:rsid w:val="006850F5"/>
    <w:rsid w:val="00685471"/>
    <w:rsid w:val="006859D3"/>
    <w:rsid w:val="00693CA8"/>
    <w:rsid w:val="00697384"/>
    <w:rsid w:val="006A3C81"/>
    <w:rsid w:val="006A50DC"/>
    <w:rsid w:val="006A5828"/>
    <w:rsid w:val="006A5C18"/>
    <w:rsid w:val="006A7684"/>
    <w:rsid w:val="006A79BB"/>
    <w:rsid w:val="006B06D8"/>
    <w:rsid w:val="006B1F52"/>
    <w:rsid w:val="006B2E9C"/>
    <w:rsid w:val="006B53A6"/>
    <w:rsid w:val="006B578E"/>
    <w:rsid w:val="006B687B"/>
    <w:rsid w:val="006B77DC"/>
    <w:rsid w:val="006C34A7"/>
    <w:rsid w:val="006D2656"/>
    <w:rsid w:val="006E0220"/>
    <w:rsid w:val="006E21FE"/>
    <w:rsid w:val="006E236C"/>
    <w:rsid w:val="006E4538"/>
    <w:rsid w:val="006E46AB"/>
    <w:rsid w:val="006E7512"/>
    <w:rsid w:val="006F1379"/>
    <w:rsid w:val="006F3305"/>
    <w:rsid w:val="006F632A"/>
    <w:rsid w:val="006F793B"/>
    <w:rsid w:val="006F7EAC"/>
    <w:rsid w:val="00703564"/>
    <w:rsid w:val="0070358D"/>
    <w:rsid w:val="00711A61"/>
    <w:rsid w:val="00712ABF"/>
    <w:rsid w:val="00715D8D"/>
    <w:rsid w:val="007176A5"/>
    <w:rsid w:val="00720D28"/>
    <w:rsid w:val="00733EE3"/>
    <w:rsid w:val="0073626D"/>
    <w:rsid w:val="00744010"/>
    <w:rsid w:val="0074459E"/>
    <w:rsid w:val="00744A57"/>
    <w:rsid w:val="007502DE"/>
    <w:rsid w:val="00750609"/>
    <w:rsid w:val="00751952"/>
    <w:rsid w:val="00760B4B"/>
    <w:rsid w:val="007643E3"/>
    <w:rsid w:val="007678C4"/>
    <w:rsid w:val="00767B29"/>
    <w:rsid w:val="00771FBB"/>
    <w:rsid w:val="007721B3"/>
    <w:rsid w:val="0077660B"/>
    <w:rsid w:val="00777673"/>
    <w:rsid w:val="00796B55"/>
    <w:rsid w:val="00797291"/>
    <w:rsid w:val="00797CEF"/>
    <w:rsid w:val="007A0F8F"/>
    <w:rsid w:val="007A2621"/>
    <w:rsid w:val="007A287D"/>
    <w:rsid w:val="007A3071"/>
    <w:rsid w:val="007B1C79"/>
    <w:rsid w:val="007B600B"/>
    <w:rsid w:val="007B7C73"/>
    <w:rsid w:val="007C2242"/>
    <w:rsid w:val="007D55CC"/>
    <w:rsid w:val="007E6A4D"/>
    <w:rsid w:val="007E7F50"/>
    <w:rsid w:val="007F041E"/>
    <w:rsid w:val="0080093A"/>
    <w:rsid w:val="0080726C"/>
    <w:rsid w:val="008109DB"/>
    <w:rsid w:val="008114A6"/>
    <w:rsid w:val="008125E3"/>
    <w:rsid w:val="00820D05"/>
    <w:rsid w:val="00830812"/>
    <w:rsid w:val="0083186A"/>
    <w:rsid w:val="00831F68"/>
    <w:rsid w:val="00832DA4"/>
    <w:rsid w:val="008346E3"/>
    <w:rsid w:val="008355A8"/>
    <w:rsid w:val="00841D9A"/>
    <w:rsid w:val="008432CE"/>
    <w:rsid w:val="00847A8F"/>
    <w:rsid w:val="0085017C"/>
    <w:rsid w:val="00850445"/>
    <w:rsid w:val="0085187A"/>
    <w:rsid w:val="0085458E"/>
    <w:rsid w:val="008630CC"/>
    <w:rsid w:val="00872773"/>
    <w:rsid w:val="008732AF"/>
    <w:rsid w:val="00877A3A"/>
    <w:rsid w:val="00884184"/>
    <w:rsid w:val="00885167"/>
    <w:rsid w:val="0088585C"/>
    <w:rsid w:val="00886E16"/>
    <w:rsid w:val="00887885"/>
    <w:rsid w:val="0089610F"/>
    <w:rsid w:val="008A133F"/>
    <w:rsid w:val="008A3412"/>
    <w:rsid w:val="008B228F"/>
    <w:rsid w:val="008B3C3A"/>
    <w:rsid w:val="008B5461"/>
    <w:rsid w:val="008B71A9"/>
    <w:rsid w:val="008C1640"/>
    <w:rsid w:val="008C53CA"/>
    <w:rsid w:val="008D02D6"/>
    <w:rsid w:val="008D58A4"/>
    <w:rsid w:val="008D5957"/>
    <w:rsid w:val="008E00D5"/>
    <w:rsid w:val="008E04EA"/>
    <w:rsid w:val="008E08D1"/>
    <w:rsid w:val="008E3BC6"/>
    <w:rsid w:val="008F1DF4"/>
    <w:rsid w:val="008F2879"/>
    <w:rsid w:val="00905400"/>
    <w:rsid w:val="00907797"/>
    <w:rsid w:val="009077CB"/>
    <w:rsid w:val="00911AA3"/>
    <w:rsid w:val="00912BD9"/>
    <w:rsid w:val="00917D11"/>
    <w:rsid w:val="00920A03"/>
    <w:rsid w:val="00923406"/>
    <w:rsid w:val="00923D34"/>
    <w:rsid w:val="00926EEB"/>
    <w:rsid w:val="00931940"/>
    <w:rsid w:val="00933113"/>
    <w:rsid w:val="00933202"/>
    <w:rsid w:val="009336BB"/>
    <w:rsid w:val="009344E4"/>
    <w:rsid w:val="00942380"/>
    <w:rsid w:val="009517FB"/>
    <w:rsid w:val="00954114"/>
    <w:rsid w:val="00955CF8"/>
    <w:rsid w:val="009568BB"/>
    <w:rsid w:val="00957025"/>
    <w:rsid w:val="009710CD"/>
    <w:rsid w:val="009722E6"/>
    <w:rsid w:val="0097482C"/>
    <w:rsid w:val="00976B28"/>
    <w:rsid w:val="00981043"/>
    <w:rsid w:val="009825FF"/>
    <w:rsid w:val="00986338"/>
    <w:rsid w:val="009909A3"/>
    <w:rsid w:val="009914EB"/>
    <w:rsid w:val="00996ED4"/>
    <w:rsid w:val="009A2AD0"/>
    <w:rsid w:val="009B10A5"/>
    <w:rsid w:val="009B1702"/>
    <w:rsid w:val="009B3651"/>
    <w:rsid w:val="009B3E7C"/>
    <w:rsid w:val="009C0BBC"/>
    <w:rsid w:val="009C3262"/>
    <w:rsid w:val="009C63C3"/>
    <w:rsid w:val="009D0727"/>
    <w:rsid w:val="009D512E"/>
    <w:rsid w:val="009E1597"/>
    <w:rsid w:val="009E1E51"/>
    <w:rsid w:val="009E534A"/>
    <w:rsid w:val="009F00DD"/>
    <w:rsid w:val="009F2A25"/>
    <w:rsid w:val="009F337C"/>
    <w:rsid w:val="009F3786"/>
    <w:rsid w:val="009F79CF"/>
    <w:rsid w:val="00A01A12"/>
    <w:rsid w:val="00A02309"/>
    <w:rsid w:val="00A028D7"/>
    <w:rsid w:val="00A067E7"/>
    <w:rsid w:val="00A0719D"/>
    <w:rsid w:val="00A130B1"/>
    <w:rsid w:val="00A15BF1"/>
    <w:rsid w:val="00A20E7D"/>
    <w:rsid w:val="00A243FD"/>
    <w:rsid w:val="00A30BF7"/>
    <w:rsid w:val="00A31AF1"/>
    <w:rsid w:val="00A32327"/>
    <w:rsid w:val="00A3311D"/>
    <w:rsid w:val="00A3384D"/>
    <w:rsid w:val="00A4042B"/>
    <w:rsid w:val="00A410CC"/>
    <w:rsid w:val="00A533F6"/>
    <w:rsid w:val="00A73CC7"/>
    <w:rsid w:val="00A741C8"/>
    <w:rsid w:val="00A74242"/>
    <w:rsid w:val="00A7503C"/>
    <w:rsid w:val="00A80B48"/>
    <w:rsid w:val="00A83A0A"/>
    <w:rsid w:val="00A87A65"/>
    <w:rsid w:val="00A87CB1"/>
    <w:rsid w:val="00A90484"/>
    <w:rsid w:val="00A97913"/>
    <w:rsid w:val="00AA03E7"/>
    <w:rsid w:val="00AA0F8E"/>
    <w:rsid w:val="00AA23EF"/>
    <w:rsid w:val="00AA3C7F"/>
    <w:rsid w:val="00AA4E0B"/>
    <w:rsid w:val="00AA4E46"/>
    <w:rsid w:val="00AA545D"/>
    <w:rsid w:val="00AA68E9"/>
    <w:rsid w:val="00AA720F"/>
    <w:rsid w:val="00AC0B24"/>
    <w:rsid w:val="00AC4368"/>
    <w:rsid w:val="00AC5129"/>
    <w:rsid w:val="00AD7BD0"/>
    <w:rsid w:val="00AD7BEF"/>
    <w:rsid w:val="00AE1A1A"/>
    <w:rsid w:val="00AE4CE0"/>
    <w:rsid w:val="00AE7F3B"/>
    <w:rsid w:val="00AF2E82"/>
    <w:rsid w:val="00B0202A"/>
    <w:rsid w:val="00B02C84"/>
    <w:rsid w:val="00B070A9"/>
    <w:rsid w:val="00B11175"/>
    <w:rsid w:val="00B13C0A"/>
    <w:rsid w:val="00B1461C"/>
    <w:rsid w:val="00B14F36"/>
    <w:rsid w:val="00B2163B"/>
    <w:rsid w:val="00B250BD"/>
    <w:rsid w:val="00B33D93"/>
    <w:rsid w:val="00B354AF"/>
    <w:rsid w:val="00B43A54"/>
    <w:rsid w:val="00B4423F"/>
    <w:rsid w:val="00B45218"/>
    <w:rsid w:val="00B47681"/>
    <w:rsid w:val="00B501AA"/>
    <w:rsid w:val="00B5517B"/>
    <w:rsid w:val="00B56455"/>
    <w:rsid w:val="00B63F07"/>
    <w:rsid w:val="00B6507F"/>
    <w:rsid w:val="00B724B3"/>
    <w:rsid w:val="00B725E1"/>
    <w:rsid w:val="00B73ADD"/>
    <w:rsid w:val="00B7410F"/>
    <w:rsid w:val="00B74EF2"/>
    <w:rsid w:val="00B85512"/>
    <w:rsid w:val="00B865C2"/>
    <w:rsid w:val="00B86951"/>
    <w:rsid w:val="00B905E9"/>
    <w:rsid w:val="00B934EC"/>
    <w:rsid w:val="00BA0C1C"/>
    <w:rsid w:val="00BB1E3D"/>
    <w:rsid w:val="00BB486F"/>
    <w:rsid w:val="00BB5495"/>
    <w:rsid w:val="00BB71C3"/>
    <w:rsid w:val="00BC5260"/>
    <w:rsid w:val="00BC6611"/>
    <w:rsid w:val="00BC7372"/>
    <w:rsid w:val="00BC74B4"/>
    <w:rsid w:val="00BD0746"/>
    <w:rsid w:val="00BD1152"/>
    <w:rsid w:val="00BF5FF0"/>
    <w:rsid w:val="00BF6539"/>
    <w:rsid w:val="00C02215"/>
    <w:rsid w:val="00C11824"/>
    <w:rsid w:val="00C13D2F"/>
    <w:rsid w:val="00C16433"/>
    <w:rsid w:val="00C167CE"/>
    <w:rsid w:val="00C243EC"/>
    <w:rsid w:val="00C25161"/>
    <w:rsid w:val="00C30D65"/>
    <w:rsid w:val="00C32667"/>
    <w:rsid w:val="00C355B6"/>
    <w:rsid w:val="00C431EC"/>
    <w:rsid w:val="00C46E60"/>
    <w:rsid w:val="00C502A4"/>
    <w:rsid w:val="00C50E48"/>
    <w:rsid w:val="00C54E42"/>
    <w:rsid w:val="00C55C5D"/>
    <w:rsid w:val="00C6016E"/>
    <w:rsid w:val="00C60DA9"/>
    <w:rsid w:val="00C627DF"/>
    <w:rsid w:val="00C63A6D"/>
    <w:rsid w:val="00C70727"/>
    <w:rsid w:val="00C710E7"/>
    <w:rsid w:val="00C74D4C"/>
    <w:rsid w:val="00C80992"/>
    <w:rsid w:val="00C95DE0"/>
    <w:rsid w:val="00C977AE"/>
    <w:rsid w:val="00CA284A"/>
    <w:rsid w:val="00CA4164"/>
    <w:rsid w:val="00CA434F"/>
    <w:rsid w:val="00CA51D8"/>
    <w:rsid w:val="00CB2746"/>
    <w:rsid w:val="00CB5A98"/>
    <w:rsid w:val="00CB72D0"/>
    <w:rsid w:val="00CC0B77"/>
    <w:rsid w:val="00CC5576"/>
    <w:rsid w:val="00CC585F"/>
    <w:rsid w:val="00CC58C6"/>
    <w:rsid w:val="00CD1FB1"/>
    <w:rsid w:val="00CD3E5F"/>
    <w:rsid w:val="00CE1625"/>
    <w:rsid w:val="00CE1D4C"/>
    <w:rsid w:val="00CF0068"/>
    <w:rsid w:val="00CF144C"/>
    <w:rsid w:val="00CF146F"/>
    <w:rsid w:val="00CF1AC7"/>
    <w:rsid w:val="00CF4047"/>
    <w:rsid w:val="00CF6022"/>
    <w:rsid w:val="00D02DBA"/>
    <w:rsid w:val="00D06B37"/>
    <w:rsid w:val="00D06CB7"/>
    <w:rsid w:val="00D072B0"/>
    <w:rsid w:val="00D074FC"/>
    <w:rsid w:val="00D11A95"/>
    <w:rsid w:val="00D144D6"/>
    <w:rsid w:val="00D16CFF"/>
    <w:rsid w:val="00D17E18"/>
    <w:rsid w:val="00D17F2D"/>
    <w:rsid w:val="00D235BF"/>
    <w:rsid w:val="00D247F9"/>
    <w:rsid w:val="00D26C72"/>
    <w:rsid w:val="00D309F7"/>
    <w:rsid w:val="00D30DF5"/>
    <w:rsid w:val="00D32240"/>
    <w:rsid w:val="00D32E85"/>
    <w:rsid w:val="00D3389B"/>
    <w:rsid w:val="00D36DF3"/>
    <w:rsid w:val="00D51A1E"/>
    <w:rsid w:val="00D604A8"/>
    <w:rsid w:val="00D6231E"/>
    <w:rsid w:val="00D66B9B"/>
    <w:rsid w:val="00D66F75"/>
    <w:rsid w:val="00D707B3"/>
    <w:rsid w:val="00D80950"/>
    <w:rsid w:val="00D82E77"/>
    <w:rsid w:val="00D843C4"/>
    <w:rsid w:val="00D84EC0"/>
    <w:rsid w:val="00D916EA"/>
    <w:rsid w:val="00D92388"/>
    <w:rsid w:val="00D92A64"/>
    <w:rsid w:val="00D93564"/>
    <w:rsid w:val="00D93F40"/>
    <w:rsid w:val="00D94054"/>
    <w:rsid w:val="00DA08DA"/>
    <w:rsid w:val="00DA3467"/>
    <w:rsid w:val="00DB50BC"/>
    <w:rsid w:val="00DB6977"/>
    <w:rsid w:val="00DB7B2B"/>
    <w:rsid w:val="00DC2473"/>
    <w:rsid w:val="00DC53B3"/>
    <w:rsid w:val="00DD22A1"/>
    <w:rsid w:val="00DD2824"/>
    <w:rsid w:val="00DD32F3"/>
    <w:rsid w:val="00DD3C0B"/>
    <w:rsid w:val="00DD530E"/>
    <w:rsid w:val="00DD5BF6"/>
    <w:rsid w:val="00DE06A4"/>
    <w:rsid w:val="00DE0D43"/>
    <w:rsid w:val="00DE4A9A"/>
    <w:rsid w:val="00DE4EF0"/>
    <w:rsid w:val="00DE503A"/>
    <w:rsid w:val="00DE5E82"/>
    <w:rsid w:val="00DF140F"/>
    <w:rsid w:val="00DF43BE"/>
    <w:rsid w:val="00DF7A31"/>
    <w:rsid w:val="00E03CB6"/>
    <w:rsid w:val="00E100D5"/>
    <w:rsid w:val="00E10566"/>
    <w:rsid w:val="00E1141B"/>
    <w:rsid w:val="00E148BE"/>
    <w:rsid w:val="00E152F6"/>
    <w:rsid w:val="00E1578B"/>
    <w:rsid w:val="00E166E7"/>
    <w:rsid w:val="00E16888"/>
    <w:rsid w:val="00E173A7"/>
    <w:rsid w:val="00E20AFE"/>
    <w:rsid w:val="00E20B9C"/>
    <w:rsid w:val="00E21C12"/>
    <w:rsid w:val="00E2348A"/>
    <w:rsid w:val="00E23B75"/>
    <w:rsid w:val="00E42A9A"/>
    <w:rsid w:val="00E46914"/>
    <w:rsid w:val="00E5125E"/>
    <w:rsid w:val="00E52DCB"/>
    <w:rsid w:val="00E612D1"/>
    <w:rsid w:val="00E6179B"/>
    <w:rsid w:val="00E66EE8"/>
    <w:rsid w:val="00E7096C"/>
    <w:rsid w:val="00E71848"/>
    <w:rsid w:val="00E71A83"/>
    <w:rsid w:val="00E71AD5"/>
    <w:rsid w:val="00E71B42"/>
    <w:rsid w:val="00E7234A"/>
    <w:rsid w:val="00E740AC"/>
    <w:rsid w:val="00E76649"/>
    <w:rsid w:val="00E76AF6"/>
    <w:rsid w:val="00E803B6"/>
    <w:rsid w:val="00E83B98"/>
    <w:rsid w:val="00E84289"/>
    <w:rsid w:val="00E855FB"/>
    <w:rsid w:val="00E868F2"/>
    <w:rsid w:val="00E90082"/>
    <w:rsid w:val="00E91E2C"/>
    <w:rsid w:val="00E92A88"/>
    <w:rsid w:val="00E94F9C"/>
    <w:rsid w:val="00E9597D"/>
    <w:rsid w:val="00E96EF7"/>
    <w:rsid w:val="00E97841"/>
    <w:rsid w:val="00EA70CB"/>
    <w:rsid w:val="00EB03C2"/>
    <w:rsid w:val="00EB0A6F"/>
    <w:rsid w:val="00EB104F"/>
    <w:rsid w:val="00EB4044"/>
    <w:rsid w:val="00EC1B03"/>
    <w:rsid w:val="00EC28D4"/>
    <w:rsid w:val="00EC33AD"/>
    <w:rsid w:val="00EE07A9"/>
    <w:rsid w:val="00EE38D0"/>
    <w:rsid w:val="00EE4640"/>
    <w:rsid w:val="00EE496B"/>
    <w:rsid w:val="00EE5E77"/>
    <w:rsid w:val="00EF6BEF"/>
    <w:rsid w:val="00F00B40"/>
    <w:rsid w:val="00F03DC3"/>
    <w:rsid w:val="00F04AC8"/>
    <w:rsid w:val="00F11853"/>
    <w:rsid w:val="00F129F1"/>
    <w:rsid w:val="00F12AB2"/>
    <w:rsid w:val="00F13067"/>
    <w:rsid w:val="00F14ED7"/>
    <w:rsid w:val="00F23E52"/>
    <w:rsid w:val="00F37F54"/>
    <w:rsid w:val="00F4213A"/>
    <w:rsid w:val="00F42B32"/>
    <w:rsid w:val="00F43606"/>
    <w:rsid w:val="00F442ED"/>
    <w:rsid w:val="00F4669C"/>
    <w:rsid w:val="00F47533"/>
    <w:rsid w:val="00F5001A"/>
    <w:rsid w:val="00F5040B"/>
    <w:rsid w:val="00F56F46"/>
    <w:rsid w:val="00F61737"/>
    <w:rsid w:val="00F61E97"/>
    <w:rsid w:val="00F62990"/>
    <w:rsid w:val="00F72580"/>
    <w:rsid w:val="00F73551"/>
    <w:rsid w:val="00F7600C"/>
    <w:rsid w:val="00F76E26"/>
    <w:rsid w:val="00F8255B"/>
    <w:rsid w:val="00F863FA"/>
    <w:rsid w:val="00F91EEC"/>
    <w:rsid w:val="00F92453"/>
    <w:rsid w:val="00F9271A"/>
    <w:rsid w:val="00F95591"/>
    <w:rsid w:val="00F978AD"/>
    <w:rsid w:val="00FA0226"/>
    <w:rsid w:val="00FB04AE"/>
    <w:rsid w:val="00FB04DC"/>
    <w:rsid w:val="00FB0AF8"/>
    <w:rsid w:val="00FB2F64"/>
    <w:rsid w:val="00FB3790"/>
    <w:rsid w:val="00FB7F70"/>
    <w:rsid w:val="00FC1F13"/>
    <w:rsid w:val="00FC3EE6"/>
    <w:rsid w:val="00FD138F"/>
    <w:rsid w:val="00FD66AA"/>
    <w:rsid w:val="00FE21B9"/>
    <w:rsid w:val="00FE24F4"/>
    <w:rsid w:val="00FE4B6E"/>
    <w:rsid w:val="00FF08E0"/>
    <w:rsid w:val="00FF0A37"/>
    <w:rsid w:val="00FF22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ind w:hanging="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204"/>
    <w:pPr>
      <w:spacing w:after="0"/>
      <w:ind w:firstLine="0"/>
    </w:pPr>
    <w:rPr>
      <w:rFonts w:ascii="Times New Roman" w:eastAsia="Times New Roman" w:hAnsi="Times New Roman" w:cs="Times New Roman"/>
      <w:sz w:val="24"/>
      <w:szCs w:val="24"/>
      <w:lang w:eastAsia="en-AU"/>
    </w:rPr>
  </w:style>
  <w:style w:type="paragraph" w:styleId="Heading1">
    <w:name w:val="heading 1"/>
    <w:basedOn w:val="Normal"/>
    <w:link w:val="Heading1Char"/>
    <w:uiPriority w:val="9"/>
    <w:qFormat/>
    <w:rsid w:val="00111216"/>
    <w:pPr>
      <w:spacing w:before="100" w:beforeAutospacing="1" w:after="100" w:afterAutospacing="1"/>
      <w:outlineLvl w:val="0"/>
    </w:pPr>
    <w:rPr>
      <w:b/>
      <w:bCs/>
      <w:kern w:val="36"/>
      <w:sz w:val="48"/>
      <w:szCs w:val="48"/>
    </w:rPr>
  </w:style>
  <w:style w:type="paragraph" w:styleId="Heading2">
    <w:name w:val="heading 2"/>
    <w:basedOn w:val="Normal"/>
    <w:link w:val="Heading2Char"/>
    <w:qFormat/>
    <w:rsid w:val="00111216"/>
    <w:pPr>
      <w:spacing w:before="360" w:after="120" w:line="288" w:lineRule="auto"/>
      <w:outlineLvl w:val="1"/>
    </w:pPr>
    <w:rPr>
      <w:rFonts w:ascii="Arial" w:hAnsi="Arial" w:cs="Arial"/>
      <w:b/>
      <w:bCs/>
      <w:color w:val="0D0D0D"/>
      <w:sz w:val="28"/>
      <w:szCs w:val="28"/>
    </w:rPr>
  </w:style>
  <w:style w:type="paragraph" w:styleId="Heading3">
    <w:name w:val="heading 3"/>
    <w:basedOn w:val="Normal"/>
    <w:next w:val="Normal"/>
    <w:link w:val="Heading3Char"/>
    <w:uiPriority w:val="9"/>
    <w:semiHidden/>
    <w:unhideWhenUsed/>
    <w:qFormat/>
    <w:rsid w:val="0011121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216"/>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rsid w:val="00111216"/>
    <w:rPr>
      <w:rFonts w:ascii="Arial" w:eastAsia="Times New Roman" w:hAnsi="Arial" w:cs="Arial"/>
      <w:b/>
      <w:bCs/>
      <w:color w:val="0D0D0D"/>
      <w:sz w:val="28"/>
      <w:szCs w:val="28"/>
      <w:lang w:eastAsia="en-AU"/>
    </w:rPr>
  </w:style>
  <w:style w:type="character" w:customStyle="1" w:styleId="Heading3Char">
    <w:name w:val="Heading 3 Char"/>
    <w:basedOn w:val="DefaultParagraphFont"/>
    <w:link w:val="Heading3"/>
    <w:uiPriority w:val="9"/>
    <w:semiHidden/>
    <w:rsid w:val="00111216"/>
    <w:rPr>
      <w:rFonts w:asciiTheme="majorHAnsi" w:eastAsiaTheme="majorEastAsia" w:hAnsiTheme="majorHAnsi" w:cstheme="majorBidi"/>
      <w:b/>
      <w:bCs/>
      <w:color w:val="4F81BD" w:themeColor="accent1"/>
      <w:sz w:val="24"/>
      <w:szCs w:val="24"/>
      <w:lang w:eastAsia="en-AU"/>
    </w:rPr>
  </w:style>
  <w:style w:type="paragraph" w:styleId="FootnoteText">
    <w:name w:val="footnote text"/>
    <w:basedOn w:val="Normal"/>
    <w:link w:val="FootnoteTextChar"/>
    <w:uiPriority w:val="99"/>
    <w:rsid w:val="00111216"/>
    <w:rPr>
      <w:sz w:val="20"/>
      <w:szCs w:val="20"/>
    </w:rPr>
  </w:style>
  <w:style w:type="character" w:customStyle="1" w:styleId="FootnoteTextChar">
    <w:name w:val="Footnote Text Char"/>
    <w:basedOn w:val="DefaultParagraphFont"/>
    <w:link w:val="FootnoteText"/>
    <w:uiPriority w:val="99"/>
    <w:rsid w:val="00111216"/>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rsid w:val="00111216"/>
    <w:rPr>
      <w:vertAlign w:val="superscript"/>
    </w:rPr>
  </w:style>
  <w:style w:type="character" w:styleId="Hyperlink">
    <w:name w:val="Hyperlink"/>
    <w:basedOn w:val="DefaultParagraphFont"/>
    <w:uiPriority w:val="99"/>
    <w:unhideWhenUsed/>
    <w:rsid w:val="00111216"/>
    <w:rPr>
      <w:strike w:val="0"/>
      <w:dstrike w:val="0"/>
      <w:color w:val="0000FF"/>
      <w:u w:val="none"/>
      <w:effect w:val="none"/>
    </w:rPr>
  </w:style>
  <w:style w:type="paragraph" w:styleId="NormalWeb">
    <w:name w:val="Normal (Web)"/>
    <w:basedOn w:val="Normal"/>
    <w:uiPriority w:val="99"/>
    <w:unhideWhenUsed/>
    <w:rsid w:val="00111216"/>
    <w:pPr>
      <w:spacing w:before="100" w:beforeAutospacing="1" w:after="100" w:afterAutospacing="1"/>
    </w:pPr>
  </w:style>
  <w:style w:type="character" w:styleId="Emphasis">
    <w:name w:val="Emphasis"/>
    <w:basedOn w:val="DefaultParagraphFont"/>
    <w:qFormat/>
    <w:rsid w:val="00111216"/>
    <w:rPr>
      <w:i/>
      <w:iCs/>
    </w:rPr>
  </w:style>
  <w:style w:type="paragraph" w:styleId="Footer">
    <w:name w:val="footer"/>
    <w:basedOn w:val="Normal"/>
    <w:link w:val="FooterChar"/>
    <w:unhideWhenUsed/>
    <w:rsid w:val="00111216"/>
    <w:pPr>
      <w:tabs>
        <w:tab w:val="center" w:pos="4513"/>
        <w:tab w:val="right" w:pos="9026"/>
      </w:tabs>
    </w:pPr>
  </w:style>
  <w:style w:type="character" w:customStyle="1" w:styleId="FooterChar">
    <w:name w:val="Footer Char"/>
    <w:basedOn w:val="DefaultParagraphFont"/>
    <w:link w:val="Footer"/>
    <w:rsid w:val="00111216"/>
    <w:rPr>
      <w:rFonts w:ascii="Times New Roman" w:eastAsia="Times New Roman" w:hAnsi="Times New Roman" w:cs="Times New Roman"/>
      <w:sz w:val="24"/>
      <w:szCs w:val="24"/>
      <w:lang w:eastAsia="en-AU"/>
    </w:rPr>
  </w:style>
  <w:style w:type="paragraph" w:styleId="EndnoteText">
    <w:name w:val="endnote text"/>
    <w:basedOn w:val="Normal"/>
    <w:link w:val="EndnoteTextChar"/>
    <w:rsid w:val="00111216"/>
    <w:pPr>
      <w:tabs>
        <w:tab w:val="left" w:pos="567"/>
        <w:tab w:val="left" w:pos="1134"/>
        <w:tab w:val="left" w:pos="1440"/>
        <w:tab w:val="left" w:pos="2160"/>
        <w:tab w:val="left" w:pos="2592"/>
      </w:tabs>
      <w:jc w:val="both"/>
    </w:pPr>
    <w:rPr>
      <w:rFonts w:ascii="Book Antiqua" w:hAnsi="Book Antiqua"/>
      <w:sz w:val="23"/>
      <w:szCs w:val="20"/>
    </w:rPr>
  </w:style>
  <w:style w:type="character" w:customStyle="1" w:styleId="EndnoteTextChar">
    <w:name w:val="Endnote Text Char"/>
    <w:basedOn w:val="DefaultParagraphFont"/>
    <w:link w:val="EndnoteText"/>
    <w:rsid w:val="00111216"/>
    <w:rPr>
      <w:rFonts w:ascii="Book Antiqua" w:eastAsia="Times New Roman" w:hAnsi="Book Antiqua" w:cs="Times New Roman"/>
      <w:sz w:val="23"/>
      <w:szCs w:val="20"/>
      <w:lang w:eastAsia="en-AU"/>
    </w:rPr>
  </w:style>
  <w:style w:type="paragraph" w:customStyle="1" w:styleId="HawkeReviewheading">
    <w:name w:val="Hawke Review heading"/>
    <w:basedOn w:val="Heading1"/>
    <w:link w:val="HawkeReviewheadingChar"/>
    <w:qFormat/>
    <w:rsid w:val="00111216"/>
    <w:rPr>
      <w:rFonts w:ascii="Arial" w:hAnsi="Arial"/>
      <w:b w:val="0"/>
      <w:caps/>
      <w:color w:val="1F497D" w:themeColor="text2"/>
      <w:sz w:val="32"/>
      <w:szCs w:val="44"/>
    </w:rPr>
  </w:style>
  <w:style w:type="character" w:customStyle="1" w:styleId="HawkeReviewheadingChar">
    <w:name w:val="Hawke Review heading Char"/>
    <w:basedOn w:val="Heading1Char"/>
    <w:link w:val="HawkeReviewheading"/>
    <w:rsid w:val="00111216"/>
    <w:rPr>
      <w:rFonts w:ascii="Arial" w:eastAsia="Times New Roman" w:hAnsi="Arial" w:cs="Times New Roman"/>
      <w:b/>
      <w:bCs/>
      <w:caps/>
      <w:color w:val="1F497D" w:themeColor="text2"/>
      <w:kern w:val="36"/>
      <w:sz w:val="32"/>
      <w:szCs w:val="44"/>
      <w:lang w:eastAsia="en-AU"/>
    </w:rPr>
  </w:style>
  <w:style w:type="paragraph" w:customStyle="1" w:styleId="HawkeReviewbody">
    <w:name w:val="Hawke Review body"/>
    <w:basedOn w:val="Normal"/>
    <w:qFormat/>
    <w:rsid w:val="00111216"/>
    <w:pPr>
      <w:spacing w:before="100" w:beforeAutospacing="1" w:after="100" w:line="288" w:lineRule="auto"/>
    </w:pPr>
    <w:rPr>
      <w:rFonts w:ascii="Arial" w:hAnsi="Arial" w:cstheme="majorHAnsi"/>
      <w:sz w:val="19"/>
      <w:szCs w:val="20"/>
    </w:rPr>
  </w:style>
  <w:style w:type="paragraph" w:customStyle="1" w:styleId="HawkeReviewsubheading">
    <w:name w:val="Hawke Review subheading"/>
    <w:basedOn w:val="Heading3"/>
    <w:next w:val="HawkeReviewbody"/>
    <w:link w:val="HawkeReviewsubheadingChar"/>
    <w:qFormat/>
    <w:rsid w:val="00111216"/>
    <w:pPr>
      <w:spacing w:before="120" w:after="20"/>
    </w:pPr>
    <w:rPr>
      <w:caps/>
      <w:color w:val="1F497D" w:themeColor="text2"/>
      <w:sz w:val="23"/>
    </w:rPr>
  </w:style>
  <w:style w:type="character" w:customStyle="1" w:styleId="HawkeReviewsubheadingChar">
    <w:name w:val="Hawke Review subheading Char"/>
    <w:basedOn w:val="Heading3Char"/>
    <w:link w:val="HawkeReviewsubheading"/>
    <w:rsid w:val="00111216"/>
    <w:rPr>
      <w:rFonts w:asciiTheme="majorHAnsi" w:eastAsiaTheme="majorEastAsia" w:hAnsiTheme="majorHAnsi" w:cstheme="majorBidi"/>
      <w:b/>
      <w:bCs/>
      <w:caps/>
      <w:color w:val="1F497D" w:themeColor="text2"/>
      <w:sz w:val="23"/>
      <w:szCs w:val="24"/>
      <w:lang w:eastAsia="en-AU"/>
    </w:rPr>
  </w:style>
  <w:style w:type="paragraph" w:customStyle="1" w:styleId="HawkeReviewChapterHeading">
    <w:name w:val="Hawke Review Chapter Heading"/>
    <w:basedOn w:val="Normal"/>
    <w:next w:val="HawkeReviewheading"/>
    <w:qFormat/>
    <w:rsid w:val="00111216"/>
    <w:pPr>
      <w:keepNext/>
      <w:pageBreakBefore/>
      <w:pBdr>
        <w:bottom w:val="single" w:sz="4" w:space="1" w:color="auto"/>
      </w:pBdr>
      <w:spacing w:after="200"/>
      <w:ind w:right="-142"/>
      <w:outlineLvl w:val="1"/>
    </w:pPr>
    <w:rPr>
      <w:rFonts w:asciiTheme="majorHAnsi" w:hAnsiTheme="majorHAnsi" w:cstheme="majorHAnsi"/>
      <w:color w:val="1F497D" w:themeColor="text2"/>
      <w:kern w:val="32"/>
      <w:sz w:val="44"/>
      <w:szCs w:val="44"/>
    </w:rPr>
  </w:style>
  <w:style w:type="table" w:styleId="TableGrid">
    <w:name w:val="Table Grid"/>
    <w:basedOn w:val="TableNormal"/>
    <w:uiPriority w:val="59"/>
    <w:rsid w:val="00111216"/>
    <w:pPr>
      <w:spacing w:after="0"/>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121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loonTextChar">
    <w:name w:val="Balloon Text Char"/>
    <w:basedOn w:val="DefaultParagraphFont"/>
    <w:link w:val="BalloonText"/>
    <w:uiPriority w:val="99"/>
    <w:semiHidden/>
    <w:rsid w:val="00111216"/>
    <w:rPr>
      <w:rFonts w:ascii="Tahoma" w:hAnsi="Tahoma" w:cs="Tahoma"/>
      <w:sz w:val="16"/>
      <w:szCs w:val="16"/>
    </w:rPr>
  </w:style>
  <w:style w:type="paragraph" w:styleId="BalloonText">
    <w:name w:val="Balloon Text"/>
    <w:basedOn w:val="Normal"/>
    <w:link w:val="BalloonTextChar"/>
    <w:uiPriority w:val="99"/>
    <w:semiHidden/>
    <w:unhideWhenUsed/>
    <w:rsid w:val="00111216"/>
    <w:rPr>
      <w:rFonts w:ascii="Tahoma" w:eastAsiaTheme="minorHAnsi" w:hAnsi="Tahoma" w:cs="Tahoma"/>
      <w:sz w:val="16"/>
      <w:szCs w:val="16"/>
      <w:lang w:eastAsia="en-US"/>
    </w:rPr>
  </w:style>
  <w:style w:type="paragraph" w:styleId="CommentText">
    <w:name w:val="annotation text"/>
    <w:basedOn w:val="Normal"/>
    <w:link w:val="CommentTextChar"/>
    <w:uiPriority w:val="99"/>
    <w:semiHidden/>
    <w:unhideWhenUsed/>
    <w:rsid w:val="00111216"/>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111216"/>
    <w:rPr>
      <w:sz w:val="20"/>
      <w:szCs w:val="20"/>
    </w:rPr>
  </w:style>
  <w:style w:type="paragraph" w:styleId="CommentSubject">
    <w:name w:val="annotation subject"/>
    <w:basedOn w:val="CommentText"/>
    <w:next w:val="CommentText"/>
    <w:link w:val="CommentSubjectChar"/>
    <w:uiPriority w:val="99"/>
    <w:semiHidden/>
    <w:unhideWhenUsed/>
    <w:rsid w:val="00111216"/>
    <w:rPr>
      <w:b/>
      <w:bCs/>
    </w:rPr>
  </w:style>
  <w:style w:type="character" w:customStyle="1" w:styleId="CommentSubjectChar">
    <w:name w:val="Comment Subject Char"/>
    <w:basedOn w:val="CommentTextChar"/>
    <w:link w:val="CommentSubject"/>
    <w:uiPriority w:val="99"/>
    <w:semiHidden/>
    <w:rsid w:val="00111216"/>
    <w:rPr>
      <w:b/>
      <w:bCs/>
      <w:sz w:val="20"/>
      <w:szCs w:val="20"/>
    </w:rPr>
  </w:style>
  <w:style w:type="paragraph" w:styleId="Revision">
    <w:name w:val="Revision"/>
    <w:hidden/>
    <w:uiPriority w:val="99"/>
    <w:semiHidden/>
    <w:rsid w:val="00111216"/>
    <w:pPr>
      <w:spacing w:after="0"/>
      <w:ind w:firstLine="0"/>
    </w:pPr>
  </w:style>
  <w:style w:type="character" w:customStyle="1" w:styleId="A12">
    <w:name w:val="A12"/>
    <w:uiPriority w:val="99"/>
    <w:rsid w:val="00111216"/>
    <w:rPr>
      <w:rFonts w:cs="AvantGarde CondBook"/>
      <w:color w:val="000000"/>
      <w:sz w:val="10"/>
      <w:szCs w:val="10"/>
    </w:rPr>
  </w:style>
  <w:style w:type="paragraph" w:styleId="TOC2">
    <w:name w:val="toc 2"/>
    <w:basedOn w:val="Normal"/>
    <w:next w:val="Normal"/>
    <w:autoRedefine/>
    <w:uiPriority w:val="39"/>
    <w:unhideWhenUsed/>
    <w:qFormat/>
    <w:rsid w:val="00A243FD"/>
    <w:pPr>
      <w:tabs>
        <w:tab w:val="right" w:leader="dot" w:pos="9016"/>
      </w:tabs>
      <w:spacing w:after="100" w:line="276" w:lineRule="auto"/>
      <w:ind w:left="22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111216"/>
  </w:style>
  <w:style w:type="paragraph" w:styleId="Header">
    <w:name w:val="header"/>
    <w:basedOn w:val="Normal"/>
    <w:link w:val="HeaderChar"/>
    <w:unhideWhenUsed/>
    <w:rsid w:val="00111216"/>
    <w:pPr>
      <w:tabs>
        <w:tab w:val="center" w:pos="4513"/>
        <w:tab w:val="right" w:pos="9026"/>
      </w:tabs>
    </w:pPr>
    <w:rPr>
      <w:rFonts w:asciiTheme="minorHAnsi" w:eastAsiaTheme="minorHAnsi" w:hAnsiTheme="minorHAnsi" w:cstheme="minorBidi"/>
      <w:sz w:val="22"/>
      <w:szCs w:val="22"/>
      <w:lang w:eastAsia="en-US"/>
    </w:rPr>
  </w:style>
  <w:style w:type="paragraph" w:styleId="Caption">
    <w:name w:val="caption"/>
    <w:basedOn w:val="Normal"/>
    <w:next w:val="Normal"/>
    <w:uiPriority w:val="35"/>
    <w:unhideWhenUsed/>
    <w:qFormat/>
    <w:rsid w:val="00111216"/>
    <w:pPr>
      <w:spacing w:after="200"/>
    </w:pPr>
    <w:rPr>
      <w:rFonts w:asciiTheme="minorHAnsi" w:eastAsiaTheme="minorHAnsi" w:hAnsiTheme="minorHAnsi" w:cstheme="minorBidi"/>
      <w:b/>
      <w:bCs/>
      <w:color w:val="4F81BD" w:themeColor="accent1"/>
      <w:sz w:val="18"/>
      <w:szCs w:val="18"/>
      <w:lang w:eastAsia="en-US"/>
    </w:rPr>
  </w:style>
  <w:style w:type="numbering" w:customStyle="1" w:styleId="Style1">
    <w:name w:val="Style1"/>
    <w:uiPriority w:val="99"/>
    <w:rsid w:val="005D4DF3"/>
    <w:pPr>
      <w:numPr>
        <w:numId w:val="39"/>
      </w:numPr>
    </w:pPr>
  </w:style>
  <w:style w:type="numbering" w:customStyle="1" w:styleId="Style2">
    <w:name w:val="Style2"/>
    <w:uiPriority w:val="99"/>
    <w:rsid w:val="005D4DF3"/>
    <w:pPr>
      <w:numPr>
        <w:numId w:val="40"/>
      </w:numPr>
    </w:pPr>
  </w:style>
  <w:style w:type="numbering" w:customStyle="1" w:styleId="Style3">
    <w:name w:val="Style3"/>
    <w:uiPriority w:val="99"/>
    <w:rsid w:val="005D4DF3"/>
    <w:pPr>
      <w:numPr>
        <w:numId w:val="41"/>
      </w:numPr>
    </w:pPr>
  </w:style>
  <w:style w:type="numbering" w:customStyle="1" w:styleId="Style4">
    <w:name w:val="Style4"/>
    <w:uiPriority w:val="99"/>
    <w:rsid w:val="005D4DF3"/>
    <w:pPr>
      <w:numPr>
        <w:numId w:val="42"/>
      </w:numPr>
    </w:pPr>
  </w:style>
  <w:style w:type="paragraph" w:customStyle="1" w:styleId="Pa36">
    <w:name w:val="Pa36"/>
    <w:basedOn w:val="Normal"/>
    <w:next w:val="Normal"/>
    <w:uiPriority w:val="99"/>
    <w:rsid w:val="005D4DF3"/>
    <w:pPr>
      <w:autoSpaceDE w:val="0"/>
      <w:autoSpaceDN w:val="0"/>
      <w:adjustRightInd w:val="0"/>
      <w:spacing w:line="211" w:lineRule="atLeast"/>
      <w:ind w:left="709" w:hanging="709"/>
    </w:pPr>
    <w:rPr>
      <w:rFonts w:ascii="Avenir LT 55 Roman" w:eastAsiaTheme="minorHAnsi" w:hAnsi="Avenir LT 55 Roman" w:cstheme="minorBidi"/>
      <w:lang w:eastAsia="en-US"/>
    </w:rPr>
  </w:style>
  <w:style w:type="paragraph" w:customStyle="1" w:styleId="Pa37">
    <w:name w:val="Pa37"/>
    <w:basedOn w:val="Normal"/>
    <w:next w:val="Normal"/>
    <w:uiPriority w:val="99"/>
    <w:rsid w:val="005D4DF3"/>
    <w:pPr>
      <w:autoSpaceDE w:val="0"/>
      <w:autoSpaceDN w:val="0"/>
      <w:adjustRightInd w:val="0"/>
      <w:spacing w:line="211" w:lineRule="atLeast"/>
      <w:ind w:left="709" w:hanging="709"/>
    </w:pPr>
    <w:rPr>
      <w:rFonts w:ascii="Avenir LT 55 Roman" w:eastAsiaTheme="minorHAnsi" w:hAnsi="Avenir LT 55 Roman" w:cstheme="minorBidi"/>
      <w:lang w:eastAsia="en-US"/>
    </w:rPr>
  </w:style>
  <w:style w:type="character" w:styleId="CommentReference">
    <w:name w:val="annotation reference"/>
    <w:basedOn w:val="DefaultParagraphFont"/>
    <w:uiPriority w:val="99"/>
    <w:semiHidden/>
    <w:unhideWhenUsed/>
    <w:rsid w:val="005D4DF3"/>
    <w:rPr>
      <w:sz w:val="16"/>
      <w:szCs w:val="16"/>
    </w:rPr>
  </w:style>
  <w:style w:type="paragraph" w:customStyle="1" w:styleId="Default">
    <w:name w:val="Default"/>
    <w:rsid w:val="005D4DF3"/>
    <w:pPr>
      <w:autoSpaceDE w:val="0"/>
      <w:autoSpaceDN w:val="0"/>
      <w:adjustRightInd w:val="0"/>
      <w:spacing w:after="0"/>
      <w:ind w:left="709"/>
    </w:pPr>
    <w:rPr>
      <w:rFonts w:ascii="Calibri" w:hAnsi="Calibri" w:cs="Calibri"/>
      <w:color w:val="000000"/>
      <w:sz w:val="24"/>
      <w:szCs w:val="24"/>
    </w:rPr>
  </w:style>
  <w:style w:type="paragraph" w:styleId="ListBullet">
    <w:name w:val="List Bullet"/>
    <w:basedOn w:val="ListParagraph"/>
    <w:rsid w:val="005D4DF3"/>
    <w:pPr>
      <w:widowControl w:val="0"/>
      <w:numPr>
        <w:numId w:val="51"/>
      </w:numPr>
      <w:spacing w:after="0" w:line="240" w:lineRule="auto"/>
      <w:contextualSpacing w:val="0"/>
    </w:pPr>
    <w:rPr>
      <w:rFonts w:ascii="Arial" w:eastAsia="Times New Roman" w:hAnsi="Arial" w:cs="Arial"/>
      <w:sz w:val="24"/>
      <w:szCs w:val="24"/>
      <w:lang w:eastAsia="en-AU"/>
    </w:rPr>
  </w:style>
  <w:style w:type="paragraph" w:customStyle="1" w:styleId="BlankCentered">
    <w:name w:val="BlankCentered"/>
    <w:basedOn w:val="Normal"/>
    <w:semiHidden/>
    <w:rsid w:val="005D4DF3"/>
    <w:pPr>
      <w:spacing w:before="480" w:after="120"/>
      <w:jc w:val="center"/>
    </w:pPr>
    <w:rPr>
      <w:rFonts w:ascii="Calibri" w:hAnsi="Calibri"/>
      <w:sz w:val="22"/>
      <w:szCs w:val="20"/>
      <w:lang w:eastAsia="en-US"/>
    </w:rPr>
  </w:style>
  <w:style w:type="character" w:styleId="PageNumber">
    <w:name w:val="page number"/>
    <w:basedOn w:val="DefaultParagraphFont"/>
    <w:rsid w:val="007D55CC"/>
  </w:style>
  <w:style w:type="paragraph" w:customStyle="1" w:styleId="paragraph">
    <w:name w:val="paragraph"/>
    <w:basedOn w:val="Normal"/>
    <w:rsid w:val="007D55CC"/>
    <w:pPr>
      <w:spacing w:before="100" w:beforeAutospacing="1" w:after="100" w:afterAutospacing="1"/>
    </w:pPr>
  </w:style>
  <w:style w:type="numbering" w:customStyle="1" w:styleId="NoList1">
    <w:name w:val="No List1"/>
    <w:next w:val="NoList"/>
    <w:uiPriority w:val="99"/>
    <w:semiHidden/>
    <w:unhideWhenUsed/>
    <w:rsid w:val="004102BE"/>
  </w:style>
  <w:style w:type="table" w:customStyle="1" w:styleId="TableGrid1">
    <w:name w:val="Table Grid1"/>
    <w:basedOn w:val="TableNormal"/>
    <w:next w:val="TableGrid"/>
    <w:uiPriority w:val="59"/>
    <w:rsid w:val="004102BE"/>
    <w:pPr>
      <w:spacing w:after="0"/>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uiPriority w:val="99"/>
    <w:semiHidden/>
    <w:rsid w:val="004102BE"/>
    <w:rPr>
      <w:rFonts w:ascii="Tahoma" w:eastAsia="Times New Roman" w:hAnsi="Tahoma" w:cs="Tahoma"/>
      <w:sz w:val="16"/>
      <w:szCs w:val="16"/>
      <w:lang w:eastAsia="en-AU"/>
    </w:rPr>
  </w:style>
  <w:style w:type="character" w:customStyle="1" w:styleId="HeaderChar1">
    <w:name w:val="Header Char1"/>
    <w:basedOn w:val="DefaultParagraphFont"/>
    <w:semiHidden/>
    <w:rsid w:val="004102BE"/>
    <w:rPr>
      <w:rFonts w:ascii="Times New Roman" w:eastAsia="Times New Roman" w:hAnsi="Times New Roman" w:cs="Times New Roman"/>
      <w:sz w:val="24"/>
      <w:szCs w:val="24"/>
      <w:lang w:eastAsia="en-AU"/>
    </w:rPr>
  </w:style>
  <w:style w:type="numbering" w:customStyle="1" w:styleId="Style11">
    <w:name w:val="Style11"/>
    <w:uiPriority w:val="99"/>
    <w:rsid w:val="004102BE"/>
  </w:style>
  <w:style w:type="numbering" w:customStyle="1" w:styleId="Style21">
    <w:name w:val="Style21"/>
    <w:uiPriority w:val="99"/>
    <w:rsid w:val="004102BE"/>
  </w:style>
  <w:style w:type="numbering" w:customStyle="1" w:styleId="Style31">
    <w:name w:val="Style31"/>
    <w:uiPriority w:val="99"/>
    <w:rsid w:val="004102BE"/>
  </w:style>
  <w:style w:type="numbering" w:customStyle="1" w:styleId="Style41">
    <w:name w:val="Style41"/>
    <w:uiPriority w:val="99"/>
    <w:rsid w:val="004102BE"/>
  </w:style>
  <w:style w:type="table" w:customStyle="1" w:styleId="TableGrid2">
    <w:name w:val="Table Grid2"/>
    <w:basedOn w:val="TableNormal"/>
    <w:next w:val="TableGrid"/>
    <w:uiPriority w:val="59"/>
    <w:rsid w:val="007B600B"/>
    <w:pPr>
      <w:spacing w:after="0"/>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93DF3"/>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4">
    <w:name w:val="toc 4"/>
    <w:basedOn w:val="Normal"/>
    <w:next w:val="Normal"/>
    <w:autoRedefine/>
    <w:uiPriority w:val="39"/>
    <w:unhideWhenUsed/>
    <w:rsid w:val="00593DF3"/>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593DF3"/>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593DF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593DF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93DF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93DF3"/>
    <w:pPr>
      <w:spacing w:after="100" w:line="276" w:lineRule="auto"/>
      <w:ind w:left="1760"/>
    </w:pPr>
    <w:rPr>
      <w:rFonts w:asciiTheme="minorHAnsi" w:eastAsiaTheme="minorEastAsia" w:hAnsiTheme="minorHAnsi" w:cstheme="minorBidi"/>
      <w:sz w:val="22"/>
      <w:szCs w:val="22"/>
    </w:rPr>
  </w:style>
  <w:style w:type="paragraph" w:styleId="TOC1">
    <w:name w:val="toc 1"/>
    <w:basedOn w:val="Normal"/>
    <w:next w:val="Normal"/>
    <w:autoRedefine/>
    <w:uiPriority w:val="39"/>
    <w:unhideWhenUsed/>
    <w:qFormat/>
    <w:rsid w:val="00C710E7"/>
    <w:pPr>
      <w:tabs>
        <w:tab w:val="right" w:leader="dot" w:pos="9016"/>
      </w:tabs>
      <w:spacing w:after="100"/>
      <w:ind w:left="426"/>
    </w:pPr>
  </w:style>
  <w:style w:type="paragraph" w:styleId="TOC3">
    <w:name w:val="toc 3"/>
    <w:basedOn w:val="Normal"/>
    <w:next w:val="Normal"/>
    <w:autoRedefine/>
    <w:uiPriority w:val="39"/>
    <w:unhideWhenUsed/>
    <w:qFormat/>
    <w:rsid w:val="00C710E7"/>
    <w:pPr>
      <w:tabs>
        <w:tab w:val="right" w:leader="dot" w:pos="9016"/>
      </w:tabs>
      <w:spacing w:after="100"/>
      <w:ind w:left="567"/>
    </w:pPr>
  </w:style>
  <w:style w:type="character" w:styleId="FollowedHyperlink">
    <w:name w:val="FollowedHyperlink"/>
    <w:basedOn w:val="DefaultParagraphFont"/>
    <w:uiPriority w:val="99"/>
    <w:semiHidden/>
    <w:unhideWhenUsed/>
    <w:rsid w:val="0029454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ind w:hanging="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204"/>
    <w:pPr>
      <w:spacing w:after="0"/>
      <w:ind w:firstLine="0"/>
    </w:pPr>
    <w:rPr>
      <w:rFonts w:ascii="Times New Roman" w:eastAsia="Times New Roman" w:hAnsi="Times New Roman" w:cs="Times New Roman"/>
      <w:sz w:val="24"/>
      <w:szCs w:val="24"/>
      <w:lang w:eastAsia="en-AU"/>
    </w:rPr>
  </w:style>
  <w:style w:type="paragraph" w:styleId="Heading1">
    <w:name w:val="heading 1"/>
    <w:basedOn w:val="Normal"/>
    <w:link w:val="Heading1Char"/>
    <w:uiPriority w:val="9"/>
    <w:qFormat/>
    <w:rsid w:val="00111216"/>
    <w:pPr>
      <w:spacing w:before="100" w:beforeAutospacing="1" w:after="100" w:afterAutospacing="1"/>
      <w:outlineLvl w:val="0"/>
    </w:pPr>
    <w:rPr>
      <w:b/>
      <w:bCs/>
      <w:kern w:val="36"/>
      <w:sz w:val="48"/>
      <w:szCs w:val="48"/>
    </w:rPr>
  </w:style>
  <w:style w:type="paragraph" w:styleId="Heading2">
    <w:name w:val="heading 2"/>
    <w:basedOn w:val="Normal"/>
    <w:link w:val="Heading2Char"/>
    <w:qFormat/>
    <w:rsid w:val="00111216"/>
    <w:pPr>
      <w:spacing w:before="360" w:after="120" w:line="288" w:lineRule="auto"/>
      <w:outlineLvl w:val="1"/>
    </w:pPr>
    <w:rPr>
      <w:rFonts w:ascii="Arial" w:hAnsi="Arial" w:cs="Arial"/>
      <w:b/>
      <w:bCs/>
      <w:color w:val="0D0D0D"/>
      <w:sz w:val="28"/>
      <w:szCs w:val="28"/>
    </w:rPr>
  </w:style>
  <w:style w:type="paragraph" w:styleId="Heading3">
    <w:name w:val="heading 3"/>
    <w:basedOn w:val="Normal"/>
    <w:next w:val="Normal"/>
    <w:link w:val="Heading3Char"/>
    <w:uiPriority w:val="9"/>
    <w:semiHidden/>
    <w:unhideWhenUsed/>
    <w:qFormat/>
    <w:rsid w:val="0011121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216"/>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rsid w:val="00111216"/>
    <w:rPr>
      <w:rFonts w:ascii="Arial" w:eastAsia="Times New Roman" w:hAnsi="Arial" w:cs="Arial"/>
      <w:b/>
      <w:bCs/>
      <w:color w:val="0D0D0D"/>
      <w:sz w:val="28"/>
      <w:szCs w:val="28"/>
      <w:lang w:eastAsia="en-AU"/>
    </w:rPr>
  </w:style>
  <w:style w:type="character" w:customStyle="1" w:styleId="Heading3Char">
    <w:name w:val="Heading 3 Char"/>
    <w:basedOn w:val="DefaultParagraphFont"/>
    <w:link w:val="Heading3"/>
    <w:uiPriority w:val="9"/>
    <w:semiHidden/>
    <w:rsid w:val="00111216"/>
    <w:rPr>
      <w:rFonts w:asciiTheme="majorHAnsi" w:eastAsiaTheme="majorEastAsia" w:hAnsiTheme="majorHAnsi" w:cstheme="majorBidi"/>
      <w:b/>
      <w:bCs/>
      <w:color w:val="4F81BD" w:themeColor="accent1"/>
      <w:sz w:val="24"/>
      <w:szCs w:val="24"/>
      <w:lang w:eastAsia="en-AU"/>
    </w:rPr>
  </w:style>
  <w:style w:type="paragraph" w:styleId="FootnoteText">
    <w:name w:val="footnote text"/>
    <w:basedOn w:val="Normal"/>
    <w:link w:val="FootnoteTextChar"/>
    <w:uiPriority w:val="99"/>
    <w:rsid w:val="00111216"/>
    <w:rPr>
      <w:sz w:val="20"/>
      <w:szCs w:val="20"/>
    </w:rPr>
  </w:style>
  <w:style w:type="character" w:customStyle="1" w:styleId="FootnoteTextChar">
    <w:name w:val="Footnote Text Char"/>
    <w:basedOn w:val="DefaultParagraphFont"/>
    <w:link w:val="FootnoteText"/>
    <w:uiPriority w:val="99"/>
    <w:rsid w:val="00111216"/>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rsid w:val="00111216"/>
    <w:rPr>
      <w:vertAlign w:val="superscript"/>
    </w:rPr>
  </w:style>
  <w:style w:type="character" w:styleId="Hyperlink">
    <w:name w:val="Hyperlink"/>
    <w:basedOn w:val="DefaultParagraphFont"/>
    <w:uiPriority w:val="99"/>
    <w:unhideWhenUsed/>
    <w:rsid w:val="00111216"/>
    <w:rPr>
      <w:strike w:val="0"/>
      <w:dstrike w:val="0"/>
      <w:color w:val="0000FF"/>
      <w:u w:val="none"/>
      <w:effect w:val="none"/>
    </w:rPr>
  </w:style>
  <w:style w:type="paragraph" w:styleId="NormalWeb">
    <w:name w:val="Normal (Web)"/>
    <w:basedOn w:val="Normal"/>
    <w:uiPriority w:val="99"/>
    <w:unhideWhenUsed/>
    <w:rsid w:val="00111216"/>
    <w:pPr>
      <w:spacing w:before="100" w:beforeAutospacing="1" w:after="100" w:afterAutospacing="1"/>
    </w:pPr>
  </w:style>
  <w:style w:type="character" w:styleId="Emphasis">
    <w:name w:val="Emphasis"/>
    <w:basedOn w:val="DefaultParagraphFont"/>
    <w:qFormat/>
    <w:rsid w:val="00111216"/>
    <w:rPr>
      <w:i/>
      <w:iCs/>
    </w:rPr>
  </w:style>
  <w:style w:type="paragraph" w:styleId="Footer">
    <w:name w:val="footer"/>
    <w:basedOn w:val="Normal"/>
    <w:link w:val="FooterChar"/>
    <w:unhideWhenUsed/>
    <w:rsid w:val="00111216"/>
    <w:pPr>
      <w:tabs>
        <w:tab w:val="center" w:pos="4513"/>
        <w:tab w:val="right" w:pos="9026"/>
      </w:tabs>
    </w:pPr>
  </w:style>
  <w:style w:type="character" w:customStyle="1" w:styleId="FooterChar">
    <w:name w:val="Footer Char"/>
    <w:basedOn w:val="DefaultParagraphFont"/>
    <w:link w:val="Footer"/>
    <w:rsid w:val="00111216"/>
    <w:rPr>
      <w:rFonts w:ascii="Times New Roman" w:eastAsia="Times New Roman" w:hAnsi="Times New Roman" w:cs="Times New Roman"/>
      <w:sz w:val="24"/>
      <w:szCs w:val="24"/>
      <w:lang w:eastAsia="en-AU"/>
    </w:rPr>
  </w:style>
  <w:style w:type="paragraph" w:styleId="EndnoteText">
    <w:name w:val="endnote text"/>
    <w:basedOn w:val="Normal"/>
    <w:link w:val="EndnoteTextChar"/>
    <w:rsid w:val="00111216"/>
    <w:pPr>
      <w:tabs>
        <w:tab w:val="left" w:pos="567"/>
        <w:tab w:val="left" w:pos="1134"/>
        <w:tab w:val="left" w:pos="1440"/>
        <w:tab w:val="left" w:pos="2160"/>
        <w:tab w:val="left" w:pos="2592"/>
      </w:tabs>
      <w:jc w:val="both"/>
    </w:pPr>
    <w:rPr>
      <w:rFonts w:ascii="Book Antiqua" w:hAnsi="Book Antiqua"/>
      <w:sz w:val="23"/>
      <w:szCs w:val="20"/>
    </w:rPr>
  </w:style>
  <w:style w:type="character" w:customStyle="1" w:styleId="EndnoteTextChar">
    <w:name w:val="Endnote Text Char"/>
    <w:basedOn w:val="DefaultParagraphFont"/>
    <w:link w:val="EndnoteText"/>
    <w:rsid w:val="00111216"/>
    <w:rPr>
      <w:rFonts w:ascii="Book Antiqua" w:eastAsia="Times New Roman" w:hAnsi="Book Antiqua" w:cs="Times New Roman"/>
      <w:sz w:val="23"/>
      <w:szCs w:val="20"/>
      <w:lang w:eastAsia="en-AU"/>
    </w:rPr>
  </w:style>
  <w:style w:type="paragraph" w:customStyle="1" w:styleId="HawkeReviewheading">
    <w:name w:val="Hawke Review heading"/>
    <w:basedOn w:val="Heading1"/>
    <w:link w:val="HawkeReviewheadingChar"/>
    <w:qFormat/>
    <w:rsid w:val="00111216"/>
    <w:rPr>
      <w:rFonts w:ascii="Arial" w:hAnsi="Arial"/>
      <w:b w:val="0"/>
      <w:caps/>
      <w:color w:val="1F497D" w:themeColor="text2"/>
      <w:sz w:val="32"/>
      <w:szCs w:val="44"/>
    </w:rPr>
  </w:style>
  <w:style w:type="character" w:customStyle="1" w:styleId="HawkeReviewheadingChar">
    <w:name w:val="Hawke Review heading Char"/>
    <w:basedOn w:val="Heading1Char"/>
    <w:link w:val="HawkeReviewheading"/>
    <w:rsid w:val="00111216"/>
    <w:rPr>
      <w:rFonts w:ascii="Arial" w:eastAsia="Times New Roman" w:hAnsi="Arial" w:cs="Times New Roman"/>
      <w:b/>
      <w:bCs/>
      <w:caps/>
      <w:color w:val="1F497D" w:themeColor="text2"/>
      <w:kern w:val="36"/>
      <w:sz w:val="32"/>
      <w:szCs w:val="44"/>
      <w:lang w:eastAsia="en-AU"/>
    </w:rPr>
  </w:style>
  <w:style w:type="paragraph" w:customStyle="1" w:styleId="HawkeReviewbody">
    <w:name w:val="Hawke Review body"/>
    <w:basedOn w:val="Normal"/>
    <w:qFormat/>
    <w:rsid w:val="00111216"/>
    <w:pPr>
      <w:spacing w:before="100" w:beforeAutospacing="1" w:after="100" w:line="288" w:lineRule="auto"/>
    </w:pPr>
    <w:rPr>
      <w:rFonts w:ascii="Arial" w:hAnsi="Arial" w:cstheme="majorHAnsi"/>
      <w:sz w:val="19"/>
      <w:szCs w:val="20"/>
    </w:rPr>
  </w:style>
  <w:style w:type="paragraph" w:customStyle="1" w:styleId="HawkeReviewsubheading">
    <w:name w:val="Hawke Review subheading"/>
    <w:basedOn w:val="Heading3"/>
    <w:next w:val="HawkeReviewbody"/>
    <w:link w:val="HawkeReviewsubheadingChar"/>
    <w:qFormat/>
    <w:rsid w:val="00111216"/>
    <w:pPr>
      <w:spacing w:before="120" w:after="20"/>
    </w:pPr>
    <w:rPr>
      <w:caps/>
      <w:color w:val="1F497D" w:themeColor="text2"/>
      <w:sz w:val="23"/>
    </w:rPr>
  </w:style>
  <w:style w:type="character" w:customStyle="1" w:styleId="HawkeReviewsubheadingChar">
    <w:name w:val="Hawke Review subheading Char"/>
    <w:basedOn w:val="Heading3Char"/>
    <w:link w:val="HawkeReviewsubheading"/>
    <w:rsid w:val="00111216"/>
    <w:rPr>
      <w:rFonts w:asciiTheme="majorHAnsi" w:eastAsiaTheme="majorEastAsia" w:hAnsiTheme="majorHAnsi" w:cstheme="majorBidi"/>
      <w:b/>
      <w:bCs/>
      <w:caps/>
      <w:color w:val="1F497D" w:themeColor="text2"/>
      <w:sz w:val="23"/>
      <w:szCs w:val="24"/>
      <w:lang w:eastAsia="en-AU"/>
    </w:rPr>
  </w:style>
  <w:style w:type="paragraph" w:customStyle="1" w:styleId="HawkeReviewChapterHeading">
    <w:name w:val="Hawke Review Chapter Heading"/>
    <w:basedOn w:val="Normal"/>
    <w:next w:val="HawkeReviewheading"/>
    <w:qFormat/>
    <w:rsid w:val="00111216"/>
    <w:pPr>
      <w:keepNext/>
      <w:pageBreakBefore/>
      <w:pBdr>
        <w:bottom w:val="single" w:sz="4" w:space="1" w:color="auto"/>
      </w:pBdr>
      <w:spacing w:after="200"/>
      <w:ind w:right="-142"/>
      <w:outlineLvl w:val="1"/>
    </w:pPr>
    <w:rPr>
      <w:rFonts w:asciiTheme="majorHAnsi" w:hAnsiTheme="majorHAnsi" w:cstheme="majorHAnsi"/>
      <w:color w:val="1F497D" w:themeColor="text2"/>
      <w:kern w:val="32"/>
      <w:sz w:val="44"/>
      <w:szCs w:val="44"/>
    </w:rPr>
  </w:style>
  <w:style w:type="table" w:styleId="TableGrid">
    <w:name w:val="Table Grid"/>
    <w:basedOn w:val="TableNormal"/>
    <w:uiPriority w:val="59"/>
    <w:rsid w:val="00111216"/>
    <w:pPr>
      <w:spacing w:after="0"/>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121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loonTextChar">
    <w:name w:val="Balloon Text Char"/>
    <w:basedOn w:val="DefaultParagraphFont"/>
    <w:link w:val="BalloonText"/>
    <w:uiPriority w:val="99"/>
    <w:semiHidden/>
    <w:rsid w:val="00111216"/>
    <w:rPr>
      <w:rFonts w:ascii="Tahoma" w:hAnsi="Tahoma" w:cs="Tahoma"/>
      <w:sz w:val="16"/>
      <w:szCs w:val="16"/>
    </w:rPr>
  </w:style>
  <w:style w:type="paragraph" w:styleId="BalloonText">
    <w:name w:val="Balloon Text"/>
    <w:basedOn w:val="Normal"/>
    <w:link w:val="BalloonTextChar"/>
    <w:uiPriority w:val="99"/>
    <w:semiHidden/>
    <w:unhideWhenUsed/>
    <w:rsid w:val="00111216"/>
    <w:rPr>
      <w:rFonts w:ascii="Tahoma" w:eastAsiaTheme="minorHAnsi" w:hAnsi="Tahoma" w:cs="Tahoma"/>
      <w:sz w:val="16"/>
      <w:szCs w:val="16"/>
      <w:lang w:eastAsia="en-US"/>
    </w:rPr>
  </w:style>
  <w:style w:type="paragraph" w:styleId="CommentText">
    <w:name w:val="annotation text"/>
    <w:basedOn w:val="Normal"/>
    <w:link w:val="CommentTextChar"/>
    <w:uiPriority w:val="99"/>
    <w:semiHidden/>
    <w:unhideWhenUsed/>
    <w:rsid w:val="00111216"/>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111216"/>
    <w:rPr>
      <w:sz w:val="20"/>
      <w:szCs w:val="20"/>
    </w:rPr>
  </w:style>
  <w:style w:type="paragraph" w:styleId="CommentSubject">
    <w:name w:val="annotation subject"/>
    <w:basedOn w:val="CommentText"/>
    <w:next w:val="CommentText"/>
    <w:link w:val="CommentSubjectChar"/>
    <w:uiPriority w:val="99"/>
    <w:semiHidden/>
    <w:unhideWhenUsed/>
    <w:rsid w:val="00111216"/>
    <w:rPr>
      <w:b/>
      <w:bCs/>
    </w:rPr>
  </w:style>
  <w:style w:type="character" w:customStyle="1" w:styleId="CommentSubjectChar">
    <w:name w:val="Comment Subject Char"/>
    <w:basedOn w:val="CommentTextChar"/>
    <w:link w:val="CommentSubject"/>
    <w:uiPriority w:val="99"/>
    <w:semiHidden/>
    <w:rsid w:val="00111216"/>
    <w:rPr>
      <w:b/>
      <w:bCs/>
      <w:sz w:val="20"/>
      <w:szCs w:val="20"/>
    </w:rPr>
  </w:style>
  <w:style w:type="paragraph" w:styleId="Revision">
    <w:name w:val="Revision"/>
    <w:hidden/>
    <w:uiPriority w:val="99"/>
    <w:semiHidden/>
    <w:rsid w:val="00111216"/>
    <w:pPr>
      <w:spacing w:after="0"/>
      <w:ind w:firstLine="0"/>
    </w:pPr>
  </w:style>
  <w:style w:type="character" w:customStyle="1" w:styleId="A12">
    <w:name w:val="A12"/>
    <w:uiPriority w:val="99"/>
    <w:rsid w:val="00111216"/>
    <w:rPr>
      <w:rFonts w:cs="AvantGarde CondBook"/>
      <w:color w:val="000000"/>
      <w:sz w:val="10"/>
      <w:szCs w:val="10"/>
    </w:rPr>
  </w:style>
  <w:style w:type="paragraph" w:styleId="TOC2">
    <w:name w:val="toc 2"/>
    <w:basedOn w:val="Normal"/>
    <w:next w:val="Normal"/>
    <w:autoRedefine/>
    <w:uiPriority w:val="39"/>
    <w:unhideWhenUsed/>
    <w:qFormat/>
    <w:rsid w:val="00A243FD"/>
    <w:pPr>
      <w:tabs>
        <w:tab w:val="right" w:leader="dot" w:pos="9016"/>
      </w:tabs>
      <w:spacing w:after="100" w:line="276" w:lineRule="auto"/>
      <w:ind w:left="22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111216"/>
  </w:style>
  <w:style w:type="paragraph" w:styleId="Header">
    <w:name w:val="header"/>
    <w:basedOn w:val="Normal"/>
    <w:link w:val="HeaderChar"/>
    <w:unhideWhenUsed/>
    <w:rsid w:val="00111216"/>
    <w:pPr>
      <w:tabs>
        <w:tab w:val="center" w:pos="4513"/>
        <w:tab w:val="right" w:pos="9026"/>
      </w:tabs>
    </w:pPr>
    <w:rPr>
      <w:rFonts w:asciiTheme="minorHAnsi" w:eastAsiaTheme="minorHAnsi" w:hAnsiTheme="minorHAnsi" w:cstheme="minorBidi"/>
      <w:sz w:val="22"/>
      <w:szCs w:val="22"/>
      <w:lang w:eastAsia="en-US"/>
    </w:rPr>
  </w:style>
  <w:style w:type="paragraph" w:styleId="Caption">
    <w:name w:val="caption"/>
    <w:basedOn w:val="Normal"/>
    <w:next w:val="Normal"/>
    <w:uiPriority w:val="35"/>
    <w:unhideWhenUsed/>
    <w:qFormat/>
    <w:rsid w:val="00111216"/>
    <w:pPr>
      <w:spacing w:after="200"/>
    </w:pPr>
    <w:rPr>
      <w:rFonts w:asciiTheme="minorHAnsi" w:eastAsiaTheme="minorHAnsi" w:hAnsiTheme="minorHAnsi" w:cstheme="minorBidi"/>
      <w:b/>
      <w:bCs/>
      <w:color w:val="4F81BD" w:themeColor="accent1"/>
      <w:sz w:val="18"/>
      <w:szCs w:val="18"/>
      <w:lang w:eastAsia="en-US"/>
    </w:rPr>
  </w:style>
  <w:style w:type="numbering" w:customStyle="1" w:styleId="Style1">
    <w:name w:val="Style1"/>
    <w:uiPriority w:val="99"/>
    <w:rsid w:val="005D4DF3"/>
    <w:pPr>
      <w:numPr>
        <w:numId w:val="39"/>
      </w:numPr>
    </w:pPr>
  </w:style>
  <w:style w:type="numbering" w:customStyle="1" w:styleId="Style2">
    <w:name w:val="Style2"/>
    <w:uiPriority w:val="99"/>
    <w:rsid w:val="005D4DF3"/>
    <w:pPr>
      <w:numPr>
        <w:numId w:val="40"/>
      </w:numPr>
    </w:pPr>
  </w:style>
  <w:style w:type="numbering" w:customStyle="1" w:styleId="Style3">
    <w:name w:val="Style3"/>
    <w:uiPriority w:val="99"/>
    <w:rsid w:val="005D4DF3"/>
    <w:pPr>
      <w:numPr>
        <w:numId w:val="41"/>
      </w:numPr>
    </w:pPr>
  </w:style>
  <w:style w:type="numbering" w:customStyle="1" w:styleId="Style4">
    <w:name w:val="Style4"/>
    <w:uiPriority w:val="99"/>
    <w:rsid w:val="005D4DF3"/>
    <w:pPr>
      <w:numPr>
        <w:numId w:val="42"/>
      </w:numPr>
    </w:pPr>
  </w:style>
  <w:style w:type="paragraph" w:customStyle="1" w:styleId="Pa36">
    <w:name w:val="Pa36"/>
    <w:basedOn w:val="Normal"/>
    <w:next w:val="Normal"/>
    <w:uiPriority w:val="99"/>
    <w:rsid w:val="005D4DF3"/>
    <w:pPr>
      <w:autoSpaceDE w:val="0"/>
      <w:autoSpaceDN w:val="0"/>
      <w:adjustRightInd w:val="0"/>
      <w:spacing w:line="211" w:lineRule="atLeast"/>
      <w:ind w:left="709" w:hanging="709"/>
    </w:pPr>
    <w:rPr>
      <w:rFonts w:ascii="Avenir LT 55 Roman" w:eastAsiaTheme="minorHAnsi" w:hAnsi="Avenir LT 55 Roman" w:cstheme="minorBidi"/>
      <w:lang w:eastAsia="en-US"/>
    </w:rPr>
  </w:style>
  <w:style w:type="paragraph" w:customStyle="1" w:styleId="Pa37">
    <w:name w:val="Pa37"/>
    <w:basedOn w:val="Normal"/>
    <w:next w:val="Normal"/>
    <w:uiPriority w:val="99"/>
    <w:rsid w:val="005D4DF3"/>
    <w:pPr>
      <w:autoSpaceDE w:val="0"/>
      <w:autoSpaceDN w:val="0"/>
      <w:adjustRightInd w:val="0"/>
      <w:spacing w:line="211" w:lineRule="atLeast"/>
      <w:ind w:left="709" w:hanging="709"/>
    </w:pPr>
    <w:rPr>
      <w:rFonts w:ascii="Avenir LT 55 Roman" w:eastAsiaTheme="minorHAnsi" w:hAnsi="Avenir LT 55 Roman" w:cstheme="minorBidi"/>
      <w:lang w:eastAsia="en-US"/>
    </w:rPr>
  </w:style>
  <w:style w:type="character" w:styleId="CommentReference">
    <w:name w:val="annotation reference"/>
    <w:basedOn w:val="DefaultParagraphFont"/>
    <w:uiPriority w:val="99"/>
    <w:semiHidden/>
    <w:unhideWhenUsed/>
    <w:rsid w:val="005D4DF3"/>
    <w:rPr>
      <w:sz w:val="16"/>
      <w:szCs w:val="16"/>
    </w:rPr>
  </w:style>
  <w:style w:type="paragraph" w:customStyle="1" w:styleId="Default">
    <w:name w:val="Default"/>
    <w:rsid w:val="005D4DF3"/>
    <w:pPr>
      <w:autoSpaceDE w:val="0"/>
      <w:autoSpaceDN w:val="0"/>
      <w:adjustRightInd w:val="0"/>
      <w:spacing w:after="0"/>
      <w:ind w:left="709"/>
    </w:pPr>
    <w:rPr>
      <w:rFonts w:ascii="Calibri" w:hAnsi="Calibri" w:cs="Calibri"/>
      <w:color w:val="000000"/>
      <w:sz w:val="24"/>
      <w:szCs w:val="24"/>
    </w:rPr>
  </w:style>
  <w:style w:type="paragraph" w:styleId="ListBullet">
    <w:name w:val="List Bullet"/>
    <w:basedOn w:val="ListParagraph"/>
    <w:rsid w:val="005D4DF3"/>
    <w:pPr>
      <w:widowControl w:val="0"/>
      <w:numPr>
        <w:numId w:val="51"/>
      </w:numPr>
      <w:spacing w:after="0" w:line="240" w:lineRule="auto"/>
      <w:contextualSpacing w:val="0"/>
    </w:pPr>
    <w:rPr>
      <w:rFonts w:ascii="Arial" w:eastAsia="Times New Roman" w:hAnsi="Arial" w:cs="Arial"/>
      <w:sz w:val="24"/>
      <w:szCs w:val="24"/>
      <w:lang w:eastAsia="en-AU"/>
    </w:rPr>
  </w:style>
  <w:style w:type="paragraph" w:customStyle="1" w:styleId="BlankCentered">
    <w:name w:val="BlankCentered"/>
    <w:basedOn w:val="Normal"/>
    <w:semiHidden/>
    <w:rsid w:val="005D4DF3"/>
    <w:pPr>
      <w:spacing w:before="480" w:after="120"/>
      <w:jc w:val="center"/>
    </w:pPr>
    <w:rPr>
      <w:rFonts w:ascii="Calibri" w:hAnsi="Calibri"/>
      <w:sz w:val="22"/>
      <w:szCs w:val="20"/>
      <w:lang w:eastAsia="en-US"/>
    </w:rPr>
  </w:style>
  <w:style w:type="character" w:styleId="PageNumber">
    <w:name w:val="page number"/>
    <w:basedOn w:val="DefaultParagraphFont"/>
    <w:rsid w:val="007D55CC"/>
  </w:style>
  <w:style w:type="paragraph" w:customStyle="1" w:styleId="paragraph">
    <w:name w:val="paragraph"/>
    <w:basedOn w:val="Normal"/>
    <w:rsid w:val="007D55CC"/>
    <w:pPr>
      <w:spacing w:before="100" w:beforeAutospacing="1" w:after="100" w:afterAutospacing="1"/>
    </w:pPr>
  </w:style>
  <w:style w:type="numbering" w:customStyle="1" w:styleId="NoList1">
    <w:name w:val="No List1"/>
    <w:next w:val="NoList"/>
    <w:uiPriority w:val="99"/>
    <w:semiHidden/>
    <w:unhideWhenUsed/>
    <w:rsid w:val="004102BE"/>
  </w:style>
  <w:style w:type="table" w:customStyle="1" w:styleId="TableGrid1">
    <w:name w:val="Table Grid1"/>
    <w:basedOn w:val="TableNormal"/>
    <w:next w:val="TableGrid"/>
    <w:uiPriority w:val="59"/>
    <w:rsid w:val="004102BE"/>
    <w:pPr>
      <w:spacing w:after="0"/>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uiPriority w:val="99"/>
    <w:semiHidden/>
    <w:rsid w:val="004102BE"/>
    <w:rPr>
      <w:rFonts w:ascii="Tahoma" w:eastAsia="Times New Roman" w:hAnsi="Tahoma" w:cs="Tahoma"/>
      <w:sz w:val="16"/>
      <w:szCs w:val="16"/>
      <w:lang w:eastAsia="en-AU"/>
    </w:rPr>
  </w:style>
  <w:style w:type="character" w:customStyle="1" w:styleId="HeaderChar1">
    <w:name w:val="Header Char1"/>
    <w:basedOn w:val="DefaultParagraphFont"/>
    <w:semiHidden/>
    <w:rsid w:val="004102BE"/>
    <w:rPr>
      <w:rFonts w:ascii="Times New Roman" w:eastAsia="Times New Roman" w:hAnsi="Times New Roman" w:cs="Times New Roman"/>
      <w:sz w:val="24"/>
      <w:szCs w:val="24"/>
      <w:lang w:eastAsia="en-AU"/>
    </w:rPr>
  </w:style>
  <w:style w:type="numbering" w:customStyle="1" w:styleId="Style11">
    <w:name w:val="Style11"/>
    <w:uiPriority w:val="99"/>
    <w:rsid w:val="004102BE"/>
  </w:style>
  <w:style w:type="numbering" w:customStyle="1" w:styleId="Style21">
    <w:name w:val="Style21"/>
    <w:uiPriority w:val="99"/>
    <w:rsid w:val="004102BE"/>
  </w:style>
  <w:style w:type="numbering" w:customStyle="1" w:styleId="Style31">
    <w:name w:val="Style31"/>
    <w:uiPriority w:val="99"/>
    <w:rsid w:val="004102BE"/>
  </w:style>
  <w:style w:type="numbering" w:customStyle="1" w:styleId="Style41">
    <w:name w:val="Style41"/>
    <w:uiPriority w:val="99"/>
    <w:rsid w:val="004102BE"/>
  </w:style>
  <w:style w:type="table" w:customStyle="1" w:styleId="TableGrid2">
    <w:name w:val="Table Grid2"/>
    <w:basedOn w:val="TableNormal"/>
    <w:next w:val="TableGrid"/>
    <w:uiPriority w:val="59"/>
    <w:rsid w:val="007B600B"/>
    <w:pPr>
      <w:spacing w:after="0"/>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93DF3"/>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4">
    <w:name w:val="toc 4"/>
    <w:basedOn w:val="Normal"/>
    <w:next w:val="Normal"/>
    <w:autoRedefine/>
    <w:uiPriority w:val="39"/>
    <w:unhideWhenUsed/>
    <w:rsid w:val="00593DF3"/>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593DF3"/>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593DF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593DF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93DF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93DF3"/>
    <w:pPr>
      <w:spacing w:after="100" w:line="276" w:lineRule="auto"/>
      <w:ind w:left="1760"/>
    </w:pPr>
    <w:rPr>
      <w:rFonts w:asciiTheme="minorHAnsi" w:eastAsiaTheme="minorEastAsia" w:hAnsiTheme="minorHAnsi" w:cstheme="minorBidi"/>
      <w:sz w:val="22"/>
      <w:szCs w:val="22"/>
    </w:rPr>
  </w:style>
  <w:style w:type="paragraph" w:styleId="TOC1">
    <w:name w:val="toc 1"/>
    <w:basedOn w:val="Normal"/>
    <w:next w:val="Normal"/>
    <w:autoRedefine/>
    <w:uiPriority w:val="39"/>
    <w:unhideWhenUsed/>
    <w:qFormat/>
    <w:rsid w:val="00C710E7"/>
    <w:pPr>
      <w:tabs>
        <w:tab w:val="right" w:leader="dot" w:pos="9016"/>
      </w:tabs>
      <w:spacing w:after="100"/>
      <w:ind w:left="426"/>
    </w:pPr>
  </w:style>
  <w:style w:type="paragraph" w:styleId="TOC3">
    <w:name w:val="toc 3"/>
    <w:basedOn w:val="Normal"/>
    <w:next w:val="Normal"/>
    <w:autoRedefine/>
    <w:uiPriority w:val="39"/>
    <w:unhideWhenUsed/>
    <w:qFormat/>
    <w:rsid w:val="00C710E7"/>
    <w:pPr>
      <w:tabs>
        <w:tab w:val="right" w:leader="dot" w:pos="9016"/>
      </w:tabs>
      <w:spacing w:after="100"/>
      <w:ind w:left="567"/>
    </w:pPr>
  </w:style>
  <w:style w:type="character" w:styleId="FollowedHyperlink">
    <w:name w:val="FollowedHyperlink"/>
    <w:basedOn w:val="DefaultParagraphFont"/>
    <w:uiPriority w:val="99"/>
    <w:semiHidden/>
    <w:unhideWhenUsed/>
    <w:rsid w:val="00294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826762">
      <w:bodyDiv w:val="1"/>
      <w:marLeft w:val="0"/>
      <w:marRight w:val="0"/>
      <w:marTop w:val="0"/>
      <w:marBottom w:val="0"/>
      <w:divBdr>
        <w:top w:val="none" w:sz="0" w:space="0" w:color="auto"/>
        <w:left w:val="none" w:sz="0" w:space="0" w:color="auto"/>
        <w:bottom w:val="none" w:sz="0" w:space="0" w:color="auto"/>
        <w:right w:val="none" w:sz="0" w:space="0" w:color="auto"/>
      </w:divBdr>
    </w:div>
    <w:div w:id="149915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footer" Target="footer2.xml"/><Relationship Id="rId26" Type="http://schemas.openxmlformats.org/officeDocument/2006/relationships/chart" Target="charts/chart1.xml"/><Relationship Id="rId39" Type="http://schemas.openxmlformats.org/officeDocument/2006/relationships/chart" Target="charts/chart12.xml"/><Relationship Id="rId21" Type="http://schemas.openxmlformats.org/officeDocument/2006/relationships/header" Target="header5.xml"/><Relationship Id="rId34" Type="http://schemas.openxmlformats.org/officeDocument/2006/relationships/chart" Target="charts/chart9.xml"/><Relationship Id="rId42" Type="http://schemas.openxmlformats.org/officeDocument/2006/relationships/footer" Target="footer5.xml"/><Relationship Id="rId47" Type="http://schemas.openxmlformats.org/officeDocument/2006/relationships/header" Target="header15.xml"/><Relationship Id="rId50" Type="http://schemas.openxmlformats.org/officeDocument/2006/relationships/header" Target="header18.xml"/><Relationship Id="rId55"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chart" Target="charts/chart4.xml"/><Relationship Id="rId11" Type="http://schemas.openxmlformats.org/officeDocument/2006/relationships/image" Target="media/image2.png"/><Relationship Id="rId24" Type="http://schemas.openxmlformats.org/officeDocument/2006/relationships/header" Target="header7.xml"/><Relationship Id="rId32" Type="http://schemas.openxmlformats.org/officeDocument/2006/relationships/chart" Target="charts/chart7.xml"/><Relationship Id="rId37" Type="http://schemas.openxmlformats.org/officeDocument/2006/relationships/header" Target="header8.xml"/><Relationship Id="rId40" Type="http://schemas.openxmlformats.org/officeDocument/2006/relationships/chart" Target="charts/chart13.xml"/><Relationship Id="rId45" Type="http://schemas.openxmlformats.org/officeDocument/2006/relationships/header" Target="header13.xml"/><Relationship Id="rId53" Type="http://schemas.openxmlformats.org/officeDocument/2006/relationships/header" Target="header20.xml"/><Relationship Id="rId58" Type="http://schemas.openxmlformats.org/officeDocument/2006/relationships/customXml" Target="../customXml/item4.xml"/><Relationship Id="rId5" Type="http://schemas.microsoft.com/office/2007/relationships/stylesWithEffects" Target="stylesWithEffects.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chart" Target="charts/chart2.xml"/><Relationship Id="rId30" Type="http://schemas.openxmlformats.org/officeDocument/2006/relationships/chart" Target="charts/chart5.xml"/><Relationship Id="rId35" Type="http://schemas.openxmlformats.org/officeDocument/2006/relationships/chart" Target="charts/chart10.xml"/><Relationship Id="rId43" Type="http://schemas.openxmlformats.org/officeDocument/2006/relationships/header" Target="header11.xml"/><Relationship Id="rId48" Type="http://schemas.openxmlformats.org/officeDocument/2006/relationships/header" Target="header16.xm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eader" Target="header19.xml"/><Relationship Id="rId3" Type="http://schemas.openxmlformats.org/officeDocument/2006/relationships/numbering" Target="numbering.xml"/><Relationship Id="rId12" Type="http://schemas.openxmlformats.org/officeDocument/2006/relationships/image" Target="cid:image001.png@01CE2574.7CDA5300" TargetMode="External"/><Relationship Id="rId17" Type="http://schemas.openxmlformats.org/officeDocument/2006/relationships/header" Target="header3.xml"/><Relationship Id="rId25" Type="http://schemas.openxmlformats.org/officeDocument/2006/relationships/footer" Target="footer4.xml"/><Relationship Id="rId33" Type="http://schemas.openxmlformats.org/officeDocument/2006/relationships/chart" Target="charts/chart8.xml"/><Relationship Id="rId38" Type="http://schemas.openxmlformats.org/officeDocument/2006/relationships/header" Target="header9.xml"/><Relationship Id="rId46" Type="http://schemas.openxmlformats.org/officeDocument/2006/relationships/header" Target="header14.xml"/><Relationship Id="rId59" Type="http://schemas.openxmlformats.org/officeDocument/2006/relationships/customXml" Target="../customXml/item5.xml"/><Relationship Id="rId20" Type="http://schemas.openxmlformats.org/officeDocument/2006/relationships/hyperlink" Target="http://www.alrc.gov.au/publications/grey-areas%E2%80%94age-barriers-work-commonwealth-laws-dp-78" TargetMode="External"/><Relationship Id="rId41" Type="http://schemas.openxmlformats.org/officeDocument/2006/relationships/header" Target="header10.xml"/><Relationship Id="rId54"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chart" Target="charts/chart3.xml"/><Relationship Id="rId36" Type="http://schemas.openxmlformats.org/officeDocument/2006/relationships/chart" Target="charts/chart11.xml"/><Relationship Id="rId49" Type="http://schemas.openxmlformats.org/officeDocument/2006/relationships/header" Target="header17.xml"/><Relationship Id="rId57" Type="http://schemas.openxmlformats.org/officeDocument/2006/relationships/customXml" Target="../customXml/item3.xml"/><Relationship Id="rId10" Type="http://schemas.openxmlformats.org/officeDocument/2006/relationships/image" Target="media/image1.emf"/><Relationship Id="rId31" Type="http://schemas.openxmlformats.org/officeDocument/2006/relationships/chart" Target="charts/chart6.xml"/><Relationship Id="rId44" Type="http://schemas.openxmlformats.org/officeDocument/2006/relationships/header" Target="header12.xml"/><Relationship Id="rId52" Type="http://schemas.openxmlformats.org/officeDocument/2006/relationships/image" Target="media/image4.emf"/></Relationships>
</file>

<file path=word/_rels/footnotes.xml.rels><?xml version="1.0" encoding="UTF-8" standalone="yes"?>
<Relationships xmlns="http://schemas.openxmlformats.org/package/2006/relationships"><Relationship Id="rId3" Type="http://schemas.openxmlformats.org/officeDocument/2006/relationships/hyperlink" Target="http://www.srcc.gov.au/publications/guidance_for_employers" TargetMode="External"/><Relationship Id="rId7" Type="http://schemas.openxmlformats.org/officeDocument/2006/relationships/hyperlink" Target="http://www.finance.gov.au/about-the-department/asset-management-and-parliamentary-services.html" TargetMode="External"/><Relationship Id="rId2" Type="http://schemas.openxmlformats.org/officeDocument/2006/relationships/hyperlink" Target="http://www.srcc.gov.au/__data/assets/pdf_file/0003/37173/Guidelines_License_application_evaluation_%20Pub_39_Jan2006.pdf" TargetMode="External"/><Relationship Id="rId1" Type="http://schemas.openxmlformats.org/officeDocument/2006/relationships/hyperlink" Target="http://www.comlaw.gov.au/comlaw/management.nsf/lookupindexpagesbyid/IP200401135?OpenDocument" TargetMode="External"/><Relationship Id="rId6" Type="http://schemas.openxmlformats.org/officeDocument/2006/relationships/hyperlink" Target="http://www.srcc.gov.au/self_insurance/licence_conditions_and_performance_standards_outcomes/prudential_and_financial_conditions_of_a_licence" TargetMode="External"/><Relationship Id="rId5" Type="http://schemas.openxmlformats.org/officeDocument/2006/relationships/hyperlink" Target="http://www.worksafe.vic.gov.au/return-to-work" TargetMode="External"/><Relationship Id="rId4" Type="http://schemas.openxmlformats.org/officeDocument/2006/relationships/hyperlink" Target="mailto:stuart@risktobusiness.co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Book1" TargetMode="External"/><Relationship Id="rId1" Type="http://schemas.openxmlformats.org/officeDocument/2006/relationships/themeOverride" Target="../theme/themeOverride8.xml"/></Relationships>
</file>

<file path=word/charts/_rels/chart1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9.xml"/></Relationships>
</file>

<file path=word/charts/_rels/chart12.xml.rels><?xml version="1.0" encoding="UTF-8" standalone="yes"?>
<Relationships xmlns="http://schemas.openxmlformats.org/package/2006/relationships"><Relationship Id="rId2" Type="http://schemas.openxmlformats.org/officeDocument/2006/relationships/oleObject" Target="file:///\\EPNAS002\50030275\SRC%20Act%20review\Allan%20Hawke\Report\Chapter%203\Table%20with%20Comcare%20liabilities%20&amp;%20funding.xlsx" TargetMode="External"/><Relationship Id="rId1" Type="http://schemas.openxmlformats.org/officeDocument/2006/relationships/themeOverride" Target="../theme/themeOverride10.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EB2693\AppData\Local\Microsoft\Windows\Temporary%20Internet%20Files\Content.Outlook\Q47A0DZB\Book2.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Chart%20in%20Microsoft%20Office%20Word"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2" Type="http://schemas.openxmlformats.org/officeDocument/2006/relationships/oleObject" Target="file:///\\p-fileserver\ACTGroupFolders\Regulatory%20Services\Research%20&amp;%20Analysis%20Section\RAS\DART\Data%20&amp;%20reports%20produced\2012\Hawke%20Review\Data%20behind%20Graphs\Time%20to%20lodge%20claims.xls" TargetMode="External"/><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2006-07</c:v>
                </c:pt>
              </c:strCache>
            </c:strRef>
          </c:tx>
          <c:spPr>
            <a:solidFill>
              <a:srgbClr val="0000FF"/>
            </a:solidFill>
            <a:ln>
              <a:solidFill>
                <a:schemeClr val="tx1"/>
              </a:solidFill>
            </a:ln>
          </c:spPr>
          <c:invertIfNegative val="0"/>
          <c:cat>
            <c:strRef>
              <c:f>Sheet1!$A$2:$A$11</c:f>
              <c:strCache>
                <c:ptCount val="10"/>
                <c:pt idx="0">
                  <c:v>C'Care</c:v>
                </c:pt>
                <c:pt idx="1">
                  <c:v>Tas</c:v>
                </c:pt>
                <c:pt idx="2">
                  <c:v>NSW</c:v>
                </c:pt>
                <c:pt idx="3">
                  <c:v>NT</c:v>
                </c:pt>
                <c:pt idx="4">
                  <c:v>Vic</c:v>
                </c:pt>
                <c:pt idx="5">
                  <c:v>Qld</c:v>
                </c:pt>
                <c:pt idx="6">
                  <c:v>S'care</c:v>
                </c:pt>
                <c:pt idx="7">
                  <c:v>SA</c:v>
                </c:pt>
                <c:pt idx="8">
                  <c:v>Aust</c:v>
                </c:pt>
                <c:pt idx="9">
                  <c:v>NZ</c:v>
                </c:pt>
              </c:strCache>
            </c:strRef>
          </c:cat>
          <c:val>
            <c:numRef>
              <c:f>Sheet1!$B$2:$B$11</c:f>
              <c:numCache>
                <c:formatCode>General</c:formatCode>
                <c:ptCount val="10"/>
                <c:pt idx="0">
                  <c:v>85</c:v>
                </c:pt>
                <c:pt idx="1">
                  <c:v>83</c:v>
                </c:pt>
                <c:pt idx="2">
                  <c:v>78</c:v>
                </c:pt>
                <c:pt idx="3">
                  <c:v>75</c:v>
                </c:pt>
                <c:pt idx="4">
                  <c:v>76</c:v>
                </c:pt>
                <c:pt idx="5">
                  <c:v>78</c:v>
                </c:pt>
                <c:pt idx="6">
                  <c:v>71</c:v>
                </c:pt>
                <c:pt idx="7">
                  <c:v>65</c:v>
                </c:pt>
                <c:pt idx="8">
                  <c:v>77</c:v>
                </c:pt>
                <c:pt idx="9">
                  <c:v>81</c:v>
                </c:pt>
              </c:numCache>
            </c:numRef>
          </c:val>
        </c:ser>
        <c:ser>
          <c:idx val="1"/>
          <c:order val="1"/>
          <c:tx>
            <c:strRef>
              <c:f>Sheet1!$C$1</c:f>
              <c:strCache>
                <c:ptCount val="1"/>
                <c:pt idx="0">
                  <c:v>2007-08</c:v>
                </c:pt>
              </c:strCache>
            </c:strRef>
          </c:tx>
          <c:spPr>
            <a:solidFill>
              <a:srgbClr val="00B050"/>
            </a:solidFill>
            <a:ln>
              <a:solidFill>
                <a:schemeClr val="tx1"/>
              </a:solidFill>
            </a:ln>
          </c:spPr>
          <c:invertIfNegative val="0"/>
          <c:cat>
            <c:strRef>
              <c:f>Sheet1!$A$2:$A$11</c:f>
              <c:strCache>
                <c:ptCount val="10"/>
                <c:pt idx="0">
                  <c:v>C'Care</c:v>
                </c:pt>
                <c:pt idx="1">
                  <c:v>Tas</c:v>
                </c:pt>
                <c:pt idx="2">
                  <c:v>NSW</c:v>
                </c:pt>
                <c:pt idx="3">
                  <c:v>NT</c:v>
                </c:pt>
                <c:pt idx="4">
                  <c:v>Vic</c:v>
                </c:pt>
                <c:pt idx="5">
                  <c:v>Qld</c:v>
                </c:pt>
                <c:pt idx="6">
                  <c:v>S'care</c:v>
                </c:pt>
                <c:pt idx="7">
                  <c:v>SA</c:v>
                </c:pt>
                <c:pt idx="8">
                  <c:v>Aust</c:v>
                </c:pt>
                <c:pt idx="9">
                  <c:v>NZ</c:v>
                </c:pt>
              </c:strCache>
            </c:strRef>
          </c:cat>
          <c:val>
            <c:numRef>
              <c:f>Sheet1!$C$2:$C$11</c:f>
              <c:numCache>
                <c:formatCode>General</c:formatCode>
                <c:ptCount val="10"/>
                <c:pt idx="0">
                  <c:v>84</c:v>
                </c:pt>
                <c:pt idx="1">
                  <c:v>79</c:v>
                </c:pt>
                <c:pt idx="2">
                  <c:v>76</c:v>
                </c:pt>
                <c:pt idx="3">
                  <c:v>68</c:v>
                </c:pt>
                <c:pt idx="4">
                  <c:v>75</c:v>
                </c:pt>
                <c:pt idx="5">
                  <c:v>75</c:v>
                </c:pt>
                <c:pt idx="6">
                  <c:v>82</c:v>
                </c:pt>
                <c:pt idx="7">
                  <c:v>64</c:v>
                </c:pt>
                <c:pt idx="8">
                  <c:v>75</c:v>
                </c:pt>
                <c:pt idx="9">
                  <c:v>80</c:v>
                </c:pt>
              </c:numCache>
            </c:numRef>
          </c:val>
        </c:ser>
        <c:ser>
          <c:idx val="2"/>
          <c:order val="2"/>
          <c:tx>
            <c:strRef>
              <c:f>Sheet1!$D$1</c:f>
              <c:strCache>
                <c:ptCount val="1"/>
                <c:pt idx="0">
                  <c:v>2008-09</c:v>
                </c:pt>
              </c:strCache>
            </c:strRef>
          </c:tx>
          <c:spPr>
            <a:solidFill>
              <a:srgbClr val="FF0000"/>
            </a:solidFill>
            <a:ln>
              <a:solidFill>
                <a:prstClr val="black"/>
              </a:solidFill>
            </a:ln>
          </c:spPr>
          <c:invertIfNegative val="0"/>
          <c:cat>
            <c:strRef>
              <c:f>Sheet1!$A$2:$A$11</c:f>
              <c:strCache>
                <c:ptCount val="10"/>
                <c:pt idx="0">
                  <c:v>C'Care</c:v>
                </c:pt>
                <c:pt idx="1">
                  <c:v>Tas</c:v>
                </c:pt>
                <c:pt idx="2">
                  <c:v>NSW</c:v>
                </c:pt>
                <c:pt idx="3">
                  <c:v>NT</c:v>
                </c:pt>
                <c:pt idx="4">
                  <c:v>Vic</c:v>
                </c:pt>
                <c:pt idx="5">
                  <c:v>Qld</c:v>
                </c:pt>
                <c:pt idx="6">
                  <c:v>S'care</c:v>
                </c:pt>
                <c:pt idx="7">
                  <c:v>SA</c:v>
                </c:pt>
                <c:pt idx="8">
                  <c:v>Aust</c:v>
                </c:pt>
                <c:pt idx="9">
                  <c:v>NZ</c:v>
                </c:pt>
              </c:strCache>
            </c:strRef>
          </c:cat>
          <c:val>
            <c:numRef>
              <c:f>Sheet1!$D$2:$D$11</c:f>
              <c:numCache>
                <c:formatCode>General</c:formatCode>
                <c:ptCount val="10"/>
                <c:pt idx="0">
                  <c:v>88</c:v>
                </c:pt>
                <c:pt idx="1">
                  <c:v>80</c:v>
                </c:pt>
                <c:pt idx="2">
                  <c:v>72</c:v>
                </c:pt>
                <c:pt idx="3">
                  <c:v>81</c:v>
                </c:pt>
                <c:pt idx="4">
                  <c:v>69</c:v>
                </c:pt>
                <c:pt idx="5">
                  <c:v>73</c:v>
                </c:pt>
                <c:pt idx="6">
                  <c:v>67</c:v>
                </c:pt>
                <c:pt idx="7">
                  <c:v>71</c:v>
                </c:pt>
                <c:pt idx="8">
                  <c:v>72</c:v>
                </c:pt>
                <c:pt idx="9">
                  <c:v>75</c:v>
                </c:pt>
              </c:numCache>
            </c:numRef>
          </c:val>
        </c:ser>
        <c:ser>
          <c:idx val="3"/>
          <c:order val="3"/>
          <c:tx>
            <c:strRef>
              <c:f>Sheet1!$E$1</c:f>
              <c:strCache>
                <c:ptCount val="1"/>
                <c:pt idx="0">
                  <c:v>2009-10</c:v>
                </c:pt>
              </c:strCache>
            </c:strRef>
          </c:tx>
          <c:spPr>
            <a:solidFill>
              <a:srgbClr val="FFFF00"/>
            </a:solidFill>
            <a:ln>
              <a:solidFill>
                <a:schemeClr val="tx1"/>
              </a:solidFill>
            </a:ln>
          </c:spPr>
          <c:invertIfNegative val="0"/>
          <c:cat>
            <c:strRef>
              <c:f>Sheet1!$A$2:$A$11</c:f>
              <c:strCache>
                <c:ptCount val="10"/>
                <c:pt idx="0">
                  <c:v>C'Care</c:v>
                </c:pt>
                <c:pt idx="1">
                  <c:v>Tas</c:v>
                </c:pt>
                <c:pt idx="2">
                  <c:v>NSW</c:v>
                </c:pt>
                <c:pt idx="3">
                  <c:v>NT</c:v>
                </c:pt>
                <c:pt idx="4">
                  <c:v>Vic</c:v>
                </c:pt>
                <c:pt idx="5">
                  <c:v>Qld</c:v>
                </c:pt>
                <c:pt idx="6">
                  <c:v>S'care</c:v>
                </c:pt>
                <c:pt idx="7">
                  <c:v>SA</c:v>
                </c:pt>
                <c:pt idx="8">
                  <c:v>Aust</c:v>
                </c:pt>
                <c:pt idx="9">
                  <c:v>NZ</c:v>
                </c:pt>
              </c:strCache>
            </c:strRef>
          </c:cat>
          <c:val>
            <c:numRef>
              <c:f>Sheet1!$E$2:$E$11</c:f>
              <c:numCache>
                <c:formatCode>General</c:formatCode>
                <c:ptCount val="10"/>
                <c:pt idx="0">
                  <c:v>81</c:v>
                </c:pt>
                <c:pt idx="1">
                  <c:v>82</c:v>
                </c:pt>
                <c:pt idx="2">
                  <c:v>74</c:v>
                </c:pt>
                <c:pt idx="3">
                  <c:v>77</c:v>
                </c:pt>
                <c:pt idx="4">
                  <c:v>75</c:v>
                </c:pt>
                <c:pt idx="5">
                  <c:v>78</c:v>
                </c:pt>
                <c:pt idx="6">
                  <c:v>62</c:v>
                </c:pt>
                <c:pt idx="7">
                  <c:v>72</c:v>
                </c:pt>
                <c:pt idx="8">
                  <c:v>75</c:v>
                </c:pt>
                <c:pt idx="9">
                  <c:v>77</c:v>
                </c:pt>
              </c:numCache>
            </c:numRef>
          </c:val>
        </c:ser>
        <c:ser>
          <c:idx val="4"/>
          <c:order val="4"/>
          <c:tx>
            <c:strRef>
              <c:f>Sheet1!$F$1</c:f>
              <c:strCache>
                <c:ptCount val="1"/>
                <c:pt idx="0">
                  <c:v>2010-11</c:v>
                </c:pt>
              </c:strCache>
            </c:strRef>
          </c:tx>
          <c:spPr>
            <a:solidFill>
              <a:srgbClr val="00B0F0"/>
            </a:solidFill>
            <a:ln>
              <a:solidFill>
                <a:schemeClr val="tx1"/>
              </a:solidFill>
            </a:ln>
          </c:spPr>
          <c:invertIfNegative val="0"/>
          <c:cat>
            <c:strRef>
              <c:f>Sheet1!$A$2:$A$11</c:f>
              <c:strCache>
                <c:ptCount val="10"/>
                <c:pt idx="0">
                  <c:v>C'Care</c:v>
                </c:pt>
                <c:pt idx="1">
                  <c:v>Tas</c:v>
                </c:pt>
                <c:pt idx="2">
                  <c:v>NSW</c:v>
                </c:pt>
                <c:pt idx="3">
                  <c:v>NT</c:v>
                </c:pt>
                <c:pt idx="4">
                  <c:v>Vic</c:v>
                </c:pt>
                <c:pt idx="5">
                  <c:v>Qld</c:v>
                </c:pt>
                <c:pt idx="6">
                  <c:v>S'care</c:v>
                </c:pt>
                <c:pt idx="7">
                  <c:v>SA</c:v>
                </c:pt>
                <c:pt idx="8">
                  <c:v>Aust</c:v>
                </c:pt>
                <c:pt idx="9">
                  <c:v>NZ</c:v>
                </c:pt>
              </c:strCache>
            </c:strRef>
          </c:cat>
          <c:val>
            <c:numRef>
              <c:f>Sheet1!$F$2:$F$11</c:f>
              <c:numCache>
                <c:formatCode>General</c:formatCode>
                <c:ptCount val="10"/>
                <c:pt idx="0">
                  <c:v>81</c:v>
                </c:pt>
                <c:pt idx="1">
                  <c:v>80</c:v>
                </c:pt>
                <c:pt idx="2">
                  <c:v>78</c:v>
                </c:pt>
                <c:pt idx="3">
                  <c:v>77</c:v>
                </c:pt>
                <c:pt idx="4">
                  <c:v>76</c:v>
                </c:pt>
                <c:pt idx="5">
                  <c:v>76</c:v>
                </c:pt>
                <c:pt idx="6">
                  <c:v>74</c:v>
                </c:pt>
                <c:pt idx="7">
                  <c:v>70</c:v>
                </c:pt>
                <c:pt idx="8">
                  <c:v>77</c:v>
                </c:pt>
                <c:pt idx="9">
                  <c:v>78</c:v>
                </c:pt>
              </c:numCache>
            </c:numRef>
          </c:val>
        </c:ser>
        <c:dLbls>
          <c:showLegendKey val="0"/>
          <c:showVal val="0"/>
          <c:showCatName val="0"/>
          <c:showSerName val="0"/>
          <c:showPercent val="0"/>
          <c:showBubbleSize val="0"/>
        </c:dLbls>
        <c:gapWidth val="150"/>
        <c:axId val="91953024"/>
        <c:axId val="91954560"/>
      </c:barChart>
      <c:catAx>
        <c:axId val="91953024"/>
        <c:scaling>
          <c:orientation val="minMax"/>
        </c:scaling>
        <c:delete val="0"/>
        <c:axPos val="b"/>
        <c:majorTickMark val="none"/>
        <c:minorTickMark val="none"/>
        <c:tickLblPos val="nextTo"/>
        <c:crossAx val="91954560"/>
        <c:crosses val="autoZero"/>
        <c:auto val="1"/>
        <c:lblAlgn val="ctr"/>
        <c:lblOffset val="100"/>
        <c:noMultiLvlLbl val="0"/>
      </c:catAx>
      <c:valAx>
        <c:axId val="91954560"/>
        <c:scaling>
          <c:orientation val="minMax"/>
        </c:scaling>
        <c:delete val="0"/>
        <c:axPos val="l"/>
        <c:majorGridlines/>
        <c:title>
          <c:tx>
            <c:rich>
              <a:bodyPr/>
              <a:lstStyle/>
              <a:p>
                <a:pPr>
                  <a:defRPr/>
                </a:pPr>
                <a:r>
                  <a:rPr lang="en-AU"/>
                  <a:t>Per cent</a:t>
                </a:r>
              </a:p>
            </c:rich>
          </c:tx>
          <c:overlay val="0"/>
        </c:title>
        <c:numFmt formatCode="General" sourceLinked="1"/>
        <c:majorTickMark val="none"/>
        <c:minorTickMark val="none"/>
        <c:tickLblPos val="nextTo"/>
        <c:crossAx val="91953024"/>
        <c:crosses val="autoZero"/>
        <c:crossBetween val="between"/>
      </c:valAx>
      <c:dTable>
        <c:showHorzBorder val="0"/>
        <c:showVertBorder val="0"/>
        <c:showOutline val="1"/>
        <c:showKeys val="1"/>
      </c:dTable>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61186039863829"/>
          <c:y val="4.5548798707853756E-2"/>
          <c:w val="0.54924993286730261"/>
          <c:h val="0.76439329699172265"/>
        </c:manualLayout>
      </c:layout>
      <c:lineChart>
        <c:grouping val="standard"/>
        <c:varyColors val="0"/>
        <c:ser>
          <c:idx val="0"/>
          <c:order val="0"/>
          <c:tx>
            <c:strRef>
              <c:f>Sheet1!$B$1</c:f>
              <c:strCache>
                <c:ptCount val="1"/>
                <c:pt idx="0">
                  <c:v>Average Premium Rate</c:v>
                </c:pt>
              </c:strCache>
            </c:strRef>
          </c:tx>
          <c:marker>
            <c:symbol val="none"/>
          </c:marker>
          <c:cat>
            <c:strRef>
              <c:f>Sheet1!$A$2:$A$9</c:f>
              <c:strCache>
                <c:ptCount val="8"/>
                <c:pt idx="0">
                  <c:v>2005-06</c:v>
                </c:pt>
                <c:pt idx="1">
                  <c:v>2006-07</c:v>
                </c:pt>
                <c:pt idx="2">
                  <c:v>2007-08</c:v>
                </c:pt>
                <c:pt idx="3">
                  <c:v>2008-09</c:v>
                </c:pt>
                <c:pt idx="4">
                  <c:v>2009-10</c:v>
                </c:pt>
                <c:pt idx="5">
                  <c:v>2010-11</c:v>
                </c:pt>
                <c:pt idx="6">
                  <c:v>2011-12</c:v>
                </c:pt>
                <c:pt idx="7">
                  <c:v>2012-13</c:v>
                </c:pt>
              </c:strCache>
            </c:strRef>
          </c:cat>
          <c:val>
            <c:numRef>
              <c:f>Sheet1!$B$2:$B$9</c:f>
              <c:numCache>
                <c:formatCode>0.00%</c:formatCode>
                <c:ptCount val="8"/>
                <c:pt idx="0">
                  <c:v>1.77E-2</c:v>
                </c:pt>
                <c:pt idx="1">
                  <c:v>1.77E-2</c:v>
                </c:pt>
                <c:pt idx="2">
                  <c:v>1.5500000000000031E-2</c:v>
                </c:pt>
                <c:pt idx="3">
                  <c:v>1.3599999999999998E-2</c:v>
                </c:pt>
                <c:pt idx="4">
                  <c:v>1.2500000000000001E-2</c:v>
                </c:pt>
                <c:pt idx="5">
                  <c:v>1.2E-2</c:v>
                </c:pt>
                <c:pt idx="6">
                  <c:v>1.4100000000000001E-2</c:v>
                </c:pt>
                <c:pt idx="7">
                  <c:v>1.77E-2</c:v>
                </c:pt>
              </c:numCache>
            </c:numRef>
          </c:val>
          <c:smooth val="0"/>
        </c:ser>
        <c:ser>
          <c:idx val="1"/>
          <c:order val="1"/>
          <c:tx>
            <c:strRef>
              <c:f>Sheet1!$C$1</c:f>
              <c:strCache>
                <c:ptCount val="1"/>
                <c:pt idx="0">
                  <c:v>Lowest Premium Rate*</c:v>
                </c:pt>
              </c:strCache>
            </c:strRef>
          </c:tx>
          <c:spPr>
            <a:ln>
              <a:solidFill>
                <a:srgbClr val="7030A0"/>
              </a:solidFill>
            </a:ln>
          </c:spPr>
          <c:marker>
            <c:symbol val="none"/>
          </c:marker>
          <c:cat>
            <c:strRef>
              <c:f>Sheet1!$A$2:$A$9</c:f>
              <c:strCache>
                <c:ptCount val="8"/>
                <c:pt idx="0">
                  <c:v>2005-06</c:v>
                </c:pt>
                <c:pt idx="1">
                  <c:v>2006-07</c:v>
                </c:pt>
                <c:pt idx="2">
                  <c:v>2007-08</c:v>
                </c:pt>
                <c:pt idx="3">
                  <c:v>2008-09</c:v>
                </c:pt>
                <c:pt idx="4">
                  <c:v>2009-10</c:v>
                </c:pt>
                <c:pt idx="5">
                  <c:v>2010-11</c:v>
                </c:pt>
                <c:pt idx="6">
                  <c:v>2011-12</c:v>
                </c:pt>
                <c:pt idx="7">
                  <c:v>2012-13</c:v>
                </c:pt>
              </c:strCache>
            </c:strRef>
          </c:cat>
          <c:val>
            <c:numRef>
              <c:f>Sheet1!$C$2:$C$9</c:f>
              <c:numCache>
                <c:formatCode>0.00%</c:formatCode>
                <c:ptCount val="8"/>
                <c:pt idx="0">
                  <c:v>3.2000000000000088E-3</c:v>
                </c:pt>
                <c:pt idx="1">
                  <c:v>2.5000000000000061E-3</c:v>
                </c:pt>
                <c:pt idx="2">
                  <c:v>2.7000000000000062E-3</c:v>
                </c:pt>
                <c:pt idx="3">
                  <c:v>1.700000000000004E-3</c:v>
                </c:pt>
                <c:pt idx="4">
                  <c:v>1.0000000000000031E-3</c:v>
                </c:pt>
                <c:pt idx="5">
                  <c:v>7.0000000000000184E-4</c:v>
                </c:pt>
                <c:pt idx="6">
                  <c:v>6.0000000000000168E-4</c:v>
                </c:pt>
                <c:pt idx="7">
                  <c:v>6.0000000000000168E-4</c:v>
                </c:pt>
              </c:numCache>
            </c:numRef>
          </c:val>
          <c:smooth val="0"/>
        </c:ser>
        <c:ser>
          <c:idx val="2"/>
          <c:order val="2"/>
          <c:tx>
            <c:strRef>
              <c:f>Sheet1!$D$1</c:f>
              <c:strCache>
                <c:ptCount val="1"/>
                <c:pt idx="0">
                  <c:v>Highest Premium Rate*</c:v>
                </c:pt>
              </c:strCache>
            </c:strRef>
          </c:tx>
          <c:marker>
            <c:symbol val="none"/>
          </c:marker>
          <c:cat>
            <c:strRef>
              <c:f>Sheet1!$A$2:$A$9</c:f>
              <c:strCache>
                <c:ptCount val="8"/>
                <c:pt idx="0">
                  <c:v>2005-06</c:v>
                </c:pt>
                <c:pt idx="1">
                  <c:v>2006-07</c:v>
                </c:pt>
                <c:pt idx="2">
                  <c:v>2007-08</c:v>
                </c:pt>
                <c:pt idx="3">
                  <c:v>2008-09</c:v>
                </c:pt>
                <c:pt idx="4">
                  <c:v>2009-10</c:v>
                </c:pt>
                <c:pt idx="5">
                  <c:v>2010-11</c:v>
                </c:pt>
                <c:pt idx="6">
                  <c:v>2011-12</c:v>
                </c:pt>
                <c:pt idx="7">
                  <c:v>2012-13</c:v>
                </c:pt>
              </c:strCache>
            </c:strRef>
          </c:cat>
          <c:val>
            <c:numRef>
              <c:f>Sheet1!$D$2:$D$9</c:f>
              <c:numCache>
                <c:formatCode>0.00%</c:formatCode>
                <c:ptCount val="8"/>
                <c:pt idx="0">
                  <c:v>6.4000000000000112E-2</c:v>
                </c:pt>
                <c:pt idx="1">
                  <c:v>5.0700000000000023E-2</c:v>
                </c:pt>
                <c:pt idx="2">
                  <c:v>3.6900000000000002E-2</c:v>
                </c:pt>
                <c:pt idx="3">
                  <c:v>3.6999999999999998E-2</c:v>
                </c:pt>
                <c:pt idx="4">
                  <c:v>3.5600000000000041E-2</c:v>
                </c:pt>
                <c:pt idx="5">
                  <c:v>3.6200000000000052E-2</c:v>
                </c:pt>
                <c:pt idx="6">
                  <c:v>5.2600000000000001E-2</c:v>
                </c:pt>
                <c:pt idx="7">
                  <c:v>8.2300000000000012E-2</c:v>
                </c:pt>
              </c:numCache>
            </c:numRef>
          </c:val>
          <c:smooth val="0"/>
        </c:ser>
        <c:ser>
          <c:idx val="3"/>
          <c:order val="3"/>
          <c:tx>
            <c:strRef>
              <c:f>Sheet1!$E$1</c:f>
              <c:strCache>
                <c:ptCount val="1"/>
                <c:pt idx="0">
                  <c:v>Comcare Premium Rate</c:v>
                </c:pt>
              </c:strCache>
            </c:strRef>
          </c:tx>
          <c:spPr>
            <a:ln>
              <a:solidFill>
                <a:srgbClr val="FF0000"/>
              </a:solidFill>
            </a:ln>
          </c:spPr>
          <c:marker>
            <c:symbol val="none"/>
          </c:marker>
          <c:cat>
            <c:strRef>
              <c:f>Sheet1!$A$2:$A$9</c:f>
              <c:strCache>
                <c:ptCount val="8"/>
                <c:pt idx="0">
                  <c:v>2005-06</c:v>
                </c:pt>
                <c:pt idx="1">
                  <c:v>2006-07</c:v>
                </c:pt>
                <c:pt idx="2">
                  <c:v>2007-08</c:v>
                </c:pt>
                <c:pt idx="3">
                  <c:v>2008-09</c:v>
                </c:pt>
                <c:pt idx="4">
                  <c:v>2009-10</c:v>
                </c:pt>
                <c:pt idx="5">
                  <c:v>2010-11</c:v>
                </c:pt>
                <c:pt idx="6">
                  <c:v>2011-12</c:v>
                </c:pt>
                <c:pt idx="7">
                  <c:v>2012-13</c:v>
                </c:pt>
              </c:strCache>
            </c:strRef>
          </c:cat>
          <c:val>
            <c:numRef>
              <c:f>Sheet1!$E$2:$E$9</c:f>
              <c:numCache>
                <c:formatCode>0.00%</c:formatCode>
                <c:ptCount val="8"/>
                <c:pt idx="0">
                  <c:v>2.7900000000000012E-2</c:v>
                </c:pt>
                <c:pt idx="1">
                  <c:v>2.5399999999999999E-2</c:v>
                </c:pt>
                <c:pt idx="2">
                  <c:v>2.1800000000000052E-2</c:v>
                </c:pt>
                <c:pt idx="3">
                  <c:v>1.2300000000000005E-2</c:v>
                </c:pt>
                <c:pt idx="4">
                  <c:v>7.8000000000000135E-3</c:v>
                </c:pt>
                <c:pt idx="5">
                  <c:v>9.2000000000000068E-3</c:v>
                </c:pt>
                <c:pt idx="6">
                  <c:v>3.1900000000000005E-2</c:v>
                </c:pt>
                <c:pt idx="7">
                  <c:v>4.9600000000000012E-2</c:v>
                </c:pt>
              </c:numCache>
            </c:numRef>
          </c:val>
          <c:smooth val="0"/>
        </c:ser>
        <c:dLbls>
          <c:showLegendKey val="0"/>
          <c:showVal val="0"/>
          <c:showCatName val="0"/>
          <c:showSerName val="0"/>
          <c:showPercent val="0"/>
          <c:showBubbleSize val="0"/>
        </c:dLbls>
        <c:marker val="1"/>
        <c:smooth val="0"/>
        <c:axId val="136330240"/>
        <c:axId val="136422144"/>
      </c:lineChart>
      <c:catAx>
        <c:axId val="136330240"/>
        <c:scaling>
          <c:orientation val="minMax"/>
        </c:scaling>
        <c:delete val="0"/>
        <c:axPos val="b"/>
        <c:majorTickMark val="none"/>
        <c:minorTickMark val="none"/>
        <c:tickLblPos val="nextTo"/>
        <c:txPr>
          <a:bodyPr rot="-5400000" vert="horz"/>
          <a:lstStyle/>
          <a:p>
            <a:pPr>
              <a:defRPr/>
            </a:pPr>
            <a:endParaRPr lang="en-US"/>
          </a:p>
        </c:txPr>
        <c:crossAx val="136422144"/>
        <c:crosses val="autoZero"/>
        <c:auto val="1"/>
        <c:lblAlgn val="ctr"/>
        <c:lblOffset val="100"/>
        <c:noMultiLvlLbl val="0"/>
      </c:catAx>
      <c:valAx>
        <c:axId val="136422144"/>
        <c:scaling>
          <c:orientation val="minMax"/>
        </c:scaling>
        <c:delete val="0"/>
        <c:axPos val="l"/>
        <c:majorGridlines/>
        <c:title>
          <c:tx>
            <c:rich>
              <a:bodyPr/>
              <a:lstStyle/>
              <a:p>
                <a:pPr>
                  <a:defRPr/>
                </a:pPr>
                <a:r>
                  <a:rPr lang="en-AU"/>
                  <a:t>Premium rate (percentage</a:t>
                </a:r>
                <a:r>
                  <a:rPr lang="en-AU" baseline="0"/>
                  <a:t> of payroll)</a:t>
                </a:r>
                <a:endParaRPr lang="en-AU"/>
              </a:p>
            </c:rich>
          </c:tx>
          <c:layout>
            <c:manualLayout>
              <c:xMode val="edge"/>
              <c:yMode val="edge"/>
              <c:x val="1.2698412698412705E-2"/>
              <c:y val="0.15247230002290052"/>
            </c:manualLayout>
          </c:layout>
          <c:overlay val="0"/>
        </c:title>
        <c:numFmt formatCode="0.00%" sourceLinked="1"/>
        <c:majorTickMark val="none"/>
        <c:minorTickMark val="none"/>
        <c:tickLblPos val="nextTo"/>
        <c:crossAx val="136330240"/>
        <c:crosses val="autoZero"/>
        <c:crossBetween val="between"/>
      </c:valAx>
    </c:plotArea>
    <c:plotVisOnly val="1"/>
    <c:dispBlanksAs val="gap"/>
    <c:showDLblsOverMax val="0"/>
  </c:chart>
  <c:externalData r:id="rId2">
    <c:autoUpdate val="0"/>
  </c:externalData>
  <c:userShapes r:id="rId3"/>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Sheet1!$B$2</c:f>
              <c:strCache>
                <c:ptCount val="1"/>
                <c:pt idx="0">
                  <c:v>Premium Insurers</c:v>
                </c:pt>
              </c:strCache>
            </c:strRef>
          </c:tx>
          <c:spPr>
            <a:solidFill>
              <a:srgbClr val="00B050"/>
            </a:solidFill>
            <a:ln>
              <a:solidFill>
                <a:sysClr val="windowText" lastClr="000000"/>
              </a:solidFill>
            </a:ln>
          </c:spPr>
          <c:invertIfNegative val="0"/>
          <c:cat>
            <c:strRef>
              <c:f>Sheet1!$A$3:$A$9</c:f>
              <c:strCache>
                <c:ptCount val="7"/>
                <c:pt idx="0">
                  <c:v>2008-09</c:v>
                </c:pt>
                <c:pt idx="1">
                  <c:v>2009-10</c:v>
                </c:pt>
                <c:pt idx="2">
                  <c:v>2010-11</c:v>
                </c:pt>
                <c:pt idx="3">
                  <c:v>2011-12</c:v>
                </c:pt>
                <c:pt idx="4">
                  <c:v>2012-13</c:v>
                </c:pt>
                <c:pt idx="5">
                  <c:v>2013-14</c:v>
                </c:pt>
                <c:pt idx="6">
                  <c:v>2014-15</c:v>
                </c:pt>
              </c:strCache>
            </c:strRef>
          </c:cat>
          <c:val>
            <c:numRef>
              <c:f>Sheet1!$B$3:$B$9</c:f>
              <c:numCache>
                <c:formatCode>0%</c:formatCode>
                <c:ptCount val="7"/>
                <c:pt idx="0">
                  <c:v>0.45</c:v>
                </c:pt>
                <c:pt idx="1">
                  <c:v>0.48000000000000032</c:v>
                </c:pt>
                <c:pt idx="2">
                  <c:v>0.52</c:v>
                </c:pt>
                <c:pt idx="3">
                  <c:v>0.52</c:v>
                </c:pt>
              </c:numCache>
            </c:numRef>
          </c:val>
        </c:ser>
        <c:ser>
          <c:idx val="2"/>
          <c:order val="2"/>
          <c:tx>
            <c:strRef>
              <c:f>Sheet1!$D$2</c:f>
              <c:strCache>
                <c:ptCount val="1"/>
                <c:pt idx="0">
                  <c:v>Licensees</c:v>
                </c:pt>
              </c:strCache>
            </c:strRef>
          </c:tx>
          <c:spPr>
            <a:solidFill>
              <a:srgbClr val="0000FF"/>
            </a:solidFill>
            <a:ln>
              <a:solidFill>
                <a:sysClr val="windowText" lastClr="000000"/>
              </a:solidFill>
            </a:ln>
          </c:spPr>
          <c:invertIfNegative val="0"/>
          <c:cat>
            <c:strRef>
              <c:f>Sheet1!$A$3:$A$9</c:f>
              <c:strCache>
                <c:ptCount val="7"/>
                <c:pt idx="0">
                  <c:v>2008-09</c:v>
                </c:pt>
                <c:pt idx="1">
                  <c:v>2009-10</c:v>
                </c:pt>
                <c:pt idx="2">
                  <c:v>2010-11</c:v>
                </c:pt>
                <c:pt idx="3">
                  <c:v>2011-12</c:v>
                </c:pt>
                <c:pt idx="4">
                  <c:v>2012-13</c:v>
                </c:pt>
                <c:pt idx="5">
                  <c:v>2013-14</c:v>
                </c:pt>
                <c:pt idx="6">
                  <c:v>2014-15</c:v>
                </c:pt>
              </c:strCache>
            </c:strRef>
          </c:cat>
          <c:val>
            <c:numRef>
              <c:f>Sheet1!$D$3:$D$9</c:f>
              <c:numCache>
                <c:formatCode>0%</c:formatCode>
                <c:ptCount val="7"/>
                <c:pt idx="0">
                  <c:v>0.34000000000000102</c:v>
                </c:pt>
                <c:pt idx="1">
                  <c:v>0.37000000000000038</c:v>
                </c:pt>
                <c:pt idx="2">
                  <c:v>0.34000000000000102</c:v>
                </c:pt>
                <c:pt idx="3">
                  <c:v>0.41000000000000031</c:v>
                </c:pt>
              </c:numCache>
            </c:numRef>
          </c:val>
        </c:ser>
        <c:dLbls>
          <c:showLegendKey val="0"/>
          <c:showVal val="0"/>
          <c:showCatName val="0"/>
          <c:showSerName val="0"/>
          <c:showPercent val="0"/>
          <c:showBubbleSize val="0"/>
        </c:dLbls>
        <c:gapWidth val="300"/>
        <c:axId val="138369280"/>
        <c:axId val="138371456"/>
      </c:barChart>
      <c:lineChart>
        <c:grouping val="standard"/>
        <c:varyColors val="0"/>
        <c:ser>
          <c:idx val="1"/>
          <c:order val="1"/>
          <c:tx>
            <c:strRef>
              <c:f>Sheet1!$C$2</c:f>
              <c:strCache>
                <c:ptCount val="1"/>
                <c:pt idx="0">
                  <c:v>Premium Insurers Target</c:v>
                </c:pt>
              </c:strCache>
            </c:strRef>
          </c:tx>
          <c:spPr>
            <a:ln w="19050">
              <a:solidFill>
                <a:srgbClr val="FF0000"/>
              </a:solidFill>
            </a:ln>
          </c:spPr>
          <c:marker>
            <c:symbol val="none"/>
          </c:marker>
          <c:cat>
            <c:strRef>
              <c:f>Sheet1!$A$3:$A$9</c:f>
              <c:strCache>
                <c:ptCount val="7"/>
                <c:pt idx="0">
                  <c:v>2008-09</c:v>
                </c:pt>
                <c:pt idx="1">
                  <c:v>2009-10</c:v>
                </c:pt>
                <c:pt idx="2">
                  <c:v>2010-11</c:v>
                </c:pt>
                <c:pt idx="3">
                  <c:v>2011-12</c:v>
                </c:pt>
                <c:pt idx="4">
                  <c:v>2012-13</c:v>
                </c:pt>
                <c:pt idx="5">
                  <c:v>2013-14</c:v>
                </c:pt>
                <c:pt idx="6">
                  <c:v>2014-15</c:v>
                </c:pt>
              </c:strCache>
            </c:strRef>
          </c:cat>
          <c:val>
            <c:numRef>
              <c:f>Sheet1!$C$3:$C$9</c:f>
              <c:numCache>
                <c:formatCode>General</c:formatCode>
                <c:ptCount val="7"/>
                <c:pt idx="3" formatCode="0%">
                  <c:v>0.46</c:v>
                </c:pt>
                <c:pt idx="4" formatCode="0%">
                  <c:v>0.42333000000000032</c:v>
                </c:pt>
                <c:pt idx="5" formatCode="0%">
                  <c:v>0.38666000000000389</c:v>
                </c:pt>
                <c:pt idx="6" formatCode="0%">
                  <c:v>0.35000000000000031</c:v>
                </c:pt>
              </c:numCache>
            </c:numRef>
          </c:val>
          <c:smooth val="0"/>
        </c:ser>
        <c:ser>
          <c:idx val="3"/>
          <c:order val="3"/>
          <c:tx>
            <c:strRef>
              <c:f>Sheet1!$E$2</c:f>
              <c:strCache>
                <c:ptCount val="1"/>
                <c:pt idx="0">
                  <c:v>Licensees Target</c:v>
                </c:pt>
              </c:strCache>
            </c:strRef>
          </c:tx>
          <c:spPr>
            <a:ln w="19050">
              <a:solidFill>
                <a:srgbClr val="FFC000"/>
              </a:solidFill>
            </a:ln>
          </c:spPr>
          <c:marker>
            <c:symbol val="none"/>
          </c:marker>
          <c:cat>
            <c:strRef>
              <c:f>Sheet1!$A$3:$A$9</c:f>
              <c:strCache>
                <c:ptCount val="7"/>
                <c:pt idx="0">
                  <c:v>2008-09</c:v>
                </c:pt>
                <c:pt idx="1">
                  <c:v>2009-10</c:v>
                </c:pt>
                <c:pt idx="2">
                  <c:v>2010-11</c:v>
                </c:pt>
                <c:pt idx="3">
                  <c:v>2011-12</c:v>
                </c:pt>
                <c:pt idx="4">
                  <c:v>2012-13</c:v>
                </c:pt>
                <c:pt idx="5">
                  <c:v>2013-14</c:v>
                </c:pt>
                <c:pt idx="6">
                  <c:v>2014-15</c:v>
                </c:pt>
              </c:strCache>
            </c:strRef>
          </c:cat>
          <c:val>
            <c:numRef>
              <c:f>Sheet1!$E$3:$E$9</c:f>
              <c:numCache>
                <c:formatCode>General</c:formatCode>
                <c:ptCount val="7"/>
                <c:pt idx="3" formatCode="0%">
                  <c:v>0.380000000000004</c:v>
                </c:pt>
                <c:pt idx="4" formatCode="0%">
                  <c:v>0.37000000000000038</c:v>
                </c:pt>
                <c:pt idx="5" formatCode="0%">
                  <c:v>0.36000000000000032</c:v>
                </c:pt>
                <c:pt idx="6" formatCode="0%">
                  <c:v>0.35000000000000031</c:v>
                </c:pt>
              </c:numCache>
            </c:numRef>
          </c:val>
          <c:smooth val="0"/>
        </c:ser>
        <c:dLbls>
          <c:showLegendKey val="0"/>
          <c:showVal val="0"/>
          <c:showCatName val="0"/>
          <c:showSerName val="0"/>
          <c:showPercent val="0"/>
          <c:showBubbleSize val="0"/>
        </c:dLbls>
        <c:marker val="1"/>
        <c:smooth val="0"/>
        <c:axId val="138369280"/>
        <c:axId val="138371456"/>
      </c:lineChart>
      <c:catAx>
        <c:axId val="138369280"/>
        <c:scaling>
          <c:orientation val="minMax"/>
        </c:scaling>
        <c:delete val="0"/>
        <c:axPos val="b"/>
        <c:title>
          <c:tx>
            <c:rich>
              <a:bodyPr/>
              <a:lstStyle/>
              <a:p>
                <a:pPr>
                  <a:defRPr/>
                </a:pPr>
                <a:r>
                  <a:rPr lang="en-AU"/>
                  <a:t>Financial Year</a:t>
                </a:r>
              </a:p>
            </c:rich>
          </c:tx>
          <c:overlay val="0"/>
        </c:title>
        <c:majorTickMark val="none"/>
        <c:minorTickMark val="none"/>
        <c:tickLblPos val="nextTo"/>
        <c:txPr>
          <a:bodyPr rot="-5400000" vert="horz"/>
          <a:lstStyle/>
          <a:p>
            <a:pPr>
              <a:defRPr sz="800"/>
            </a:pPr>
            <a:endParaRPr lang="en-US"/>
          </a:p>
        </c:txPr>
        <c:crossAx val="138371456"/>
        <c:crosses val="autoZero"/>
        <c:auto val="1"/>
        <c:lblAlgn val="ctr"/>
        <c:lblOffset val="100"/>
        <c:noMultiLvlLbl val="0"/>
      </c:catAx>
      <c:valAx>
        <c:axId val="138371456"/>
        <c:scaling>
          <c:orientation val="minMax"/>
        </c:scaling>
        <c:delete val="0"/>
        <c:axPos val="l"/>
        <c:majorGridlines/>
        <c:minorGridlines/>
        <c:title>
          <c:tx>
            <c:rich>
              <a:bodyPr/>
              <a:lstStyle/>
              <a:p>
                <a:pPr>
                  <a:defRPr/>
                </a:pPr>
                <a:r>
                  <a:rPr lang="en-AU"/>
                  <a:t>Per cent of claims exceeding 13 weeks</a:t>
                </a:r>
              </a:p>
            </c:rich>
          </c:tx>
          <c:overlay val="0"/>
        </c:title>
        <c:numFmt formatCode="0%" sourceLinked="1"/>
        <c:majorTickMark val="out"/>
        <c:minorTickMark val="none"/>
        <c:tickLblPos val="nextTo"/>
        <c:txPr>
          <a:bodyPr/>
          <a:lstStyle/>
          <a:p>
            <a:pPr>
              <a:defRPr sz="800"/>
            </a:pPr>
            <a:endParaRPr lang="en-US"/>
          </a:p>
        </c:txPr>
        <c:crossAx val="138369280"/>
        <c:crosses val="autoZero"/>
        <c:crossBetween val="between"/>
      </c:valAx>
    </c:plotArea>
    <c:legend>
      <c:legendPos val="r"/>
      <c:overlay val="0"/>
      <c:txPr>
        <a:bodyPr/>
        <a:lstStyle/>
        <a:p>
          <a:pPr>
            <a:defRPr sz="800"/>
          </a:pPr>
          <a:endParaRPr lang="en-US"/>
        </a:p>
      </c:txPr>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Sheet1!$C$1</c:f>
              <c:strCache>
                <c:ptCount val="1"/>
                <c:pt idx="0">
                  <c:v>Liability</c:v>
                </c:pt>
              </c:strCache>
            </c:strRef>
          </c:tx>
          <c:spPr>
            <a:solidFill>
              <a:srgbClr val="00B050"/>
            </a:solidFill>
            <a:ln>
              <a:solidFill>
                <a:schemeClr val="tx1"/>
              </a:solidFill>
            </a:ln>
          </c:spPr>
          <c:invertIfNegative val="0"/>
          <c:cat>
            <c:multiLvlStrRef>
              <c:f>Sheet1!$A$2:$B$5</c:f>
              <c:multiLvlStrCache>
                <c:ptCount val="4"/>
                <c:lvl>
                  <c:pt idx="0">
                    <c:v>Liability 
</c:v>
                  </c:pt>
                  <c:pt idx="1">
                    <c:v>Funding - includes CRF surplus
</c:v>
                  </c:pt>
                  <c:pt idx="2">
                    <c:v>Liability 
</c:v>
                  </c:pt>
                  <c:pt idx="3">
                    <c:v>Funding - includes shortfall 
</c:v>
                  </c:pt>
                </c:lvl>
                <c:lvl>
                  <c:pt idx="0">
                    <c:v>2010-11</c:v>
                  </c:pt>
                  <c:pt idx="2">
                    <c:v>2011-12</c:v>
                  </c:pt>
                </c:lvl>
              </c:multiLvlStrCache>
            </c:multiLvlStrRef>
          </c:cat>
          <c:val>
            <c:numRef>
              <c:f>Sheet1!$C$2:$C$5</c:f>
              <c:numCache>
                <c:formatCode>"$"#,##0</c:formatCode>
                <c:ptCount val="4"/>
                <c:pt idx="0">
                  <c:v>1500</c:v>
                </c:pt>
                <c:pt idx="1">
                  <c:v>0</c:v>
                </c:pt>
                <c:pt idx="2">
                  <c:v>2162</c:v>
                </c:pt>
                <c:pt idx="3">
                  <c:v>0</c:v>
                </c:pt>
              </c:numCache>
            </c:numRef>
          </c:val>
        </c:ser>
        <c:ser>
          <c:idx val="1"/>
          <c:order val="1"/>
          <c:tx>
            <c:strRef>
              <c:f>Sheet1!$D$1</c:f>
              <c:strCache>
                <c:ptCount val="1"/>
                <c:pt idx="0">
                  <c:v>CCRF </c:v>
                </c:pt>
              </c:strCache>
            </c:strRef>
          </c:tx>
          <c:spPr>
            <a:solidFill>
              <a:srgbClr val="33CCFF"/>
            </a:solidFill>
            <a:ln>
              <a:solidFill>
                <a:schemeClr val="tx1"/>
              </a:solidFill>
            </a:ln>
          </c:spPr>
          <c:invertIfNegative val="0"/>
          <c:cat>
            <c:multiLvlStrRef>
              <c:f>Sheet1!$A$2:$B$5</c:f>
              <c:multiLvlStrCache>
                <c:ptCount val="4"/>
                <c:lvl>
                  <c:pt idx="0">
                    <c:v>Liability 
</c:v>
                  </c:pt>
                  <c:pt idx="1">
                    <c:v>Funding - includes CRF surplus
</c:v>
                  </c:pt>
                  <c:pt idx="2">
                    <c:v>Liability 
</c:v>
                  </c:pt>
                  <c:pt idx="3">
                    <c:v>Funding - includes shortfall 
</c:v>
                  </c:pt>
                </c:lvl>
                <c:lvl>
                  <c:pt idx="0">
                    <c:v>2010-11</c:v>
                  </c:pt>
                  <c:pt idx="2">
                    <c:v>2011-12</c:v>
                  </c:pt>
                </c:lvl>
              </c:multiLvlStrCache>
            </c:multiLvlStrRef>
          </c:cat>
          <c:val>
            <c:numRef>
              <c:f>Sheet1!$D$2:$D$5</c:f>
              <c:numCache>
                <c:formatCode>"$"#,##0</c:formatCode>
                <c:ptCount val="4"/>
                <c:pt idx="1">
                  <c:v>187</c:v>
                </c:pt>
                <c:pt idx="3">
                  <c:v>211</c:v>
                </c:pt>
              </c:numCache>
            </c:numRef>
          </c:val>
        </c:ser>
        <c:ser>
          <c:idx val="2"/>
          <c:order val="2"/>
          <c:tx>
            <c:strRef>
              <c:f>Sheet1!$E$1</c:f>
              <c:strCache>
                <c:ptCount val="1"/>
                <c:pt idx="0">
                  <c:v>CRF </c:v>
                </c:pt>
              </c:strCache>
            </c:strRef>
          </c:tx>
          <c:spPr>
            <a:solidFill>
              <a:srgbClr val="0000FF"/>
            </a:solidFill>
            <a:ln>
              <a:solidFill>
                <a:schemeClr val="tx1"/>
              </a:solidFill>
            </a:ln>
          </c:spPr>
          <c:invertIfNegative val="0"/>
          <c:cat>
            <c:multiLvlStrRef>
              <c:f>Sheet1!$A$2:$B$5</c:f>
              <c:multiLvlStrCache>
                <c:ptCount val="4"/>
                <c:lvl>
                  <c:pt idx="0">
                    <c:v>Liability 
</c:v>
                  </c:pt>
                  <c:pt idx="1">
                    <c:v>Funding - includes CRF surplus
</c:v>
                  </c:pt>
                  <c:pt idx="2">
                    <c:v>Liability 
</c:v>
                  </c:pt>
                  <c:pt idx="3">
                    <c:v>Funding - includes shortfall 
</c:v>
                  </c:pt>
                </c:lvl>
                <c:lvl>
                  <c:pt idx="0">
                    <c:v>2010-11</c:v>
                  </c:pt>
                  <c:pt idx="2">
                    <c:v>2011-12</c:v>
                  </c:pt>
                </c:lvl>
              </c:multiLvlStrCache>
            </c:multiLvlStrRef>
          </c:cat>
          <c:val>
            <c:numRef>
              <c:f>Sheet1!$E$2:$E$5</c:f>
              <c:numCache>
                <c:formatCode>"$"#,##0</c:formatCode>
                <c:ptCount val="4"/>
                <c:pt idx="1">
                  <c:v>1313</c:v>
                </c:pt>
                <c:pt idx="3">
                  <c:v>1382</c:v>
                </c:pt>
              </c:numCache>
            </c:numRef>
          </c:val>
        </c:ser>
        <c:ser>
          <c:idx val="3"/>
          <c:order val="3"/>
          <c:tx>
            <c:strRef>
              <c:f>Sheet1!$F$1</c:f>
              <c:strCache>
                <c:ptCount val="1"/>
                <c:pt idx="0">
                  <c:v>CRF Surplus</c:v>
                </c:pt>
              </c:strCache>
            </c:strRef>
          </c:tx>
          <c:spPr>
            <a:solidFill>
              <a:srgbClr val="FFFF00"/>
            </a:solidFill>
            <a:ln>
              <a:solidFill>
                <a:schemeClr val="tx1"/>
              </a:solidFill>
            </a:ln>
          </c:spPr>
          <c:invertIfNegative val="0"/>
          <c:cat>
            <c:multiLvlStrRef>
              <c:f>Sheet1!$A$2:$B$5</c:f>
              <c:multiLvlStrCache>
                <c:ptCount val="4"/>
                <c:lvl>
                  <c:pt idx="0">
                    <c:v>Liability 
</c:v>
                  </c:pt>
                  <c:pt idx="1">
                    <c:v>Funding - includes CRF surplus
</c:v>
                  </c:pt>
                  <c:pt idx="2">
                    <c:v>Liability 
</c:v>
                  </c:pt>
                  <c:pt idx="3">
                    <c:v>Funding - includes shortfall 
</c:v>
                  </c:pt>
                </c:lvl>
                <c:lvl>
                  <c:pt idx="0">
                    <c:v>2010-11</c:v>
                  </c:pt>
                  <c:pt idx="2">
                    <c:v>2011-12</c:v>
                  </c:pt>
                </c:lvl>
              </c:multiLvlStrCache>
            </c:multiLvlStrRef>
          </c:cat>
          <c:val>
            <c:numRef>
              <c:f>Sheet1!$F$2:$F$5</c:f>
              <c:numCache>
                <c:formatCode>"$"#,##0</c:formatCode>
                <c:ptCount val="4"/>
                <c:pt idx="1">
                  <c:v>17</c:v>
                </c:pt>
              </c:numCache>
            </c:numRef>
          </c:val>
        </c:ser>
        <c:ser>
          <c:idx val="4"/>
          <c:order val="4"/>
          <c:tx>
            <c:strRef>
              <c:f>Sheet1!$G$1</c:f>
              <c:strCache>
                <c:ptCount val="1"/>
                <c:pt idx="0">
                  <c:v>CRF Funding Deficit</c:v>
                </c:pt>
              </c:strCache>
            </c:strRef>
          </c:tx>
          <c:spPr>
            <a:solidFill>
              <a:srgbClr val="FF0000"/>
            </a:solidFill>
            <a:ln>
              <a:solidFill>
                <a:schemeClr val="tx1"/>
              </a:solidFill>
            </a:ln>
          </c:spPr>
          <c:invertIfNegative val="0"/>
          <c:cat>
            <c:multiLvlStrRef>
              <c:f>Sheet1!$A$2:$B$5</c:f>
              <c:multiLvlStrCache>
                <c:ptCount val="4"/>
                <c:lvl>
                  <c:pt idx="0">
                    <c:v>Liability 
</c:v>
                  </c:pt>
                  <c:pt idx="1">
                    <c:v>Funding - includes CRF surplus
</c:v>
                  </c:pt>
                  <c:pt idx="2">
                    <c:v>Liability 
</c:v>
                  </c:pt>
                  <c:pt idx="3">
                    <c:v>Funding - includes shortfall 
</c:v>
                  </c:pt>
                </c:lvl>
                <c:lvl>
                  <c:pt idx="0">
                    <c:v>2010-11</c:v>
                  </c:pt>
                  <c:pt idx="2">
                    <c:v>2011-12</c:v>
                  </c:pt>
                </c:lvl>
              </c:multiLvlStrCache>
            </c:multiLvlStrRef>
          </c:cat>
          <c:val>
            <c:numRef>
              <c:f>Sheet1!$G$2:$G$5</c:f>
              <c:numCache>
                <c:formatCode>General</c:formatCode>
                <c:ptCount val="4"/>
                <c:pt idx="3" formatCode="&quot;$&quot;#,##0">
                  <c:v>569</c:v>
                </c:pt>
              </c:numCache>
            </c:numRef>
          </c:val>
        </c:ser>
        <c:dLbls>
          <c:showLegendKey val="0"/>
          <c:showVal val="0"/>
          <c:showCatName val="0"/>
          <c:showSerName val="0"/>
          <c:showPercent val="0"/>
          <c:showBubbleSize val="0"/>
        </c:dLbls>
        <c:gapWidth val="75"/>
        <c:overlap val="100"/>
        <c:axId val="139291648"/>
        <c:axId val="139293440"/>
      </c:barChart>
      <c:catAx>
        <c:axId val="139291648"/>
        <c:scaling>
          <c:orientation val="minMax"/>
        </c:scaling>
        <c:delete val="0"/>
        <c:axPos val="b"/>
        <c:majorTickMark val="none"/>
        <c:minorTickMark val="none"/>
        <c:tickLblPos val="nextTo"/>
        <c:crossAx val="139293440"/>
        <c:crosses val="autoZero"/>
        <c:auto val="1"/>
        <c:lblAlgn val="ctr"/>
        <c:lblOffset val="100"/>
        <c:noMultiLvlLbl val="0"/>
      </c:catAx>
      <c:valAx>
        <c:axId val="139293440"/>
        <c:scaling>
          <c:orientation val="minMax"/>
        </c:scaling>
        <c:delete val="0"/>
        <c:axPos val="l"/>
        <c:majorGridlines/>
        <c:minorGridlines/>
        <c:title>
          <c:tx>
            <c:rich>
              <a:bodyPr/>
              <a:lstStyle/>
              <a:p>
                <a:pPr>
                  <a:defRPr/>
                </a:pPr>
                <a:r>
                  <a:rPr lang="en-AU"/>
                  <a:t>Funding ($m)</a:t>
                </a:r>
              </a:p>
              <a:p>
                <a:pPr>
                  <a:defRPr/>
                </a:pPr>
                <a:endParaRPr lang="en-AU"/>
              </a:p>
            </c:rich>
          </c:tx>
          <c:overlay val="0"/>
        </c:title>
        <c:numFmt formatCode="&quot;$&quot;#,##0" sourceLinked="1"/>
        <c:majorTickMark val="out"/>
        <c:minorTickMark val="none"/>
        <c:tickLblPos val="low"/>
        <c:crossAx val="139291648"/>
        <c:crosses val="autoZero"/>
        <c:crossBetween val="between"/>
      </c:valAx>
    </c:plotArea>
    <c:legend>
      <c:legendPos val="r"/>
      <c:overlay val="0"/>
    </c:legend>
    <c:plotVisOnly val="1"/>
    <c:dispBlanksAs val="gap"/>
    <c:showDLblsOverMax val="0"/>
  </c:chart>
  <c:spPr>
    <a:ln>
      <a:solidFill>
        <a:schemeClr val="tx1">
          <a:alpha val="29000"/>
        </a:schemeClr>
      </a:solidFill>
    </a:ln>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Australian Gov't</c:v>
                </c:pt>
              </c:strCache>
            </c:strRef>
          </c:tx>
          <c:spPr>
            <a:solidFill>
              <a:srgbClr val="0000FF"/>
            </a:solidFill>
            <a:ln>
              <a:solidFill>
                <a:schemeClr val="tx1"/>
              </a:solidFill>
            </a:ln>
          </c:spPr>
          <c:invertIfNegative val="0"/>
          <c:dLbls>
            <c:showLegendKey val="0"/>
            <c:showVal val="1"/>
            <c:showCatName val="0"/>
            <c:showSerName val="0"/>
            <c:showPercent val="0"/>
            <c:showBubbleSize val="0"/>
            <c:showLeaderLines val="0"/>
          </c:dLbls>
          <c:cat>
            <c:strRef>
              <c:f>Sheet1!$A$2:$A$8</c:f>
              <c:strCache>
                <c:ptCount val="7"/>
                <c:pt idx="0">
                  <c:v>2006-07</c:v>
                </c:pt>
                <c:pt idx="1">
                  <c:v>2007-08</c:v>
                </c:pt>
                <c:pt idx="2">
                  <c:v>2008-09</c:v>
                </c:pt>
                <c:pt idx="3">
                  <c:v>2009-10</c:v>
                </c:pt>
                <c:pt idx="4">
                  <c:v>2010-11</c:v>
                </c:pt>
                <c:pt idx="5">
                  <c:v>2011-12</c:v>
                </c:pt>
                <c:pt idx="6">
                  <c:v>2012-13</c:v>
                </c:pt>
              </c:strCache>
            </c:strRef>
          </c:cat>
          <c:val>
            <c:numRef>
              <c:f>Sheet1!$B$2:$B$8</c:f>
              <c:numCache>
                <c:formatCode>General</c:formatCode>
                <c:ptCount val="7"/>
                <c:pt idx="0">
                  <c:v>1.77</c:v>
                </c:pt>
                <c:pt idx="1">
                  <c:v>1.55</c:v>
                </c:pt>
                <c:pt idx="2">
                  <c:v>1.36</c:v>
                </c:pt>
                <c:pt idx="3">
                  <c:v>1.25</c:v>
                </c:pt>
                <c:pt idx="4">
                  <c:v>1.2</c:v>
                </c:pt>
                <c:pt idx="5">
                  <c:v>1.41</c:v>
                </c:pt>
                <c:pt idx="6">
                  <c:v>1.77</c:v>
                </c:pt>
              </c:numCache>
            </c:numRef>
          </c:val>
        </c:ser>
        <c:ser>
          <c:idx val="1"/>
          <c:order val="1"/>
          <c:tx>
            <c:strRef>
              <c:f>Sheet1!$C$1</c:f>
              <c:strCache>
                <c:ptCount val="1"/>
                <c:pt idx="0">
                  <c:v>ACT Gov't</c:v>
                </c:pt>
              </c:strCache>
            </c:strRef>
          </c:tx>
          <c:spPr>
            <a:solidFill>
              <a:srgbClr val="00B050"/>
            </a:solidFill>
            <a:ln>
              <a:solidFill>
                <a:schemeClr val="tx1"/>
              </a:solidFill>
            </a:ln>
          </c:spPr>
          <c:invertIfNegative val="0"/>
          <c:dLbls>
            <c:showLegendKey val="0"/>
            <c:showVal val="1"/>
            <c:showCatName val="0"/>
            <c:showSerName val="0"/>
            <c:showPercent val="0"/>
            <c:showBubbleSize val="0"/>
            <c:showLeaderLines val="0"/>
          </c:dLbls>
          <c:cat>
            <c:strRef>
              <c:f>Sheet1!$A$2:$A$8</c:f>
              <c:strCache>
                <c:ptCount val="7"/>
                <c:pt idx="0">
                  <c:v>2006-07</c:v>
                </c:pt>
                <c:pt idx="1">
                  <c:v>2007-08</c:v>
                </c:pt>
                <c:pt idx="2">
                  <c:v>2008-09</c:v>
                </c:pt>
                <c:pt idx="3">
                  <c:v>2009-10</c:v>
                </c:pt>
                <c:pt idx="4">
                  <c:v>2010-11</c:v>
                </c:pt>
                <c:pt idx="5">
                  <c:v>2011-12</c:v>
                </c:pt>
                <c:pt idx="6">
                  <c:v>2012-13</c:v>
                </c:pt>
              </c:strCache>
            </c:strRef>
          </c:cat>
          <c:val>
            <c:numRef>
              <c:f>Sheet1!$C$2:$C$8</c:f>
              <c:numCache>
                <c:formatCode>General</c:formatCode>
                <c:ptCount val="7"/>
                <c:pt idx="0">
                  <c:v>3.03</c:v>
                </c:pt>
                <c:pt idx="1">
                  <c:v>2.74</c:v>
                </c:pt>
                <c:pt idx="2">
                  <c:v>2.66</c:v>
                </c:pt>
                <c:pt idx="3">
                  <c:v>2.74</c:v>
                </c:pt>
                <c:pt idx="4">
                  <c:v>3</c:v>
                </c:pt>
                <c:pt idx="5">
                  <c:v>3.3899999999999997</c:v>
                </c:pt>
                <c:pt idx="6">
                  <c:v>4.05</c:v>
                </c:pt>
              </c:numCache>
            </c:numRef>
          </c:val>
        </c:ser>
        <c:dLbls>
          <c:showLegendKey val="0"/>
          <c:showVal val="0"/>
          <c:showCatName val="0"/>
          <c:showSerName val="0"/>
          <c:showPercent val="0"/>
          <c:showBubbleSize val="0"/>
        </c:dLbls>
        <c:gapWidth val="150"/>
        <c:axId val="139745536"/>
        <c:axId val="139764096"/>
      </c:barChart>
      <c:catAx>
        <c:axId val="139745536"/>
        <c:scaling>
          <c:orientation val="minMax"/>
        </c:scaling>
        <c:delete val="0"/>
        <c:axPos val="b"/>
        <c:title>
          <c:tx>
            <c:rich>
              <a:bodyPr/>
              <a:lstStyle/>
              <a:p>
                <a:pPr>
                  <a:defRPr/>
                </a:pPr>
                <a:r>
                  <a:rPr lang="en-AU"/>
                  <a:t>Financial Year</a:t>
                </a:r>
              </a:p>
            </c:rich>
          </c:tx>
          <c:overlay val="0"/>
        </c:title>
        <c:majorTickMark val="none"/>
        <c:minorTickMark val="none"/>
        <c:tickLblPos val="nextTo"/>
        <c:crossAx val="139764096"/>
        <c:crosses val="autoZero"/>
        <c:auto val="1"/>
        <c:lblAlgn val="ctr"/>
        <c:lblOffset val="100"/>
        <c:noMultiLvlLbl val="0"/>
      </c:catAx>
      <c:valAx>
        <c:axId val="139764096"/>
        <c:scaling>
          <c:orientation val="minMax"/>
        </c:scaling>
        <c:delete val="0"/>
        <c:axPos val="l"/>
        <c:majorGridlines/>
        <c:title>
          <c:tx>
            <c:rich>
              <a:bodyPr/>
              <a:lstStyle/>
              <a:p>
                <a:pPr>
                  <a:defRPr/>
                </a:pPr>
                <a:r>
                  <a:rPr lang="en-AU"/>
                  <a:t>Premium Rates</a:t>
                </a:r>
              </a:p>
              <a:p>
                <a:pPr>
                  <a:defRPr/>
                </a:pPr>
                <a:r>
                  <a:rPr lang="en-AU"/>
                  <a:t>percentgage</a:t>
                </a:r>
                <a:r>
                  <a:rPr lang="en-AU" baseline="0"/>
                  <a:t> of payroll</a:t>
                </a:r>
                <a:endParaRPr lang="en-AU"/>
              </a:p>
            </c:rich>
          </c:tx>
          <c:overlay val="0"/>
        </c:title>
        <c:numFmt formatCode="General" sourceLinked="1"/>
        <c:majorTickMark val="out"/>
        <c:minorTickMark val="none"/>
        <c:tickLblPos val="nextTo"/>
        <c:crossAx val="139745536"/>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2006-07</c:v>
                </c:pt>
              </c:strCache>
            </c:strRef>
          </c:tx>
          <c:spPr>
            <a:solidFill>
              <a:srgbClr val="0000FF"/>
            </a:solidFill>
            <a:ln>
              <a:solidFill>
                <a:schemeClr val="tx1"/>
              </a:solidFill>
            </a:ln>
          </c:spPr>
          <c:invertIfNegative val="0"/>
          <c:cat>
            <c:strRef>
              <c:f>Sheet1!$A$2:$A$13</c:f>
              <c:strCache>
                <c:ptCount val="12"/>
                <c:pt idx="0">
                  <c:v>S'care</c:v>
                </c:pt>
                <c:pt idx="1">
                  <c:v>SA</c:v>
                </c:pt>
                <c:pt idx="2">
                  <c:v>ACT Private</c:v>
                </c:pt>
                <c:pt idx="3">
                  <c:v>NT</c:v>
                </c:pt>
                <c:pt idx="4">
                  <c:v>NSW</c:v>
                </c:pt>
                <c:pt idx="5">
                  <c:v>Tas</c:v>
                </c:pt>
                <c:pt idx="6">
                  <c:v>Vic</c:v>
                </c:pt>
                <c:pt idx="7">
                  <c:v>Qld</c:v>
                </c:pt>
                <c:pt idx="8">
                  <c:v>WA</c:v>
                </c:pt>
                <c:pt idx="9">
                  <c:v>Aust Gov</c:v>
                </c:pt>
                <c:pt idx="10">
                  <c:v>Aust Ave</c:v>
                </c:pt>
                <c:pt idx="11">
                  <c:v>NZ</c:v>
                </c:pt>
              </c:strCache>
            </c:strRef>
          </c:cat>
          <c:val>
            <c:numRef>
              <c:f>Sheet1!$B$2:$B$13</c:f>
              <c:numCache>
                <c:formatCode>General</c:formatCode>
                <c:ptCount val="12"/>
                <c:pt idx="0">
                  <c:v>5.54</c:v>
                </c:pt>
                <c:pt idx="1">
                  <c:v>2.8499999999999988</c:v>
                </c:pt>
                <c:pt idx="2">
                  <c:v>2.9299999999999997</c:v>
                </c:pt>
                <c:pt idx="3">
                  <c:v>1.81</c:v>
                </c:pt>
                <c:pt idx="4">
                  <c:v>2.13</c:v>
                </c:pt>
                <c:pt idx="5">
                  <c:v>1.77</c:v>
                </c:pt>
                <c:pt idx="6">
                  <c:v>1.6</c:v>
                </c:pt>
                <c:pt idx="7">
                  <c:v>1.1499999999999921</c:v>
                </c:pt>
                <c:pt idx="8">
                  <c:v>1.680000000000007</c:v>
                </c:pt>
                <c:pt idx="9">
                  <c:v>1.21</c:v>
                </c:pt>
                <c:pt idx="10">
                  <c:v>1.79</c:v>
                </c:pt>
                <c:pt idx="11">
                  <c:v>0.94000000000000061</c:v>
                </c:pt>
              </c:numCache>
            </c:numRef>
          </c:val>
        </c:ser>
        <c:ser>
          <c:idx val="1"/>
          <c:order val="1"/>
          <c:tx>
            <c:strRef>
              <c:f>Sheet1!$C$1</c:f>
              <c:strCache>
                <c:ptCount val="1"/>
                <c:pt idx="0">
                  <c:v>2007-08</c:v>
                </c:pt>
              </c:strCache>
            </c:strRef>
          </c:tx>
          <c:spPr>
            <a:solidFill>
              <a:srgbClr val="00B050"/>
            </a:solidFill>
            <a:ln>
              <a:solidFill>
                <a:prstClr val="black"/>
              </a:solidFill>
            </a:ln>
          </c:spPr>
          <c:invertIfNegative val="0"/>
          <c:cat>
            <c:strRef>
              <c:f>Sheet1!$A$2:$A$13</c:f>
              <c:strCache>
                <c:ptCount val="12"/>
                <c:pt idx="0">
                  <c:v>S'care</c:v>
                </c:pt>
                <c:pt idx="1">
                  <c:v>SA</c:v>
                </c:pt>
                <c:pt idx="2">
                  <c:v>ACT Private</c:v>
                </c:pt>
                <c:pt idx="3">
                  <c:v>NT</c:v>
                </c:pt>
                <c:pt idx="4">
                  <c:v>NSW</c:v>
                </c:pt>
                <c:pt idx="5">
                  <c:v>Tas</c:v>
                </c:pt>
                <c:pt idx="6">
                  <c:v>Vic</c:v>
                </c:pt>
                <c:pt idx="7">
                  <c:v>Qld</c:v>
                </c:pt>
                <c:pt idx="8">
                  <c:v>WA</c:v>
                </c:pt>
                <c:pt idx="9">
                  <c:v>Aust Gov</c:v>
                </c:pt>
                <c:pt idx="10">
                  <c:v>Aust Ave</c:v>
                </c:pt>
                <c:pt idx="11">
                  <c:v>NZ</c:v>
                </c:pt>
              </c:strCache>
            </c:strRef>
          </c:cat>
          <c:val>
            <c:numRef>
              <c:f>Sheet1!$C$2:$C$13</c:f>
              <c:numCache>
                <c:formatCode>General</c:formatCode>
                <c:ptCount val="12"/>
                <c:pt idx="0">
                  <c:v>5.0599999999999996</c:v>
                </c:pt>
                <c:pt idx="1">
                  <c:v>2.8299999999999987</c:v>
                </c:pt>
                <c:pt idx="2">
                  <c:v>2.66</c:v>
                </c:pt>
                <c:pt idx="3">
                  <c:v>1.81</c:v>
                </c:pt>
                <c:pt idx="4">
                  <c:v>1.9200000000000021</c:v>
                </c:pt>
                <c:pt idx="5">
                  <c:v>1.49</c:v>
                </c:pt>
                <c:pt idx="6">
                  <c:v>1.46</c:v>
                </c:pt>
                <c:pt idx="7">
                  <c:v>1.0900000000000001</c:v>
                </c:pt>
                <c:pt idx="8">
                  <c:v>1.42</c:v>
                </c:pt>
                <c:pt idx="9">
                  <c:v>1.04</c:v>
                </c:pt>
                <c:pt idx="10">
                  <c:v>1.62</c:v>
                </c:pt>
                <c:pt idx="11">
                  <c:v>0.93</c:v>
                </c:pt>
              </c:numCache>
            </c:numRef>
          </c:val>
        </c:ser>
        <c:ser>
          <c:idx val="2"/>
          <c:order val="2"/>
          <c:tx>
            <c:strRef>
              <c:f>Sheet1!$D$1</c:f>
              <c:strCache>
                <c:ptCount val="1"/>
                <c:pt idx="0">
                  <c:v>2008-09</c:v>
                </c:pt>
              </c:strCache>
            </c:strRef>
          </c:tx>
          <c:spPr>
            <a:solidFill>
              <a:srgbClr val="FF0000"/>
            </a:solidFill>
            <a:ln>
              <a:solidFill>
                <a:schemeClr val="tx1"/>
              </a:solidFill>
            </a:ln>
          </c:spPr>
          <c:invertIfNegative val="0"/>
          <c:cat>
            <c:strRef>
              <c:f>Sheet1!$A$2:$A$13</c:f>
              <c:strCache>
                <c:ptCount val="12"/>
                <c:pt idx="0">
                  <c:v>S'care</c:v>
                </c:pt>
                <c:pt idx="1">
                  <c:v>SA</c:v>
                </c:pt>
                <c:pt idx="2">
                  <c:v>ACT Private</c:v>
                </c:pt>
                <c:pt idx="3">
                  <c:v>NT</c:v>
                </c:pt>
                <c:pt idx="4">
                  <c:v>NSW</c:v>
                </c:pt>
                <c:pt idx="5">
                  <c:v>Tas</c:v>
                </c:pt>
                <c:pt idx="6">
                  <c:v>Vic</c:v>
                </c:pt>
                <c:pt idx="7">
                  <c:v>Qld</c:v>
                </c:pt>
                <c:pt idx="8">
                  <c:v>WA</c:v>
                </c:pt>
                <c:pt idx="9">
                  <c:v>Aust Gov</c:v>
                </c:pt>
                <c:pt idx="10">
                  <c:v>Aust Ave</c:v>
                </c:pt>
                <c:pt idx="11">
                  <c:v>NZ</c:v>
                </c:pt>
              </c:strCache>
            </c:strRef>
          </c:cat>
          <c:val>
            <c:numRef>
              <c:f>Sheet1!$D$2:$D$13</c:f>
              <c:numCache>
                <c:formatCode>General</c:formatCode>
                <c:ptCount val="12"/>
                <c:pt idx="0">
                  <c:v>3.9</c:v>
                </c:pt>
                <c:pt idx="1">
                  <c:v>2.79</c:v>
                </c:pt>
                <c:pt idx="2">
                  <c:v>2.2799999999999998</c:v>
                </c:pt>
                <c:pt idx="3">
                  <c:v>1.77</c:v>
                </c:pt>
                <c:pt idx="4">
                  <c:v>1.83</c:v>
                </c:pt>
                <c:pt idx="5">
                  <c:v>1.3800000000000001</c:v>
                </c:pt>
                <c:pt idx="6">
                  <c:v>1.3800000000000001</c:v>
                </c:pt>
                <c:pt idx="7">
                  <c:v>1.06</c:v>
                </c:pt>
                <c:pt idx="8">
                  <c:v>1.28</c:v>
                </c:pt>
                <c:pt idx="9">
                  <c:v>0.91</c:v>
                </c:pt>
                <c:pt idx="10">
                  <c:v>1.54</c:v>
                </c:pt>
                <c:pt idx="11">
                  <c:v>0.86000000000000065</c:v>
                </c:pt>
              </c:numCache>
            </c:numRef>
          </c:val>
        </c:ser>
        <c:ser>
          <c:idx val="3"/>
          <c:order val="3"/>
          <c:tx>
            <c:strRef>
              <c:f>Sheet1!$E$1</c:f>
              <c:strCache>
                <c:ptCount val="1"/>
                <c:pt idx="0">
                  <c:v>2009-10</c:v>
                </c:pt>
              </c:strCache>
            </c:strRef>
          </c:tx>
          <c:spPr>
            <a:solidFill>
              <a:srgbClr val="FFFF00"/>
            </a:solidFill>
            <a:ln>
              <a:solidFill>
                <a:prstClr val="black"/>
              </a:solidFill>
            </a:ln>
          </c:spPr>
          <c:invertIfNegative val="0"/>
          <c:cat>
            <c:strRef>
              <c:f>Sheet1!$A$2:$A$13</c:f>
              <c:strCache>
                <c:ptCount val="12"/>
                <c:pt idx="0">
                  <c:v>S'care</c:v>
                </c:pt>
                <c:pt idx="1">
                  <c:v>SA</c:v>
                </c:pt>
                <c:pt idx="2">
                  <c:v>ACT Private</c:v>
                </c:pt>
                <c:pt idx="3">
                  <c:v>NT</c:v>
                </c:pt>
                <c:pt idx="4">
                  <c:v>NSW</c:v>
                </c:pt>
                <c:pt idx="5">
                  <c:v>Tas</c:v>
                </c:pt>
                <c:pt idx="6">
                  <c:v>Vic</c:v>
                </c:pt>
                <c:pt idx="7">
                  <c:v>Qld</c:v>
                </c:pt>
                <c:pt idx="8">
                  <c:v>WA</c:v>
                </c:pt>
                <c:pt idx="9">
                  <c:v>Aust Gov</c:v>
                </c:pt>
                <c:pt idx="10">
                  <c:v>Aust Ave</c:v>
                </c:pt>
                <c:pt idx="11">
                  <c:v>NZ</c:v>
                </c:pt>
              </c:strCache>
            </c:strRef>
          </c:cat>
          <c:val>
            <c:numRef>
              <c:f>Sheet1!$E$2:$E$13</c:f>
              <c:numCache>
                <c:formatCode>General</c:formatCode>
                <c:ptCount val="12"/>
                <c:pt idx="0">
                  <c:v>3.16</c:v>
                </c:pt>
                <c:pt idx="1">
                  <c:v>2.7600000000000002</c:v>
                </c:pt>
                <c:pt idx="2">
                  <c:v>2.14</c:v>
                </c:pt>
                <c:pt idx="3">
                  <c:v>1.74</c:v>
                </c:pt>
                <c:pt idx="4">
                  <c:v>1.82</c:v>
                </c:pt>
                <c:pt idx="5">
                  <c:v>1.4</c:v>
                </c:pt>
                <c:pt idx="6">
                  <c:v>1.3900000000000001</c:v>
                </c:pt>
                <c:pt idx="7">
                  <c:v>1.1200000000000001</c:v>
                </c:pt>
                <c:pt idx="8">
                  <c:v>1.32</c:v>
                </c:pt>
                <c:pt idx="9">
                  <c:v>0.91</c:v>
                </c:pt>
                <c:pt idx="10">
                  <c:v>1.54</c:v>
                </c:pt>
                <c:pt idx="11">
                  <c:v>0.94000000000000061</c:v>
                </c:pt>
              </c:numCache>
            </c:numRef>
          </c:val>
        </c:ser>
        <c:ser>
          <c:idx val="4"/>
          <c:order val="4"/>
          <c:tx>
            <c:strRef>
              <c:f>Sheet1!$F$1</c:f>
              <c:strCache>
                <c:ptCount val="1"/>
                <c:pt idx="0">
                  <c:v>2010-11</c:v>
                </c:pt>
              </c:strCache>
            </c:strRef>
          </c:tx>
          <c:spPr>
            <a:solidFill>
              <a:srgbClr val="00B0F0"/>
            </a:solidFill>
            <a:ln>
              <a:solidFill>
                <a:prstClr val="black"/>
              </a:solidFill>
            </a:ln>
          </c:spPr>
          <c:invertIfNegative val="0"/>
          <c:cat>
            <c:strRef>
              <c:f>Sheet1!$A$2:$A$13</c:f>
              <c:strCache>
                <c:ptCount val="12"/>
                <c:pt idx="0">
                  <c:v>S'care</c:v>
                </c:pt>
                <c:pt idx="1">
                  <c:v>SA</c:v>
                </c:pt>
                <c:pt idx="2">
                  <c:v>ACT Private</c:v>
                </c:pt>
                <c:pt idx="3">
                  <c:v>NT</c:v>
                </c:pt>
                <c:pt idx="4">
                  <c:v>NSW</c:v>
                </c:pt>
                <c:pt idx="5">
                  <c:v>Tas</c:v>
                </c:pt>
                <c:pt idx="6">
                  <c:v>Vic</c:v>
                </c:pt>
                <c:pt idx="7">
                  <c:v>Qld</c:v>
                </c:pt>
                <c:pt idx="8">
                  <c:v>WA</c:v>
                </c:pt>
                <c:pt idx="9">
                  <c:v>Aust Gov</c:v>
                </c:pt>
                <c:pt idx="10">
                  <c:v>Aust Ave</c:v>
                </c:pt>
                <c:pt idx="11">
                  <c:v>NZ</c:v>
                </c:pt>
              </c:strCache>
            </c:strRef>
          </c:cat>
          <c:val>
            <c:numRef>
              <c:f>Sheet1!$F$2:$F$13</c:f>
              <c:numCache>
                <c:formatCode>General</c:formatCode>
                <c:ptCount val="12"/>
                <c:pt idx="0">
                  <c:v>3.4899999999999998</c:v>
                </c:pt>
                <c:pt idx="1">
                  <c:v>2.4899999999999998</c:v>
                </c:pt>
                <c:pt idx="2">
                  <c:v>2.0499999999999998</c:v>
                </c:pt>
                <c:pt idx="3">
                  <c:v>1.79</c:v>
                </c:pt>
                <c:pt idx="4">
                  <c:v>1.76</c:v>
                </c:pt>
                <c:pt idx="5">
                  <c:v>1.5</c:v>
                </c:pt>
                <c:pt idx="6">
                  <c:v>1.35</c:v>
                </c:pt>
                <c:pt idx="7">
                  <c:v>1.22</c:v>
                </c:pt>
                <c:pt idx="8">
                  <c:v>1.1399999999999921</c:v>
                </c:pt>
                <c:pt idx="9">
                  <c:v>0.92</c:v>
                </c:pt>
                <c:pt idx="10">
                  <c:v>1.49</c:v>
                </c:pt>
                <c:pt idx="11">
                  <c:v>1.06</c:v>
                </c:pt>
              </c:numCache>
            </c:numRef>
          </c:val>
        </c:ser>
        <c:dLbls>
          <c:showLegendKey val="0"/>
          <c:showVal val="0"/>
          <c:showCatName val="0"/>
          <c:showSerName val="0"/>
          <c:showPercent val="0"/>
          <c:showBubbleSize val="0"/>
        </c:dLbls>
        <c:gapWidth val="150"/>
        <c:axId val="96848896"/>
        <c:axId val="96903936"/>
      </c:barChart>
      <c:catAx>
        <c:axId val="96848896"/>
        <c:scaling>
          <c:orientation val="minMax"/>
        </c:scaling>
        <c:delete val="0"/>
        <c:axPos val="b"/>
        <c:majorTickMark val="none"/>
        <c:minorTickMark val="none"/>
        <c:tickLblPos val="nextTo"/>
        <c:crossAx val="96903936"/>
        <c:crosses val="autoZero"/>
        <c:auto val="1"/>
        <c:lblAlgn val="ctr"/>
        <c:lblOffset val="100"/>
        <c:noMultiLvlLbl val="0"/>
      </c:catAx>
      <c:valAx>
        <c:axId val="96903936"/>
        <c:scaling>
          <c:orientation val="minMax"/>
        </c:scaling>
        <c:delete val="0"/>
        <c:axPos val="l"/>
        <c:majorGridlines/>
        <c:title>
          <c:tx>
            <c:rich>
              <a:bodyPr/>
              <a:lstStyle/>
              <a:p>
                <a:pPr>
                  <a:defRPr/>
                </a:pPr>
                <a:r>
                  <a:rPr lang="en-AU"/>
                  <a:t>% of payroll</a:t>
                </a:r>
              </a:p>
            </c:rich>
          </c:tx>
          <c:overlay val="0"/>
        </c:title>
        <c:numFmt formatCode="General" sourceLinked="1"/>
        <c:majorTickMark val="none"/>
        <c:minorTickMark val="none"/>
        <c:tickLblPos val="nextTo"/>
        <c:crossAx val="96848896"/>
        <c:crosses val="autoZero"/>
        <c:crossBetween val="between"/>
      </c:valAx>
      <c:dTable>
        <c:showHorzBorder val="0"/>
        <c:showVertBorder val="0"/>
        <c:showOutline val="1"/>
        <c:showKeys val="1"/>
      </c:dTable>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Sheet1!$D$1</c:f>
              <c:strCache>
                <c:ptCount val="1"/>
                <c:pt idx="0">
                  <c:v>% Injury</c:v>
                </c:pt>
              </c:strCache>
            </c:strRef>
          </c:tx>
          <c:spPr>
            <a:solidFill>
              <a:srgbClr val="0000FF"/>
            </a:solidFill>
            <a:ln>
              <a:solidFill>
                <a:schemeClr val="tx1"/>
              </a:solidFill>
            </a:ln>
          </c:spPr>
          <c:invertIfNegative val="0"/>
          <c:cat>
            <c:strRef>
              <c:f>Sheet1!$A$2:$A$6</c:f>
              <c:strCache>
                <c:ptCount val="5"/>
                <c:pt idx="0">
                  <c:v>2006-07</c:v>
                </c:pt>
                <c:pt idx="1">
                  <c:v>2007-08</c:v>
                </c:pt>
                <c:pt idx="2">
                  <c:v>2008-09</c:v>
                </c:pt>
                <c:pt idx="3">
                  <c:v>2009-10</c:v>
                </c:pt>
                <c:pt idx="4">
                  <c:v>2010-11</c:v>
                </c:pt>
              </c:strCache>
            </c:strRef>
          </c:cat>
          <c:val>
            <c:numRef>
              <c:f>Sheet1!$D$2:$D$6</c:f>
              <c:numCache>
                <c:formatCode>General</c:formatCode>
                <c:ptCount val="5"/>
                <c:pt idx="0">
                  <c:v>16.47</c:v>
                </c:pt>
                <c:pt idx="1">
                  <c:v>11.52</c:v>
                </c:pt>
                <c:pt idx="2">
                  <c:v>8.5</c:v>
                </c:pt>
                <c:pt idx="3">
                  <c:v>8.32</c:v>
                </c:pt>
                <c:pt idx="4">
                  <c:v>7.8199999999999985</c:v>
                </c:pt>
              </c:numCache>
            </c:numRef>
          </c:val>
        </c:ser>
        <c:ser>
          <c:idx val="1"/>
          <c:order val="1"/>
          <c:tx>
            <c:strRef>
              <c:f>Sheet1!$F$1</c:f>
              <c:strCache>
                <c:ptCount val="1"/>
                <c:pt idx="0">
                  <c:v>%disease</c:v>
                </c:pt>
              </c:strCache>
            </c:strRef>
          </c:tx>
          <c:spPr>
            <a:solidFill>
              <a:srgbClr val="00CC00"/>
            </a:solidFill>
            <a:ln>
              <a:solidFill>
                <a:prstClr val="black"/>
              </a:solidFill>
            </a:ln>
          </c:spPr>
          <c:invertIfNegative val="0"/>
          <c:cat>
            <c:strRef>
              <c:f>Sheet1!$A$2:$A$6</c:f>
              <c:strCache>
                <c:ptCount val="5"/>
                <c:pt idx="0">
                  <c:v>2006-07</c:v>
                </c:pt>
                <c:pt idx="1">
                  <c:v>2007-08</c:v>
                </c:pt>
                <c:pt idx="2">
                  <c:v>2008-09</c:v>
                </c:pt>
                <c:pt idx="3">
                  <c:v>2009-10</c:v>
                </c:pt>
                <c:pt idx="4">
                  <c:v>2010-11</c:v>
                </c:pt>
              </c:strCache>
            </c:strRef>
          </c:cat>
          <c:val>
            <c:numRef>
              <c:f>Sheet1!$F$2:$F$6</c:f>
              <c:numCache>
                <c:formatCode>General</c:formatCode>
                <c:ptCount val="5"/>
                <c:pt idx="0">
                  <c:v>10.530000000000001</c:v>
                </c:pt>
                <c:pt idx="1">
                  <c:v>6.48</c:v>
                </c:pt>
                <c:pt idx="2">
                  <c:v>8.5</c:v>
                </c:pt>
                <c:pt idx="3">
                  <c:v>7.68</c:v>
                </c:pt>
                <c:pt idx="4">
                  <c:v>9.18</c:v>
                </c:pt>
              </c:numCache>
            </c:numRef>
          </c:val>
        </c:ser>
        <c:dLbls>
          <c:showLegendKey val="0"/>
          <c:showVal val="0"/>
          <c:showCatName val="0"/>
          <c:showSerName val="0"/>
          <c:showPercent val="0"/>
          <c:showBubbleSize val="0"/>
        </c:dLbls>
        <c:gapWidth val="75"/>
        <c:overlap val="100"/>
        <c:axId val="131360640"/>
        <c:axId val="131362816"/>
      </c:barChart>
      <c:catAx>
        <c:axId val="131360640"/>
        <c:scaling>
          <c:orientation val="minMax"/>
        </c:scaling>
        <c:delete val="0"/>
        <c:axPos val="b"/>
        <c:title>
          <c:tx>
            <c:rich>
              <a:bodyPr/>
              <a:lstStyle/>
              <a:p>
                <a:pPr>
                  <a:defRPr/>
                </a:pPr>
                <a:r>
                  <a:rPr lang="en-AU"/>
                  <a:t>Financial Year</a:t>
                </a:r>
              </a:p>
            </c:rich>
          </c:tx>
          <c:overlay val="0"/>
        </c:title>
        <c:majorTickMark val="none"/>
        <c:minorTickMark val="none"/>
        <c:tickLblPos val="nextTo"/>
        <c:crossAx val="131362816"/>
        <c:crosses val="autoZero"/>
        <c:auto val="1"/>
        <c:lblAlgn val="ctr"/>
        <c:lblOffset val="100"/>
        <c:noMultiLvlLbl val="0"/>
      </c:catAx>
      <c:valAx>
        <c:axId val="131362816"/>
        <c:scaling>
          <c:orientation val="minMax"/>
        </c:scaling>
        <c:delete val="0"/>
        <c:axPos val="l"/>
        <c:majorGridlines/>
        <c:minorGridlines/>
        <c:title>
          <c:tx>
            <c:rich>
              <a:bodyPr/>
              <a:lstStyle/>
              <a:p>
                <a:pPr>
                  <a:defRPr/>
                </a:pPr>
                <a:r>
                  <a:rPr lang="en-AU"/>
                  <a:t>Claims per 1,000 FTE Employees</a:t>
                </a:r>
              </a:p>
            </c:rich>
          </c:tx>
          <c:overlay val="0"/>
        </c:title>
        <c:numFmt formatCode="General" sourceLinked="1"/>
        <c:majorTickMark val="out"/>
        <c:minorTickMark val="none"/>
        <c:tickLblPos val="nextTo"/>
        <c:crossAx val="131360640"/>
        <c:crosses val="autoZero"/>
        <c:crossBetween val="between"/>
      </c:valAx>
    </c:plotArea>
    <c:legend>
      <c:legendPos val="r"/>
      <c:overlay val="0"/>
    </c:legend>
    <c:plotVisOnly val="1"/>
    <c:dispBlanksAs val="gap"/>
    <c:showDLblsOverMax val="0"/>
  </c:chart>
  <c:txPr>
    <a:bodyPr/>
    <a:lstStyle/>
    <a:p>
      <a:pPr>
        <a:defRPr b="1"/>
      </a:pPr>
      <a:endParaRPr lang="en-US"/>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995775982245516"/>
          <c:y val="6.2349588089636636E-2"/>
          <c:w val="0.50931552069175456"/>
          <c:h val="0.67540072970754816"/>
        </c:manualLayout>
      </c:layout>
      <c:lineChart>
        <c:grouping val="standard"/>
        <c:varyColors val="0"/>
        <c:ser>
          <c:idx val="0"/>
          <c:order val="0"/>
          <c:tx>
            <c:strRef>
              <c:f>'[Chart in Microsoft Office Word]Sheet1'!$B$1</c:f>
              <c:strCache>
                <c:ptCount val="1"/>
                <c:pt idx="0">
                  <c:v>Licensed Self-Insurers</c:v>
                </c:pt>
              </c:strCache>
            </c:strRef>
          </c:tx>
          <c:spPr>
            <a:ln>
              <a:solidFill>
                <a:srgbClr val="FF0000"/>
              </a:solidFill>
            </a:ln>
          </c:spPr>
          <c:marker>
            <c:symbol val="none"/>
          </c:marker>
          <c:dLbls>
            <c:showLegendKey val="0"/>
            <c:showVal val="1"/>
            <c:showCatName val="0"/>
            <c:showSerName val="0"/>
            <c:showPercent val="0"/>
            <c:showBubbleSize val="0"/>
            <c:showLeaderLines val="0"/>
          </c:dLbls>
          <c:cat>
            <c:strRef>
              <c:f>'[Chart in Microsoft Office Word]Sheet1'!$A$2:$A$6</c:f>
              <c:strCache>
                <c:ptCount val="5"/>
                <c:pt idx="0">
                  <c:v>2007-08</c:v>
                </c:pt>
                <c:pt idx="1">
                  <c:v>2008-09</c:v>
                </c:pt>
                <c:pt idx="2">
                  <c:v>2009-10</c:v>
                </c:pt>
                <c:pt idx="3">
                  <c:v>2010-11</c:v>
                </c:pt>
                <c:pt idx="4">
                  <c:v>2011-12</c:v>
                </c:pt>
              </c:strCache>
            </c:strRef>
          </c:cat>
          <c:val>
            <c:numRef>
              <c:f>'[Chart in Microsoft Office Word]Sheet1'!$B$2:$B$6</c:f>
              <c:numCache>
                <c:formatCode>General</c:formatCode>
                <c:ptCount val="5"/>
                <c:pt idx="0">
                  <c:v>0.60000000000000064</c:v>
                </c:pt>
                <c:pt idx="1">
                  <c:v>0.60000000000000064</c:v>
                </c:pt>
                <c:pt idx="2">
                  <c:v>0.60000000000000064</c:v>
                </c:pt>
                <c:pt idx="3">
                  <c:v>0.5</c:v>
                </c:pt>
                <c:pt idx="4">
                  <c:v>0.5</c:v>
                </c:pt>
              </c:numCache>
            </c:numRef>
          </c:val>
          <c:smooth val="0"/>
        </c:ser>
        <c:ser>
          <c:idx val="1"/>
          <c:order val="1"/>
          <c:tx>
            <c:strRef>
              <c:f>'[Chart in Microsoft Office Word]Sheet1'!$C$1</c:f>
              <c:strCache>
                <c:ptCount val="1"/>
                <c:pt idx="0">
                  <c:v>Premium Payers (incl ACT Govt)</c:v>
                </c:pt>
              </c:strCache>
            </c:strRef>
          </c:tx>
          <c:spPr>
            <a:ln>
              <a:solidFill>
                <a:srgbClr val="0000FF"/>
              </a:solidFill>
            </a:ln>
          </c:spPr>
          <c:marker>
            <c:symbol val="none"/>
          </c:marker>
          <c:dLbls>
            <c:showLegendKey val="0"/>
            <c:showVal val="1"/>
            <c:showCatName val="0"/>
            <c:showSerName val="0"/>
            <c:showPercent val="0"/>
            <c:showBubbleSize val="0"/>
            <c:showLeaderLines val="0"/>
          </c:dLbls>
          <c:cat>
            <c:strRef>
              <c:f>'[Chart in Microsoft Office Word]Sheet1'!$A$2:$A$6</c:f>
              <c:strCache>
                <c:ptCount val="5"/>
                <c:pt idx="0">
                  <c:v>2007-08</c:v>
                </c:pt>
                <c:pt idx="1">
                  <c:v>2008-09</c:v>
                </c:pt>
                <c:pt idx="2">
                  <c:v>2009-10</c:v>
                </c:pt>
                <c:pt idx="3">
                  <c:v>2010-11</c:v>
                </c:pt>
                <c:pt idx="4">
                  <c:v>2011-12</c:v>
                </c:pt>
              </c:strCache>
            </c:strRef>
          </c:cat>
          <c:val>
            <c:numRef>
              <c:f>'[Chart in Microsoft Office Word]Sheet1'!$C$2:$C$6</c:f>
              <c:numCache>
                <c:formatCode>General</c:formatCode>
                <c:ptCount val="5"/>
                <c:pt idx="0">
                  <c:v>1.6</c:v>
                </c:pt>
                <c:pt idx="1">
                  <c:v>1.5</c:v>
                </c:pt>
                <c:pt idx="2">
                  <c:v>1.7</c:v>
                </c:pt>
                <c:pt idx="3">
                  <c:v>2.1</c:v>
                </c:pt>
                <c:pt idx="4">
                  <c:v>1.7</c:v>
                </c:pt>
              </c:numCache>
            </c:numRef>
          </c:val>
          <c:smooth val="0"/>
        </c:ser>
        <c:ser>
          <c:idx val="2"/>
          <c:order val="2"/>
          <c:tx>
            <c:strRef>
              <c:f>'[Chart in Microsoft Office Word]Sheet1'!$D$1</c:f>
              <c:strCache>
                <c:ptCount val="1"/>
                <c:pt idx="0">
                  <c:v>Comcare Scheme</c:v>
                </c:pt>
              </c:strCache>
            </c:strRef>
          </c:tx>
          <c:spPr>
            <a:ln>
              <a:solidFill>
                <a:srgbClr val="00B050"/>
              </a:solidFill>
            </a:ln>
          </c:spPr>
          <c:marker>
            <c:symbol val="none"/>
          </c:marker>
          <c:dLbls>
            <c:showLegendKey val="0"/>
            <c:showVal val="1"/>
            <c:showCatName val="0"/>
            <c:showSerName val="0"/>
            <c:showPercent val="0"/>
            <c:showBubbleSize val="0"/>
            <c:showLeaderLines val="0"/>
          </c:dLbls>
          <c:cat>
            <c:strRef>
              <c:f>'[Chart in Microsoft Office Word]Sheet1'!$A$2:$A$6</c:f>
              <c:strCache>
                <c:ptCount val="5"/>
                <c:pt idx="0">
                  <c:v>2007-08</c:v>
                </c:pt>
                <c:pt idx="1">
                  <c:v>2008-09</c:v>
                </c:pt>
                <c:pt idx="2">
                  <c:v>2009-10</c:v>
                </c:pt>
                <c:pt idx="3">
                  <c:v>2010-11</c:v>
                </c:pt>
                <c:pt idx="4">
                  <c:v>2011-12</c:v>
                </c:pt>
              </c:strCache>
            </c:strRef>
          </c:cat>
          <c:val>
            <c:numRef>
              <c:f>'[Chart in Microsoft Office Word]Sheet1'!$D$2:$D$6</c:f>
              <c:numCache>
                <c:formatCode>General</c:formatCode>
                <c:ptCount val="5"/>
                <c:pt idx="0">
                  <c:v>1.2</c:v>
                </c:pt>
                <c:pt idx="1">
                  <c:v>1.1000000000000001</c:v>
                </c:pt>
                <c:pt idx="2">
                  <c:v>1.2</c:v>
                </c:pt>
                <c:pt idx="3">
                  <c:v>1.4</c:v>
                </c:pt>
                <c:pt idx="4">
                  <c:v>1.2</c:v>
                </c:pt>
              </c:numCache>
            </c:numRef>
          </c:val>
          <c:smooth val="0"/>
        </c:ser>
        <c:dLbls>
          <c:showLegendKey val="0"/>
          <c:showVal val="0"/>
          <c:showCatName val="0"/>
          <c:showSerName val="0"/>
          <c:showPercent val="0"/>
          <c:showBubbleSize val="0"/>
        </c:dLbls>
        <c:marker val="1"/>
        <c:smooth val="0"/>
        <c:axId val="131390464"/>
        <c:axId val="131392640"/>
      </c:lineChart>
      <c:catAx>
        <c:axId val="131390464"/>
        <c:scaling>
          <c:orientation val="minMax"/>
        </c:scaling>
        <c:delete val="0"/>
        <c:axPos val="b"/>
        <c:title>
          <c:tx>
            <c:rich>
              <a:bodyPr/>
              <a:lstStyle/>
              <a:p>
                <a:pPr>
                  <a:defRPr/>
                </a:pPr>
                <a:r>
                  <a:rPr lang="en-AU"/>
                  <a:t>Financial</a:t>
                </a:r>
                <a:r>
                  <a:rPr lang="en-AU" baseline="0"/>
                  <a:t> Year </a:t>
                </a:r>
                <a:r>
                  <a:rPr lang="en-AU"/>
                  <a:t>Claim was First</a:t>
                </a:r>
                <a:r>
                  <a:rPr lang="en-AU" baseline="0"/>
                  <a:t> Determined</a:t>
                </a:r>
                <a:endParaRPr lang="en-AU"/>
              </a:p>
            </c:rich>
          </c:tx>
          <c:overlay val="0"/>
        </c:title>
        <c:majorTickMark val="none"/>
        <c:minorTickMark val="none"/>
        <c:tickLblPos val="nextTo"/>
        <c:txPr>
          <a:bodyPr rot="-5400000" vert="horz"/>
          <a:lstStyle/>
          <a:p>
            <a:pPr>
              <a:defRPr/>
            </a:pPr>
            <a:endParaRPr lang="en-US"/>
          </a:p>
        </c:txPr>
        <c:crossAx val="131392640"/>
        <c:crosses val="autoZero"/>
        <c:auto val="1"/>
        <c:lblAlgn val="ctr"/>
        <c:lblOffset val="100"/>
        <c:noMultiLvlLbl val="0"/>
      </c:catAx>
      <c:valAx>
        <c:axId val="131392640"/>
        <c:scaling>
          <c:orientation val="minMax"/>
        </c:scaling>
        <c:delete val="0"/>
        <c:axPos val="l"/>
        <c:majorGridlines/>
        <c:title>
          <c:tx>
            <c:rich>
              <a:bodyPr/>
              <a:lstStyle/>
              <a:p>
                <a:pPr>
                  <a:defRPr/>
                </a:pPr>
                <a:r>
                  <a:rPr lang="en-AU"/>
                  <a:t>Cliams per 1,000 FTE Employees</a:t>
                </a:r>
              </a:p>
            </c:rich>
          </c:tx>
          <c:overlay val="0"/>
        </c:title>
        <c:numFmt formatCode="General" sourceLinked="1"/>
        <c:majorTickMark val="out"/>
        <c:minorTickMark val="none"/>
        <c:tickLblPos val="nextTo"/>
        <c:crossAx val="131390464"/>
        <c:crosses val="autoZero"/>
        <c:crossBetween val="between"/>
      </c:valAx>
    </c:plotArea>
    <c:plotVisOnly val="1"/>
    <c:dispBlanksAs val="gap"/>
    <c:showDLblsOverMax val="0"/>
  </c:chart>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743901163134503"/>
          <c:y val="7.4548702245552642E-2"/>
          <c:w val="0.64529847113998118"/>
          <c:h val="0.66303657033624464"/>
        </c:manualLayout>
      </c:layout>
      <c:barChart>
        <c:barDir val="col"/>
        <c:grouping val="clustered"/>
        <c:varyColors val="0"/>
        <c:ser>
          <c:idx val="0"/>
          <c:order val="0"/>
          <c:tx>
            <c:strRef>
              <c:f>Sheet1!$N$27</c:f>
              <c:strCache>
                <c:ptCount val="1"/>
                <c:pt idx="0">
                  <c:v>Premium payers</c:v>
                </c:pt>
              </c:strCache>
            </c:strRef>
          </c:tx>
          <c:spPr>
            <a:solidFill>
              <a:srgbClr val="00B050"/>
            </a:solidFill>
            <a:ln>
              <a:solidFill>
                <a:schemeClr val="tx1"/>
              </a:solidFill>
            </a:ln>
          </c:spPr>
          <c:invertIfNegative val="0"/>
          <c:dLbls>
            <c:showLegendKey val="0"/>
            <c:showVal val="1"/>
            <c:showCatName val="0"/>
            <c:showSerName val="0"/>
            <c:showPercent val="0"/>
            <c:showBubbleSize val="0"/>
            <c:showLeaderLines val="0"/>
          </c:dLbls>
          <c:cat>
            <c:strRef>
              <c:f>Sheet1!$M$28:$M$34</c:f>
              <c:strCache>
                <c:ptCount val="7"/>
                <c:pt idx="0">
                  <c:v>Body stressing</c:v>
                </c:pt>
                <c:pt idx="1">
                  <c:v>Falls, trips, slips</c:v>
                </c:pt>
                <c:pt idx="2">
                  <c:v>Mental stress</c:v>
                </c:pt>
                <c:pt idx="3">
                  <c:v>Hit by moving objects</c:v>
                </c:pt>
                <c:pt idx="4">
                  <c:v>Hitting objects with body</c:v>
                </c:pt>
                <c:pt idx="5">
                  <c:v>Vehicle incidents and other</c:v>
                </c:pt>
                <c:pt idx="6">
                  <c:v>All other</c:v>
                </c:pt>
              </c:strCache>
            </c:strRef>
          </c:cat>
          <c:val>
            <c:numRef>
              <c:f>Sheet1!$N$28:$N$34</c:f>
              <c:numCache>
                <c:formatCode>General</c:formatCode>
                <c:ptCount val="7"/>
                <c:pt idx="0">
                  <c:v>48</c:v>
                </c:pt>
                <c:pt idx="1">
                  <c:v>18</c:v>
                </c:pt>
                <c:pt idx="2">
                  <c:v>12</c:v>
                </c:pt>
                <c:pt idx="3">
                  <c:v>8</c:v>
                </c:pt>
                <c:pt idx="4">
                  <c:v>4</c:v>
                </c:pt>
                <c:pt idx="5">
                  <c:v>4</c:v>
                </c:pt>
                <c:pt idx="6">
                  <c:v>6</c:v>
                </c:pt>
              </c:numCache>
            </c:numRef>
          </c:val>
        </c:ser>
        <c:ser>
          <c:idx val="1"/>
          <c:order val="1"/>
          <c:tx>
            <c:strRef>
              <c:f>Sheet1!$O$27</c:f>
              <c:strCache>
                <c:ptCount val="1"/>
                <c:pt idx="0">
                  <c:v>Licensed self insured</c:v>
                </c:pt>
              </c:strCache>
            </c:strRef>
          </c:tx>
          <c:spPr>
            <a:solidFill>
              <a:srgbClr val="0000FF"/>
            </a:solidFill>
            <a:ln>
              <a:solidFill>
                <a:schemeClr val="tx1"/>
              </a:solidFill>
            </a:ln>
          </c:spPr>
          <c:invertIfNegative val="0"/>
          <c:dLbls>
            <c:showLegendKey val="0"/>
            <c:showVal val="1"/>
            <c:showCatName val="0"/>
            <c:showSerName val="0"/>
            <c:showPercent val="0"/>
            <c:showBubbleSize val="0"/>
            <c:showLeaderLines val="0"/>
          </c:dLbls>
          <c:cat>
            <c:strRef>
              <c:f>Sheet1!$M$28:$M$34</c:f>
              <c:strCache>
                <c:ptCount val="7"/>
                <c:pt idx="0">
                  <c:v>Body stressing</c:v>
                </c:pt>
                <c:pt idx="1">
                  <c:v>Falls, trips, slips</c:v>
                </c:pt>
                <c:pt idx="2">
                  <c:v>Mental stress</c:v>
                </c:pt>
                <c:pt idx="3">
                  <c:v>Hit by moving objects</c:v>
                </c:pt>
                <c:pt idx="4">
                  <c:v>Hitting objects with body</c:v>
                </c:pt>
                <c:pt idx="5">
                  <c:v>Vehicle incidents and other</c:v>
                </c:pt>
                <c:pt idx="6">
                  <c:v>All other</c:v>
                </c:pt>
              </c:strCache>
            </c:strRef>
          </c:cat>
          <c:val>
            <c:numRef>
              <c:f>Sheet1!$O$28:$O$34</c:f>
              <c:numCache>
                <c:formatCode>General</c:formatCode>
                <c:ptCount val="7"/>
                <c:pt idx="0">
                  <c:v>45</c:v>
                </c:pt>
                <c:pt idx="1">
                  <c:v>16</c:v>
                </c:pt>
                <c:pt idx="2">
                  <c:v>1</c:v>
                </c:pt>
                <c:pt idx="3">
                  <c:v>12</c:v>
                </c:pt>
                <c:pt idx="4">
                  <c:v>7</c:v>
                </c:pt>
                <c:pt idx="5">
                  <c:v>13</c:v>
                </c:pt>
                <c:pt idx="6">
                  <c:v>5</c:v>
                </c:pt>
              </c:numCache>
            </c:numRef>
          </c:val>
        </c:ser>
        <c:dLbls>
          <c:showLegendKey val="0"/>
          <c:showVal val="0"/>
          <c:showCatName val="0"/>
          <c:showSerName val="0"/>
          <c:showPercent val="0"/>
          <c:showBubbleSize val="0"/>
        </c:dLbls>
        <c:gapWidth val="150"/>
        <c:axId val="131408256"/>
        <c:axId val="131409792"/>
      </c:barChart>
      <c:catAx>
        <c:axId val="131408256"/>
        <c:scaling>
          <c:orientation val="minMax"/>
        </c:scaling>
        <c:delete val="0"/>
        <c:axPos val="b"/>
        <c:majorTickMark val="out"/>
        <c:minorTickMark val="none"/>
        <c:tickLblPos val="nextTo"/>
        <c:txPr>
          <a:bodyPr rot="0" anchor="t" anchorCtr="0"/>
          <a:lstStyle/>
          <a:p>
            <a:pPr>
              <a:defRPr/>
            </a:pPr>
            <a:endParaRPr lang="en-US"/>
          </a:p>
        </c:txPr>
        <c:crossAx val="131409792"/>
        <c:crosses val="autoZero"/>
        <c:auto val="1"/>
        <c:lblAlgn val="ctr"/>
        <c:lblOffset val="100"/>
        <c:noMultiLvlLbl val="0"/>
      </c:catAx>
      <c:valAx>
        <c:axId val="131409792"/>
        <c:scaling>
          <c:orientation val="minMax"/>
        </c:scaling>
        <c:delete val="0"/>
        <c:axPos val="l"/>
        <c:majorGridlines/>
        <c:title>
          <c:tx>
            <c:rich>
              <a:bodyPr rot="-5400000" vert="horz"/>
              <a:lstStyle/>
              <a:p>
                <a:pPr>
                  <a:defRPr/>
                </a:pPr>
                <a:r>
                  <a:rPr lang="en-AU"/>
                  <a:t>Percentage of accepted claims</a:t>
                </a:r>
              </a:p>
            </c:rich>
          </c:tx>
          <c:overlay val="0"/>
        </c:title>
        <c:numFmt formatCode="General" sourceLinked="1"/>
        <c:majorTickMark val="out"/>
        <c:minorTickMark val="none"/>
        <c:tickLblPos val="nextTo"/>
        <c:crossAx val="131408256"/>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607195975503061"/>
          <c:y val="4.609201477320448E-2"/>
          <c:w val="0.51871854253512439"/>
          <c:h val="0.69334982252035482"/>
        </c:manualLayout>
      </c:layout>
      <c:lineChart>
        <c:grouping val="standard"/>
        <c:varyColors val="0"/>
        <c:ser>
          <c:idx val="0"/>
          <c:order val="0"/>
          <c:tx>
            <c:strRef>
              <c:f>Sheet1!$K$3</c:f>
              <c:strCache>
                <c:ptCount val="1"/>
                <c:pt idx="0">
                  <c:v>Mental Stress</c:v>
                </c:pt>
              </c:strCache>
            </c:strRef>
          </c:tx>
          <c:spPr>
            <a:ln>
              <a:solidFill>
                <a:srgbClr val="0000FF"/>
              </a:solidFill>
            </a:ln>
          </c:spPr>
          <c:marker>
            <c:symbol val="none"/>
          </c:marker>
          <c:dLbls>
            <c:showLegendKey val="0"/>
            <c:showVal val="1"/>
            <c:showCatName val="0"/>
            <c:showSerName val="0"/>
            <c:showPercent val="0"/>
            <c:showBubbleSize val="0"/>
            <c:showLeaderLines val="0"/>
          </c:dLbls>
          <c:cat>
            <c:strRef>
              <c:f>Sheet1!$J$4:$J$8</c:f>
              <c:strCache>
                <c:ptCount val="5"/>
                <c:pt idx="0">
                  <c:v>2007-2008</c:v>
                </c:pt>
                <c:pt idx="1">
                  <c:v>2008-2009</c:v>
                </c:pt>
                <c:pt idx="2">
                  <c:v>2009-2010</c:v>
                </c:pt>
                <c:pt idx="3">
                  <c:v>2010-2011</c:v>
                </c:pt>
                <c:pt idx="4">
                  <c:v>2011-2012</c:v>
                </c:pt>
              </c:strCache>
            </c:strRef>
          </c:cat>
          <c:val>
            <c:numRef>
              <c:f>Sheet1!$K$4:$K$8</c:f>
              <c:numCache>
                <c:formatCode>0.0</c:formatCode>
                <c:ptCount val="5"/>
                <c:pt idx="0">
                  <c:v>205.9</c:v>
                </c:pt>
                <c:pt idx="1">
                  <c:v>220</c:v>
                </c:pt>
                <c:pt idx="2">
                  <c:v>268.89999999999992</c:v>
                </c:pt>
                <c:pt idx="3">
                  <c:v>218.6</c:v>
                </c:pt>
                <c:pt idx="4">
                  <c:v>250.7</c:v>
                </c:pt>
              </c:numCache>
            </c:numRef>
          </c:val>
          <c:smooth val="0"/>
        </c:ser>
        <c:ser>
          <c:idx val="1"/>
          <c:order val="1"/>
          <c:tx>
            <c:strRef>
              <c:f>Sheet1!$L$3</c:f>
              <c:strCache>
                <c:ptCount val="1"/>
                <c:pt idx="0">
                  <c:v>All Claims (ex. mental stress)</c:v>
                </c:pt>
              </c:strCache>
            </c:strRef>
          </c:tx>
          <c:spPr>
            <a:ln>
              <a:solidFill>
                <a:srgbClr val="009242"/>
              </a:solidFill>
            </a:ln>
          </c:spPr>
          <c:marker>
            <c:symbol val="none"/>
          </c:marker>
          <c:dLbls>
            <c:showLegendKey val="0"/>
            <c:showVal val="1"/>
            <c:showCatName val="0"/>
            <c:showSerName val="0"/>
            <c:showPercent val="0"/>
            <c:showBubbleSize val="0"/>
            <c:showLeaderLines val="0"/>
          </c:dLbls>
          <c:cat>
            <c:strRef>
              <c:f>Sheet1!$J$4:$J$8</c:f>
              <c:strCache>
                <c:ptCount val="5"/>
                <c:pt idx="0">
                  <c:v>2007-2008</c:v>
                </c:pt>
                <c:pt idx="1">
                  <c:v>2008-2009</c:v>
                </c:pt>
                <c:pt idx="2">
                  <c:v>2009-2010</c:v>
                </c:pt>
                <c:pt idx="3">
                  <c:v>2010-2011</c:v>
                </c:pt>
                <c:pt idx="4">
                  <c:v>2011-2012</c:v>
                </c:pt>
              </c:strCache>
            </c:strRef>
          </c:cat>
          <c:val>
            <c:numRef>
              <c:f>Sheet1!$L$4:$L$8</c:f>
              <c:numCache>
                <c:formatCode>0.0</c:formatCode>
                <c:ptCount val="5"/>
                <c:pt idx="0">
                  <c:v>38</c:v>
                </c:pt>
                <c:pt idx="1">
                  <c:v>47.3</c:v>
                </c:pt>
                <c:pt idx="2">
                  <c:v>53.5</c:v>
                </c:pt>
                <c:pt idx="3">
                  <c:v>62.6</c:v>
                </c:pt>
                <c:pt idx="4">
                  <c:v>67</c:v>
                </c:pt>
              </c:numCache>
            </c:numRef>
          </c:val>
          <c:smooth val="0"/>
        </c:ser>
        <c:dLbls>
          <c:showLegendKey val="0"/>
          <c:showVal val="0"/>
          <c:showCatName val="0"/>
          <c:showSerName val="0"/>
          <c:showPercent val="0"/>
          <c:showBubbleSize val="0"/>
        </c:dLbls>
        <c:marker val="1"/>
        <c:smooth val="0"/>
        <c:axId val="131435520"/>
        <c:axId val="131458176"/>
      </c:lineChart>
      <c:catAx>
        <c:axId val="131435520"/>
        <c:scaling>
          <c:orientation val="minMax"/>
        </c:scaling>
        <c:delete val="0"/>
        <c:axPos val="b"/>
        <c:title>
          <c:tx>
            <c:rich>
              <a:bodyPr/>
              <a:lstStyle/>
              <a:p>
                <a:pPr>
                  <a:defRPr/>
                </a:pPr>
                <a:r>
                  <a:rPr lang="en-AU"/>
                  <a:t>Financial Year - Date claim was first determined</a:t>
                </a:r>
              </a:p>
            </c:rich>
          </c:tx>
          <c:overlay val="0"/>
        </c:title>
        <c:majorTickMark val="none"/>
        <c:minorTickMark val="none"/>
        <c:tickLblPos val="nextTo"/>
        <c:txPr>
          <a:bodyPr rot="-5400000" vert="horz"/>
          <a:lstStyle/>
          <a:p>
            <a:pPr>
              <a:defRPr/>
            </a:pPr>
            <a:endParaRPr lang="en-US"/>
          </a:p>
        </c:txPr>
        <c:crossAx val="131458176"/>
        <c:crosses val="autoZero"/>
        <c:auto val="1"/>
        <c:lblAlgn val="ctr"/>
        <c:lblOffset val="100"/>
        <c:noMultiLvlLbl val="0"/>
      </c:catAx>
      <c:valAx>
        <c:axId val="131458176"/>
        <c:scaling>
          <c:orientation val="minMax"/>
        </c:scaling>
        <c:delete val="0"/>
        <c:axPos val="l"/>
        <c:majorGridlines/>
        <c:title>
          <c:tx>
            <c:rich>
              <a:bodyPr/>
              <a:lstStyle/>
              <a:p>
                <a:pPr>
                  <a:defRPr/>
                </a:pPr>
                <a:r>
                  <a:rPr lang="en-AU"/>
                  <a:t>Average total</a:t>
                </a:r>
                <a:r>
                  <a:rPr lang="en-AU" baseline="0"/>
                  <a:t> claim cost $'000</a:t>
                </a:r>
                <a:endParaRPr lang="en-AU"/>
              </a:p>
            </c:rich>
          </c:tx>
          <c:overlay val="0"/>
        </c:title>
        <c:numFmt formatCode="0.0" sourceLinked="1"/>
        <c:majorTickMark val="none"/>
        <c:minorTickMark val="none"/>
        <c:tickLblPos val="nextTo"/>
        <c:crossAx val="131435520"/>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Summary!$D$9</c:f>
              <c:strCache>
                <c:ptCount val="1"/>
                <c:pt idx="0">
                  <c:v>Aus Gov</c:v>
                </c:pt>
              </c:strCache>
            </c:strRef>
          </c:tx>
          <c:spPr>
            <a:solidFill>
              <a:srgbClr val="00B050"/>
            </a:solidFill>
            <a:ln>
              <a:solidFill>
                <a:schemeClr val="tx1"/>
              </a:solidFill>
            </a:ln>
          </c:spPr>
          <c:invertIfNegative val="0"/>
          <c:dLbls>
            <c:showLegendKey val="0"/>
            <c:showVal val="1"/>
            <c:showCatName val="0"/>
            <c:showSerName val="0"/>
            <c:showPercent val="0"/>
            <c:showBubbleSize val="0"/>
            <c:showLeaderLines val="0"/>
          </c:dLbls>
          <c:cat>
            <c:strRef>
              <c:f>Summary!$E$8:$I$8</c:f>
              <c:strCache>
                <c:ptCount val="5"/>
                <c:pt idx="0">
                  <c:v>2007-08</c:v>
                </c:pt>
                <c:pt idx="1">
                  <c:v>2008-09</c:v>
                </c:pt>
                <c:pt idx="2">
                  <c:v>2009-10</c:v>
                </c:pt>
                <c:pt idx="3">
                  <c:v>2010-11</c:v>
                </c:pt>
                <c:pt idx="4">
                  <c:v>2011-12</c:v>
                </c:pt>
              </c:strCache>
            </c:strRef>
          </c:cat>
          <c:val>
            <c:numRef>
              <c:f>Summary!$E$9:$I$9</c:f>
              <c:numCache>
                <c:formatCode>0</c:formatCode>
                <c:ptCount val="5"/>
                <c:pt idx="0">
                  <c:v>70</c:v>
                </c:pt>
                <c:pt idx="1">
                  <c:v>75</c:v>
                </c:pt>
                <c:pt idx="2">
                  <c:v>72</c:v>
                </c:pt>
                <c:pt idx="3">
                  <c:v>83</c:v>
                </c:pt>
                <c:pt idx="4">
                  <c:v>78</c:v>
                </c:pt>
              </c:numCache>
            </c:numRef>
          </c:val>
        </c:ser>
        <c:ser>
          <c:idx val="1"/>
          <c:order val="1"/>
          <c:tx>
            <c:strRef>
              <c:f>Summary!$D$10</c:f>
              <c:strCache>
                <c:ptCount val="1"/>
                <c:pt idx="0">
                  <c:v>Licensee</c:v>
                </c:pt>
              </c:strCache>
            </c:strRef>
          </c:tx>
          <c:spPr>
            <a:solidFill>
              <a:srgbClr val="0000FF"/>
            </a:solidFill>
            <a:ln>
              <a:solidFill>
                <a:schemeClr val="tx1"/>
              </a:solidFill>
            </a:ln>
          </c:spPr>
          <c:invertIfNegative val="0"/>
          <c:dLbls>
            <c:showLegendKey val="0"/>
            <c:showVal val="1"/>
            <c:showCatName val="0"/>
            <c:showSerName val="0"/>
            <c:showPercent val="0"/>
            <c:showBubbleSize val="0"/>
            <c:showLeaderLines val="0"/>
          </c:dLbls>
          <c:cat>
            <c:strRef>
              <c:f>Summary!$E$8:$I$8</c:f>
              <c:strCache>
                <c:ptCount val="5"/>
                <c:pt idx="0">
                  <c:v>2007-08</c:v>
                </c:pt>
                <c:pt idx="1">
                  <c:v>2008-09</c:v>
                </c:pt>
                <c:pt idx="2">
                  <c:v>2009-10</c:v>
                </c:pt>
                <c:pt idx="3">
                  <c:v>2010-11</c:v>
                </c:pt>
                <c:pt idx="4">
                  <c:v>2011-12</c:v>
                </c:pt>
              </c:strCache>
            </c:strRef>
          </c:cat>
          <c:val>
            <c:numRef>
              <c:f>Summary!$E$10:$I$10</c:f>
              <c:numCache>
                <c:formatCode>0</c:formatCode>
                <c:ptCount val="5"/>
                <c:pt idx="0">
                  <c:v>29</c:v>
                </c:pt>
                <c:pt idx="1">
                  <c:v>35</c:v>
                </c:pt>
                <c:pt idx="2">
                  <c:v>33.5</c:v>
                </c:pt>
                <c:pt idx="3">
                  <c:v>41</c:v>
                </c:pt>
                <c:pt idx="4">
                  <c:v>45</c:v>
                </c:pt>
              </c:numCache>
            </c:numRef>
          </c:val>
        </c:ser>
        <c:dLbls>
          <c:showLegendKey val="0"/>
          <c:showVal val="0"/>
          <c:showCatName val="0"/>
          <c:showSerName val="0"/>
          <c:showPercent val="0"/>
          <c:showBubbleSize val="0"/>
        </c:dLbls>
        <c:gapWidth val="150"/>
        <c:axId val="131828352"/>
        <c:axId val="132055808"/>
      </c:barChart>
      <c:catAx>
        <c:axId val="131828352"/>
        <c:scaling>
          <c:orientation val="minMax"/>
        </c:scaling>
        <c:delete val="0"/>
        <c:axPos val="b"/>
        <c:title>
          <c:tx>
            <c:rich>
              <a:bodyPr/>
              <a:lstStyle/>
              <a:p>
                <a:pPr>
                  <a:defRPr/>
                </a:pPr>
                <a:r>
                  <a:rPr lang="en-AU"/>
                  <a:t>Financial Year</a:t>
                </a:r>
              </a:p>
            </c:rich>
          </c:tx>
          <c:overlay val="0"/>
        </c:title>
        <c:numFmt formatCode="@" sourceLinked="1"/>
        <c:majorTickMark val="none"/>
        <c:minorTickMark val="none"/>
        <c:tickLblPos val="nextTo"/>
        <c:crossAx val="132055808"/>
        <c:crosses val="autoZero"/>
        <c:auto val="1"/>
        <c:lblAlgn val="ctr"/>
        <c:lblOffset val="100"/>
        <c:noMultiLvlLbl val="0"/>
      </c:catAx>
      <c:valAx>
        <c:axId val="132055808"/>
        <c:scaling>
          <c:orientation val="minMax"/>
        </c:scaling>
        <c:delete val="0"/>
        <c:axPos val="l"/>
        <c:majorGridlines/>
        <c:title>
          <c:tx>
            <c:rich>
              <a:bodyPr rot="-5400000" vert="horz"/>
              <a:lstStyle/>
              <a:p>
                <a:pPr>
                  <a:defRPr/>
                </a:pPr>
                <a:r>
                  <a:rPr lang="en-AU"/>
                  <a:t>Median</a:t>
                </a:r>
                <a:r>
                  <a:rPr lang="en-AU" baseline="0"/>
                  <a:t> Days</a:t>
                </a:r>
                <a:endParaRPr lang="en-AU"/>
              </a:p>
            </c:rich>
          </c:tx>
          <c:overlay val="0"/>
        </c:title>
        <c:numFmt formatCode="0" sourceLinked="1"/>
        <c:majorTickMark val="out"/>
        <c:minorTickMark val="none"/>
        <c:tickLblPos val="nextTo"/>
        <c:crossAx val="131828352"/>
        <c:crosses val="autoZero"/>
        <c:crossBetween val="between"/>
      </c:valAx>
    </c:plotArea>
    <c:legend>
      <c:legendPos val="r"/>
      <c:layout>
        <c:manualLayout>
          <c:xMode val="edge"/>
          <c:yMode val="edge"/>
          <c:x val="0.86526763502126636"/>
          <c:y val="0.38474178658702146"/>
          <c:w val="0.11478999425980238"/>
          <c:h val="0.16627966331794733"/>
        </c:manualLayout>
      </c:layout>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APS Agencies</c:v>
                </c:pt>
              </c:strCache>
            </c:strRef>
          </c:tx>
          <c:spPr>
            <a:solidFill>
              <a:srgbClr val="00B050"/>
            </a:solidFill>
            <a:ln>
              <a:solidFill>
                <a:sysClr val="windowText" lastClr="000000"/>
              </a:solidFill>
            </a:ln>
          </c:spPr>
          <c:invertIfNegative val="0"/>
          <c:dLbls>
            <c:showLegendKey val="0"/>
            <c:showVal val="1"/>
            <c:showCatName val="0"/>
            <c:showSerName val="0"/>
            <c:showPercent val="0"/>
            <c:showBubbleSize val="0"/>
            <c:showLeaderLines val="0"/>
          </c:dLbls>
          <c:cat>
            <c:numRef>
              <c:f>'Sheet1'!$A$2:$A$6</c:f>
              <c:numCache>
                <c:formatCode>General</c:formatCode>
                <c:ptCount val="5"/>
                <c:pt idx="0">
                  <c:v>2007</c:v>
                </c:pt>
                <c:pt idx="1">
                  <c:v>2008</c:v>
                </c:pt>
                <c:pt idx="2">
                  <c:v>2009</c:v>
                </c:pt>
                <c:pt idx="3">
                  <c:v>2010</c:v>
                </c:pt>
                <c:pt idx="4">
                  <c:v>2011</c:v>
                </c:pt>
              </c:numCache>
            </c:numRef>
          </c:cat>
          <c:val>
            <c:numRef>
              <c:f>'Sheet1'!$B$2:$B$6</c:f>
              <c:numCache>
                <c:formatCode>General</c:formatCode>
                <c:ptCount val="5"/>
                <c:pt idx="0">
                  <c:v>60</c:v>
                </c:pt>
                <c:pt idx="1">
                  <c:v>59</c:v>
                </c:pt>
                <c:pt idx="2">
                  <c:v>62</c:v>
                </c:pt>
                <c:pt idx="3">
                  <c:v>55</c:v>
                </c:pt>
                <c:pt idx="4">
                  <c:v>59</c:v>
                </c:pt>
              </c:numCache>
            </c:numRef>
          </c:val>
        </c:ser>
        <c:ser>
          <c:idx val="1"/>
          <c:order val="1"/>
          <c:tx>
            <c:strRef>
              <c:f>'Sheet1'!$C$1</c:f>
              <c:strCache>
                <c:ptCount val="1"/>
                <c:pt idx="0">
                  <c:v>Licensees</c:v>
                </c:pt>
              </c:strCache>
            </c:strRef>
          </c:tx>
          <c:spPr>
            <a:solidFill>
              <a:srgbClr val="0000FF"/>
            </a:solidFill>
            <a:ln>
              <a:solidFill>
                <a:sysClr val="windowText" lastClr="000000"/>
              </a:solidFill>
            </a:ln>
          </c:spPr>
          <c:invertIfNegative val="0"/>
          <c:dLbls>
            <c:showLegendKey val="0"/>
            <c:showVal val="1"/>
            <c:showCatName val="0"/>
            <c:showSerName val="0"/>
            <c:showPercent val="0"/>
            <c:showBubbleSize val="0"/>
            <c:showLeaderLines val="0"/>
          </c:dLbls>
          <c:cat>
            <c:numRef>
              <c:f>'Sheet1'!$A$2:$A$6</c:f>
              <c:numCache>
                <c:formatCode>General</c:formatCode>
                <c:ptCount val="5"/>
                <c:pt idx="0">
                  <c:v>2007</c:v>
                </c:pt>
                <c:pt idx="1">
                  <c:v>2008</c:v>
                </c:pt>
                <c:pt idx="2">
                  <c:v>2009</c:v>
                </c:pt>
                <c:pt idx="3">
                  <c:v>2010</c:v>
                </c:pt>
                <c:pt idx="4">
                  <c:v>2011</c:v>
                </c:pt>
              </c:numCache>
            </c:numRef>
          </c:cat>
          <c:val>
            <c:numRef>
              <c:f>'Sheet1'!$C$2:$C$6</c:f>
              <c:numCache>
                <c:formatCode>General</c:formatCode>
                <c:ptCount val="5"/>
                <c:pt idx="0">
                  <c:v>83</c:v>
                </c:pt>
                <c:pt idx="1">
                  <c:v>91</c:v>
                </c:pt>
                <c:pt idx="2">
                  <c:v>91</c:v>
                </c:pt>
                <c:pt idx="3">
                  <c:v>89</c:v>
                </c:pt>
                <c:pt idx="4">
                  <c:v>80</c:v>
                </c:pt>
              </c:numCache>
            </c:numRef>
          </c:val>
        </c:ser>
        <c:dLbls>
          <c:showLegendKey val="0"/>
          <c:showVal val="0"/>
          <c:showCatName val="0"/>
          <c:showSerName val="0"/>
          <c:showPercent val="0"/>
          <c:showBubbleSize val="0"/>
        </c:dLbls>
        <c:gapWidth val="300"/>
        <c:axId val="132078976"/>
        <c:axId val="132085248"/>
      </c:barChart>
      <c:catAx>
        <c:axId val="132078976"/>
        <c:scaling>
          <c:orientation val="minMax"/>
        </c:scaling>
        <c:delete val="0"/>
        <c:axPos val="b"/>
        <c:title>
          <c:tx>
            <c:rich>
              <a:bodyPr/>
              <a:lstStyle/>
              <a:p>
                <a:pPr>
                  <a:defRPr/>
                </a:pPr>
                <a:r>
                  <a:rPr lang="en-AU"/>
                  <a:t>Year</a:t>
                </a:r>
              </a:p>
            </c:rich>
          </c:tx>
          <c:overlay val="0"/>
        </c:title>
        <c:numFmt formatCode="General" sourceLinked="1"/>
        <c:majorTickMark val="none"/>
        <c:minorTickMark val="none"/>
        <c:tickLblPos val="nextTo"/>
        <c:crossAx val="132085248"/>
        <c:crosses val="autoZero"/>
        <c:auto val="1"/>
        <c:lblAlgn val="ctr"/>
        <c:lblOffset val="100"/>
        <c:noMultiLvlLbl val="0"/>
      </c:catAx>
      <c:valAx>
        <c:axId val="132085248"/>
        <c:scaling>
          <c:orientation val="minMax"/>
        </c:scaling>
        <c:delete val="0"/>
        <c:axPos val="l"/>
        <c:majorGridlines/>
        <c:minorGridlines>
          <c:spPr>
            <a:ln>
              <a:solidFill>
                <a:sysClr val="window" lastClr="FFFFFF"/>
              </a:solidFill>
            </a:ln>
          </c:spPr>
        </c:minorGridlines>
        <c:title>
          <c:tx>
            <c:rich>
              <a:bodyPr/>
              <a:lstStyle/>
              <a:p>
                <a:pPr>
                  <a:defRPr/>
                </a:pPr>
                <a:r>
                  <a:rPr lang="en-AU"/>
                  <a:t>Per</a:t>
                </a:r>
                <a:r>
                  <a:rPr lang="en-AU" baseline="0"/>
                  <a:t>centage of claims</a:t>
                </a:r>
                <a:endParaRPr lang="en-AU"/>
              </a:p>
            </c:rich>
          </c:tx>
          <c:overlay val="0"/>
        </c:title>
        <c:numFmt formatCode="General" sourceLinked="1"/>
        <c:majorTickMark val="out"/>
        <c:minorTickMark val="none"/>
        <c:tickLblPos val="nextTo"/>
        <c:crossAx val="132078976"/>
        <c:crosses val="autoZero"/>
        <c:crossBetween val="between"/>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Premium Payers</c:v>
                </c:pt>
              </c:strCache>
            </c:strRef>
          </c:tx>
          <c:spPr>
            <a:solidFill>
              <a:srgbClr val="00B050"/>
            </a:solidFill>
            <a:ln>
              <a:solidFill>
                <a:sysClr val="windowText" lastClr="000000"/>
              </a:solidFill>
            </a:ln>
          </c:spPr>
          <c:invertIfNegative val="0"/>
          <c:dLbls>
            <c:showLegendKey val="0"/>
            <c:showVal val="1"/>
            <c:showCatName val="0"/>
            <c:showSerName val="0"/>
            <c:showPercent val="0"/>
            <c:showBubbleSize val="0"/>
            <c:showLeaderLines val="0"/>
          </c:dLbls>
          <c:cat>
            <c:strRef>
              <c:f>Sheet1!$A$2:$A$6</c:f>
              <c:strCache>
                <c:ptCount val="5"/>
                <c:pt idx="0">
                  <c:v>2006-07</c:v>
                </c:pt>
                <c:pt idx="1">
                  <c:v>2007-08</c:v>
                </c:pt>
                <c:pt idx="2">
                  <c:v>2008-09</c:v>
                </c:pt>
                <c:pt idx="3">
                  <c:v>2009-10</c:v>
                </c:pt>
                <c:pt idx="4">
                  <c:v>2010-11</c:v>
                </c:pt>
              </c:strCache>
            </c:strRef>
          </c:cat>
          <c:val>
            <c:numRef>
              <c:f>Sheet1!$B$2:$B$6</c:f>
              <c:numCache>
                <c:formatCode>General</c:formatCode>
                <c:ptCount val="5"/>
                <c:pt idx="0">
                  <c:v>92</c:v>
                </c:pt>
                <c:pt idx="1">
                  <c:v>90</c:v>
                </c:pt>
                <c:pt idx="2">
                  <c:v>93</c:v>
                </c:pt>
                <c:pt idx="3">
                  <c:v>91</c:v>
                </c:pt>
                <c:pt idx="4">
                  <c:v>87</c:v>
                </c:pt>
              </c:numCache>
            </c:numRef>
          </c:val>
        </c:ser>
        <c:ser>
          <c:idx val="1"/>
          <c:order val="1"/>
          <c:tx>
            <c:strRef>
              <c:f>Sheet1!$C$1</c:f>
              <c:strCache>
                <c:ptCount val="1"/>
                <c:pt idx="0">
                  <c:v>Licensed Self-insurers</c:v>
                </c:pt>
              </c:strCache>
            </c:strRef>
          </c:tx>
          <c:spPr>
            <a:solidFill>
              <a:srgbClr val="0000FF"/>
            </a:solidFill>
            <a:ln>
              <a:solidFill>
                <a:sysClr val="windowText" lastClr="000000"/>
              </a:solidFill>
            </a:ln>
          </c:spPr>
          <c:invertIfNegative val="0"/>
          <c:dLbls>
            <c:showLegendKey val="0"/>
            <c:showVal val="1"/>
            <c:showCatName val="0"/>
            <c:showSerName val="0"/>
            <c:showPercent val="0"/>
            <c:showBubbleSize val="0"/>
            <c:showLeaderLines val="0"/>
          </c:dLbls>
          <c:cat>
            <c:strRef>
              <c:f>Sheet1!$A$2:$A$6</c:f>
              <c:strCache>
                <c:ptCount val="5"/>
                <c:pt idx="0">
                  <c:v>2006-07</c:v>
                </c:pt>
                <c:pt idx="1">
                  <c:v>2007-08</c:v>
                </c:pt>
                <c:pt idx="2">
                  <c:v>2008-09</c:v>
                </c:pt>
                <c:pt idx="3">
                  <c:v>2009-10</c:v>
                </c:pt>
                <c:pt idx="4">
                  <c:v>2010-11</c:v>
                </c:pt>
              </c:strCache>
            </c:strRef>
          </c:cat>
          <c:val>
            <c:numRef>
              <c:f>Sheet1!$C$2:$C$6</c:f>
              <c:numCache>
                <c:formatCode>General</c:formatCode>
                <c:ptCount val="5"/>
                <c:pt idx="0">
                  <c:v>96</c:v>
                </c:pt>
                <c:pt idx="1">
                  <c:v>99</c:v>
                </c:pt>
                <c:pt idx="2">
                  <c:v>95</c:v>
                </c:pt>
                <c:pt idx="3">
                  <c:v>95</c:v>
                </c:pt>
                <c:pt idx="4">
                  <c:v>96</c:v>
                </c:pt>
              </c:numCache>
            </c:numRef>
          </c:val>
        </c:ser>
        <c:dLbls>
          <c:showLegendKey val="0"/>
          <c:showVal val="0"/>
          <c:showCatName val="0"/>
          <c:showSerName val="0"/>
          <c:showPercent val="0"/>
          <c:showBubbleSize val="0"/>
        </c:dLbls>
        <c:gapWidth val="300"/>
        <c:axId val="133803008"/>
        <c:axId val="134513792"/>
      </c:barChart>
      <c:catAx>
        <c:axId val="133803008"/>
        <c:scaling>
          <c:orientation val="minMax"/>
        </c:scaling>
        <c:delete val="0"/>
        <c:axPos val="b"/>
        <c:title>
          <c:tx>
            <c:rich>
              <a:bodyPr/>
              <a:lstStyle/>
              <a:p>
                <a:pPr>
                  <a:defRPr/>
                </a:pPr>
                <a:r>
                  <a:rPr lang="en-AU"/>
                  <a:t>Financial Year</a:t>
                </a:r>
              </a:p>
            </c:rich>
          </c:tx>
          <c:overlay val="0"/>
        </c:title>
        <c:majorTickMark val="none"/>
        <c:minorTickMark val="none"/>
        <c:tickLblPos val="nextTo"/>
        <c:crossAx val="134513792"/>
        <c:crosses val="autoZero"/>
        <c:auto val="1"/>
        <c:lblAlgn val="ctr"/>
        <c:lblOffset val="100"/>
        <c:noMultiLvlLbl val="0"/>
      </c:catAx>
      <c:valAx>
        <c:axId val="134513792"/>
        <c:scaling>
          <c:orientation val="minMax"/>
        </c:scaling>
        <c:delete val="0"/>
        <c:axPos val="l"/>
        <c:majorGridlines/>
        <c:minorGridlines/>
        <c:title>
          <c:tx>
            <c:rich>
              <a:bodyPr/>
              <a:lstStyle/>
              <a:p>
                <a:pPr>
                  <a:defRPr/>
                </a:pPr>
                <a:r>
                  <a:rPr lang="en-AU"/>
                  <a:t>Percentage</a:t>
                </a:r>
              </a:p>
            </c:rich>
          </c:tx>
          <c:overlay val="0"/>
        </c:title>
        <c:numFmt formatCode="General" sourceLinked="1"/>
        <c:majorTickMark val="out"/>
        <c:minorTickMark val="none"/>
        <c:tickLblPos val="nextTo"/>
        <c:crossAx val="133803008"/>
        <c:crosses val="autoZero"/>
        <c:crossBetween val="between"/>
      </c:valAx>
    </c:plotArea>
    <c:legend>
      <c:legendPos val="r"/>
      <c:overlay val="0"/>
    </c:legend>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0.67917</cdr:x>
      <cdr:y>0.48611</cdr:y>
    </cdr:from>
    <cdr:to>
      <cdr:x>0.78542</cdr:x>
      <cdr:y>0.58333</cdr:y>
    </cdr:to>
    <cdr:sp macro="" textlink="">
      <cdr:nvSpPr>
        <cdr:cNvPr id="2" name="TextBox 1"/>
        <cdr:cNvSpPr txBox="1"/>
      </cdr:nvSpPr>
      <cdr:spPr>
        <a:xfrm xmlns:a="http://schemas.openxmlformats.org/drawingml/2006/main">
          <a:off x="3105150" y="1333501"/>
          <a:ext cx="485775" cy="266700"/>
        </a:xfrm>
        <a:prstGeom xmlns:a="http://schemas.openxmlformats.org/drawingml/2006/main" prst="rect">
          <a:avLst/>
        </a:prstGeom>
      </cdr:spPr>
      <cdr:txBody>
        <a:bodyPr xmlns:a="http://schemas.openxmlformats.org/drawingml/2006/main" vertOverflow="clip" wrap="square" rtlCol="0" anchor="ctr" anchorCtr="1"/>
        <a:lstStyle xmlns:a="http://schemas.openxmlformats.org/drawingml/2006/main"/>
        <a:p xmlns:a="http://schemas.openxmlformats.org/drawingml/2006/main">
          <a:r>
            <a:rPr lang="en-AU" sz="1000"/>
            <a:t>54%</a:t>
          </a:r>
        </a:p>
        <a:p xmlns:a="http://schemas.openxmlformats.org/drawingml/2006/main">
          <a:endParaRPr lang="en-AU" sz="1100"/>
        </a:p>
      </cdr:txBody>
    </cdr:sp>
  </cdr:relSizeAnchor>
  <cdr:relSizeAnchor xmlns:cdr="http://schemas.openxmlformats.org/drawingml/2006/chartDrawing">
    <cdr:from>
      <cdr:x>0.15209</cdr:x>
      <cdr:y>0.21875</cdr:y>
    </cdr:from>
    <cdr:to>
      <cdr:x>0.25834</cdr:x>
      <cdr:y>0.31597</cdr:y>
    </cdr:to>
    <cdr:sp macro="" textlink="">
      <cdr:nvSpPr>
        <cdr:cNvPr id="3" name="TextBox 1"/>
        <cdr:cNvSpPr txBox="1"/>
      </cdr:nvSpPr>
      <cdr:spPr>
        <a:xfrm xmlns:a="http://schemas.openxmlformats.org/drawingml/2006/main">
          <a:off x="695340" y="600075"/>
          <a:ext cx="485775" cy="266694"/>
        </a:xfrm>
        <a:prstGeom xmlns:a="http://schemas.openxmlformats.org/drawingml/2006/main" prst="rect">
          <a:avLst/>
        </a:prstGeom>
      </cdr:spPr>
      <cdr:txBody>
        <a:bodyPr xmlns:a="http://schemas.openxmlformats.org/drawingml/2006/main" wrap="square" rtlCol="0" anchor="ctr" anchorCtr="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AU" sz="1000">
              <a:latin typeface="+mn-lt"/>
            </a:rPr>
            <a:t>39%</a:t>
          </a:r>
        </a:p>
        <a:p xmlns:a="http://schemas.openxmlformats.org/drawingml/2006/main">
          <a:endParaRPr lang="en-AU" sz="1100"/>
        </a:p>
      </cdr:txBody>
    </cdr:sp>
  </cdr:relSizeAnchor>
  <cdr:relSizeAnchor xmlns:cdr="http://schemas.openxmlformats.org/drawingml/2006/chartDrawing">
    <cdr:from>
      <cdr:x>0.14375</cdr:x>
      <cdr:y>0.54166</cdr:y>
    </cdr:from>
    <cdr:to>
      <cdr:x>0.25</cdr:x>
      <cdr:y>0.63889</cdr:y>
    </cdr:to>
    <cdr:sp macro="" textlink="">
      <cdr:nvSpPr>
        <cdr:cNvPr id="4" name="TextBox 1"/>
        <cdr:cNvSpPr txBox="1"/>
      </cdr:nvSpPr>
      <cdr:spPr>
        <a:xfrm xmlns:a="http://schemas.openxmlformats.org/drawingml/2006/main">
          <a:off x="657210" y="1485888"/>
          <a:ext cx="485775" cy="266721"/>
        </a:xfrm>
        <a:prstGeom xmlns:a="http://schemas.openxmlformats.org/drawingml/2006/main" prst="rect">
          <a:avLst/>
        </a:prstGeom>
      </cdr:spPr>
      <cdr:txBody>
        <a:bodyPr xmlns:a="http://schemas.openxmlformats.org/drawingml/2006/main" wrap="square" rtlCol="0" anchor="ctr" anchorCtr="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AU" sz="1000" baseline="0">
              <a:solidFill>
                <a:schemeClr val="bg1"/>
              </a:solidFill>
              <a:latin typeface="+mn-lt"/>
            </a:rPr>
            <a:t>61%</a:t>
          </a:r>
        </a:p>
        <a:p xmlns:a="http://schemas.openxmlformats.org/drawingml/2006/main">
          <a:endParaRPr lang="en-AU" sz="1100"/>
        </a:p>
      </cdr:txBody>
    </cdr:sp>
  </cdr:relSizeAnchor>
  <cdr:relSizeAnchor xmlns:cdr="http://schemas.openxmlformats.org/drawingml/2006/chartDrawing">
    <cdr:from>
      <cdr:x>0.27708</cdr:x>
      <cdr:y>0.43403</cdr:y>
    </cdr:from>
    <cdr:to>
      <cdr:x>0.38333</cdr:x>
      <cdr:y>0.53125</cdr:y>
    </cdr:to>
    <cdr:sp macro="" textlink="">
      <cdr:nvSpPr>
        <cdr:cNvPr id="5" name="TextBox 1"/>
        <cdr:cNvSpPr txBox="1"/>
      </cdr:nvSpPr>
      <cdr:spPr>
        <a:xfrm xmlns:a="http://schemas.openxmlformats.org/drawingml/2006/main">
          <a:off x="1266825" y="1190625"/>
          <a:ext cx="485775" cy="266700"/>
        </a:xfrm>
        <a:prstGeom xmlns:a="http://schemas.openxmlformats.org/drawingml/2006/main" prst="rect">
          <a:avLst/>
        </a:prstGeom>
      </cdr:spPr>
      <cdr:txBody>
        <a:bodyPr xmlns:a="http://schemas.openxmlformats.org/drawingml/2006/main" wrap="square" rtlCol="0" anchor="ctr" anchorCtr="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AU" sz="1000"/>
            <a:t>36%</a:t>
          </a:r>
        </a:p>
        <a:p xmlns:a="http://schemas.openxmlformats.org/drawingml/2006/main">
          <a:endParaRPr lang="en-AU" sz="1100"/>
        </a:p>
      </cdr:txBody>
    </cdr:sp>
  </cdr:relSizeAnchor>
  <cdr:relSizeAnchor xmlns:cdr="http://schemas.openxmlformats.org/drawingml/2006/chartDrawing">
    <cdr:from>
      <cdr:x>0.27916</cdr:x>
      <cdr:y>0.61111</cdr:y>
    </cdr:from>
    <cdr:to>
      <cdr:x>0.38541</cdr:x>
      <cdr:y>0.70834</cdr:y>
    </cdr:to>
    <cdr:sp macro="" textlink="">
      <cdr:nvSpPr>
        <cdr:cNvPr id="6" name="TextBox 1"/>
        <cdr:cNvSpPr txBox="1"/>
      </cdr:nvSpPr>
      <cdr:spPr>
        <a:xfrm xmlns:a="http://schemas.openxmlformats.org/drawingml/2006/main">
          <a:off x="1276335" y="1676391"/>
          <a:ext cx="485775" cy="266721"/>
        </a:xfrm>
        <a:prstGeom xmlns:a="http://schemas.openxmlformats.org/drawingml/2006/main" prst="rect">
          <a:avLst/>
        </a:prstGeom>
      </cdr:spPr>
      <cdr:txBody>
        <a:bodyPr xmlns:a="http://schemas.openxmlformats.org/drawingml/2006/main" wrap="square" rtlCol="0" anchor="ctr" anchorCtr="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AU" sz="1000">
              <a:solidFill>
                <a:schemeClr val="bg1"/>
              </a:solidFill>
              <a:latin typeface="+mn-lt"/>
            </a:rPr>
            <a:t>64%</a:t>
          </a:r>
        </a:p>
        <a:p xmlns:a="http://schemas.openxmlformats.org/drawingml/2006/main">
          <a:endParaRPr lang="en-AU" sz="1100"/>
        </a:p>
      </cdr:txBody>
    </cdr:sp>
  </cdr:relSizeAnchor>
  <cdr:relSizeAnchor xmlns:cdr="http://schemas.openxmlformats.org/drawingml/2006/chartDrawing">
    <cdr:from>
      <cdr:x>0.41667</cdr:x>
      <cdr:y>0.47917</cdr:y>
    </cdr:from>
    <cdr:to>
      <cdr:x>0.52292</cdr:x>
      <cdr:y>0.57639</cdr:y>
    </cdr:to>
    <cdr:sp macro="" textlink="">
      <cdr:nvSpPr>
        <cdr:cNvPr id="7" name="TextBox 1"/>
        <cdr:cNvSpPr txBox="1"/>
      </cdr:nvSpPr>
      <cdr:spPr>
        <a:xfrm xmlns:a="http://schemas.openxmlformats.org/drawingml/2006/main">
          <a:off x="1905000" y="1314459"/>
          <a:ext cx="485775" cy="266694"/>
        </a:xfrm>
        <a:prstGeom xmlns:a="http://schemas.openxmlformats.org/drawingml/2006/main" prst="rect">
          <a:avLst/>
        </a:prstGeom>
      </cdr:spPr>
      <cdr:txBody>
        <a:bodyPr xmlns:a="http://schemas.openxmlformats.org/drawingml/2006/main" wrap="square" rtlCol="0" anchor="ctr" anchorCtr="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AU" sz="1000">
              <a:latin typeface="+mn-lt"/>
            </a:rPr>
            <a:t>50%</a:t>
          </a:r>
        </a:p>
        <a:p xmlns:a="http://schemas.openxmlformats.org/drawingml/2006/main">
          <a:endParaRPr lang="en-AU" sz="1100"/>
        </a:p>
      </cdr:txBody>
    </cdr:sp>
  </cdr:relSizeAnchor>
  <cdr:relSizeAnchor xmlns:cdr="http://schemas.openxmlformats.org/drawingml/2006/chartDrawing">
    <cdr:from>
      <cdr:x>0.41667</cdr:x>
      <cdr:y>0.65625</cdr:y>
    </cdr:from>
    <cdr:to>
      <cdr:x>0.52292</cdr:x>
      <cdr:y>0.75347</cdr:y>
    </cdr:to>
    <cdr:sp macro="" textlink="">
      <cdr:nvSpPr>
        <cdr:cNvPr id="8" name="TextBox 1"/>
        <cdr:cNvSpPr txBox="1"/>
      </cdr:nvSpPr>
      <cdr:spPr>
        <a:xfrm xmlns:a="http://schemas.openxmlformats.org/drawingml/2006/main">
          <a:off x="1905000" y="1800237"/>
          <a:ext cx="485775" cy="266694"/>
        </a:xfrm>
        <a:prstGeom xmlns:a="http://schemas.openxmlformats.org/drawingml/2006/main" prst="rect">
          <a:avLst/>
        </a:prstGeom>
      </cdr:spPr>
      <cdr:txBody>
        <a:bodyPr xmlns:a="http://schemas.openxmlformats.org/drawingml/2006/main" wrap="square" rtlCol="0" anchor="ctr" anchorCtr="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AU" sz="1000" baseline="0">
              <a:solidFill>
                <a:schemeClr val="bg1"/>
              </a:solidFill>
              <a:latin typeface="+mn-lt"/>
            </a:rPr>
            <a:t>50%</a:t>
          </a:r>
        </a:p>
        <a:p xmlns:a="http://schemas.openxmlformats.org/drawingml/2006/main">
          <a:endParaRPr lang="en-AU" sz="1100"/>
        </a:p>
      </cdr:txBody>
    </cdr:sp>
  </cdr:relSizeAnchor>
  <cdr:relSizeAnchor xmlns:cdr="http://schemas.openxmlformats.org/drawingml/2006/chartDrawing">
    <cdr:from>
      <cdr:x>0.54167</cdr:x>
      <cdr:y>0.5</cdr:y>
    </cdr:from>
    <cdr:to>
      <cdr:x>0.64792</cdr:x>
      <cdr:y>0.59722</cdr:y>
    </cdr:to>
    <cdr:sp macro="" textlink="">
      <cdr:nvSpPr>
        <cdr:cNvPr id="9" name="TextBox 1"/>
        <cdr:cNvSpPr txBox="1"/>
      </cdr:nvSpPr>
      <cdr:spPr>
        <a:xfrm xmlns:a="http://schemas.openxmlformats.org/drawingml/2006/main">
          <a:off x="2476500" y="1371600"/>
          <a:ext cx="485775" cy="266700"/>
        </a:xfrm>
        <a:prstGeom xmlns:a="http://schemas.openxmlformats.org/drawingml/2006/main" prst="rect">
          <a:avLst/>
        </a:prstGeom>
      </cdr:spPr>
      <cdr:txBody>
        <a:bodyPr xmlns:a="http://schemas.openxmlformats.org/drawingml/2006/main" wrap="square" rtlCol="0" anchor="ctr" anchorCtr="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AU" sz="1000">
              <a:latin typeface="+mn-lt"/>
            </a:rPr>
            <a:t>48%</a:t>
          </a:r>
        </a:p>
        <a:p xmlns:a="http://schemas.openxmlformats.org/drawingml/2006/main">
          <a:endParaRPr lang="en-AU" sz="1100"/>
        </a:p>
      </cdr:txBody>
    </cdr:sp>
  </cdr:relSizeAnchor>
  <cdr:relSizeAnchor xmlns:cdr="http://schemas.openxmlformats.org/drawingml/2006/chartDrawing">
    <cdr:from>
      <cdr:x>0.55</cdr:x>
      <cdr:y>0.66319</cdr:y>
    </cdr:from>
    <cdr:to>
      <cdr:x>0.65625</cdr:x>
      <cdr:y>0.76041</cdr:y>
    </cdr:to>
    <cdr:sp macro="" textlink="">
      <cdr:nvSpPr>
        <cdr:cNvPr id="10" name="TextBox 1"/>
        <cdr:cNvSpPr txBox="1"/>
      </cdr:nvSpPr>
      <cdr:spPr>
        <a:xfrm xmlns:a="http://schemas.openxmlformats.org/drawingml/2006/main">
          <a:off x="2514600" y="1819269"/>
          <a:ext cx="485775" cy="266694"/>
        </a:xfrm>
        <a:prstGeom xmlns:a="http://schemas.openxmlformats.org/drawingml/2006/main" prst="rect">
          <a:avLst/>
        </a:prstGeom>
      </cdr:spPr>
      <cdr:txBody>
        <a:bodyPr xmlns:a="http://schemas.openxmlformats.org/drawingml/2006/main" wrap="square" rtlCol="0" anchor="ctr" anchorCtr="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AU" sz="1000">
              <a:solidFill>
                <a:schemeClr val="bg1"/>
              </a:solidFill>
              <a:latin typeface="+mn-lt"/>
            </a:rPr>
            <a:t>52%</a:t>
          </a:r>
        </a:p>
        <a:p xmlns:a="http://schemas.openxmlformats.org/drawingml/2006/main">
          <a:endParaRPr lang="en-AU" sz="1100"/>
        </a:p>
      </cdr:txBody>
    </cdr:sp>
  </cdr:relSizeAnchor>
  <cdr:relSizeAnchor xmlns:cdr="http://schemas.openxmlformats.org/drawingml/2006/chartDrawing">
    <cdr:from>
      <cdr:x>0.6875</cdr:x>
      <cdr:y>0.66666</cdr:y>
    </cdr:from>
    <cdr:to>
      <cdr:x>0.79375</cdr:x>
      <cdr:y>0.76388</cdr:y>
    </cdr:to>
    <cdr:sp macro="" textlink="">
      <cdr:nvSpPr>
        <cdr:cNvPr id="11" name="TextBox 1"/>
        <cdr:cNvSpPr txBox="1"/>
      </cdr:nvSpPr>
      <cdr:spPr>
        <a:xfrm xmlns:a="http://schemas.openxmlformats.org/drawingml/2006/main">
          <a:off x="3143235" y="1828794"/>
          <a:ext cx="485775" cy="266694"/>
        </a:xfrm>
        <a:prstGeom xmlns:a="http://schemas.openxmlformats.org/drawingml/2006/main" prst="rect">
          <a:avLst/>
        </a:prstGeom>
      </cdr:spPr>
      <cdr:txBody>
        <a:bodyPr xmlns:a="http://schemas.openxmlformats.org/drawingml/2006/main" wrap="square" rtlCol="0" anchor="ctr" anchorCtr="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AU" sz="1000">
              <a:solidFill>
                <a:schemeClr val="bg1"/>
              </a:solidFill>
              <a:latin typeface="+mn-lt"/>
            </a:rPr>
            <a:t>46%</a:t>
          </a:r>
        </a:p>
        <a:p xmlns:a="http://schemas.openxmlformats.org/drawingml/2006/main">
          <a:endParaRPr lang="en-AU" sz="1100"/>
        </a:p>
      </cdr:txBody>
    </cdr:sp>
  </cdr:relSizeAnchor>
</c:userShapes>
</file>

<file path=word/drawings/drawing2.xml><?xml version="1.0" encoding="utf-8"?>
<c:userShapes xmlns:c="http://schemas.openxmlformats.org/drawingml/2006/chart">
  <cdr:relSizeAnchor xmlns:cdr="http://schemas.openxmlformats.org/drawingml/2006/chartDrawing">
    <cdr:from>
      <cdr:x>0.70917</cdr:x>
      <cdr:y>0.27256</cdr:y>
    </cdr:from>
    <cdr:to>
      <cdr:x>1</cdr:x>
      <cdr:y>0.54512</cdr:y>
    </cdr:to>
    <cdr:sp macro="" textlink="">
      <cdr:nvSpPr>
        <cdr:cNvPr id="2" name="Text Box 1" title="Graph key"/>
        <cdr:cNvSpPr txBox="1"/>
      </cdr:nvSpPr>
      <cdr:spPr>
        <a:xfrm xmlns:a="http://schemas.openxmlformats.org/drawingml/2006/main">
          <a:off x="4067175" y="838200"/>
          <a:ext cx="1666875" cy="8382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spcAft>
              <a:spcPts val="600"/>
            </a:spcAft>
          </a:pPr>
          <a:r>
            <a:rPr lang="en-AU" sz="1000"/>
            <a:t>Premium payers (incl. ACT Govt)</a:t>
          </a:r>
        </a:p>
        <a:p xmlns:a="http://schemas.openxmlformats.org/drawingml/2006/main">
          <a:r>
            <a:rPr lang="en-AU" sz="1000"/>
            <a:t>Comcare Scheme</a:t>
          </a:r>
        </a:p>
        <a:p xmlns:a="http://schemas.openxmlformats.org/drawingml/2006/main">
          <a:r>
            <a:rPr lang="en-AU" sz="1000"/>
            <a:t>Licensed</a:t>
          </a:r>
          <a:r>
            <a:rPr lang="en-AU" sz="1000" baseline="0"/>
            <a:t> Self-insurers</a:t>
          </a:r>
          <a:endParaRPr lang="en-AU" sz="1000"/>
        </a:p>
      </cdr:txBody>
    </cdr:sp>
  </cdr:relSizeAnchor>
  <cdr:relSizeAnchor xmlns:cdr="http://schemas.openxmlformats.org/drawingml/2006/chartDrawing">
    <cdr:from>
      <cdr:x>0.66475</cdr:x>
      <cdr:y>0.31902</cdr:y>
    </cdr:from>
    <cdr:to>
      <cdr:x>0.71128</cdr:x>
      <cdr:y>0.31902</cdr:y>
    </cdr:to>
    <cdr:cxnSp macro="">
      <cdr:nvCxnSpPr>
        <cdr:cNvPr id="4" name="Straight Connector 3" descr="Purple line - premium payers (including ACT Government)" title="Chart key"/>
        <cdr:cNvCxnSpPr/>
      </cdr:nvCxnSpPr>
      <cdr:spPr>
        <a:xfrm xmlns:a="http://schemas.openxmlformats.org/drawingml/2006/main">
          <a:off x="3810000" y="981075"/>
          <a:ext cx="266700" cy="0"/>
        </a:xfrm>
        <a:prstGeom xmlns:a="http://schemas.openxmlformats.org/drawingml/2006/main" prst="line">
          <a:avLst/>
        </a:prstGeom>
        <a:ln xmlns:a="http://schemas.openxmlformats.org/drawingml/2006/main" w="25400">
          <a:solidFill>
            <a:srgbClr val="09136D"/>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0.66696</cdr:x>
      <cdr:y>0.44394</cdr:y>
    </cdr:from>
    <cdr:to>
      <cdr:x>0.71349</cdr:x>
      <cdr:y>0.44394</cdr:y>
    </cdr:to>
    <cdr:cxnSp macro="">
      <cdr:nvCxnSpPr>
        <cdr:cNvPr id="5" name="Straight Connector 4" descr="green line - Comcare Scheme" title="chart key"/>
        <cdr:cNvCxnSpPr/>
      </cdr:nvCxnSpPr>
      <cdr:spPr>
        <a:xfrm xmlns:a="http://schemas.openxmlformats.org/drawingml/2006/main">
          <a:off x="3822700" y="1365250"/>
          <a:ext cx="266700" cy="0"/>
        </a:xfrm>
        <a:prstGeom xmlns:a="http://schemas.openxmlformats.org/drawingml/2006/main" prst="line">
          <a:avLst/>
        </a:prstGeom>
        <a:ln xmlns:a="http://schemas.openxmlformats.org/drawingml/2006/main" w="25400">
          <a:solidFill>
            <a:srgbClr val="00B05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0.66862</cdr:x>
      <cdr:y>0.49659</cdr:y>
    </cdr:from>
    <cdr:to>
      <cdr:x>0.71516</cdr:x>
      <cdr:y>0.49659</cdr:y>
    </cdr:to>
    <cdr:cxnSp macro="">
      <cdr:nvCxnSpPr>
        <cdr:cNvPr id="6" name="Straight Connector 5" descr="red line - licensed self-insurers&#10;" title="Chart key"/>
        <cdr:cNvCxnSpPr/>
      </cdr:nvCxnSpPr>
      <cdr:spPr>
        <a:xfrm xmlns:a="http://schemas.openxmlformats.org/drawingml/2006/main">
          <a:off x="3832225" y="1527175"/>
          <a:ext cx="266700" cy="0"/>
        </a:xfrm>
        <a:prstGeom xmlns:a="http://schemas.openxmlformats.org/drawingml/2006/main" prst="line">
          <a:avLst/>
        </a:prstGeom>
        <a:ln xmlns:a="http://schemas.openxmlformats.org/drawingml/2006/main" w="2540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0.70297</cdr:x>
      <cdr:y>0.05333</cdr:y>
    </cdr:from>
    <cdr:to>
      <cdr:x>0.99175</cdr:x>
      <cdr:y>0.3241</cdr:y>
    </cdr:to>
    <cdr:sp macro="" textlink="">
      <cdr:nvSpPr>
        <cdr:cNvPr id="2" name="Text Box 1"/>
        <cdr:cNvSpPr txBox="1"/>
      </cdr:nvSpPr>
      <cdr:spPr>
        <a:xfrm xmlns:a="http://schemas.openxmlformats.org/drawingml/2006/main">
          <a:off x="4057650" y="165100"/>
          <a:ext cx="1666875" cy="838200"/>
        </a:xfrm>
        <a:prstGeom xmlns:a="http://schemas.openxmlformats.org/drawingml/2006/main" prst="rect">
          <a:avLst/>
        </a:prstGeom>
      </cdr:spPr>
    </cdr:sp>
  </cdr:relSizeAnchor>
  <cdr:relSizeAnchor xmlns:cdr="http://schemas.openxmlformats.org/drawingml/2006/chartDrawing">
    <cdr:from>
      <cdr:x>0.70769</cdr:x>
      <cdr:y>0.37966</cdr:y>
    </cdr:from>
    <cdr:to>
      <cdr:x>0.7539</cdr:x>
      <cdr:y>0.37966</cdr:y>
    </cdr:to>
    <cdr:cxnSp macro="">
      <cdr:nvCxnSpPr>
        <cdr:cNvPr id="3" name="Straight Connector 2" descr="green line: highest premium rate (agencies with 100 or more employees)&#10;&#10;" title="chart key"/>
        <cdr:cNvCxnSpPr/>
      </cdr:nvCxnSpPr>
      <cdr:spPr>
        <a:xfrm xmlns:a="http://schemas.openxmlformats.org/drawingml/2006/main">
          <a:off x="4084899" y="1175274"/>
          <a:ext cx="266700" cy="0"/>
        </a:xfrm>
        <a:prstGeom xmlns:a="http://schemas.openxmlformats.org/drawingml/2006/main" prst="line">
          <a:avLst/>
        </a:prstGeom>
        <a:ln xmlns:a="http://schemas.openxmlformats.org/drawingml/2006/main" w="25400">
          <a:solidFill>
            <a:schemeClr val="accent3"/>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0.70895</cdr:x>
      <cdr:y>0.52709</cdr:y>
    </cdr:from>
    <cdr:to>
      <cdr:x>0.75515</cdr:x>
      <cdr:y>0.52709</cdr:y>
    </cdr:to>
    <cdr:cxnSp macro="">
      <cdr:nvCxnSpPr>
        <cdr:cNvPr id="4" name="Straight Connector 3" descr="blue line - average premium rate" title="chart key"/>
        <cdr:cNvCxnSpPr/>
      </cdr:nvCxnSpPr>
      <cdr:spPr>
        <a:xfrm xmlns:a="http://schemas.openxmlformats.org/drawingml/2006/main">
          <a:off x="4092156" y="1631670"/>
          <a:ext cx="266700" cy="0"/>
        </a:xfrm>
        <a:prstGeom xmlns:a="http://schemas.openxmlformats.org/drawingml/2006/main" prst="line">
          <a:avLst/>
        </a:prstGeom>
        <a:ln xmlns:a="http://schemas.openxmlformats.org/drawingml/2006/main" w="25400">
          <a:solidFill>
            <a:schemeClr val="accent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0.70737</cdr:x>
      <cdr:y>0.4547</cdr:y>
    </cdr:from>
    <cdr:to>
      <cdr:x>0.75358</cdr:x>
      <cdr:y>0.4547</cdr:y>
    </cdr:to>
    <cdr:cxnSp macro="">
      <cdr:nvCxnSpPr>
        <cdr:cNvPr id="5" name="Straight Connector 4" descr="red line - comcare premium rate" title="chart key"/>
        <cdr:cNvCxnSpPr/>
      </cdr:nvCxnSpPr>
      <cdr:spPr>
        <a:xfrm xmlns:a="http://schemas.openxmlformats.org/drawingml/2006/main">
          <a:off x="4083050" y="1407571"/>
          <a:ext cx="266700" cy="0"/>
        </a:xfrm>
        <a:prstGeom xmlns:a="http://schemas.openxmlformats.org/drawingml/2006/main" prst="line">
          <a:avLst/>
        </a:prstGeom>
        <a:ln xmlns:a="http://schemas.openxmlformats.org/drawingml/2006/main" w="2540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0.74918</cdr:x>
      <cdr:y>0.33846</cdr:y>
    </cdr:from>
    <cdr:to>
      <cdr:x>1</cdr:x>
      <cdr:y>0.72</cdr:y>
    </cdr:to>
    <cdr:sp macro="" textlink="">
      <cdr:nvSpPr>
        <cdr:cNvPr id="6" name="Text Box 5" title="Chart Key"/>
        <cdr:cNvSpPr txBox="1"/>
      </cdr:nvSpPr>
      <cdr:spPr>
        <a:xfrm xmlns:a="http://schemas.openxmlformats.org/drawingml/2006/main">
          <a:off x="4324351" y="1047750"/>
          <a:ext cx="1447799" cy="11811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spcAft>
              <a:spcPts val="600"/>
            </a:spcAft>
          </a:pPr>
          <a:r>
            <a:rPr lang="en-AU" sz="1000"/>
            <a:t>Highest Premium Rate*</a:t>
          </a:r>
        </a:p>
        <a:p xmlns:a="http://schemas.openxmlformats.org/drawingml/2006/main">
          <a:pPr>
            <a:spcAft>
              <a:spcPts val="600"/>
            </a:spcAft>
          </a:pPr>
          <a:r>
            <a:rPr lang="en-AU" sz="1000"/>
            <a:t>Comcare</a:t>
          </a:r>
          <a:r>
            <a:rPr lang="en-AU" sz="1000" baseline="0"/>
            <a:t> Premium rate</a:t>
          </a:r>
        </a:p>
        <a:p xmlns:a="http://schemas.openxmlformats.org/drawingml/2006/main">
          <a:pPr>
            <a:spcAft>
              <a:spcPts val="600"/>
            </a:spcAft>
          </a:pPr>
          <a:r>
            <a:rPr lang="en-AU" sz="1000" baseline="0"/>
            <a:t>Average Premium Rate</a:t>
          </a:r>
        </a:p>
        <a:p xmlns:a="http://schemas.openxmlformats.org/drawingml/2006/main">
          <a:pPr>
            <a:spcAft>
              <a:spcPts val="600"/>
            </a:spcAft>
          </a:pPr>
          <a:r>
            <a:rPr lang="en-AU" sz="1000" baseline="0"/>
            <a:t>Lowest Premium Rate*</a:t>
          </a:r>
          <a:endParaRPr lang="en-AU" sz="1000"/>
        </a:p>
      </cdr:txBody>
    </cdr:sp>
  </cdr:relSizeAnchor>
  <cdr:relSizeAnchor xmlns:cdr="http://schemas.openxmlformats.org/drawingml/2006/chartDrawing">
    <cdr:from>
      <cdr:x>0.7098</cdr:x>
      <cdr:y>0.60009</cdr:y>
    </cdr:from>
    <cdr:to>
      <cdr:x>0.75601</cdr:x>
      <cdr:y>0.60009</cdr:y>
    </cdr:to>
    <cdr:cxnSp macro="">
      <cdr:nvCxnSpPr>
        <cdr:cNvPr id="7" name="Straight Connector 6" descr="purple line - lowest premium rate for agencies with 100 or more employees" title="chart key"/>
        <cdr:cNvCxnSpPr/>
      </cdr:nvCxnSpPr>
      <cdr:spPr>
        <a:xfrm xmlns:a="http://schemas.openxmlformats.org/drawingml/2006/main">
          <a:off x="4097076" y="1857654"/>
          <a:ext cx="266700" cy="0"/>
        </a:xfrm>
        <a:prstGeom xmlns:a="http://schemas.openxmlformats.org/drawingml/2006/main" prst="line">
          <a:avLst/>
        </a:prstGeom>
        <a:ln xmlns:a="http://schemas.openxmlformats.org/drawingml/2006/main" w="25400">
          <a:solidFill>
            <a:schemeClr val="accent4">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5EBA38-12CE-4AE0-885E-B5337D85AE3A}"/>
</file>

<file path=customXml/itemProps2.xml><?xml version="1.0" encoding="utf-8"?>
<ds:datastoreItem xmlns:ds="http://schemas.openxmlformats.org/officeDocument/2006/customXml" ds:itemID="{9377C796-C3C6-4C1E-B710-21DF095620CD}"/>
</file>

<file path=customXml/itemProps3.xml><?xml version="1.0" encoding="utf-8"?>
<ds:datastoreItem xmlns:ds="http://schemas.openxmlformats.org/officeDocument/2006/customXml" ds:itemID="{2CDCEE69-1BA8-4066-8E26-33119759ECDC}"/>
</file>

<file path=customXml/itemProps4.xml><?xml version="1.0" encoding="utf-8"?>
<ds:datastoreItem xmlns:ds="http://schemas.openxmlformats.org/officeDocument/2006/customXml" ds:itemID="{D141FC29-E0D5-4AF4-9E6A-02DBE07F7720}"/>
</file>

<file path=customXml/itemProps5.xml><?xml version="1.0" encoding="utf-8"?>
<ds:datastoreItem xmlns:ds="http://schemas.openxmlformats.org/officeDocument/2006/customXml" ds:itemID="{EB93C977-775D-453C-942A-0CFDA64725F3}"/>
</file>

<file path=docProps/app.xml><?xml version="1.0" encoding="utf-8"?>
<Properties xmlns="http://schemas.openxmlformats.org/officeDocument/2006/extended-properties" xmlns:vt="http://schemas.openxmlformats.org/officeDocument/2006/docPropsVTypes">
  <Template>DCE3F3E9.dotm</Template>
  <TotalTime>1</TotalTime>
  <Pages>112</Pages>
  <Words>37105</Words>
  <Characters>211500</Characters>
  <Application>Microsoft Office Word</Application>
  <DocSecurity>0</DocSecurity>
  <Lines>1762</Lines>
  <Paragraphs>496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248109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SRC Act Review - Dr Hawke's report</dc:title>
  <dc:creator>Seyram Tawia</dc:creator>
  <dc:description>Updated to correct spelling of licence</dc:description>
  <cp:lastModifiedBy>Ruth Hunt</cp:lastModifiedBy>
  <cp:revision>2</cp:revision>
  <cp:lastPrinted>2013-02-20T21:44:00Z</cp:lastPrinted>
  <dcterms:created xsi:type="dcterms:W3CDTF">2013-04-29T06:28:00Z</dcterms:created>
  <dcterms:modified xsi:type="dcterms:W3CDTF">2013-04-29T06:28:00Z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0x0101006F44B46CD48E7D439D0376E9A76A2E31</vt:lpwstr>
  </property>
  <property fmtid="{D5CDD505-2E9C-101B-9397-08002B2CF9AE}" pid="3" name="TemplateUrl">
    <vt:lpwstr/>
  </property>
  <property fmtid="{D5CDD505-2E9C-101B-9397-08002B2CF9AE}" pid="4" name="Order">
    <vt:r8>13000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