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CC"/>
  <w:body>
    <w:p w:rsidR="009E7E55" w:rsidRPr="005946D0" w:rsidRDefault="0001116A" w:rsidP="009E7E55">
      <w:pPr>
        <w:rPr>
          <w:rFonts w:cs="Arial"/>
          <w:sz w:val="20"/>
        </w:rPr>
      </w:pPr>
      <w:bookmarkStart w:id="0" w:name="_GoBack"/>
      <w:bookmarkEnd w:id="0"/>
      <w:r>
        <w:rPr>
          <w:rFonts w:cs="Arial"/>
          <w:noProof/>
          <w:lang w:eastAsia="en-AU"/>
        </w:rPr>
        <w:drawing>
          <wp:anchor distT="0" distB="0" distL="114300" distR="114300" simplePos="0" relativeHeight="251649024" behindDoc="0" locked="0" layoutInCell="0" allowOverlap="1">
            <wp:simplePos x="0" y="0"/>
            <wp:positionH relativeFrom="column">
              <wp:align>left</wp:align>
            </wp:positionH>
            <wp:positionV relativeFrom="paragraph">
              <wp:posOffset>0</wp:posOffset>
            </wp:positionV>
            <wp:extent cx="3190875" cy="733425"/>
            <wp:effectExtent l="19050" t="0" r="9525" b="0"/>
            <wp:wrapSquare wrapText="r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90875" cy="733425"/>
                    </a:xfrm>
                    <a:prstGeom prst="rect">
                      <a:avLst/>
                    </a:prstGeom>
                    <a:noFill/>
                    <a:ln w="9525">
                      <a:noFill/>
                      <a:miter lim="800000"/>
                      <a:headEnd/>
                      <a:tailEnd/>
                    </a:ln>
                  </pic:spPr>
                </pic:pic>
              </a:graphicData>
            </a:graphic>
          </wp:anchor>
        </w:drawing>
      </w:r>
    </w:p>
    <w:p w:rsidR="009E7E55" w:rsidRPr="005946D0" w:rsidRDefault="009E7E55" w:rsidP="009E7E55">
      <w:pPr>
        <w:rPr>
          <w:rFonts w:cs="Arial"/>
          <w:sz w:val="20"/>
        </w:rPr>
      </w:pPr>
    </w:p>
    <w:p w:rsidR="009E7E55" w:rsidRPr="005946D0" w:rsidRDefault="009E7E55" w:rsidP="009E7E55">
      <w:pPr>
        <w:rPr>
          <w:rFonts w:cs="Arial"/>
          <w:sz w:val="20"/>
        </w:rPr>
      </w:pPr>
    </w:p>
    <w:p w:rsidR="009E7E55" w:rsidRPr="005946D0" w:rsidRDefault="009E7E55" w:rsidP="009E7E55">
      <w:pPr>
        <w:rPr>
          <w:rFonts w:cs="Arial"/>
          <w:b/>
          <w:bCs/>
          <w:color w:val="000080"/>
          <w:sz w:val="20"/>
        </w:rPr>
      </w:pPr>
    </w:p>
    <w:p w:rsidR="009E7E55" w:rsidRDefault="009E7E55" w:rsidP="009E7E55">
      <w:pPr>
        <w:jc w:val="center"/>
        <w:rPr>
          <w:rFonts w:cs="Arial"/>
          <w:b/>
          <w:bCs/>
          <w:color w:val="000080"/>
          <w:sz w:val="20"/>
        </w:rPr>
      </w:pPr>
    </w:p>
    <w:p w:rsidR="00FB12E5" w:rsidRDefault="00FB12E5" w:rsidP="009E7E55">
      <w:pPr>
        <w:jc w:val="center"/>
        <w:rPr>
          <w:rFonts w:cs="Arial"/>
          <w:b/>
          <w:bCs/>
          <w:color w:val="000080"/>
          <w:sz w:val="20"/>
        </w:rPr>
      </w:pPr>
    </w:p>
    <w:p w:rsidR="00FB12E5" w:rsidRDefault="00FB12E5" w:rsidP="009E7E55">
      <w:pPr>
        <w:jc w:val="center"/>
        <w:rPr>
          <w:rFonts w:cs="Arial"/>
          <w:b/>
          <w:bCs/>
          <w:color w:val="000080"/>
          <w:sz w:val="20"/>
        </w:rPr>
      </w:pPr>
    </w:p>
    <w:p w:rsidR="00FB12E5" w:rsidRDefault="00FB12E5" w:rsidP="009E7E55">
      <w:pPr>
        <w:jc w:val="center"/>
        <w:rPr>
          <w:rFonts w:cs="Arial"/>
          <w:b/>
          <w:bCs/>
          <w:color w:val="000080"/>
          <w:sz w:val="20"/>
        </w:rPr>
      </w:pPr>
    </w:p>
    <w:p w:rsidR="00FB12E5" w:rsidRDefault="00FB12E5" w:rsidP="009E7E55">
      <w:pPr>
        <w:jc w:val="center"/>
        <w:rPr>
          <w:rFonts w:cs="Arial"/>
          <w:b/>
          <w:bCs/>
          <w:color w:val="000080"/>
          <w:sz w:val="20"/>
        </w:rPr>
      </w:pPr>
    </w:p>
    <w:p w:rsidR="00FB12E5" w:rsidRDefault="00FB12E5" w:rsidP="009E7E55">
      <w:pPr>
        <w:jc w:val="center"/>
        <w:rPr>
          <w:rFonts w:cs="Arial"/>
          <w:b/>
          <w:bCs/>
          <w:color w:val="000080"/>
          <w:sz w:val="20"/>
        </w:rPr>
      </w:pPr>
    </w:p>
    <w:p w:rsidR="00FB12E5" w:rsidRPr="005946D0" w:rsidRDefault="00FB12E5" w:rsidP="009E7E55">
      <w:pPr>
        <w:jc w:val="center"/>
        <w:rPr>
          <w:rFonts w:cs="Arial"/>
          <w:b/>
          <w:bCs/>
          <w:color w:val="000080"/>
          <w:sz w:val="20"/>
        </w:rPr>
      </w:pPr>
    </w:p>
    <w:p w:rsidR="009E7E55" w:rsidRPr="005946D0" w:rsidRDefault="009E7E55" w:rsidP="009E7E55">
      <w:pPr>
        <w:jc w:val="center"/>
        <w:rPr>
          <w:rFonts w:cs="Arial"/>
          <w:b/>
          <w:bCs/>
          <w:color w:val="000080"/>
          <w:sz w:val="20"/>
        </w:rPr>
      </w:pPr>
    </w:p>
    <w:p w:rsidR="00FB12E5" w:rsidRDefault="00FB12E5" w:rsidP="003363CA">
      <w:pPr>
        <w:pStyle w:val="MainHeading"/>
        <w:rPr>
          <w:rFonts w:cs="Arial"/>
        </w:rPr>
      </w:pPr>
    </w:p>
    <w:p w:rsidR="00D94A6E" w:rsidRPr="00FB12E5" w:rsidRDefault="00FB12E5" w:rsidP="003363CA">
      <w:pPr>
        <w:pStyle w:val="MainHeading"/>
        <w:rPr>
          <w:rFonts w:cs="Arial"/>
          <w:sz w:val="50"/>
          <w:szCs w:val="50"/>
        </w:rPr>
      </w:pPr>
      <w:r w:rsidRPr="00FB12E5">
        <w:rPr>
          <w:rFonts w:cs="Arial"/>
          <w:sz w:val="50"/>
          <w:szCs w:val="50"/>
        </w:rPr>
        <w:t>JOB SERVICES AUSTRAL</w:t>
      </w:r>
      <w:r w:rsidR="00C8768A">
        <w:rPr>
          <w:rFonts w:cs="Arial"/>
          <w:sz w:val="50"/>
          <w:szCs w:val="50"/>
        </w:rPr>
        <w:t xml:space="preserve">IA PROVIDER BROKERED OUTCOMES </w:t>
      </w:r>
    </w:p>
    <w:p w:rsidR="00D94A6E" w:rsidRDefault="00D94A6E"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FB12E5" w:rsidRDefault="00FB12E5" w:rsidP="00D94A6E">
      <w:pPr>
        <w:rPr>
          <w:rFonts w:cs="Arial"/>
        </w:rPr>
      </w:pPr>
    </w:p>
    <w:p w:rsidR="00B23C3B" w:rsidRDefault="00B23C3B" w:rsidP="003363CA">
      <w:pPr>
        <w:rPr>
          <w:rFonts w:cs="Arial"/>
          <w:b/>
          <w:bCs/>
          <w:color w:val="000080"/>
          <w:szCs w:val="22"/>
        </w:rPr>
      </w:pPr>
    </w:p>
    <w:p w:rsidR="00214495" w:rsidRDefault="00214495" w:rsidP="00214495">
      <w:pPr>
        <w:jc w:val="center"/>
        <w:rPr>
          <w:rFonts w:cs="Arial"/>
          <w:b/>
          <w:bCs/>
          <w:color w:val="000080"/>
          <w:szCs w:val="22"/>
        </w:rPr>
      </w:pPr>
      <w:r>
        <w:rPr>
          <w:rFonts w:cs="Arial"/>
          <w:b/>
          <w:bCs/>
          <w:color w:val="000080"/>
          <w:szCs w:val="22"/>
        </w:rPr>
        <w:br w:type="page"/>
      </w:r>
      <w:r>
        <w:rPr>
          <w:rFonts w:cs="Arial"/>
          <w:b/>
          <w:bCs/>
          <w:color w:val="000080"/>
          <w:szCs w:val="22"/>
        </w:rPr>
        <w:lastRenderedPageBreak/>
        <w:t>Table of Contents</w:t>
      </w:r>
    </w:p>
    <w:p w:rsidR="00D95AF6" w:rsidRDefault="008D7E82">
      <w:pPr>
        <w:pStyle w:val="TOC1"/>
        <w:rPr>
          <w:rFonts w:asciiTheme="minorHAnsi" w:eastAsiaTheme="minorEastAsia" w:hAnsiTheme="minorHAnsi" w:cstheme="minorBidi"/>
          <w:b w:val="0"/>
          <w:caps w:val="0"/>
          <w:noProof/>
          <w:szCs w:val="22"/>
          <w:lang w:eastAsia="en-AU"/>
        </w:rPr>
      </w:pPr>
      <w:r>
        <w:rPr>
          <w:rFonts w:cs="Arial"/>
          <w:b w:val="0"/>
          <w:bCs/>
          <w:color w:val="000080"/>
          <w:szCs w:val="22"/>
        </w:rPr>
        <w:fldChar w:fldCharType="begin"/>
      </w:r>
      <w:r w:rsidR="00B23C3B">
        <w:rPr>
          <w:rFonts w:cs="Arial"/>
          <w:b w:val="0"/>
          <w:bCs/>
          <w:color w:val="000080"/>
          <w:szCs w:val="22"/>
        </w:rPr>
        <w:instrText xml:space="preserve"> TOC \o "1-3" \h \z \u </w:instrText>
      </w:r>
      <w:r>
        <w:rPr>
          <w:rFonts w:cs="Arial"/>
          <w:b w:val="0"/>
          <w:bCs/>
          <w:color w:val="000080"/>
          <w:szCs w:val="22"/>
        </w:rPr>
        <w:fldChar w:fldCharType="separate"/>
      </w:r>
      <w:hyperlink w:anchor="_Toc322630276" w:history="1">
        <w:r w:rsidR="00D95AF6" w:rsidRPr="00E4670C">
          <w:rPr>
            <w:rStyle w:val="Hyperlink"/>
            <w:rFonts w:cs="Arial"/>
            <w:noProof/>
          </w:rPr>
          <w:t>1</w:t>
        </w:r>
        <w:r w:rsidR="00D95AF6">
          <w:rPr>
            <w:rFonts w:asciiTheme="minorHAnsi" w:eastAsiaTheme="minorEastAsia" w:hAnsiTheme="minorHAnsi" w:cstheme="minorBidi"/>
            <w:b w:val="0"/>
            <w:caps w:val="0"/>
            <w:noProof/>
            <w:szCs w:val="22"/>
            <w:lang w:eastAsia="en-AU"/>
          </w:rPr>
          <w:tab/>
        </w:r>
        <w:r w:rsidR="00D95AF6" w:rsidRPr="00E4670C">
          <w:rPr>
            <w:rStyle w:val="Hyperlink"/>
            <w:rFonts w:cs="Arial"/>
            <w:noProof/>
          </w:rPr>
          <w:t>Introduction</w:t>
        </w:r>
        <w:r w:rsidR="00D95AF6">
          <w:rPr>
            <w:noProof/>
            <w:webHidden/>
          </w:rPr>
          <w:tab/>
        </w:r>
        <w:r>
          <w:rPr>
            <w:noProof/>
            <w:webHidden/>
          </w:rPr>
          <w:fldChar w:fldCharType="begin"/>
        </w:r>
        <w:r w:rsidR="00D95AF6">
          <w:rPr>
            <w:noProof/>
            <w:webHidden/>
          </w:rPr>
          <w:instrText xml:space="preserve"> PAGEREF _Toc322630276 \h </w:instrText>
        </w:r>
        <w:r>
          <w:rPr>
            <w:noProof/>
            <w:webHidden/>
          </w:rPr>
        </w:r>
        <w:r>
          <w:rPr>
            <w:noProof/>
            <w:webHidden/>
          </w:rPr>
          <w:fldChar w:fldCharType="separate"/>
        </w:r>
        <w:r w:rsidR="0047378B">
          <w:rPr>
            <w:noProof/>
            <w:webHidden/>
          </w:rPr>
          <w:t>3</w:t>
        </w:r>
        <w:r>
          <w:rPr>
            <w:noProof/>
            <w:webHidden/>
          </w:rPr>
          <w:fldChar w:fldCharType="end"/>
        </w:r>
      </w:hyperlink>
    </w:p>
    <w:p w:rsidR="00D95AF6" w:rsidRDefault="00825197">
      <w:pPr>
        <w:pStyle w:val="TOC2"/>
        <w:rPr>
          <w:rFonts w:asciiTheme="minorHAnsi" w:eastAsiaTheme="minorEastAsia" w:hAnsiTheme="minorHAnsi" w:cstheme="minorBidi"/>
          <w:noProof/>
          <w:szCs w:val="22"/>
          <w:lang w:eastAsia="en-AU"/>
        </w:rPr>
      </w:pPr>
      <w:hyperlink w:anchor="_Toc322630277" w:history="1">
        <w:r w:rsidR="00D95AF6" w:rsidRPr="00E4670C">
          <w:rPr>
            <w:rStyle w:val="Hyperlink"/>
            <w:rFonts w:cs="Arial"/>
            <w:noProof/>
          </w:rPr>
          <w:t>1.1</w:t>
        </w:r>
        <w:r w:rsidR="00D95AF6">
          <w:rPr>
            <w:rFonts w:asciiTheme="minorHAnsi" w:eastAsiaTheme="minorEastAsia" w:hAnsiTheme="minorHAnsi" w:cstheme="minorBidi"/>
            <w:noProof/>
            <w:szCs w:val="22"/>
            <w:lang w:eastAsia="en-AU"/>
          </w:rPr>
          <w:tab/>
        </w:r>
        <w:r w:rsidR="00D95AF6" w:rsidRPr="00E4670C">
          <w:rPr>
            <w:rStyle w:val="Hyperlink"/>
            <w:rFonts w:cs="Arial"/>
            <w:noProof/>
          </w:rPr>
          <w:t>Job Services Australia</w:t>
        </w:r>
        <w:r w:rsidR="00D95AF6">
          <w:rPr>
            <w:noProof/>
            <w:webHidden/>
          </w:rPr>
          <w:tab/>
        </w:r>
        <w:r w:rsidR="008D7E82">
          <w:rPr>
            <w:noProof/>
            <w:webHidden/>
          </w:rPr>
          <w:fldChar w:fldCharType="begin"/>
        </w:r>
        <w:r w:rsidR="00D95AF6">
          <w:rPr>
            <w:noProof/>
            <w:webHidden/>
          </w:rPr>
          <w:instrText xml:space="preserve"> PAGEREF _Toc322630277 \h </w:instrText>
        </w:r>
        <w:r w:rsidR="008D7E82">
          <w:rPr>
            <w:noProof/>
            <w:webHidden/>
          </w:rPr>
        </w:r>
        <w:r w:rsidR="008D7E82">
          <w:rPr>
            <w:noProof/>
            <w:webHidden/>
          </w:rPr>
          <w:fldChar w:fldCharType="separate"/>
        </w:r>
        <w:r w:rsidR="0047378B">
          <w:rPr>
            <w:noProof/>
            <w:webHidden/>
          </w:rPr>
          <w:t>3</w:t>
        </w:r>
        <w:r w:rsidR="008D7E82">
          <w:rPr>
            <w:noProof/>
            <w:webHidden/>
          </w:rPr>
          <w:fldChar w:fldCharType="end"/>
        </w:r>
      </w:hyperlink>
    </w:p>
    <w:p w:rsidR="00D95AF6" w:rsidRDefault="00825197">
      <w:pPr>
        <w:pStyle w:val="TOC2"/>
        <w:rPr>
          <w:rFonts w:asciiTheme="minorHAnsi" w:eastAsiaTheme="minorEastAsia" w:hAnsiTheme="minorHAnsi" w:cstheme="minorBidi"/>
          <w:noProof/>
          <w:szCs w:val="22"/>
          <w:lang w:eastAsia="en-AU"/>
        </w:rPr>
      </w:pPr>
      <w:hyperlink w:anchor="_Toc322630278" w:history="1">
        <w:r w:rsidR="00D95AF6" w:rsidRPr="00E4670C">
          <w:rPr>
            <w:rStyle w:val="Hyperlink"/>
            <w:rFonts w:cs="Arial"/>
            <w:noProof/>
          </w:rPr>
          <w:t>1.2</w:t>
        </w:r>
        <w:r w:rsidR="00D95AF6">
          <w:rPr>
            <w:rFonts w:asciiTheme="minorHAnsi" w:eastAsiaTheme="minorEastAsia" w:hAnsiTheme="minorHAnsi" w:cstheme="minorBidi"/>
            <w:noProof/>
            <w:szCs w:val="22"/>
            <w:lang w:eastAsia="en-AU"/>
          </w:rPr>
          <w:tab/>
        </w:r>
        <w:r w:rsidR="00D95AF6" w:rsidRPr="00E4670C">
          <w:rPr>
            <w:rStyle w:val="Hyperlink"/>
            <w:rFonts w:cs="Arial"/>
            <w:noProof/>
          </w:rPr>
          <w:t>Job Services Australia Performance</w:t>
        </w:r>
        <w:r w:rsidR="00D95AF6">
          <w:rPr>
            <w:noProof/>
            <w:webHidden/>
          </w:rPr>
          <w:tab/>
        </w:r>
        <w:r w:rsidR="008D7E82">
          <w:rPr>
            <w:noProof/>
            <w:webHidden/>
          </w:rPr>
          <w:fldChar w:fldCharType="begin"/>
        </w:r>
        <w:r w:rsidR="00D95AF6">
          <w:rPr>
            <w:noProof/>
            <w:webHidden/>
          </w:rPr>
          <w:instrText xml:space="preserve"> PAGEREF _Toc322630278 \h </w:instrText>
        </w:r>
        <w:r w:rsidR="008D7E82">
          <w:rPr>
            <w:noProof/>
            <w:webHidden/>
          </w:rPr>
        </w:r>
        <w:r w:rsidR="008D7E82">
          <w:rPr>
            <w:noProof/>
            <w:webHidden/>
          </w:rPr>
          <w:fldChar w:fldCharType="separate"/>
        </w:r>
        <w:r w:rsidR="0047378B">
          <w:rPr>
            <w:noProof/>
            <w:webHidden/>
          </w:rPr>
          <w:t>4</w:t>
        </w:r>
        <w:r w:rsidR="008D7E82">
          <w:rPr>
            <w:noProof/>
            <w:webHidden/>
          </w:rPr>
          <w:fldChar w:fldCharType="end"/>
        </w:r>
      </w:hyperlink>
    </w:p>
    <w:p w:rsidR="00D95AF6" w:rsidRDefault="00825197">
      <w:pPr>
        <w:pStyle w:val="TOC1"/>
        <w:rPr>
          <w:rFonts w:asciiTheme="minorHAnsi" w:eastAsiaTheme="minorEastAsia" w:hAnsiTheme="minorHAnsi" w:cstheme="minorBidi"/>
          <w:b w:val="0"/>
          <w:caps w:val="0"/>
          <w:noProof/>
          <w:szCs w:val="22"/>
          <w:lang w:eastAsia="en-AU"/>
        </w:rPr>
      </w:pPr>
      <w:hyperlink w:anchor="_Toc322630279" w:history="1">
        <w:r w:rsidR="00D95AF6" w:rsidRPr="00E4670C">
          <w:rPr>
            <w:rStyle w:val="Hyperlink"/>
            <w:rFonts w:cs="Arial"/>
            <w:noProof/>
          </w:rPr>
          <w:t>2</w:t>
        </w:r>
        <w:r w:rsidR="00D95AF6">
          <w:rPr>
            <w:rFonts w:asciiTheme="minorHAnsi" w:eastAsiaTheme="minorEastAsia" w:hAnsiTheme="minorHAnsi" w:cstheme="minorBidi"/>
            <w:b w:val="0"/>
            <w:caps w:val="0"/>
            <w:noProof/>
            <w:szCs w:val="22"/>
            <w:lang w:eastAsia="en-AU"/>
          </w:rPr>
          <w:tab/>
        </w:r>
        <w:r w:rsidR="00D95AF6" w:rsidRPr="00E4670C">
          <w:rPr>
            <w:rStyle w:val="Hyperlink"/>
            <w:rFonts w:cs="Arial"/>
            <w:noProof/>
          </w:rPr>
          <w:t>Provider Brokered Outcomes</w:t>
        </w:r>
        <w:r w:rsidR="00D95AF6">
          <w:rPr>
            <w:noProof/>
            <w:webHidden/>
          </w:rPr>
          <w:tab/>
        </w:r>
        <w:r w:rsidR="008D7E82">
          <w:rPr>
            <w:noProof/>
            <w:webHidden/>
          </w:rPr>
          <w:fldChar w:fldCharType="begin"/>
        </w:r>
        <w:r w:rsidR="00D95AF6">
          <w:rPr>
            <w:noProof/>
            <w:webHidden/>
          </w:rPr>
          <w:instrText xml:space="preserve"> PAGEREF _Toc322630279 \h </w:instrText>
        </w:r>
        <w:r w:rsidR="008D7E82">
          <w:rPr>
            <w:noProof/>
            <w:webHidden/>
          </w:rPr>
        </w:r>
        <w:r w:rsidR="008D7E82">
          <w:rPr>
            <w:noProof/>
            <w:webHidden/>
          </w:rPr>
          <w:fldChar w:fldCharType="separate"/>
        </w:r>
        <w:r w:rsidR="0047378B">
          <w:rPr>
            <w:noProof/>
            <w:webHidden/>
          </w:rPr>
          <w:t>4</w:t>
        </w:r>
        <w:r w:rsidR="008D7E82">
          <w:rPr>
            <w:noProof/>
            <w:webHidden/>
          </w:rPr>
          <w:fldChar w:fldCharType="end"/>
        </w:r>
      </w:hyperlink>
    </w:p>
    <w:p w:rsidR="00D95AF6" w:rsidRDefault="00825197">
      <w:pPr>
        <w:pStyle w:val="TOC2"/>
        <w:rPr>
          <w:rFonts w:asciiTheme="minorHAnsi" w:eastAsiaTheme="minorEastAsia" w:hAnsiTheme="minorHAnsi" w:cstheme="minorBidi"/>
          <w:noProof/>
          <w:szCs w:val="22"/>
          <w:lang w:eastAsia="en-AU"/>
        </w:rPr>
      </w:pPr>
      <w:hyperlink w:anchor="_Toc322630280" w:history="1">
        <w:r w:rsidR="00D95AF6" w:rsidRPr="00E4670C">
          <w:rPr>
            <w:rStyle w:val="Hyperlink"/>
            <w:rFonts w:ascii="Calibri" w:hAnsi="Calibri" w:cs="Calibri"/>
            <w:noProof/>
          </w:rPr>
          <w:t>2.1</w:t>
        </w:r>
        <w:r w:rsidR="00D95AF6">
          <w:rPr>
            <w:rFonts w:asciiTheme="minorHAnsi" w:eastAsiaTheme="minorEastAsia" w:hAnsiTheme="minorHAnsi" w:cstheme="minorBidi"/>
            <w:noProof/>
            <w:szCs w:val="22"/>
            <w:lang w:eastAsia="en-AU"/>
          </w:rPr>
          <w:tab/>
        </w:r>
        <w:r w:rsidR="00D95AF6" w:rsidRPr="00E4670C">
          <w:rPr>
            <w:rStyle w:val="Hyperlink"/>
            <w:rFonts w:cs="Arial"/>
            <w:noProof/>
          </w:rPr>
          <w:t>Operating Environment</w:t>
        </w:r>
        <w:r w:rsidR="00D95AF6">
          <w:rPr>
            <w:noProof/>
            <w:webHidden/>
          </w:rPr>
          <w:tab/>
        </w:r>
        <w:r w:rsidR="008D7E82">
          <w:rPr>
            <w:noProof/>
            <w:webHidden/>
          </w:rPr>
          <w:fldChar w:fldCharType="begin"/>
        </w:r>
        <w:r w:rsidR="00D95AF6">
          <w:rPr>
            <w:noProof/>
            <w:webHidden/>
          </w:rPr>
          <w:instrText xml:space="preserve"> PAGEREF _Toc322630280 \h </w:instrText>
        </w:r>
        <w:r w:rsidR="008D7E82">
          <w:rPr>
            <w:noProof/>
            <w:webHidden/>
          </w:rPr>
        </w:r>
        <w:r w:rsidR="008D7E82">
          <w:rPr>
            <w:noProof/>
            <w:webHidden/>
          </w:rPr>
          <w:fldChar w:fldCharType="separate"/>
        </w:r>
        <w:r w:rsidR="0047378B">
          <w:rPr>
            <w:noProof/>
            <w:webHidden/>
          </w:rPr>
          <w:t>5</w:t>
        </w:r>
        <w:r w:rsidR="008D7E82">
          <w:rPr>
            <w:noProof/>
            <w:webHidden/>
          </w:rPr>
          <w:fldChar w:fldCharType="end"/>
        </w:r>
      </w:hyperlink>
    </w:p>
    <w:p w:rsidR="00D95AF6" w:rsidRDefault="00825197">
      <w:pPr>
        <w:pStyle w:val="TOC1"/>
        <w:rPr>
          <w:rFonts w:asciiTheme="minorHAnsi" w:eastAsiaTheme="minorEastAsia" w:hAnsiTheme="minorHAnsi" w:cstheme="minorBidi"/>
          <w:b w:val="0"/>
          <w:caps w:val="0"/>
          <w:noProof/>
          <w:szCs w:val="22"/>
          <w:lang w:eastAsia="en-AU"/>
        </w:rPr>
      </w:pPr>
      <w:hyperlink w:anchor="_Toc322630281" w:history="1">
        <w:r w:rsidR="00D95AF6" w:rsidRPr="00E4670C">
          <w:rPr>
            <w:rStyle w:val="Hyperlink"/>
            <w:rFonts w:cs="Arial"/>
            <w:noProof/>
          </w:rPr>
          <w:t>3</w:t>
        </w:r>
        <w:r w:rsidR="00D95AF6">
          <w:rPr>
            <w:rFonts w:asciiTheme="minorHAnsi" w:eastAsiaTheme="minorEastAsia" w:hAnsiTheme="minorHAnsi" w:cstheme="minorBidi"/>
            <w:b w:val="0"/>
            <w:caps w:val="0"/>
            <w:noProof/>
            <w:szCs w:val="22"/>
            <w:lang w:eastAsia="en-AU"/>
          </w:rPr>
          <w:tab/>
        </w:r>
        <w:r w:rsidR="00D95AF6" w:rsidRPr="00E4670C">
          <w:rPr>
            <w:rStyle w:val="Hyperlink"/>
            <w:rFonts w:cs="Arial"/>
            <w:noProof/>
          </w:rPr>
          <w:t>Provider Brokered Outcomes Audit</w:t>
        </w:r>
        <w:r w:rsidR="00D95AF6">
          <w:rPr>
            <w:noProof/>
            <w:webHidden/>
          </w:rPr>
          <w:tab/>
        </w:r>
        <w:r w:rsidR="008D7E82">
          <w:rPr>
            <w:noProof/>
            <w:webHidden/>
          </w:rPr>
          <w:fldChar w:fldCharType="begin"/>
        </w:r>
        <w:r w:rsidR="00D95AF6">
          <w:rPr>
            <w:noProof/>
            <w:webHidden/>
          </w:rPr>
          <w:instrText xml:space="preserve"> PAGEREF _Toc322630281 \h </w:instrText>
        </w:r>
        <w:r w:rsidR="008D7E82">
          <w:rPr>
            <w:noProof/>
            <w:webHidden/>
          </w:rPr>
        </w:r>
        <w:r w:rsidR="008D7E82">
          <w:rPr>
            <w:noProof/>
            <w:webHidden/>
          </w:rPr>
          <w:fldChar w:fldCharType="separate"/>
        </w:r>
        <w:r w:rsidR="0047378B">
          <w:rPr>
            <w:noProof/>
            <w:webHidden/>
          </w:rPr>
          <w:t>6</w:t>
        </w:r>
        <w:r w:rsidR="008D7E82">
          <w:rPr>
            <w:noProof/>
            <w:webHidden/>
          </w:rPr>
          <w:fldChar w:fldCharType="end"/>
        </w:r>
      </w:hyperlink>
    </w:p>
    <w:p w:rsidR="00D95AF6" w:rsidRDefault="00825197">
      <w:pPr>
        <w:pStyle w:val="TOC2"/>
        <w:rPr>
          <w:rFonts w:asciiTheme="minorHAnsi" w:eastAsiaTheme="minorEastAsia" w:hAnsiTheme="minorHAnsi" w:cstheme="minorBidi"/>
          <w:noProof/>
          <w:szCs w:val="22"/>
          <w:lang w:eastAsia="en-AU"/>
        </w:rPr>
      </w:pPr>
      <w:hyperlink w:anchor="_Toc322630282" w:history="1">
        <w:r w:rsidR="00D95AF6" w:rsidRPr="00E4670C">
          <w:rPr>
            <w:rStyle w:val="Hyperlink"/>
            <w:rFonts w:ascii="Calibri" w:hAnsi="Calibri" w:cs="Calibri"/>
            <w:noProof/>
          </w:rPr>
          <w:t>3.1</w:t>
        </w:r>
        <w:r w:rsidR="00D95AF6">
          <w:rPr>
            <w:rFonts w:asciiTheme="minorHAnsi" w:eastAsiaTheme="minorEastAsia" w:hAnsiTheme="minorHAnsi" w:cstheme="minorBidi"/>
            <w:noProof/>
            <w:szCs w:val="22"/>
            <w:lang w:eastAsia="en-AU"/>
          </w:rPr>
          <w:tab/>
        </w:r>
        <w:r w:rsidR="00D95AF6" w:rsidRPr="00E4670C">
          <w:rPr>
            <w:rStyle w:val="Hyperlink"/>
            <w:rFonts w:cs="Arial"/>
            <w:noProof/>
          </w:rPr>
          <w:t>Methodology</w:t>
        </w:r>
        <w:r w:rsidR="00D95AF6">
          <w:rPr>
            <w:noProof/>
            <w:webHidden/>
          </w:rPr>
          <w:tab/>
        </w:r>
        <w:r w:rsidR="008D7E82">
          <w:rPr>
            <w:noProof/>
            <w:webHidden/>
          </w:rPr>
          <w:fldChar w:fldCharType="begin"/>
        </w:r>
        <w:r w:rsidR="00D95AF6">
          <w:rPr>
            <w:noProof/>
            <w:webHidden/>
          </w:rPr>
          <w:instrText xml:space="preserve"> PAGEREF _Toc322630282 \h </w:instrText>
        </w:r>
        <w:r w:rsidR="008D7E82">
          <w:rPr>
            <w:noProof/>
            <w:webHidden/>
          </w:rPr>
        </w:r>
        <w:r w:rsidR="008D7E82">
          <w:rPr>
            <w:noProof/>
            <w:webHidden/>
          </w:rPr>
          <w:fldChar w:fldCharType="separate"/>
        </w:r>
        <w:r w:rsidR="0047378B">
          <w:rPr>
            <w:noProof/>
            <w:webHidden/>
          </w:rPr>
          <w:t>6</w:t>
        </w:r>
        <w:r w:rsidR="008D7E82">
          <w:rPr>
            <w:noProof/>
            <w:webHidden/>
          </w:rPr>
          <w:fldChar w:fldCharType="end"/>
        </w:r>
      </w:hyperlink>
    </w:p>
    <w:p w:rsidR="00D95AF6" w:rsidRDefault="00825197">
      <w:pPr>
        <w:pStyle w:val="TOC1"/>
        <w:rPr>
          <w:rFonts w:asciiTheme="minorHAnsi" w:eastAsiaTheme="minorEastAsia" w:hAnsiTheme="minorHAnsi" w:cstheme="minorBidi"/>
          <w:b w:val="0"/>
          <w:caps w:val="0"/>
          <w:noProof/>
          <w:szCs w:val="22"/>
          <w:lang w:eastAsia="en-AU"/>
        </w:rPr>
      </w:pPr>
      <w:hyperlink w:anchor="_Toc322630283" w:history="1">
        <w:r w:rsidR="00D95AF6" w:rsidRPr="00E4670C">
          <w:rPr>
            <w:rStyle w:val="Hyperlink"/>
            <w:rFonts w:cs="Arial"/>
            <w:noProof/>
          </w:rPr>
          <w:t>4</w:t>
        </w:r>
        <w:r w:rsidR="00D95AF6">
          <w:rPr>
            <w:rFonts w:asciiTheme="minorHAnsi" w:eastAsiaTheme="minorEastAsia" w:hAnsiTheme="minorHAnsi" w:cstheme="minorBidi"/>
            <w:b w:val="0"/>
            <w:caps w:val="0"/>
            <w:noProof/>
            <w:szCs w:val="22"/>
            <w:lang w:eastAsia="en-AU"/>
          </w:rPr>
          <w:tab/>
        </w:r>
        <w:r w:rsidR="00D95AF6" w:rsidRPr="00E4670C">
          <w:rPr>
            <w:rStyle w:val="Hyperlink"/>
            <w:rFonts w:cs="Arial"/>
            <w:noProof/>
          </w:rPr>
          <w:t>Key Findings</w:t>
        </w:r>
        <w:r w:rsidR="00D95AF6">
          <w:rPr>
            <w:noProof/>
            <w:webHidden/>
          </w:rPr>
          <w:tab/>
        </w:r>
        <w:r w:rsidR="008D7E82">
          <w:rPr>
            <w:noProof/>
            <w:webHidden/>
          </w:rPr>
          <w:fldChar w:fldCharType="begin"/>
        </w:r>
        <w:r w:rsidR="00D95AF6">
          <w:rPr>
            <w:noProof/>
            <w:webHidden/>
          </w:rPr>
          <w:instrText xml:space="preserve"> PAGEREF _Toc322630283 \h </w:instrText>
        </w:r>
        <w:r w:rsidR="008D7E82">
          <w:rPr>
            <w:noProof/>
            <w:webHidden/>
          </w:rPr>
        </w:r>
        <w:r w:rsidR="008D7E82">
          <w:rPr>
            <w:noProof/>
            <w:webHidden/>
          </w:rPr>
          <w:fldChar w:fldCharType="separate"/>
        </w:r>
        <w:r w:rsidR="0047378B">
          <w:rPr>
            <w:noProof/>
            <w:webHidden/>
          </w:rPr>
          <w:t>7</w:t>
        </w:r>
        <w:r w:rsidR="008D7E82">
          <w:rPr>
            <w:noProof/>
            <w:webHidden/>
          </w:rPr>
          <w:fldChar w:fldCharType="end"/>
        </w:r>
      </w:hyperlink>
    </w:p>
    <w:p w:rsidR="00D95AF6" w:rsidRDefault="00825197">
      <w:pPr>
        <w:pStyle w:val="TOC2"/>
        <w:rPr>
          <w:rFonts w:asciiTheme="minorHAnsi" w:eastAsiaTheme="minorEastAsia" w:hAnsiTheme="minorHAnsi" w:cstheme="minorBidi"/>
          <w:noProof/>
          <w:szCs w:val="22"/>
          <w:lang w:eastAsia="en-AU"/>
        </w:rPr>
      </w:pPr>
      <w:hyperlink w:anchor="_Toc322630284" w:history="1">
        <w:r w:rsidR="00D95AF6" w:rsidRPr="00E4670C">
          <w:rPr>
            <w:rStyle w:val="Hyperlink"/>
            <w:rFonts w:ascii="Calibri" w:hAnsi="Calibri" w:cs="Calibri"/>
            <w:noProof/>
          </w:rPr>
          <w:t>4.1</w:t>
        </w:r>
        <w:r w:rsidR="00D95AF6">
          <w:rPr>
            <w:rFonts w:asciiTheme="minorHAnsi" w:eastAsiaTheme="minorEastAsia" w:hAnsiTheme="minorHAnsi" w:cstheme="minorBidi"/>
            <w:noProof/>
            <w:szCs w:val="22"/>
            <w:lang w:eastAsia="en-AU"/>
          </w:rPr>
          <w:tab/>
        </w:r>
        <w:r w:rsidR="00D95AF6" w:rsidRPr="00E4670C">
          <w:rPr>
            <w:rStyle w:val="Hyperlink"/>
            <w:rFonts w:cs="Arial"/>
            <w:noProof/>
          </w:rPr>
          <w:t>Self Review</w:t>
        </w:r>
        <w:r w:rsidR="00D95AF6">
          <w:rPr>
            <w:noProof/>
            <w:webHidden/>
          </w:rPr>
          <w:tab/>
        </w:r>
        <w:r w:rsidR="008D7E82">
          <w:rPr>
            <w:noProof/>
            <w:webHidden/>
          </w:rPr>
          <w:fldChar w:fldCharType="begin"/>
        </w:r>
        <w:r w:rsidR="00D95AF6">
          <w:rPr>
            <w:noProof/>
            <w:webHidden/>
          </w:rPr>
          <w:instrText xml:space="preserve"> PAGEREF _Toc322630284 \h </w:instrText>
        </w:r>
        <w:r w:rsidR="008D7E82">
          <w:rPr>
            <w:noProof/>
            <w:webHidden/>
          </w:rPr>
        </w:r>
        <w:r w:rsidR="008D7E82">
          <w:rPr>
            <w:noProof/>
            <w:webHidden/>
          </w:rPr>
          <w:fldChar w:fldCharType="separate"/>
        </w:r>
        <w:r w:rsidR="0047378B">
          <w:rPr>
            <w:noProof/>
            <w:webHidden/>
          </w:rPr>
          <w:t>7</w:t>
        </w:r>
        <w:r w:rsidR="008D7E82">
          <w:rPr>
            <w:noProof/>
            <w:webHidden/>
          </w:rPr>
          <w:fldChar w:fldCharType="end"/>
        </w:r>
      </w:hyperlink>
    </w:p>
    <w:p w:rsidR="00D95AF6" w:rsidRDefault="00825197">
      <w:pPr>
        <w:pStyle w:val="TOC2"/>
        <w:rPr>
          <w:rFonts w:asciiTheme="minorHAnsi" w:eastAsiaTheme="minorEastAsia" w:hAnsiTheme="minorHAnsi" w:cstheme="minorBidi"/>
          <w:noProof/>
          <w:szCs w:val="22"/>
          <w:lang w:eastAsia="en-AU"/>
        </w:rPr>
      </w:pPr>
      <w:hyperlink w:anchor="_Toc322630285" w:history="1">
        <w:r w:rsidR="00D95AF6" w:rsidRPr="00E4670C">
          <w:rPr>
            <w:rStyle w:val="Hyperlink"/>
            <w:rFonts w:ascii="Calibri" w:hAnsi="Calibri" w:cs="Calibri"/>
            <w:noProof/>
          </w:rPr>
          <w:t>4.2</w:t>
        </w:r>
        <w:r w:rsidR="00D95AF6">
          <w:rPr>
            <w:rFonts w:asciiTheme="minorHAnsi" w:eastAsiaTheme="minorEastAsia" w:hAnsiTheme="minorHAnsi" w:cstheme="minorBidi"/>
            <w:noProof/>
            <w:szCs w:val="22"/>
            <w:lang w:eastAsia="en-AU"/>
          </w:rPr>
          <w:tab/>
        </w:r>
        <w:r w:rsidR="00D95AF6" w:rsidRPr="00E4670C">
          <w:rPr>
            <w:rStyle w:val="Hyperlink"/>
            <w:rFonts w:cs="Arial"/>
            <w:noProof/>
          </w:rPr>
          <w:t>Contradicted/Not supported</w:t>
        </w:r>
        <w:r w:rsidR="00D95AF6">
          <w:rPr>
            <w:noProof/>
            <w:webHidden/>
          </w:rPr>
          <w:tab/>
        </w:r>
        <w:r w:rsidR="008D7E82">
          <w:rPr>
            <w:noProof/>
            <w:webHidden/>
          </w:rPr>
          <w:fldChar w:fldCharType="begin"/>
        </w:r>
        <w:r w:rsidR="00D95AF6">
          <w:rPr>
            <w:noProof/>
            <w:webHidden/>
          </w:rPr>
          <w:instrText xml:space="preserve"> PAGEREF _Toc322630285 \h </w:instrText>
        </w:r>
        <w:r w:rsidR="008D7E82">
          <w:rPr>
            <w:noProof/>
            <w:webHidden/>
          </w:rPr>
        </w:r>
        <w:r w:rsidR="008D7E82">
          <w:rPr>
            <w:noProof/>
            <w:webHidden/>
          </w:rPr>
          <w:fldChar w:fldCharType="separate"/>
        </w:r>
        <w:r w:rsidR="0047378B">
          <w:rPr>
            <w:noProof/>
            <w:webHidden/>
          </w:rPr>
          <w:t>8</w:t>
        </w:r>
        <w:r w:rsidR="008D7E82">
          <w:rPr>
            <w:noProof/>
            <w:webHidden/>
          </w:rPr>
          <w:fldChar w:fldCharType="end"/>
        </w:r>
      </w:hyperlink>
    </w:p>
    <w:p w:rsidR="00D95AF6" w:rsidRDefault="00825197">
      <w:pPr>
        <w:pStyle w:val="TOC2"/>
        <w:rPr>
          <w:rFonts w:asciiTheme="minorHAnsi" w:eastAsiaTheme="minorEastAsia" w:hAnsiTheme="minorHAnsi" w:cstheme="minorBidi"/>
          <w:noProof/>
          <w:szCs w:val="22"/>
          <w:lang w:eastAsia="en-AU"/>
        </w:rPr>
      </w:pPr>
      <w:hyperlink w:anchor="_Toc322630286" w:history="1">
        <w:r w:rsidR="00D95AF6" w:rsidRPr="00E4670C">
          <w:rPr>
            <w:rStyle w:val="Hyperlink"/>
            <w:rFonts w:ascii="Calibri" w:hAnsi="Calibri" w:cs="Calibri"/>
            <w:noProof/>
          </w:rPr>
          <w:t>4.3</w:t>
        </w:r>
        <w:r w:rsidR="00D95AF6">
          <w:rPr>
            <w:rFonts w:asciiTheme="minorHAnsi" w:eastAsiaTheme="minorEastAsia" w:hAnsiTheme="minorHAnsi" w:cstheme="minorBidi"/>
            <w:noProof/>
            <w:szCs w:val="22"/>
            <w:lang w:eastAsia="en-AU"/>
          </w:rPr>
          <w:tab/>
        </w:r>
        <w:r w:rsidR="00D95AF6" w:rsidRPr="00E4670C">
          <w:rPr>
            <w:rStyle w:val="Hyperlink"/>
            <w:rFonts w:cs="Arial"/>
            <w:noProof/>
          </w:rPr>
          <w:t>Confirmed by documentary evidence, job seeker or employer</w:t>
        </w:r>
        <w:r w:rsidR="00D95AF6">
          <w:rPr>
            <w:noProof/>
            <w:webHidden/>
          </w:rPr>
          <w:tab/>
        </w:r>
        <w:r w:rsidR="008D7E82">
          <w:rPr>
            <w:noProof/>
            <w:webHidden/>
          </w:rPr>
          <w:fldChar w:fldCharType="begin"/>
        </w:r>
        <w:r w:rsidR="00D95AF6">
          <w:rPr>
            <w:noProof/>
            <w:webHidden/>
          </w:rPr>
          <w:instrText xml:space="preserve"> PAGEREF _Toc322630286 \h </w:instrText>
        </w:r>
        <w:r w:rsidR="008D7E82">
          <w:rPr>
            <w:noProof/>
            <w:webHidden/>
          </w:rPr>
        </w:r>
        <w:r w:rsidR="008D7E82">
          <w:rPr>
            <w:noProof/>
            <w:webHidden/>
          </w:rPr>
          <w:fldChar w:fldCharType="separate"/>
        </w:r>
        <w:r w:rsidR="0047378B">
          <w:rPr>
            <w:noProof/>
            <w:webHidden/>
          </w:rPr>
          <w:t>8</w:t>
        </w:r>
        <w:r w:rsidR="008D7E82">
          <w:rPr>
            <w:noProof/>
            <w:webHidden/>
          </w:rPr>
          <w:fldChar w:fldCharType="end"/>
        </w:r>
      </w:hyperlink>
    </w:p>
    <w:p w:rsidR="00D95AF6" w:rsidRDefault="00825197">
      <w:pPr>
        <w:pStyle w:val="TOC2"/>
        <w:rPr>
          <w:rFonts w:asciiTheme="minorHAnsi" w:eastAsiaTheme="minorEastAsia" w:hAnsiTheme="minorHAnsi" w:cstheme="minorBidi"/>
          <w:noProof/>
          <w:szCs w:val="22"/>
          <w:lang w:eastAsia="en-AU"/>
        </w:rPr>
      </w:pPr>
      <w:hyperlink w:anchor="_Toc322630287" w:history="1">
        <w:r w:rsidR="00D95AF6" w:rsidRPr="00E4670C">
          <w:rPr>
            <w:rStyle w:val="Hyperlink"/>
            <w:rFonts w:ascii="Calibri" w:hAnsi="Calibri" w:cs="Calibri"/>
            <w:noProof/>
          </w:rPr>
          <w:t>4.4</w:t>
        </w:r>
        <w:r w:rsidR="00D95AF6">
          <w:rPr>
            <w:rFonts w:asciiTheme="minorHAnsi" w:eastAsiaTheme="minorEastAsia" w:hAnsiTheme="minorHAnsi" w:cstheme="minorBidi"/>
            <w:noProof/>
            <w:szCs w:val="22"/>
            <w:lang w:eastAsia="en-AU"/>
          </w:rPr>
          <w:tab/>
        </w:r>
        <w:r w:rsidR="00D95AF6" w:rsidRPr="00E4670C">
          <w:rPr>
            <w:rStyle w:val="Hyperlink"/>
            <w:rFonts w:cs="Arial"/>
            <w:noProof/>
          </w:rPr>
          <w:t>Unable to be determined</w:t>
        </w:r>
        <w:r w:rsidR="00D95AF6">
          <w:rPr>
            <w:noProof/>
            <w:webHidden/>
          </w:rPr>
          <w:tab/>
        </w:r>
        <w:r w:rsidR="008D7E82">
          <w:rPr>
            <w:noProof/>
            <w:webHidden/>
          </w:rPr>
          <w:fldChar w:fldCharType="begin"/>
        </w:r>
        <w:r w:rsidR="00D95AF6">
          <w:rPr>
            <w:noProof/>
            <w:webHidden/>
          </w:rPr>
          <w:instrText xml:space="preserve"> PAGEREF _Toc322630287 \h </w:instrText>
        </w:r>
        <w:r w:rsidR="008D7E82">
          <w:rPr>
            <w:noProof/>
            <w:webHidden/>
          </w:rPr>
        </w:r>
        <w:r w:rsidR="008D7E82">
          <w:rPr>
            <w:noProof/>
            <w:webHidden/>
          </w:rPr>
          <w:fldChar w:fldCharType="separate"/>
        </w:r>
        <w:r w:rsidR="0047378B">
          <w:rPr>
            <w:noProof/>
            <w:webHidden/>
          </w:rPr>
          <w:t>8</w:t>
        </w:r>
        <w:r w:rsidR="008D7E82">
          <w:rPr>
            <w:noProof/>
            <w:webHidden/>
          </w:rPr>
          <w:fldChar w:fldCharType="end"/>
        </w:r>
      </w:hyperlink>
    </w:p>
    <w:p w:rsidR="00D95AF6" w:rsidRDefault="00825197">
      <w:pPr>
        <w:pStyle w:val="TOC2"/>
        <w:rPr>
          <w:rFonts w:asciiTheme="minorHAnsi" w:eastAsiaTheme="minorEastAsia" w:hAnsiTheme="minorHAnsi" w:cstheme="minorBidi"/>
          <w:noProof/>
          <w:szCs w:val="22"/>
          <w:lang w:eastAsia="en-AU"/>
        </w:rPr>
      </w:pPr>
      <w:hyperlink w:anchor="_Toc322630288" w:history="1">
        <w:r w:rsidR="00D95AF6" w:rsidRPr="00E4670C">
          <w:rPr>
            <w:rStyle w:val="Hyperlink"/>
            <w:rFonts w:ascii="Calibri" w:hAnsi="Calibri" w:cs="Calibri"/>
            <w:noProof/>
          </w:rPr>
          <w:t>4.5</w:t>
        </w:r>
        <w:r w:rsidR="00D95AF6">
          <w:rPr>
            <w:rFonts w:asciiTheme="minorHAnsi" w:eastAsiaTheme="minorEastAsia" w:hAnsiTheme="minorHAnsi" w:cstheme="minorBidi"/>
            <w:noProof/>
            <w:szCs w:val="22"/>
            <w:lang w:eastAsia="en-AU"/>
          </w:rPr>
          <w:tab/>
        </w:r>
        <w:r w:rsidR="00D95AF6" w:rsidRPr="00E4670C">
          <w:rPr>
            <w:rStyle w:val="Hyperlink"/>
            <w:rFonts w:cs="Arial"/>
            <w:noProof/>
          </w:rPr>
          <w:t>Individual Provider Provisional Findings</w:t>
        </w:r>
        <w:r w:rsidR="00D95AF6">
          <w:rPr>
            <w:noProof/>
            <w:webHidden/>
          </w:rPr>
          <w:tab/>
        </w:r>
        <w:r w:rsidR="008D7E82">
          <w:rPr>
            <w:noProof/>
            <w:webHidden/>
          </w:rPr>
          <w:fldChar w:fldCharType="begin"/>
        </w:r>
        <w:r w:rsidR="00D95AF6">
          <w:rPr>
            <w:noProof/>
            <w:webHidden/>
          </w:rPr>
          <w:instrText xml:space="preserve"> PAGEREF _Toc322630288 \h </w:instrText>
        </w:r>
        <w:r w:rsidR="008D7E82">
          <w:rPr>
            <w:noProof/>
            <w:webHidden/>
          </w:rPr>
        </w:r>
        <w:r w:rsidR="008D7E82">
          <w:rPr>
            <w:noProof/>
            <w:webHidden/>
          </w:rPr>
          <w:fldChar w:fldCharType="separate"/>
        </w:r>
        <w:r w:rsidR="0047378B">
          <w:rPr>
            <w:noProof/>
            <w:webHidden/>
          </w:rPr>
          <w:t>8</w:t>
        </w:r>
        <w:r w:rsidR="008D7E82">
          <w:rPr>
            <w:noProof/>
            <w:webHidden/>
          </w:rPr>
          <w:fldChar w:fldCharType="end"/>
        </w:r>
      </w:hyperlink>
    </w:p>
    <w:p w:rsidR="00D95AF6" w:rsidRDefault="00825197">
      <w:pPr>
        <w:pStyle w:val="TOC2"/>
        <w:rPr>
          <w:rFonts w:asciiTheme="minorHAnsi" w:eastAsiaTheme="minorEastAsia" w:hAnsiTheme="minorHAnsi" w:cstheme="minorBidi"/>
          <w:noProof/>
          <w:szCs w:val="22"/>
          <w:lang w:eastAsia="en-AU"/>
        </w:rPr>
      </w:pPr>
      <w:hyperlink w:anchor="_Toc322630289" w:history="1">
        <w:r w:rsidR="00D95AF6" w:rsidRPr="00E4670C">
          <w:rPr>
            <w:rStyle w:val="Hyperlink"/>
            <w:rFonts w:ascii="Calibri" w:hAnsi="Calibri" w:cs="Calibri"/>
            <w:noProof/>
          </w:rPr>
          <w:t>4.6</w:t>
        </w:r>
        <w:r w:rsidR="00D95AF6">
          <w:rPr>
            <w:rFonts w:asciiTheme="minorHAnsi" w:eastAsiaTheme="minorEastAsia" w:hAnsiTheme="minorHAnsi" w:cstheme="minorBidi"/>
            <w:noProof/>
            <w:szCs w:val="22"/>
            <w:lang w:eastAsia="en-AU"/>
          </w:rPr>
          <w:tab/>
        </w:r>
        <w:r w:rsidR="00D95AF6" w:rsidRPr="00E4670C">
          <w:rPr>
            <w:rStyle w:val="Hyperlink"/>
            <w:rFonts w:cs="Arial"/>
            <w:noProof/>
          </w:rPr>
          <w:t>Recoveries and further action</w:t>
        </w:r>
        <w:r w:rsidR="00D95AF6">
          <w:rPr>
            <w:noProof/>
            <w:webHidden/>
          </w:rPr>
          <w:tab/>
        </w:r>
        <w:r w:rsidR="008D7E82">
          <w:rPr>
            <w:noProof/>
            <w:webHidden/>
          </w:rPr>
          <w:fldChar w:fldCharType="begin"/>
        </w:r>
        <w:r w:rsidR="00D95AF6">
          <w:rPr>
            <w:noProof/>
            <w:webHidden/>
          </w:rPr>
          <w:instrText xml:space="preserve"> PAGEREF _Toc322630289 \h </w:instrText>
        </w:r>
        <w:r w:rsidR="008D7E82">
          <w:rPr>
            <w:noProof/>
            <w:webHidden/>
          </w:rPr>
        </w:r>
        <w:r w:rsidR="008D7E82">
          <w:rPr>
            <w:noProof/>
            <w:webHidden/>
          </w:rPr>
          <w:fldChar w:fldCharType="separate"/>
        </w:r>
        <w:r w:rsidR="0047378B">
          <w:rPr>
            <w:noProof/>
            <w:webHidden/>
          </w:rPr>
          <w:t>9</w:t>
        </w:r>
        <w:r w:rsidR="008D7E82">
          <w:rPr>
            <w:noProof/>
            <w:webHidden/>
          </w:rPr>
          <w:fldChar w:fldCharType="end"/>
        </w:r>
      </w:hyperlink>
    </w:p>
    <w:p w:rsidR="003E7116" w:rsidRDefault="008D7E82" w:rsidP="00B23C3B">
      <w:pPr>
        <w:ind w:left="1276"/>
        <w:rPr>
          <w:rFonts w:cs="Arial"/>
          <w:b/>
          <w:bCs/>
          <w:color w:val="000080"/>
          <w:szCs w:val="22"/>
        </w:rPr>
      </w:pPr>
      <w:r>
        <w:rPr>
          <w:rFonts w:cs="Arial"/>
          <w:b/>
          <w:bCs/>
          <w:color w:val="000080"/>
          <w:szCs w:val="22"/>
        </w:rPr>
        <w:fldChar w:fldCharType="end"/>
      </w:r>
    </w:p>
    <w:p w:rsidR="003E7116" w:rsidRPr="003E7116" w:rsidRDefault="003E7116" w:rsidP="003E7116">
      <w:pPr>
        <w:rPr>
          <w:rFonts w:cs="Arial"/>
          <w:szCs w:val="22"/>
        </w:rPr>
      </w:pPr>
    </w:p>
    <w:p w:rsidR="003E7116" w:rsidRDefault="003E7116" w:rsidP="003E7116">
      <w:pPr>
        <w:rPr>
          <w:rFonts w:cs="Arial"/>
          <w:szCs w:val="22"/>
        </w:rPr>
      </w:pPr>
    </w:p>
    <w:p w:rsidR="003E7116" w:rsidRDefault="003E7116" w:rsidP="003E7116">
      <w:pPr>
        <w:tabs>
          <w:tab w:val="left" w:pos="3768"/>
        </w:tabs>
        <w:rPr>
          <w:rFonts w:cs="Arial"/>
          <w:szCs w:val="22"/>
        </w:rPr>
      </w:pPr>
      <w:r>
        <w:rPr>
          <w:rFonts w:cs="Arial"/>
          <w:szCs w:val="22"/>
        </w:rPr>
        <w:tab/>
      </w:r>
    </w:p>
    <w:p w:rsidR="003E7116" w:rsidRDefault="003E7116" w:rsidP="003E7116">
      <w:pPr>
        <w:rPr>
          <w:rFonts w:cs="Arial"/>
          <w:szCs w:val="22"/>
        </w:rPr>
      </w:pPr>
    </w:p>
    <w:p w:rsidR="003363CA" w:rsidRPr="003E7116" w:rsidRDefault="003363CA" w:rsidP="003E7116">
      <w:pPr>
        <w:rPr>
          <w:rFonts w:cs="Arial"/>
          <w:szCs w:val="22"/>
        </w:rPr>
        <w:sectPr w:rsidR="003363CA" w:rsidRPr="003E7116" w:rsidSect="00AB6359">
          <w:headerReference w:type="default" r:id="rId10"/>
          <w:footerReference w:type="default" r:id="rId11"/>
          <w:pgSz w:w="11906" w:h="16838" w:code="9"/>
          <w:pgMar w:top="1134" w:right="1418" w:bottom="1134" w:left="1418" w:header="567" w:footer="567" w:gutter="0"/>
          <w:pgNumType w:fmt="lowerRoman"/>
          <w:cols w:space="708"/>
          <w:titlePg/>
          <w:docGrid w:linePitch="360"/>
        </w:sectPr>
      </w:pPr>
    </w:p>
    <w:p w:rsidR="00DB2A74" w:rsidRPr="005946D0" w:rsidRDefault="00214495" w:rsidP="002A5422">
      <w:pPr>
        <w:pStyle w:val="Heading1"/>
        <w:spacing w:before="60" w:after="60"/>
        <w:rPr>
          <w:rFonts w:cs="Arial"/>
          <w:sz w:val="28"/>
          <w:szCs w:val="22"/>
        </w:rPr>
      </w:pPr>
      <w:bookmarkStart w:id="1" w:name="_Toc134335524"/>
      <w:bookmarkStart w:id="2" w:name="_Toc134335588"/>
      <w:bookmarkStart w:id="3" w:name="_Toc225063399"/>
      <w:bookmarkStart w:id="4" w:name="_Toc322630276"/>
      <w:r>
        <w:rPr>
          <w:rFonts w:cs="Arial"/>
          <w:sz w:val="28"/>
          <w:szCs w:val="22"/>
        </w:rPr>
        <w:lastRenderedPageBreak/>
        <w:t>I</w:t>
      </w:r>
      <w:r w:rsidR="00DB2A74" w:rsidRPr="005946D0">
        <w:rPr>
          <w:rFonts w:cs="Arial"/>
          <w:sz w:val="28"/>
          <w:szCs w:val="22"/>
        </w:rPr>
        <w:t>ntroduction</w:t>
      </w:r>
      <w:bookmarkEnd w:id="1"/>
      <w:bookmarkEnd w:id="2"/>
      <w:bookmarkEnd w:id="3"/>
      <w:bookmarkEnd w:id="4"/>
    </w:p>
    <w:p w:rsidR="00EE5CFD" w:rsidRDefault="00FB12E5" w:rsidP="00A87911">
      <w:pPr>
        <w:pStyle w:val="BodyText"/>
        <w:spacing w:before="100" w:beforeAutospacing="1" w:after="100" w:afterAutospacing="1"/>
        <w:rPr>
          <w:rFonts w:cs="Arial"/>
          <w:szCs w:val="22"/>
          <w:lang w:val="en-AU"/>
        </w:rPr>
      </w:pPr>
      <w:r>
        <w:rPr>
          <w:rFonts w:cs="Arial"/>
          <w:szCs w:val="22"/>
          <w:lang w:val="en-AU"/>
        </w:rPr>
        <w:t xml:space="preserve">This </w:t>
      </w:r>
      <w:r w:rsidR="002A5422">
        <w:rPr>
          <w:rFonts w:cs="Arial"/>
          <w:szCs w:val="22"/>
          <w:lang w:val="en-AU"/>
        </w:rPr>
        <w:t>report</w:t>
      </w:r>
      <w:r>
        <w:rPr>
          <w:rFonts w:cs="Arial"/>
          <w:szCs w:val="22"/>
          <w:lang w:val="en-AU"/>
        </w:rPr>
        <w:t xml:space="preserve"> outlines the </w:t>
      </w:r>
      <w:r w:rsidR="009C7818">
        <w:rPr>
          <w:rFonts w:cs="Arial"/>
          <w:szCs w:val="22"/>
          <w:lang w:val="en-AU"/>
        </w:rPr>
        <w:t xml:space="preserve">background, methodology and </w:t>
      </w:r>
      <w:r>
        <w:rPr>
          <w:rFonts w:cs="Arial"/>
          <w:szCs w:val="22"/>
          <w:lang w:val="en-AU"/>
        </w:rPr>
        <w:t xml:space="preserve">findings of the </w:t>
      </w:r>
      <w:r w:rsidR="009D2E98">
        <w:rPr>
          <w:rFonts w:cs="Arial"/>
          <w:szCs w:val="22"/>
          <w:lang w:val="en-AU"/>
        </w:rPr>
        <w:t>audit</w:t>
      </w:r>
      <w:r w:rsidR="009C7818" w:rsidRPr="009C7818">
        <w:rPr>
          <w:rFonts w:cs="Arial"/>
          <w:szCs w:val="22"/>
          <w:lang w:val="en-AU"/>
        </w:rPr>
        <w:t xml:space="preserve"> of Job Services Australia </w:t>
      </w:r>
      <w:r w:rsidR="00B33430">
        <w:rPr>
          <w:rFonts w:cs="Arial"/>
          <w:szCs w:val="22"/>
          <w:lang w:val="en-AU"/>
        </w:rPr>
        <w:t xml:space="preserve">(JSA) </w:t>
      </w:r>
      <w:r w:rsidR="009C7818" w:rsidRPr="009C7818">
        <w:rPr>
          <w:rFonts w:cs="Arial"/>
          <w:szCs w:val="22"/>
          <w:lang w:val="en-AU"/>
        </w:rPr>
        <w:t>provider brokered outcomes</w:t>
      </w:r>
      <w:r w:rsidR="009C7818">
        <w:rPr>
          <w:rFonts w:cs="Arial"/>
          <w:szCs w:val="22"/>
          <w:lang w:val="en-AU"/>
        </w:rPr>
        <w:t xml:space="preserve"> (PBO).   </w:t>
      </w:r>
    </w:p>
    <w:p w:rsidR="002A5422" w:rsidRPr="002A5422" w:rsidRDefault="002A5422" w:rsidP="005F14C4">
      <w:pPr>
        <w:pStyle w:val="BodyText"/>
        <w:spacing w:before="100" w:beforeAutospacing="1" w:after="100" w:afterAutospacing="1"/>
        <w:rPr>
          <w:rFonts w:cs="Arial"/>
          <w:szCs w:val="22"/>
          <w:lang w:val="en-AU"/>
        </w:rPr>
      </w:pPr>
      <w:r>
        <w:rPr>
          <w:rFonts w:cs="Arial"/>
          <w:szCs w:val="22"/>
          <w:lang w:val="en-AU"/>
        </w:rPr>
        <w:t xml:space="preserve">The audit was announced by the Minister for Employment Participation, the Hon Kate Ellis MP, on </w:t>
      </w:r>
      <w:r w:rsidRPr="00543745">
        <w:rPr>
          <w:rFonts w:cs="Arial"/>
          <w:szCs w:val="22"/>
          <w:lang w:val="en-AU"/>
        </w:rPr>
        <w:t>2</w:t>
      </w:r>
      <w:r w:rsidR="00543745" w:rsidRPr="00543745">
        <w:rPr>
          <w:rFonts w:cs="Arial"/>
          <w:szCs w:val="22"/>
          <w:lang w:val="en-AU"/>
        </w:rPr>
        <w:t>2</w:t>
      </w:r>
      <w:r>
        <w:rPr>
          <w:rFonts w:cs="Arial"/>
          <w:szCs w:val="22"/>
          <w:lang w:val="en-AU"/>
        </w:rPr>
        <w:t xml:space="preserve"> December 2011 </w:t>
      </w:r>
      <w:r w:rsidRPr="002A5422">
        <w:rPr>
          <w:rFonts w:cs="Arial"/>
          <w:szCs w:val="22"/>
          <w:lang w:val="en-AU"/>
        </w:rPr>
        <w:t xml:space="preserve">following allegations </w:t>
      </w:r>
      <w:r>
        <w:rPr>
          <w:rFonts w:cs="Arial"/>
          <w:szCs w:val="22"/>
          <w:lang w:val="en-AU"/>
        </w:rPr>
        <w:t xml:space="preserve">about JSA providers inappropriately claiming fees for services they did not deliver.  The audit has been overseen by an independent advisor, Mr Robert Butterworth.   </w:t>
      </w:r>
    </w:p>
    <w:p w:rsidR="002A5422" w:rsidRPr="00C16305" w:rsidRDefault="002A5422" w:rsidP="002A5422">
      <w:pPr>
        <w:rPr>
          <w:rFonts w:cs="Arial"/>
          <w:szCs w:val="22"/>
        </w:rPr>
      </w:pPr>
      <w:r w:rsidRPr="00C16305">
        <w:rPr>
          <w:rFonts w:cs="Arial"/>
          <w:szCs w:val="22"/>
        </w:rPr>
        <w:t xml:space="preserve">The objectives of the audit </w:t>
      </w:r>
      <w:r w:rsidR="00F74621">
        <w:rPr>
          <w:rFonts w:cs="Arial"/>
          <w:szCs w:val="22"/>
        </w:rPr>
        <w:t>were</w:t>
      </w:r>
      <w:r w:rsidRPr="00C16305">
        <w:rPr>
          <w:rFonts w:cs="Arial"/>
          <w:szCs w:val="22"/>
        </w:rPr>
        <w:t xml:space="preserve"> to:</w:t>
      </w:r>
    </w:p>
    <w:p w:rsidR="00C8768A" w:rsidRDefault="00C16305" w:rsidP="00C16305">
      <w:pPr>
        <w:numPr>
          <w:ilvl w:val="0"/>
          <w:numId w:val="8"/>
        </w:numPr>
        <w:rPr>
          <w:rFonts w:cs="Arial"/>
          <w:szCs w:val="22"/>
        </w:rPr>
      </w:pPr>
      <w:r w:rsidRPr="00C16305">
        <w:rPr>
          <w:rFonts w:cs="Arial"/>
          <w:szCs w:val="22"/>
        </w:rPr>
        <w:t xml:space="preserve">consider whether changes to the </w:t>
      </w:r>
      <w:r w:rsidR="00B05269">
        <w:rPr>
          <w:rFonts w:cs="Arial"/>
          <w:szCs w:val="22"/>
        </w:rPr>
        <w:t>JSA</w:t>
      </w:r>
      <w:r w:rsidRPr="00C16305">
        <w:rPr>
          <w:rFonts w:cs="Arial"/>
          <w:szCs w:val="22"/>
        </w:rPr>
        <w:t xml:space="preserve"> program </w:t>
      </w:r>
      <w:r w:rsidR="00F74621">
        <w:rPr>
          <w:rFonts w:cs="Arial"/>
          <w:szCs w:val="22"/>
        </w:rPr>
        <w:t>were</w:t>
      </w:r>
      <w:r w:rsidRPr="00C16305">
        <w:rPr>
          <w:rFonts w:cs="Arial"/>
          <w:szCs w:val="22"/>
        </w:rPr>
        <w:t xml:space="preserve"> needed in relation to provider brokered and provider assisted outcome</w:t>
      </w:r>
      <w:r w:rsidR="00F74621">
        <w:rPr>
          <w:rFonts w:cs="Arial"/>
          <w:szCs w:val="22"/>
        </w:rPr>
        <w:t>s</w:t>
      </w:r>
      <w:r w:rsidRPr="00C16305">
        <w:rPr>
          <w:rFonts w:cs="Arial"/>
          <w:szCs w:val="22"/>
        </w:rPr>
        <w:t xml:space="preserve">; </w:t>
      </w:r>
      <w:r w:rsidR="00C8768A">
        <w:rPr>
          <w:rFonts w:cs="Arial"/>
          <w:szCs w:val="22"/>
        </w:rPr>
        <w:t>and</w:t>
      </w:r>
    </w:p>
    <w:p w:rsidR="002A5422" w:rsidRPr="00C16305" w:rsidRDefault="00C8768A" w:rsidP="00C16305">
      <w:pPr>
        <w:numPr>
          <w:ilvl w:val="0"/>
          <w:numId w:val="8"/>
        </w:numPr>
        <w:rPr>
          <w:rFonts w:cs="Arial"/>
          <w:szCs w:val="22"/>
        </w:rPr>
      </w:pPr>
      <w:r>
        <w:rPr>
          <w:rFonts w:cs="Arial"/>
          <w:szCs w:val="22"/>
        </w:rPr>
        <w:t xml:space="preserve">identify any potential for inappropriate practices by JSA providers in the claiming of PBOs.   </w:t>
      </w:r>
    </w:p>
    <w:p w:rsidR="00DB2A74" w:rsidRPr="00020533" w:rsidRDefault="009C7818" w:rsidP="002A5422">
      <w:pPr>
        <w:pStyle w:val="Heading2"/>
        <w:spacing w:before="360"/>
        <w:rPr>
          <w:rFonts w:cs="Arial"/>
          <w:sz w:val="24"/>
          <w:szCs w:val="24"/>
        </w:rPr>
      </w:pPr>
      <w:bookmarkStart w:id="5" w:name="_Toc322630277"/>
      <w:r w:rsidRPr="00020533">
        <w:rPr>
          <w:rFonts w:cs="Arial"/>
          <w:sz w:val="24"/>
          <w:szCs w:val="24"/>
        </w:rPr>
        <w:t>Job Services Australia</w:t>
      </w:r>
      <w:bookmarkEnd w:id="5"/>
    </w:p>
    <w:p w:rsidR="002F31F8" w:rsidRDefault="008C3BD9" w:rsidP="002A5422">
      <w:pPr>
        <w:autoSpaceDE w:val="0"/>
        <w:autoSpaceDN w:val="0"/>
        <w:adjustRightInd w:val="0"/>
        <w:rPr>
          <w:rFonts w:cs="Arial"/>
          <w:kern w:val="24"/>
          <w:szCs w:val="22"/>
          <w:lang w:eastAsia="en-AU"/>
        </w:rPr>
      </w:pPr>
      <w:r>
        <w:rPr>
          <w:rFonts w:cs="Arial"/>
          <w:szCs w:val="22"/>
        </w:rPr>
        <w:t xml:space="preserve">JSA </w:t>
      </w:r>
      <w:r w:rsidR="00691E5B">
        <w:rPr>
          <w:rFonts w:cs="Arial"/>
          <w:szCs w:val="22"/>
        </w:rPr>
        <w:t xml:space="preserve">was introduced on </w:t>
      </w:r>
      <w:r w:rsidR="0034736E">
        <w:rPr>
          <w:rFonts w:cs="Arial"/>
          <w:szCs w:val="22"/>
        </w:rPr>
        <w:t xml:space="preserve">1 </w:t>
      </w:r>
      <w:r w:rsidR="00691E5B">
        <w:rPr>
          <w:rFonts w:cs="Arial"/>
          <w:szCs w:val="22"/>
        </w:rPr>
        <w:t>July 2009</w:t>
      </w:r>
      <w:r w:rsidR="00691E5B" w:rsidRPr="00691E5B">
        <w:rPr>
          <w:rFonts w:cs="Arial"/>
          <w:szCs w:val="22"/>
        </w:rPr>
        <w:t xml:space="preserve"> to provide </w:t>
      </w:r>
      <w:r>
        <w:rPr>
          <w:rFonts w:cs="Arial"/>
          <w:szCs w:val="22"/>
        </w:rPr>
        <w:t>unemployed people</w:t>
      </w:r>
      <w:r w:rsidR="002F31F8" w:rsidRPr="00691E5B">
        <w:rPr>
          <w:rFonts w:cs="Arial"/>
          <w:szCs w:val="22"/>
        </w:rPr>
        <w:t xml:space="preserve"> </w:t>
      </w:r>
      <w:r w:rsidR="00691E5B" w:rsidRPr="00691E5B">
        <w:rPr>
          <w:rFonts w:cs="Arial"/>
          <w:szCs w:val="22"/>
        </w:rPr>
        <w:t xml:space="preserve">with flexible and tailored support to assist them to obtain </w:t>
      </w:r>
      <w:r>
        <w:rPr>
          <w:rFonts w:cs="Arial"/>
          <w:szCs w:val="22"/>
        </w:rPr>
        <w:t>ongoing</w:t>
      </w:r>
      <w:r w:rsidR="00691E5B" w:rsidRPr="00691E5B">
        <w:rPr>
          <w:rFonts w:cs="Arial"/>
          <w:szCs w:val="22"/>
        </w:rPr>
        <w:t xml:space="preserve"> employment. </w:t>
      </w:r>
      <w:r w:rsidR="002F31F8">
        <w:rPr>
          <w:rFonts w:cs="Arial"/>
          <w:kern w:val="24"/>
          <w:szCs w:val="22"/>
          <w:lang w:eastAsia="en-AU"/>
        </w:rPr>
        <w:t>JSA</w:t>
      </w:r>
      <w:r w:rsidR="002F31F8" w:rsidRPr="00B526B4">
        <w:rPr>
          <w:rFonts w:cs="Arial"/>
          <w:kern w:val="24"/>
          <w:szCs w:val="22"/>
          <w:lang w:eastAsia="en-AU"/>
        </w:rPr>
        <w:t xml:space="preserve"> focuses on the needs of the most disadvantaged job seekers</w:t>
      </w:r>
      <w:r w:rsidR="002F31F8">
        <w:rPr>
          <w:rFonts w:cs="Arial"/>
          <w:kern w:val="24"/>
          <w:szCs w:val="22"/>
          <w:lang w:eastAsia="en-AU"/>
        </w:rPr>
        <w:t xml:space="preserve"> </w:t>
      </w:r>
      <w:r w:rsidR="002F31F8" w:rsidRPr="00B526B4">
        <w:rPr>
          <w:rFonts w:cs="Arial"/>
          <w:kern w:val="24"/>
          <w:szCs w:val="22"/>
          <w:lang w:eastAsia="en-AU"/>
        </w:rPr>
        <w:t xml:space="preserve">and </w:t>
      </w:r>
      <w:r w:rsidR="002F31F8">
        <w:rPr>
          <w:rFonts w:cs="Arial"/>
          <w:kern w:val="24"/>
          <w:szCs w:val="22"/>
          <w:lang w:eastAsia="en-AU"/>
        </w:rPr>
        <w:t>aims to</w:t>
      </w:r>
      <w:r w:rsidR="002F31F8" w:rsidRPr="00B526B4">
        <w:rPr>
          <w:rFonts w:cs="Arial"/>
          <w:kern w:val="24"/>
          <w:szCs w:val="22"/>
          <w:lang w:eastAsia="en-AU"/>
        </w:rPr>
        <w:t xml:space="preserve"> boost </w:t>
      </w:r>
      <w:r>
        <w:rPr>
          <w:rFonts w:cs="Arial"/>
          <w:kern w:val="24"/>
          <w:szCs w:val="22"/>
          <w:lang w:eastAsia="en-AU"/>
        </w:rPr>
        <w:t xml:space="preserve">their </w:t>
      </w:r>
      <w:r w:rsidR="002F31F8" w:rsidRPr="00B526B4">
        <w:rPr>
          <w:rFonts w:cs="Arial"/>
          <w:kern w:val="24"/>
          <w:szCs w:val="22"/>
          <w:lang w:eastAsia="en-AU"/>
        </w:rPr>
        <w:t>employment participation and productive capacity to better meet the needs of employers.</w:t>
      </w:r>
    </w:p>
    <w:p w:rsidR="002F31F8" w:rsidRDefault="002F31F8" w:rsidP="002A5422">
      <w:pPr>
        <w:autoSpaceDE w:val="0"/>
        <w:autoSpaceDN w:val="0"/>
        <w:adjustRightInd w:val="0"/>
        <w:rPr>
          <w:rFonts w:cs="Arial"/>
          <w:szCs w:val="22"/>
          <w:lang w:eastAsia="en-AU"/>
        </w:rPr>
      </w:pPr>
      <w:r>
        <w:rPr>
          <w:rFonts w:cs="Arial"/>
          <w:szCs w:val="22"/>
          <w:lang w:eastAsia="en-AU"/>
        </w:rPr>
        <w:t>JSA comprises four streams, with services, funding and</w:t>
      </w:r>
      <w:r w:rsidR="0034736E">
        <w:rPr>
          <w:rFonts w:cs="Arial"/>
          <w:szCs w:val="22"/>
          <w:lang w:eastAsia="en-AU"/>
        </w:rPr>
        <w:t xml:space="preserve"> the</w:t>
      </w:r>
      <w:r>
        <w:rPr>
          <w:rFonts w:cs="Arial"/>
          <w:szCs w:val="22"/>
          <w:lang w:eastAsia="en-AU"/>
        </w:rPr>
        <w:t xml:space="preserve"> recognition of performance increasing with the level of disadvantage experienced by the job seeker. Job seekers </w:t>
      </w:r>
      <w:r w:rsidR="00377AFA">
        <w:rPr>
          <w:rFonts w:cs="Arial"/>
          <w:szCs w:val="22"/>
          <w:lang w:eastAsia="en-AU"/>
        </w:rPr>
        <w:t xml:space="preserve">with </w:t>
      </w:r>
      <w:r w:rsidRPr="00B526B4">
        <w:rPr>
          <w:rFonts w:cs="Arial"/>
          <w:szCs w:val="22"/>
          <w:lang w:eastAsia="en-AU"/>
        </w:rPr>
        <w:t xml:space="preserve">significant barriers are referred to Streams </w:t>
      </w:r>
      <w:r w:rsidR="00AC4351">
        <w:rPr>
          <w:rFonts w:cs="Arial"/>
          <w:szCs w:val="22"/>
          <w:lang w:eastAsia="en-AU"/>
        </w:rPr>
        <w:t>Two and Three</w:t>
      </w:r>
      <w:r w:rsidRPr="00B526B4">
        <w:rPr>
          <w:rFonts w:cs="Arial"/>
          <w:szCs w:val="22"/>
          <w:lang w:eastAsia="en-AU"/>
        </w:rPr>
        <w:t xml:space="preserve"> respectively and those with multiple barriers are referred to Stream </w:t>
      </w:r>
      <w:r w:rsidR="00AC4351">
        <w:rPr>
          <w:rFonts w:cs="Arial"/>
          <w:szCs w:val="22"/>
          <w:lang w:eastAsia="en-AU"/>
        </w:rPr>
        <w:t>Four</w:t>
      </w:r>
      <w:r w:rsidRPr="00B526B4">
        <w:rPr>
          <w:rFonts w:cs="Arial"/>
          <w:szCs w:val="22"/>
          <w:lang w:eastAsia="en-AU"/>
        </w:rPr>
        <w:t>.</w:t>
      </w:r>
    </w:p>
    <w:p w:rsidR="00724589" w:rsidRDefault="00FB5C90" w:rsidP="002A5422">
      <w:pPr>
        <w:autoSpaceDE w:val="0"/>
        <w:autoSpaceDN w:val="0"/>
        <w:adjustRightInd w:val="0"/>
        <w:rPr>
          <w:rFonts w:cs="Arial"/>
          <w:szCs w:val="22"/>
          <w:lang w:eastAsia="en-AU"/>
        </w:rPr>
      </w:pPr>
      <w:r w:rsidRPr="00024900">
        <w:rPr>
          <w:rFonts w:cs="Arial"/>
          <w:szCs w:val="22"/>
          <w:lang w:eastAsia="en-AU"/>
        </w:rPr>
        <w:t xml:space="preserve">Over 100 </w:t>
      </w:r>
      <w:r w:rsidR="00446873" w:rsidRPr="00024900">
        <w:rPr>
          <w:rFonts w:cs="Arial"/>
          <w:szCs w:val="22"/>
          <w:lang w:eastAsia="en-AU"/>
        </w:rPr>
        <w:t>organisations</w:t>
      </w:r>
      <w:r w:rsidRPr="00024900">
        <w:rPr>
          <w:rFonts w:cs="Arial"/>
          <w:szCs w:val="22"/>
          <w:lang w:eastAsia="en-AU"/>
        </w:rPr>
        <w:t xml:space="preserve"> </w:t>
      </w:r>
      <w:r w:rsidR="00377AFA">
        <w:rPr>
          <w:rFonts w:cs="Arial"/>
          <w:szCs w:val="22"/>
          <w:lang w:eastAsia="en-AU"/>
        </w:rPr>
        <w:t xml:space="preserve">are contracted by </w:t>
      </w:r>
      <w:r w:rsidR="00F74621">
        <w:rPr>
          <w:rFonts w:cs="Arial"/>
          <w:szCs w:val="22"/>
          <w:lang w:eastAsia="en-AU"/>
        </w:rPr>
        <w:t>the Department of Education, Employment and Workplace Relations (</w:t>
      </w:r>
      <w:r w:rsidR="00377AFA">
        <w:rPr>
          <w:rFonts w:cs="Arial"/>
          <w:szCs w:val="22"/>
          <w:lang w:eastAsia="en-AU"/>
        </w:rPr>
        <w:t>DEEWR</w:t>
      </w:r>
      <w:r w:rsidR="00F74621">
        <w:rPr>
          <w:rFonts w:cs="Arial"/>
          <w:szCs w:val="22"/>
          <w:lang w:eastAsia="en-AU"/>
        </w:rPr>
        <w:t>)</w:t>
      </w:r>
      <w:r w:rsidR="00377AFA">
        <w:rPr>
          <w:rFonts w:cs="Arial"/>
          <w:szCs w:val="22"/>
          <w:lang w:eastAsia="en-AU"/>
        </w:rPr>
        <w:t xml:space="preserve"> to </w:t>
      </w:r>
      <w:r w:rsidR="00446873" w:rsidRPr="00024900">
        <w:rPr>
          <w:rFonts w:cs="Arial"/>
          <w:szCs w:val="22"/>
          <w:lang w:eastAsia="en-AU"/>
        </w:rPr>
        <w:t>deliver JSA services</w:t>
      </w:r>
      <w:r w:rsidRPr="00024900">
        <w:rPr>
          <w:rFonts w:cs="Arial"/>
          <w:szCs w:val="22"/>
          <w:lang w:eastAsia="en-AU"/>
        </w:rPr>
        <w:t xml:space="preserve"> </w:t>
      </w:r>
      <w:r w:rsidR="00446873" w:rsidRPr="00024900">
        <w:rPr>
          <w:rFonts w:cs="Arial"/>
          <w:szCs w:val="22"/>
          <w:lang w:eastAsia="en-AU"/>
        </w:rPr>
        <w:t>from</w:t>
      </w:r>
      <w:r w:rsidRPr="00024900">
        <w:rPr>
          <w:rFonts w:cs="Arial"/>
          <w:szCs w:val="22"/>
          <w:lang w:eastAsia="en-AU"/>
        </w:rPr>
        <w:t xml:space="preserve"> over 2,000 locations across Australia.  Providers range from small local organisations to national </w:t>
      </w:r>
      <w:r w:rsidR="00446873" w:rsidRPr="00024900">
        <w:rPr>
          <w:rFonts w:cs="Arial"/>
          <w:szCs w:val="22"/>
          <w:lang w:eastAsia="en-AU"/>
        </w:rPr>
        <w:t>not</w:t>
      </w:r>
      <w:r w:rsidR="00E13612">
        <w:rPr>
          <w:rFonts w:cs="Arial"/>
          <w:szCs w:val="22"/>
          <w:lang w:eastAsia="en-AU"/>
        </w:rPr>
        <w:t>-for-</w:t>
      </w:r>
      <w:r w:rsidRPr="00024900">
        <w:rPr>
          <w:rFonts w:cs="Arial"/>
          <w:szCs w:val="22"/>
          <w:lang w:eastAsia="en-AU"/>
        </w:rPr>
        <w:t xml:space="preserve">profit and </w:t>
      </w:r>
      <w:r w:rsidR="00446873" w:rsidRPr="00024900">
        <w:rPr>
          <w:rFonts w:cs="Arial"/>
          <w:szCs w:val="22"/>
          <w:lang w:eastAsia="en-AU"/>
        </w:rPr>
        <w:t>private</w:t>
      </w:r>
      <w:r w:rsidRPr="00024900">
        <w:rPr>
          <w:rFonts w:cs="Arial"/>
          <w:szCs w:val="22"/>
          <w:lang w:eastAsia="en-AU"/>
        </w:rPr>
        <w:t xml:space="preserve"> organisations.  </w:t>
      </w:r>
      <w:r w:rsidR="004B2159" w:rsidRPr="00024900">
        <w:rPr>
          <w:rFonts w:cs="Arial"/>
          <w:szCs w:val="22"/>
          <w:lang w:eastAsia="en-AU"/>
        </w:rPr>
        <w:t xml:space="preserve">  </w:t>
      </w:r>
      <w:r w:rsidRPr="00024900">
        <w:rPr>
          <w:rFonts w:cs="Arial"/>
          <w:szCs w:val="22"/>
          <w:lang w:eastAsia="en-AU"/>
        </w:rPr>
        <w:t xml:space="preserve"> </w:t>
      </w:r>
    </w:p>
    <w:p w:rsidR="00A50284" w:rsidRDefault="00FB5C90" w:rsidP="002A5422">
      <w:pPr>
        <w:autoSpaceDE w:val="0"/>
        <w:autoSpaceDN w:val="0"/>
        <w:adjustRightInd w:val="0"/>
        <w:rPr>
          <w:rFonts w:cs="Arial"/>
          <w:szCs w:val="22"/>
          <w:lang w:eastAsia="en-AU"/>
        </w:rPr>
      </w:pPr>
      <w:r w:rsidRPr="00024900">
        <w:rPr>
          <w:rFonts w:cs="Arial"/>
          <w:szCs w:val="22"/>
          <w:lang w:eastAsia="en-AU"/>
        </w:rPr>
        <w:t>There are over 7</w:t>
      </w:r>
      <w:r w:rsidR="00F30CFF">
        <w:rPr>
          <w:rFonts w:cs="Arial"/>
          <w:szCs w:val="22"/>
          <w:lang w:eastAsia="en-AU"/>
        </w:rPr>
        <w:t>3</w:t>
      </w:r>
      <w:r w:rsidRPr="00024900">
        <w:rPr>
          <w:rFonts w:cs="Arial"/>
          <w:szCs w:val="22"/>
          <w:lang w:eastAsia="en-AU"/>
        </w:rPr>
        <w:t>0,000 job seekers currently being assisted by JSA providers</w:t>
      </w:r>
      <w:r w:rsidR="004B2159" w:rsidRPr="00024900">
        <w:rPr>
          <w:rFonts w:cs="Arial"/>
          <w:szCs w:val="22"/>
          <w:lang w:eastAsia="en-AU"/>
        </w:rPr>
        <w:t xml:space="preserve">.  Assistance is tailored to an individual </w:t>
      </w:r>
      <w:r w:rsidR="005565B5">
        <w:rPr>
          <w:rFonts w:cs="Arial"/>
          <w:szCs w:val="22"/>
          <w:lang w:eastAsia="en-AU"/>
        </w:rPr>
        <w:t xml:space="preserve">job seeker’s </w:t>
      </w:r>
      <w:r w:rsidR="004B2159" w:rsidRPr="00024900">
        <w:rPr>
          <w:rFonts w:cs="Arial"/>
          <w:szCs w:val="22"/>
          <w:lang w:eastAsia="en-AU"/>
        </w:rPr>
        <w:t>needs</w:t>
      </w:r>
      <w:r w:rsidR="00A50284">
        <w:rPr>
          <w:rFonts w:cs="Arial"/>
          <w:szCs w:val="22"/>
          <w:lang w:eastAsia="en-AU"/>
        </w:rPr>
        <w:t xml:space="preserve">.  </w:t>
      </w:r>
      <w:r w:rsidR="00724589">
        <w:rPr>
          <w:rFonts w:cs="Arial"/>
          <w:szCs w:val="22"/>
          <w:lang w:eastAsia="en-AU"/>
        </w:rPr>
        <w:t>Assistance</w:t>
      </w:r>
      <w:r w:rsidR="00A50284">
        <w:rPr>
          <w:rFonts w:cs="Arial"/>
          <w:szCs w:val="22"/>
          <w:lang w:eastAsia="en-AU"/>
        </w:rPr>
        <w:t xml:space="preserve"> could for example include training, </w:t>
      </w:r>
      <w:r w:rsidR="004B2159" w:rsidRPr="00024900">
        <w:rPr>
          <w:rFonts w:cs="Arial"/>
          <w:szCs w:val="22"/>
          <w:lang w:eastAsia="en-AU"/>
        </w:rPr>
        <w:t xml:space="preserve">job preparation </w:t>
      </w:r>
      <w:r w:rsidR="00A50284">
        <w:rPr>
          <w:rFonts w:cs="Arial"/>
          <w:szCs w:val="22"/>
          <w:lang w:eastAsia="en-AU"/>
        </w:rPr>
        <w:t>or help with</w:t>
      </w:r>
      <w:r w:rsidR="00A50284" w:rsidRPr="00024900">
        <w:rPr>
          <w:rFonts w:cs="Arial"/>
          <w:szCs w:val="22"/>
          <w:lang w:eastAsia="en-AU"/>
        </w:rPr>
        <w:t xml:space="preserve"> fares to get to job interviews, </w:t>
      </w:r>
      <w:r w:rsidR="00024900">
        <w:rPr>
          <w:rFonts w:cs="Arial"/>
          <w:szCs w:val="22"/>
          <w:lang w:eastAsia="en-AU"/>
        </w:rPr>
        <w:t>as well as</w:t>
      </w:r>
      <w:r w:rsidR="004B2159" w:rsidRPr="00024900">
        <w:rPr>
          <w:rFonts w:cs="Arial"/>
          <w:szCs w:val="22"/>
          <w:lang w:eastAsia="en-AU"/>
        </w:rPr>
        <w:t xml:space="preserve"> non vocation</w:t>
      </w:r>
      <w:r w:rsidR="00A50284">
        <w:rPr>
          <w:rFonts w:cs="Arial"/>
          <w:szCs w:val="22"/>
          <w:lang w:eastAsia="en-AU"/>
        </w:rPr>
        <w:t>al</w:t>
      </w:r>
      <w:r w:rsidR="004B2159" w:rsidRPr="00024900">
        <w:rPr>
          <w:rFonts w:cs="Arial"/>
          <w:szCs w:val="22"/>
          <w:lang w:eastAsia="en-AU"/>
        </w:rPr>
        <w:t xml:space="preserve"> assistance to address </w:t>
      </w:r>
      <w:r w:rsidR="00024900">
        <w:rPr>
          <w:rFonts w:cs="Arial"/>
          <w:szCs w:val="22"/>
          <w:lang w:eastAsia="en-AU"/>
        </w:rPr>
        <w:t xml:space="preserve">a job seeker’s </w:t>
      </w:r>
      <w:r w:rsidR="004B2159" w:rsidRPr="00024900">
        <w:rPr>
          <w:rFonts w:cs="Arial"/>
          <w:szCs w:val="22"/>
          <w:lang w:eastAsia="en-AU"/>
        </w:rPr>
        <w:t>more significant barrier</w:t>
      </w:r>
      <w:r w:rsidR="00024900">
        <w:rPr>
          <w:rFonts w:cs="Arial"/>
          <w:szCs w:val="22"/>
          <w:lang w:eastAsia="en-AU"/>
        </w:rPr>
        <w:t>s</w:t>
      </w:r>
      <w:r w:rsidR="004B2159" w:rsidRPr="00024900">
        <w:rPr>
          <w:rFonts w:cs="Arial"/>
          <w:szCs w:val="22"/>
          <w:lang w:eastAsia="en-AU"/>
        </w:rPr>
        <w:t xml:space="preserve"> to employment</w:t>
      </w:r>
      <w:r w:rsidR="00024900">
        <w:rPr>
          <w:rFonts w:cs="Arial"/>
          <w:szCs w:val="22"/>
          <w:lang w:eastAsia="en-AU"/>
        </w:rPr>
        <w:t xml:space="preserve"> from personal circumstances such as homelessness, addiction, limited education or </w:t>
      </w:r>
      <w:r w:rsidR="00933589">
        <w:rPr>
          <w:rFonts w:cs="Arial"/>
          <w:szCs w:val="22"/>
          <w:lang w:eastAsia="en-AU"/>
        </w:rPr>
        <w:t>disability</w:t>
      </w:r>
      <w:r w:rsidR="004B2159" w:rsidRPr="00024900">
        <w:rPr>
          <w:rFonts w:cs="Arial"/>
          <w:szCs w:val="22"/>
          <w:lang w:eastAsia="en-AU"/>
        </w:rPr>
        <w:t xml:space="preserve">. </w:t>
      </w:r>
    </w:p>
    <w:p w:rsidR="00A50284" w:rsidRDefault="00933589" w:rsidP="00ED3D04">
      <w:pPr>
        <w:rPr>
          <w:rFonts w:cs="Arial"/>
          <w:szCs w:val="22"/>
          <w:lang w:eastAsia="en-AU"/>
        </w:rPr>
      </w:pPr>
      <w:r>
        <w:rPr>
          <w:rFonts w:cs="Arial"/>
          <w:szCs w:val="22"/>
          <w:lang w:eastAsia="en-AU"/>
        </w:rPr>
        <w:t xml:space="preserve">JSA </w:t>
      </w:r>
      <w:r w:rsidR="00A50284">
        <w:rPr>
          <w:rFonts w:cs="Arial"/>
          <w:szCs w:val="22"/>
          <w:lang w:eastAsia="en-AU"/>
        </w:rPr>
        <w:t>providers</w:t>
      </w:r>
      <w:r>
        <w:rPr>
          <w:rFonts w:cs="Arial"/>
          <w:szCs w:val="22"/>
          <w:lang w:eastAsia="en-AU"/>
        </w:rPr>
        <w:t xml:space="preserve"> </w:t>
      </w:r>
      <w:r w:rsidR="00AB0AF1">
        <w:rPr>
          <w:rFonts w:cs="Arial"/>
          <w:szCs w:val="22"/>
          <w:lang w:eastAsia="en-AU"/>
        </w:rPr>
        <w:t xml:space="preserve">work with employers </w:t>
      </w:r>
      <w:r w:rsidR="00A50284">
        <w:rPr>
          <w:rFonts w:cs="Arial"/>
          <w:szCs w:val="22"/>
          <w:lang w:eastAsia="en-AU"/>
        </w:rPr>
        <w:t>to provide sustainable jobs for unemployed people, including those who may not have worked for long periods of time. JSA providers up</w:t>
      </w:r>
      <w:r w:rsidR="00724589">
        <w:rPr>
          <w:rFonts w:cs="Arial"/>
          <w:szCs w:val="22"/>
          <w:lang w:eastAsia="en-AU"/>
        </w:rPr>
        <w:t>-</w:t>
      </w:r>
      <w:r w:rsidR="00A50284">
        <w:rPr>
          <w:rFonts w:cs="Arial"/>
          <w:szCs w:val="22"/>
          <w:lang w:eastAsia="en-AU"/>
        </w:rPr>
        <w:t xml:space="preserve">skill job seekers so they have the training and personal attributes employers are </w:t>
      </w:r>
      <w:r w:rsidR="001F1167">
        <w:rPr>
          <w:rFonts w:cs="Arial"/>
          <w:szCs w:val="22"/>
          <w:lang w:eastAsia="en-AU"/>
        </w:rPr>
        <w:t>seeking</w:t>
      </w:r>
      <w:r w:rsidR="00A50284">
        <w:rPr>
          <w:rFonts w:cs="Arial"/>
          <w:szCs w:val="22"/>
          <w:lang w:eastAsia="en-AU"/>
        </w:rPr>
        <w:t xml:space="preserve">.  </w:t>
      </w:r>
    </w:p>
    <w:p w:rsidR="00BC6A43" w:rsidRPr="001F1167" w:rsidRDefault="00BC6A43" w:rsidP="001F1167">
      <w:pPr>
        <w:autoSpaceDE w:val="0"/>
        <w:autoSpaceDN w:val="0"/>
        <w:adjustRightInd w:val="0"/>
        <w:rPr>
          <w:rFonts w:cs="Arial"/>
          <w:szCs w:val="22"/>
          <w:lang w:eastAsia="en-AU"/>
        </w:rPr>
      </w:pPr>
      <w:r w:rsidRPr="001F1167">
        <w:rPr>
          <w:rFonts w:cs="Arial"/>
          <w:szCs w:val="22"/>
          <w:lang w:eastAsia="en-AU"/>
        </w:rPr>
        <w:t xml:space="preserve">JSA is a large and complex human services program, with </w:t>
      </w:r>
      <w:r w:rsidR="00AB0AF1" w:rsidRPr="001F1167">
        <w:rPr>
          <w:rFonts w:cs="Arial"/>
          <w:szCs w:val="22"/>
          <w:lang w:eastAsia="en-AU"/>
        </w:rPr>
        <w:t>o</w:t>
      </w:r>
      <w:r w:rsidRPr="001F1167">
        <w:rPr>
          <w:rFonts w:cs="Arial"/>
          <w:szCs w:val="22"/>
          <w:lang w:eastAsia="en-AU"/>
        </w:rPr>
        <w:t>ver 6.5</w:t>
      </w:r>
      <w:r w:rsidR="00126768" w:rsidRPr="001F1167">
        <w:rPr>
          <w:rFonts w:cs="Arial"/>
          <w:szCs w:val="22"/>
          <w:lang w:eastAsia="en-AU"/>
        </w:rPr>
        <w:t xml:space="preserve"> </w:t>
      </w:r>
      <w:r w:rsidRPr="001F1167">
        <w:rPr>
          <w:rFonts w:cs="Arial"/>
          <w:szCs w:val="22"/>
          <w:lang w:eastAsia="en-AU"/>
        </w:rPr>
        <w:t>m</w:t>
      </w:r>
      <w:r w:rsidR="00126768" w:rsidRPr="001F1167">
        <w:rPr>
          <w:rFonts w:cs="Arial"/>
          <w:szCs w:val="22"/>
          <w:lang w:eastAsia="en-AU"/>
        </w:rPr>
        <w:t>illion</w:t>
      </w:r>
      <w:r w:rsidRPr="001F1167">
        <w:rPr>
          <w:rFonts w:cs="Arial"/>
          <w:szCs w:val="22"/>
          <w:lang w:eastAsia="en-AU"/>
        </w:rPr>
        <w:t xml:space="preserve"> transactions recorded through the information technology system</w:t>
      </w:r>
      <w:r w:rsidR="00AB0AF1" w:rsidRPr="001F1167">
        <w:rPr>
          <w:rFonts w:cs="Arial"/>
          <w:szCs w:val="22"/>
          <w:lang w:eastAsia="en-AU"/>
        </w:rPr>
        <w:t xml:space="preserve"> </w:t>
      </w:r>
      <w:r w:rsidRPr="001F1167">
        <w:rPr>
          <w:rFonts w:cs="Arial"/>
          <w:szCs w:val="22"/>
          <w:lang w:eastAsia="en-AU"/>
        </w:rPr>
        <w:t xml:space="preserve">that connects </w:t>
      </w:r>
      <w:r w:rsidR="00AB0AF1" w:rsidRPr="001F1167">
        <w:rPr>
          <w:rFonts w:cs="Arial"/>
          <w:szCs w:val="22"/>
          <w:lang w:eastAsia="en-AU"/>
        </w:rPr>
        <w:t>DEEWR</w:t>
      </w:r>
      <w:r w:rsidRPr="001F1167">
        <w:rPr>
          <w:rFonts w:cs="Arial"/>
          <w:szCs w:val="22"/>
          <w:lang w:eastAsia="en-AU"/>
        </w:rPr>
        <w:t xml:space="preserve">, employment services providers and Centrelink every day.  </w:t>
      </w:r>
    </w:p>
    <w:p w:rsidR="00530AA3" w:rsidRDefault="00A87911" w:rsidP="001F1167">
      <w:pPr>
        <w:autoSpaceDE w:val="0"/>
        <w:autoSpaceDN w:val="0"/>
        <w:adjustRightInd w:val="0"/>
        <w:rPr>
          <w:rFonts w:cs="Arial"/>
          <w:szCs w:val="22"/>
          <w:lang w:eastAsia="en-AU"/>
        </w:rPr>
      </w:pPr>
      <w:r>
        <w:rPr>
          <w:rFonts w:cs="Arial"/>
          <w:szCs w:val="22"/>
          <w:lang w:eastAsia="en-AU"/>
        </w:rPr>
        <w:t xml:space="preserve">The scale of JSA, </w:t>
      </w:r>
      <w:r w:rsidR="00AB0AF1">
        <w:rPr>
          <w:rFonts w:cs="Arial"/>
          <w:szCs w:val="22"/>
          <w:lang w:eastAsia="en-AU"/>
        </w:rPr>
        <w:t xml:space="preserve">the </w:t>
      </w:r>
      <w:r>
        <w:rPr>
          <w:rFonts w:cs="Arial"/>
          <w:szCs w:val="22"/>
          <w:lang w:eastAsia="en-AU"/>
        </w:rPr>
        <w:t xml:space="preserve">diversity of providers and the provision of </w:t>
      </w:r>
      <w:r w:rsidR="00AB0AF1">
        <w:rPr>
          <w:rFonts w:cs="Arial"/>
          <w:szCs w:val="22"/>
          <w:lang w:eastAsia="en-AU"/>
        </w:rPr>
        <w:t xml:space="preserve">flexible and </w:t>
      </w:r>
      <w:r w:rsidR="00A31F57">
        <w:rPr>
          <w:rFonts w:cs="Arial"/>
          <w:szCs w:val="22"/>
          <w:lang w:eastAsia="en-AU"/>
        </w:rPr>
        <w:t>individualised</w:t>
      </w:r>
      <w:r>
        <w:rPr>
          <w:rFonts w:cs="Arial"/>
          <w:szCs w:val="22"/>
          <w:lang w:eastAsia="en-AU"/>
        </w:rPr>
        <w:t xml:space="preserve"> services means that the management of JSA needs to balance </w:t>
      </w:r>
      <w:r w:rsidR="00A31F57">
        <w:rPr>
          <w:rFonts w:cs="Arial"/>
          <w:szCs w:val="22"/>
          <w:lang w:eastAsia="en-AU"/>
        </w:rPr>
        <w:t>accountability</w:t>
      </w:r>
      <w:r>
        <w:rPr>
          <w:rFonts w:cs="Arial"/>
          <w:szCs w:val="22"/>
          <w:lang w:eastAsia="en-AU"/>
        </w:rPr>
        <w:t xml:space="preserve"> while aiming to keep the administration burden on providers as low as possible.   </w:t>
      </w:r>
    </w:p>
    <w:p w:rsidR="00CA7ACB" w:rsidRDefault="00530AA3" w:rsidP="001F1167">
      <w:pPr>
        <w:autoSpaceDE w:val="0"/>
        <w:autoSpaceDN w:val="0"/>
        <w:adjustRightInd w:val="0"/>
        <w:rPr>
          <w:rFonts w:cs="Arial"/>
          <w:szCs w:val="22"/>
          <w:lang w:eastAsia="en-AU"/>
        </w:rPr>
      </w:pPr>
      <w:r w:rsidRPr="001F1167">
        <w:rPr>
          <w:rFonts w:cs="Arial"/>
          <w:szCs w:val="22"/>
          <w:lang w:eastAsia="en-AU"/>
        </w:rPr>
        <w:t xml:space="preserve">JSA </w:t>
      </w:r>
      <w:r w:rsidR="001F1167">
        <w:rPr>
          <w:rFonts w:cs="Arial"/>
          <w:szCs w:val="22"/>
          <w:lang w:eastAsia="en-AU"/>
        </w:rPr>
        <w:t xml:space="preserve">assurance </w:t>
      </w:r>
      <w:r w:rsidR="00F235BD">
        <w:rPr>
          <w:rFonts w:cs="Arial"/>
          <w:szCs w:val="22"/>
          <w:lang w:eastAsia="en-AU"/>
        </w:rPr>
        <w:t xml:space="preserve">operates under a risk based framework and </w:t>
      </w:r>
      <w:r w:rsidRPr="001F1167">
        <w:rPr>
          <w:rFonts w:cs="Arial"/>
          <w:szCs w:val="22"/>
          <w:lang w:eastAsia="en-AU"/>
        </w:rPr>
        <w:t xml:space="preserve">includes a network of State based account managers, </w:t>
      </w:r>
      <w:r>
        <w:rPr>
          <w:rFonts w:cs="Arial"/>
          <w:szCs w:val="22"/>
          <w:lang w:eastAsia="en-AU"/>
        </w:rPr>
        <w:t>a</w:t>
      </w:r>
      <w:r w:rsidRPr="00DD5AAE">
        <w:rPr>
          <w:rFonts w:cs="Arial"/>
          <w:szCs w:val="22"/>
          <w:lang w:eastAsia="en-AU"/>
        </w:rPr>
        <w:t>n information technology system that provides</w:t>
      </w:r>
      <w:r w:rsidRPr="00DD5AAE">
        <w:rPr>
          <w:rFonts w:cs="Arial"/>
          <w:szCs w:val="22"/>
        </w:rPr>
        <w:t xml:space="preserve"> extensive </w:t>
      </w:r>
      <w:r w:rsidRPr="00DD5AAE">
        <w:rPr>
          <w:rFonts w:cs="Arial"/>
          <w:szCs w:val="22"/>
        </w:rPr>
        <w:lastRenderedPageBreak/>
        <w:t>operational and management data and intelligence to identify trends and variations in patterns</w:t>
      </w:r>
      <w:r w:rsidR="00F235BD">
        <w:rPr>
          <w:rFonts w:cs="Arial"/>
          <w:szCs w:val="22"/>
        </w:rPr>
        <w:t>,</w:t>
      </w:r>
      <w:r>
        <w:rPr>
          <w:rFonts w:cs="Arial"/>
          <w:szCs w:val="22"/>
        </w:rPr>
        <w:t xml:space="preserve"> on-line </w:t>
      </w:r>
      <w:r w:rsidR="001F1167">
        <w:rPr>
          <w:rFonts w:cs="Arial"/>
          <w:szCs w:val="22"/>
        </w:rPr>
        <w:t>verification</w:t>
      </w:r>
      <w:r>
        <w:rPr>
          <w:rFonts w:cs="Arial"/>
          <w:szCs w:val="22"/>
        </w:rPr>
        <w:t xml:space="preserve"> with Centrelink data</w:t>
      </w:r>
      <w:r w:rsidR="00F235BD">
        <w:rPr>
          <w:rFonts w:cs="Arial"/>
          <w:szCs w:val="22"/>
        </w:rPr>
        <w:t xml:space="preserve"> and a complaints and feedback process.</w:t>
      </w:r>
    </w:p>
    <w:p w:rsidR="007033F2" w:rsidRPr="0034736E" w:rsidRDefault="0034736E" w:rsidP="00CA7ACB">
      <w:pPr>
        <w:pStyle w:val="Heading2"/>
        <w:spacing w:before="360"/>
        <w:rPr>
          <w:rFonts w:cs="Arial"/>
          <w:sz w:val="24"/>
          <w:szCs w:val="24"/>
        </w:rPr>
      </w:pPr>
      <w:bookmarkStart w:id="6" w:name="_Toc322630278"/>
      <w:r w:rsidRPr="0034736E">
        <w:rPr>
          <w:rFonts w:cs="Arial"/>
          <w:sz w:val="24"/>
          <w:szCs w:val="24"/>
        </w:rPr>
        <w:t>Job Services Australia</w:t>
      </w:r>
      <w:r>
        <w:rPr>
          <w:rFonts w:cs="Arial"/>
          <w:sz w:val="24"/>
          <w:szCs w:val="24"/>
        </w:rPr>
        <w:t xml:space="preserve"> </w:t>
      </w:r>
      <w:r w:rsidR="007033F2" w:rsidRPr="0034736E">
        <w:rPr>
          <w:rFonts w:cs="Arial"/>
          <w:sz w:val="24"/>
          <w:szCs w:val="24"/>
        </w:rPr>
        <w:t>Performance</w:t>
      </w:r>
      <w:bookmarkEnd w:id="6"/>
    </w:p>
    <w:p w:rsidR="00451C94" w:rsidRDefault="00451C94" w:rsidP="002A5422">
      <w:pPr>
        <w:pStyle w:val="ListParagraph"/>
        <w:ind w:left="0"/>
        <w:contextualSpacing w:val="0"/>
        <w:rPr>
          <w:rFonts w:ascii="Arial" w:hAnsi="Arial" w:cs="Arial"/>
          <w:sz w:val="22"/>
          <w:szCs w:val="22"/>
        </w:rPr>
      </w:pPr>
    </w:p>
    <w:p w:rsidR="00A50284" w:rsidRDefault="00A50284" w:rsidP="002A5422">
      <w:pPr>
        <w:pStyle w:val="ListParagraph"/>
        <w:ind w:left="0"/>
        <w:contextualSpacing w:val="0"/>
        <w:rPr>
          <w:rFonts w:ascii="Arial" w:hAnsi="Arial" w:cs="Arial"/>
          <w:sz w:val="22"/>
          <w:szCs w:val="22"/>
        </w:rPr>
      </w:pPr>
      <w:r w:rsidRPr="00A50284">
        <w:rPr>
          <w:rFonts w:ascii="Arial" w:hAnsi="Arial" w:cs="Arial"/>
          <w:sz w:val="22"/>
          <w:szCs w:val="22"/>
        </w:rPr>
        <w:t xml:space="preserve">Since 1 July 2009, there </w:t>
      </w:r>
      <w:r w:rsidR="00A55A34" w:rsidRPr="00A50284">
        <w:rPr>
          <w:rFonts w:ascii="Arial" w:hAnsi="Arial" w:cs="Arial"/>
          <w:sz w:val="22"/>
          <w:szCs w:val="22"/>
        </w:rPr>
        <w:t>has</w:t>
      </w:r>
      <w:r w:rsidRPr="00A50284">
        <w:rPr>
          <w:rFonts w:ascii="Arial" w:hAnsi="Arial" w:cs="Arial"/>
          <w:sz w:val="22"/>
          <w:szCs w:val="22"/>
        </w:rPr>
        <w:t xml:space="preserve"> been well over one million job placements recorded</w:t>
      </w:r>
      <w:r w:rsidR="008C3BD9">
        <w:rPr>
          <w:rFonts w:ascii="Arial" w:hAnsi="Arial" w:cs="Arial"/>
          <w:sz w:val="22"/>
          <w:szCs w:val="22"/>
        </w:rPr>
        <w:t xml:space="preserve"> for JSA</w:t>
      </w:r>
      <w:r w:rsidRPr="00A50284">
        <w:rPr>
          <w:rFonts w:ascii="Arial" w:hAnsi="Arial" w:cs="Arial"/>
          <w:sz w:val="22"/>
          <w:szCs w:val="22"/>
        </w:rPr>
        <w:t>, wh</w:t>
      </w:r>
      <w:r w:rsidR="0034736E">
        <w:rPr>
          <w:rFonts w:ascii="Arial" w:hAnsi="Arial" w:cs="Arial"/>
          <w:sz w:val="22"/>
          <w:szCs w:val="22"/>
        </w:rPr>
        <w:t>ich is an improvement of over 7 per cent</w:t>
      </w:r>
      <w:r w:rsidRPr="00A50284">
        <w:rPr>
          <w:rFonts w:ascii="Arial" w:hAnsi="Arial" w:cs="Arial"/>
          <w:sz w:val="22"/>
          <w:szCs w:val="22"/>
        </w:rPr>
        <w:t xml:space="preserve"> on the number of placements recorded </w:t>
      </w:r>
      <w:r w:rsidR="00A55A34">
        <w:rPr>
          <w:rFonts w:ascii="Arial" w:hAnsi="Arial" w:cs="Arial"/>
          <w:sz w:val="22"/>
          <w:szCs w:val="22"/>
        </w:rPr>
        <w:t>in</w:t>
      </w:r>
      <w:r w:rsidRPr="00A50284">
        <w:rPr>
          <w:rFonts w:ascii="Arial" w:hAnsi="Arial" w:cs="Arial"/>
          <w:sz w:val="22"/>
          <w:szCs w:val="22"/>
        </w:rPr>
        <w:t xml:space="preserve"> the first 30 months of the last Job Network contract</w:t>
      </w:r>
      <w:r>
        <w:rPr>
          <w:rFonts w:ascii="Arial" w:hAnsi="Arial" w:cs="Arial"/>
          <w:sz w:val="22"/>
          <w:szCs w:val="22"/>
        </w:rPr>
        <w:t xml:space="preserve">.  </w:t>
      </w:r>
      <w:r w:rsidR="001A688E">
        <w:rPr>
          <w:rFonts w:ascii="Arial" w:hAnsi="Arial" w:cs="Arial"/>
          <w:sz w:val="22"/>
          <w:szCs w:val="22"/>
        </w:rPr>
        <w:t>T</w:t>
      </w:r>
      <w:r w:rsidRPr="00A50284">
        <w:rPr>
          <w:rFonts w:ascii="Arial" w:hAnsi="Arial" w:cs="Arial"/>
          <w:sz w:val="22"/>
          <w:szCs w:val="22"/>
        </w:rPr>
        <w:t xml:space="preserve">here has also been an increased focus on assisting the most disadvantaged job seekers.  Employment outcomes for job seekers in Stream </w:t>
      </w:r>
      <w:r w:rsidR="00A31F57">
        <w:rPr>
          <w:rFonts w:ascii="Arial" w:hAnsi="Arial" w:cs="Arial"/>
          <w:sz w:val="22"/>
          <w:szCs w:val="22"/>
        </w:rPr>
        <w:t>Four</w:t>
      </w:r>
      <w:r w:rsidRPr="00A50284">
        <w:rPr>
          <w:rFonts w:ascii="Arial" w:hAnsi="Arial" w:cs="Arial"/>
          <w:sz w:val="22"/>
          <w:szCs w:val="22"/>
        </w:rPr>
        <w:t xml:space="preserve"> (</w:t>
      </w:r>
      <w:r w:rsidR="00A55A34">
        <w:rPr>
          <w:rFonts w:ascii="Arial" w:hAnsi="Arial" w:cs="Arial"/>
          <w:sz w:val="22"/>
          <w:szCs w:val="22"/>
        </w:rPr>
        <w:t>for the most disadvantaged job seekers</w:t>
      </w:r>
      <w:r w:rsidRPr="00A50284">
        <w:rPr>
          <w:rFonts w:ascii="Arial" w:hAnsi="Arial" w:cs="Arial"/>
          <w:sz w:val="22"/>
          <w:szCs w:val="22"/>
        </w:rPr>
        <w:t>) are nearly a 90</w:t>
      </w:r>
      <w:r w:rsidR="0034736E">
        <w:rPr>
          <w:rFonts w:ascii="Arial" w:hAnsi="Arial" w:cs="Arial"/>
          <w:sz w:val="22"/>
          <w:szCs w:val="22"/>
        </w:rPr>
        <w:t xml:space="preserve"> per cent</w:t>
      </w:r>
      <w:r w:rsidRPr="00A50284">
        <w:rPr>
          <w:rFonts w:ascii="Arial" w:hAnsi="Arial" w:cs="Arial"/>
          <w:sz w:val="22"/>
          <w:szCs w:val="22"/>
        </w:rPr>
        <w:t xml:space="preserve"> improvement on the previous arrangements under the former Personal Support Program.</w:t>
      </w:r>
    </w:p>
    <w:p w:rsidR="00A50284" w:rsidRPr="00A50284" w:rsidRDefault="00A50284" w:rsidP="002A5422">
      <w:pPr>
        <w:pStyle w:val="ListParagraph"/>
        <w:ind w:left="0"/>
        <w:contextualSpacing w:val="0"/>
        <w:rPr>
          <w:rFonts w:ascii="Arial" w:hAnsi="Arial" w:cs="Arial"/>
          <w:sz w:val="22"/>
          <w:szCs w:val="22"/>
        </w:rPr>
      </w:pPr>
    </w:p>
    <w:p w:rsidR="009C7818" w:rsidRPr="005E026F" w:rsidRDefault="009C7818" w:rsidP="002A5422">
      <w:pPr>
        <w:pStyle w:val="Heading1"/>
        <w:spacing w:before="60" w:after="60"/>
        <w:rPr>
          <w:rFonts w:cs="Arial"/>
          <w:sz w:val="28"/>
          <w:szCs w:val="22"/>
        </w:rPr>
      </w:pPr>
      <w:bookmarkStart w:id="7" w:name="_Toc322630279"/>
      <w:r w:rsidRPr="005E026F">
        <w:rPr>
          <w:rFonts w:cs="Arial"/>
          <w:sz w:val="28"/>
          <w:szCs w:val="22"/>
        </w:rPr>
        <w:t>Provider Brokered Outcomes</w:t>
      </w:r>
      <w:bookmarkEnd w:id="7"/>
      <w:r w:rsidRPr="005E026F">
        <w:rPr>
          <w:rFonts w:cs="Arial"/>
          <w:sz w:val="28"/>
          <w:szCs w:val="22"/>
        </w:rPr>
        <w:t xml:space="preserve"> </w:t>
      </w:r>
    </w:p>
    <w:p w:rsidR="00126768" w:rsidRDefault="00BF67F0" w:rsidP="00CA7ACB">
      <w:r>
        <w:t xml:space="preserve">The </w:t>
      </w:r>
      <w:r w:rsidR="00A31F57">
        <w:t>payment</w:t>
      </w:r>
      <w:r>
        <w:t xml:space="preserve"> structure for JSA comprises service, job placement and outcome fees</w:t>
      </w:r>
      <w:r w:rsidR="00A31F57">
        <w:t xml:space="preserve">. </w:t>
      </w:r>
      <w:r>
        <w:t xml:space="preserve"> An Employment Pathway Fund is also available </w:t>
      </w:r>
      <w:r w:rsidR="000749CE">
        <w:t xml:space="preserve">for providers to </w:t>
      </w:r>
      <w:r w:rsidR="00CB52BF" w:rsidRPr="00CB52BF">
        <w:t xml:space="preserve">purchase training and other support to help </w:t>
      </w:r>
      <w:r w:rsidR="00CB52BF">
        <w:t>job seekers</w:t>
      </w:r>
      <w:r w:rsidR="00CB52BF" w:rsidRPr="00CB52BF">
        <w:t xml:space="preserve"> find and keep a job</w:t>
      </w:r>
      <w:r w:rsidR="00CB52BF">
        <w:t xml:space="preserve">.  </w:t>
      </w:r>
      <w:r>
        <w:t xml:space="preserve"> </w:t>
      </w:r>
    </w:p>
    <w:p w:rsidR="00F9434E" w:rsidRDefault="00BF67F0" w:rsidP="00CA7ACB">
      <w:r>
        <w:t>J</w:t>
      </w:r>
      <w:r w:rsidR="00447BA6">
        <w:t xml:space="preserve">ob placement </w:t>
      </w:r>
      <w:r w:rsidR="005565B5">
        <w:t>fee</w:t>
      </w:r>
      <w:r>
        <w:t xml:space="preserve">s are </w:t>
      </w:r>
      <w:r w:rsidR="00F9434E">
        <w:t>payable when</w:t>
      </w:r>
      <w:r w:rsidR="005565B5">
        <w:t xml:space="preserve"> </w:t>
      </w:r>
      <w:r w:rsidR="00BD1327">
        <w:t xml:space="preserve">a </w:t>
      </w:r>
      <w:r w:rsidR="00F9434E">
        <w:t>job seeker is matched,</w:t>
      </w:r>
      <w:r w:rsidR="00BD1327">
        <w:t xml:space="preserve"> screen</w:t>
      </w:r>
      <w:r w:rsidR="00F9434E">
        <w:t>ed</w:t>
      </w:r>
      <w:r w:rsidR="00425483">
        <w:t xml:space="preserve">, </w:t>
      </w:r>
      <w:r w:rsidR="00BD1327">
        <w:t>refer</w:t>
      </w:r>
      <w:r w:rsidR="00F9434E">
        <w:t>red</w:t>
      </w:r>
      <w:r w:rsidR="00D73D9A">
        <w:t xml:space="preserve"> </w:t>
      </w:r>
      <w:r w:rsidR="00425483">
        <w:t xml:space="preserve"> and place</w:t>
      </w:r>
      <w:r w:rsidR="009D60CA">
        <w:t>d</w:t>
      </w:r>
      <w:r w:rsidR="00425483">
        <w:t xml:space="preserve"> in</w:t>
      </w:r>
      <w:r w:rsidR="00D73D9A">
        <w:t xml:space="preserve"> a </w:t>
      </w:r>
      <w:r w:rsidR="0034736E">
        <w:t>vacancy</w:t>
      </w:r>
      <w:r w:rsidR="00A31F57" w:rsidRPr="00A31F57">
        <w:t xml:space="preserve"> </w:t>
      </w:r>
      <w:r w:rsidR="00A31F57">
        <w:t>and works a specified number of hours over a ten day period</w:t>
      </w:r>
      <w:r w:rsidR="00D73D9A">
        <w:t xml:space="preserve">.  </w:t>
      </w:r>
      <w:r w:rsidR="0034736E">
        <w:t>Job placement</w:t>
      </w:r>
      <w:r w:rsidR="00D73D9A">
        <w:t xml:space="preserve"> has been</w:t>
      </w:r>
      <w:r w:rsidR="005565B5">
        <w:t xml:space="preserve"> an ongoing feature of outsourced employment services</w:t>
      </w:r>
      <w:r w:rsidR="00F9434E">
        <w:t xml:space="preserve"> since 1997</w:t>
      </w:r>
      <w:r w:rsidR="00D73D9A">
        <w:t xml:space="preserve"> and</w:t>
      </w:r>
      <w:r w:rsidR="00D73D9A" w:rsidRPr="00D73D9A">
        <w:t xml:space="preserve"> </w:t>
      </w:r>
      <w:r w:rsidR="00D73D9A">
        <w:t>recognises that in some instances, especially for disadvantaged job seekers, not all job placements result in ongoing employment opportunities</w:t>
      </w:r>
      <w:r w:rsidR="00F9434E">
        <w:t xml:space="preserve">.      </w:t>
      </w:r>
    </w:p>
    <w:p w:rsidR="00A31F57" w:rsidRPr="00A31F57" w:rsidRDefault="00A31F57" w:rsidP="00CA7ACB">
      <w:r>
        <w:t>JSA outcome fees are payable once a job seeker has maintained employment for 13 or 26 consecutive weeks.  Payment</w:t>
      </w:r>
      <w:r w:rsidRPr="004D28F3">
        <w:t xml:space="preserve"> rates</w:t>
      </w:r>
      <w:r w:rsidR="0034736E">
        <w:t xml:space="preserve"> to providers</w:t>
      </w:r>
      <w:r w:rsidRPr="004D28F3">
        <w:t xml:space="preserve"> vary by </w:t>
      </w:r>
      <w:r w:rsidR="0034736E">
        <w:t xml:space="preserve">a job seeker’s </w:t>
      </w:r>
      <w:r w:rsidRPr="004D28F3">
        <w:t>Stream and length of unemployment.</w:t>
      </w:r>
      <w:r w:rsidRPr="00A31F57">
        <w:t xml:space="preserve">  </w:t>
      </w:r>
      <w:r>
        <w:t>Where appropriate, t</w:t>
      </w:r>
      <w:r w:rsidRPr="00A31F57">
        <w:t>he reduction in a job seeker</w:t>
      </w:r>
      <w:r>
        <w:t>’</w:t>
      </w:r>
      <w:r w:rsidRPr="00A31F57">
        <w:t xml:space="preserve">s income support from work is checked through data exchange with Centrelink before </w:t>
      </w:r>
      <w:r w:rsidR="0034736E">
        <w:t xml:space="preserve">an </w:t>
      </w:r>
      <w:r w:rsidRPr="00A31F57">
        <w:t>outcome fee</w:t>
      </w:r>
      <w:r w:rsidR="0034736E">
        <w:t xml:space="preserve"> is</w:t>
      </w:r>
      <w:r w:rsidRPr="00A31F57">
        <w:t xml:space="preserve"> paid.  </w:t>
      </w:r>
    </w:p>
    <w:p w:rsidR="00E7527B" w:rsidRDefault="001A688E" w:rsidP="00CA7ACB">
      <w:r>
        <w:t>D</w:t>
      </w:r>
      <w:r w:rsidR="00377AFA">
        <w:t xml:space="preserve">espite strong labour markets in many areas and sectors, employers remain reluctant to take on disadvantaged job seekers.  </w:t>
      </w:r>
      <w:r w:rsidR="00F9434E">
        <w:t>The policy design of JSA sought to</w:t>
      </w:r>
      <w:r>
        <w:t xml:space="preserve"> build on the job placement model </w:t>
      </w:r>
      <w:r w:rsidR="00BF67F0">
        <w:t xml:space="preserve">and further recognise </w:t>
      </w:r>
      <w:r w:rsidR="00F9434E">
        <w:t xml:space="preserve">the importance of JSA providers directly engaging with employers </w:t>
      </w:r>
      <w:r w:rsidR="006051FA">
        <w:t>by</w:t>
      </w:r>
      <w:r w:rsidR="00BF67F0">
        <w:t xml:space="preserve"> </w:t>
      </w:r>
      <w:r w:rsidR="006051FA">
        <w:t>introducing PBOs at</w:t>
      </w:r>
      <w:r w:rsidR="00BF67F0">
        <w:t xml:space="preserve"> 13 and 26 weeks of employment.  </w:t>
      </w:r>
      <w:r w:rsidR="00F9434E">
        <w:t xml:space="preserve"> </w:t>
      </w:r>
    </w:p>
    <w:p w:rsidR="00EE6041" w:rsidRDefault="008D3D82" w:rsidP="002A5422">
      <w:r>
        <w:rPr>
          <w:rFonts w:cs="Arial"/>
          <w:b/>
          <w:bCs/>
          <w:color w:val="000000"/>
          <w:szCs w:val="22"/>
        </w:rPr>
        <w:t xml:space="preserve">Table 1: </w:t>
      </w:r>
      <w:r w:rsidR="0034736E">
        <w:rPr>
          <w:rFonts w:cs="Arial"/>
          <w:b/>
          <w:bCs/>
          <w:color w:val="000000"/>
          <w:szCs w:val="22"/>
        </w:rPr>
        <w:t xml:space="preserve">Provider Assisted and </w:t>
      </w:r>
      <w:r>
        <w:rPr>
          <w:rFonts w:cs="Arial"/>
          <w:b/>
          <w:bCs/>
          <w:color w:val="000000"/>
          <w:szCs w:val="22"/>
        </w:rPr>
        <w:t>Provider Brokered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65"/>
      </w:tblGrid>
      <w:tr w:rsidR="006051FA" w:rsidTr="006051FA">
        <w:trPr>
          <w:trHeight w:val="1488"/>
        </w:trPr>
        <w:tc>
          <w:tcPr>
            <w:tcW w:w="1921" w:type="dxa"/>
          </w:tcPr>
          <w:p w:rsidR="006051FA" w:rsidRDefault="006051FA" w:rsidP="00AD1ED0">
            <w:r>
              <w:t>Provider Assisted Outcomes (PAOs)</w:t>
            </w:r>
          </w:p>
          <w:p w:rsidR="006051FA" w:rsidRDefault="006051FA" w:rsidP="00AD1ED0"/>
        </w:tc>
        <w:tc>
          <w:tcPr>
            <w:tcW w:w="7365" w:type="dxa"/>
          </w:tcPr>
          <w:p w:rsidR="006051FA" w:rsidRDefault="006051FA" w:rsidP="0034736E">
            <w:r>
              <w:t xml:space="preserve">Payable for eligible jobs where there is no pre-existing relationship between the JSA provider and employer when a job seeker is selected for a job.  The JSA provider may have helped the job seeker to prepare </w:t>
            </w:r>
            <w:r w:rsidR="0034736E">
              <w:t>for work</w:t>
            </w:r>
            <w:r>
              <w:t xml:space="preserve">, but is not directly involved in sourcing the job from the employer at the beginning.  </w:t>
            </w:r>
          </w:p>
        </w:tc>
      </w:tr>
      <w:tr w:rsidR="00022CCA" w:rsidTr="006051FA">
        <w:trPr>
          <w:trHeight w:val="1438"/>
        </w:trPr>
        <w:tc>
          <w:tcPr>
            <w:tcW w:w="1921" w:type="dxa"/>
          </w:tcPr>
          <w:p w:rsidR="00022CCA" w:rsidRDefault="00825197" w:rsidP="002A5422">
            <w:r>
              <w:rPr>
                <w:noProof/>
                <w:lang w:eastAsia="en-AU"/>
              </w:rPr>
              <mc:AlternateContent>
                <mc:Choice Requires="wps">
                  <w:drawing>
                    <wp:anchor distT="0" distB="0" distL="114300" distR="114300" simplePos="0" relativeHeight="251656192" behindDoc="0" locked="0" layoutInCell="1" allowOverlap="1">
                      <wp:simplePos x="0" y="0"/>
                      <wp:positionH relativeFrom="column">
                        <wp:posOffset>-1168400</wp:posOffset>
                      </wp:positionH>
                      <wp:positionV relativeFrom="paragraph">
                        <wp:posOffset>34290</wp:posOffset>
                      </wp:positionV>
                      <wp:extent cx="960120" cy="1036955"/>
                      <wp:effectExtent l="3175"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03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0CA" w:rsidRPr="000C0626" w:rsidRDefault="009D60CA" w:rsidP="000C06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2pt;margin-top:2.7pt;width:75.6pt;height:8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TggQ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" stroked="f">
                      <v:textbox>
                        <w:txbxContent>
                          <w:p w:rsidR="009D60CA" w:rsidRPr="000C0626" w:rsidRDefault="009D60CA" w:rsidP="000C0626"/>
                        </w:txbxContent>
                      </v:textbox>
                    </v:shape>
                  </w:pict>
                </mc:Fallback>
              </mc:AlternateContent>
            </w:r>
            <w:r w:rsidR="00022CCA">
              <w:t>Provider Brokered Outcomes</w:t>
            </w:r>
            <w:r w:rsidR="00B33430">
              <w:t xml:space="preserve"> (PBOs)</w:t>
            </w:r>
          </w:p>
          <w:p w:rsidR="00F83E0F" w:rsidRDefault="00F83E0F" w:rsidP="002A5422"/>
        </w:tc>
        <w:tc>
          <w:tcPr>
            <w:tcW w:w="7365" w:type="dxa"/>
          </w:tcPr>
          <w:p w:rsidR="00022CCA" w:rsidRDefault="00022CCA" w:rsidP="00ED3037">
            <w:r>
              <w:t>Payable where the JSA provider has d</w:t>
            </w:r>
            <w:r w:rsidRPr="00022CCA">
              <w:t xml:space="preserve">irect contact with </w:t>
            </w:r>
            <w:r>
              <w:t>an</w:t>
            </w:r>
            <w:r w:rsidRPr="00022CCA">
              <w:t xml:space="preserve"> employer to identify </w:t>
            </w:r>
            <w:r>
              <w:t xml:space="preserve">a </w:t>
            </w:r>
            <w:r w:rsidRPr="00022CCA">
              <w:t>vacanc</w:t>
            </w:r>
            <w:r>
              <w:t>y(</w:t>
            </w:r>
            <w:r w:rsidRPr="00022CCA">
              <w:t>ies</w:t>
            </w:r>
            <w:r>
              <w:t>)</w:t>
            </w:r>
            <w:r w:rsidRPr="00022CCA">
              <w:t xml:space="preserve"> and provide</w:t>
            </w:r>
            <w:r w:rsidR="00A55A34">
              <w:t>s a direct</w:t>
            </w:r>
            <w:r w:rsidRPr="00022CCA">
              <w:t xml:space="preserve"> recruitment service</w:t>
            </w:r>
            <w:r>
              <w:t>.</w:t>
            </w:r>
            <w:r w:rsidRPr="00022CCA">
              <w:t xml:space="preserve"> The </w:t>
            </w:r>
            <w:r>
              <w:t xml:space="preserve">JSA </w:t>
            </w:r>
            <w:r w:rsidR="007C4BCD">
              <w:t>provider</w:t>
            </w:r>
            <w:r>
              <w:t xml:space="preserve"> </w:t>
            </w:r>
            <w:r w:rsidRPr="00022CCA">
              <w:t>screen</w:t>
            </w:r>
            <w:r>
              <w:t>s, matches</w:t>
            </w:r>
            <w:r w:rsidR="00ED3037">
              <w:t>, r</w:t>
            </w:r>
            <w:r>
              <w:t>efers</w:t>
            </w:r>
            <w:r w:rsidRPr="00022CCA">
              <w:t xml:space="preserve"> </w:t>
            </w:r>
            <w:r w:rsidR="00ED3037">
              <w:t xml:space="preserve">and places </w:t>
            </w:r>
            <w:r w:rsidR="00801CD6">
              <w:t xml:space="preserve">a </w:t>
            </w:r>
            <w:r w:rsidRPr="00022CCA">
              <w:t xml:space="preserve">suitable job seeker(s) from their caseload to </w:t>
            </w:r>
            <w:r w:rsidR="00A55A34">
              <w:t>a</w:t>
            </w:r>
            <w:r w:rsidRPr="00022CCA">
              <w:t xml:space="preserve"> vacancy</w:t>
            </w:r>
            <w:r w:rsidR="00A55A34">
              <w:t xml:space="preserve"> for the employer</w:t>
            </w:r>
            <w:r w:rsidR="007C4BCD">
              <w:t xml:space="preserve">.  </w:t>
            </w:r>
          </w:p>
        </w:tc>
      </w:tr>
    </w:tbl>
    <w:p w:rsidR="00D73D9A" w:rsidRDefault="007F77D2" w:rsidP="00ED3D04">
      <w:r w:rsidRPr="007F77D2">
        <w:t>A loading o</w:t>
      </w:r>
      <w:r>
        <w:t>f</w:t>
      </w:r>
      <w:r w:rsidRPr="007F77D2">
        <w:t xml:space="preserve"> bet</w:t>
      </w:r>
      <w:r w:rsidR="00194DB6" w:rsidRPr="00A60641">
        <w:t xml:space="preserve">ween </w:t>
      </w:r>
      <w:r w:rsidR="00A60641" w:rsidRPr="00A60641">
        <w:t>around $1</w:t>
      </w:r>
      <w:r w:rsidR="003E7116">
        <w:t>04</w:t>
      </w:r>
      <w:r w:rsidR="00A60641" w:rsidRPr="00A60641">
        <w:t xml:space="preserve"> and $</w:t>
      </w:r>
      <w:r w:rsidR="003E7116">
        <w:t>752</w:t>
      </w:r>
      <w:r w:rsidR="00A60641" w:rsidRPr="00A60641">
        <w:t xml:space="preserve"> </w:t>
      </w:r>
      <w:r>
        <w:t>is available for</w:t>
      </w:r>
      <w:r w:rsidR="00A60641" w:rsidRPr="00A60641">
        <w:t xml:space="preserve"> </w:t>
      </w:r>
      <w:r>
        <w:t>a PBO</w:t>
      </w:r>
      <w:r w:rsidR="00A60641">
        <w:t xml:space="preserve"> </w:t>
      </w:r>
      <w:r w:rsidR="00A60641" w:rsidRPr="00A60641">
        <w:t>claim</w:t>
      </w:r>
      <w:r>
        <w:t xml:space="preserve"> on top of the PA</w:t>
      </w:r>
      <w:r w:rsidR="006C6A84">
        <w:t>O</w:t>
      </w:r>
      <w:r>
        <w:t xml:space="preserve"> rate</w:t>
      </w:r>
      <w:r w:rsidR="00A60641" w:rsidRPr="00A60641">
        <w:t>.</w:t>
      </w:r>
      <w:r w:rsidR="00A60641">
        <w:rPr>
          <w:rFonts w:ascii="Verdana" w:hAnsi="Verdana"/>
          <w:sz w:val="20"/>
        </w:rPr>
        <w:t xml:space="preserve">  </w:t>
      </w:r>
      <w:r w:rsidR="00A60641">
        <w:t xml:space="preserve">This increased amount </w:t>
      </w:r>
      <w:r w:rsidR="00452605">
        <w:t xml:space="preserve">recognises how </w:t>
      </w:r>
      <w:r w:rsidR="0096164B">
        <w:t xml:space="preserve">the job was found but is still only payable after the job seeker has been employed for 13 and 26 weeks.  </w:t>
      </w:r>
    </w:p>
    <w:p w:rsidR="001F1167" w:rsidRDefault="001F1167" w:rsidP="00ED3D04"/>
    <w:p w:rsidR="001F1167" w:rsidRDefault="001F1167" w:rsidP="00ED3D04"/>
    <w:p w:rsidR="00D73D9A" w:rsidRPr="00ED3D04" w:rsidRDefault="00D73D9A" w:rsidP="00D73D9A">
      <w:pPr>
        <w:rPr>
          <w:rFonts w:cs="Arial"/>
          <w:b/>
          <w:bCs/>
          <w:color w:val="000000"/>
          <w:szCs w:val="22"/>
        </w:rPr>
      </w:pPr>
      <w:r>
        <w:rPr>
          <w:rFonts w:cs="Arial"/>
          <w:b/>
          <w:bCs/>
          <w:color w:val="000000"/>
          <w:szCs w:val="22"/>
        </w:rPr>
        <w:lastRenderedPageBreak/>
        <w:t xml:space="preserve">Table 2: </w:t>
      </w:r>
      <w:r w:rsidRPr="00ED3D04">
        <w:rPr>
          <w:rFonts w:cs="Arial"/>
          <w:b/>
          <w:bCs/>
          <w:color w:val="000000"/>
          <w:szCs w:val="22"/>
        </w:rPr>
        <w:t xml:space="preserve">JSA </w:t>
      </w:r>
      <w:r w:rsidR="0034736E">
        <w:rPr>
          <w:rFonts w:cs="Arial"/>
          <w:b/>
          <w:bCs/>
          <w:color w:val="000000"/>
          <w:szCs w:val="22"/>
        </w:rPr>
        <w:t>Provider Assisted and Provider Brokered payment rates</w:t>
      </w:r>
    </w:p>
    <w:tbl>
      <w:tblPr>
        <w:tblStyle w:val="TableGrid"/>
        <w:tblW w:w="0" w:type="auto"/>
        <w:tblLook w:val="04A0" w:firstRow="1" w:lastRow="0" w:firstColumn="1" w:lastColumn="0" w:noHBand="0" w:noVBand="1"/>
      </w:tblPr>
      <w:tblGrid>
        <w:gridCol w:w="2179"/>
        <w:gridCol w:w="2324"/>
        <w:gridCol w:w="2268"/>
      </w:tblGrid>
      <w:tr w:rsidR="00793FBF" w:rsidRPr="00D73D9A" w:rsidTr="00D73D9A">
        <w:tc>
          <w:tcPr>
            <w:tcW w:w="2179" w:type="dxa"/>
          </w:tcPr>
          <w:p w:rsidR="00793FBF" w:rsidRPr="00D73D9A" w:rsidRDefault="00793FBF" w:rsidP="00A9333C">
            <w:pPr>
              <w:rPr>
                <w:b/>
                <w:sz w:val="20"/>
              </w:rPr>
            </w:pPr>
            <w:r w:rsidRPr="00D73D9A">
              <w:rPr>
                <w:b/>
                <w:sz w:val="20"/>
              </w:rPr>
              <w:t xml:space="preserve">Outcome category </w:t>
            </w:r>
          </w:p>
        </w:tc>
        <w:tc>
          <w:tcPr>
            <w:tcW w:w="2324" w:type="dxa"/>
          </w:tcPr>
          <w:p w:rsidR="00793FBF" w:rsidRPr="00D73D9A" w:rsidRDefault="00793FBF" w:rsidP="00D73D9A">
            <w:pPr>
              <w:rPr>
                <w:b/>
                <w:sz w:val="20"/>
              </w:rPr>
            </w:pPr>
            <w:r w:rsidRPr="00D73D9A">
              <w:rPr>
                <w:b/>
                <w:sz w:val="20"/>
              </w:rPr>
              <w:t>Minimum payment to JSA for Stream 1</w:t>
            </w:r>
          </w:p>
        </w:tc>
        <w:tc>
          <w:tcPr>
            <w:tcW w:w="2268" w:type="dxa"/>
          </w:tcPr>
          <w:p w:rsidR="00793FBF" w:rsidRPr="00D73D9A" w:rsidRDefault="00793FBF" w:rsidP="00D73D9A">
            <w:pPr>
              <w:rPr>
                <w:b/>
                <w:sz w:val="20"/>
              </w:rPr>
            </w:pPr>
            <w:r w:rsidRPr="00D73D9A">
              <w:rPr>
                <w:b/>
                <w:sz w:val="20"/>
              </w:rPr>
              <w:t>Maximum payment to JSA for Stream 4</w:t>
            </w:r>
          </w:p>
        </w:tc>
      </w:tr>
      <w:tr w:rsidR="00793FBF" w:rsidTr="00D73D9A">
        <w:tc>
          <w:tcPr>
            <w:tcW w:w="2179" w:type="dxa"/>
          </w:tcPr>
          <w:p w:rsidR="00793FBF" w:rsidRPr="00D73D9A" w:rsidRDefault="00793FBF" w:rsidP="00A9333C">
            <w:pPr>
              <w:rPr>
                <w:b/>
                <w:sz w:val="20"/>
              </w:rPr>
            </w:pPr>
            <w:r w:rsidRPr="00D73D9A">
              <w:rPr>
                <w:b/>
                <w:sz w:val="20"/>
              </w:rPr>
              <w:t>PAO</w:t>
            </w:r>
          </w:p>
        </w:tc>
        <w:tc>
          <w:tcPr>
            <w:tcW w:w="2324" w:type="dxa"/>
          </w:tcPr>
          <w:p w:rsidR="00793FBF" w:rsidRPr="00D73D9A" w:rsidRDefault="00793FBF" w:rsidP="00A9333C">
            <w:pPr>
              <w:rPr>
                <w:sz w:val="20"/>
              </w:rPr>
            </w:pPr>
            <w:r w:rsidRPr="00D73D9A">
              <w:rPr>
                <w:sz w:val="20"/>
              </w:rPr>
              <w:t>$252</w:t>
            </w:r>
          </w:p>
        </w:tc>
        <w:tc>
          <w:tcPr>
            <w:tcW w:w="2268" w:type="dxa"/>
          </w:tcPr>
          <w:p w:rsidR="00793FBF" w:rsidRPr="00D73D9A" w:rsidRDefault="00793FBF" w:rsidP="00D73D9A">
            <w:pPr>
              <w:rPr>
                <w:sz w:val="20"/>
              </w:rPr>
            </w:pPr>
            <w:r w:rsidRPr="00D73D9A">
              <w:rPr>
                <w:sz w:val="20"/>
              </w:rPr>
              <w:t>$</w:t>
            </w:r>
            <w:r>
              <w:rPr>
                <w:sz w:val="20"/>
              </w:rPr>
              <w:t>2673</w:t>
            </w:r>
          </w:p>
        </w:tc>
      </w:tr>
      <w:tr w:rsidR="00793FBF" w:rsidTr="00D73D9A">
        <w:tc>
          <w:tcPr>
            <w:tcW w:w="2179" w:type="dxa"/>
          </w:tcPr>
          <w:p w:rsidR="00793FBF" w:rsidRPr="00D73D9A" w:rsidRDefault="00793FBF" w:rsidP="00A9333C">
            <w:pPr>
              <w:rPr>
                <w:b/>
                <w:sz w:val="20"/>
              </w:rPr>
            </w:pPr>
            <w:r w:rsidRPr="00D73D9A">
              <w:rPr>
                <w:b/>
                <w:sz w:val="20"/>
              </w:rPr>
              <w:t>PBO</w:t>
            </w:r>
          </w:p>
        </w:tc>
        <w:tc>
          <w:tcPr>
            <w:tcW w:w="2324" w:type="dxa"/>
          </w:tcPr>
          <w:p w:rsidR="00793FBF" w:rsidRPr="00D73D9A" w:rsidRDefault="00793FBF" w:rsidP="00A9333C">
            <w:pPr>
              <w:rPr>
                <w:sz w:val="20"/>
              </w:rPr>
            </w:pPr>
            <w:r w:rsidRPr="00D73D9A">
              <w:rPr>
                <w:sz w:val="20"/>
              </w:rPr>
              <w:t>$376</w:t>
            </w:r>
          </w:p>
        </w:tc>
        <w:tc>
          <w:tcPr>
            <w:tcW w:w="2268" w:type="dxa"/>
          </w:tcPr>
          <w:p w:rsidR="00793FBF" w:rsidRPr="00D73D9A" w:rsidRDefault="00793FBF" w:rsidP="00A9333C">
            <w:pPr>
              <w:rPr>
                <w:sz w:val="20"/>
              </w:rPr>
            </w:pPr>
            <w:r>
              <w:rPr>
                <w:sz w:val="20"/>
              </w:rPr>
              <w:t>$3300</w:t>
            </w:r>
          </w:p>
        </w:tc>
      </w:tr>
    </w:tbl>
    <w:p w:rsidR="000020ED" w:rsidRDefault="000020ED" w:rsidP="002A5422">
      <w:r>
        <w:t xml:space="preserve">As expected, </w:t>
      </w:r>
      <w:r w:rsidR="00C8768A">
        <w:t>PBOs</w:t>
      </w:r>
      <w:r>
        <w:t xml:space="preserve"> are more prevalent for the more di</w:t>
      </w:r>
      <w:r w:rsidR="00CE315E">
        <w:t xml:space="preserve">sadvantaged job seekers.  This reflects that JSA providers need to </w:t>
      </w:r>
      <w:r>
        <w:t xml:space="preserve">work harder with employers to </w:t>
      </w:r>
      <w:r w:rsidR="0034736E">
        <w:t>find jobs for</w:t>
      </w:r>
      <w:r>
        <w:t xml:space="preserve"> the more disadvantaged job seekers.  </w:t>
      </w:r>
    </w:p>
    <w:p w:rsidR="00ED3D04" w:rsidRPr="00ED3D04" w:rsidRDefault="00ED3D04" w:rsidP="00ED3D04">
      <w:pPr>
        <w:rPr>
          <w:rFonts w:cs="Arial"/>
          <w:b/>
          <w:bCs/>
          <w:color w:val="000000"/>
          <w:szCs w:val="22"/>
        </w:rPr>
      </w:pPr>
      <w:r>
        <w:rPr>
          <w:rFonts w:cs="Arial"/>
          <w:b/>
          <w:bCs/>
          <w:color w:val="000000"/>
          <w:szCs w:val="22"/>
        </w:rPr>
        <w:t xml:space="preserve">Table </w:t>
      </w:r>
      <w:r w:rsidR="00D73D9A">
        <w:rPr>
          <w:rFonts w:cs="Arial"/>
          <w:b/>
          <w:bCs/>
          <w:color w:val="000000"/>
          <w:szCs w:val="22"/>
        </w:rPr>
        <w:t>3</w:t>
      </w:r>
      <w:r>
        <w:rPr>
          <w:rFonts w:cs="Arial"/>
          <w:b/>
          <w:bCs/>
          <w:color w:val="000000"/>
          <w:szCs w:val="22"/>
        </w:rPr>
        <w:t xml:space="preserve">: </w:t>
      </w:r>
      <w:r w:rsidRPr="00ED3D04">
        <w:rPr>
          <w:rFonts w:cs="Arial"/>
          <w:b/>
          <w:bCs/>
          <w:color w:val="000000"/>
          <w:szCs w:val="22"/>
        </w:rPr>
        <w:t xml:space="preserve">JSA brokered and assisted outcomes from 1 July 2009 to </w:t>
      </w:r>
      <w:r w:rsidRPr="0006280A">
        <w:rPr>
          <w:rFonts w:cs="Arial"/>
          <w:b/>
          <w:bCs/>
          <w:color w:val="000000"/>
          <w:szCs w:val="22"/>
        </w:rPr>
        <w:t>31 January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39"/>
        <w:gridCol w:w="907"/>
        <w:gridCol w:w="1021"/>
        <w:gridCol w:w="907"/>
        <w:gridCol w:w="1021"/>
        <w:gridCol w:w="908"/>
        <w:gridCol w:w="1021"/>
        <w:gridCol w:w="908"/>
      </w:tblGrid>
      <w:tr w:rsidR="00ED3D04" w:rsidRPr="00ED3D04" w:rsidTr="0034736E">
        <w:tc>
          <w:tcPr>
            <w:tcW w:w="1101" w:type="dxa"/>
            <w:vMerge w:val="restart"/>
            <w:vAlign w:val="bottom"/>
          </w:tcPr>
          <w:p w:rsidR="00ED3D04" w:rsidRPr="00ED3D04" w:rsidRDefault="00ED3D04" w:rsidP="00ED3D04">
            <w:pPr>
              <w:rPr>
                <w:rFonts w:cs="Arial"/>
                <w:b/>
                <w:sz w:val="20"/>
                <w:lang w:eastAsia="en-AU"/>
              </w:rPr>
            </w:pPr>
          </w:p>
        </w:tc>
        <w:tc>
          <w:tcPr>
            <w:tcW w:w="3760" w:type="dxa"/>
            <w:gridSpan w:val="4"/>
            <w:vAlign w:val="bottom"/>
          </w:tcPr>
          <w:p w:rsidR="00ED3D04" w:rsidRPr="00ED3D04" w:rsidRDefault="00ED3D04" w:rsidP="00ED3D04">
            <w:pPr>
              <w:pStyle w:val="ListParagraph"/>
              <w:ind w:left="0"/>
              <w:jc w:val="center"/>
              <w:rPr>
                <w:rFonts w:ascii="Arial" w:hAnsi="Arial" w:cs="Arial"/>
                <w:b/>
                <w:sz w:val="20"/>
                <w:szCs w:val="20"/>
              </w:rPr>
            </w:pPr>
            <w:r w:rsidRPr="00ED3D04">
              <w:rPr>
                <w:rFonts w:ascii="Arial" w:hAnsi="Arial" w:cs="Arial"/>
                <w:b/>
                <w:sz w:val="20"/>
                <w:szCs w:val="20"/>
              </w:rPr>
              <w:t>13-week outcomes</w:t>
            </w:r>
          </w:p>
        </w:tc>
        <w:tc>
          <w:tcPr>
            <w:tcW w:w="3858" w:type="dxa"/>
            <w:gridSpan w:val="4"/>
            <w:vAlign w:val="bottom"/>
          </w:tcPr>
          <w:p w:rsidR="00ED3D04" w:rsidRPr="00ED3D04" w:rsidRDefault="00ED3D04" w:rsidP="00ED3D04">
            <w:pPr>
              <w:pStyle w:val="ListParagraph"/>
              <w:ind w:left="0"/>
              <w:jc w:val="center"/>
              <w:rPr>
                <w:rFonts w:ascii="Arial" w:hAnsi="Arial" w:cs="Arial"/>
                <w:b/>
                <w:sz w:val="20"/>
                <w:szCs w:val="20"/>
              </w:rPr>
            </w:pPr>
            <w:r w:rsidRPr="00ED3D04">
              <w:rPr>
                <w:rFonts w:ascii="Arial" w:hAnsi="Arial" w:cs="Arial"/>
                <w:b/>
                <w:sz w:val="20"/>
                <w:szCs w:val="20"/>
              </w:rPr>
              <w:t>26-week outcomes</w:t>
            </w:r>
          </w:p>
        </w:tc>
      </w:tr>
      <w:tr w:rsidR="00ED3D04" w:rsidRPr="00ED3D04" w:rsidTr="0034736E">
        <w:tc>
          <w:tcPr>
            <w:tcW w:w="1101" w:type="dxa"/>
            <w:vMerge/>
            <w:vAlign w:val="bottom"/>
          </w:tcPr>
          <w:p w:rsidR="00ED3D04" w:rsidRPr="00ED3D04" w:rsidRDefault="00ED3D04" w:rsidP="00ED3D04">
            <w:pPr>
              <w:rPr>
                <w:rFonts w:cs="Arial"/>
                <w:b/>
                <w:sz w:val="20"/>
                <w:lang w:eastAsia="en-AU"/>
              </w:rPr>
            </w:pPr>
          </w:p>
        </w:tc>
        <w:tc>
          <w:tcPr>
            <w:tcW w:w="1832" w:type="dxa"/>
            <w:gridSpan w:val="2"/>
            <w:vAlign w:val="bottom"/>
          </w:tcPr>
          <w:p w:rsidR="00ED3D04" w:rsidRPr="00ED3D04" w:rsidRDefault="00ED3D04" w:rsidP="00ED3D04">
            <w:pPr>
              <w:pStyle w:val="ListParagraph"/>
              <w:ind w:left="0"/>
              <w:jc w:val="center"/>
              <w:rPr>
                <w:rFonts w:ascii="Arial" w:hAnsi="Arial" w:cs="Arial"/>
                <w:b/>
                <w:sz w:val="20"/>
                <w:szCs w:val="20"/>
              </w:rPr>
            </w:pPr>
            <w:r w:rsidRPr="00ED3D04">
              <w:rPr>
                <w:rFonts w:ascii="Arial" w:hAnsi="Arial" w:cs="Arial"/>
                <w:b/>
                <w:sz w:val="20"/>
                <w:szCs w:val="20"/>
              </w:rPr>
              <w:t>Brokered</w:t>
            </w:r>
          </w:p>
        </w:tc>
        <w:tc>
          <w:tcPr>
            <w:tcW w:w="1928" w:type="dxa"/>
            <w:gridSpan w:val="2"/>
            <w:vAlign w:val="bottom"/>
          </w:tcPr>
          <w:p w:rsidR="00ED3D04" w:rsidRPr="00ED3D04" w:rsidRDefault="00ED3D04" w:rsidP="00ED3D04">
            <w:pPr>
              <w:pStyle w:val="ListParagraph"/>
              <w:ind w:left="0"/>
              <w:jc w:val="center"/>
              <w:rPr>
                <w:rFonts w:ascii="Arial" w:hAnsi="Arial" w:cs="Arial"/>
                <w:b/>
                <w:sz w:val="20"/>
                <w:szCs w:val="20"/>
              </w:rPr>
            </w:pPr>
            <w:r w:rsidRPr="00ED3D04">
              <w:rPr>
                <w:rFonts w:ascii="Arial" w:hAnsi="Arial" w:cs="Arial"/>
                <w:b/>
                <w:sz w:val="20"/>
                <w:szCs w:val="20"/>
              </w:rPr>
              <w:t>Assisted</w:t>
            </w:r>
          </w:p>
        </w:tc>
        <w:tc>
          <w:tcPr>
            <w:tcW w:w="1929" w:type="dxa"/>
            <w:gridSpan w:val="2"/>
            <w:vAlign w:val="bottom"/>
          </w:tcPr>
          <w:p w:rsidR="00ED3D04" w:rsidRPr="00ED3D04" w:rsidRDefault="00ED3D04" w:rsidP="00ED3D04">
            <w:pPr>
              <w:pStyle w:val="ListParagraph"/>
              <w:ind w:left="0"/>
              <w:jc w:val="center"/>
              <w:rPr>
                <w:rFonts w:ascii="Arial" w:hAnsi="Arial" w:cs="Arial"/>
                <w:b/>
                <w:sz w:val="20"/>
                <w:szCs w:val="20"/>
              </w:rPr>
            </w:pPr>
            <w:r w:rsidRPr="00ED3D04">
              <w:rPr>
                <w:rFonts w:ascii="Arial" w:hAnsi="Arial" w:cs="Arial"/>
                <w:b/>
                <w:sz w:val="20"/>
                <w:szCs w:val="20"/>
              </w:rPr>
              <w:t>Brokered</w:t>
            </w:r>
          </w:p>
        </w:tc>
        <w:tc>
          <w:tcPr>
            <w:tcW w:w="1929" w:type="dxa"/>
            <w:gridSpan w:val="2"/>
            <w:vAlign w:val="bottom"/>
          </w:tcPr>
          <w:p w:rsidR="00ED3D04" w:rsidRPr="00ED3D04" w:rsidRDefault="00ED3D04" w:rsidP="00ED3D04">
            <w:pPr>
              <w:pStyle w:val="ListParagraph"/>
              <w:ind w:left="0"/>
              <w:jc w:val="center"/>
              <w:rPr>
                <w:rFonts w:ascii="Arial" w:hAnsi="Arial" w:cs="Arial"/>
                <w:b/>
                <w:sz w:val="20"/>
                <w:szCs w:val="20"/>
              </w:rPr>
            </w:pPr>
            <w:r w:rsidRPr="00ED3D04">
              <w:rPr>
                <w:rFonts w:ascii="Arial" w:hAnsi="Arial" w:cs="Arial"/>
                <w:b/>
                <w:sz w:val="20"/>
                <w:szCs w:val="20"/>
              </w:rPr>
              <w:t>Assisted</w:t>
            </w:r>
          </w:p>
        </w:tc>
      </w:tr>
      <w:tr w:rsidR="00ED3D04" w:rsidRPr="00ED3D04" w:rsidTr="0034736E">
        <w:tc>
          <w:tcPr>
            <w:tcW w:w="1101" w:type="dxa"/>
            <w:vAlign w:val="bottom"/>
          </w:tcPr>
          <w:p w:rsidR="00ED3D04" w:rsidRPr="00ED3D04" w:rsidRDefault="00ED3D04" w:rsidP="00ED3D04">
            <w:pPr>
              <w:rPr>
                <w:rFonts w:cs="Arial"/>
                <w:b/>
                <w:sz w:val="20"/>
                <w:lang w:eastAsia="en-AU"/>
              </w:rPr>
            </w:pPr>
          </w:p>
        </w:tc>
        <w:tc>
          <w:tcPr>
            <w:tcW w:w="925" w:type="dxa"/>
            <w:vAlign w:val="bottom"/>
          </w:tcPr>
          <w:p w:rsidR="00ED3D04" w:rsidRPr="00ED3D04" w:rsidRDefault="00ED3D04" w:rsidP="00ED3D04">
            <w:pPr>
              <w:jc w:val="center"/>
              <w:rPr>
                <w:rFonts w:cs="Arial"/>
                <w:sz w:val="20"/>
                <w:lang w:eastAsia="en-AU"/>
              </w:rPr>
            </w:pPr>
            <w:r w:rsidRPr="00ED3D04">
              <w:rPr>
                <w:rFonts w:cs="Arial"/>
                <w:sz w:val="20"/>
                <w:lang w:eastAsia="en-AU"/>
              </w:rPr>
              <w:t>No.</w:t>
            </w:r>
          </w:p>
        </w:tc>
        <w:tc>
          <w:tcPr>
            <w:tcW w:w="907" w:type="dxa"/>
            <w:vAlign w:val="bottom"/>
          </w:tcPr>
          <w:p w:rsidR="00ED3D04" w:rsidRPr="00ED3D04" w:rsidRDefault="00ED3D04" w:rsidP="00ED3D04">
            <w:pPr>
              <w:jc w:val="center"/>
              <w:rPr>
                <w:rFonts w:cs="Arial"/>
                <w:sz w:val="20"/>
                <w:lang w:eastAsia="en-AU"/>
              </w:rPr>
            </w:pPr>
            <w:r w:rsidRPr="00ED3D04">
              <w:rPr>
                <w:rFonts w:cs="Arial"/>
                <w:sz w:val="20"/>
                <w:lang w:eastAsia="en-AU"/>
              </w:rPr>
              <w:t>%</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No.</w:t>
            </w:r>
          </w:p>
        </w:tc>
        <w:tc>
          <w:tcPr>
            <w:tcW w:w="907" w:type="dxa"/>
            <w:vAlign w:val="bottom"/>
          </w:tcPr>
          <w:p w:rsidR="00ED3D04" w:rsidRPr="00ED3D04" w:rsidRDefault="00ED3D04" w:rsidP="00ED3D04">
            <w:pPr>
              <w:jc w:val="center"/>
              <w:rPr>
                <w:rFonts w:cs="Arial"/>
                <w:sz w:val="20"/>
                <w:lang w:eastAsia="en-AU"/>
              </w:rPr>
            </w:pPr>
            <w:r w:rsidRPr="00ED3D04">
              <w:rPr>
                <w:rFonts w:cs="Arial"/>
                <w:sz w:val="20"/>
                <w:lang w:eastAsia="en-AU"/>
              </w:rPr>
              <w:t>%</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No.</w:t>
            </w:r>
          </w:p>
        </w:tc>
        <w:tc>
          <w:tcPr>
            <w:tcW w:w="908" w:type="dxa"/>
            <w:vAlign w:val="bottom"/>
          </w:tcPr>
          <w:p w:rsidR="00ED3D04" w:rsidRPr="00ED3D04" w:rsidRDefault="00ED3D04" w:rsidP="00ED3D04">
            <w:pPr>
              <w:jc w:val="center"/>
              <w:rPr>
                <w:rFonts w:cs="Arial"/>
                <w:sz w:val="20"/>
                <w:lang w:eastAsia="en-AU"/>
              </w:rPr>
            </w:pPr>
            <w:r w:rsidRPr="00ED3D04">
              <w:rPr>
                <w:rFonts w:cs="Arial"/>
                <w:sz w:val="20"/>
                <w:lang w:eastAsia="en-AU"/>
              </w:rPr>
              <w:t>%</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No.</w:t>
            </w:r>
          </w:p>
        </w:tc>
        <w:tc>
          <w:tcPr>
            <w:tcW w:w="908" w:type="dxa"/>
            <w:vAlign w:val="bottom"/>
          </w:tcPr>
          <w:p w:rsidR="00ED3D04" w:rsidRPr="00ED3D04" w:rsidRDefault="00ED3D04" w:rsidP="00ED3D04">
            <w:pPr>
              <w:jc w:val="center"/>
              <w:rPr>
                <w:rFonts w:cs="Arial"/>
                <w:sz w:val="20"/>
                <w:lang w:eastAsia="en-AU"/>
              </w:rPr>
            </w:pPr>
            <w:r w:rsidRPr="00ED3D04">
              <w:rPr>
                <w:rFonts w:cs="Arial"/>
                <w:sz w:val="20"/>
                <w:lang w:eastAsia="en-AU"/>
              </w:rPr>
              <w:t>%</w:t>
            </w:r>
          </w:p>
        </w:tc>
      </w:tr>
      <w:tr w:rsidR="00ED3D04" w:rsidRPr="00ED3D04" w:rsidTr="0034736E">
        <w:tc>
          <w:tcPr>
            <w:tcW w:w="1101" w:type="dxa"/>
            <w:vAlign w:val="bottom"/>
          </w:tcPr>
          <w:p w:rsidR="00ED3D04" w:rsidRPr="00ED3D04" w:rsidRDefault="00ED3D04" w:rsidP="00ED3D04">
            <w:pPr>
              <w:rPr>
                <w:rFonts w:cs="Arial"/>
                <w:b/>
                <w:sz w:val="20"/>
                <w:lang w:eastAsia="en-AU"/>
              </w:rPr>
            </w:pPr>
            <w:r w:rsidRPr="00ED3D04">
              <w:rPr>
                <w:rFonts w:cs="Arial"/>
                <w:b/>
                <w:sz w:val="20"/>
                <w:lang w:eastAsia="en-AU"/>
              </w:rPr>
              <w:t>Stream 1</w:t>
            </w:r>
          </w:p>
        </w:tc>
        <w:tc>
          <w:tcPr>
            <w:tcW w:w="925" w:type="dxa"/>
            <w:vAlign w:val="bottom"/>
          </w:tcPr>
          <w:p w:rsidR="00ED3D04" w:rsidRPr="00ED3D04" w:rsidRDefault="00ED3D04" w:rsidP="00ED3D04">
            <w:pPr>
              <w:jc w:val="center"/>
              <w:rPr>
                <w:rFonts w:cs="Arial"/>
                <w:sz w:val="20"/>
                <w:lang w:eastAsia="en-AU"/>
              </w:rPr>
            </w:pPr>
            <w:r w:rsidRPr="00ED3D04">
              <w:rPr>
                <w:rFonts w:cs="Arial"/>
                <w:sz w:val="20"/>
                <w:lang w:eastAsia="en-AU"/>
              </w:rPr>
              <w:t>1,792</w:t>
            </w:r>
          </w:p>
        </w:tc>
        <w:tc>
          <w:tcPr>
            <w:tcW w:w="907" w:type="dxa"/>
            <w:vAlign w:val="center"/>
          </w:tcPr>
          <w:p w:rsidR="00ED3D04" w:rsidRPr="00ED3D04" w:rsidRDefault="00ED3D04" w:rsidP="00ED3D04">
            <w:pPr>
              <w:jc w:val="center"/>
              <w:rPr>
                <w:rFonts w:cs="Arial"/>
                <w:sz w:val="20"/>
                <w:lang w:eastAsia="en-AU"/>
              </w:rPr>
            </w:pPr>
            <w:r w:rsidRPr="00ED3D04">
              <w:rPr>
                <w:rFonts w:cs="Arial"/>
                <w:sz w:val="20"/>
                <w:lang w:eastAsia="en-AU"/>
              </w:rPr>
              <w:t>24.0</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5,690</w:t>
            </w:r>
          </w:p>
        </w:tc>
        <w:tc>
          <w:tcPr>
            <w:tcW w:w="907" w:type="dxa"/>
            <w:vAlign w:val="center"/>
          </w:tcPr>
          <w:p w:rsidR="00ED3D04" w:rsidRPr="00ED3D04" w:rsidRDefault="00ED3D04" w:rsidP="00ED3D04">
            <w:pPr>
              <w:jc w:val="center"/>
              <w:rPr>
                <w:rFonts w:cs="Arial"/>
                <w:sz w:val="20"/>
                <w:lang w:eastAsia="en-AU"/>
              </w:rPr>
            </w:pPr>
            <w:r w:rsidRPr="00ED3D04">
              <w:rPr>
                <w:rFonts w:cs="Arial"/>
                <w:sz w:val="20"/>
                <w:lang w:eastAsia="en-AU"/>
              </w:rPr>
              <w:t>76.0</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1,036</w:t>
            </w:r>
          </w:p>
        </w:tc>
        <w:tc>
          <w:tcPr>
            <w:tcW w:w="908" w:type="dxa"/>
            <w:vAlign w:val="center"/>
          </w:tcPr>
          <w:p w:rsidR="00ED3D04" w:rsidRPr="00ED3D04" w:rsidRDefault="00ED3D04" w:rsidP="00ED3D04">
            <w:pPr>
              <w:jc w:val="center"/>
              <w:rPr>
                <w:rFonts w:cs="Arial"/>
                <w:sz w:val="20"/>
                <w:lang w:eastAsia="en-AU"/>
              </w:rPr>
            </w:pPr>
            <w:r w:rsidRPr="00ED3D04">
              <w:rPr>
                <w:rFonts w:cs="Arial"/>
                <w:sz w:val="20"/>
                <w:lang w:eastAsia="en-AU"/>
              </w:rPr>
              <w:t>24.7</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3,166</w:t>
            </w:r>
          </w:p>
        </w:tc>
        <w:tc>
          <w:tcPr>
            <w:tcW w:w="908" w:type="dxa"/>
            <w:vAlign w:val="center"/>
          </w:tcPr>
          <w:p w:rsidR="00ED3D04" w:rsidRPr="00ED3D04" w:rsidRDefault="00ED3D04" w:rsidP="00ED3D04">
            <w:pPr>
              <w:jc w:val="center"/>
              <w:rPr>
                <w:rFonts w:cs="Arial"/>
                <w:sz w:val="20"/>
                <w:lang w:eastAsia="en-AU"/>
              </w:rPr>
            </w:pPr>
            <w:r w:rsidRPr="00ED3D04">
              <w:rPr>
                <w:rFonts w:cs="Arial"/>
                <w:sz w:val="20"/>
                <w:lang w:eastAsia="en-AU"/>
              </w:rPr>
              <w:t>75.3</w:t>
            </w:r>
          </w:p>
        </w:tc>
      </w:tr>
      <w:tr w:rsidR="00ED3D04" w:rsidRPr="00ED3D04" w:rsidTr="0034736E">
        <w:tc>
          <w:tcPr>
            <w:tcW w:w="1101" w:type="dxa"/>
            <w:vAlign w:val="bottom"/>
          </w:tcPr>
          <w:p w:rsidR="00ED3D04" w:rsidRPr="00ED3D04" w:rsidRDefault="00ED3D04" w:rsidP="00ED3D04">
            <w:pPr>
              <w:rPr>
                <w:rFonts w:cs="Arial"/>
                <w:b/>
                <w:sz w:val="20"/>
                <w:lang w:eastAsia="en-AU"/>
              </w:rPr>
            </w:pPr>
            <w:r w:rsidRPr="00ED3D04">
              <w:rPr>
                <w:rFonts w:cs="Arial"/>
                <w:b/>
                <w:sz w:val="20"/>
                <w:lang w:eastAsia="en-AU"/>
              </w:rPr>
              <w:t>Stream 2</w:t>
            </w:r>
          </w:p>
        </w:tc>
        <w:tc>
          <w:tcPr>
            <w:tcW w:w="925" w:type="dxa"/>
            <w:vAlign w:val="bottom"/>
          </w:tcPr>
          <w:p w:rsidR="00ED3D04" w:rsidRPr="00ED3D04" w:rsidRDefault="00ED3D04" w:rsidP="00ED3D04">
            <w:pPr>
              <w:jc w:val="center"/>
              <w:rPr>
                <w:rFonts w:cs="Arial"/>
                <w:sz w:val="20"/>
                <w:lang w:eastAsia="en-AU"/>
              </w:rPr>
            </w:pPr>
            <w:r w:rsidRPr="00ED3D04">
              <w:rPr>
                <w:rFonts w:cs="Arial"/>
                <w:sz w:val="20"/>
                <w:lang w:eastAsia="en-AU"/>
              </w:rPr>
              <w:t>93,056</w:t>
            </w:r>
          </w:p>
        </w:tc>
        <w:tc>
          <w:tcPr>
            <w:tcW w:w="907" w:type="dxa"/>
            <w:vAlign w:val="center"/>
          </w:tcPr>
          <w:p w:rsidR="00ED3D04" w:rsidRPr="00ED3D04" w:rsidRDefault="00ED3D04" w:rsidP="00ED3D04">
            <w:pPr>
              <w:jc w:val="center"/>
              <w:rPr>
                <w:rFonts w:cs="Arial"/>
                <w:sz w:val="20"/>
                <w:lang w:eastAsia="en-AU"/>
              </w:rPr>
            </w:pPr>
            <w:r w:rsidRPr="00ED3D04">
              <w:rPr>
                <w:rFonts w:cs="Arial"/>
                <w:sz w:val="20"/>
                <w:lang w:eastAsia="en-AU"/>
              </w:rPr>
              <w:t>34.4</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177,348</w:t>
            </w:r>
          </w:p>
        </w:tc>
        <w:tc>
          <w:tcPr>
            <w:tcW w:w="907" w:type="dxa"/>
            <w:vAlign w:val="center"/>
          </w:tcPr>
          <w:p w:rsidR="00ED3D04" w:rsidRPr="00ED3D04" w:rsidRDefault="00ED3D04" w:rsidP="00ED3D04">
            <w:pPr>
              <w:jc w:val="center"/>
              <w:rPr>
                <w:rFonts w:cs="Arial"/>
                <w:sz w:val="20"/>
                <w:lang w:eastAsia="en-AU"/>
              </w:rPr>
            </w:pPr>
            <w:r w:rsidRPr="00ED3D04">
              <w:rPr>
                <w:rFonts w:cs="Arial"/>
                <w:sz w:val="20"/>
                <w:lang w:eastAsia="en-AU"/>
              </w:rPr>
              <w:t>65.6</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59,371</w:t>
            </w:r>
          </w:p>
        </w:tc>
        <w:tc>
          <w:tcPr>
            <w:tcW w:w="908" w:type="dxa"/>
            <w:vAlign w:val="center"/>
          </w:tcPr>
          <w:p w:rsidR="00ED3D04" w:rsidRPr="00ED3D04" w:rsidRDefault="00ED3D04" w:rsidP="00ED3D04">
            <w:pPr>
              <w:jc w:val="center"/>
              <w:rPr>
                <w:rFonts w:cs="Arial"/>
                <w:sz w:val="20"/>
                <w:lang w:eastAsia="en-AU"/>
              </w:rPr>
            </w:pPr>
            <w:r w:rsidRPr="00ED3D04">
              <w:rPr>
                <w:rFonts w:cs="Arial"/>
                <w:sz w:val="20"/>
                <w:lang w:eastAsia="en-AU"/>
              </w:rPr>
              <w:t>33.7</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116,559</w:t>
            </w:r>
          </w:p>
        </w:tc>
        <w:tc>
          <w:tcPr>
            <w:tcW w:w="908" w:type="dxa"/>
            <w:vAlign w:val="center"/>
          </w:tcPr>
          <w:p w:rsidR="00ED3D04" w:rsidRPr="00ED3D04" w:rsidRDefault="00ED3D04" w:rsidP="00ED3D04">
            <w:pPr>
              <w:jc w:val="center"/>
              <w:rPr>
                <w:rFonts w:cs="Arial"/>
                <w:sz w:val="20"/>
                <w:lang w:eastAsia="en-AU"/>
              </w:rPr>
            </w:pPr>
            <w:r w:rsidRPr="00ED3D04">
              <w:rPr>
                <w:rFonts w:cs="Arial"/>
                <w:sz w:val="20"/>
                <w:lang w:eastAsia="en-AU"/>
              </w:rPr>
              <w:t>66.3</w:t>
            </w:r>
          </w:p>
        </w:tc>
      </w:tr>
      <w:tr w:rsidR="00ED3D04" w:rsidRPr="00ED3D04" w:rsidTr="0034736E">
        <w:tc>
          <w:tcPr>
            <w:tcW w:w="1101" w:type="dxa"/>
            <w:vAlign w:val="bottom"/>
          </w:tcPr>
          <w:p w:rsidR="00ED3D04" w:rsidRPr="00ED3D04" w:rsidRDefault="00ED3D04" w:rsidP="00ED3D04">
            <w:pPr>
              <w:rPr>
                <w:rFonts w:cs="Arial"/>
                <w:b/>
                <w:sz w:val="20"/>
                <w:lang w:eastAsia="en-AU"/>
              </w:rPr>
            </w:pPr>
            <w:r w:rsidRPr="00ED3D04">
              <w:rPr>
                <w:rFonts w:cs="Arial"/>
                <w:b/>
                <w:sz w:val="20"/>
                <w:lang w:eastAsia="en-AU"/>
              </w:rPr>
              <w:t>Stream 3</w:t>
            </w:r>
          </w:p>
        </w:tc>
        <w:tc>
          <w:tcPr>
            <w:tcW w:w="925" w:type="dxa"/>
            <w:vAlign w:val="bottom"/>
          </w:tcPr>
          <w:p w:rsidR="00ED3D04" w:rsidRPr="00ED3D04" w:rsidRDefault="00ED3D04" w:rsidP="00ED3D04">
            <w:pPr>
              <w:jc w:val="center"/>
              <w:rPr>
                <w:rFonts w:cs="Arial"/>
                <w:sz w:val="20"/>
                <w:lang w:eastAsia="en-AU"/>
              </w:rPr>
            </w:pPr>
            <w:r w:rsidRPr="00ED3D04">
              <w:rPr>
                <w:rFonts w:cs="Arial"/>
                <w:sz w:val="20"/>
                <w:lang w:eastAsia="en-AU"/>
              </w:rPr>
              <w:t>54,346</w:t>
            </w:r>
          </w:p>
        </w:tc>
        <w:tc>
          <w:tcPr>
            <w:tcW w:w="907" w:type="dxa"/>
            <w:vAlign w:val="center"/>
          </w:tcPr>
          <w:p w:rsidR="00ED3D04" w:rsidRPr="00ED3D04" w:rsidRDefault="00ED3D04" w:rsidP="00ED3D04">
            <w:pPr>
              <w:jc w:val="center"/>
              <w:rPr>
                <w:rFonts w:cs="Arial"/>
                <w:sz w:val="20"/>
                <w:lang w:eastAsia="en-AU"/>
              </w:rPr>
            </w:pPr>
            <w:r w:rsidRPr="00ED3D04">
              <w:rPr>
                <w:rFonts w:cs="Arial"/>
                <w:sz w:val="20"/>
                <w:lang w:eastAsia="en-AU"/>
              </w:rPr>
              <w:t>48.6</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57,368</w:t>
            </w:r>
          </w:p>
        </w:tc>
        <w:tc>
          <w:tcPr>
            <w:tcW w:w="907" w:type="dxa"/>
            <w:vAlign w:val="center"/>
          </w:tcPr>
          <w:p w:rsidR="00ED3D04" w:rsidRPr="00ED3D04" w:rsidRDefault="00ED3D04" w:rsidP="00ED3D04">
            <w:pPr>
              <w:jc w:val="center"/>
              <w:rPr>
                <w:rFonts w:cs="Arial"/>
                <w:sz w:val="20"/>
                <w:lang w:eastAsia="en-AU"/>
              </w:rPr>
            </w:pPr>
            <w:r w:rsidRPr="00ED3D04">
              <w:rPr>
                <w:rFonts w:cs="Arial"/>
                <w:sz w:val="20"/>
                <w:lang w:eastAsia="en-AU"/>
              </w:rPr>
              <w:t>51.4</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30,719</w:t>
            </w:r>
          </w:p>
        </w:tc>
        <w:tc>
          <w:tcPr>
            <w:tcW w:w="908" w:type="dxa"/>
            <w:vAlign w:val="center"/>
          </w:tcPr>
          <w:p w:rsidR="00ED3D04" w:rsidRPr="00ED3D04" w:rsidRDefault="00ED3D04" w:rsidP="00ED3D04">
            <w:pPr>
              <w:jc w:val="center"/>
              <w:rPr>
                <w:rFonts w:cs="Arial"/>
                <w:sz w:val="20"/>
                <w:lang w:eastAsia="en-AU"/>
              </w:rPr>
            </w:pPr>
            <w:r w:rsidRPr="00ED3D04">
              <w:rPr>
                <w:rFonts w:cs="Arial"/>
                <w:sz w:val="20"/>
                <w:lang w:eastAsia="en-AU"/>
              </w:rPr>
              <w:t>49.0</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31,931</w:t>
            </w:r>
          </w:p>
        </w:tc>
        <w:tc>
          <w:tcPr>
            <w:tcW w:w="908" w:type="dxa"/>
            <w:vAlign w:val="center"/>
          </w:tcPr>
          <w:p w:rsidR="00ED3D04" w:rsidRPr="00ED3D04" w:rsidRDefault="00ED3D04" w:rsidP="00ED3D04">
            <w:pPr>
              <w:jc w:val="center"/>
              <w:rPr>
                <w:rFonts w:cs="Arial"/>
                <w:sz w:val="20"/>
                <w:lang w:eastAsia="en-AU"/>
              </w:rPr>
            </w:pPr>
            <w:r w:rsidRPr="00ED3D04">
              <w:rPr>
                <w:rFonts w:cs="Arial"/>
                <w:sz w:val="20"/>
                <w:lang w:eastAsia="en-AU"/>
              </w:rPr>
              <w:t>51.0</w:t>
            </w:r>
          </w:p>
        </w:tc>
      </w:tr>
      <w:tr w:rsidR="00ED3D04" w:rsidRPr="00ED3D04" w:rsidTr="0034736E">
        <w:tc>
          <w:tcPr>
            <w:tcW w:w="1101" w:type="dxa"/>
            <w:vAlign w:val="bottom"/>
          </w:tcPr>
          <w:p w:rsidR="00ED3D04" w:rsidRPr="00ED3D04" w:rsidRDefault="00ED3D04" w:rsidP="00ED3D04">
            <w:pPr>
              <w:rPr>
                <w:rFonts w:cs="Arial"/>
                <w:b/>
                <w:sz w:val="20"/>
                <w:lang w:eastAsia="en-AU"/>
              </w:rPr>
            </w:pPr>
            <w:r w:rsidRPr="00ED3D04">
              <w:rPr>
                <w:rFonts w:cs="Arial"/>
                <w:b/>
                <w:sz w:val="20"/>
                <w:lang w:eastAsia="en-AU"/>
              </w:rPr>
              <w:t>Stream 4</w:t>
            </w:r>
          </w:p>
        </w:tc>
        <w:tc>
          <w:tcPr>
            <w:tcW w:w="925" w:type="dxa"/>
            <w:vAlign w:val="bottom"/>
          </w:tcPr>
          <w:p w:rsidR="00ED3D04" w:rsidRPr="00ED3D04" w:rsidRDefault="00ED3D04" w:rsidP="00ED3D04">
            <w:pPr>
              <w:jc w:val="center"/>
              <w:rPr>
                <w:rFonts w:cs="Arial"/>
                <w:sz w:val="20"/>
                <w:lang w:eastAsia="en-AU"/>
              </w:rPr>
            </w:pPr>
            <w:r w:rsidRPr="00ED3D04">
              <w:rPr>
                <w:rFonts w:cs="Arial"/>
                <w:sz w:val="20"/>
                <w:lang w:eastAsia="en-AU"/>
              </w:rPr>
              <w:t>35,650</w:t>
            </w:r>
          </w:p>
        </w:tc>
        <w:tc>
          <w:tcPr>
            <w:tcW w:w="907" w:type="dxa"/>
            <w:vAlign w:val="center"/>
          </w:tcPr>
          <w:p w:rsidR="00ED3D04" w:rsidRPr="00ED3D04" w:rsidRDefault="00ED3D04" w:rsidP="00ED3D04">
            <w:pPr>
              <w:jc w:val="center"/>
              <w:rPr>
                <w:rFonts w:cs="Arial"/>
                <w:sz w:val="20"/>
                <w:lang w:eastAsia="en-AU"/>
              </w:rPr>
            </w:pPr>
            <w:r w:rsidRPr="00ED3D04">
              <w:rPr>
                <w:rFonts w:cs="Arial"/>
                <w:sz w:val="20"/>
                <w:lang w:eastAsia="en-AU"/>
              </w:rPr>
              <w:t>52.4</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32,397</w:t>
            </w:r>
          </w:p>
        </w:tc>
        <w:tc>
          <w:tcPr>
            <w:tcW w:w="907" w:type="dxa"/>
            <w:vAlign w:val="center"/>
          </w:tcPr>
          <w:p w:rsidR="00ED3D04" w:rsidRPr="00ED3D04" w:rsidRDefault="00ED3D04" w:rsidP="00ED3D04">
            <w:pPr>
              <w:jc w:val="center"/>
              <w:rPr>
                <w:rFonts w:cs="Arial"/>
                <w:sz w:val="20"/>
                <w:lang w:eastAsia="en-AU"/>
              </w:rPr>
            </w:pPr>
            <w:r w:rsidRPr="00ED3D04">
              <w:rPr>
                <w:rFonts w:cs="Arial"/>
                <w:sz w:val="20"/>
                <w:lang w:eastAsia="en-AU"/>
              </w:rPr>
              <w:t>47.6</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18,253</w:t>
            </w:r>
          </w:p>
        </w:tc>
        <w:tc>
          <w:tcPr>
            <w:tcW w:w="908" w:type="dxa"/>
            <w:vAlign w:val="center"/>
          </w:tcPr>
          <w:p w:rsidR="00ED3D04" w:rsidRPr="00ED3D04" w:rsidRDefault="00ED3D04" w:rsidP="00ED3D04">
            <w:pPr>
              <w:jc w:val="center"/>
              <w:rPr>
                <w:rFonts w:cs="Arial"/>
                <w:sz w:val="20"/>
                <w:lang w:eastAsia="en-AU"/>
              </w:rPr>
            </w:pPr>
            <w:r w:rsidRPr="00ED3D04">
              <w:rPr>
                <w:rFonts w:cs="Arial"/>
                <w:sz w:val="20"/>
                <w:lang w:eastAsia="en-AU"/>
              </w:rPr>
              <w:t>52.9</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16,275</w:t>
            </w:r>
          </w:p>
        </w:tc>
        <w:tc>
          <w:tcPr>
            <w:tcW w:w="908" w:type="dxa"/>
            <w:vAlign w:val="center"/>
          </w:tcPr>
          <w:p w:rsidR="00ED3D04" w:rsidRPr="00ED3D04" w:rsidRDefault="00ED3D04" w:rsidP="00ED3D04">
            <w:pPr>
              <w:jc w:val="center"/>
              <w:rPr>
                <w:rFonts w:cs="Arial"/>
                <w:sz w:val="20"/>
                <w:lang w:eastAsia="en-AU"/>
              </w:rPr>
            </w:pPr>
            <w:r w:rsidRPr="00ED3D04">
              <w:rPr>
                <w:rFonts w:cs="Arial"/>
                <w:sz w:val="20"/>
                <w:lang w:eastAsia="en-AU"/>
              </w:rPr>
              <w:t>47.1</w:t>
            </w:r>
          </w:p>
        </w:tc>
      </w:tr>
      <w:tr w:rsidR="00ED3D04" w:rsidRPr="00ED3D04" w:rsidTr="0034736E">
        <w:tc>
          <w:tcPr>
            <w:tcW w:w="1101" w:type="dxa"/>
            <w:vAlign w:val="bottom"/>
          </w:tcPr>
          <w:p w:rsidR="00ED3D04" w:rsidRPr="00ED3D04" w:rsidRDefault="00ED3D04" w:rsidP="00ED3D04">
            <w:pPr>
              <w:rPr>
                <w:rFonts w:cs="Arial"/>
                <w:b/>
                <w:sz w:val="20"/>
                <w:lang w:eastAsia="en-AU"/>
              </w:rPr>
            </w:pPr>
            <w:r w:rsidRPr="00ED3D04">
              <w:rPr>
                <w:rFonts w:cs="Arial"/>
                <w:b/>
                <w:sz w:val="20"/>
                <w:lang w:eastAsia="en-AU"/>
              </w:rPr>
              <w:t>Total</w:t>
            </w:r>
          </w:p>
        </w:tc>
        <w:tc>
          <w:tcPr>
            <w:tcW w:w="925" w:type="dxa"/>
            <w:vAlign w:val="bottom"/>
          </w:tcPr>
          <w:p w:rsidR="00ED3D04" w:rsidRPr="00ED3D04" w:rsidRDefault="00ED3D04" w:rsidP="00ED3D04">
            <w:pPr>
              <w:jc w:val="center"/>
              <w:rPr>
                <w:rFonts w:cs="Arial"/>
                <w:sz w:val="20"/>
                <w:lang w:eastAsia="en-AU"/>
              </w:rPr>
            </w:pPr>
            <w:r w:rsidRPr="00ED3D04">
              <w:rPr>
                <w:rFonts w:cs="Arial"/>
                <w:sz w:val="20"/>
                <w:lang w:eastAsia="en-AU"/>
              </w:rPr>
              <w:t>184,844</w:t>
            </w:r>
          </w:p>
        </w:tc>
        <w:tc>
          <w:tcPr>
            <w:tcW w:w="907" w:type="dxa"/>
            <w:vAlign w:val="center"/>
          </w:tcPr>
          <w:p w:rsidR="00ED3D04" w:rsidRPr="00ED3D04" w:rsidRDefault="00ED3D04" w:rsidP="00ED3D04">
            <w:pPr>
              <w:jc w:val="center"/>
              <w:rPr>
                <w:rFonts w:cs="Arial"/>
                <w:sz w:val="20"/>
                <w:lang w:eastAsia="en-AU"/>
              </w:rPr>
            </w:pPr>
            <w:r w:rsidRPr="00ED3D04">
              <w:rPr>
                <w:rFonts w:cs="Arial"/>
                <w:sz w:val="20"/>
                <w:lang w:eastAsia="en-AU"/>
              </w:rPr>
              <w:t>40.4</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272,803</w:t>
            </w:r>
          </w:p>
        </w:tc>
        <w:tc>
          <w:tcPr>
            <w:tcW w:w="907" w:type="dxa"/>
            <w:vAlign w:val="center"/>
          </w:tcPr>
          <w:p w:rsidR="00ED3D04" w:rsidRPr="00ED3D04" w:rsidRDefault="00ED3D04" w:rsidP="00ED3D04">
            <w:pPr>
              <w:jc w:val="center"/>
              <w:rPr>
                <w:rFonts w:cs="Arial"/>
                <w:sz w:val="20"/>
                <w:lang w:eastAsia="en-AU"/>
              </w:rPr>
            </w:pPr>
            <w:r w:rsidRPr="00ED3D04">
              <w:rPr>
                <w:rFonts w:cs="Arial"/>
                <w:sz w:val="20"/>
                <w:lang w:eastAsia="en-AU"/>
              </w:rPr>
              <w:t>59.6</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109,379</w:t>
            </w:r>
          </w:p>
        </w:tc>
        <w:tc>
          <w:tcPr>
            <w:tcW w:w="908" w:type="dxa"/>
            <w:vAlign w:val="center"/>
          </w:tcPr>
          <w:p w:rsidR="00ED3D04" w:rsidRPr="00ED3D04" w:rsidRDefault="00ED3D04" w:rsidP="00ED3D04">
            <w:pPr>
              <w:jc w:val="center"/>
              <w:rPr>
                <w:rFonts w:cs="Arial"/>
                <w:sz w:val="20"/>
                <w:lang w:eastAsia="en-AU"/>
              </w:rPr>
            </w:pPr>
            <w:r w:rsidRPr="00ED3D04">
              <w:rPr>
                <w:rFonts w:cs="Arial"/>
                <w:sz w:val="20"/>
                <w:lang w:eastAsia="en-AU"/>
              </w:rPr>
              <w:t>39.4</w:t>
            </w:r>
          </w:p>
        </w:tc>
        <w:tc>
          <w:tcPr>
            <w:tcW w:w="1021" w:type="dxa"/>
            <w:vAlign w:val="bottom"/>
          </w:tcPr>
          <w:p w:rsidR="00ED3D04" w:rsidRPr="00ED3D04" w:rsidRDefault="00ED3D04" w:rsidP="00ED3D04">
            <w:pPr>
              <w:jc w:val="center"/>
              <w:rPr>
                <w:rFonts w:cs="Arial"/>
                <w:sz w:val="20"/>
                <w:lang w:eastAsia="en-AU"/>
              </w:rPr>
            </w:pPr>
            <w:r w:rsidRPr="00ED3D04">
              <w:rPr>
                <w:rFonts w:cs="Arial"/>
                <w:sz w:val="20"/>
                <w:lang w:eastAsia="en-AU"/>
              </w:rPr>
              <w:t>167,931</w:t>
            </w:r>
          </w:p>
        </w:tc>
        <w:tc>
          <w:tcPr>
            <w:tcW w:w="908" w:type="dxa"/>
            <w:vAlign w:val="center"/>
          </w:tcPr>
          <w:p w:rsidR="00ED3D04" w:rsidRPr="00ED3D04" w:rsidRDefault="00ED3D04" w:rsidP="00ED3D04">
            <w:pPr>
              <w:jc w:val="center"/>
              <w:rPr>
                <w:rFonts w:cs="Arial"/>
                <w:sz w:val="20"/>
                <w:lang w:eastAsia="en-AU"/>
              </w:rPr>
            </w:pPr>
            <w:r w:rsidRPr="00ED3D04">
              <w:rPr>
                <w:rFonts w:cs="Arial"/>
                <w:sz w:val="20"/>
                <w:lang w:eastAsia="en-AU"/>
              </w:rPr>
              <w:t>60.6</w:t>
            </w:r>
          </w:p>
        </w:tc>
      </w:tr>
    </w:tbl>
    <w:p w:rsidR="005E026F" w:rsidRPr="005E026F" w:rsidRDefault="000749CE" w:rsidP="00623919">
      <w:pPr>
        <w:pStyle w:val="Heading2"/>
        <w:numPr>
          <w:ilvl w:val="1"/>
          <w:numId w:val="7"/>
        </w:numPr>
        <w:spacing w:before="360"/>
        <w:rPr>
          <w:rFonts w:cs="Arial"/>
          <w:sz w:val="24"/>
          <w:szCs w:val="24"/>
        </w:rPr>
      </w:pPr>
      <w:bookmarkStart w:id="8" w:name="_Toc322630280"/>
      <w:r>
        <w:rPr>
          <w:rFonts w:cs="Arial"/>
          <w:sz w:val="24"/>
          <w:szCs w:val="24"/>
        </w:rPr>
        <w:t>Operating Environment</w:t>
      </w:r>
      <w:bookmarkEnd w:id="8"/>
    </w:p>
    <w:p w:rsidR="005E026F" w:rsidRDefault="005E026F" w:rsidP="002A5422">
      <w:pPr>
        <w:autoSpaceDE w:val="0"/>
        <w:autoSpaceDN w:val="0"/>
        <w:adjustRightInd w:val="0"/>
        <w:spacing w:before="0"/>
      </w:pPr>
    </w:p>
    <w:p w:rsidR="00022CCA" w:rsidRDefault="000749CE" w:rsidP="002A5422">
      <w:pPr>
        <w:autoSpaceDE w:val="0"/>
        <w:autoSpaceDN w:val="0"/>
        <w:adjustRightInd w:val="0"/>
        <w:spacing w:before="0"/>
      </w:pPr>
      <w:r>
        <w:t xml:space="preserve">Identifying </w:t>
      </w:r>
      <w:r w:rsidR="00357865">
        <w:t xml:space="preserve">exactly how an employer </w:t>
      </w:r>
      <w:r w:rsidR="0034736E">
        <w:t>finds</w:t>
      </w:r>
      <w:r w:rsidR="00357865">
        <w:t xml:space="preserve"> an employee, as required to demonstrate that a job se</w:t>
      </w:r>
      <w:r w:rsidR="0048340C">
        <w:t xml:space="preserve">eker has been matched, screened, </w:t>
      </w:r>
      <w:r w:rsidR="00357865">
        <w:t xml:space="preserve">referred </w:t>
      </w:r>
      <w:r w:rsidR="0048340C">
        <w:t>and placed in</w:t>
      </w:r>
      <w:r w:rsidR="00357865">
        <w:t xml:space="preserve"> a vacancy, </w:t>
      </w:r>
      <w:r>
        <w:t xml:space="preserve">can at times </w:t>
      </w:r>
      <w:r w:rsidR="0034736E">
        <w:t xml:space="preserve">be </w:t>
      </w:r>
      <w:r>
        <w:t xml:space="preserve">challenging. </w:t>
      </w:r>
      <w:r w:rsidR="00613E30">
        <w:t>There are a number of reasons for this</w:t>
      </w:r>
      <w:r w:rsidR="000F2B9D">
        <w:t xml:space="preserve"> such as</w:t>
      </w:r>
      <w:r w:rsidR="00613E30">
        <w:t>:</w:t>
      </w:r>
    </w:p>
    <w:p w:rsidR="00613E30" w:rsidRDefault="00613E30" w:rsidP="00357865">
      <w:pPr>
        <w:autoSpaceDE w:val="0"/>
        <w:autoSpaceDN w:val="0"/>
        <w:adjustRightInd w:val="0"/>
        <w:spacing w:before="0"/>
        <w:ind w:firstLine="720"/>
      </w:pPr>
    </w:p>
    <w:p w:rsidR="000749CE" w:rsidRDefault="000749CE" w:rsidP="00F30CFF">
      <w:pPr>
        <w:numPr>
          <w:ilvl w:val="0"/>
          <w:numId w:val="8"/>
        </w:numPr>
        <w:autoSpaceDE w:val="0"/>
        <w:autoSpaceDN w:val="0"/>
        <w:adjustRightInd w:val="0"/>
        <w:spacing w:before="0"/>
      </w:pPr>
      <w:r>
        <w:t xml:space="preserve">employers often use multiple and concurrent mechanisms to fill vacancies – for example they may lodge a job with a JSA </w:t>
      </w:r>
      <w:r w:rsidR="00357865">
        <w:t xml:space="preserve">provider </w:t>
      </w:r>
      <w:r>
        <w:t xml:space="preserve">at the same time they advertise in </w:t>
      </w:r>
      <w:r w:rsidR="00357865">
        <w:t>a news</w:t>
      </w:r>
      <w:r>
        <w:t xml:space="preserve">paper; </w:t>
      </w:r>
    </w:p>
    <w:p w:rsidR="00613E30" w:rsidRDefault="00D4375E" w:rsidP="00F30CFF">
      <w:pPr>
        <w:numPr>
          <w:ilvl w:val="0"/>
          <w:numId w:val="8"/>
        </w:numPr>
        <w:autoSpaceDE w:val="0"/>
        <w:autoSpaceDN w:val="0"/>
        <w:adjustRightInd w:val="0"/>
        <w:spacing w:before="0"/>
      </w:pPr>
      <w:r>
        <w:t>t</w:t>
      </w:r>
      <w:r w:rsidR="00CB073D">
        <w:t>here is no uniform approach to recruitment across industries and</w:t>
      </w:r>
      <w:r w:rsidR="000749CE">
        <w:t xml:space="preserve"> employers all have different </w:t>
      </w:r>
      <w:r w:rsidR="00DB449D">
        <w:t>screening and hiring procedures</w:t>
      </w:r>
      <w:r w:rsidR="00613E30">
        <w:t xml:space="preserve">;  </w:t>
      </w:r>
      <w:r w:rsidR="00DB449D">
        <w:t>and</w:t>
      </w:r>
    </w:p>
    <w:p w:rsidR="0058339F" w:rsidRDefault="00A55A34" w:rsidP="00F30CFF">
      <w:pPr>
        <w:numPr>
          <w:ilvl w:val="0"/>
          <w:numId w:val="8"/>
        </w:numPr>
        <w:autoSpaceDE w:val="0"/>
        <w:autoSpaceDN w:val="0"/>
        <w:adjustRightInd w:val="0"/>
        <w:spacing w:before="0"/>
      </w:pPr>
      <w:r>
        <w:t>a  job may start as casual</w:t>
      </w:r>
      <w:r w:rsidR="0058339F">
        <w:t xml:space="preserve"> or part time</w:t>
      </w:r>
      <w:r>
        <w:t>, but with a JSA</w:t>
      </w:r>
      <w:r w:rsidR="0058339F">
        <w:t xml:space="preserve"> provider</w:t>
      </w:r>
      <w:r>
        <w:t>’s intervention, may increase to a full time position</w:t>
      </w:r>
      <w:r w:rsidR="0058339F">
        <w:t xml:space="preserve">, with resulting confusion on exactly who </w:t>
      </w:r>
      <w:r w:rsidR="004C4294">
        <w:t>arranged</w:t>
      </w:r>
      <w:r w:rsidR="00575A39">
        <w:t xml:space="preserve"> the final job offer.</w:t>
      </w:r>
      <w:r w:rsidR="0058339F">
        <w:t xml:space="preserve"> </w:t>
      </w:r>
    </w:p>
    <w:p w:rsidR="00CE7024" w:rsidRPr="00CE7024" w:rsidRDefault="00793FBF" w:rsidP="002A5422">
      <w:r>
        <w:t xml:space="preserve">In recognition of these </w:t>
      </w:r>
      <w:r w:rsidR="00357865">
        <w:t>circumstances</w:t>
      </w:r>
      <w:r>
        <w:t xml:space="preserve">, </w:t>
      </w:r>
      <w:r w:rsidR="0034736E">
        <w:t xml:space="preserve">once JSA had been implemented </w:t>
      </w:r>
      <w:r w:rsidR="00357865">
        <w:t>DEEWR</w:t>
      </w:r>
      <w:r>
        <w:t xml:space="preserve"> identified that the documentary evidence a provider needed to retain to demonstrate brokering was not sufficient. </w:t>
      </w:r>
      <w:r w:rsidR="00BC2A1B">
        <w:t>S</w:t>
      </w:r>
      <w:r w:rsidR="00CD47EF">
        <w:t>trengthened documentary evidence guidelines</w:t>
      </w:r>
      <w:r w:rsidR="00BC2A1B">
        <w:t xml:space="preserve"> were issued </w:t>
      </w:r>
      <w:r w:rsidR="004B050E">
        <w:t>in</w:t>
      </w:r>
      <w:r w:rsidR="00724589">
        <w:t xml:space="preserve"> June 2011</w:t>
      </w:r>
      <w:r w:rsidR="00CD47EF">
        <w:t xml:space="preserve"> requiring providers to maintain</w:t>
      </w:r>
      <w:r w:rsidR="00CD7EB3">
        <w:t xml:space="preserve"> e</w:t>
      </w:r>
      <w:r w:rsidR="00CE7024" w:rsidRPr="00CE7024">
        <w:t xml:space="preserve">vidence to demonstrate there has been </w:t>
      </w:r>
      <w:r w:rsidR="00CE7024" w:rsidRPr="007265D5">
        <w:t xml:space="preserve">direct engagement with the </w:t>
      </w:r>
      <w:r w:rsidR="004B050E" w:rsidRPr="007265D5">
        <w:t>e</w:t>
      </w:r>
      <w:r w:rsidR="00CE7024" w:rsidRPr="007265D5">
        <w:t>mployer.</w:t>
      </w:r>
      <w:r w:rsidR="00CE7024" w:rsidRPr="00CE7024">
        <w:t xml:space="preserve"> The </w:t>
      </w:r>
      <w:r w:rsidR="00CD7EB3">
        <w:t xml:space="preserve">evidence </w:t>
      </w:r>
      <w:r w:rsidR="001A688E">
        <w:t>may</w:t>
      </w:r>
      <w:r w:rsidR="0032117F">
        <w:t xml:space="preserve"> </w:t>
      </w:r>
      <w:r w:rsidR="00CD7EB3">
        <w:t>be in the form of</w:t>
      </w:r>
      <w:r w:rsidR="00CE7024" w:rsidRPr="00CE7024">
        <w:t xml:space="preserve"> a file not</w:t>
      </w:r>
      <w:r w:rsidR="004B050E">
        <w:t xml:space="preserve">e </w:t>
      </w:r>
      <w:r w:rsidR="0048340C">
        <w:t xml:space="preserve">from the JSA provider </w:t>
      </w:r>
      <w:r w:rsidR="004B050E">
        <w:t>or signed statement from the e</w:t>
      </w:r>
      <w:r w:rsidR="00CE7024" w:rsidRPr="00CE7024">
        <w:t xml:space="preserve">mployer </w:t>
      </w:r>
      <w:r w:rsidR="00CD7EB3">
        <w:t xml:space="preserve">and </w:t>
      </w:r>
      <w:r w:rsidR="00BA3BBF">
        <w:t xml:space="preserve">must </w:t>
      </w:r>
      <w:r w:rsidR="00CD7EB3">
        <w:t>include:</w:t>
      </w:r>
    </w:p>
    <w:p w:rsidR="00CE7024" w:rsidRPr="00CE7024" w:rsidRDefault="00CE7024" w:rsidP="002A5422">
      <w:r w:rsidRPr="00CE7024">
        <w:t>• the date of the request for recruitment services</w:t>
      </w:r>
      <w:r w:rsidR="0034736E">
        <w:t>;</w:t>
      </w:r>
      <w:r w:rsidRPr="00CE7024">
        <w:t xml:space="preserve"> </w:t>
      </w:r>
    </w:p>
    <w:p w:rsidR="00CE7024" w:rsidRPr="00CE7024" w:rsidRDefault="00CE7024" w:rsidP="002A5422">
      <w:r w:rsidRPr="00CE7024">
        <w:t xml:space="preserve">• the name of the </w:t>
      </w:r>
      <w:r w:rsidR="004B050E">
        <w:t>e</w:t>
      </w:r>
      <w:r w:rsidRPr="00CE7024">
        <w:t>mployer and the contact providing the information</w:t>
      </w:r>
      <w:r w:rsidR="0034736E">
        <w:t>;</w:t>
      </w:r>
      <w:r w:rsidRPr="00CE7024">
        <w:t xml:space="preserve"> </w:t>
      </w:r>
    </w:p>
    <w:p w:rsidR="00CE7024" w:rsidRPr="00CE7024" w:rsidRDefault="00CE7024" w:rsidP="002A5422">
      <w:r w:rsidRPr="00CE7024">
        <w:t xml:space="preserve">• the JSA provider’s staff member who confirmed the information with the </w:t>
      </w:r>
      <w:r w:rsidR="004B050E">
        <w:t>e</w:t>
      </w:r>
      <w:r w:rsidRPr="00CE7024">
        <w:t>mployer and the date this information was confirmed</w:t>
      </w:r>
      <w:r w:rsidR="0034736E">
        <w:t>;</w:t>
      </w:r>
      <w:r w:rsidRPr="00CE7024">
        <w:t xml:space="preserve"> and </w:t>
      </w:r>
    </w:p>
    <w:p w:rsidR="00CE7024" w:rsidRPr="00CE7024" w:rsidRDefault="00CE7024" w:rsidP="002A5422">
      <w:r w:rsidRPr="00CE7024">
        <w:t>• brief details of the recruitment request</w:t>
      </w:r>
      <w:r w:rsidR="00D4375E">
        <w:t>.</w:t>
      </w:r>
      <w:r w:rsidRPr="00CE7024">
        <w:t xml:space="preserve"> </w:t>
      </w:r>
    </w:p>
    <w:p w:rsidR="000020ED" w:rsidRDefault="000020ED" w:rsidP="002A5422">
      <w:r w:rsidRPr="00CA7ACB">
        <w:lastRenderedPageBreak/>
        <w:t xml:space="preserve">This change to </w:t>
      </w:r>
      <w:r w:rsidR="0034736E" w:rsidRPr="00CA7ACB">
        <w:t xml:space="preserve">the </w:t>
      </w:r>
      <w:r w:rsidRPr="00CA7ACB">
        <w:t xml:space="preserve">guidelines was accompanied by a number of changes to the </w:t>
      </w:r>
      <w:r w:rsidR="00357865" w:rsidRPr="00CA7ACB">
        <w:t>information technology system</w:t>
      </w:r>
      <w:r w:rsidRPr="00CA7ACB">
        <w:t xml:space="preserve"> to minimise the inadvertent claiming of PBO and provide greater clarity in the definition of brokering.  For example, up until 1 July 2011, the system defaulted to a PBO outcome type if the JSA staff member did not over ride the system field.  </w:t>
      </w:r>
      <w:r w:rsidR="00357865" w:rsidRPr="00CA7ACB">
        <w:t>T</w:t>
      </w:r>
      <w:r w:rsidR="004B050E" w:rsidRPr="00CA7ACB">
        <w:t xml:space="preserve">his was likely to have led to providers inadvertently claiming PBOs.  </w:t>
      </w:r>
      <w:r w:rsidRPr="00CA7ACB">
        <w:t>Th</w:t>
      </w:r>
      <w:r w:rsidR="004B050E" w:rsidRPr="00CA7ACB">
        <w:t>e system</w:t>
      </w:r>
      <w:r w:rsidRPr="00CA7ACB">
        <w:t xml:space="preserve"> was changed on </w:t>
      </w:r>
      <w:r w:rsidR="004A7017" w:rsidRPr="00CA7ACB">
        <w:t>4 July 2011</w:t>
      </w:r>
      <w:r w:rsidRPr="00CA7ACB">
        <w:t xml:space="preserve"> so that the JSA operator had to actively choose a PBO claim type.</w:t>
      </w:r>
      <w:r>
        <w:t xml:space="preserve">  </w:t>
      </w:r>
    </w:p>
    <w:p w:rsidR="00701F3F" w:rsidRDefault="00701F3F" w:rsidP="00701F3F">
      <w:pPr>
        <w:pStyle w:val="Heading1"/>
        <w:numPr>
          <w:ilvl w:val="0"/>
          <w:numId w:val="0"/>
        </w:numPr>
        <w:spacing w:before="60" w:after="60"/>
        <w:ind w:left="567"/>
        <w:rPr>
          <w:rFonts w:cs="Arial"/>
          <w:sz w:val="28"/>
          <w:szCs w:val="22"/>
        </w:rPr>
      </w:pPr>
    </w:p>
    <w:p w:rsidR="009C7818" w:rsidRPr="000F5225" w:rsidRDefault="009C7818" w:rsidP="002A5422">
      <w:pPr>
        <w:pStyle w:val="Heading1"/>
        <w:spacing w:before="60" w:after="60"/>
        <w:rPr>
          <w:rFonts w:cs="Arial"/>
          <w:sz w:val="28"/>
          <w:szCs w:val="22"/>
        </w:rPr>
      </w:pPr>
      <w:bookmarkStart w:id="9" w:name="_Toc322630281"/>
      <w:r w:rsidRPr="009C7818">
        <w:rPr>
          <w:rFonts w:cs="Arial"/>
          <w:sz w:val="28"/>
          <w:szCs w:val="22"/>
        </w:rPr>
        <w:t xml:space="preserve">Provider Brokered Outcomes </w:t>
      </w:r>
      <w:r>
        <w:rPr>
          <w:rFonts w:cs="Arial"/>
          <w:sz w:val="28"/>
          <w:szCs w:val="22"/>
        </w:rPr>
        <w:t>Audit</w:t>
      </w:r>
      <w:bookmarkEnd w:id="9"/>
    </w:p>
    <w:p w:rsidR="009C7818" w:rsidRPr="009C7818" w:rsidRDefault="009C7818" w:rsidP="00623919">
      <w:pPr>
        <w:pStyle w:val="Heading2"/>
        <w:numPr>
          <w:ilvl w:val="1"/>
          <w:numId w:val="7"/>
        </w:numPr>
        <w:spacing w:before="360"/>
        <w:rPr>
          <w:rFonts w:cs="Arial"/>
          <w:sz w:val="24"/>
          <w:szCs w:val="24"/>
        </w:rPr>
      </w:pPr>
      <w:bookmarkStart w:id="10" w:name="_Toc322630282"/>
      <w:r w:rsidRPr="009C7818">
        <w:rPr>
          <w:rFonts w:cs="Arial"/>
          <w:sz w:val="24"/>
          <w:szCs w:val="24"/>
        </w:rPr>
        <w:t>Methodology</w:t>
      </w:r>
      <w:bookmarkEnd w:id="10"/>
    </w:p>
    <w:p w:rsidR="00FF49DD" w:rsidRDefault="00FC39A8" w:rsidP="002A5422">
      <w:pPr>
        <w:rPr>
          <w:rFonts w:cs="Arial"/>
          <w:szCs w:val="22"/>
        </w:rPr>
      </w:pPr>
      <w:r>
        <w:rPr>
          <w:rFonts w:cs="Arial"/>
          <w:szCs w:val="22"/>
        </w:rPr>
        <w:t xml:space="preserve">The </w:t>
      </w:r>
      <w:r w:rsidR="00190D6F">
        <w:rPr>
          <w:rFonts w:cs="Arial"/>
          <w:szCs w:val="22"/>
        </w:rPr>
        <w:t xml:space="preserve">conduct and methodology for the </w:t>
      </w:r>
      <w:r w:rsidR="007033F2">
        <w:rPr>
          <w:rFonts w:cs="Arial"/>
          <w:szCs w:val="22"/>
        </w:rPr>
        <w:t>a</w:t>
      </w:r>
      <w:r>
        <w:rPr>
          <w:rFonts w:cs="Arial"/>
          <w:szCs w:val="22"/>
        </w:rPr>
        <w:t>udit was overseen by Mr Robert Butterwo</w:t>
      </w:r>
      <w:r w:rsidR="00190D6F">
        <w:rPr>
          <w:rFonts w:cs="Arial"/>
          <w:szCs w:val="22"/>
        </w:rPr>
        <w:t xml:space="preserve">rth.  </w:t>
      </w:r>
      <w:r w:rsidR="001A688E">
        <w:rPr>
          <w:rFonts w:cs="Arial"/>
          <w:szCs w:val="22"/>
        </w:rPr>
        <w:t xml:space="preserve">The audit approach </w:t>
      </w:r>
      <w:r w:rsidR="00190D6F">
        <w:rPr>
          <w:rFonts w:cs="Arial"/>
          <w:szCs w:val="22"/>
        </w:rPr>
        <w:t>aim</w:t>
      </w:r>
      <w:r w:rsidR="009419B6">
        <w:rPr>
          <w:rFonts w:cs="Arial"/>
          <w:szCs w:val="22"/>
        </w:rPr>
        <w:t>ed</w:t>
      </w:r>
      <w:r w:rsidR="00190D6F">
        <w:rPr>
          <w:rFonts w:cs="Arial"/>
          <w:szCs w:val="22"/>
        </w:rPr>
        <w:t xml:space="preserve"> to ensure</w:t>
      </w:r>
      <w:r w:rsidR="00AD1ED0">
        <w:rPr>
          <w:rFonts w:cs="Arial"/>
          <w:szCs w:val="22"/>
        </w:rPr>
        <w:t xml:space="preserve"> that</w:t>
      </w:r>
      <w:r w:rsidR="00190D6F">
        <w:rPr>
          <w:rFonts w:cs="Arial"/>
          <w:szCs w:val="22"/>
        </w:rPr>
        <w:t xml:space="preserve"> the process </w:t>
      </w:r>
      <w:r w:rsidR="009419B6">
        <w:rPr>
          <w:rFonts w:cs="Arial"/>
          <w:szCs w:val="22"/>
        </w:rPr>
        <w:t xml:space="preserve">was </w:t>
      </w:r>
      <w:r w:rsidR="00190D6F">
        <w:rPr>
          <w:rFonts w:cs="Arial"/>
          <w:szCs w:val="22"/>
        </w:rPr>
        <w:t>rigorous</w:t>
      </w:r>
      <w:r w:rsidR="007F0DDF">
        <w:rPr>
          <w:rFonts w:cs="Arial"/>
          <w:szCs w:val="22"/>
        </w:rPr>
        <w:t xml:space="preserve">, </w:t>
      </w:r>
      <w:r w:rsidR="00190D6F">
        <w:rPr>
          <w:rFonts w:cs="Arial"/>
          <w:szCs w:val="22"/>
        </w:rPr>
        <w:t>consistent</w:t>
      </w:r>
      <w:r w:rsidR="009419B6">
        <w:rPr>
          <w:rFonts w:cs="Arial"/>
          <w:szCs w:val="22"/>
        </w:rPr>
        <w:t xml:space="preserve"> and focus</w:t>
      </w:r>
      <w:r w:rsidR="007F0DDF">
        <w:rPr>
          <w:rFonts w:cs="Arial"/>
          <w:szCs w:val="22"/>
        </w:rPr>
        <w:t>ed</w:t>
      </w:r>
      <w:r w:rsidR="009419B6">
        <w:rPr>
          <w:rFonts w:cs="Arial"/>
          <w:szCs w:val="22"/>
        </w:rPr>
        <w:t xml:space="preserve"> on areas of </w:t>
      </w:r>
      <w:r w:rsidR="007F0DDF">
        <w:rPr>
          <w:rFonts w:cs="Arial"/>
          <w:szCs w:val="22"/>
        </w:rPr>
        <w:t xml:space="preserve">most </w:t>
      </w:r>
      <w:r w:rsidR="009419B6">
        <w:rPr>
          <w:rFonts w:cs="Arial"/>
          <w:szCs w:val="22"/>
        </w:rPr>
        <w:t xml:space="preserve">risk within the current brokering arrangements.  </w:t>
      </w:r>
      <w:r w:rsidR="00190D6F">
        <w:rPr>
          <w:rFonts w:cs="Arial"/>
          <w:szCs w:val="22"/>
        </w:rPr>
        <w:t xml:space="preserve">  </w:t>
      </w:r>
    </w:p>
    <w:p w:rsidR="0036275D" w:rsidRDefault="00AD1ED0" w:rsidP="002A5422">
      <w:pPr>
        <w:rPr>
          <w:rFonts w:cs="Arial"/>
          <w:szCs w:val="22"/>
        </w:rPr>
      </w:pPr>
      <w:r>
        <w:rPr>
          <w:rFonts w:cs="Arial"/>
          <w:szCs w:val="22"/>
        </w:rPr>
        <w:t>Fourteen</w:t>
      </w:r>
      <w:r w:rsidR="00190D6F">
        <w:rPr>
          <w:rFonts w:cs="Arial"/>
          <w:szCs w:val="22"/>
        </w:rPr>
        <w:t xml:space="preserve"> providers </w:t>
      </w:r>
      <w:r w:rsidR="001A688E">
        <w:rPr>
          <w:rFonts w:cs="Arial"/>
          <w:szCs w:val="22"/>
        </w:rPr>
        <w:t>in 18 Employment Services Areas</w:t>
      </w:r>
      <w:r w:rsidR="00B43678">
        <w:rPr>
          <w:rFonts w:cs="Arial"/>
          <w:szCs w:val="22"/>
        </w:rPr>
        <w:t xml:space="preserve"> </w:t>
      </w:r>
      <w:r w:rsidR="00190D6F">
        <w:rPr>
          <w:rFonts w:cs="Arial"/>
          <w:szCs w:val="22"/>
        </w:rPr>
        <w:t xml:space="preserve">containing </w:t>
      </w:r>
      <w:r w:rsidR="007F5F1A">
        <w:rPr>
          <w:rFonts w:cs="Arial"/>
          <w:szCs w:val="22"/>
        </w:rPr>
        <w:t>87</w:t>
      </w:r>
      <w:r w:rsidR="00190D6F">
        <w:rPr>
          <w:rFonts w:cs="Arial"/>
          <w:szCs w:val="22"/>
        </w:rPr>
        <w:t xml:space="preserve"> sites were selected to take part in the audit.  </w:t>
      </w:r>
      <w:r w:rsidR="0036275D">
        <w:rPr>
          <w:rFonts w:cs="Arial"/>
        </w:rPr>
        <w:t xml:space="preserve">Providers selected for the audit </w:t>
      </w:r>
      <w:r w:rsidR="003C24D3">
        <w:rPr>
          <w:rFonts w:cs="Arial"/>
        </w:rPr>
        <w:t>were from a broa</w:t>
      </w:r>
      <w:r w:rsidR="00047798">
        <w:rPr>
          <w:rFonts w:cs="Arial"/>
        </w:rPr>
        <w:t>d cross section of providers</w:t>
      </w:r>
      <w:r w:rsidR="00AF4E9D">
        <w:rPr>
          <w:rFonts w:cs="Arial"/>
        </w:rPr>
        <w:t xml:space="preserve">. </w:t>
      </w:r>
    </w:p>
    <w:p w:rsidR="007E6A63" w:rsidRDefault="007E6A63" w:rsidP="002A5422">
      <w:pPr>
        <w:rPr>
          <w:rFonts w:cs="Arial"/>
          <w:szCs w:val="22"/>
        </w:rPr>
      </w:pPr>
      <w:r>
        <w:rPr>
          <w:rFonts w:cs="Arial"/>
          <w:szCs w:val="22"/>
        </w:rPr>
        <w:t>Of the 14 providers:</w:t>
      </w:r>
    </w:p>
    <w:p w:rsidR="007E6A63" w:rsidRPr="006D6E72" w:rsidRDefault="00AD1ED0" w:rsidP="008F0C0C">
      <w:pPr>
        <w:numPr>
          <w:ilvl w:val="0"/>
          <w:numId w:val="8"/>
        </w:numPr>
        <w:rPr>
          <w:rFonts w:cs="Arial"/>
          <w:noProof/>
          <w:szCs w:val="22"/>
          <w:lang w:eastAsia="en-AU"/>
        </w:rPr>
      </w:pPr>
      <w:r>
        <w:rPr>
          <w:rFonts w:cs="Arial"/>
          <w:noProof/>
          <w:szCs w:val="22"/>
          <w:lang w:eastAsia="en-AU"/>
        </w:rPr>
        <w:t>Ten</w:t>
      </w:r>
      <w:r w:rsidR="007E6A63" w:rsidRPr="006D6E72">
        <w:rPr>
          <w:rFonts w:cs="Arial"/>
          <w:noProof/>
          <w:szCs w:val="22"/>
          <w:lang w:eastAsia="en-AU"/>
        </w:rPr>
        <w:t xml:space="preserve"> were selected because </w:t>
      </w:r>
      <w:r w:rsidR="006D6E72">
        <w:rPr>
          <w:rFonts w:cs="Arial"/>
          <w:noProof/>
          <w:szCs w:val="22"/>
          <w:lang w:eastAsia="en-AU"/>
        </w:rPr>
        <w:t>the</w:t>
      </w:r>
      <w:r w:rsidR="00BC2A1B">
        <w:rPr>
          <w:rFonts w:cs="Arial"/>
          <w:noProof/>
          <w:szCs w:val="22"/>
          <w:lang w:eastAsia="en-AU"/>
        </w:rPr>
        <w:t>y</w:t>
      </w:r>
      <w:r w:rsidR="006D6E72">
        <w:rPr>
          <w:rFonts w:cs="Arial"/>
          <w:noProof/>
          <w:szCs w:val="22"/>
          <w:lang w:eastAsia="en-AU"/>
        </w:rPr>
        <w:t xml:space="preserve"> </w:t>
      </w:r>
      <w:r w:rsidR="007E6A63" w:rsidRPr="006D6E72">
        <w:rPr>
          <w:rFonts w:cs="Arial"/>
          <w:noProof/>
          <w:szCs w:val="22"/>
          <w:lang w:eastAsia="en-AU"/>
        </w:rPr>
        <w:t xml:space="preserve">had the highest percentage of </w:t>
      </w:r>
      <w:r w:rsidR="008F0C0C" w:rsidRPr="006D6E72">
        <w:rPr>
          <w:rFonts w:cs="Arial"/>
          <w:noProof/>
          <w:szCs w:val="22"/>
          <w:lang w:eastAsia="en-AU"/>
        </w:rPr>
        <w:t xml:space="preserve">PBO </w:t>
      </w:r>
      <w:r w:rsidR="007E6A63" w:rsidRPr="006D6E72">
        <w:rPr>
          <w:rFonts w:cs="Arial"/>
          <w:noProof/>
          <w:szCs w:val="22"/>
          <w:lang w:eastAsia="en-AU"/>
        </w:rPr>
        <w:t xml:space="preserve">compared to </w:t>
      </w:r>
      <w:r w:rsidR="008F0C0C" w:rsidRPr="006D6E72">
        <w:rPr>
          <w:rFonts w:cs="Arial"/>
          <w:noProof/>
          <w:szCs w:val="22"/>
          <w:lang w:eastAsia="en-AU"/>
        </w:rPr>
        <w:t>PAO claims</w:t>
      </w:r>
      <w:r w:rsidR="007E6A63" w:rsidRPr="006D6E72">
        <w:rPr>
          <w:rFonts w:cs="Arial"/>
          <w:noProof/>
          <w:szCs w:val="22"/>
          <w:lang w:eastAsia="en-AU"/>
        </w:rPr>
        <w:t xml:space="preserve">.  </w:t>
      </w:r>
      <w:r w:rsidR="001A688E">
        <w:rPr>
          <w:rFonts w:cs="Arial"/>
          <w:noProof/>
          <w:szCs w:val="22"/>
          <w:lang w:eastAsia="en-AU"/>
        </w:rPr>
        <w:t>C</w:t>
      </w:r>
      <w:r w:rsidR="006D6E72" w:rsidRPr="006D6E72">
        <w:rPr>
          <w:rFonts w:cs="Arial"/>
          <w:noProof/>
          <w:szCs w:val="22"/>
          <w:lang w:eastAsia="en-AU"/>
        </w:rPr>
        <w:t xml:space="preserve">ontracts </w:t>
      </w:r>
      <w:r w:rsidR="001A688E">
        <w:rPr>
          <w:rFonts w:cs="Arial"/>
          <w:noProof/>
          <w:szCs w:val="22"/>
          <w:lang w:eastAsia="en-AU"/>
        </w:rPr>
        <w:t xml:space="preserve">in </w:t>
      </w:r>
      <w:r w:rsidR="001A688E">
        <w:rPr>
          <w:rFonts w:cs="Arial"/>
          <w:szCs w:val="22"/>
        </w:rPr>
        <w:t xml:space="preserve">Employment Services Areas </w:t>
      </w:r>
      <w:r w:rsidR="006D6E72" w:rsidRPr="006D6E72">
        <w:rPr>
          <w:rFonts w:cs="Arial"/>
          <w:noProof/>
          <w:szCs w:val="22"/>
          <w:lang w:eastAsia="en-AU"/>
        </w:rPr>
        <w:t xml:space="preserve">with more than 70 total claims and more than 66% of outcome claims that </w:t>
      </w:r>
      <w:r>
        <w:rPr>
          <w:rFonts w:cs="Arial"/>
          <w:noProof/>
          <w:szCs w:val="22"/>
          <w:lang w:eastAsia="en-AU"/>
        </w:rPr>
        <w:t>were</w:t>
      </w:r>
      <w:r w:rsidR="006D6E72" w:rsidRPr="006D6E72">
        <w:rPr>
          <w:rFonts w:cs="Arial"/>
          <w:noProof/>
          <w:szCs w:val="22"/>
          <w:lang w:eastAsia="en-AU"/>
        </w:rPr>
        <w:t xml:space="preserve"> PBO compared to POA </w:t>
      </w:r>
      <w:r w:rsidR="001A688E">
        <w:rPr>
          <w:rFonts w:cs="Arial"/>
          <w:noProof/>
          <w:szCs w:val="22"/>
          <w:lang w:eastAsia="en-AU"/>
        </w:rPr>
        <w:t xml:space="preserve">were </w:t>
      </w:r>
      <w:r w:rsidR="006D6E72" w:rsidRPr="006D6E72">
        <w:rPr>
          <w:rFonts w:cs="Arial"/>
          <w:noProof/>
          <w:szCs w:val="22"/>
          <w:lang w:eastAsia="en-AU"/>
        </w:rPr>
        <w:t xml:space="preserve">in scope.  </w:t>
      </w:r>
      <w:r w:rsidR="007E6A63" w:rsidRPr="006D6E72">
        <w:rPr>
          <w:rFonts w:cs="Arial"/>
          <w:noProof/>
          <w:szCs w:val="22"/>
          <w:lang w:eastAsia="en-AU"/>
        </w:rPr>
        <w:t xml:space="preserve">Remote localities or smaller communities and Stream 4 </w:t>
      </w:r>
      <w:r>
        <w:rPr>
          <w:rFonts w:cs="Arial"/>
          <w:noProof/>
          <w:szCs w:val="22"/>
          <w:lang w:eastAsia="en-AU"/>
        </w:rPr>
        <w:t xml:space="preserve">PBOs </w:t>
      </w:r>
      <w:r w:rsidR="006D6E72" w:rsidRPr="006D6E72">
        <w:rPr>
          <w:rFonts w:cs="Arial"/>
          <w:noProof/>
          <w:szCs w:val="22"/>
          <w:lang w:eastAsia="en-AU"/>
        </w:rPr>
        <w:t>were excluded</w:t>
      </w:r>
      <w:r>
        <w:rPr>
          <w:rFonts w:cs="Arial"/>
          <w:noProof/>
          <w:szCs w:val="22"/>
          <w:lang w:eastAsia="en-AU"/>
        </w:rPr>
        <w:t xml:space="preserve"> </w:t>
      </w:r>
      <w:r w:rsidR="00B0274B">
        <w:rPr>
          <w:rFonts w:cs="Arial"/>
          <w:noProof/>
          <w:szCs w:val="22"/>
          <w:lang w:eastAsia="en-AU"/>
        </w:rPr>
        <w:t xml:space="preserve">from </w:t>
      </w:r>
      <w:r w:rsidR="000A3903" w:rsidRPr="006D6E72">
        <w:rPr>
          <w:rFonts w:cs="Arial"/>
          <w:noProof/>
          <w:szCs w:val="22"/>
          <w:lang w:eastAsia="en-AU"/>
        </w:rPr>
        <w:t xml:space="preserve">the </w:t>
      </w:r>
      <w:r w:rsidR="00A0042C" w:rsidRPr="006D6E72">
        <w:rPr>
          <w:rFonts w:cs="Arial"/>
          <w:noProof/>
          <w:szCs w:val="22"/>
          <w:lang w:eastAsia="en-AU"/>
        </w:rPr>
        <w:t>audit selection</w:t>
      </w:r>
      <w:r>
        <w:rPr>
          <w:rFonts w:cs="Arial"/>
          <w:noProof/>
          <w:szCs w:val="22"/>
          <w:lang w:eastAsia="en-AU"/>
        </w:rPr>
        <w:t xml:space="preserve">.  Stream 4 PBOs </w:t>
      </w:r>
      <w:r w:rsidR="000A3903" w:rsidRPr="006D6E72">
        <w:rPr>
          <w:rFonts w:cs="Arial"/>
          <w:noProof/>
          <w:szCs w:val="22"/>
          <w:lang w:eastAsia="en-AU"/>
        </w:rPr>
        <w:t>were included in</w:t>
      </w:r>
      <w:r w:rsidR="00A0042C" w:rsidRPr="006D6E72">
        <w:rPr>
          <w:rFonts w:cs="Arial"/>
          <w:noProof/>
          <w:szCs w:val="22"/>
          <w:lang w:eastAsia="en-AU"/>
        </w:rPr>
        <w:t xml:space="preserve"> </w:t>
      </w:r>
      <w:r w:rsidR="000A3903" w:rsidRPr="006D6E72">
        <w:rPr>
          <w:rFonts w:cs="Arial"/>
          <w:noProof/>
          <w:szCs w:val="22"/>
          <w:lang w:eastAsia="en-AU"/>
        </w:rPr>
        <w:t>the audi</w:t>
      </w:r>
      <w:r w:rsidR="000F4CFE" w:rsidRPr="006D6E72">
        <w:rPr>
          <w:rFonts w:cs="Arial"/>
          <w:noProof/>
          <w:szCs w:val="22"/>
          <w:lang w:eastAsia="en-AU"/>
        </w:rPr>
        <w:t>t</w:t>
      </w:r>
      <w:r w:rsidR="00B0274B">
        <w:rPr>
          <w:rFonts w:cs="Arial"/>
          <w:noProof/>
          <w:szCs w:val="22"/>
          <w:lang w:eastAsia="en-AU"/>
        </w:rPr>
        <w:t xml:space="preserve"> process</w:t>
      </w:r>
      <w:r w:rsidR="000F4CFE" w:rsidRPr="006D6E72">
        <w:rPr>
          <w:rFonts w:cs="Arial"/>
          <w:noProof/>
          <w:szCs w:val="22"/>
          <w:lang w:eastAsia="en-AU"/>
        </w:rPr>
        <w:t xml:space="preserve"> once providers were selected.</w:t>
      </w:r>
      <w:r w:rsidR="000A3903" w:rsidRPr="006D6E72">
        <w:rPr>
          <w:rFonts w:cs="Arial"/>
          <w:noProof/>
          <w:szCs w:val="22"/>
          <w:lang w:eastAsia="en-AU"/>
        </w:rPr>
        <w:t xml:space="preserve">  </w:t>
      </w:r>
      <w:r w:rsidR="00B0274B">
        <w:rPr>
          <w:rFonts w:cs="Arial"/>
          <w:noProof/>
          <w:szCs w:val="22"/>
          <w:lang w:eastAsia="en-AU"/>
        </w:rPr>
        <w:t>This wa</w:t>
      </w:r>
      <w:r w:rsidR="006D6E72">
        <w:rPr>
          <w:rFonts w:cs="Arial"/>
          <w:noProof/>
          <w:szCs w:val="22"/>
          <w:lang w:eastAsia="en-AU"/>
        </w:rPr>
        <w:t>s beca</w:t>
      </w:r>
      <w:r w:rsidR="001A688E">
        <w:rPr>
          <w:rFonts w:cs="Arial"/>
          <w:noProof/>
          <w:szCs w:val="22"/>
          <w:lang w:eastAsia="en-AU"/>
        </w:rPr>
        <w:t>u</w:t>
      </w:r>
      <w:r w:rsidR="006D6E72">
        <w:rPr>
          <w:rFonts w:cs="Arial"/>
          <w:noProof/>
          <w:szCs w:val="22"/>
          <w:lang w:eastAsia="en-AU"/>
        </w:rPr>
        <w:t xml:space="preserve">se </w:t>
      </w:r>
      <w:r w:rsidR="006D6E72">
        <w:t xml:space="preserve">PBOs are more prevalent for the more disadvantaged job seekers.   </w:t>
      </w:r>
    </w:p>
    <w:p w:rsidR="007E6A63" w:rsidRDefault="00AD1ED0" w:rsidP="008F0C0C">
      <w:pPr>
        <w:numPr>
          <w:ilvl w:val="0"/>
          <w:numId w:val="8"/>
        </w:numPr>
        <w:rPr>
          <w:rFonts w:cs="Arial"/>
          <w:noProof/>
          <w:szCs w:val="22"/>
          <w:lang w:eastAsia="en-AU"/>
        </w:rPr>
      </w:pPr>
      <w:r>
        <w:rPr>
          <w:rFonts w:cs="Arial"/>
          <w:noProof/>
          <w:szCs w:val="22"/>
          <w:lang w:eastAsia="en-AU"/>
        </w:rPr>
        <w:t>Four</w:t>
      </w:r>
      <w:r w:rsidR="007E6A63" w:rsidRPr="008F0C0C">
        <w:rPr>
          <w:rFonts w:cs="Arial"/>
          <w:noProof/>
          <w:szCs w:val="22"/>
          <w:lang w:eastAsia="en-AU"/>
        </w:rPr>
        <w:t xml:space="preserve"> </w:t>
      </w:r>
      <w:r w:rsidR="007265D5">
        <w:rPr>
          <w:rFonts w:cs="Arial"/>
          <w:noProof/>
          <w:szCs w:val="22"/>
          <w:lang w:eastAsia="en-AU"/>
        </w:rPr>
        <w:t xml:space="preserve">were selected </w:t>
      </w:r>
      <w:r w:rsidR="006D6E72">
        <w:rPr>
          <w:rFonts w:cs="Arial"/>
          <w:noProof/>
          <w:szCs w:val="22"/>
          <w:lang w:eastAsia="en-AU"/>
        </w:rPr>
        <w:t>as</w:t>
      </w:r>
      <w:r w:rsidR="00B0274B">
        <w:rPr>
          <w:rFonts w:cs="Arial"/>
          <w:noProof/>
          <w:szCs w:val="22"/>
          <w:lang w:eastAsia="en-AU"/>
        </w:rPr>
        <w:t xml:space="preserve"> a</w:t>
      </w:r>
      <w:r w:rsidR="006D6E72">
        <w:rPr>
          <w:rFonts w:cs="Arial"/>
          <w:noProof/>
          <w:szCs w:val="22"/>
          <w:lang w:eastAsia="en-AU"/>
        </w:rPr>
        <w:t xml:space="preserve"> control group </w:t>
      </w:r>
      <w:r w:rsidR="007265D5">
        <w:rPr>
          <w:rFonts w:cs="Arial"/>
          <w:noProof/>
          <w:szCs w:val="22"/>
          <w:lang w:eastAsia="en-AU"/>
        </w:rPr>
        <w:t>that did no</w:t>
      </w:r>
      <w:r w:rsidR="007D4556">
        <w:rPr>
          <w:rFonts w:cs="Arial"/>
          <w:noProof/>
          <w:szCs w:val="22"/>
          <w:lang w:eastAsia="en-AU"/>
        </w:rPr>
        <w:t xml:space="preserve">t have a higher </w:t>
      </w:r>
      <w:r w:rsidR="003E7116">
        <w:rPr>
          <w:rFonts w:cs="Arial"/>
          <w:noProof/>
          <w:szCs w:val="22"/>
          <w:lang w:eastAsia="en-AU"/>
        </w:rPr>
        <w:t>use of PBOs</w:t>
      </w:r>
      <w:r w:rsidR="00A0042C">
        <w:rPr>
          <w:rFonts w:cs="Arial"/>
          <w:noProof/>
          <w:szCs w:val="22"/>
          <w:lang w:eastAsia="en-AU"/>
        </w:rPr>
        <w:t xml:space="preserve">.  </w:t>
      </w:r>
    </w:p>
    <w:p w:rsidR="00B0274B" w:rsidRDefault="00B0274B" w:rsidP="00B0274B">
      <w:r>
        <w:t xml:space="preserve">As outlined above, JSA providers can support claims for payment through file notes or other documentary evidence.  To minimise red tape and the impost on parties such as employers, JSA providers are not required to include external validation of such documentation.  This remained the case after the documentary evidence requirements were tightened in June 2011.  </w:t>
      </w:r>
    </w:p>
    <w:p w:rsidR="00B0274B" w:rsidRDefault="00B0274B" w:rsidP="00B0274B">
      <w:r>
        <w:t>The audit endeavoured to confi</w:t>
      </w:r>
      <w:r w:rsidR="00425483">
        <w:t xml:space="preserve">rm that the matching, screening, </w:t>
      </w:r>
      <w:r>
        <w:t xml:space="preserve">referring </w:t>
      </w:r>
      <w:r w:rsidR="00425483">
        <w:t xml:space="preserve">and placing </w:t>
      </w:r>
      <w:r>
        <w:t xml:space="preserve">of a job seeker to a job had been delivered by seeking independent verification by the job seeker </w:t>
      </w:r>
      <w:r w:rsidR="00425483">
        <w:t>and/</w:t>
      </w:r>
      <w:r>
        <w:t xml:space="preserve">or employer of the services.  </w:t>
      </w:r>
    </w:p>
    <w:p w:rsidR="00190D6F" w:rsidRDefault="00AF4E9D" w:rsidP="002A5422">
      <w:pPr>
        <w:rPr>
          <w:rFonts w:cs="Arial"/>
          <w:szCs w:val="22"/>
        </w:rPr>
      </w:pPr>
      <w:r>
        <w:rPr>
          <w:rFonts w:cs="Arial"/>
          <w:szCs w:val="22"/>
        </w:rPr>
        <w:t xml:space="preserve">The key steps of the audit </w:t>
      </w:r>
      <w:r w:rsidR="00945545">
        <w:rPr>
          <w:rFonts w:cs="Arial"/>
          <w:szCs w:val="22"/>
        </w:rPr>
        <w:t>were</w:t>
      </w:r>
      <w:r>
        <w:rPr>
          <w:rFonts w:cs="Arial"/>
          <w:szCs w:val="22"/>
        </w:rPr>
        <w:t>:</w:t>
      </w:r>
    </w:p>
    <w:p w:rsidR="00FA5347" w:rsidRDefault="00FA5347" w:rsidP="00475573">
      <w:pPr>
        <w:numPr>
          <w:ilvl w:val="0"/>
          <w:numId w:val="8"/>
        </w:numPr>
        <w:rPr>
          <w:rFonts w:cs="Arial"/>
          <w:szCs w:val="22"/>
        </w:rPr>
      </w:pPr>
      <w:r>
        <w:rPr>
          <w:rFonts w:cs="Arial"/>
          <w:szCs w:val="22"/>
        </w:rPr>
        <w:t>P</w:t>
      </w:r>
      <w:r w:rsidRPr="00FA5347">
        <w:rPr>
          <w:rFonts w:cs="Arial"/>
          <w:szCs w:val="22"/>
        </w:rPr>
        <w:t xml:space="preserve">roviders self reviewed </w:t>
      </w:r>
      <w:r w:rsidR="00B0274B">
        <w:rPr>
          <w:rFonts w:cs="Arial"/>
          <w:szCs w:val="22"/>
        </w:rPr>
        <w:t>all</w:t>
      </w:r>
      <w:r w:rsidRPr="00FA5347">
        <w:rPr>
          <w:rFonts w:cs="Arial"/>
          <w:szCs w:val="22"/>
        </w:rPr>
        <w:t xml:space="preserve"> </w:t>
      </w:r>
      <w:r w:rsidR="004B050E">
        <w:rPr>
          <w:rFonts w:cs="Arial"/>
          <w:szCs w:val="22"/>
        </w:rPr>
        <w:t>PBO</w:t>
      </w:r>
      <w:r w:rsidRPr="00FA5347">
        <w:rPr>
          <w:rFonts w:cs="Arial"/>
          <w:szCs w:val="22"/>
        </w:rPr>
        <w:t xml:space="preserve"> claims</w:t>
      </w:r>
      <w:r w:rsidR="00B0274B">
        <w:rPr>
          <w:rFonts w:cs="Arial"/>
          <w:szCs w:val="22"/>
        </w:rPr>
        <w:t xml:space="preserve"> lodged </w:t>
      </w:r>
      <w:r w:rsidR="00B0274B">
        <w:t xml:space="preserve">in the specific </w:t>
      </w:r>
      <w:r w:rsidR="00B0274B">
        <w:rPr>
          <w:rFonts w:cs="Arial"/>
          <w:szCs w:val="22"/>
        </w:rPr>
        <w:t xml:space="preserve">Employment Services Area(s) </w:t>
      </w:r>
      <w:r w:rsidR="00B0274B">
        <w:t>between 1 July 2011 and 31 December 2011</w:t>
      </w:r>
      <w:r w:rsidR="00B0274B">
        <w:rPr>
          <w:rFonts w:cs="Arial"/>
          <w:szCs w:val="22"/>
        </w:rPr>
        <w:t xml:space="preserve">.  They </w:t>
      </w:r>
      <w:r w:rsidRPr="00FA5347">
        <w:rPr>
          <w:rFonts w:cs="Arial"/>
          <w:szCs w:val="22"/>
        </w:rPr>
        <w:t xml:space="preserve">completed a statement </w:t>
      </w:r>
      <w:r w:rsidR="006D6E72">
        <w:rPr>
          <w:rFonts w:cs="Arial"/>
          <w:szCs w:val="22"/>
        </w:rPr>
        <w:t xml:space="preserve">of compliance </w:t>
      </w:r>
      <w:r w:rsidRPr="00FA5347">
        <w:rPr>
          <w:rFonts w:cs="Arial"/>
          <w:szCs w:val="22"/>
        </w:rPr>
        <w:t xml:space="preserve">that </w:t>
      </w:r>
      <w:r w:rsidR="00B0274B">
        <w:rPr>
          <w:rFonts w:cs="Arial"/>
          <w:szCs w:val="22"/>
        </w:rPr>
        <w:t xml:space="preserve">identified invalid claims and confirmed that others </w:t>
      </w:r>
      <w:r w:rsidR="00113F86">
        <w:rPr>
          <w:rFonts w:cs="Arial"/>
          <w:szCs w:val="22"/>
        </w:rPr>
        <w:t xml:space="preserve">had </w:t>
      </w:r>
      <w:r w:rsidRPr="00FA5347">
        <w:rPr>
          <w:rFonts w:cs="Arial"/>
          <w:szCs w:val="22"/>
        </w:rPr>
        <w:t>been made in compliance with the Employment Services Deed, documentary evidence requirements and relevant Guidelines.</w:t>
      </w:r>
      <w:r w:rsidR="007A5DB9">
        <w:rPr>
          <w:rFonts w:cs="Arial"/>
          <w:szCs w:val="22"/>
        </w:rPr>
        <w:t xml:space="preserve">  </w:t>
      </w:r>
    </w:p>
    <w:p w:rsidR="00FA5347" w:rsidRDefault="00FA5347" w:rsidP="00475573">
      <w:pPr>
        <w:numPr>
          <w:ilvl w:val="0"/>
          <w:numId w:val="8"/>
        </w:numPr>
        <w:rPr>
          <w:rFonts w:cs="Arial"/>
          <w:szCs w:val="22"/>
        </w:rPr>
      </w:pPr>
      <w:r>
        <w:rPr>
          <w:rFonts w:cs="Arial"/>
          <w:szCs w:val="22"/>
        </w:rPr>
        <w:t>T</w:t>
      </w:r>
      <w:r w:rsidRPr="00FA5347">
        <w:rPr>
          <w:rFonts w:cs="Arial"/>
          <w:szCs w:val="22"/>
        </w:rPr>
        <w:t xml:space="preserve">he Department </w:t>
      </w:r>
      <w:r>
        <w:rPr>
          <w:rFonts w:cs="Arial"/>
          <w:szCs w:val="22"/>
        </w:rPr>
        <w:t xml:space="preserve">then </w:t>
      </w:r>
      <w:r w:rsidRPr="00FA5347">
        <w:rPr>
          <w:rFonts w:cs="Arial"/>
          <w:szCs w:val="22"/>
        </w:rPr>
        <w:t xml:space="preserve">undertook a detailed </w:t>
      </w:r>
      <w:r w:rsidR="00FF49DD" w:rsidRPr="00FA5347">
        <w:rPr>
          <w:rFonts w:cs="Arial"/>
          <w:szCs w:val="22"/>
        </w:rPr>
        <w:t xml:space="preserve">assessment </w:t>
      </w:r>
      <w:r w:rsidRPr="00FA5347">
        <w:rPr>
          <w:rFonts w:cs="Arial"/>
          <w:szCs w:val="22"/>
        </w:rPr>
        <w:t xml:space="preserve">to </w:t>
      </w:r>
      <w:r w:rsidR="00047798">
        <w:rPr>
          <w:rFonts w:cs="Arial"/>
          <w:szCs w:val="22"/>
        </w:rPr>
        <w:t>substantiate</w:t>
      </w:r>
      <w:r w:rsidRPr="00FA5347">
        <w:rPr>
          <w:rFonts w:cs="Arial"/>
          <w:szCs w:val="22"/>
        </w:rPr>
        <w:t xml:space="preserve"> </w:t>
      </w:r>
      <w:r w:rsidR="00047798">
        <w:rPr>
          <w:rFonts w:cs="Arial"/>
          <w:szCs w:val="22"/>
        </w:rPr>
        <w:t xml:space="preserve">the </w:t>
      </w:r>
      <w:r w:rsidRPr="00FA5347">
        <w:rPr>
          <w:rFonts w:cs="Arial"/>
          <w:szCs w:val="22"/>
        </w:rPr>
        <w:t xml:space="preserve">claims </w:t>
      </w:r>
      <w:r w:rsidR="00A64623">
        <w:rPr>
          <w:rFonts w:cs="Arial"/>
          <w:szCs w:val="22"/>
        </w:rPr>
        <w:t xml:space="preserve">providers confirmed as </w:t>
      </w:r>
      <w:r w:rsidR="00B74AD8">
        <w:rPr>
          <w:rFonts w:cs="Arial"/>
          <w:szCs w:val="22"/>
        </w:rPr>
        <w:t xml:space="preserve">being </w:t>
      </w:r>
      <w:r w:rsidR="00A64623">
        <w:rPr>
          <w:rFonts w:cs="Arial"/>
          <w:szCs w:val="22"/>
        </w:rPr>
        <w:t xml:space="preserve">correct.  This </w:t>
      </w:r>
      <w:r w:rsidRPr="00FA5347">
        <w:rPr>
          <w:rFonts w:cs="Arial"/>
          <w:szCs w:val="22"/>
        </w:rPr>
        <w:t>included</w:t>
      </w:r>
      <w:r>
        <w:rPr>
          <w:rFonts w:cs="Arial"/>
          <w:szCs w:val="22"/>
        </w:rPr>
        <w:t xml:space="preserve"> a</w:t>
      </w:r>
      <w:r w:rsidRPr="00FA5347">
        <w:rPr>
          <w:rFonts w:cs="Arial"/>
          <w:szCs w:val="22"/>
        </w:rPr>
        <w:t>n examination of all information</w:t>
      </w:r>
      <w:r>
        <w:rPr>
          <w:rFonts w:cs="Arial"/>
          <w:szCs w:val="22"/>
        </w:rPr>
        <w:t xml:space="preserve"> to identify the level of brokering activity collected through:</w:t>
      </w:r>
    </w:p>
    <w:p w:rsidR="00FA5347" w:rsidRPr="00FA5347" w:rsidRDefault="00A51E17" w:rsidP="002A5422">
      <w:pPr>
        <w:numPr>
          <w:ilvl w:val="1"/>
          <w:numId w:val="5"/>
        </w:numPr>
        <w:rPr>
          <w:rFonts w:cs="Arial"/>
          <w:szCs w:val="22"/>
        </w:rPr>
      </w:pPr>
      <w:r>
        <w:rPr>
          <w:rFonts w:cs="Arial"/>
          <w:szCs w:val="22"/>
        </w:rPr>
        <w:t xml:space="preserve">the </w:t>
      </w:r>
      <w:r w:rsidR="00B0274B">
        <w:rPr>
          <w:rFonts w:cs="Arial"/>
          <w:szCs w:val="22"/>
        </w:rPr>
        <w:t>information technology system</w:t>
      </w:r>
      <w:r w:rsidR="003E7116">
        <w:rPr>
          <w:rFonts w:cs="Arial"/>
          <w:szCs w:val="22"/>
        </w:rPr>
        <w:t xml:space="preserve"> and other available information</w:t>
      </w:r>
      <w:r w:rsidR="00FA5347">
        <w:rPr>
          <w:rFonts w:cs="Arial"/>
          <w:szCs w:val="22"/>
        </w:rPr>
        <w:t xml:space="preserve"> to look at </w:t>
      </w:r>
      <w:r w:rsidR="00425483">
        <w:rPr>
          <w:rFonts w:cs="Arial"/>
          <w:szCs w:val="22"/>
        </w:rPr>
        <w:t>key data items such as relevant</w:t>
      </w:r>
      <w:r w:rsidR="00FA5347">
        <w:rPr>
          <w:rFonts w:cs="Arial"/>
          <w:szCs w:val="22"/>
        </w:rPr>
        <w:t xml:space="preserve"> dates, sequencing of job seeker and employer contact</w:t>
      </w:r>
      <w:r w:rsidR="00B0274B">
        <w:rPr>
          <w:rFonts w:cs="Arial"/>
          <w:szCs w:val="22"/>
        </w:rPr>
        <w:t>s</w:t>
      </w:r>
      <w:r w:rsidR="00FA5347">
        <w:rPr>
          <w:rFonts w:cs="Arial"/>
          <w:szCs w:val="22"/>
        </w:rPr>
        <w:t xml:space="preserve"> and </w:t>
      </w:r>
      <w:r w:rsidR="00B0274B">
        <w:rPr>
          <w:rFonts w:cs="Arial"/>
          <w:szCs w:val="22"/>
        </w:rPr>
        <w:t xml:space="preserve">recorded </w:t>
      </w:r>
      <w:r w:rsidR="00FA5347">
        <w:rPr>
          <w:rFonts w:cs="Arial"/>
          <w:szCs w:val="22"/>
        </w:rPr>
        <w:t>comments;</w:t>
      </w:r>
      <w:r w:rsidR="004E6200">
        <w:rPr>
          <w:rFonts w:cs="Arial"/>
          <w:szCs w:val="22"/>
        </w:rPr>
        <w:t xml:space="preserve"> and</w:t>
      </w:r>
    </w:p>
    <w:p w:rsidR="00FF49DD" w:rsidRDefault="00FF49DD" w:rsidP="002A5422">
      <w:pPr>
        <w:numPr>
          <w:ilvl w:val="1"/>
          <w:numId w:val="5"/>
        </w:numPr>
        <w:rPr>
          <w:rFonts w:cs="Arial"/>
          <w:szCs w:val="22"/>
        </w:rPr>
      </w:pPr>
      <w:r w:rsidRPr="00C2416D">
        <w:rPr>
          <w:rFonts w:cs="Arial"/>
          <w:szCs w:val="22"/>
        </w:rPr>
        <w:lastRenderedPageBreak/>
        <w:t>documentary evidence</w:t>
      </w:r>
      <w:r>
        <w:rPr>
          <w:rFonts w:cs="Arial"/>
          <w:szCs w:val="22"/>
        </w:rPr>
        <w:t xml:space="preserve"> </w:t>
      </w:r>
      <w:r w:rsidR="00FA5347">
        <w:rPr>
          <w:rFonts w:cs="Arial"/>
          <w:szCs w:val="22"/>
        </w:rPr>
        <w:t>provided by the JSA pro</w:t>
      </w:r>
      <w:r w:rsidR="00666FEB">
        <w:rPr>
          <w:rFonts w:cs="Arial"/>
          <w:szCs w:val="22"/>
        </w:rPr>
        <w:t>vider to support their claim</w:t>
      </w:r>
      <w:r w:rsidR="004E6200">
        <w:rPr>
          <w:rFonts w:cs="Arial"/>
          <w:szCs w:val="22"/>
        </w:rPr>
        <w:t>.</w:t>
      </w:r>
    </w:p>
    <w:p w:rsidR="00FA5347" w:rsidRDefault="004E6200" w:rsidP="004E6200">
      <w:pPr>
        <w:numPr>
          <w:ilvl w:val="0"/>
          <w:numId w:val="8"/>
        </w:numPr>
        <w:rPr>
          <w:rFonts w:cs="Arial"/>
          <w:szCs w:val="22"/>
        </w:rPr>
      </w:pPr>
      <w:r>
        <w:rPr>
          <w:rFonts w:cs="Arial"/>
          <w:szCs w:val="22"/>
        </w:rPr>
        <w:t>T</w:t>
      </w:r>
      <w:r w:rsidRPr="00FA5347">
        <w:rPr>
          <w:rFonts w:cs="Arial"/>
          <w:szCs w:val="22"/>
        </w:rPr>
        <w:t xml:space="preserve">he Department </w:t>
      </w:r>
      <w:r>
        <w:rPr>
          <w:rFonts w:cs="Arial"/>
          <w:szCs w:val="22"/>
        </w:rPr>
        <w:t xml:space="preserve">endeavoured to </w:t>
      </w:r>
      <w:r w:rsidR="00FA5347" w:rsidRPr="004E6200">
        <w:rPr>
          <w:rFonts w:cs="Arial"/>
          <w:szCs w:val="22"/>
        </w:rPr>
        <w:t xml:space="preserve">contact via telephone </w:t>
      </w:r>
      <w:r w:rsidR="0050035E" w:rsidRPr="004E6200">
        <w:rPr>
          <w:rFonts w:cs="Arial"/>
          <w:szCs w:val="22"/>
        </w:rPr>
        <w:t xml:space="preserve">job seekers </w:t>
      </w:r>
      <w:r w:rsidR="001F1167">
        <w:rPr>
          <w:rFonts w:cs="Arial"/>
          <w:szCs w:val="22"/>
        </w:rPr>
        <w:t>and</w:t>
      </w:r>
      <w:r w:rsidR="0050035E" w:rsidRPr="004E6200">
        <w:rPr>
          <w:rFonts w:cs="Arial"/>
          <w:szCs w:val="22"/>
        </w:rPr>
        <w:t xml:space="preserve"> </w:t>
      </w:r>
      <w:r w:rsidR="00FA5347" w:rsidRPr="004E6200">
        <w:rPr>
          <w:rFonts w:cs="Arial"/>
          <w:szCs w:val="22"/>
        </w:rPr>
        <w:t>employers</w:t>
      </w:r>
      <w:r w:rsidR="007265D5">
        <w:rPr>
          <w:rFonts w:cs="Arial"/>
          <w:szCs w:val="22"/>
        </w:rPr>
        <w:t xml:space="preserve"> (where consent was given)</w:t>
      </w:r>
      <w:r w:rsidR="00FA5347" w:rsidRPr="004E6200">
        <w:rPr>
          <w:rFonts w:cs="Arial"/>
          <w:szCs w:val="22"/>
        </w:rPr>
        <w:t xml:space="preserve"> </w:t>
      </w:r>
      <w:r w:rsidR="00666FEB" w:rsidRPr="004E6200">
        <w:rPr>
          <w:rFonts w:cs="Arial"/>
          <w:szCs w:val="22"/>
        </w:rPr>
        <w:t xml:space="preserve">to </w:t>
      </w:r>
      <w:r w:rsidR="0048340C" w:rsidRPr="004E6200">
        <w:rPr>
          <w:rFonts w:cs="Arial"/>
          <w:szCs w:val="22"/>
        </w:rPr>
        <w:t>validate service</w:t>
      </w:r>
      <w:r w:rsidR="00666FEB" w:rsidRPr="004E6200">
        <w:rPr>
          <w:rFonts w:cs="Arial"/>
          <w:szCs w:val="22"/>
        </w:rPr>
        <w:t xml:space="preserve"> delivery</w:t>
      </w:r>
      <w:r w:rsidR="00B5418D">
        <w:rPr>
          <w:rFonts w:cs="Arial"/>
          <w:szCs w:val="22"/>
        </w:rPr>
        <w:t xml:space="preserve"> where appropriate</w:t>
      </w:r>
      <w:r w:rsidR="00293207" w:rsidRPr="004E6200">
        <w:rPr>
          <w:rFonts w:cs="Arial"/>
          <w:szCs w:val="22"/>
        </w:rPr>
        <w:t xml:space="preserve">.  </w:t>
      </w:r>
      <w:r w:rsidR="00FA5347" w:rsidRPr="004E6200">
        <w:rPr>
          <w:rFonts w:cs="Arial"/>
          <w:szCs w:val="22"/>
        </w:rPr>
        <w:t xml:space="preserve"> </w:t>
      </w:r>
    </w:p>
    <w:p w:rsidR="00945545" w:rsidRPr="004E6200" w:rsidRDefault="00B0274B" w:rsidP="00945545">
      <w:pPr>
        <w:rPr>
          <w:rFonts w:cs="Arial"/>
          <w:szCs w:val="22"/>
        </w:rPr>
      </w:pPr>
      <w:r>
        <w:rPr>
          <w:rFonts w:cstheme="minorHAnsi"/>
        </w:rPr>
        <w:t>As t</w:t>
      </w:r>
      <w:r w:rsidR="00945545">
        <w:rPr>
          <w:rFonts w:cstheme="minorHAnsi"/>
        </w:rPr>
        <w:t>he final step</w:t>
      </w:r>
      <w:r>
        <w:rPr>
          <w:rFonts w:cstheme="minorHAnsi"/>
        </w:rPr>
        <w:t xml:space="preserve"> in the audit, providers will be offered the opportunity to provide any further evidence on claims assessed </w:t>
      </w:r>
      <w:r w:rsidR="0034736E">
        <w:rPr>
          <w:rFonts w:cstheme="minorHAnsi"/>
        </w:rPr>
        <w:t>by</w:t>
      </w:r>
      <w:r>
        <w:rPr>
          <w:rFonts w:cstheme="minorHAnsi"/>
        </w:rPr>
        <w:t xml:space="preserve"> DEEWR before payments are recovered or further action taken.  The figures in the report are therefore provisional, </w:t>
      </w:r>
      <w:r w:rsidRPr="0034736E">
        <w:rPr>
          <w:rFonts w:cstheme="minorHAnsi"/>
        </w:rPr>
        <w:t>although significant variation is not expected.</w:t>
      </w:r>
      <w:r>
        <w:rPr>
          <w:rFonts w:cstheme="minorHAnsi"/>
        </w:rPr>
        <w:t xml:space="preserve">  </w:t>
      </w:r>
    </w:p>
    <w:p w:rsidR="00FF49DD" w:rsidRDefault="00945545" w:rsidP="002A5422">
      <w:r>
        <w:t xml:space="preserve">The audit </w:t>
      </w:r>
      <w:r w:rsidR="00293207">
        <w:t>was undertaken by a team of experienced departmental staff</w:t>
      </w:r>
      <w:r w:rsidR="00B74AD8">
        <w:t xml:space="preserve"> </w:t>
      </w:r>
      <w:r w:rsidR="007265D5">
        <w:t xml:space="preserve"> from the National and State Office network</w:t>
      </w:r>
      <w:r w:rsidR="00A44653">
        <w:t>, co-</w:t>
      </w:r>
      <w:r w:rsidR="00457521">
        <w:t>l</w:t>
      </w:r>
      <w:r w:rsidR="00B74AD8">
        <w:t xml:space="preserve">ocated in </w:t>
      </w:r>
      <w:r w:rsidR="00B114DA">
        <w:t xml:space="preserve">DEEWR’s </w:t>
      </w:r>
      <w:r w:rsidR="00B74AD8">
        <w:t>Sydney office</w:t>
      </w:r>
      <w:r w:rsidR="00293207">
        <w:t xml:space="preserve">.  Quality assurance arrangements were in place to ensure all assessments were conducted consistently and there was no conflict of interest between the </w:t>
      </w:r>
      <w:r w:rsidR="004B050E">
        <w:t>a</w:t>
      </w:r>
      <w:r w:rsidR="00293207">
        <w:t xml:space="preserve">ssessor and the claim (for example the staff member had not previously been involved with providing advice on the claim).  </w:t>
      </w:r>
    </w:p>
    <w:p w:rsidR="00B10F31" w:rsidRDefault="00B10F31" w:rsidP="002A5422">
      <w:r>
        <w:t>Although the audit sample selected claims made from 1 July 2011, some of the claims were generated from placements that occurred under the previous evidentiary requirement</w:t>
      </w:r>
      <w:r w:rsidR="00310DF4">
        <w:t>s</w:t>
      </w:r>
      <w:r w:rsidR="00075AA5">
        <w:t xml:space="preserve"> or system default arrangement</w:t>
      </w:r>
      <w:r>
        <w:t>.</w:t>
      </w:r>
      <w:r w:rsidR="00310DF4">
        <w:t xml:space="preserve"> These claims were </w:t>
      </w:r>
      <w:r w:rsidR="00E078CE">
        <w:t xml:space="preserve">likewise </w:t>
      </w:r>
      <w:r w:rsidR="00310DF4">
        <w:t xml:space="preserve">subject </w:t>
      </w:r>
      <w:r w:rsidR="00E078CE">
        <w:t>to detailed</w:t>
      </w:r>
      <w:r w:rsidR="00310DF4">
        <w:t xml:space="preserve"> scrutiny, with </w:t>
      </w:r>
      <w:r w:rsidR="001A688E">
        <w:t>job seeker and/or employer</w:t>
      </w:r>
      <w:r w:rsidR="00310DF4">
        <w:t xml:space="preserve"> validation being sought where required.  </w:t>
      </w:r>
    </w:p>
    <w:p w:rsidR="00E675BA" w:rsidRDefault="004B050E" w:rsidP="002A5422">
      <w:r>
        <w:t xml:space="preserve">A total of </w:t>
      </w:r>
      <w:r w:rsidR="008975E0">
        <w:t>2501</w:t>
      </w:r>
      <w:r>
        <w:t xml:space="preserve"> were </w:t>
      </w:r>
      <w:r w:rsidR="00457521">
        <w:t xml:space="preserve">initially </w:t>
      </w:r>
      <w:r>
        <w:t xml:space="preserve">identified as in scope for the audit.  </w:t>
      </w:r>
      <w:r w:rsidR="00B114DA">
        <w:t>As t</w:t>
      </w:r>
      <w:r w:rsidR="00E675BA" w:rsidRPr="000749CE">
        <w:t xml:space="preserve">he objective of the audit </w:t>
      </w:r>
      <w:r w:rsidR="00B43678" w:rsidRPr="000749CE">
        <w:t xml:space="preserve">was </w:t>
      </w:r>
      <w:r w:rsidR="00E675BA" w:rsidRPr="000749CE">
        <w:t>to asce</w:t>
      </w:r>
      <w:r w:rsidR="00B114DA">
        <w:t xml:space="preserve">rtain engagement with employers, </w:t>
      </w:r>
      <w:r w:rsidR="008975E0" w:rsidRPr="000749CE">
        <w:t>384</w:t>
      </w:r>
      <w:r w:rsidR="00E675BA" w:rsidRPr="000749CE">
        <w:t xml:space="preserve"> claims for education placements were </w:t>
      </w:r>
      <w:r w:rsidR="004D1FDC" w:rsidRPr="000749CE">
        <w:t>set aside</w:t>
      </w:r>
      <w:r w:rsidR="00E675BA" w:rsidRPr="000749CE">
        <w:t xml:space="preserve">.  </w:t>
      </w:r>
      <w:r w:rsidR="00047798" w:rsidRPr="000749CE">
        <w:t xml:space="preserve">The remaining 2117 employment claims were in scope.  </w:t>
      </w:r>
    </w:p>
    <w:p w:rsidR="000749CE" w:rsidRPr="000749CE" w:rsidRDefault="000749CE" w:rsidP="002A5422"/>
    <w:p w:rsidR="009C7818" w:rsidRDefault="007033F2" w:rsidP="002A5422">
      <w:pPr>
        <w:pStyle w:val="Heading1"/>
        <w:spacing w:before="60" w:after="60"/>
        <w:rPr>
          <w:rFonts w:cs="Arial"/>
          <w:sz w:val="28"/>
          <w:szCs w:val="22"/>
        </w:rPr>
      </w:pPr>
      <w:bookmarkStart w:id="11" w:name="_Toc322630283"/>
      <w:r>
        <w:rPr>
          <w:rFonts w:cs="Arial"/>
          <w:sz w:val="28"/>
          <w:szCs w:val="22"/>
        </w:rPr>
        <w:t>Key F</w:t>
      </w:r>
      <w:r w:rsidR="009C7818" w:rsidRPr="009C7818">
        <w:rPr>
          <w:rFonts w:cs="Arial"/>
          <w:sz w:val="28"/>
          <w:szCs w:val="22"/>
        </w:rPr>
        <w:t>indings</w:t>
      </w:r>
      <w:bookmarkEnd w:id="11"/>
    </w:p>
    <w:p w:rsidR="00B114DA" w:rsidRDefault="00B114DA" w:rsidP="00B114DA">
      <w:pPr>
        <w:rPr>
          <w:rFonts w:cs="Arial"/>
          <w:szCs w:val="22"/>
        </w:rPr>
      </w:pPr>
      <w:r>
        <w:rPr>
          <w:rFonts w:cs="Arial"/>
          <w:szCs w:val="22"/>
        </w:rPr>
        <w:t>Table 4 summarises the provisional findings for the</w:t>
      </w:r>
      <w:r w:rsidR="00807AC4">
        <w:rPr>
          <w:rFonts w:cs="Arial"/>
          <w:szCs w:val="22"/>
        </w:rPr>
        <w:t xml:space="preserve"> 2117</w:t>
      </w:r>
      <w:r>
        <w:rPr>
          <w:rFonts w:cs="Arial"/>
          <w:szCs w:val="22"/>
        </w:rPr>
        <w:t xml:space="preserve"> in scope </w:t>
      </w:r>
      <w:r w:rsidR="00807AC4">
        <w:rPr>
          <w:rFonts w:cs="Arial"/>
          <w:szCs w:val="22"/>
        </w:rPr>
        <w:t xml:space="preserve">employment </w:t>
      </w:r>
      <w:r>
        <w:rPr>
          <w:rFonts w:cs="Arial"/>
          <w:szCs w:val="22"/>
        </w:rPr>
        <w:t xml:space="preserve">claims.   </w:t>
      </w:r>
    </w:p>
    <w:p w:rsidR="00B114DA" w:rsidRPr="00B114DA" w:rsidRDefault="00B114DA" w:rsidP="00B114DA">
      <w:pPr>
        <w:rPr>
          <w:b/>
        </w:rPr>
      </w:pPr>
      <w:r w:rsidRPr="00B114DA">
        <w:rPr>
          <w:b/>
        </w:rPr>
        <w:t>Table 4: Summary of provisional PBO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540"/>
        <w:gridCol w:w="1295"/>
      </w:tblGrid>
      <w:tr w:rsidR="00B114DA" w:rsidRPr="00704D60" w:rsidTr="00B114DA">
        <w:tc>
          <w:tcPr>
            <w:tcW w:w="5070" w:type="dxa"/>
          </w:tcPr>
          <w:p w:rsidR="00B114DA" w:rsidRPr="00704D60" w:rsidRDefault="00B114DA" w:rsidP="00B114DA">
            <w:pPr>
              <w:rPr>
                <w:sz w:val="20"/>
              </w:rPr>
            </w:pPr>
          </w:p>
        </w:tc>
        <w:tc>
          <w:tcPr>
            <w:tcW w:w="1540" w:type="dxa"/>
          </w:tcPr>
          <w:p w:rsidR="00B114DA" w:rsidRPr="00704D60" w:rsidRDefault="00B114DA" w:rsidP="00B114DA">
            <w:pPr>
              <w:rPr>
                <w:b/>
                <w:sz w:val="20"/>
              </w:rPr>
            </w:pPr>
            <w:r w:rsidRPr="00704D60">
              <w:rPr>
                <w:b/>
                <w:sz w:val="20"/>
              </w:rPr>
              <w:t>Number</w:t>
            </w:r>
            <w:r w:rsidR="00A44653">
              <w:rPr>
                <w:b/>
                <w:sz w:val="20"/>
              </w:rPr>
              <w:t xml:space="preserve"> of claims</w:t>
            </w:r>
          </w:p>
        </w:tc>
        <w:tc>
          <w:tcPr>
            <w:tcW w:w="1295" w:type="dxa"/>
          </w:tcPr>
          <w:p w:rsidR="00B114DA" w:rsidRPr="00704D60" w:rsidRDefault="00B114DA" w:rsidP="00B114DA">
            <w:pPr>
              <w:rPr>
                <w:b/>
                <w:sz w:val="20"/>
              </w:rPr>
            </w:pPr>
            <w:r w:rsidRPr="00704D60">
              <w:rPr>
                <w:b/>
                <w:sz w:val="20"/>
              </w:rPr>
              <w:t>Percentage</w:t>
            </w:r>
          </w:p>
        </w:tc>
      </w:tr>
      <w:tr w:rsidR="00B114DA" w:rsidRPr="00704D60" w:rsidTr="00B114DA">
        <w:tc>
          <w:tcPr>
            <w:tcW w:w="5070" w:type="dxa"/>
          </w:tcPr>
          <w:p w:rsidR="00B114DA" w:rsidRPr="003238CA" w:rsidRDefault="00B114DA" w:rsidP="00B114DA">
            <w:pPr>
              <w:rPr>
                <w:sz w:val="20"/>
              </w:rPr>
            </w:pPr>
            <w:r w:rsidRPr="003238CA">
              <w:rPr>
                <w:sz w:val="20"/>
              </w:rPr>
              <w:t>Volunteered invalid claims</w:t>
            </w:r>
          </w:p>
        </w:tc>
        <w:tc>
          <w:tcPr>
            <w:tcW w:w="1540" w:type="dxa"/>
          </w:tcPr>
          <w:p w:rsidR="00B114DA" w:rsidRPr="00704D60" w:rsidRDefault="00B114DA" w:rsidP="00B114DA">
            <w:pPr>
              <w:rPr>
                <w:sz w:val="20"/>
              </w:rPr>
            </w:pPr>
            <w:r w:rsidRPr="00FB1312">
              <w:rPr>
                <w:sz w:val="20"/>
              </w:rPr>
              <w:t>315</w:t>
            </w:r>
          </w:p>
        </w:tc>
        <w:tc>
          <w:tcPr>
            <w:tcW w:w="1295" w:type="dxa"/>
          </w:tcPr>
          <w:p w:rsidR="00B114DA" w:rsidRPr="00FB1312" w:rsidRDefault="00B114DA" w:rsidP="00B114DA">
            <w:pPr>
              <w:jc w:val="right"/>
              <w:rPr>
                <w:sz w:val="20"/>
              </w:rPr>
            </w:pPr>
            <w:r w:rsidRPr="00FB1312">
              <w:rPr>
                <w:sz w:val="20"/>
              </w:rPr>
              <w:t>15</w:t>
            </w:r>
            <w:r w:rsidR="00A44653">
              <w:rPr>
                <w:sz w:val="20"/>
              </w:rPr>
              <w:t>%</w:t>
            </w:r>
          </w:p>
        </w:tc>
      </w:tr>
      <w:tr w:rsidR="00B114DA" w:rsidRPr="00704D60" w:rsidTr="00B114DA">
        <w:tc>
          <w:tcPr>
            <w:tcW w:w="5070" w:type="dxa"/>
          </w:tcPr>
          <w:p w:rsidR="00B114DA" w:rsidRPr="00083EA9" w:rsidRDefault="009F0035" w:rsidP="00B114DA">
            <w:pPr>
              <w:rPr>
                <w:sz w:val="20"/>
              </w:rPr>
            </w:pPr>
            <w:r w:rsidRPr="009F0035">
              <w:rPr>
                <w:sz w:val="20"/>
              </w:rPr>
              <w:t>Contradicted or not supported by documentary evidence, other information, job seeker or employer</w:t>
            </w:r>
          </w:p>
        </w:tc>
        <w:tc>
          <w:tcPr>
            <w:tcW w:w="1540" w:type="dxa"/>
          </w:tcPr>
          <w:p w:rsidR="00B114DA" w:rsidRPr="00704D60" w:rsidRDefault="006F322C" w:rsidP="00B114DA">
            <w:pPr>
              <w:rPr>
                <w:sz w:val="20"/>
              </w:rPr>
            </w:pPr>
            <w:r>
              <w:rPr>
                <w:sz w:val="20"/>
              </w:rPr>
              <w:t>525</w:t>
            </w:r>
          </w:p>
        </w:tc>
        <w:tc>
          <w:tcPr>
            <w:tcW w:w="1295" w:type="dxa"/>
          </w:tcPr>
          <w:p w:rsidR="00B114DA" w:rsidRPr="00FB1312" w:rsidRDefault="00B114DA" w:rsidP="00B114DA">
            <w:pPr>
              <w:jc w:val="right"/>
              <w:rPr>
                <w:sz w:val="20"/>
              </w:rPr>
            </w:pPr>
            <w:r w:rsidRPr="00FB1312">
              <w:rPr>
                <w:sz w:val="20"/>
              </w:rPr>
              <w:t>25</w:t>
            </w:r>
            <w:r w:rsidR="00A44653">
              <w:rPr>
                <w:sz w:val="20"/>
              </w:rPr>
              <w:t>%</w:t>
            </w:r>
          </w:p>
        </w:tc>
      </w:tr>
      <w:tr w:rsidR="00B114DA" w:rsidRPr="00704D60" w:rsidTr="00B114DA">
        <w:tc>
          <w:tcPr>
            <w:tcW w:w="5070" w:type="dxa"/>
          </w:tcPr>
          <w:p w:rsidR="00B114DA" w:rsidRPr="00083EA9" w:rsidRDefault="00B114DA" w:rsidP="00B114DA">
            <w:pPr>
              <w:rPr>
                <w:sz w:val="20"/>
              </w:rPr>
            </w:pPr>
            <w:r w:rsidRPr="003238CA">
              <w:rPr>
                <w:sz w:val="20"/>
              </w:rPr>
              <w:t>Confirmed by documentary evidence, job seeker or employer </w:t>
            </w:r>
          </w:p>
        </w:tc>
        <w:tc>
          <w:tcPr>
            <w:tcW w:w="1540" w:type="dxa"/>
          </w:tcPr>
          <w:p w:rsidR="00B114DA" w:rsidRPr="00704D60" w:rsidRDefault="00B114DA" w:rsidP="00B114DA">
            <w:pPr>
              <w:rPr>
                <w:sz w:val="20"/>
              </w:rPr>
            </w:pPr>
            <w:r w:rsidRPr="00FB1312">
              <w:rPr>
                <w:sz w:val="20"/>
              </w:rPr>
              <w:t>888</w:t>
            </w:r>
          </w:p>
        </w:tc>
        <w:tc>
          <w:tcPr>
            <w:tcW w:w="1295" w:type="dxa"/>
          </w:tcPr>
          <w:p w:rsidR="00B114DA" w:rsidRPr="00FB1312" w:rsidRDefault="00B114DA" w:rsidP="00B114DA">
            <w:pPr>
              <w:jc w:val="right"/>
              <w:rPr>
                <w:sz w:val="20"/>
              </w:rPr>
            </w:pPr>
            <w:r w:rsidRPr="00FB1312">
              <w:rPr>
                <w:sz w:val="20"/>
              </w:rPr>
              <w:t>42</w:t>
            </w:r>
            <w:r w:rsidR="00A44653">
              <w:rPr>
                <w:sz w:val="20"/>
              </w:rPr>
              <w:t>%</w:t>
            </w:r>
          </w:p>
        </w:tc>
      </w:tr>
      <w:tr w:rsidR="00B114DA" w:rsidRPr="00704D60" w:rsidTr="00B114DA">
        <w:tc>
          <w:tcPr>
            <w:tcW w:w="5070" w:type="dxa"/>
          </w:tcPr>
          <w:p w:rsidR="00B114DA" w:rsidRPr="00083EA9" w:rsidRDefault="00B114DA" w:rsidP="00B114DA">
            <w:pPr>
              <w:rPr>
                <w:sz w:val="20"/>
              </w:rPr>
            </w:pPr>
            <w:r w:rsidRPr="003238CA">
              <w:rPr>
                <w:sz w:val="20"/>
              </w:rPr>
              <w:t>Unable to be determined</w:t>
            </w:r>
          </w:p>
        </w:tc>
        <w:tc>
          <w:tcPr>
            <w:tcW w:w="1540" w:type="dxa"/>
          </w:tcPr>
          <w:p w:rsidR="00B114DA" w:rsidRPr="00704D60" w:rsidRDefault="006F322C" w:rsidP="00B114DA">
            <w:pPr>
              <w:rPr>
                <w:sz w:val="20"/>
              </w:rPr>
            </w:pPr>
            <w:r>
              <w:rPr>
                <w:sz w:val="20"/>
              </w:rPr>
              <w:t>389</w:t>
            </w:r>
          </w:p>
        </w:tc>
        <w:tc>
          <w:tcPr>
            <w:tcW w:w="1295" w:type="dxa"/>
          </w:tcPr>
          <w:p w:rsidR="00B114DA" w:rsidRPr="00FB1312" w:rsidRDefault="00B114DA" w:rsidP="00B114DA">
            <w:pPr>
              <w:jc w:val="right"/>
              <w:rPr>
                <w:sz w:val="20"/>
              </w:rPr>
            </w:pPr>
            <w:r w:rsidRPr="00FB1312">
              <w:rPr>
                <w:sz w:val="20"/>
              </w:rPr>
              <w:t>18</w:t>
            </w:r>
            <w:r w:rsidR="00A44653">
              <w:rPr>
                <w:sz w:val="20"/>
              </w:rPr>
              <w:t>%</w:t>
            </w:r>
          </w:p>
        </w:tc>
      </w:tr>
      <w:tr w:rsidR="00B114DA" w:rsidRPr="00704D60" w:rsidTr="00B114DA">
        <w:tc>
          <w:tcPr>
            <w:tcW w:w="5070" w:type="dxa"/>
          </w:tcPr>
          <w:p w:rsidR="00B114DA" w:rsidRPr="00083EA9" w:rsidRDefault="00B114DA" w:rsidP="00B114DA">
            <w:pPr>
              <w:rPr>
                <w:sz w:val="20"/>
              </w:rPr>
            </w:pPr>
            <w:r w:rsidRPr="00083EA9">
              <w:rPr>
                <w:sz w:val="20"/>
              </w:rPr>
              <w:t>Total</w:t>
            </w:r>
          </w:p>
        </w:tc>
        <w:tc>
          <w:tcPr>
            <w:tcW w:w="1540" w:type="dxa"/>
          </w:tcPr>
          <w:p w:rsidR="00B114DA" w:rsidRPr="00704D60" w:rsidRDefault="00B114DA" w:rsidP="00B114DA">
            <w:pPr>
              <w:rPr>
                <w:sz w:val="20"/>
              </w:rPr>
            </w:pPr>
            <w:r>
              <w:rPr>
                <w:sz w:val="20"/>
              </w:rPr>
              <w:t>2117</w:t>
            </w:r>
          </w:p>
        </w:tc>
        <w:tc>
          <w:tcPr>
            <w:tcW w:w="1295" w:type="dxa"/>
          </w:tcPr>
          <w:p w:rsidR="00B114DA" w:rsidRPr="00FB1312" w:rsidRDefault="00B114DA" w:rsidP="00B114DA">
            <w:pPr>
              <w:jc w:val="right"/>
              <w:rPr>
                <w:sz w:val="20"/>
              </w:rPr>
            </w:pPr>
            <w:r w:rsidRPr="00FB1312">
              <w:rPr>
                <w:sz w:val="20"/>
              </w:rPr>
              <w:t>100</w:t>
            </w:r>
            <w:r w:rsidR="00A44653">
              <w:rPr>
                <w:sz w:val="20"/>
              </w:rPr>
              <w:t>%</w:t>
            </w:r>
          </w:p>
        </w:tc>
      </w:tr>
    </w:tbl>
    <w:p w:rsidR="00711AD4" w:rsidRDefault="00807AC4" w:rsidP="00623919">
      <w:pPr>
        <w:pStyle w:val="Heading2"/>
        <w:numPr>
          <w:ilvl w:val="1"/>
          <w:numId w:val="7"/>
        </w:numPr>
        <w:spacing w:before="360"/>
        <w:rPr>
          <w:rFonts w:cs="Arial"/>
          <w:sz w:val="24"/>
          <w:szCs w:val="24"/>
        </w:rPr>
      </w:pPr>
      <w:bookmarkStart w:id="12" w:name="_Toc322630284"/>
      <w:r>
        <w:rPr>
          <w:rFonts w:cs="Arial"/>
          <w:sz w:val="24"/>
          <w:szCs w:val="24"/>
        </w:rPr>
        <w:t>Self Review</w:t>
      </w:r>
      <w:bookmarkEnd w:id="12"/>
    </w:p>
    <w:p w:rsidR="00931D3A" w:rsidRDefault="00B74AD8" w:rsidP="00047798">
      <w:pPr>
        <w:rPr>
          <w:rFonts w:cs="Arial"/>
          <w:szCs w:val="22"/>
        </w:rPr>
      </w:pPr>
      <w:r>
        <w:rPr>
          <w:rFonts w:cs="Arial"/>
          <w:szCs w:val="22"/>
        </w:rPr>
        <w:t xml:space="preserve"> 315</w:t>
      </w:r>
      <w:r w:rsidR="00931D3A">
        <w:rPr>
          <w:rFonts w:cs="Arial"/>
          <w:szCs w:val="22"/>
        </w:rPr>
        <w:t xml:space="preserve"> </w:t>
      </w:r>
      <w:r w:rsidR="0034736E">
        <w:rPr>
          <w:rFonts w:cs="Arial"/>
          <w:szCs w:val="22"/>
        </w:rPr>
        <w:t xml:space="preserve">PBO claims </w:t>
      </w:r>
      <w:r w:rsidR="00931D3A">
        <w:rPr>
          <w:rFonts w:cs="Arial"/>
          <w:szCs w:val="22"/>
        </w:rPr>
        <w:t xml:space="preserve">were identified by providers </w:t>
      </w:r>
      <w:r w:rsidR="00B43678">
        <w:rPr>
          <w:rFonts w:cs="Arial"/>
          <w:szCs w:val="22"/>
        </w:rPr>
        <w:t xml:space="preserve">in their self </w:t>
      </w:r>
      <w:r w:rsidR="00807AC4">
        <w:rPr>
          <w:rFonts w:cs="Arial"/>
          <w:szCs w:val="22"/>
        </w:rPr>
        <w:t>review</w:t>
      </w:r>
      <w:r w:rsidR="00B43678">
        <w:rPr>
          <w:rFonts w:cs="Arial"/>
          <w:szCs w:val="22"/>
        </w:rPr>
        <w:t xml:space="preserve"> </w:t>
      </w:r>
      <w:r w:rsidR="00931D3A">
        <w:rPr>
          <w:rFonts w:cs="Arial"/>
          <w:szCs w:val="22"/>
        </w:rPr>
        <w:t>as not meeting the requirements for a PBO.  The reasons provided by JSA organisations</w:t>
      </w:r>
      <w:r w:rsidR="00B43678">
        <w:rPr>
          <w:rFonts w:cs="Arial"/>
          <w:szCs w:val="22"/>
        </w:rPr>
        <w:t xml:space="preserve"> for these claims </w:t>
      </w:r>
      <w:r w:rsidR="00931D3A">
        <w:rPr>
          <w:rFonts w:cs="Arial"/>
          <w:szCs w:val="22"/>
        </w:rPr>
        <w:t xml:space="preserve">included:  </w:t>
      </w:r>
    </w:p>
    <w:p w:rsidR="00931D3A" w:rsidRPr="00AB5401" w:rsidRDefault="00AB5401" w:rsidP="00AB5401">
      <w:pPr>
        <w:numPr>
          <w:ilvl w:val="0"/>
          <w:numId w:val="8"/>
        </w:numPr>
        <w:rPr>
          <w:rFonts w:cs="Arial"/>
          <w:noProof/>
          <w:szCs w:val="22"/>
          <w:lang w:eastAsia="en-AU"/>
        </w:rPr>
      </w:pPr>
      <w:r w:rsidRPr="00AB5401">
        <w:rPr>
          <w:rFonts w:cs="Arial"/>
          <w:noProof/>
          <w:szCs w:val="22"/>
          <w:lang w:eastAsia="en-AU"/>
        </w:rPr>
        <w:t>poor record keeping and a</w:t>
      </w:r>
      <w:r>
        <w:rPr>
          <w:rFonts w:cs="Arial"/>
          <w:noProof/>
          <w:szCs w:val="22"/>
          <w:lang w:eastAsia="en-AU"/>
        </w:rPr>
        <w:t xml:space="preserve"> </w:t>
      </w:r>
      <w:r w:rsidR="00117E7E" w:rsidRPr="00AB5401">
        <w:rPr>
          <w:rFonts w:cs="Arial"/>
          <w:noProof/>
          <w:szCs w:val="22"/>
          <w:lang w:eastAsia="en-AU"/>
        </w:rPr>
        <w:t>lack of documentary evidence to support claims;</w:t>
      </w:r>
    </w:p>
    <w:p w:rsidR="00666FEB" w:rsidRDefault="00AB5401" w:rsidP="00AB5401">
      <w:pPr>
        <w:numPr>
          <w:ilvl w:val="0"/>
          <w:numId w:val="8"/>
        </w:numPr>
        <w:rPr>
          <w:rFonts w:cs="Arial"/>
          <w:noProof/>
          <w:szCs w:val="22"/>
          <w:lang w:eastAsia="en-AU"/>
        </w:rPr>
      </w:pPr>
      <w:r>
        <w:rPr>
          <w:rFonts w:cs="Arial"/>
          <w:noProof/>
          <w:szCs w:val="22"/>
          <w:lang w:eastAsia="en-AU"/>
        </w:rPr>
        <w:t>data entry errors</w:t>
      </w:r>
      <w:r w:rsidR="00666FEB">
        <w:rPr>
          <w:rFonts w:cs="Arial"/>
          <w:noProof/>
          <w:szCs w:val="22"/>
          <w:lang w:eastAsia="en-AU"/>
        </w:rPr>
        <w:t>;</w:t>
      </w:r>
      <w:r w:rsidR="00807AC4">
        <w:rPr>
          <w:rFonts w:cs="Arial"/>
          <w:noProof/>
          <w:szCs w:val="22"/>
          <w:lang w:eastAsia="en-AU"/>
        </w:rPr>
        <w:t xml:space="preserve"> and</w:t>
      </w:r>
    </w:p>
    <w:p w:rsidR="00117E7E" w:rsidRDefault="00AB5401" w:rsidP="00AB5401">
      <w:pPr>
        <w:numPr>
          <w:ilvl w:val="0"/>
          <w:numId w:val="8"/>
        </w:numPr>
        <w:rPr>
          <w:rFonts w:cs="Arial"/>
          <w:szCs w:val="22"/>
        </w:rPr>
      </w:pPr>
      <w:r>
        <w:rPr>
          <w:rFonts w:cs="Arial"/>
          <w:noProof/>
          <w:szCs w:val="22"/>
          <w:lang w:eastAsia="en-AU"/>
        </w:rPr>
        <w:t>the</w:t>
      </w:r>
      <w:r>
        <w:rPr>
          <w:rFonts w:cs="Arial"/>
          <w:szCs w:val="22"/>
        </w:rPr>
        <w:t xml:space="preserve"> mistaken belief that providing the job seeker with other assistance, such as the purchase of work related equipment, securing increased hours </w:t>
      </w:r>
      <w:r w:rsidR="00B43678">
        <w:rPr>
          <w:rFonts w:cs="Arial"/>
          <w:szCs w:val="22"/>
        </w:rPr>
        <w:t xml:space="preserve">in a job </w:t>
      </w:r>
      <w:r>
        <w:rPr>
          <w:rFonts w:cs="Arial"/>
          <w:szCs w:val="22"/>
        </w:rPr>
        <w:t xml:space="preserve">or providing support once the job seeker was </w:t>
      </w:r>
      <w:r w:rsidR="00B43678">
        <w:rPr>
          <w:rFonts w:cs="Arial"/>
          <w:szCs w:val="22"/>
        </w:rPr>
        <w:t>employed</w:t>
      </w:r>
      <w:r>
        <w:rPr>
          <w:rFonts w:cs="Arial"/>
          <w:szCs w:val="22"/>
        </w:rPr>
        <w:t xml:space="preserve"> automatically qualified for a higher outcome fee, regardless of how the </w:t>
      </w:r>
      <w:r w:rsidR="00B43678">
        <w:rPr>
          <w:rFonts w:cs="Arial"/>
          <w:szCs w:val="22"/>
        </w:rPr>
        <w:t>vacancy</w:t>
      </w:r>
      <w:r>
        <w:rPr>
          <w:rFonts w:cs="Arial"/>
          <w:szCs w:val="22"/>
        </w:rPr>
        <w:t xml:space="preserve"> was initially sourced.  </w:t>
      </w:r>
    </w:p>
    <w:p w:rsidR="00754662" w:rsidRPr="00623919" w:rsidRDefault="00754662" w:rsidP="00623919">
      <w:pPr>
        <w:pStyle w:val="Heading2"/>
        <w:numPr>
          <w:ilvl w:val="1"/>
          <w:numId w:val="7"/>
        </w:numPr>
        <w:spacing w:before="360"/>
        <w:rPr>
          <w:rFonts w:cs="Arial"/>
          <w:sz w:val="24"/>
          <w:szCs w:val="24"/>
        </w:rPr>
      </w:pPr>
      <w:bookmarkStart w:id="13" w:name="_Toc322630285"/>
      <w:r w:rsidRPr="00623919">
        <w:rPr>
          <w:rFonts w:cs="Arial"/>
          <w:sz w:val="24"/>
          <w:szCs w:val="24"/>
        </w:rPr>
        <w:lastRenderedPageBreak/>
        <w:t>Contradicted</w:t>
      </w:r>
      <w:r w:rsidR="009F0035">
        <w:rPr>
          <w:rFonts w:cs="Arial"/>
          <w:sz w:val="24"/>
          <w:szCs w:val="24"/>
        </w:rPr>
        <w:t>/Not supported</w:t>
      </w:r>
      <w:bookmarkEnd w:id="13"/>
    </w:p>
    <w:p w:rsidR="00BC2A1B" w:rsidRDefault="00BC2A1B" w:rsidP="00BC2A1B">
      <w:r>
        <w:t xml:space="preserve">Within this category, there were </w:t>
      </w:r>
      <w:r w:rsidR="007C07F0">
        <w:t xml:space="preserve">up to </w:t>
      </w:r>
      <w:r w:rsidR="009F0035">
        <w:t>139</w:t>
      </w:r>
      <w:r>
        <w:t xml:space="preserve"> claims that were not accepted as brokered by </w:t>
      </w:r>
      <w:r w:rsidR="00132252">
        <w:t>DEEWR</w:t>
      </w:r>
      <w:r>
        <w:t xml:space="preserve"> </w:t>
      </w:r>
      <w:r w:rsidR="007A6A30" w:rsidRPr="009D60CA">
        <w:t xml:space="preserve">as </w:t>
      </w:r>
      <w:r w:rsidR="006F322C" w:rsidRPr="009D60CA">
        <w:t xml:space="preserve">the evidence </w:t>
      </w:r>
      <w:r w:rsidR="006D4261" w:rsidRPr="009D60CA">
        <w:t xml:space="preserve">provided by the JSA </w:t>
      </w:r>
      <w:r w:rsidR="009F0035" w:rsidRPr="009D60CA">
        <w:t xml:space="preserve">contradicted the claim, </w:t>
      </w:r>
      <w:r w:rsidR="006D4261" w:rsidRPr="009D60CA">
        <w:t xml:space="preserve">was not sufficient to </w:t>
      </w:r>
      <w:r w:rsidR="006F322C" w:rsidRPr="009D60CA">
        <w:t xml:space="preserve">support the claim </w:t>
      </w:r>
      <w:r w:rsidRPr="009D60CA">
        <w:t xml:space="preserve">or </w:t>
      </w:r>
      <w:r w:rsidR="006F322C" w:rsidRPr="009D60CA">
        <w:t xml:space="preserve">because of </w:t>
      </w:r>
      <w:r w:rsidRPr="009D60CA">
        <w:t>further department checks.</w:t>
      </w:r>
      <w:r>
        <w:t xml:space="preserve"> </w:t>
      </w:r>
    </w:p>
    <w:p w:rsidR="00754662" w:rsidRDefault="00BC2A1B" w:rsidP="00754662">
      <w:r>
        <w:t xml:space="preserve">In the remaining </w:t>
      </w:r>
      <w:r w:rsidR="00425483">
        <w:t xml:space="preserve">386 </w:t>
      </w:r>
      <w:r>
        <w:t>cases,</w:t>
      </w:r>
      <w:r w:rsidR="00754662">
        <w:t xml:space="preserve"> the job seeker and/or employer did not support that the </w:t>
      </w:r>
      <w:r w:rsidR="009F0035">
        <w:t xml:space="preserve">JSA </w:t>
      </w:r>
      <w:r w:rsidR="00754662">
        <w:t xml:space="preserve">claim met the criteria for a PBO.  The job seeker considered that they had found their own employment or the employer did not support that brokerage had been provided.  </w:t>
      </w:r>
    </w:p>
    <w:p w:rsidR="00157D7C" w:rsidRDefault="007C07F0" w:rsidP="001E0FF0">
      <w:r>
        <w:t>It is acknowledged that</w:t>
      </w:r>
      <w:r w:rsidR="003775B0">
        <w:t xml:space="preserve"> </w:t>
      </w:r>
      <w:r w:rsidR="001F1167">
        <w:t>a job seeker</w:t>
      </w:r>
      <w:r w:rsidR="004E24B6">
        <w:t xml:space="preserve"> </w:t>
      </w:r>
      <w:r>
        <w:t>may not</w:t>
      </w:r>
      <w:r w:rsidR="00157D7C">
        <w:t xml:space="preserve"> always</w:t>
      </w:r>
      <w:r w:rsidR="004E24B6">
        <w:t xml:space="preserve"> </w:t>
      </w:r>
      <w:r>
        <w:t xml:space="preserve">be </w:t>
      </w:r>
      <w:r w:rsidR="004E24B6">
        <w:t>aware of t</w:t>
      </w:r>
      <w:r>
        <w:t>he activity of their provider</w:t>
      </w:r>
      <w:r w:rsidR="00132252">
        <w:t xml:space="preserve"> in liaising with a potential employer</w:t>
      </w:r>
      <w:r>
        <w:t>. However, i</w:t>
      </w:r>
      <w:r w:rsidR="001E0FF0">
        <w:t xml:space="preserve">t is clear that there were discrepancies in a large number of cases between the evidence from the provider and the recollection or experience of the job seeker or employer. </w:t>
      </w:r>
    </w:p>
    <w:p w:rsidR="005D3E0A" w:rsidRDefault="00560CDB" w:rsidP="005D3E0A">
      <w:r>
        <w:t>In</w:t>
      </w:r>
      <w:r w:rsidR="005D3E0A">
        <w:t xml:space="preserve"> </w:t>
      </w:r>
      <w:r w:rsidR="00157D7C">
        <w:t xml:space="preserve">a small number of </w:t>
      </w:r>
      <w:r>
        <w:t>instances</w:t>
      </w:r>
      <w:r w:rsidR="005D3E0A">
        <w:t xml:space="preserve">, </w:t>
      </w:r>
      <w:r w:rsidR="00132252">
        <w:rPr>
          <w:rFonts w:cs="Arial"/>
          <w:szCs w:val="22"/>
        </w:rPr>
        <w:t>job seeker</w:t>
      </w:r>
      <w:r w:rsidR="005D3E0A">
        <w:rPr>
          <w:rFonts w:cs="Arial"/>
          <w:szCs w:val="22"/>
        </w:rPr>
        <w:t xml:space="preserve"> perspectives gave rise to concerns about provider behaviour that warrant </w:t>
      </w:r>
      <w:r w:rsidR="005D3E0A">
        <w:t xml:space="preserve">further investigation. </w:t>
      </w:r>
      <w:r>
        <w:t>In addition to recovery and potential administrative action, t</w:t>
      </w:r>
      <w:r w:rsidR="005D3E0A">
        <w:t xml:space="preserve">hese cases </w:t>
      </w:r>
      <w:r>
        <w:t>will be referred to the Department’s i</w:t>
      </w:r>
      <w:r w:rsidR="005D3E0A">
        <w:t xml:space="preserve">nvestigations area under the current fraud framework.  </w:t>
      </w:r>
    </w:p>
    <w:p w:rsidR="00754662" w:rsidRPr="00623919" w:rsidRDefault="00754662" w:rsidP="00623919">
      <w:pPr>
        <w:pStyle w:val="Heading2"/>
        <w:numPr>
          <w:ilvl w:val="1"/>
          <w:numId w:val="7"/>
        </w:numPr>
        <w:spacing w:before="360"/>
        <w:rPr>
          <w:rFonts w:cs="Arial"/>
          <w:sz w:val="24"/>
          <w:szCs w:val="24"/>
        </w:rPr>
      </w:pPr>
      <w:bookmarkStart w:id="14" w:name="_Toc322630286"/>
      <w:r w:rsidRPr="00623919">
        <w:rPr>
          <w:rFonts w:cs="Arial"/>
          <w:sz w:val="24"/>
          <w:szCs w:val="24"/>
        </w:rPr>
        <w:t>Confirmed by documentary evidence, job seeker or employer</w:t>
      </w:r>
      <w:bookmarkEnd w:id="14"/>
      <w:r w:rsidRPr="00623919">
        <w:rPr>
          <w:rFonts w:cs="Arial"/>
          <w:sz w:val="24"/>
          <w:szCs w:val="24"/>
        </w:rPr>
        <w:t> </w:t>
      </w:r>
    </w:p>
    <w:p w:rsidR="00083EA9" w:rsidRDefault="00825197" w:rsidP="00083EA9">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-1191895</wp:posOffset>
                </wp:positionH>
                <wp:positionV relativeFrom="paragraph">
                  <wp:posOffset>-373380</wp:posOffset>
                </wp:positionV>
                <wp:extent cx="960120" cy="1287780"/>
                <wp:effectExtent l="0" t="0" r="3175"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8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0CA" w:rsidRPr="000F4CFE" w:rsidRDefault="009D60CA" w:rsidP="000F4C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27" type="#_x0000_t202" style="position:absolute;margin-left:-93.85pt;margin-top:-29.4pt;width:75.6pt;height:10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" stroked="f">
                <v:textbox>
                  <w:txbxContent>
                    <w:p w:rsidR="009D60CA" w:rsidRPr="000F4CFE" w:rsidRDefault="009D60CA" w:rsidP="000F4CFE"/>
                  </w:txbxContent>
                </v:textbox>
              </v:shape>
            </w:pict>
          </mc:Fallback>
        </mc:AlternateContent>
      </w:r>
      <w:r w:rsidR="00075B39">
        <w:t>B</w:t>
      </w:r>
      <w:r w:rsidR="00083EA9">
        <w:t xml:space="preserve">rokering services </w:t>
      </w:r>
      <w:r w:rsidR="00075B39">
        <w:t>were</w:t>
      </w:r>
      <w:r w:rsidR="00083EA9">
        <w:t xml:space="preserve"> confirmed for </w:t>
      </w:r>
      <w:r w:rsidR="00075B39">
        <w:t>42</w:t>
      </w:r>
      <w:r w:rsidR="00083EA9">
        <w:t xml:space="preserve"> per</w:t>
      </w:r>
      <w:r w:rsidR="00A44653">
        <w:t xml:space="preserve"> </w:t>
      </w:r>
      <w:r w:rsidR="00083EA9">
        <w:t xml:space="preserve">cent of claims </w:t>
      </w:r>
      <w:r w:rsidR="00075AA5">
        <w:t>in the scope of the audit</w:t>
      </w:r>
      <w:r w:rsidR="00083EA9">
        <w:t>.  These claims were confirmed as the provider’s documentary evidence</w:t>
      </w:r>
      <w:r w:rsidR="006E72E7">
        <w:t xml:space="preserve"> was conclusive</w:t>
      </w:r>
      <w:r w:rsidR="000F4CFE">
        <w:t xml:space="preserve">, </w:t>
      </w:r>
      <w:r w:rsidR="00083EA9">
        <w:t xml:space="preserve">the job seeker confirmed that </w:t>
      </w:r>
      <w:r w:rsidR="007D4556">
        <w:t xml:space="preserve">they had been matched, screened, </w:t>
      </w:r>
      <w:r w:rsidR="00083EA9">
        <w:t>referred</w:t>
      </w:r>
      <w:r w:rsidR="007D4556">
        <w:t xml:space="preserve"> and placed in </w:t>
      </w:r>
      <w:r w:rsidR="00083EA9">
        <w:t>the job by their JSA provider</w:t>
      </w:r>
      <w:r w:rsidR="000F4CFE">
        <w:t xml:space="preserve"> </w:t>
      </w:r>
      <w:r w:rsidR="0048340C">
        <w:t>and/</w:t>
      </w:r>
      <w:r w:rsidR="000F4CFE">
        <w:t>or the employer confirmed the JSA services</w:t>
      </w:r>
      <w:r w:rsidR="00083EA9">
        <w:t>.</w:t>
      </w:r>
    </w:p>
    <w:p w:rsidR="00B74AD8" w:rsidRDefault="00083EA9" w:rsidP="00083EA9">
      <w:r w:rsidRPr="00B43678">
        <w:t>These results are consistent with feedback from job seekers when they are surveyed after they have exited JSA assistance.  These surveys, of around 400 000 job seekers</w:t>
      </w:r>
      <w:r w:rsidR="00526D6A">
        <w:t xml:space="preserve"> </w:t>
      </w:r>
      <w:r w:rsidR="00526D6A" w:rsidRPr="001F1167">
        <w:t>annually</w:t>
      </w:r>
      <w:r w:rsidR="00526D6A">
        <w:t>,</w:t>
      </w:r>
      <w:r w:rsidRPr="00B43678">
        <w:t xml:space="preserve"> indicate a significant correlation between an individuals’ recollection of how they found out about their job and the classification made by the provider.  For example, for those job seekers whose provider claimed a PBO, 59</w:t>
      </w:r>
      <w:r w:rsidR="003775B0">
        <w:t xml:space="preserve"> per cent</w:t>
      </w:r>
      <w:r w:rsidRPr="00B43678">
        <w:t xml:space="preserve"> indicated they found out about their job through their JSA.  This compares to 6.5</w:t>
      </w:r>
      <w:r w:rsidR="003775B0">
        <w:t xml:space="preserve"> per cent</w:t>
      </w:r>
      <w:r w:rsidRPr="00B43678">
        <w:t xml:space="preserve"> of job seekers whose provide</w:t>
      </w:r>
      <w:r w:rsidR="00B74AD8">
        <w:t>r</w:t>
      </w:r>
      <w:r w:rsidRPr="00B43678">
        <w:t xml:space="preserve"> claimed a PAO.  </w:t>
      </w:r>
    </w:p>
    <w:p w:rsidR="00754662" w:rsidRPr="00623919" w:rsidRDefault="00754662" w:rsidP="00623919">
      <w:pPr>
        <w:pStyle w:val="Heading2"/>
        <w:numPr>
          <w:ilvl w:val="1"/>
          <w:numId w:val="7"/>
        </w:numPr>
        <w:spacing w:before="360"/>
        <w:rPr>
          <w:rFonts w:cs="Arial"/>
          <w:sz w:val="24"/>
          <w:szCs w:val="24"/>
        </w:rPr>
      </w:pPr>
      <w:bookmarkStart w:id="15" w:name="_Toc322630287"/>
      <w:r w:rsidRPr="00623919">
        <w:rPr>
          <w:rFonts w:cs="Arial"/>
          <w:sz w:val="24"/>
          <w:szCs w:val="24"/>
        </w:rPr>
        <w:t>Unable to be determined</w:t>
      </w:r>
      <w:bookmarkEnd w:id="15"/>
      <w:r w:rsidRPr="00623919">
        <w:rPr>
          <w:rFonts w:cs="Arial"/>
          <w:sz w:val="24"/>
          <w:szCs w:val="24"/>
        </w:rPr>
        <w:t xml:space="preserve"> </w:t>
      </w:r>
    </w:p>
    <w:p w:rsidR="006E72E7" w:rsidRDefault="00D05D76" w:rsidP="00D05D76">
      <w:pPr>
        <w:rPr>
          <w:rFonts w:cs="Arial"/>
          <w:szCs w:val="22"/>
        </w:rPr>
      </w:pPr>
      <w:r w:rsidRPr="0048340C">
        <w:t xml:space="preserve">Where </w:t>
      </w:r>
      <w:r w:rsidR="006E72E7" w:rsidRPr="0048340C">
        <w:t xml:space="preserve">the documentary evidence was not conclusive and </w:t>
      </w:r>
      <w:r w:rsidRPr="0048340C">
        <w:t xml:space="preserve">it was not possible to </w:t>
      </w:r>
      <w:r w:rsidRPr="0048340C">
        <w:rPr>
          <w:rFonts w:cs="Arial"/>
          <w:szCs w:val="22"/>
        </w:rPr>
        <w:t>contact the job seeker (after at least 3 attempts to do so) to verify information or gain their consent to contact their employer, the Department was unable to determine brokering activity</w:t>
      </w:r>
      <w:r w:rsidR="00475573" w:rsidRPr="0048340C">
        <w:rPr>
          <w:rFonts w:cs="Arial"/>
          <w:szCs w:val="22"/>
        </w:rPr>
        <w:t>.</w:t>
      </w:r>
      <w:r w:rsidR="00475573" w:rsidRPr="00475573">
        <w:rPr>
          <w:rFonts w:cs="Arial"/>
          <w:szCs w:val="22"/>
        </w:rPr>
        <w:t xml:space="preserve">  </w:t>
      </w:r>
    </w:p>
    <w:p w:rsidR="00083EA9" w:rsidRDefault="006E72E7" w:rsidP="00D05D76">
      <w:pPr>
        <w:rPr>
          <w:rFonts w:cs="Arial"/>
          <w:szCs w:val="22"/>
        </w:rPr>
      </w:pPr>
      <w:r>
        <w:rPr>
          <w:rFonts w:cs="Arial"/>
          <w:szCs w:val="22"/>
        </w:rPr>
        <w:t xml:space="preserve">In some cases, the </w:t>
      </w:r>
      <w:r w:rsidR="00075AA5">
        <w:rPr>
          <w:rFonts w:cs="Arial"/>
          <w:szCs w:val="22"/>
        </w:rPr>
        <w:t>job seeker or employer</w:t>
      </w:r>
      <w:r>
        <w:rPr>
          <w:rFonts w:cs="Arial"/>
          <w:szCs w:val="22"/>
        </w:rPr>
        <w:t xml:space="preserve"> was also unable to validate the claim, for example w</w:t>
      </w:r>
      <w:r w:rsidR="0048340C">
        <w:rPr>
          <w:rFonts w:cs="Arial"/>
          <w:szCs w:val="22"/>
        </w:rPr>
        <w:t>h</w:t>
      </w:r>
      <w:r>
        <w:rPr>
          <w:rFonts w:cs="Arial"/>
          <w:szCs w:val="22"/>
        </w:rPr>
        <w:t xml:space="preserve">ere employers had not maintained an account of how the employee was referred to the organisation, could not confirm the specific timeframe of an initial contact with the JSA provider or the nominated contact had left the employer.  </w:t>
      </w:r>
    </w:p>
    <w:p w:rsidR="00B46FFA" w:rsidRDefault="00B46FFA" w:rsidP="00D05D76">
      <w:pPr>
        <w:rPr>
          <w:rFonts w:cs="Arial"/>
          <w:szCs w:val="22"/>
        </w:rPr>
      </w:pPr>
      <w:r>
        <w:rPr>
          <w:rFonts w:cs="Arial"/>
          <w:szCs w:val="22"/>
        </w:rPr>
        <w:t>No further action will be taken on these claims</w:t>
      </w:r>
      <w:r w:rsidR="00945545">
        <w:rPr>
          <w:rFonts w:cs="Arial"/>
          <w:szCs w:val="22"/>
        </w:rPr>
        <w:t xml:space="preserve"> because there is no evidence on which to base further queries</w:t>
      </w:r>
      <w:r>
        <w:rPr>
          <w:rFonts w:cs="Arial"/>
          <w:szCs w:val="22"/>
        </w:rPr>
        <w:t xml:space="preserve">. </w:t>
      </w:r>
    </w:p>
    <w:p w:rsidR="00B46FFA" w:rsidRPr="00FF49DD" w:rsidRDefault="00B46FFA" w:rsidP="00623919">
      <w:pPr>
        <w:pStyle w:val="Heading2"/>
        <w:numPr>
          <w:ilvl w:val="1"/>
          <w:numId w:val="7"/>
        </w:numPr>
        <w:spacing w:before="360"/>
        <w:rPr>
          <w:rFonts w:cs="Arial"/>
          <w:sz w:val="24"/>
          <w:szCs w:val="24"/>
        </w:rPr>
      </w:pPr>
      <w:bookmarkStart w:id="16" w:name="_Toc322630288"/>
      <w:r>
        <w:rPr>
          <w:rFonts w:cs="Arial"/>
          <w:sz w:val="24"/>
          <w:szCs w:val="24"/>
        </w:rPr>
        <w:t xml:space="preserve">Individual Provider </w:t>
      </w:r>
      <w:r w:rsidR="00075B39">
        <w:rPr>
          <w:rFonts w:cs="Arial"/>
          <w:sz w:val="24"/>
          <w:szCs w:val="24"/>
        </w:rPr>
        <w:t xml:space="preserve">Provisional </w:t>
      </w:r>
      <w:r>
        <w:rPr>
          <w:rFonts w:cs="Arial"/>
          <w:sz w:val="24"/>
          <w:szCs w:val="24"/>
        </w:rPr>
        <w:t>Findings</w:t>
      </w:r>
      <w:bookmarkEnd w:id="16"/>
    </w:p>
    <w:p w:rsidR="00B46FFA" w:rsidRDefault="00B46FFA" w:rsidP="00B46FFA">
      <w:r>
        <w:t xml:space="preserve">There was variation in the findings for individual providers in the audit, with different patterns through </w:t>
      </w:r>
      <w:r w:rsidR="00075AA5">
        <w:t xml:space="preserve">the </w:t>
      </w:r>
      <w:r>
        <w:t xml:space="preserve">self audit phase and variations in </w:t>
      </w:r>
      <w:r w:rsidR="00075AA5">
        <w:t xml:space="preserve">the </w:t>
      </w:r>
      <w:r>
        <w:t xml:space="preserve">rate for which PBOs were </w:t>
      </w:r>
      <w:r w:rsidR="0089682E">
        <w:t>contradicted/</w:t>
      </w:r>
      <w:r w:rsidR="006F322C">
        <w:t>not supported</w:t>
      </w:r>
      <w:r>
        <w:t xml:space="preserve"> or confirmed.  </w:t>
      </w:r>
    </w:p>
    <w:p w:rsidR="009F0035" w:rsidRDefault="009F0035" w:rsidP="00B46FFA">
      <w:pPr>
        <w:rPr>
          <w:b/>
        </w:rPr>
      </w:pPr>
    </w:p>
    <w:p w:rsidR="00B46FFA" w:rsidRDefault="008D3D82" w:rsidP="00B46FFA">
      <w:pPr>
        <w:rPr>
          <w:b/>
        </w:rPr>
      </w:pPr>
      <w:r>
        <w:rPr>
          <w:b/>
        </w:rPr>
        <w:lastRenderedPageBreak/>
        <w:t>Table 5: Individual provider</w:t>
      </w:r>
      <w:r w:rsidR="00075B39">
        <w:rPr>
          <w:b/>
        </w:rPr>
        <w:t xml:space="preserve"> provisional</w:t>
      </w:r>
      <w:r>
        <w:rPr>
          <w:b/>
        </w:rPr>
        <w:t xml:space="preserve"> findings</w:t>
      </w:r>
    </w:p>
    <w:tbl>
      <w:tblPr>
        <w:tblStyle w:val="TableGrid"/>
        <w:tblW w:w="9889" w:type="dxa"/>
        <w:tblLayout w:type="fixed"/>
        <w:tblLook w:val="04A0" w:firstRow="1" w:lastRow="0" w:firstColumn="1" w:lastColumn="0" w:noHBand="0" w:noVBand="1"/>
      </w:tblPr>
      <w:tblGrid>
        <w:gridCol w:w="675"/>
        <w:gridCol w:w="142"/>
        <w:gridCol w:w="851"/>
        <w:gridCol w:w="1417"/>
        <w:gridCol w:w="709"/>
        <w:gridCol w:w="1417"/>
        <w:gridCol w:w="709"/>
        <w:gridCol w:w="1276"/>
        <w:gridCol w:w="709"/>
        <w:gridCol w:w="1275"/>
        <w:gridCol w:w="709"/>
      </w:tblGrid>
      <w:tr w:rsidR="00D0569F" w:rsidRPr="00D0569F" w:rsidTr="006F322C">
        <w:tc>
          <w:tcPr>
            <w:tcW w:w="675" w:type="dxa"/>
          </w:tcPr>
          <w:p w:rsidR="00A03673" w:rsidRPr="00D0569F" w:rsidRDefault="00A03673" w:rsidP="00A31F57">
            <w:pPr>
              <w:rPr>
                <w:rFonts w:cs="Arial"/>
                <w:sz w:val="20"/>
              </w:rPr>
            </w:pPr>
          </w:p>
        </w:tc>
        <w:tc>
          <w:tcPr>
            <w:tcW w:w="993" w:type="dxa"/>
            <w:gridSpan w:val="2"/>
          </w:tcPr>
          <w:p w:rsidR="00A03673" w:rsidRPr="00D0569F" w:rsidRDefault="00D0569F" w:rsidP="00A31F57">
            <w:pPr>
              <w:rPr>
                <w:rFonts w:cs="Arial"/>
                <w:sz w:val="20"/>
              </w:rPr>
            </w:pPr>
            <w:r>
              <w:rPr>
                <w:rFonts w:cs="Arial"/>
                <w:sz w:val="20"/>
              </w:rPr>
              <w:t>C</w:t>
            </w:r>
            <w:r w:rsidR="00A03673" w:rsidRPr="00D0569F">
              <w:rPr>
                <w:rFonts w:cs="Arial"/>
                <w:sz w:val="20"/>
              </w:rPr>
              <w:t>laims in scope</w:t>
            </w:r>
          </w:p>
        </w:tc>
        <w:tc>
          <w:tcPr>
            <w:tcW w:w="1417" w:type="dxa"/>
          </w:tcPr>
          <w:p w:rsidR="00A03673" w:rsidRPr="00D0569F" w:rsidRDefault="00A03673" w:rsidP="00A31F57">
            <w:pPr>
              <w:rPr>
                <w:rFonts w:cs="Arial"/>
                <w:sz w:val="20"/>
              </w:rPr>
            </w:pPr>
            <w:r w:rsidRPr="00D0569F">
              <w:rPr>
                <w:rFonts w:cs="Arial"/>
                <w:sz w:val="20"/>
              </w:rPr>
              <w:t>Volunteered invalid claims</w:t>
            </w:r>
          </w:p>
        </w:tc>
        <w:tc>
          <w:tcPr>
            <w:tcW w:w="709" w:type="dxa"/>
          </w:tcPr>
          <w:p w:rsidR="00A03673" w:rsidRPr="00D0569F" w:rsidRDefault="00A03673" w:rsidP="00A31F57">
            <w:pPr>
              <w:jc w:val="center"/>
              <w:rPr>
                <w:rFonts w:cs="Arial"/>
                <w:sz w:val="20"/>
              </w:rPr>
            </w:pPr>
            <w:r w:rsidRPr="00D0569F">
              <w:rPr>
                <w:rFonts w:cs="Arial"/>
                <w:sz w:val="20"/>
              </w:rPr>
              <w:t>%</w:t>
            </w:r>
          </w:p>
        </w:tc>
        <w:tc>
          <w:tcPr>
            <w:tcW w:w="1417" w:type="dxa"/>
          </w:tcPr>
          <w:p w:rsidR="00A03673" w:rsidRPr="00D0569F" w:rsidRDefault="009F0035" w:rsidP="009F0035">
            <w:pPr>
              <w:rPr>
                <w:rFonts w:cs="Arial"/>
                <w:sz w:val="20"/>
              </w:rPr>
            </w:pPr>
            <w:r>
              <w:rPr>
                <w:rFonts w:cs="Arial"/>
                <w:sz w:val="20"/>
              </w:rPr>
              <w:t>Contradicted/Not supported</w:t>
            </w:r>
          </w:p>
        </w:tc>
        <w:tc>
          <w:tcPr>
            <w:tcW w:w="709" w:type="dxa"/>
          </w:tcPr>
          <w:p w:rsidR="00A03673" w:rsidRPr="00D0569F" w:rsidRDefault="00A03673" w:rsidP="00A31F57">
            <w:pPr>
              <w:jc w:val="center"/>
              <w:rPr>
                <w:rFonts w:cs="Arial"/>
                <w:sz w:val="20"/>
              </w:rPr>
            </w:pPr>
            <w:r w:rsidRPr="00D0569F">
              <w:rPr>
                <w:rFonts w:cs="Arial"/>
                <w:sz w:val="20"/>
              </w:rPr>
              <w:t>%</w:t>
            </w:r>
          </w:p>
        </w:tc>
        <w:tc>
          <w:tcPr>
            <w:tcW w:w="1276" w:type="dxa"/>
          </w:tcPr>
          <w:p w:rsidR="00A03673" w:rsidRPr="00D0569F" w:rsidRDefault="00A03673" w:rsidP="009F0035">
            <w:pPr>
              <w:rPr>
                <w:rFonts w:cs="Arial"/>
                <w:sz w:val="20"/>
              </w:rPr>
            </w:pPr>
            <w:r w:rsidRPr="00D0569F">
              <w:rPr>
                <w:rFonts w:cs="Arial"/>
                <w:sz w:val="20"/>
              </w:rPr>
              <w:t>Confirm</w:t>
            </w:r>
            <w:r w:rsidR="00D0569F">
              <w:rPr>
                <w:rFonts w:cs="Arial"/>
                <w:sz w:val="20"/>
              </w:rPr>
              <w:t>ed</w:t>
            </w:r>
            <w:r w:rsidRPr="00D0569F">
              <w:rPr>
                <w:rFonts w:cs="Arial"/>
                <w:sz w:val="20"/>
              </w:rPr>
              <w:t xml:space="preserve"> </w:t>
            </w:r>
          </w:p>
        </w:tc>
        <w:tc>
          <w:tcPr>
            <w:tcW w:w="709" w:type="dxa"/>
          </w:tcPr>
          <w:p w:rsidR="00A03673" w:rsidRPr="00D0569F" w:rsidRDefault="00A03673" w:rsidP="00A31F57">
            <w:pPr>
              <w:jc w:val="center"/>
              <w:rPr>
                <w:rFonts w:cs="Arial"/>
                <w:sz w:val="20"/>
              </w:rPr>
            </w:pPr>
            <w:r w:rsidRPr="00D0569F">
              <w:rPr>
                <w:rFonts w:cs="Arial"/>
                <w:sz w:val="20"/>
              </w:rPr>
              <w:t>%</w:t>
            </w:r>
          </w:p>
        </w:tc>
        <w:tc>
          <w:tcPr>
            <w:tcW w:w="1275" w:type="dxa"/>
          </w:tcPr>
          <w:p w:rsidR="00A03673" w:rsidRPr="00D0569F" w:rsidRDefault="00A03673" w:rsidP="00A31F57">
            <w:pPr>
              <w:rPr>
                <w:rFonts w:cs="Arial"/>
                <w:sz w:val="20"/>
              </w:rPr>
            </w:pPr>
            <w:r w:rsidRPr="00D0569F">
              <w:rPr>
                <w:rFonts w:cs="Arial"/>
                <w:sz w:val="20"/>
              </w:rPr>
              <w:t>Unable to be determined</w:t>
            </w:r>
          </w:p>
        </w:tc>
        <w:tc>
          <w:tcPr>
            <w:tcW w:w="709" w:type="dxa"/>
          </w:tcPr>
          <w:p w:rsidR="00A03673" w:rsidRPr="00D0569F" w:rsidRDefault="00A03673" w:rsidP="00A31F57">
            <w:pPr>
              <w:jc w:val="center"/>
              <w:rPr>
                <w:rFonts w:cs="Arial"/>
                <w:sz w:val="20"/>
              </w:rPr>
            </w:pPr>
            <w:r w:rsidRPr="00D0569F">
              <w:rPr>
                <w:rFonts w:cs="Arial"/>
                <w:sz w:val="20"/>
              </w:rPr>
              <w:t>%</w:t>
            </w:r>
          </w:p>
        </w:tc>
      </w:tr>
      <w:tr w:rsidR="00A03673" w:rsidRPr="00D0569F" w:rsidTr="006F322C">
        <w:tc>
          <w:tcPr>
            <w:tcW w:w="9889" w:type="dxa"/>
            <w:gridSpan w:val="11"/>
            <w:shd w:val="clear" w:color="auto" w:fill="D9D9D9" w:themeFill="background1" w:themeFillShade="D9"/>
          </w:tcPr>
          <w:p w:rsidR="00A03673" w:rsidRPr="00D0569F" w:rsidRDefault="00A03673" w:rsidP="00A31F57">
            <w:pPr>
              <w:rPr>
                <w:rFonts w:cs="Arial"/>
                <w:b/>
                <w:sz w:val="20"/>
              </w:rPr>
            </w:pPr>
            <w:r w:rsidRPr="00D0569F">
              <w:rPr>
                <w:rFonts w:cs="Arial"/>
                <w:b/>
                <w:sz w:val="20"/>
              </w:rPr>
              <w:t>Non-control group</w:t>
            </w:r>
          </w:p>
        </w:tc>
      </w:tr>
      <w:tr w:rsidR="00D0569F" w:rsidRPr="007265D5" w:rsidTr="006F322C">
        <w:tc>
          <w:tcPr>
            <w:tcW w:w="817" w:type="dxa"/>
            <w:gridSpan w:val="2"/>
          </w:tcPr>
          <w:p w:rsidR="00A03673" w:rsidRPr="007265D5" w:rsidRDefault="00A03673" w:rsidP="00A31F57">
            <w:pPr>
              <w:rPr>
                <w:rFonts w:cs="Arial"/>
                <w:color w:val="000000"/>
                <w:sz w:val="20"/>
              </w:rPr>
            </w:pPr>
            <w:r w:rsidRPr="007265D5">
              <w:rPr>
                <w:rFonts w:cs="Arial"/>
                <w:color w:val="000000"/>
                <w:sz w:val="20"/>
              </w:rPr>
              <w:t>A</w:t>
            </w:r>
          </w:p>
        </w:tc>
        <w:tc>
          <w:tcPr>
            <w:tcW w:w="851" w:type="dxa"/>
            <w:vAlign w:val="bottom"/>
          </w:tcPr>
          <w:p w:rsidR="00A03673" w:rsidRPr="007265D5" w:rsidRDefault="00A03673" w:rsidP="00A31F57">
            <w:pPr>
              <w:jc w:val="right"/>
              <w:rPr>
                <w:rFonts w:cs="Arial"/>
                <w:color w:val="000000"/>
                <w:sz w:val="20"/>
              </w:rPr>
            </w:pPr>
            <w:r w:rsidRPr="007265D5">
              <w:rPr>
                <w:rFonts w:cs="Arial"/>
                <w:color w:val="000000"/>
                <w:sz w:val="20"/>
              </w:rPr>
              <w:t>224</w:t>
            </w:r>
          </w:p>
        </w:tc>
        <w:tc>
          <w:tcPr>
            <w:tcW w:w="1417" w:type="dxa"/>
            <w:vAlign w:val="bottom"/>
          </w:tcPr>
          <w:p w:rsidR="00A03673" w:rsidRPr="007265D5" w:rsidRDefault="00A03673" w:rsidP="00A31F57">
            <w:pPr>
              <w:jc w:val="right"/>
              <w:rPr>
                <w:rFonts w:cs="Arial"/>
                <w:sz w:val="20"/>
              </w:rPr>
            </w:pPr>
            <w:r w:rsidRPr="007265D5">
              <w:rPr>
                <w:rFonts w:cs="Arial"/>
                <w:sz w:val="20"/>
              </w:rPr>
              <w:t>95</w:t>
            </w:r>
          </w:p>
        </w:tc>
        <w:tc>
          <w:tcPr>
            <w:tcW w:w="709" w:type="dxa"/>
            <w:vAlign w:val="bottom"/>
          </w:tcPr>
          <w:p w:rsidR="00A03673" w:rsidRPr="007265D5" w:rsidRDefault="00A03673" w:rsidP="00A31F57">
            <w:pPr>
              <w:jc w:val="right"/>
              <w:rPr>
                <w:rFonts w:cs="Arial"/>
                <w:sz w:val="20"/>
              </w:rPr>
            </w:pPr>
            <w:r w:rsidRPr="007265D5">
              <w:rPr>
                <w:rFonts w:cs="Arial"/>
                <w:sz w:val="20"/>
              </w:rPr>
              <w:t>42%</w:t>
            </w:r>
          </w:p>
        </w:tc>
        <w:tc>
          <w:tcPr>
            <w:tcW w:w="1417" w:type="dxa"/>
            <w:vAlign w:val="bottom"/>
          </w:tcPr>
          <w:p w:rsidR="00A03673" w:rsidRPr="007265D5" w:rsidRDefault="00A03673" w:rsidP="00A31F57">
            <w:pPr>
              <w:jc w:val="right"/>
              <w:rPr>
                <w:rFonts w:cs="Arial"/>
                <w:sz w:val="20"/>
              </w:rPr>
            </w:pPr>
            <w:r w:rsidRPr="007265D5">
              <w:rPr>
                <w:rFonts w:cs="Arial"/>
                <w:sz w:val="20"/>
              </w:rPr>
              <w:t>37</w:t>
            </w:r>
          </w:p>
        </w:tc>
        <w:tc>
          <w:tcPr>
            <w:tcW w:w="709" w:type="dxa"/>
            <w:vAlign w:val="bottom"/>
          </w:tcPr>
          <w:p w:rsidR="00A03673" w:rsidRPr="007265D5" w:rsidRDefault="00A03673" w:rsidP="00A31F57">
            <w:pPr>
              <w:jc w:val="center"/>
              <w:rPr>
                <w:rFonts w:cs="Arial"/>
                <w:sz w:val="20"/>
              </w:rPr>
            </w:pPr>
            <w:r w:rsidRPr="007265D5">
              <w:rPr>
                <w:rFonts w:cs="Arial"/>
                <w:sz w:val="20"/>
              </w:rPr>
              <w:t>17%</w:t>
            </w:r>
          </w:p>
        </w:tc>
        <w:tc>
          <w:tcPr>
            <w:tcW w:w="1276" w:type="dxa"/>
            <w:vAlign w:val="bottom"/>
          </w:tcPr>
          <w:p w:rsidR="00A03673" w:rsidRPr="007265D5" w:rsidRDefault="00A03673" w:rsidP="00A31F57">
            <w:pPr>
              <w:jc w:val="right"/>
              <w:rPr>
                <w:rFonts w:cs="Arial"/>
                <w:sz w:val="20"/>
              </w:rPr>
            </w:pPr>
            <w:r w:rsidRPr="007265D5">
              <w:rPr>
                <w:rFonts w:cs="Arial"/>
                <w:sz w:val="20"/>
              </w:rPr>
              <w:t>66</w:t>
            </w:r>
          </w:p>
        </w:tc>
        <w:tc>
          <w:tcPr>
            <w:tcW w:w="709" w:type="dxa"/>
            <w:vAlign w:val="bottom"/>
          </w:tcPr>
          <w:p w:rsidR="00A03673" w:rsidRPr="007265D5" w:rsidRDefault="00A03673" w:rsidP="00A31F57">
            <w:pPr>
              <w:jc w:val="center"/>
              <w:rPr>
                <w:rFonts w:cs="Arial"/>
                <w:sz w:val="20"/>
              </w:rPr>
            </w:pPr>
            <w:r w:rsidRPr="007265D5">
              <w:rPr>
                <w:rFonts w:cs="Arial"/>
                <w:sz w:val="20"/>
              </w:rPr>
              <w:t>29%</w:t>
            </w:r>
          </w:p>
        </w:tc>
        <w:tc>
          <w:tcPr>
            <w:tcW w:w="1275" w:type="dxa"/>
            <w:vAlign w:val="bottom"/>
          </w:tcPr>
          <w:p w:rsidR="00A03673" w:rsidRPr="007265D5" w:rsidRDefault="00A03673" w:rsidP="00A31F57">
            <w:pPr>
              <w:jc w:val="right"/>
              <w:rPr>
                <w:rFonts w:cs="Arial"/>
                <w:sz w:val="20"/>
              </w:rPr>
            </w:pPr>
            <w:r w:rsidRPr="007265D5">
              <w:rPr>
                <w:rFonts w:cs="Arial"/>
                <w:sz w:val="20"/>
              </w:rPr>
              <w:t>26</w:t>
            </w:r>
          </w:p>
        </w:tc>
        <w:tc>
          <w:tcPr>
            <w:tcW w:w="709" w:type="dxa"/>
            <w:vAlign w:val="bottom"/>
          </w:tcPr>
          <w:p w:rsidR="00A03673" w:rsidRPr="007265D5" w:rsidRDefault="00A03673" w:rsidP="00A31F57">
            <w:pPr>
              <w:jc w:val="right"/>
              <w:rPr>
                <w:rFonts w:cs="Arial"/>
                <w:sz w:val="20"/>
              </w:rPr>
            </w:pPr>
            <w:r w:rsidRPr="007265D5">
              <w:rPr>
                <w:rFonts w:cs="Arial"/>
                <w:sz w:val="20"/>
              </w:rPr>
              <w:t>12%</w:t>
            </w:r>
          </w:p>
        </w:tc>
      </w:tr>
      <w:tr w:rsidR="00D0569F" w:rsidRPr="007265D5" w:rsidTr="006F322C">
        <w:tc>
          <w:tcPr>
            <w:tcW w:w="817" w:type="dxa"/>
            <w:gridSpan w:val="2"/>
          </w:tcPr>
          <w:p w:rsidR="00A03673" w:rsidRPr="007265D5" w:rsidRDefault="00A03673" w:rsidP="00A31F57">
            <w:pPr>
              <w:rPr>
                <w:rFonts w:cs="Arial"/>
                <w:color w:val="000000"/>
                <w:sz w:val="20"/>
              </w:rPr>
            </w:pPr>
            <w:r w:rsidRPr="007265D5">
              <w:rPr>
                <w:rFonts w:cs="Arial"/>
                <w:color w:val="000000"/>
                <w:sz w:val="20"/>
              </w:rPr>
              <w:t>B</w:t>
            </w:r>
          </w:p>
        </w:tc>
        <w:tc>
          <w:tcPr>
            <w:tcW w:w="851" w:type="dxa"/>
            <w:vAlign w:val="bottom"/>
          </w:tcPr>
          <w:p w:rsidR="00A03673" w:rsidRPr="007265D5" w:rsidRDefault="00A03673" w:rsidP="00A31F57">
            <w:pPr>
              <w:jc w:val="right"/>
              <w:rPr>
                <w:rFonts w:cs="Arial"/>
                <w:color w:val="000000"/>
                <w:sz w:val="20"/>
              </w:rPr>
            </w:pPr>
            <w:r w:rsidRPr="007265D5">
              <w:rPr>
                <w:rFonts w:cs="Arial"/>
                <w:color w:val="000000"/>
                <w:sz w:val="20"/>
              </w:rPr>
              <w:t>174</w:t>
            </w:r>
          </w:p>
        </w:tc>
        <w:tc>
          <w:tcPr>
            <w:tcW w:w="1417" w:type="dxa"/>
            <w:vAlign w:val="bottom"/>
          </w:tcPr>
          <w:p w:rsidR="00A03673" w:rsidRPr="007265D5" w:rsidRDefault="00A03673" w:rsidP="00A31F57">
            <w:pPr>
              <w:jc w:val="right"/>
              <w:rPr>
                <w:rFonts w:cs="Arial"/>
                <w:sz w:val="20"/>
              </w:rPr>
            </w:pPr>
            <w:r w:rsidRPr="007265D5">
              <w:rPr>
                <w:rFonts w:cs="Arial"/>
                <w:sz w:val="20"/>
              </w:rPr>
              <w:t>85</w:t>
            </w:r>
          </w:p>
        </w:tc>
        <w:tc>
          <w:tcPr>
            <w:tcW w:w="709" w:type="dxa"/>
            <w:vAlign w:val="bottom"/>
          </w:tcPr>
          <w:p w:rsidR="00A03673" w:rsidRPr="007265D5" w:rsidRDefault="00A03673" w:rsidP="00A31F57">
            <w:pPr>
              <w:jc w:val="right"/>
              <w:rPr>
                <w:rFonts w:cs="Arial"/>
                <w:sz w:val="20"/>
              </w:rPr>
            </w:pPr>
            <w:r w:rsidRPr="007265D5">
              <w:rPr>
                <w:rFonts w:cs="Arial"/>
                <w:sz w:val="20"/>
              </w:rPr>
              <w:t>49%</w:t>
            </w:r>
          </w:p>
        </w:tc>
        <w:tc>
          <w:tcPr>
            <w:tcW w:w="1417" w:type="dxa"/>
            <w:vAlign w:val="bottom"/>
          </w:tcPr>
          <w:p w:rsidR="00A03673" w:rsidRPr="007265D5" w:rsidRDefault="00A03673" w:rsidP="00A31F57">
            <w:pPr>
              <w:jc w:val="right"/>
              <w:rPr>
                <w:rFonts w:cs="Arial"/>
                <w:sz w:val="20"/>
              </w:rPr>
            </w:pPr>
            <w:r w:rsidRPr="007265D5">
              <w:rPr>
                <w:rFonts w:cs="Arial"/>
                <w:sz w:val="20"/>
              </w:rPr>
              <w:t>24</w:t>
            </w:r>
          </w:p>
        </w:tc>
        <w:tc>
          <w:tcPr>
            <w:tcW w:w="709" w:type="dxa"/>
            <w:vAlign w:val="bottom"/>
          </w:tcPr>
          <w:p w:rsidR="00A03673" w:rsidRPr="007265D5" w:rsidRDefault="00A03673" w:rsidP="00A31F57">
            <w:pPr>
              <w:jc w:val="center"/>
              <w:rPr>
                <w:rFonts w:cs="Arial"/>
                <w:sz w:val="20"/>
              </w:rPr>
            </w:pPr>
            <w:r w:rsidRPr="007265D5">
              <w:rPr>
                <w:rFonts w:cs="Arial"/>
                <w:sz w:val="20"/>
              </w:rPr>
              <w:t>14%</w:t>
            </w:r>
          </w:p>
        </w:tc>
        <w:tc>
          <w:tcPr>
            <w:tcW w:w="1276" w:type="dxa"/>
            <w:vAlign w:val="bottom"/>
          </w:tcPr>
          <w:p w:rsidR="00A03673" w:rsidRPr="007265D5" w:rsidRDefault="00A03673" w:rsidP="00A31F57">
            <w:pPr>
              <w:jc w:val="right"/>
              <w:rPr>
                <w:rFonts w:cs="Arial"/>
                <w:sz w:val="20"/>
              </w:rPr>
            </w:pPr>
            <w:r w:rsidRPr="007265D5">
              <w:rPr>
                <w:rFonts w:cs="Arial"/>
                <w:sz w:val="20"/>
              </w:rPr>
              <w:t>49</w:t>
            </w:r>
          </w:p>
        </w:tc>
        <w:tc>
          <w:tcPr>
            <w:tcW w:w="709" w:type="dxa"/>
            <w:vAlign w:val="bottom"/>
          </w:tcPr>
          <w:p w:rsidR="00A03673" w:rsidRPr="007265D5" w:rsidRDefault="00A03673" w:rsidP="00A31F57">
            <w:pPr>
              <w:jc w:val="center"/>
              <w:rPr>
                <w:rFonts w:cs="Arial"/>
                <w:sz w:val="20"/>
              </w:rPr>
            </w:pPr>
            <w:r w:rsidRPr="007265D5">
              <w:rPr>
                <w:rFonts w:cs="Arial"/>
                <w:sz w:val="20"/>
              </w:rPr>
              <w:t>28%</w:t>
            </w:r>
          </w:p>
        </w:tc>
        <w:tc>
          <w:tcPr>
            <w:tcW w:w="1275" w:type="dxa"/>
            <w:vAlign w:val="bottom"/>
          </w:tcPr>
          <w:p w:rsidR="00A03673" w:rsidRPr="007265D5" w:rsidRDefault="00A03673" w:rsidP="00A31F57">
            <w:pPr>
              <w:jc w:val="right"/>
              <w:rPr>
                <w:rFonts w:cs="Arial"/>
                <w:sz w:val="20"/>
              </w:rPr>
            </w:pPr>
            <w:r w:rsidRPr="007265D5">
              <w:rPr>
                <w:rFonts w:cs="Arial"/>
                <w:sz w:val="20"/>
              </w:rPr>
              <w:t>16</w:t>
            </w:r>
          </w:p>
        </w:tc>
        <w:tc>
          <w:tcPr>
            <w:tcW w:w="709" w:type="dxa"/>
            <w:vAlign w:val="bottom"/>
          </w:tcPr>
          <w:p w:rsidR="00A03673" w:rsidRPr="007265D5" w:rsidRDefault="00A03673" w:rsidP="00A31F57">
            <w:pPr>
              <w:jc w:val="right"/>
              <w:rPr>
                <w:rFonts w:cs="Arial"/>
                <w:sz w:val="20"/>
              </w:rPr>
            </w:pPr>
            <w:r w:rsidRPr="007265D5">
              <w:rPr>
                <w:rFonts w:cs="Arial"/>
                <w:sz w:val="20"/>
              </w:rPr>
              <w:t>9%</w:t>
            </w:r>
          </w:p>
        </w:tc>
      </w:tr>
      <w:tr w:rsidR="00D0569F" w:rsidRPr="007265D5" w:rsidTr="006F322C">
        <w:tc>
          <w:tcPr>
            <w:tcW w:w="817" w:type="dxa"/>
            <w:gridSpan w:val="2"/>
          </w:tcPr>
          <w:p w:rsidR="00A03673" w:rsidRPr="007265D5" w:rsidRDefault="00A03673" w:rsidP="00A31F57">
            <w:pPr>
              <w:rPr>
                <w:rFonts w:cs="Arial"/>
                <w:color w:val="000000"/>
                <w:sz w:val="20"/>
              </w:rPr>
            </w:pPr>
            <w:r w:rsidRPr="007265D5">
              <w:rPr>
                <w:rFonts w:cs="Arial"/>
                <w:color w:val="000000"/>
                <w:sz w:val="20"/>
              </w:rPr>
              <w:t>C</w:t>
            </w:r>
          </w:p>
        </w:tc>
        <w:tc>
          <w:tcPr>
            <w:tcW w:w="851" w:type="dxa"/>
            <w:vAlign w:val="bottom"/>
          </w:tcPr>
          <w:p w:rsidR="00A03673" w:rsidRPr="007265D5" w:rsidRDefault="00A03673" w:rsidP="00A31F57">
            <w:pPr>
              <w:jc w:val="right"/>
              <w:rPr>
                <w:rFonts w:cs="Arial"/>
                <w:color w:val="000000"/>
                <w:sz w:val="20"/>
              </w:rPr>
            </w:pPr>
            <w:r w:rsidRPr="007265D5">
              <w:rPr>
                <w:rFonts w:cs="Arial"/>
                <w:color w:val="000000"/>
                <w:sz w:val="20"/>
              </w:rPr>
              <w:t>166</w:t>
            </w:r>
          </w:p>
        </w:tc>
        <w:tc>
          <w:tcPr>
            <w:tcW w:w="1417" w:type="dxa"/>
            <w:vAlign w:val="bottom"/>
          </w:tcPr>
          <w:p w:rsidR="00A03673" w:rsidRPr="007265D5" w:rsidRDefault="00A03673" w:rsidP="00A31F57">
            <w:pPr>
              <w:jc w:val="right"/>
              <w:rPr>
                <w:rFonts w:cs="Arial"/>
                <w:sz w:val="20"/>
              </w:rPr>
            </w:pPr>
            <w:r w:rsidRPr="007265D5">
              <w:rPr>
                <w:rFonts w:cs="Arial"/>
                <w:sz w:val="20"/>
              </w:rPr>
              <w:t>17</w:t>
            </w:r>
          </w:p>
        </w:tc>
        <w:tc>
          <w:tcPr>
            <w:tcW w:w="709" w:type="dxa"/>
            <w:vAlign w:val="bottom"/>
          </w:tcPr>
          <w:p w:rsidR="00A03673" w:rsidRPr="007265D5" w:rsidRDefault="00A03673" w:rsidP="00A31F57">
            <w:pPr>
              <w:jc w:val="right"/>
              <w:rPr>
                <w:rFonts w:cs="Arial"/>
                <w:sz w:val="20"/>
              </w:rPr>
            </w:pPr>
            <w:r w:rsidRPr="007265D5">
              <w:rPr>
                <w:rFonts w:cs="Arial"/>
                <w:sz w:val="20"/>
              </w:rPr>
              <w:t>10%</w:t>
            </w:r>
          </w:p>
        </w:tc>
        <w:tc>
          <w:tcPr>
            <w:tcW w:w="1417" w:type="dxa"/>
            <w:vAlign w:val="bottom"/>
          </w:tcPr>
          <w:p w:rsidR="00A03673" w:rsidRPr="007265D5" w:rsidRDefault="006F322C" w:rsidP="00A31F57">
            <w:pPr>
              <w:jc w:val="right"/>
              <w:rPr>
                <w:rFonts w:cs="Arial"/>
                <w:sz w:val="20"/>
              </w:rPr>
            </w:pPr>
            <w:r>
              <w:rPr>
                <w:rFonts w:cs="Arial"/>
                <w:sz w:val="20"/>
              </w:rPr>
              <w:t>75</w:t>
            </w:r>
          </w:p>
        </w:tc>
        <w:tc>
          <w:tcPr>
            <w:tcW w:w="709" w:type="dxa"/>
            <w:vAlign w:val="bottom"/>
          </w:tcPr>
          <w:p w:rsidR="00A03673" w:rsidRPr="007265D5" w:rsidRDefault="00A03673" w:rsidP="009635A9">
            <w:pPr>
              <w:jc w:val="center"/>
              <w:rPr>
                <w:rFonts w:cs="Arial"/>
                <w:sz w:val="20"/>
              </w:rPr>
            </w:pPr>
            <w:r w:rsidRPr="007265D5">
              <w:rPr>
                <w:rFonts w:cs="Arial"/>
                <w:sz w:val="20"/>
              </w:rPr>
              <w:t>4</w:t>
            </w:r>
            <w:r w:rsidR="009635A9">
              <w:rPr>
                <w:rFonts w:cs="Arial"/>
                <w:sz w:val="20"/>
              </w:rPr>
              <w:t>5</w:t>
            </w:r>
            <w:r w:rsidRPr="007265D5">
              <w:rPr>
                <w:rFonts w:cs="Arial"/>
                <w:sz w:val="20"/>
              </w:rPr>
              <w:t>%</w:t>
            </w:r>
          </w:p>
        </w:tc>
        <w:tc>
          <w:tcPr>
            <w:tcW w:w="1276" w:type="dxa"/>
            <w:vAlign w:val="bottom"/>
          </w:tcPr>
          <w:p w:rsidR="00A03673" w:rsidRPr="007265D5" w:rsidRDefault="00A03673" w:rsidP="00A31F57">
            <w:pPr>
              <w:jc w:val="right"/>
              <w:rPr>
                <w:rFonts w:cs="Arial"/>
                <w:sz w:val="20"/>
              </w:rPr>
            </w:pPr>
            <w:r w:rsidRPr="007265D5">
              <w:rPr>
                <w:rFonts w:cs="Arial"/>
                <w:sz w:val="20"/>
              </w:rPr>
              <w:t>38</w:t>
            </w:r>
          </w:p>
        </w:tc>
        <w:tc>
          <w:tcPr>
            <w:tcW w:w="709" w:type="dxa"/>
            <w:vAlign w:val="bottom"/>
          </w:tcPr>
          <w:p w:rsidR="00A03673" w:rsidRPr="007265D5" w:rsidRDefault="00A03673" w:rsidP="00A31F57">
            <w:pPr>
              <w:jc w:val="center"/>
              <w:rPr>
                <w:rFonts w:cs="Arial"/>
                <w:sz w:val="20"/>
              </w:rPr>
            </w:pPr>
            <w:r w:rsidRPr="007265D5">
              <w:rPr>
                <w:rFonts w:cs="Arial"/>
                <w:sz w:val="20"/>
              </w:rPr>
              <w:t>23%</w:t>
            </w:r>
          </w:p>
        </w:tc>
        <w:tc>
          <w:tcPr>
            <w:tcW w:w="1275" w:type="dxa"/>
            <w:vAlign w:val="bottom"/>
          </w:tcPr>
          <w:p w:rsidR="00A03673" w:rsidRPr="007265D5" w:rsidRDefault="00A03673" w:rsidP="006F322C">
            <w:pPr>
              <w:jc w:val="right"/>
              <w:rPr>
                <w:rFonts w:cs="Arial"/>
                <w:sz w:val="20"/>
              </w:rPr>
            </w:pPr>
            <w:r w:rsidRPr="007265D5">
              <w:rPr>
                <w:rFonts w:cs="Arial"/>
                <w:sz w:val="20"/>
              </w:rPr>
              <w:t>3</w:t>
            </w:r>
            <w:r w:rsidR="006F322C">
              <w:rPr>
                <w:rFonts w:cs="Arial"/>
                <w:sz w:val="20"/>
              </w:rPr>
              <w:t>6</w:t>
            </w:r>
          </w:p>
        </w:tc>
        <w:tc>
          <w:tcPr>
            <w:tcW w:w="709" w:type="dxa"/>
            <w:vAlign w:val="bottom"/>
          </w:tcPr>
          <w:p w:rsidR="00A03673" w:rsidRPr="007265D5" w:rsidRDefault="00A03673" w:rsidP="009635A9">
            <w:pPr>
              <w:jc w:val="right"/>
              <w:rPr>
                <w:rFonts w:cs="Arial"/>
                <w:sz w:val="20"/>
              </w:rPr>
            </w:pPr>
            <w:r w:rsidRPr="007265D5">
              <w:rPr>
                <w:rFonts w:cs="Arial"/>
                <w:sz w:val="20"/>
              </w:rPr>
              <w:t>2</w:t>
            </w:r>
            <w:r w:rsidR="009635A9">
              <w:rPr>
                <w:rFonts w:cs="Arial"/>
                <w:sz w:val="20"/>
              </w:rPr>
              <w:t>2</w:t>
            </w:r>
            <w:r w:rsidRPr="007265D5">
              <w:rPr>
                <w:rFonts w:cs="Arial"/>
                <w:sz w:val="20"/>
              </w:rPr>
              <w:t>%</w:t>
            </w:r>
          </w:p>
        </w:tc>
      </w:tr>
      <w:tr w:rsidR="00D0569F" w:rsidRPr="007265D5" w:rsidTr="006F322C">
        <w:tc>
          <w:tcPr>
            <w:tcW w:w="817" w:type="dxa"/>
            <w:gridSpan w:val="2"/>
          </w:tcPr>
          <w:p w:rsidR="00A03673" w:rsidRPr="007265D5" w:rsidRDefault="00A03673" w:rsidP="00A31F57">
            <w:pPr>
              <w:rPr>
                <w:rFonts w:cs="Arial"/>
                <w:color w:val="000000"/>
                <w:sz w:val="20"/>
              </w:rPr>
            </w:pPr>
            <w:r w:rsidRPr="007265D5">
              <w:rPr>
                <w:rFonts w:cs="Arial"/>
                <w:color w:val="000000"/>
                <w:sz w:val="20"/>
              </w:rPr>
              <w:t>D</w:t>
            </w:r>
          </w:p>
        </w:tc>
        <w:tc>
          <w:tcPr>
            <w:tcW w:w="851" w:type="dxa"/>
            <w:vAlign w:val="bottom"/>
          </w:tcPr>
          <w:p w:rsidR="00A03673" w:rsidRPr="007265D5" w:rsidRDefault="00A03673" w:rsidP="00A31F57">
            <w:pPr>
              <w:jc w:val="right"/>
              <w:rPr>
                <w:rFonts w:cs="Arial"/>
                <w:color w:val="000000"/>
                <w:sz w:val="20"/>
              </w:rPr>
            </w:pPr>
            <w:r w:rsidRPr="007265D5">
              <w:rPr>
                <w:rFonts w:cs="Arial"/>
                <w:color w:val="000000"/>
                <w:sz w:val="20"/>
              </w:rPr>
              <w:t>99</w:t>
            </w:r>
          </w:p>
        </w:tc>
        <w:tc>
          <w:tcPr>
            <w:tcW w:w="1417" w:type="dxa"/>
            <w:vAlign w:val="bottom"/>
          </w:tcPr>
          <w:p w:rsidR="00A03673" w:rsidRPr="007265D5" w:rsidRDefault="00A03673" w:rsidP="00A31F57">
            <w:pPr>
              <w:jc w:val="right"/>
              <w:rPr>
                <w:rFonts w:cs="Arial"/>
                <w:sz w:val="20"/>
              </w:rPr>
            </w:pPr>
            <w:r w:rsidRPr="007265D5">
              <w:rPr>
                <w:rFonts w:cs="Arial"/>
                <w:sz w:val="20"/>
              </w:rPr>
              <w:t>4</w:t>
            </w:r>
          </w:p>
        </w:tc>
        <w:tc>
          <w:tcPr>
            <w:tcW w:w="709" w:type="dxa"/>
            <w:vAlign w:val="bottom"/>
          </w:tcPr>
          <w:p w:rsidR="00A03673" w:rsidRPr="007265D5" w:rsidRDefault="00A03673" w:rsidP="00A31F57">
            <w:pPr>
              <w:jc w:val="right"/>
              <w:rPr>
                <w:rFonts w:cs="Arial"/>
                <w:sz w:val="20"/>
              </w:rPr>
            </w:pPr>
            <w:r w:rsidRPr="007265D5">
              <w:rPr>
                <w:rFonts w:cs="Arial"/>
                <w:sz w:val="20"/>
              </w:rPr>
              <w:t>4%</w:t>
            </w:r>
          </w:p>
        </w:tc>
        <w:tc>
          <w:tcPr>
            <w:tcW w:w="1417" w:type="dxa"/>
            <w:vAlign w:val="bottom"/>
          </w:tcPr>
          <w:p w:rsidR="00A03673" w:rsidRPr="007265D5" w:rsidRDefault="009635A9" w:rsidP="00A31F57">
            <w:pPr>
              <w:jc w:val="right"/>
              <w:rPr>
                <w:rFonts w:cs="Arial"/>
                <w:sz w:val="20"/>
              </w:rPr>
            </w:pPr>
            <w:r>
              <w:rPr>
                <w:rFonts w:cs="Arial"/>
                <w:sz w:val="20"/>
              </w:rPr>
              <w:t>13</w:t>
            </w:r>
          </w:p>
        </w:tc>
        <w:tc>
          <w:tcPr>
            <w:tcW w:w="709" w:type="dxa"/>
            <w:vAlign w:val="bottom"/>
          </w:tcPr>
          <w:p w:rsidR="00A03673" w:rsidRPr="007265D5" w:rsidRDefault="009635A9" w:rsidP="00A31F57">
            <w:pPr>
              <w:jc w:val="center"/>
              <w:rPr>
                <w:rFonts w:cs="Arial"/>
                <w:sz w:val="20"/>
              </w:rPr>
            </w:pPr>
            <w:r>
              <w:rPr>
                <w:rFonts w:cs="Arial"/>
                <w:sz w:val="20"/>
              </w:rPr>
              <w:t>13</w:t>
            </w:r>
            <w:r w:rsidR="00A03673" w:rsidRPr="007265D5">
              <w:rPr>
                <w:rFonts w:cs="Arial"/>
                <w:sz w:val="20"/>
              </w:rPr>
              <w:t>%</w:t>
            </w:r>
          </w:p>
        </w:tc>
        <w:tc>
          <w:tcPr>
            <w:tcW w:w="1276" w:type="dxa"/>
            <w:vAlign w:val="bottom"/>
          </w:tcPr>
          <w:p w:rsidR="00A03673" w:rsidRPr="007265D5" w:rsidRDefault="00A03673" w:rsidP="00A31F57">
            <w:pPr>
              <w:jc w:val="right"/>
              <w:rPr>
                <w:rFonts w:cs="Arial"/>
                <w:sz w:val="20"/>
              </w:rPr>
            </w:pPr>
            <w:r w:rsidRPr="007265D5">
              <w:rPr>
                <w:rFonts w:cs="Arial"/>
                <w:sz w:val="20"/>
              </w:rPr>
              <w:t>61</w:t>
            </w:r>
          </w:p>
        </w:tc>
        <w:tc>
          <w:tcPr>
            <w:tcW w:w="709" w:type="dxa"/>
            <w:vAlign w:val="bottom"/>
          </w:tcPr>
          <w:p w:rsidR="00A03673" w:rsidRPr="007265D5" w:rsidRDefault="00A03673" w:rsidP="00A31F57">
            <w:pPr>
              <w:jc w:val="center"/>
              <w:rPr>
                <w:rFonts w:cs="Arial"/>
                <w:sz w:val="20"/>
              </w:rPr>
            </w:pPr>
            <w:r w:rsidRPr="007265D5">
              <w:rPr>
                <w:rFonts w:cs="Arial"/>
                <w:sz w:val="20"/>
              </w:rPr>
              <w:t>62%</w:t>
            </w:r>
          </w:p>
        </w:tc>
        <w:tc>
          <w:tcPr>
            <w:tcW w:w="1275" w:type="dxa"/>
            <w:vAlign w:val="bottom"/>
          </w:tcPr>
          <w:p w:rsidR="00A03673" w:rsidRPr="007265D5" w:rsidRDefault="00A03673" w:rsidP="009635A9">
            <w:pPr>
              <w:jc w:val="right"/>
              <w:rPr>
                <w:rFonts w:cs="Arial"/>
                <w:sz w:val="20"/>
              </w:rPr>
            </w:pPr>
            <w:r w:rsidRPr="007265D5">
              <w:rPr>
                <w:rFonts w:cs="Arial"/>
                <w:sz w:val="20"/>
              </w:rPr>
              <w:t>2</w:t>
            </w:r>
            <w:r w:rsidR="009635A9">
              <w:rPr>
                <w:rFonts w:cs="Arial"/>
                <w:sz w:val="20"/>
              </w:rPr>
              <w:t>1</w:t>
            </w:r>
          </w:p>
        </w:tc>
        <w:tc>
          <w:tcPr>
            <w:tcW w:w="709" w:type="dxa"/>
            <w:vAlign w:val="bottom"/>
          </w:tcPr>
          <w:p w:rsidR="00A03673" w:rsidRPr="007265D5" w:rsidRDefault="009635A9" w:rsidP="00A31F57">
            <w:pPr>
              <w:jc w:val="right"/>
              <w:rPr>
                <w:rFonts w:cs="Arial"/>
                <w:sz w:val="20"/>
              </w:rPr>
            </w:pPr>
            <w:r>
              <w:rPr>
                <w:rFonts w:cs="Arial"/>
                <w:sz w:val="20"/>
              </w:rPr>
              <w:t>21</w:t>
            </w:r>
            <w:r w:rsidR="00A03673" w:rsidRPr="007265D5">
              <w:rPr>
                <w:rFonts w:cs="Arial"/>
                <w:sz w:val="20"/>
              </w:rPr>
              <w:t>%</w:t>
            </w:r>
          </w:p>
        </w:tc>
      </w:tr>
      <w:tr w:rsidR="00D0569F" w:rsidRPr="007265D5" w:rsidTr="006F322C">
        <w:tc>
          <w:tcPr>
            <w:tcW w:w="817" w:type="dxa"/>
            <w:gridSpan w:val="2"/>
          </w:tcPr>
          <w:p w:rsidR="00A03673" w:rsidRPr="007265D5" w:rsidRDefault="00A03673" w:rsidP="00A31F57">
            <w:pPr>
              <w:rPr>
                <w:rFonts w:cs="Arial"/>
                <w:color w:val="000000"/>
                <w:sz w:val="20"/>
              </w:rPr>
            </w:pPr>
            <w:r w:rsidRPr="007265D5">
              <w:rPr>
                <w:rFonts w:cs="Arial"/>
                <w:color w:val="000000"/>
                <w:sz w:val="20"/>
              </w:rPr>
              <w:t>E</w:t>
            </w:r>
          </w:p>
        </w:tc>
        <w:tc>
          <w:tcPr>
            <w:tcW w:w="851" w:type="dxa"/>
            <w:vAlign w:val="bottom"/>
          </w:tcPr>
          <w:p w:rsidR="00A03673" w:rsidRPr="007265D5" w:rsidRDefault="00A03673" w:rsidP="00A31F57">
            <w:pPr>
              <w:jc w:val="right"/>
              <w:rPr>
                <w:rFonts w:cs="Arial"/>
                <w:color w:val="000000"/>
                <w:sz w:val="20"/>
              </w:rPr>
            </w:pPr>
            <w:r w:rsidRPr="007265D5">
              <w:rPr>
                <w:rFonts w:cs="Arial"/>
                <w:color w:val="000000"/>
                <w:sz w:val="20"/>
              </w:rPr>
              <w:t>106</w:t>
            </w:r>
          </w:p>
        </w:tc>
        <w:tc>
          <w:tcPr>
            <w:tcW w:w="1417" w:type="dxa"/>
            <w:vAlign w:val="bottom"/>
          </w:tcPr>
          <w:p w:rsidR="00A03673" w:rsidRPr="007265D5" w:rsidRDefault="00A03673" w:rsidP="00A31F57">
            <w:pPr>
              <w:jc w:val="right"/>
              <w:rPr>
                <w:rFonts w:cs="Arial"/>
                <w:sz w:val="20"/>
              </w:rPr>
            </w:pPr>
            <w:r w:rsidRPr="007265D5">
              <w:rPr>
                <w:rFonts w:cs="Arial"/>
                <w:sz w:val="20"/>
              </w:rPr>
              <w:t>4</w:t>
            </w:r>
          </w:p>
        </w:tc>
        <w:tc>
          <w:tcPr>
            <w:tcW w:w="709" w:type="dxa"/>
            <w:vAlign w:val="bottom"/>
          </w:tcPr>
          <w:p w:rsidR="00A03673" w:rsidRPr="007265D5" w:rsidRDefault="00A03673" w:rsidP="00A31F57">
            <w:pPr>
              <w:jc w:val="right"/>
              <w:rPr>
                <w:rFonts w:cs="Arial"/>
                <w:sz w:val="20"/>
              </w:rPr>
            </w:pPr>
            <w:r w:rsidRPr="007265D5">
              <w:rPr>
                <w:rFonts w:cs="Arial"/>
                <w:sz w:val="20"/>
              </w:rPr>
              <w:t>4%</w:t>
            </w:r>
          </w:p>
        </w:tc>
        <w:tc>
          <w:tcPr>
            <w:tcW w:w="1417" w:type="dxa"/>
            <w:vAlign w:val="bottom"/>
          </w:tcPr>
          <w:p w:rsidR="00A03673" w:rsidRPr="007265D5" w:rsidRDefault="00A03673" w:rsidP="00A31F57">
            <w:pPr>
              <w:jc w:val="right"/>
              <w:rPr>
                <w:rFonts w:cs="Arial"/>
                <w:sz w:val="20"/>
              </w:rPr>
            </w:pPr>
            <w:r w:rsidRPr="007265D5">
              <w:rPr>
                <w:rFonts w:cs="Arial"/>
                <w:sz w:val="20"/>
              </w:rPr>
              <w:t>25</w:t>
            </w:r>
          </w:p>
        </w:tc>
        <w:tc>
          <w:tcPr>
            <w:tcW w:w="709" w:type="dxa"/>
            <w:vAlign w:val="bottom"/>
          </w:tcPr>
          <w:p w:rsidR="00A03673" w:rsidRPr="007265D5" w:rsidRDefault="00A03673" w:rsidP="00A31F57">
            <w:pPr>
              <w:jc w:val="center"/>
              <w:rPr>
                <w:rFonts w:cs="Arial"/>
                <w:sz w:val="20"/>
              </w:rPr>
            </w:pPr>
            <w:r w:rsidRPr="007265D5">
              <w:rPr>
                <w:rFonts w:cs="Arial"/>
                <w:sz w:val="20"/>
              </w:rPr>
              <w:t>24%</w:t>
            </w:r>
          </w:p>
        </w:tc>
        <w:tc>
          <w:tcPr>
            <w:tcW w:w="1276" w:type="dxa"/>
            <w:vAlign w:val="bottom"/>
          </w:tcPr>
          <w:p w:rsidR="00A03673" w:rsidRPr="007265D5" w:rsidRDefault="00A03673" w:rsidP="00A31F57">
            <w:pPr>
              <w:jc w:val="right"/>
              <w:rPr>
                <w:rFonts w:cs="Arial"/>
                <w:sz w:val="20"/>
              </w:rPr>
            </w:pPr>
            <w:r w:rsidRPr="007265D5">
              <w:rPr>
                <w:rFonts w:cs="Arial"/>
                <w:sz w:val="20"/>
              </w:rPr>
              <w:t>52</w:t>
            </w:r>
          </w:p>
        </w:tc>
        <w:tc>
          <w:tcPr>
            <w:tcW w:w="709" w:type="dxa"/>
            <w:vAlign w:val="bottom"/>
          </w:tcPr>
          <w:p w:rsidR="00A03673" w:rsidRPr="007265D5" w:rsidRDefault="00A03673" w:rsidP="00A31F57">
            <w:pPr>
              <w:jc w:val="center"/>
              <w:rPr>
                <w:rFonts w:cs="Arial"/>
                <w:sz w:val="20"/>
              </w:rPr>
            </w:pPr>
            <w:r w:rsidRPr="007265D5">
              <w:rPr>
                <w:rFonts w:cs="Arial"/>
                <w:sz w:val="20"/>
              </w:rPr>
              <w:t>49%</w:t>
            </w:r>
          </w:p>
        </w:tc>
        <w:tc>
          <w:tcPr>
            <w:tcW w:w="1275" w:type="dxa"/>
            <w:vAlign w:val="bottom"/>
          </w:tcPr>
          <w:p w:rsidR="00A03673" w:rsidRPr="007265D5" w:rsidRDefault="00A03673" w:rsidP="00A31F57">
            <w:pPr>
              <w:jc w:val="right"/>
              <w:rPr>
                <w:rFonts w:cs="Arial"/>
                <w:sz w:val="20"/>
              </w:rPr>
            </w:pPr>
            <w:r w:rsidRPr="007265D5">
              <w:rPr>
                <w:rFonts w:cs="Arial"/>
                <w:sz w:val="20"/>
              </w:rPr>
              <w:t>25</w:t>
            </w:r>
          </w:p>
        </w:tc>
        <w:tc>
          <w:tcPr>
            <w:tcW w:w="709" w:type="dxa"/>
            <w:vAlign w:val="bottom"/>
          </w:tcPr>
          <w:p w:rsidR="00A03673" w:rsidRPr="007265D5" w:rsidRDefault="00A03673" w:rsidP="00A31F57">
            <w:pPr>
              <w:jc w:val="right"/>
              <w:rPr>
                <w:rFonts w:cs="Arial"/>
                <w:sz w:val="20"/>
              </w:rPr>
            </w:pPr>
            <w:r w:rsidRPr="007265D5">
              <w:rPr>
                <w:rFonts w:cs="Arial"/>
                <w:sz w:val="20"/>
              </w:rPr>
              <w:t>24%</w:t>
            </w:r>
          </w:p>
        </w:tc>
      </w:tr>
      <w:tr w:rsidR="00D0569F" w:rsidRPr="007265D5" w:rsidTr="006F322C">
        <w:tc>
          <w:tcPr>
            <w:tcW w:w="817" w:type="dxa"/>
            <w:gridSpan w:val="2"/>
          </w:tcPr>
          <w:p w:rsidR="00A03673" w:rsidRPr="007265D5" w:rsidRDefault="00A03673" w:rsidP="00A31F57">
            <w:pPr>
              <w:rPr>
                <w:rFonts w:cs="Arial"/>
                <w:sz w:val="20"/>
              </w:rPr>
            </w:pPr>
            <w:r w:rsidRPr="007265D5">
              <w:rPr>
                <w:rFonts w:cs="Arial"/>
                <w:sz w:val="20"/>
              </w:rPr>
              <w:t>F</w:t>
            </w:r>
          </w:p>
        </w:tc>
        <w:tc>
          <w:tcPr>
            <w:tcW w:w="851" w:type="dxa"/>
            <w:vAlign w:val="bottom"/>
          </w:tcPr>
          <w:p w:rsidR="00A03673" w:rsidRPr="007265D5" w:rsidRDefault="00A03673" w:rsidP="00A31F57">
            <w:pPr>
              <w:jc w:val="right"/>
              <w:rPr>
                <w:rFonts w:cs="Arial"/>
                <w:sz w:val="20"/>
              </w:rPr>
            </w:pPr>
            <w:r w:rsidRPr="007265D5">
              <w:rPr>
                <w:rFonts w:cs="Arial"/>
                <w:sz w:val="20"/>
              </w:rPr>
              <w:t>433</w:t>
            </w:r>
          </w:p>
        </w:tc>
        <w:tc>
          <w:tcPr>
            <w:tcW w:w="1417" w:type="dxa"/>
            <w:vAlign w:val="bottom"/>
          </w:tcPr>
          <w:p w:rsidR="00A03673" w:rsidRPr="007265D5" w:rsidRDefault="00A03673" w:rsidP="00A31F57">
            <w:pPr>
              <w:jc w:val="right"/>
              <w:rPr>
                <w:rFonts w:cs="Arial"/>
                <w:sz w:val="20"/>
              </w:rPr>
            </w:pPr>
            <w:r w:rsidRPr="007265D5">
              <w:rPr>
                <w:rFonts w:cs="Arial"/>
                <w:sz w:val="20"/>
              </w:rPr>
              <w:t>35</w:t>
            </w:r>
          </w:p>
        </w:tc>
        <w:tc>
          <w:tcPr>
            <w:tcW w:w="709" w:type="dxa"/>
            <w:vAlign w:val="bottom"/>
          </w:tcPr>
          <w:p w:rsidR="00A03673" w:rsidRPr="007265D5" w:rsidRDefault="00A03673" w:rsidP="00A31F57">
            <w:pPr>
              <w:jc w:val="right"/>
              <w:rPr>
                <w:rFonts w:cs="Arial"/>
                <w:sz w:val="20"/>
              </w:rPr>
            </w:pPr>
            <w:r w:rsidRPr="007265D5">
              <w:rPr>
                <w:rFonts w:cs="Arial"/>
                <w:sz w:val="20"/>
              </w:rPr>
              <w:t>8%</w:t>
            </w:r>
          </w:p>
        </w:tc>
        <w:tc>
          <w:tcPr>
            <w:tcW w:w="1417" w:type="dxa"/>
            <w:vAlign w:val="bottom"/>
          </w:tcPr>
          <w:p w:rsidR="00A03673" w:rsidRPr="007265D5" w:rsidRDefault="00A03673" w:rsidP="00A31F57">
            <w:pPr>
              <w:jc w:val="right"/>
              <w:rPr>
                <w:rFonts w:cs="Arial"/>
                <w:sz w:val="20"/>
              </w:rPr>
            </w:pPr>
            <w:r w:rsidRPr="007265D5">
              <w:rPr>
                <w:rFonts w:cs="Arial"/>
                <w:sz w:val="20"/>
              </w:rPr>
              <w:t>169</w:t>
            </w:r>
          </w:p>
        </w:tc>
        <w:tc>
          <w:tcPr>
            <w:tcW w:w="709" w:type="dxa"/>
            <w:vAlign w:val="bottom"/>
          </w:tcPr>
          <w:p w:rsidR="00A03673" w:rsidRPr="007265D5" w:rsidRDefault="00A03673" w:rsidP="00A31F57">
            <w:pPr>
              <w:jc w:val="center"/>
              <w:rPr>
                <w:rFonts w:cs="Arial"/>
                <w:sz w:val="20"/>
              </w:rPr>
            </w:pPr>
            <w:r w:rsidRPr="007265D5">
              <w:rPr>
                <w:rFonts w:cs="Arial"/>
                <w:sz w:val="20"/>
              </w:rPr>
              <w:t>39%</w:t>
            </w:r>
          </w:p>
        </w:tc>
        <w:tc>
          <w:tcPr>
            <w:tcW w:w="1276" w:type="dxa"/>
            <w:vAlign w:val="bottom"/>
          </w:tcPr>
          <w:p w:rsidR="00A03673" w:rsidRPr="007265D5" w:rsidRDefault="00A03673" w:rsidP="00A31F57">
            <w:pPr>
              <w:jc w:val="right"/>
              <w:rPr>
                <w:rFonts w:cs="Arial"/>
                <w:sz w:val="20"/>
              </w:rPr>
            </w:pPr>
            <w:r w:rsidRPr="007265D5">
              <w:rPr>
                <w:rFonts w:cs="Arial"/>
                <w:sz w:val="20"/>
              </w:rPr>
              <w:t>128</w:t>
            </w:r>
          </w:p>
        </w:tc>
        <w:tc>
          <w:tcPr>
            <w:tcW w:w="709" w:type="dxa"/>
            <w:vAlign w:val="bottom"/>
          </w:tcPr>
          <w:p w:rsidR="00A03673" w:rsidRPr="007265D5" w:rsidRDefault="00A03673" w:rsidP="00A31F57">
            <w:pPr>
              <w:jc w:val="center"/>
              <w:rPr>
                <w:rFonts w:cs="Arial"/>
                <w:sz w:val="20"/>
              </w:rPr>
            </w:pPr>
            <w:r w:rsidRPr="007265D5">
              <w:rPr>
                <w:rFonts w:cs="Arial"/>
                <w:sz w:val="20"/>
              </w:rPr>
              <w:t>30%</w:t>
            </w:r>
          </w:p>
        </w:tc>
        <w:tc>
          <w:tcPr>
            <w:tcW w:w="1275" w:type="dxa"/>
            <w:vAlign w:val="bottom"/>
          </w:tcPr>
          <w:p w:rsidR="00A03673" w:rsidRPr="007265D5" w:rsidRDefault="00A03673" w:rsidP="00A31F57">
            <w:pPr>
              <w:jc w:val="right"/>
              <w:rPr>
                <w:rFonts w:cs="Arial"/>
                <w:sz w:val="20"/>
              </w:rPr>
            </w:pPr>
            <w:r w:rsidRPr="007265D5">
              <w:rPr>
                <w:rFonts w:cs="Arial"/>
                <w:sz w:val="20"/>
              </w:rPr>
              <w:t>101</w:t>
            </w:r>
          </w:p>
        </w:tc>
        <w:tc>
          <w:tcPr>
            <w:tcW w:w="709" w:type="dxa"/>
            <w:vAlign w:val="bottom"/>
          </w:tcPr>
          <w:p w:rsidR="00A03673" w:rsidRPr="007265D5" w:rsidRDefault="00A03673" w:rsidP="00A31F57">
            <w:pPr>
              <w:jc w:val="right"/>
              <w:rPr>
                <w:rFonts w:cs="Arial"/>
                <w:sz w:val="20"/>
              </w:rPr>
            </w:pPr>
            <w:r w:rsidRPr="007265D5">
              <w:rPr>
                <w:rFonts w:cs="Arial"/>
                <w:sz w:val="20"/>
              </w:rPr>
              <w:t>23%</w:t>
            </w:r>
          </w:p>
        </w:tc>
      </w:tr>
      <w:tr w:rsidR="00D0569F" w:rsidRPr="007265D5" w:rsidTr="006F322C">
        <w:tc>
          <w:tcPr>
            <w:tcW w:w="817" w:type="dxa"/>
            <w:gridSpan w:val="2"/>
          </w:tcPr>
          <w:p w:rsidR="00A03673" w:rsidRPr="007265D5" w:rsidRDefault="00A03673" w:rsidP="00A31F57">
            <w:pPr>
              <w:rPr>
                <w:rFonts w:cs="Arial"/>
                <w:sz w:val="20"/>
              </w:rPr>
            </w:pPr>
            <w:r w:rsidRPr="007265D5">
              <w:rPr>
                <w:rFonts w:cs="Arial"/>
                <w:sz w:val="20"/>
              </w:rPr>
              <w:t>G</w:t>
            </w:r>
          </w:p>
        </w:tc>
        <w:tc>
          <w:tcPr>
            <w:tcW w:w="851" w:type="dxa"/>
            <w:vAlign w:val="bottom"/>
          </w:tcPr>
          <w:p w:rsidR="00A03673" w:rsidRPr="007265D5" w:rsidRDefault="00A03673" w:rsidP="00A31F57">
            <w:pPr>
              <w:jc w:val="right"/>
              <w:rPr>
                <w:rFonts w:cs="Arial"/>
                <w:sz w:val="20"/>
              </w:rPr>
            </w:pPr>
            <w:r w:rsidRPr="007265D5">
              <w:rPr>
                <w:rFonts w:cs="Arial"/>
                <w:sz w:val="20"/>
              </w:rPr>
              <w:t>230</w:t>
            </w:r>
          </w:p>
        </w:tc>
        <w:tc>
          <w:tcPr>
            <w:tcW w:w="1417" w:type="dxa"/>
            <w:vAlign w:val="bottom"/>
          </w:tcPr>
          <w:p w:rsidR="00A03673" w:rsidRPr="007265D5" w:rsidRDefault="00A03673" w:rsidP="00A31F57">
            <w:pPr>
              <w:jc w:val="right"/>
              <w:rPr>
                <w:rFonts w:cs="Arial"/>
                <w:sz w:val="20"/>
              </w:rPr>
            </w:pPr>
            <w:r w:rsidRPr="007265D5">
              <w:rPr>
                <w:rFonts w:cs="Arial"/>
                <w:sz w:val="20"/>
              </w:rPr>
              <w:t>8</w:t>
            </w:r>
          </w:p>
        </w:tc>
        <w:tc>
          <w:tcPr>
            <w:tcW w:w="709" w:type="dxa"/>
            <w:vAlign w:val="bottom"/>
          </w:tcPr>
          <w:p w:rsidR="00A03673" w:rsidRPr="007265D5" w:rsidRDefault="00A03673" w:rsidP="00A31F57">
            <w:pPr>
              <w:jc w:val="right"/>
              <w:rPr>
                <w:rFonts w:cs="Arial"/>
                <w:sz w:val="20"/>
              </w:rPr>
            </w:pPr>
            <w:r w:rsidRPr="007265D5">
              <w:rPr>
                <w:rFonts w:cs="Arial"/>
                <w:sz w:val="20"/>
              </w:rPr>
              <w:t>3%</w:t>
            </w:r>
          </w:p>
        </w:tc>
        <w:tc>
          <w:tcPr>
            <w:tcW w:w="1417" w:type="dxa"/>
            <w:vAlign w:val="bottom"/>
          </w:tcPr>
          <w:p w:rsidR="00A03673" w:rsidRPr="007265D5" w:rsidRDefault="00A03673" w:rsidP="009635A9">
            <w:pPr>
              <w:jc w:val="right"/>
              <w:rPr>
                <w:rFonts w:cs="Arial"/>
                <w:sz w:val="20"/>
              </w:rPr>
            </w:pPr>
            <w:r w:rsidRPr="009635A9">
              <w:rPr>
                <w:rFonts w:cs="Arial"/>
                <w:sz w:val="20"/>
              </w:rPr>
              <w:t>8</w:t>
            </w:r>
            <w:r w:rsidR="009635A9">
              <w:rPr>
                <w:rFonts w:cs="Arial"/>
                <w:sz w:val="20"/>
              </w:rPr>
              <w:t>2</w:t>
            </w:r>
          </w:p>
        </w:tc>
        <w:tc>
          <w:tcPr>
            <w:tcW w:w="709" w:type="dxa"/>
            <w:vAlign w:val="bottom"/>
          </w:tcPr>
          <w:p w:rsidR="00A03673" w:rsidRPr="007265D5" w:rsidRDefault="00A03673" w:rsidP="00A31F57">
            <w:pPr>
              <w:jc w:val="center"/>
              <w:rPr>
                <w:rFonts w:cs="Arial"/>
                <w:sz w:val="20"/>
              </w:rPr>
            </w:pPr>
            <w:r w:rsidRPr="007265D5">
              <w:rPr>
                <w:rFonts w:cs="Arial"/>
                <w:sz w:val="20"/>
              </w:rPr>
              <w:t>36%</w:t>
            </w:r>
          </w:p>
        </w:tc>
        <w:tc>
          <w:tcPr>
            <w:tcW w:w="1276" w:type="dxa"/>
            <w:vAlign w:val="bottom"/>
          </w:tcPr>
          <w:p w:rsidR="00A03673" w:rsidRPr="007265D5" w:rsidRDefault="00A03673" w:rsidP="00A31F57">
            <w:pPr>
              <w:jc w:val="right"/>
              <w:rPr>
                <w:rFonts w:cs="Arial"/>
                <w:sz w:val="20"/>
              </w:rPr>
            </w:pPr>
            <w:r w:rsidRPr="007265D5">
              <w:rPr>
                <w:rFonts w:cs="Arial"/>
                <w:sz w:val="20"/>
              </w:rPr>
              <w:t>77</w:t>
            </w:r>
          </w:p>
        </w:tc>
        <w:tc>
          <w:tcPr>
            <w:tcW w:w="709" w:type="dxa"/>
            <w:vAlign w:val="bottom"/>
          </w:tcPr>
          <w:p w:rsidR="00A03673" w:rsidRPr="007265D5" w:rsidRDefault="00A03673" w:rsidP="00A31F57">
            <w:pPr>
              <w:jc w:val="center"/>
              <w:rPr>
                <w:rFonts w:cs="Arial"/>
                <w:sz w:val="20"/>
              </w:rPr>
            </w:pPr>
            <w:r w:rsidRPr="007265D5">
              <w:rPr>
                <w:rFonts w:cs="Arial"/>
                <w:sz w:val="20"/>
              </w:rPr>
              <w:t>33%</w:t>
            </w:r>
          </w:p>
        </w:tc>
        <w:tc>
          <w:tcPr>
            <w:tcW w:w="1275" w:type="dxa"/>
            <w:vAlign w:val="bottom"/>
          </w:tcPr>
          <w:p w:rsidR="00A03673" w:rsidRPr="007265D5" w:rsidRDefault="00A03673" w:rsidP="009635A9">
            <w:pPr>
              <w:jc w:val="right"/>
              <w:rPr>
                <w:rFonts w:cs="Arial"/>
                <w:sz w:val="20"/>
              </w:rPr>
            </w:pPr>
            <w:r w:rsidRPr="007265D5">
              <w:rPr>
                <w:rFonts w:cs="Arial"/>
                <w:sz w:val="20"/>
              </w:rPr>
              <w:t>6</w:t>
            </w:r>
            <w:r w:rsidR="009635A9">
              <w:rPr>
                <w:rFonts w:cs="Arial"/>
                <w:sz w:val="20"/>
              </w:rPr>
              <w:t>3</w:t>
            </w:r>
          </w:p>
        </w:tc>
        <w:tc>
          <w:tcPr>
            <w:tcW w:w="709" w:type="dxa"/>
            <w:vAlign w:val="bottom"/>
          </w:tcPr>
          <w:p w:rsidR="00A03673" w:rsidRPr="007265D5" w:rsidRDefault="00A03673" w:rsidP="00A31F57">
            <w:pPr>
              <w:jc w:val="right"/>
              <w:rPr>
                <w:rFonts w:cs="Arial"/>
                <w:sz w:val="20"/>
              </w:rPr>
            </w:pPr>
            <w:r w:rsidRPr="007265D5">
              <w:rPr>
                <w:rFonts w:cs="Arial"/>
                <w:sz w:val="20"/>
              </w:rPr>
              <w:t>27%</w:t>
            </w:r>
          </w:p>
        </w:tc>
      </w:tr>
      <w:tr w:rsidR="00D0569F" w:rsidRPr="007265D5" w:rsidTr="006F322C">
        <w:tc>
          <w:tcPr>
            <w:tcW w:w="817" w:type="dxa"/>
            <w:gridSpan w:val="2"/>
          </w:tcPr>
          <w:p w:rsidR="00A03673" w:rsidRPr="007265D5" w:rsidRDefault="00A03673" w:rsidP="00A31F57">
            <w:pPr>
              <w:rPr>
                <w:rFonts w:cs="Arial"/>
                <w:sz w:val="20"/>
              </w:rPr>
            </w:pPr>
            <w:r w:rsidRPr="007265D5">
              <w:rPr>
                <w:rFonts w:cs="Arial"/>
                <w:sz w:val="20"/>
              </w:rPr>
              <w:t>H</w:t>
            </w:r>
          </w:p>
        </w:tc>
        <w:tc>
          <w:tcPr>
            <w:tcW w:w="851" w:type="dxa"/>
            <w:vAlign w:val="bottom"/>
          </w:tcPr>
          <w:p w:rsidR="00A03673" w:rsidRPr="007265D5" w:rsidRDefault="00A03673" w:rsidP="00A31F57">
            <w:pPr>
              <w:jc w:val="right"/>
              <w:rPr>
                <w:rFonts w:cs="Arial"/>
                <w:sz w:val="20"/>
              </w:rPr>
            </w:pPr>
            <w:r w:rsidRPr="007265D5">
              <w:rPr>
                <w:rFonts w:cs="Arial"/>
                <w:sz w:val="20"/>
              </w:rPr>
              <w:t>43</w:t>
            </w:r>
          </w:p>
        </w:tc>
        <w:tc>
          <w:tcPr>
            <w:tcW w:w="1417" w:type="dxa"/>
            <w:vAlign w:val="bottom"/>
          </w:tcPr>
          <w:p w:rsidR="00A03673" w:rsidRPr="007265D5" w:rsidRDefault="00A03673" w:rsidP="00A31F57">
            <w:pPr>
              <w:jc w:val="right"/>
              <w:rPr>
                <w:rFonts w:cs="Arial"/>
                <w:sz w:val="20"/>
              </w:rPr>
            </w:pPr>
            <w:r w:rsidRPr="007265D5">
              <w:rPr>
                <w:rFonts w:cs="Arial"/>
                <w:sz w:val="20"/>
              </w:rPr>
              <w:t>20</w:t>
            </w:r>
          </w:p>
        </w:tc>
        <w:tc>
          <w:tcPr>
            <w:tcW w:w="709" w:type="dxa"/>
            <w:vAlign w:val="bottom"/>
          </w:tcPr>
          <w:p w:rsidR="00A03673" w:rsidRPr="007265D5" w:rsidRDefault="00A03673" w:rsidP="00A31F57">
            <w:pPr>
              <w:jc w:val="right"/>
              <w:rPr>
                <w:rFonts w:cs="Arial"/>
                <w:sz w:val="20"/>
              </w:rPr>
            </w:pPr>
            <w:r w:rsidRPr="007265D5">
              <w:rPr>
                <w:rFonts w:cs="Arial"/>
                <w:sz w:val="20"/>
              </w:rPr>
              <w:t>47%</w:t>
            </w:r>
          </w:p>
        </w:tc>
        <w:tc>
          <w:tcPr>
            <w:tcW w:w="1417" w:type="dxa"/>
            <w:vAlign w:val="bottom"/>
          </w:tcPr>
          <w:p w:rsidR="00A03673" w:rsidRPr="007265D5" w:rsidRDefault="00A03673" w:rsidP="00A31F57">
            <w:pPr>
              <w:jc w:val="right"/>
              <w:rPr>
                <w:rFonts w:cs="Arial"/>
                <w:sz w:val="20"/>
              </w:rPr>
            </w:pPr>
            <w:r w:rsidRPr="007265D5">
              <w:rPr>
                <w:rFonts w:cs="Arial"/>
                <w:sz w:val="20"/>
              </w:rPr>
              <w:t>8</w:t>
            </w:r>
          </w:p>
        </w:tc>
        <w:tc>
          <w:tcPr>
            <w:tcW w:w="709" w:type="dxa"/>
            <w:vAlign w:val="bottom"/>
          </w:tcPr>
          <w:p w:rsidR="00A03673" w:rsidRPr="007265D5" w:rsidRDefault="00A03673" w:rsidP="00A31F57">
            <w:pPr>
              <w:jc w:val="center"/>
              <w:rPr>
                <w:rFonts w:cs="Arial"/>
                <w:sz w:val="20"/>
              </w:rPr>
            </w:pPr>
            <w:r w:rsidRPr="007265D5">
              <w:rPr>
                <w:rFonts w:cs="Arial"/>
                <w:sz w:val="20"/>
              </w:rPr>
              <w:t>19%</w:t>
            </w:r>
          </w:p>
        </w:tc>
        <w:tc>
          <w:tcPr>
            <w:tcW w:w="1276" w:type="dxa"/>
            <w:vAlign w:val="bottom"/>
          </w:tcPr>
          <w:p w:rsidR="00A03673" w:rsidRPr="007265D5" w:rsidRDefault="00A03673" w:rsidP="00A31F57">
            <w:pPr>
              <w:jc w:val="right"/>
              <w:rPr>
                <w:rFonts w:cs="Arial"/>
                <w:sz w:val="20"/>
              </w:rPr>
            </w:pPr>
            <w:r w:rsidRPr="007265D5">
              <w:rPr>
                <w:rFonts w:cs="Arial"/>
                <w:sz w:val="20"/>
              </w:rPr>
              <w:t>11</w:t>
            </w:r>
          </w:p>
        </w:tc>
        <w:tc>
          <w:tcPr>
            <w:tcW w:w="709" w:type="dxa"/>
            <w:vAlign w:val="bottom"/>
          </w:tcPr>
          <w:p w:rsidR="00A03673" w:rsidRPr="007265D5" w:rsidRDefault="00A03673" w:rsidP="00A31F57">
            <w:pPr>
              <w:jc w:val="center"/>
              <w:rPr>
                <w:rFonts w:cs="Arial"/>
                <w:sz w:val="20"/>
              </w:rPr>
            </w:pPr>
            <w:r w:rsidRPr="007265D5">
              <w:rPr>
                <w:rFonts w:cs="Arial"/>
                <w:sz w:val="20"/>
              </w:rPr>
              <w:t>26%</w:t>
            </w:r>
          </w:p>
        </w:tc>
        <w:tc>
          <w:tcPr>
            <w:tcW w:w="1275" w:type="dxa"/>
            <w:vAlign w:val="bottom"/>
          </w:tcPr>
          <w:p w:rsidR="00A03673" w:rsidRPr="007265D5" w:rsidRDefault="00A03673" w:rsidP="00A31F57">
            <w:pPr>
              <w:jc w:val="right"/>
              <w:rPr>
                <w:rFonts w:cs="Arial"/>
                <w:sz w:val="20"/>
              </w:rPr>
            </w:pPr>
            <w:r w:rsidRPr="007265D5">
              <w:rPr>
                <w:rFonts w:cs="Arial"/>
                <w:sz w:val="20"/>
              </w:rPr>
              <w:t>4</w:t>
            </w:r>
          </w:p>
        </w:tc>
        <w:tc>
          <w:tcPr>
            <w:tcW w:w="709" w:type="dxa"/>
            <w:vAlign w:val="bottom"/>
          </w:tcPr>
          <w:p w:rsidR="00A03673" w:rsidRPr="007265D5" w:rsidRDefault="00A03673" w:rsidP="00A31F57">
            <w:pPr>
              <w:jc w:val="right"/>
              <w:rPr>
                <w:rFonts w:cs="Arial"/>
                <w:sz w:val="20"/>
              </w:rPr>
            </w:pPr>
            <w:r w:rsidRPr="007265D5">
              <w:rPr>
                <w:rFonts w:cs="Arial"/>
                <w:sz w:val="20"/>
              </w:rPr>
              <w:t>9%</w:t>
            </w:r>
          </w:p>
        </w:tc>
      </w:tr>
      <w:tr w:rsidR="00D0569F" w:rsidRPr="007265D5" w:rsidTr="006F322C">
        <w:tc>
          <w:tcPr>
            <w:tcW w:w="817" w:type="dxa"/>
            <w:gridSpan w:val="2"/>
          </w:tcPr>
          <w:p w:rsidR="00A03673" w:rsidRPr="007265D5" w:rsidRDefault="00A03673" w:rsidP="00A31F57">
            <w:pPr>
              <w:rPr>
                <w:rFonts w:cs="Arial"/>
                <w:sz w:val="20"/>
              </w:rPr>
            </w:pPr>
            <w:r w:rsidRPr="007265D5">
              <w:rPr>
                <w:rFonts w:cs="Arial"/>
                <w:sz w:val="20"/>
              </w:rPr>
              <w:t>I</w:t>
            </w:r>
          </w:p>
        </w:tc>
        <w:tc>
          <w:tcPr>
            <w:tcW w:w="851" w:type="dxa"/>
            <w:vAlign w:val="bottom"/>
          </w:tcPr>
          <w:p w:rsidR="00A03673" w:rsidRPr="007265D5" w:rsidRDefault="00A03673" w:rsidP="00A31F57">
            <w:pPr>
              <w:jc w:val="right"/>
              <w:rPr>
                <w:rFonts w:cs="Arial"/>
                <w:sz w:val="20"/>
              </w:rPr>
            </w:pPr>
            <w:r w:rsidRPr="007265D5">
              <w:rPr>
                <w:rFonts w:cs="Arial"/>
                <w:sz w:val="20"/>
              </w:rPr>
              <w:t>90</w:t>
            </w:r>
          </w:p>
        </w:tc>
        <w:tc>
          <w:tcPr>
            <w:tcW w:w="1417" w:type="dxa"/>
            <w:vAlign w:val="bottom"/>
          </w:tcPr>
          <w:p w:rsidR="00A03673" w:rsidRPr="007265D5" w:rsidRDefault="00A03673" w:rsidP="00A31F57">
            <w:pPr>
              <w:jc w:val="right"/>
              <w:rPr>
                <w:rFonts w:cs="Arial"/>
                <w:sz w:val="20"/>
              </w:rPr>
            </w:pPr>
            <w:r w:rsidRPr="007265D5">
              <w:rPr>
                <w:rFonts w:cs="Arial"/>
                <w:sz w:val="20"/>
              </w:rPr>
              <w:t>18</w:t>
            </w:r>
          </w:p>
        </w:tc>
        <w:tc>
          <w:tcPr>
            <w:tcW w:w="709" w:type="dxa"/>
            <w:vAlign w:val="bottom"/>
          </w:tcPr>
          <w:p w:rsidR="00A03673" w:rsidRPr="007265D5" w:rsidRDefault="00A03673" w:rsidP="00A31F57">
            <w:pPr>
              <w:jc w:val="right"/>
              <w:rPr>
                <w:rFonts w:cs="Arial"/>
                <w:sz w:val="20"/>
              </w:rPr>
            </w:pPr>
            <w:r w:rsidRPr="007265D5">
              <w:rPr>
                <w:rFonts w:cs="Arial"/>
                <w:sz w:val="20"/>
              </w:rPr>
              <w:t>20%</w:t>
            </w:r>
          </w:p>
        </w:tc>
        <w:tc>
          <w:tcPr>
            <w:tcW w:w="1417" w:type="dxa"/>
            <w:vAlign w:val="bottom"/>
          </w:tcPr>
          <w:p w:rsidR="00A03673" w:rsidRPr="007265D5" w:rsidRDefault="00A03673" w:rsidP="00A31F57">
            <w:pPr>
              <w:jc w:val="right"/>
              <w:rPr>
                <w:rFonts w:cs="Arial"/>
                <w:sz w:val="20"/>
              </w:rPr>
            </w:pPr>
            <w:r w:rsidRPr="007265D5">
              <w:rPr>
                <w:rFonts w:cs="Arial"/>
                <w:sz w:val="20"/>
              </w:rPr>
              <w:t>26</w:t>
            </w:r>
          </w:p>
        </w:tc>
        <w:tc>
          <w:tcPr>
            <w:tcW w:w="709" w:type="dxa"/>
            <w:vAlign w:val="bottom"/>
          </w:tcPr>
          <w:p w:rsidR="00A03673" w:rsidRPr="007265D5" w:rsidRDefault="00A03673" w:rsidP="00A31F57">
            <w:pPr>
              <w:jc w:val="center"/>
              <w:rPr>
                <w:rFonts w:cs="Arial"/>
                <w:sz w:val="20"/>
              </w:rPr>
            </w:pPr>
            <w:r w:rsidRPr="007265D5">
              <w:rPr>
                <w:rFonts w:cs="Arial"/>
                <w:sz w:val="20"/>
              </w:rPr>
              <w:t>29%</w:t>
            </w:r>
          </w:p>
        </w:tc>
        <w:tc>
          <w:tcPr>
            <w:tcW w:w="1276" w:type="dxa"/>
            <w:vAlign w:val="bottom"/>
          </w:tcPr>
          <w:p w:rsidR="00A03673" w:rsidRPr="007265D5" w:rsidRDefault="00A03673" w:rsidP="00A31F57">
            <w:pPr>
              <w:jc w:val="right"/>
              <w:rPr>
                <w:rFonts w:cs="Arial"/>
                <w:sz w:val="20"/>
              </w:rPr>
            </w:pPr>
            <w:r w:rsidRPr="007265D5">
              <w:rPr>
                <w:rFonts w:cs="Arial"/>
                <w:sz w:val="20"/>
              </w:rPr>
              <w:t>35</w:t>
            </w:r>
          </w:p>
        </w:tc>
        <w:tc>
          <w:tcPr>
            <w:tcW w:w="709" w:type="dxa"/>
            <w:vAlign w:val="bottom"/>
          </w:tcPr>
          <w:p w:rsidR="00A03673" w:rsidRPr="007265D5" w:rsidRDefault="00A03673" w:rsidP="00A31F57">
            <w:pPr>
              <w:jc w:val="center"/>
              <w:rPr>
                <w:rFonts w:cs="Arial"/>
                <w:sz w:val="20"/>
              </w:rPr>
            </w:pPr>
            <w:r w:rsidRPr="007265D5">
              <w:rPr>
                <w:rFonts w:cs="Arial"/>
                <w:sz w:val="20"/>
              </w:rPr>
              <w:t>39%</w:t>
            </w:r>
          </w:p>
        </w:tc>
        <w:tc>
          <w:tcPr>
            <w:tcW w:w="1275" w:type="dxa"/>
            <w:vAlign w:val="bottom"/>
          </w:tcPr>
          <w:p w:rsidR="00A03673" w:rsidRPr="007265D5" w:rsidRDefault="00A03673" w:rsidP="00A31F57">
            <w:pPr>
              <w:jc w:val="right"/>
              <w:rPr>
                <w:rFonts w:cs="Arial"/>
                <w:sz w:val="20"/>
              </w:rPr>
            </w:pPr>
            <w:r w:rsidRPr="007265D5">
              <w:rPr>
                <w:rFonts w:cs="Arial"/>
                <w:sz w:val="20"/>
              </w:rPr>
              <w:t>11</w:t>
            </w:r>
          </w:p>
        </w:tc>
        <w:tc>
          <w:tcPr>
            <w:tcW w:w="709" w:type="dxa"/>
            <w:vAlign w:val="bottom"/>
          </w:tcPr>
          <w:p w:rsidR="00A03673" w:rsidRPr="007265D5" w:rsidRDefault="00A03673" w:rsidP="00A31F57">
            <w:pPr>
              <w:jc w:val="right"/>
              <w:rPr>
                <w:rFonts w:cs="Arial"/>
                <w:sz w:val="20"/>
              </w:rPr>
            </w:pPr>
            <w:r w:rsidRPr="007265D5">
              <w:rPr>
                <w:rFonts w:cs="Arial"/>
                <w:sz w:val="20"/>
              </w:rPr>
              <w:t>12%</w:t>
            </w:r>
          </w:p>
        </w:tc>
      </w:tr>
      <w:tr w:rsidR="00D0569F" w:rsidRPr="007265D5" w:rsidTr="006F322C">
        <w:tc>
          <w:tcPr>
            <w:tcW w:w="817" w:type="dxa"/>
            <w:gridSpan w:val="2"/>
            <w:tcBorders>
              <w:bottom w:val="single" w:sz="4" w:space="0" w:color="auto"/>
            </w:tcBorders>
          </w:tcPr>
          <w:p w:rsidR="00A03673" w:rsidRPr="007265D5" w:rsidRDefault="00A03673" w:rsidP="00A31F57">
            <w:pPr>
              <w:rPr>
                <w:rFonts w:cs="Arial"/>
                <w:sz w:val="20"/>
              </w:rPr>
            </w:pPr>
            <w:r w:rsidRPr="007265D5">
              <w:rPr>
                <w:rFonts w:cs="Arial"/>
                <w:sz w:val="20"/>
              </w:rPr>
              <w:t>J</w:t>
            </w:r>
          </w:p>
        </w:tc>
        <w:tc>
          <w:tcPr>
            <w:tcW w:w="851" w:type="dxa"/>
            <w:tcBorders>
              <w:bottom w:val="single" w:sz="4" w:space="0" w:color="auto"/>
            </w:tcBorders>
            <w:vAlign w:val="bottom"/>
          </w:tcPr>
          <w:p w:rsidR="00A03673" w:rsidRPr="007265D5" w:rsidRDefault="00A03673" w:rsidP="00A31F57">
            <w:pPr>
              <w:jc w:val="right"/>
              <w:rPr>
                <w:rFonts w:cs="Arial"/>
                <w:sz w:val="20"/>
              </w:rPr>
            </w:pPr>
            <w:r w:rsidRPr="007265D5">
              <w:rPr>
                <w:rFonts w:cs="Arial"/>
                <w:sz w:val="20"/>
              </w:rPr>
              <w:t>68</w:t>
            </w:r>
          </w:p>
        </w:tc>
        <w:tc>
          <w:tcPr>
            <w:tcW w:w="1417" w:type="dxa"/>
            <w:tcBorders>
              <w:bottom w:val="single" w:sz="4" w:space="0" w:color="auto"/>
            </w:tcBorders>
            <w:vAlign w:val="bottom"/>
          </w:tcPr>
          <w:p w:rsidR="00A03673" w:rsidRPr="007265D5" w:rsidRDefault="00A03673" w:rsidP="00A31F57">
            <w:pPr>
              <w:jc w:val="right"/>
              <w:rPr>
                <w:rFonts w:cs="Arial"/>
                <w:sz w:val="20"/>
              </w:rPr>
            </w:pPr>
            <w:r w:rsidRPr="007265D5">
              <w:rPr>
                <w:rFonts w:cs="Arial"/>
                <w:sz w:val="20"/>
              </w:rPr>
              <w:t>2</w:t>
            </w:r>
          </w:p>
        </w:tc>
        <w:tc>
          <w:tcPr>
            <w:tcW w:w="709" w:type="dxa"/>
            <w:tcBorders>
              <w:bottom w:val="single" w:sz="4" w:space="0" w:color="auto"/>
            </w:tcBorders>
            <w:vAlign w:val="bottom"/>
          </w:tcPr>
          <w:p w:rsidR="00A03673" w:rsidRPr="007265D5" w:rsidRDefault="00A03673" w:rsidP="00A31F57">
            <w:pPr>
              <w:jc w:val="right"/>
              <w:rPr>
                <w:rFonts w:cs="Arial"/>
                <w:sz w:val="20"/>
              </w:rPr>
            </w:pPr>
            <w:r w:rsidRPr="007265D5">
              <w:rPr>
                <w:rFonts w:cs="Arial"/>
                <w:sz w:val="20"/>
              </w:rPr>
              <w:t>3%</w:t>
            </w:r>
          </w:p>
        </w:tc>
        <w:tc>
          <w:tcPr>
            <w:tcW w:w="1417" w:type="dxa"/>
            <w:tcBorders>
              <w:bottom w:val="single" w:sz="4" w:space="0" w:color="auto"/>
            </w:tcBorders>
            <w:vAlign w:val="bottom"/>
          </w:tcPr>
          <w:p w:rsidR="00A03673" w:rsidRPr="007265D5" w:rsidRDefault="009635A9" w:rsidP="00A31F57">
            <w:pPr>
              <w:jc w:val="right"/>
              <w:rPr>
                <w:rFonts w:cs="Arial"/>
                <w:sz w:val="20"/>
              </w:rPr>
            </w:pPr>
            <w:r>
              <w:rPr>
                <w:rFonts w:cs="Arial"/>
                <w:sz w:val="20"/>
              </w:rPr>
              <w:t>15</w:t>
            </w:r>
          </w:p>
        </w:tc>
        <w:tc>
          <w:tcPr>
            <w:tcW w:w="709" w:type="dxa"/>
            <w:tcBorders>
              <w:bottom w:val="single" w:sz="4" w:space="0" w:color="auto"/>
            </w:tcBorders>
            <w:vAlign w:val="bottom"/>
          </w:tcPr>
          <w:p w:rsidR="00A03673" w:rsidRPr="007265D5" w:rsidRDefault="00A03673" w:rsidP="009635A9">
            <w:pPr>
              <w:jc w:val="center"/>
              <w:rPr>
                <w:rFonts w:cs="Arial"/>
                <w:sz w:val="20"/>
              </w:rPr>
            </w:pPr>
            <w:r w:rsidRPr="007265D5">
              <w:rPr>
                <w:rFonts w:cs="Arial"/>
                <w:sz w:val="20"/>
              </w:rPr>
              <w:t>2</w:t>
            </w:r>
            <w:r w:rsidR="009635A9">
              <w:rPr>
                <w:rFonts w:cs="Arial"/>
                <w:sz w:val="20"/>
              </w:rPr>
              <w:t>2</w:t>
            </w:r>
            <w:r w:rsidRPr="007265D5">
              <w:rPr>
                <w:rFonts w:cs="Arial"/>
                <w:sz w:val="20"/>
              </w:rPr>
              <w:t>%</w:t>
            </w:r>
          </w:p>
        </w:tc>
        <w:tc>
          <w:tcPr>
            <w:tcW w:w="1276" w:type="dxa"/>
            <w:tcBorders>
              <w:bottom w:val="single" w:sz="4" w:space="0" w:color="auto"/>
            </w:tcBorders>
            <w:vAlign w:val="bottom"/>
          </w:tcPr>
          <w:p w:rsidR="00A03673" w:rsidRPr="007265D5" w:rsidRDefault="00A03673" w:rsidP="00A31F57">
            <w:pPr>
              <w:jc w:val="right"/>
              <w:rPr>
                <w:rFonts w:cs="Arial"/>
                <w:sz w:val="20"/>
              </w:rPr>
            </w:pPr>
            <w:r w:rsidRPr="007265D5">
              <w:rPr>
                <w:rFonts w:cs="Arial"/>
                <w:sz w:val="20"/>
              </w:rPr>
              <w:t>40</w:t>
            </w:r>
          </w:p>
        </w:tc>
        <w:tc>
          <w:tcPr>
            <w:tcW w:w="709" w:type="dxa"/>
            <w:tcBorders>
              <w:bottom w:val="single" w:sz="4" w:space="0" w:color="auto"/>
            </w:tcBorders>
            <w:vAlign w:val="bottom"/>
          </w:tcPr>
          <w:p w:rsidR="00A03673" w:rsidRPr="007265D5" w:rsidRDefault="00A03673" w:rsidP="00A31F57">
            <w:pPr>
              <w:jc w:val="center"/>
              <w:rPr>
                <w:rFonts w:cs="Arial"/>
                <w:sz w:val="20"/>
              </w:rPr>
            </w:pPr>
            <w:r w:rsidRPr="007265D5">
              <w:rPr>
                <w:rFonts w:cs="Arial"/>
                <w:sz w:val="20"/>
              </w:rPr>
              <w:t>59%</w:t>
            </w:r>
          </w:p>
        </w:tc>
        <w:tc>
          <w:tcPr>
            <w:tcW w:w="1275" w:type="dxa"/>
            <w:tcBorders>
              <w:bottom w:val="single" w:sz="4" w:space="0" w:color="auto"/>
            </w:tcBorders>
            <w:vAlign w:val="bottom"/>
          </w:tcPr>
          <w:p w:rsidR="00A03673" w:rsidRPr="007265D5" w:rsidRDefault="00A03673" w:rsidP="009635A9">
            <w:pPr>
              <w:jc w:val="right"/>
              <w:rPr>
                <w:rFonts w:cs="Arial"/>
                <w:sz w:val="20"/>
              </w:rPr>
            </w:pPr>
            <w:r w:rsidRPr="007265D5">
              <w:rPr>
                <w:rFonts w:cs="Arial"/>
                <w:sz w:val="20"/>
              </w:rPr>
              <w:t>1</w:t>
            </w:r>
            <w:r w:rsidR="009635A9">
              <w:rPr>
                <w:rFonts w:cs="Arial"/>
                <w:sz w:val="20"/>
              </w:rPr>
              <w:t>1</w:t>
            </w:r>
          </w:p>
        </w:tc>
        <w:tc>
          <w:tcPr>
            <w:tcW w:w="709" w:type="dxa"/>
            <w:tcBorders>
              <w:bottom w:val="single" w:sz="4" w:space="0" w:color="auto"/>
            </w:tcBorders>
            <w:vAlign w:val="bottom"/>
          </w:tcPr>
          <w:p w:rsidR="00A03673" w:rsidRPr="007265D5" w:rsidRDefault="009635A9" w:rsidP="00A31F57">
            <w:pPr>
              <w:jc w:val="right"/>
              <w:rPr>
                <w:rFonts w:cs="Arial"/>
                <w:sz w:val="20"/>
              </w:rPr>
            </w:pPr>
            <w:r>
              <w:rPr>
                <w:rFonts w:cs="Arial"/>
                <w:sz w:val="20"/>
              </w:rPr>
              <w:t>16</w:t>
            </w:r>
            <w:r w:rsidR="00A03673" w:rsidRPr="007265D5">
              <w:rPr>
                <w:rFonts w:cs="Arial"/>
                <w:sz w:val="20"/>
              </w:rPr>
              <w:t>%</w:t>
            </w:r>
          </w:p>
        </w:tc>
      </w:tr>
      <w:tr w:rsidR="00D0569F" w:rsidRPr="007265D5" w:rsidTr="006F322C">
        <w:tc>
          <w:tcPr>
            <w:tcW w:w="817" w:type="dxa"/>
            <w:gridSpan w:val="2"/>
            <w:tcBorders>
              <w:bottom w:val="single" w:sz="4" w:space="0" w:color="auto"/>
            </w:tcBorders>
            <w:vAlign w:val="bottom"/>
          </w:tcPr>
          <w:p w:rsidR="00A03673" w:rsidRPr="007265D5" w:rsidRDefault="00A03673" w:rsidP="00A31F57">
            <w:pPr>
              <w:rPr>
                <w:rFonts w:cs="Arial"/>
                <w:sz w:val="20"/>
              </w:rPr>
            </w:pPr>
            <w:r w:rsidRPr="007265D5">
              <w:rPr>
                <w:rFonts w:cs="Arial"/>
                <w:sz w:val="20"/>
              </w:rPr>
              <w:t>Total</w:t>
            </w:r>
          </w:p>
        </w:tc>
        <w:tc>
          <w:tcPr>
            <w:tcW w:w="851" w:type="dxa"/>
            <w:tcBorders>
              <w:bottom w:val="single" w:sz="4" w:space="0" w:color="auto"/>
            </w:tcBorders>
            <w:vAlign w:val="bottom"/>
          </w:tcPr>
          <w:p w:rsidR="00A03673" w:rsidRPr="007265D5" w:rsidRDefault="00A03673" w:rsidP="00A31F57">
            <w:pPr>
              <w:jc w:val="right"/>
              <w:rPr>
                <w:rFonts w:cs="Arial"/>
                <w:sz w:val="20"/>
              </w:rPr>
            </w:pPr>
            <w:r w:rsidRPr="007265D5">
              <w:rPr>
                <w:rFonts w:cs="Arial"/>
                <w:sz w:val="20"/>
              </w:rPr>
              <w:t>1,633</w:t>
            </w:r>
          </w:p>
        </w:tc>
        <w:tc>
          <w:tcPr>
            <w:tcW w:w="1417" w:type="dxa"/>
            <w:tcBorders>
              <w:bottom w:val="single" w:sz="4" w:space="0" w:color="auto"/>
            </w:tcBorders>
            <w:vAlign w:val="bottom"/>
          </w:tcPr>
          <w:p w:rsidR="00A03673" w:rsidRPr="007265D5" w:rsidRDefault="00A03673" w:rsidP="00A31F57">
            <w:pPr>
              <w:jc w:val="right"/>
              <w:rPr>
                <w:rFonts w:cs="Arial"/>
                <w:sz w:val="20"/>
              </w:rPr>
            </w:pPr>
            <w:r w:rsidRPr="007265D5">
              <w:rPr>
                <w:rFonts w:cs="Arial"/>
                <w:sz w:val="20"/>
              </w:rPr>
              <w:t>288</w:t>
            </w:r>
          </w:p>
        </w:tc>
        <w:tc>
          <w:tcPr>
            <w:tcW w:w="709" w:type="dxa"/>
            <w:tcBorders>
              <w:bottom w:val="single" w:sz="4" w:space="0" w:color="auto"/>
            </w:tcBorders>
            <w:vAlign w:val="bottom"/>
          </w:tcPr>
          <w:p w:rsidR="00A03673" w:rsidRPr="007265D5" w:rsidRDefault="00A03673" w:rsidP="00A31F57">
            <w:pPr>
              <w:jc w:val="right"/>
              <w:rPr>
                <w:rFonts w:cs="Arial"/>
                <w:sz w:val="20"/>
              </w:rPr>
            </w:pPr>
            <w:r w:rsidRPr="007265D5">
              <w:rPr>
                <w:rFonts w:cs="Arial"/>
                <w:sz w:val="20"/>
              </w:rPr>
              <w:t>18%</w:t>
            </w:r>
          </w:p>
        </w:tc>
        <w:tc>
          <w:tcPr>
            <w:tcW w:w="1417" w:type="dxa"/>
            <w:tcBorders>
              <w:bottom w:val="single" w:sz="4" w:space="0" w:color="auto"/>
            </w:tcBorders>
            <w:vAlign w:val="bottom"/>
          </w:tcPr>
          <w:p w:rsidR="00A03673" w:rsidRPr="007265D5" w:rsidRDefault="009635A9" w:rsidP="00A31F57">
            <w:pPr>
              <w:jc w:val="right"/>
              <w:rPr>
                <w:rFonts w:cs="Arial"/>
                <w:sz w:val="20"/>
              </w:rPr>
            </w:pPr>
            <w:r>
              <w:rPr>
                <w:rFonts w:cs="Arial"/>
                <w:sz w:val="20"/>
              </w:rPr>
              <w:t>474</w:t>
            </w:r>
          </w:p>
        </w:tc>
        <w:tc>
          <w:tcPr>
            <w:tcW w:w="709" w:type="dxa"/>
            <w:tcBorders>
              <w:bottom w:val="single" w:sz="4" w:space="0" w:color="auto"/>
            </w:tcBorders>
            <w:vAlign w:val="bottom"/>
          </w:tcPr>
          <w:p w:rsidR="00A03673" w:rsidRPr="007265D5" w:rsidRDefault="00A03673" w:rsidP="00A31F57">
            <w:pPr>
              <w:jc w:val="center"/>
              <w:rPr>
                <w:rFonts w:cs="Arial"/>
                <w:sz w:val="20"/>
              </w:rPr>
            </w:pPr>
            <w:r w:rsidRPr="007265D5">
              <w:rPr>
                <w:rFonts w:cs="Arial"/>
                <w:sz w:val="20"/>
              </w:rPr>
              <w:t>29%</w:t>
            </w:r>
          </w:p>
        </w:tc>
        <w:tc>
          <w:tcPr>
            <w:tcW w:w="1276" w:type="dxa"/>
            <w:tcBorders>
              <w:bottom w:val="single" w:sz="4" w:space="0" w:color="auto"/>
            </w:tcBorders>
            <w:vAlign w:val="bottom"/>
          </w:tcPr>
          <w:p w:rsidR="00A03673" w:rsidRPr="007265D5" w:rsidRDefault="00A03673" w:rsidP="00A31F57">
            <w:pPr>
              <w:jc w:val="right"/>
              <w:rPr>
                <w:rFonts w:cs="Arial"/>
                <w:sz w:val="20"/>
              </w:rPr>
            </w:pPr>
            <w:r w:rsidRPr="007265D5">
              <w:rPr>
                <w:rFonts w:cs="Arial"/>
                <w:sz w:val="20"/>
              </w:rPr>
              <w:t>557</w:t>
            </w:r>
          </w:p>
        </w:tc>
        <w:tc>
          <w:tcPr>
            <w:tcW w:w="709" w:type="dxa"/>
            <w:tcBorders>
              <w:bottom w:val="single" w:sz="4" w:space="0" w:color="auto"/>
            </w:tcBorders>
            <w:vAlign w:val="bottom"/>
          </w:tcPr>
          <w:p w:rsidR="00A03673" w:rsidRPr="007265D5" w:rsidRDefault="00A03673" w:rsidP="00A31F57">
            <w:pPr>
              <w:jc w:val="center"/>
              <w:rPr>
                <w:rFonts w:cs="Arial"/>
                <w:sz w:val="20"/>
              </w:rPr>
            </w:pPr>
            <w:r w:rsidRPr="007265D5">
              <w:rPr>
                <w:rFonts w:cs="Arial"/>
                <w:sz w:val="20"/>
              </w:rPr>
              <w:t>34%</w:t>
            </w:r>
          </w:p>
        </w:tc>
        <w:tc>
          <w:tcPr>
            <w:tcW w:w="1275" w:type="dxa"/>
            <w:tcBorders>
              <w:bottom w:val="single" w:sz="4" w:space="0" w:color="auto"/>
            </w:tcBorders>
            <w:vAlign w:val="bottom"/>
          </w:tcPr>
          <w:p w:rsidR="00A03673" w:rsidRPr="007265D5" w:rsidRDefault="006D4261" w:rsidP="00A31F57">
            <w:pPr>
              <w:jc w:val="right"/>
              <w:rPr>
                <w:rFonts w:cs="Arial"/>
                <w:sz w:val="20"/>
              </w:rPr>
            </w:pPr>
            <w:r>
              <w:rPr>
                <w:rFonts w:cs="Arial"/>
                <w:sz w:val="20"/>
              </w:rPr>
              <w:t>314</w:t>
            </w:r>
          </w:p>
        </w:tc>
        <w:tc>
          <w:tcPr>
            <w:tcW w:w="709" w:type="dxa"/>
            <w:tcBorders>
              <w:bottom w:val="single" w:sz="4" w:space="0" w:color="auto"/>
            </w:tcBorders>
            <w:vAlign w:val="bottom"/>
          </w:tcPr>
          <w:p w:rsidR="00A03673" w:rsidRPr="007265D5" w:rsidRDefault="00A03673" w:rsidP="00A31F57">
            <w:pPr>
              <w:jc w:val="right"/>
              <w:rPr>
                <w:rFonts w:cs="Arial"/>
                <w:sz w:val="20"/>
              </w:rPr>
            </w:pPr>
            <w:r w:rsidRPr="007265D5">
              <w:rPr>
                <w:rFonts w:cs="Arial"/>
                <w:sz w:val="20"/>
              </w:rPr>
              <w:t>19%</w:t>
            </w:r>
          </w:p>
        </w:tc>
      </w:tr>
      <w:tr w:rsidR="00A03673" w:rsidRPr="007265D5" w:rsidTr="006F322C">
        <w:tc>
          <w:tcPr>
            <w:tcW w:w="9889" w:type="dxa"/>
            <w:gridSpan w:val="11"/>
            <w:tcBorders>
              <w:top w:val="single" w:sz="4" w:space="0" w:color="auto"/>
            </w:tcBorders>
            <w:shd w:val="clear" w:color="auto" w:fill="D9D9D9" w:themeFill="background1" w:themeFillShade="D9"/>
          </w:tcPr>
          <w:p w:rsidR="00A03673" w:rsidRPr="007265D5" w:rsidRDefault="00A03673" w:rsidP="00A31F57">
            <w:pPr>
              <w:rPr>
                <w:rFonts w:cs="Arial"/>
                <w:b/>
                <w:sz w:val="20"/>
              </w:rPr>
            </w:pPr>
            <w:r w:rsidRPr="007265D5">
              <w:rPr>
                <w:rFonts w:cs="Arial"/>
                <w:b/>
                <w:sz w:val="20"/>
              </w:rPr>
              <w:t>Control  group</w:t>
            </w:r>
          </w:p>
        </w:tc>
      </w:tr>
      <w:tr w:rsidR="00D0569F" w:rsidRPr="007265D5" w:rsidTr="006F322C">
        <w:tc>
          <w:tcPr>
            <w:tcW w:w="817" w:type="dxa"/>
            <w:gridSpan w:val="2"/>
            <w:tcBorders>
              <w:top w:val="single" w:sz="4" w:space="0" w:color="auto"/>
            </w:tcBorders>
          </w:tcPr>
          <w:p w:rsidR="00A03673" w:rsidRPr="007265D5" w:rsidRDefault="00A03673" w:rsidP="00A31F57">
            <w:pPr>
              <w:rPr>
                <w:rFonts w:cs="Arial"/>
                <w:sz w:val="20"/>
              </w:rPr>
            </w:pPr>
            <w:r w:rsidRPr="007265D5">
              <w:rPr>
                <w:rFonts w:cs="Arial"/>
                <w:sz w:val="20"/>
              </w:rPr>
              <w:t>K</w:t>
            </w:r>
          </w:p>
        </w:tc>
        <w:tc>
          <w:tcPr>
            <w:tcW w:w="851"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117</w:t>
            </w:r>
          </w:p>
        </w:tc>
        <w:tc>
          <w:tcPr>
            <w:tcW w:w="1417"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2</w:t>
            </w:r>
          </w:p>
        </w:tc>
        <w:tc>
          <w:tcPr>
            <w:tcW w:w="709"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2%</w:t>
            </w:r>
          </w:p>
        </w:tc>
        <w:tc>
          <w:tcPr>
            <w:tcW w:w="1417"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17</w:t>
            </w:r>
          </w:p>
        </w:tc>
        <w:tc>
          <w:tcPr>
            <w:tcW w:w="709" w:type="dxa"/>
            <w:tcBorders>
              <w:top w:val="single" w:sz="4" w:space="0" w:color="auto"/>
            </w:tcBorders>
            <w:vAlign w:val="bottom"/>
          </w:tcPr>
          <w:p w:rsidR="00A03673" w:rsidRPr="007265D5" w:rsidRDefault="00A03673" w:rsidP="00A31F57">
            <w:pPr>
              <w:jc w:val="center"/>
              <w:rPr>
                <w:rFonts w:cs="Arial"/>
                <w:sz w:val="20"/>
              </w:rPr>
            </w:pPr>
            <w:r w:rsidRPr="007265D5">
              <w:rPr>
                <w:rFonts w:cs="Arial"/>
                <w:sz w:val="20"/>
              </w:rPr>
              <w:t>15%</w:t>
            </w:r>
          </w:p>
        </w:tc>
        <w:tc>
          <w:tcPr>
            <w:tcW w:w="1276"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71</w:t>
            </w:r>
          </w:p>
        </w:tc>
        <w:tc>
          <w:tcPr>
            <w:tcW w:w="709" w:type="dxa"/>
            <w:tcBorders>
              <w:top w:val="single" w:sz="4" w:space="0" w:color="auto"/>
            </w:tcBorders>
            <w:vAlign w:val="bottom"/>
          </w:tcPr>
          <w:p w:rsidR="00A03673" w:rsidRPr="007265D5" w:rsidRDefault="00A03673" w:rsidP="00A31F57">
            <w:pPr>
              <w:jc w:val="center"/>
              <w:rPr>
                <w:rFonts w:cs="Arial"/>
                <w:sz w:val="20"/>
              </w:rPr>
            </w:pPr>
            <w:r w:rsidRPr="007265D5">
              <w:rPr>
                <w:rFonts w:cs="Arial"/>
                <w:sz w:val="20"/>
              </w:rPr>
              <w:t>61%</w:t>
            </w:r>
          </w:p>
        </w:tc>
        <w:tc>
          <w:tcPr>
            <w:tcW w:w="1275"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27</w:t>
            </w:r>
          </w:p>
        </w:tc>
        <w:tc>
          <w:tcPr>
            <w:tcW w:w="709"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23%</w:t>
            </w:r>
          </w:p>
        </w:tc>
      </w:tr>
      <w:tr w:rsidR="00D0569F" w:rsidRPr="007265D5" w:rsidTr="006F322C">
        <w:tc>
          <w:tcPr>
            <w:tcW w:w="817" w:type="dxa"/>
            <w:gridSpan w:val="2"/>
            <w:tcBorders>
              <w:top w:val="single" w:sz="4" w:space="0" w:color="auto"/>
            </w:tcBorders>
          </w:tcPr>
          <w:p w:rsidR="00A03673" w:rsidRPr="007265D5" w:rsidRDefault="00A03673" w:rsidP="00A31F57">
            <w:pPr>
              <w:rPr>
                <w:rFonts w:cs="Arial"/>
                <w:sz w:val="20"/>
              </w:rPr>
            </w:pPr>
            <w:r w:rsidRPr="007265D5">
              <w:rPr>
                <w:rFonts w:cs="Arial"/>
                <w:sz w:val="20"/>
              </w:rPr>
              <w:t>L</w:t>
            </w:r>
          </w:p>
        </w:tc>
        <w:tc>
          <w:tcPr>
            <w:tcW w:w="851"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132</w:t>
            </w:r>
          </w:p>
        </w:tc>
        <w:tc>
          <w:tcPr>
            <w:tcW w:w="1417"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7</w:t>
            </w:r>
          </w:p>
        </w:tc>
        <w:tc>
          <w:tcPr>
            <w:tcW w:w="709"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5%</w:t>
            </w:r>
          </w:p>
        </w:tc>
        <w:tc>
          <w:tcPr>
            <w:tcW w:w="1417"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17</w:t>
            </w:r>
          </w:p>
        </w:tc>
        <w:tc>
          <w:tcPr>
            <w:tcW w:w="709" w:type="dxa"/>
            <w:tcBorders>
              <w:top w:val="single" w:sz="4" w:space="0" w:color="auto"/>
            </w:tcBorders>
            <w:vAlign w:val="bottom"/>
          </w:tcPr>
          <w:p w:rsidR="00A03673" w:rsidRPr="007265D5" w:rsidRDefault="00A03673" w:rsidP="00A31F57">
            <w:pPr>
              <w:jc w:val="center"/>
              <w:rPr>
                <w:rFonts w:cs="Arial"/>
                <w:sz w:val="20"/>
              </w:rPr>
            </w:pPr>
            <w:r w:rsidRPr="007265D5">
              <w:rPr>
                <w:rFonts w:cs="Arial"/>
                <w:sz w:val="20"/>
              </w:rPr>
              <w:t>13%</w:t>
            </w:r>
          </w:p>
        </w:tc>
        <w:tc>
          <w:tcPr>
            <w:tcW w:w="1276"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92</w:t>
            </w:r>
          </w:p>
        </w:tc>
        <w:tc>
          <w:tcPr>
            <w:tcW w:w="709" w:type="dxa"/>
            <w:tcBorders>
              <w:top w:val="single" w:sz="4" w:space="0" w:color="auto"/>
            </w:tcBorders>
            <w:vAlign w:val="bottom"/>
          </w:tcPr>
          <w:p w:rsidR="00A03673" w:rsidRPr="007265D5" w:rsidRDefault="00A03673" w:rsidP="00A31F57">
            <w:pPr>
              <w:jc w:val="center"/>
              <w:rPr>
                <w:rFonts w:cs="Arial"/>
                <w:sz w:val="20"/>
              </w:rPr>
            </w:pPr>
            <w:r w:rsidRPr="007265D5">
              <w:rPr>
                <w:rFonts w:cs="Arial"/>
                <w:sz w:val="20"/>
              </w:rPr>
              <w:t>70%</w:t>
            </w:r>
          </w:p>
        </w:tc>
        <w:tc>
          <w:tcPr>
            <w:tcW w:w="1275"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16</w:t>
            </w:r>
          </w:p>
        </w:tc>
        <w:tc>
          <w:tcPr>
            <w:tcW w:w="709"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12%</w:t>
            </w:r>
          </w:p>
        </w:tc>
      </w:tr>
      <w:tr w:rsidR="00D0569F" w:rsidRPr="007265D5" w:rsidTr="006F322C">
        <w:tc>
          <w:tcPr>
            <w:tcW w:w="817" w:type="dxa"/>
            <w:gridSpan w:val="2"/>
            <w:tcBorders>
              <w:top w:val="single" w:sz="4" w:space="0" w:color="auto"/>
            </w:tcBorders>
          </w:tcPr>
          <w:p w:rsidR="00A03673" w:rsidRPr="007265D5" w:rsidRDefault="00A03673" w:rsidP="00A31F57">
            <w:pPr>
              <w:rPr>
                <w:rFonts w:cs="Arial"/>
                <w:sz w:val="20"/>
              </w:rPr>
            </w:pPr>
            <w:r w:rsidRPr="007265D5">
              <w:rPr>
                <w:rFonts w:cs="Arial"/>
                <w:sz w:val="20"/>
              </w:rPr>
              <w:t>M</w:t>
            </w:r>
          </w:p>
        </w:tc>
        <w:tc>
          <w:tcPr>
            <w:tcW w:w="851"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85</w:t>
            </w:r>
          </w:p>
        </w:tc>
        <w:tc>
          <w:tcPr>
            <w:tcW w:w="1417"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0</w:t>
            </w:r>
          </w:p>
        </w:tc>
        <w:tc>
          <w:tcPr>
            <w:tcW w:w="709"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0%</w:t>
            </w:r>
          </w:p>
        </w:tc>
        <w:tc>
          <w:tcPr>
            <w:tcW w:w="1417"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8</w:t>
            </w:r>
          </w:p>
        </w:tc>
        <w:tc>
          <w:tcPr>
            <w:tcW w:w="709" w:type="dxa"/>
            <w:tcBorders>
              <w:top w:val="single" w:sz="4" w:space="0" w:color="auto"/>
            </w:tcBorders>
            <w:vAlign w:val="bottom"/>
          </w:tcPr>
          <w:p w:rsidR="00A03673" w:rsidRPr="007265D5" w:rsidRDefault="00A03673" w:rsidP="00A31F57">
            <w:pPr>
              <w:jc w:val="center"/>
              <w:rPr>
                <w:rFonts w:cs="Arial"/>
                <w:sz w:val="20"/>
              </w:rPr>
            </w:pPr>
            <w:r w:rsidRPr="007265D5">
              <w:rPr>
                <w:rFonts w:cs="Arial"/>
                <w:sz w:val="20"/>
              </w:rPr>
              <w:t>9%</w:t>
            </w:r>
          </w:p>
        </w:tc>
        <w:tc>
          <w:tcPr>
            <w:tcW w:w="1276"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64</w:t>
            </w:r>
          </w:p>
        </w:tc>
        <w:tc>
          <w:tcPr>
            <w:tcW w:w="709" w:type="dxa"/>
            <w:tcBorders>
              <w:top w:val="single" w:sz="4" w:space="0" w:color="auto"/>
            </w:tcBorders>
            <w:vAlign w:val="bottom"/>
          </w:tcPr>
          <w:p w:rsidR="00A03673" w:rsidRPr="007265D5" w:rsidRDefault="00A03673" w:rsidP="00A31F57">
            <w:pPr>
              <w:jc w:val="center"/>
              <w:rPr>
                <w:rFonts w:cs="Arial"/>
                <w:sz w:val="20"/>
              </w:rPr>
            </w:pPr>
            <w:r w:rsidRPr="007265D5">
              <w:rPr>
                <w:rFonts w:cs="Arial"/>
                <w:sz w:val="20"/>
              </w:rPr>
              <w:t>75%</w:t>
            </w:r>
          </w:p>
        </w:tc>
        <w:tc>
          <w:tcPr>
            <w:tcW w:w="1275"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13</w:t>
            </w:r>
          </w:p>
        </w:tc>
        <w:tc>
          <w:tcPr>
            <w:tcW w:w="709"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15%</w:t>
            </w:r>
          </w:p>
        </w:tc>
      </w:tr>
      <w:tr w:rsidR="00D0569F" w:rsidRPr="007265D5" w:rsidTr="006F322C">
        <w:tc>
          <w:tcPr>
            <w:tcW w:w="817" w:type="dxa"/>
            <w:gridSpan w:val="2"/>
            <w:tcBorders>
              <w:top w:val="single" w:sz="4" w:space="0" w:color="auto"/>
            </w:tcBorders>
          </w:tcPr>
          <w:p w:rsidR="00A03673" w:rsidRPr="007265D5" w:rsidRDefault="00A03673" w:rsidP="00A31F57">
            <w:pPr>
              <w:rPr>
                <w:rFonts w:cs="Arial"/>
                <w:sz w:val="20"/>
              </w:rPr>
            </w:pPr>
            <w:r w:rsidRPr="007265D5">
              <w:rPr>
                <w:rFonts w:cs="Arial"/>
                <w:sz w:val="20"/>
              </w:rPr>
              <w:t>N</w:t>
            </w:r>
          </w:p>
        </w:tc>
        <w:tc>
          <w:tcPr>
            <w:tcW w:w="851"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150</w:t>
            </w:r>
          </w:p>
        </w:tc>
        <w:tc>
          <w:tcPr>
            <w:tcW w:w="1417"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18</w:t>
            </w:r>
          </w:p>
        </w:tc>
        <w:tc>
          <w:tcPr>
            <w:tcW w:w="709"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12%</w:t>
            </w:r>
          </w:p>
        </w:tc>
        <w:tc>
          <w:tcPr>
            <w:tcW w:w="1417"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9</w:t>
            </w:r>
          </w:p>
        </w:tc>
        <w:tc>
          <w:tcPr>
            <w:tcW w:w="709" w:type="dxa"/>
            <w:tcBorders>
              <w:top w:val="single" w:sz="4" w:space="0" w:color="auto"/>
            </w:tcBorders>
            <w:vAlign w:val="bottom"/>
          </w:tcPr>
          <w:p w:rsidR="00A03673" w:rsidRPr="007265D5" w:rsidRDefault="00A03673" w:rsidP="00A31F57">
            <w:pPr>
              <w:jc w:val="center"/>
              <w:rPr>
                <w:rFonts w:cs="Arial"/>
                <w:sz w:val="20"/>
              </w:rPr>
            </w:pPr>
            <w:r w:rsidRPr="007265D5">
              <w:rPr>
                <w:rFonts w:cs="Arial"/>
                <w:sz w:val="20"/>
              </w:rPr>
              <w:t>6%</w:t>
            </w:r>
          </w:p>
        </w:tc>
        <w:tc>
          <w:tcPr>
            <w:tcW w:w="1276"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104</w:t>
            </w:r>
          </w:p>
        </w:tc>
        <w:tc>
          <w:tcPr>
            <w:tcW w:w="709" w:type="dxa"/>
            <w:tcBorders>
              <w:top w:val="single" w:sz="4" w:space="0" w:color="auto"/>
            </w:tcBorders>
            <w:vAlign w:val="bottom"/>
          </w:tcPr>
          <w:p w:rsidR="00A03673" w:rsidRPr="007265D5" w:rsidRDefault="00A03673" w:rsidP="00A31F57">
            <w:pPr>
              <w:jc w:val="center"/>
              <w:rPr>
                <w:rFonts w:cs="Arial"/>
                <w:sz w:val="20"/>
              </w:rPr>
            </w:pPr>
            <w:r w:rsidRPr="007265D5">
              <w:rPr>
                <w:rFonts w:cs="Arial"/>
                <w:sz w:val="20"/>
              </w:rPr>
              <w:t>69%</w:t>
            </w:r>
          </w:p>
        </w:tc>
        <w:tc>
          <w:tcPr>
            <w:tcW w:w="1275"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19</w:t>
            </w:r>
          </w:p>
        </w:tc>
        <w:tc>
          <w:tcPr>
            <w:tcW w:w="709"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13%</w:t>
            </w:r>
          </w:p>
        </w:tc>
      </w:tr>
      <w:tr w:rsidR="00D0569F" w:rsidRPr="007265D5" w:rsidTr="006F322C">
        <w:tc>
          <w:tcPr>
            <w:tcW w:w="817" w:type="dxa"/>
            <w:gridSpan w:val="2"/>
            <w:tcBorders>
              <w:top w:val="single" w:sz="4" w:space="0" w:color="auto"/>
            </w:tcBorders>
          </w:tcPr>
          <w:p w:rsidR="00A03673" w:rsidRPr="007265D5" w:rsidRDefault="00A03673" w:rsidP="00A31F57">
            <w:pPr>
              <w:rPr>
                <w:rFonts w:cs="Arial"/>
                <w:sz w:val="20"/>
              </w:rPr>
            </w:pPr>
            <w:r w:rsidRPr="007265D5">
              <w:rPr>
                <w:rFonts w:cs="Arial"/>
                <w:sz w:val="20"/>
              </w:rPr>
              <w:t>Total</w:t>
            </w:r>
          </w:p>
        </w:tc>
        <w:tc>
          <w:tcPr>
            <w:tcW w:w="851"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484</w:t>
            </w:r>
          </w:p>
        </w:tc>
        <w:tc>
          <w:tcPr>
            <w:tcW w:w="1417"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27</w:t>
            </w:r>
          </w:p>
        </w:tc>
        <w:tc>
          <w:tcPr>
            <w:tcW w:w="709"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6%</w:t>
            </w:r>
          </w:p>
        </w:tc>
        <w:tc>
          <w:tcPr>
            <w:tcW w:w="1417"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51</w:t>
            </w:r>
          </w:p>
        </w:tc>
        <w:tc>
          <w:tcPr>
            <w:tcW w:w="709" w:type="dxa"/>
            <w:tcBorders>
              <w:top w:val="single" w:sz="4" w:space="0" w:color="auto"/>
            </w:tcBorders>
            <w:vAlign w:val="bottom"/>
          </w:tcPr>
          <w:p w:rsidR="00A03673" w:rsidRPr="007265D5" w:rsidRDefault="00A03673" w:rsidP="00A31F57">
            <w:pPr>
              <w:jc w:val="center"/>
              <w:rPr>
                <w:rFonts w:cs="Arial"/>
                <w:sz w:val="20"/>
              </w:rPr>
            </w:pPr>
            <w:r w:rsidRPr="007265D5">
              <w:rPr>
                <w:rFonts w:cs="Arial"/>
                <w:sz w:val="20"/>
              </w:rPr>
              <w:t>11%</w:t>
            </w:r>
          </w:p>
        </w:tc>
        <w:tc>
          <w:tcPr>
            <w:tcW w:w="1276"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331</w:t>
            </w:r>
          </w:p>
        </w:tc>
        <w:tc>
          <w:tcPr>
            <w:tcW w:w="709" w:type="dxa"/>
            <w:tcBorders>
              <w:top w:val="single" w:sz="4" w:space="0" w:color="auto"/>
            </w:tcBorders>
            <w:vAlign w:val="bottom"/>
          </w:tcPr>
          <w:p w:rsidR="00A03673" w:rsidRPr="007265D5" w:rsidRDefault="00A03673" w:rsidP="00A31F57">
            <w:pPr>
              <w:jc w:val="center"/>
              <w:rPr>
                <w:rFonts w:cs="Arial"/>
                <w:sz w:val="20"/>
              </w:rPr>
            </w:pPr>
            <w:r w:rsidRPr="007265D5">
              <w:rPr>
                <w:rFonts w:cs="Arial"/>
                <w:sz w:val="20"/>
              </w:rPr>
              <w:t>68%</w:t>
            </w:r>
          </w:p>
        </w:tc>
        <w:tc>
          <w:tcPr>
            <w:tcW w:w="1275"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75</w:t>
            </w:r>
          </w:p>
        </w:tc>
        <w:tc>
          <w:tcPr>
            <w:tcW w:w="709" w:type="dxa"/>
            <w:tcBorders>
              <w:top w:val="single" w:sz="4" w:space="0" w:color="auto"/>
            </w:tcBorders>
            <w:vAlign w:val="bottom"/>
          </w:tcPr>
          <w:p w:rsidR="00A03673" w:rsidRPr="007265D5" w:rsidRDefault="00A03673" w:rsidP="00A31F57">
            <w:pPr>
              <w:jc w:val="right"/>
              <w:rPr>
                <w:rFonts w:cs="Arial"/>
                <w:sz w:val="20"/>
              </w:rPr>
            </w:pPr>
            <w:r w:rsidRPr="007265D5">
              <w:rPr>
                <w:rFonts w:cs="Arial"/>
                <w:sz w:val="20"/>
              </w:rPr>
              <w:t>15%</w:t>
            </w:r>
          </w:p>
        </w:tc>
      </w:tr>
      <w:tr w:rsidR="00D0569F" w:rsidRPr="00425483" w:rsidTr="006F322C">
        <w:tc>
          <w:tcPr>
            <w:tcW w:w="817" w:type="dxa"/>
            <w:gridSpan w:val="2"/>
            <w:shd w:val="clear" w:color="auto" w:fill="D9D9D9" w:themeFill="background1" w:themeFillShade="D9"/>
          </w:tcPr>
          <w:p w:rsidR="00A03673" w:rsidRPr="00425483" w:rsidRDefault="00A03673" w:rsidP="00A31F57">
            <w:pPr>
              <w:rPr>
                <w:rFonts w:cs="Arial"/>
                <w:b/>
                <w:sz w:val="20"/>
              </w:rPr>
            </w:pPr>
            <w:r w:rsidRPr="00425483">
              <w:rPr>
                <w:rFonts w:cs="Arial"/>
                <w:b/>
                <w:sz w:val="20"/>
              </w:rPr>
              <w:t xml:space="preserve">All </w:t>
            </w:r>
          </w:p>
        </w:tc>
        <w:tc>
          <w:tcPr>
            <w:tcW w:w="851" w:type="dxa"/>
            <w:shd w:val="clear" w:color="auto" w:fill="D9D9D9" w:themeFill="background1" w:themeFillShade="D9"/>
            <w:vAlign w:val="bottom"/>
          </w:tcPr>
          <w:p w:rsidR="00A03673" w:rsidRPr="00425483" w:rsidRDefault="00A03673" w:rsidP="00A31F57">
            <w:pPr>
              <w:jc w:val="right"/>
              <w:rPr>
                <w:rFonts w:cs="Arial"/>
                <w:b/>
                <w:sz w:val="20"/>
              </w:rPr>
            </w:pPr>
            <w:r w:rsidRPr="00425483">
              <w:rPr>
                <w:rFonts w:cs="Arial"/>
                <w:b/>
                <w:sz w:val="20"/>
              </w:rPr>
              <w:t>2,117</w:t>
            </w:r>
          </w:p>
        </w:tc>
        <w:tc>
          <w:tcPr>
            <w:tcW w:w="1417" w:type="dxa"/>
            <w:shd w:val="clear" w:color="auto" w:fill="D9D9D9" w:themeFill="background1" w:themeFillShade="D9"/>
            <w:vAlign w:val="bottom"/>
          </w:tcPr>
          <w:p w:rsidR="00A03673" w:rsidRPr="00425483" w:rsidRDefault="00A03673" w:rsidP="00A31F57">
            <w:pPr>
              <w:jc w:val="right"/>
              <w:rPr>
                <w:rFonts w:cs="Arial"/>
                <w:b/>
                <w:sz w:val="20"/>
              </w:rPr>
            </w:pPr>
            <w:r w:rsidRPr="00425483">
              <w:rPr>
                <w:rFonts w:cs="Arial"/>
                <w:b/>
                <w:sz w:val="20"/>
              </w:rPr>
              <w:t>315</w:t>
            </w:r>
          </w:p>
        </w:tc>
        <w:tc>
          <w:tcPr>
            <w:tcW w:w="709" w:type="dxa"/>
            <w:shd w:val="clear" w:color="auto" w:fill="D9D9D9" w:themeFill="background1" w:themeFillShade="D9"/>
            <w:vAlign w:val="bottom"/>
          </w:tcPr>
          <w:p w:rsidR="00A03673" w:rsidRPr="00425483" w:rsidRDefault="00A03673" w:rsidP="00A31F57">
            <w:pPr>
              <w:jc w:val="right"/>
              <w:rPr>
                <w:rFonts w:cs="Arial"/>
                <w:b/>
                <w:sz w:val="20"/>
              </w:rPr>
            </w:pPr>
            <w:r w:rsidRPr="00425483">
              <w:rPr>
                <w:rFonts w:cs="Arial"/>
                <w:b/>
                <w:sz w:val="20"/>
              </w:rPr>
              <w:t>15%</w:t>
            </w:r>
          </w:p>
        </w:tc>
        <w:tc>
          <w:tcPr>
            <w:tcW w:w="1417" w:type="dxa"/>
            <w:shd w:val="clear" w:color="auto" w:fill="D9D9D9" w:themeFill="background1" w:themeFillShade="D9"/>
            <w:vAlign w:val="bottom"/>
          </w:tcPr>
          <w:p w:rsidR="00A03673" w:rsidRPr="00425483" w:rsidRDefault="009635A9" w:rsidP="00A31F57">
            <w:pPr>
              <w:jc w:val="right"/>
              <w:rPr>
                <w:rFonts w:cs="Arial"/>
                <w:b/>
                <w:sz w:val="20"/>
              </w:rPr>
            </w:pPr>
            <w:r>
              <w:rPr>
                <w:rFonts w:cs="Arial"/>
                <w:b/>
                <w:sz w:val="20"/>
              </w:rPr>
              <w:t>525</w:t>
            </w:r>
          </w:p>
        </w:tc>
        <w:tc>
          <w:tcPr>
            <w:tcW w:w="709" w:type="dxa"/>
            <w:shd w:val="clear" w:color="auto" w:fill="D9D9D9" w:themeFill="background1" w:themeFillShade="D9"/>
            <w:vAlign w:val="bottom"/>
          </w:tcPr>
          <w:p w:rsidR="00A03673" w:rsidRPr="00425483" w:rsidRDefault="00A03673" w:rsidP="00A31F57">
            <w:pPr>
              <w:jc w:val="center"/>
              <w:rPr>
                <w:rFonts w:cs="Arial"/>
                <w:b/>
                <w:sz w:val="20"/>
              </w:rPr>
            </w:pPr>
            <w:r w:rsidRPr="00425483">
              <w:rPr>
                <w:rFonts w:cs="Arial"/>
                <w:b/>
                <w:sz w:val="20"/>
              </w:rPr>
              <w:t>25%</w:t>
            </w:r>
          </w:p>
        </w:tc>
        <w:tc>
          <w:tcPr>
            <w:tcW w:w="1276" w:type="dxa"/>
            <w:shd w:val="clear" w:color="auto" w:fill="D9D9D9" w:themeFill="background1" w:themeFillShade="D9"/>
            <w:vAlign w:val="bottom"/>
          </w:tcPr>
          <w:p w:rsidR="00A03673" w:rsidRPr="00425483" w:rsidRDefault="00A03673" w:rsidP="00A31F57">
            <w:pPr>
              <w:jc w:val="right"/>
              <w:rPr>
                <w:rFonts w:cs="Arial"/>
                <w:b/>
                <w:sz w:val="20"/>
              </w:rPr>
            </w:pPr>
            <w:r w:rsidRPr="00425483">
              <w:rPr>
                <w:rFonts w:cs="Arial"/>
                <w:b/>
                <w:sz w:val="20"/>
              </w:rPr>
              <w:t>888</w:t>
            </w:r>
          </w:p>
        </w:tc>
        <w:tc>
          <w:tcPr>
            <w:tcW w:w="709" w:type="dxa"/>
            <w:shd w:val="clear" w:color="auto" w:fill="D9D9D9" w:themeFill="background1" w:themeFillShade="D9"/>
            <w:vAlign w:val="bottom"/>
          </w:tcPr>
          <w:p w:rsidR="00A03673" w:rsidRPr="00425483" w:rsidRDefault="00A03673" w:rsidP="00A31F57">
            <w:pPr>
              <w:jc w:val="center"/>
              <w:rPr>
                <w:rFonts w:cs="Arial"/>
                <w:b/>
                <w:sz w:val="20"/>
              </w:rPr>
            </w:pPr>
            <w:r w:rsidRPr="00425483">
              <w:rPr>
                <w:rFonts w:cs="Arial"/>
                <w:b/>
                <w:sz w:val="20"/>
              </w:rPr>
              <w:t>42%</w:t>
            </w:r>
          </w:p>
        </w:tc>
        <w:tc>
          <w:tcPr>
            <w:tcW w:w="1275" w:type="dxa"/>
            <w:shd w:val="clear" w:color="auto" w:fill="D9D9D9" w:themeFill="background1" w:themeFillShade="D9"/>
            <w:vAlign w:val="bottom"/>
          </w:tcPr>
          <w:p w:rsidR="00A03673" w:rsidRPr="00425483" w:rsidRDefault="009635A9" w:rsidP="00A31F57">
            <w:pPr>
              <w:jc w:val="right"/>
              <w:rPr>
                <w:rFonts w:cs="Arial"/>
                <w:b/>
                <w:sz w:val="20"/>
              </w:rPr>
            </w:pPr>
            <w:r>
              <w:rPr>
                <w:rFonts w:cs="Arial"/>
                <w:b/>
                <w:sz w:val="20"/>
              </w:rPr>
              <w:t>389</w:t>
            </w:r>
          </w:p>
        </w:tc>
        <w:tc>
          <w:tcPr>
            <w:tcW w:w="709" w:type="dxa"/>
            <w:shd w:val="clear" w:color="auto" w:fill="D9D9D9" w:themeFill="background1" w:themeFillShade="D9"/>
            <w:vAlign w:val="bottom"/>
          </w:tcPr>
          <w:p w:rsidR="00A03673" w:rsidRPr="00425483" w:rsidRDefault="00A03673" w:rsidP="00A31F57">
            <w:pPr>
              <w:jc w:val="right"/>
              <w:rPr>
                <w:rFonts w:cs="Arial"/>
                <w:b/>
                <w:sz w:val="20"/>
              </w:rPr>
            </w:pPr>
            <w:r w:rsidRPr="00425483">
              <w:rPr>
                <w:rFonts w:cs="Arial"/>
                <w:b/>
                <w:sz w:val="20"/>
              </w:rPr>
              <w:t>18%</w:t>
            </w:r>
          </w:p>
        </w:tc>
      </w:tr>
    </w:tbl>
    <w:p w:rsidR="00A03673" w:rsidRPr="007A3194" w:rsidRDefault="00A03673" w:rsidP="00A03673">
      <w:pPr>
        <w:rPr>
          <w:sz w:val="18"/>
          <w:szCs w:val="18"/>
        </w:rPr>
      </w:pPr>
    </w:p>
    <w:p w:rsidR="00B46FFA" w:rsidRPr="00B46FFA" w:rsidRDefault="00B46FFA" w:rsidP="00075AA5">
      <w:r w:rsidRPr="00B46FFA">
        <w:t xml:space="preserve">Across all audited providers, up to </w:t>
      </w:r>
      <w:r w:rsidR="0011310B">
        <w:t>40</w:t>
      </w:r>
      <w:r w:rsidRPr="00B46FFA">
        <w:t xml:space="preserve"> per cent of the PBO claims were volunteered invalid claims or contradicted </w:t>
      </w:r>
      <w:r w:rsidR="00C110D1">
        <w:t xml:space="preserve">or not supported </w:t>
      </w:r>
      <w:r w:rsidRPr="00B46FFA">
        <w:t xml:space="preserve">by documentary evidence, </w:t>
      </w:r>
      <w:r w:rsidR="00C110D1">
        <w:t xml:space="preserve">other information or </w:t>
      </w:r>
      <w:r w:rsidR="00075AA5">
        <w:t xml:space="preserve">the </w:t>
      </w:r>
      <w:r w:rsidRPr="00B46FFA">
        <w:t xml:space="preserve">job seeker or employer. The rate </w:t>
      </w:r>
      <w:r w:rsidR="00075AA5" w:rsidRPr="00B46FFA">
        <w:t xml:space="preserve">was up to </w:t>
      </w:r>
      <w:r w:rsidR="0011310B">
        <w:t>47</w:t>
      </w:r>
      <w:r w:rsidR="00075AA5" w:rsidRPr="00B46FFA">
        <w:t xml:space="preserve"> per cent </w:t>
      </w:r>
      <w:r w:rsidRPr="00B46FFA">
        <w:t xml:space="preserve">for high claiming providers and up to </w:t>
      </w:r>
      <w:r w:rsidR="0011310B">
        <w:t>16</w:t>
      </w:r>
      <w:r w:rsidRPr="00B46FFA">
        <w:t xml:space="preserve"> per cent</w:t>
      </w:r>
      <w:r w:rsidR="001A688E">
        <w:t xml:space="preserve"> </w:t>
      </w:r>
      <w:r w:rsidR="00075AA5" w:rsidRPr="00B46FFA">
        <w:t>for the control group</w:t>
      </w:r>
      <w:r w:rsidR="00075AA5">
        <w:t>.</w:t>
      </w:r>
    </w:p>
    <w:p w:rsidR="00A75DD3" w:rsidRPr="00623919" w:rsidRDefault="00A75DD3" w:rsidP="00623919">
      <w:pPr>
        <w:pStyle w:val="Heading2"/>
        <w:numPr>
          <w:ilvl w:val="1"/>
          <w:numId w:val="7"/>
        </w:numPr>
        <w:spacing w:before="360"/>
        <w:rPr>
          <w:rFonts w:cs="Arial"/>
          <w:sz w:val="24"/>
          <w:szCs w:val="24"/>
        </w:rPr>
      </w:pPr>
      <w:bookmarkStart w:id="17" w:name="_Toc322630289"/>
      <w:r w:rsidRPr="00623919">
        <w:rPr>
          <w:rFonts w:cs="Arial"/>
          <w:sz w:val="24"/>
          <w:szCs w:val="24"/>
        </w:rPr>
        <w:t xml:space="preserve">Recoveries and further </w:t>
      </w:r>
      <w:r w:rsidR="004F5B83" w:rsidRPr="00623919">
        <w:rPr>
          <w:rFonts w:cs="Arial"/>
          <w:sz w:val="24"/>
          <w:szCs w:val="24"/>
        </w:rPr>
        <w:t>action</w:t>
      </w:r>
      <w:bookmarkEnd w:id="17"/>
    </w:p>
    <w:p w:rsidR="00457521" w:rsidRDefault="00B46FFA" w:rsidP="002A5422">
      <w:r w:rsidRPr="00B46FFA">
        <w:t xml:space="preserve">In addition to the recovery of volunteered invalid claims, </w:t>
      </w:r>
      <w:r>
        <w:t>DEEWR will write to providers to initiate fee recoveries for the PBO claims c</w:t>
      </w:r>
      <w:r w:rsidRPr="00B46FFA">
        <w:t xml:space="preserve">ontradicted </w:t>
      </w:r>
      <w:r w:rsidR="00C110D1">
        <w:t xml:space="preserve">or not supported </w:t>
      </w:r>
      <w:r w:rsidRPr="00B46FFA">
        <w:t xml:space="preserve">by documentary evidence, </w:t>
      </w:r>
      <w:r w:rsidR="00C110D1">
        <w:t xml:space="preserve">other information, </w:t>
      </w:r>
      <w:r w:rsidR="009D4ACF">
        <w:t xml:space="preserve">the </w:t>
      </w:r>
      <w:r w:rsidRPr="00B46FFA">
        <w:t>job seeker or employer</w:t>
      </w:r>
      <w:r>
        <w:t xml:space="preserve">.  </w:t>
      </w:r>
      <w:r w:rsidR="00E62AC8">
        <w:t xml:space="preserve"> Fu</w:t>
      </w:r>
      <w:r>
        <w:t xml:space="preserve">rther </w:t>
      </w:r>
      <w:r w:rsidR="00944114">
        <w:t xml:space="preserve">sanctions may also be considered </w:t>
      </w:r>
      <w:r w:rsidR="009D4ACF">
        <w:t>once this step is complete</w:t>
      </w:r>
      <w:r w:rsidR="00E62AC8">
        <w:t xml:space="preserve">.  </w:t>
      </w:r>
      <w:r>
        <w:t xml:space="preserve"> </w:t>
      </w:r>
    </w:p>
    <w:p w:rsidR="00A75DD3" w:rsidRDefault="00F00281" w:rsidP="002A5422">
      <w:r>
        <w:t>Subject</w:t>
      </w:r>
      <w:r w:rsidR="009D4ACF">
        <w:t xml:space="preserve"> to </w:t>
      </w:r>
      <w:r w:rsidR="0011310B">
        <w:t>JSA organisations</w:t>
      </w:r>
      <w:r w:rsidR="009D4ACF">
        <w:t xml:space="preserve"> providing any further information</w:t>
      </w:r>
      <w:r>
        <w:t xml:space="preserve">, it is expected that </w:t>
      </w:r>
      <w:r w:rsidR="009D4ACF">
        <w:t xml:space="preserve">fee </w:t>
      </w:r>
      <w:r>
        <w:t>r</w:t>
      </w:r>
      <w:r w:rsidR="00A75DD3">
        <w:t xml:space="preserve">ecoveries </w:t>
      </w:r>
      <w:r w:rsidR="00A44653">
        <w:t xml:space="preserve">from the audit </w:t>
      </w:r>
      <w:r w:rsidR="00A75DD3">
        <w:t xml:space="preserve">will total approximately </w:t>
      </w:r>
      <w:r w:rsidR="00A44653">
        <w:t>$1.1million</w:t>
      </w:r>
      <w:r>
        <w:t xml:space="preserve">.  This </w:t>
      </w:r>
      <w:r w:rsidR="0011310B">
        <w:t xml:space="preserve">primarily </w:t>
      </w:r>
      <w:r>
        <w:t>represents</w:t>
      </w:r>
      <w:r w:rsidR="00A75DD3">
        <w:t xml:space="preserve"> the difference </w:t>
      </w:r>
      <w:r w:rsidR="00B46FFA">
        <w:t>in</w:t>
      </w:r>
      <w:r w:rsidR="00E62AC8">
        <w:t xml:space="preserve"> </w:t>
      </w:r>
      <w:r w:rsidR="00B46FFA">
        <w:t xml:space="preserve">the fee </w:t>
      </w:r>
      <w:r w:rsidR="00A75DD3">
        <w:t>payable to the provi</w:t>
      </w:r>
      <w:r w:rsidR="0072625C">
        <w:t xml:space="preserve">der for </w:t>
      </w:r>
      <w:r w:rsidR="00B46FFA">
        <w:t xml:space="preserve">a </w:t>
      </w:r>
      <w:r w:rsidR="0072625C">
        <w:t>PBO as compared to a PAO</w:t>
      </w:r>
      <w:r w:rsidR="0011310B">
        <w:t xml:space="preserve"> and the Job Placement fee</w:t>
      </w:r>
      <w:r w:rsidR="00A75DD3">
        <w:t>.  This is because although the brokering component was not confirmed, the requirements for an employment outcome – 13 or 26 weeks in ongoing employment</w:t>
      </w:r>
      <w:r w:rsidR="0011310B">
        <w:t xml:space="preserve"> for job seekers</w:t>
      </w:r>
      <w:r w:rsidR="00A75DD3">
        <w:t xml:space="preserve"> – were generally met. </w:t>
      </w:r>
    </w:p>
    <w:p w:rsidR="009D4ACF" w:rsidRDefault="009D4ACF" w:rsidP="002A5422">
      <w:r w:rsidRPr="00E40BCD">
        <w:lastRenderedPageBreak/>
        <w:t xml:space="preserve">In addition, funds used from the Employment Pathway Fund will be recovered where expenditure was related to </w:t>
      </w:r>
      <w:r w:rsidR="00944114" w:rsidRPr="00E40BCD">
        <w:t xml:space="preserve">invalid </w:t>
      </w:r>
      <w:r w:rsidR="003726B0" w:rsidRPr="00E40BCD">
        <w:t xml:space="preserve">brokering service elements.  </w:t>
      </w:r>
    </w:p>
    <w:p w:rsidR="004F5B83" w:rsidRDefault="004F5B83" w:rsidP="004F5B83">
      <w:r>
        <w:rPr>
          <w:b/>
        </w:rPr>
        <w:t xml:space="preserve">Table </w:t>
      </w:r>
      <w:r w:rsidR="008D3D82">
        <w:rPr>
          <w:b/>
        </w:rPr>
        <w:t>6</w:t>
      </w:r>
      <w:r>
        <w:rPr>
          <w:b/>
        </w:rPr>
        <w:t>: Estimated recovery sum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180"/>
        <w:gridCol w:w="2180"/>
      </w:tblGrid>
      <w:tr w:rsidR="006B007C" w:rsidRPr="00EB27A2" w:rsidTr="002304C7">
        <w:tc>
          <w:tcPr>
            <w:tcW w:w="2179" w:type="dxa"/>
          </w:tcPr>
          <w:p w:rsidR="006B007C" w:rsidRPr="00EB27A2" w:rsidRDefault="00A44653" w:rsidP="00A44653">
            <w:pPr>
              <w:rPr>
                <w:b/>
                <w:sz w:val="20"/>
              </w:rPr>
            </w:pPr>
            <w:r>
              <w:rPr>
                <w:b/>
                <w:sz w:val="20"/>
              </w:rPr>
              <w:t xml:space="preserve">Total </w:t>
            </w:r>
            <w:r w:rsidR="00EB27A2">
              <w:rPr>
                <w:b/>
                <w:sz w:val="20"/>
              </w:rPr>
              <w:t xml:space="preserve">Potential </w:t>
            </w:r>
            <w:r>
              <w:rPr>
                <w:b/>
                <w:sz w:val="20"/>
              </w:rPr>
              <w:t xml:space="preserve">fee </w:t>
            </w:r>
            <w:r w:rsidR="00EB27A2">
              <w:rPr>
                <w:b/>
                <w:sz w:val="20"/>
              </w:rPr>
              <w:t>r</w:t>
            </w:r>
            <w:r w:rsidR="00A20FDF" w:rsidRPr="00EB27A2">
              <w:rPr>
                <w:b/>
                <w:sz w:val="20"/>
              </w:rPr>
              <w:t xml:space="preserve">ecovery </w:t>
            </w:r>
          </w:p>
        </w:tc>
        <w:tc>
          <w:tcPr>
            <w:tcW w:w="2180" w:type="dxa"/>
          </w:tcPr>
          <w:p w:rsidR="006B007C" w:rsidRPr="00A44653" w:rsidRDefault="00EB27A2" w:rsidP="002304C7">
            <w:pPr>
              <w:rPr>
                <w:b/>
                <w:sz w:val="20"/>
              </w:rPr>
            </w:pPr>
            <w:r w:rsidRPr="00A44653">
              <w:rPr>
                <w:b/>
                <w:sz w:val="20"/>
              </w:rPr>
              <w:t>Volunteered invalid claims</w:t>
            </w:r>
          </w:p>
        </w:tc>
        <w:tc>
          <w:tcPr>
            <w:tcW w:w="2180" w:type="dxa"/>
          </w:tcPr>
          <w:p w:rsidR="006B007C" w:rsidRPr="00A44653" w:rsidRDefault="007D4556" w:rsidP="007D4556">
            <w:pPr>
              <w:rPr>
                <w:b/>
                <w:sz w:val="20"/>
              </w:rPr>
            </w:pPr>
            <w:r>
              <w:rPr>
                <w:b/>
                <w:sz w:val="20"/>
              </w:rPr>
              <w:t>Contradicted/Not supported</w:t>
            </w:r>
          </w:p>
        </w:tc>
      </w:tr>
      <w:tr w:rsidR="006B007C" w:rsidRPr="00704D60" w:rsidTr="002304C7">
        <w:tc>
          <w:tcPr>
            <w:tcW w:w="2179" w:type="dxa"/>
          </w:tcPr>
          <w:p w:rsidR="006B007C" w:rsidRPr="00704D60" w:rsidRDefault="00A44653" w:rsidP="00A44653">
            <w:pPr>
              <w:rPr>
                <w:sz w:val="20"/>
              </w:rPr>
            </w:pPr>
            <w:r>
              <w:rPr>
                <w:sz w:val="20"/>
              </w:rPr>
              <w:t>$1.091m</w:t>
            </w:r>
          </w:p>
        </w:tc>
        <w:tc>
          <w:tcPr>
            <w:tcW w:w="2180" w:type="dxa"/>
          </w:tcPr>
          <w:p w:rsidR="006B007C" w:rsidRPr="00704D60" w:rsidRDefault="00A44653" w:rsidP="002304C7">
            <w:pPr>
              <w:rPr>
                <w:sz w:val="20"/>
              </w:rPr>
            </w:pPr>
            <w:r>
              <w:rPr>
                <w:sz w:val="20"/>
              </w:rPr>
              <w:t>$378 000</w:t>
            </w:r>
          </w:p>
        </w:tc>
        <w:tc>
          <w:tcPr>
            <w:tcW w:w="2180" w:type="dxa"/>
          </w:tcPr>
          <w:p w:rsidR="006B007C" w:rsidRPr="00704D60" w:rsidRDefault="00A44653" w:rsidP="002304C7">
            <w:pPr>
              <w:rPr>
                <w:sz w:val="20"/>
              </w:rPr>
            </w:pPr>
            <w:r>
              <w:rPr>
                <w:sz w:val="20"/>
              </w:rPr>
              <w:t>$713 000</w:t>
            </w:r>
          </w:p>
        </w:tc>
      </w:tr>
    </w:tbl>
    <w:p w:rsidR="00E40BCD" w:rsidRDefault="00BF3DD6" w:rsidP="004724CC">
      <w:r>
        <w:t>Based on the evidence through this audit, t</w:t>
      </w:r>
      <w:r w:rsidR="006D4117">
        <w:t xml:space="preserve">he Department will consider the most appropriate and cost effective method to undertake an assurance process for PBO claims across other providers, including </w:t>
      </w:r>
      <w:r w:rsidR="0011310B">
        <w:t>organisations</w:t>
      </w:r>
      <w:r w:rsidR="006D4117">
        <w:t xml:space="preserve"> in the audit that operate in other Employment Services Areas.  </w:t>
      </w:r>
    </w:p>
    <w:p w:rsidR="00F22D39" w:rsidRDefault="00E40BCD" w:rsidP="004724CC">
      <w:r>
        <w:t>The Department intends to finalise the action under the audit by the end of May, with arrangements for all</w:t>
      </w:r>
      <w:r w:rsidR="003158CC">
        <w:t xml:space="preserve"> </w:t>
      </w:r>
      <w:r>
        <w:t>providers being complete</w:t>
      </w:r>
      <w:r w:rsidR="0011310B">
        <w:t>d</w:t>
      </w:r>
      <w:r>
        <w:t xml:space="preserve"> </w:t>
      </w:r>
      <w:r w:rsidR="003158CC">
        <w:t xml:space="preserve">by spring 2012.  </w:t>
      </w:r>
    </w:p>
    <w:sectPr w:rsidR="00F22D39" w:rsidSect="00A87911">
      <w:headerReference w:type="default" r:id="rId12"/>
      <w:pgSz w:w="11906" w:h="16838" w:code="9"/>
      <w:pgMar w:top="1701" w:right="1418" w:bottom="7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CA" w:rsidRDefault="009D60CA">
      <w:r>
        <w:separator/>
      </w:r>
    </w:p>
  </w:endnote>
  <w:endnote w:type="continuationSeparator" w:id="0">
    <w:p w:rsidR="009D60CA" w:rsidRDefault="009D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55 Roman">
    <w:altName w:val="Arial Narrow"/>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33283"/>
      <w:docPartObj>
        <w:docPartGallery w:val="Page Numbers (Bottom of Page)"/>
        <w:docPartUnique/>
      </w:docPartObj>
    </w:sdtPr>
    <w:sdtEndPr/>
    <w:sdtContent>
      <w:p w:rsidR="009D60CA" w:rsidRDefault="009D60CA" w:rsidP="00517BD3">
        <w:pPr>
          <w:pStyle w:val="Footer"/>
          <w:pBdr>
            <w:bottom w:val="single" w:sz="12" w:space="1" w:color="auto"/>
          </w:pBdr>
          <w:jc w:val="center"/>
        </w:pPr>
      </w:p>
      <w:p w:rsidR="009D60CA" w:rsidRPr="00517BD3" w:rsidRDefault="009D60CA" w:rsidP="00517BD3">
        <w:pPr>
          <w:pStyle w:val="MainHeading"/>
          <w:rPr>
            <w:rFonts w:cs="Arial"/>
            <w:b w:val="0"/>
            <w:sz w:val="18"/>
            <w:szCs w:val="18"/>
          </w:rPr>
        </w:pPr>
        <w:r w:rsidRPr="00517BD3">
          <w:rPr>
            <w:rFonts w:cs="Arial"/>
            <w:b w:val="0"/>
            <w:sz w:val="18"/>
            <w:szCs w:val="18"/>
          </w:rPr>
          <w:t xml:space="preserve"> </w:t>
        </w:r>
      </w:p>
      <w:p w:rsidR="009D60CA" w:rsidRPr="00517BD3" w:rsidRDefault="009D60CA" w:rsidP="00517BD3">
        <w:pPr>
          <w:pStyle w:val="MainHeading"/>
          <w:rPr>
            <w:rFonts w:cs="Arial"/>
            <w:b w:val="0"/>
            <w:sz w:val="18"/>
            <w:szCs w:val="18"/>
          </w:rPr>
        </w:pPr>
        <w:r w:rsidRPr="00517BD3">
          <w:rPr>
            <w:rFonts w:cs="Arial"/>
            <w:b w:val="0"/>
            <w:sz w:val="18"/>
            <w:szCs w:val="18"/>
          </w:rPr>
          <w:t xml:space="preserve">JSA PROVIDER BROKERED OUTCOMES </w:t>
        </w:r>
      </w:p>
      <w:p w:rsidR="009D60CA" w:rsidRPr="00517BD3" w:rsidRDefault="00825197" w:rsidP="00517BD3">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CA" w:rsidRDefault="009D60CA">
      <w:r>
        <w:separator/>
      </w:r>
    </w:p>
  </w:footnote>
  <w:footnote w:type="continuationSeparator" w:id="0">
    <w:p w:rsidR="009D60CA" w:rsidRDefault="009D6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CA" w:rsidRPr="000C4210" w:rsidRDefault="009D60CA" w:rsidP="003363CA">
    <w:pPr>
      <w:pStyle w:val="Header"/>
      <w:pBdr>
        <w:bottom w:val="single" w:sz="4" w:space="1" w:color="auto"/>
      </w:pBdr>
      <w:tabs>
        <w:tab w:val="clear" w:pos="4153"/>
        <w:tab w:val="clear" w:pos="8306"/>
      </w:tabs>
      <w:ind w:right="-30"/>
      <w:rPr>
        <w:rFonts w:cs="Arial"/>
        <w:color w:val="808080"/>
        <w:sz w:val="18"/>
        <w:szCs w:val="18"/>
      </w:rPr>
    </w:pPr>
    <w:r>
      <w:rPr>
        <w:b/>
        <w:sz w:val="18"/>
        <w:szCs w:val="18"/>
      </w:rPr>
      <w:tab/>
    </w:r>
  </w:p>
  <w:p w:rsidR="009D60CA" w:rsidRPr="004C731F" w:rsidRDefault="009D60CA" w:rsidP="003363CA">
    <w:pPr>
      <w:tabs>
        <w:tab w:val="right" w:pos="9356"/>
      </w:tabs>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CA" w:rsidRDefault="009D60CA" w:rsidP="00F1388A">
    <w:pPr>
      <w:tabs>
        <w:tab w:val="right" w:pos="9356"/>
      </w:tabs>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AFA"/>
    <w:multiLevelType w:val="hybridMultilevel"/>
    <w:tmpl w:val="CE8EA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EBB5497"/>
    <w:multiLevelType w:val="hybridMultilevel"/>
    <w:tmpl w:val="D4AEC1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C4B21C6"/>
    <w:multiLevelType w:val="hybridMultilevel"/>
    <w:tmpl w:val="DAA80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0607E3"/>
    <w:multiLevelType w:val="singleLevel"/>
    <w:tmpl w:val="7512B750"/>
    <w:lvl w:ilvl="0">
      <w:start w:val="1"/>
      <w:numFmt w:val="bullet"/>
      <w:pStyle w:val="points"/>
      <w:lvlText w:val=""/>
      <w:lvlJc w:val="left"/>
      <w:pPr>
        <w:tabs>
          <w:tab w:val="num" w:pos="360"/>
        </w:tabs>
        <w:ind w:left="360" w:hanging="360"/>
      </w:pPr>
      <w:rPr>
        <w:rFonts w:ascii="Symbol" w:hAnsi="Symbol" w:hint="default"/>
      </w:rPr>
    </w:lvl>
  </w:abstractNum>
  <w:abstractNum w:abstractNumId="4">
    <w:nsid w:val="27244C9D"/>
    <w:multiLevelType w:val="multilevel"/>
    <w:tmpl w:val="C74889D0"/>
    <w:lvl w:ilvl="0">
      <w:start w:val="1"/>
      <w:numFmt w:val="decimal"/>
      <w:pStyle w:val="StyleHeading11Heading1Sectionheadingh112ptNotBold"/>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4DE813CC"/>
    <w:multiLevelType w:val="hybridMultilevel"/>
    <w:tmpl w:val="5D3C4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2A64D5"/>
    <w:multiLevelType w:val="hybridMultilevel"/>
    <w:tmpl w:val="3C086B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54517AC7"/>
    <w:multiLevelType w:val="hybridMultilevel"/>
    <w:tmpl w:val="41DE42D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5BC844B2"/>
    <w:multiLevelType w:val="hybridMultilevel"/>
    <w:tmpl w:val="6EC61552"/>
    <w:lvl w:ilvl="0" w:tplc="F2EC04B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7E364D"/>
    <w:multiLevelType w:val="hybridMultilevel"/>
    <w:tmpl w:val="7E9461AA"/>
    <w:lvl w:ilvl="0" w:tplc="82626738">
      <w:start w:val="1"/>
      <w:numFmt w:val="bullet"/>
      <w:lvlText w:val=""/>
      <w:lvlJc w:val="left"/>
      <w:pPr>
        <w:tabs>
          <w:tab w:val="num" w:pos="360"/>
        </w:tabs>
        <w:ind w:left="360" w:hanging="360"/>
      </w:pPr>
      <w:rPr>
        <w:rFonts w:ascii="Symbol" w:hAnsi="Symbol" w:hint="default"/>
        <w:sz w:val="20"/>
      </w:rPr>
    </w:lvl>
    <w:lvl w:ilvl="1" w:tplc="5AFAB942">
      <w:start w:val="1"/>
      <w:numFmt w:val="bullet"/>
      <w:lvlText w:val="o"/>
      <w:lvlJc w:val="left"/>
      <w:pPr>
        <w:tabs>
          <w:tab w:val="num" w:pos="1440"/>
        </w:tabs>
        <w:ind w:left="1440" w:hanging="360"/>
      </w:pPr>
      <w:rPr>
        <w:rFonts w:ascii="Courier New" w:hAnsi="Courier New" w:cs="Courier New" w:hint="default"/>
      </w:rPr>
    </w:lvl>
    <w:lvl w:ilvl="2" w:tplc="AFA83028" w:tentative="1">
      <w:start w:val="1"/>
      <w:numFmt w:val="bullet"/>
      <w:lvlText w:val=""/>
      <w:lvlJc w:val="left"/>
      <w:pPr>
        <w:tabs>
          <w:tab w:val="num" w:pos="2160"/>
        </w:tabs>
        <w:ind w:left="2160" w:hanging="360"/>
      </w:pPr>
      <w:rPr>
        <w:rFonts w:ascii="Wingdings" w:hAnsi="Wingdings" w:hint="default"/>
      </w:rPr>
    </w:lvl>
    <w:lvl w:ilvl="3" w:tplc="FF08747E" w:tentative="1">
      <w:start w:val="1"/>
      <w:numFmt w:val="bullet"/>
      <w:lvlText w:val=""/>
      <w:lvlJc w:val="left"/>
      <w:pPr>
        <w:tabs>
          <w:tab w:val="num" w:pos="2880"/>
        </w:tabs>
        <w:ind w:left="2880" w:hanging="360"/>
      </w:pPr>
      <w:rPr>
        <w:rFonts w:ascii="Symbol" w:hAnsi="Symbol" w:hint="default"/>
      </w:rPr>
    </w:lvl>
    <w:lvl w:ilvl="4" w:tplc="93C2E356" w:tentative="1">
      <w:start w:val="1"/>
      <w:numFmt w:val="bullet"/>
      <w:lvlText w:val="o"/>
      <w:lvlJc w:val="left"/>
      <w:pPr>
        <w:tabs>
          <w:tab w:val="num" w:pos="3600"/>
        </w:tabs>
        <w:ind w:left="3600" w:hanging="360"/>
      </w:pPr>
      <w:rPr>
        <w:rFonts w:ascii="Courier New" w:hAnsi="Courier New" w:cs="Courier New" w:hint="default"/>
      </w:rPr>
    </w:lvl>
    <w:lvl w:ilvl="5" w:tplc="14D801DC" w:tentative="1">
      <w:start w:val="1"/>
      <w:numFmt w:val="bullet"/>
      <w:lvlText w:val=""/>
      <w:lvlJc w:val="left"/>
      <w:pPr>
        <w:tabs>
          <w:tab w:val="num" w:pos="4320"/>
        </w:tabs>
        <w:ind w:left="4320" w:hanging="360"/>
      </w:pPr>
      <w:rPr>
        <w:rFonts w:ascii="Wingdings" w:hAnsi="Wingdings" w:hint="default"/>
      </w:rPr>
    </w:lvl>
    <w:lvl w:ilvl="6" w:tplc="B5807402" w:tentative="1">
      <w:start w:val="1"/>
      <w:numFmt w:val="bullet"/>
      <w:lvlText w:val=""/>
      <w:lvlJc w:val="left"/>
      <w:pPr>
        <w:tabs>
          <w:tab w:val="num" w:pos="5040"/>
        </w:tabs>
        <w:ind w:left="5040" w:hanging="360"/>
      </w:pPr>
      <w:rPr>
        <w:rFonts w:ascii="Symbol" w:hAnsi="Symbol" w:hint="default"/>
      </w:rPr>
    </w:lvl>
    <w:lvl w:ilvl="7" w:tplc="CC383AF8" w:tentative="1">
      <w:start w:val="1"/>
      <w:numFmt w:val="bullet"/>
      <w:lvlText w:val="o"/>
      <w:lvlJc w:val="left"/>
      <w:pPr>
        <w:tabs>
          <w:tab w:val="num" w:pos="5760"/>
        </w:tabs>
        <w:ind w:left="5760" w:hanging="360"/>
      </w:pPr>
      <w:rPr>
        <w:rFonts w:ascii="Courier New" w:hAnsi="Courier New" w:cs="Courier New" w:hint="default"/>
      </w:rPr>
    </w:lvl>
    <w:lvl w:ilvl="8" w:tplc="99F0FE86" w:tentative="1">
      <w:start w:val="1"/>
      <w:numFmt w:val="bullet"/>
      <w:lvlText w:val=""/>
      <w:lvlJc w:val="left"/>
      <w:pPr>
        <w:tabs>
          <w:tab w:val="num" w:pos="6480"/>
        </w:tabs>
        <w:ind w:left="6480" w:hanging="360"/>
      </w:pPr>
      <w:rPr>
        <w:rFonts w:ascii="Wingdings" w:hAnsi="Wingdings" w:hint="default"/>
      </w:rPr>
    </w:lvl>
  </w:abstractNum>
  <w:abstractNum w:abstractNumId="10">
    <w:nsid w:val="66354A1E"/>
    <w:multiLevelType w:val="hybridMultilevel"/>
    <w:tmpl w:val="58E6D594"/>
    <w:lvl w:ilvl="0" w:tplc="80FCC1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8D16F9"/>
    <w:multiLevelType w:val="hybridMultilevel"/>
    <w:tmpl w:val="7608AB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6CA83021"/>
    <w:multiLevelType w:val="hybridMultilevel"/>
    <w:tmpl w:val="4DA4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5D3D05"/>
    <w:multiLevelType w:val="multilevel"/>
    <w:tmpl w:val="5EA8A978"/>
    <w:lvl w:ilvl="0">
      <w:start w:val="1"/>
      <w:numFmt w:val="decimal"/>
      <w:pStyle w:val="Heading1"/>
      <w:lvlText w:val="%1"/>
      <w:lvlJc w:val="left"/>
      <w:pPr>
        <w:tabs>
          <w:tab w:val="num" w:pos="567"/>
        </w:tabs>
        <w:ind w:left="567" w:hanging="567"/>
      </w:pPr>
      <w:rPr>
        <w:rFonts w:hint="default"/>
        <w:sz w:val="24"/>
      </w:rPr>
    </w:lvl>
    <w:lvl w:ilvl="1">
      <w:start w:val="1"/>
      <w:numFmt w:val="decimal"/>
      <w:lvlText w:val="%1.%2"/>
      <w:lvlJc w:val="left"/>
      <w:pPr>
        <w:tabs>
          <w:tab w:val="num" w:pos="576"/>
        </w:tabs>
        <w:ind w:left="576" w:hanging="576"/>
      </w:pPr>
      <w:rPr>
        <w:rFonts w:ascii="Calibri" w:hAnsi="Calibri" w:cs="Calibri" w:hint="default"/>
        <w:sz w:val="24"/>
        <w:szCs w:val="24"/>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771C4F1B"/>
    <w:multiLevelType w:val="hybridMultilevel"/>
    <w:tmpl w:val="E9445854"/>
    <w:lvl w:ilvl="0" w:tplc="9DBE189C">
      <w:start w:val="1"/>
      <w:numFmt w:val="bullet"/>
      <w:pStyle w:val="Dotpoint"/>
      <w:lvlText w:val=""/>
      <w:lvlJc w:val="left"/>
      <w:pPr>
        <w:tabs>
          <w:tab w:val="num" w:pos="567"/>
        </w:tabs>
        <w:ind w:left="567" w:hanging="283"/>
      </w:pPr>
      <w:rPr>
        <w:rFonts w:ascii="Symbol" w:hAnsi="Symbol" w:hint="default"/>
      </w:rPr>
    </w:lvl>
    <w:lvl w:ilvl="1" w:tplc="85021EAC">
      <w:start w:val="1"/>
      <w:numFmt w:val="bullet"/>
      <w:lvlText w:val="o"/>
      <w:lvlJc w:val="left"/>
      <w:pPr>
        <w:tabs>
          <w:tab w:val="num" w:pos="1440"/>
        </w:tabs>
        <w:ind w:left="1440" w:hanging="360"/>
      </w:pPr>
      <w:rPr>
        <w:rFonts w:ascii="Courier New" w:hAnsi="Courier New" w:cs="Courier New" w:hint="default"/>
      </w:rPr>
    </w:lvl>
    <w:lvl w:ilvl="2" w:tplc="217857FA">
      <w:start w:val="1"/>
      <w:numFmt w:val="bullet"/>
      <w:lvlText w:val=""/>
      <w:lvlJc w:val="left"/>
      <w:pPr>
        <w:tabs>
          <w:tab w:val="num" w:pos="2160"/>
        </w:tabs>
        <w:ind w:left="2160" w:hanging="360"/>
      </w:pPr>
      <w:rPr>
        <w:rFonts w:ascii="Wingdings" w:hAnsi="Wingdings" w:hint="default"/>
      </w:rPr>
    </w:lvl>
    <w:lvl w:ilvl="3" w:tplc="799E488E" w:tentative="1">
      <w:start w:val="1"/>
      <w:numFmt w:val="bullet"/>
      <w:lvlText w:val=""/>
      <w:lvlJc w:val="left"/>
      <w:pPr>
        <w:tabs>
          <w:tab w:val="num" w:pos="2880"/>
        </w:tabs>
        <w:ind w:left="2880" w:hanging="360"/>
      </w:pPr>
      <w:rPr>
        <w:rFonts w:ascii="Symbol" w:hAnsi="Symbol" w:hint="default"/>
      </w:rPr>
    </w:lvl>
    <w:lvl w:ilvl="4" w:tplc="BB9E2290" w:tentative="1">
      <w:start w:val="1"/>
      <w:numFmt w:val="bullet"/>
      <w:lvlText w:val="o"/>
      <w:lvlJc w:val="left"/>
      <w:pPr>
        <w:tabs>
          <w:tab w:val="num" w:pos="3600"/>
        </w:tabs>
        <w:ind w:left="3600" w:hanging="360"/>
      </w:pPr>
      <w:rPr>
        <w:rFonts w:ascii="Courier New" w:hAnsi="Courier New" w:cs="Courier New" w:hint="default"/>
      </w:rPr>
    </w:lvl>
    <w:lvl w:ilvl="5" w:tplc="6CC066B0" w:tentative="1">
      <w:start w:val="1"/>
      <w:numFmt w:val="bullet"/>
      <w:lvlText w:val=""/>
      <w:lvlJc w:val="left"/>
      <w:pPr>
        <w:tabs>
          <w:tab w:val="num" w:pos="4320"/>
        </w:tabs>
        <w:ind w:left="4320" w:hanging="360"/>
      </w:pPr>
      <w:rPr>
        <w:rFonts w:ascii="Wingdings" w:hAnsi="Wingdings" w:hint="default"/>
      </w:rPr>
    </w:lvl>
    <w:lvl w:ilvl="6" w:tplc="093215AE" w:tentative="1">
      <w:start w:val="1"/>
      <w:numFmt w:val="bullet"/>
      <w:lvlText w:val=""/>
      <w:lvlJc w:val="left"/>
      <w:pPr>
        <w:tabs>
          <w:tab w:val="num" w:pos="5040"/>
        </w:tabs>
        <w:ind w:left="5040" w:hanging="360"/>
      </w:pPr>
      <w:rPr>
        <w:rFonts w:ascii="Symbol" w:hAnsi="Symbol" w:hint="default"/>
      </w:rPr>
    </w:lvl>
    <w:lvl w:ilvl="7" w:tplc="0046F0CE" w:tentative="1">
      <w:start w:val="1"/>
      <w:numFmt w:val="bullet"/>
      <w:lvlText w:val="o"/>
      <w:lvlJc w:val="left"/>
      <w:pPr>
        <w:tabs>
          <w:tab w:val="num" w:pos="5760"/>
        </w:tabs>
        <w:ind w:left="5760" w:hanging="360"/>
      </w:pPr>
      <w:rPr>
        <w:rFonts w:ascii="Courier New" w:hAnsi="Courier New" w:cs="Courier New" w:hint="default"/>
      </w:rPr>
    </w:lvl>
    <w:lvl w:ilvl="8" w:tplc="C83C5308" w:tentative="1">
      <w:start w:val="1"/>
      <w:numFmt w:val="bullet"/>
      <w:lvlText w:val=""/>
      <w:lvlJc w:val="left"/>
      <w:pPr>
        <w:tabs>
          <w:tab w:val="num" w:pos="6480"/>
        </w:tabs>
        <w:ind w:left="6480" w:hanging="360"/>
      </w:pPr>
      <w:rPr>
        <w:rFonts w:ascii="Wingdings" w:hAnsi="Wingdings" w:hint="default"/>
      </w:rPr>
    </w:lvl>
  </w:abstractNum>
  <w:abstractNum w:abstractNumId="15">
    <w:nsid w:val="77EB3C69"/>
    <w:multiLevelType w:val="hybridMultilevel"/>
    <w:tmpl w:val="7BD04394"/>
    <w:lvl w:ilvl="0" w:tplc="1AFE072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FC173ED"/>
    <w:multiLevelType w:val="multilevel"/>
    <w:tmpl w:val="CC44F26E"/>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b/>
        <w:sz w:val="22"/>
        <w:szCs w:val="22"/>
      </w:rPr>
    </w:lvl>
    <w:lvl w:ilvl="2">
      <w:start w:val="1"/>
      <w:numFmt w:val="decimal"/>
      <w:pStyle w:val="Heading3"/>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6"/>
  </w:num>
  <w:num w:numId="3">
    <w:abstractNumId w:val="14"/>
  </w:num>
  <w:num w:numId="4">
    <w:abstractNumId w:val="3"/>
  </w:num>
  <w:num w:numId="5">
    <w:abstractNumId w:val="15"/>
  </w:num>
  <w:num w:numId="6">
    <w:abstractNumId w:val="9"/>
  </w:num>
  <w:num w:numId="7">
    <w:abstractNumId w:val="13"/>
  </w:num>
  <w:num w:numId="8">
    <w:abstractNumId w:val="8"/>
  </w:num>
  <w:num w:numId="9">
    <w:abstractNumId w:val="0"/>
  </w:num>
  <w:num w:numId="10">
    <w:abstractNumId w:val="5"/>
  </w:num>
  <w:num w:numId="11">
    <w:abstractNumId w:val="2"/>
  </w:num>
  <w:num w:numId="12">
    <w:abstractNumId w:val="11"/>
  </w:num>
  <w:num w:numId="13">
    <w:abstractNumId w:val="16"/>
  </w:num>
  <w:num w:numId="14">
    <w:abstractNumId w:val="16"/>
  </w:num>
  <w:num w:numId="15">
    <w:abstractNumId w:val="16"/>
  </w:num>
  <w:num w:numId="16">
    <w:abstractNumId w:val="16"/>
  </w:num>
  <w:num w:numId="17">
    <w:abstractNumId w:val="1"/>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num>
  <w:num w:numId="21">
    <w:abstractNumId w:val="10"/>
  </w:num>
  <w:num w:numId="22">
    <w:abstractNumId w:val="16"/>
  </w:num>
  <w:num w:numId="23">
    <w:abstractNumId w:val="16"/>
  </w:num>
  <w:num w:numId="24">
    <w:abstractNumId w:val="16"/>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03"/>
    <w:rsid w:val="00001459"/>
    <w:rsid w:val="000020ED"/>
    <w:rsid w:val="0000320F"/>
    <w:rsid w:val="000036E1"/>
    <w:rsid w:val="00004156"/>
    <w:rsid w:val="00007964"/>
    <w:rsid w:val="0001116A"/>
    <w:rsid w:val="000139F1"/>
    <w:rsid w:val="00013AE4"/>
    <w:rsid w:val="00015FDD"/>
    <w:rsid w:val="00016A9A"/>
    <w:rsid w:val="000179CA"/>
    <w:rsid w:val="00020533"/>
    <w:rsid w:val="0002172E"/>
    <w:rsid w:val="00022CCA"/>
    <w:rsid w:val="00024408"/>
    <w:rsid w:val="00024900"/>
    <w:rsid w:val="00024BA1"/>
    <w:rsid w:val="00026E11"/>
    <w:rsid w:val="00030716"/>
    <w:rsid w:val="00030FD7"/>
    <w:rsid w:val="00031549"/>
    <w:rsid w:val="000347CB"/>
    <w:rsid w:val="00034F98"/>
    <w:rsid w:val="0003513F"/>
    <w:rsid w:val="0004022D"/>
    <w:rsid w:val="000411FA"/>
    <w:rsid w:val="00043164"/>
    <w:rsid w:val="00044C1F"/>
    <w:rsid w:val="000461D1"/>
    <w:rsid w:val="00047798"/>
    <w:rsid w:val="000501F9"/>
    <w:rsid w:val="00050E38"/>
    <w:rsid w:val="00052D65"/>
    <w:rsid w:val="0005575C"/>
    <w:rsid w:val="00056A4E"/>
    <w:rsid w:val="00057AC7"/>
    <w:rsid w:val="00060068"/>
    <w:rsid w:val="0006280A"/>
    <w:rsid w:val="000642BB"/>
    <w:rsid w:val="00065AED"/>
    <w:rsid w:val="00066C0B"/>
    <w:rsid w:val="000703B5"/>
    <w:rsid w:val="0007310E"/>
    <w:rsid w:val="000749CE"/>
    <w:rsid w:val="0007543F"/>
    <w:rsid w:val="00075AA5"/>
    <w:rsid w:val="00075B39"/>
    <w:rsid w:val="000776E4"/>
    <w:rsid w:val="00083EA9"/>
    <w:rsid w:val="000851F3"/>
    <w:rsid w:val="00085977"/>
    <w:rsid w:val="000932B2"/>
    <w:rsid w:val="00097064"/>
    <w:rsid w:val="000A2129"/>
    <w:rsid w:val="000A25F4"/>
    <w:rsid w:val="000A3392"/>
    <w:rsid w:val="000A3778"/>
    <w:rsid w:val="000A3903"/>
    <w:rsid w:val="000A4E1E"/>
    <w:rsid w:val="000A5ACF"/>
    <w:rsid w:val="000B02E4"/>
    <w:rsid w:val="000B7EF2"/>
    <w:rsid w:val="000C0626"/>
    <w:rsid w:val="000C1E62"/>
    <w:rsid w:val="000C1EDC"/>
    <w:rsid w:val="000C4059"/>
    <w:rsid w:val="000C448A"/>
    <w:rsid w:val="000C59C6"/>
    <w:rsid w:val="000C5B18"/>
    <w:rsid w:val="000D0324"/>
    <w:rsid w:val="000D0C91"/>
    <w:rsid w:val="000D25E6"/>
    <w:rsid w:val="000D336D"/>
    <w:rsid w:val="000D5D0C"/>
    <w:rsid w:val="000D68D7"/>
    <w:rsid w:val="000E0D25"/>
    <w:rsid w:val="000E2A6E"/>
    <w:rsid w:val="000E559D"/>
    <w:rsid w:val="000E5617"/>
    <w:rsid w:val="000E7A79"/>
    <w:rsid w:val="000F0FA3"/>
    <w:rsid w:val="000F2B9D"/>
    <w:rsid w:val="000F4795"/>
    <w:rsid w:val="000F4CFE"/>
    <w:rsid w:val="000F5225"/>
    <w:rsid w:val="00101BD1"/>
    <w:rsid w:val="0010277C"/>
    <w:rsid w:val="00104B00"/>
    <w:rsid w:val="0010739C"/>
    <w:rsid w:val="00111BBE"/>
    <w:rsid w:val="0011310B"/>
    <w:rsid w:val="00113F86"/>
    <w:rsid w:val="001140FC"/>
    <w:rsid w:val="001141DC"/>
    <w:rsid w:val="0011507C"/>
    <w:rsid w:val="001156AB"/>
    <w:rsid w:val="00117816"/>
    <w:rsid w:val="00117E7E"/>
    <w:rsid w:val="00123718"/>
    <w:rsid w:val="00125B21"/>
    <w:rsid w:val="00126768"/>
    <w:rsid w:val="001270C7"/>
    <w:rsid w:val="001272AA"/>
    <w:rsid w:val="00131C08"/>
    <w:rsid w:val="00132252"/>
    <w:rsid w:val="00132A43"/>
    <w:rsid w:val="0013466F"/>
    <w:rsid w:val="00134DD9"/>
    <w:rsid w:val="0013691A"/>
    <w:rsid w:val="00140592"/>
    <w:rsid w:val="00141186"/>
    <w:rsid w:val="00141F9B"/>
    <w:rsid w:val="00143C28"/>
    <w:rsid w:val="00146397"/>
    <w:rsid w:val="00150514"/>
    <w:rsid w:val="00156029"/>
    <w:rsid w:val="0015787D"/>
    <w:rsid w:val="00157D7C"/>
    <w:rsid w:val="00161300"/>
    <w:rsid w:val="00162D34"/>
    <w:rsid w:val="001648D3"/>
    <w:rsid w:val="00166002"/>
    <w:rsid w:val="00171EFD"/>
    <w:rsid w:val="0017317C"/>
    <w:rsid w:val="00175BBB"/>
    <w:rsid w:val="00175D74"/>
    <w:rsid w:val="0017731A"/>
    <w:rsid w:val="00180082"/>
    <w:rsid w:val="0018683E"/>
    <w:rsid w:val="001868B4"/>
    <w:rsid w:val="001906D7"/>
    <w:rsid w:val="00190D6F"/>
    <w:rsid w:val="0019232A"/>
    <w:rsid w:val="00194DB6"/>
    <w:rsid w:val="001A1532"/>
    <w:rsid w:val="001A3FB1"/>
    <w:rsid w:val="001A4A44"/>
    <w:rsid w:val="001A583A"/>
    <w:rsid w:val="001A688E"/>
    <w:rsid w:val="001B2D6A"/>
    <w:rsid w:val="001B302A"/>
    <w:rsid w:val="001B3A9B"/>
    <w:rsid w:val="001B4A41"/>
    <w:rsid w:val="001C3C56"/>
    <w:rsid w:val="001C3F89"/>
    <w:rsid w:val="001C50C5"/>
    <w:rsid w:val="001C5ED0"/>
    <w:rsid w:val="001C6877"/>
    <w:rsid w:val="001D4C0C"/>
    <w:rsid w:val="001D51C4"/>
    <w:rsid w:val="001D5EAC"/>
    <w:rsid w:val="001D63E7"/>
    <w:rsid w:val="001D6999"/>
    <w:rsid w:val="001E0FF0"/>
    <w:rsid w:val="001E1C67"/>
    <w:rsid w:val="001E2129"/>
    <w:rsid w:val="001E2B6C"/>
    <w:rsid w:val="001E656C"/>
    <w:rsid w:val="001F02D2"/>
    <w:rsid w:val="001F1167"/>
    <w:rsid w:val="001F2B89"/>
    <w:rsid w:val="001F31EB"/>
    <w:rsid w:val="001F3CCB"/>
    <w:rsid w:val="001F6EC1"/>
    <w:rsid w:val="001F7CE2"/>
    <w:rsid w:val="00200649"/>
    <w:rsid w:val="002006A0"/>
    <w:rsid w:val="00203445"/>
    <w:rsid w:val="00204596"/>
    <w:rsid w:val="00205708"/>
    <w:rsid w:val="00207C06"/>
    <w:rsid w:val="00214495"/>
    <w:rsid w:val="00216FC3"/>
    <w:rsid w:val="00217E91"/>
    <w:rsid w:val="0022482B"/>
    <w:rsid w:val="00225D99"/>
    <w:rsid w:val="00225F99"/>
    <w:rsid w:val="0022767E"/>
    <w:rsid w:val="002278F0"/>
    <w:rsid w:val="002304C7"/>
    <w:rsid w:val="00230EC5"/>
    <w:rsid w:val="00232563"/>
    <w:rsid w:val="00234D76"/>
    <w:rsid w:val="00235210"/>
    <w:rsid w:val="002361EF"/>
    <w:rsid w:val="0023776F"/>
    <w:rsid w:val="002411A5"/>
    <w:rsid w:val="00244A5F"/>
    <w:rsid w:val="00245980"/>
    <w:rsid w:val="002509A2"/>
    <w:rsid w:val="00251071"/>
    <w:rsid w:val="00251492"/>
    <w:rsid w:val="0025494D"/>
    <w:rsid w:val="00254D8E"/>
    <w:rsid w:val="00261107"/>
    <w:rsid w:val="00261BBC"/>
    <w:rsid w:val="002663A0"/>
    <w:rsid w:val="0026692D"/>
    <w:rsid w:val="002765F6"/>
    <w:rsid w:val="0027740D"/>
    <w:rsid w:val="002818B7"/>
    <w:rsid w:val="00285637"/>
    <w:rsid w:val="00285FE6"/>
    <w:rsid w:val="0028692E"/>
    <w:rsid w:val="00286EFB"/>
    <w:rsid w:val="002877D4"/>
    <w:rsid w:val="00290029"/>
    <w:rsid w:val="002924EB"/>
    <w:rsid w:val="00292587"/>
    <w:rsid w:val="00293207"/>
    <w:rsid w:val="00294E8C"/>
    <w:rsid w:val="00295DA5"/>
    <w:rsid w:val="0029684A"/>
    <w:rsid w:val="00296D05"/>
    <w:rsid w:val="00297401"/>
    <w:rsid w:val="002A3BFD"/>
    <w:rsid w:val="002A5422"/>
    <w:rsid w:val="002B06B2"/>
    <w:rsid w:val="002B0AFF"/>
    <w:rsid w:val="002B0CDE"/>
    <w:rsid w:val="002B1A36"/>
    <w:rsid w:val="002B1ECD"/>
    <w:rsid w:val="002B25C0"/>
    <w:rsid w:val="002B528A"/>
    <w:rsid w:val="002B56A0"/>
    <w:rsid w:val="002B6419"/>
    <w:rsid w:val="002B69C7"/>
    <w:rsid w:val="002C0E88"/>
    <w:rsid w:val="002C2322"/>
    <w:rsid w:val="002C29C0"/>
    <w:rsid w:val="002C3D3B"/>
    <w:rsid w:val="002C50EF"/>
    <w:rsid w:val="002C72F7"/>
    <w:rsid w:val="002C7FB0"/>
    <w:rsid w:val="002D1EFB"/>
    <w:rsid w:val="002D2A81"/>
    <w:rsid w:val="002D495F"/>
    <w:rsid w:val="002D5A37"/>
    <w:rsid w:val="002D6428"/>
    <w:rsid w:val="002D76E6"/>
    <w:rsid w:val="002E1C77"/>
    <w:rsid w:val="002E1F0F"/>
    <w:rsid w:val="002E25D5"/>
    <w:rsid w:val="002E2E8D"/>
    <w:rsid w:val="002E5B48"/>
    <w:rsid w:val="002E6DEA"/>
    <w:rsid w:val="002F09AE"/>
    <w:rsid w:val="002F31F8"/>
    <w:rsid w:val="002F41AE"/>
    <w:rsid w:val="002F5B13"/>
    <w:rsid w:val="003000D3"/>
    <w:rsid w:val="00304B7E"/>
    <w:rsid w:val="00304F89"/>
    <w:rsid w:val="00310DF4"/>
    <w:rsid w:val="0031294C"/>
    <w:rsid w:val="00313257"/>
    <w:rsid w:val="00313ADB"/>
    <w:rsid w:val="003158CC"/>
    <w:rsid w:val="00316E28"/>
    <w:rsid w:val="00317687"/>
    <w:rsid w:val="003206C1"/>
    <w:rsid w:val="0032117F"/>
    <w:rsid w:val="00321E89"/>
    <w:rsid w:val="003225C0"/>
    <w:rsid w:val="003236D2"/>
    <w:rsid w:val="003256EA"/>
    <w:rsid w:val="00325938"/>
    <w:rsid w:val="00330277"/>
    <w:rsid w:val="003308EB"/>
    <w:rsid w:val="00332C5B"/>
    <w:rsid w:val="0033315B"/>
    <w:rsid w:val="003333D0"/>
    <w:rsid w:val="003363CA"/>
    <w:rsid w:val="00336A3C"/>
    <w:rsid w:val="003400D9"/>
    <w:rsid w:val="00340EE3"/>
    <w:rsid w:val="003413C3"/>
    <w:rsid w:val="00343BD7"/>
    <w:rsid w:val="00343C3C"/>
    <w:rsid w:val="00344750"/>
    <w:rsid w:val="00345F76"/>
    <w:rsid w:val="0034651A"/>
    <w:rsid w:val="0034736E"/>
    <w:rsid w:val="00347E46"/>
    <w:rsid w:val="003506F1"/>
    <w:rsid w:val="00350F02"/>
    <w:rsid w:val="00353212"/>
    <w:rsid w:val="00353B93"/>
    <w:rsid w:val="00353EEE"/>
    <w:rsid w:val="00354BDD"/>
    <w:rsid w:val="00357865"/>
    <w:rsid w:val="0036275D"/>
    <w:rsid w:val="00364A81"/>
    <w:rsid w:val="00366740"/>
    <w:rsid w:val="00366DF5"/>
    <w:rsid w:val="003726B0"/>
    <w:rsid w:val="00375787"/>
    <w:rsid w:val="003765AB"/>
    <w:rsid w:val="003775B0"/>
    <w:rsid w:val="00377AFA"/>
    <w:rsid w:val="00381D1F"/>
    <w:rsid w:val="00383A84"/>
    <w:rsid w:val="00384A30"/>
    <w:rsid w:val="0038567C"/>
    <w:rsid w:val="003879FC"/>
    <w:rsid w:val="00387B17"/>
    <w:rsid w:val="003911EB"/>
    <w:rsid w:val="00395821"/>
    <w:rsid w:val="00397C76"/>
    <w:rsid w:val="003A3B70"/>
    <w:rsid w:val="003A6911"/>
    <w:rsid w:val="003A6BE2"/>
    <w:rsid w:val="003B0626"/>
    <w:rsid w:val="003B0E1B"/>
    <w:rsid w:val="003B2C1C"/>
    <w:rsid w:val="003B5CE0"/>
    <w:rsid w:val="003B6AE2"/>
    <w:rsid w:val="003C0A1B"/>
    <w:rsid w:val="003C0B92"/>
    <w:rsid w:val="003C1E74"/>
    <w:rsid w:val="003C24D3"/>
    <w:rsid w:val="003D03E2"/>
    <w:rsid w:val="003D3572"/>
    <w:rsid w:val="003D6C71"/>
    <w:rsid w:val="003D6D65"/>
    <w:rsid w:val="003D7FD0"/>
    <w:rsid w:val="003E075D"/>
    <w:rsid w:val="003E08DE"/>
    <w:rsid w:val="003E0C05"/>
    <w:rsid w:val="003E23D5"/>
    <w:rsid w:val="003E23EB"/>
    <w:rsid w:val="003E4747"/>
    <w:rsid w:val="003E53C8"/>
    <w:rsid w:val="003E59F2"/>
    <w:rsid w:val="003E7116"/>
    <w:rsid w:val="003F18FE"/>
    <w:rsid w:val="003F2122"/>
    <w:rsid w:val="003F3937"/>
    <w:rsid w:val="003F522A"/>
    <w:rsid w:val="003F5F3C"/>
    <w:rsid w:val="003F73C4"/>
    <w:rsid w:val="003F7C4F"/>
    <w:rsid w:val="004023FE"/>
    <w:rsid w:val="00403356"/>
    <w:rsid w:val="004034BB"/>
    <w:rsid w:val="0040427C"/>
    <w:rsid w:val="00404B77"/>
    <w:rsid w:val="0041128D"/>
    <w:rsid w:val="00411D79"/>
    <w:rsid w:val="00412A01"/>
    <w:rsid w:val="00416C4F"/>
    <w:rsid w:val="00420D13"/>
    <w:rsid w:val="00423F24"/>
    <w:rsid w:val="004252FB"/>
    <w:rsid w:val="00425483"/>
    <w:rsid w:val="0043015D"/>
    <w:rsid w:val="00430AF9"/>
    <w:rsid w:val="00432D8F"/>
    <w:rsid w:val="00433B6C"/>
    <w:rsid w:val="0043639E"/>
    <w:rsid w:val="00440020"/>
    <w:rsid w:val="00440877"/>
    <w:rsid w:val="00440F7D"/>
    <w:rsid w:val="00441371"/>
    <w:rsid w:val="004454F6"/>
    <w:rsid w:val="00446873"/>
    <w:rsid w:val="00446A7E"/>
    <w:rsid w:val="00447BA6"/>
    <w:rsid w:val="004505D0"/>
    <w:rsid w:val="00451C94"/>
    <w:rsid w:val="00452605"/>
    <w:rsid w:val="0045516E"/>
    <w:rsid w:val="00457521"/>
    <w:rsid w:val="0045755E"/>
    <w:rsid w:val="0046149F"/>
    <w:rsid w:val="00462234"/>
    <w:rsid w:val="0046315C"/>
    <w:rsid w:val="00463825"/>
    <w:rsid w:val="004673F8"/>
    <w:rsid w:val="00470DFE"/>
    <w:rsid w:val="004724CC"/>
    <w:rsid w:val="0047378B"/>
    <w:rsid w:val="0047554D"/>
    <w:rsid w:val="00475573"/>
    <w:rsid w:val="0047578B"/>
    <w:rsid w:val="00477608"/>
    <w:rsid w:val="00481299"/>
    <w:rsid w:val="0048340C"/>
    <w:rsid w:val="0048641E"/>
    <w:rsid w:val="00486BC4"/>
    <w:rsid w:val="00490ADC"/>
    <w:rsid w:val="00493324"/>
    <w:rsid w:val="00494486"/>
    <w:rsid w:val="004954FD"/>
    <w:rsid w:val="00497192"/>
    <w:rsid w:val="00497AD3"/>
    <w:rsid w:val="004A09D1"/>
    <w:rsid w:val="004A1BA6"/>
    <w:rsid w:val="004A1D2F"/>
    <w:rsid w:val="004A1D93"/>
    <w:rsid w:val="004A6243"/>
    <w:rsid w:val="004A7017"/>
    <w:rsid w:val="004B050E"/>
    <w:rsid w:val="004B2159"/>
    <w:rsid w:val="004B48C2"/>
    <w:rsid w:val="004B699A"/>
    <w:rsid w:val="004B7028"/>
    <w:rsid w:val="004C03CE"/>
    <w:rsid w:val="004C4294"/>
    <w:rsid w:val="004C6271"/>
    <w:rsid w:val="004D0185"/>
    <w:rsid w:val="004D1FDC"/>
    <w:rsid w:val="004D28F3"/>
    <w:rsid w:val="004D32D4"/>
    <w:rsid w:val="004D6A82"/>
    <w:rsid w:val="004D74B5"/>
    <w:rsid w:val="004E1369"/>
    <w:rsid w:val="004E24B6"/>
    <w:rsid w:val="004E2D14"/>
    <w:rsid w:val="004E38FE"/>
    <w:rsid w:val="004E3CFD"/>
    <w:rsid w:val="004E6200"/>
    <w:rsid w:val="004F0303"/>
    <w:rsid w:val="004F5B83"/>
    <w:rsid w:val="0050035E"/>
    <w:rsid w:val="005009E6"/>
    <w:rsid w:val="005075B8"/>
    <w:rsid w:val="00507E93"/>
    <w:rsid w:val="00512FDD"/>
    <w:rsid w:val="00513272"/>
    <w:rsid w:val="00513777"/>
    <w:rsid w:val="00517BD3"/>
    <w:rsid w:val="0052169A"/>
    <w:rsid w:val="005227AA"/>
    <w:rsid w:val="00522C24"/>
    <w:rsid w:val="00524EBF"/>
    <w:rsid w:val="00525A73"/>
    <w:rsid w:val="00526D6A"/>
    <w:rsid w:val="00530AA3"/>
    <w:rsid w:val="00530B3E"/>
    <w:rsid w:val="00530C54"/>
    <w:rsid w:val="005321E3"/>
    <w:rsid w:val="00532EAE"/>
    <w:rsid w:val="00533DE6"/>
    <w:rsid w:val="00540DA6"/>
    <w:rsid w:val="005424FA"/>
    <w:rsid w:val="00542AAD"/>
    <w:rsid w:val="00542DFB"/>
    <w:rsid w:val="00543050"/>
    <w:rsid w:val="00543745"/>
    <w:rsid w:val="00547964"/>
    <w:rsid w:val="005540B0"/>
    <w:rsid w:val="00554AB4"/>
    <w:rsid w:val="005551E5"/>
    <w:rsid w:val="00555302"/>
    <w:rsid w:val="005565B5"/>
    <w:rsid w:val="0055664B"/>
    <w:rsid w:val="0055738C"/>
    <w:rsid w:val="00557942"/>
    <w:rsid w:val="00557EC7"/>
    <w:rsid w:val="00560CDB"/>
    <w:rsid w:val="00563DAF"/>
    <w:rsid w:val="00563ED5"/>
    <w:rsid w:val="00566859"/>
    <w:rsid w:val="00572850"/>
    <w:rsid w:val="005742C2"/>
    <w:rsid w:val="00575A39"/>
    <w:rsid w:val="00580A4D"/>
    <w:rsid w:val="00581B09"/>
    <w:rsid w:val="0058339F"/>
    <w:rsid w:val="0058537C"/>
    <w:rsid w:val="00592EC8"/>
    <w:rsid w:val="005946D0"/>
    <w:rsid w:val="00595501"/>
    <w:rsid w:val="005973AC"/>
    <w:rsid w:val="00597F22"/>
    <w:rsid w:val="005A352F"/>
    <w:rsid w:val="005B16AA"/>
    <w:rsid w:val="005B19D3"/>
    <w:rsid w:val="005B1AB1"/>
    <w:rsid w:val="005B38E1"/>
    <w:rsid w:val="005B6C21"/>
    <w:rsid w:val="005B7193"/>
    <w:rsid w:val="005B7DEB"/>
    <w:rsid w:val="005C2D62"/>
    <w:rsid w:val="005C5511"/>
    <w:rsid w:val="005D1583"/>
    <w:rsid w:val="005D26EE"/>
    <w:rsid w:val="005D2FB8"/>
    <w:rsid w:val="005D3E0A"/>
    <w:rsid w:val="005D668F"/>
    <w:rsid w:val="005E026F"/>
    <w:rsid w:val="005E0E5C"/>
    <w:rsid w:val="005E1514"/>
    <w:rsid w:val="005E1A3A"/>
    <w:rsid w:val="005E23D5"/>
    <w:rsid w:val="005E339E"/>
    <w:rsid w:val="005E535F"/>
    <w:rsid w:val="005E5C00"/>
    <w:rsid w:val="005E6164"/>
    <w:rsid w:val="005F0A1A"/>
    <w:rsid w:val="005F140D"/>
    <w:rsid w:val="005F14C4"/>
    <w:rsid w:val="005F163B"/>
    <w:rsid w:val="005F35CC"/>
    <w:rsid w:val="005F41B4"/>
    <w:rsid w:val="005F51A4"/>
    <w:rsid w:val="005F5A7A"/>
    <w:rsid w:val="005F68AB"/>
    <w:rsid w:val="0060024C"/>
    <w:rsid w:val="00600344"/>
    <w:rsid w:val="00602D58"/>
    <w:rsid w:val="00603220"/>
    <w:rsid w:val="006051FA"/>
    <w:rsid w:val="0061030B"/>
    <w:rsid w:val="00610E68"/>
    <w:rsid w:val="006118AA"/>
    <w:rsid w:val="00613E30"/>
    <w:rsid w:val="00616973"/>
    <w:rsid w:val="00617835"/>
    <w:rsid w:val="006203FA"/>
    <w:rsid w:val="00623919"/>
    <w:rsid w:val="0063130C"/>
    <w:rsid w:val="006329D5"/>
    <w:rsid w:val="00632A8F"/>
    <w:rsid w:val="0063305B"/>
    <w:rsid w:val="00635C0B"/>
    <w:rsid w:val="00637AD1"/>
    <w:rsid w:val="006442FE"/>
    <w:rsid w:val="006446E4"/>
    <w:rsid w:val="00647055"/>
    <w:rsid w:val="006509A0"/>
    <w:rsid w:val="006525E3"/>
    <w:rsid w:val="0065301A"/>
    <w:rsid w:val="006536A2"/>
    <w:rsid w:val="0065461C"/>
    <w:rsid w:val="00657613"/>
    <w:rsid w:val="0066287C"/>
    <w:rsid w:val="006632BD"/>
    <w:rsid w:val="00665BE5"/>
    <w:rsid w:val="006660EC"/>
    <w:rsid w:val="00666D9F"/>
    <w:rsid w:val="00666FEB"/>
    <w:rsid w:val="006704F8"/>
    <w:rsid w:val="00672DB2"/>
    <w:rsid w:val="00673F9B"/>
    <w:rsid w:val="0067419A"/>
    <w:rsid w:val="00677C1F"/>
    <w:rsid w:val="00680F20"/>
    <w:rsid w:val="006821DF"/>
    <w:rsid w:val="006822AD"/>
    <w:rsid w:val="0068242A"/>
    <w:rsid w:val="00685148"/>
    <w:rsid w:val="00691C90"/>
    <w:rsid w:val="00691E5B"/>
    <w:rsid w:val="00692606"/>
    <w:rsid w:val="0069345A"/>
    <w:rsid w:val="0069401C"/>
    <w:rsid w:val="006A2008"/>
    <w:rsid w:val="006A3206"/>
    <w:rsid w:val="006A3BF4"/>
    <w:rsid w:val="006A606B"/>
    <w:rsid w:val="006A6B77"/>
    <w:rsid w:val="006A7C01"/>
    <w:rsid w:val="006B007C"/>
    <w:rsid w:val="006B0885"/>
    <w:rsid w:val="006B088F"/>
    <w:rsid w:val="006B177E"/>
    <w:rsid w:val="006C121A"/>
    <w:rsid w:val="006C3DBC"/>
    <w:rsid w:val="006C4264"/>
    <w:rsid w:val="006C46B4"/>
    <w:rsid w:val="006C4862"/>
    <w:rsid w:val="006C5382"/>
    <w:rsid w:val="006C5997"/>
    <w:rsid w:val="006C64EF"/>
    <w:rsid w:val="006C6A84"/>
    <w:rsid w:val="006C6BBE"/>
    <w:rsid w:val="006C6E08"/>
    <w:rsid w:val="006C6E2E"/>
    <w:rsid w:val="006D0F21"/>
    <w:rsid w:val="006D3B12"/>
    <w:rsid w:val="006D4117"/>
    <w:rsid w:val="006D4261"/>
    <w:rsid w:val="006D6E72"/>
    <w:rsid w:val="006D7D3A"/>
    <w:rsid w:val="006E07CC"/>
    <w:rsid w:val="006E1536"/>
    <w:rsid w:val="006E30E8"/>
    <w:rsid w:val="006E4BFD"/>
    <w:rsid w:val="006E4CDF"/>
    <w:rsid w:val="006E72E7"/>
    <w:rsid w:val="006F0673"/>
    <w:rsid w:val="006F322C"/>
    <w:rsid w:val="006F6FA6"/>
    <w:rsid w:val="00700A2B"/>
    <w:rsid w:val="00701F3F"/>
    <w:rsid w:val="007020AC"/>
    <w:rsid w:val="007020D0"/>
    <w:rsid w:val="007033F2"/>
    <w:rsid w:val="00704D60"/>
    <w:rsid w:val="00705815"/>
    <w:rsid w:val="00707283"/>
    <w:rsid w:val="00710973"/>
    <w:rsid w:val="00711AD4"/>
    <w:rsid w:val="00714111"/>
    <w:rsid w:val="007224CB"/>
    <w:rsid w:val="00724589"/>
    <w:rsid w:val="007248E8"/>
    <w:rsid w:val="00725CB6"/>
    <w:rsid w:val="0072625C"/>
    <w:rsid w:val="007265D5"/>
    <w:rsid w:val="0073277E"/>
    <w:rsid w:val="00735EBE"/>
    <w:rsid w:val="007371DF"/>
    <w:rsid w:val="00742DA0"/>
    <w:rsid w:val="007439B6"/>
    <w:rsid w:val="00745548"/>
    <w:rsid w:val="0074681E"/>
    <w:rsid w:val="007512ED"/>
    <w:rsid w:val="00754662"/>
    <w:rsid w:val="00756F84"/>
    <w:rsid w:val="00760419"/>
    <w:rsid w:val="00762886"/>
    <w:rsid w:val="00763816"/>
    <w:rsid w:val="007655AD"/>
    <w:rsid w:val="0076622E"/>
    <w:rsid w:val="0076764F"/>
    <w:rsid w:val="00767EDF"/>
    <w:rsid w:val="00771687"/>
    <w:rsid w:val="007773B0"/>
    <w:rsid w:val="007818FC"/>
    <w:rsid w:val="007821E4"/>
    <w:rsid w:val="00784E54"/>
    <w:rsid w:val="0078644F"/>
    <w:rsid w:val="007871F0"/>
    <w:rsid w:val="00790103"/>
    <w:rsid w:val="00790B8F"/>
    <w:rsid w:val="0079179F"/>
    <w:rsid w:val="00793FBF"/>
    <w:rsid w:val="0079561D"/>
    <w:rsid w:val="00796FA8"/>
    <w:rsid w:val="007A15A3"/>
    <w:rsid w:val="007A16F4"/>
    <w:rsid w:val="007A3638"/>
    <w:rsid w:val="007A4485"/>
    <w:rsid w:val="007A4905"/>
    <w:rsid w:val="007A5DB9"/>
    <w:rsid w:val="007A6A30"/>
    <w:rsid w:val="007A70E0"/>
    <w:rsid w:val="007A737E"/>
    <w:rsid w:val="007B1C06"/>
    <w:rsid w:val="007B3476"/>
    <w:rsid w:val="007B4E39"/>
    <w:rsid w:val="007C07F0"/>
    <w:rsid w:val="007C2298"/>
    <w:rsid w:val="007C4BCD"/>
    <w:rsid w:val="007D1078"/>
    <w:rsid w:val="007D39D8"/>
    <w:rsid w:val="007D4556"/>
    <w:rsid w:val="007D4E26"/>
    <w:rsid w:val="007D5D4E"/>
    <w:rsid w:val="007D6AC8"/>
    <w:rsid w:val="007D6AE0"/>
    <w:rsid w:val="007D753C"/>
    <w:rsid w:val="007E00C2"/>
    <w:rsid w:val="007E0680"/>
    <w:rsid w:val="007E1A47"/>
    <w:rsid w:val="007E4C03"/>
    <w:rsid w:val="007E5DCA"/>
    <w:rsid w:val="007E6A63"/>
    <w:rsid w:val="007E6C67"/>
    <w:rsid w:val="007E7768"/>
    <w:rsid w:val="007F0DDF"/>
    <w:rsid w:val="007F170B"/>
    <w:rsid w:val="007F36A2"/>
    <w:rsid w:val="007F464C"/>
    <w:rsid w:val="007F51FD"/>
    <w:rsid w:val="007F5F1A"/>
    <w:rsid w:val="007F66EE"/>
    <w:rsid w:val="007F671E"/>
    <w:rsid w:val="007F77D2"/>
    <w:rsid w:val="007F7FC3"/>
    <w:rsid w:val="008006BF"/>
    <w:rsid w:val="00801CD6"/>
    <w:rsid w:val="00801FFE"/>
    <w:rsid w:val="00807AC4"/>
    <w:rsid w:val="00807C62"/>
    <w:rsid w:val="00813F58"/>
    <w:rsid w:val="00814638"/>
    <w:rsid w:val="0082037D"/>
    <w:rsid w:val="0082241C"/>
    <w:rsid w:val="008245D9"/>
    <w:rsid w:val="00825197"/>
    <w:rsid w:val="008319FE"/>
    <w:rsid w:val="0083336C"/>
    <w:rsid w:val="008339F9"/>
    <w:rsid w:val="00841010"/>
    <w:rsid w:val="00843580"/>
    <w:rsid w:val="008436F7"/>
    <w:rsid w:val="0084672C"/>
    <w:rsid w:val="00846745"/>
    <w:rsid w:val="0085109B"/>
    <w:rsid w:val="0085163F"/>
    <w:rsid w:val="0085519D"/>
    <w:rsid w:val="00857740"/>
    <w:rsid w:val="008600DC"/>
    <w:rsid w:val="00862E60"/>
    <w:rsid w:val="0086444F"/>
    <w:rsid w:val="00865E24"/>
    <w:rsid w:val="00866CBD"/>
    <w:rsid w:val="00872C01"/>
    <w:rsid w:val="00872CD4"/>
    <w:rsid w:val="00872FA5"/>
    <w:rsid w:val="00875A64"/>
    <w:rsid w:val="008770CF"/>
    <w:rsid w:val="00881872"/>
    <w:rsid w:val="00881E87"/>
    <w:rsid w:val="0088309A"/>
    <w:rsid w:val="008834A2"/>
    <w:rsid w:val="00885AD6"/>
    <w:rsid w:val="008861F0"/>
    <w:rsid w:val="00891734"/>
    <w:rsid w:val="0089227A"/>
    <w:rsid w:val="00892BE6"/>
    <w:rsid w:val="00894800"/>
    <w:rsid w:val="0089682E"/>
    <w:rsid w:val="00896EF6"/>
    <w:rsid w:val="008975E0"/>
    <w:rsid w:val="00897F4D"/>
    <w:rsid w:val="008A0444"/>
    <w:rsid w:val="008A1BDF"/>
    <w:rsid w:val="008A2865"/>
    <w:rsid w:val="008A431C"/>
    <w:rsid w:val="008B08F9"/>
    <w:rsid w:val="008B1988"/>
    <w:rsid w:val="008B3DCA"/>
    <w:rsid w:val="008B4ACD"/>
    <w:rsid w:val="008B6392"/>
    <w:rsid w:val="008B648C"/>
    <w:rsid w:val="008B6BC6"/>
    <w:rsid w:val="008B700D"/>
    <w:rsid w:val="008B730D"/>
    <w:rsid w:val="008C098E"/>
    <w:rsid w:val="008C1FB1"/>
    <w:rsid w:val="008C2C7F"/>
    <w:rsid w:val="008C3BD9"/>
    <w:rsid w:val="008C42CE"/>
    <w:rsid w:val="008D0969"/>
    <w:rsid w:val="008D0F32"/>
    <w:rsid w:val="008D2A19"/>
    <w:rsid w:val="008D3274"/>
    <w:rsid w:val="008D3D82"/>
    <w:rsid w:val="008D41DE"/>
    <w:rsid w:val="008D7E82"/>
    <w:rsid w:val="008E0AE3"/>
    <w:rsid w:val="008E1560"/>
    <w:rsid w:val="008E1D7A"/>
    <w:rsid w:val="008E1DBC"/>
    <w:rsid w:val="008E2346"/>
    <w:rsid w:val="008E58C9"/>
    <w:rsid w:val="008E5A56"/>
    <w:rsid w:val="008F0C0C"/>
    <w:rsid w:val="008F1058"/>
    <w:rsid w:val="008F1344"/>
    <w:rsid w:val="008F2B7C"/>
    <w:rsid w:val="008F6782"/>
    <w:rsid w:val="009003FB"/>
    <w:rsid w:val="00907CC4"/>
    <w:rsid w:val="009126CE"/>
    <w:rsid w:val="0092112B"/>
    <w:rsid w:val="009230D3"/>
    <w:rsid w:val="00923AD1"/>
    <w:rsid w:val="00924407"/>
    <w:rsid w:val="00924FC6"/>
    <w:rsid w:val="009276EC"/>
    <w:rsid w:val="009308CA"/>
    <w:rsid w:val="00931D3A"/>
    <w:rsid w:val="00932F7F"/>
    <w:rsid w:val="00933589"/>
    <w:rsid w:val="00937C94"/>
    <w:rsid w:val="00940EFF"/>
    <w:rsid w:val="009419B6"/>
    <w:rsid w:val="00942668"/>
    <w:rsid w:val="00943EF5"/>
    <w:rsid w:val="00944114"/>
    <w:rsid w:val="00945545"/>
    <w:rsid w:val="009464BD"/>
    <w:rsid w:val="009471A9"/>
    <w:rsid w:val="0095298A"/>
    <w:rsid w:val="00954C37"/>
    <w:rsid w:val="009605A1"/>
    <w:rsid w:val="0096137F"/>
    <w:rsid w:val="0096164B"/>
    <w:rsid w:val="009635A9"/>
    <w:rsid w:val="00964A64"/>
    <w:rsid w:val="009710C5"/>
    <w:rsid w:val="009716E2"/>
    <w:rsid w:val="009733E5"/>
    <w:rsid w:val="009759DC"/>
    <w:rsid w:val="00976C5F"/>
    <w:rsid w:val="00976DEF"/>
    <w:rsid w:val="00976E29"/>
    <w:rsid w:val="00981955"/>
    <w:rsid w:val="00983A10"/>
    <w:rsid w:val="0098450A"/>
    <w:rsid w:val="0098487C"/>
    <w:rsid w:val="00984F99"/>
    <w:rsid w:val="0098516C"/>
    <w:rsid w:val="0098578D"/>
    <w:rsid w:val="009868E7"/>
    <w:rsid w:val="009949DE"/>
    <w:rsid w:val="00994EA0"/>
    <w:rsid w:val="0099616E"/>
    <w:rsid w:val="00996FA9"/>
    <w:rsid w:val="00997C0B"/>
    <w:rsid w:val="009A0C23"/>
    <w:rsid w:val="009A3C57"/>
    <w:rsid w:val="009A4B89"/>
    <w:rsid w:val="009A60A5"/>
    <w:rsid w:val="009A6476"/>
    <w:rsid w:val="009A7251"/>
    <w:rsid w:val="009B4F34"/>
    <w:rsid w:val="009B62B9"/>
    <w:rsid w:val="009C3A03"/>
    <w:rsid w:val="009C5DF3"/>
    <w:rsid w:val="009C7818"/>
    <w:rsid w:val="009D0A81"/>
    <w:rsid w:val="009D1DDC"/>
    <w:rsid w:val="009D2E98"/>
    <w:rsid w:val="009D4ACF"/>
    <w:rsid w:val="009D4C8C"/>
    <w:rsid w:val="009D60CA"/>
    <w:rsid w:val="009E1F6E"/>
    <w:rsid w:val="009E7E55"/>
    <w:rsid w:val="009E7EA5"/>
    <w:rsid w:val="009F0035"/>
    <w:rsid w:val="009F033D"/>
    <w:rsid w:val="009F06C0"/>
    <w:rsid w:val="009F3D47"/>
    <w:rsid w:val="009F4E59"/>
    <w:rsid w:val="009F55B6"/>
    <w:rsid w:val="009F5C55"/>
    <w:rsid w:val="009F6BA4"/>
    <w:rsid w:val="009F7D67"/>
    <w:rsid w:val="00A0042C"/>
    <w:rsid w:val="00A0056C"/>
    <w:rsid w:val="00A01AC7"/>
    <w:rsid w:val="00A02E4B"/>
    <w:rsid w:val="00A03673"/>
    <w:rsid w:val="00A05608"/>
    <w:rsid w:val="00A056B8"/>
    <w:rsid w:val="00A06A82"/>
    <w:rsid w:val="00A07078"/>
    <w:rsid w:val="00A12251"/>
    <w:rsid w:val="00A15B25"/>
    <w:rsid w:val="00A1676E"/>
    <w:rsid w:val="00A16FDE"/>
    <w:rsid w:val="00A17A5B"/>
    <w:rsid w:val="00A20FDF"/>
    <w:rsid w:val="00A21B64"/>
    <w:rsid w:val="00A2348A"/>
    <w:rsid w:val="00A23C57"/>
    <w:rsid w:val="00A25604"/>
    <w:rsid w:val="00A31F57"/>
    <w:rsid w:val="00A33F31"/>
    <w:rsid w:val="00A33F8A"/>
    <w:rsid w:val="00A3459B"/>
    <w:rsid w:val="00A348F0"/>
    <w:rsid w:val="00A35292"/>
    <w:rsid w:val="00A44653"/>
    <w:rsid w:val="00A44D7D"/>
    <w:rsid w:val="00A5020D"/>
    <w:rsid w:val="00A50284"/>
    <w:rsid w:val="00A51E17"/>
    <w:rsid w:val="00A55518"/>
    <w:rsid w:val="00A55A34"/>
    <w:rsid w:val="00A572FC"/>
    <w:rsid w:val="00A60641"/>
    <w:rsid w:val="00A60F21"/>
    <w:rsid w:val="00A62BAF"/>
    <w:rsid w:val="00A64307"/>
    <w:rsid w:val="00A64623"/>
    <w:rsid w:val="00A64E42"/>
    <w:rsid w:val="00A73677"/>
    <w:rsid w:val="00A74433"/>
    <w:rsid w:val="00A75DD3"/>
    <w:rsid w:val="00A766B8"/>
    <w:rsid w:val="00A77FB9"/>
    <w:rsid w:val="00A84D13"/>
    <w:rsid w:val="00A853D7"/>
    <w:rsid w:val="00A877E1"/>
    <w:rsid w:val="00A87911"/>
    <w:rsid w:val="00A9047F"/>
    <w:rsid w:val="00A91092"/>
    <w:rsid w:val="00A91510"/>
    <w:rsid w:val="00A9333C"/>
    <w:rsid w:val="00A96C20"/>
    <w:rsid w:val="00A96E8D"/>
    <w:rsid w:val="00A9787E"/>
    <w:rsid w:val="00AA13A9"/>
    <w:rsid w:val="00AA3990"/>
    <w:rsid w:val="00AA42B3"/>
    <w:rsid w:val="00AA486E"/>
    <w:rsid w:val="00AA57B7"/>
    <w:rsid w:val="00AB0AF1"/>
    <w:rsid w:val="00AB239D"/>
    <w:rsid w:val="00AB3056"/>
    <w:rsid w:val="00AB5401"/>
    <w:rsid w:val="00AB6359"/>
    <w:rsid w:val="00AC3206"/>
    <w:rsid w:val="00AC3444"/>
    <w:rsid w:val="00AC4351"/>
    <w:rsid w:val="00AD0016"/>
    <w:rsid w:val="00AD00A5"/>
    <w:rsid w:val="00AD12E0"/>
    <w:rsid w:val="00AD1ED0"/>
    <w:rsid w:val="00AD3500"/>
    <w:rsid w:val="00AD675C"/>
    <w:rsid w:val="00AE1D11"/>
    <w:rsid w:val="00AE2F28"/>
    <w:rsid w:val="00AE35E4"/>
    <w:rsid w:val="00AE566E"/>
    <w:rsid w:val="00AE7ADB"/>
    <w:rsid w:val="00AF1D5E"/>
    <w:rsid w:val="00AF4E9D"/>
    <w:rsid w:val="00AF605B"/>
    <w:rsid w:val="00B00A9B"/>
    <w:rsid w:val="00B018E8"/>
    <w:rsid w:val="00B01EEA"/>
    <w:rsid w:val="00B0274B"/>
    <w:rsid w:val="00B031A2"/>
    <w:rsid w:val="00B0472E"/>
    <w:rsid w:val="00B05269"/>
    <w:rsid w:val="00B06184"/>
    <w:rsid w:val="00B06560"/>
    <w:rsid w:val="00B071BC"/>
    <w:rsid w:val="00B10F31"/>
    <w:rsid w:val="00B114DA"/>
    <w:rsid w:val="00B1248D"/>
    <w:rsid w:val="00B16828"/>
    <w:rsid w:val="00B169A6"/>
    <w:rsid w:val="00B16F48"/>
    <w:rsid w:val="00B17830"/>
    <w:rsid w:val="00B20D24"/>
    <w:rsid w:val="00B232BB"/>
    <w:rsid w:val="00B23679"/>
    <w:rsid w:val="00B239CF"/>
    <w:rsid w:val="00B23C3B"/>
    <w:rsid w:val="00B24B2E"/>
    <w:rsid w:val="00B27669"/>
    <w:rsid w:val="00B27EA7"/>
    <w:rsid w:val="00B33430"/>
    <w:rsid w:val="00B3486F"/>
    <w:rsid w:val="00B358FC"/>
    <w:rsid w:val="00B407A1"/>
    <w:rsid w:val="00B409BC"/>
    <w:rsid w:val="00B40B53"/>
    <w:rsid w:val="00B40CA3"/>
    <w:rsid w:val="00B43678"/>
    <w:rsid w:val="00B46FFA"/>
    <w:rsid w:val="00B51717"/>
    <w:rsid w:val="00B52CB5"/>
    <w:rsid w:val="00B53F17"/>
    <w:rsid w:val="00B5413B"/>
    <w:rsid w:val="00B5418D"/>
    <w:rsid w:val="00B54475"/>
    <w:rsid w:val="00B55397"/>
    <w:rsid w:val="00B5551C"/>
    <w:rsid w:val="00B55F7E"/>
    <w:rsid w:val="00B578A6"/>
    <w:rsid w:val="00B57998"/>
    <w:rsid w:val="00B63AAB"/>
    <w:rsid w:val="00B65996"/>
    <w:rsid w:val="00B65E73"/>
    <w:rsid w:val="00B66D39"/>
    <w:rsid w:val="00B67503"/>
    <w:rsid w:val="00B73A6C"/>
    <w:rsid w:val="00B74AD8"/>
    <w:rsid w:val="00B74FAE"/>
    <w:rsid w:val="00B75C0C"/>
    <w:rsid w:val="00B7733A"/>
    <w:rsid w:val="00B8464E"/>
    <w:rsid w:val="00B878E5"/>
    <w:rsid w:val="00B92078"/>
    <w:rsid w:val="00B9229F"/>
    <w:rsid w:val="00B926F9"/>
    <w:rsid w:val="00B9435F"/>
    <w:rsid w:val="00B96E99"/>
    <w:rsid w:val="00BA13BE"/>
    <w:rsid w:val="00BA23A2"/>
    <w:rsid w:val="00BA3BBF"/>
    <w:rsid w:val="00BA4F01"/>
    <w:rsid w:val="00BA5755"/>
    <w:rsid w:val="00BA6FFC"/>
    <w:rsid w:val="00BB01BD"/>
    <w:rsid w:val="00BB0CFB"/>
    <w:rsid w:val="00BB17D1"/>
    <w:rsid w:val="00BB188B"/>
    <w:rsid w:val="00BB5C9C"/>
    <w:rsid w:val="00BC2A1B"/>
    <w:rsid w:val="00BC4F38"/>
    <w:rsid w:val="00BC65F1"/>
    <w:rsid w:val="00BC6A43"/>
    <w:rsid w:val="00BC7CB5"/>
    <w:rsid w:val="00BD0DFC"/>
    <w:rsid w:val="00BD1233"/>
    <w:rsid w:val="00BD1327"/>
    <w:rsid w:val="00BD33CA"/>
    <w:rsid w:val="00BD3BFB"/>
    <w:rsid w:val="00BE0446"/>
    <w:rsid w:val="00BE0494"/>
    <w:rsid w:val="00BE139D"/>
    <w:rsid w:val="00BE19D4"/>
    <w:rsid w:val="00BE4AD0"/>
    <w:rsid w:val="00BE5E91"/>
    <w:rsid w:val="00BE6EAE"/>
    <w:rsid w:val="00BE7785"/>
    <w:rsid w:val="00BF02EB"/>
    <w:rsid w:val="00BF1EF3"/>
    <w:rsid w:val="00BF1F9C"/>
    <w:rsid w:val="00BF28A9"/>
    <w:rsid w:val="00BF3DD6"/>
    <w:rsid w:val="00BF67F0"/>
    <w:rsid w:val="00BF7A22"/>
    <w:rsid w:val="00C00DD9"/>
    <w:rsid w:val="00C01A6E"/>
    <w:rsid w:val="00C0261D"/>
    <w:rsid w:val="00C0388F"/>
    <w:rsid w:val="00C0476C"/>
    <w:rsid w:val="00C04F5E"/>
    <w:rsid w:val="00C05FFC"/>
    <w:rsid w:val="00C110D1"/>
    <w:rsid w:val="00C131E5"/>
    <w:rsid w:val="00C1341A"/>
    <w:rsid w:val="00C16305"/>
    <w:rsid w:val="00C21F2B"/>
    <w:rsid w:val="00C225D0"/>
    <w:rsid w:val="00C24856"/>
    <w:rsid w:val="00C31322"/>
    <w:rsid w:val="00C33503"/>
    <w:rsid w:val="00C3464F"/>
    <w:rsid w:val="00C3729F"/>
    <w:rsid w:val="00C376DB"/>
    <w:rsid w:val="00C40A3D"/>
    <w:rsid w:val="00C41818"/>
    <w:rsid w:val="00C433B7"/>
    <w:rsid w:val="00C479AC"/>
    <w:rsid w:val="00C51D43"/>
    <w:rsid w:val="00C57192"/>
    <w:rsid w:val="00C57C1A"/>
    <w:rsid w:val="00C6037B"/>
    <w:rsid w:val="00C704DD"/>
    <w:rsid w:val="00C70D69"/>
    <w:rsid w:val="00C711D0"/>
    <w:rsid w:val="00C768C1"/>
    <w:rsid w:val="00C76F16"/>
    <w:rsid w:val="00C80EAF"/>
    <w:rsid w:val="00C82264"/>
    <w:rsid w:val="00C82DCC"/>
    <w:rsid w:val="00C84598"/>
    <w:rsid w:val="00C8465A"/>
    <w:rsid w:val="00C84B6B"/>
    <w:rsid w:val="00C86AE4"/>
    <w:rsid w:val="00C8768A"/>
    <w:rsid w:val="00C904A3"/>
    <w:rsid w:val="00C938B1"/>
    <w:rsid w:val="00C95C09"/>
    <w:rsid w:val="00CA1692"/>
    <w:rsid w:val="00CA3154"/>
    <w:rsid w:val="00CA358A"/>
    <w:rsid w:val="00CA7ACB"/>
    <w:rsid w:val="00CB073D"/>
    <w:rsid w:val="00CB0979"/>
    <w:rsid w:val="00CB52BF"/>
    <w:rsid w:val="00CB6839"/>
    <w:rsid w:val="00CB6D93"/>
    <w:rsid w:val="00CC0491"/>
    <w:rsid w:val="00CC04B9"/>
    <w:rsid w:val="00CC27EE"/>
    <w:rsid w:val="00CC473D"/>
    <w:rsid w:val="00CC4977"/>
    <w:rsid w:val="00CC5414"/>
    <w:rsid w:val="00CD10E8"/>
    <w:rsid w:val="00CD16A0"/>
    <w:rsid w:val="00CD3221"/>
    <w:rsid w:val="00CD390C"/>
    <w:rsid w:val="00CD47EF"/>
    <w:rsid w:val="00CD6C4B"/>
    <w:rsid w:val="00CD79A1"/>
    <w:rsid w:val="00CD7B38"/>
    <w:rsid w:val="00CD7D1A"/>
    <w:rsid w:val="00CD7EB3"/>
    <w:rsid w:val="00CE05CA"/>
    <w:rsid w:val="00CE315E"/>
    <w:rsid w:val="00CE44BF"/>
    <w:rsid w:val="00CE455D"/>
    <w:rsid w:val="00CE4C04"/>
    <w:rsid w:val="00CE65B9"/>
    <w:rsid w:val="00CE7024"/>
    <w:rsid w:val="00CE7844"/>
    <w:rsid w:val="00CE7C5A"/>
    <w:rsid w:val="00CE7FBE"/>
    <w:rsid w:val="00CF0F87"/>
    <w:rsid w:val="00CF106D"/>
    <w:rsid w:val="00CF2289"/>
    <w:rsid w:val="00CF294B"/>
    <w:rsid w:val="00CF5035"/>
    <w:rsid w:val="00CF6EE2"/>
    <w:rsid w:val="00CF7F65"/>
    <w:rsid w:val="00D01340"/>
    <w:rsid w:val="00D01710"/>
    <w:rsid w:val="00D0310F"/>
    <w:rsid w:val="00D03E72"/>
    <w:rsid w:val="00D0569F"/>
    <w:rsid w:val="00D05D76"/>
    <w:rsid w:val="00D130AD"/>
    <w:rsid w:val="00D22188"/>
    <w:rsid w:val="00D2241A"/>
    <w:rsid w:val="00D229F0"/>
    <w:rsid w:val="00D256D2"/>
    <w:rsid w:val="00D26481"/>
    <w:rsid w:val="00D34998"/>
    <w:rsid w:val="00D35B8B"/>
    <w:rsid w:val="00D35BE0"/>
    <w:rsid w:val="00D4375E"/>
    <w:rsid w:val="00D4590F"/>
    <w:rsid w:val="00D45917"/>
    <w:rsid w:val="00D4612B"/>
    <w:rsid w:val="00D50586"/>
    <w:rsid w:val="00D50F97"/>
    <w:rsid w:val="00D5123A"/>
    <w:rsid w:val="00D51E76"/>
    <w:rsid w:val="00D528E4"/>
    <w:rsid w:val="00D56AC9"/>
    <w:rsid w:val="00D56E27"/>
    <w:rsid w:val="00D6012B"/>
    <w:rsid w:val="00D60C62"/>
    <w:rsid w:val="00D61F95"/>
    <w:rsid w:val="00D62AA8"/>
    <w:rsid w:val="00D63666"/>
    <w:rsid w:val="00D6660A"/>
    <w:rsid w:val="00D66701"/>
    <w:rsid w:val="00D718A7"/>
    <w:rsid w:val="00D723BE"/>
    <w:rsid w:val="00D73D9A"/>
    <w:rsid w:val="00D74E3C"/>
    <w:rsid w:val="00D80170"/>
    <w:rsid w:val="00D82E64"/>
    <w:rsid w:val="00D84BC1"/>
    <w:rsid w:val="00D8515E"/>
    <w:rsid w:val="00D90FC5"/>
    <w:rsid w:val="00D9173D"/>
    <w:rsid w:val="00D93BF3"/>
    <w:rsid w:val="00D943AC"/>
    <w:rsid w:val="00D94977"/>
    <w:rsid w:val="00D94A6E"/>
    <w:rsid w:val="00D94BB8"/>
    <w:rsid w:val="00D94E85"/>
    <w:rsid w:val="00D95A11"/>
    <w:rsid w:val="00D95AF6"/>
    <w:rsid w:val="00D97DAE"/>
    <w:rsid w:val="00DA140B"/>
    <w:rsid w:val="00DA19E8"/>
    <w:rsid w:val="00DA2BC5"/>
    <w:rsid w:val="00DA3547"/>
    <w:rsid w:val="00DA3993"/>
    <w:rsid w:val="00DA4364"/>
    <w:rsid w:val="00DA457E"/>
    <w:rsid w:val="00DA7926"/>
    <w:rsid w:val="00DB1546"/>
    <w:rsid w:val="00DB1BB8"/>
    <w:rsid w:val="00DB2A74"/>
    <w:rsid w:val="00DB3366"/>
    <w:rsid w:val="00DB449D"/>
    <w:rsid w:val="00DB4E56"/>
    <w:rsid w:val="00DB7C2C"/>
    <w:rsid w:val="00DC48DD"/>
    <w:rsid w:val="00DC6362"/>
    <w:rsid w:val="00DC7C8E"/>
    <w:rsid w:val="00DD09C4"/>
    <w:rsid w:val="00DD1C96"/>
    <w:rsid w:val="00DD37DF"/>
    <w:rsid w:val="00DD5AAE"/>
    <w:rsid w:val="00DD5E8A"/>
    <w:rsid w:val="00DD5F26"/>
    <w:rsid w:val="00DD6AF5"/>
    <w:rsid w:val="00DE06ED"/>
    <w:rsid w:val="00DE32F2"/>
    <w:rsid w:val="00DE58EF"/>
    <w:rsid w:val="00DE5AFA"/>
    <w:rsid w:val="00DE7C86"/>
    <w:rsid w:val="00DF07AD"/>
    <w:rsid w:val="00DF6F53"/>
    <w:rsid w:val="00DF7345"/>
    <w:rsid w:val="00DF7B1F"/>
    <w:rsid w:val="00E0089F"/>
    <w:rsid w:val="00E010CD"/>
    <w:rsid w:val="00E0185B"/>
    <w:rsid w:val="00E01FE9"/>
    <w:rsid w:val="00E02451"/>
    <w:rsid w:val="00E0286C"/>
    <w:rsid w:val="00E06145"/>
    <w:rsid w:val="00E078C5"/>
    <w:rsid w:val="00E078CE"/>
    <w:rsid w:val="00E1051C"/>
    <w:rsid w:val="00E13612"/>
    <w:rsid w:val="00E14EF0"/>
    <w:rsid w:val="00E16117"/>
    <w:rsid w:val="00E17055"/>
    <w:rsid w:val="00E174F3"/>
    <w:rsid w:val="00E20C61"/>
    <w:rsid w:val="00E21153"/>
    <w:rsid w:val="00E275B8"/>
    <w:rsid w:val="00E27F9B"/>
    <w:rsid w:val="00E319AA"/>
    <w:rsid w:val="00E361A1"/>
    <w:rsid w:val="00E4056D"/>
    <w:rsid w:val="00E40BCD"/>
    <w:rsid w:val="00E416F7"/>
    <w:rsid w:val="00E42E0E"/>
    <w:rsid w:val="00E43668"/>
    <w:rsid w:val="00E43767"/>
    <w:rsid w:val="00E43B8C"/>
    <w:rsid w:val="00E4448F"/>
    <w:rsid w:val="00E45E1A"/>
    <w:rsid w:val="00E46A5B"/>
    <w:rsid w:val="00E470D7"/>
    <w:rsid w:val="00E52F7C"/>
    <w:rsid w:val="00E5333C"/>
    <w:rsid w:val="00E570EA"/>
    <w:rsid w:val="00E57B3A"/>
    <w:rsid w:val="00E60225"/>
    <w:rsid w:val="00E62AC8"/>
    <w:rsid w:val="00E636CE"/>
    <w:rsid w:val="00E64AEA"/>
    <w:rsid w:val="00E64F77"/>
    <w:rsid w:val="00E6694F"/>
    <w:rsid w:val="00E675BA"/>
    <w:rsid w:val="00E703E1"/>
    <w:rsid w:val="00E71DAB"/>
    <w:rsid w:val="00E732A7"/>
    <w:rsid w:val="00E7527B"/>
    <w:rsid w:val="00E77D38"/>
    <w:rsid w:val="00E84340"/>
    <w:rsid w:val="00E845F3"/>
    <w:rsid w:val="00E869AC"/>
    <w:rsid w:val="00E900C3"/>
    <w:rsid w:val="00E97370"/>
    <w:rsid w:val="00E9769A"/>
    <w:rsid w:val="00EA15FB"/>
    <w:rsid w:val="00EA2283"/>
    <w:rsid w:val="00EA3FAD"/>
    <w:rsid w:val="00EA5BF5"/>
    <w:rsid w:val="00EA71C8"/>
    <w:rsid w:val="00EA74C3"/>
    <w:rsid w:val="00EB002B"/>
    <w:rsid w:val="00EB27A2"/>
    <w:rsid w:val="00EB72D0"/>
    <w:rsid w:val="00EB7F2A"/>
    <w:rsid w:val="00EC0ED3"/>
    <w:rsid w:val="00EC27C1"/>
    <w:rsid w:val="00EC2B81"/>
    <w:rsid w:val="00EC2FE7"/>
    <w:rsid w:val="00EC3ED3"/>
    <w:rsid w:val="00EC5C05"/>
    <w:rsid w:val="00ED0345"/>
    <w:rsid w:val="00ED3037"/>
    <w:rsid w:val="00ED3D04"/>
    <w:rsid w:val="00ED3E60"/>
    <w:rsid w:val="00ED48D3"/>
    <w:rsid w:val="00EE19A0"/>
    <w:rsid w:val="00EE58C4"/>
    <w:rsid w:val="00EE5CFD"/>
    <w:rsid w:val="00EE6041"/>
    <w:rsid w:val="00EE60E5"/>
    <w:rsid w:val="00EE67B5"/>
    <w:rsid w:val="00EE6A7E"/>
    <w:rsid w:val="00EF27F4"/>
    <w:rsid w:val="00EF3AE1"/>
    <w:rsid w:val="00EF4C93"/>
    <w:rsid w:val="00EF6F86"/>
    <w:rsid w:val="00EF75F0"/>
    <w:rsid w:val="00F00281"/>
    <w:rsid w:val="00F004E4"/>
    <w:rsid w:val="00F00CA6"/>
    <w:rsid w:val="00F02C5C"/>
    <w:rsid w:val="00F04029"/>
    <w:rsid w:val="00F04E57"/>
    <w:rsid w:val="00F06567"/>
    <w:rsid w:val="00F1178C"/>
    <w:rsid w:val="00F11AEB"/>
    <w:rsid w:val="00F122C0"/>
    <w:rsid w:val="00F1388A"/>
    <w:rsid w:val="00F14C75"/>
    <w:rsid w:val="00F15365"/>
    <w:rsid w:val="00F15AD5"/>
    <w:rsid w:val="00F170DA"/>
    <w:rsid w:val="00F1766A"/>
    <w:rsid w:val="00F22D39"/>
    <w:rsid w:val="00F23294"/>
    <w:rsid w:val="00F235BD"/>
    <w:rsid w:val="00F23DD7"/>
    <w:rsid w:val="00F3099D"/>
    <w:rsid w:val="00F30CFF"/>
    <w:rsid w:val="00F33563"/>
    <w:rsid w:val="00F34219"/>
    <w:rsid w:val="00F366AD"/>
    <w:rsid w:val="00F36ECD"/>
    <w:rsid w:val="00F41F98"/>
    <w:rsid w:val="00F46101"/>
    <w:rsid w:val="00F4739E"/>
    <w:rsid w:val="00F52AF0"/>
    <w:rsid w:val="00F606CD"/>
    <w:rsid w:val="00F62509"/>
    <w:rsid w:val="00F62709"/>
    <w:rsid w:val="00F639CE"/>
    <w:rsid w:val="00F640B4"/>
    <w:rsid w:val="00F643CE"/>
    <w:rsid w:val="00F65163"/>
    <w:rsid w:val="00F65F73"/>
    <w:rsid w:val="00F66E85"/>
    <w:rsid w:val="00F72664"/>
    <w:rsid w:val="00F74621"/>
    <w:rsid w:val="00F83E0F"/>
    <w:rsid w:val="00F841B3"/>
    <w:rsid w:val="00F86054"/>
    <w:rsid w:val="00F920E0"/>
    <w:rsid w:val="00F92B03"/>
    <w:rsid w:val="00F9434E"/>
    <w:rsid w:val="00F96394"/>
    <w:rsid w:val="00F9645B"/>
    <w:rsid w:val="00FA43AC"/>
    <w:rsid w:val="00FA5347"/>
    <w:rsid w:val="00FA679F"/>
    <w:rsid w:val="00FA79A5"/>
    <w:rsid w:val="00FB009C"/>
    <w:rsid w:val="00FB12E5"/>
    <w:rsid w:val="00FB1312"/>
    <w:rsid w:val="00FB159F"/>
    <w:rsid w:val="00FB2086"/>
    <w:rsid w:val="00FB3FBF"/>
    <w:rsid w:val="00FB5C90"/>
    <w:rsid w:val="00FB6084"/>
    <w:rsid w:val="00FB76B5"/>
    <w:rsid w:val="00FC0290"/>
    <w:rsid w:val="00FC0606"/>
    <w:rsid w:val="00FC363A"/>
    <w:rsid w:val="00FC39A8"/>
    <w:rsid w:val="00FC3FFE"/>
    <w:rsid w:val="00FC6774"/>
    <w:rsid w:val="00FD0681"/>
    <w:rsid w:val="00FD13E1"/>
    <w:rsid w:val="00FD1416"/>
    <w:rsid w:val="00FD1F48"/>
    <w:rsid w:val="00FD3534"/>
    <w:rsid w:val="00FD35A5"/>
    <w:rsid w:val="00FD45F9"/>
    <w:rsid w:val="00FD66E6"/>
    <w:rsid w:val="00FD6772"/>
    <w:rsid w:val="00FE3E31"/>
    <w:rsid w:val="00FE50AF"/>
    <w:rsid w:val="00FE6FD9"/>
    <w:rsid w:val="00FE7987"/>
    <w:rsid w:val="00FF1176"/>
    <w:rsid w:val="00FF1425"/>
    <w:rsid w:val="00FF1840"/>
    <w:rsid w:val="00FF27E5"/>
    <w:rsid w:val="00FF3DFF"/>
    <w:rsid w:val="00FF49DD"/>
    <w:rsid w:val="00FF4A57"/>
    <w:rsid w:val="00FF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A30"/>
    <w:pPr>
      <w:spacing w:before="120"/>
    </w:pPr>
    <w:rPr>
      <w:rFonts w:ascii="Arial" w:hAnsi="Arial"/>
      <w:sz w:val="22"/>
      <w:lang w:eastAsia="en-US"/>
    </w:rPr>
  </w:style>
  <w:style w:type="paragraph" w:styleId="Heading1">
    <w:name w:val="heading 1"/>
    <w:aliases w:val="1. Heading 1,Section heading,h1"/>
    <w:basedOn w:val="Normal"/>
    <w:next w:val="Normal"/>
    <w:qFormat/>
    <w:rsid w:val="00CA1692"/>
    <w:pPr>
      <w:keepNext/>
      <w:numPr>
        <w:numId w:val="7"/>
      </w:numPr>
      <w:spacing w:before="240"/>
      <w:outlineLvl w:val="0"/>
    </w:pPr>
    <w:rPr>
      <w:b/>
      <w:color w:val="000080"/>
      <w:kern w:val="28"/>
      <w:sz w:val="32"/>
    </w:rPr>
  </w:style>
  <w:style w:type="paragraph" w:styleId="Heading2">
    <w:name w:val="heading 2"/>
    <w:aliases w:val="1.1 Heading 2,h2"/>
    <w:basedOn w:val="Heading1"/>
    <w:next w:val="Normal"/>
    <w:qFormat/>
    <w:rsid w:val="00CA1692"/>
    <w:pPr>
      <w:numPr>
        <w:ilvl w:val="1"/>
        <w:numId w:val="2"/>
      </w:numPr>
      <w:outlineLvl w:val="1"/>
    </w:pPr>
    <w:rPr>
      <w:sz w:val="28"/>
    </w:rPr>
  </w:style>
  <w:style w:type="paragraph" w:styleId="Heading3">
    <w:name w:val="heading 3"/>
    <w:basedOn w:val="Normal"/>
    <w:next w:val="Normal"/>
    <w:qFormat/>
    <w:rsid w:val="008600DC"/>
    <w:pPr>
      <w:keepNext/>
      <w:numPr>
        <w:ilvl w:val="2"/>
        <w:numId w:val="2"/>
      </w:numPr>
      <w:spacing w:before="240"/>
      <w:outlineLvl w:val="2"/>
    </w:pPr>
    <w:rPr>
      <w:b/>
      <w:color w:val="000080"/>
      <w:sz w:val="24"/>
    </w:rPr>
  </w:style>
  <w:style w:type="paragraph" w:styleId="Heading4">
    <w:name w:val="heading 4"/>
    <w:aliases w:val="4"/>
    <w:basedOn w:val="Normal"/>
    <w:next w:val="Normal"/>
    <w:qFormat/>
    <w:rsid w:val="00E0185B"/>
    <w:pPr>
      <w:keepNext/>
      <w:keepLines/>
      <w:numPr>
        <w:ilvl w:val="3"/>
        <w:numId w:val="7"/>
      </w:numPr>
      <w:pBdr>
        <w:top w:val="single" w:sz="4" w:space="6" w:color="auto"/>
        <w:left w:val="single" w:sz="4" w:space="4" w:color="auto"/>
        <w:bottom w:val="single" w:sz="4" w:space="6" w:color="auto"/>
        <w:right w:val="single" w:sz="4" w:space="4" w:color="auto"/>
      </w:pBdr>
      <w:shd w:val="clear" w:color="auto" w:fill="800080"/>
      <w:tabs>
        <w:tab w:val="left" w:pos="1080"/>
        <w:tab w:val="left" w:pos="2880"/>
        <w:tab w:val="left" w:pos="4320"/>
        <w:tab w:val="left" w:pos="5760"/>
        <w:tab w:val="left" w:pos="7200"/>
        <w:tab w:val="left" w:pos="8640"/>
      </w:tabs>
      <w:suppressAutoHyphens/>
      <w:spacing w:before="320" w:after="80"/>
      <w:ind w:right="68"/>
      <w:outlineLvl w:val="3"/>
    </w:pPr>
    <w:rPr>
      <w:b/>
      <w:color w:val="FFFFFF"/>
      <w:lang w:val="en-GB"/>
    </w:rPr>
  </w:style>
  <w:style w:type="paragraph" w:styleId="Heading5">
    <w:name w:val="heading 5"/>
    <w:aliases w:val="5"/>
    <w:basedOn w:val="Normal"/>
    <w:next w:val="Normal"/>
    <w:qFormat/>
    <w:rsid w:val="00E0185B"/>
    <w:pPr>
      <w:keepNext/>
      <w:numPr>
        <w:ilvl w:val="4"/>
        <w:numId w:val="7"/>
      </w:numPr>
      <w:outlineLvl w:val="4"/>
    </w:pPr>
    <w:rPr>
      <w:b/>
      <w:sz w:val="18"/>
      <w:lang w:val="en-GB"/>
    </w:rPr>
  </w:style>
  <w:style w:type="paragraph" w:styleId="Heading6">
    <w:name w:val="heading 6"/>
    <w:basedOn w:val="Normal"/>
    <w:next w:val="Normal"/>
    <w:qFormat/>
    <w:rsid w:val="00E0185B"/>
    <w:pPr>
      <w:numPr>
        <w:ilvl w:val="5"/>
        <w:numId w:val="7"/>
      </w:numPr>
      <w:spacing w:before="240" w:after="60"/>
      <w:outlineLvl w:val="5"/>
    </w:pPr>
    <w:rPr>
      <w:b/>
    </w:rPr>
  </w:style>
  <w:style w:type="paragraph" w:styleId="Heading7">
    <w:name w:val="heading 7"/>
    <w:basedOn w:val="Normal"/>
    <w:next w:val="Normal"/>
    <w:qFormat/>
    <w:rsid w:val="00E0185B"/>
    <w:pPr>
      <w:numPr>
        <w:ilvl w:val="6"/>
        <w:numId w:val="7"/>
      </w:numPr>
      <w:spacing w:before="240" w:after="60"/>
      <w:outlineLvl w:val="6"/>
    </w:pPr>
    <w:rPr>
      <w:sz w:val="24"/>
    </w:rPr>
  </w:style>
  <w:style w:type="paragraph" w:styleId="Heading8">
    <w:name w:val="heading 8"/>
    <w:basedOn w:val="Normal"/>
    <w:next w:val="Normal"/>
    <w:qFormat/>
    <w:rsid w:val="00E0185B"/>
    <w:pPr>
      <w:numPr>
        <w:ilvl w:val="7"/>
        <w:numId w:val="7"/>
      </w:numPr>
      <w:spacing w:before="240" w:after="60"/>
      <w:outlineLvl w:val="7"/>
    </w:pPr>
    <w:rPr>
      <w:i/>
      <w:sz w:val="24"/>
    </w:rPr>
  </w:style>
  <w:style w:type="paragraph" w:styleId="Heading9">
    <w:name w:val="heading 9"/>
    <w:basedOn w:val="Normal"/>
    <w:next w:val="Normal"/>
    <w:qFormat/>
    <w:rsid w:val="00E0185B"/>
    <w:pPr>
      <w:numPr>
        <w:ilvl w:val="8"/>
        <w:numId w:val="7"/>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23C3B"/>
    <w:pPr>
      <w:tabs>
        <w:tab w:val="left" w:pos="567"/>
        <w:tab w:val="right" w:leader="dot" w:pos="8505"/>
      </w:tabs>
      <w:spacing w:after="120"/>
      <w:ind w:right="850"/>
    </w:pPr>
    <w:rPr>
      <w:b/>
      <w:caps/>
    </w:rPr>
  </w:style>
  <w:style w:type="paragraph" w:styleId="TOC2">
    <w:name w:val="toc 2"/>
    <w:basedOn w:val="Normal"/>
    <w:next w:val="Normal"/>
    <w:autoRedefine/>
    <w:uiPriority w:val="39"/>
    <w:rsid w:val="0085163F"/>
    <w:pPr>
      <w:tabs>
        <w:tab w:val="left" w:pos="1418"/>
        <w:tab w:val="right" w:leader="dot" w:pos="8505"/>
      </w:tabs>
      <w:spacing w:before="40"/>
      <w:ind w:left="567" w:hanging="567"/>
      <w:jc w:val="both"/>
    </w:pPr>
  </w:style>
  <w:style w:type="paragraph" w:styleId="Footer">
    <w:name w:val="footer"/>
    <w:basedOn w:val="Normal"/>
    <w:link w:val="FooterChar"/>
    <w:uiPriority w:val="99"/>
    <w:rsid w:val="00E0185B"/>
    <w:pPr>
      <w:tabs>
        <w:tab w:val="center" w:pos="4153"/>
        <w:tab w:val="right" w:pos="8306"/>
      </w:tabs>
    </w:pPr>
  </w:style>
  <w:style w:type="paragraph" w:styleId="TOC3">
    <w:name w:val="toc 3"/>
    <w:basedOn w:val="Normal"/>
    <w:next w:val="Normal"/>
    <w:autoRedefine/>
    <w:rsid w:val="008600DC"/>
    <w:pPr>
      <w:tabs>
        <w:tab w:val="left" w:pos="2127"/>
        <w:tab w:val="right" w:leader="dot" w:pos="8505"/>
      </w:tabs>
      <w:spacing w:before="0"/>
      <w:ind w:left="1418"/>
    </w:pPr>
    <w:rPr>
      <w:rFonts w:cs="Arial"/>
      <w:sz w:val="20"/>
      <w:szCs w:val="24"/>
    </w:rPr>
  </w:style>
  <w:style w:type="paragraph" w:styleId="TOC4">
    <w:name w:val="toc 4"/>
    <w:basedOn w:val="Normal"/>
    <w:next w:val="Normal"/>
    <w:autoRedefine/>
    <w:rsid w:val="00E0185B"/>
    <w:pPr>
      <w:ind w:left="600"/>
    </w:pPr>
    <w:rPr>
      <w:sz w:val="18"/>
    </w:rPr>
  </w:style>
  <w:style w:type="paragraph" w:styleId="TOC5">
    <w:name w:val="toc 5"/>
    <w:basedOn w:val="Normal"/>
    <w:next w:val="Normal"/>
    <w:autoRedefine/>
    <w:semiHidden/>
    <w:rsid w:val="00E0185B"/>
    <w:pPr>
      <w:ind w:left="800"/>
    </w:pPr>
    <w:rPr>
      <w:sz w:val="18"/>
    </w:rPr>
  </w:style>
  <w:style w:type="paragraph" w:styleId="TOC6">
    <w:name w:val="toc 6"/>
    <w:basedOn w:val="Normal"/>
    <w:next w:val="Normal"/>
    <w:autoRedefine/>
    <w:semiHidden/>
    <w:rsid w:val="00E0185B"/>
    <w:pPr>
      <w:ind w:left="1000"/>
    </w:pPr>
    <w:rPr>
      <w:sz w:val="18"/>
    </w:rPr>
  </w:style>
  <w:style w:type="paragraph" w:styleId="TOC7">
    <w:name w:val="toc 7"/>
    <w:basedOn w:val="Normal"/>
    <w:next w:val="Normal"/>
    <w:autoRedefine/>
    <w:semiHidden/>
    <w:rsid w:val="00E0185B"/>
    <w:pPr>
      <w:ind w:left="1200"/>
    </w:pPr>
    <w:rPr>
      <w:sz w:val="18"/>
    </w:rPr>
  </w:style>
  <w:style w:type="paragraph" w:styleId="TOC8">
    <w:name w:val="toc 8"/>
    <w:basedOn w:val="Normal"/>
    <w:next w:val="Normal"/>
    <w:autoRedefine/>
    <w:semiHidden/>
    <w:rsid w:val="00E0185B"/>
    <w:pPr>
      <w:ind w:left="1400"/>
    </w:pPr>
    <w:rPr>
      <w:sz w:val="18"/>
    </w:rPr>
  </w:style>
  <w:style w:type="paragraph" w:styleId="TOC9">
    <w:name w:val="toc 9"/>
    <w:basedOn w:val="Normal"/>
    <w:next w:val="Normal"/>
    <w:autoRedefine/>
    <w:semiHidden/>
    <w:rsid w:val="00E0185B"/>
    <w:pPr>
      <w:ind w:left="1600"/>
    </w:pPr>
    <w:rPr>
      <w:sz w:val="18"/>
    </w:rPr>
  </w:style>
  <w:style w:type="character" w:styleId="Hyperlink">
    <w:name w:val="Hyperlink"/>
    <w:basedOn w:val="DefaultParagraphFont"/>
    <w:uiPriority w:val="99"/>
    <w:rsid w:val="006A2008"/>
    <w:rPr>
      <w:rFonts w:ascii="Arial" w:hAnsi="Arial"/>
      <w:color w:val="0000FF"/>
      <w:sz w:val="22"/>
      <w:szCs w:val="22"/>
      <w:u w:val="single"/>
    </w:rPr>
  </w:style>
  <w:style w:type="paragraph" w:customStyle="1" w:styleId="Appendix">
    <w:name w:val="Appendix"/>
    <w:basedOn w:val="Heading1"/>
    <w:link w:val="AppendixChar"/>
    <w:rsid w:val="006A2008"/>
    <w:pPr>
      <w:pageBreakBefore/>
      <w:numPr>
        <w:numId w:val="0"/>
      </w:numPr>
    </w:pPr>
  </w:style>
  <w:style w:type="character" w:customStyle="1" w:styleId="AppendixChar">
    <w:name w:val="Appendix Char"/>
    <w:basedOn w:val="DefaultParagraphFont"/>
    <w:link w:val="Appendix"/>
    <w:rsid w:val="006A2008"/>
    <w:rPr>
      <w:rFonts w:ascii="Arial" w:hAnsi="Arial"/>
      <w:b/>
      <w:color w:val="000080"/>
      <w:kern w:val="28"/>
      <w:sz w:val="32"/>
      <w:lang w:val="en-AU" w:eastAsia="en-US" w:bidi="ar-SA"/>
    </w:rPr>
  </w:style>
  <w:style w:type="character" w:styleId="FollowedHyperlink">
    <w:name w:val="FollowedHyperlink"/>
    <w:basedOn w:val="DefaultParagraphFont"/>
    <w:rsid w:val="00E0185B"/>
    <w:rPr>
      <w:color w:val="800080"/>
      <w:u w:val="single"/>
    </w:rPr>
  </w:style>
  <w:style w:type="paragraph" w:styleId="DocumentMap">
    <w:name w:val="Document Map"/>
    <w:basedOn w:val="Normal"/>
    <w:semiHidden/>
    <w:rsid w:val="00E0185B"/>
    <w:pPr>
      <w:shd w:val="clear" w:color="auto" w:fill="000080"/>
    </w:pPr>
    <w:rPr>
      <w:rFonts w:ascii="Tahoma" w:hAnsi="Tahoma"/>
    </w:rPr>
  </w:style>
  <w:style w:type="character" w:styleId="CommentReference">
    <w:name w:val="annotation reference"/>
    <w:basedOn w:val="DefaultParagraphFont"/>
    <w:semiHidden/>
    <w:rsid w:val="00E0185B"/>
    <w:rPr>
      <w:sz w:val="16"/>
    </w:rPr>
  </w:style>
  <w:style w:type="paragraph" w:styleId="CommentText">
    <w:name w:val="annotation text"/>
    <w:basedOn w:val="Normal"/>
    <w:semiHidden/>
    <w:rsid w:val="00E0185B"/>
  </w:style>
  <w:style w:type="character" w:styleId="Emphasis">
    <w:name w:val="Emphasis"/>
    <w:basedOn w:val="DefaultParagraphFont"/>
    <w:qFormat/>
    <w:rsid w:val="006A2008"/>
    <w:rPr>
      <w:i/>
      <w:iCs/>
    </w:rPr>
  </w:style>
  <w:style w:type="paragraph" w:customStyle="1" w:styleId="Tabletext">
    <w:name w:val="Tabletext"/>
    <w:basedOn w:val="Normal"/>
    <w:rsid w:val="009308CA"/>
    <w:pPr>
      <w:spacing w:before="40" w:after="40"/>
    </w:pPr>
  </w:style>
  <w:style w:type="paragraph" w:customStyle="1" w:styleId="Dotpoint">
    <w:name w:val="Dotpoint"/>
    <w:basedOn w:val="Normal"/>
    <w:link w:val="DotpointChar"/>
    <w:rsid w:val="00A23C57"/>
    <w:pPr>
      <w:numPr>
        <w:numId w:val="3"/>
      </w:numPr>
    </w:pPr>
  </w:style>
  <w:style w:type="character" w:customStyle="1" w:styleId="DotpointChar">
    <w:name w:val="Dotpoint Char"/>
    <w:basedOn w:val="DefaultParagraphFont"/>
    <w:link w:val="Dotpoint"/>
    <w:rsid w:val="008600DC"/>
    <w:rPr>
      <w:rFonts w:ascii="Arial" w:hAnsi="Arial"/>
      <w:sz w:val="22"/>
      <w:lang w:eastAsia="en-US"/>
    </w:rPr>
  </w:style>
  <w:style w:type="paragraph" w:styleId="Header">
    <w:name w:val="header"/>
    <w:basedOn w:val="Normal"/>
    <w:rsid w:val="009308CA"/>
    <w:pPr>
      <w:tabs>
        <w:tab w:val="center" w:pos="4153"/>
        <w:tab w:val="right" w:pos="8306"/>
      </w:tabs>
    </w:pPr>
  </w:style>
  <w:style w:type="character" w:styleId="EndnoteReference">
    <w:name w:val="endnote reference"/>
    <w:basedOn w:val="DefaultParagraphFont"/>
    <w:semiHidden/>
    <w:rsid w:val="00E0185B"/>
    <w:rPr>
      <w:vertAlign w:val="superscript"/>
    </w:rPr>
  </w:style>
  <w:style w:type="paragraph" w:styleId="Caption">
    <w:name w:val="caption"/>
    <w:basedOn w:val="Normal"/>
    <w:next w:val="Normal"/>
    <w:qFormat/>
    <w:rsid w:val="00E0185B"/>
    <w:pPr>
      <w:spacing w:after="120"/>
      <w:jc w:val="center"/>
    </w:pPr>
    <w:rPr>
      <w:b/>
    </w:rPr>
  </w:style>
  <w:style w:type="paragraph" w:styleId="EndnoteText">
    <w:name w:val="endnote text"/>
    <w:basedOn w:val="Normal"/>
    <w:semiHidden/>
    <w:rsid w:val="00E0185B"/>
    <w:rPr>
      <w:rFonts w:ascii="Arial Narrow" w:hAnsi="Arial Narrow"/>
    </w:rPr>
  </w:style>
  <w:style w:type="paragraph" w:styleId="BalloonText">
    <w:name w:val="Balloon Text"/>
    <w:basedOn w:val="Normal"/>
    <w:semiHidden/>
    <w:rsid w:val="00E0185B"/>
    <w:rPr>
      <w:rFonts w:ascii="Tahoma" w:hAnsi="Tahoma" w:cs="Frutiger 55 Roman"/>
      <w:sz w:val="16"/>
      <w:szCs w:val="16"/>
    </w:rPr>
  </w:style>
  <w:style w:type="paragraph" w:styleId="Index1">
    <w:name w:val="index 1"/>
    <w:basedOn w:val="Normal"/>
    <w:next w:val="Normal"/>
    <w:autoRedefine/>
    <w:semiHidden/>
    <w:rsid w:val="002E1F0F"/>
    <w:pPr>
      <w:ind w:left="220" w:hanging="220"/>
    </w:pPr>
  </w:style>
  <w:style w:type="paragraph" w:styleId="IndexHeading">
    <w:name w:val="index heading"/>
    <w:basedOn w:val="Normal"/>
    <w:next w:val="Index1"/>
    <w:semiHidden/>
    <w:rsid w:val="002E1F0F"/>
    <w:pPr>
      <w:spacing w:before="0"/>
    </w:pPr>
    <w:rPr>
      <w:sz w:val="20"/>
      <w:lang w:val="en-US"/>
    </w:rPr>
  </w:style>
  <w:style w:type="paragraph" w:styleId="NormalIndent">
    <w:name w:val="Normal Indent"/>
    <w:basedOn w:val="Normal"/>
    <w:link w:val="NormalIndentChar"/>
    <w:rsid w:val="00C01A6E"/>
    <w:pPr>
      <w:keepLines/>
      <w:spacing w:before="100" w:beforeAutospacing="1" w:after="100" w:afterAutospacing="1"/>
      <w:ind w:left="720"/>
    </w:pPr>
    <w:rPr>
      <w:sz w:val="24"/>
    </w:rPr>
  </w:style>
  <w:style w:type="character" w:customStyle="1" w:styleId="NormalIndentChar">
    <w:name w:val="Normal Indent Char"/>
    <w:basedOn w:val="DefaultParagraphFont"/>
    <w:link w:val="NormalIndent"/>
    <w:rsid w:val="00C01A6E"/>
    <w:rPr>
      <w:rFonts w:ascii="Arial" w:hAnsi="Arial"/>
      <w:sz w:val="24"/>
      <w:lang w:val="en-AU" w:eastAsia="en-US" w:bidi="ar-SA"/>
    </w:rPr>
  </w:style>
  <w:style w:type="character" w:styleId="PageNumber">
    <w:name w:val="page number"/>
    <w:basedOn w:val="DefaultParagraphFont"/>
    <w:rsid w:val="00B9435F"/>
  </w:style>
  <w:style w:type="paragraph" w:styleId="CommentSubject">
    <w:name w:val="annotation subject"/>
    <w:basedOn w:val="CommentText"/>
    <w:next w:val="CommentText"/>
    <w:semiHidden/>
    <w:rsid w:val="00B9435F"/>
    <w:rPr>
      <w:b/>
      <w:bCs/>
      <w:sz w:val="20"/>
    </w:rPr>
  </w:style>
  <w:style w:type="paragraph" w:styleId="BodyText">
    <w:name w:val="Body Text"/>
    <w:basedOn w:val="Normal"/>
    <w:link w:val="BodyTextChar"/>
    <w:rsid w:val="00A84D13"/>
    <w:pPr>
      <w:spacing w:after="120"/>
    </w:pPr>
    <w:rPr>
      <w:lang w:val="en-GB"/>
    </w:rPr>
  </w:style>
  <w:style w:type="character" w:customStyle="1" w:styleId="BodyTextChar">
    <w:name w:val="Body Text Char"/>
    <w:basedOn w:val="DefaultParagraphFont"/>
    <w:link w:val="BodyText"/>
    <w:rsid w:val="00A84D13"/>
    <w:rPr>
      <w:rFonts w:ascii="Arial" w:hAnsi="Arial"/>
      <w:sz w:val="22"/>
      <w:lang w:val="en-GB" w:eastAsia="en-US" w:bidi="ar-SA"/>
    </w:rPr>
  </w:style>
  <w:style w:type="paragraph" w:customStyle="1" w:styleId="DefaultText1">
    <w:name w:val="Default Text:1"/>
    <w:basedOn w:val="Normal"/>
    <w:rsid w:val="009710C5"/>
    <w:pPr>
      <w:overflowPunct w:val="0"/>
      <w:autoSpaceDE w:val="0"/>
      <w:autoSpaceDN w:val="0"/>
      <w:adjustRightInd w:val="0"/>
      <w:spacing w:before="0"/>
      <w:textAlignment w:val="baseline"/>
    </w:pPr>
    <w:rPr>
      <w:color w:val="0000FF"/>
      <w:sz w:val="16"/>
      <w:lang w:val="en-US" w:eastAsia="en-AU"/>
    </w:rPr>
  </w:style>
  <w:style w:type="paragraph" w:customStyle="1" w:styleId="DefaultText">
    <w:name w:val="Default Text"/>
    <w:basedOn w:val="Normal"/>
    <w:rsid w:val="009710C5"/>
    <w:pPr>
      <w:spacing w:before="160"/>
    </w:pPr>
    <w:rPr>
      <w:rFonts w:ascii="Times New Roman" w:hAnsi="Times New Roman"/>
      <w:sz w:val="24"/>
      <w:lang w:val="en-US"/>
    </w:rPr>
  </w:style>
  <w:style w:type="paragraph" w:customStyle="1" w:styleId="TableHeading">
    <w:name w:val="Table Heading"/>
    <w:basedOn w:val="Normal"/>
    <w:rsid w:val="009710C5"/>
    <w:pPr>
      <w:overflowPunct w:val="0"/>
      <w:autoSpaceDE w:val="0"/>
      <w:autoSpaceDN w:val="0"/>
      <w:adjustRightInd w:val="0"/>
      <w:spacing w:before="0"/>
      <w:jc w:val="center"/>
      <w:textAlignment w:val="baseline"/>
    </w:pPr>
    <w:rPr>
      <w:b/>
      <w:color w:val="000000"/>
      <w:sz w:val="20"/>
      <w:lang w:val="en-US" w:eastAsia="en-AU"/>
    </w:rPr>
  </w:style>
  <w:style w:type="paragraph" w:customStyle="1" w:styleId="TableText0">
    <w:name w:val="Table Text"/>
    <w:basedOn w:val="BodyText"/>
    <w:rsid w:val="00B67503"/>
    <w:pPr>
      <w:spacing w:before="60" w:after="60"/>
      <w:ind w:left="34"/>
    </w:pPr>
    <w:rPr>
      <w:rFonts w:ascii="Arial Narrow" w:hAnsi="Arial Narrow"/>
      <w:sz w:val="20"/>
    </w:rPr>
  </w:style>
  <w:style w:type="paragraph" w:customStyle="1" w:styleId="TableHeader">
    <w:name w:val="TableHeader"/>
    <w:basedOn w:val="TableText0"/>
    <w:rsid w:val="00B67503"/>
    <w:pPr>
      <w:jc w:val="center"/>
    </w:pPr>
    <w:rPr>
      <w:b/>
      <w:sz w:val="18"/>
    </w:rPr>
  </w:style>
  <w:style w:type="paragraph" w:customStyle="1" w:styleId="Tabletext1">
    <w:name w:val="Table text"/>
    <w:basedOn w:val="Normal"/>
    <w:rsid w:val="00B67503"/>
    <w:pPr>
      <w:widowControl w:val="0"/>
      <w:tabs>
        <w:tab w:val="decimal" w:pos="0"/>
      </w:tabs>
      <w:spacing w:before="60" w:after="60"/>
      <w:ind w:left="34"/>
    </w:pPr>
    <w:rPr>
      <w:rFonts w:ascii="Arial Narrow" w:hAnsi="Arial Narrow"/>
      <w:color w:val="000000"/>
      <w:sz w:val="18"/>
    </w:rPr>
  </w:style>
  <w:style w:type="table" w:styleId="TableGrid">
    <w:name w:val="Table Grid"/>
    <w:basedOn w:val="TableNormal"/>
    <w:uiPriority w:val="59"/>
    <w:rsid w:val="006203FA"/>
    <w:pPr>
      <w:spacing w:before="1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1Heading1Sectionheadingh112ptNotBold">
    <w:name w:val="Style Heading 11. Heading 1Section headingh1 + 12 pt Not Bold ..."/>
    <w:basedOn w:val="Heading1"/>
    <w:rsid w:val="00FE3E31"/>
    <w:pPr>
      <w:numPr>
        <w:numId w:val="1"/>
      </w:numPr>
      <w:tabs>
        <w:tab w:val="num" w:pos="998"/>
        <w:tab w:val="right" w:pos="9360"/>
      </w:tabs>
      <w:spacing w:before="0" w:after="120"/>
    </w:pPr>
    <w:rPr>
      <w:b w:val="0"/>
      <w:color w:val="auto"/>
      <w:sz w:val="24"/>
      <w:lang w:val="en-GB"/>
    </w:rPr>
  </w:style>
  <w:style w:type="paragraph" w:customStyle="1" w:styleId="StyleLeft063cm">
    <w:name w:val="Style Left:  0.63 cm"/>
    <w:basedOn w:val="Normal"/>
    <w:rsid w:val="005B7DEB"/>
    <w:pPr>
      <w:spacing w:before="160"/>
      <w:ind w:left="360"/>
    </w:pPr>
  </w:style>
  <w:style w:type="paragraph" w:styleId="FootnoteText">
    <w:name w:val="footnote text"/>
    <w:basedOn w:val="Normal"/>
    <w:semiHidden/>
    <w:rsid w:val="00954C37"/>
    <w:pPr>
      <w:spacing w:before="0"/>
    </w:pPr>
    <w:rPr>
      <w:rFonts w:ascii="Times New Roman" w:hAnsi="Times New Roman"/>
      <w:sz w:val="20"/>
      <w:lang w:eastAsia="en-AU"/>
    </w:rPr>
  </w:style>
  <w:style w:type="character" w:styleId="FootnoteReference">
    <w:name w:val="footnote reference"/>
    <w:basedOn w:val="DefaultParagraphFont"/>
    <w:semiHidden/>
    <w:rsid w:val="00954C37"/>
    <w:rPr>
      <w:vertAlign w:val="superscript"/>
    </w:rPr>
  </w:style>
  <w:style w:type="paragraph" w:styleId="NormalWeb">
    <w:name w:val="Normal (Web)"/>
    <w:basedOn w:val="Normal"/>
    <w:uiPriority w:val="99"/>
    <w:rsid w:val="00A60F21"/>
    <w:pPr>
      <w:spacing w:before="100" w:beforeAutospacing="1" w:after="100" w:afterAutospacing="1"/>
    </w:pPr>
    <w:rPr>
      <w:rFonts w:ascii="Times New Roman" w:hAnsi="Times New Roman"/>
      <w:sz w:val="24"/>
      <w:szCs w:val="24"/>
      <w:lang w:eastAsia="en-AU"/>
    </w:rPr>
  </w:style>
  <w:style w:type="paragraph" w:styleId="BodyTextIndent2">
    <w:name w:val="Body Text Indent 2"/>
    <w:basedOn w:val="Normal"/>
    <w:rsid w:val="004E1369"/>
    <w:pPr>
      <w:spacing w:after="120" w:line="480" w:lineRule="auto"/>
      <w:ind w:left="283"/>
    </w:pPr>
  </w:style>
  <w:style w:type="paragraph" w:customStyle="1" w:styleId="Default">
    <w:name w:val="Default"/>
    <w:rsid w:val="00F15AD5"/>
    <w:pPr>
      <w:autoSpaceDE w:val="0"/>
      <w:autoSpaceDN w:val="0"/>
      <w:adjustRightInd w:val="0"/>
    </w:pPr>
    <w:rPr>
      <w:color w:val="000000"/>
      <w:sz w:val="24"/>
      <w:szCs w:val="24"/>
    </w:rPr>
  </w:style>
  <w:style w:type="paragraph" w:customStyle="1" w:styleId="StyleHeading3">
    <w:name w:val="Style Heading 3"/>
    <w:basedOn w:val="Heading3"/>
    <w:autoRedefine/>
    <w:rsid w:val="00647055"/>
    <w:pPr>
      <w:keepLines/>
      <w:numPr>
        <w:ilvl w:val="0"/>
        <w:numId w:val="0"/>
      </w:numPr>
      <w:spacing w:before="120" w:after="60"/>
    </w:pPr>
    <w:rPr>
      <w:rFonts w:ascii="Times New Roman" w:hAnsi="Times New Roman"/>
      <w:b w:val="0"/>
      <w:color w:val="auto"/>
      <w:kern w:val="24"/>
    </w:rPr>
  </w:style>
  <w:style w:type="character" w:customStyle="1" w:styleId="namelabel1">
    <w:name w:val="namelabel1"/>
    <w:basedOn w:val="DefaultParagraphFont"/>
    <w:rsid w:val="00B63AAB"/>
    <w:rPr>
      <w:color w:val="0000FF"/>
      <w:sz w:val="36"/>
      <w:szCs w:val="36"/>
    </w:rPr>
  </w:style>
  <w:style w:type="character" w:customStyle="1" w:styleId="aspnet-detailsview-value1">
    <w:name w:val="aspnet-detailsview-value1"/>
    <w:basedOn w:val="DefaultParagraphFont"/>
    <w:rsid w:val="00B63AAB"/>
  </w:style>
  <w:style w:type="paragraph" w:customStyle="1" w:styleId="EG">
    <w:name w:val="EG"/>
    <w:basedOn w:val="Normal"/>
    <w:rsid w:val="002818B7"/>
    <w:pPr>
      <w:spacing w:after="120"/>
      <w:ind w:left="720"/>
      <w:jc w:val="both"/>
    </w:pPr>
    <w:rPr>
      <w:i/>
      <w:color w:val="000000"/>
      <w:lang w:eastAsia="en-AU"/>
    </w:rPr>
  </w:style>
  <w:style w:type="paragraph" w:styleId="BodyText2">
    <w:name w:val="Body Text 2"/>
    <w:basedOn w:val="Normal"/>
    <w:rsid w:val="002818B7"/>
    <w:pPr>
      <w:spacing w:after="120" w:line="480" w:lineRule="auto"/>
    </w:pPr>
  </w:style>
  <w:style w:type="paragraph" w:customStyle="1" w:styleId="points">
    <w:name w:val="points"/>
    <w:basedOn w:val="Normal"/>
    <w:rsid w:val="002818B7"/>
    <w:pPr>
      <w:numPr>
        <w:numId w:val="4"/>
      </w:numPr>
      <w:spacing w:after="120"/>
      <w:ind w:left="357" w:hanging="357"/>
      <w:jc w:val="both"/>
    </w:pPr>
    <w:rPr>
      <w:color w:val="000000"/>
      <w:lang w:eastAsia="en-AU"/>
    </w:rPr>
  </w:style>
  <w:style w:type="paragraph" w:customStyle="1" w:styleId="MainHeading">
    <w:name w:val="MainHeading"/>
    <w:next w:val="Normal"/>
    <w:rsid w:val="00D94A6E"/>
    <w:pPr>
      <w:ind w:left="-709" w:right="-551"/>
      <w:jc w:val="center"/>
    </w:pPr>
    <w:rPr>
      <w:rFonts w:ascii="Arial" w:hAnsi="Arial"/>
      <w:b/>
      <w:sz w:val="40"/>
      <w:szCs w:val="48"/>
      <w:lang w:eastAsia="en-US"/>
    </w:rPr>
  </w:style>
  <w:style w:type="paragraph" w:styleId="Title">
    <w:name w:val="Title"/>
    <w:aliases w:val="sub-text"/>
    <w:qFormat/>
    <w:rsid w:val="00D94A6E"/>
    <w:pPr>
      <w:pBdr>
        <w:top w:val="single" w:sz="4" w:space="1" w:color="auto"/>
        <w:left w:val="single" w:sz="4" w:space="4" w:color="auto"/>
        <w:bottom w:val="single" w:sz="4" w:space="1" w:color="auto"/>
        <w:right w:val="single" w:sz="4" w:space="4" w:color="auto"/>
      </w:pBdr>
      <w:spacing w:after="120"/>
      <w:jc w:val="center"/>
    </w:pPr>
    <w:rPr>
      <w:rFonts w:ascii="Arial" w:hAnsi="Arial"/>
      <w:b/>
      <w:iCs/>
      <w:color w:val="FF0000"/>
      <w:szCs w:val="24"/>
      <w:lang w:eastAsia="en-US"/>
    </w:rPr>
  </w:style>
  <w:style w:type="paragraph" w:customStyle="1" w:styleId="StyleBoldCentered">
    <w:name w:val="Style Bold + Centered"/>
    <w:basedOn w:val="Normal"/>
    <w:rsid w:val="00D94A6E"/>
    <w:pPr>
      <w:spacing w:after="120"/>
      <w:jc w:val="center"/>
    </w:pPr>
    <w:rPr>
      <w:b/>
      <w:bCs/>
    </w:rPr>
  </w:style>
  <w:style w:type="paragraph" w:customStyle="1" w:styleId="BodyText0">
    <w:name w:val="BodyText"/>
    <w:link w:val="BodyTextCharChar"/>
    <w:rsid w:val="00600344"/>
    <w:pPr>
      <w:spacing w:before="120" w:after="120"/>
    </w:pPr>
    <w:rPr>
      <w:rFonts w:ascii="Arial" w:hAnsi="Arial"/>
      <w:sz w:val="22"/>
      <w:lang w:eastAsia="en-US"/>
    </w:rPr>
  </w:style>
  <w:style w:type="character" w:customStyle="1" w:styleId="BodyTextCharChar">
    <w:name w:val="BodyText Char Char"/>
    <w:basedOn w:val="DefaultParagraphFont"/>
    <w:link w:val="BodyText0"/>
    <w:rsid w:val="00600344"/>
    <w:rPr>
      <w:rFonts w:ascii="Arial" w:hAnsi="Arial"/>
      <w:sz w:val="22"/>
      <w:lang w:val="en-AU" w:eastAsia="en-US" w:bidi="ar-SA"/>
    </w:rPr>
  </w:style>
  <w:style w:type="paragraph" w:customStyle="1" w:styleId="TableText2">
    <w:name w:val="TableText"/>
    <w:link w:val="TableTextChar"/>
    <w:rsid w:val="00600344"/>
    <w:pPr>
      <w:spacing w:before="120"/>
    </w:pPr>
    <w:rPr>
      <w:rFonts w:ascii="Arial" w:hAnsi="Arial"/>
      <w:sz w:val="22"/>
      <w:lang w:eastAsia="en-US"/>
    </w:rPr>
  </w:style>
  <w:style w:type="paragraph" w:customStyle="1" w:styleId="Bold">
    <w:name w:val="Bold"/>
    <w:basedOn w:val="BodyText0"/>
    <w:link w:val="BoldChar"/>
    <w:rsid w:val="00600344"/>
    <w:rPr>
      <w:b/>
      <w:szCs w:val="24"/>
    </w:rPr>
  </w:style>
  <w:style w:type="character" w:customStyle="1" w:styleId="BoldChar">
    <w:name w:val="Bold Char"/>
    <w:basedOn w:val="BodyTextCharChar"/>
    <w:link w:val="Bold"/>
    <w:rsid w:val="00600344"/>
    <w:rPr>
      <w:rFonts w:ascii="Arial" w:hAnsi="Arial"/>
      <w:b/>
      <w:sz w:val="22"/>
      <w:szCs w:val="24"/>
      <w:lang w:val="en-AU" w:eastAsia="en-US" w:bidi="ar-SA"/>
    </w:rPr>
  </w:style>
  <w:style w:type="character" w:customStyle="1" w:styleId="TableTextChar">
    <w:name w:val="TableText Char"/>
    <w:basedOn w:val="DefaultParagraphFont"/>
    <w:link w:val="TableText2"/>
    <w:rsid w:val="00600344"/>
    <w:rPr>
      <w:rFonts w:ascii="Arial" w:hAnsi="Arial"/>
      <w:sz w:val="22"/>
      <w:lang w:val="en-AU" w:eastAsia="en-US" w:bidi="ar-SA"/>
    </w:rPr>
  </w:style>
  <w:style w:type="paragraph" w:styleId="PlainText">
    <w:name w:val="Plain Text"/>
    <w:basedOn w:val="Normal"/>
    <w:rsid w:val="00D82E64"/>
    <w:pPr>
      <w:spacing w:before="0"/>
    </w:pPr>
    <w:rPr>
      <w:rFonts w:ascii="Courier New" w:hAnsi="Courier New" w:cs="Courier New"/>
      <w:sz w:val="20"/>
      <w:lang w:eastAsia="en-AU"/>
    </w:rPr>
  </w:style>
  <w:style w:type="paragraph" w:styleId="ListParagraph">
    <w:name w:val="List Paragraph"/>
    <w:basedOn w:val="Normal"/>
    <w:uiPriority w:val="34"/>
    <w:qFormat/>
    <w:rsid w:val="00304B7E"/>
    <w:pPr>
      <w:spacing w:before="0"/>
      <w:ind w:left="720"/>
      <w:contextualSpacing/>
    </w:pPr>
    <w:rPr>
      <w:rFonts w:ascii="Times New Roman" w:hAnsi="Times New Roman"/>
      <w:sz w:val="24"/>
      <w:szCs w:val="24"/>
      <w:lang w:eastAsia="en-AU"/>
    </w:rPr>
  </w:style>
  <w:style w:type="paragraph" w:styleId="Revision">
    <w:name w:val="Revision"/>
    <w:hidden/>
    <w:uiPriority w:val="99"/>
    <w:semiHidden/>
    <w:rsid w:val="00D229F0"/>
    <w:rPr>
      <w:rFonts w:ascii="Arial" w:hAnsi="Arial"/>
      <w:sz w:val="22"/>
      <w:lang w:eastAsia="en-US"/>
    </w:rPr>
  </w:style>
  <w:style w:type="character" w:customStyle="1" w:styleId="FooterChar">
    <w:name w:val="Footer Char"/>
    <w:basedOn w:val="DefaultParagraphFont"/>
    <w:link w:val="Footer"/>
    <w:uiPriority w:val="99"/>
    <w:rsid w:val="00AB6359"/>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A30"/>
    <w:pPr>
      <w:spacing w:before="120"/>
    </w:pPr>
    <w:rPr>
      <w:rFonts w:ascii="Arial" w:hAnsi="Arial"/>
      <w:sz w:val="22"/>
      <w:lang w:eastAsia="en-US"/>
    </w:rPr>
  </w:style>
  <w:style w:type="paragraph" w:styleId="Heading1">
    <w:name w:val="heading 1"/>
    <w:aliases w:val="1. Heading 1,Section heading,h1"/>
    <w:basedOn w:val="Normal"/>
    <w:next w:val="Normal"/>
    <w:qFormat/>
    <w:rsid w:val="00CA1692"/>
    <w:pPr>
      <w:keepNext/>
      <w:numPr>
        <w:numId w:val="7"/>
      </w:numPr>
      <w:spacing w:before="240"/>
      <w:outlineLvl w:val="0"/>
    </w:pPr>
    <w:rPr>
      <w:b/>
      <w:color w:val="000080"/>
      <w:kern w:val="28"/>
      <w:sz w:val="32"/>
    </w:rPr>
  </w:style>
  <w:style w:type="paragraph" w:styleId="Heading2">
    <w:name w:val="heading 2"/>
    <w:aliases w:val="1.1 Heading 2,h2"/>
    <w:basedOn w:val="Heading1"/>
    <w:next w:val="Normal"/>
    <w:qFormat/>
    <w:rsid w:val="00CA1692"/>
    <w:pPr>
      <w:numPr>
        <w:ilvl w:val="1"/>
        <w:numId w:val="2"/>
      </w:numPr>
      <w:outlineLvl w:val="1"/>
    </w:pPr>
    <w:rPr>
      <w:sz w:val="28"/>
    </w:rPr>
  </w:style>
  <w:style w:type="paragraph" w:styleId="Heading3">
    <w:name w:val="heading 3"/>
    <w:basedOn w:val="Normal"/>
    <w:next w:val="Normal"/>
    <w:qFormat/>
    <w:rsid w:val="008600DC"/>
    <w:pPr>
      <w:keepNext/>
      <w:numPr>
        <w:ilvl w:val="2"/>
        <w:numId w:val="2"/>
      </w:numPr>
      <w:spacing w:before="240"/>
      <w:outlineLvl w:val="2"/>
    </w:pPr>
    <w:rPr>
      <w:b/>
      <w:color w:val="000080"/>
      <w:sz w:val="24"/>
    </w:rPr>
  </w:style>
  <w:style w:type="paragraph" w:styleId="Heading4">
    <w:name w:val="heading 4"/>
    <w:aliases w:val="4"/>
    <w:basedOn w:val="Normal"/>
    <w:next w:val="Normal"/>
    <w:qFormat/>
    <w:rsid w:val="00E0185B"/>
    <w:pPr>
      <w:keepNext/>
      <w:keepLines/>
      <w:numPr>
        <w:ilvl w:val="3"/>
        <w:numId w:val="7"/>
      </w:numPr>
      <w:pBdr>
        <w:top w:val="single" w:sz="4" w:space="6" w:color="auto"/>
        <w:left w:val="single" w:sz="4" w:space="4" w:color="auto"/>
        <w:bottom w:val="single" w:sz="4" w:space="6" w:color="auto"/>
        <w:right w:val="single" w:sz="4" w:space="4" w:color="auto"/>
      </w:pBdr>
      <w:shd w:val="clear" w:color="auto" w:fill="800080"/>
      <w:tabs>
        <w:tab w:val="left" w:pos="1080"/>
        <w:tab w:val="left" w:pos="2880"/>
        <w:tab w:val="left" w:pos="4320"/>
        <w:tab w:val="left" w:pos="5760"/>
        <w:tab w:val="left" w:pos="7200"/>
        <w:tab w:val="left" w:pos="8640"/>
      </w:tabs>
      <w:suppressAutoHyphens/>
      <w:spacing w:before="320" w:after="80"/>
      <w:ind w:right="68"/>
      <w:outlineLvl w:val="3"/>
    </w:pPr>
    <w:rPr>
      <w:b/>
      <w:color w:val="FFFFFF"/>
      <w:lang w:val="en-GB"/>
    </w:rPr>
  </w:style>
  <w:style w:type="paragraph" w:styleId="Heading5">
    <w:name w:val="heading 5"/>
    <w:aliases w:val="5"/>
    <w:basedOn w:val="Normal"/>
    <w:next w:val="Normal"/>
    <w:qFormat/>
    <w:rsid w:val="00E0185B"/>
    <w:pPr>
      <w:keepNext/>
      <w:numPr>
        <w:ilvl w:val="4"/>
        <w:numId w:val="7"/>
      </w:numPr>
      <w:outlineLvl w:val="4"/>
    </w:pPr>
    <w:rPr>
      <w:b/>
      <w:sz w:val="18"/>
      <w:lang w:val="en-GB"/>
    </w:rPr>
  </w:style>
  <w:style w:type="paragraph" w:styleId="Heading6">
    <w:name w:val="heading 6"/>
    <w:basedOn w:val="Normal"/>
    <w:next w:val="Normal"/>
    <w:qFormat/>
    <w:rsid w:val="00E0185B"/>
    <w:pPr>
      <w:numPr>
        <w:ilvl w:val="5"/>
        <w:numId w:val="7"/>
      </w:numPr>
      <w:spacing w:before="240" w:after="60"/>
      <w:outlineLvl w:val="5"/>
    </w:pPr>
    <w:rPr>
      <w:b/>
    </w:rPr>
  </w:style>
  <w:style w:type="paragraph" w:styleId="Heading7">
    <w:name w:val="heading 7"/>
    <w:basedOn w:val="Normal"/>
    <w:next w:val="Normal"/>
    <w:qFormat/>
    <w:rsid w:val="00E0185B"/>
    <w:pPr>
      <w:numPr>
        <w:ilvl w:val="6"/>
        <w:numId w:val="7"/>
      </w:numPr>
      <w:spacing w:before="240" w:after="60"/>
      <w:outlineLvl w:val="6"/>
    </w:pPr>
    <w:rPr>
      <w:sz w:val="24"/>
    </w:rPr>
  </w:style>
  <w:style w:type="paragraph" w:styleId="Heading8">
    <w:name w:val="heading 8"/>
    <w:basedOn w:val="Normal"/>
    <w:next w:val="Normal"/>
    <w:qFormat/>
    <w:rsid w:val="00E0185B"/>
    <w:pPr>
      <w:numPr>
        <w:ilvl w:val="7"/>
        <w:numId w:val="7"/>
      </w:numPr>
      <w:spacing w:before="240" w:after="60"/>
      <w:outlineLvl w:val="7"/>
    </w:pPr>
    <w:rPr>
      <w:i/>
      <w:sz w:val="24"/>
    </w:rPr>
  </w:style>
  <w:style w:type="paragraph" w:styleId="Heading9">
    <w:name w:val="heading 9"/>
    <w:basedOn w:val="Normal"/>
    <w:next w:val="Normal"/>
    <w:qFormat/>
    <w:rsid w:val="00E0185B"/>
    <w:pPr>
      <w:numPr>
        <w:ilvl w:val="8"/>
        <w:numId w:val="7"/>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23C3B"/>
    <w:pPr>
      <w:tabs>
        <w:tab w:val="left" w:pos="567"/>
        <w:tab w:val="right" w:leader="dot" w:pos="8505"/>
      </w:tabs>
      <w:spacing w:after="120"/>
      <w:ind w:right="850"/>
    </w:pPr>
    <w:rPr>
      <w:b/>
      <w:caps/>
    </w:rPr>
  </w:style>
  <w:style w:type="paragraph" w:styleId="TOC2">
    <w:name w:val="toc 2"/>
    <w:basedOn w:val="Normal"/>
    <w:next w:val="Normal"/>
    <w:autoRedefine/>
    <w:uiPriority w:val="39"/>
    <w:rsid w:val="0085163F"/>
    <w:pPr>
      <w:tabs>
        <w:tab w:val="left" w:pos="1418"/>
        <w:tab w:val="right" w:leader="dot" w:pos="8505"/>
      </w:tabs>
      <w:spacing w:before="40"/>
      <w:ind w:left="567" w:hanging="567"/>
      <w:jc w:val="both"/>
    </w:pPr>
  </w:style>
  <w:style w:type="paragraph" w:styleId="Footer">
    <w:name w:val="footer"/>
    <w:basedOn w:val="Normal"/>
    <w:link w:val="FooterChar"/>
    <w:uiPriority w:val="99"/>
    <w:rsid w:val="00E0185B"/>
    <w:pPr>
      <w:tabs>
        <w:tab w:val="center" w:pos="4153"/>
        <w:tab w:val="right" w:pos="8306"/>
      </w:tabs>
    </w:pPr>
  </w:style>
  <w:style w:type="paragraph" w:styleId="TOC3">
    <w:name w:val="toc 3"/>
    <w:basedOn w:val="Normal"/>
    <w:next w:val="Normal"/>
    <w:autoRedefine/>
    <w:rsid w:val="008600DC"/>
    <w:pPr>
      <w:tabs>
        <w:tab w:val="left" w:pos="2127"/>
        <w:tab w:val="right" w:leader="dot" w:pos="8505"/>
      </w:tabs>
      <w:spacing w:before="0"/>
      <w:ind w:left="1418"/>
    </w:pPr>
    <w:rPr>
      <w:rFonts w:cs="Arial"/>
      <w:sz w:val="20"/>
      <w:szCs w:val="24"/>
    </w:rPr>
  </w:style>
  <w:style w:type="paragraph" w:styleId="TOC4">
    <w:name w:val="toc 4"/>
    <w:basedOn w:val="Normal"/>
    <w:next w:val="Normal"/>
    <w:autoRedefine/>
    <w:rsid w:val="00E0185B"/>
    <w:pPr>
      <w:ind w:left="600"/>
    </w:pPr>
    <w:rPr>
      <w:sz w:val="18"/>
    </w:rPr>
  </w:style>
  <w:style w:type="paragraph" w:styleId="TOC5">
    <w:name w:val="toc 5"/>
    <w:basedOn w:val="Normal"/>
    <w:next w:val="Normal"/>
    <w:autoRedefine/>
    <w:semiHidden/>
    <w:rsid w:val="00E0185B"/>
    <w:pPr>
      <w:ind w:left="800"/>
    </w:pPr>
    <w:rPr>
      <w:sz w:val="18"/>
    </w:rPr>
  </w:style>
  <w:style w:type="paragraph" w:styleId="TOC6">
    <w:name w:val="toc 6"/>
    <w:basedOn w:val="Normal"/>
    <w:next w:val="Normal"/>
    <w:autoRedefine/>
    <w:semiHidden/>
    <w:rsid w:val="00E0185B"/>
    <w:pPr>
      <w:ind w:left="1000"/>
    </w:pPr>
    <w:rPr>
      <w:sz w:val="18"/>
    </w:rPr>
  </w:style>
  <w:style w:type="paragraph" w:styleId="TOC7">
    <w:name w:val="toc 7"/>
    <w:basedOn w:val="Normal"/>
    <w:next w:val="Normal"/>
    <w:autoRedefine/>
    <w:semiHidden/>
    <w:rsid w:val="00E0185B"/>
    <w:pPr>
      <w:ind w:left="1200"/>
    </w:pPr>
    <w:rPr>
      <w:sz w:val="18"/>
    </w:rPr>
  </w:style>
  <w:style w:type="paragraph" w:styleId="TOC8">
    <w:name w:val="toc 8"/>
    <w:basedOn w:val="Normal"/>
    <w:next w:val="Normal"/>
    <w:autoRedefine/>
    <w:semiHidden/>
    <w:rsid w:val="00E0185B"/>
    <w:pPr>
      <w:ind w:left="1400"/>
    </w:pPr>
    <w:rPr>
      <w:sz w:val="18"/>
    </w:rPr>
  </w:style>
  <w:style w:type="paragraph" w:styleId="TOC9">
    <w:name w:val="toc 9"/>
    <w:basedOn w:val="Normal"/>
    <w:next w:val="Normal"/>
    <w:autoRedefine/>
    <w:semiHidden/>
    <w:rsid w:val="00E0185B"/>
    <w:pPr>
      <w:ind w:left="1600"/>
    </w:pPr>
    <w:rPr>
      <w:sz w:val="18"/>
    </w:rPr>
  </w:style>
  <w:style w:type="character" w:styleId="Hyperlink">
    <w:name w:val="Hyperlink"/>
    <w:basedOn w:val="DefaultParagraphFont"/>
    <w:uiPriority w:val="99"/>
    <w:rsid w:val="006A2008"/>
    <w:rPr>
      <w:rFonts w:ascii="Arial" w:hAnsi="Arial"/>
      <w:color w:val="0000FF"/>
      <w:sz w:val="22"/>
      <w:szCs w:val="22"/>
      <w:u w:val="single"/>
    </w:rPr>
  </w:style>
  <w:style w:type="paragraph" w:customStyle="1" w:styleId="Appendix">
    <w:name w:val="Appendix"/>
    <w:basedOn w:val="Heading1"/>
    <w:link w:val="AppendixChar"/>
    <w:rsid w:val="006A2008"/>
    <w:pPr>
      <w:pageBreakBefore/>
      <w:numPr>
        <w:numId w:val="0"/>
      </w:numPr>
    </w:pPr>
  </w:style>
  <w:style w:type="character" w:customStyle="1" w:styleId="AppendixChar">
    <w:name w:val="Appendix Char"/>
    <w:basedOn w:val="DefaultParagraphFont"/>
    <w:link w:val="Appendix"/>
    <w:rsid w:val="006A2008"/>
    <w:rPr>
      <w:rFonts w:ascii="Arial" w:hAnsi="Arial"/>
      <w:b/>
      <w:color w:val="000080"/>
      <w:kern w:val="28"/>
      <w:sz w:val="32"/>
      <w:lang w:val="en-AU" w:eastAsia="en-US" w:bidi="ar-SA"/>
    </w:rPr>
  </w:style>
  <w:style w:type="character" w:styleId="FollowedHyperlink">
    <w:name w:val="FollowedHyperlink"/>
    <w:basedOn w:val="DefaultParagraphFont"/>
    <w:rsid w:val="00E0185B"/>
    <w:rPr>
      <w:color w:val="800080"/>
      <w:u w:val="single"/>
    </w:rPr>
  </w:style>
  <w:style w:type="paragraph" w:styleId="DocumentMap">
    <w:name w:val="Document Map"/>
    <w:basedOn w:val="Normal"/>
    <w:semiHidden/>
    <w:rsid w:val="00E0185B"/>
    <w:pPr>
      <w:shd w:val="clear" w:color="auto" w:fill="000080"/>
    </w:pPr>
    <w:rPr>
      <w:rFonts w:ascii="Tahoma" w:hAnsi="Tahoma"/>
    </w:rPr>
  </w:style>
  <w:style w:type="character" w:styleId="CommentReference">
    <w:name w:val="annotation reference"/>
    <w:basedOn w:val="DefaultParagraphFont"/>
    <w:semiHidden/>
    <w:rsid w:val="00E0185B"/>
    <w:rPr>
      <w:sz w:val="16"/>
    </w:rPr>
  </w:style>
  <w:style w:type="paragraph" w:styleId="CommentText">
    <w:name w:val="annotation text"/>
    <w:basedOn w:val="Normal"/>
    <w:semiHidden/>
    <w:rsid w:val="00E0185B"/>
  </w:style>
  <w:style w:type="character" w:styleId="Emphasis">
    <w:name w:val="Emphasis"/>
    <w:basedOn w:val="DefaultParagraphFont"/>
    <w:qFormat/>
    <w:rsid w:val="006A2008"/>
    <w:rPr>
      <w:i/>
      <w:iCs/>
    </w:rPr>
  </w:style>
  <w:style w:type="paragraph" w:customStyle="1" w:styleId="Tabletext">
    <w:name w:val="Tabletext"/>
    <w:basedOn w:val="Normal"/>
    <w:rsid w:val="009308CA"/>
    <w:pPr>
      <w:spacing w:before="40" w:after="40"/>
    </w:pPr>
  </w:style>
  <w:style w:type="paragraph" w:customStyle="1" w:styleId="Dotpoint">
    <w:name w:val="Dotpoint"/>
    <w:basedOn w:val="Normal"/>
    <w:link w:val="DotpointChar"/>
    <w:rsid w:val="00A23C57"/>
    <w:pPr>
      <w:numPr>
        <w:numId w:val="3"/>
      </w:numPr>
    </w:pPr>
  </w:style>
  <w:style w:type="character" w:customStyle="1" w:styleId="DotpointChar">
    <w:name w:val="Dotpoint Char"/>
    <w:basedOn w:val="DefaultParagraphFont"/>
    <w:link w:val="Dotpoint"/>
    <w:rsid w:val="008600DC"/>
    <w:rPr>
      <w:rFonts w:ascii="Arial" w:hAnsi="Arial"/>
      <w:sz w:val="22"/>
      <w:lang w:eastAsia="en-US"/>
    </w:rPr>
  </w:style>
  <w:style w:type="paragraph" w:styleId="Header">
    <w:name w:val="header"/>
    <w:basedOn w:val="Normal"/>
    <w:rsid w:val="009308CA"/>
    <w:pPr>
      <w:tabs>
        <w:tab w:val="center" w:pos="4153"/>
        <w:tab w:val="right" w:pos="8306"/>
      </w:tabs>
    </w:pPr>
  </w:style>
  <w:style w:type="character" w:styleId="EndnoteReference">
    <w:name w:val="endnote reference"/>
    <w:basedOn w:val="DefaultParagraphFont"/>
    <w:semiHidden/>
    <w:rsid w:val="00E0185B"/>
    <w:rPr>
      <w:vertAlign w:val="superscript"/>
    </w:rPr>
  </w:style>
  <w:style w:type="paragraph" w:styleId="Caption">
    <w:name w:val="caption"/>
    <w:basedOn w:val="Normal"/>
    <w:next w:val="Normal"/>
    <w:qFormat/>
    <w:rsid w:val="00E0185B"/>
    <w:pPr>
      <w:spacing w:after="120"/>
      <w:jc w:val="center"/>
    </w:pPr>
    <w:rPr>
      <w:b/>
    </w:rPr>
  </w:style>
  <w:style w:type="paragraph" w:styleId="EndnoteText">
    <w:name w:val="endnote text"/>
    <w:basedOn w:val="Normal"/>
    <w:semiHidden/>
    <w:rsid w:val="00E0185B"/>
    <w:rPr>
      <w:rFonts w:ascii="Arial Narrow" w:hAnsi="Arial Narrow"/>
    </w:rPr>
  </w:style>
  <w:style w:type="paragraph" w:styleId="BalloonText">
    <w:name w:val="Balloon Text"/>
    <w:basedOn w:val="Normal"/>
    <w:semiHidden/>
    <w:rsid w:val="00E0185B"/>
    <w:rPr>
      <w:rFonts w:ascii="Tahoma" w:hAnsi="Tahoma" w:cs="Frutiger 55 Roman"/>
      <w:sz w:val="16"/>
      <w:szCs w:val="16"/>
    </w:rPr>
  </w:style>
  <w:style w:type="paragraph" w:styleId="Index1">
    <w:name w:val="index 1"/>
    <w:basedOn w:val="Normal"/>
    <w:next w:val="Normal"/>
    <w:autoRedefine/>
    <w:semiHidden/>
    <w:rsid w:val="002E1F0F"/>
    <w:pPr>
      <w:ind w:left="220" w:hanging="220"/>
    </w:pPr>
  </w:style>
  <w:style w:type="paragraph" w:styleId="IndexHeading">
    <w:name w:val="index heading"/>
    <w:basedOn w:val="Normal"/>
    <w:next w:val="Index1"/>
    <w:semiHidden/>
    <w:rsid w:val="002E1F0F"/>
    <w:pPr>
      <w:spacing w:before="0"/>
    </w:pPr>
    <w:rPr>
      <w:sz w:val="20"/>
      <w:lang w:val="en-US"/>
    </w:rPr>
  </w:style>
  <w:style w:type="paragraph" w:styleId="NormalIndent">
    <w:name w:val="Normal Indent"/>
    <w:basedOn w:val="Normal"/>
    <w:link w:val="NormalIndentChar"/>
    <w:rsid w:val="00C01A6E"/>
    <w:pPr>
      <w:keepLines/>
      <w:spacing w:before="100" w:beforeAutospacing="1" w:after="100" w:afterAutospacing="1"/>
      <w:ind w:left="720"/>
    </w:pPr>
    <w:rPr>
      <w:sz w:val="24"/>
    </w:rPr>
  </w:style>
  <w:style w:type="character" w:customStyle="1" w:styleId="NormalIndentChar">
    <w:name w:val="Normal Indent Char"/>
    <w:basedOn w:val="DefaultParagraphFont"/>
    <w:link w:val="NormalIndent"/>
    <w:rsid w:val="00C01A6E"/>
    <w:rPr>
      <w:rFonts w:ascii="Arial" w:hAnsi="Arial"/>
      <w:sz w:val="24"/>
      <w:lang w:val="en-AU" w:eastAsia="en-US" w:bidi="ar-SA"/>
    </w:rPr>
  </w:style>
  <w:style w:type="character" w:styleId="PageNumber">
    <w:name w:val="page number"/>
    <w:basedOn w:val="DefaultParagraphFont"/>
    <w:rsid w:val="00B9435F"/>
  </w:style>
  <w:style w:type="paragraph" w:styleId="CommentSubject">
    <w:name w:val="annotation subject"/>
    <w:basedOn w:val="CommentText"/>
    <w:next w:val="CommentText"/>
    <w:semiHidden/>
    <w:rsid w:val="00B9435F"/>
    <w:rPr>
      <w:b/>
      <w:bCs/>
      <w:sz w:val="20"/>
    </w:rPr>
  </w:style>
  <w:style w:type="paragraph" w:styleId="BodyText">
    <w:name w:val="Body Text"/>
    <w:basedOn w:val="Normal"/>
    <w:link w:val="BodyTextChar"/>
    <w:rsid w:val="00A84D13"/>
    <w:pPr>
      <w:spacing w:after="120"/>
    </w:pPr>
    <w:rPr>
      <w:lang w:val="en-GB"/>
    </w:rPr>
  </w:style>
  <w:style w:type="character" w:customStyle="1" w:styleId="BodyTextChar">
    <w:name w:val="Body Text Char"/>
    <w:basedOn w:val="DefaultParagraphFont"/>
    <w:link w:val="BodyText"/>
    <w:rsid w:val="00A84D13"/>
    <w:rPr>
      <w:rFonts w:ascii="Arial" w:hAnsi="Arial"/>
      <w:sz w:val="22"/>
      <w:lang w:val="en-GB" w:eastAsia="en-US" w:bidi="ar-SA"/>
    </w:rPr>
  </w:style>
  <w:style w:type="paragraph" w:customStyle="1" w:styleId="DefaultText1">
    <w:name w:val="Default Text:1"/>
    <w:basedOn w:val="Normal"/>
    <w:rsid w:val="009710C5"/>
    <w:pPr>
      <w:overflowPunct w:val="0"/>
      <w:autoSpaceDE w:val="0"/>
      <w:autoSpaceDN w:val="0"/>
      <w:adjustRightInd w:val="0"/>
      <w:spacing w:before="0"/>
      <w:textAlignment w:val="baseline"/>
    </w:pPr>
    <w:rPr>
      <w:color w:val="0000FF"/>
      <w:sz w:val="16"/>
      <w:lang w:val="en-US" w:eastAsia="en-AU"/>
    </w:rPr>
  </w:style>
  <w:style w:type="paragraph" w:customStyle="1" w:styleId="DefaultText">
    <w:name w:val="Default Text"/>
    <w:basedOn w:val="Normal"/>
    <w:rsid w:val="009710C5"/>
    <w:pPr>
      <w:spacing w:before="160"/>
    </w:pPr>
    <w:rPr>
      <w:rFonts w:ascii="Times New Roman" w:hAnsi="Times New Roman"/>
      <w:sz w:val="24"/>
      <w:lang w:val="en-US"/>
    </w:rPr>
  </w:style>
  <w:style w:type="paragraph" w:customStyle="1" w:styleId="TableHeading">
    <w:name w:val="Table Heading"/>
    <w:basedOn w:val="Normal"/>
    <w:rsid w:val="009710C5"/>
    <w:pPr>
      <w:overflowPunct w:val="0"/>
      <w:autoSpaceDE w:val="0"/>
      <w:autoSpaceDN w:val="0"/>
      <w:adjustRightInd w:val="0"/>
      <w:spacing w:before="0"/>
      <w:jc w:val="center"/>
      <w:textAlignment w:val="baseline"/>
    </w:pPr>
    <w:rPr>
      <w:b/>
      <w:color w:val="000000"/>
      <w:sz w:val="20"/>
      <w:lang w:val="en-US" w:eastAsia="en-AU"/>
    </w:rPr>
  </w:style>
  <w:style w:type="paragraph" w:customStyle="1" w:styleId="TableText0">
    <w:name w:val="Table Text"/>
    <w:basedOn w:val="BodyText"/>
    <w:rsid w:val="00B67503"/>
    <w:pPr>
      <w:spacing w:before="60" w:after="60"/>
      <w:ind w:left="34"/>
    </w:pPr>
    <w:rPr>
      <w:rFonts w:ascii="Arial Narrow" w:hAnsi="Arial Narrow"/>
      <w:sz w:val="20"/>
    </w:rPr>
  </w:style>
  <w:style w:type="paragraph" w:customStyle="1" w:styleId="TableHeader">
    <w:name w:val="TableHeader"/>
    <w:basedOn w:val="TableText0"/>
    <w:rsid w:val="00B67503"/>
    <w:pPr>
      <w:jc w:val="center"/>
    </w:pPr>
    <w:rPr>
      <w:b/>
      <w:sz w:val="18"/>
    </w:rPr>
  </w:style>
  <w:style w:type="paragraph" w:customStyle="1" w:styleId="Tabletext1">
    <w:name w:val="Table text"/>
    <w:basedOn w:val="Normal"/>
    <w:rsid w:val="00B67503"/>
    <w:pPr>
      <w:widowControl w:val="0"/>
      <w:tabs>
        <w:tab w:val="decimal" w:pos="0"/>
      </w:tabs>
      <w:spacing w:before="60" w:after="60"/>
      <w:ind w:left="34"/>
    </w:pPr>
    <w:rPr>
      <w:rFonts w:ascii="Arial Narrow" w:hAnsi="Arial Narrow"/>
      <w:color w:val="000000"/>
      <w:sz w:val="18"/>
    </w:rPr>
  </w:style>
  <w:style w:type="table" w:styleId="TableGrid">
    <w:name w:val="Table Grid"/>
    <w:basedOn w:val="TableNormal"/>
    <w:uiPriority w:val="59"/>
    <w:rsid w:val="006203FA"/>
    <w:pPr>
      <w:spacing w:before="1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1Heading1Sectionheadingh112ptNotBold">
    <w:name w:val="Style Heading 11. Heading 1Section headingh1 + 12 pt Not Bold ..."/>
    <w:basedOn w:val="Heading1"/>
    <w:rsid w:val="00FE3E31"/>
    <w:pPr>
      <w:numPr>
        <w:numId w:val="1"/>
      </w:numPr>
      <w:tabs>
        <w:tab w:val="num" w:pos="998"/>
        <w:tab w:val="right" w:pos="9360"/>
      </w:tabs>
      <w:spacing w:before="0" w:after="120"/>
    </w:pPr>
    <w:rPr>
      <w:b w:val="0"/>
      <w:color w:val="auto"/>
      <w:sz w:val="24"/>
      <w:lang w:val="en-GB"/>
    </w:rPr>
  </w:style>
  <w:style w:type="paragraph" w:customStyle="1" w:styleId="StyleLeft063cm">
    <w:name w:val="Style Left:  0.63 cm"/>
    <w:basedOn w:val="Normal"/>
    <w:rsid w:val="005B7DEB"/>
    <w:pPr>
      <w:spacing w:before="160"/>
      <w:ind w:left="360"/>
    </w:pPr>
  </w:style>
  <w:style w:type="paragraph" w:styleId="FootnoteText">
    <w:name w:val="footnote text"/>
    <w:basedOn w:val="Normal"/>
    <w:semiHidden/>
    <w:rsid w:val="00954C37"/>
    <w:pPr>
      <w:spacing w:before="0"/>
    </w:pPr>
    <w:rPr>
      <w:rFonts w:ascii="Times New Roman" w:hAnsi="Times New Roman"/>
      <w:sz w:val="20"/>
      <w:lang w:eastAsia="en-AU"/>
    </w:rPr>
  </w:style>
  <w:style w:type="character" w:styleId="FootnoteReference">
    <w:name w:val="footnote reference"/>
    <w:basedOn w:val="DefaultParagraphFont"/>
    <w:semiHidden/>
    <w:rsid w:val="00954C37"/>
    <w:rPr>
      <w:vertAlign w:val="superscript"/>
    </w:rPr>
  </w:style>
  <w:style w:type="paragraph" w:styleId="NormalWeb">
    <w:name w:val="Normal (Web)"/>
    <w:basedOn w:val="Normal"/>
    <w:uiPriority w:val="99"/>
    <w:rsid w:val="00A60F21"/>
    <w:pPr>
      <w:spacing w:before="100" w:beforeAutospacing="1" w:after="100" w:afterAutospacing="1"/>
    </w:pPr>
    <w:rPr>
      <w:rFonts w:ascii="Times New Roman" w:hAnsi="Times New Roman"/>
      <w:sz w:val="24"/>
      <w:szCs w:val="24"/>
      <w:lang w:eastAsia="en-AU"/>
    </w:rPr>
  </w:style>
  <w:style w:type="paragraph" w:styleId="BodyTextIndent2">
    <w:name w:val="Body Text Indent 2"/>
    <w:basedOn w:val="Normal"/>
    <w:rsid w:val="004E1369"/>
    <w:pPr>
      <w:spacing w:after="120" w:line="480" w:lineRule="auto"/>
      <w:ind w:left="283"/>
    </w:pPr>
  </w:style>
  <w:style w:type="paragraph" w:customStyle="1" w:styleId="Default">
    <w:name w:val="Default"/>
    <w:rsid w:val="00F15AD5"/>
    <w:pPr>
      <w:autoSpaceDE w:val="0"/>
      <w:autoSpaceDN w:val="0"/>
      <w:adjustRightInd w:val="0"/>
    </w:pPr>
    <w:rPr>
      <w:color w:val="000000"/>
      <w:sz w:val="24"/>
      <w:szCs w:val="24"/>
    </w:rPr>
  </w:style>
  <w:style w:type="paragraph" w:customStyle="1" w:styleId="StyleHeading3">
    <w:name w:val="Style Heading 3"/>
    <w:basedOn w:val="Heading3"/>
    <w:autoRedefine/>
    <w:rsid w:val="00647055"/>
    <w:pPr>
      <w:keepLines/>
      <w:numPr>
        <w:ilvl w:val="0"/>
        <w:numId w:val="0"/>
      </w:numPr>
      <w:spacing w:before="120" w:after="60"/>
    </w:pPr>
    <w:rPr>
      <w:rFonts w:ascii="Times New Roman" w:hAnsi="Times New Roman"/>
      <w:b w:val="0"/>
      <w:color w:val="auto"/>
      <w:kern w:val="24"/>
    </w:rPr>
  </w:style>
  <w:style w:type="character" w:customStyle="1" w:styleId="namelabel1">
    <w:name w:val="namelabel1"/>
    <w:basedOn w:val="DefaultParagraphFont"/>
    <w:rsid w:val="00B63AAB"/>
    <w:rPr>
      <w:color w:val="0000FF"/>
      <w:sz w:val="36"/>
      <w:szCs w:val="36"/>
    </w:rPr>
  </w:style>
  <w:style w:type="character" w:customStyle="1" w:styleId="aspnet-detailsview-value1">
    <w:name w:val="aspnet-detailsview-value1"/>
    <w:basedOn w:val="DefaultParagraphFont"/>
    <w:rsid w:val="00B63AAB"/>
  </w:style>
  <w:style w:type="paragraph" w:customStyle="1" w:styleId="EG">
    <w:name w:val="EG"/>
    <w:basedOn w:val="Normal"/>
    <w:rsid w:val="002818B7"/>
    <w:pPr>
      <w:spacing w:after="120"/>
      <w:ind w:left="720"/>
      <w:jc w:val="both"/>
    </w:pPr>
    <w:rPr>
      <w:i/>
      <w:color w:val="000000"/>
      <w:lang w:eastAsia="en-AU"/>
    </w:rPr>
  </w:style>
  <w:style w:type="paragraph" w:styleId="BodyText2">
    <w:name w:val="Body Text 2"/>
    <w:basedOn w:val="Normal"/>
    <w:rsid w:val="002818B7"/>
    <w:pPr>
      <w:spacing w:after="120" w:line="480" w:lineRule="auto"/>
    </w:pPr>
  </w:style>
  <w:style w:type="paragraph" w:customStyle="1" w:styleId="points">
    <w:name w:val="points"/>
    <w:basedOn w:val="Normal"/>
    <w:rsid w:val="002818B7"/>
    <w:pPr>
      <w:numPr>
        <w:numId w:val="4"/>
      </w:numPr>
      <w:spacing w:after="120"/>
      <w:ind w:left="357" w:hanging="357"/>
      <w:jc w:val="both"/>
    </w:pPr>
    <w:rPr>
      <w:color w:val="000000"/>
      <w:lang w:eastAsia="en-AU"/>
    </w:rPr>
  </w:style>
  <w:style w:type="paragraph" w:customStyle="1" w:styleId="MainHeading">
    <w:name w:val="MainHeading"/>
    <w:next w:val="Normal"/>
    <w:rsid w:val="00D94A6E"/>
    <w:pPr>
      <w:ind w:left="-709" w:right="-551"/>
      <w:jc w:val="center"/>
    </w:pPr>
    <w:rPr>
      <w:rFonts w:ascii="Arial" w:hAnsi="Arial"/>
      <w:b/>
      <w:sz w:val="40"/>
      <w:szCs w:val="48"/>
      <w:lang w:eastAsia="en-US"/>
    </w:rPr>
  </w:style>
  <w:style w:type="paragraph" w:styleId="Title">
    <w:name w:val="Title"/>
    <w:aliases w:val="sub-text"/>
    <w:qFormat/>
    <w:rsid w:val="00D94A6E"/>
    <w:pPr>
      <w:pBdr>
        <w:top w:val="single" w:sz="4" w:space="1" w:color="auto"/>
        <w:left w:val="single" w:sz="4" w:space="4" w:color="auto"/>
        <w:bottom w:val="single" w:sz="4" w:space="1" w:color="auto"/>
        <w:right w:val="single" w:sz="4" w:space="4" w:color="auto"/>
      </w:pBdr>
      <w:spacing w:after="120"/>
      <w:jc w:val="center"/>
    </w:pPr>
    <w:rPr>
      <w:rFonts w:ascii="Arial" w:hAnsi="Arial"/>
      <w:b/>
      <w:iCs/>
      <w:color w:val="FF0000"/>
      <w:szCs w:val="24"/>
      <w:lang w:eastAsia="en-US"/>
    </w:rPr>
  </w:style>
  <w:style w:type="paragraph" w:customStyle="1" w:styleId="StyleBoldCentered">
    <w:name w:val="Style Bold + Centered"/>
    <w:basedOn w:val="Normal"/>
    <w:rsid w:val="00D94A6E"/>
    <w:pPr>
      <w:spacing w:after="120"/>
      <w:jc w:val="center"/>
    </w:pPr>
    <w:rPr>
      <w:b/>
      <w:bCs/>
    </w:rPr>
  </w:style>
  <w:style w:type="paragraph" w:customStyle="1" w:styleId="BodyText0">
    <w:name w:val="BodyText"/>
    <w:link w:val="BodyTextCharChar"/>
    <w:rsid w:val="00600344"/>
    <w:pPr>
      <w:spacing w:before="120" w:after="120"/>
    </w:pPr>
    <w:rPr>
      <w:rFonts w:ascii="Arial" w:hAnsi="Arial"/>
      <w:sz w:val="22"/>
      <w:lang w:eastAsia="en-US"/>
    </w:rPr>
  </w:style>
  <w:style w:type="character" w:customStyle="1" w:styleId="BodyTextCharChar">
    <w:name w:val="BodyText Char Char"/>
    <w:basedOn w:val="DefaultParagraphFont"/>
    <w:link w:val="BodyText0"/>
    <w:rsid w:val="00600344"/>
    <w:rPr>
      <w:rFonts w:ascii="Arial" w:hAnsi="Arial"/>
      <w:sz w:val="22"/>
      <w:lang w:val="en-AU" w:eastAsia="en-US" w:bidi="ar-SA"/>
    </w:rPr>
  </w:style>
  <w:style w:type="paragraph" w:customStyle="1" w:styleId="TableText2">
    <w:name w:val="TableText"/>
    <w:link w:val="TableTextChar"/>
    <w:rsid w:val="00600344"/>
    <w:pPr>
      <w:spacing w:before="120"/>
    </w:pPr>
    <w:rPr>
      <w:rFonts w:ascii="Arial" w:hAnsi="Arial"/>
      <w:sz w:val="22"/>
      <w:lang w:eastAsia="en-US"/>
    </w:rPr>
  </w:style>
  <w:style w:type="paragraph" w:customStyle="1" w:styleId="Bold">
    <w:name w:val="Bold"/>
    <w:basedOn w:val="BodyText0"/>
    <w:link w:val="BoldChar"/>
    <w:rsid w:val="00600344"/>
    <w:rPr>
      <w:b/>
      <w:szCs w:val="24"/>
    </w:rPr>
  </w:style>
  <w:style w:type="character" w:customStyle="1" w:styleId="BoldChar">
    <w:name w:val="Bold Char"/>
    <w:basedOn w:val="BodyTextCharChar"/>
    <w:link w:val="Bold"/>
    <w:rsid w:val="00600344"/>
    <w:rPr>
      <w:rFonts w:ascii="Arial" w:hAnsi="Arial"/>
      <w:b/>
      <w:sz w:val="22"/>
      <w:szCs w:val="24"/>
      <w:lang w:val="en-AU" w:eastAsia="en-US" w:bidi="ar-SA"/>
    </w:rPr>
  </w:style>
  <w:style w:type="character" w:customStyle="1" w:styleId="TableTextChar">
    <w:name w:val="TableText Char"/>
    <w:basedOn w:val="DefaultParagraphFont"/>
    <w:link w:val="TableText2"/>
    <w:rsid w:val="00600344"/>
    <w:rPr>
      <w:rFonts w:ascii="Arial" w:hAnsi="Arial"/>
      <w:sz w:val="22"/>
      <w:lang w:val="en-AU" w:eastAsia="en-US" w:bidi="ar-SA"/>
    </w:rPr>
  </w:style>
  <w:style w:type="paragraph" w:styleId="PlainText">
    <w:name w:val="Plain Text"/>
    <w:basedOn w:val="Normal"/>
    <w:rsid w:val="00D82E64"/>
    <w:pPr>
      <w:spacing w:before="0"/>
    </w:pPr>
    <w:rPr>
      <w:rFonts w:ascii="Courier New" w:hAnsi="Courier New" w:cs="Courier New"/>
      <w:sz w:val="20"/>
      <w:lang w:eastAsia="en-AU"/>
    </w:rPr>
  </w:style>
  <w:style w:type="paragraph" w:styleId="ListParagraph">
    <w:name w:val="List Paragraph"/>
    <w:basedOn w:val="Normal"/>
    <w:uiPriority w:val="34"/>
    <w:qFormat/>
    <w:rsid w:val="00304B7E"/>
    <w:pPr>
      <w:spacing w:before="0"/>
      <w:ind w:left="720"/>
      <w:contextualSpacing/>
    </w:pPr>
    <w:rPr>
      <w:rFonts w:ascii="Times New Roman" w:hAnsi="Times New Roman"/>
      <w:sz w:val="24"/>
      <w:szCs w:val="24"/>
      <w:lang w:eastAsia="en-AU"/>
    </w:rPr>
  </w:style>
  <w:style w:type="paragraph" w:styleId="Revision">
    <w:name w:val="Revision"/>
    <w:hidden/>
    <w:uiPriority w:val="99"/>
    <w:semiHidden/>
    <w:rsid w:val="00D229F0"/>
    <w:rPr>
      <w:rFonts w:ascii="Arial" w:hAnsi="Arial"/>
      <w:sz w:val="22"/>
      <w:lang w:eastAsia="en-US"/>
    </w:rPr>
  </w:style>
  <w:style w:type="character" w:customStyle="1" w:styleId="FooterChar">
    <w:name w:val="Footer Char"/>
    <w:basedOn w:val="DefaultParagraphFont"/>
    <w:link w:val="Footer"/>
    <w:uiPriority w:val="99"/>
    <w:rsid w:val="00AB635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5435">
      <w:bodyDiv w:val="1"/>
      <w:marLeft w:val="0"/>
      <w:marRight w:val="0"/>
      <w:marTop w:val="0"/>
      <w:marBottom w:val="0"/>
      <w:divBdr>
        <w:top w:val="none" w:sz="0" w:space="0" w:color="auto"/>
        <w:left w:val="none" w:sz="0" w:space="0" w:color="auto"/>
        <w:bottom w:val="none" w:sz="0" w:space="0" w:color="auto"/>
        <w:right w:val="none" w:sz="0" w:space="0" w:color="auto"/>
      </w:divBdr>
    </w:div>
    <w:div w:id="169607439">
      <w:bodyDiv w:val="1"/>
      <w:marLeft w:val="0"/>
      <w:marRight w:val="0"/>
      <w:marTop w:val="0"/>
      <w:marBottom w:val="0"/>
      <w:divBdr>
        <w:top w:val="none" w:sz="0" w:space="0" w:color="auto"/>
        <w:left w:val="none" w:sz="0" w:space="0" w:color="auto"/>
        <w:bottom w:val="none" w:sz="0" w:space="0" w:color="auto"/>
        <w:right w:val="none" w:sz="0" w:space="0" w:color="auto"/>
      </w:divBdr>
    </w:div>
    <w:div w:id="798692105">
      <w:bodyDiv w:val="1"/>
      <w:marLeft w:val="0"/>
      <w:marRight w:val="0"/>
      <w:marTop w:val="0"/>
      <w:marBottom w:val="0"/>
      <w:divBdr>
        <w:top w:val="none" w:sz="0" w:space="0" w:color="auto"/>
        <w:left w:val="none" w:sz="0" w:space="0" w:color="auto"/>
        <w:bottom w:val="none" w:sz="0" w:space="0" w:color="auto"/>
        <w:right w:val="none" w:sz="0" w:space="0" w:color="auto"/>
      </w:divBdr>
    </w:div>
    <w:div w:id="983391631">
      <w:bodyDiv w:val="1"/>
      <w:marLeft w:val="0"/>
      <w:marRight w:val="0"/>
      <w:marTop w:val="0"/>
      <w:marBottom w:val="0"/>
      <w:divBdr>
        <w:top w:val="none" w:sz="0" w:space="0" w:color="auto"/>
        <w:left w:val="none" w:sz="0" w:space="0" w:color="auto"/>
        <w:bottom w:val="none" w:sz="0" w:space="0" w:color="auto"/>
        <w:right w:val="none" w:sz="0" w:space="0" w:color="auto"/>
      </w:divBdr>
    </w:div>
    <w:div w:id="992635115">
      <w:bodyDiv w:val="1"/>
      <w:marLeft w:val="0"/>
      <w:marRight w:val="0"/>
      <w:marTop w:val="0"/>
      <w:marBottom w:val="0"/>
      <w:divBdr>
        <w:top w:val="none" w:sz="0" w:space="0" w:color="auto"/>
        <w:left w:val="none" w:sz="0" w:space="0" w:color="auto"/>
        <w:bottom w:val="none" w:sz="0" w:space="0" w:color="auto"/>
        <w:right w:val="none" w:sz="0" w:space="0" w:color="auto"/>
      </w:divBdr>
      <w:divsChild>
        <w:div w:id="1975673821">
          <w:marLeft w:val="0"/>
          <w:marRight w:val="0"/>
          <w:marTop w:val="0"/>
          <w:marBottom w:val="0"/>
          <w:divBdr>
            <w:top w:val="none" w:sz="0" w:space="0" w:color="auto"/>
            <w:left w:val="none" w:sz="0" w:space="0" w:color="auto"/>
            <w:bottom w:val="none" w:sz="0" w:space="0" w:color="auto"/>
            <w:right w:val="none" w:sz="0" w:space="0" w:color="auto"/>
          </w:divBdr>
          <w:divsChild>
            <w:div w:id="1661151081">
              <w:marLeft w:val="0"/>
              <w:marRight w:val="0"/>
              <w:marTop w:val="0"/>
              <w:marBottom w:val="0"/>
              <w:divBdr>
                <w:top w:val="none" w:sz="0" w:space="0" w:color="auto"/>
                <w:left w:val="none" w:sz="0" w:space="0" w:color="auto"/>
                <w:bottom w:val="none" w:sz="0" w:space="0" w:color="auto"/>
                <w:right w:val="none" w:sz="0" w:space="0" w:color="auto"/>
              </w:divBdr>
              <w:divsChild>
                <w:div w:id="1102064605">
                  <w:marLeft w:val="0"/>
                  <w:marRight w:val="0"/>
                  <w:marTop w:val="0"/>
                  <w:marBottom w:val="0"/>
                  <w:divBdr>
                    <w:top w:val="none" w:sz="0" w:space="0" w:color="auto"/>
                    <w:left w:val="none" w:sz="0" w:space="0" w:color="auto"/>
                    <w:bottom w:val="none" w:sz="0" w:space="0" w:color="auto"/>
                    <w:right w:val="none" w:sz="0" w:space="0" w:color="auto"/>
                  </w:divBdr>
                  <w:divsChild>
                    <w:div w:id="1305895664">
                      <w:marLeft w:val="0"/>
                      <w:marRight w:val="0"/>
                      <w:marTop w:val="0"/>
                      <w:marBottom w:val="0"/>
                      <w:divBdr>
                        <w:top w:val="none" w:sz="0" w:space="0" w:color="auto"/>
                        <w:left w:val="none" w:sz="0" w:space="0" w:color="auto"/>
                        <w:bottom w:val="none" w:sz="0" w:space="0" w:color="auto"/>
                        <w:right w:val="none" w:sz="0" w:space="0" w:color="auto"/>
                      </w:divBdr>
                      <w:divsChild>
                        <w:div w:id="540478677">
                          <w:marLeft w:val="0"/>
                          <w:marRight w:val="0"/>
                          <w:marTop w:val="0"/>
                          <w:marBottom w:val="0"/>
                          <w:divBdr>
                            <w:top w:val="none" w:sz="0" w:space="0" w:color="auto"/>
                            <w:left w:val="none" w:sz="0" w:space="0" w:color="auto"/>
                            <w:bottom w:val="none" w:sz="0" w:space="0" w:color="auto"/>
                            <w:right w:val="none" w:sz="0" w:space="0" w:color="auto"/>
                          </w:divBdr>
                          <w:divsChild>
                            <w:div w:id="19180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91383">
      <w:bodyDiv w:val="1"/>
      <w:marLeft w:val="0"/>
      <w:marRight w:val="0"/>
      <w:marTop w:val="0"/>
      <w:marBottom w:val="0"/>
      <w:divBdr>
        <w:top w:val="none" w:sz="0" w:space="0" w:color="auto"/>
        <w:left w:val="none" w:sz="0" w:space="0" w:color="auto"/>
        <w:bottom w:val="none" w:sz="0" w:space="0" w:color="auto"/>
        <w:right w:val="none" w:sz="0" w:space="0" w:color="auto"/>
      </w:divBdr>
    </w:div>
    <w:div w:id="1798060722">
      <w:bodyDiv w:val="1"/>
      <w:marLeft w:val="0"/>
      <w:marRight w:val="0"/>
      <w:marTop w:val="0"/>
      <w:marBottom w:val="0"/>
      <w:divBdr>
        <w:top w:val="none" w:sz="0" w:space="0" w:color="auto"/>
        <w:left w:val="none" w:sz="0" w:space="0" w:color="auto"/>
        <w:bottom w:val="none" w:sz="0" w:space="0" w:color="auto"/>
        <w:right w:val="none" w:sz="0" w:space="0" w:color="auto"/>
      </w:divBdr>
    </w:div>
    <w:div w:id="20570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3B09B-BD65-41D3-943D-388C53BB6212}"/>
</file>

<file path=customXml/itemProps2.xml><?xml version="1.0" encoding="utf-8"?>
<ds:datastoreItem xmlns:ds="http://schemas.openxmlformats.org/officeDocument/2006/customXml" ds:itemID="{4C66C59E-4D17-4E79-973A-48747741F79D}"/>
</file>

<file path=customXml/itemProps3.xml><?xml version="1.0" encoding="utf-8"?>
<ds:datastoreItem xmlns:ds="http://schemas.openxmlformats.org/officeDocument/2006/customXml" ds:itemID="{CBFE788A-850C-4F2D-966D-92E4BBB2C4A7}"/>
</file>

<file path=customXml/itemProps4.xml><?xml version="1.0" encoding="utf-8"?>
<ds:datastoreItem xmlns:ds="http://schemas.openxmlformats.org/officeDocument/2006/customXml" ds:itemID="{6301BA1C-F18C-47AA-9BC1-E234C231FADD}"/>
</file>

<file path=docProps/app.xml><?xml version="1.0" encoding="utf-8"?>
<Properties xmlns="http://schemas.openxmlformats.org/officeDocument/2006/extended-properties" xmlns:vt="http://schemas.openxmlformats.org/officeDocument/2006/docPropsVTypes">
  <Template>8E9956D4.dotm</Template>
  <TotalTime>0</TotalTime>
  <Pages>10</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Project Management Plan Template</vt:lpstr>
    </vt:vector>
  </TitlesOfParts>
  <Company>DEWR</Company>
  <LinksUpToDate>false</LinksUpToDate>
  <CharactersWithSpaces>21150</CharactersWithSpaces>
  <SharedDoc>false</SharedDoc>
  <HLinks>
    <vt:vector size="108" baseType="variant">
      <vt:variant>
        <vt:i4>1966139</vt:i4>
      </vt:variant>
      <vt:variant>
        <vt:i4>104</vt:i4>
      </vt:variant>
      <vt:variant>
        <vt:i4>0</vt:i4>
      </vt:variant>
      <vt:variant>
        <vt:i4>5</vt:i4>
      </vt:variant>
      <vt:variant>
        <vt:lpwstr/>
      </vt:variant>
      <vt:variant>
        <vt:lpwstr>_Toc318819198</vt:lpwstr>
      </vt:variant>
      <vt:variant>
        <vt:i4>1966139</vt:i4>
      </vt:variant>
      <vt:variant>
        <vt:i4>98</vt:i4>
      </vt:variant>
      <vt:variant>
        <vt:i4>0</vt:i4>
      </vt:variant>
      <vt:variant>
        <vt:i4>5</vt:i4>
      </vt:variant>
      <vt:variant>
        <vt:lpwstr/>
      </vt:variant>
      <vt:variant>
        <vt:lpwstr>_Toc318819197</vt:lpwstr>
      </vt:variant>
      <vt:variant>
        <vt:i4>1966139</vt:i4>
      </vt:variant>
      <vt:variant>
        <vt:i4>92</vt:i4>
      </vt:variant>
      <vt:variant>
        <vt:i4>0</vt:i4>
      </vt:variant>
      <vt:variant>
        <vt:i4>5</vt:i4>
      </vt:variant>
      <vt:variant>
        <vt:lpwstr/>
      </vt:variant>
      <vt:variant>
        <vt:lpwstr>_Toc318819196</vt:lpwstr>
      </vt:variant>
      <vt:variant>
        <vt:i4>1966139</vt:i4>
      </vt:variant>
      <vt:variant>
        <vt:i4>86</vt:i4>
      </vt:variant>
      <vt:variant>
        <vt:i4>0</vt:i4>
      </vt:variant>
      <vt:variant>
        <vt:i4>5</vt:i4>
      </vt:variant>
      <vt:variant>
        <vt:lpwstr/>
      </vt:variant>
      <vt:variant>
        <vt:lpwstr>_Toc318819195</vt:lpwstr>
      </vt:variant>
      <vt:variant>
        <vt:i4>1966139</vt:i4>
      </vt:variant>
      <vt:variant>
        <vt:i4>80</vt:i4>
      </vt:variant>
      <vt:variant>
        <vt:i4>0</vt:i4>
      </vt:variant>
      <vt:variant>
        <vt:i4>5</vt:i4>
      </vt:variant>
      <vt:variant>
        <vt:lpwstr/>
      </vt:variant>
      <vt:variant>
        <vt:lpwstr>_Toc318819194</vt:lpwstr>
      </vt:variant>
      <vt:variant>
        <vt:i4>1966139</vt:i4>
      </vt:variant>
      <vt:variant>
        <vt:i4>74</vt:i4>
      </vt:variant>
      <vt:variant>
        <vt:i4>0</vt:i4>
      </vt:variant>
      <vt:variant>
        <vt:i4>5</vt:i4>
      </vt:variant>
      <vt:variant>
        <vt:lpwstr/>
      </vt:variant>
      <vt:variant>
        <vt:lpwstr>_Toc318819193</vt:lpwstr>
      </vt:variant>
      <vt:variant>
        <vt:i4>1966139</vt:i4>
      </vt:variant>
      <vt:variant>
        <vt:i4>68</vt:i4>
      </vt:variant>
      <vt:variant>
        <vt:i4>0</vt:i4>
      </vt:variant>
      <vt:variant>
        <vt:i4>5</vt:i4>
      </vt:variant>
      <vt:variant>
        <vt:lpwstr/>
      </vt:variant>
      <vt:variant>
        <vt:lpwstr>_Toc318819192</vt:lpwstr>
      </vt:variant>
      <vt:variant>
        <vt:i4>1966139</vt:i4>
      </vt:variant>
      <vt:variant>
        <vt:i4>62</vt:i4>
      </vt:variant>
      <vt:variant>
        <vt:i4>0</vt:i4>
      </vt:variant>
      <vt:variant>
        <vt:i4>5</vt:i4>
      </vt:variant>
      <vt:variant>
        <vt:lpwstr/>
      </vt:variant>
      <vt:variant>
        <vt:lpwstr>_Toc318819191</vt:lpwstr>
      </vt:variant>
      <vt:variant>
        <vt:i4>1966139</vt:i4>
      </vt:variant>
      <vt:variant>
        <vt:i4>56</vt:i4>
      </vt:variant>
      <vt:variant>
        <vt:i4>0</vt:i4>
      </vt:variant>
      <vt:variant>
        <vt:i4>5</vt:i4>
      </vt:variant>
      <vt:variant>
        <vt:lpwstr/>
      </vt:variant>
      <vt:variant>
        <vt:lpwstr>_Toc318819190</vt:lpwstr>
      </vt:variant>
      <vt:variant>
        <vt:i4>2031675</vt:i4>
      </vt:variant>
      <vt:variant>
        <vt:i4>50</vt:i4>
      </vt:variant>
      <vt:variant>
        <vt:i4>0</vt:i4>
      </vt:variant>
      <vt:variant>
        <vt:i4>5</vt:i4>
      </vt:variant>
      <vt:variant>
        <vt:lpwstr/>
      </vt:variant>
      <vt:variant>
        <vt:lpwstr>_Toc318819189</vt:lpwstr>
      </vt:variant>
      <vt:variant>
        <vt:i4>2031675</vt:i4>
      </vt:variant>
      <vt:variant>
        <vt:i4>44</vt:i4>
      </vt:variant>
      <vt:variant>
        <vt:i4>0</vt:i4>
      </vt:variant>
      <vt:variant>
        <vt:i4>5</vt:i4>
      </vt:variant>
      <vt:variant>
        <vt:lpwstr/>
      </vt:variant>
      <vt:variant>
        <vt:lpwstr>_Toc318819188</vt:lpwstr>
      </vt:variant>
      <vt:variant>
        <vt:i4>2031675</vt:i4>
      </vt:variant>
      <vt:variant>
        <vt:i4>38</vt:i4>
      </vt:variant>
      <vt:variant>
        <vt:i4>0</vt:i4>
      </vt:variant>
      <vt:variant>
        <vt:i4>5</vt:i4>
      </vt:variant>
      <vt:variant>
        <vt:lpwstr/>
      </vt:variant>
      <vt:variant>
        <vt:lpwstr>_Toc318819187</vt:lpwstr>
      </vt:variant>
      <vt:variant>
        <vt:i4>2031675</vt:i4>
      </vt:variant>
      <vt:variant>
        <vt:i4>32</vt:i4>
      </vt:variant>
      <vt:variant>
        <vt:i4>0</vt:i4>
      </vt:variant>
      <vt:variant>
        <vt:i4>5</vt:i4>
      </vt:variant>
      <vt:variant>
        <vt:lpwstr/>
      </vt:variant>
      <vt:variant>
        <vt:lpwstr>_Toc318819186</vt:lpwstr>
      </vt:variant>
      <vt:variant>
        <vt:i4>2031675</vt:i4>
      </vt:variant>
      <vt:variant>
        <vt:i4>26</vt:i4>
      </vt:variant>
      <vt:variant>
        <vt:i4>0</vt:i4>
      </vt:variant>
      <vt:variant>
        <vt:i4>5</vt:i4>
      </vt:variant>
      <vt:variant>
        <vt:lpwstr/>
      </vt:variant>
      <vt:variant>
        <vt:lpwstr>_Toc318819185</vt:lpwstr>
      </vt:variant>
      <vt:variant>
        <vt:i4>2031675</vt:i4>
      </vt:variant>
      <vt:variant>
        <vt:i4>20</vt:i4>
      </vt:variant>
      <vt:variant>
        <vt:i4>0</vt:i4>
      </vt:variant>
      <vt:variant>
        <vt:i4>5</vt:i4>
      </vt:variant>
      <vt:variant>
        <vt:lpwstr/>
      </vt:variant>
      <vt:variant>
        <vt:lpwstr>_Toc318819184</vt:lpwstr>
      </vt:variant>
      <vt:variant>
        <vt:i4>2031675</vt:i4>
      </vt:variant>
      <vt:variant>
        <vt:i4>14</vt:i4>
      </vt:variant>
      <vt:variant>
        <vt:i4>0</vt:i4>
      </vt:variant>
      <vt:variant>
        <vt:i4>5</vt:i4>
      </vt:variant>
      <vt:variant>
        <vt:lpwstr/>
      </vt:variant>
      <vt:variant>
        <vt:lpwstr>_Toc318819183</vt:lpwstr>
      </vt:variant>
      <vt:variant>
        <vt:i4>2031675</vt:i4>
      </vt:variant>
      <vt:variant>
        <vt:i4>8</vt:i4>
      </vt:variant>
      <vt:variant>
        <vt:i4>0</vt:i4>
      </vt:variant>
      <vt:variant>
        <vt:i4>5</vt:i4>
      </vt:variant>
      <vt:variant>
        <vt:lpwstr/>
      </vt:variant>
      <vt:variant>
        <vt:lpwstr>_Toc318819182</vt:lpwstr>
      </vt:variant>
      <vt:variant>
        <vt:i4>2031675</vt:i4>
      </vt:variant>
      <vt:variant>
        <vt:i4>2</vt:i4>
      </vt:variant>
      <vt:variant>
        <vt:i4>0</vt:i4>
      </vt:variant>
      <vt:variant>
        <vt:i4>5</vt:i4>
      </vt:variant>
      <vt:variant>
        <vt:lpwstr/>
      </vt:variant>
      <vt:variant>
        <vt:lpwstr>_Toc318819181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 Template</dc:title>
  <dc:creator>WILKINSON,Lesley</dc:creator>
  <cp:lastModifiedBy>Alison Durbin</cp:lastModifiedBy>
  <cp:revision>2</cp:revision>
  <cp:lastPrinted>2012-04-19T23:28:00Z</cp:lastPrinted>
  <dcterms:created xsi:type="dcterms:W3CDTF">2013-06-21T05:58:00Z</dcterms:created>
  <dcterms:modified xsi:type="dcterms:W3CDTF">2013-06-21T05:58:00Z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easeDate">
    <vt:lpwstr>2005-01-06T00:00:00Z</vt:lpwstr>
  </property>
  <property fmtid="{D5CDD505-2E9C-101B-9397-08002B2CF9AE}" pid="3" name="Documents">
    <vt:lpwstr>Templates</vt:lpwstr>
  </property>
  <property fmtid="{D5CDD505-2E9C-101B-9397-08002B2CF9AE}" pid="4" name="ExpiryDate">
    <vt:lpwstr>2006-01-06T00:00:00Z</vt:lpwstr>
  </property>
</Properties>
</file>