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bookmarkStart w:id="1" w:name="_Toc302486423" w:displacedByCustomXml="next"/>
    <w:sdt>
      <w:sdtPr>
        <w:rPr>
          <w:rFonts w:cstheme="minorHAnsi"/>
          <w:sz w:val="24"/>
        </w:rPr>
        <w:id w:val="685869552"/>
        <w:docPartObj>
          <w:docPartGallery w:val="Cover Pages"/>
          <w:docPartUnique/>
        </w:docPartObj>
      </w:sdtPr>
      <w:sdtEndPr/>
      <w:sdtContent>
        <w:p w14:paraId="33FF85EC" w14:textId="77777777" w:rsidR="00B17D9B" w:rsidRPr="00F605CA" w:rsidRDefault="00B17D9B" w:rsidP="00F440E7">
          <w:pPr>
            <w:ind w:hanging="284"/>
            <w:rPr>
              <w:rFonts w:cstheme="minorHAnsi"/>
              <w:noProof/>
              <w:sz w:val="24"/>
            </w:rPr>
          </w:pPr>
        </w:p>
        <w:p w14:paraId="33FF85ED" w14:textId="77777777" w:rsidR="008B316E" w:rsidRPr="00F605CA" w:rsidRDefault="008B316E" w:rsidP="00F440E7">
          <w:pPr>
            <w:ind w:hanging="284"/>
            <w:rPr>
              <w:rFonts w:cstheme="minorHAnsi"/>
              <w:sz w:val="24"/>
            </w:rPr>
          </w:pPr>
          <w:r w:rsidRPr="00F605CA">
            <w:rPr>
              <w:rFonts w:cstheme="minorHAnsi"/>
              <w:noProof/>
              <w:sz w:val="24"/>
            </w:rPr>
            <w:drawing>
              <wp:inline distT="0" distB="0" distL="0" distR="0" wp14:anchorId="33FF86A7" wp14:editId="33FF86A8">
                <wp:extent cx="4336415" cy="561340"/>
                <wp:effectExtent l="0" t="0" r="6985" b="0"/>
                <wp:docPr id="3" name="Picture 3" descr="Australian Government Department of Education,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Department of Education, Employment and Workplace Relation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36415" cy="561340"/>
                        </a:xfrm>
                        <a:prstGeom prst="rect">
                          <a:avLst/>
                        </a:prstGeom>
                        <a:noFill/>
                        <a:ln>
                          <a:noFill/>
                        </a:ln>
                      </pic:spPr>
                    </pic:pic>
                  </a:graphicData>
                </a:graphic>
              </wp:inline>
            </w:drawing>
          </w:r>
        </w:p>
        <w:p w14:paraId="33FF85EE" w14:textId="77777777" w:rsidR="008B316E" w:rsidRPr="00F605CA" w:rsidRDefault="008B316E" w:rsidP="008B316E">
          <w:pPr>
            <w:rPr>
              <w:rFonts w:cstheme="minorHAnsi"/>
              <w:sz w:val="24"/>
              <w:lang w:bidi="en-US"/>
            </w:rPr>
          </w:pPr>
        </w:p>
        <w:p w14:paraId="33FF85EF" w14:textId="77777777" w:rsidR="00D05827" w:rsidRPr="00F605CA" w:rsidRDefault="00D05827" w:rsidP="008B316E">
          <w:pPr>
            <w:rPr>
              <w:rFonts w:cstheme="minorHAnsi"/>
              <w:sz w:val="24"/>
              <w:lang w:bidi="en-US"/>
            </w:rPr>
          </w:pPr>
        </w:p>
        <w:sdt>
          <w:sdtPr>
            <w:rPr>
              <w:rFonts w:asciiTheme="minorHAnsi" w:hAnsiTheme="minorHAnsi" w:cstheme="minorHAnsi"/>
              <w:color w:val="auto"/>
              <w:sz w:val="56"/>
              <w:szCs w:val="56"/>
            </w:rPr>
            <w:alias w:val="Title"/>
            <w:tag w:val=""/>
            <w:id w:val="-1218355058"/>
            <w:dataBinding w:prefixMappings="xmlns:ns0='http://purl.org/dc/elements/1.1/' xmlns:ns1='http://schemas.openxmlformats.org/package/2006/metadata/core-properties' " w:xpath="/ns1:coreProperties[1]/ns0:title[1]" w:storeItemID="{6C3C8BC8-F283-45AE-878A-BAB7291924A1}"/>
            <w:text/>
          </w:sdtPr>
          <w:sdtEndPr/>
          <w:sdtContent>
            <w:p w14:paraId="33FF85F0" w14:textId="77777777" w:rsidR="008B316E" w:rsidRPr="001E443D" w:rsidRDefault="006B0788" w:rsidP="003B43E9">
              <w:pPr>
                <w:pStyle w:val="Title"/>
                <w:spacing w:before="480" w:after="120"/>
                <w:ind w:left="992"/>
                <w:jc w:val="left"/>
                <w:rPr>
                  <w:rFonts w:asciiTheme="minorHAnsi" w:hAnsiTheme="minorHAnsi" w:cstheme="minorHAnsi"/>
                  <w:sz w:val="56"/>
                  <w:szCs w:val="56"/>
                </w:rPr>
              </w:pPr>
              <w:r w:rsidRPr="001E443D">
                <w:rPr>
                  <w:rFonts w:asciiTheme="minorHAnsi" w:hAnsiTheme="minorHAnsi" w:cstheme="minorHAnsi"/>
                  <w:color w:val="auto"/>
                  <w:sz w:val="56"/>
                  <w:szCs w:val="56"/>
                </w:rPr>
                <w:t xml:space="preserve">Bundaberg-Hervey Bay </w:t>
              </w:r>
              <w:r w:rsidR="002A3F44" w:rsidRPr="001E443D">
                <w:rPr>
                  <w:rFonts w:asciiTheme="minorHAnsi" w:hAnsiTheme="minorHAnsi" w:cstheme="minorHAnsi"/>
                  <w:color w:val="auto"/>
                  <w:sz w:val="56"/>
                  <w:szCs w:val="56"/>
                </w:rPr>
                <w:t xml:space="preserve">        </w:t>
              </w:r>
              <w:r w:rsidRPr="001E443D">
                <w:rPr>
                  <w:rFonts w:asciiTheme="minorHAnsi" w:hAnsiTheme="minorHAnsi" w:cstheme="minorHAnsi"/>
                  <w:color w:val="auto"/>
                  <w:sz w:val="56"/>
                  <w:szCs w:val="56"/>
                </w:rPr>
                <w:t>Priority Employment Area</w:t>
              </w:r>
            </w:p>
          </w:sdtContent>
        </w:sdt>
        <w:p w14:paraId="33FF85F1" w14:textId="77777777" w:rsidR="004B1A2D" w:rsidRPr="001E443D" w:rsidRDefault="006F2676" w:rsidP="00F440E7">
          <w:pPr>
            <w:pStyle w:val="Heading1"/>
            <w:ind w:left="993"/>
            <w:rPr>
              <w:rFonts w:asciiTheme="minorHAnsi" w:hAnsiTheme="minorHAnsi" w:cstheme="minorHAnsi"/>
              <w:szCs w:val="40"/>
            </w:rPr>
          </w:pPr>
          <w:bookmarkStart w:id="2" w:name="_Toc338936241"/>
          <w:bookmarkStart w:id="3" w:name="_Toc339270767"/>
          <w:bookmarkStart w:id="4" w:name="_Toc340569496"/>
          <w:bookmarkStart w:id="5" w:name="_Toc340837613"/>
          <w:bookmarkStart w:id="6" w:name="_Toc341346849"/>
          <w:bookmarkStart w:id="7" w:name="_Toc342643831"/>
          <w:bookmarkStart w:id="8" w:name="_Toc343694488"/>
          <w:bookmarkStart w:id="9" w:name="_Toc345058208"/>
          <w:bookmarkStart w:id="10" w:name="_Toc345059478"/>
          <w:bookmarkStart w:id="11" w:name="_Toc345407011"/>
          <w:bookmarkStart w:id="12" w:name="_Toc346870061"/>
          <w:r w:rsidRPr="001E443D">
            <w:rPr>
              <w:rFonts w:asciiTheme="minorHAnsi" w:hAnsiTheme="minorHAnsi" w:cstheme="minorHAnsi"/>
              <w:szCs w:val="40"/>
            </w:rPr>
            <w:t>Survey of Employers’ Recruitment Experiences</w:t>
          </w:r>
          <w:bookmarkEnd w:id="2"/>
          <w:bookmarkEnd w:id="3"/>
          <w:bookmarkEnd w:id="4"/>
          <w:bookmarkEnd w:id="5"/>
          <w:bookmarkEnd w:id="6"/>
          <w:bookmarkEnd w:id="7"/>
          <w:bookmarkEnd w:id="8"/>
          <w:bookmarkEnd w:id="9"/>
          <w:bookmarkEnd w:id="10"/>
          <w:bookmarkEnd w:id="11"/>
          <w:bookmarkEnd w:id="12"/>
        </w:p>
        <w:p w14:paraId="33FF85F2" w14:textId="77777777" w:rsidR="00F440E7" w:rsidRPr="001E443D" w:rsidRDefault="006B0788" w:rsidP="00F440E7">
          <w:pPr>
            <w:pStyle w:val="Heading2"/>
            <w:ind w:left="993"/>
            <w:rPr>
              <w:rStyle w:val="Heading2Char"/>
              <w:rFonts w:asciiTheme="minorHAnsi" w:hAnsiTheme="minorHAnsi" w:cstheme="minorHAnsi"/>
              <w:szCs w:val="32"/>
            </w:rPr>
          </w:pPr>
          <w:bookmarkStart w:id="13" w:name="_Toc338850210"/>
          <w:bookmarkStart w:id="14" w:name="_Toc338852467"/>
          <w:bookmarkStart w:id="15" w:name="_Toc338936242"/>
          <w:bookmarkStart w:id="16" w:name="_Toc339270768"/>
          <w:bookmarkStart w:id="17" w:name="_Toc340569497"/>
          <w:bookmarkStart w:id="18" w:name="_Toc340837614"/>
          <w:bookmarkStart w:id="19" w:name="_Toc341346850"/>
          <w:bookmarkStart w:id="20" w:name="_Toc341952004"/>
          <w:bookmarkStart w:id="21" w:name="_Toc342635696"/>
          <w:bookmarkStart w:id="22" w:name="_Toc342643832"/>
          <w:bookmarkStart w:id="23" w:name="_Toc343694489"/>
          <w:bookmarkStart w:id="24" w:name="_Toc345058209"/>
          <w:bookmarkStart w:id="25" w:name="_Toc345059479"/>
          <w:bookmarkStart w:id="26" w:name="_Toc345407012"/>
          <w:bookmarkStart w:id="27" w:name="_Toc346870062"/>
          <w:r w:rsidRPr="001E443D">
            <w:rPr>
              <w:rFonts w:asciiTheme="minorHAnsi" w:hAnsiTheme="minorHAnsi" w:cstheme="minorHAnsi"/>
              <w:szCs w:val="32"/>
            </w:rPr>
            <w:t>October</w:t>
          </w:r>
          <w:r w:rsidR="00295760" w:rsidRPr="001E443D">
            <w:rPr>
              <w:rFonts w:asciiTheme="minorHAnsi" w:hAnsiTheme="minorHAnsi" w:cstheme="minorHAnsi"/>
              <w:szCs w:val="32"/>
            </w:rPr>
            <w:t xml:space="preserve"> </w:t>
          </w:r>
          <w:r w:rsidR="003B43E9" w:rsidRPr="001E443D">
            <w:rPr>
              <w:rFonts w:asciiTheme="minorHAnsi" w:hAnsiTheme="minorHAnsi" w:cstheme="minorHAnsi"/>
              <w:szCs w:val="32"/>
            </w:rPr>
            <w:t>2012</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33FF85F3" w14:textId="77777777" w:rsidR="004B1A2D" w:rsidRPr="00F605CA" w:rsidRDefault="004B1A2D" w:rsidP="00F440E7">
          <w:pPr>
            <w:spacing w:before="0" w:after="0" w:line="240" w:lineRule="auto"/>
            <w:ind w:left="993"/>
            <w:rPr>
              <w:rStyle w:val="Heading2Char"/>
              <w:rFonts w:asciiTheme="minorHAnsi" w:hAnsiTheme="minorHAnsi" w:cstheme="minorHAnsi"/>
              <w:sz w:val="24"/>
              <w:szCs w:val="24"/>
            </w:rPr>
          </w:pPr>
          <w:r w:rsidRPr="00F605CA">
            <w:rPr>
              <w:rFonts w:eastAsiaTheme="majorEastAsia" w:cstheme="minorHAnsi"/>
              <w:b/>
              <w:bCs/>
              <w:noProof/>
              <w:color w:val="165788"/>
              <w:sz w:val="24"/>
            </w:rPr>
            <w:drawing>
              <wp:anchor distT="0" distB="0" distL="114300" distR="114300" simplePos="0" relativeHeight="251659264" behindDoc="1" locked="0" layoutInCell="1" allowOverlap="1" wp14:anchorId="33FF86A9" wp14:editId="33FF86AA">
                <wp:simplePos x="0" y="0"/>
                <wp:positionH relativeFrom="column">
                  <wp:posOffset>-1019175</wp:posOffset>
                </wp:positionH>
                <wp:positionV relativeFrom="paragraph">
                  <wp:posOffset>2087880</wp:posOffset>
                </wp:positionV>
                <wp:extent cx="7724775" cy="3838575"/>
                <wp:effectExtent l="19050" t="0" r="9525" b="0"/>
                <wp:wrapNone/>
                <wp:docPr id="9" name="Picture 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ecorative"/>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724775" cy="3838575"/>
                        </a:xfrm>
                        <a:prstGeom prst="rect">
                          <a:avLst/>
                        </a:prstGeom>
                        <a:noFill/>
                        <a:ln>
                          <a:noFill/>
                        </a:ln>
                      </pic:spPr>
                    </pic:pic>
                  </a:graphicData>
                </a:graphic>
              </wp:anchor>
            </w:drawing>
          </w:r>
          <w:r w:rsidRPr="00F605CA">
            <w:rPr>
              <w:rFonts w:eastAsiaTheme="majorEastAsia" w:cstheme="minorHAnsi"/>
              <w:b/>
              <w:bCs/>
              <w:noProof/>
              <w:color w:val="165788"/>
              <w:sz w:val="24"/>
            </w:rPr>
            <w:drawing>
              <wp:anchor distT="0" distB="0" distL="114300" distR="114300" simplePos="0" relativeHeight="251660288" behindDoc="1" locked="0" layoutInCell="1" allowOverlap="1" wp14:anchorId="33FF86AB" wp14:editId="33FF86AC">
                <wp:simplePos x="0" y="0"/>
                <wp:positionH relativeFrom="column">
                  <wp:posOffset>-1002030</wp:posOffset>
                </wp:positionH>
                <wp:positionV relativeFrom="paragraph">
                  <wp:posOffset>585470</wp:posOffset>
                </wp:positionV>
                <wp:extent cx="7738110" cy="1874520"/>
                <wp:effectExtent l="19050" t="0" r="0" b="0"/>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ecorative"/>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738110" cy="1874520"/>
                        </a:xfrm>
                        <a:prstGeom prst="rect">
                          <a:avLst/>
                        </a:prstGeom>
                        <a:noFill/>
                        <a:ln>
                          <a:noFill/>
                        </a:ln>
                      </pic:spPr>
                    </pic:pic>
                  </a:graphicData>
                </a:graphic>
              </wp:anchor>
            </w:drawing>
          </w:r>
          <w:r w:rsidRPr="00F605CA">
            <w:rPr>
              <w:rStyle w:val="Heading2Char"/>
              <w:rFonts w:asciiTheme="minorHAnsi" w:hAnsiTheme="minorHAnsi" w:cstheme="minorHAnsi"/>
              <w:sz w:val="24"/>
              <w:szCs w:val="24"/>
            </w:rPr>
            <w:br w:type="page"/>
          </w:r>
        </w:p>
        <w:p w14:paraId="33FF85F4" w14:textId="77777777" w:rsidR="00BD69AE" w:rsidRPr="00F605CA" w:rsidRDefault="00BD69AE" w:rsidP="004B1A2D">
          <w:pPr>
            <w:spacing w:before="0" w:after="0" w:line="240" w:lineRule="auto"/>
            <w:rPr>
              <w:rFonts w:eastAsiaTheme="majorEastAsia" w:cstheme="minorHAnsi"/>
              <w:b/>
              <w:bCs/>
              <w:color w:val="165788"/>
              <w:sz w:val="24"/>
            </w:rPr>
            <w:sectPr w:rsidR="00BD69AE" w:rsidRPr="00F605CA" w:rsidSect="00DB0902">
              <w:headerReference w:type="default" r:id="rId18"/>
              <w:footerReference w:type="default" r:id="rId19"/>
              <w:headerReference w:type="first" r:id="rId20"/>
              <w:footerReference w:type="first" r:id="rId21"/>
              <w:type w:val="continuous"/>
              <w:pgSz w:w="11907" w:h="16839" w:code="9"/>
              <w:pgMar w:top="1440" w:right="1559" w:bottom="1440" w:left="1440" w:header="709" w:footer="709" w:gutter="0"/>
              <w:cols w:space="708"/>
              <w:titlePg/>
              <w:docGrid w:linePitch="360"/>
            </w:sectPr>
          </w:pPr>
        </w:p>
        <w:p w14:paraId="33FF85F5" w14:textId="77777777" w:rsidR="004B1A2D" w:rsidRPr="00F605CA" w:rsidRDefault="00732B97" w:rsidP="004B1A2D">
          <w:pPr>
            <w:spacing w:before="0" w:after="0" w:line="240" w:lineRule="auto"/>
            <w:rPr>
              <w:rFonts w:eastAsiaTheme="majorEastAsia" w:cstheme="minorHAnsi"/>
              <w:b/>
              <w:bCs/>
              <w:color w:val="165788"/>
              <w:sz w:val="24"/>
            </w:rPr>
          </w:pPr>
        </w:p>
      </w:sdtContent>
    </w:sdt>
    <w:bookmarkEnd w:id="1" w:displacedByCustomXml="prev"/>
    <w:p w14:paraId="33FF85F6" w14:textId="77777777" w:rsidR="009F1AE2" w:rsidRPr="00F605CA" w:rsidRDefault="009F1AE2" w:rsidP="0019736B">
      <w:pPr>
        <w:pStyle w:val="numberedpara"/>
        <w:numPr>
          <w:ilvl w:val="0"/>
          <w:numId w:val="0"/>
        </w:numPr>
        <w:tabs>
          <w:tab w:val="left" w:pos="720"/>
        </w:tabs>
        <w:ind w:left="142"/>
        <w:rPr>
          <w:rFonts w:asciiTheme="minorHAnsi" w:hAnsiTheme="minorHAnsi" w:cstheme="minorHAnsi"/>
          <w:sz w:val="24"/>
          <w:szCs w:val="24"/>
        </w:rPr>
      </w:pPr>
    </w:p>
    <w:p w14:paraId="33FF85F7" w14:textId="77777777" w:rsidR="009F1AE2" w:rsidRPr="00F605CA" w:rsidRDefault="009F1AE2" w:rsidP="009F1AE2">
      <w:pPr>
        <w:pStyle w:val="BodyText"/>
        <w:rPr>
          <w:rFonts w:cstheme="minorHAnsi"/>
          <w:sz w:val="24"/>
        </w:rPr>
      </w:pPr>
    </w:p>
    <w:p w14:paraId="33FF85F8" w14:textId="77777777" w:rsidR="0019736B" w:rsidRPr="00F605CA" w:rsidRDefault="0019736B" w:rsidP="0019736B">
      <w:pPr>
        <w:pStyle w:val="numberedpara"/>
        <w:numPr>
          <w:ilvl w:val="0"/>
          <w:numId w:val="0"/>
        </w:numPr>
        <w:tabs>
          <w:tab w:val="left" w:pos="720"/>
        </w:tabs>
        <w:rPr>
          <w:rFonts w:asciiTheme="minorHAnsi" w:hAnsiTheme="minorHAnsi" w:cstheme="minorHAnsi"/>
          <w:sz w:val="24"/>
          <w:szCs w:val="24"/>
        </w:rPr>
      </w:pPr>
      <w:r w:rsidRPr="00F605CA">
        <w:rPr>
          <w:rFonts w:asciiTheme="minorHAnsi" w:hAnsiTheme="minorHAnsi" w:cstheme="minorHAnsi"/>
          <w:noProof/>
          <w:sz w:val="24"/>
          <w:szCs w:val="24"/>
        </w:rPr>
        <w:drawing>
          <wp:inline distT="0" distB="0" distL="0" distR="0" wp14:anchorId="33FF86AD" wp14:editId="33FF86AE">
            <wp:extent cx="847725" cy="285750"/>
            <wp:effectExtent l="19050" t="0" r="9525" b="0"/>
            <wp:docPr id="4" name="Picture 1" descr="cid:image001.png@01CC5B5E.C6C84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22" r:link="rId23"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14:paraId="33FF85F9" w14:textId="77777777" w:rsidR="0019736B" w:rsidRPr="00F605CA" w:rsidRDefault="0019736B" w:rsidP="0019736B">
      <w:pPr>
        <w:pStyle w:val="Default"/>
        <w:spacing w:before="120" w:after="120"/>
        <w:rPr>
          <w:rFonts w:asciiTheme="minorHAnsi" w:hAnsiTheme="minorHAnsi" w:cstheme="minorHAnsi"/>
        </w:rPr>
      </w:pPr>
      <w:r w:rsidRPr="00F605CA">
        <w:rPr>
          <w:rFonts w:asciiTheme="minorHAnsi" w:hAnsiTheme="minorHAnsi" w:cstheme="minorHAnsi"/>
        </w:rPr>
        <w:t>With the exception of the Commonwealth Coat of Arms, the Department’s logo, any material protected by a trade mark and where otherwise noted all material presented in this document is provided under a Creative Commons Attribution 3.0 Australia (</w:t>
      </w:r>
      <w:hyperlink r:id="rId24" w:history="1">
        <w:r w:rsidRPr="00F605CA">
          <w:rPr>
            <w:rStyle w:val="Hyperlink"/>
            <w:rFonts w:asciiTheme="minorHAnsi" w:hAnsiTheme="minorHAnsi" w:cstheme="minorHAnsi"/>
          </w:rPr>
          <w:t>http://creativecommons.org/licenses/by/3.0/au/</w:t>
        </w:r>
      </w:hyperlink>
      <w:r w:rsidRPr="00F605CA">
        <w:rPr>
          <w:rFonts w:asciiTheme="minorHAnsi" w:hAnsiTheme="minorHAnsi" w:cstheme="minorHAnsi"/>
        </w:rPr>
        <w:t xml:space="preserve">) licence. </w:t>
      </w:r>
    </w:p>
    <w:p w14:paraId="33FF85FA" w14:textId="77777777" w:rsidR="0019736B" w:rsidRPr="00F605CA" w:rsidRDefault="0019736B" w:rsidP="0019736B">
      <w:pPr>
        <w:pStyle w:val="Default"/>
        <w:spacing w:before="120" w:after="120"/>
        <w:rPr>
          <w:rFonts w:asciiTheme="minorHAnsi" w:hAnsiTheme="minorHAnsi" w:cstheme="minorHAnsi"/>
        </w:rPr>
      </w:pPr>
      <w:r w:rsidRPr="00F605CA">
        <w:rPr>
          <w:rFonts w:asciiTheme="minorHAnsi" w:hAnsiTheme="minorHAnsi" w:cstheme="minorHAnsi"/>
        </w:rPr>
        <w:t>The details of the relevant licence conditions are available on the Creative Commons website (accessible using the links provided) as is the full legal code for the CC BY 3.0 AU licence (</w:t>
      </w:r>
      <w:hyperlink r:id="rId25" w:history="1">
        <w:r w:rsidRPr="00F605CA">
          <w:rPr>
            <w:rStyle w:val="Hyperlink"/>
            <w:rFonts w:asciiTheme="minorHAnsi" w:hAnsiTheme="minorHAnsi" w:cstheme="minorHAnsi"/>
          </w:rPr>
          <w:t>http://creativecommons.org/licenses/by/3.0/au/legalcode</w:t>
        </w:r>
      </w:hyperlink>
      <w:r w:rsidRPr="00F605CA">
        <w:rPr>
          <w:rFonts w:asciiTheme="minorHAnsi" w:hAnsiTheme="minorHAnsi" w:cstheme="minorHAnsi"/>
        </w:rPr>
        <w:t xml:space="preserve">). </w:t>
      </w:r>
    </w:p>
    <w:p w14:paraId="33FF85FB" w14:textId="77777777" w:rsidR="0019736B" w:rsidRPr="00F605CA" w:rsidRDefault="0019736B" w:rsidP="0019736B">
      <w:pPr>
        <w:pStyle w:val="numberedpara"/>
        <w:numPr>
          <w:ilvl w:val="0"/>
          <w:numId w:val="0"/>
        </w:numPr>
        <w:tabs>
          <w:tab w:val="left" w:pos="720"/>
        </w:tabs>
        <w:spacing w:before="120" w:after="120"/>
        <w:rPr>
          <w:rFonts w:asciiTheme="minorHAnsi" w:hAnsiTheme="minorHAnsi" w:cstheme="minorHAnsi"/>
          <w:sz w:val="24"/>
          <w:szCs w:val="24"/>
        </w:rPr>
      </w:pPr>
      <w:r w:rsidRPr="00F605CA">
        <w:rPr>
          <w:rFonts w:asciiTheme="minorHAnsi" w:hAnsiTheme="minorHAnsi" w:cstheme="minorHAnsi"/>
          <w:sz w:val="24"/>
          <w:szCs w:val="24"/>
        </w:rPr>
        <w:t>The document must be attributed as the</w:t>
      </w:r>
      <w:r w:rsidR="00B52422" w:rsidRPr="00F605CA">
        <w:rPr>
          <w:rFonts w:asciiTheme="minorHAnsi" w:hAnsiTheme="minorHAnsi" w:cstheme="minorHAnsi"/>
          <w:sz w:val="24"/>
          <w:szCs w:val="24"/>
        </w:rPr>
        <w:t xml:space="preserve"> </w:t>
      </w:r>
      <w:r w:rsidR="0060157A" w:rsidRPr="00F605CA">
        <w:rPr>
          <w:rFonts w:asciiTheme="minorHAnsi" w:hAnsiTheme="minorHAnsi" w:cstheme="minorHAnsi"/>
          <w:sz w:val="24"/>
          <w:szCs w:val="24"/>
        </w:rPr>
        <w:t xml:space="preserve">‘Department of Education, Employment and Workplace Relations Survey of Employers’ Recruitment Experiences – </w:t>
      </w:r>
      <w:r w:rsidR="006B0788" w:rsidRPr="00F605CA">
        <w:rPr>
          <w:rFonts w:asciiTheme="minorHAnsi" w:hAnsiTheme="minorHAnsi" w:cstheme="minorHAnsi"/>
          <w:sz w:val="24"/>
          <w:szCs w:val="24"/>
        </w:rPr>
        <w:t>Bundaberg-Hervey Bay Priority Employment Are</w:t>
      </w:r>
      <w:r w:rsidR="00E71894" w:rsidRPr="00F605CA">
        <w:rPr>
          <w:rFonts w:asciiTheme="minorHAnsi" w:hAnsiTheme="minorHAnsi" w:cstheme="minorHAnsi"/>
          <w:sz w:val="24"/>
          <w:szCs w:val="24"/>
        </w:rPr>
        <w:t>a</w:t>
      </w:r>
      <w:r w:rsidR="00295760" w:rsidRPr="00F605CA">
        <w:rPr>
          <w:rFonts w:asciiTheme="minorHAnsi" w:hAnsiTheme="minorHAnsi" w:cstheme="minorHAnsi"/>
          <w:sz w:val="24"/>
          <w:szCs w:val="24"/>
        </w:rPr>
        <w:t xml:space="preserve"> </w:t>
      </w:r>
      <w:r w:rsidR="0060157A" w:rsidRPr="00F605CA">
        <w:rPr>
          <w:rFonts w:asciiTheme="minorHAnsi" w:hAnsiTheme="minorHAnsi" w:cstheme="minorHAnsi"/>
          <w:sz w:val="24"/>
          <w:szCs w:val="24"/>
        </w:rPr>
        <w:t xml:space="preserve">– </w:t>
      </w:r>
      <w:r w:rsidR="006B0788" w:rsidRPr="00F605CA">
        <w:rPr>
          <w:rFonts w:asciiTheme="minorHAnsi" w:hAnsiTheme="minorHAnsi" w:cstheme="minorHAnsi"/>
          <w:sz w:val="24"/>
          <w:szCs w:val="24"/>
        </w:rPr>
        <w:t>October</w:t>
      </w:r>
      <w:r w:rsidR="0060157A" w:rsidRPr="00F605CA">
        <w:rPr>
          <w:rFonts w:asciiTheme="minorHAnsi" w:hAnsiTheme="minorHAnsi" w:cstheme="minorHAnsi"/>
          <w:sz w:val="24"/>
          <w:szCs w:val="24"/>
        </w:rPr>
        <w:t xml:space="preserve"> 2012’.</w:t>
      </w:r>
    </w:p>
    <w:p w14:paraId="33FF85FC" w14:textId="77777777" w:rsidR="00383AC5" w:rsidRPr="00F605CA" w:rsidRDefault="00383AC5" w:rsidP="00383AC5">
      <w:pPr>
        <w:pStyle w:val="numberedpara"/>
        <w:numPr>
          <w:ilvl w:val="0"/>
          <w:numId w:val="0"/>
        </w:numPr>
        <w:tabs>
          <w:tab w:val="left" w:pos="720"/>
        </w:tabs>
        <w:spacing w:before="120" w:after="120"/>
        <w:rPr>
          <w:rFonts w:asciiTheme="minorHAnsi" w:hAnsiTheme="minorHAnsi" w:cstheme="minorHAnsi"/>
          <w:sz w:val="24"/>
          <w:szCs w:val="24"/>
        </w:rPr>
      </w:pPr>
      <w:r w:rsidRPr="00F605CA">
        <w:rPr>
          <w:rFonts w:asciiTheme="minorHAnsi" w:hAnsiTheme="minorHAnsi" w:cstheme="minorHAnsi"/>
          <w:sz w:val="24"/>
          <w:szCs w:val="24"/>
        </w:rPr>
        <w:t>This report was prepared by the Labour Market Research and Analysis Branch and is based on research conducted by the Branch.</w:t>
      </w:r>
    </w:p>
    <w:p w14:paraId="33FF85FD" w14:textId="77777777" w:rsidR="00383AC5" w:rsidRPr="00F605CA" w:rsidRDefault="00383AC5" w:rsidP="00383AC5">
      <w:pPr>
        <w:pStyle w:val="numberedpara"/>
        <w:numPr>
          <w:ilvl w:val="0"/>
          <w:numId w:val="0"/>
        </w:numPr>
        <w:tabs>
          <w:tab w:val="left" w:pos="720"/>
        </w:tabs>
        <w:spacing w:before="120" w:after="120"/>
        <w:rPr>
          <w:rFonts w:asciiTheme="minorHAnsi" w:hAnsiTheme="minorHAnsi" w:cstheme="minorHAnsi"/>
          <w:sz w:val="24"/>
          <w:szCs w:val="24"/>
        </w:rPr>
      </w:pPr>
      <w:r w:rsidRPr="00F605CA">
        <w:rPr>
          <w:rFonts w:asciiTheme="minorHAnsi" w:hAnsiTheme="minorHAnsi" w:cstheme="minorHAnsi"/>
          <w:sz w:val="24"/>
          <w:szCs w:val="24"/>
        </w:rPr>
        <w:t>For further information:</w:t>
      </w:r>
      <w:r w:rsidRPr="00F605CA">
        <w:rPr>
          <w:rFonts w:asciiTheme="minorHAnsi" w:hAnsiTheme="minorHAnsi" w:cstheme="minorHAnsi"/>
          <w:sz w:val="24"/>
          <w:szCs w:val="24"/>
        </w:rPr>
        <w:tab/>
      </w:r>
      <w:r w:rsidRPr="00F605CA">
        <w:rPr>
          <w:rFonts w:asciiTheme="minorHAnsi" w:hAnsiTheme="minorHAnsi" w:cstheme="minorHAnsi"/>
          <w:sz w:val="24"/>
          <w:szCs w:val="24"/>
        </w:rPr>
        <w:tab/>
        <w:t xml:space="preserve">                                            </w:t>
      </w:r>
      <w:hyperlink r:id="rId26" w:history="1">
        <w:r w:rsidR="004357DB" w:rsidRPr="003F3B1F">
          <w:rPr>
            <w:rStyle w:val="Hyperlink"/>
            <w:rFonts w:asciiTheme="minorHAnsi" w:hAnsiTheme="minorHAnsi" w:cstheme="minorHAnsi"/>
            <w:sz w:val="24"/>
            <w:szCs w:val="24"/>
          </w:rPr>
          <w:t>http://deewr.gov.au/regional-reports-employers-recruitment-experiences</w:t>
        </w:r>
      </w:hyperlink>
      <w:r w:rsidRPr="00F605CA">
        <w:rPr>
          <w:rFonts w:asciiTheme="minorHAnsi" w:hAnsiTheme="minorHAnsi" w:cstheme="minorHAnsi"/>
          <w:sz w:val="24"/>
          <w:szCs w:val="24"/>
        </w:rPr>
        <w:br/>
        <w:t xml:space="preserve">Ph: 1800 059 439 | </w:t>
      </w:r>
      <w:hyperlink r:id="rId27" w:history="1">
        <w:r w:rsidRPr="00F605CA">
          <w:rPr>
            <w:rStyle w:val="Hyperlink"/>
            <w:rFonts w:asciiTheme="minorHAnsi" w:hAnsiTheme="minorHAnsi" w:cstheme="minorHAnsi"/>
            <w:sz w:val="24"/>
            <w:szCs w:val="24"/>
          </w:rPr>
          <w:t>recruitmentsurveys@deewr.gov.au</w:t>
        </w:r>
      </w:hyperlink>
      <w:r w:rsidRPr="00F605CA">
        <w:rPr>
          <w:rFonts w:asciiTheme="minorHAnsi" w:hAnsiTheme="minorHAnsi" w:cstheme="minorHAnsi"/>
          <w:sz w:val="24"/>
          <w:szCs w:val="24"/>
        </w:rPr>
        <w:tab/>
        <w:t xml:space="preserve">                                          ABN: 63 578 775 294</w:t>
      </w:r>
    </w:p>
    <w:p w14:paraId="33FF85FE" w14:textId="77777777" w:rsidR="00383AC5" w:rsidRPr="00F605CA" w:rsidRDefault="00383AC5" w:rsidP="0019736B">
      <w:pPr>
        <w:pStyle w:val="numberedpara"/>
        <w:numPr>
          <w:ilvl w:val="0"/>
          <w:numId w:val="0"/>
        </w:numPr>
        <w:tabs>
          <w:tab w:val="left" w:pos="720"/>
        </w:tabs>
        <w:spacing w:before="120" w:after="120"/>
        <w:rPr>
          <w:rFonts w:asciiTheme="minorHAnsi" w:hAnsiTheme="minorHAnsi" w:cstheme="minorHAnsi"/>
          <w:sz w:val="24"/>
          <w:szCs w:val="24"/>
        </w:rPr>
      </w:pPr>
    </w:p>
    <w:p w14:paraId="33FF85FF" w14:textId="77777777" w:rsidR="0019736B" w:rsidRPr="00F605CA" w:rsidRDefault="0019736B">
      <w:pPr>
        <w:spacing w:before="0" w:after="0" w:line="240" w:lineRule="auto"/>
        <w:rPr>
          <w:rFonts w:eastAsiaTheme="majorEastAsia" w:cstheme="minorHAnsi"/>
          <w:b/>
          <w:bCs/>
          <w:color w:val="165788"/>
          <w:sz w:val="24"/>
        </w:rPr>
      </w:pPr>
      <w:r w:rsidRPr="00F605CA">
        <w:rPr>
          <w:rFonts w:cstheme="minorHAnsi"/>
          <w:sz w:val="24"/>
        </w:rPr>
        <w:br w:type="page"/>
      </w:r>
    </w:p>
    <w:p w14:paraId="33FF8600" w14:textId="77777777" w:rsidR="00242EBE" w:rsidRPr="00F605CA" w:rsidRDefault="00242EBE" w:rsidP="004B1A2D">
      <w:pPr>
        <w:pStyle w:val="Heading1"/>
        <w:rPr>
          <w:rFonts w:asciiTheme="minorHAnsi" w:hAnsiTheme="minorHAnsi" w:cstheme="minorHAnsi"/>
          <w:sz w:val="24"/>
          <w:szCs w:val="24"/>
        </w:rPr>
      </w:pPr>
    </w:p>
    <w:bookmarkStart w:id="28" w:name="_Toc345407013" w:displacedByCustomXml="next"/>
    <w:bookmarkStart w:id="29" w:name="_Toc343694490" w:displacedByCustomXml="next"/>
    <w:bookmarkStart w:id="30" w:name="_Toc341346851" w:displacedByCustomXml="next"/>
    <w:bookmarkStart w:id="31" w:name="_Toc340837615" w:displacedByCustomXml="next"/>
    <w:bookmarkStart w:id="32" w:name="_Toc340569498" w:displacedByCustomXml="next"/>
    <w:bookmarkStart w:id="33" w:name="_Toc342643833" w:displacedByCustomXml="next"/>
    <w:bookmarkStart w:id="34" w:name="_Toc345058210" w:displacedByCustomXml="next"/>
    <w:bookmarkStart w:id="35" w:name="_Toc345059480" w:displacedByCustomXml="next"/>
    <w:bookmarkStart w:id="36" w:name="_Toc346870063" w:displacedByCustomXml="next"/>
    <w:sdt>
      <w:sdtPr>
        <w:rPr>
          <w:rFonts w:asciiTheme="minorHAnsi" w:eastAsia="Times New Roman" w:hAnsiTheme="minorHAnsi" w:cstheme="minorHAnsi"/>
          <w:b w:val="0"/>
          <w:bCs w:val="0"/>
          <w:smallCaps/>
          <w:color w:val="auto"/>
          <w:sz w:val="24"/>
          <w:szCs w:val="24"/>
        </w:rPr>
        <w:id w:val="86572131"/>
        <w:docPartObj>
          <w:docPartGallery w:val="Table of Contents"/>
          <w:docPartUnique/>
        </w:docPartObj>
      </w:sdtPr>
      <w:sdtEndPr>
        <w:rPr>
          <w:smallCaps w:val="0"/>
        </w:rPr>
      </w:sdtEndPr>
      <w:sdtContent>
        <w:bookmarkStart w:id="37" w:name="_Toc339270769" w:displacedByCustomXml="prev"/>
        <w:bookmarkStart w:id="38" w:name="_Toc338850211" w:displacedByCustomXml="prev"/>
        <w:bookmarkStart w:id="39" w:name="_Toc338852468" w:displacedByCustomXml="prev"/>
        <w:bookmarkStart w:id="40" w:name="_Toc338936243" w:displacedByCustomXml="prev"/>
        <w:p w14:paraId="33FF8601" w14:textId="77777777" w:rsidR="00020C00" w:rsidRDefault="0097493D" w:rsidP="00020C00">
          <w:pPr>
            <w:pStyle w:val="Heading1"/>
            <w:ind w:left="284"/>
            <w:rPr>
              <w:rFonts w:asciiTheme="minorHAnsi" w:eastAsiaTheme="minorEastAsia" w:hAnsiTheme="minorHAnsi" w:cstheme="minorBidi"/>
              <w:b w:val="0"/>
              <w:noProof/>
              <w:color w:val="auto"/>
              <w:szCs w:val="22"/>
            </w:rPr>
          </w:pPr>
          <w:r w:rsidRPr="00F605CA">
            <w:rPr>
              <w:rFonts w:asciiTheme="minorHAnsi" w:hAnsiTheme="minorHAnsi" w:cstheme="minorHAnsi"/>
              <w:sz w:val="24"/>
              <w:szCs w:val="24"/>
            </w:rPr>
            <w:t>Contents</w:t>
          </w:r>
          <w:bookmarkEnd w:id="40"/>
          <w:bookmarkEnd w:id="39"/>
          <w:bookmarkEnd w:id="38"/>
          <w:bookmarkEnd w:id="37"/>
          <w:bookmarkEnd w:id="36"/>
          <w:bookmarkEnd w:id="35"/>
          <w:bookmarkEnd w:id="34"/>
          <w:bookmarkEnd w:id="33"/>
          <w:bookmarkEnd w:id="32"/>
          <w:bookmarkEnd w:id="31"/>
          <w:bookmarkEnd w:id="30"/>
          <w:bookmarkEnd w:id="29"/>
          <w:bookmarkEnd w:id="28"/>
          <w:r w:rsidR="00B61F8E" w:rsidRPr="00F605CA">
            <w:rPr>
              <w:rFonts w:asciiTheme="minorHAnsi" w:hAnsiTheme="minorHAnsi" w:cstheme="minorHAnsi"/>
              <w:sz w:val="24"/>
              <w:szCs w:val="24"/>
            </w:rPr>
            <w:fldChar w:fldCharType="begin"/>
          </w:r>
          <w:r w:rsidRPr="00F605CA">
            <w:rPr>
              <w:rFonts w:asciiTheme="minorHAnsi" w:hAnsiTheme="minorHAnsi" w:cstheme="minorHAnsi"/>
              <w:sz w:val="24"/>
              <w:szCs w:val="24"/>
            </w:rPr>
            <w:instrText xml:space="preserve"> TOC \o "1-3" \h \z \u </w:instrText>
          </w:r>
          <w:r w:rsidR="00B61F8E" w:rsidRPr="00F605CA">
            <w:rPr>
              <w:rFonts w:asciiTheme="minorHAnsi" w:hAnsiTheme="minorHAnsi" w:cstheme="minorHAnsi"/>
              <w:sz w:val="24"/>
              <w:szCs w:val="24"/>
            </w:rPr>
            <w:fldChar w:fldCharType="separate"/>
          </w:r>
        </w:p>
        <w:p w14:paraId="33FF8602" w14:textId="77777777" w:rsidR="00020C00" w:rsidRDefault="00732B97">
          <w:pPr>
            <w:pStyle w:val="TOC1"/>
            <w:rPr>
              <w:rFonts w:asciiTheme="minorHAnsi" w:eastAsiaTheme="minorEastAsia" w:hAnsiTheme="minorHAnsi" w:cstheme="minorBidi"/>
              <w:b w:val="0"/>
              <w:noProof/>
              <w:color w:val="auto"/>
              <w:szCs w:val="22"/>
            </w:rPr>
          </w:pPr>
          <w:hyperlink w:anchor="_Toc346870064" w:history="1">
            <w:r w:rsidR="00020C00" w:rsidRPr="00647664">
              <w:rPr>
                <w:rStyle w:val="Hyperlink"/>
                <w:rFonts w:eastAsiaTheme="majorEastAsia"/>
                <w:noProof/>
              </w:rPr>
              <w:t>Summary of Results</w:t>
            </w:r>
            <w:r w:rsidR="00020C00">
              <w:rPr>
                <w:noProof/>
                <w:webHidden/>
              </w:rPr>
              <w:tab/>
            </w:r>
            <w:r w:rsidR="00020C00">
              <w:rPr>
                <w:noProof/>
                <w:webHidden/>
              </w:rPr>
              <w:fldChar w:fldCharType="begin"/>
            </w:r>
            <w:r w:rsidR="00020C00">
              <w:rPr>
                <w:noProof/>
                <w:webHidden/>
              </w:rPr>
              <w:instrText xml:space="preserve"> PAGEREF _Toc346870064 \h </w:instrText>
            </w:r>
            <w:r w:rsidR="00020C00">
              <w:rPr>
                <w:noProof/>
                <w:webHidden/>
              </w:rPr>
            </w:r>
            <w:r w:rsidR="00020C00">
              <w:rPr>
                <w:noProof/>
                <w:webHidden/>
              </w:rPr>
              <w:fldChar w:fldCharType="separate"/>
            </w:r>
            <w:r w:rsidR="003F4A52">
              <w:rPr>
                <w:noProof/>
                <w:webHidden/>
              </w:rPr>
              <w:t>4</w:t>
            </w:r>
            <w:r w:rsidR="00020C00">
              <w:rPr>
                <w:noProof/>
                <w:webHidden/>
              </w:rPr>
              <w:fldChar w:fldCharType="end"/>
            </w:r>
          </w:hyperlink>
        </w:p>
        <w:p w14:paraId="33FF8603" w14:textId="77777777" w:rsidR="00020C00" w:rsidRDefault="00732B97">
          <w:pPr>
            <w:pStyle w:val="TOC1"/>
            <w:rPr>
              <w:rFonts w:asciiTheme="minorHAnsi" w:eastAsiaTheme="minorEastAsia" w:hAnsiTheme="minorHAnsi" w:cstheme="minorBidi"/>
              <w:b w:val="0"/>
              <w:noProof/>
              <w:color w:val="auto"/>
              <w:szCs w:val="22"/>
            </w:rPr>
          </w:pPr>
          <w:hyperlink w:anchor="_Toc346870065" w:history="1">
            <w:r w:rsidR="00020C00" w:rsidRPr="00647664">
              <w:rPr>
                <w:rStyle w:val="Hyperlink"/>
                <w:rFonts w:eastAsiaTheme="majorEastAsia"/>
                <w:noProof/>
              </w:rPr>
              <w:t>The Bundaberg-Hervey Bay Priority Employment Area</w:t>
            </w:r>
            <w:r w:rsidR="00020C00">
              <w:rPr>
                <w:noProof/>
                <w:webHidden/>
              </w:rPr>
              <w:tab/>
            </w:r>
            <w:r w:rsidR="00020C00">
              <w:rPr>
                <w:noProof/>
                <w:webHidden/>
              </w:rPr>
              <w:fldChar w:fldCharType="begin"/>
            </w:r>
            <w:r w:rsidR="00020C00">
              <w:rPr>
                <w:noProof/>
                <w:webHidden/>
              </w:rPr>
              <w:instrText xml:space="preserve"> PAGEREF _Toc346870065 \h </w:instrText>
            </w:r>
            <w:r w:rsidR="00020C00">
              <w:rPr>
                <w:noProof/>
                <w:webHidden/>
              </w:rPr>
            </w:r>
            <w:r w:rsidR="00020C00">
              <w:rPr>
                <w:noProof/>
                <w:webHidden/>
              </w:rPr>
              <w:fldChar w:fldCharType="separate"/>
            </w:r>
            <w:r w:rsidR="003F4A52">
              <w:rPr>
                <w:noProof/>
                <w:webHidden/>
              </w:rPr>
              <w:t>4</w:t>
            </w:r>
            <w:r w:rsidR="00020C00">
              <w:rPr>
                <w:noProof/>
                <w:webHidden/>
              </w:rPr>
              <w:fldChar w:fldCharType="end"/>
            </w:r>
          </w:hyperlink>
        </w:p>
        <w:p w14:paraId="33FF8604" w14:textId="77777777" w:rsidR="00020C00" w:rsidRDefault="00732B97">
          <w:pPr>
            <w:pStyle w:val="TOC1"/>
            <w:rPr>
              <w:rFonts w:asciiTheme="minorHAnsi" w:eastAsiaTheme="minorEastAsia" w:hAnsiTheme="minorHAnsi" w:cstheme="minorBidi"/>
              <w:b w:val="0"/>
              <w:noProof/>
              <w:color w:val="auto"/>
              <w:szCs w:val="22"/>
            </w:rPr>
          </w:pPr>
          <w:hyperlink w:anchor="_Toc346870066" w:history="1">
            <w:r w:rsidR="00020C00" w:rsidRPr="00647664">
              <w:rPr>
                <w:rStyle w:val="Hyperlink"/>
                <w:rFonts w:eastAsiaTheme="majorEastAsia"/>
                <w:noProof/>
              </w:rPr>
              <w:t>Recruitment Activity</w:t>
            </w:r>
            <w:r w:rsidR="00020C00">
              <w:rPr>
                <w:noProof/>
                <w:webHidden/>
              </w:rPr>
              <w:tab/>
            </w:r>
            <w:r w:rsidR="00020C00">
              <w:rPr>
                <w:noProof/>
                <w:webHidden/>
              </w:rPr>
              <w:fldChar w:fldCharType="begin"/>
            </w:r>
            <w:r w:rsidR="00020C00">
              <w:rPr>
                <w:noProof/>
                <w:webHidden/>
              </w:rPr>
              <w:instrText xml:space="preserve"> PAGEREF _Toc346870066 \h </w:instrText>
            </w:r>
            <w:r w:rsidR="00020C00">
              <w:rPr>
                <w:noProof/>
                <w:webHidden/>
              </w:rPr>
            </w:r>
            <w:r w:rsidR="00020C00">
              <w:rPr>
                <w:noProof/>
                <w:webHidden/>
              </w:rPr>
              <w:fldChar w:fldCharType="separate"/>
            </w:r>
            <w:r w:rsidR="003F4A52">
              <w:rPr>
                <w:noProof/>
                <w:webHidden/>
              </w:rPr>
              <w:t>5</w:t>
            </w:r>
            <w:r w:rsidR="00020C00">
              <w:rPr>
                <w:noProof/>
                <w:webHidden/>
              </w:rPr>
              <w:fldChar w:fldCharType="end"/>
            </w:r>
          </w:hyperlink>
        </w:p>
        <w:p w14:paraId="33FF8605" w14:textId="77777777" w:rsidR="00020C00" w:rsidRDefault="00732B97">
          <w:pPr>
            <w:pStyle w:val="TOC1"/>
            <w:rPr>
              <w:rFonts w:asciiTheme="minorHAnsi" w:eastAsiaTheme="minorEastAsia" w:hAnsiTheme="minorHAnsi" w:cstheme="minorBidi"/>
              <w:b w:val="0"/>
              <w:noProof/>
              <w:color w:val="auto"/>
              <w:szCs w:val="22"/>
            </w:rPr>
          </w:pPr>
          <w:hyperlink w:anchor="_Toc346870067" w:history="1">
            <w:r w:rsidR="00020C00" w:rsidRPr="00647664">
              <w:rPr>
                <w:rStyle w:val="Hyperlink"/>
                <w:rFonts w:eastAsiaTheme="majorEastAsia"/>
                <w:noProof/>
              </w:rPr>
              <w:t>Recruitment Methods</w:t>
            </w:r>
            <w:r w:rsidR="00020C00">
              <w:rPr>
                <w:noProof/>
                <w:webHidden/>
              </w:rPr>
              <w:tab/>
            </w:r>
            <w:r w:rsidR="00020C00">
              <w:rPr>
                <w:noProof/>
                <w:webHidden/>
              </w:rPr>
              <w:fldChar w:fldCharType="begin"/>
            </w:r>
            <w:r w:rsidR="00020C00">
              <w:rPr>
                <w:noProof/>
                <w:webHidden/>
              </w:rPr>
              <w:instrText xml:space="preserve"> PAGEREF _Toc346870067 \h </w:instrText>
            </w:r>
            <w:r w:rsidR="00020C00">
              <w:rPr>
                <w:noProof/>
                <w:webHidden/>
              </w:rPr>
            </w:r>
            <w:r w:rsidR="00020C00">
              <w:rPr>
                <w:noProof/>
                <w:webHidden/>
              </w:rPr>
              <w:fldChar w:fldCharType="separate"/>
            </w:r>
            <w:r w:rsidR="003F4A52">
              <w:rPr>
                <w:noProof/>
                <w:webHidden/>
              </w:rPr>
              <w:t>6</w:t>
            </w:r>
            <w:r w:rsidR="00020C00">
              <w:rPr>
                <w:noProof/>
                <w:webHidden/>
              </w:rPr>
              <w:fldChar w:fldCharType="end"/>
            </w:r>
          </w:hyperlink>
        </w:p>
        <w:p w14:paraId="33FF8606" w14:textId="77777777" w:rsidR="00020C00" w:rsidRDefault="00732B97">
          <w:pPr>
            <w:pStyle w:val="TOC1"/>
            <w:rPr>
              <w:rFonts w:asciiTheme="minorHAnsi" w:eastAsiaTheme="minorEastAsia" w:hAnsiTheme="minorHAnsi" w:cstheme="minorBidi"/>
              <w:b w:val="0"/>
              <w:noProof/>
              <w:color w:val="auto"/>
              <w:szCs w:val="22"/>
            </w:rPr>
          </w:pPr>
          <w:hyperlink w:anchor="_Toc346870068" w:history="1">
            <w:r w:rsidR="00020C00" w:rsidRPr="00647664">
              <w:rPr>
                <w:rStyle w:val="Hyperlink"/>
                <w:rFonts w:eastAsiaTheme="majorEastAsia"/>
                <w:noProof/>
              </w:rPr>
              <w:t>Recruitment Difficulty by Occupation</w:t>
            </w:r>
            <w:r w:rsidR="00020C00">
              <w:rPr>
                <w:noProof/>
                <w:webHidden/>
              </w:rPr>
              <w:tab/>
            </w:r>
            <w:r w:rsidR="00020C00">
              <w:rPr>
                <w:noProof/>
                <w:webHidden/>
              </w:rPr>
              <w:fldChar w:fldCharType="begin"/>
            </w:r>
            <w:r w:rsidR="00020C00">
              <w:rPr>
                <w:noProof/>
                <w:webHidden/>
              </w:rPr>
              <w:instrText xml:space="preserve"> PAGEREF _Toc346870068 \h </w:instrText>
            </w:r>
            <w:r w:rsidR="00020C00">
              <w:rPr>
                <w:noProof/>
                <w:webHidden/>
              </w:rPr>
            </w:r>
            <w:r w:rsidR="00020C00">
              <w:rPr>
                <w:noProof/>
                <w:webHidden/>
              </w:rPr>
              <w:fldChar w:fldCharType="separate"/>
            </w:r>
            <w:r w:rsidR="003F4A52">
              <w:rPr>
                <w:noProof/>
                <w:webHidden/>
              </w:rPr>
              <w:t>5</w:t>
            </w:r>
            <w:r w:rsidR="00020C00">
              <w:rPr>
                <w:noProof/>
                <w:webHidden/>
              </w:rPr>
              <w:fldChar w:fldCharType="end"/>
            </w:r>
          </w:hyperlink>
        </w:p>
        <w:p w14:paraId="33FF8607" w14:textId="77777777" w:rsidR="00020C00" w:rsidRDefault="00732B97">
          <w:pPr>
            <w:pStyle w:val="TOC1"/>
            <w:rPr>
              <w:rFonts w:asciiTheme="minorHAnsi" w:eastAsiaTheme="minorEastAsia" w:hAnsiTheme="minorHAnsi" w:cstheme="minorBidi"/>
              <w:b w:val="0"/>
              <w:noProof/>
              <w:color w:val="auto"/>
              <w:szCs w:val="22"/>
            </w:rPr>
          </w:pPr>
          <w:hyperlink w:anchor="_Toc346870069" w:history="1">
            <w:r w:rsidR="00020C00" w:rsidRPr="00647664">
              <w:rPr>
                <w:rStyle w:val="Hyperlink"/>
                <w:rFonts w:eastAsiaTheme="majorEastAsia"/>
                <w:noProof/>
              </w:rPr>
              <w:t>Apprentices and Trainees</w:t>
            </w:r>
            <w:r w:rsidR="00020C00">
              <w:rPr>
                <w:noProof/>
                <w:webHidden/>
              </w:rPr>
              <w:tab/>
            </w:r>
            <w:r w:rsidR="00020C00">
              <w:rPr>
                <w:noProof/>
                <w:webHidden/>
              </w:rPr>
              <w:fldChar w:fldCharType="begin"/>
            </w:r>
            <w:r w:rsidR="00020C00">
              <w:rPr>
                <w:noProof/>
                <w:webHidden/>
              </w:rPr>
              <w:instrText xml:space="preserve"> PAGEREF _Toc346870069 \h </w:instrText>
            </w:r>
            <w:r w:rsidR="00020C00">
              <w:rPr>
                <w:noProof/>
                <w:webHidden/>
              </w:rPr>
            </w:r>
            <w:r w:rsidR="00020C00">
              <w:rPr>
                <w:noProof/>
                <w:webHidden/>
              </w:rPr>
              <w:fldChar w:fldCharType="separate"/>
            </w:r>
            <w:r w:rsidR="003F4A52">
              <w:rPr>
                <w:noProof/>
                <w:webHidden/>
              </w:rPr>
              <w:t>6</w:t>
            </w:r>
            <w:r w:rsidR="00020C00">
              <w:rPr>
                <w:noProof/>
                <w:webHidden/>
              </w:rPr>
              <w:fldChar w:fldCharType="end"/>
            </w:r>
          </w:hyperlink>
        </w:p>
        <w:p w14:paraId="33FF8608" w14:textId="77777777" w:rsidR="00020C00" w:rsidRDefault="00732B97">
          <w:pPr>
            <w:pStyle w:val="TOC1"/>
            <w:rPr>
              <w:rFonts w:asciiTheme="minorHAnsi" w:eastAsiaTheme="minorEastAsia" w:hAnsiTheme="minorHAnsi" w:cstheme="minorBidi"/>
              <w:b w:val="0"/>
              <w:noProof/>
              <w:color w:val="auto"/>
              <w:szCs w:val="22"/>
            </w:rPr>
          </w:pPr>
          <w:hyperlink w:anchor="_Toc346870070" w:history="1">
            <w:r w:rsidR="00020C00" w:rsidRPr="00647664">
              <w:rPr>
                <w:rStyle w:val="Hyperlink"/>
                <w:rFonts w:eastAsiaTheme="majorEastAsia"/>
                <w:noProof/>
              </w:rPr>
              <w:t>Future Recruitment Expectations</w:t>
            </w:r>
            <w:r w:rsidR="00020C00">
              <w:rPr>
                <w:noProof/>
                <w:webHidden/>
              </w:rPr>
              <w:tab/>
            </w:r>
            <w:r w:rsidR="00020C00">
              <w:rPr>
                <w:noProof/>
                <w:webHidden/>
              </w:rPr>
              <w:fldChar w:fldCharType="begin"/>
            </w:r>
            <w:r w:rsidR="00020C00">
              <w:rPr>
                <w:noProof/>
                <w:webHidden/>
              </w:rPr>
              <w:instrText xml:space="preserve"> PAGEREF _Toc346870070 \h </w:instrText>
            </w:r>
            <w:r w:rsidR="00020C00">
              <w:rPr>
                <w:noProof/>
                <w:webHidden/>
              </w:rPr>
            </w:r>
            <w:r w:rsidR="00020C00">
              <w:rPr>
                <w:noProof/>
                <w:webHidden/>
              </w:rPr>
              <w:fldChar w:fldCharType="separate"/>
            </w:r>
            <w:r w:rsidR="003F4A52">
              <w:rPr>
                <w:noProof/>
                <w:webHidden/>
              </w:rPr>
              <w:t>7</w:t>
            </w:r>
            <w:r w:rsidR="00020C00">
              <w:rPr>
                <w:noProof/>
                <w:webHidden/>
              </w:rPr>
              <w:fldChar w:fldCharType="end"/>
            </w:r>
          </w:hyperlink>
        </w:p>
        <w:p w14:paraId="33FF8609" w14:textId="77777777" w:rsidR="00020C00" w:rsidRDefault="00732B97">
          <w:pPr>
            <w:pStyle w:val="TOC1"/>
            <w:rPr>
              <w:rFonts w:asciiTheme="minorHAnsi" w:eastAsiaTheme="minorEastAsia" w:hAnsiTheme="minorHAnsi" w:cstheme="minorBidi"/>
              <w:b w:val="0"/>
              <w:noProof/>
              <w:color w:val="auto"/>
              <w:szCs w:val="22"/>
            </w:rPr>
          </w:pPr>
          <w:hyperlink w:anchor="_Toc346870071" w:history="1">
            <w:r w:rsidR="00020C00" w:rsidRPr="00647664">
              <w:rPr>
                <w:rStyle w:val="Hyperlink"/>
                <w:rFonts w:eastAsiaTheme="majorEastAsia"/>
                <w:noProof/>
              </w:rPr>
              <w:t>Opportunities</w:t>
            </w:r>
            <w:r w:rsidR="00020C00">
              <w:rPr>
                <w:noProof/>
                <w:webHidden/>
              </w:rPr>
              <w:tab/>
            </w:r>
            <w:r w:rsidR="00020C00">
              <w:rPr>
                <w:noProof/>
                <w:webHidden/>
              </w:rPr>
              <w:fldChar w:fldCharType="begin"/>
            </w:r>
            <w:r w:rsidR="00020C00">
              <w:rPr>
                <w:noProof/>
                <w:webHidden/>
              </w:rPr>
              <w:instrText xml:space="preserve"> PAGEREF _Toc346870071 \h </w:instrText>
            </w:r>
            <w:r w:rsidR="00020C00">
              <w:rPr>
                <w:noProof/>
                <w:webHidden/>
              </w:rPr>
            </w:r>
            <w:r w:rsidR="00020C00">
              <w:rPr>
                <w:noProof/>
                <w:webHidden/>
              </w:rPr>
              <w:fldChar w:fldCharType="separate"/>
            </w:r>
            <w:r w:rsidR="003F4A52">
              <w:rPr>
                <w:noProof/>
                <w:webHidden/>
              </w:rPr>
              <w:t>8</w:t>
            </w:r>
            <w:r w:rsidR="00020C00">
              <w:rPr>
                <w:noProof/>
                <w:webHidden/>
              </w:rPr>
              <w:fldChar w:fldCharType="end"/>
            </w:r>
          </w:hyperlink>
        </w:p>
        <w:p w14:paraId="33FF860A" w14:textId="77777777" w:rsidR="00020C00" w:rsidRDefault="00732B97">
          <w:pPr>
            <w:pStyle w:val="TOC1"/>
            <w:rPr>
              <w:rFonts w:asciiTheme="minorHAnsi" w:eastAsiaTheme="minorEastAsia" w:hAnsiTheme="minorHAnsi" w:cstheme="minorBidi"/>
              <w:b w:val="0"/>
              <w:noProof/>
              <w:color w:val="auto"/>
              <w:szCs w:val="22"/>
            </w:rPr>
          </w:pPr>
          <w:hyperlink w:anchor="_Toc346870072" w:history="1">
            <w:r w:rsidR="00020C00" w:rsidRPr="00647664">
              <w:rPr>
                <w:rStyle w:val="Hyperlink"/>
                <w:rFonts w:eastAsiaTheme="majorEastAsia"/>
                <w:noProof/>
              </w:rPr>
              <w:t>More Information</w:t>
            </w:r>
            <w:r w:rsidR="00020C00">
              <w:rPr>
                <w:noProof/>
                <w:webHidden/>
              </w:rPr>
              <w:tab/>
            </w:r>
            <w:r w:rsidR="00020C00">
              <w:rPr>
                <w:noProof/>
                <w:webHidden/>
              </w:rPr>
              <w:fldChar w:fldCharType="begin"/>
            </w:r>
            <w:r w:rsidR="00020C00">
              <w:rPr>
                <w:noProof/>
                <w:webHidden/>
              </w:rPr>
              <w:instrText xml:space="preserve"> PAGEREF _Toc346870072 \h </w:instrText>
            </w:r>
            <w:r w:rsidR="00020C00">
              <w:rPr>
                <w:noProof/>
                <w:webHidden/>
              </w:rPr>
            </w:r>
            <w:r w:rsidR="00020C00">
              <w:rPr>
                <w:noProof/>
                <w:webHidden/>
              </w:rPr>
              <w:fldChar w:fldCharType="separate"/>
            </w:r>
            <w:r w:rsidR="003F4A52">
              <w:rPr>
                <w:noProof/>
                <w:webHidden/>
              </w:rPr>
              <w:t>8</w:t>
            </w:r>
            <w:r w:rsidR="00020C00">
              <w:rPr>
                <w:noProof/>
                <w:webHidden/>
              </w:rPr>
              <w:fldChar w:fldCharType="end"/>
            </w:r>
          </w:hyperlink>
        </w:p>
        <w:p w14:paraId="33FF860B" w14:textId="77777777" w:rsidR="0097493D" w:rsidRPr="00F605CA" w:rsidRDefault="00B61F8E">
          <w:pPr>
            <w:rPr>
              <w:rFonts w:cstheme="minorHAnsi"/>
              <w:sz w:val="24"/>
            </w:rPr>
          </w:pPr>
          <w:r w:rsidRPr="00F605CA">
            <w:rPr>
              <w:rFonts w:cstheme="minorHAnsi"/>
              <w:sz w:val="24"/>
            </w:rPr>
            <w:fldChar w:fldCharType="end"/>
          </w:r>
        </w:p>
      </w:sdtContent>
    </w:sdt>
    <w:p w14:paraId="33FF860C" w14:textId="77777777" w:rsidR="004B1A2D" w:rsidRPr="00F605CA" w:rsidRDefault="004B1A2D" w:rsidP="004B1A2D">
      <w:pPr>
        <w:rPr>
          <w:rFonts w:cstheme="minorHAnsi"/>
          <w:sz w:val="24"/>
        </w:rPr>
      </w:pPr>
    </w:p>
    <w:p w14:paraId="33FF860D" w14:textId="77777777" w:rsidR="004B1A2D" w:rsidRPr="00F605CA" w:rsidRDefault="004B1A2D" w:rsidP="00EC514F">
      <w:pPr>
        <w:pStyle w:val="Heading1"/>
        <w:rPr>
          <w:rFonts w:asciiTheme="minorHAnsi" w:hAnsiTheme="minorHAnsi" w:cstheme="minorHAnsi"/>
          <w:b w:val="0"/>
          <w:sz w:val="24"/>
          <w:szCs w:val="24"/>
        </w:rPr>
      </w:pPr>
      <w:r w:rsidRPr="00F605CA">
        <w:rPr>
          <w:rFonts w:asciiTheme="minorHAnsi" w:hAnsiTheme="minorHAnsi" w:cstheme="minorHAnsi"/>
          <w:sz w:val="24"/>
          <w:szCs w:val="24"/>
        </w:rPr>
        <w:br w:type="page"/>
      </w:r>
    </w:p>
    <w:p w14:paraId="33FF860E" w14:textId="77777777" w:rsidR="007F6C7E" w:rsidRPr="00F605CA" w:rsidRDefault="007F6C7E" w:rsidP="007F6C7E">
      <w:pPr>
        <w:pStyle w:val="RIESbriefreports"/>
        <w:spacing w:before="0" w:line="240" w:lineRule="atLeast"/>
        <w:contextualSpacing/>
        <w:rPr>
          <w:color w:val="1F497D" w:themeColor="text2"/>
          <w:szCs w:val="24"/>
        </w:rPr>
      </w:pPr>
      <w:bookmarkStart w:id="41" w:name="_Toc346870064"/>
      <w:r w:rsidRPr="00F605CA">
        <w:rPr>
          <w:color w:val="1F497D" w:themeColor="text2"/>
          <w:szCs w:val="24"/>
        </w:rPr>
        <w:lastRenderedPageBreak/>
        <w:t>The Bundaberg-Hervey Bay Priority Employment Area</w:t>
      </w:r>
    </w:p>
    <w:p w14:paraId="33FF860F" w14:textId="77777777" w:rsidR="007F6C7E" w:rsidRPr="00F605CA" w:rsidRDefault="007F6C7E" w:rsidP="007F6C7E">
      <w:pPr>
        <w:spacing w:line="240" w:lineRule="atLeast"/>
        <w:jc w:val="both"/>
        <w:rPr>
          <w:rFonts w:cstheme="minorHAnsi"/>
          <w:b/>
          <w:sz w:val="24"/>
        </w:rPr>
      </w:pPr>
      <w:r>
        <w:rPr>
          <w:rFonts w:cstheme="minorHAnsi"/>
          <w:sz w:val="24"/>
        </w:rPr>
        <w:t xml:space="preserve">The </w:t>
      </w:r>
      <w:r w:rsidRPr="00F605CA">
        <w:rPr>
          <w:rFonts w:cstheme="minorHAnsi"/>
          <w:sz w:val="24"/>
        </w:rPr>
        <w:t>Bundaberg-Hervey Bay PEA</w:t>
      </w:r>
      <w:r>
        <w:rPr>
          <w:rFonts w:cstheme="minorHAnsi"/>
          <w:sz w:val="24"/>
        </w:rPr>
        <w:t xml:space="preserve"> </w:t>
      </w:r>
      <w:r w:rsidRPr="00F605CA">
        <w:rPr>
          <w:rFonts w:cstheme="minorHAnsi"/>
          <w:sz w:val="24"/>
          <w:lang w:eastAsia="en-US"/>
        </w:rPr>
        <w:t>is located along the coast of Queensland, north of the state capital Brisbane and covers the area bounded by the towns of Bundaberg, Childers, Maryborough and Hervey Bay.</w:t>
      </w:r>
      <w:r>
        <w:rPr>
          <w:rFonts w:cstheme="minorHAnsi"/>
          <w:sz w:val="24"/>
          <w:lang w:eastAsia="en-US"/>
        </w:rPr>
        <w:t xml:space="preserve"> It</w:t>
      </w:r>
      <w:r w:rsidRPr="00F605CA">
        <w:rPr>
          <w:rFonts w:cstheme="minorHAnsi"/>
          <w:sz w:val="24"/>
        </w:rPr>
        <w:t xml:space="preserve"> consists of the Local Government Areas (LGAs) of Bundaberg and Fraser Coast (excluding Fraser Coast - Woocoo-Tiaro SLA) and the Statistical Local Area (SLA) of Gladstone – Miriam Vale. The PEA sits within the Wide Bay-Burnett Labour Force Region (LFR).</w:t>
      </w:r>
      <w:r w:rsidRPr="00F605CA">
        <w:rPr>
          <w:rStyle w:val="FootnoteReference"/>
          <w:rFonts w:cstheme="minorHAnsi"/>
          <w:sz w:val="24"/>
        </w:rPr>
        <w:footnoteReference w:id="1"/>
      </w:r>
    </w:p>
    <w:p w14:paraId="33FF8610" w14:textId="77777777" w:rsidR="00BD6DC7" w:rsidRPr="00F605CA" w:rsidRDefault="007B69FB" w:rsidP="006D7460">
      <w:pPr>
        <w:pStyle w:val="RIESbriefreports"/>
        <w:spacing w:before="0" w:line="240" w:lineRule="atLeast"/>
        <w:jc w:val="both"/>
        <w:rPr>
          <w:color w:val="1F497D" w:themeColor="text2"/>
          <w:szCs w:val="24"/>
        </w:rPr>
      </w:pPr>
      <w:r>
        <w:rPr>
          <w:color w:val="1F497D" w:themeColor="text2"/>
          <w:szCs w:val="24"/>
        </w:rPr>
        <w:t>Summary of Results</w:t>
      </w:r>
      <w:bookmarkEnd w:id="41"/>
    </w:p>
    <w:p w14:paraId="33FF8611" w14:textId="77777777" w:rsidR="007B69FB" w:rsidRPr="00682FB6" w:rsidRDefault="007B69FB" w:rsidP="000C760F">
      <w:pPr>
        <w:spacing w:before="0" w:after="0" w:line="240" w:lineRule="atLeast"/>
        <w:jc w:val="both"/>
        <w:rPr>
          <w:rFonts w:cstheme="minorHAnsi"/>
          <w:sz w:val="24"/>
          <w:lang w:eastAsia="en-US"/>
        </w:rPr>
      </w:pPr>
      <w:r w:rsidRPr="00682FB6">
        <w:rPr>
          <w:rFonts w:cstheme="minorHAnsi"/>
          <w:sz w:val="24"/>
          <w:lang w:eastAsia="en-US"/>
        </w:rPr>
        <w:t>Despite low levels of labour force participation, t</w:t>
      </w:r>
      <w:r w:rsidR="00962A96" w:rsidRPr="00682FB6">
        <w:rPr>
          <w:rFonts w:cstheme="minorHAnsi"/>
          <w:sz w:val="24"/>
          <w:lang w:eastAsia="en-US"/>
        </w:rPr>
        <w:t>he</w:t>
      </w:r>
      <w:r w:rsidR="00E42476" w:rsidRPr="00682FB6">
        <w:rPr>
          <w:rFonts w:cstheme="minorHAnsi"/>
          <w:sz w:val="24"/>
          <w:lang w:eastAsia="en-US"/>
        </w:rPr>
        <w:t xml:space="preserve"> Bundaberg-Hervey Bay Priority Employment Area (PEA) </w:t>
      </w:r>
      <w:r w:rsidR="00962A96" w:rsidRPr="00682FB6">
        <w:rPr>
          <w:rFonts w:cstheme="minorHAnsi"/>
          <w:sz w:val="24"/>
          <w:lang w:eastAsia="en-US"/>
        </w:rPr>
        <w:t xml:space="preserve">has </w:t>
      </w:r>
      <w:r w:rsidRPr="00682FB6">
        <w:rPr>
          <w:rFonts w:cstheme="minorHAnsi"/>
          <w:sz w:val="24"/>
          <w:lang w:eastAsia="en-US"/>
        </w:rPr>
        <w:t xml:space="preserve">a large pool of </w:t>
      </w:r>
      <w:r w:rsidR="004A5176">
        <w:rPr>
          <w:rFonts w:cstheme="minorHAnsi"/>
          <w:sz w:val="24"/>
          <w:lang w:eastAsia="en-US"/>
        </w:rPr>
        <w:t>unemployed</w:t>
      </w:r>
      <w:r w:rsidR="00682FB6">
        <w:rPr>
          <w:rFonts w:cstheme="minorHAnsi"/>
          <w:sz w:val="24"/>
          <w:lang w:eastAsia="en-US"/>
        </w:rPr>
        <w:t xml:space="preserve"> job</w:t>
      </w:r>
      <w:r w:rsidR="004357DB">
        <w:rPr>
          <w:rFonts w:cstheme="minorHAnsi"/>
          <w:sz w:val="24"/>
          <w:lang w:eastAsia="en-US"/>
        </w:rPr>
        <w:t xml:space="preserve"> </w:t>
      </w:r>
      <w:r w:rsidR="00682FB6" w:rsidRPr="00682FB6">
        <w:rPr>
          <w:rFonts w:cstheme="minorHAnsi"/>
          <w:sz w:val="24"/>
          <w:lang w:eastAsia="en-US"/>
        </w:rPr>
        <w:t>seekers</w:t>
      </w:r>
      <w:r w:rsidRPr="00682FB6">
        <w:rPr>
          <w:rFonts w:cstheme="minorHAnsi"/>
          <w:sz w:val="24"/>
          <w:lang w:eastAsia="en-US"/>
        </w:rPr>
        <w:t>.</w:t>
      </w:r>
    </w:p>
    <w:p w14:paraId="33FF8612" w14:textId="77777777" w:rsidR="00C4720C" w:rsidRPr="003F4A52" w:rsidRDefault="007B69FB" w:rsidP="000C760F">
      <w:pPr>
        <w:pStyle w:val="ListParagraph"/>
        <w:numPr>
          <w:ilvl w:val="0"/>
          <w:numId w:val="35"/>
        </w:numPr>
        <w:spacing w:after="0" w:line="240" w:lineRule="atLeast"/>
        <w:jc w:val="both"/>
        <w:rPr>
          <w:rFonts w:asciiTheme="minorHAnsi" w:hAnsiTheme="minorHAnsi" w:cstheme="minorHAnsi"/>
          <w:color w:val="auto"/>
          <w:szCs w:val="24"/>
        </w:rPr>
      </w:pPr>
      <w:r w:rsidRPr="003F4A52">
        <w:rPr>
          <w:rFonts w:asciiTheme="minorHAnsi" w:hAnsiTheme="minorHAnsi" w:cstheme="minorHAnsi"/>
          <w:color w:val="auto"/>
          <w:szCs w:val="24"/>
        </w:rPr>
        <w:t>The working age participation rate</w:t>
      </w:r>
      <w:r w:rsidR="00457A13" w:rsidRPr="003F4A52">
        <w:rPr>
          <w:rFonts w:asciiTheme="minorHAnsi" w:hAnsiTheme="minorHAnsi" w:cstheme="minorHAnsi"/>
          <w:color w:val="auto"/>
          <w:szCs w:val="24"/>
        </w:rPr>
        <w:t xml:space="preserve"> (the proportion of people either employed or</w:t>
      </w:r>
      <w:r w:rsidR="007F6C7E">
        <w:rPr>
          <w:rFonts w:asciiTheme="minorHAnsi" w:hAnsiTheme="minorHAnsi" w:cstheme="minorHAnsi"/>
          <w:color w:val="auto"/>
          <w:szCs w:val="24"/>
        </w:rPr>
        <w:t xml:space="preserve"> unemployed and</w:t>
      </w:r>
      <w:r w:rsidR="00457A13" w:rsidRPr="003F4A52">
        <w:rPr>
          <w:rFonts w:asciiTheme="minorHAnsi" w:hAnsiTheme="minorHAnsi" w:cstheme="minorHAnsi"/>
          <w:color w:val="auto"/>
          <w:szCs w:val="24"/>
        </w:rPr>
        <w:t xml:space="preserve"> actively looking for work)</w:t>
      </w:r>
      <w:r w:rsidRPr="003F4A52">
        <w:rPr>
          <w:rFonts w:asciiTheme="minorHAnsi" w:hAnsiTheme="minorHAnsi" w:cstheme="minorHAnsi"/>
          <w:color w:val="auto"/>
          <w:szCs w:val="24"/>
        </w:rPr>
        <w:t xml:space="preserve"> for the PEA was </w:t>
      </w:r>
      <w:r w:rsidR="00457A13" w:rsidRPr="003F4A52">
        <w:rPr>
          <w:rFonts w:asciiTheme="minorHAnsi" w:hAnsiTheme="minorHAnsi" w:cstheme="minorHAnsi"/>
          <w:color w:val="auto"/>
          <w:szCs w:val="24"/>
        </w:rPr>
        <w:t>66.9 per cent, well below that for Queensland</w:t>
      </w:r>
      <w:r w:rsidR="004C5F7C" w:rsidRPr="003F4A52">
        <w:rPr>
          <w:rFonts w:asciiTheme="minorHAnsi" w:hAnsiTheme="minorHAnsi" w:cstheme="minorHAnsi"/>
          <w:color w:val="auto"/>
          <w:szCs w:val="24"/>
        </w:rPr>
        <w:t xml:space="preserve"> </w:t>
      </w:r>
      <w:r w:rsidR="00457A13" w:rsidRPr="003F4A52">
        <w:rPr>
          <w:rFonts w:asciiTheme="minorHAnsi" w:hAnsiTheme="minorHAnsi" w:cstheme="minorHAnsi"/>
          <w:color w:val="auto"/>
          <w:szCs w:val="24"/>
        </w:rPr>
        <w:t>(77.2 per cent)</w:t>
      </w:r>
      <w:r w:rsidR="00AD563C">
        <w:rPr>
          <w:rStyle w:val="FootnoteReference"/>
          <w:rFonts w:asciiTheme="minorHAnsi" w:hAnsiTheme="minorHAnsi" w:cstheme="minorHAnsi"/>
          <w:color w:val="auto"/>
          <w:szCs w:val="24"/>
        </w:rPr>
        <w:footnoteReference w:id="2"/>
      </w:r>
      <w:r w:rsidR="00457A13" w:rsidRPr="003F4A52">
        <w:rPr>
          <w:rFonts w:asciiTheme="minorHAnsi" w:hAnsiTheme="minorHAnsi" w:cstheme="minorHAnsi"/>
          <w:color w:val="auto"/>
          <w:szCs w:val="24"/>
        </w:rPr>
        <w:t>.</w:t>
      </w:r>
      <w:r w:rsidR="00E42476" w:rsidRPr="003F4A52">
        <w:rPr>
          <w:rFonts w:asciiTheme="minorHAnsi" w:hAnsiTheme="minorHAnsi" w:cstheme="minorHAnsi"/>
          <w:color w:val="auto"/>
          <w:szCs w:val="24"/>
        </w:rPr>
        <w:t xml:space="preserve"> </w:t>
      </w:r>
      <w:r w:rsidR="003F4A52" w:rsidRPr="003F4A52">
        <w:rPr>
          <w:rFonts w:asciiTheme="minorHAnsi" w:hAnsiTheme="minorHAnsi" w:cstheme="minorHAnsi"/>
          <w:color w:val="auto"/>
          <w:szCs w:val="24"/>
        </w:rPr>
        <w:t>One of the contributing factors to the low participation</w:t>
      </w:r>
      <w:r w:rsidR="003F4A52">
        <w:rPr>
          <w:rFonts w:asciiTheme="minorHAnsi" w:hAnsiTheme="minorHAnsi" w:cstheme="minorHAnsi"/>
          <w:color w:val="auto"/>
          <w:szCs w:val="24"/>
        </w:rPr>
        <w:t xml:space="preserve"> rate in the region is likely to be the</w:t>
      </w:r>
      <w:r w:rsidR="003F4A52" w:rsidRPr="003F4A52">
        <w:rPr>
          <w:rFonts w:asciiTheme="minorHAnsi" w:hAnsiTheme="minorHAnsi" w:cstheme="minorHAnsi"/>
          <w:color w:val="auto"/>
          <w:szCs w:val="24"/>
        </w:rPr>
        <w:t xml:space="preserve"> </w:t>
      </w:r>
      <w:r w:rsidR="005466FE" w:rsidRPr="003F4A52">
        <w:rPr>
          <w:rFonts w:asciiTheme="minorHAnsi" w:hAnsiTheme="minorHAnsi" w:cstheme="minorHAnsi"/>
          <w:color w:val="auto"/>
          <w:szCs w:val="24"/>
        </w:rPr>
        <w:t>11 per cent of the working age population</w:t>
      </w:r>
      <w:r w:rsidR="00411D63" w:rsidRPr="003F4A52">
        <w:rPr>
          <w:rFonts w:asciiTheme="minorHAnsi" w:hAnsiTheme="minorHAnsi" w:cstheme="minorHAnsi"/>
          <w:color w:val="auto"/>
          <w:szCs w:val="24"/>
        </w:rPr>
        <w:t xml:space="preserve"> in the region</w:t>
      </w:r>
      <w:r w:rsidR="003F4A52">
        <w:rPr>
          <w:rFonts w:asciiTheme="minorHAnsi" w:hAnsiTheme="minorHAnsi" w:cstheme="minorHAnsi"/>
          <w:color w:val="auto"/>
          <w:szCs w:val="24"/>
        </w:rPr>
        <w:t xml:space="preserve"> who</w:t>
      </w:r>
      <w:r w:rsidR="00411D63" w:rsidRPr="003F4A52">
        <w:rPr>
          <w:rFonts w:asciiTheme="minorHAnsi" w:hAnsiTheme="minorHAnsi" w:cstheme="minorHAnsi"/>
          <w:color w:val="auto"/>
          <w:szCs w:val="24"/>
        </w:rPr>
        <w:t xml:space="preserve"> </w:t>
      </w:r>
      <w:r w:rsidR="000C760F" w:rsidRPr="003F4A52">
        <w:rPr>
          <w:rFonts w:asciiTheme="minorHAnsi" w:hAnsiTheme="minorHAnsi" w:cstheme="minorHAnsi"/>
          <w:color w:val="auto"/>
          <w:szCs w:val="24"/>
        </w:rPr>
        <w:t>are in receipt of the</w:t>
      </w:r>
      <w:r w:rsidR="005466FE" w:rsidRPr="003F4A52">
        <w:rPr>
          <w:rFonts w:asciiTheme="minorHAnsi" w:hAnsiTheme="minorHAnsi" w:cstheme="minorHAnsi"/>
          <w:color w:val="auto"/>
          <w:szCs w:val="24"/>
        </w:rPr>
        <w:t xml:space="preserve"> </w:t>
      </w:r>
      <w:r w:rsidR="00411D63" w:rsidRPr="003F4A52">
        <w:rPr>
          <w:rFonts w:asciiTheme="minorHAnsi" w:hAnsiTheme="minorHAnsi" w:cstheme="minorHAnsi"/>
          <w:color w:val="auto"/>
          <w:szCs w:val="24"/>
        </w:rPr>
        <w:t>disability</w:t>
      </w:r>
      <w:r w:rsidR="005466FE" w:rsidRPr="003F4A52">
        <w:rPr>
          <w:rFonts w:asciiTheme="minorHAnsi" w:hAnsiTheme="minorHAnsi" w:cstheme="minorHAnsi"/>
          <w:color w:val="auto"/>
          <w:szCs w:val="24"/>
        </w:rPr>
        <w:t xml:space="preserve"> support pension</w:t>
      </w:r>
      <w:r w:rsidR="000C760F" w:rsidRPr="003F4A52">
        <w:rPr>
          <w:rFonts w:asciiTheme="minorHAnsi" w:hAnsiTheme="minorHAnsi" w:cstheme="minorHAnsi"/>
          <w:color w:val="auto"/>
          <w:szCs w:val="24"/>
        </w:rPr>
        <w:t xml:space="preserve">. </w:t>
      </w:r>
    </w:p>
    <w:p w14:paraId="33FF8613" w14:textId="77777777" w:rsidR="00E83D1F" w:rsidRPr="00682FB6" w:rsidRDefault="00457A13" w:rsidP="00682FB6">
      <w:pPr>
        <w:pStyle w:val="ListParagraph"/>
        <w:numPr>
          <w:ilvl w:val="0"/>
          <w:numId w:val="35"/>
        </w:numPr>
        <w:spacing w:line="240" w:lineRule="atLeast"/>
        <w:jc w:val="both"/>
        <w:rPr>
          <w:rFonts w:asciiTheme="minorHAnsi" w:hAnsiTheme="minorHAnsi" w:cstheme="minorHAnsi"/>
          <w:color w:val="auto"/>
          <w:szCs w:val="24"/>
        </w:rPr>
      </w:pPr>
      <w:r w:rsidRPr="00682FB6">
        <w:rPr>
          <w:rFonts w:asciiTheme="minorHAnsi" w:hAnsiTheme="minorHAnsi" w:cstheme="minorHAnsi"/>
          <w:color w:val="auto"/>
          <w:szCs w:val="24"/>
        </w:rPr>
        <w:t xml:space="preserve">The unemployment rate for the Bundaberg-Hervey Bay PEA was 7.8 per cent compared </w:t>
      </w:r>
      <w:r w:rsidR="005466FE">
        <w:rPr>
          <w:rFonts w:asciiTheme="minorHAnsi" w:hAnsiTheme="minorHAnsi" w:cstheme="minorHAnsi"/>
          <w:color w:val="auto"/>
          <w:szCs w:val="24"/>
        </w:rPr>
        <w:t>with</w:t>
      </w:r>
      <w:r w:rsidRPr="00682FB6">
        <w:rPr>
          <w:rFonts w:asciiTheme="minorHAnsi" w:hAnsiTheme="minorHAnsi" w:cstheme="minorHAnsi"/>
          <w:color w:val="auto"/>
          <w:szCs w:val="24"/>
        </w:rPr>
        <w:t xml:space="preserve"> 5.6 per cent in Queensland.</w:t>
      </w:r>
      <w:r w:rsidR="00482D16" w:rsidRPr="00682FB6">
        <w:rPr>
          <w:rFonts w:asciiTheme="minorHAnsi" w:hAnsiTheme="minorHAnsi" w:cstheme="minorHAnsi"/>
          <w:color w:val="auto"/>
          <w:szCs w:val="24"/>
        </w:rPr>
        <w:t xml:space="preserve"> </w:t>
      </w:r>
      <w:r w:rsidR="00C927DF" w:rsidRPr="00682FB6">
        <w:rPr>
          <w:rFonts w:asciiTheme="minorHAnsi" w:hAnsiTheme="minorHAnsi" w:cstheme="minorHAnsi"/>
          <w:color w:val="auto"/>
          <w:szCs w:val="24"/>
        </w:rPr>
        <w:t>Unemployment rates</w:t>
      </w:r>
      <w:r w:rsidR="004357DB">
        <w:rPr>
          <w:rFonts w:asciiTheme="minorHAnsi" w:hAnsiTheme="minorHAnsi" w:cstheme="minorHAnsi"/>
          <w:color w:val="auto"/>
          <w:szCs w:val="24"/>
        </w:rPr>
        <w:t xml:space="preserve"> across the region</w:t>
      </w:r>
      <w:r w:rsidR="00C927DF" w:rsidRPr="00682FB6">
        <w:rPr>
          <w:rFonts w:asciiTheme="minorHAnsi" w:hAnsiTheme="minorHAnsi" w:cstheme="minorHAnsi"/>
          <w:color w:val="auto"/>
          <w:szCs w:val="24"/>
        </w:rPr>
        <w:t xml:space="preserve"> </w:t>
      </w:r>
      <w:r w:rsidR="00962A96" w:rsidRPr="00682FB6">
        <w:rPr>
          <w:rFonts w:asciiTheme="minorHAnsi" w:hAnsiTheme="minorHAnsi" w:cstheme="minorHAnsi"/>
          <w:color w:val="auto"/>
          <w:szCs w:val="24"/>
        </w:rPr>
        <w:t xml:space="preserve">are </w:t>
      </w:r>
      <w:r w:rsidR="00682FB6" w:rsidRPr="00682FB6">
        <w:rPr>
          <w:rFonts w:asciiTheme="minorHAnsi" w:hAnsiTheme="minorHAnsi" w:cstheme="minorHAnsi"/>
          <w:color w:val="auto"/>
          <w:szCs w:val="24"/>
        </w:rPr>
        <w:t>above</w:t>
      </w:r>
      <w:r w:rsidR="005466FE">
        <w:rPr>
          <w:rFonts w:asciiTheme="minorHAnsi" w:hAnsiTheme="minorHAnsi" w:cstheme="minorHAnsi"/>
          <w:color w:val="auto"/>
          <w:szCs w:val="24"/>
        </w:rPr>
        <w:t xml:space="preserve"> the</w:t>
      </w:r>
      <w:r w:rsidR="00682FB6" w:rsidRPr="00682FB6">
        <w:rPr>
          <w:rFonts w:asciiTheme="minorHAnsi" w:hAnsiTheme="minorHAnsi" w:cstheme="minorHAnsi"/>
          <w:color w:val="auto"/>
          <w:szCs w:val="24"/>
        </w:rPr>
        <w:t xml:space="preserve"> state average</w:t>
      </w:r>
      <w:r w:rsidR="00E83D1F" w:rsidRPr="00682FB6">
        <w:rPr>
          <w:rFonts w:asciiTheme="minorHAnsi" w:hAnsiTheme="minorHAnsi" w:cstheme="minorHAnsi"/>
          <w:color w:val="auto"/>
          <w:szCs w:val="24"/>
        </w:rPr>
        <w:t xml:space="preserve"> </w:t>
      </w:r>
      <w:r w:rsidR="005466FE">
        <w:rPr>
          <w:rFonts w:asciiTheme="minorHAnsi" w:hAnsiTheme="minorHAnsi" w:cstheme="minorHAnsi"/>
          <w:color w:val="auto"/>
          <w:szCs w:val="24"/>
        </w:rPr>
        <w:t>and</w:t>
      </w:r>
      <w:r w:rsidR="00962A96" w:rsidRPr="00682FB6">
        <w:rPr>
          <w:rFonts w:asciiTheme="minorHAnsi" w:hAnsiTheme="minorHAnsi" w:cstheme="minorHAnsi"/>
          <w:color w:val="auto"/>
          <w:szCs w:val="24"/>
        </w:rPr>
        <w:t xml:space="preserve"> rang</w:t>
      </w:r>
      <w:r w:rsidR="005466FE">
        <w:rPr>
          <w:rFonts w:asciiTheme="minorHAnsi" w:hAnsiTheme="minorHAnsi" w:cstheme="minorHAnsi"/>
          <w:color w:val="auto"/>
          <w:szCs w:val="24"/>
        </w:rPr>
        <w:t>e</w:t>
      </w:r>
      <w:r w:rsidR="00962A96" w:rsidRPr="00682FB6">
        <w:rPr>
          <w:rFonts w:asciiTheme="minorHAnsi" w:hAnsiTheme="minorHAnsi" w:cstheme="minorHAnsi"/>
          <w:color w:val="auto"/>
          <w:szCs w:val="24"/>
        </w:rPr>
        <w:t xml:space="preserve"> from </w:t>
      </w:r>
      <w:r w:rsidR="00482D16" w:rsidRPr="00682FB6">
        <w:rPr>
          <w:rFonts w:asciiTheme="minorHAnsi" w:hAnsiTheme="minorHAnsi" w:cstheme="minorHAnsi"/>
          <w:color w:val="auto"/>
          <w:szCs w:val="24"/>
        </w:rPr>
        <w:t>10.4</w:t>
      </w:r>
      <w:r w:rsidR="00962A96" w:rsidRPr="00682FB6">
        <w:rPr>
          <w:rFonts w:asciiTheme="minorHAnsi" w:hAnsiTheme="minorHAnsi" w:cstheme="minorHAnsi"/>
          <w:color w:val="auto"/>
          <w:szCs w:val="24"/>
        </w:rPr>
        <w:t> per </w:t>
      </w:r>
      <w:r w:rsidR="00E83D1F" w:rsidRPr="00682FB6">
        <w:rPr>
          <w:rFonts w:asciiTheme="minorHAnsi" w:hAnsiTheme="minorHAnsi" w:cstheme="minorHAnsi"/>
          <w:color w:val="auto"/>
          <w:szCs w:val="24"/>
        </w:rPr>
        <w:t>cent</w:t>
      </w:r>
      <w:r w:rsidR="00482D16" w:rsidRPr="00682FB6">
        <w:rPr>
          <w:rFonts w:asciiTheme="minorHAnsi" w:hAnsiTheme="minorHAnsi" w:cstheme="minorHAnsi"/>
          <w:color w:val="auto"/>
          <w:szCs w:val="24"/>
        </w:rPr>
        <w:t xml:space="preserve"> in the Kolan Statistical Local Area (SLA) </w:t>
      </w:r>
      <w:r w:rsidR="005466FE">
        <w:rPr>
          <w:rFonts w:asciiTheme="minorHAnsi" w:hAnsiTheme="minorHAnsi" w:cstheme="minorHAnsi"/>
          <w:color w:val="auto"/>
          <w:szCs w:val="24"/>
        </w:rPr>
        <w:t>to</w:t>
      </w:r>
      <w:r w:rsidR="00482D16" w:rsidRPr="00682FB6">
        <w:rPr>
          <w:rFonts w:asciiTheme="minorHAnsi" w:hAnsiTheme="minorHAnsi" w:cstheme="minorHAnsi"/>
          <w:color w:val="auto"/>
          <w:szCs w:val="24"/>
        </w:rPr>
        <w:t xml:space="preserve"> 6.2 per cent in the Miriam Vale SLA</w:t>
      </w:r>
      <w:r w:rsidR="00E83D1F" w:rsidRPr="00682FB6">
        <w:rPr>
          <w:rStyle w:val="FootnoteReference"/>
          <w:rFonts w:asciiTheme="minorHAnsi" w:hAnsiTheme="minorHAnsi" w:cstheme="minorHAnsi"/>
          <w:color w:val="auto"/>
          <w:szCs w:val="24"/>
        </w:rPr>
        <w:footnoteReference w:id="3"/>
      </w:r>
      <w:r w:rsidR="00482D16" w:rsidRPr="00682FB6">
        <w:rPr>
          <w:rFonts w:asciiTheme="minorHAnsi" w:hAnsiTheme="minorHAnsi" w:cstheme="minorHAnsi"/>
          <w:color w:val="auto"/>
          <w:szCs w:val="24"/>
        </w:rPr>
        <w:t xml:space="preserve">. </w:t>
      </w:r>
      <w:r w:rsidR="00D854F9" w:rsidRPr="00682FB6">
        <w:rPr>
          <w:rFonts w:asciiTheme="minorHAnsi" w:hAnsiTheme="minorHAnsi" w:cstheme="minorHAnsi"/>
          <w:color w:val="auto"/>
          <w:szCs w:val="24"/>
        </w:rPr>
        <w:t xml:space="preserve"> </w:t>
      </w:r>
      <w:r w:rsidR="007F6C7E">
        <w:rPr>
          <w:rFonts w:asciiTheme="minorHAnsi" w:hAnsiTheme="minorHAnsi" w:cstheme="minorHAnsi"/>
          <w:color w:val="auto"/>
          <w:szCs w:val="24"/>
        </w:rPr>
        <w:t>However, it is encouraging that the unemployment rate has fallen across all SLAs over the last 12 months.</w:t>
      </w:r>
    </w:p>
    <w:p w14:paraId="33FF8614" w14:textId="77777777" w:rsidR="004A5176" w:rsidRDefault="005466FE" w:rsidP="0049681C">
      <w:pPr>
        <w:spacing w:after="0" w:line="240" w:lineRule="atLeast"/>
        <w:jc w:val="both"/>
        <w:rPr>
          <w:rFonts w:cstheme="minorHAnsi"/>
          <w:sz w:val="24"/>
        </w:rPr>
      </w:pPr>
      <w:r>
        <w:rPr>
          <w:rFonts w:cstheme="minorHAnsi"/>
          <w:sz w:val="24"/>
        </w:rPr>
        <w:t>A</w:t>
      </w:r>
      <w:r w:rsidR="00FC07D7" w:rsidRPr="00F605CA">
        <w:rPr>
          <w:rFonts w:cstheme="minorHAnsi"/>
          <w:sz w:val="24"/>
        </w:rPr>
        <w:t xml:space="preserve"> survey </w:t>
      </w:r>
      <w:r>
        <w:rPr>
          <w:rFonts w:cstheme="minorHAnsi"/>
          <w:sz w:val="24"/>
        </w:rPr>
        <w:t>conducted in October 2012 collected</w:t>
      </w:r>
      <w:r w:rsidR="00FC07D7" w:rsidRPr="00F605CA">
        <w:rPr>
          <w:rFonts w:cstheme="minorHAnsi"/>
          <w:sz w:val="24"/>
        </w:rPr>
        <w:t xml:space="preserve"> responses from 330 employers in the Bundaberg-Hervey Bay PEA about their recruitment </w:t>
      </w:r>
      <w:r w:rsidR="00FC07D7" w:rsidRPr="00D66AFC">
        <w:rPr>
          <w:rFonts w:cstheme="minorHAnsi"/>
          <w:sz w:val="24"/>
        </w:rPr>
        <w:t xml:space="preserve">experiences. </w:t>
      </w:r>
      <w:r>
        <w:rPr>
          <w:rFonts w:cstheme="minorHAnsi"/>
          <w:sz w:val="24"/>
        </w:rPr>
        <w:t>The s</w:t>
      </w:r>
      <w:r w:rsidR="00FC07D7" w:rsidRPr="00D66AFC">
        <w:rPr>
          <w:rFonts w:cstheme="minorHAnsi"/>
          <w:sz w:val="24"/>
        </w:rPr>
        <w:t xml:space="preserve">urvey results </w:t>
      </w:r>
      <w:r w:rsidR="00904AAE" w:rsidRPr="00D66AFC">
        <w:rPr>
          <w:rFonts w:cstheme="minorHAnsi"/>
          <w:sz w:val="24"/>
        </w:rPr>
        <w:t>were consistent with an environment</w:t>
      </w:r>
      <w:r>
        <w:rPr>
          <w:rFonts w:cstheme="minorHAnsi"/>
          <w:sz w:val="24"/>
        </w:rPr>
        <w:t xml:space="preserve"> in which there are</w:t>
      </w:r>
      <w:r w:rsidR="00411D63">
        <w:rPr>
          <w:rFonts w:cstheme="minorHAnsi"/>
          <w:sz w:val="24"/>
        </w:rPr>
        <w:t xml:space="preserve"> </w:t>
      </w:r>
      <w:r>
        <w:rPr>
          <w:rFonts w:cstheme="minorHAnsi"/>
          <w:sz w:val="24"/>
        </w:rPr>
        <w:t>considerably</w:t>
      </w:r>
      <w:r w:rsidR="00904AAE" w:rsidRPr="00D66AFC">
        <w:rPr>
          <w:rFonts w:cstheme="minorHAnsi"/>
          <w:sz w:val="24"/>
        </w:rPr>
        <w:t xml:space="preserve"> more job seekers than job vacancies with only 0.6 per cent of vacancies remaining unfilled at the time of the survey. </w:t>
      </w:r>
    </w:p>
    <w:p w14:paraId="33FF8615" w14:textId="77777777" w:rsidR="00962A96" w:rsidRDefault="00904AAE" w:rsidP="0049681C">
      <w:pPr>
        <w:spacing w:after="0" w:line="240" w:lineRule="atLeast"/>
        <w:jc w:val="both"/>
        <w:rPr>
          <w:rFonts w:cstheme="minorHAnsi"/>
          <w:sz w:val="24"/>
        </w:rPr>
      </w:pPr>
      <w:r w:rsidRPr="00D66AFC">
        <w:rPr>
          <w:rFonts w:cstheme="minorHAnsi"/>
          <w:sz w:val="24"/>
        </w:rPr>
        <w:t>W</w:t>
      </w:r>
      <w:r w:rsidR="00962A96" w:rsidRPr="00D66AFC">
        <w:rPr>
          <w:rFonts w:cstheme="minorHAnsi"/>
          <w:sz w:val="24"/>
        </w:rPr>
        <w:t>hile very few vacancies remained unfilled</w:t>
      </w:r>
      <w:r w:rsidR="00510199" w:rsidRPr="00D66AFC">
        <w:rPr>
          <w:rFonts w:cstheme="minorHAnsi"/>
          <w:sz w:val="24"/>
        </w:rPr>
        <w:t>,</w:t>
      </w:r>
      <w:r w:rsidR="00962A96" w:rsidRPr="00D66AFC">
        <w:rPr>
          <w:rFonts w:cstheme="minorHAnsi"/>
          <w:sz w:val="24"/>
        </w:rPr>
        <w:t xml:space="preserve"> </w:t>
      </w:r>
      <w:r w:rsidR="0002727B">
        <w:rPr>
          <w:rFonts w:cstheme="minorHAnsi"/>
          <w:sz w:val="24"/>
        </w:rPr>
        <w:t xml:space="preserve">many </w:t>
      </w:r>
      <w:r w:rsidR="0049681C" w:rsidRPr="00D66AFC">
        <w:rPr>
          <w:rFonts w:cstheme="minorHAnsi"/>
          <w:sz w:val="24"/>
        </w:rPr>
        <w:t xml:space="preserve">employers </w:t>
      </w:r>
      <w:r w:rsidR="0002727B">
        <w:rPr>
          <w:rFonts w:cstheme="minorHAnsi"/>
          <w:sz w:val="24"/>
        </w:rPr>
        <w:t>said</w:t>
      </w:r>
      <w:r w:rsidR="0049681C" w:rsidRPr="00D66AFC">
        <w:rPr>
          <w:rFonts w:cstheme="minorHAnsi"/>
          <w:sz w:val="24"/>
        </w:rPr>
        <w:t xml:space="preserve"> </w:t>
      </w:r>
      <w:r w:rsidRPr="00D66AFC">
        <w:rPr>
          <w:rFonts w:cstheme="minorHAnsi"/>
          <w:sz w:val="24"/>
        </w:rPr>
        <w:t>that</w:t>
      </w:r>
      <w:r w:rsidR="0049681C" w:rsidRPr="00D66AFC">
        <w:rPr>
          <w:rFonts w:cstheme="minorHAnsi"/>
          <w:sz w:val="24"/>
        </w:rPr>
        <w:t xml:space="preserve"> recruitment </w:t>
      </w:r>
      <w:r w:rsidRPr="00D66AFC">
        <w:rPr>
          <w:rFonts w:cstheme="minorHAnsi"/>
          <w:sz w:val="24"/>
        </w:rPr>
        <w:t xml:space="preserve">was </w:t>
      </w:r>
      <w:r w:rsidR="0002727B">
        <w:rPr>
          <w:rFonts w:cstheme="minorHAnsi"/>
          <w:sz w:val="24"/>
        </w:rPr>
        <w:t>‘</w:t>
      </w:r>
      <w:r w:rsidR="0049681C" w:rsidRPr="00D66AFC">
        <w:rPr>
          <w:rFonts w:cstheme="minorHAnsi"/>
          <w:sz w:val="24"/>
        </w:rPr>
        <w:t>difficult</w:t>
      </w:r>
      <w:r w:rsidR="0032020D">
        <w:rPr>
          <w:rFonts w:cstheme="minorHAnsi"/>
          <w:sz w:val="24"/>
        </w:rPr>
        <w:t>’ at</w:t>
      </w:r>
      <w:r w:rsidR="0002727B">
        <w:rPr>
          <w:rFonts w:cstheme="minorHAnsi"/>
          <w:sz w:val="24"/>
        </w:rPr>
        <w:t xml:space="preserve"> some point in the previous 12 months.</w:t>
      </w:r>
      <w:r w:rsidR="0049681C" w:rsidRPr="00D66AFC">
        <w:rPr>
          <w:rFonts w:cstheme="minorHAnsi"/>
          <w:sz w:val="24"/>
        </w:rPr>
        <w:t xml:space="preserve"> </w:t>
      </w:r>
      <w:r w:rsidR="00962A96" w:rsidRPr="00D66AFC">
        <w:rPr>
          <w:rFonts w:cstheme="minorHAnsi"/>
          <w:sz w:val="24"/>
        </w:rPr>
        <w:t xml:space="preserve">Employers most commonly said that they had difficulty attracting job applicants who had the technical </w:t>
      </w:r>
      <w:r w:rsidR="0002727B">
        <w:rPr>
          <w:rFonts w:cstheme="minorHAnsi"/>
          <w:sz w:val="24"/>
        </w:rPr>
        <w:t xml:space="preserve">skills </w:t>
      </w:r>
      <w:r w:rsidR="00962A96" w:rsidRPr="00D66AFC">
        <w:rPr>
          <w:rFonts w:cstheme="minorHAnsi"/>
          <w:sz w:val="24"/>
        </w:rPr>
        <w:t xml:space="preserve">or </w:t>
      </w:r>
      <w:r w:rsidRPr="00D66AFC">
        <w:rPr>
          <w:rFonts w:cstheme="minorHAnsi"/>
          <w:sz w:val="24"/>
        </w:rPr>
        <w:t xml:space="preserve">the </w:t>
      </w:r>
      <w:r w:rsidR="00962A96" w:rsidRPr="00D66AFC">
        <w:rPr>
          <w:rFonts w:cstheme="minorHAnsi"/>
          <w:sz w:val="24"/>
        </w:rPr>
        <w:t>general employability skills</w:t>
      </w:r>
      <w:r w:rsidR="00D07178" w:rsidRPr="00D66AFC">
        <w:rPr>
          <w:rFonts w:cstheme="minorHAnsi"/>
          <w:sz w:val="24"/>
        </w:rPr>
        <w:t xml:space="preserve"> </w:t>
      </w:r>
      <w:r w:rsidR="00962A96" w:rsidRPr="00D66AFC">
        <w:rPr>
          <w:rFonts w:cstheme="minorHAnsi"/>
          <w:sz w:val="24"/>
        </w:rPr>
        <w:t xml:space="preserve">required to do the job. </w:t>
      </w:r>
    </w:p>
    <w:p w14:paraId="33FF8616" w14:textId="77777777" w:rsidR="004A5176" w:rsidRPr="00411D63" w:rsidRDefault="004A5176" w:rsidP="004A5176">
      <w:pPr>
        <w:spacing w:line="240" w:lineRule="atLeast"/>
        <w:jc w:val="both"/>
        <w:rPr>
          <w:rFonts w:cstheme="minorHAnsi"/>
          <w:sz w:val="24"/>
          <w:lang w:val="en-US"/>
        </w:rPr>
      </w:pPr>
      <w:r w:rsidRPr="00682FB6">
        <w:rPr>
          <w:rFonts w:cstheme="minorHAnsi"/>
          <w:sz w:val="24"/>
          <w:lang w:val="en-US"/>
        </w:rPr>
        <w:t xml:space="preserve">The below average level of high school completion in the region (59 per cent of 25-34 year olds compared </w:t>
      </w:r>
      <w:r w:rsidR="007F6C7E">
        <w:rPr>
          <w:rFonts w:cstheme="minorHAnsi"/>
          <w:sz w:val="24"/>
          <w:lang w:val="en-US"/>
        </w:rPr>
        <w:t>with</w:t>
      </w:r>
      <w:r w:rsidRPr="00682FB6">
        <w:rPr>
          <w:rFonts w:cstheme="minorHAnsi"/>
          <w:sz w:val="24"/>
          <w:lang w:val="en-US"/>
        </w:rPr>
        <w:t xml:space="preserve"> 74 per cent in Queensland)</w:t>
      </w:r>
      <w:r w:rsidR="00764883">
        <w:rPr>
          <w:rFonts w:cstheme="minorHAnsi"/>
          <w:sz w:val="24"/>
          <w:lang w:val="en-US"/>
        </w:rPr>
        <w:t xml:space="preserve"> </w:t>
      </w:r>
      <w:r>
        <w:rPr>
          <w:rFonts w:cstheme="minorHAnsi"/>
          <w:sz w:val="24"/>
          <w:lang w:val="en-US"/>
        </w:rPr>
        <w:t xml:space="preserve">suggests that the employment opportunities </w:t>
      </w:r>
      <w:r w:rsidRPr="00411D63">
        <w:rPr>
          <w:rFonts w:cstheme="minorHAnsi"/>
          <w:sz w:val="24"/>
          <w:lang w:val="en-US"/>
        </w:rPr>
        <w:t>for many local job</w:t>
      </w:r>
      <w:r w:rsidR="005466FE" w:rsidRPr="00411D63">
        <w:rPr>
          <w:rFonts w:cstheme="minorHAnsi"/>
          <w:sz w:val="24"/>
          <w:lang w:val="en-US"/>
        </w:rPr>
        <w:t xml:space="preserve"> </w:t>
      </w:r>
      <w:r w:rsidRPr="00411D63">
        <w:rPr>
          <w:rFonts w:cstheme="minorHAnsi"/>
          <w:sz w:val="24"/>
          <w:lang w:val="en-US"/>
        </w:rPr>
        <w:t>seekers may be limited to lower skilled positions.</w:t>
      </w:r>
    </w:p>
    <w:p w14:paraId="33FF8617" w14:textId="77777777" w:rsidR="0049681C" w:rsidRPr="00411D63" w:rsidRDefault="005466FE" w:rsidP="0049681C">
      <w:pPr>
        <w:spacing w:after="0" w:line="240" w:lineRule="atLeast"/>
        <w:jc w:val="both"/>
        <w:rPr>
          <w:rFonts w:cstheme="minorHAnsi"/>
          <w:sz w:val="24"/>
        </w:rPr>
      </w:pPr>
      <w:r w:rsidRPr="00411D63">
        <w:rPr>
          <w:rFonts w:cstheme="minorHAnsi"/>
          <w:sz w:val="24"/>
        </w:rPr>
        <w:t>At the time of the survey t</w:t>
      </w:r>
      <w:r w:rsidR="00AC7044" w:rsidRPr="00411D63">
        <w:rPr>
          <w:rFonts w:cstheme="minorHAnsi"/>
          <w:sz w:val="24"/>
        </w:rPr>
        <w:t xml:space="preserve">here are some signs that labour market conditions </w:t>
      </w:r>
      <w:r w:rsidRPr="00411D63">
        <w:rPr>
          <w:rFonts w:cstheme="minorHAnsi"/>
          <w:sz w:val="24"/>
        </w:rPr>
        <w:t>might</w:t>
      </w:r>
      <w:r w:rsidR="00AC7044" w:rsidRPr="00411D63">
        <w:rPr>
          <w:rFonts w:cstheme="minorHAnsi"/>
          <w:sz w:val="24"/>
        </w:rPr>
        <w:t xml:space="preserve"> improve in the 12 months following the survey with a</w:t>
      </w:r>
      <w:r w:rsidR="0049681C" w:rsidRPr="00411D63">
        <w:rPr>
          <w:rFonts w:cstheme="minorHAnsi"/>
          <w:sz w:val="24"/>
        </w:rPr>
        <w:t xml:space="preserve"> </w:t>
      </w:r>
      <w:r w:rsidR="0032020D" w:rsidRPr="00411D63">
        <w:rPr>
          <w:rFonts w:cstheme="minorHAnsi"/>
          <w:sz w:val="24"/>
        </w:rPr>
        <w:t>larger</w:t>
      </w:r>
      <w:r w:rsidR="0049681C" w:rsidRPr="00411D63">
        <w:rPr>
          <w:rFonts w:cstheme="minorHAnsi"/>
          <w:sz w:val="24"/>
        </w:rPr>
        <w:t xml:space="preserve"> proportion of employers </w:t>
      </w:r>
      <w:r w:rsidR="00AC7044" w:rsidRPr="00411D63">
        <w:rPr>
          <w:rFonts w:cstheme="minorHAnsi"/>
          <w:sz w:val="24"/>
        </w:rPr>
        <w:t>expecting</w:t>
      </w:r>
      <w:r w:rsidR="0049681C" w:rsidRPr="00411D63">
        <w:rPr>
          <w:rFonts w:cstheme="minorHAnsi"/>
          <w:sz w:val="24"/>
        </w:rPr>
        <w:t xml:space="preserve"> to recruit in the year following the survey compared </w:t>
      </w:r>
      <w:r w:rsidR="007F6C7E">
        <w:rPr>
          <w:rFonts w:cstheme="minorHAnsi"/>
          <w:sz w:val="24"/>
        </w:rPr>
        <w:t>with</w:t>
      </w:r>
      <w:r w:rsidR="0049681C" w:rsidRPr="00411D63">
        <w:rPr>
          <w:rFonts w:cstheme="minorHAnsi"/>
          <w:sz w:val="24"/>
        </w:rPr>
        <w:t xml:space="preserve"> the </w:t>
      </w:r>
      <w:r w:rsidR="00962A96" w:rsidRPr="00411D63">
        <w:rPr>
          <w:rFonts w:cstheme="minorHAnsi"/>
          <w:sz w:val="24"/>
        </w:rPr>
        <w:t xml:space="preserve">last time the region was surveyed in September </w:t>
      </w:r>
      <w:r w:rsidR="0049681C" w:rsidRPr="00411D63">
        <w:rPr>
          <w:rFonts w:cstheme="minorHAnsi"/>
          <w:sz w:val="24"/>
        </w:rPr>
        <w:t xml:space="preserve">2011 </w:t>
      </w:r>
      <w:r w:rsidR="00AC7044" w:rsidRPr="00411D63">
        <w:rPr>
          <w:rFonts w:cstheme="minorHAnsi"/>
          <w:sz w:val="24"/>
        </w:rPr>
        <w:t>and</w:t>
      </w:r>
      <w:r w:rsidR="0049681C" w:rsidRPr="00411D63">
        <w:rPr>
          <w:rFonts w:cstheme="minorHAnsi"/>
          <w:sz w:val="24"/>
        </w:rPr>
        <w:t xml:space="preserve"> one in five</w:t>
      </w:r>
      <w:r w:rsidR="0015775D" w:rsidRPr="00411D63">
        <w:rPr>
          <w:rFonts w:cstheme="minorHAnsi"/>
          <w:sz w:val="24"/>
        </w:rPr>
        <w:t xml:space="preserve"> local</w:t>
      </w:r>
      <w:r w:rsidR="0049681C" w:rsidRPr="00411D63">
        <w:rPr>
          <w:rFonts w:cstheme="minorHAnsi"/>
          <w:sz w:val="24"/>
        </w:rPr>
        <w:t xml:space="preserve"> employers expecting to increase staff numbers. </w:t>
      </w:r>
    </w:p>
    <w:p w14:paraId="33FF8618" w14:textId="77777777" w:rsidR="00411D63" w:rsidRPr="00411D63" w:rsidRDefault="00411D63" w:rsidP="00411D63">
      <w:pPr>
        <w:pStyle w:val="ListParagraph"/>
        <w:numPr>
          <w:ilvl w:val="0"/>
          <w:numId w:val="37"/>
        </w:numPr>
        <w:spacing w:after="0" w:line="240" w:lineRule="auto"/>
        <w:rPr>
          <w:rFonts w:asciiTheme="minorHAnsi" w:hAnsiTheme="minorHAnsi" w:cstheme="minorHAnsi"/>
          <w:color w:val="auto"/>
          <w:szCs w:val="24"/>
        </w:rPr>
      </w:pPr>
      <w:r w:rsidRPr="00411D63">
        <w:rPr>
          <w:rFonts w:asciiTheme="minorHAnsi" w:hAnsiTheme="minorHAnsi" w:cstheme="minorHAnsi"/>
          <w:color w:val="auto"/>
          <w:szCs w:val="24"/>
        </w:rPr>
        <w:t>As this survey was undertaken prior to the recent floods in the area, labour market conditions may now be significantly different.</w:t>
      </w:r>
    </w:p>
    <w:p w14:paraId="33FF8619" w14:textId="77777777" w:rsidR="00F65DD1" w:rsidRDefault="00F65DD1" w:rsidP="00C84E96">
      <w:pPr>
        <w:pStyle w:val="RIESbriefreports"/>
        <w:spacing w:before="0" w:line="240" w:lineRule="atLeast"/>
        <w:contextualSpacing/>
        <w:rPr>
          <w:color w:val="1F497D" w:themeColor="text2"/>
          <w:szCs w:val="24"/>
        </w:rPr>
      </w:pPr>
      <w:bookmarkStart w:id="42" w:name="_Toc346870065"/>
    </w:p>
    <w:bookmarkEnd w:id="42"/>
    <w:p w14:paraId="33FF861A" w14:textId="77777777" w:rsidR="00070B22" w:rsidRDefault="00070B22">
      <w:pPr>
        <w:spacing w:before="0" w:after="0" w:line="240" w:lineRule="auto"/>
        <w:rPr>
          <w:rFonts w:cstheme="minorHAnsi"/>
          <w:sz w:val="24"/>
        </w:rPr>
      </w:pPr>
      <w:r>
        <w:rPr>
          <w:rFonts w:cstheme="minorHAnsi"/>
          <w:sz w:val="24"/>
        </w:rPr>
        <w:br w:type="page"/>
      </w:r>
    </w:p>
    <w:p w14:paraId="33FF861B" w14:textId="77777777" w:rsidR="00BD0A4D" w:rsidRPr="00F605CA" w:rsidRDefault="00BD0A4D" w:rsidP="00BD0A4D">
      <w:pPr>
        <w:pStyle w:val="RIESbriefreports"/>
        <w:spacing w:before="0" w:line="240" w:lineRule="auto"/>
        <w:jc w:val="both"/>
        <w:rPr>
          <w:color w:val="1F497D" w:themeColor="text2"/>
          <w:szCs w:val="24"/>
        </w:rPr>
      </w:pPr>
      <w:bookmarkStart w:id="43" w:name="_Toc329769408"/>
      <w:bookmarkStart w:id="44" w:name="_Toc346870066"/>
      <w:r w:rsidRPr="00F605CA">
        <w:rPr>
          <w:color w:val="1F497D" w:themeColor="text2"/>
          <w:szCs w:val="24"/>
        </w:rPr>
        <w:lastRenderedPageBreak/>
        <w:t xml:space="preserve">Recruitment </w:t>
      </w:r>
      <w:bookmarkEnd w:id="43"/>
      <w:r w:rsidR="003F2C2E">
        <w:rPr>
          <w:color w:val="1F497D" w:themeColor="text2"/>
          <w:szCs w:val="24"/>
        </w:rPr>
        <w:t>Activity</w:t>
      </w:r>
      <w:bookmarkEnd w:id="44"/>
    </w:p>
    <w:p w14:paraId="33FF861C" w14:textId="77777777" w:rsidR="00BD0A4D" w:rsidRPr="003F2C2E" w:rsidRDefault="00411D63" w:rsidP="003F2C2E">
      <w:pPr>
        <w:spacing w:after="0" w:line="240" w:lineRule="auto"/>
        <w:jc w:val="both"/>
        <w:rPr>
          <w:rFonts w:cstheme="minorHAnsi"/>
          <w:b/>
          <w:sz w:val="24"/>
        </w:rPr>
      </w:pPr>
      <w:r>
        <w:rPr>
          <w:rFonts w:cstheme="minorHAnsi"/>
          <w:sz w:val="24"/>
        </w:rPr>
        <w:t>Despite the apparent softness in the labour market, j</w:t>
      </w:r>
      <w:r w:rsidR="00542BB8">
        <w:rPr>
          <w:rFonts w:cstheme="minorHAnsi"/>
          <w:sz w:val="24"/>
        </w:rPr>
        <w:t xml:space="preserve">ob vacancies </w:t>
      </w:r>
      <w:r>
        <w:rPr>
          <w:rFonts w:cstheme="minorHAnsi"/>
          <w:sz w:val="24"/>
        </w:rPr>
        <w:t xml:space="preserve">in the region </w:t>
      </w:r>
      <w:r w:rsidR="00542BB8">
        <w:rPr>
          <w:rFonts w:cstheme="minorHAnsi"/>
          <w:sz w:val="24"/>
        </w:rPr>
        <w:t xml:space="preserve">continue to </w:t>
      </w:r>
      <w:r>
        <w:rPr>
          <w:rFonts w:cstheme="minorHAnsi"/>
          <w:sz w:val="24"/>
        </w:rPr>
        <w:t>occur at</w:t>
      </w:r>
      <w:r w:rsidR="00542BB8">
        <w:rPr>
          <w:rFonts w:cstheme="minorHAnsi"/>
          <w:sz w:val="24"/>
        </w:rPr>
        <w:t xml:space="preserve"> a steady rate</w:t>
      </w:r>
      <w:r w:rsidR="008A24BD">
        <w:rPr>
          <w:rFonts w:cstheme="minorHAnsi"/>
          <w:sz w:val="24"/>
        </w:rPr>
        <w:t xml:space="preserve"> with employers</w:t>
      </w:r>
      <w:r w:rsidR="00586834" w:rsidRPr="003F2C2E">
        <w:rPr>
          <w:rFonts w:cstheme="minorHAnsi"/>
          <w:sz w:val="24"/>
        </w:rPr>
        <w:t xml:space="preserve"> </w:t>
      </w:r>
      <w:r w:rsidR="00542BB8">
        <w:rPr>
          <w:rFonts w:cstheme="minorHAnsi"/>
          <w:sz w:val="24"/>
        </w:rPr>
        <w:t>reporting</w:t>
      </w:r>
      <w:r w:rsidR="00586834" w:rsidRPr="003F2C2E">
        <w:rPr>
          <w:rFonts w:cstheme="minorHAnsi"/>
          <w:sz w:val="24"/>
        </w:rPr>
        <w:t xml:space="preserve"> levels of recruitment activity </w:t>
      </w:r>
      <w:r w:rsidR="007D7757">
        <w:rPr>
          <w:rFonts w:cstheme="minorHAnsi"/>
          <w:sz w:val="24"/>
        </w:rPr>
        <w:t>in line</w:t>
      </w:r>
      <w:r w:rsidR="004A5176">
        <w:rPr>
          <w:rFonts w:cstheme="minorHAnsi"/>
          <w:sz w:val="24"/>
        </w:rPr>
        <w:t xml:space="preserve"> with other regions recently surveyed</w:t>
      </w:r>
      <w:r w:rsidR="001C0B81" w:rsidRPr="003F2C2E">
        <w:rPr>
          <w:rFonts w:cstheme="minorHAnsi"/>
          <w:sz w:val="24"/>
        </w:rPr>
        <w:t xml:space="preserve">.  </w:t>
      </w:r>
    </w:p>
    <w:p w14:paraId="33FF861D" w14:textId="77777777" w:rsidR="001F4FB5" w:rsidRPr="00786779" w:rsidRDefault="003F2C2E" w:rsidP="003F2C2E">
      <w:pPr>
        <w:pStyle w:val="ListParagraph"/>
        <w:numPr>
          <w:ilvl w:val="0"/>
          <w:numId w:val="32"/>
        </w:numPr>
        <w:spacing w:after="0" w:line="240" w:lineRule="auto"/>
        <w:jc w:val="both"/>
        <w:rPr>
          <w:rFonts w:asciiTheme="minorHAnsi" w:hAnsiTheme="minorHAnsi" w:cstheme="minorHAnsi"/>
          <w:color w:val="auto"/>
          <w:szCs w:val="24"/>
        </w:rPr>
      </w:pPr>
      <w:r w:rsidRPr="00786779">
        <w:rPr>
          <w:rFonts w:asciiTheme="minorHAnsi" w:hAnsiTheme="minorHAnsi" w:cstheme="minorHAnsi"/>
          <w:color w:val="auto"/>
          <w:szCs w:val="24"/>
        </w:rPr>
        <w:t xml:space="preserve">The proportion of employers who recruited in the 12 months preceding the survey was 63 per cent, </w:t>
      </w:r>
      <w:r w:rsidR="00786779" w:rsidRPr="00786779">
        <w:rPr>
          <w:rFonts w:asciiTheme="minorHAnsi" w:hAnsiTheme="minorHAnsi" w:cstheme="minorHAnsi"/>
          <w:color w:val="auto"/>
          <w:szCs w:val="24"/>
        </w:rPr>
        <w:t>which was slightly higher than when the region was last surveyed in September 2011 (60 per cent).</w:t>
      </w:r>
    </w:p>
    <w:p w14:paraId="33FF861E" w14:textId="77777777" w:rsidR="003F2C2E" w:rsidRDefault="004A5176" w:rsidP="00B65A4A">
      <w:pPr>
        <w:pStyle w:val="ListParagraph"/>
        <w:numPr>
          <w:ilvl w:val="0"/>
          <w:numId w:val="32"/>
        </w:numPr>
        <w:spacing w:before="240" w:after="0" w:line="240" w:lineRule="auto"/>
        <w:jc w:val="both"/>
        <w:rPr>
          <w:rFonts w:asciiTheme="minorHAnsi" w:hAnsiTheme="minorHAnsi" w:cstheme="minorHAnsi"/>
          <w:color w:val="auto"/>
          <w:szCs w:val="24"/>
        </w:rPr>
      </w:pPr>
      <w:r>
        <w:rPr>
          <w:rFonts w:asciiTheme="minorHAnsi" w:hAnsiTheme="minorHAnsi" w:cstheme="minorHAnsi"/>
          <w:color w:val="auto"/>
          <w:szCs w:val="24"/>
        </w:rPr>
        <w:t>Annual recruitment levels increased from 16 vacancies per 100 staff in September 2011</w:t>
      </w:r>
      <w:r w:rsidR="007F6C7E">
        <w:rPr>
          <w:rFonts w:asciiTheme="minorHAnsi" w:hAnsiTheme="minorHAnsi" w:cstheme="minorHAnsi"/>
          <w:color w:val="auto"/>
          <w:szCs w:val="24"/>
        </w:rPr>
        <w:t xml:space="preserve"> to 19 vacancies per 100 staff in the latest survey</w:t>
      </w:r>
      <w:r w:rsidR="00124212" w:rsidRPr="00786779">
        <w:rPr>
          <w:rFonts w:asciiTheme="minorHAnsi" w:hAnsiTheme="minorHAnsi" w:cstheme="minorHAnsi"/>
          <w:color w:val="auto"/>
          <w:szCs w:val="24"/>
        </w:rPr>
        <w:t>.</w:t>
      </w:r>
    </w:p>
    <w:p w14:paraId="33FF861F" w14:textId="77777777" w:rsidR="00023509" w:rsidRPr="00717E34" w:rsidRDefault="00717E34" w:rsidP="00F65DD1">
      <w:pPr>
        <w:spacing w:before="240" w:after="0" w:line="240" w:lineRule="auto"/>
        <w:jc w:val="both"/>
        <w:rPr>
          <w:rFonts w:cstheme="minorHAnsi"/>
          <w:b/>
          <w:sz w:val="24"/>
        </w:rPr>
      </w:pPr>
      <w:r w:rsidRPr="00717E34">
        <w:rPr>
          <w:rFonts w:cstheme="minorHAnsi"/>
          <w:b/>
          <w:sz w:val="24"/>
        </w:rPr>
        <w:t>Table 1. Recruitment activity in the 12 months preceding the survey</w:t>
      </w:r>
    </w:p>
    <w:tbl>
      <w:tblPr>
        <w:tblpPr w:leftFromText="180" w:rightFromText="180" w:vertAnchor="text" w:horzAnchor="margin" w:tblpY="97"/>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4"/>
        <w:gridCol w:w="1984"/>
        <w:gridCol w:w="2578"/>
      </w:tblGrid>
      <w:tr w:rsidR="00717E34" w:rsidRPr="00786779" w14:paraId="33FF8623" w14:textId="77777777" w:rsidTr="00550A0C">
        <w:trPr>
          <w:trHeight w:val="7"/>
        </w:trPr>
        <w:tc>
          <w:tcPr>
            <w:tcW w:w="1574" w:type="pct"/>
            <w:vMerge w:val="restart"/>
            <w:shd w:val="clear" w:color="auto" w:fill="auto"/>
            <w:vAlign w:val="center"/>
          </w:tcPr>
          <w:p w14:paraId="33FF8620" w14:textId="77777777" w:rsidR="00717E34" w:rsidRPr="00786779" w:rsidRDefault="00717E34" w:rsidP="00717E34">
            <w:pPr>
              <w:keepNext/>
              <w:spacing w:before="0" w:after="0" w:line="240" w:lineRule="auto"/>
              <w:ind w:left="-409" w:right="-81"/>
              <w:jc w:val="center"/>
              <w:rPr>
                <w:rFonts w:cstheme="minorHAnsi"/>
                <w:szCs w:val="22"/>
              </w:rPr>
            </w:pPr>
          </w:p>
        </w:tc>
        <w:tc>
          <w:tcPr>
            <w:tcW w:w="2047" w:type="pct"/>
            <w:gridSpan w:val="2"/>
            <w:shd w:val="clear" w:color="auto" w:fill="8DB3E2" w:themeFill="text2" w:themeFillTint="66"/>
            <w:vAlign w:val="center"/>
          </w:tcPr>
          <w:p w14:paraId="33FF8621" w14:textId="77777777" w:rsidR="00717E34" w:rsidRPr="00786779" w:rsidRDefault="00717E34" w:rsidP="00717E34">
            <w:pPr>
              <w:keepNext/>
              <w:spacing w:before="0" w:after="0" w:line="240" w:lineRule="auto"/>
              <w:ind w:right="-79"/>
              <w:jc w:val="center"/>
              <w:rPr>
                <w:rFonts w:cstheme="minorHAnsi"/>
                <w:b/>
                <w:szCs w:val="22"/>
              </w:rPr>
            </w:pPr>
            <w:r w:rsidRPr="00786779">
              <w:rPr>
                <w:rFonts w:cstheme="minorHAnsi"/>
                <w:b/>
                <w:szCs w:val="22"/>
              </w:rPr>
              <w:t>Bundaberg-Hervey Bay PEA</w:t>
            </w:r>
          </w:p>
        </w:tc>
        <w:tc>
          <w:tcPr>
            <w:tcW w:w="1379" w:type="pct"/>
            <w:vMerge w:val="restart"/>
            <w:shd w:val="clear" w:color="auto" w:fill="8DB3E2" w:themeFill="text2" w:themeFillTint="66"/>
            <w:vAlign w:val="center"/>
          </w:tcPr>
          <w:p w14:paraId="33FF8622" w14:textId="77777777" w:rsidR="00717E34" w:rsidRPr="00786779" w:rsidRDefault="00717E34" w:rsidP="00717E34">
            <w:pPr>
              <w:keepNext/>
              <w:spacing w:before="0" w:after="0" w:line="240" w:lineRule="auto"/>
              <w:ind w:right="-79"/>
              <w:jc w:val="center"/>
              <w:rPr>
                <w:rFonts w:cstheme="minorHAnsi"/>
                <w:b/>
                <w:szCs w:val="22"/>
              </w:rPr>
            </w:pPr>
            <w:r w:rsidRPr="00786779">
              <w:rPr>
                <w:rFonts w:cstheme="minorHAnsi"/>
                <w:b/>
                <w:szCs w:val="22"/>
              </w:rPr>
              <w:t>All regions surveyed</w:t>
            </w:r>
            <w:r w:rsidR="00550A0C">
              <w:rPr>
                <w:rFonts w:cstheme="minorHAnsi"/>
                <w:b/>
                <w:szCs w:val="22"/>
              </w:rPr>
              <w:t xml:space="preserve"> year</w:t>
            </w:r>
            <w:r w:rsidRPr="00786779">
              <w:rPr>
                <w:rFonts w:cstheme="minorHAnsi"/>
                <w:b/>
                <w:szCs w:val="22"/>
              </w:rPr>
              <w:t xml:space="preserve"> to September 2012</w:t>
            </w:r>
          </w:p>
        </w:tc>
      </w:tr>
      <w:tr w:rsidR="00717E34" w:rsidRPr="00786779" w14:paraId="33FF8628" w14:textId="77777777" w:rsidTr="00550A0C">
        <w:trPr>
          <w:trHeight w:val="15"/>
        </w:trPr>
        <w:tc>
          <w:tcPr>
            <w:tcW w:w="1574" w:type="pct"/>
            <w:vMerge/>
            <w:shd w:val="clear" w:color="auto" w:fill="auto"/>
            <w:vAlign w:val="center"/>
          </w:tcPr>
          <w:p w14:paraId="33FF8624" w14:textId="77777777" w:rsidR="00717E34" w:rsidRPr="00786779" w:rsidRDefault="00717E34" w:rsidP="00717E34">
            <w:pPr>
              <w:keepNext/>
              <w:spacing w:before="0" w:after="0" w:line="240" w:lineRule="auto"/>
              <w:ind w:left="-409" w:right="-81"/>
              <w:jc w:val="center"/>
              <w:rPr>
                <w:rFonts w:cstheme="minorHAnsi"/>
                <w:szCs w:val="22"/>
              </w:rPr>
            </w:pPr>
          </w:p>
        </w:tc>
        <w:tc>
          <w:tcPr>
            <w:tcW w:w="986" w:type="pct"/>
            <w:shd w:val="clear" w:color="auto" w:fill="8DB3E2" w:themeFill="text2" w:themeFillTint="66"/>
            <w:vAlign w:val="center"/>
          </w:tcPr>
          <w:p w14:paraId="33FF8625" w14:textId="77777777" w:rsidR="00717E34" w:rsidRPr="00786779" w:rsidRDefault="00717E34" w:rsidP="00717E34">
            <w:pPr>
              <w:keepNext/>
              <w:spacing w:before="0" w:after="0" w:line="240" w:lineRule="auto"/>
              <w:ind w:right="-79"/>
              <w:jc w:val="center"/>
              <w:rPr>
                <w:rFonts w:cstheme="minorHAnsi"/>
                <w:b/>
                <w:szCs w:val="22"/>
              </w:rPr>
            </w:pPr>
            <w:r w:rsidRPr="00786779">
              <w:rPr>
                <w:rFonts w:cstheme="minorHAnsi"/>
                <w:b/>
                <w:szCs w:val="22"/>
              </w:rPr>
              <w:t>October 2012</w:t>
            </w:r>
          </w:p>
        </w:tc>
        <w:tc>
          <w:tcPr>
            <w:tcW w:w="1061" w:type="pct"/>
            <w:shd w:val="clear" w:color="auto" w:fill="8DB3E2" w:themeFill="text2" w:themeFillTint="66"/>
            <w:vAlign w:val="center"/>
          </w:tcPr>
          <w:p w14:paraId="33FF8626" w14:textId="77777777" w:rsidR="00717E34" w:rsidRPr="00786779" w:rsidRDefault="00717E34" w:rsidP="00717E34">
            <w:pPr>
              <w:keepNext/>
              <w:spacing w:before="0" w:after="0" w:line="240" w:lineRule="auto"/>
              <w:ind w:right="-79"/>
              <w:jc w:val="center"/>
              <w:rPr>
                <w:rFonts w:cstheme="minorHAnsi"/>
                <w:b/>
                <w:szCs w:val="22"/>
              </w:rPr>
            </w:pPr>
            <w:r w:rsidRPr="00786779">
              <w:rPr>
                <w:rFonts w:cstheme="minorHAnsi"/>
                <w:b/>
                <w:szCs w:val="22"/>
              </w:rPr>
              <w:t>September 2011</w:t>
            </w:r>
          </w:p>
        </w:tc>
        <w:tc>
          <w:tcPr>
            <w:tcW w:w="1379" w:type="pct"/>
            <w:vMerge/>
            <w:shd w:val="clear" w:color="auto" w:fill="8DB3E2" w:themeFill="text2" w:themeFillTint="66"/>
            <w:vAlign w:val="center"/>
          </w:tcPr>
          <w:p w14:paraId="33FF8627" w14:textId="77777777" w:rsidR="00717E34" w:rsidRPr="00786779" w:rsidRDefault="00717E34" w:rsidP="00717E34">
            <w:pPr>
              <w:keepNext/>
              <w:spacing w:before="0" w:after="0" w:line="240" w:lineRule="auto"/>
              <w:ind w:right="-79"/>
              <w:jc w:val="center"/>
              <w:rPr>
                <w:rFonts w:cstheme="minorHAnsi"/>
                <w:b/>
                <w:szCs w:val="22"/>
              </w:rPr>
            </w:pPr>
          </w:p>
        </w:tc>
      </w:tr>
      <w:tr w:rsidR="00717E34" w:rsidRPr="00786779" w14:paraId="33FF862D" w14:textId="77777777" w:rsidTr="00550A0C">
        <w:trPr>
          <w:trHeight w:val="18"/>
        </w:trPr>
        <w:tc>
          <w:tcPr>
            <w:tcW w:w="1574" w:type="pct"/>
            <w:shd w:val="clear" w:color="auto" w:fill="auto"/>
            <w:noWrap/>
            <w:vAlign w:val="center"/>
          </w:tcPr>
          <w:p w14:paraId="33FF8629" w14:textId="77777777" w:rsidR="00717E34" w:rsidRPr="00786779" w:rsidRDefault="00717E34" w:rsidP="00717E34">
            <w:pPr>
              <w:keepNext/>
              <w:spacing w:before="0" w:after="0" w:line="240" w:lineRule="auto"/>
              <w:ind w:right="-81"/>
              <w:rPr>
                <w:rFonts w:cstheme="minorHAnsi"/>
                <w:b/>
                <w:szCs w:val="22"/>
              </w:rPr>
            </w:pPr>
            <w:r w:rsidRPr="00786779">
              <w:rPr>
                <w:rFonts w:cstheme="minorHAnsi"/>
                <w:b/>
                <w:szCs w:val="22"/>
              </w:rPr>
              <w:t>Proportion of employers who recruited</w:t>
            </w:r>
          </w:p>
        </w:tc>
        <w:tc>
          <w:tcPr>
            <w:tcW w:w="986" w:type="pct"/>
            <w:vAlign w:val="center"/>
          </w:tcPr>
          <w:p w14:paraId="33FF862A" w14:textId="77777777" w:rsidR="00717E34" w:rsidRPr="00786779" w:rsidRDefault="00717E34" w:rsidP="00717E34">
            <w:pPr>
              <w:keepNext/>
              <w:spacing w:before="0" w:after="0" w:line="240" w:lineRule="auto"/>
              <w:ind w:right="-81"/>
              <w:jc w:val="center"/>
              <w:rPr>
                <w:rFonts w:cstheme="minorHAnsi"/>
                <w:szCs w:val="22"/>
              </w:rPr>
            </w:pPr>
            <w:r w:rsidRPr="00786779">
              <w:rPr>
                <w:rFonts w:cstheme="minorHAnsi"/>
                <w:szCs w:val="22"/>
              </w:rPr>
              <w:t>63%</w:t>
            </w:r>
          </w:p>
        </w:tc>
        <w:tc>
          <w:tcPr>
            <w:tcW w:w="1061" w:type="pct"/>
            <w:vAlign w:val="center"/>
          </w:tcPr>
          <w:p w14:paraId="33FF862B" w14:textId="77777777" w:rsidR="00717E34" w:rsidRPr="00786779" w:rsidRDefault="00717E34" w:rsidP="00717E34">
            <w:pPr>
              <w:keepNext/>
              <w:spacing w:before="0" w:after="0" w:line="240" w:lineRule="auto"/>
              <w:ind w:right="-81"/>
              <w:jc w:val="center"/>
              <w:rPr>
                <w:rFonts w:cstheme="minorHAnsi"/>
                <w:szCs w:val="22"/>
              </w:rPr>
            </w:pPr>
            <w:r w:rsidRPr="00786779">
              <w:rPr>
                <w:rFonts w:cstheme="minorHAnsi"/>
                <w:szCs w:val="22"/>
              </w:rPr>
              <w:t>60%</w:t>
            </w:r>
          </w:p>
        </w:tc>
        <w:tc>
          <w:tcPr>
            <w:tcW w:w="1379" w:type="pct"/>
            <w:vAlign w:val="center"/>
          </w:tcPr>
          <w:p w14:paraId="33FF862C" w14:textId="77777777" w:rsidR="00717E34" w:rsidRPr="00786779" w:rsidRDefault="00717E34" w:rsidP="00717E34">
            <w:pPr>
              <w:keepNext/>
              <w:spacing w:before="0" w:after="0" w:line="240" w:lineRule="auto"/>
              <w:ind w:right="-81"/>
              <w:jc w:val="center"/>
              <w:rPr>
                <w:rFonts w:cstheme="minorHAnsi"/>
                <w:szCs w:val="22"/>
              </w:rPr>
            </w:pPr>
            <w:r w:rsidRPr="00786779">
              <w:rPr>
                <w:rFonts w:cstheme="minorHAnsi"/>
                <w:szCs w:val="22"/>
              </w:rPr>
              <w:t>63%</w:t>
            </w:r>
          </w:p>
        </w:tc>
      </w:tr>
      <w:tr w:rsidR="00717E34" w:rsidRPr="0093059F" w14:paraId="33FF8632" w14:textId="77777777" w:rsidTr="00550A0C">
        <w:trPr>
          <w:trHeight w:val="10"/>
        </w:trPr>
        <w:tc>
          <w:tcPr>
            <w:tcW w:w="1574" w:type="pct"/>
            <w:shd w:val="clear" w:color="auto" w:fill="auto"/>
            <w:noWrap/>
            <w:vAlign w:val="center"/>
          </w:tcPr>
          <w:p w14:paraId="33FF862E" w14:textId="77777777" w:rsidR="00717E34" w:rsidRPr="00786779" w:rsidRDefault="004A5176" w:rsidP="004A5176">
            <w:pPr>
              <w:keepNext/>
              <w:spacing w:before="0" w:after="0" w:line="240" w:lineRule="auto"/>
              <w:ind w:right="-81"/>
              <w:rPr>
                <w:rFonts w:cstheme="minorHAnsi"/>
                <w:b/>
                <w:szCs w:val="22"/>
              </w:rPr>
            </w:pPr>
            <w:r>
              <w:rPr>
                <w:rFonts w:cstheme="minorHAnsi"/>
                <w:b/>
                <w:szCs w:val="22"/>
              </w:rPr>
              <w:t>Annual v</w:t>
            </w:r>
            <w:r w:rsidR="00717E34" w:rsidRPr="00786779">
              <w:rPr>
                <w:rFonts w:cstheme="minorHAnsi"/>
                <w:b/>
                <w:szCs w:val="22"/>
              </w:rPr>
              <w:t>acancies per 100 staff</w:t>
            </w:r>
          </w:p>
        </w:tc>
        <w:tc>
          <w:tcPr>
            <w:tcW w:w="986" w:type="pct"/>
            <w:vAlign w:val="center"/>
          </w:tcPr>
          <w:p w14:paraId="33FF862F" w14:textId="77777777" w:rsidR="00717E34" w:rsidRPr="00786779" w:rsidRDefault="00717E34" w:rsidP="00717E34">
            <w:pPr>
              <w:keepNext/>
              <w:spacing w:before="0" w:after="0" w:line="240" w:lineRule="auto"/>
              <w:ind w:right="-81"/>
              <w:jc w:val="center"/>
              <w:rPr>
                <w:rFonts w:cstheme="minorHAnsi"/>
                <w:szCs w:val="22"/>
              </w:rPr>
            </w:pPr>
            <w:r w:rsidRPr="00786779">
              <w:rPr>
                <w:rFonts w:cstheme="minorHAnsi"/>
                <w:szCs w:val="22"/>
              </w:rPr>
              <w:t>19</w:t>
            </w:r>
          </w:p>
        </w:tc>
        <w:tc>
          <w:tcPr>
            <w:tcW w:w="1061" w:type="pct"/>
            <w:vAlign w:val="center"/>
          </w:tcPr>
          <w:p w14:paraId="33FF8630" w14:textId="77777777" w:rsidR="00717E34" w:rsidRPr="00786779" w:rsidRDefault="00717E34" w:rsidP="00717E34">
            <w:pPr>
              <w:keepNext/>
              <w:spacing w:before="0" w:after="0" w:line="240" w:lineRule="auto"/>
              <w:ind w:right="-81"/>
              <w:jc w:val="center"/>
              <w:rPr>
                <w:rFonts w:cstheme="minorHAnsi"/>
                <w:szCs w:val="22"/>
              </w:rPr>
            </w:pPr>
            <w:r w:rsidRPr="00786779">
              <w:rPr>
                <w:rFonts w:cstheme="minorHAnsi"/>
                <w:szCs w:val="22"/>
              </w:rPr>
              <w:t>16</w:t>
            </w:r>
          </w:p>
        </w:tc>
        <w:tc>
          <w:tcPr>
            <w:tcW w:w="1379" w:type="pct"/>
            <w:vAlign w:val="center"/>
          </w:tcPr>
          <w:p w14:paraId="33FF8631" w14:textId="77777777" w:rsidR="00717E34" w:rsidRPr="0093059F" w:rsidRDefault="00717E34" w:rsidP="00717E34">
            <w:pPr>
              <w:keepNext/>
              <w:spacing w:before="0" w:after="0" w:line="240" w:lineRule="auto"/>
              <w:ind w:right="-81"/>
              <w:jc w:val="center"/>
              <w:rPr>
                <w:rFonts w:cstheme="minorHAnsi"/>
                <w:szCs w:val="22"/>
              </w:rPr>
            </w:pPr>
            <w:r w:rsidRPr="00786779">
              <w:rPr>
                <w:rFonts w:cstheme="minorHAnsi"/>
                <w:szCs w:val="22"/>
              </w:rPr>
              <w:t>18</w:t>
            </w:r>
          </w:p>
        </w:tc>
      </w:tr>
    </w:tbl>
    <w:p w14:paraId="33FF8633" w14:textId="77777777" w:rsidR="00717E34" w:rsidRPr="00F65DD1" w:rsidRDefault="00717E34" w:rsidP="007C0798">
      <w:pPr>
        <w:pStyle w:val="RIESbriefreports"/>
        <w:spacing w:before="0" w:line="240" w:lineRule="atLeast"/>
        <w:jc w:val="both"/>
        <w:rPr>
          <w:color w:val="1F497D" w:themeColor="text2"/>
          <w:sz w:val="16"/>
          <w:szCs w:val="16"/>
        </w:rPr>
      </w:pPr>
    </w:p>
    <w:p w14:paraId="33FF8634" w14:textId="77777777" w:rsidR="003F4469" w:rsidRPr="00F605CA" w:rsidRDefault="003F4469" w:rsidP="003F4469">
      <w:pPr>
        <w:pStyle w:val="RIESbriefreports"/>
        <w:spacing w:before="0" w:line="240" w:lineRule="auto"/>
        <w:jc w:val="both"/>
        <w:rPr>
          <w:color w:val="1F497D" w:themeColor="text2"/>
          <w:szCs w:val="24"/>
        </w:rPr>
      </w:pPr>
      <w:bookmarkStart w:id="45" w:name="_Toc346870068"/>
      <w:r>
        <w:rPr>
          <w:color w:val="1F497D" w:themeColor="text2"/>
          <w:szCs w:val="24"/>
        </w:rPr>
        <w:t>Recruitment Difficulty by Occupation</w:t>
      </w:r>
      <w:bookmarkEnd w:id="45"/>
    </w:p>
    <w:p w14:paraId="33FF8635" w14:textId="77777777" w:rsidR="00203BDB" w:rsidRDefault="00F65DD1" w:rsidP="009B3063">
      <w:pPr>
        <w:spacing w:after="0" w:line="240" w:lineRule="auto"/>
        <w:jc w:val="both"/>
        <w:rPr>
          <w:rFonts w:cstheme="minorHAnsi"/>
          <w:sz w:val="24"/>
        </w:rPr>
      </w:pPr>
      <w:r>
        <w:rPr>
          <w:rFonts w:cstheme="minorHAnsi"/>
          <w:bCs/>
          <w:sz w:val="24"/>
        </w:rPr>
        <w:t xml:space="preserve">The vast majority of job vacancies in </w:t>
      </w:r>
      <w:r w:rsidR="007F6C7E">
        <w:rPr>
          <w:rFonts w:cstheme="minorHAnsi"/>
          <w:bCs/>
          <w:sz w:val="24"/>
        </w:rPr>
        <w:t>the</w:t>
      </w:r>
      <w:r w:rsidR="000C760F">
        <w:rPr>
          <w:rFonts w:cstheme="minorHAnsi"/>
          <w:bCs/>
          <w:sz w:val="24"/>
        </w:rPr>
        <w:t xml:space="preserve"> </w:t>
      </w:r>
      <w:r>
        <w:rPr>
          <w:rFonts w:cstheme="minorHAnsi"/>
          <w:bCs/>
          <w:sz w:val="24"/>
        </w:rPr>
        <w:t xml:space="preserve">most recent recruitment round were filled with just 0.6 per cent remaining unfilled </w:t>
      </w:r>
      <w:r w:rsidR="00B41DA0" w:rsidRPr="009B3063">
        <w:rPr>
          <w:rFonts w:cstheme="minorHAnsi"/>
          <w:sz w:val="24"/>
        </w:rPr>
        <w:t xml:space="preserve">(compared </w:t>
      </w:r>
      <w:r>
        <w:rPr>
          <w:rFonts w:cstheme="minorHAnsi"/>
          <w:sz w:val="24"/>
        </w:rPr>
        <w:t>with</w:t>
      </w:r>
      <w:r w:rsidR="00B41DA0" w:rsidRPr="009B3063">
        <w:rPr>
          <w:rFonts w:cstheme="minorHAnsi"/>
          <w:sz w:val="24"/>
        </w:rPr>
        <w:t xml:space="preserve"> 7.2 per cent </w:t>
      </w:r>
      <w:r w:rsidR="000C760F">
        <w:rPr>
          <w:rFonts w:cstheme="minorHAnsi"/>
          <w:sz w:val="24"/>
        </w:rPr>
        <w:t xml:space="preserve">of recent vacancies remaining unfilled </w:t>
      </w:r>
      <w:r w:rsidR="00B41DA0" w:rsidRPr="009B3063">
        <w:rPr>
          <w:rFonts w:cstheme="minorHAnsi"/>
          <w:sz w:val="24"/>
        </w:rPr>
        <w:t xml:space="preserve">for all regions </w:t>
      </w:r>
      <w:r w:rsidR="00FD79CB">
        <w:rPr>
          <w:rFonts w:cstheme="minorHAnsi"/>
          <w:sz w:val="24"/>
        </w:rPr>
        <w:t xml:space="preserve">recently </w:t>
      </w:r>
      <w:r w:rsidR="00B41DA0" w:rsidRPr="009B3063">
        <w:rPr>
          <w:rFonts w:cstheme="minorHAnsi"/>
          <w:sz w:val="24"/>
        </w:rPr>
        <w:t xml:space="preserve">surveyed). </w:t>
      </w:r>
    </w:p>
    <w:p w14:paraId="33FF8636" w14:textId="77777777" w:rsidR="00B71DBD" w:rsidRPr="00203BDB" w:rsidRDefault="00F65DD1" w:rsidP="00203BDB">
      <w:pPr>
        <w:pStyle w:val="ListParagraph"/>
        <w:numPr>
          <w:ilvl w:val="0"/>
          <w:numId w:val="15"/>
        </w:numPr>
        <w:spacing w:after="0" w:line="240" w:lineRule="auto"/>
        <w:jc w:val="both"/>
        <w:rPr>
          <w:rFonts w:asciiTheme="minorHAnsi" w:hAnsiTheme="minorHAnsi" w:cstheme="minorHAnsi"/>
          <w:color w:val="auto"/>
          <w:szCs w:val="24"/>
        </w:rPr>
      </w:pPr>
      <w:r>
        <w:rPr>
          <w:rFonts w:asciiTheme="minorHAnsi" w:hAnsiTheme="minorHAnsi" w:cstheme="minorHAnsi"/>
          <w:color w:val="auto"/>
          <w:szCs w:val="24"/>
          <w:u w:val="single"/>
        </w:rPr>
        <w:t>A</w:t>
      </w:r>
      <w:r w:rsidR="00B71DBD" w:rsidRPr="00203BDB">
        <w:rPr>
          <w:rFonts w:asciiTheme="minorHAnsi" w:hAnsiTheme="minorHAnsi" w:cstheme="minorHAnsi"/>
          <w:color w:val="auto"/>
          <w:szCs w:val="24"/>
          <w:u w:val="single"/>
        </w:rPr>
        <w:t>ll</w:t>
      </w:r>
      <w:r w:rsidR="00B71DBD" w:rsidRPr="00203BDB">
        <w:rPr>
          <w:rFonts w:asciiTheme="minorHAnsi" w:hAnsiTheme="minorHAnsi" w:cstheme="minorHAnsi"/>
          <w:color w:val="auto"/>
          <w:szCs w:val="24"/>
        </w:rPr>
        <w:t xml:space="preserve"> medi</w:t>
      </w:r>
      <w:r w:rsidR="00C76996" w:rsidRPr="00203BDB">
        <w:rPr>
          <w:rFonts w:asciiTheme="minorHAnsi" w:hAnsiTheme="minorHAnsi" w:cstheme="minorHAnsi"/>
          <w:color w:val="auto"/>
          <w:szCs w:val="24"/>
        </w:rPr>
        <w:t xml:space="preserve">um and lower skilled </w:t>
      </w:r>
      <w:r w:rsidR="00E02899" w:rsidRPr="00203BDB">
        <w:rPr>
          <w:rFonts w:asciiTheme="minorHAnsi" w:hAnsiTheme="minorHAnsi" w:cstheme="minorHAnsi"/>
          <w:color w:val="auto"/>
          <w:szCs w:val="24"/>
        </w:rPr>
        <w:t>vacancies</w:t>
      </w:r>
      <w:r>
        <w:rPr>
          <w:rFonts w:asciiTheme="minorHAnsi" w:hAnsiTheme="minorHAnsi" w:cstheme="minorHAnsi"/>
          <w:color w:val="auto"/>
          <w:szCs w:val="24"/>
        </w:rPr>
        <w:t xml:space="preserve"> were filled</w:t>
      </w:r>
      <w:r w:rsidR="00B71DBD" w:rsidRPr="00203BDB">
        <w:rPr>
          <w:rFonts w:asciiTheme="minorHAnsi" w:hAnsiTheme="minorHAnsi" w:cstheme="minorHAnsi"/>
          <w:color w:val="auto"/>
          <w:szCs w:val="24"/>
        </w:rPr>
        <w:t xml:space="preserve"> while 3.8</w:t>
      </w:r>
      <w:r w:rsidR="00C734A7" w:rsidRPr="00203BDB">
        <w:rPr>
          <w:rFonts w:asciiTheme="minorHAnsi" w:hAnsiTheme="minorHAnsi" w:cstheme="minorHAnsi"/>
          <w:color w:val="auto"/>
          <w:szCs w:val="24"/>
        </w:rPr>
        <w:t xml:space="preserve"> per cent of vacancies for Professionals and 1.8 per cent for Technicians </w:t>
      </w:r>
      <w:r w:rsidR="00E02899" w:rsidRPr="00203BDB">
        <w:rPr>
          <w:rFonts w:asciiTheme="minorHAnsi" w:hAnsiTheme="minorHAnsi" w:cstheme="minorHAnsi"/>
          <w:color w:val="auto"/>
          <w:szCs w:val="24"/>
        </w:rPr>
        <w:t>and</w:t>
      </w:r>
      <w:r w:rsidR="00C734A7" w:rsidRPr="00203BDB">
        <w:rPr>
          <w:rFonts w:asciiTheme="minorHAnsi" w:hAnsiTheme="minorHAnsi" w:cstheme="minorHAnsi"/>
          <w:color w:val="auto"/>
          <w:szCs w:val="24"/>
        </w:rPr>
        <w:t xml:space="preserve"> T</w:t>
      </w:r>
      <w:r w:rsidR="00E02899" w:rsidRPr="00203BDB">
        <w:rPr>
          <w:rFonts w:asciiTheme="minorHAnsi" w:hAnsiTheme="minorHAnsi" w:cstheme="minorHAnsi"/>
          <w:color w:val="auto"/>
          <w:szCs w:val="24"/>
        </w:rPr>
        <w:t xml:space="preserve">rades Workers remained unfilled. The unfill rates for </w:t>
      </w:r>
      <w:r w:rsidR="0051339F">
        <w:rPr>
          <w:rFonts w:asciiTheme="minorHAnsi" w:hAnsiTheme="minorHAnsi" w:cstheme="minorHAnsi"/>
          <w:color w:val="auto"/>
          <w:szCs w:val="24"/>
        </w:rPr>
        <w:t>these</w:t>
      </w:r>
      <w:r>
        <w:rPr>
          <w:rFonts w:asciiTheme="minorHAnsi" w:hAnsiTheme="minorHAnsi" w:cstheme="minorHAnsi"/>
          <w:color w:val="auto"/>
          <w:szCs w:val="24"/>
        </w:rPr>
        <w:t xml:space="preserve"> two occupation groups were</w:t>
      </w:r>
      <w:r w:rsidR="00C734A7" w:rsidRPr="00203BDB">
        <w:rPr>
          <w:rFonts w:asciiTheme="minorHAnsi" w:hAnsiTheme="minorHAnsi" w:cstheme="minorHAnsi"/>
          <w:color w:val="auto"/>
          <w:szCs w:val="24"/>
        </w:rPr>
        <w:t xml:space="preserve"> substantially lower than all regions</w:t>
      </w:r>
      <w:r w:rsidR="00B71DBD" w:rsidRPr="00203BDB">
        <w:rPr>
          <w:rFonts w:asciiTheme="minorHAnsi" w:hAnsiTheme="minorHAnsi" w:cstheme="minorHAnsi"/>
          <w:color w:val="auto"/>
          <w:szCs w:val="24"/>
        </w:rPr>
        <w:t xml:space="preserve"> surveyed (6.6</w:t>
      </w:r>
      <w:r w:rsidR="00C734A7" w:rsidRPr="00203BDB">
        <w:rPr>
          <w:rFonts w:asciiTheme="minorHAnsi" w:hAnsiTheme="minorHAnsi" w:cstheme="minorHAnsi"/>
          <w:color w:val="auto"/>
          <w:szCs w:val="24"/>
        </w:rPr>
        <w:t xml:space="preserve"> per cent and 14.3 per cent respectively). </w:t>
      </w:r>
    </w:p>
    <w:p w14:paraId="33FF8637" w14:textId="77777777" w:rsidR="00F67C3C" w:rsidRPr="00B71DBD" w:rsidRDefault="00497CB5" w:rsidP="00B71DBD">
      <w:pPr>
        <w:spacing w:after="0" w:line="240" w:lineRule="auto"/>
        <w:jc w:val="both"/>
        <w:rPr>
          <w:rFonts w:cstheme="minorHAnsi"/>
          <w:bCs/>
          <w:sz w:val="24"/>
        </w:rPr>
      </w:pPr>
      <w:r>
        <w:rPr>
          <w:rFonts w:cstheme="minorHAnsi"/>
          <w:bCs/>
          <w:sz w:val="24"/>
        </w:rPr>
        <w:t>Despite the m</w:t>
      </w:r>
      <w:r w:rsidR="00B71DBD" w:rsidRPr="00B71DBD">
        <w:rPr>
          <w:rFonts w:cstheme="minorHAnsi"/>
          <w:bCs/>
          <w:sz w:val="24"/>
        </w:rPr>
        <w:t xml:space="preserve">ajority of </w:t>
      </w:r>
      <w:r w:rsidR="00F67C3C">
        <w:rPr>
          <w:rFonts w:cstheme="minorHAnsi"/>
          <w:bCs/>
          <w:sz w:val="24"/>
        </w:rPr>
        <w:t>recent</w:t>
      </w:r>
      <w:r w:rsidR="00B71DBD" w:rsidRPr="00B71DBD">
        <w:rPr>
          <w:rFonts w:cstheme="minorHAnsi"/>
          <w:bCs/>
          <w:sz w:val="24"/>
        </w:rPr>
        <w:t xml:space="preserve"> vacancies</w:t>
      </w:r>
      <w:r w:rsidR="00F67C3C">
        <w:rPr>
          <w:rFonts w:cstheme="minorHAnsi"/>
          <w:bCs/>
          <w:sz w:val="24"/>
        </w:rPr>
        <w:t xml:space="preserve"> </w:t>
      </w:r>
      <w:r>
        <w:rPr>
          <w:rFonts w:cstheme="minorHAnsi"/>
          <w:bCs/>
          <w:sz w:val="24"/>
        </w:rPr>
        <w:t>being</w:t>
      </w:r>
      <w:r w:rsidR="00F67C3C">
        <w:rPr>
          <w:rFonts w:cstheme="minorHAnsi"/>
          <w:bCs/>
          <w:sz w:val="24"/>
        </w:rPr>
        <w:t xml:space="preserve"> filled, 44 per cent of employers said th</w:t>
      </w:r>
      <w:r w:rsidR="00203BDB">
        <w:rPr>
          <w:rFonts w:cstheme="minorHAnsi"/>
          <w:bCs/>
          <w:sz w:val="24"/>
        </w:rPr>
        <w:t>at recruitment was ‘difficult’.</w:t>
      </w:r>
    </w:p>
    <w:p w14:paraId="33FF8638" w14:textId="77777777" w:rsidR="009B3063" w:rsidRPr="009B3063" w:rsidRDefault="009B3063" w:rsidP="009B3063">
      <w:pPr>
        <w:pStyle w:val="ListParagraph"/>
        <w:numPr>
          <w:ilvl w:val="0"/>
          <w:numId w:val="15"/>
        </w:numPr>
        <w:spacing w:after="0" w:line="240" w:lineRule="auto"/>
        <w:jc w:val="both"/>
        <w:rPr>
          <w:rFonts w:asciiTheme="minorHAnsi" w:hAnsiTheme="minorHAnsi" w:cstheme="minorHAnsi"/>
          <w:color w:val="auto"/>
          <w:szCs w:val="24"/>
        </w:rPr>
      </w:pPr>
      <w:r w:rsidRPr="00F67C3C">
        <w:rPr>
          <w:rFonts w:asciiTheme="minorHAnsi" w:hAnsiTheme="minorHAnsi" w:cstheme="minorHAnsi"/>
          <w:color w:val="auto"/>
          <w:szCs w:val="24"/>
        </w:rPr>
        <w:t xml:space="preserve">Employers most commonly said that they had difficulty attracting job applicants who had the technical or the general employability skills </w:t>
      </w:r>
      <w:r w:rsidR="00D55CA8">
        <w:rPr>
          <w:rFonts w:asciiTheme="minorHAnsi" w:hAnsiTheme="minorHAnsi" w:cstheme="minorHAnsi"/>
          <w:color w:val="auto"/>
          <w:szCs w:val="24"/>
        </w:rPr>
        <w:t>required to do the job</w:t>
      </w:r>
      <w:r w:rsidR="00203BDB">
        <w:rPr>
          <w:rFonts w:asciiTheme="minorHAnsi" w:hAnsiTheme="minorHAnsi" w:cstheme="minorHAnsi"/>
          <w:color w:val="auto"/>
          <w:szCs w:val="24"/>
        </w:rPr>
        <w:t>.</w:t>
      </w:r>
    </w:p>
    <w:p w14:paraId="33FF8639" w14:textId="77777777" w:rsidR="00913B25" w:rsidRDefault="00A75D2C" w:rsidP="00C734A7">
      <w:pPr>
        <w:pStyle w:val="ListParagraph"/>
        <w:numPr>
          <w:ilvl w:val="0"/>
          <w:numId w:val="15"/>
        </w:numPr>
        <w:spacing w:after="0" w:line="240" w:lineRule="auto"/>
        <w:jc w:val="both"/>
        <w:rPr>
          <w:rFonts w:asciiTheme="minorHAnsi" w:hAnsiTheme="minorHAnsi" w:cstheme="minorHAnsi"/>
          <w:color w:val="auto"/>
          <w:szCs w:val="24"/>
        </w:rPr>
      </w:pPr>
      <w:r>
        <w:rPr>
          <w:rFonts w:asciiTheme="minorHAnsi" w:hAnsiTheme="minorHAnsi" w:cstheme="minorHAnsi"/>
          <w:color w:val="auto"/>
          <w:szCs w:val="24"/>
        </w:rPr>
        <w:t>R</w:t>
      </w:r>
      <w:r w:rsidR="00B71DBD">
        <w:rPr>
          <w:rFonts w:asciiTheme="minorHAnsi" w:hAnsiTheme="minorHAnsi" w:cstheme="minorHAnsi"/>
          <w:color w:val="auto"/>
          <w:szCs w:val="24"/>
        </w:rPr>
        <w:t xml:space="preserve">ecruitment </w:t>
      </w:r>
      <w:r>
        <w:rPr>
          <w:rFonts w:asciiTheme="minorHAnsi" w:hAnsiTheme="minorHAnsi" w:cstheme="minorHAnsi"/>
          <w:color w:val="auto"/>
          <w:szCs w:val="24"/>
        </w:rPr>
        <w:t>difficulties</w:t>
      </w:r>
      <w:r w:rsidR="00B71DBD">
        <w:rPr>
          <w:rFonts w:asciiTheme="minorHAnsi" w:hAnsiTheme="minorHAnsi" w:cstheme="minorHAnsi"/>
          <w:color w:val="auto"/>
          <w:szCs w:val="24"/>
        </w:rPr>
        <w:t xml:space="preserve"> </w:t>
      </w:r>
      <w:r>
        <w:rPr>
          <w:rFonts w:asciiTheme="minorHAnsi" w:hAnsiTheme="minorHAnsi" w:cstheme="minorHAnsi"/>
          <w:color w:val="auto"/>
          <w:szCs w:val="24"/>
        </w:rPr>
        <w:t>were most commonly reported</w:t>
      </w:r>
      <w:r w:rsidR="00FD79CB">
        <w:rPr>
          <w:rFonts w:asciiTheme="minorHAnsi" w:hAnsiTheme="minorHAnsi" w:cstheme="minorHAnsi"/>
          <w:color w:val="auto"/>
          <w:szCs w:val="24"/>
        </w:rPr>
        <w:t xml:space="preserve"> by employers recruiting</w:t>
      </w:r>
      <w:r>
        <w:rPr>
          <w:rFonts w:asciiTheme="minorHAnsi" w:hAnsiTheme="minorHAnsi" w:cstheme="minorHAnsi"/>
          <w:color w:val="auto"/>
          <w:szCs w:val="24"/>
        </w:rPr>
        <w:t xml:space="preserve"> </w:t>
      </w:r>
      <w:r w:rsidR="00B564E3" w:rsidRPr="00B564E3">
        <w:rPr>
          <w:rFonts w:asciiTheme="minorHAnsi" w:hAnsiTheme="minorHAnsi" w:cstheme="minorHAnsi"/>
          <w:color w:val="auto"/>
          <w:szCs w:val="24"/>
        </w:rPr>
        <w:t>for</w:t>
      </w:r>
      <w:r w:rsidR="004F73BA">
        <w:rPr>
          <w:rFonts w:asciiTheme="minorHAnsi" w:hAnsiTheme="minorHAnsi" w:cstheme="minorHAnsi"/>
          <w:color w:val="auto"/>
          <w:szCs w:val="24"/>
        </w:rPr>
        <w:t xml:space="preserve"> Managers and </w:t>
      </w:r>
      <w:r w:rsidR="00B71DBD">
        <w:rPr>
          <w:rFonts w:asciiTheme="minorHAnsi" w:hAnsiTheme="minorHAnsi" w:cstheme="minorHAnsi"/>
          <w:color w:val="auto"/>
          <w:szCs w:val="24"/>
        </w:rPr>
        <w:t>Professionals (6</w:t>
      </w:r>
      <w:r w:rsidR="004F73BA">
        <w:rPr>
          <w:rFonts w:asciiTheme="minorHAnsi" w:hAnsiTheme="minorHAnsi" w:cstheme="minorHAnsi"/>
          <w:color w:val="auto"/>
          <w:szCs w:val="24"/>
        </w:rPr>
        <w:t>3</w:t>
      </w:r>
      <w:r w:rsidR="0032020D">
        <w:rPr>
          <w:rFonts w:asciiTheme="minorHAnsi" w:hAnsiTheme="minorHAnsi" w:cstheme="minorHAnsi"/>
          <w:color w:val="auto"/>
          <w:szCs w:val="24"/>
        </w:rPr>
        <w:t> per </w:t>
      </w:r>
      <w:r w:rsidR="00F94A7F">
        <w:rPr>
          <w:rFonts w:asciiTheme="minorHAnsi" w:hAnsiTheme="minorHAnsi" w:cstheme="minorHAnsi"/>
          <w:color w:val="auto"/>
          <w:szCs w:val="24"/>
        </w:rPr>
        <w:t>cent</w:t>
      </w:r>
      <w:r w:rsidR="00FD79CB">
        <w:rPr>
          <w:rFonts w:asciiTheme="minorHAnsi" w:hAnsiTheme="minorHAnsi" w:cstheme="minorHAnsi"/>
          <w:color w:val="auto"/>
          <w:szCs w:val="24"/>
        </w:rPr>
        <w:t>)</w:t>
      </w:r>
      <w:r w:rsidR="004F73BA">
        <w:rPr>
          <w:rFonts w:asciiTheme="minorHAnsi" w:hAnsiTheme="minorHAnsi" w:cstheme="minorHAnsi"/>
          <w:color w:val="auto"/>
          <w:szCs w:val="24"/>
        </w:rPr>
        <w:t xml:space="preserve"> and</w:t>
      </w:r>
      <w:r w:rsidR="00FD79CB">
        <w:rPr>
          <w:rFonts w:asciiTheme="minorHAnsi" w:hAnsiTheme="minorHAnsi" w:cstheme="minorHAnsi"/>
          <w:color w:val="auto"/>
          <w:szCs w:val="24"/>
        </w:rPr>
        <w:t xml:space="preserve"> </w:t>
      </w:r>
      <w:r w:rsidR="00B564E3" w:rsidRPr="00B564E3">
        <w:rPr>
          <w:rFonts w:asciiTheme="minorHAnsi" w:hAnsiTheme="minorHAnsi" w:cstheme="minorHAnsi"/>
          <w:color w:val="auto"/>
          <w:szCs w:val="24"/>
        </w:rPr>
        <w:t>Community and Personal Service Workers (55 per cent)</w:t>
      </w:r>
      <w:r w:rsidR="00B564E3">
        <w:rPr>
          <w:rFonts w:asciiTheme="minorHAnsi" w:hAnsiTheme="minorHAnsi" w:cstheme="minorHAnsi"/>
          <w:color w:val="auto"/>
          <w:szCs w:val="24"/>
        </w:rPr>
        <w:t>.</w:t>
      </w:r>
    </w:p>
    <w:p w14:paraId="33FF863A" w14:textId="77777777" w:rsidR="00C76996" w:rsidRDefault="00C76996" w:rsidP="00C76996">
      <w:pPr>
        <w:pStyle w:val="ListParagraph"/>
        <w:spacing w:after="0" w:line="240" w:lineRule="auto"/>
        <w:ind w:left="1800"/>
        <w:jc w:val="both"/>
        <w:rPr>
          <w:rFonts w:cstheme="minorHAnsi"/>
          <w:b/>
        </w:rPr>
      </w:pPr>
    </w:p>
    <w:p w14:paraId="33FF863B" w14:textId="77777777" w:rsidR="00B564E3" w:rsidRPr="00F605CA" w:rsidRDefault="00B564E3" w:rsidP="00130055">
      <w:pPr>
        <w:spacing w:before="0" w:after="0" w:line="240" w:lineRule="auto"/>
        <w:rPr>
          <w:rFonts w:cstheme="minorHAnsi"/>
          <w:b/>
          <w:sz w:val="24"/>
        </w:rPr>
      </w:pPr>
      <w:r>
        <w:rPr>
          <w:rFonts w:cstheme="minorHAnsi"/>
          <w:b/>
          <w:sz w:val="24"/>
        </w:rPr>
        <w:t>Figure</w:t>
      </w:r>
      <w:r w:rsidR="00C73126">
        <w:rPr>
          <w:rFonts w:cstheme="minorHAnsi"/>
          <w:b/>
          <w:sz w:val="24"/>
        </w:rPr>
        <w:t xml:space="preserve"> </w:t>
      </w:r>
      <w:r w:rsidR="0051339F">
        <w:rPr>
          <w:rFonts w:cstheme="minorHAnsi"/>
          <w:b/>
          <w:sz w:val="24"/>
        </w:rPr>
        <w:t>1</w:t>
      </w:r>
      <w:r w:rsidRPr="00F605CA">
        <w:rPr>
          <w:rFonts w:cstheme="minorHAnsi"/>
          <w:b/>
          <w:sz w:val="24"/>
        </w:rPr>
        <w:t xml:space="preserve">. Recruitment </w:t>
      </w:r>
      <w:r>
        <w:rPr>
          <w:rFonts w:cstheme="minorHAnsi"/>
          <w:b/>
          <w:sz w:val="24"/>
        </w:rPr>
        <w:t>difficulty</w:t>
      </w:r>
      <w:r w:rsidRPr="00F605CA">
        <w:rPr>
          <w:rFonts w:cstheme="minorHAnsi"/>
          <w:b/>
          <w:sz w:val="24"/>
        </w:rPr>
        <w:t xml:space="preserve"> in </w:t>
      </w:r>
      <w:r w:rsidR="00594CA5">
        <w:rPr>
          <w:rFonts w:cstheme="minorHAnsi"/>
          <w:b/>
          <w:sz w:val="24"/>
        </w:rPr>
        <w:t xml:space="preserve">employers’ </w:t>
      </w:r>
      <w:r>
        <w:rPr>
          <w:rFonts w:cstheme="minorHAnsi"/>
          <w:b/>
          <w:sz w:val="24"/>
        </w:rPr>
        <w:t>most recent recruitment round</w:t>
      </w:r>
    </w:p>
    <w:p w14:paraId="33FF863C" w14:textId="77777777" w:rsidR="00913B25" w:rsidRPr="00913B25" w:rsidRDefault="005A0794" w:rsidP="00913B25">
      <w:pPr>
        <w:pStyle w:val="ListParagraph"/>
        <w:spacing w:after="0" w:line="240" w:lineRule="auto"/>
        <w:ind w:left="360"/>
        <w:jc w:val="both"/>
        <w:rPr>
          <w:rFonts w:asciiTheme="minorHAnsi" w:hAnsiTheme="minorHAnsi" w:cstheme="minorHAnsi"/>
          <w:color w:val="auto"/>
          <w:szCs w:val="24"/>
        </w:rPr>
      </w:pPr>
      <w:r w:rsidRPr="005A0794">
        <w:rPr>
          <w:noProof/>
          <w:lang w:val="en-AU" w:eastAsia="en-AU" w:bidi="ar-SA"/>
        </w:rPr>
        <w:drawing>
          <wp:inline distT="0" distB="0" distL="0" distR="0" wp14:anchorId="33FF86AF" wp14:editId="33FF86B0">
            <wp:extent cx="5806440" cy="2346960"/>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807593" cy="2347426"/>
                    </a:xfrm>
                    <a:prstGeom prst="rect">
                      <a:avLst/>
                    </a:prstGeom>
                    <a:noFill/>
                    <a:ln>
                      <a:noFill/>
                    </a:ln>
                  </pic:spPr>
                </pic:pic>
              </a:graphicData>
            </a:graphic>
          </wp:inline>
        </w:drawing>
      </w:r>
    </w:p>
    <w:p w14:paraId="33FF863D" w14:textId="77777777" w:rsidR="00AF61E1" w:rsidRDefault="00AF61E1">
      <w:pPr>
        <w:spacing w:before="0" w:after="0" w:line="240" w:lineRule="auto"/>
        <w:rPr>
          <w:rFonts w:cstheme="minorHAnsi"/>
          <w:bCs/>
          <w:sz w:val="24"/>
        </w:rPr>
      </w:pPr>
      <w:bookmarkStart w:id="46" w:name="_Toc329769410"/>
    </w:p>
    <w:p w14:paraId="33FF863E" w14:textId="77777777" w:rsidR="00AF61E1" w:rsidRDefault="00AF61E1" w:rsidP="00AF61E1">
      <w:pPr>
        <w:spacing w:before="0" w:after="0" w:line="240" w:lineRule="auto"/>
        <w:jc w:val="both"/>
        <w:rPr>
          <w:rFonts w:cstheme="minorHAnsi"/>
          <w:bCs/>
          <w:sz w:val="24"/>
        </w:rPr>
      </w:pPr>
      <w:r>
        <w:rPr>
          <w:rFonts w:cstheme="minorHAnsi"/>
          <w:bCs/>
          <w:sz w:val="24"/>
        </w:rPr>
        <w:t>Table 2 provides some examples of occupations that local employers said were difficult to fill.</w:t>
      </w:r>
    </w:p>
    <w:p w14:paraId="33FF863F" w14:textId="77777777" w:rsidR="00AF61E1" w:rsidRDefault="00AF61E1" w:rsidP="00AF61E1">
      <w:pPr>
        <w:spacing w:before="0" w:after="0" w:line="240" w:lineRule="auto"/>
        <w:jc w:val="both"/>
        <w:rPr>
          <w:rFonts w:cstheme="minorHAnsi"/>
          <w:bCs/>
          <w:sz w:val="24"/>
        </w:rPr>
      </w:pPr>
    </w:p>
    <w:p w14:paraId="33FF8640" w14:textId="77777777" w:rsidR="00B6435C" w:rsidRDefault="00B6435C" w:rsidP="00717E34">
      <w:pPr>
        <w:spacing w:before="0" w:line="240" w:lineRule="auto"/>
        <w:jc w:val="both"/>
        <w:rPr>
          <w:rFonts w:cstheme="minorHAnsi"/>
          <w:b/>
          <w:sz w:val="24"/>
        </w:rPr>
      </w:pPr>
      <w:r w:rsidRPr="00F605CA">
        <w:rPr>
          <w:rFonts w:cstheme="minorHAnsi"/>
          <w:b/>
          <w:sz w:val="24"/>
        </w:rPr>
        <w:t>Table 2. Occupations difficult to fill by skill level</w:t>
      </w:r>
    </w:p>
    <w:tbl>
      <w:tblPr>
        <w:tblW w:w="8778" w:type="dxa"/>
        <w:tblInd w:w="98" w:type="dxa"/>
        <w:tblLook w:val="04A0" w:firstRow="1" w:lastRow="0" w:firstColumn="1" w:lastColumn="0" w:noHBand="0" w:noVBand="1"/>
      </w:tblPr>
      <w:tblGrid>
        <w:gridCol w:w="4314"/>
        <w:gridCol w:w="4464"/>
      </w:tblGrid>
      <w:tr w:rsidR="00B6435C" w:rsidRPr="0093059F" w14:paraId="33FF8642" w14:textId="77777777" w:rsidTr="00AC3205">
        <w:trPr>
          <w:trHeight w:val="467"/>
        </w:trPr>
        <w:tc>
          <w:tcPr>
            <w:tcW w:w="8778" w:type="dxa"/>
            <w:gridSpan w:val="2"/>
            <w:tcBorders>
              <w:top w:val="single" w:sz="8" w:space="0" w:color="000000"/>
              <w:left w:val="single" w:sz="8" w:space="0" w:color="000000"/>
              <w:bottom w:val="single" w:sz="4" w:space="0" w:color="auto"/>
              <w:right w:val="single" w:sz="8" w:space="0" w:color="000000"/>
            </w:tcBorders>
            <w:shd w:val="clear" w:color="auto" w:fill="8DB3E2" w:themeFill="text2" w:themeFillTint="66"/>
            <w:hideMark/>
          </w:tcPr>
          <w:p w14:paraId="33FF8641" w14:textId="77777777" w:rsidR="00B6435C" w:rsidRPr="0093059F" w:rsidRDefault="00DE7F1B" w:rsidP="00AC3205">
            <w:pPr>
              <w:spacing w:after="0" w:line="240" w:lineRule="auto"/>
              <w:jc w:val="center"/>
              <w:rPr>
                <w:rFonts w:cstheme="minorHAnsi"/>
                <w:b/>
                <w:bCs/>
                <w:color w:val="000000"/>
                <w:szCs w:val="22"/>
              </w:rPr>
            </w:pPr>
            <w:r w:rsidRPr="00367670">
              <w:rPr>
                <w:rFonts w:cstheme="minorHAnsi"/>
                <w:b/>
                <w:bCs/>
                <w:sz w:val="24"/>
              </w:rPr>
              <w:t>Bachelor’s Degree or Higher VET Qualifications</w:t>
            </w:r>
          </w:p>
        </w:tc>
      </w:tr>
      <w:tr w:rsidR="00B6435C" w:rsidRPr="0093059F" w14:paraId="33FF8645" w14:textId="77777777" w:rsidTr="00AC3205">
        <w:trPr>
          <w:trHeight w:val="188"/>
        </w:trPr>
        <w:tc>
          <w:tcPr>
            <w:tcW w:w="4314" w:type="dxa"/>
            <w:tcBorders>
              <w:top w:val="single" w:sz="4" w:space="0" w:color="auto"/>
              <w:left w:val="single" w:sz="4" w:space="0" w:color="auto"/>
              <w:bottom w:val="single" w:sz="4" w:space="0" w:color="auto"/>
              <w:right w:val="single" w:sz="4" w:space="0" w:color="auto"/>
            </w:tcBorders>
            <w:shd w:val="clear" w:color="auto" w:fill="auto"/>
            <w:noWrap/>
            <w:hideMark/>
          </w:tcPr>
          <w:p w14:paraId="33FF8643" w14:textId="77777777" w:rsidR="00B6435C" w:rsidRPr="0093059F" w:rsidRDefault="00B6435C" w:rsidP="00AC3205">
            <w:pPr>
              <w:spacing w:after="0" w:line="240" w:lineRule="auto"/>
              <w:jc w:val="center"/>
              <w:rPr>
                <w:rFonts w:cstheme="minorHAnsi"/>
                <w:szCs w:val="22"/>
              </w:rPr>
            </w:pPr>
            <w:r w:rsidRPr="0093059F">
              <w:rPr>
                <w:rFonts w:cstheme="minorHAnsi"/>
                <w:szCs w:val="22"/>
              </w:rPr>
              <w:t>Chefs*</w:t>
            </w:r>
          </w:p>
        </w:tc>
        <w:tc>
          <w:tcPr>
            <w:tcW w:w="4464" w:type="dxa"/>
            <w:tcBorders>
              <w:top w:val="single" w:sz="4" w:space="0" w:color="auto"/>
              <w:left w:val="single" w:sz="4" w:space="0" w:color="auto"/>
              <w:bottom w:val="single" w:sz="4" w:space="0" w:color="auto"/>
              <w:right w:val="single" w:sz="4" w:space="0" w:color="auto"/>
            </w:tcBorders>
            <w:shd w:val="clear" w:color="auto" w:fill="auto"/>
            <w:noWrap/>
            <w:hideMark/>
          </w:tcPr>
          <w:p w14:paraId="33FF8644" w14:textId="77777777" w:rsidR="00B6435C" w:rsidRPr="0093059F" w:rsidRDefault="00B6435C" w:rsidP="00AC3205">
            <w:pPr>
              <w:spacing w:after="0" w:line="240" w:lineRule="auto"/>
              <w:jc w:val="center"/>
              <w:rPr>
                <w:rFonts w:cstheme="minorHAnsi"/>
                <w:szCs w:val="22"/>
              </w:rPr>
            </w:pPr>
            <w:r w:rsidRPr="0093059F">
              <w:rPr>
                <w:rFonts w:cstheme="minorHAnsi"/>
                <w:szCs w:val="22"/>
              </w:rPr>
              <w:t>Metal Fitters and Machinists*</w:t>
            </w:r>
          </w:p>
        </w:tc>
      </w:tr>
      <w:tr w:rsidR="00B6435C" w:rsidRPr="0093059F" w14:paraId="33FF8648" w14:textId="77777777" w:rsidTr="00AC3205">
        <w:trPr>
          <w:trHeight w:val="188"/>
        </w:trPr>
        <w:tc>
          <w:tcPr>
            <w:tcW w:w="4314" w:type="dxa"/>
            <w:tcBorders>
              <w:top w:val="single" w:sz="4" w:space="0" w:color="auto"/>
              <w:left w:val="single" w:sz="4" w:space="0" w:color="auto"/>
              <w:bottom w:val="single" w:sz="4" w:space="0" w:color="auto"/>
              <w:right w:val="single" w:sz="4" w:space="0" w:color="auto"/>
            </w:tcBorders>
            <w:shd w:val="clear" w:color="auto" w:fill="auto"/>
            <w:noWrap/>
            <w:hideMark/>
          </w:tcPr>
          <w:p w14:paraId="33FF8646" w14:textId="77777777" w:rsidR="00B6435C" w:rsidRPr="0093059F" w:rsidRDefault="00B6435C" w:rsidP="00AC3205">
            <w:pPr>
              <w:spacing w:after="0" w:line="240" w:lineRule="auto"/>
              <w:jc w:val="center"/>
              <w:rPr>
                <w:rFonts w:cstheme="minorHAnsi"/>
                <w:szCs w:val="22"/>
              </w:rPr>
            </w:pPr>
            <w:r w:rsidRPr="0093059F">
              <w:rPr>
                <w:rFonts w:cstheme="minorHAnsi"/>
                <w:szCs w:val="22"/>
              </w:rPr>
              <w:t>Registered Nurses</w:t>
            </w:r>
          </w:p>
        </w:tc>
        <w:tc>
          <w:tcPr>
            <w:tcW w:w="4464" w:type="dxa"/>
            <w:tcBorders>
              <w:top w:val="single" w:sz="4" w:space="0" w:color="auto"/>
              <w:left w:val="single" w:sz="4" w:space="0" w:color="auto"/>
              <w:bottom w:val="single" w:sz="4" w:space="0" w:color="auto"/>
              <w:right w:val="single" w:sz="4" w:space="0" w:color="auto"/>
            </w:tcBorders>
            <w:shd w:val="clear" w:color="auto" w:fill="auto"/>
            <w:noWrap/>
            <w:hideMark/>
          </w:tcPr>
          <w:p w14:paraId="33FF8647" w14:textId="77777777" w:rsidR="00B6435C" w:rsidRPr="0093059F" w:rsidRDefault="00B6435C" w:rsidP="00AC3205">
            <w:pPr>
              <w:spacing w:after="0" w:line="240" w:lineRule="auto"/>
              <w:jc w:val="center"/>
              <w:rPr>
                <w:rFonts w:cstheme="minorHAnsi"/>
                <w:szCs w:val="22"/>
              </w:rPr>
            </w:pPr>
            <w:r w:rsidRPr="0093059F">
              <w:rPr>
                <w:rFonts w:cstheme="minorHAnsi"/>
                <w:szCs w:val="22"/>
              </w:rPr>
              <w:t>Motor Mechanics*</w:t>
            </w:r>
          </w:p>
        </w:tc>
      </w:tr>
      <w:tr w:rsidR="00B6435C" w:rsidRPr="0093059F" w14:paraId="33FF864A" w14:textId="77777777" w:rsidTr="00AC3205">
        <w:trPr>
          <w:trHeight w:val="199"/>
        </w:trPr>
        <w:tc>
          <w:tcPr>
            <w:tcW w:w="8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3FF8649" w14:textId="77777777" w:rsidR="00B6435C" w:rsidRPr="0093059F" w:rsidRDefault="00B6435C" w:rsidP="00AC3205">
            <w:pPr>
              <w:spacing w:after="0" w:line="240" w:lineRule="auto"/>
              <w:jc w:val="center"/>
              <w:rPr>
                <w:rFonts w:cstheme="minorHAnsi"/>
                <w:szCs w:val="22"/>
              </w:rPr>
            </w:pPr>
            <w:r w:rsidRPr="0093059F">
              <w:rPr>
                <w:rFonts w:cstheme="minorHAnsi"/>
                <w:szCs w:val="22"/>
              </w:rPr>
              <w:t>Child Carers</w:t>
            </w:r>
          </w:p>
        </w:tc>
      </w:tr>
      <w:tr w:rsidR="00B6435C" w:rsidRPr="0093059F" w14:paraId="33FF864C" w14:textId="77777777" w:rsidTr="00AC3205">
        <w:trPr>
          <w:trHeight w:val="321"/>
        </w:trPr>
        <w:tc>
          <w:tcPr>
            <w:tcW w:w="8778" w:type="dxa"/>
            <w:gridSpan w:val="2"/>
            <w:tcBorders>
              <w:top w:val="single" w:sz="4" w:space="0" w:color="auto"/>
              <w:left w:val="single" w:sz="8" w:space="0" w:color="000000"/>
              <w:bottom w:val="single" w:sz="4" w:space="0" w:color="auto"/>
              <w:right w:val="single" w:sz="8" w:space="0" w:color="000000"/>
            </w:tcBorders>
            <w:shd w:val="clear" w:color="auto" w:fill="8DB3E2" w:themeFill="text2" w:themeFillTint="66"/>
            <w:hideMark/>
          </w:tcPr>
          <w:p w14:paraId="33FF864B" w14:textId="77777777" w:rsidR="00B6435C" w:rsidRPr="0093059F" w:rsidRDefault="00DE7F1B" w:rsidP="00AC3205">
            <w:pPr>
              <w:spacing w:after="0" w:line="240" w:lineRule="auto"/>
              <w:jc w:val="center"/>
              <w:rPr>
                <w:rFonts w:cstheme="minorHAnsi"/>
                <w:b/>
                <w:bCs/>
                <w:color w:val="000000"/>
                <w:szCs w:val="22"/>
              </w:rPr>
            </w:pPr>
            <w:r>
              <w:rPr>
                <w:rFonts w:cstheme="minorHAnsi"/>
                <w:b/>
                <w:bCs/>
                <w:sz w:val="24"/>
              </w:rPr>
              <w:t>Other O</w:t>
            </w:r>
            <w:r w:rsidRPr="00367670">
              <w:rPr>
                <w:rFonts w:cstheme="minorHAnsi"/>
                <w:b/>
                <w:bCs/>
                <w:sz w:val="24"/>
              </w:rPr>
              <w:t>ccupations</w:t>
            </w:r>
          </w:p>
        </w:tc>
      </w:tr>
      <w:tr w:rsidR="00B6435C" w:rsidRPr="0093059F" w14:paraId="33FF864F" w14:textId="77777777" w:rsidTr="00AC3205">
        <w:trPr>
          <w:trHeight w:val="188"/>
        </w:trPr>
        <w:tc>
          <w:tcPr>
            <w:tcW w:w="4314" w:type="dxa"/>
            <w:tcBorders>
              <w:top w:val="single" w:sz="4" w:space="0" w:color="auto"/>
              <w:left w:val="single" w:sz="4" w:space="0" w:color="auto"/>
              <w:bottom w:val="single" w:sz="4" w:space="0" w:color="auto"/>
              <w:right w:val="single" w:sz="4" w:space="0" w:color="auto"/>
            </w:tcBorders>
            <w:shd w:val="clear" w:color="auto" w:fill="auto"/>
            <w:noWrap/>
            <w:hideMark/>
          </w:tcPr>
          <w:p w14:paraId="33FF864D" w14:textId="77777777" w:rsidR="00B6435C" w:rsidRPr="0093059F" w:rsidRDefault="00B6435C" w:rsidP="00AC3205">
            <w:pPr>
              <w:spacing w:after="0" w:line="240" w:lineRule="auto"/>
              <w:jc w:val="center"/>
              <w:rPr>
                <w:rFonts w:cstheme="minorHAnsi"/>
                <w:szCs w:val="22"/>
              </w:rPr>
            </w:pPr>
            <w:r w:rsidRPr="0093059F">
              <w:rPr>
                <w:rFonts w:cstheme="minorHAnsi"/>
                <w:szCs w:val="22"/>
              </w:rPr>
              <w:t>Truck Drivers*</w:t>
            </w:r>
          </w:p>
        </w:tc>
        <w:tc>
          <w:tcPr>
            <w:tcW w:w="4464" w:type="dxa"/>
            <w:tcBorders>
              <w:top w:val="single" w:sz="4" w:space="0" w:color="auto"/>
              <w:left w:val="single" w:sz="4" w:space="0" w:color="auto"/>
              <w:bottom w:val="single" w:sz="4" w:space="0" w:color="auto"/>
              <w:right w:val="single" w:sz="4" w:space="0" w:color="auto"/>
            </w:tcBorders>
            <w:shd w:val="clear" w:color="auto" w:fill="auto"/>
            <w:noWrap/>
            <w:hideMark/>
          </w:tcPr>
          <w:p w14:paraId="33FF864E" w14:textId="77777777" w:rsidR="00B6435C" w:rsidRPr="0093059F" w:rsidRDefault="00B6435C" w:rsidP="00AC3205">
            <w:pPr>
              <w:spacing w:after="0" w:line="240" w:lineRule="auto"/>
              <w:jc w:val="center"/>
              <w:rPr>
                <w:rFonts w:cstheme="minorHAnsi"/>
                <w:szCs w:val="22"/>
              </w:rPr>
            </w:pPr>
            <w:r w:rsidRPr="0093059F">
              <w:rPr>
                <w:rFonts w:cstheme="minorHAnsi"/>
                <w:szCs w:val="22"/>
              </w:rPr>
              <w:t>Bar Attendants and Baristas</w:t>
            </w:r>
          </w:p>
        </w:tc>
      </w:tr>
      <w:tr w:rsidR="00B6435C" w:rsidRPr="0093059F" w14:paraId="33FF8652" w14:textId="77777777" w:rsidTr="00AC3205">
        <w:trPr>
          <w:trHeight w:val="188"/>
        </w:trPr>
        <w:tc>
          <w:tcPr>
            <w:tcW w:w="4314" w:type="dxa"/>
            <w:tcBorders>
              <w:top w:val="single" w:sz="4" w:space="0" w:color="auto"/>
              <w:left w:val="single" w:sz="4" w:space="0" w:color="auto"/>
              <w:bottom w:val="single" w:sz="4" w:space="0" w:color="auto"/>
              <w:right w:val="single" w:sz="4" w:space="0" w:color="auto"/>
            </w:tcBorders>
            <w:shd w:val="clear" w:color="auto" w:fill="auto"/>
            <w:noWrap/>
            <w:hideMark/>
          </w:tcPr>
          <w:p w14:paraId="33FF8650" w14:textId="77777777" w:rsidR="00B6435C" w:rsidRPr="0093059F" w:rsidRDefault="00B6435C" w:rsidP="00AC3205">
            <w:pPr>
              <w:spacing w:after="0" w:line="240" w:lineRule="auto"/>
              <w:jc w:val="center"/>
              <w:rPr>
                <w:rFonts w:cstheme="minorHAnsi"/>
                <w:szCs w:val="22"/>
              </w:rPr>
            </w:pPr>
            <w:r w:rsidRPr="0093059F">
              <w:rPr>
                <w:rFonts w:cstheme="minorHAnsi"/>
                <w:szCs w:val="22"/>
              </w:rPr>
              <w:t>Aged and Disabled Carers</w:t>
            </w:r>
          </w:p>
        </w:tc>
        <w:tc>
          <w:tcPr>
            <w:tcW w:w="4464" w:type="dxa"/>
            <w:tcBorders>
              <w:top w:val="single" w:sz="4" w:space="0" w:color="auto"/>
              <w:left w:val="single" w:sz="4" w:space="0" w:color="auto"/>
              <w:bottom w:val="single" w:sz="4" w:space="0" w:color="auto"/>
              <w:right w:val="single" w:sz="4" w:space="0" w:color="auto"/>
            </w:tcBorders>
            <w:shd w:val="clear" w:color="auto" w:fill="auto"/>
            <w:noWrap/>
            <w:hideMark/>
          </w:tcPr>
          <w:p w14:paraId="33FF8651" w14:textId="77777777" w:rsidR="00B6435C" w:rsidRPr="0093059F" w:rsidRDefault="00B6435C" w:rsidP="00AC3205">
            <w:pPr>
              <w:spacing w:after="0" w:line="240" w:lineRule="auto"/>
              <w:jc w:val="center"/>
              <w:rPr>
                <w:rFonts w:cstheme="minorHAnsi"/>
                <w:szCs w:val="22"/>
              </w:rPr>
            </w:pPr>
            <w:r w:rsidRPr="0093059F">
              <w:rPr>
                <w:rFonts w:cstheme="minorHAnsi"/>
                <w:szCs w:val="22"/>
              </w:rPr>
              <w:t>Dental Assistants</w:t>
            </w:r>
          </w:p>
        </w:tc>
      </w:tr>
      <w:tr w:rsidR="00B6435C" w:rsidRPr="0093059F" w14:paraId="33FF8654" w14:textId="77777777" w:rsidTr="00AC3205">
        <w:trPr>
          <w:trHeight w:val="77"/>
        </w:trPr>
        <w:tc>
          <w:tcPr>
            <w:tcW w:w="8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3FF8653" w14:textId="77777777" w:rsidR="00B6435C" w:rsidRPr="0093059F" w:rsidRDefault="00B6435C" w:rsidP="00AC3205">
            <w:pPr>
              <w:spacing w:after="0" w:line="240" w:lineRule="auto"/>
              <w:jc w:val="center"/>
              <w:rPr>
                <w:rFonts w:cstheme="minorHAnsi"/>
                <w:szCs w:val="22"/>
              </w:rPr>
            </w:pPr>
            <w:r w:rsidRPr="0093059F">
              <w:rPr>
                <w:rFonts w:cstheme="minorHAnsi"/>
                <w:szCs w:val="22"/>
              </w:rPr>
              <w:t>Waiters*</w:t>
            </w:r>
          </w:p>
        </w:tc>
      </w:tr>
    </w:tbl>
    <w:p w14:paraId="33FF8655" w14:textId="77777777" w:rsidR="00C76996" w:rsidRDefault="00F55F7D" w:rsidP="00386329">
      <w:pPr>
        <w:spacing w:after="0" w:line="240" w:lineRule="auto"/>
        <w:jc w:val="both"/>
        <w:rPr>
          <w:rFonts w:cstheme="minorHAnsi"/>
          <w:i/>
          <w:szCs w:val="22"/>
        </w:rPr>
      </w:pPr>
      <w:bookmarkStart w:id="47" w:name="_Toc340837620"/>
      <w:bookmarkStart w:id="48" w:name="_Toc341346856"/>
      <w:bookmarkStart w:id="49" w:name="_Toc341952010"/>
      <w:r w:rsidRPr="00DA2427">
        <w:rPr>
          <w:rFonts w:cstheme="minorHAnsi"/>
          <w:i/>
          <w:szCs w:val="22"/>
        </w:rPr>
        <w:t>*</w:t>
      </w:r>
      <w:r w:rsidR="00B6435C" w:rsidRPr="00DA2427">
        <w:rPr>
          <w:rFonts w:cstheme="minorHAnsi"/>
          <w:i/>
          <w:szCs w:val="22"/>
        </w:rPr>
        <w:t>Occupations</w:t>
      </w:r>
      <w:r w:rsidR="0097322B">
        <w:rPr>
          <w:rFonts w:cstheme="minorHAnsi"/>
          <w:i/>
          <w:szCs w:val="22"/>
        </w:rPr>
        <w:t xml:space="preserve"> that were also</w:t>
      </w:r>
      <w:r w:rsidR="00B6435C" w:rsidRPr="00DA2427">
        <w:rPr>
          <w:rFonts w:cstheme="minorHAnsi"/>
          <w:i/>
          <w:szCs w:val="22"/>
        </w:rPr>
        <w:t xml:space="preserve"> difficult to fill in September 2011</w:t>
      </w:r>
      <w:bookmarkEnd w:id="47"/>
      <w:bookmarkEnd w:id="48"/>
      <w:bookmarkEnd w:id="49"/>
    </w:p>
    <w:p w14:paraId="33FF8656" w14:textId="77777777" w:rsidR="007C0798" w:rsidRDefault="007C0798" w:rsidP="00386329">
      <w:pPr>
        <w:pStyle w:val="RIESbriefreports"/>
        <w:spacing w:before="0" w:after="0" w:line="240" w:lineRule="atLeast"/>
        <w:jc w:val="both"/>
        <w:rPr>
          <w:color w:val="1F497D" w:themeColor="text2"/>
          <w:szCs w:val="24"/>
        </w:rPr>
      </w:pPr>
      <w:bookmarkStart w:id="50" w:name="_Toc329769413"/>
    </w:p>
    <w:p w14:paraId="33FF8657" w14:textId="77777777" w:rsidR="007C0798" w:rsidRPr="00F605CA" w:rsidRDefault="007C0798" w:rsidP="00386329">
      <w:pPr>
        <w:pStyle w:val="RIESbriefreports"/>
        <w:spacing w:before="0" w:after="0" w:line="240" w:lineRule="atLeast"/>
        <w:jc w:val="both"/>
        <w:rPr>
          <w:color w:val="1F497D" w:themeColor="text2"/>
          <w:szCs w:val="24"/>
        </w:rPr>
      </w:pPr>
      <w:bookmarkStart w:id="51" w:name="_Toc346870069"/>
      <w:r>
        <w:rPr>
          <w:color w:val="1F497D" w:themeColor="text2"/>
          <w:szCs w:val="24"/>
        </w:rPr>
        <w:t>Apprentices and Trainees</w:t>
      </w:r>
      <w:bookmarkEnd w:id="51"/>
    </w:p>
    <w:p w14:paraId="33FF8658" w14:textId="77777777" w:rsidR="007F0DED" w:rsidRPr="007F0DED" w:rsidRDefault="00F804D1" w:rsidP="007F0DED">
      <w:pPr>
        <w:spacing w:after="0" w:line="240" w:lineRule="auto"/>
        <w:jc w:val="both"/>
        <w:rPr>
          <w:rFonts w:cstheme="minorHAnsi"/>
          <w:sz w:val="24"/>
        </w:rPr>
      </w:pPr>
      <w:r>
        <w:rPr>
          <w:rFonts w:cstheme="minorHAnsi"/>
          <w:sz w:val="24"/>
        </w:rPr>
        <w:t>The m</w:t>
      </w:r>
      <w:r w:rsidR="007C0798">
        <w:rPr>
          <w:rFonts w:cstheme="minorHAnsi"/>
          <w:sz w:val="24"/>
        </w:rPr>
        <w:t xml:space="preserve">ajority of </w:t>
      </w:r>
      <w:r w:rsidR="007F0DED" w:rsidRPr="007F0DED">
        <w:rPr>
          <w:rFonts w:cstheme="minorHAnsi"/>
          <w:sz w:val="24"/>
        </w:rPr>
        <w:t xml:space="preserve">occupations listed as difficult to fill </w:t>
      </w:r>
      <w:r w:rsidR="007C0798">
        <w:rPr>
          <w:rFonts w:cstheme="minorHAnsi"/>
          <w:sz w:val="24"/>
        </w:rPr>
        <w:t xml:space="preserve">in Table 2 </w:t>
      </w:r>
      <w:r w:rsidR="007F0DED" w:rsidRPr="007F0DED">
        <w:rPr>
          <w:rFonts w:cstheme="minorHAnsi"/>
          <w:sz w:val="24"/>
        </w:rPr>
        <w:t xml:space="preserve">are available to a job seeker as </w:t>
      </w:r>
      <w:r w:rsidR="007F0DED">
        <w:rPr>
          <w:rFonts w:cstheme="minorHAnsi"/>
          <w:sz w:val="24"/>
        </w:rPr>
        <w:t xml:space="preserve">an </w:t>
      </w:r>
      <w:r w:rsidR="007F0DED" w:rsidRPr="007F0DED">
        <w:rPr>
          <w:rFonts w:cstheme="minorHAnsi"/>
          <w:sz w:val="24"/>
        </w:rPr>
        <w:t>a</w:t>
      </w:r>
      <w:r w:rsidR="007F0DED">
        <w:rPr>
          <w:rFonts w:cstheme="minorHAnsi"/>
          <w:sz w:val="24"/>
        </w:rPr>
        <w:t>pprenticeship or traineeship</w:t>
      </w:r>
      <w:r>
        <w:rPr>
          <w:rFonts w:cstheme="minorHAnsi"/>
          <w:sz w:val="24"/>
        </w:rPr>
        <w:t xml:space="preserve"> suggesting that these are likely to be an effective way to build </w:t>
      </w:r>
      <w:r w:rsidR="00CB4946">
        <w:rPr>
          <w:rFonts w:cstheme="minorHAnsi"/>
          <w:sz w:val="24"/>
        </w:rPr>
        <w:t>‘in-demand’ skills in the region</w:t>
      </w:r>
      <w:r w:rsidR="007F0DED" w:rsidRPr="007F0DED">
        <w:rPr>
          <w:rFonts w:cstheme="minorHAnsi"/>
          <w:sz w:val="24"/>
        </w:rPr>
        <w:t>.</w:t>
      </w:r>
    </w:p>
    <w:p w14:paraId="33FF8659" w14:textId="77777777" w:rsidR="00610394" w:rsidRPr="00A71543" w:rsidRDefault="00610394" w:rsidP="00610394">
      <w:pPr>
        <w:pStyle w:val="ListParagraph"/>
        <w:numPr>
          <w:ilvl w:val="0"/>
          <w:numId w:val="19"/>
        </w:numPr>
        <w:spacing w:after="0" w:line="240" w:lineRule="auto"/>
        <w:jc w:val="both"/>
        <w:rPr>
          <w:rFonts w:asciiTheme="minorHAnsi" w:hAnsiTheme="minorHAnsi" w:cstheme="minorHAnsi"/>
          <w:color w:val="auto"/>
          <w:szCs w:val="24"/>
        </w:rPr>
      </w:pPr>
      <w:r w:rsidRPr="00A71543">
        <w:rPr>
          <w:rFonts w:asciiTheme="minorHAnsi" w:hAnsiTheme="minorHAnsi" w:cstheme="minorHAnsi"/>
          <w:color w:val="auto"/>
          <w:szCs w:val="24"/>
        </w:rPr>
        <w:t>At the time of the survey</w:t>
      </w:r>
      <w:r w:rsidR="004F73BA">
        <w:rPr>
          <w:rFonts w:asciiTheme="minorHAnsi" w:hAnsiTheme="minorHAnsi" w:cstheme="minorHAnsi"/>
          <w:color w:val="auto"/>
          <w:szCs w:val="24"/>
        </w:rPr>
        <w:t xml:space="preserve">, </w:t>
      </w:r>
      <w:r w:rsidRPr="00A71543">
        <w:rPr>
          <w:rFonts w:asciiTheme="minorHAnsi" w:hAnsiTheme="minorHAnsi" w:cstheme="minorHAnsi"/>
          <w:color w:val="auto"/>
          <w:szCs w:val="24"/>
        </w:rPr>
        <w:t>37 per cent of surveyed employers in the Bundaberg-Hervey Bay PEA emp</w:t>
      </w:r>
      <w:r w:rsidR="00A75D2C">
        <w:rPr>
          <w:rFonts w:asciiTheme="minorHAnsi" w:hAnsiTheme="minorHAnsi" w:cstheme="minorHAnsi"/>
          <w:color w:val="auto"/>
          <w:szCs w:val="24"/>
        </w:rPr>
        <w:t>loyed an apprentice or trainee.</w:t>
      </w:r>
    </w:p>
    <w:p w14:paraId="33FF865A" w14:textId="77777777" w:rsidR="00610394" w:rsidRPr="00366B76" w:rsidRDefault="00A75D2C" w:rsidP="00A75D2C">
      <w:pPr>
        <w:pStyle w:val="ListParagraph"/>
        <w:numPr>
          <w:ilvl w:val="1"/>
          <w:numId w:val="19"/>
        </w:numPr>
        <w:spacing w:after="0" w:line="240" w:lineRule="auto"/>
        <w:jc w:val="both"/>
        <w:rPr>
          <w:rFonts w:asciiTheme="minorHAnsi" w:hAnsiTheme="minorHAnsi" w:cstheme="minorHAnsi"/>
          <w:color w:val="auto"/>
          <w:szCs w:val="24"/>
        </w:rPr>
      </w:pPr>
      <w:r>
        <w:rPr>
          <w:rFonts w:asciiTheme="minorHAnsi" w:hAnsiTheme="minorHAnsi" w:cstheme="minorHAnsi"/>
          <w:color w:val="auto"/>
          <w:szCs w:val="24"/>
        </w:rPr>
        <w:t xml:space="preserve">Employers </w:t>
      </w:r>
      <w:r w:rsidR="00610394" w:rsidRPr="00A71543">
        <w:rPr>
          <w:rFonts w:asciiTheme="minorHAnsi" w:hAnsiTheme="minorHAnsi" w:cstheme="minorHAnsi"/>
          <w:color w:val="auto"/>
          <w:szCs w:val="24"/>
        </w:rPr>
        <w:t xml:space="preserve">in the Accommodation and Food Services industry </w:t>
      </w:r>
      <w:r w:rsidR="00610394" w:rsidRPr="00366B76">
        <w:rPr>
          <w:rFonts w:asciiTheme="minorHAnsi" w:hAnsiTheme="minorHAnsi" w:cstheme="minorHAnsi"/>
          <w:color w:val="auto"/>
          <w:szCs w:val="24"/>
        </w:rPr>
        <w:t>(46 per cent)</w:t>
      </w:r>
      <w:r>
        <w:rPr>
          <w:rFonts w:asciiTheme="minorHAnsi" w:hAnsiTheme="minorHAnsi" w:cstheme="minorHAnsi"/>
          <w:color w:val="auto"/>
          <w:szCs w:val="24"/>
        </w:rPr>
        <w:t xml:space="preserve"> were most likely to </w:t>
      </w:r>
      <w:r w:rsidR="004F73BA">
        <w:rPr>
          <w:rFonts w:asciiTheme="minorHAnsi" w:hAnsiTheme="minorHAnsi" w:cstheme="minorHAnsi"/>
          <w:color w:val="auto"/>
          <w:szCs w:val="24"/>
        </w:rPr>
        <w:t>employ</w:t>
      </w:r>
      <w:r>
        <w:rPr>
          <w:rFonts w:asciiTheme="minorHAnsi" w:hAnsiTheme="minorHAnsi" w:cstheme="minorHAnsi"/>
          <w:color w:val="auto"/>
          <w:szCs w:val="24"/>
        </w:rPr>
        <w:t xml:space="preserve"> an apprentice or trainee</w:t>
      </w:r>
      <w:r w:rsidR="00610394" w:rsidRPr="00366B76">
        <w:rPr>
          <w:rFonts w:asciiTheme="minorHAnsi" w:hAnsiTheme="minorHAnsi" w:cstheme="minorHAnsi"/>
          <w:color w:val="auto"/>
          <w:szCs w:val="24"/>
        </w:rPr>
        <w:t>, followed by the Professional, Sc</w:t>
      </w:r>
      <w:r>
        <w:rPr>
          <w:rFonts w:asciiTheme="minorHAnsi" w:hAnsiTheme="minorHAnsi" w:cstheme="minorHAnsi"/>
          <w:color w:val="auto"/>
          <w:szCs w:val="24"/>
        </w:rPr>
        <w:t xml:space="preserve">ientific and Technical Services </w:t>
      </w:r>
      <w:r w:rsidR="00610394" w:rsidRPr="00366B76">
        <w:rPr>
          <w:rFonts w:asciiTheme="minorHAnsi" w:hAnsiTheme="minorHAnsi" w:cstheme="minorHAnsi"/>
          <w:color w:val="auto"/>
          <w:szCs w:val="24"/>
        </w:rPr>
        <w:t>(43 per cent) and the Health Care and Social Assistance (40 per cent) industries.</w:t>
      </w:r>
    </w:p>
    <w:p w14:paraId="33FF865B" w14:textId="77777777" w:rsidR="004857F8" w:rsidRDefault="00FD79CB" w:rsidP="00610394">
      <w:pPr>
        <w:pStyle w:val="ListParagraph"/>
        <w:numPr>
          <w:ilvl w:val="1"/>
          <w:numId w:val="19"/>
        </w:numPr>
        <w:spacing w:after="0" w:line="240" w:lineRule="auto"/>
        <w:jc w:val="both"/>
        <w:rPr>
          <w:rFonts w:asciiTheme="minorHAnsi" w:hAnsiTheme="minorHAnsi" w:cstheme="minorHAnsi"/>
          <w:color w:val="auto"/>
          <w:szCs w:val="24"/>
        </w:rPr>
      </w:pPr>
      <w:r>
        <w:rPr>
          <w:rFonts w:asciiTheme="minorHAnsi" w:hAnsiTheme="minorHAnsi" w:cstheme="minorHAnsi"/>
          <w:color w:val="auto"/>
          <w:szCs w:val="24"/>
        </w:rPr>
        <w:t>One quarter of employers experienced challenges employing an apprentice or trainee</w:t>
      </w:r>
      <w:r w:rsidR="004F73BA">
        <w:rPr>
          <w:rFonts w:asciiTheme="minorHAnsi" w:hAnsiTheme="minorHAnsi" w:cstheme="minorHAnsi"/>
          <w:color w:val="auto"/>
          <w:szCs w:val="24"/>
        </w:rPr>
        <w:t xml:space="preserve"> with t</w:t>
      </w:r>
      <w:r w:rsidR="00A75D2C">
        <w:rPr>
          <w:rFonts w:asciiTheme="minorHAnsi" w:hAnsiTheme="minorHAnsi" w:cstheme="minorHAnsi"/>
          <w:color w:val="auto"/>
          <w:szCs w:val="24"/>
        </w:rPr>
        <w:t>he most common</w:t>
      </w:r>
      <w:r w:rsidR="0017134A" w:rsidRPr="00366B76">
        <w:rPr>
          <w:rFonts w:asciiTheme="minorHAnsi" w:hAnsiTheme="minorHAnsi" w:cstheme="minorHAnsi"/>
          <w:color w:val="auto"/>
          <w:szCs w:val="24"/>
        </w:rPr>
        <w:t xml:space="preserve"> challenges </w:t>
      </w:r>
      <w:r w:rsidR="004F73BA">
        <w:rPr>
          <w:rFonts w:asciiTheme="minorHAnsi" w:hAnsiTheme="minorHAnsi" w:cstheme="minorHAnsi"/>
          <w:color w:val="auto"/>
          <w:szCs w:val="24"/>
        </w:rPr>
        <w:t xml:space="preserve">being </w:t>
      </w:r>
      <w:r w:rsidR="0017134A" w:rsidRPr="00366B76">
        <w:rPr>
          <w:rFonts w:asciiTheme="minorHAnsi" w:hAnsiTheme="minorHAnsi" w:cstheme="minorHAnsi"/>
          <w:color w:val="auto"/>
          <w:szCs w:val="24"/>
        </w:rPr>
        <w:t xml:space="preserve">that they lacked general work readiness (44 per cent), </w:t>
      </w:r>
      <w:r w:rsidR="00A75D2C">
        <w:rPr>
          <w:rFonts w:asciiTheme="minorHAnsi" w:hAnsiTheme="minorHAnsi" w:cstheme="minorHAnsi"/>
          <w:color w:val="auto"/>
          <w:szCs w:val="24"/>
        </w:rPr>
        <w:t xml:space="preserve">that apprentices/trainees </w:t>
      </w:r>
      <w:r w:rsidR="0017134A" w:rsidRPr="00366B76">
        <w:rPr>
          <w:rFonts w:asciiTheme="minorHAnsi" w:hAnsiTheme="minorHAnsi" w:cstheme="minorHAnsi"/>
          <w:color w:val="auto"/>
          <w:szCs w:val="24"/>
        </w:rPr>
        <w:t>d</w:t>
      </w:r>
      <w:r w:rsidR="00366B76" w:rsidRPr="00366B76">
        <w:rPr>
          <w:rFonts w:asciiTheme="minorHAnsi" w:hAnsiTheme="minorHAnsi" w:cstheme="minorHAnsi"/>
          <w:color w:val="auto"/>
          <w:szCs w:val="24"/>
        </w:rPr>
        <w:t>o not</w:t>
      </w:r>
      <w:r w:rsidR="0017134A" w:rsidRPr="00366B76">
        <w:rPr>
          <w:rFonts w:asciiTheme="minorHAnsi" w:hAnsiTheme="minorHAnsi" w:cstheme="minorHAnsi"/>
          <w:color w:val="auto"/>
          <w:szCs w:val="24"/>
        </w:rPr>
        <w:t xml:space="preserve"> complete or stay long enough (26 per cent), and difficulties meeting mandatory training requirements (21 per cent).</w:t>
      </w:r>
    </w:p>
    <w:p w14:paraId="33FF865C" w14:textId="77777777" w:rsidR="00EB2D0F" w:rsidRDefault="00EB2D0F" w:rsidP="00EB2D0F">
      <w:pPr>
        <w:pStyle w:val="RIESbriefreports"/>
        <w:spacing w:before="0" w:after="0" w:line="240" w:lineRule="atLeast"/>
        <w:jc w:val="both"/>
        <w:rPr>
          <w:color w:val="1F497D" w:themeColor="text2"/>
          <w:szCs w:val="24"/>
        </w:rPr>
      </w:pPr>
      <w:bookmarkStart w:id="52" w:name="_Toc346870067"/>
    </w:p>
    <w:p w14:paraId="33FF865D" w14:textId="77777777" w:rsidR="00F65DD1" w:rsidRPr="00F605CA" w:rsidRDefault="00F65DD1" w:rsidP="00F65DD1">
      <w:pPr>
        <w:pStyle w:val="RIESbriefreports"/>
        <w:spacing w:before="0" w:line="240" w:lineRule="atLeast"/>
        <w:jc w:val="both"/>
        <w:rPr>
          <w:color w:val="1F497D" w:themeColor="text2"/>
          <w:szCs w:val="24"/>
        </w:rPr>
      </w:pPr>
      <w:r w:rsidRPr="00F605CA">
        <w:rPr>
          <w:color w:val="1F497D" w:themeColor="text2"/>
          <w:szCs w:val="24"/>
        </w:rPr>
        <w:t>Recruitment Methods</w:t>
      </w:r>
      <w:bookmarkEnd w:id="52"/>
    </w:p>
    <w:p w14:paraId="33FF865E" w14:textId="77777777" w:rsidR="00F65DD1" w:rsidRPr="00C73126" w:rsidRDefault="00F65DD1" w:rsidP="00F65DD1">
      <w:pPr>
        <w:spacing w:after="0" w:line="240" w:lineRule="atLeast"/>
        <w:jc w:val="both"/>
        <w:rPr>
          <w:rFonts w:cstheme="minorHAnsi"/>
          <w:sz w:val="24"/>
        </w:rPr>
      </w:pPr>
      <w:r>
        <w:rPr>
          <w:rFonts w:cstheme="minorHAnsi"/>
          <w:sz w:val="24"/>
        </w:rPr>
        <w:t>Local employers used a wide range of recruitment methods to fill job vacancies (see Figure </w:t>
      </w:r>
      <w:r w:rsidR="0051339F">
        <w:rPr>
          <w:rFonts w:cstheme="minorHAnsi"/>
          <w:sz w:val="24"/>
        </w:rPr>
        <w:t>2</w:t>
      </w:r>
      <w:r>
        <w:rPr>
          <w:rFonts w:cstheme="minorHAnsi"/>
          <w:sz w:val="24"/>
        </w:rPr>
        <w:t>).</w:t>
      </w:r>
    </w:p>
    <w:p w14:paraId="33FF865F" w14:textId="77777777" w:rsidR="00F65DD1" w:rsidRPr="00A869EF" w:rsidRDefault="00F65DD1" w:rsidP="00F65DD1">
      <w:pPr>
        <w:pStyle w:val="ListParagraph"/>
        <w:numPr>
          <w:ilvl w:val="0"/>
          <w:numId w:val="20"/>
        </w:numPr>
        <w:spacing w:after="0" w:line="240" w:lineRule="atLeast"/>
        <w:ind w:left="363" w:hanging="357"/>
        <w:jc w:val="both"/>
        <w:rPr>
          <w:rFonts w:asciiTheme="minorHAnsi" w:hAnsiTheme="minorHAnsi" w:cstheme="minorHAnsi"/>
          <w:b/>
          <w:color w:val="auto"/>
          <w:szCs w:val="24"/>
        </w:rPr>
      </w:pPr>
      <w:r>
        <w:rPr>
          <w:rFonts w:asciiTheme="minorHAnsi" w:hAnsiTheme="minorHAnsi" w:cstheme="minorHAnsi"/>
          <w:color w:val="auto"/>
          <w:szCs w:val="24"/>
        </w:rPr>
        <w:t xml:space="preserve">More than two thirds </w:t>
      </w:r>
      <w:r w:rsidR="007F6C7E">
        <w:rPr>
          <w:rFonts w:asciiTheme="minorHAnsi" w:hAnsiTheme="minorHAnsi" w:cstheme="minorHAnsi"/>
          <w:color w:val="auto"/>
          <w:szCs w:val="24"/>
        </w:rPr>
        <w:t>(69</w:t>
      </w:r>
      <w:r w:rsidR="007F6C7E" w:rsidRPr="00F605CA">
        <w:rPr>
          <w:rFonts w:asciiTheme="minorHAnsi" w:hAnsiTheme="minorHAnsi" w:cstheme="minorHAnsi"/>
          <w:color w:val="auto"/>
          <w:szCs w:val="24"/>
        </w:rPr>
        <w:t xml:space="preserve"> per cent)</w:t>
      </w:r>
      <w:r w:rsidR="007F6C7E">
        <w:rPr>
          <w:rFonts w:asciiTheme="minorHAnsi" w:hAnsiTheme="minorHAnsi" w:cstheme="minorHAnsi"/>
          <w:color w:val="auto"/>
          <w:szCs w:val="24"/>
        </w:rPr>
        <w:t xml:space="preserve"> </w:t>
      </w:r>
      <w:r>
        <w:rPr>
          <w:rFonts w:asciiTheme="minorHAnsi" w:hAnsiTheme="minorHAnsi" w:cstheme="minorHAnsi"/>
          <w:color w:val="auto"/>
          <w:szCs w:val="24"/>
        </w:rPr>
        <w:t>of recruiting employers used one or more f</w:t>
      </w:r>
      <w:r w:rsidRPr="00F605CA">
        <w:rPr>
          <w:rFonts w:asciiTheme="minorHAnsi" w:hAnsiTheme="minorHAnsi" w:cstheme="minorHAnsi"/>
          <w:color w:val="auto"/>
          <w:szCs w:val="24"/>
        </w:rPr>
        <w:t xml:space="preserve">ormal recruitment methods </w:t>
      </w:r>
      <w:r>
        <w:rPr>
          <w:rFonts w:asciiTheme="minorHAnsi" w:hAnsiTheme="minorHAnsi" w:cstheme="minorHAnsi"/>
          <w:color w:val="auto"/>
          <w:szCs w:val="24"/>
        </w:rPr>
        <w:t xml:space="preserve">in their </w:t>
      </w:r>
      <w:r w:rsidRPr="00F605CA">
        <w:rPr>
          <w:rFonts w:asciiTheme="minorHAnsi" w:hAnsiTheme="minorHAnsi" w:cstheme="minorHAnsi"/>
          <w:color w:val="auto"/>
          <w:szCs w:val="24"/>
        </w:rPr>
        <w:t>m</w:t>
      </w:r>
      <w:r>
        <w:rPr>
          <w:rFonts w:asciiTheme="minorHAnsi" w:hAnsiTheme="minorHAnsi" w:cstheme="minorHAnsi"/>
          <w:color w:val="auto"/>
          <w:szCs w:val="24"/>
        </w:rPr>
        <w:t>ost recent recruitment round</w:t>
      </w:r>
      <w:r w:rsidRPr="00F605CA">
        <w:rPr>
          <w:rFonts w:asciiTheme="minorHAnsi" w:hAnsiTheme="minorHAnsi" w:cstheme="minorHAnsi"/>
          <w:color w:val="auto"/>
          <w:szCs w:val="24"/>
        </w:rPr>
        <w:t>, including</w:t>
      </w:r>
      <w:r>
        <w:rPr>
          <w:rFonts w:asciiTheme="minorHAnsi" w:hAnsiTheme="minorHAnsi" w:cstheme="minorHAnsi"/>
          <w:color w:val="auto"/>
          <w:szCs w:val="24"/>
        </w:rPr>
        <w:t xml:space="preserve"> advertising on</w:t>
      </w:r>
      <w:r w:rsidRPr="00F605CA">
        <w:rPr>
          <w:rFonts w:asciiTheme="minorHAnsi" w:hAnsiTheme="minorHAnsi" w:cstheme="minorHAnsi"/>
          <w:color w:val="auto"/>
          <w:szCs w:val="24"/>
        </w:rPr>
        <w:t xml:space="preserve"> the </w:t>
      </w:r>
      <w:r>
        <w:rPr>
          <w:rFonts w:asciiTheme="minorHAnsi" w:hAnsiTheme="minorHAnsi" w:cstheme="minorHAnsi"/>
          <w:color w:val="auto"/>
          <w:szCs w:val="24"/>
        </w:rPr>
        <w:t>i</w:t>
      </w:r>
      <w:r w:rsidRPr="00F605CA">
        <w:rPr>
          <w:rFonts w:asciiTheme="minorHAnsi" w:hAnsiTheme="minorHAnsi" w:cstheme="minorHAnsi"/>
          <w:color w:val="auto"/>
          <w:szCs w:val="24"/>
        </w:rPr>
        <w:t xml:space="preserve">nternet (34 per cent), </w:t>
      </w:r>
      <w:r>
        <w:rPr>
          <w:rFonts w:asciiTheme="minorHAnsi" w:hAnsiTheme="minorHAnsi" w:cstheme="minorHAnsi"/>
          <w:color w:val="auto"/>
          <w:szCs w:val="24"/>
        </w:rPr>
        <w:t>using a r</w:t>
      </w:r>
      <w:r w:rsidRPr="00F605CA">
        <w:rPr>
          <w:rFonts w:asciiTheme="minorHAnsi" w:hAnsiTheme="minorHAnsi" w:cstheme="minorHAnsi"/>
          <w:color w:val="auto"/>
          <w:szCs w:val="24"/>
        </w:rPr>
        <w:t xml:space="preserve">ecruitment </w:t>
      </w:r>
      <w:r>
        <w:rPr>
          <w:rFonts w:asciiTheme="minorHAnsi" w:hAnsiTheme="minorHAnsi" w:cstheme="minorHAnsi"/>
          <w:color w:val="auto"/>
          <w:szCs w:val="24"/>
        </w:rPr>
        <w:t>a</w:t>
      </w:r>
      <w:r w:rsidRPr="00F605CA">
        <w:rPr>
          <w:rFonts w:asciiTheme="minorHAnsi" w:hAnsiTheme="minorHAnsi" w:cstheme="minorHAnsi"/>
          <w:color w:val="auto"/>
          <w:szCs w:val="24"/>
        </w:rPr>
        <w:t>genc</w:t>
      </w:r>
      <w:r>
        <w:rPr>
          <w:rFonts w:asciiTheme="minorHAnsi" w:hAnsiTheme="minorHAnsi" w:cstheme="minorHAnsi"/>
          <w:color w:val="auto"/>
          <w:szCs w:val="24"/>
        </w:rPr>
        <w:t>y</w:t>
      </w:r>
      <w:r>
        <w:rPr>
          <w:rStyle w:val="FootnoteReference"/>
          <w:rFonts w:asciiTheme="minorHAnsi" w:hAnsiTheme="minorHAnsi" w:cstheme="minorHAnsi"/>
          <w:color w:val="auto"/>
          <w:szCs w:val="24"/>
        </w:rPr>
        <w:footnoteReference w:id="4"/>
      </w:r>
      <w:r w:rsidRPr="00F605CA">
        <w:rPr>
          <w:rFonts w:asciiTheme="minorHAnsi" w:hAnsiTheme="minorHAnsi" w:cstheme="minorHAnsi"/>
          <w:color w:val="auto"/>
          <w:szCs w:val="24"/>
        </w:rPr>
        <w:t xml:space="preserve"> (24 per cent) and</w:t>
      </w:r>
      <w:r>
        <w:rPr>
          <w:rFonts w:asciiTheme="minorHAnsi" w:hAnsiTheme="minorHAnsi" w:cstheme="minorHAnsi"/>
          <w:color w:val="auto"/>
          <w:szCs w:val="24"/>
        </w:rPr>
        <w:t xml:space="preserve"> placing a job ad in n</w:t>
      </w:r>
      <w:r w:rsidRPr="00F605CA">
        <w:rPr>
          <w:rFonts w:asciiTheme="minorHAnsi" w:hAnsiTheme="minorHAnsi" w:cstheme="minorHAnsi"/>
          <w:color w:val="auto"/>
          <w:szCs w:val="24"/>
        </w:rPr>
        <w:t>ewspaper (23 per cent)</w:t>
      </w:r>
      <w:r>
        <w:rPr>
          <w:rStyle w:val="FootnoteReference"/>
          <w:rFonts w:asciiTheme="minorHAnsi" w:hAnsiTheme="minorHAnsi" w:cstheme="minorHAnsi"/>
          <w:color w:val="auto"/>
          <w:szCs w:val="24"/>
        </w:rPr>
        <w:footnoteReference w:id="5"/>
      </w:r>
      <w:r>
        <w:rPr>
          <w:rFonts w:asciiTheme="minorHAnsi" w:hAnsiTheme="minorHAnsi" w:cstheme="minorHAnsi"/>
          <w:color w:val="auto"/>
          <w:szCs w:val="24"/>
        </w:rPr>
        <w:t>.</w:t>
      </w:r>
    </w:p>
    <w:p w14:paraId="33FF8660" w14:textId="77777777" w:rsidR="00F65DD1" w:rsidRPr="003C0FDB" w:rsidRDefault="00F65DD1" w:rsidP="00F65DD1">
      <w:pPr>
        <w:pStyle w:val="ListParagraph"/>
        <w:numPr>
          <w:ilvl w:val="0"/>
          <w:numId w:val="20"/>
        </w:numPr>
        <w:spacing w:after="0" w:line="240" w:lineRule="auto"/>
        <w:jc w:val="both"/>
        <w:rPr>
          <w:rFonts w:asciiTheme="minorHAnsi" w:hAnsiTheme="minorHAnsi" w:cstheme="minorHAnsi"/>
          <w:color w:val="auto"/>
          <w:szCs w:val="24"/>
        </w:rPr>
      </w:pPr>
      <w:r>
        <w:rPr>
          <w:rFonts w:asciiTheme="minorHAnsi" w:hAnsiTheme="minorHAnsi" w:cstheme="minorHAnsi"/>
          <w:color w:val="auto"/>
          <w:szCs w:val="24"/>
        </w:rPr>
        <w:t>Almost one third of employers only used informal methods</w:t>
      </w:r>
      <w:r>
        <w:rPr>
          <w:rStyle w:val="FootnoteReference"/>
          <w:rFonts w:asciiTheme="minorHAnsi" w:hAnsiTheme="minorHAnsi" w:cstheme="minorHAnsi"/>
          <w:color w:val="auto"/>
          <w:szCs w:val="24"/>
        </w:rPr>
        <w:footnoteReference w:id="6"/>
      </w:r>
      <w:r>
        <w:rPr>
          <w:rFonts w:asciiTheme="minorHAnsi" w:hAnsiTheme="minorHAnsi" w:cstheme="minorHAnsi"/>
          <w:color w:val="auto"/>
          <w:szCs w:val="24"/>
        </w:rPr>
        <w:t>, such as word-of-mouth or being approached by job seekers,</w:t>
      </w:r>
      <w:r>
        <w:rPr>
          <w:rFonts w:asciiTheme="minorHAnsi" w:hAnsiTheme="minorHAnsi" w:cstheme="minorHAnsi"/>
          <w:i/>
          <w:color w:val="auto"/>
          <w:szCs w:val="24"/>
        </w:rPr>
        <w:t xml:space="preserve"> </w:t>
      </w:r>
      <w:r>
        <w:rPr>
          <w:rFonts w:asciiTheme="minorHAnsi" w:hAnsiTheme="minorHAnsi" w:cstheme="minorHAnsi"/>
          <w:color w:val="auto"/>
          <w:szCs w:val="24"/>
        </w:rPr>
        <w:t xml:space="preserve">to fill vacancies in their most recent recruitment </w:t>
      </w:r>
      <w:r>
        <w:rPr>
          <w:rFonts w:asciiTheme="minorHAnsi" w:hAnsiTheme="minorHAnsi" w:cstheme="minorHAnsi"/>
          <w:color w:val="auto"/>
          <w:szCs w:val="24"/>
        </w:rPr>
        <w:lastRenderedPageBreak/>
        <w:t>round.</w:t>
      </w:r>
      <w:r w:rsidRPr="00123267">
        <w:rPr>
          <w:rFonts w:asciiTheme="minorHAnsi" w:hAnsiTheme="minorHAnsi" w:cstheme="minorHAnsi"/>
          <w:color w:val="auto"/>
          <w:szCs w:val="24"/>
        </w:rPr>
        <w:t xml:space="preserve"> </w:t>
      </w:r>
      <w:r>
        <w:rPr>
          <w:rFonts w:asciiTheme="minorHAnsi" w:hAnsiTheme="minorHAnsi" w:cstheme="minorHAnsi"/>
          <w:color w:val="auto"/>
          <w:szCs w:val="24"/>
        </w:rPr>
        <w:t>This suggests that job seekers who can tap into personal networks (such as family and friends) to find out about job opportunities or who approach employers directly about possible job vacancies will have access to more local employment opportunities than those who do not.</w:t>
      </w:r>
      <w:r w:rsidRPr="00123267">
        <w:rPr>
          <w:rFonts w:asciiTheme="minorHAnsi" w:hAnsiTheme="minorHAnsi" w:cstheme="minorHAnsi"/>
          <w:color w:val="auto"/>
          <w:szCs w:val="24"/>
        </w:rPr>
        <w:t xml:space="preserve"> </w:t>
      </w:r>
    </w:p>
    <w:p w14:paraId="33FF8661" w14:textId="77777777" w:rsidR="00F65DD1" w:rsidRPr="005A0794" w:rsidRDefault="00F65DD1" w:rsidP="00F65DD1">
      <w:pPr>
        <w:spacing w:before="240" w:after="0" w:line="240" w:lineRule="auto"/>
        <w:jc w:val="both"/>
        <w:rPr>
          <w:rFonts w:cstheme="minorHAnsi"/>
          <w:b/>
          <w:sz w:val="24"/>
        </w:rPr>
      </w:pPr>
      <w:r w:rsidRPr="009B3063">
        <w:rPr>
          <w:rFonts w:cstheme="minorHAnsi"/>
          <w:b/>
          <w:sz w:val="24"/>
        </w:rPr>
        <w:t xml:space="preserve">Figure </w:t>
      </w:r>
      <w:r w:rsidR="0051339F">
        <w:rPr>
          <w:rFonts w:cstheme="minorHAnsi"/>
          <w:b/>
          <w:sz w:val="24"/>
        </w:rPr>
        <w:t>2</w:t>
      </w:r>
      <w:r w:rsidRPr="009B3063">
        <w:rPr>
          <w:rFonts w:cstheme="minorHAnsi"/>
          <w:b/>
          <w:sz w:val="24"/>
        </w:rPr>
        <w:t>. Recruitment methods in employers’ most recent recruitment round</w:t>
      </w:r>
    </w:p>
    <w:p w14:paraId="33FF8662" w14:textId="77777777" w:rsidR="00F65DD1" w:rsidRDefault="00F65DD1" w:rsidP="00F65DD1">
      <w:pPr>
        <w:spacing w:after="0" w:line="240" w:lineRule="atLeast"/>
        <w:ind w:left="6"/>
        <w:jc w:val="both"/>
        <w:rPr>
          <w:rFonts w:cstheme="minorHAnsi"/>
          <w:b/>
        </w:rPr>
      </w:pPr>
      <w:r w:rsidRPr="00411B6C">
        <w:rPr>
          <w:noProof/>
        </w:rPr>
        <w:drawing>
          <wp:inline distT="0" distB="0" distL="0" distR="0" wp14:anchorId="33FF86B1" wp14:editId="33FF86B2">
            <wp:extent cx="5759762" cy="2331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59450" cy="2331594"/>
                    </a:xfrm>
                    <a:prstGeom prst="rect">
                      <a:avLst/>
                    </a:prstGeom>
                    <a:noFill/>
                    <a:ln>
                      <a:noFill/>
                    </a:ln>
                  </pic:spPr>
                </pic:pic>
              </a:graphicData>
            </a:graphic>
          </wp:inline>
        </w:drawing>
      </w:r>
    </w:p>
    <w:p w14:paraId="33FF8663" w14:textId="77777777" w:rsidR="00F65DD1" w:rsidRPr="005A0794" w:rsidRDefault="00F65DD1" w:rsidP="00F65DD1">
      <w:pPr>
        <w:pStyle w:val="ListParagraph"/>
        <w:numPr>
          <w:ilvl w:val="0"/>
          <w:numId w:val="20"/>
        </w:numPr>
        <w:spacing w:after="0" w:line="240" w:lineRule="atLeast"/>
        <w:ind w:left="363" w:hanging="357"/>
        <w:jc w:val="both"/>
        <w:rPr>
          <w:rFonts w:asciiTheme="minorHAnsi" w:hAnsiTheme="minorHAnsi" w:cstheme="minorHAnsi"/>
          <w:b/>
          <w:color w:val="auto"/>
          <w:szCs w:val="24"/>
        </w:rPr>
      </w:pPr>
      <w:r>
        <w:rPr>
          <w:rFonts w:asciiTheme="minorHAnsi" w:hAnsiTheme="minorHAnsi" w:cstheme="minorHAnsi"/>
          <w:color w:val="auto"/>
          <w:szCs w:val="24"/>
        </w:rPr>
        <w:t>Over the previous 12 months (as opposed to the most recent recruitment round),</w:t>
      </w:r>
      <w:r w:rsidRPr="00F605CA">
        <w:rPr>
          <w:rFonts w:asciiTheme="minorHAnsi" w:hAnsiTheme="minorHAnsi" w:cstheme="minorHAnsi"/>
          <w:color w:val="auto"/>
          <w:szCs w:val="24"/>
        </w:rPr>
        <w:t xml:space="preserve"> </w:t>
      </w:r>
      <w:r>
        <w:rPr>
          <w:rFonts w:asciiTheme="minorHAnsi" w:hAnsiTheme="minorHAnsi" w:cstheme="minorHAnsi"/>
          <w:color w:val="auto"/>
          <w:szCs w:val="24"/>
        </w:rPr>
        <w:br/>
      </w:r>
      <w:r w:rsidRPr="00F605CA">
        <w:rPr>
          <w:rFonts w:asciiTheme="minorHAnsi" w:hAnsiTheme="minorHAnsi" w:cstheme="minorHAnsi"/>
          <w:color w:val="auto"/>
          <w:szCs w:val="24"/>
        </w:rPr>
        <w:t>12 per cent of recruiting employers identified using a Job Services Australia (JSA) provider</w:t>
      </w:r>
      <w:r>
        <w:rPr>
          <w:rFonts w:asciiTheme="minorHAnsi" w:hAnsiTheme="minorHAnsi" w:cstheme="minorHAnsi"/>
          <w:color w:val="auto"/>
          <w:szCs w:val="24"/>
        </w:rPr>
        <w:t xml:space="preserve">.  Of </w:t>
      </w:r>
      <w:r w:rsidRPr="00F605CA">
        <w:rPr>
          <w:rFonts w:asciiTheme="minorHAnsi" w:hAnsiTheme="minorHAnsi" w:cstheme="minorHAnsi"/>
          <w:color w:val="auto"/>
          <w:szCs w:val="24"/>
        </w:rPr>
        <w:t xml:space="preserve">those employers, 87 per cent were satisfied with the service </w:t>
      </w:r>
      <w:r w:rsidR="007F6C7E">
        <w:rPr>
          <w:rFonts w:asciiTheme="minorHAnsi" w:hAnsiTheme="minorHAnsi" w:cstheme="minorHAnsi"/>
          <w:color w:val="auto"/>
          <w:szCs w:val="24"/>
        </w:rPr>
        <w:t>they received</w:t>
      </w:r>
      <w:r w:rsidRPr="00F605CA">
        <w:rPr>
          <w:rFonts w:asciiTheme="minorHAnsi" w:hAnsiTheme="minorHAnsi" w:cstheme="minorHAnsi"/>
          <w:color w:val="auto"/>
          <w:szCs w:val="24"/>
        </w:rPr>
        <w:t xml:space="preserve">. </w:t>
      </w:r>
    </w:p>
    <w:p w14:paraId="33FF8664" w14:textId="77777777" w:rsidR="00F65DD1" w:rsidRDefault="00F65DD1" w:rsidP="00F65DD1">
      <w:pPr>
        <w:pStyle w:val="ListParagraph"/>
        <w:spacing w:after="0" w:line="240" w:lineRule="atLeast"/>
        <w:ind w:left="363"/>
        <w:jc w:val="both"/>
        <w:rPr>
          <w:rFonts w:asciiTheme="minorHAnsi" w:hAnsiTheme="minorHAnsi" w:cstheme="minorHAnsi"/>
          <w:color w:val="auto"/>
          <w:szCs w:val="24"/>
        </w:rPr>
      </w:pPr>
    </w:p>
    <w:p w14:paraId="33FF8665" w14:textId="77777777" w:rsidR="00F65DD1" w:rsidRPr="00F605CA" w:rsidRDefault="00F65DD1" w:rsidP="00F65DD1">
      <w:pPr>
        <w:pStyle w:val="RIESbriefreports"/>
        <w:spacing w:before="0" w:line="240" w:lineRule="auto"/>
        <w:jc w:val="both"/>
        <w:rPr>
          <w:color w:val="1F497D" w:themeColor="text2"/>
          <w:szCs w:val="24"/>
        </w:rPr>
      </w:pPr>
      <w:r>
        <w:rPr>
          <w:color w:val="1F497D" w:themeColor="text2"/>
          <w:szCs w:val="24"/>
        </w:rPr>
        <w:t>Indigenous Outcomes</w:t>
      </w:r>
    </w:p>
    <w:p w14:paraId="33FF8666" w14:textId="77777777" w:rsidR="00F65DD1" w:rsidRPr="00FD79CB" w:rsidRDefault="00F65DD1" w:rsidP="00F65DD1">
      <w:pPr>
        <w:spacing w:after="0" w:line="240" w:lineRule="atLeast"/>
        <w:jc w:val="both"/>
        <w:rPr>
          <w:rFonts w:cstheme="minorHAnsi"/>
          <w:sz w:val="24"/>
        </w:rPr>
      </w:pPr>
      <w:r w:rsidRPr="00FD79CB">
        <w:rPr>
          <w:rFonts w:cstheme="minorHAnsi"/>
          <w:sz w:val="24"/>
        </w:rPr>
        <w:t xml:space="preserve">At the time of the 2011 Census, 2 per cent of the </w:t>
      </w:r>
      <w:r>
        <w:rPr>
          <w:rFonts w:cstheme="minorHAnsi"/>
          <w:sz w:val="24"/>
        </w:rPr>
        <w:t xml:space="preserve">working age </w:t>
      </w:r>
      <w:r w:rsidRPr="00FD79CB">
        <w:rPr>
          <w:rFonts w:cstheme="minorHAnsi"/>
          <w:sz w:val="24"/>
        </w:rPr>
        <w:t xml:space="preserve">population identified themselves as being Indigenous.  As </w:t>
      </w:r>
      <w:r>
        <w:rPr>
          <w:rFonts w:cstheme="minorHAnsi"/>
          <w:sz w:val="24"/>
        </w:rPr>
        <w:t>is</w:t>
      </w:r>
      <w:r w:rsidRPr="00FD79CB">
        <w:rPr>
          <w:rFonts w:cstheme="minorHAnsi"/>
          <w:sz w:val="24"/>
        </w:rPr>
        <w:t xml:space="preserve"> the case across Australia, Indigenous labour market outcomes in the Bundaberg-Hervey Bay PEA are </w:t>
      </w:r>
      <w:r>
        <w:rPr>
          <w:rFonts w:cstheme="minorHAnsi"/>
          <w:sz w:val="24"/>
        </w:rPr>
        <w:t>less favourable</w:t>
      </w:r>
      <w:r w:rsidRPr="00FD79CB">
        <w:rPr>
          <w:rFonts w:cstheme="minorHAnsi"/>
          <w:sz w:val="24"/>
        </w:rPr>
        <w:t xml:space="preserve"> than the non-Indigenous population.  </w:t>
      </w:r>
    </w:p>
    <w:p w14:paraId="33FF8667" w14:textId="77777777" w:rsidR="00F65DD1" w:rsidRPr="00FD79CB" w:rsidRDefault="00F65DD1" w:rsidP="00F65DD1">
      <w:pPr>
        <w:pStyle w:val="ListParagraph"/>
        <w:numPr>
          <w:ilvl w:val="0"/>
          <w:numId w:val="36"/>
        </w:numPr>
        <w:spacing w:after="0" w:line="240" w:lineRule="atLeast"/>
        <w:jc w:val="both"/>
        <w:rPr>
          <w:rFonts w:asciiTheme="minorHAnsi" w:hAnsiTheme="minorHAnsi" w:cstheme="minorHAnsi"/>
          <w:color w:val="auto"/>
          <w:szCs w:val="24"/>
        </w:rPr>
      </w:pPr>
      <w:r w:rsidRPr="00FD79CB">
        <w:rPr>
          <w:rFonts w:asciiTheme="minorHAnsi" w:hAnsiTheme="minorHAnsi" w:cstheme="minorHAnsi"/>
          <w:color w:val="auto"/>
          <w:szCs w:val="24"/>
        </w:rPr>
        <w:t xml:space="preserve">A lower proportion of the local Indigenous population are actively participating in the labour market (52.3 per cent) compared </w:t>
      </w:r>
      <w:r>
        <w:rPr>
          <w:rFonts w:asciiTheme="minorHAnsi" w:hAnsiTheme="minorHAnsi" w:cstheme="minorHAnsi"/>
          <w:color w:val="auto"/>
          <w:szCs w:val="24"/>
        </w:rPr>
        <w:t>with</w:t>
      </w:r>
      <w:r w:rsidRPr="00FD79CB">
        <w:rPr>
          <w:rFonts w:asciiTheme="minorHAnsi" w:hAnsiTheme="minorHAnsi" w:cstheme="minorHAnsi"/>
          <w:color w:val="auto"/>
          <w:szCs w:val="24"/>
        </w:rPr>
        <w:t xml:space="preserve"> the non-Indigenous population </w:t>
      </w:r>
      <w:r>
        <w:rPr>
          <w:rFonts w:asciiTheme="minorHAnsi" w:hAnsiTheme="minorHAnsi" w:cstheme="minorHAnsi"/>
          <w:color w:val="auto"/>
          <w:szCs w:val="24"/>
        </w:rPr>
        <w:br/>
      </w:r>
      <w:r w:rsidRPr="00FD79CB">
        <w:rPr>
          <w:rFonts w:asciiTheme="minorHAnsi" w:hAnsiTheme="minorHAnsi" w:cstheme="minorHAnsi"/>
          <w:color w:val="auto"/>
          <w:szCs w:val="24"/>
        </w:rPr>
        <w:t>(67.5 per cent).</w:t>
      </w:r>
    </w:p>
    <w:p w14:paraId="33FF8668" w14:textId="77777777" w:rsidR="00F65DD1" w:rsidRPr="00FD79CB" w:rsidRDefault="00F65DD1" w:rsidP="00F65DD1">
      <w:pPr>
        <w:pStyle w:val="ListParagraph"/>
        <w:numPr>
          <w:ilvl w:val="0"/>
          <w:numId w:val="36"/>
        </w:numPr>
        <w:spacing w:after="0" w:line="240" w:lineRule="atLeast"/>
        <w:jc w:val="both"/>
        <w:rPr>
          <w:rFonts w:asciiTheme="minorHAnsi" w:hAnsiTheme="minorHAnsi" w:cstheme="minorHAnsi"/>
          <w:color w:val="auto"/>
          <w:szCs w:val="24"/>
        </w:rPr>
      </w:pPr>
      <w:r w:rsidRPr="00FD79CB">
        <w:rPr>
          <w:rFonts w:asciiTheme="minorHAnsi" w:hAnsiTheme="minorHAnsi" w:cstheme="minorHAnsi"/>
          <w:color w:val="auto"/>
          <w:szCs w:val="24"/>
        </w:rPr>
        <w:t xml:space="preserve">Of those Indigenous people who are participating, </w:t>
      </w:r>
      <w:r w:rsidR="006E1EA6" w:rsidRPr="00FD79CB">
        <w:rPr>
          <w:rFonts w:asciiTheme="minorHAnsi" w:hAnsiTheme="minorHAnsi" w:cstheme="minorHAnsi"/>
          <w:color w:val="auto"/>
          <w:szCs w:val="24"/>
        </w:rPr>
        <w:t>a far higher proportion is</w:t>
      </w:r>
      <w:r w:rsidRPr="00FD79CB">
        <w:rPr>
          <w:rFonts w:asciiTheme="minorHAnsi" w:hAnsiTheme="minorHAnsi" w:cstheme="minorHAnsi"/>
          <w:color w:val="auto"/>
          <w:szCs w:val="24"/>
        </w:rPr>
        <w:t xml:space="preserve"> unemployed (2</w:t>
      </w:r>
      <w:r>
        <w:rPr>
          <w:rFonts w:asciiTheme="minorHAnsi" w:hAnsiTheme="minorHAnsi" w:cstheme="minorHAnsi"/>
          <w:color w:val="auto"/>
          <w:szCs w:val="24"/>
        </w:rPr>
        <w:t>5</w:t>
      </w:r>
      <w:r w:rsidRPr="00FD79CB">
        <w:rPr>
          <w:rFonts w:asciiTheme="minorHAnsi" w:hAnsiTheme="minorHAnsi" w:cstheme="minorHAnsi"/>
          <w:color w:val="auto"/>
          <w:szCs w:val="24"/>
        </w:rPr>
        <w:t xml:space="preserve">.5 per cent compared </w:t>
      </w:r>
      <w:r>
        <w:rPr>
          <w:rFonts w:asciiTheme="minorHAnsi" w:hAnsiTheme="minorHAnsi" w:cstheme="minorHAnsi"/>
          <w:color w:val="auto"/>
          <w:szCs w:val="24"/>
        </w:rPr>
        <w:t>with</w:t>
      </w:r>
      <w:r w:rsidRPr="00FD79CB">
        <w:rPr>
          <w:rFonts w:asciiTheme="minorHAnsi" w:hAnsiTheme="minorHAnsi" w:cstheme="minorHAnsi"/>
          <w:color w:val="auto"/>
          <w:szCs w:val="24"/>
        </w:rPr>
        <w:t xml:space="preserve"> 9.5 per cent for the non-Indigenous population).</w:t>
      </w:r>
    </w:p>
    <w:p w14:paraId="33FF8669" w14:textId="77777777" w:rsidR="00F65DD1" w:rsidRPr="008C4F9A" w:rsidRDefault="00F65DD1" w:rsidP="00F65DD1">
      <w:pPr>
        <w:spacing w:after="0" w:line="240" w:lineRule="atLeast"/>
        <w:jc w:val="both"/>
        <w:rPr>
          <w:rFonts w:cstheme="minorHAnsi"/>
          <w:sz w:val="24"/>
        </w:rPr>
      </w:pPr>
      <w:r>
        <w:rPr>
          <w:rFonts w:cstheme="minorHAnsi"/>
          <w:sz w:val="24"/>
        </w:rPr>
        <w:t>The s</w:t>
      </w:r>
      <w:r w:rsidRPr="008C4F9A">
        <w:rPr>
          <w:rFonts w:cstheme="minorHAnsi"/>
          <w:sz w:val="24"/>
        </w:rPr>
        <w:t>urvey results show that one quarter of employers who recruited in the 12 months preceding the survey had applicant</w:t>
      </w:r>
      <w:r>
        <w:rPr>
          <w:rFonts w:cstheme="minorHAnsi"/>
          <w:sz w:val="24"/>
        </w:rPr>
        <w:t>s who identified as Indigenous</w:t>
      </w:r>
      <w:r w:rsidR="007F6C7E">
        <w:rPr>
          <w:rFonts w:cstheme="minorHAnsi"/>
          <w:sz w:val="24"/>
        </w:rPr>
        <w:t>, of whom</w:t>
      </w:r>
      <w:r w:rsidR="000113B4">
        <w:rPr>
          <w:rFonts w:cstheme="minorHAnsi"/>
          <w:sz w:val="24"/>
        </w:rPr>
        <w:t xml:space="preserve"> 63 </w:t>
      </w:r>
      <w:r w:rsidRPr="008C4F9A">
        <w:rPr>
          <w:rFonts w:cstheme="minorHAnsi"/>
          <w:sz w:val="24"/>
        </w:rPr>
        <w:t xml:space="preserve">per cent filled </w:t>
      </w:r>
      <w:r>
        <w:rPr>
          <w:rFonts w:cstheme="minorHAnsi"/>
          <w:sz w:val="24"/>
        </w:rPr>
        <w:t xml:space="preserve">one or more </w:t>
      </w:r>
      <w:r w:rsidRPr="008C4F9A">
        <w:rPr>
          <w:rFonts w:cstheme="minorHAnsi"/>
          <w:sz w:val="24"/>
        </w:rPr>
        <w:t xml:space="preserve">vacancies with </w:t>
      </w:r>
      <w:r>
        <w:rPr>
          <w:rFonts w:cstheme="minorHAnsi"/>
          <w:sz w:val="24"/>
        </w:rPr>
        <w:t>an Indigenous</w:t>
      </w:r>
      <w:r w:rsidRPr="008C4F9A">
        <w:rPr>
          <w:rFonts w:cstheme="minorHAnsi"/>
          <w:sz w:val="24"/>
        </w:rPr>
        <w:t xml:space="preserve"> </w:t>
      </w:r>
      <w:r>
        <w:rPr>
          <w:rFonts w:cstheme="minorHAnsi"/>
          <w:sz w:val="24"/>
        </w:rPr>
        <w:t>applicant</w:t>
      </w:r>
      <w:r w:rsidRPr="008C4F9A">
        <w:rPr>
          <w:rFonts w:cstheme="minorHAnsi"/>
          <w:sz w:val="24"/>
        </w:rPr>
        <w:t>.</w:t>
      </w:r>
    </w:p>
    <w:p w14:paraId="33FF866A" w14:textId="77777777" w:rsidR="00130055" w:rsidRPr="00610394" w:rsidRDefault="00130055">
      <w:pPr>
        <w:spacing w:before="0" w:after="0" w:line="240" w:lineRule="auto"/>
        <w:rPr>
          <w:rFonts w:eastAsiaTheme="majorEastAsia" w:cstheme="minorHAnsi"/>
          <w:b/>
          <w:bCs/>
          <w:color w:val="1F497D" w:themeColor="text2"/>
          <w:sz w:val="24"/>
          <w:lang w:val="en-US" w:eastAsia="en-US"/>
        </w:rPr>
      </w:pPr>
    </w:p>
    <w:p w14:paraId="33FF866B" w14:textId="77777777" w:rsidR="00BD0A4D" w:rsidRPr="00F605CA" w:rsidRDefault="00A71543" w:rsidP="00BD0A4D">
      <w:pPr>
        <w:pStyle w:val="RIESbriefreports"/>
        <w:spacing w:before="0" w:line="240" w:lineRule="auto"/>
        <w:jc w:val="both"/>
        <w:rPr>
          <w:color w:val="1F497D" w:themeColor="text2"/>
          <w:szCs w:val="24"/>
        </w:rPr>
      </w:pPr>
      <w:bookmarkStart w:id="53" w:name="_Toc329769416"/>
      <w:bookmarkStart w:id="54" w:name="_Toc346870070"/>
      <w:bookmarkEnd w:id="50"/>
      <w:bookmarkEnd w:id="46"/>
      <w:r>
        <w:rPr>
          <w:color w:val="1F497D" w:themeColor="text2"/>
          <w:szCs w:val="24"/>
        </w:rPr>
        <w:t xml:space="preserve">Future </w:t>
      </w:r>
      <w:r w:rsidR="00BD0A4D" w:rsidRPr="00F605CA">
        <w:rPr>
          <w:color w:val="1F497D" w:themeColor="text2"/>
          <w:szCs w:val="24"/>
        </w:rPr>
        <w:t>Recruitment Expectations</w:t>
      </w:r>
      <w:bookmarkEnd w:id="53"/>
      <w:bookmarkEnd w:id="54"/>
    </w:p>
    <w:p w14:paraId="33FF866C" w14:textId="77777777" w:rsidR="00020C00" w:rsidRDefault="00922C1E" w:rsidP="00020C00">
      <w:pPr>
        <w:spacing w:after="0" w:line="240" w:lineRule="auto"/>
        <w:jc w:val="both"/>
        <w:rPr>
          <w:rFonts w:cstheme="minorHAnsi"/>
          <w:sz w:val="24"/>
        </w:rPr>
      </w:pPr>
      <w:r w:rsidRPr="00020C00">
        <w:rPr>
          <w:rFonts w:cstheme="minorHAnsi"/>
          <w:sz w:val="24"/>
        </w:rPr>
        <w:t>Almost half of local employers expected to recru</w:t>
      </w:r>
      <w:r w:rsidR="00FC5F6E">
        <w:rPr>
          <w:rFonts w:cstheme="minorHAnsi"/>
          <w:sz w:val="24"/>
        </w:rPr>
        <w:t>it staff in the next 12 months</w:t>
      </w:r>
      <w:r w:rsidR="004F73BA">
        <w:rPr>
          <w:rFonts w:cstheme="minorHAnsi"/>
          <w:sz w:val="24"/>
        </w:rPr>
        <w:t>,</w:t>
      </w:r>
      <w:r w:rsidR="0032020D">
        <w:rPr>
          <w:rFonts w:cstheme="minorHAnsi"/>
          <w:sz w:val="24"/>
        </w:rPr>
        <w:t xml:space="preserve"> 45 per </w:t>
      </w:r>
      <w:r w:rsidR="00FC5F6E">
        <w:rPr>
          <w:rFonts w:cstheme="minorHAnsi"/>
          <w:sz w:val="24"/>
        </w:rPr>
        <w:t xml:space="preserve">cent of </w:t>
      </w:r>
      <w:r w:rsidR="004F73BA">
        <w:rPr>
          <w:rFonts w:cstheme="minorHAnsi"/>
          <w:sz w:val="24"/>
        </w:rPr>
        <w:t>whom</w:t>
      </w:r>
      <w:r w:rsidR="00FC5F6E">
        <w:rPr>
          <w:rFonts w:cstheme="minorHAnsi"/>
          <w:sz w:val="24"/>
        </w:rPr>
        <w:t xml:space="preserve"> expect that recruitment will be ‘difficult’.</w:t>
      </w:r>
    </w:p>
    <w:p w14:paraId="33FF866D" w14:textId="77777777" w:rsidR="0093059F" w:rsidRPr="00020C00" w:rsidRDefault="00BD0A4D" w:rsidP="00020C00">
      <w:pPr>
        <w:pStyle w:val="ListParagraph"/>
        <w:numPr>
          <w:ilvl w:val="0"/>
          <w:numId w:val="19"/>
        </w:numPr>
        <w:spacing w:after="0" w:line="240" w:lineRule="auto"/>
        <w:jc w:val="both"/>
        <w:rPr>
          <w:rFonts w:asciiTheme="minorHAnsi" w:hAnsiTheme="minorHAnsi" w:cstheme="minorHAnsi"/>
          <w:color w:val="auto"/>
          <w:szCs w:val="24"/>
        </w:rPr>
      </w:pPr>
      <w:r w:rsidRPr="00020C00">
        <w:rPr>
          <w:rFonts w:asciiTheme="minorHAnsi" w:hAnsiTheme="minorHAnsi" w:cstheme="minorHAnsi"/>
          <w:color w:val="auto"/>
          <w:szCs w:val="24"/>
        </w:rPr>
        <w:t>The occupations for which employers most comm</w:t>
      </w:r>
      <w:r w:rsidR="007C5D66" w:rsidRPr="00020C00">
        <w:rPr>
          <w:rFonts w:asciiTheme="minorHAnsi" w:hAnsiTheme="minorHAnsi" w:cstheme="minorHAnsi"/>
          <w:color w:val="auto"/>
          <w:szCs w:val="24"/>
        </w:rPr>
        <w:t xml:space="preserve">only expected to recruit </w:t>
      </w:r>
      <w:r w:rsidRPr="00020C00">
        <w:rPr>
          <w:rFonts w:asciiTheme="minorHAnsi" w:hAnsiTheme="minorHAnsi" w:cstheme="minorHAnsi"/>
          <w:color w:val="auto"/>
          <w:szCs w:val="24"/>
        </w:rPr>
        <w:t>included Bar</w:t>
      </w:r>
      <w:r w:rsidR="00CE7DF9">
        <w:rPr>
          <w:rFonts w:asciiTheme="minorHAnsi" w:hAnsiTheme="minorHAnsi" w:cstheme="minorHAnsi"/>
          <w:color w:val="auto"/>
          <w:szCs w:val="24"/>
        </w:rPr>
        <w:t> </w:t>
      </w:r>
      <w:r w:rsidRPr="00020C00">
        <w:rPr>
          <w:rFonts w:asciiTheme="minorHAnsi" w:hAnsiTheme="minorHAnsi" w:cstheme="minorHAnsi"/>
          <w:color w:val="auto"/>
          <w:szCs w:val="24"/>
        </w:rPr>
        <w:t xml:space="preserve">Attendants and Baristas, Sales Assistants, Truck Drivers, Waiters, Generalist Medical Practitioners and Kitchenhands. </w:t>
      </w:r>
    </w:p>
    <w:p w14:paraId="33FF866E" w14:textId="77777777" w:rsidR="00675D4A" w:rsidRPr="00020C00" w:rsidRDefault="00FD79CB" w:rsidP="00CE7DF9">
      <w:pPr>
        <w:keepLines/>
        <w:spacing w:after="0" w:line="240" w:lineRule="auto"/>
        <w:jc w:val="both"/>
        <w:rPr>
          <w:rFonts w:cstheme="minorHAnsi"/>
          <w:b/>
          <w:sz w:val="24"/>
        </w:rPr>
      </w:pPr>
      <w:r>
        <w:rPr>
          <w:rFonts w:cstheme="minorHAnsi"/>
          <w:sz w:val="24"/>
        </w:rPr>
        <w:lastRenderedPageBreak/>
        <w:t>Of the 61 per cent of e</w:t>
      </w:r>
      <w:r w:rsidR="008B12BC">
        <w:rPr>
          <w:rFonts w:cstheme="minorHAnsi"/>
          <w:sz w:val="24"/>
        </w:rPr>
        <w:t>mployers who reported that they</w:t>
      </w:r>
      <w:r w:rsidR="00922C1E" w:rsidRPr="00020C00">
        <w:rPr>
          <w:rFonts w:cstheme="minorHAnsi"/>
          <w:sz w:val="24"/>
        </w:rPr>
        <w:t xml:space="preserve"> </w:t>
      </w:r>
      <w:r w:rsidR="008B12BC">
        <w:rPr>
          <w:rFonts w:cstheme="minorHAnsi"/>
          <w:sz w:val="24"/>
        </w:rPr>
        <w:t>expected challenges in the</w:t>
      </w:r>
      <w:r w:rsidR="00CE7DF9">
        <w:rPr>
          <w:rFonts w:cstheme="minorHAnsi"/>
          <w:sz w:val="24"/>
        </w:rPr>
        <w:t xml:space="preserve"> next 12 </w:t>
      </w:r>
      <w:r w:rsidR="00922C1E" w:rsidRPr="00020C00">
        <w:rPr>
          <w:rFonts w:cstheme="minorHAnsi"/>
          <w:sz w:val="24"/>
        </w:rPr>
        <w:t>months</w:t>
      </w:r>
      <w:r>
        <w:rPr>
          <w:rFonts w:cstheme="minorHAnsi"/>
          <w:sz w:val="24"/>
        </w:rPr>
        <w:t xml:space="preserve">, </w:t>
      </w:r>
      <w:r w:rsidR="00922C1E" w:rsidRPr="00020C00">
        <w:rPr>
          <w:rFonts w:cstheme="minorHAnsi"/>
          <w:sz w:val="24"/>
        </w:rPr>
        <w:t>reduced business activity (34 per cent), business regulations (23 per cent), and skill shortages or r</w:t>
      </w:r>
      <w:r w:rsidR="005821DC">
        <w:rPr>
          <w:rFonts w:cstheme="minorHAnsi"/>
          <w:sz w:val="24"/>
        </w:rPr>
        <w:t>ecruitment difficulties (16 per </w:t>
      </w:r>
      <w:r w:rsidR="00922C1E" w:rsidRPr="00020C00">
        <w:rPr>
          <w:rFonts w:cstheme="minorHAnsi"/>
          <w:sz w:val="24"/>
        </w:rPr>
        <w:t>cent)</w:t>
      </w:r>
      <w:r>
        <w:rPr>
          <w:rFonts w:cstheme="minorHAnsi"/>
          <w:sz w:val="24"/>
        </w:rPr>
        <w:t xml:space="preserve"> were the most common challenges mentioned</w:t>
      </w:r>
      <w:r w:rsidR="00922C1E" w:rsidRPr="00020C00">
        <w:rPr>
          <w:rFonts w:cstheme="minorHAnsi"/>
          <w:sz w:val="24"/>
        </w:rPr>
        <w:t>.</w:t>
      </w:r>
    </w:p>
    <w:p w14:paraId="33FF866F" w14:textId="77777777" w:rsidR="00FF39AD" w:rsidRDefault="00FF39AD" w:rsidP="00675D4A">
      <w:pPr>
        <w:pStyle w:val="ListParagraph"/>
        <w:spacing w:after="0" w:line="240" w:lineRule="auto"/>
        <w:ind w:left="360"/>
        <w:jc w:val="both"/>
        <w:rPr>
          <w:rFonts w:cstheme="minorHAnsi"/>
          <w:b/>
        </w:rPr>
      </w:pPr>
    </w:p>
    <w:p w14:paraId="33FF8670" w14:textId="77777777" w:rsidR="00BD0A4D" w:rsidRPr="00F605CA" w:rsidRDefault="00BD0A4D" w:rsidP="00717E34">
      <w:pPr>
        <w:spacing w:before="0" w:line="240" w:lineRule="auto"/>
        <w:rPr>
          <w:rFonts w:cstheme="minorHAnsi"/>
          <w:b/>
          <w:sz w:val="24"/>
        </w:rPr>
      </w:pPr>
      <w:r w:rsidRPr="00F605CA">
        <w:rPr>
          <w:rFonts w:cstheme="minorHAnsi"/>
          <w:b/>
          <w:sz w:val="24"/>
        </w:rPr>
        <w:t>Table 3. Recruitment expectations for the 12 months following the survey</w:t>
      </w:r>
    </w:p>
    <w:tbl>
      <w:tblPr>
        <w:tblW w:w="964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8"/>
        <w:gridCol w:w="2126"/>
        <w:gridCol w:w="1984"/>
        <w:gridCol w:w="1692"/>
      </w:tblGrid>
      <w:tr w:rsidR="007C5D66" w:rsidRPr="0093059F" w14:paraId="33FF8674" w14:textId="77777777" w:rsidTr="00A62B88">
        <w:trPr>
          <w:trHeight w:val="447"/>
        </w:trPr>
        <w:tc>
          <w:tcPr>
            <w:tcW w:w="3838" w:type="dxa"/>
            <w:shd w:val="clear" w:color="auto" w:fill="auto"/>
            <w:noWrap/>
            <w:vAlign w:val="center"/>
            <w:hideMark/>
          </w:tcPr>
          <w:p w14:paraId="33FF8671" w14:textId="77777777" w:rsidR="007C5D66" w:rsidRPr="0093059F" w:rsidRDefault="007C5D66" w:rsidP="002A3F44">
            <w:pPr>
              <w:spacing w:after="0" w:line="240" w:lineRule="auto"/>
              <w:jc w:val="both"/>
              <w:rPr>
                <w:rFonts w:cstheme="minorHAnsi"/>
                <w:szCs w:val="22"/>
              </w:rPr>
            </w:pPr>
            <w:r w:rsidRPr="0093059F">
              <w:rPr>
                <w:rFonts w:cstheme="minorHAnsi"/>
                <w:szCs w:val="22"/>
              </w:rPr>
              <w:t> </w:t>
            </w:r>
          </w:p>
        </w:tc>
        <w:tc>
          <w:tcPr>
            <w:tcW w:w="4110" w:type="dxa"/>
            <w:gridSpan w:val="2"/>
            <w:shd w:val="clear" w:color="000000" w:fill="8DB3E2"/>
            <w:vAlign w:val="center"/>
            <w:hideMark/>
          </w:tcPr>
          <w:p w14:paraId="33FF8672" w14:textId="77777777" w:rsidR="007C5D66" w:rsidRPr="0093059F" w:rsidRDefault="007C5D66" w:rsidP="002A3F44">
            <w:pPr>
              <w:spacing w:after="0" w:line="240" w:lineRule="auto"/>
              <w:jc w:val="center"/>
              <w:rPr>
                <w:rFonts w:cstheme="minorHAnsi"/>
                <w:b/>
                <w:bCs/>
                <w:szCs w:val="22"/>
              </w:rPr>
            </w:pPr>
            <w:r w:rsidRPr="0093059F">
              <w:rPr>
                <w:rFonts w:cstheme="minorHAnsi"/>
                <w:b/>
                <w:bCs/>
                <w:szCs w:val="22"/>
              </w:rPr>
              <w:t>Bundaberg-Hervey Bay PEA</w:t>
            </w:r>
          </w:p>
        </w:tc>
        <w:tc>
          <w:tcPr>
            <w:tcW w:w="1692" w:type="dxa"/>
            <w:vMerge w:val="restart"/>
            <w:shd w:val="clear" w:color="000000" w:fill="8DB3E2"/>
            <w:vAlign w:val="center"/>
            <w:hideMark/>
          </w:tcPr>
          <w:p w14:paraId="33FF8673" w14:textId="77777777" w:rsidR="007C5D66" w:rsidRPr="0093059F" w:rsidRDefault="007C5D66" w:rsidP="002A3F44">
            <w:pPr>
              <w:spacing w:after="0" w:line="240" w:lineRule="auto"/>
              <w:jc w:val="center"/>
              <w:rPr>
                <w:rFonts w:cstheme="minorHAnsi"/>
                <w:b/>
                <w:bCs/>
                <w:szCs w:val="22"/>
              </w:rPr>
            </w:pPr>
            <w:r w:rsidRPr="0093059F">
              <w:rPr>
                <w:rFonts w:cstheme="minorHAnsi"/>
                <w:b/>
                <w:bCs/>
                <w:szCs w:val="22"/>
              </w:rPr>
              <w:t>All regions surveyed to September 2012</w:t>
            </w:r>
          </w:p>
        </w:tc>
      </w:tr>
      <w:tr w:rsidR="007C5D66" w:rsidRPr="0093059F" w14:paraId="33FF8679" w14:textId="77777777" w:rsidTr="00A62B88">
        <w:trPr>
          <w:trHeight w:val="539"/>
        </w:trPr>
        <w:tc>
          <w:tcPr>
            <w:tcW w:w="3838" w:type="dxa"/>
            <w:shd w:val="clear" w:color="auto" w:fill="auto"/>
            <w:noWrap/>
            <w:vAlign w:val="center"/>
            <w:hideMark/>
          </w:tcPr>
          <w:p w14:paraId="33FF8675" w14:textId="77777777" w:rsidR="00BD0A4D" w:rsidRPr="0093059F" w:rsidRDefault="00BD0A4D" w:rsidP="002A3F44">
            <w:pPr>
              <w:spacing w:after="0" w:line="240" w:lineRule="auto"/>
              <w:rPr>
                <w:rFonts w:cstheme="minorHAnsi"/>
                <w:szCs w:val="22"/>
              </w:rPr>
            </w:pPr>
            <w:r w:rsidRPr="0093059F">
              <w:rPr>
                <w:rFonts w:cstheme="minorHAnsi"/>
                <w:szCs w:val="22"/>
              </w:rPr>
              <w:t> </w:t>
            </w:r>
          </w:p>
        </w:tc>
        <w:tc>
          <w:tcPr>
            <w:tcW w:w="2126" w:type="dxa"/>
            <w:shd w:val="clear" w:color="000000" w:fill="8DB3E2"/>
            <w:vAlign w:val="center"/>
            <w:hideMark/>
          </w:tcPr>
          <w:p w14:paraId="33FF8676" w14:textId="77777777" w:rsidR="00BD0A4D" w:rsidRPr="0093059F" w:rsidRDefault="00BD0A4D" w:rsidP="002A3F44">
            <w:pPr>
              <w:spacing w:after="0" w:line="240" w:lineRule="auto"/>
              <w:jc w:val="center"/>
              <w:rPr>
                <w:rFonts w:cstheme="minorHAnsi"/>
                <w:b/>
                <w:bCs/>
                <w:szCs w:val="22"/>
              </w:rPr>
            </w:pPr>
            <w:r w:rsidRPr="0093059F">
              <w:rPr>
                <w:rFonts w:cstheme="minorHAnsi"/>
                <w:b/>
                <w:bCs/>
                <w:szCs w:val="22"/>
              </w:rPr>
              <w:t>October 2012</w:t>
            </w:r>
          </w:p>
        </w:tc>
        <w:tc>
          <w:tcPr>
            <w:tcW w:w="1984" w:type="dxa"/>
            <w:shd w:val="clear" w:color="000000" w:fill="8DB3E2"/>
            <w:vAlign w:val="center"/>
            <w:hideMark/>
          </w:tcPr>
          <w:p w14:paraId="33FF8677" w14:textId="77777777" w:rsidR="00BD0A4D" w:rsidRPr="0093059F" w:rsidRDefault="00BD0A4D" w:rsidP="002A3F44">
            <w:pPr>
              <w:spacing w:after="0" w:line="240" w:lineRule="auto"/>
              <w:jc w:val="center"/>
              <w:rPr>
                <w:rFonts w:cstheme="minorHAnsi"/>
                <w:b/>
                <w:bCs/>
                <w:szCs w:val="22"/>
              </w:rPr>
            </w:pPr>
            <w:r w:rsidRPr="0093059F">
              <w:rPr>
                <w:rFonts w:cstheme="minorHAnsi"/>
                <w:b/>
                <w:bCs/>
                <w:szCs w:val="22"/>
              </w:rPr>
              <w:t>September 2011</w:t>
            </w:r>
          </w:p>
        </w:tc>
        <w:tc>
          <w:tcPr>
            <w:tcW w:w="1692" w:type="dxa"/>
            <w:vMerge/>
            <w:vAlign w:val="center"/>
            <w:hideMark/>
          </w:tcPr>
          <w:p w14:paraId="33FF8678" w14:textId="77777777" w:rsidR="00BD0A4D" w:rsidRPr="0093059F" w:rsidRDefault="00BD0A4D" w:rsidP="002A3F44">
            <w:pPr>
              <w:spacing w:after="0" w:line="240" w:lineRule="auto"/>
              <w:rPr>
                <w:rFonts w:cstheme="minorHAnsi"/>
                <w:b/>
                <w:bCs/>
                <w:szCs w:val="22"/>
              </w:rPr>
            </w:pPr>
          </w:p>
        </w:tc>
      </w:tr>
      <w:tr w:rsidR="007C5D66" w:rsidRPr="0093059F" w14:paraId="33FF867E" w14:textId="77777777" w:rsidTr="00A62B88">
        <w:trPr>
          <w:trHeight w:val="330"/>
        </w:trPr>
        <w:tc>
          <w:tcPr>
            <w:tcW w:w="3838" w:type="dxa"/>
            <w:shd w:val="clear" w:color="auto" w:fill="auto"/>
            <w:noWrap/>
            <w:vAlign w:val="center"/>
            <w:hideMark/>
          </w:tcPr>
          <w:p w14:paraId="33FF867A" w14:textId="77777777" w:rsidR="00BD0A4D" w:rsidRPr="0093059F" w:rsidRDefault="00BD0A4D" w:rsidP="002A3F44">
            <w:pPr>
              <w:spacing w:after="0" w:line="240" w:lineRule="auto"/>
              <w:rPr>
                <w:rFonts w:cstheme="minorHAnsi"/>
                <w:b/>
                <w:bCs/>
                <w:szCs w:val="22"/>
              </w:rPr>
            </w:pPr>
            <w:r w:rsidRPr="0093059F">
              <w:rPr>
                <w:rFonts w:cstheme="minorHAnsi"/>
                <w:b/>
                <w:bCs/>
                <w:szCs w:val="22"/>
              </w:rPr>
              <w:t>Expects to recruit</w:t>
            </w:r>
          </w:p>
        </w:tc>
        <w:tc>
          <w:tcPr>
            <w:tcW w:w="2126" w:type="dxa"/>
            <w:shd w:val="clear" w:color="auto" w:fill="auto"/>
            <w:noWrap/>
            <w:vAlign w:val="center"/>
            <w:hideMark/>
          </w:tcPr>
          <w:p w14:paraId="33FF867B" w14:textId="77777777" w:rsidR="00BD0A4D" w:rsidRPr="0093059F" w:rsidRDefault="00BD0A4D" w:rsidP="002A3F44">
            <w:pPr>
              <w:spacing w:after="0" w:line="240" w:lineRule="auto"/>
              <w:jc w:val="center"/>
              <w:rPr>
                <w:rFonts w:cstheme="minorHAnsi"/>
                <w:szCs w:val="22"/>
              </w:rPr>
            </w:pPr>
            <w:r w:rsidRPr="0093059F">
              <w:rPr>
                <w:rFonts w:cstheme="minorHAnsi"/>
                <w:szCs w:val="22"/>
              </w:rPr>
              <w:t>48%</w:t>
            </w:r>
          </w:p>
        </w:tc>
        <w:tc>
          <w:tcPr>
            <w:tcW w:w="1984" w:type="dxa"/>
            <w:shd w:val="clear" w:color="auto" w:fill="auto"/>
            <w:noWrap/>
            <w:vAlign w:val="bottom"/>
            <w:hideMark/>
          </w:tcPr>
          <w:p w14:paraId="33FF867C" w14:textId="77777777" w:rsidR="00BD0A4D" w:rsidRPr="0093059F" w:rsidRDefault="00BD0A4D" w:rsidP="002A3F44">
            <w:pPr>
              <w:spacing w:after="0" w:line="240" w:lineRule="auto"/>
              <w:jc w:val="center"/>
              <w:rPr>
                <w:rFonts w:cstheme="minorHAnsi"/>
                <w:szCs w:val="22"/>
              </w:rPr>
            </w:pPr>
            <w:r w:rsidRPr="0093059F">
              <w:rPr>
                <w:rFonts w:cstheme="minorHAnsi"/>
                <w:szCs w:val="22"/>
              </w:rPr>
              <w:t>42%</w:t>
            </w:r>
          </w:p>
        </w:tc>
        <w:tc>
          <w:tcPr>
            <w:tcW w:w="1692" w:type="dxa"/>
            <w:shd w:val="clear" w:color="auto" w:fill="auto"/>
            <w:vAlign w:val="center"/>
            <w:hideMark/>
          </w:tcPr>
          <w:p w14:paraId="33FF867D" w14:textId="77777777" w:rsidR="00BD0A4D" w:rsidRPr="0093059F" w:rsidRDefault="00BD0A4D" w:rsidP="002A3F44">
            <w:pPr>
              <w:spacing w:after="0" w:line="240" w:lineRule="auto"/>
              <w:jc w:val="center"/>
              <w:rPr>
                <w:rFonts w:cstheme="minorHAnsi"/>
                <w:szCs w:val="22"/>
              </w:rPr>
            </w:pPr>
            <w:r w:rsidRPr="0093059F">
              <w:rPr>
                <w:rFonts w:cstheme="minorHAnsi"/>
                <w:szCs w:val="22"/>
              </w:rPr>
              <w:t>47%</w:t>
            </w:r>
          </w:p>
        </w:tc>
      </w:tr>
      <w:tr w:rsidR="007C5D66" w:rsidRPr="0093059F" w14:paraId="33FF8683" w14:textId="77777777" w:rsidTr="00A62B88">
        <w:trPr>
          <w:trHeight w:val="330"/>
        </w:trPr>
        <w:tc>
          <w:tcPr>
            <w:tcW w:w="3838" w:type="dxa"/>
            <w:shd w:val="clear" w:color="auto" w:fill="auto"/>
            <w:noWrap/>
            <w:vAlign w:val="center"/>
            <w:hideMark/>
          </w:tcPr>
          <w:p w14:paraId="33FF867F" w14:textId="77777777" w:rsidR="00BD0A4D" w:rsidRPr="0093059F" w:rsidRDefault="00BD0A4D" w:rsidP="002A3F44">
            <w:pPr>
              <w:spacing w:after="0" w:line="240" w:lineRule="auto"/>
              <w:rPr>
                <w:rFonts w:cstheme="minorHAnsi"/>
                <w:b/>
                <w:bCs/>
                <w:szCs w:val="22"/>
              </w:rPr>
            </w:pPr>
            <w:r w:rsidRPr="0093059F">
              <w:rPr>
                <w:rFonts w:cstheme="minorHAnsi"/>
                <w:b/>
                <w:bCs/>
                <w:szCs w:val="22"/>
              </w:rPr>
              <w:t>Expects to increase staff numbers</w:t>
            </w:r>
          </w:p>
        </w:tc>
        <w:tc>
          <w:tcPr>
            <w:tcW w:w="2126" w:type="dxa"/>
            <w:shd w:val="clear" w:color="auto" w:fill="auto"/>
            <w:noWrap/>
            <w:vAlign w:val="center"/>
            <w:hideMark/>
          </w:tcPr>
          <w:p w14:paraId="33FF8680" w14:textId="77777777" w:rsidR="00BD0A4D" w:rsidRPr="0093059F" w:rsidRDefault="00BD0A4D" w:rsidP="002A3F44">
            <w:pPr>
              <w:spacing w:after="0" w:line="240" w:lineRule="auto"/>
              <w:jc w:val="center"/>
              <w:rPr>
                <w:rFonts w:cstheme="minorHAnsi"/>
                <w:szCs w:val="22"/>
              </w:rPr>
            </w:pPr>
            <w:r w:rsidRPr="0093059F">
              <w:rPr>
                <w:rFonts w:cstheme="minorHAnsi"/>
                <w:szCs w:val="22"/>
              </w:rPr>
              <w:t>21%</w:t>
            </w:r>
          </w:p>
        </w:tc>
        <w:tc>
          <w:tcPr>
            <w:tcW w:w="1984" w:type="dxa"/>
            <w:shd w:val="clear" w:color="auto" w:fill="auto"/>
            <w:noWrap/>
            <w:vAlign w:val="bottom"/>
            <w:hideMark/>
          </w:tcPr>
          <w:p w14:paraId="33FF8681" w14:textId="77777777" w:rsidR="00BD0A4D" w:rsidRPr="0093059F" w:rsidRDefault="00BD0A4D" w:rsidP="002A3F44">
            <w:pPr>
              <w:spacing w:after="0" w:line="240" w:lineRule="auto"/>
              <w:jc w:val="center"/>
              <w:rPr>
                <w:rFonts w:cstheme="minorHAnsi"/>
                <w:szCs w:val="22"/>
              </w:rPr>
            </w:pPr>
            <w:r w:rsidRPr="0093059F">
              <w:rPr>
                <w:rFonts w:cstheme="minorHAnsi"/>
                <w:szCs w:val="22"/>
              </w:rPr>
              <w:t>24%</w:t>
            </w:r>
          </w:p>
        </w:tc>
        <w:tc>
          <w:tcPr>
            <w:tcW w:w="1692" w:type="dxa"/>
            <w:shd w:val="clear" w:color="auto" w:fill="auto"/>
            <w:vAlign w:val="center"/>
            <w:hideMark/>
          </w:tcPr>
          <w:p w14:paraId="33FF8682" w14:textId="77777777" w:rsidR="00BD0A4D" w:rsidRPr="0093059F" w:rsidRDefault="00BD0A4D" w:rsidP="002A3F44">
            <w:pPr>
              <w:spacing w:after="0" w:line="240" w:lineRule="auto"/>
              <w:jc w:val="center"/>
              <w:rPr>
                <w:rFonts w:cstheme="minorHAnsi"/>
                <w:szCs w:val="22"/>
              </w:rPr>
            </w:pPr>
            <w:r w:rsidRPr="0093059F">
              <w:rPr>
                <w:rFonts w:cstheme="minorHAnsi"/>
                <w:szCs w:val="22"/>
              </w:rPr>
              <w:t>25%</w:t>
            </w:r>
          </w:p>
        </w:tc>
      </w:tr>
      <w:tr w:rsidR="007C5D66" w:rsidRPr="0093059F" w14:paraId="33FF8688" w14:textId="77777777" w:rsidTr="00A62B88">
        <w:trPr>
          <w:trHeight w:val="330"/>
        </w:trPr>
        <w:tc>
          <w:tcPr>
            <w:tcW w:w="3838" w:type="dxa"/>
            <w:shd w:val="clear" w:color="auto" w:fill="auto"/>
            <w:noWrap/>
            <w:vAlign w:val="center"/>
            <w:hideMark/>
          </w:tcPr>
          <w:p w14:paraId="33FF8684" w14:textId="77777777" w:rsidR="00BD0A4D" w:rsidRPr="0093059F" w:rsidRDefault="00BD0A4D" w:rsidP="002A3F44">
            <w:pPr>
              <w:spacing w:after="0" w:line="240" w:lineRule="auto"/>
              <w:rPr>
                <w:rFonts w:cstheme="minorHAnsi"/>
                <w:b/>
                <w:bCs/>
                <w:szCs w:val="22"/>
              </w:rPr>
            </w:pPr>
            <w:r w:rsidRPr="0093059F">
              <w:rPr>
                <w:rFonts w:cstheme="minorHAnsi"/>
                <w:b/>
                <w:bCs/>
                <w:szCs w:val="22"/>
              </w:rPr>
              <w:t>Expects to reduce staff numbers</w:t>
            </w:r>
          </w:p>
        </w:tc>
        <w:tc>
          <w:tcPr>
            <w:tcW w:w="2126" w:type="dxa"/>
            <w:shd w:val="clear" w:color="auto" w:fill="auto"/>
            <w:noWrap/>
            <w:vAlign w:val="center"/>
            <w:hideMark/>
          </w:tcPr>
          <w:p w14:paraId="33FF8685" w14:textId="77777777" w:rsidR="00BD0A4D" w:rsidRPr="0093059F" w:rsidRDefault="00BD0A4D" w:rsidP="002A3F44">
            <w:pPr>
              <w:spacing w:after="0" w:line="240" w:lineRule="auto"/>
              <w:jc w:val="center"/>
              <w:rPr>
                <w:rFonts w:cstheme="minorHAnsi"/>
                <w:szCs w:val="22"/>
              </w:rPr>
            </w:pPr>
            <w:r w:rsidRPr="0093059F">
              <w:rPr>
                <w:rFonts w:cstheme="minorHAnsi"/>
                <w:szCs w:val="22"/>
              </w:rPr>
              <w:t>5%</w:t>
            </w:r>
          </w:p>
        </w:tc>
        <w:tc>
          <w:tcPr>
            <w:tcW w:w="1984" w:type="dxa"/>
            <w:shd w:val="clear" w:color="auto" w:fill="auto"/>
            <w:noWrap/>
            <w:vAlign w:val="bottom"/>
            <w:hideMark/>
          </w:tcPr>
          <w:p w14:paraId="33FF8686" w14:textId="77777777" w:rsidR="00BD0A4D" w:rsidRPr="0093059F" w:rsidRDefault="00BD0A4D" w:rsidP="002A3F44">
            <w:pPr>
              <w:spacing w:after="0" w:line="240" w:lineRule="auto"/>
              <w:jc w:val="center"/>
              <w:rPr>
                <w:rFonts w:cstheme="minorHAnsi"/>
                <w:szCs w:val="22"/>
              </w:rPr>
            </w:pPr>
            <w:r w:rsidRPr="0093059F">
              <w:rPr>
                <w:rFonts w:cstheme="minorHAnsi"/>
                <w:szCs w:val="22"/>
              </w:rPr>
              <w:t>6%</w:t>
            </w:r>
          </w:p>
        </w:tc>
        <w:tc>
          <w:tcPr>
            <w:tcW w:w="1692" w:type="dxa"/>
            <w:shd w:val="clear" w:color="auto" w:fill="auto"/>
            <w:vAlign w:val="center"/>
            <w:hideMark/>
          </w:tcPr>
          <w:p w14:paraId="33FF8687" w14:textId="77777777" w:rsidR="00BD0A4D" w:rsidRPr="0093059F" w:rsidRDefault="00BD0A4D" w:rsidP="002A3F44">
            <w:pPr>
              <w:spacing w:after="0" w:line="240" w:lineRule="auto"/>
              <w:jc w:val="center"/>
              <w:rPr>
                <w:rFonts w:cstheme="minorHAnsi"/>
                <w:szCs w:val="22"/>
              </w:rPr>
            </w:pPr>
            <w:r w:rsidRPr="0093059F">
              <w:rPr>
                <w:rFonts w:cstheme="minorHAnsi"/>
                <w:szCs w:val="22"/>
              </w:rPr>
              <w:t>4%</w:t>
            </w:r>
          </w:p>
        </w:tc>
      </w:tr>
      <w:tr w:rsidR="007C5D66" w:rsidRPr="0093059F" w14:paraId="33FF868D" w14:textId="77777777" w:rsidTr="00A62B88">
        <w:trPr>
          <w:trHeight w:val="330"/>
        </w:trPr>
        <w:tc>
          <w:tcPr>
            <w:tcW w:w="3838" w:type="dxa"/>
            <w:shd w:val="clear" w:color="auto" w:fill="auto"/>
            <w:noWrap/>
            <w:vAlign w:val="center"/>
            <w:hideMark/>
          </w:tcPr>
          <w:p w14:paraId="33FF8689" w14:textId="77777777" w:rsidR="00BD0A4D" w:rsidRPr="0093059F" w:rsidRDefault="00BD0A4D" w:rsidP="002A3F44">
            <w:pPr>
              <w:spacing w:after="0" w:line="240" w:lineRule="auto"/>
              <w:rPr>
                <w:rFonts w:cstheme="minorHAnsi"/>
                <w:b/>
                <w:bCs/>
                <w:szCs w:val="22"/>
              </w:rPr>
            </w:pPr>
            <w:r w:rsidRPr="0093059F">
              <w:rPr>
                <w:rFonts w:cstheme="minorHAnsi"/>
                <w:b/>
                <w:bCs/>
                <w:szCs w:val="22"/>
              </w:rPr>
              <w:t>Expects difficulty recruiting</w:t>
            </w:r>
          </w:p>
        </w:tc>
        <w:tc>
          <w:tcPr>
            <w:tcW w:w="2126" w:type="dxa"/>
            <w:shd w:val="clear" w:color="auto" w:fill="auto"/>
            <w:noWrap/>
            <w:vAlign w:val="center"/>
            <w:hideMark/>
          </w:tcPr>
          <w:p w14:paraId="33FF868A" w14:textId="77777777" w:rsidR="00BD0A4D" w:rsidRPr="0093059F" w:rsidRDefault="00BD0A4D" w:rsidP="002A3F44">
            <w:pPr>
              <w:spacing w:after="0" w:line="240" w:lineRule="auto"/>
              <w:jc w:val="center"/>
              <w:rPr>
                <w:rFonts w:cstheme="minorHAnsi"/>
                <w:szCs w:val="22"/>
              </w:rPr>
            </w:pPr>
            <w:r w:rsidRPr="0093059F">
              <w:rPr>
                <w:rFonts w:cstheme="minorHAnsi"/>
                <w:szCs w:val="22"/>
              </w:rPr>
              <w:t>45%</w:t>
            </w:r>
          </w:p>
        </w:tc>
        <w:tc>
          <w:tcPr>
            <w:tcW w:w="1984" w:type="dxa"/>
            <w:shd w:val="clear" w:color="auto" w:fill="auto"/>
            <w:noWrap/>
            <w:vAlign w:val="bottom"/>
            <w:hideMark/>
          </w:tcPr>
          <w:p w14:paraId="33FF868B" w14:textId="77777777" w:rsidR="00BD0A4D" w:rsidRPr="0093059F" w:rsidRDefault="00BD0A4D" w:rsidP="002A3F44">
            <w:pPr>
              <w:spacing w:after="0" w:line="240" w:lineRule="auto"/>
              <w:jc w:val="center"/>
              <w:rPr>
                <w:rFonts w:cstheme="minorHAnsi"/>
                <w:szCs w:val="22"/>
              </w:rPr>
            </w:pPr>
            <w:r w:rsidRPr="0093059F">
              <w:rPr>
                <w:rFonts w:cstheme="minorHAnsi"/>
                <w:szCs w:val="22"/>
              </w:rPr>
              <w:t>40%</w:t>
            </w:r>
          </w:p>
        </w:tc>
        <w:tc>
          <w:tcPr>
            <w:tcW w:w="1692" w:type="dxa"/>
            <w:shd w:val="clear" w:color="auto" w:fill="auto"/>
            <w:vAlign w:val="center"/>
            <w:hideMark/>
          </w:tcPr>
          <w:p w14:paraId="33FF868C" w14:textId="77777777" w:rsidR="00BD0A4D" w:rsidRPr="0093059F" w:rsidRDefault="00BD0A4D" w:rsidP="002A3F44">
            <w:pPr>
              <w:spacing w:after="0" w:line="240" w:lineRule="auto"/>
              <w:jc w:val="center"/>
              <w:rPr>
                <w:rFonts w:cstheme="minorHAnsi"/>
                <w:szCs w:val="22"/>
              </w:rPr>
            </w:pPr>
            <w:r w:rsidRPr="0093059F">
              <w:rPr>
                <w:rFonts w:cstheme="minorHAnsi"/>
                <w:szCs w:val="22"/>
              </w:rPr>
              <w:t>43%</w:t>
            </w:r>
          </w:p>
        </w:tc>
      </w:tr>
      <w:tr w:rsidR="007C5D66" w:rsidRPr="0093059F" w14:paraId="33FF8692" w14:textId="77777777" w:rsidTr="00A62B88">
        <w:trPr>
          <w:trHeight w:val="330"/>
        </w:trPr>
        <w:tc>
          <w:tcPr>
            <w:tcW w:w="3838" w:type="dxa"/>
            <w:shd w:val="clear" w:color="auto" w:fill="auto"/>
            <w:noWrap/>
            <w:vAlign w:val="center"/>
            <w:hideMark/>
          </w:tcPr>
          <w:p w14:paraId="33FF868E" w14:textId="77777777" w:rsidR="00BD0A4D" w:rsidRPr="0093059F" w:rsidRDefault="00BD0A4D" w:rsidP="002A3F44">
            <w:pPr>
              <w:spacing w:after="0" w:line="240" w:lineRule="auto"/>
              <w:rPr>
                <w:rFonts w:cstheme="minorHAnsi"/>
                <w:b/>
                <w:bCs/>
                <w:szCs w:val="22"/>
              </w:rPr>
            </w:pPr>
            <w:r w:rsidRPr="0093059F">
              <w:rPr>
                <w:rFonts w:cstheme="minorHAnsi"/>
                <w:b/>
                <w:bCs/>
                <w:szCs w:val="22"/>
              </w:rPr>
              <w:t>Expects challenges</w:t>
            </w:r>
          </w:p>
        </w:tc>
        <w:tc>
          <w:tcPr>
            <w:tcW w:w="2126" w:type="dxa"/>
            <w:shd w:val="clear" w:color="auto" w:fill="auto"/>
            <w:noWrap/>
            <w:vAlign w:val="center"/>
            <w:hideMark/>
          </w:tcPr>
          <w:p w14:paraId="33FF868F" w14:textId="77777777" w:rsidR="00BD0A4D" w:rsidRPr="0093059F" w:rsidRDefault="00BD0A4D" w:rsidP="002A3F44">
            <w:pPr>
              <w:spacing w:after="0" w:line="240" w:lineRule="auto"/>
              <w:jc w:val="center"/>
              <w:rPr>
                <w:rFonts w:cstheme="minorHAnsi"/>
                <w:szCs w:val="22"/>
              </w:rPr>
            </w:pPr>
            <w:r w:rsidRPr="0093059F">
              <w:rPr>
                <w:rFonts w:cstheme="minorHAnsi"/>
                <w:szCs w:val="22"/>
              </w:rPr>
              <w:t>61%</w:t>
            </w:r>
          </w:p>
        </w:tc>
        <w:tc>
          <w:tcPr>
            <w:tcW w:w="1984" w:type="dxa"/>
            <w:shd w:val="clear" w:color="auto" w:fill="auto"/>
            <w:noWrap/>
            <w:vAlign w:val="bottom"/>
            <w:hideMark/>
          </w:tcPr>
          <w:p w14:paraId="33FF8690" w14:textId="77777777" w:rsidR="00BD0A4D" w:rsidRPr="0093059F" w:rsidRDefault="00BD0A4D" w:rsidP="002A3F44">
            <w:pPr>
              <w:spacing w:after="0" w:line="240" w:lineRule="auto"/>
              <w:jc w:val="center"/>
              <w:rPr>
                <w:rFonts w:cstheme="minorHAnsi"/>
                <w:szCs w:val="22"/>
              </w:rPr>
            </w:pPr>
            <w:r w:rsidRPr="0093059F">
              <w:rPr>
                <w:rFonts w:cstheme="minorHAnsi"/>
                <w:szCs w:val="22"/>
              </w:rPr>
              <w:t>59%</w:t>
            </w:r>
          </w:p>
        </w:tc>
        <w:tc>
          <w:tcPr>
            <w:tcW w:w="1692" w:type="dxa"/>
            <w:shd w:val="clear" w:color="auto" w:fill="auto"/>
            <w:vAlign w:val="center"/>
            <w:hideMark/>
          </w:tcPr>
          <w:p w14:paraId="33FF8691" w14:textId="77777777" w:rsidR="00BD0A4D" w:rsidRPr="0093059F" w:rsidRDefault="00BD0A4D" w:rsidP="002A3F44">
            <w:pPr>
              <w:spacing w:after="0" w:line="240" w:lineRule="auto"/>
              <w:jc w:val="center"/>
              <w:rPr>
                <w:rFonts w:cstheme="minorHAnsi"/>
                <w:szCs w:val="22"/>
              </w:rPr>
            </w:pPr>
            <w:r w:rsidRPr="0093059F">
              <w:rPr>
                <w:rFonts w:cstheme="minorHAnsi"/>
                <w:szCs w:val="22"/>
              </w:rPr>
              <w:t>58%</w:t>
            </w:r>
          </w:p>
        </w:tc>
      </w:tr>
    </w:tbl>
    <w:p w14:paraId="33FF8693" w14:textId="77777777" w:rsidR="0093059F" w:rsidRDefault="0093059F" w:rsidP="00BD0A4D">
      <w:pPr>
        <w:pStyle w:val="RIESbriefreports"/>
        <w:spacing w:before="0" w:line="240" w:lineRule="auto"/>
        <w:jc w:val="both"/>
        <w:rPr>
          <w:color w:val="1F497D" w:themeColor="text2"/>
          <w:szCs w:val="24"/>
        </w:rPr>
      </w:pPr>
    </w:p>
    <w:p w14:paraId="33FF8694" w14:textId="77777777" w:rsidR="00BD0A4D" w:rsidRPr="00F605CA" w:rsidRDefault="00BD0A4D" w:rsidP="00BD0A4D">
      <w:pPr>
        <w:pStyle w:val="RIESbriefreports"/>
        <w:spacing w:before="0" w:line="240" w:lineRule="auto"/>
        <w:jc w:val="both"/>
        <w:rPr>
          <w:color w:val="1F497D" w:themeColor="text2"/>
          <w:szCs w:val="24"/>
        </w:rPr>
      </w:pPr>
      <w:bookmarkStart w:id="55" w:name="_Toc346870071"/>
      <w:r w:rsidRPr="00F605CA">
        <w:rPr>
          <w:color w:val="1F497D" w:themeColor="text2"/>
          <w:szCs w:val="24"/>
        </w:rPr>
        <w:t>Opportunities</w:t>
      </w:r>
      <w:bookmarkEnd w:id="55"/>
    </w:p>
    <w:p w14:paraId="33FF8695" w14:textId="77777777" w:rsidR="00A9472D" w:rsidRPr="00A9472D" w:rsidRDefault="00A9472D" w:rsidP="00123267">
      <w:pPr>
        <w:spacing w:after="0" w:line="240" w:lineRule="auto"/>
        <w:jc w:val="both"/>
        <w:rPr>
          <w:rFonts w:cstheme="minorHAnsi"/>
          <w:sz w:val="24"/>
        </w:rPr>
      </w:pPr>
      <w:r w:rsidRPr="00A9472D">
        <w:rPr>
          <w:rFonts w:cstheme="minorHAnsi"/>
          <w:sz w:val="24"/>
        </w:rPr>
        <w:t xml:space="preserve">The vast majority of recent job vacancies in the region were filled and the small number of vacancies that remained unfilled all required post school education or training. Further </w:t>
      </w:r>
      <w:r w:rsidR="007F6C7E">
        <w:rPr>
          <w:rFonts w:cstheme="minorHAnsi"/>
          <w:sz w:val="24"/>
        </w:rPr>
        <w:t xml:space="preserve">training and education, including in general employability skills, </w:t>
      </w:r>
      <w:r w:rsidRPr="00A9472D">
        <w:rPr>
          <w:rFonts w:cstheme="minorHAnsi"/>
          <w:sz w:val="24"/>
        </w:rPr>
        <w:t>will greatly improve the employment prospects of local job seekers. In particular, employers often reported difficulty filling occupations requiring certificate level qualifications such as, Chefs,</w:t>
      </w:r>
      <w:r>
        <w:rPr>
          <w:rFonts w:cstheme="minorHAnsi"/>
          <w:sz w:val="24"/>
        </w:rPr>
        <w:t xml:space="preserve"> Metal Fitters and Machinists, </w:t>
      </w:r>
      <w:r w:rsidRPr="00A9472D">
        <w:rPr>
          <w:rFonts w:cstheme="minorHAnsi"/>
          <w:sz w:val="24"/>
        </w:rPr>
        <w:t>Motor Mechanics, Child Carers, Truck Dr</w:t>
      </w:r>
      <w:r w:rsidR="00CE7DF9">
        <w:rPr>
          <w:rFonts w:cstheme="minorHAnsi"/>
          <w:sz w:val="24"/>
        </w:rPr>
        <w:t>ivers, Aged and Disabled Carers.</w:t>
      </w:r>
    </w:p>
    <w:p w14:paraId="33FF8696" w14:textId="77777777" w:rsidR="00CE7DF9" w:rsidRDefault="00CE7DF9">
      <w:pPr>
        <w:spacing w:before="0" w:after="0" w:line="240" w:lineRule="auto"/>
        <w:rPr>
          <w:lang w:eastAsia="en-US"/>
        </w:rPr>
      </w:pPr>
      <w:bookmarkStart w:id="56" w:name="_Toc329252731"/>
      <w:bookmarkStart w:id="57" w:name="_Toc329332752"/>
      <w:bookmarkStart w:id="58" w:name="_Toc329337320"/>
      <w:bookmarkStart w:id="59" w:name="_Toc329348641"/>
      <w:bookmarkStart w:id="60" w:name="_Toc329349369"/>
      <w:bookmarkStart w:id="61" w:name="_Toc329679512"/>
      <w:bookmarkStart w:id="62" w:name="_Toc329693996"/>
      <w:bookmarkStart w:id="63" w:name="_Toc329694413"/>
      <w:bookmarkStart w:id="64" w:name="_Toc329694670"/>
      <w:bookmarkStart w:id="65" w:name="_Toc329695012"/>
      <w:bookmarkStart w:id="66" w:name="_Toc329699770"/>
      <w:bookmarkStart w:id="67" w:name="_Toc329848697"/>
      <w:bookmarkStart w:id="68" w:name="_Toc337816238"/>
    </w:p>
    <w:p w14:paraId="33FF8697" w14:textId="77777777" w:rsidR="002E57F1" w:rsidRPr="007C0798" w:rsidRDefault="00367670" w:rsidP="007C0798">
      <w:pPr>
        <w:pStyle w:val="RIESbriefreports"/>
        <w:spacing w:before="0" w:line="240" w:lineRule="auto"/>
        <w:jc w:val="both"/>
        <w:rPr>
          <w:color w:val="1F497D" w:themeColor="text2"/>
          <w:szCs w:val="24"/>
        </w:rPr>
      </w:pPr>
      <w:bookmarkStart w:id="69" w:name="_Toc346870072"/>
      <w:r w:rsidRPr="00F605CA">
        <w:rPr>
          <w:color w:val="1F497D" w:themeColor="text2"/>
          <w:szCs w:val="24"/>
        </w:rPr>
        <w:t>More Information</w:t>
      </w:r>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33FF8698" w14:textId="77777777" w:rsidR="00367670" w:rsidRPr="00F605CA" w:rsidRDefault="00367670" w:rsidP="002E57F1">
      <w:pPr>
        <w:numPr>
          <w:ilvl w:val="0"/>
          <w:numId w:val="13"/>
        </w:numPr>
        <w:spacing w:before="0" w:after="0" w:line="240" w:lineRule="auto"/>
        <w:ind w:left="0" w:firstLine="0"/>
        <w:jc w:val="both"/>
        <w:rPr>
          <w:rFonts w:cstheme="minorHAnsi"/>
          <w:sz w:val="24"/>
        </w:rPr>
      </w:pPr>
      <w:r w:rsidRPr="00F605CA">
        <w:rPr>
          <w:rFonts w:cstheme="minorHAnsi"/>
          <w:sz w:val="24"/>
        </w:rPr>
        <w:t>L</w:t>
      </w:r>
      <w:r w:rsidR="002B676D" w:rsidRPr="00F605CA">
        <w:rPr>
          <w:rFonts w:cstheme="minorHAnsi"/>
          <w:sz w:val="24"/>
        </w:rPr>
        <w:t>abour Market Information Portal</w:t>
      </w:r>
    </w:p>
    <w:p w14:paraId="33FF8699" w14:textId="77777777" w:rsidR="003D5162" w:rsidRDefault="00732B97" w:rsidP="003D5162">
      <w:pPr>
        <w:tabs>
          <w:tab w:val="left" w:pos="720"/>
        </w:tabs>
        <w:spacing w:before="0" w:after="0" w:line="240" w:lineRule="auto"/>
        <w:rPr>
          <w:rStyle w:val="Hyperlink"/>
          <w:rFonts w:cstheme="minorHAnsi"/>
          <w:b/>
          <w:color w:val="00529C"/>
          <w:sz w:val="24"/>
        </w:rPr>
      </w:pPr>
      <w:hyperlink r:id="rId30" w:history="1">
        <w:r w:rsidR="003D5162" w:rsidRPr="003D5162">
          <w:rPr>
            <w:rStyle w:val="Hyperlink"/>
            <w:rFonts w:cstheme="minorHAnsi"/>
            <w:b/>
            <w:color w:val="00529C"/>
            <w:sz w:val="24"/>
          </w:rPr>
          <w:t>http://deewr.gov.au/labour-market-information-portal-0</w:t>
        </w:r>
      </w:hyperlink>
    </w:p>
    <w:p w14:paraId="33FF869A" w14:textId="77777777" w:rsidR="00367670" w:rsidRPr="00F605CA" w:rsidRDefault="00367670" w:rsidP="003D5162">
      <w:pPr>
        <w:numPr>
          <w:ilvl w:val="0"/>
          <w:numId w:val="13"/>
        </w:numPr>
        <w:spacing w:before="0" w:after="0" w:line="240" w:lineRule="auto"/>
        <w:ind w:left="0" w:firstLine="0"/>
        <w:jc w:val="both"/>
        <w:rPr>
          <w:rFonts w:cstheme="minorHAnsi"/>
          <w:sz w:val="24"/>
        </w:rPr>
      </w:pPr>
      <w:r w:rsidRPr="00F605CA">
        <w:rPr>
          <w:rFonts w:cstheme="minorHAnsi"/>
          <w:sz w:val="24"/>
        </w:rPr>
        <w:t>Skill Shortages</w:t>
      </w:r>
    </w:p>
    <w:p w14:paraId="33FF869B" w14:textId="77777777" w:rsidR="003D5162" w:rsidRPr="003D5162" w:rsidRDefault="00732B97" w:rsidP="003D5162">
      <w:pPr>
        <w:tabs>
          <w:tab w:val="left" w:pos="720"/>
        </w:tabs>
        <w:spacing w:before="0" w:after="0" w:line="240" w:lineRule="auto"/>
        <w:rPr>
          <w:rStyle w:val="Hyperlink"/>
          <w:rFonts w:cstheme="minorHAnsi"/>
          <w:b/>
          <w:color w:val="00529C"/>
          <w:sz w:val="24"/>
        </w:rPr>
      </w:pPr>
      <w:hyperlink r:id="rId31" w:history="1">
        <w:r w:rsidR="003D5162" w:rsidRPr="003D5162">
          <w:rPr>
            <w:rStyle w:val="Hyperlink"/>
            <w:rFonts w:cstheme="minorHAnsi"/>
            <w:b/>
            <w:color w:val="00529C"/>
            <w:sz w:val="24"/>
          </w:rPr>
          <w:t>http://deewr.gov.au/skill-shortages</w:t>
        </w:r>
      </w:hyperlink>
    </w:p>
    <w:p w14:paraId="33FF869C" w14:textId="77777777" w:rsidR="00367670" w:rsidRPr="00F605CA" w:rsidRDefault="00367670" w:rsidP="003D5162">
      <w:pPr>
        <w:numPr>
          <w:ilvl w:val="0"/>
          <w:numId w:val="13"/>
        </w:numPr>
        <w:spacing w:before="0" w:after="0" w:line="240" w:lineRule="auto"/>
        <w:jc w:val="both"/>
        <w:rPr>
          <w:rFonts w:cstheme="minorHAnsi"/>
          <w:sz w:val="24"/>
        </w:rPr>
      </w:pPr>
      <w:r w:rsidRPr="00F605CA">
        <w:rPr>
          <w:rFonts w:cstheme="minorHAnsi"/>
          <w:sz w:val="24"/>
        </w:rPr>
        <w:t>Survey of Employers’ Recruitment Experiences</w:t>
      </w:r>
    </w:p>
    <w:p w14:paraId="33FF869D" w14:textId="77777777" w:rsidR="00C03A54" w:rsidRPr="003D5162" w:rsidRDefault="00732B97" w:rsidP="00C03A54">
      <w:pPr>
        <w:tabs>
          <w:tab w:val="left" w:pos="720"/>
        </w:tabs>
        <w:spacing w:before="0" w:after="0" w:line="240" w:lineRule="auto"/>
        <w:rPr>
          <w:rStyle w:val="Hyperlink"/>
          <w:rFonts w:cstheme="minorHAnsi"/>
          <w:b/>
          <w:color w:val="00529C"/>
          <w:sz w:val="24"/>
        </w:rPr>
      </w:pPr>
      <w:hyperlink r:id="rId32" w:history="1">
        <w:r w:rsidR="003D5162" w:rsidRPr="003D5162">
          <w:rPr>
            <w:rStyle w:val="Hyperlink"/>
            <w:rFonts w:cstheme="minorHAnsi"/>
            <w:b/>
            <w:color w:val="00529C"/>
            <w:sz w:val="24"/>
          </w:rPr>
          <w:t>http://deewr.gov.au/regional-reports-employers-recruitment-experiences</w:t>
        </w:r>
      </w:hyperlink>
    </w:p>
    <w:p w14:paraId="33FF869E" w14:textId="77777777" w:rsidR="00367670" w:rsidRPr="00F605CA" w:rsidRDefault="00367670" w:rsidP="002E57F1">
      <w:pPr>
        <w:numPr>
          <w:ilvl w:val="0"/>
          <w:numId w:val="13"/>
        </w:numPr>
        <w:spacing w:before="0" w:after="0" w:line="240" w:lineRule="auto"/>
        <w:ind w:left="0" w:firstLine="0"/>
        <w:jc w:val="both"/>
        <w:rPr>
          <w:rFonts w:cstheme="minorHAnsi"/>
          <w:sz w:val="24"/>
        </w:rPr>
      </w:pPr>
      <w:r w:rsidRPr="00F605CA">
        <w:rPr>
          <w:rFonts w:cstheme="minorHAnsi"/>
          <w:sz w:val="24"/>
        </w:rPr>
        <w:t>SkillsInfo</w:t>
      </w:r>
    </w:p>
    <w:p w14:paraId="33FF869F" w14:textId="77777777" w:rsidR="00367670" w:rsidRPr="00F605CA" w:rsidRDefault="00732B97" w:rsidP="002E57F1">
      <w:pPr>
        <w:tabs>
          <w:tab w:val="left" w:pos="720"/>
        </w:tabs>
        <w:spacing w:before="0" w:after="0" w:line="240" w:lineRule="auto"/>
        <w:rPr>
          <w:rFonts w:cstheme="minorHAnsi"/>
          <w:sz w:val="24"/>
        </w:rPr>
      </w:pPr>
      <w:hyperlink r:id="rId33" w:history="1">
        <w:r w:rsidR="00367670" w:rsidRPr="00F605CA">
          <w:rPr>
            <w:rStyle w:val="Hyperlink"/>
            <w:rFonts w:cstheme="minorHAnsi"/>
            <w:b/>
            <w:color w:val="00529C"/>
            <w:sz w:val="24"/>
          </w:rPr>
          <w:t>www.skillsinfo.</w:t>
        </w:r>
        <w:r w:rsidR="00367670" w:rsidRPr="00EC4CD8">
          <w:rPr>
            <w:rStyle w:val="Hyperlink"/>
            <w:rFonts w:cstheme="minorHAnsi"/>
            <w:b/>
            <w:color w:val="00529C"/>
            <w:sz w:val="24"/>
          </w:rPr>
          <w:t>go</w:t>
        </w:r>
        <w:r w:rsidR="00367670" w:rsidRPr="00F605CA">
          <w:rPr>
            <w:rStyle w:val="Hyperlink"/>
            <w:rFonts w:cstheme="minorHAnsi"/>
            <w:b/>
            <w:color w:val="00529C"/>
            <w:sz w:val="24"/>
          </w:rPr>
          <w:t>v.au</w:t>
        </w:r>
      </w:hyperlink>
    </w:p>
    <w:p w14:paraId="33FF86A0" w14:textId="77777777" w:rsidR="00367670" w:rsidRPr="00F605CA" w:rsidRDefault="00367670" w:rsidP="002E57F1">
      <w:pPr>
        <w:numPr>
          <w:ilvl w:val="0"/>
          <w:numId w:val="13"/>
        </w:numPr>
        <w:spacing w:before="0" w:after="0" w:line="240" w:lineRule="auto"/>
        <w:ind w:left="0" w:firstLine="0"/>
        <w:jc w:val="both"/>
        <w:rPr>
          <w:rFonts w:cstheme="minorHAnsi"/>
          <w:sz w:val="24"/>
        </w:rPr>
      </w:pPr>
      <w:r w:rsidRPr="00F605CA">
        <w:rPr>
          <w:rFonts w:cstheme="minorHAnsi"/>
          <w:sz w:val="24"/>
        </w:rPr>
        <w:t>Australian Jobs</w:t>
      </w:r>
    </w:p>
    <w:p w14:paraId="33FF86A1" w14:textId="77777777" w:rsidR="002975E8" w:rsidRDefault="00732B97" w:rsidP="00A775C4">
      <w:pPr>
        <w:tabs>
          <w:tab w:val="left" w:pos="720"/>
        </w:tabs>
        <w:spacing w:before="0" w:after="0" w:line="240" w:lineRule="auto"/>
        <w:rPr>
          <w:rStyle w:val="Hyperlink"/>
          <w:rFonts w:cstheme="minorHAnsi"/>
          <w:b/>
          <w:color w:val="00529C"/>
          <w:sz w:val="24"/>
        </w:rPr>
      </w:pPr>
      <w:hyperlink r:id="rId34" w:history="1">
        <w:r w:rsidR="002975E8" w:rsidRPr="0019376F">
          <w:rPr>
            <w:rStyle w:val="Hyperlink"/>
            <w:rFonts w:cstheme="minorHAnsi"/>
            <w:b/>
            <w:color w:val="00529C"/>
            <w:sz w:val="24"/>
          </w:rPr>
          <w:t>http://deewr.gov.au/australian-jobs-publication</w:t>
        </w:r>
      </w:hyperlink>
    </w:p>
    <w:p w14:paraId="33FF86A2" w14:textId="77777777" w:rsidR="00A9472D" w:rsidRPr="00F605CA" w:rsidRDefault="00A9472D" w:rsidP="00A9472D">
      <w:pPr>
        <w:numPr>
          <w:ilvl w:val="0"/>
          <w:numId w:val="13"/>
        </w:numPr>
        <w:spacing w:before="0" w:after="0" w:line="240" w:lineRule="auto"/>
        <w:ind w:left="0" w:firstLine="0"/>
        <w:jc w:val="both"/>
        <w:rPr>
          <w:rFonts w:cstheme="minorHAnsi"/>
          <w:sz w:val="24"/>
        </w:rPr>
      </w:pPr>
      <w:r w:rsidRPr="00F605CA">
        <w:rPr>
          <w:rFonts w:cstheme="minorHAnsi"/>
          <w:sz w:val="24"/>
        </w:rPr>
        <w:t>Aus</w:t>
      </w:r>
      <w:r w:rsidR="00D55CA8">
        <w:rPr>
          <w:rFonts w:cstheme="minorHAnsi"/>
          <w:sz w:val="24"/>
        </w:rPr>
        <w:t>sie</w:t>
      </w:r>
      <w:r w:rsidRPr="00F605CA">
        <w:rPr>
          <w:rFonts w:cstheme="minorHAnsi"/>
          <w:sz w:val="24"/>
        </w:rPr>
        <w:t xml:space="preserve"> Jobs</w:t>
      </w:r>
    </w:p>
    <w:p w14:paraId="33FF86A3" w14:textId="77777777" w:rsidR="00A9472D" w:rsidRPr="00EC4CD8" w:rsidRDefault="00EC4CD8" w:rsidP="00A775C4">
      <w:pPr>
        <w:tabs>
          <w:tab w:val="left" w:pos="720"/>
        </w:tabs>
        <w:spacing w:before="0" w:after="0" w:line="240" w:lineRule="auto"/>
        <w:rPr>
          <w:rStyle w:val="Hyperlink"/>
          <w:rFonts w:cstheme="minorHAnsi"/>
          <w:b/>
          <w:color w:val="00529C"/>
          <w:sz w:val="24"/>
        </w:rPr>
      </w:pPr>
      <w:r w:rsidRPr="00EC4CD8">
        <w:rPr>
          <w:b/>
          <w:color w:val="00529C"/>
          <w:sz w:val="24"/>
          <w:u w:val="single"/>
        </w:rPr>
        <w:t>http://deewr.gov.au/news/aussie-jobs-publication-highlights-employment-growth</w:t>
      </w:r>
    </w:p>
    <w:p w14:paraId="33FF86A4" w14:textId="77777777" w:rsidR="002975E8" w:rsidRDefault="002975E8">
      <w:pPr>
        <w:spacing w:before="0" w:after="0" w:line="240" w:lineRule="auto"/>
        <w:rPr>
          <w:rStyle w:val="Hyperlink"/>
          <w:rFonts w:cstheme="minorHAnsi"/>
          <w:b/>
          <w:color w:val="00529C"/>
          <w:sz w:val="24"/>
        </w:rPr>
      </w:pPr>
      <w:r>
        <w:rPr>
          <w:rStyle w:val="Hyperlink"/>
          <w:rFonts w:cstheme="minorHAnsi"/>
          <w:b/>
          <w:color w:val="00529C"/>
          <w:sz w:val="24"/>
        </w:rPr>
        <w:br w:type="page"/>
      </w:r>
    </w:p>
    <w:p w14:paraId="33FF86A5" w14:textId="77777777" w:rsidR="00367670" w:rsidRPr="00A775C4" w:rsidRDefault="00367670" w:rsidP="00A775C4">
      <w:pPr>
        <w:tabs>
          <w:tab w:val="left" w:pos="720"/>
        </w:tabs>
        <w:spacing w:before="0" w:after="0" w:line="240" w:lineRule="auto"/>
        <w:rPr>
          <w:rStyle w:val="Hyperlink"/>
          <w:color w:val="00529C"/>
        </w:rPr>
        <w:sectPr w:rsidR="00367670" w:rsidRPr="00A775C4" w:rsidSect="005A0794">
          <w:headerReference w:type="default" r:id="rId35"/>
          <w:footerReference w:type="default" r:id="rId36"/>
          <w:headerReference w:type="first" r:id="rId37"/>
          <w:footerReference w:type="first" r:id="rId38"/>
          <w:pgSz w:w="11906" w:h="16838"/>
          <w:pgMar w:top="709" w:right="1418" w:bottom="1276" w:left="1418" w:header="709" w:footer="709" w:gutter="0"/>
          <w:cols w:space="708"/>
          <w:titlePg/>
          <w:docGrid w:linePitch="360"/>
        </w:sectPr>
      </w:pPr>
    </w:p>
    <w:p w14:paraId="33FF86A6" w14:textId="77777777" w:rsidR="00AF1D21" w:rsidRPr="00F605CA" w:rsidRDefault="00AF01BD">
      <w:pPr>
        <w:rPr>
          <w:rFonts w:cstheme="minorHAnsi"/>
          <w:sz w:val="24"/>
        </w:rPr>
      </w:pPr>
      <w:r w:rsidRPr="00F605CA">
        <w:rPr>
          <w:rFonts w:cstheme="minorHAnsi"/>
          <w:noProof/>
          <w:sz w:val="24"/>
        </w:rPr>
        <w:lastRenderedPageBreak/>
        <w:drawing>
          <wp:anchor distT="0" distB="0" distL="114300" distR="114300" simplePos="0" relativeHeight="251662336" behindDoc="1" locked="0" layoutInCell="1" allowOverlap="1" wp14:anchorId="33FF86B3" wp14:editId="33FF86B4">
            <wp:simplePos x="0" y="0"/>
            <wp:positionH relativeFrom="column">
              <wp:posOffset>-1207077</wp:posOffset>
            </wp:positionH>
            <wp:positionV relativeFrom="paragraph">
              <wp:posOffset>4191866</wp:posOffset>
            </wp:positionV>
            <wp:extent cx="7735050" cy="3837709"/>
            <wp:effectExtent l="19050" t="0" r="0" b="0"/>
            <wp:wrapNone/>
            <wp:docPr id="1" name="Picture 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ecorative"/>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735050" cy="3837709"/>
                    </a:xfrm>
                    <a:prstGeom prst="rect">
                      <a:avLst/>
                    </a:prstGeom>
                    <a:noFill/>
                    <a:ln>
                      <a:noFill/>
                    </a:ln>
                  </pic:spPr>
                </pic:pic>
              </a:graphicData>
            </a:graphic>
          </wp:anchor>
        </w:drawing>
      </w:r>
      <w:r w:rsidR="001E1498" w:rsidRPr="00F605CA">
        <w:rPr>
          <w:rFonts w:cstheme="minorHAnsi"/>
          <w:noProof/>
          <w:sz w:val="24"/>
        </w:rPr>
        <w:drawing>
          <wp:anchor distT="0" distB="0" distL="114300" distR="114300" simplePos="0" relativeHeight="251664384" behindDoc="1" locked="0" layoutInCell="1" allowOverlap="1" wp14:anchorId="33FF86B5" wp14:editId="33FF86B6">
            <wp:simplePos x="0" y="0"/>
            <wp:positionH relativeFrom="column">
              <wp:posOffset>-1220932</wp:posOffset>
            </wp:positionH>
            <wp:positionV relativeFrom="paragraph">
              <wp:posOffset>2487757</wp:posOffset>
            </wp:positionV>
            <wp:extent cx="7739496" cy="1870363"/>
            <wp:effectExtent l="19050" t="0" r="0" b="0"/>
            <wp:wrapNone/>
            <wp:docPr id="5"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ecorative"/>
                    <pic:cNvPicPr>
                      <a:picLocks noChangeAspect="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739496" cy="1870363"/>
                    </a:xfrm>
                    <a:prstGeom prst="rect">
                      <a:avLst/>
                    </a:prstGeom>
                    <a:noFill/>
                    <a:ln>
                      <a:noFill/>
                    </a:ln>
                  </pic:spPr>
                </pic:pic>
              </a:graphicData>
            </a:graphic>
          </wp:anchor>
        </w:drawing>
      </w:r>
    </w:p>
    <w:sectPr w:rsidR="00AF1D21" w:rsidRPr="00F605CA" w:rsidSect="00AF01BD">
      <w:type w:val="continuous"/>
      <w:pgSz w:w="11906" w:h="16838"/>
      <w:pgMar w:top="4395"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FF86B9" w14:textId="77777777" w:rsidR="00D66AFC" w:rsidRDefault="00D66AFC" w:rsidP="006D0101">
      <w:pPr>
        <w:spacing w:before="0" w:after="0" w:line="240" w:lineRule="auto"/>
      </w:pPr>
      <w:r>
        <w:separator/>
      </w:r>
    </w:p>
  </w:endnote>
  <w:endnote w:type="continuationSeparator" w:id="0">
    <w:p w14:paraId="33FF86BA" w14:textId="77777777" w:rsidR="00D66AFC" w:rsidRDefault="00D66AFC" w:rsidP="006D01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F86BC" w14:textId="77777777" w:rsidR="00D66AFC" w:rsidRPr="00C571AA" w:rsidRDefault="00D66AFC" w:rsidP="00C571AA">
    <w:pPr>
      <w:pStyle w:val="Footer"/>
      <w:jc w:val="right"/>
    </w:pPr>
    <w:r>
      <w:fldChar w:fldCharType="begin"/>
    </w:r>
    <w:r>
      <w:instrText xml:space="preserve"> PAGE   \* MERGEFORMAT </w:instrText>
    </w:r>
    <w:r>
      <w:fldChar w:fldCharType="separate"/>
    </w:r>
    <w:r>
      <w:rPr>
        <w:noProof/>
      </w:rPr>
      <w:t>10</w:t>
    </w:r>
    <w:r>
      <w:rPr>
        <w:noProof/>
      </w:rPr>
      <w:fldChar w:fldCharType="end"/>
    </w:r>
  </w:p>
  <w:p w14:paraId="33FF86BD" w14:textId="77777777" w:rsidR="00D66AFC" w:rsidRDefault="00D66A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F86BF" w14:textId="77777777" w:rsidR="00D66AFC" w:rsidRDefault="00732B97" w:rsidP="00C571AA">
    <w:pPr>
      <w:pStyle w:val="Footer"/>
      <w:jc w:val="right"/>
    </w:pPr>
    <w:sdt>
      <w:sdtPr>
        <w:id w:val="43395880"/>
        <w:docPartObj>
          <w:docPartGallery w:val="Page Numbers (Bottom of Page)"/>
          <w:docPartUnique/>
        </w:docPartObj>
      </w:sdtPr>
      <w:sdtEndPr/>
      <w:sdtContent>
        <w:r w:rsidR="00D66AFC">
          <w:fldChar w:fldCharType="begin"/>
        </w:r>
        <w:r w:rsidR="00D66AFC">
          <w:instrText xml:space="preserve"> PAGE   \* MERGEFORMAT </w:instrText>
        </w:r>
        <w:r w:rsidR="00D66AFC">
          <w:fldChar w:fldCharType="separate"/>
        </w:r>
        <w:r>
          <w:rPr>
            <w:noProof/>
          </w:rPr>
          <w:t>1</w:t>
        </w:r>
        <w:r w:rsidR="00D66AFC">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F86C1" w14:textId="77777777" w:rsidR="00D66AFC" w:rsidRPr="00B32455" w:rsidRDefault="00D66AFC" w:rsidP="004157E2">
    <w:pPr>
      <w:pStyle w:val="Footer"/>
      <w:spacing w:before="0" w:after="0" w:line="240" w:lineRule="auto"/>
    </w:pPr>
    <w:r>
      <w:fldChar w:fldCharType="begin"/>
    </w:r>
    <w:r>
      <w:instrText xml:space="preserve"> PAGE </w:instrText>
    </w:r>
    <w:r>
      <w:fldChar w:fldCharType="separate"/>
    </w:r>
    <w:r w:rsidR="00732B97">
      <w:rPr>
        <w:noProof/>
      </w:rPr>
      <w:t>8</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F86C3" w14:textId="77777777" w:rsidR="00D66AFC" w:rsidRDefault="00732B97" w:rsidP="00C571AA">
    <w:pPr>
      <w:pStyle w:val="Footer"/>
      <w:jc w:val="right"/>
    </w:pPr>
    <w:sdt>
      <w:sdtPr>
        <w:id w:val="987517519"/>
        <w:docPartObj>
          <w:docPartGallery w:val="Page Numbers (Bottom of Page)"/>
          <w:docPartUnique/>
        </w:docPartObj>
      </w:sdtPr>
      <w:sdtEndPr/>
      <w:sdtContent>
        <w:r w:rsidR="00D66AFC">
          <w:fldChar w:fldCharType="begin"/>
        </w:r>
        <w:r w:rsidR="00D66AFC">
          <w:instrText xml:space="preserve"> PAGE   \* MERGEFORMAT </w:instrText>
        </w:r>
        <w:r w:rsidR="00D66AFC">
          <w:fldChar w:fldCharType="separate"/>
        </w:r>
        <w:r>
          <w:rPr>
            <w:noProof/>
          </w:rPr>
          <w:t>9</w:t>
        </w:r>
        <w:r w:rsidR="00D66AFC">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FF86B7" w14:textId="77777777" w:rsidR="00D66AFC" w:rsidRDefault="00D66AFC" w:rsidP="006D0101">
      <w:pPr>
        <w:spacing w:before="0" w:after="0" w:line="240" w:lineRule="auto"/>
      </w:pPr>
      <w:r>
        <w:separator/>
      </w:r>
    </w:p>
  </w:footnote>
  <w:footnote w:type="continuationSeparator" w:id="0">
    <w:p w14:paraId="33FF86B8" w14:textId="77777777" w:rsidR="00D66AFC" w:rsidRDefault="00D66AFC" w:rsidP="006D0101">
      <w:pPr>
        <w:spacing w:before="0" w:after="0" w:line="240" w:lineRule="auto"/>
      </w:pPr>
      <w:r>
        <w:continuationSeparator/>
      </w:r>
    </w:p>
  </w:footnote>
  <w:footnote w:id="1">
    <w:p w14:paraId="33FF86C4" w14:textId="77777777" w:rsidR="007F6C7E" w:rsidRPr="00A464EE" w:rsidRDefault="007F6C7E" w:rsidP="007F6C7E">
      <w:pPr>
        <w:pStyle w:val="FootnoteText"/>
        <w:spacing w:before="100" w:beforeAutospacing="1" w:after="0" w:line="240" w:lineRule="auto"/>
        <w:contextualSpacing/>
        <w:rPr>
          <w:rFonts w:asciiTheme="minorHAnsi" w:hAnsiTheme="minorHAnsi" w:cstheme="minorHAnsi"/>
          <w:sz w:val="16"/>
          <w:szCs w:val="16"/>
        </w:rPr>
      </w:pPr>
      <w:r w:rsidRPr="00A464EE">
        <w:rPr>
          <w:rStyle w:val="FootnoteReference"/>
          <w:rFonts w:asciiTheme="minorHAnsi" w:hAnsiTheme="minorHAnsi" w:cstheme="minorHAnsi"/>
          <w:sz w:val="16"/>
          <w:szCs w:val="16"/>
        </w:rPr>
        <w:footnoteRef/>
      </w:r>
      <w:r w:rsidRPr="00A464EE">
        <w:rPr>
          <w:rFonts w:asciiTheme="minorHAnsi" w:hAnsiTheme="minorHAnsi" w:cstheme="minorHAnsi"/>
          <w:sz w:val="16"/>
          <w:szCs w:val="16"/>
        </w:rPr>
        <w:t xml:space="preserve"> The Bundaberg and Fraser Coast (excluding Fraser Coast - Woocoo-Tiaro ) LGAs and the Gladstone – Miriam Vale SLA account for </w:t>
      </w:r>
      <w:r w:rsidRPr="00A464EE">
        <w:rPr>
          <w:rFonts w:asciiTheme="minorHAnsi" w:hAnsiTheme="minorHAnsi" w:cstheme="minorHAnsi"/>
          <w:sz w:val="16"/>
          <w:szCs w:val="16"/>
        </w:rPr>
        <w:br/>
        <w:t>65 per cent of the Wide Bay-Burnett LFR.</w:t>
      </w:r>
    </w:p>
  </w:footnote>
  <w:footnote w:id="2">
    <w:p w14:paraId="33FF86C5" w14:textId="77777777" w:rsidR="00AD563C" w:rsidRPr="00AD563C" w:rsidRDefault="00AD563C" w:rsidP="00AD563C">
      <w:pPr>
        <w:pStyle w:val="FootnoteText"/>
        <w:spacing w:before="100" w:beforeAutospacing="1" w:line="240" w:lineRule="auto"/>
        <w:contextualSpacing/>
        <w:rPr>
          <w:rStyle w:val="FootnoteReference"/>
        </w:rPr>
      </w:pPr>
      <w:r w:rsidRPr="00AD563C">
        <w:rPr>
          <w:rStyle w:val="FootnoteReference"/>
        </w:rPr>
        <w:footnoteRef/>
      </w:r>
      <w:r w:rsidRPr="00AD563C">
        <w:rPr>
          <w:rStyle w:val="FootnoteReference"/>
        </w:rPr>
        <w:t xml:space="preserve"> </w:t>
      </w:r>
      <w:r w:rsidRPr="00AD563C">
        <w:rPr>
          <w:rFonts w:asciiTheme="minorHAnsi" w:hAnsiTheme="minorHAnsi" w:cstheme="minorHAnsi"/>
          <w:sz w:val="16"/>
          <w:szCs w:val="16"/>
        </w:rPr>
        <w:t>ABS, Census of Population and Housing, 2011</w:t>
      </w:r>
    </w:p>
  </w:footnote>
  <w:footnote w:id="3">
    <w:p w14:paraId="33FF86C6" w14:textId="77777777" w:rsidR="00D66AFC" w:rsidRPr="00A464EE" w:rsidRDefault="00D66AFC" w:rsidP="00274413">
      <w:pPr>
        <w:pStyle w:val="FootnoteText"/>
        <w:spacing w:before="100" w:beforeAutospacing="1" w:line="240" w:lineRule="auto"/>
        <w:contextualSpacing/>
        <w:rPr>
          <w:rFonts w:asciiTheme="minorHAnsi" w:hAnsiTheme="minorHAnsi" w:cstheme="minorHAnsi"/>
          <w:sz w:val="16"/>
          <w:szCs w:val="16"/>
        </w:rPr>
      </w:pPr>
      <w:r w:rsidRPr="00A464EE">
        <w:rPr>
          <w:rStyle w:val="FootnoteReference"/>
          <w:rFonts w:asciiTheme="minorHAnsi" w:hAnsiTheme="minorHAnsi" w:cstheme="minorHAnsi"/>
          <w:sz w:val="16"/>
          <w:szCs w:val="16"/>
        </w:rPr>
        <w:footnoteRef/>
      </w:r>
      <w:r w:rsidRPr="00A464EE">
        <w:rPr>
          <w:rFonts w:asciiTheme="minorHAnsi" w:hAnsiTheme="minorHAnsi" w:cstheme="minorHAnsi"/>
          <w:sz w:val="16"/>
          <w:szCs w:val="16"/>
        </w:rPr>
        <w:t xml:space="preserve"> DEEWR, Small Area Labour Market, September 2012</w:t>
      </w:r>
    </w:p>
  </w:footnote>
  <w:footnote w:id="4">
    <w:p w14:paraId="33FF86C7" w14:textId="77777777" w:rsidR="00F65DD1" w:rsidRPr="00F65DD1" w:rsidRDefault="00F65DD1" w:rsidP="00F65DD1">
      <w:pPr>
        <w:pStyle w:val="FootnoteText"/>
        <w:spacing w:after="0"/>
        <w:rPr>
          <w:rFonts w:asciiTheme="minorHAnsi" w:hAnsiTheme="minorHAnsi" w:cstheme="minorHAnsi"/>
          <w:sz w:val="16"/>
          <w:szCs w:val="16"/>
          <w:lang w:val="en-AU"/>
        </w:rPr>
      </w:pPr>
      <w:r w:rsidRPr="00F65DD1">
        <w:rPr>
          <w:rStyle w:val="FootnoteReference"/>
          <w:rFonts w:asciiTheme="minorHAnsi" w:hAnsiTheme="minorHAnsi" w:cstheme="minorHAnsi"/>
          <w:sz w:val="16"/>
          <w:szCs w:val="16"/>
        </w:rPr>
        <w:footnoteRef/>
      </w:r>
      <w:r w:rsidRPr="00F65DD1">
        <w:rPr>
          <w:rFonts w:asciiTheme="minorHAnsi" w:hAnsiTheme="minorHAnsi" w:cstheme="minorHAnsi"/>
          <w:sz w:val="16"/>
          <w:szCs w:val="16"/>
        </w:rPr>
        <w:t xml:space="preserve"> </w:t>
      </w:r>
      <w:r w:rsidRPr="00F65DD1">
        <w:rPr>
          <w:rFonts w:asciiTheme="minorHAnsi" w:hAnsiTheme="minorHAnsi" w:cstheme="minorHAnsi"/>
          <w:sz w:val="16"/>
          <w:szCs w:val="16"/>
          <w:lang w:val="en-AU"/>
        </w:rPr>
        <w:t>Recruitment agencies include Job Services Australia providers</w:t>
      </w:r>
    </w:p>
  </w:footnote>
  <w:footnote w:id="5">
    <w:p w14:paraId="33FF86C8" w14:textId="77777777" w:rsidR="00F65DD1" w:rsidRPr="00F65DD1" w:rsidRDefault="00F65DD1" w:rsidP="00F65DD1">
      <w:pPr>
        <w:pStyle w:val="FootnoteText"/>
        <w:spacing w:after="0" w:line="240" w:lineRule="auto"/>
        <w:rPr>
          <w:rFonts w:asciiTheme="minorHAnsi" w:hAnsiTheme="minorHAnsi" w:cstheme="minorHAnsi"/>
          <w:sz w:val="16"/>
          <w:szCs w:val="16"/>
        </w:rPr>
      </w:pPr>
      <w:r w:rsidRPr="00F65DD1">
        <w:rPr>
          <w:rStyle w:val="FootnoteReference"/>
          <w:rFonts w:asciiTheme="minorHAnsi" w:hAnsiTheme="minorHAnsi" w:cstheme="minorHAnsi"/>
          <w:sz w:val="16"/>
          <w:szCs w:val="16"/>
        </w:rPr>
        <w:footnoteRef/>
      </w:r>
      <w:r w:rsidRPr="00F65DD1">
        <w:rPr>
          <w:rFonts w:asciiTheme="minorHAnsi" w:hAnsiTheme="minorHAnsi" w:cstheme="minorHAnsi"/>
          <w:sz w:val="16"/>
          <w:szCs w:val="16"/>
        </w:rPr>
        <w:t xml:space="preserve"> Employers often use more than one method of recruitment</w:t>
      </w:r>
    </w:p>
  </w:footnote>
  <w:footnote w:id="6">
    <w:p w14:paraId="33FF86C9" w14:textId="77777777" w:rsidR="00F65DD1" w:rsidRPr="00F65DD1" w:rsidRDefault="00F65DD1">
      <w:pPr>
        <w:pStyle w:val="FootnoteText"/>
        <w:rPr>
          <w:lang w:val="en-AU"/>
        </w:rPr>
      </w:pPr>
      <w:r w:rsidRPr="00F65DD1">
        <w:rPr>
          <w:rStyle w:val="FootnoteReference"/>
          <w:rFonts w:asciiTheme="minorHAnsi" w:hAnsiTheme="minorHAnsi" w:cstheme="minorHAnsi"/>
          <w:sz w:val="16"/>
          <w:szCs w:val="16"/>
        </w:rPr>
        <w:footnoteRef/>
      </w:r>
      <w:r w:rsidRPr="00F65DD1">
        <w:rPr>
          <w:rFonts w:asciiTheme="minorHAnsi" w:hAnsiTheme="minorHAnsi" w:cstheme="minorHAnsi"/>
          <w:sz w:val="16"/>
          <w:szCs w:val="16"/>
        </w:rPr>
        <w:t xml:space="preserve"> </w:t>
      </w:r>
      <w:r w:rsidRPr="00F65DD1">
        <w:rPr>
          <w:rFonts w:asciiTheme="minorHAnsi" w:hAnsiTheme="minorHAnsi" w:cstheme="minorHAnsi"/>
          <w:sz w:val="16"/>
          <w:szCs w:val="16"/>
          <w:lang w:val="en-AU"/>
        </w:rPr>
        <w:t>Informal recruitment methods include: Approached by a job seeker, sign in window/billboard and word of mouth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F86BB" w14:textId="77777777" w:rsidR="00D66AFC" w:rsidRPr="00F1256C" w:rsidRDefault="00D66AFC" w:rsidP="00F1256C">
    <w:pPr>
      <w:pStyle w:val="BodyText"/>
      <w:jc w:val="right"/>
      <w:rPr>
        <w:color w:val="808080" w:themeColor="background1" w:themeShade="80"/>
      </w:rPr>
    </w:pPr>
    <w:r>
      <w:rPr>
        <w:color w:val="808080" w:themeColor="background1" w:themeShade="80"/>
      </w:rPr>
      <w:t xml:space="preserve">xxx Report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F86BE" w14:textId="77777777" w:rsidR="00D66AFC" w:rsidRDefault="00D66AFC" w:rsidP="00793116">
    <w:pPr>
      <w:pStyle w:val="BodyText"/>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F86C0" w14:textId="77777777" w:rsidR="00D66AFC" w:rsidRPr="00C571AA" w:rsidRDefault="00D66AFC" w:rsidP="00D349C6">
    <w:pPr>
      <w:pStyle w:val="BodyText"/>
      <w:jc w:val="right"/>
      <w:rPr>
        <w:color w:val="808080" w:themeColor="background1" w:themeShade="80"/>
      </w:rPr>
    </w:pPr>
    <w:r>
      <w:tab/>
    </w:r>
    <w:r>
      <w:rPr>
        <w:color w:val="808080" w:themeColor="background1" w:themeShade="80"/>
      </w:rPr>
      <w:t xml:space="preserve">Bundaberg-Hervey Bay PEA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F86C2" w14:textId="77777777" w:rsidR="00D66AFC" w:rsidRDefault="00D66AFC" w:rsidP="00793116">
    <w:pPr>
      <w:pStyle w:val="BodyText"/>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B5D4F640"/>
    <w:lvl w:ilvl="0">
      <w:start w:val="1"/>
      <w:numFmt w:val="decimal"/>
      <w:pStyle w:val="ListNumber"/>
      <w:lvlText w:val="%1."/>
      <w:lvlJc w:val="left"/>
      <w:pPr>
        <w:tabs>
          <w:tab w:val="num" w:pos="360"/>
        </w:tabs>
        <w:ind w:left="360" w:hanging="360"/>
      </w:pPr>
    </w:lvl>
  </w:abstractNum>
  <w:abstractNum w:abstractNumId="1">
    <w:nsid w:val="FFFFFF89"/>
    <w:multiLevelType w:val="singleLevel"/>
    <w:tmpl w:val="D6DEAECA"/>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8C110A"/>
    <w:multiLevelType w:val="hybridMultilevel"/>
    <w:tmpl w:val="7604E38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A9E1025"/>
    <w:multiLevelType w:val="hybridMultilevel"/>
    <w:tmpl w:val="1B587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BCF314F"/>
    <w:multiLevelType w:val="hybridMultilevel"/>
    <w:tmpl w:val="E68081C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nsid w:val="0BED29C6"/>
    <w:multiLevelType w:val="hybridMultilevel"/>
    <w:tmpl w:val="18EEC6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0C734161"/>
    <w:multiLevelType w:val="hybridMultilevel"/>
    <w:tmpl w:val="B1E04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E767FDC"/>
    <w:multiLevelType w:val="hybridMultilevel"/>
    <w:tmpl w:val="3122533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0EEA5ED9"/>
    <w:multiLevelType w:val="hybridMultilevel"/>
    <w:tmpl w:val="CC08D7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14C57868"/>
    <w:multiLevelType w:val="hybridMultilevel"/>
    <w:tmpl w:val="E9C83C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1">
    <w:nsid w:val="22B8209B"/>
    <w:multiLevelType w:val="hybridMultilevel"/>
    <w:tmpl w:val="5972D176"/>
    <w:lvl w:ilvl="0" w:tplc="1296518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2C6A0FB8"/>
    <w:multiLevelType w:val="hybridMultilevel"/>
    <w:tmpl w:val="71C035E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2CC25B93"/>
    <w:multiLevelType w:val="multilevel"/>
    <w:tmpl w:val="072C9B8A"/>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DDE58B7"/>
    <w:multiLevelType w:val="hybridMultilevel"/>
    <w:tmpl w:val="7870F6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2FED586F"/>
    <w:multiLevelType w:val="hybridMultilevel"/>
    <w:tmpl w:val="A53C76C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1815A43"/>
    <w:multiLevelType w:val="hybridMultilevel"/>
    <w:tmpl w:val="55867AF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33615D06"/>
    <w:multiLevelType w:val="hybridMultilevel"/>
    <w:tmpl w:val="D6D081B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34CF23C0"/>
    <w:multiLevelType w:val="hybridMultilevel"/>
    <w:tmpl w:val="5AD86DAE"/>
    <w:lvl w:ilvl="0" w:tplc="244CBAD2">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360462E7"/>
    <w:multiLevelType w:val="hybridMultilevel"/>
    <w:tmpl w:val="E51CECC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369E7D57"/>
    <w:multiLevelType w:val="hybridMultilevel"/>
    <w:tmpl w:val="7640DA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41593D34"/>
    <w:multiLevelType w:val="hybridMultilevel"/>
    <w:tmpl w:val="53147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19B1185"/>
    <w:multiLevelType w:val="hybridMultilevel"/>
    <w:tmpl w:val="7E5E81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48010D30"/>
    <w:multiLevelType w:val="hybridMultilevel"/>
    <w:tmpl w:val="595C9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E461AAA"/>
    <w:multiLevelType w:val="hybridMultilevel"/>
    <w:tmpl w:val="3170DB0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50547DEB"/>
    <w:multiLevelType w:val="hybridMultilevel"/>
    <w:tmpl w:val="7BDE6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9183E31"/>
    <w:multiLevelType w:val="hybridMultilevel"/>
    <w:tmpl w:val="30A2F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D3E6A10"/>
    <w:multiLevelType w:val="hybridMultilevel"/>
    <w:tmpl w:val="68E48252"/>
    <w:lvl w:ilvl="0" w:tplc="2230EBF8">
      <w:start w:val="1"/>
      <w:numFmt w:val="bullet"/>
      <w:pStyle w:val="ShadedList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68B40F64"/>
    <w:multiLevelType w:val="hybridMultilevel"/>
    <w:tmpl w:val="3C88982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6BD524DA"/>
    <w:multiLevelType w:val="hybridMultilevel"/>
    <w:tmpl w:val="EBCA5AB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nsid w:val="6E283F33"/>
    <w:multiLevelType w:val="hybridMultilevel"/>
    <w:tmpl w:val="A5E615DE"/>
    <w:lvl w:ilvl="0" w:tplc="6AC8116A">
      <w:start w:val="1"/>
      <w:numFmt w:val="bullet"/>
      <w:lvlText w:val=""/>
      <w:lvlJc w:val="left"/>
      <w:pPr>
        <w:tabs>
          <w:tab w:val="num" w:pos="360"/>
        </w:tabs>
        <w:ind w:left="360" w:hanging="360"/>
      </w:pPr>
      <w:rPr>
        <w:rFonts w:ascii="Symbol" w:hAnsi="Symbol" w:hint="default"/>
        <w:color w:val="00529C"/>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6F1373F4"/>
    <w:multiLevelType w:val="hybridMultilevel"/>
    <w:tmpl w:val="E57E950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nsid w:val="760625FB"/>
    <w:multiLevelType w:val="hybridMultilevel"/>
    <w:tmpl w:val="70DE5B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7293CEC"/>
    <w:multiLevelType w:val="hybridMultilevel"/>
    <w:tmpl w:val="F0F22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9854904"/>
    <w:multiLevelType w:val="hybridMultilevel"/>
    <w:tmpl w:val="E7927C84"/>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nsid w:val="7A776FD1"/>
    <w:multiLevelType w:val="hybridMultilevel"/>
    <w:tmpl w:val="BF8251E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7"/>
  </w:num>
  <w:num w:numId="4">
    <w:abstractNumId w:val="13"/>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0"/>
  </w:num>
  <w:num w:numId="8">
    <w:abstractNumId w:val="14"/>
  </w:num>
  <w:num w:numId="9">
    <w:abstractNumId w:val="19"/>
  </w:num>
  <w:num w:numId="10">
    <w:abstractNumId w:val="22"/>
  </w:num>
  <w:num w:numId="11">
    <w:abstractNumId w:val="24"/>
  </w:num>
  <w:num w:numId="12">
    <w:abstractNumId w:val="15"/>
  </w:num>
  <w:num w:numId="13">
    <w:abstractNumId w:val="30"/>
  </w:num>
  <w:num w:numId="14">
    <w:abstractNumId w:val="10"/>
  </w:num>
  <w:num w:numId="15">
    <w:abstractNumId w:val="32"/>
  </w:num>
  <w:num w:numId="16">
    <w:abstractNumId w:val="25"/>
  </w:num>
  <w:num w:numId="17">
    <w:abstractNumId w:val="7"/>
  </w:num>
  <w:num w:numId="18">
    <w:abstractNumId w:val="5"/>
  </w:num>
  <w:num w:numId="19">
    <w:abstractNumId w:val="2"/>
  </w:num>
  <w:num w:numId="20">
    <w:abstractNumId w:val="17"/>
  </w:num>
  <w:num w:numId="21">
    <w:abstractNumId w:val="16"/>
  </w:num>
  <w:num w:numId="22">
    <w:abstractNumId w:val="8"/>
  </w:num>
  <w:num w:numId="23">
    <w:abstractNumId w:val="4"/>
  </w:num>
  <w:num w:numId="24">
    <w:abstractNumId w:val="12"/>
  </w:num>
  <w:num w:numId="25">
    <w:abstractNumId w:val="35"/>
  </w:num>
  <w:num w:numId="26">
    <w:abstractNumId w:val="29"/>
  </w:num>
  <w:num w:numId="27">
    <w:abstractNumId w:val="31"/>
  </w:num>
  <w:num w:numId="28">
    <w:abstractNumId w:val="28"/>
  </w:num>
  <w:num w:numId="29">
    <w:abstractNumId w:val="9"/>
  </w:num>
  <w:num w:numId="30">
    <w:abstractNumId w:val="34"/>
  </w:num>
  <w:num w:numId="31">
    <w:abstractNumId w:val="26"/>
  </w:num>
  <w:num w:numId="32">
    <w:abstractNumId w:val="23"/>
  </w:num>
  <w:num w:numId="33">
    <w:abstractNumId w:val="33"/>
  </w:num>
  <w:num w:numId="34">
    <w:abstractNumId w:val="6"/>
  </w:num>
  <w:num w:numId="35">
    <w:abstractNumId w:val="3"/>
  </w:num>
  <w:num w:numId="36">
    <w:abstractNumId w:val="11"/>
  </w:num>
  <w:num w:numId="37">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2268"/>
  <w:drawingGridHorizontalSpacing w:val="110"/>
  <w:displayHorizontalDrawingGridEvery w:val="2"/>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D860A9"/>
    <w:rsid w:val="00001D14"/>
    <w:rsid w:val="00003528"/>
    <w:rsid w:val="000046DE"/>
    <w:rsid w:val="000078B6"/>
    <w:rsid w:val="00007FCA"/>
    <w:rsid w:val="000113B4"/>
    <w:rsid w:val="00012391"/>
    <w:rsid w:val="00020C00"/>
    <w:rsid w:val="00023010"/>
    <w:rsid w:val="00023509"/>
    <w:rsid w:val="0002727B"/>
    <w:rsid w:val="00032567"/>
    <w:rsid w:val="00032E47"/>
    <w:rsid w:val="00035300"/>
    <w:rsid w:val="00037DE7"/>
    <w:rsid w:val="00042E37"/>
    <w:rsid w:val="000436EB"/>
    <w:rsid w:val="00055FBE"/>
    <w:rsid w:val="00067ED7"/>
    <w:rsid w:val="00070B22"/>
    <w:rsid w:val="000749C7"/>
    <w:rsid w:val="00077E5C"/>
    <w:rsid w:val="00092F1C"/>
    <w:rsid w:val="000A0026"/>
    <w:rsid w:val="000A732B"/>
    <w:rsid w:val="000B092F"/>
    <w:rsid w:val="000B602B"/>
    <w:rsid w:val="000B6DFF"/>
    <w:rsid w:val="000C0111"/>
    <w:rsid w:val="000C759B"/>
    <w:rsid w:val="000C760F"/>
    <w:rsid w:val="000D3624"/>
    <w:rsid w:val="000D73FB"/>
    <w:rsid w:val="000D78C0"/>
    <w:rsid w:val="000E3022"/>
    <w:rsid w:val="000F2610"/>
    <w:rsid w:val="001054CB"/>
    <w:rsid w:val="00111482"/>
    <w:rsid w:val="00112686"/>
    <w:rsid w:val="00114A43"/>
    <w:rsid w:val="00120918"/>
    <w:rsid w:val="00123267"/>
    <w:rsid w:val="00124212"/>
    <w:rsid w:val="00126AE0"/>
    <w:rsid w:val="00130055"/>
    <w:rsid w:val="001405C0"/>
    <w:rsid w:val="00141867"/>
    <w:rsid w:val="00146B6E"/>
    <w:rsid w:val="00147094"/>
    <w:rsid w:val="00147E25"/>
    <w:rsid w:val="0015580D"/>
    <w:rsid w:val="0015775D"/>
    <w:rsid w:val="001657BC"/>
    <w:rsid w:val="0017134A"/>
    <w:rsid w:val="001745BD"/>
    <w:rsid w:val="001778DC"/>
    <w:rsid w:val="00181529"/>
    <w:rsid w:val="00184742"/>
    <w:rsid w:val="001906F0"/>
    <w:rsid w:val="0019376F"/>
    <w:rsid w:val="0019736B"/>
    <w:rsid w:val="001A55CD"/>
    <w:rsid w:val="001A5C31"/>
    <w:rsid w:val="001B065B"/>
    <w:rsid w:val="001B2E59"/>
    <w:rsid w:val="001B3A5A"/>
    <w:rsid w:val="001C08B6"/>
    <w:rsid w:val="001C0B81"/>
    <w:rsid w:val="001C19CD"/>
    <w:rsid w:val="001C2F4D"/>
    <w:rsid w:val="001C510D"/>
    <w:rsid w:val="001C7812"/>
    <w:rsid w:val="001D2E01"/>
    <w:rsid w:val="001D3333"/>
    <w:rsid w:val="001E1498"/>
    <w:rsid w:val="001E1CE7"/>
    <w:rsid w:val="001E443D"/>
    <w:rsid w:val="001F4FB5"/>
    <w:rsid w:val="00200989"/>
    <w:rsid w:val="00203BDB"/>
    <w:rsid w:val="00204110"/>
    <w:rsid w:val="002062E0"/>
    <w:rsid w:val="002135F3"/>
    <w:rsid w:val="00214486"/>
    <w:rsid w:val="0022116C"/>
    <w:rsid w:val="00225B62"/>
    <w:rsid w:val="00241E8D"/>
    <w:rsid w:val="00242EBE"/>
    <w:rsid w:val="002628DC"/>
    <w:rsid w:val="00262F5C"/>
    <w:rsid w:val="00264AAD"/>
    <w:rsid w:val="00267CAD"/>
    <w:rsid w:val="00271B77"/>
    <w:rsid w:val="00274413"/>
    <w:rsid w:val="00284C50"/>
    <w:rsid w:val="00286223"/>
    <w:rsid w:val="00287980"/>
    <w:rsid w:val="002923D5"/>
    <w:rsid w:val="00295760"/>
    <w:rsid w:val="00296696"/>
    <w:rsid w:val="002966E7"/>
    <w:rsid w:val="002975E8"/>
    <w:rsid w:val="002A3F44"/>
    <w:rsid w:val="002B49FA"/>
    <w:rsid w:val="002B676D"/>
    <w:rsid w:val="002C52BD"/>
    <w:rsid w:val="002D3FBD"/>
    <w:rsid w:val="002E3F44"/>
    <w:rsid w:val="002E57F1"/>
    <w:rsid w:val="002E71A2"/>
    <w:rsid w:val="0031102B"/>
    <w:rsid w:val="0032020D"/>
    <w:rsid w:val="00322D0A"/>
    <w:rsid w:val="0032332A"/>
    <w:rsid w:val="003249FF"/>
    <w:rsid w:val="00330DC6"/>
    <w:rsid w:val="003362CE"/>
    <w:rsid w:val="003405DB"/>
    <w:rsid w:val="00366B76"/>
    <w:rsid w:val="00367286"/>
    <w:rsid w:val="00367670"/>
    <w:rsid w:val="00383AC5"/>
    <w:rsid w:val="0038581F"/>
    <w:rsid w:val="00385D09"/>
    <w:rsid w:val="00386329"/>
    <w:rsid w:val="003A0306"/>
    <w:rsid w:val="003A151E"/>
    <w:rsid w:val="003A73BC"/>
    <w:rsid w:val="003B260A"/>
    <w:rsid w:val="003B43E9"/>
    <w:rsid w:val="003C0FDB"/>
    <w:rsid w:val="003C224C"/>
    <w:rsid w:val="003D5162"/>
    <w:rsid w:val="003E66D7"/>
    <w:rsid w:val="003F2C2E"/>
    <w:rsid w:val="003F3B1F"/>
    <w:rsid w:val="003F4469"/>
    <w:rsid w:val="003F4A52"/>
    <w:rsid w:val="0040078E"/>
    <w:rsid w:val="004071AC"/>
    <w:rsid w:val="00411B6C"/>
    <w:rsid w:val="00411D63"/>
    <w:rsid w:val="00411F24"/>
    <w:rsid w:val="004157E2"/>
    <w:rsid w:val="0041755C"/>
    <w:rsid w:val="00417AD7"/>
    <w:rsid w:val="00421C94"/>
    <w:rsid w:val="00432925"/>
    <w:rsid w:val="004357DB"/>
    <w:rsid w:val="00436E8C"/>
    <w:rsid w:val="00457A13"/>
    <w:rsid w:val="00462E7D"/>
    <w:rsid w:val="00472481"/>
    <w:rsid w:val="00482D16"/>
    <w:rsid w:val="00485223"/>
    <w:rsid w:val="004857F8"/>
    <w:rsid w:val="00485B64"/>
    <w:rsid w:val="00485F04"/>
    <w:rsid w:val="00491E6C"/>
    <w:rsid w:val="004924D7"/>
    <w:rsid w:val="00493C9E"/>
    <w:rsid w:val="0049681C"/>
    <w:rsid w:val="00497CB5"/>
    <w:rsid w:val="004A5176"/>
    <w:rsid w:val="004A67FA"/>
    <w:rsid w:val="004A6BE6"/>
    <w:rsid w:val="004B032A"/>
    <w:rsid w:val="004B1A2D"/>
    <w:rsid w:val="004C0F34"/>
    <w:rsid w:val="004C2C4A"/>
    <w:rsid w:val="004C5F7C"/>
    <w:rsid w:val="004D4D4A"/>
    <w:rsid w:val="004D60D0"/>
    <w:rsid w:val="004D78F7"/>
    <w:rsid w:val="004E0D8D"/>
    <w:rsid w:val="004E170C"/>
    <w:rsid w:val="004F1D29"/>
    <w:rsid w:val="004F73BA"/>
    <w:rsid w:val="00501096"/>
    <w:rsid w:val="00502094"/>
    <w:rsid w:val="005054F1"/>
    <w:rsid w:val="00510199"/>
    <w:rsid w:val="005116E2"/>
    <w:rsid w:val="005117E7"/>
    <w:rsid w:val="0051252E"/>
    <w:rsid w:val="0051339F"/>
    <w:rsid w:val="00514241"/>
    <w:rsid w:val="00514D35"/>
    <w:rsid w:val="0051581F"/>
    <w:rsid w:val="00515E5C"/>
    <w:rsid w:val="00542BB8"/>
    <w:rsid w:val="00546211"/>
    <w:rsid w:val="005466FE"/>
    <w:rsid w:val="00550A0C"/>
    <w:rsid w:val="0055362E"/>
    <w:rsid w:val="0055673F"/>
    <w:rsid w:val="00564944"/>
    <w:rsid w:val="00572A77"/>
    <w:rsid w:val="00580169"/>
    <w:rsid w:val="005821DC"/>
    <w:rsid w:val="00586834"/>
    <w:rsid w:val="00594CA5"/>
    <w:rsid w:val="005960DF"/>
    <w:rsid w:val="005A0794"/>
    <w:rsid w:val="005A7438"/>
    <w:rsid w:val="005B0245"/>
    <w:rsid w:val="005B0FE4"/>
    <w:rsid w:val="005B4457"/>
    <w:rsid w:val="005D28DD"/>
    <w:rsid w:val="005E46E2"/>
    <w:rsid w:val="005F19A4"/>
    <w:rsid w:val="005F2ABD"/>
    <w:rsid w:val="005F61DE"/>
    <w:rsid w:val="006003EE"/>
    <w:rsid w:val="0060157A"/>
    <w:rsid w:val="006046D1"/>
    <w:rsid w:val="00610394"/>
    <w:rsid w:val="006144EF"/>
    <w:rsid w:val="00633C0A"/>
    <w:rsid w:val="006447CF"/>
    <w:rsid w:val="006503D7"/>
    <w:rsid w:val="00650AB3"/>
    <w:rsid w:val="00653957"/>
    <w:rsid w:val="00667592"/>
    <w:rsid w:val="00675D4A"/>
    <w:rsid w:val="00676E3A"/>
    <w:rsid w:val="00682FB6"/>
    <w:rsid w:val="00683C26"/>
    <w:rsid w:val="00692AA9"/>
    <w:rsid w:val="00696002"/>
    <w:rsid w:val="006963EC"/>
    <w:rsid w:val="006A7E28"/>
    <w:rsid w:val="006B0788"/>
    <w:rsid w:val="006B20F5"/>
    <w:rsid w:val="006B25BD"/>
    <w:rsid w:val="006B6837"/>
    <w:rsid w:val="006C321E"/>
    <w:rsid w:val="006C5702"/>
    <w:rsid w:val="006C7EFD"/>
    <w:rsid w:val="006D0101"/>
    <w:rsid w:val="006D24B7"/>
    <w:rsid w:val="006D2848"/>
    <w:rsid w:val="006D7460"/>
    <w:rsid w:val="006E1EA6"/>
    <w:rsid w:val="006E3695"/>
    <w:rsid w:val="006E473A"/>
    <w:rsid w:val="006E71DB"/>
    <w:rsid w:val="006F138D"/>
    <w:rsid w:val="006F2676"/>
    <w:rsid w:val="00712F28"/>
    <w:rsid w:val="00717E34"/>
    <w:rsid w:val="00722F86"/>
    <w:rsid w:val="007309AE"/>
    <w:rsid w:val="00732B97"/>
    <w:rsid w:val="00750BEF"/>
    <w:rsid w:val="007519A5"/>
    <w:rsid w:val="0075236D"/>
    <w:rsid w:val="00764883"/>
    <w:rsid w:val="007771B8"/>
    <w:rsid w:val="00786779"/>
    <w:rsid w:val="00787412"/>
    <w:rsid w:val="007875E7"/>
    <w:rsid w:val="00790B92"/>
    <w:rsid w:val="007921AA"/>
    <w:rsid w:val="00793116"/>
    <w:rsid w:val="0079621F"/>
    <w:rsid w:val="007A135C"/>
    <w:rsid w:val="007A3398"/>
    <w:rsid w:val="007A73EB"/>
    <w:rsid w:val="007B69FB"/>
    <w:rsid w:val="007B6B42"/>
    <w:rsid w:val="007C0798"/>
    <w:rsid w:val="007C213B"/>
    <w:rsid w:val="007C2849"/>
    <w:rsid w:val="007C3CB8"/>
    <w:rsid w:val="007C4A7B"/>
    <w:rsid w:val="007C54A2"/>
    <w:rsid w:val="007C5D66"/>
    <w:rsid w:val="007D372A"/>
    <w:rsid w:val="007D7757"/>
    <w:rsid w:val="007E25A2"/>
    <w:rsid w:val="007F0680"/>
    <w:rsid w:val="007F0DED"/>
    <w:rsid w:val="007F6A60"/>
    <w:rsid w:val="007F6C7E"/>
    <w:rsid w:val="00800ADD"/>
    <w:rsid w:val="00800C03"/>
    <w:rsid w:val="0081655C"/>
    <w:rsid w:val="00822942"/>
    <w:rsid w:val="00834551"/>
    <w:rsid w:val="0084294A"/>
    <w:rsid w:val="00856A9D"/>
    <w:rsid w:val="00860E01"/>
    <w:rsid w:val="00864CAE"/>
    <w:rsid w:val="00871FA2"/>
    <w:rsid w:val="00872D6E"/>
    <w:rsid w:val="008765FF"/>
    <w:rsid w:val="008939B0"/>
    <w:rsid w:val="00895EE0"/>
    <w:rsid w:val="008A1B59"/>
    <w:rsid w:val="008A24BD"/>
    <w:rsid w:val="008A6E76"/>
    <w:rsid w:val="008B12BC"/>
    <w:rsid w:val="008B316E"/>
    <w:rsid w:val="008C4F9A"/>
    <w:rsid w:val="008D00C6"/>
    <w:rsid w:val="008D30C5"/>
    <w:rsid w:val="008D3EDB"/>
    <w:rsid w:val="008E4DA0"/>
    <w:rsid w:val="008F7CED"/>
    <w:rsid w:val="00904AAE"/>
    <w:rsid w:val="00904C16"/>
    <w:rsid w:val="00913B25"/>
    <w:rsid w:val="00922C1E"/>
    <w:rsid w:val="00924595"/>
    <w:rsid w:val="0092758D"/>
    <w:rsid w:val="0093059F"/>
    <w:rsid w:val="00936382"/>
    <w:rsid w:val="009424D7"/>
    <w:rsid w:val="0094455A"/>
    <w:rsid w:val="009528B9"/>
    <w:rsid w:val="00962A96"/>
    <w:rsid w:val="009658D1"/>
    <w:rsid w:val="009704EB"/>
    <w:rsid w:val="0097322B"/>
    <w:rsid w:val="0097493D"/>
    <w:rsid w:val="00980A64"/>
    <w:rsid w:val="009A5A1D"/>
    <w:rsid w:val="009A7962"/>
    <w:rsid w:val="009B3063"/>
    <w:rsid w:val="009C4E05"/>
    <w:rsid w:val="009D1163"/>
    <w:rsid w:val="009D5AE8"/>
    <w:rsid w:val="009D5C50"/>
    <w:rsid w:val="009F19A1"/>
    <w:rsid w:val="009F1AE2"/>
    <w:rsid w:val="009F28D7"/>
    <w:rsid w:val="00A05FD2"/>
    <w:rsid w:val="00A17A7A"/>
    <w:rsid w:val="00A261FF"/>
    <w:rsid w:val="00A32765"/>
    <w:rsid w:val="00A32B49"/>
    <w:rsid w:val="00A355FD"/>
    <w:rsid w:val="00A464EE"/>
    <w:rsid w:val="00A52BC8"/>
    <w:rsid w:val="00A53C45"/>
    <w:rsid w:val="00A54BF3"/>
    <w:rsid w:val="00A62B88"/>
    <w:rsid w:val="00A6319F"/>
    <w:rsid w:val="00A63B27"/>
    <w:rsid w:val="00A67586"/>
    <w:rsid w:val="00A71543"/>
    <w:rsid w:val="00A75D2C"/>
    <w:rsid w:val="00A775C4"/>
    <w:rsid w:val="00A814FD"/>
    <w:rsid w:val="00A8633F"/>
    <w:rsid w:val="00A869EF"/>
    <w:rsid w:val="00A86EB0"/>
    <w:rsid w:val="00A9472D"/>
    <w:rsid w:val="00AA4770"/>
    <w:rsid w:val="00AB4311"/>
    <w:rsid w:val="00AC3205"/>
    <w:rsid w:val="00AC7044"/>
    <w:rsid w:val="00AD3727"/>
    <w:rsid w:val="00AD563C"/>
    <w:rsid w:val="00AE1E38"/>
    <w:rsid w:val="00AE3C4B"/>
    <w:rsid w:val="00AE66D5"/>
    <w:rsid w:val="00AE787C"/>
    <w:rsid w:val="00AF01BD"/>
    <w:rsid w:val="00AF1D21"/>
    <w:rsid w:val="00AF258F"/>
    <w:rsid w:val="00AF4366"/>
    <w:rsid w:val="00AF61E1"/>
    <w:rsid w:val="00B06F8A"/>
    <w:rsid w:val="00B11726"/>
    <w:rsid w:val="00B162F1"/>
    <w:rsid w:val="00B17D9B"/>
    <w:rsid w:val="00B22018"/>
    <w:rsid w:val="00B23CF4"/>
    <w:rsid w:val="00B32455"/>
    <w:rsid w:val="00B32505"/>
    <w:rsid w:val="00B41DA0"/>
    <w:rsid w:val="00B41EDF"/>
    <w:rsid w:val="00B52422"/>
    <w:rsid w:val="00B564E3"/>
    <w:rsid w:val="00B61F8E"/>
    <w:rsid w:val="00B62C4E"/>
    <w:rsid w:val="00B6435C"/>
    <w:rsid w:val="00B65A4A"/>
    <w:rsid w:val="00B714E8"/>
    <w:rsid w:val="00B71DBD"/>
    <w:rsid w:val="00B91D3D"/>
    <w:rsid w:val="00B92F9F"/>
    <w:rsid w:val="00B939FE"/>
    <w:rsid w:val="00B93D2A"/>
    <w:rsid w:val="00B93EC3"/>
    <w:rsid w:val="00BA7342"/>
    <w:rsid w:val="00BB0E53"/>
    <w:rsid w:val="00BB0FE2"/>
    <w:rsid w:val="00BB27C2"/>
    <w:rsid w:val="00BB34D8"/>
    <w:rsid w:val="00BB4BF7"/>
    <w:rsid w:val="00BC2D15"/>
    <w:rsid w:val="00BC2DAD"/>
    <w:rsid w:val="00BC456C"/>
    <w:rsid w:val="00BC6289"/>
    <w:rsid w:val="00BD0A4D"/>
    <w:rsid w:val="00BD69AE"/>
    <w:rsid w:val="00BD6DC7"/>
    <w:rsid w:val="00BE738B"/>
    <w:rsid w:val="00BF2639"/>
    <w:rsid w:val="00BF27F7"/>
    <w:rsid w:val="00BF737B"/>
    <w:rsid w:val="00C03A54"/>
    <w:rsid w:val="00C04175"/>
    <w:rsid w:val="00C16905"/>
    <w:rsid w:val="00C2194A"/>
    <w:rsid w:val="00C304DB"/>
    <w:rsid w:val="00C431F9"/>
    <w:rsid w:val="00C4720C"/>
    <w:rsid w:val="00C571AA"/>
    <w:rsid w:val="00C616D9"/>
    <w:rsid w:val="00C6227E"/>
    <w:rsid w:val="00C73126"/>
    <w:rsid w:val="00C734A7"/>
    <w:rsid w:val="00C763D2"/>
    <w:rsid w:val="00C76996"/>
    <w:rsid w:val="00C84E96"/>
    <w:rsid w:val="00C92722"/>
    <w:rsid w:val="00C927DF"/>
    <w:rsid w:val="00C92B4B"/>
    <w:rsid w:val="00C9645D"/>
    <w:rsid w:val="00CB2389"/>
    <w:rsid w:val="00CB4946"/>
    <w:rsid w:val="00CB5355"/>
    <w:rsid w:val="00CC0499"/>
    <w:rsid w:val="00CC7471"/>
    <w:rsid w:val="00CD5D4C"/>
    <w:rsid w:val="00CD6E50"/>
    <w:rsid w:val="00CE28A2"/>
    <w:rsid w:val="00CE7DF9"/>
    <w:rsid w:val="00CF032A"/>
    <w:rsid w:val="00D01329"/>
    <w:rsid w:val="00D03975"/>
    <w:rsid w:val="00D05827"/>
    <w:rsid w:val="00D07178"/>
    <w:rsid w:val="00D1426C"/>
    <w:rsid w:val="00D20A91"/>
    <w:rsid w:val="00D349C6"/>
    <w:rsid w:val="00D4231E"/>
    <w:rsid w:val="00D55CA8"/>
    <w:rsid w:val="00D66AFC"/>
    <w:rsid w:val="00D67120"/>
    <w:rsid w:val="00D70208"/>
    <w:rsid w:val="00D771E2"/>
    <w:rsid w:val="00D7788D"/>
    <w:rsid w:val="00D84867"/>
    <w:rsid w:val="00D854F9"/>
    <w:rsid w:val="00D860A9"/>
    <w:rsid w:val="00D90E1F"/>
    <w:rsid w:val="00D91210"/>
    <w:rsid w:val="00DA2427"/>
    <w:rsid w:val="00DA2981"/>
    <w:rsid w:val="00DA7147"/>
    <w:rsid w:val="00DB0902"/>
    <w:rsid w:val="00DB5845"/>
    <w:rsid w:val="00DD3428"/>
    <w:rsid w:val="00DE4088"/>
    <w:rsid w:val="00DE4AEA"/>
    <w:rsid w:val="00DE7F1B"/>
    <w:rsid w:val="00DF03D9"/>
    <w:rsid w:val="00DF628F"/>
    <w:rsid w:val="00DF70BB"/>
    <w:rsid w:val="00E02899"/>
    <w:rsid w:val="00E10F20"/>
    <w:rsid w:val="00E12E4E"/>
    <w:rsid w:val="00E153CA"/>
    <w:rsid w:val="00E202B8"/>
    <w:rsid w:val="00E27707"/>
    <w:rsid w:val="00E42431"/>
    <w:rsid w:val="00E42476"/>
    <w:rsid w:val="00E47081"/>
    <w:rsid w:val="00E5711D"/>
    <w:rsid w:val="00E676D2"/>
    <w:rsid w:val="00E70703"/>
    <w:rsid w:val="00E71894"/>
    <w:rsid w:val="00E753FC"/>
    <w:rsid w:val="00E75C27"/>
    <w:rsid w:val="00E76EFD"/>
    <w:rsid w:val="00E77664"/>
    <w:rsid w:val="00E83D1F"/>
    <w:rsid w:val="00E84B29"/>
    <w:rsid w:val="00E90710"/>
    <w:rsid w:val="00E95BA7"/>
    <w:rsid w:val="00EA0F80"/>
    <w:rsid w:val="00EA2586"/>
    <w:rsid w:val="00EA2790"/>
    <w:rsid w:val="00EB08DB"/>
    <w:rsid w:val="00EB2D0F"/>
    <w:rsid w:val="00EB4AFE"/>
    <w:rsid w:val="00EC03D3"/>
    <w:rsid w:val="00EC4CD8"/>
    <w:rsid w:val="00EC514F"/>
    <w:rsid w:val="00ED48E4"/>
    <w:rsid w:val="00ED56BC"/>
    <w:rsid w:val="00EE5CC9"/>
    <w:rsid w:val="00EF0EDD"/>
    <w:rsid w:val="00EF1A00"/>
    <w:rsid w:val="00EF59AF"/>
    <w:rsid w:val="00F00807"/>
    <w:rsid w:val="00F02A64"/>
    <w:rsid w:val="00F04A6F"/>
    <w:rsid w:val="00F077EA"/>
    <w:rsid w:val="00F10837"/>
    <w:rsid w:val="00F1256C"/>
    <w:rsid w:val="00F12A07"/>
    <w:rsid w:val="00F1313D"/>
    <w:rsid w:val="00F23FAB"/>
    <w:rsid w:val="00F26BA9"/>
    <w:rsid w:val="00F440E7"/>
    <w:rsid w:val="00F46BCF"/>
    <w:rsid w:val="00F500FD"/>
    <w:rsid w:val="00F55F7D"/>
    <w:rsid w:val="00F605CA"/>
    <w:rsid w:val="00F6374D"/>
    <w:rsid w:val="00F65DD1"/>
    <w:rsid w:val="00F67278"/>
    <w:rsid w:val="00F67C3C"/>
    <w:rsid w:val="00F74361"/>
    <w:rsid w:val="00F804D1"/>
    <w:rsid w:val="00F87B46"/>
    <w:rsid w:val="00F92F56"/>
    <w:rsid w:val="00F94A7F"/>
    <w:rsid w:val="00FA280E"/>
    <w:rsid w:val="00FA534D"/>
    <w:rsid w:val="00FC011C"/>
    <w:rsid w:val="00FC07D7"/>
    <w:rsid w:val="00FC5F6E"/>
    <w:rsid w:val="00FD6F61"/>
    <w:rsid w:val="00FD79CB"/>
    <w:rsid w:val="00FE1718"/>
    <w:rsid w:val="00FF054E"/>
    <w:rsid w:val="00FF39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33FF8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List Bullet" w:qFormat="1"/>
    <w:lsdException w:name="List Number" w:qFormat="1"/>
    <w:lsdException w:name="Title" w:uiPriority="10" w:qFormat="1"/>
    <w:lsdException w:name="Default Paragraph Font" w:uiPriority="1"/>
    <w:lsdException w:name="Subtitle" w:uiPriority="11" w:qFormat="1"/>
    <w:lsdException w:name="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3EC3"/>
    <w:pPr>
      <w:spacing w:before="120" w:after="120" w:line="300" w:lineRule="auto"/>
    </w:pPr>
    <w:rPr>
      <w:rFonts w:asciiTheme="minorHAnsi" w:hAnsiTheme="minorHAnsi"/>
      <w:sz w:val="22"/>
      <w:szCs w:val="24"/>
    </w:rPr>
  </w:style>
  <w:style w:type="paragraph" w:styleId="Heading1">
    <w:name w:val="heading 1"/>
    <w:basedOn w:val="Normal"/>
    <w:next w:val="Normal"/>
    <w:link w:val="Heading1Char"/>
    <w:uiPriority w:val="9"/>
    <w:qFormat/>
    <w:rsid w:val="008B316E"/>
    <w:pPr>
      <w:keepNext/>
      <w:keepLines/>
      <w:pBdr>
        <w:bottom w:val="single" w:sz="8" w:space="1" w:color="165788"/>
      </w:pBdr>
      <w:spacing w:before="480"/>
      <w:outlineLvl w:val="0"/>
    </w:pPr>
    <w:rPr>
      <w:rFonts w:ascii="Calibri" w:eastAsiaTheme="majorEastAsia" w:hAnsi="Calibri" w:cstheme="majorBidi"/>
      <w:b/>
      <w:bCs/>
      <w:color w:val="165788"/>
      <w:sz w:val="40"/>
      <w:szCs w:val="28"/>
    </w:rPr>
  </w:style>
  <w:style w:type="paragraph" w:styleId="Heading2">
    <w:name w:val="heading 2"/>
    <w:basedOn w:val="Normal"/>
    <w:next w:val="Normal"/>
    <w:link w:val="Heading2Char"/>
    <w:uiPriority w:val="9"/>
    <w:unhideWhenUsed/>
    <w:qFormat/>
    <w:rsid w:val="006503D7"/>
    <w:pPr>
      <w:keepNext/>
      <w:keepLines/>
      <w:tabs>
        <w:tab w:val="left" w:pos="567"/>
      </w:tabs>
      <w:spacing w:before="240" w:line="240" w:lineRule="auto"/>
      <w:outlineLvl w:val="1"/>
    </w:pPr>
    <w:rPr>
      <w:rFonts w:ascii="Calibri" w:eastAsiaTheme="majorEastAsia" w:hAnsi="Calibri" w:cstheme="majorBidi"/>
      <w:b/>
      <w:bCs/>
      <w:color w:val="165788"/>
      <w:sz w:val="32"/>
      <w:szCs w:val="26"/>
    </w:rPr>
  </w:style>
  <w:style w:type="paragraph" w:styleId="Heading3">
    <w:name w:val="heading 3"/>
    <w:basedOn w:val="Normal"/>
    <w:next w:val="Normal"/>
    <w:link w:val="Heading3Char"/>
    <w:uiPriority w:val="9"/>
    <w:unhideWhenUsed/>
    <w:qFormat/>
    <w:rsid w:val="006D24B7"/>
    <w:pPr>
      <w:keepNext/>
      <w:keepLines/>
      <w:spacing w:before="0"/>
      <w:outlineLvl w:val="2"/>
    </w:pPr>
    <w:rPr>
      <w:rFonts w:ascii="Calibri" w:eastAsiaTheme="majorEastAsia" w:hAnsi="Calibri" w:cstheme="majorBidi"/>
      <w:bCs/>
      <w:color w:val="165788"/>
      <w:sz w:val="24"/>
    </w:rPr>
  </w:style>
  <w:style w:type="paragraph" w:styleId="Heading4">
    <w:name w:val="heading 4"/>
    <w:basedOn w:val="Normal"/>
    <w:next w:val="Normal"/>
    <w:link w:val="Heading4Char"/>
    <w:uiPriority w:val="9"/>
    <w:unhideWhenUsed/>
    <w:qFormat/>
    <w:rsid w:val="00B32455"/>
    <w:pPr>
      <w:keepNext/>
      <w:keepLines/>
      <w:spacing w:before="200"/>
      <w:outlineLvl w:val="3"/>
    </w:pPr>
    <w:rPr>
      <w:rFonts w:ascii="Calibri" w:eastAsiaTheme="majorEastAsia" w:hAnsi="Calibri" w:cstheme="majorBidi"/>
      <w:b/>
      <w:bCs/>
      <w:iCs/>
      <w:sz w:val="26"/>
    </w:rPr>
  </w:style>
  <w:style w:type="paragraph" w:styleId="Heading5">
    <w:name w:val="heading 5"/>
    <w:basedOn w:val="Normal"/>
    <w:next w:val="Normal"/>
    <w:link w:val="Heading5Char"/>
    <w:uiPriority w:val="9"/>
    <w:unhideWhenUsed/>
    <w:qFormat/>
    <w:rsid w:val="00B32455"/>
    <w:pPr>
      <w:keepNext/>
      <w:keepLines/>
      <w:spacing w:before="200" w:after="0"/>
      <w:outlineLvl w:val="4"/>
    </w:pPr>
    <w:rPr>
      <w:rFonts w:ascii="Calibri" w:eastAsiaTheme="majorEastAsia" w:hAnsi="Calibri" w:cstheme="majorBidi"/>
      <w:b/>
      <w:sz w:val="24"/>
    </w:rPr>
  </w:style>
  <w:style w:type="paragraph" w:styleId="Heading6">
    <w:name w:val="heading 6"/>
    <w:basedOn w:val="Normal"/>
    <w:next w:val="Normal"/>
    <w:link w:val="Heading6Char"/>
    <w:uiPriority w:val="9"/>
    <w:semiHidden/>
    <w:unhideWhenUsed/>
    <w:qFormat/>
    <w:rsid w:val="00B32455"/>
    <w:pPr>
      <w:keepNext/>
      <w:keepLines/>
      <w:spacing w:before="200" w:after="0"/>
      <w:outlineLvl w:val="5"/>
    </w:pPr>
    <w:rPr>
      <w:rFonts w:ascii="Calibri" w:eastAsiaTheme="majorEastAsia" w:hAnsi="Calibri" w:cstheme="majorBidi"/>
      <w:b/>
      <w:iCs/>
    </w:rPr>
  </w:style>
  <w:style w:type="paragraph" w:styleId="Heading7">
    <w:name w:val="heading 7"/>
    <w:basedOn w:val="Normal"/>
    <w:next w:val="Normal"/>
    <w:link w:val="Heading7Char"/>
    <w:uiPriority w:val="9"/>
    <w:semiHidden/>
    <w:unhideWhenUsed/>
    <w:qFormat/>
    <w:rsid w:val="004B1A2D"/>
    <w:pPr>
      <w:pBdr>
        <w:bottom w:val="dotted" w:sz="8" w:space="1" w:color="67676C"/>
      </w:pBdr>
      <w:spacing w:before="200" w:after="100" w:line="240" w:lineRule="auto"/>
      <w:contextualSpacing/>
      <w:outlineLvl w:val="6"/>
    </w:pPr>
    <w:rPr>
      <w:rFonts w:ascii="Corbel" w:hAnsi="Corbel"/>
      <w:b/>
      <w:bCs/>
      <w:smallCaps/>
      <w:color w:val="67676C"/>
      <w:spacing w:val="20"/>
      <w:sz w:val="16"/>
      <w:szCs w:val="16"/>
      <w:lang w:val="en-US" w:eastAsia="en-US"/>
    </w:rPr>
  </w:style>
  <w:style w:type="paragraph" w:styleId="Heading8">
    <w:name w:val="heading 8"/>
    <w:basedOn w:val="Normal"/>
    <w:next w:val="Normal"/>
    <w:link w:val="Heading8Char"/>
    <w:uiPriority w:val="9"/>
    <w:semiHidden/>
    <w:unhideWhenUsed/>
    <w:qFormat/>
    <w:rsid w:val="004B1A2D"/>
    <w:pPr>
      <w:spacing w:before="200" w:after="60" w:line="240" w:lineRule="auto"/>
      <w:contextualSpacing/>
      <w:outlineLvl w:val="7"/>
    </w:pPr>
    <w:rPr>
      <w:rFonts w:ascii="Corbel" w:hAnsi="Corbel"/>
      <w:b/>
      <w:smallCaps/>
      <w:color w:val="67676C"/>
      <w:spacing w:val="20"/>
      <w:sz w:val="16"/>
      <w:szCs w:val="16"/>
      <w:lang w:val="en-US" w:eastAsia="en-US"/>
    </w:rPr>
  </w:style>
  <w:style w:type="paragraph" w:styleId="Heading9">
    <w:name w:val="heading 9"/>
    <w:basedOn w:val="Normal"/>
    <w:next w:val="Normal"/>
    <w:link w:val="Heading9Char"/>
    <w:uiPriority w:val="9"/>
    <w:semiHidden/>
    <w:unhideWhenUsed/>
    <w:qFormat/>
    <w:rsid w:val="004B1A2D"/>
    <w:pPr>
      <w:spacing w:before="200" w:after="60" w:line="240" w:lineRule="auto"/>
      <w:contextualSpacing/>
      <w:outlineLvl w:val="8"/>
    </w:pPr>
    <w:rPr>
      <w:rFonts w:ascii="Corbel" w:hAnsi="Corbel"/>
      <w:smallCaps/>
      <w:color w:val="67676C"/>
      <w:spacing w:val="20"/>
      <w:sz w:val="16"/>
      <w:szCs w:val="1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lt;EM&gt;"/>
    <w:basedOn w:val="DefaultParagraphFont"/>
    <w:uiPriority w:val="20"/>
    <w:qFormat/>
    <w:rsid w:val="00822942"/>
    <w:rPr>
      <w:rFonts w:asciiTheme="minorHAnsi" w:hAnsiTheme="minorHAnsi"/>
      <w:i/>
      <w:iCs/>
      <w:sz w:val="22"/>
    </w:rPr>
  </w:style>
  <w:style w:type="paragraph" w:styleId="NormalWeb">
    <w:name w:val="Normal (Web)"/>
    <w:basedOn w:val="Normal"/>
    <w:link w:val="NormalWebChar"/>
    <w:uiPriority w:val="99"/>
    <w:unhideWhenUsed/>
    <w:rsid w:val="00AF1D21"/>
    <w:pPr>
      <w:spacing w:before="100" w:beforeAutospacing="1" w:after="100" w:afterAutospacing="1"/>
    </w:pPr>
  </w:style>
  <w:style w:type="paragraph" w:styleId="Title">
    <w:name w:val="Title"/>
    <w:basedOn w:val="Normal"/>
    <w:next w:val="Normal"/>
    <w:link w:val="TitleChar"/>
    <w:uiPriority w:val="10"/>
    <w:qFormat/>
    <w:rsid w:val="00B32455"/>
    <w:pPr>
      <w:spacing w:before="1440" w:after="360"/>
      <w:contextualSpacing/>
      <w:jc w:val="right"/>
    </w:pPr>
    <w:rPr>
      <w:rFonts w:ascii="Calibri" w:eastAsiaTheme="majorEastAsia" w:hAnsi="Calibri" w:cstheme="majorBidi"/>
      <w:b/>
      <w:color w:val="165788"/>
      <w:spacing w:val="5"/>
      <w:kern w:val="28"/>
      <w:sz w:val="72"/>
      <w:szCs w:val="52"/>
    </w:rPr>
  </w:style>
  <w:style w:type="character" w:customStyle="1" w:styleId="TitleChar">
    <w:name w:val="Title Char"/>
    <w:basedOn w:val="DefaultParagraphFont"/>
    <w:link w:val="Title"/>
    <w:uiPriority w:val="10"/>
    <w:rsid w:val="00B32455"/>
    <w:rPr>
      <w:rFonts w:ascii="Calibri" w:eastAsiaTheme="majorEastAsia" w:hAnsi="Calibri" w:cstheme="majorBidi"/>
      <w:b/>
      <w:color w:val="165788"/>
      <w:spacing w:val="5"/>
      <w:kern w:val="28"/>
      <w:sz w:val="72"/>
      <w:szCs w:val="52"/>
    </w:rPr>
  </w:style>
  <w:style w:type="paragraph" w:styleId="Subtitle">
    <w:name w:val="Subtitle"/>
    <w:basedOn w:val="Normal"/>
    <w:next w:val="Normal"/>
    <w:link w:val="SubtitleChar"/>
    <w:uiPriority w:val="11"/>
    <w:qFormat/>
    <w:rsid w:val="00B32455"/>
    <w:pPr>
      <w:numPr>
        <w:ilvl w:val="1"/>
      </w:numPr>
      <w:jc w:val="right"/>
    </w:pPr>
    <w:rPr>
      <w:rFonts w:ascii="Calibri" w:eastAsiaTheme="majorEastAsia" w:hAnsi="Calibri" w:cstheme="majorBidi"/>
      <w:iCs/>
      <w:color w:val="165788"/>
      <w:spacing w:val="15"/>
      <w:sz w:val="40"/>
    </w:rPr>
  </w:style>
  <w:style w:type="character" w:customStyle="1" w:styleId="SubtitleChar">
    <w:name w:val="Subtitle Char"/>
    <w:basedOn w:val="DefaultParagraphFont"/>
    <w:link w:val="Subtitle"/>
    <w:uiPriority w:val="11"/>
    <w:rsid w:val="00B32455"/>
    <w:rPr>
      <w:rFonts w:ascii="Calibri" w:eastAsiaTheme="majorEastAsia" w:hAnsi="Calibri" w:cstheme="majorBidi"/>
      <w:iCs/>
      <w:color w:val="165788"/>
      <w:spacing w:val="15"/>
      <w:sz w:val="40"/>
      <w:szCs w:val="24"/>
    </w:rPr>
  </w:style>
  <w:style w:type="character" w:customStyle="1" w:styleId="Heading1Char">
    <w:name w:val="Heading 1 Char"/>
    <w:basedOn w:val="DefaultParagraphFont"/>
    <w:link w:val="Heading1"/>
    <w:uiPriority w:val="9"/>
    <w:rsid w:val="008B316E"/>
    <w:rPr>
      <w:rFonts w:ascii="Calibri" w:eastAsiaTheme="majorEastAsia" w:hAnsi="Calibri" w:cstheme="majorBidi"/>
      <w:b/>
      <w:bCs/>
      <w:color w:val="165788"/>
      <w:sz w:val="40"/>
      <w:szCs w:val="28"/>
    </w:rPr>
  </w:style>
  <w:style w:type="character" w:customStyle="1" w:styleId="Heading2Char">
    <w:name w:val="Heading 2 Char"/>
    <w:basedOn w:val="DefaultParagraphFont"/>
    <w:link w:val="Heading2"/>
    <w:uiPriority w:val="9"/>
    <w:rsid w:val="006503D7"/>
    <w:rPr>
      <w:rFonts w:ascii="Calibri" w:eastAsiaTheme="majorEastAsia" w:hAnsi="Calibri" w:cstheme="majorBidi"/>
      <w:b/>
      <w:bCs/>
      <w:color w:val="165788"/>
      <w:sz w:val="32"/>
      <w:szCs w:val="26"/>
    </w:rPr>
  </w:style>
  <w:style w:type="character" w:customStyle="1" w:styleId="Heading3Char">
    <w:name w:val="Heading 3 Char"/>
    <w:basedOn w:val="DefaultParagraphFont"/>
    <w:link w:val="Heading3"/>
    <w:uiPriority w:val="9"/>
    <w:rsid w:val="006D24B7"/>
    <w:rPr>
      <w:rFonts w:ascii="Calibri" w:eastAsiaTheme="majorEastAsia" w:hAnsi="Calibri" w:cstheme="majorBidi"/>
      <w:bCs/>
      <w:color w:val="165788"/>
      <w:sz w:val="24"/>
      <w:szCs w:val="24"/>
    </w:rPr>
  </w:style>
  <w:style w:type="character" w:customStyle="1" w:styleId="Heading4Char">
    <w:name w:val="Heading 4 Char"/>
    <w:basedOn w:val="DefaultParagraphFont"/>
    <w:link w:val="Heading4"/>
    <w:uiPriority w:val="9"/>
    <w:rsid w:val="00B32455"/>
    <w:rPr>
      <w:rFonts w:ascii="Calibri" w:eastAsiaTheme="majorEastAsia" w:hAnsi="Calibri" w:cstheme="majorBidi"/>
      <w:b/>
      <w:bCs/>
      <w:iCs/>
      <w:sz w:val="26"/>
      <w:szCs w:val="24"/>
    </w:rPr>
  </w:style>
  <w:style w:type="paragraph" w:styleId="Header">
    <w:name w:val="header"/>
    <w:basedOn w:val="Normal"/>
    <w:link w:val="HeaderChar"/>
    <w:uiPriority w:val="99"/>
    <w:rsid w:val="006D0101"/>
    <w:pPr>
      <w:tabs>
        <w:tab w:val="center" w:pos="4513"/>
        <w:tab w:val="right" w:pos="9026"/>
      </w:tabs>
    </w:pPr>
  </w:style>
  <w:style w:type="character" w:customStyle="1" w:styleId="HeaderChar">
    <w:name w:val="Header Char"/>
    <w:basedOn w:val="DefaultParagraphFont"/>
    <w:link w:val="Header"/>
    <w:uiPriority w:val="99"/>
    <w:rsid w:val="006D0101"/>
    <w:rPr>
      <w:sz w:val="24"/>
      <w:szCs w:val="24"/>
    </w:rPr>
  </w:style>
  <w:style w:type="paragraph" w:styleId="Footer">
    <w:name w:val="footer"/>
    <w:basedOn w:val="Normal"/>
    <w:link w:val="FooterChar"/>
    <w:uiPriority w:val="99"/>
    <w:rsid w:val="006D0101"/>
    <w:pPr>
      <w:tabs>
        <w:tab w:val="center" w:pos="4513"/>
        <w:tab w:val="right" w:pos="9026"/>
      </w:tabs>
    </w:pPr>
  </w:style>
  <w:style w:type="character" w:customStyle="1" w:styleId="FooterChar">
    <w:name w:val="Footer Char"/>
    <w:basedOn w:val="DefaultParagraphFont"/>
    <w:link w:val="Footer"/>
    <w:uiPriority w:val="99"/>
    <w:rsid w:val="006D0101"/>
    <w:rPr>
      <w:sz w:val="24"/>
      <w:szCs w:val="24"/>
    </w:rPr>
  </w:style>
  <w:style w:type="character" w:styleId="Strong">
    <w:name w:val="Strong"/>
    <w:basedOn w:val="DefaultParagraphFont"/>
    <w:uiPriority w:val="22"/>
    <w:qFormat/>
    <w:rsid w:val="0022116C"/>
    <w:rPr>
      <w:b/>
      <w:bCs/>
    </w:rPr>
  </w:style>
  <w:style w:type="paragraph" w:styleId="Quote">
    <w:name w:val="Quote"/>
    <w:basedOn w:val="Normal"/>
    <w:next w:val="Normal"/>
    <w:link w:val="QuoteChar"/>
    <w:uiPriority w:val="29"/>
    <w:qFormat/>
    <w:rsid w:val="00B32455"/>
    <w:pPr>
      <w:spacing w:before="240" w:after="240"/>
      <w:ind w:left="284" w:right="284"/>
    </w:pPr>
    <w:rPr>
      <w:rFonts w:ascii="Calibri" w:hAnsi="Calibri"/>
      <w:i/>
      <w:iCs/>
      <w:color w:val="000000" w:themeColor="text1"/>
    </w:rPr>
  </w:style>
  <w:style w:type="character" w:customStyle="1" w:styleId="QuoteChar">
    <w:name w:val="Quote Char"/>
    <w:basedOn w:val="DefaultParagraphFont"/>
    <w:link w:val="Quote"/>
    <w:uiPriority w:val="29"/>
    <w:rsid w:val="00B32455"/>
    <w:rPr>
      <w:rFonts w:ascii="Calibri" w:hAnsi="Calibri"/>
      <w:i/>
      <w:iCs/>
      <w:color w:val="000000" w:themeColor="text1"/>
      <w:sz w:val="22"/>
      <w:szCs w:val="24"/>
    </w:rPr>
  </w:style>
  <w:style w:type="paragraph" w:styleId="BalloonText">
    <w:name w:val="Balloon Text"/>
    <w:basedOn w:val="Normal"/>
    <w:link w:val="BalloonTextChar"/>
    <w:uiPriority w:val="99"/>
    <w:rsid w:val="009528B9"/>
    <w:rPr>
      <w:rFonts w:ascii="Tahoma" w:hAnsi="Tahoma" w:cs="Tahoma"/>
      <w:sz w:val="16"/>
      <w:szCs w:val="16"/>
    </w:rPr>
  </w:style>
  <w:style w:type="character" w:customStyle="1" w:styleId="BalloonTextChar">
    <w:name w:val="Balloon Text Char"/>
    <w:basedOn w:val="DefaultParagraphFont"/>
    <w:link w:val="BalloonText"/>
    <w:uiPriority w:val="99"/>
    <w:rsid w:val="009528B9"/>
    <w:rPr>
      <w:rFonts w:ascii="Tahoma" w:hAnsi="Tahoma" w:cs="Tahoma"/>
      <w:sz w:val="16"/>
      <w:szCs w:val="16"/>
    </w:rPr>
  </w:style>
  <w:style w:type="paragraph" w:styleId="Caption">
    <w:name w:val="caption"/>
    <w:basedOn w:val="Normal"/>
    <w:next w:val="Normal"/>
    <w:uiPriority w:val="35"/>
    <w:unhideWhenUsed/>
    <w:qFormat/>
    <w:rsid w:val="00B32455"/>
    <w:pPr>
      <w:spacing w:before="0" w:after="0"/>
    </w:pPr>
    <w:rPr>
      <w:b/>
      <w:bCs/>
      <w:color w:val="165788"/>
      <w:sz w:val="20"/>
      <w:szCs w:val="18"/>
    </w:rPr>
  </w:style>
  <w:style w:type="table" w:styleId="TableGrid">
    <w:name w:val="Table Grid"/>
    <w:basedOn w:val="TableNormal"/>
    <w:uiPriority w:val="59"/>
    <w:rsid w:val="004924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Web"/>
    <w:link w:val="TableHeadingChar"/>
    <w:qFormat/>
    <w:rsid w:val="00B32455"/>
    <w:rPr>
      <w:rFonts w:ascii="Calibri" w:hAnsi="Calibri"/>
      <w:b/>
      <w:color w:val="FFFFFF" w:themeColor="background1"/>
    </w:rPr>
  </w:style>
  <w:style w:type="paragraph" w:styleId="ListNumber">
    <w:name w:val="List Number"/>
    <w:basedOn w:val="Normal"/>
    <w:link w:val="ListNumberChar"/>
    <w:qFormat/>
    <w:rsid w:val="00546211"/>
    <w:pPr>
      <w:numPr>
        <w:numId w:val="2"/>
      </w:numPr>
      <w:contextualSpacing/>
    </w:pPr>
  </w:style>
  <w:style w:type="character" w:customStyle="1" w:styleId="NormalWebChar">
    <w:name w:val="Normal (Web) Char"/>
    <w:basedOn w:val="DefaultParagraphFont"/>
    <w:link w:val="NormalWeb"/>
    <w:uiPriority w:val="99"/>
    <w:rsid w:val="0032332A"/>
    <w:rPr>
      <w:sz w:val="24"/>
      <w:szCs w:val="24"/>
    </w:rPr>
  </w:style>
  <w:style w:type="character" w:customStyle="1" w:styleId="TableHeadingChar">
    <w:name w:val="Table Heading Char"/>
    <w:basedOn w:val="NormalWebChar"/>
    <w:link w:val="TableHeading"/>
    <w:rsid w:val="00B32455"/>
    <w:rPr>
      <w:rFonts w:ascii="Calibri" w:hAnsi="Calibri"/>
      <w:b/>
      <w:color w:val="FFFFFF" w:themeColor="background1"/>
      <w:sz w:val="22"/>
      <w:szCs w:val="24"/>
    </w:rPr>
  </w:style>
  <w:style w:type="paragraph" w:styleId="ListBullet">
    <w:name w:val="List Bullet"/>
    <w:basedOn w:val="Normal"/>
    <w:qFormat/>
    <w:rsid w:val="00546211"/>
    <w:pPr>
      <w:numPr>
        <w:numId w:val="1"/>
      </w:numPr>
      <w:contextualSpacing/>
    </w:pPr>
  </w:style>
  <w:style w:type="character" w:styleId="Hyperlink">
    <w:name w:val="Hyperlink"/>
    <w:basedOn w:val="DefaultParagraphFont"/>
    <w:uiPriority w:val="99"/>
    <w:unhideWhenUsed/>
    <w:rsid w:val="00750BEF"/>
    <w:rPr>
      <w:color w:val="0000FF" w:themeColor="hyperlink"/>
      <w:u w:val="single"/>
    </w:rPr>
  </w:style>
  <w:style w:type="paragraph" w:styleId="TOC1">
    <w:name w:val="toc 1"/>
    <w:basedOn w:val="Normal"/>
    <w:next w:val="Normal"/>
    <w:autoRedefine/>
    <w:uiPriority w:val="39"/>
    <w:rsid w:val="007E25A2"/>
    <w:pPr>
      <w:tabs>
        <w:tab w:val="left" w:pos="8675"/>
      </w:tabs>
      <w:spacing w:after="100"/>
      <w:ind w:left="567"/>
    </w:pPr>
    <w:rPr>
      <w:rFonts w:ascii="Calibri" w:hAnsi="Calibri"/>
      <w:b/>
      <w:color w:val="165788"/>
    </w:rPr>
  </w:style>
  <w:style w:type="paragraph" w:styleId="TOC2">
    <w:name w:val="toc 2"/>
    <w:basedOn w:val="Normal"/>
    <w:next w:val="Normal"/>
    <w:autoRedefine/>
    <w:uiPriority w:val="39"/>
    <w:rsid w:val="00BB0E53"/>
    <w:pPr>
      <w:tabs>
        <w:tab w:val="left" w:pos="880"/>
        <w:tab w:val="right" w:leader="dot" w:pos="8898"/>
      </w:tabs>
      <w:spacing w:after="100"/>
      <w:ind w:left="1134"/>
    </w:pPr>
    <w:rPr>
      <w:rFonts w:ascii="Calibri" w:eastAsiaTheme="majorEastAsia" w:hAnsi="Calibri"/>
      <w:b/>
      <w:noProof/>
    </w:rPr>
  </w:style>
  <w:style w:type="paragraph" w:styleId="TOC3">
    <w:name w:val="toc 3"/>
    <w:basedOn w:val="Normal"/>
    <w:next w:val="Normal"/>
    <w:autoRedefine/>
    <w:uiPriority w:val="39"/>
    <w:rsid w:val="007E25A2"/>
    <w:pPr>
      <w:tabs>
        <w:tab w:val="right" w:leader="dot" w:pos="8898"/>
      </w:tabs>
      <w:spacing w:after="100"/>
      <w:ind w:left="1843"/>
    </w:pPr>
    <w:rPr>
      <w:rFonts w:ascii="Calibri" w:hAnsi="Calibri"/>
      <w:i/>
    </w:rPr>
  </w:style>
  <w:style w:type="paragraph" w:styleId="NoSpacing">
    <w:name w:val="No Spacing"/>
    <w:link w:val="NoSpacingChar"/>
    <w:uiPriority w:val="1"/>
    <w:qFormat/>
    <w:rsid w:val="00B32455"/>
    <w:rPr>
      <w:rFonts w:ascii="Calibri" w:eastAsiaTheme="minorEastAsia" w:hAnsi="Calibri" w:cstheme="minorBidi"/>
      <w:sz w:val="22"/>
      <w:szCs w:val="22"/>
      <w:lang w:val="en-US" w:eastAsia="ja-JP"/>
    </w:rPr>
  </w:style>
  <w:style w:type="character" w:customStyle="1" w:styleId="NoSpacingChar">
    <w:name w:val="No Spacing Char"/>
    <w:basedOn w:val="DefaultParagraphFont"/>
    <w:link w:val="NoSpacing"/>
    <w:uiPriority w:val="1"/>
    <w:rsid w:val="00B32455"/>
    <w:rPr>
      <w:rFonts w:ascii="Calibri" w:eastAsiaTheme="minorEastAsia" w:hAnsi="Calibri" w:cstheme="minorBidi"/>
      <w:sz w:val="22"/>
      <w:szCs w:val="22"/>
      <w:lang w:val="en-US" w:eastAsia="ja-JP"/>
    </w:rPr>
  </w:style>
  <w:style w:type="paragraph" w:customStyle="1" w:styleId="SecurityRating">
    <w:name w:val="Security Rating"/>
    <w:basedOn w:val="Normal"/>
    <w:link w:val="SecurityRatingChar"/>
    <w:qFormat/>
    <w:rsid w:val="00214486"/>
    <w:pPr>
      <w:spacing w:before="0" w:after="200" w:line="240" w:lineRule="auto"/>
      <w:contextualSpacing/>
      <w:jc w:val="center"/>
    </w:pPr>
    <w:rPr>
      <w:b/>
      <w:color w:val="FF0000"/>
      <w:lang w:bidi="en-US"/>
    </w:rPr>
  </w:style>
  <w:style w:type="character" w:styleId="PlaceholderText">
    <w:name w:val="Placeholder Text"/>
    <w:basedOn w:val="DefaultParagraphFont"/>
    <w:uiPriority w:val="99"/>
    <w:semiHidden/>
    <w:rsid w:val="008B316E"/>
    <w:rPr>
      <w:color w:val="808080"/>
    </w:rPr>
  </w:style>
  <w:style w:type="character" w:customStyle="1" w:styleId="SecurityRatingChar">
    <w:name w:val="Security Rating Char"/>
    <w:basedOn w:val="DefaultParagraphFont"/>
    <w:link w:val="SecurityRating"/>
    <w:rsid w:val="00214486"/>
    <w:rPr>
      <w:rFonts w:asciiTheme="minorHAnsi" w:hAnsiTheme="minorHAnsi"/>
      <w:b/>
      <w:color w:val="FF0000"/>
      <w:sz w:val="22"/>
      <w:szCs w:val="24"/>
      <w:lang w:bidi="en-US"/>
    </w:rPr>
  </w:style>
  <w:style w:type="paragraph" w:customStyle="1" w:styleId="NonTOCHeading1">
    <w:name w:val="Non TOC Heading 1"/>
    <w:basedOn w:val="Heading1"/>
    <w:link w:val="NonTOCHeading1Char"/>
    <w:qFormat/>
    <w:rsid w:val="008B316E"/>
  </w:style>
  <w:style w:type="character" w:customStyle="1" w:styleId="Heading5Char">
    <w:name w:val="Heading 5 Char"/>
    <w:basedOn w:val="DefaultParagraphFont"/>
    <w:link w:val="Heading5"/>
    <w:uiPriority w:val="9"/>
    <w:rsid w:val="00B32455"/>
    <w:rPr>
      <w:rFonts w:ascii="Calibri" w:eastAsiaTheme="majorEastAsia" w:hAnsi="Calibri" w:cstheme="majorBidi"/>
      <w:b/>
      <w:sz w:val="24"/>
      <w:szCs w:val="24"/>
    </w:rPr>
  </w:style>
  <w:style w:type="character" w:customStyle="1" w:styleId="NonTOCHeading1Char">
    <w:name w:val="Non TOC Heading 1 Char"/>
    <w:basedOn w:val="Heading1Char"/>
    <w:link w:val="NonTOCHeading1"/>
    <w:rsid w:val="008B316E"/>
    <w:rPr>
      <w:rFonts w:ascii="Calibri" w:eastAsiaTheme="majorEastAsia" w:hAnsi="Calibri" w:cstheme="majorBidi"/>
      <w:b/>
      <w:bCs/>
      <w:color w:val="165788"/>
      <w:sz w:val="40"/>
      <w:szCs w:val="28"/>
    </w:rPr>
  </w:style>
  <w:style w:type="character" w:customStyle="1" w:styleId="Heading6Char">
    <w:name w:val="Heading 6 Char"/>
    <w:basedOn w:val="DefaultParagraphFont"/>
    <w:link w:val="Heading6"/>
    <w:uiPriority w:val="9"/>
    <w:semiHidden/>
    <w:rsid w:val="00B32455"/>
    <w:rPr>
      <w:rFonts w:ascii="Calibri" w:eastAsiaTheme="majorEastAsia" w:hAnsi="Calibri" w:cstheme="majorBidi"/>
      <w:b/>
      <w:iCs/>
      <w:sz w:val="22"/>
      <w:szCs w:val="24"/>
    </w:rPr>
  </w:style>
  <w:style w:type="paragraph" w:styleId="TOC4">
    <w:name w:val="toc 4"/>
    <w:basedOn w:val="Normal"/>
    <w:next w:val="Normal"/>
    <w:autoRedefine/>
    <w:rsid w:val="00CF032A"/>
    <w:pPr>
      <w:spacing w:after="100"/>
      <w:ind w:left="660"/>
    </w:pPr>
    <w:rPr>
      <w:rFonts w:ascii="Calibri" w:hAnsi="Calibri"/>
    </w:rPr>
  </w:style>
  <w:style w:type="paragraph" w:styleId="TOC5">
    <w:name w:val="toc 5"/>
    <w:basedOn w:val="Normal"/>
    <w:next w:val="Normal"/>
    <w:autoRedefine/>
    <w:rsid w:val="00CF032A"/>
    <w:pPr>
      <w:spacing w:after="100"/>
      <w:ind w:left="880"/>
    </w:pPr>
    <w:rPr>
      <w:rFonts w:ascii="Calibri" w:hAnsi="Calibri"/>
    </w:rPr>
  </w:style>
  <w:style w:type="paragraph" w:styleId="TOC6">
    <w:name w:val="toc 6"/>
    <w:basedOn w:val="Normal"/>
    <w:next w:val="Normal"/>
    <w:autoRedefine/>
    <w:rsid w:val="00CF032A"/>
    <w:pPr>
      <w:spacing w:after="100"/>
      <w:ind w:left="1100"/>
    </w:pPr>
    <w:rPr>
      <w:rFonts w:ascii="Calibri" w:hAnsi="Calibri"/>
    </w:rPr>
  </w:style>
  <w:style w:type="paragraph" w:customStyle="1" w:styleId="ShadedBoxHeader">
    <w:name w:val="Shaded Box Header"/>
    <w:basedOn w:val="Normal"/>
    <w:link w:val="ShadedBoxHeaderChar"/>
    <w:qFormat/>
    <w:rsid w:val="00485223"/>
    <w:pPr>
      <w:pBdr>
        <w:top w:val="single" w:sz="12" w:space="1" w:color="165788"/>
        <w:left w:val="single" w:sz="12" w:space="4" w:color="165788"/>
        <w:right w:val="single" w:sz="12" w:space="4" w:color="165788"/>
      </w:pBdr>
      <w:shd w:val="clear" w:color="auto" w:fill="E2EAF0"/>
      <w:spacing w:after="0"/>
      <w:ind w:left="357" w:hanging="357"/>
    </w:pPr>
    <w:rPr>
      <w:b/>
      <w:color w:val="165788"/>
      <w:sz w:val="28"/>
    </w:rPr>
  </w:style>
  <w:style w:type="paragraph" w:customStyle="1" w:styleId="ShadedBoxBody">
    <w:name w:val="Shaded Box Body"/>
    <w:basedOn w:val="Normal"/>
    <w:link w:val="ShadedBoxBodyChar"/>
    <w:qFormat/>
    <w:rsid w:val="00D771E2"/>
    <w:pPr>
      <w:pBdr>
        <w:left w:val="single" w:sz="12" w:space="4" w:color="165788"/>
        <w:bottom w:val="single" w:sz="12" w:space="1" w:color="165788"/>
        <w:right w:val="single" w:sz="12" w:space="4" w:color="165788"/>
      </w:pBdr>
      <w:shd w:val="clear" w:color="auto" w:fill="E2EAF0"/>
      <w:tabs>
        <w:tab w:val="left" w:pos="567"/>
      </w:tabs>
      <w:spacing w:before="0"/>
    </w:pPr>
  </w:style>
  <w:style w:type="character" w:customStyle="1" w:styleId="ListNumberChar">
    <w:name w:val="List Number Char"/>
    <w:basedOn w:val="DefaultParagraphFont"/>
    <w:link w:val="ListNumber"/>
    <w:rsid w:val="00485223"/>
    <w:rPr>
      <w:rFonts w:asciiTheme="minorHAnsi" w:hAnsiTheme="minorHAnsi"/>
      <w:sz w:val="22"/>
      <w:szCs w:val="24"/>
    </w:rPr>
  </w:style>
  <w:style w:type="character" w:customStyle="1" w:styleId="ShadedBoxHeaderChar">
    <w:name w:val="Shaded Box Header Char"/>
    <w:basedOn w:val="ListNumberChar"/>
    <w:link w:val="ShadedBoxHeader"/>
    <w:rsid w:val="00485223"/>
    <w:rPr>
      <w:rFonts w:asciiTheme="minorHAnsi" w:hAnsiTheme="minorHAnsi"/>
      <w:b/>
      <w:color w:val="165788"/>
      <w:sz w:val="28"/>
      <w:szCs w:val="24"/>
      <w:shd w:val="clear" w:color="auto" w:fill="E2EAF0"/>
    </w:rPr>
  </w:style>
  <w:style w:type="character" w:customStyle="1" w:styleId="ShadedBoxBodyChar">
    <w:name w:val="Shaded Box Body Char"/>
    <w:basedOn w:val="ShadedBoxHeaderChar"/>
    <w:link w:val="ShadedBoxBody"/>
    <w:rsid w:val="00D771E2"/>
    <w:rPr>
      <w:rFonts w:asciiTheme="minorHAnsi" w:hAnsiTheme="minorHAnsi"/>
      <w:b/>
      <w:color w:val="165788"/>
      <w:sz w:val="22"/>
      <w:szCs w:val="24"/>
      <w:shd w:val="clear" w:color="auto" w:fill="FFFFFF"/>
    </w:rPr>
  </w:style>
  <w:style w:type="character" w:customStyle="1" w:styleId="Heading7Char">
    <w:name w:val="Heading 7 Char"/>
    <w:basedOn w:val="DefaultParagraphFont"/>
    <w:link w:val="Heading7"/>
    <w:uiPriority w:val="9"/>
    <w:semiHidden/>
    <w:rsid w:val="004B1A2D"/>
    <w:rPr>
      <w:rFonts w:ascii="Corbel" w:hAnsi="Corbel"/>
      <w:b/>
      <w:bCs/>
      <w:smallCaps/>
      <w:color w:val="67676C"/>
      <w:spacing w:val="20"/>
      <w:sz w:val="16"/>
      <w:szCs w:val="16"/>
      <w:lang w:val="en-US" w:eastAsia="en-US"/>
    </w:rPr>
  </w:style>
  <w:style w:type="character" w:customStyle="1" w:styleId="Heading8Char">
    <w:name w:val="Heading 8 Char"/>
    <w:basedOn w:val="DefaultParagraphFont"/>
    <w:link w:val="Heading8"/>
    <w:uiPriority w:val="9"/>
    <w:semiHidden/>
    <w:rsid w:val="004B1A2D"/>
    <w:rPr>
      <w:rFonts w:ascii="Corbel" w:hAnsi="Corbel"/>
      <w:b/>
      <w:smallCaps/>
      <w:color w:val="67676C"/>
      <w:spacing w:val="20"/>
      <w:sz w:val="16"/>
      <w:szCs w:val="16"/>
      <w:lang w:val="en-US" w:eastAsia="en-US"/>
    </w:rPr>
  </w:style>
  <w:style w:type="character" w:customStyle="1" w:styleId="Heading9Char">
    <w:name w:val="Heading 9 Char"/>
    <w:basedOn w:val="DefaultParagraphFont"/>
    <w:link w:val="Heading9"/>
    <w:uiPriority w:val="9"/>
    <w:semiHidden/>
    <w:rsid w:val="004B1A2D"/>
    <w:rPr>
      <w:rFonts w:ascii="Corbel" w:hAnsi="Corbel"/>
      <w:smallCaps/>
      <w:color w:val="67676C"/>
      <w:spacing w:val="20"/>
      <w:sz w:val="16"/>
      <w:szCs w:val="16"/>
      <w:lang w:val="en-US" w:eastAsia="en-US"/>
    </w:rPr>
  </w:style>
  <w:style w:type="paragraph" w:styleId="ListParagraph">
    <w:name w:val="List Paragraph"/>
    <w:basedOn w:val="Normal"/>
    <w:uiPriority w:val="34"/>
    <w:qFormat/>
    <w:rsid w:val="004B1A2D"/>
    <w:pPr>
      <w:spacing w:before="0" w:after="160" w:line="288" w:lineRule="auto"/>
      <w:ind w:left="720"/>
      <w:contextualSpacing/>
    </w:pPr>
    <w:rPr>
      <w:rFonts w:ascii="Corbel" w:eastAsia="Corbel" w:hAnsi="Corbel"/>
      <w:color w:val="5A5A5A"/>
      <w:sz w:val="24"/>
      <w:szCs w:val="20"/>
      <w:lang w:val="en-US" w:eastAsia="en-US" w:bidi="en-US"/>
    </w:rPr>
  </w:style>
  <w:style w:type="paragraph" w:styleId="IntenseQuote">
    <w:name w:val="Intense Quote"/>
    <w:basedOn w:val="Normal"/>
    <w:next w:val="Normal"/>
    <w:link w:val="IntenseQuoteChar"/>
    <w:uiPriority w:val="30"/>
    <w:qFormat/>
    <w:rsid w:val="004B1A2D"/>
    <w:pPr>
      <w:pBdr>
        <w:top w:val="single" w:sz="4" w:space="12" w:color="FFC534"/>
        <w:left w:val="single" w:sz="4" w:space="15" w:color="FFC534"/>
        <w:bottom w:val="single" w:sz="12" w:space="10" w:color="B38000"/>
        <w:right w:val="single" w:sz="12" w:space="15" w:color="B38000"/>
        <w:between w:val="single" w:sz="4" w:space="12" w:color="FFC534"/>
        <w:bar w:val="single" w:sz="4" w:color="FFC534"/>
      </w:pBdr>
      <w:spacing w:before="0" w:after="160"/>
      <w:ind w:left="2506" w:right="432"/>
    </w:pPr>
    <w:rPr>
      <w:rFonts w:ascii="Corbel" w:hAnsi="Corbel"/>
      <w:smallCaps/>
      <w:color w:val="B38000"/>
      <w:sz w:val="20"/>
      <w:szCs w:val="20"/>
      <w:lang w:val="en-US" w:eastAsia="en-US"/>
    </w:rPr>
  </w:style>
  <w:style w:type="character" w:customStyle="1" w:styleId="IntenseQuoteChar">
    <w:name w:val="Intense Quote Char"/>
    <w:basedOn w:val="DefaultParagraphFont"/>
    <w:link w:val="IntenseQuote"/>
    <w:uiPriority w:val="30"/>
    <w:rsid w:val="004B1A2D"/>
    <w:rPr>
      <w:rFonts w:ascii="Corbel" w:hAnsi="Corbel"/>
      <w:smallCaps/>
      <w:color w:val="B38000"/>
      <w:lang w:val="en-US" w:eastAsia="en-US"/>
    </w:rPr>
  </w:style>
  <w:style w:type="character" w:styleId="SubtleEmphasis">
    <w:name w:val="Subtle Emphasis"/>
    <w:uiPriority w:val="19"/>
    <w:qFormat/>
    <w:rsid w:val="004B1A2D"/>
    <w:rPr>
      <w:smallCaps/>
      <w:dstrike w:val="0"/>
      <w:color w:val="5A5A5A"/>
      <w:vertAlign w:val="baseline"/>
    </w:rPr>
  </w:style>
  <w:style w:type="character" w:styleId="IntenseEmphasis">
    <w:name w:val="Intense Emphasis"/>
    <w:uiPriority w:val="21"/>
    <w:qFormat/>
    <w:rsid w:val="004B1A2D"/>
    <w:rPr>
      <w:b/>
      <w:bCs/>
      <w:smallCaps/>
      <w:color w:val="F0AD00"/>
      <w:spacing w:val="40"/>
    </w:rPr>
  </w:style>
  <w:style w:type="character" w:styleId="SubtleReference">
    <w:name w:val="Subtle Reference"/>
    <w:uiPriority w:val="31"/>
    <w:qFormat/>
    <w:rsid w:val="004B1A2D"/>
    <w:rPr>
      <w:rFonts w:ascii="Corbel" w:eastAsia="Times New Roman" w:hAnsi="Corbel" w:cs="Times New Roman"/>
      <w:i/>
      <w:iCs/>
      <w:smallCaps/>
      <w:color w:val="5A5A5A"/>
      <w:spacing w:val="20"/>
    </w:rPr>
  </w:style>
  <w:style w:type="character" w:styleId="IntenseReference">
    <w:name w:val="Intense Reference"/>
    <w:uiPriority w:val="32"/>
    <w:qFormat/>
    <w:rsid w:val="004B1A2D"/>
    <w:rPr>
      <w:rFonts w:ascii="Corbel" w:eastAsia="Times New Roman" w:hAnsi="Corbel" w:cs="Times New Roman"/>
      <w:b/>
      <w:bCs/>
      <w:i/>
      <w:iCs/>
      <w:smallCaps/>
      <w:color w:val="434959"/>
      <w:spacing w:val="20"/>
    </w:rPr>
  </w:style>
  <w:style w:type="character" w:styleId="BookTitle">
    <w:name w:val="Book Title"/>
    <w:uiPriority w:val="33"/>
    <w:qFormat/>
    <w:rsid w:val="004B1A2D"/>
    <w:rPr>
      <w:rFonts w:ascii="Corbel" w:eastAsia="Times New Roman" w:hAnsi="Corbel" w:cs="Times New Roman"/>
      <w:b/>
      <w:bCs/>
      <w:smallCaps/>
      <w:color w:val="434959"/>
      <w:spacing w:val="10"/>
      <w:u w:val="single"/>
    </w:rPr>
  </w:style>
  <w:style w:type="paragraph" w:styleId="TOCHeading">
    <w:name w:val="TOC Heading"/>
    <w:basedOn w:val="Heading1"/>
    <w:next w:val="Normal"/>
    <w:uiPriority w:val="39"/>
    <w:semiHidden/>
    <w:unhideWhenUsed/>
    <w:qFormat/>
    <w:rsid w:val="004B1A2D"/>
    <w:pPr>
      <w:keepNext w:val="0"/>
      <w:keepLines w:val="0"/>
      <w:pBdr>
        <w:bottom w:val="none" w:sz="0" w:space="0" w:color="auto"/>
      </w:pBdr>
      <w:spacing w:before="400" w:after="240" w:line="240" w:lineRule="auto"/>
      <w:contextualSpacing/>
      <w:outlineLvl w:val="9"/>
    </w:pPr>
    <w:rPr>
      <w:rFonts w:ascii="Corbel" w:eastAsia="Times New Roman" w:hAnsi="Corbel" w:cs="Times New Roman"/>
      <w:b w:val="0"/>
      <w:bCs w:val="0"/>
      <w:smallCaps/>
      <w:color w:val="2C313B"/>
      <w:spacing w:val="20"/>
      <w:sz w:val="32"/>
      <w:szCs w:val="32"/>
      <w:lang w:val="en-US" w:eastAsia="en-US"/>
    </w:rPr>
  </w:style>
  <w:style w:type="paragraph" w:customStyle="1" w:styleId="Default">
    <w:name w:val="Default"/>
    <w:rsid w:val="004B1A2D"/>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iPriority w:val="99"/>
    <w:unhideWhenUsed/>
    <w:rsid w:val="004B1A2D"/>
    <w:pPr>
      <w:spacing w:before="0" w:after="160" w:line="288" w:lineRule="auto"/>
    </w:pPr>
    <w:rPr>
      <w:rFonts w:ascii="Corbel" w:eastAsia="Corbel" w:hAnsi="Corbel"/>
      <w:color w:val="5A5A5A"/>
      <w:sz w:val="20"/>
      <w:szCs w:val="20"/>
      <w:lang w:val="en-US" w:eastAsia="en-US" w:bidi="en-US"/>
    </w:rPr>
  </w:style>
  <w:style w:type="character" w:customStyle="1" w:styleId="FootnoteTextChar">
    <w:name w:val="Footnote Text Char"/>
    <w:basedOn w:val="DefaultParagraphFont"/>
    <w:link w:val="FootnoteText"/>
    <w:uiPriority w:val="99"/>
    <w:rsid w:val="004B1A2D"/>
    <w:rPr>
      <w:rFonts w:ascii="Corbel" w:eastAsia="Corbel" w:hAnsi="Corbel"/>
      <w:color w:val="5A5A5A"/>
      <w:lang w:val="en-US" w:eastAsia="en-US" w:bidi="en-US"/>
    </w:rPr>
  </w:style>
  <w:style w:type="character" w:styleId="FootnoteReference">
    <w:name w:val="footnote reference"/>
    <w:uiPriority w:val="99"/>
    <w:unhideWhenUsed/>
    <w:rsid w:val="004B1A2D"/>
    <w:rPr>
      <w:vertAlign w:val="superscript"/>
    </w:rPr>
  </w:style>
  <w:style w:type="character" w:customStyle="1" w:styleId="apple-style-span">
    <w:name w:val="apple-style-span"/>
    <w:rsid w:val="004B1A2D"/>
  </w:style>
  <w:style w:type="character" w:styleId="CommentReference">
    <w:name w:val="annotation reference"/>
    <w:basedOn w:val="DefaultParagraphFont"/>
    <w:uiPriority w:val="99"/>
    <w:unhideWhenUsed/>
    <w:rsid w:val="004B1A2D"/>
    <w:rPr>
      <w:sz w:val="16"/>
      <w:szCs w:val="16"/>
    </w:rPr>
  </w:style>
  <w:style w:type="paragraph" w:styleId="CommentText">
    <w:name w:val="annotation text"/>
    <w:basedOn w:val="Normal"/>
    <w:link w:val="CommentTextChar"/>
    <w:uiPriority w:val="99"/>
    <w:unhideWhenUsed/>
    <w:rsid w:val="004B1A2D"/>
    <w:pPr>
      <w:spacing w:before="0" w:after="160" w:line="240" w:lineRule="auto"/>
    </w:pPr>
    <w:rPr>
      <w:rFonts w:ascii="Corbel" w:eastAsia="Corbel" w:hAnsi="Corbel"/>
      <w:color w:val="5A5A5A"/>
      <w:sz w:val="20"/>
      <w:szCs w:val="20"/>
      <w:lang w:val="en-US" w:eastAsia="en-US" w:bidi="en-US"/>
    </w:rPr>
  </w:style>
  <w:style w:type="character" w:customStyle="1" w:styleId="CommentTextChar">
    <w:name w:val="Comment Text Char"/>
    <w:basedOn w:val="DefaultParagraphFont"/>
    <w:link w:val="CommentText"/>
    <w:uiPriority w:val="99"/>
    <w:rsid w:val="004B1A2D"/>
    <w:rPr>
      <w:rFonts w:ascii="Corbel" w:eastAsia="Corbel" w:hAnsi="Corbel"/>
      <w:color w:val="5A5A5A"/>
      <w:lang w:val="en-US" w:eastAsia="en-US" w:bidi="en-US"/>
    </w:rPr>
  </w:style>
  <w:style w:type="paragraph" w:styleId="CommentSubject">
    <w:name w:val="annotation subject"/>
    <w:basedOn w:val="CommentText"/>
    <w:next w:val="CommentText"/>
    <w:link w:val="CommentSubjectChar"/>
    <w:uiPriority w:val="99"/>
    <w:unhideWhenUsed/>
    <w:rsid w:val="004B1A2D"/>
    <w:rPr>
      <w:b/>
      <w:bCs/>
    </w:rPr>
  </w:style>
  <w:style w:type="character" w:customStyle="1" w:styleId="CommentSubjectChar">
    <w:name w:val="Comment Subject Char"/>
    <w:basedOn w:val="CommentTextChar"/>
    <w:link w:val="CommentSubject"/>
    <w:uiPriority w:val="99"/>
    <w:rsid w:val="004B1A2D"/>
    <w:rPr>
      <w:rFonts w:ascii="Corbel" w:eastAsia="Corbel" w:hAnsi="Corbel"/>
      <w:b/>
      <w:bCs/>
      <w:color w:val="5A5A5A"/>
      <w:lang w:val="en-US" w:eastAsia="en-US" w:bidi="en-US"/>
    </w:rPr>
  </w:style>
  <w:style w:type="paragraph" w:customStyle="1" w:styleId="Bullet">
    <w:name w:val="Bullet"/>
    <w:basedOn w:val="Normal"/>
    <w:link w:val="BulletChar"/>
    <w:rsid w:val="004B1A2D"/>
    <w:pPr>
      <w:numPr>
        <w:numId w:val="4"/>
      </w:numPr>
      <w:spacing w:line="288" w:lineRule="auto"/>
    </w:pPr>
    <w:rPr>
      <w:rFonts w:ascii="Book Antiqua" w:eastAsia="Corbel" w:hAnsi="Book Antiqua"/>
      <w:szCs w:val="22"/>
      <w:lang w:eastAsia="en-US" w:bidi="en-US"/>
    </w:rPr>
  </w:style>
  <w:style w:type="character" w:customStyle="1" w:styleId="BulletChar">
    <w:name w:val="Bullet Char"/>
    <w:basedOn w:val="DefaultParagraphFont"/>
    <w:link w:val="Bullet"/>
    <w:rsid w:val="004B1A2D"/>
    <w:rPr>
      <w:rFonts w:ascii="Book Antiqua" w:eastAsia="Corbel" w:hAnsi="Book Antiqua"/>
      <w:sz w:val="22"/>
      <w:szCs w:val="22"/>
      <w:lang w:eastAsia="en-US" w:bidi="en-US"/>
    </w:rPr>
  </w:style>
  <w:style w:type="paragraph" w:customStyle="1" w:styleId="Dash">
    <w:name w:val="Dash"/>
    <w:basedOn w:val="Normal"/>
    <w:link w:val="DashChar"/>
    <w:rsid w:val="004B1A2D"/>
    <w:pPr>
      <w:numPr>
        <w:ilvl w:val="1"/>
        <w:numId w:val="4"/>
      </w:numPr>
      <w:spacing w:line="288" w:lineRule="auto"/>
    </w:pPr>
    <w:rPr>
      <w:rFonts w:ascii="Book Antiqua" w:eastAsia="Corbel" w:hAnsi="Book Antiqua"/>
      <w:szCs w:val="22"/>
      <w:lang w:eastAsia="en-US" w:bidi="en-US"/>
    </w:rPr>
  </w:style>
  <w:style w:type="character" w:customStyle="1" w:styleId="DashChar">
    <w:name w:val="Dash Char"/>
    <w:basedOn w:val="DefaultParagraphFont"/>
    <w:link w:val="Dash"/>
    <w:rsid w:val="004B1A2D"/>
    <w:rPr>
      <w:rFonts w:ascii="Book Antiqua" w:eastAsia="Corbel" w:hAnsi="Book Antiqua"/>
      <w:sz w:val="22"/>
      <w:szCs w:val="22"/>
      <w:lang w:eastAsia="en-US" w:bidi="en-US"/>
    </w:rPr>
  </w:style>
  <w:style w:type="paragraph" w:customStyle="1" w:styleId="DoubleDot">
    <w:name w:val="Double Dot"/>
    <w:basedOn w:val="Normal"/>
    <w:link w:val="DoubleDotChar"/>
    <w:rsid w:val="004B1A2D"/>
    <w:pPr>
      <w:numPr>
        <w:ilvl w:val="2"/>
        <w:numId w:val="4"/>
      </w:numPr>
      <w:spacing w:line="288" w:lineRule="auto"/>
    </w:pPr>
    <w:rPr>
      <w:rFonts w:ascii="Book Antiqua" w:eastAsia="Corbel" w:hAnsi="Book Antiqua"/>
      <w:szCs w:val="22"/>
      <w:lang w:eastAsia="en-US" w:bidi="en-US"/>
    </w:rPr>
  </w:style>
  <w:style w:type="character" w:customStyle="1" w:styleId="DoubleDotChar">
    <w:name w:val="Double Dot Char"/>
    <w:basedOn w:val="DefaultParagraphFont"/>
    <w:link w:val="DoubleDot"/>
    <w:rsid w:val="004B1A2D"/>
    <w:rPr>
      <w:rFonts w:ascii="Book Antiqua" w:eastAsia="Corbel" w:hAnsi="Book Antiqua"/>
      <w:sz w:val="22"/>
      <w:szCs w:val="22"/>
      <w:lang w:eastAsia="en-US" w:bidi="en-US"/>
    </w:rPr>
  </w:style>
  <w:style w:type="paragraph" w:customStyle="1" w:styleId="ecxmsonormal">
    <w:name w:val="ecxmsonormal"/>
    <w:basedOn w:val="Normal"/>
    <w:rsid w:val="004B1A2D"/>
    <w:pPr>
      <w:spacing w:before="100" w:beforeAutospacing="1" w:after="100" w:afterAutospacing="1" w:line="240" w:lineRule="auto"/>
    </w:pPr>
    <w:rPr>
      <w:rFonts w:ascii="Times New Roman" w:hAnsi="Times New Roman"/>
      <w:sz w:val="24"/>
    </w:rPr>
  </w:style>
  <w:style w:type="paragraph" w:customStyle="1" w:styleId="ecxmsolistparagraph">
    <w:name w:val="ecxmsolistparagraph"/>
    <w:basedOn w:val="Normal"/>
    <w:rsid w:val="004B1A2D"/>
    <w:pPr>
      <w:spacing w:before="100" w:beforeAutospacing="1" w:after="100" w:afterAutospacing="1" w:line="240" w:lineRule="auto"/>
    </w:pPr>
    <w:rPr>
      <w:rFonts w:ascii="Times New Roman" w:hAnsi="Times New Roman"/>
      <w:sz w:val="24"/>
    </w:rPr>
  </w:style>
  <w:style w:type="character" w:customStyle="1" w:styleId="apple-converted-space">
    <w:name w:val="apple-converted-space"/>
    <w:basedOn w:val="DefaultParagraphFont"/>
    <w:rsid w:val="004B1A2D"/>
  </w:style>
  <w:style w:type="paragraph" w:styleId="BodyText">
    <w:name w:val="Body Text"/>
    <w:basedOn w:val="Normal"/>
    <w:link w:val="BodyTextChar"/>
    <w:rsid w:val="004B1A2D"/>
  </w:style>
  <w:style w:type="character" w:customStyle="1" w:styleId="BodyTextChar">
    <w:name w:val="Body Text Char"/>
    <w:basedOn w:val="DefaultParagraphFont"/>
    <w:link w:val="BodyText"/>
    <w:rsid w:val="004B1A2D"/>
    <w:rPr>
      <w:rFonts w:asciiTheme="minorHAnsi" w:hAnsiTheme="minorHAnsi"/>
      <w:sz w:val="22"/>
      <w:szCs w:val="24"/>
    </w:rPr>
  </w:style>
  <w:style w:type="paragraph" w:customStyle="1" w:styleId="ShadedListBullet">
    <w:name w:val="Shaded List Bullet"/>
    <w:basedOn w:val="ListBullet"/>
    <w:qFormat/>
    <w:rsid w:val="00AE66D5"/>
    <w:pPr>
      <w:keepNext/>
      <w:numPr>
        <w:numId w:val="3"/>
      </w:numPr>
      <w:pBdr>
        <w:left w:val="single" w:sz="12" w:space="4" w:color="165788"/>
        <w:bottom w:val="single" w:sz="12" w:space="1" w:color="165788"/>
        <w:right w:val="single" w:sz="12" w:space="4" w:color="165788"/>
      </w:pBdr>
      <w:shd w:val="clear" w:color="auto" w:fill="E2EAF0"/>
      <w:spacing w:before="0" w:line="288" w:lineRule="auto"/>
      <w:ind w:left="357" w:hanging="357"/>
    </w:pPr>
    <w:rPr>
      <w:szCs w:val="22"/>
    </w:rPr>
  </w:style>
  <w:style w:type="paragraph" w:customStyle="1" w:styleId="ShadedNumberedList">
    <w:name w:val="Shaded Numbered List"/>
    <w:basedOn w:val="ListNumber"/>
    <w:qFormat/>
    <w:rsid w:val="00E202B8"/>
    <w:pPr>
      <w:pBdr>
        <w:left w:val="single" w:sz="12" w:space="4" w:color="165788"/>
        <w:bottom w:val="single" w:sz="12" w:space="1" w:color="165788"/>
        <w:right w:val="single" w:sz="12" w:space="4" w:color="165788"/>
      </w:pBdr>
      <w:shd w:val="clear" w:color="auto" w:fill="E2EAF0"/>
      <w:spacing w:before="0"/>
      <w:ind w:left="357" w:hanging="357"/>
    </w:pPr>
  </w:style>
  <w:style w:type="paragraph" w:styleId="List">
    <w:name w:val="List"/>
    <w:basedOn w:val="Normal"/>
    <w:rsid w:val="00B32505"/>
    <w:pPr>
      <w:ind w:left="283" w:hanging="283"/>
      <w:contextualSpacing/>
    </w:pPr>
  </w:style>
  <w:style w:type="paragraph" w:customStyle="1" w:styleId="TableBody">
    <w:name w:val="Table Body"/>
    <w:basedOn w:val="BodyText"/>
    <w:qFormat/>
    <w:rsid w:val="005B0FE4"/>
    <w:rPr>
      <w:sz w:val="20"/>
      <w:szCs w:val="20"/>
    </w:rPr>
  </w:style>
  <w:style w:type="paragraph" w:customStyle="1" w:styleId="TableListBullet">
    <w:name w:val="Table List Bullet"/>
    <w:basedOn w:val="ListBullet"/>
    <w:qFormat/>
    <w:rsid w:val="005B0FE4"/>
    <w:rPr>
      <w:sz w:val="20"/>
    </w:rPr>
  </w:style>
  <w:style w:type="paragraph" w:customStyle="1" w:styleId="numberedpara">
    <w:name w:val="numbered para"/>
    <w:basedOn w:val="Normal"/>
    <w:rsid w:val="0019736B"/>
    <w:pPr>
      <w:numPr>
        <w:numId w:val="5"/>
      </w:numPr>
      <w:spacing w:before="0" w:after="0" w:line="240" w:lineRule="auto"/>
    </w:pPr>
    <w:rPr>
      <w:rFonts w:ascii="Calibri" w:eastAsiaTheme="minorHAnsi" w:hAnsi="Calibri" w:cs="Calibri"/>
      <w:szCs w:val="22"/>
    </w:rPr>
  </w:style>
  <w:style w:type="paragraph" w:styleId="BlockText">
    <w:name w:val="Block Text"/>
    <w:basedOn w:val="Normal"/>
    <w:rsid w:val="009F1AE2"/>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paragraph" w:styleId="Revision">
    <w:name w:val="Revision"/>
    <w:hidden/>
    <w:uiPriority w:val="99"/>
    <w:semiHidden/>
    <w:rsid w:val="009424D7"/>
    <w:rPr>
      <w:rFonts w:asciiTheme="minorHAnsi" w:hAnsiTheme="minorHAnsi"/>
      <w:sz w:val="22"/>
      <w:szCs w:val="24"/>
    </w:rPr>
  </w:style>
  <w:style w:type="paragraph" w:customStyle="1" w:styleId="RIESbriefreports">
    <w:name w:val="RIES brief/reports"/>
    <w:basedOn w:val="Heading1"/>
    <w:next w:val="Normal"/>
    <w:link w:val="RIESbriefreportsChar"/>
    <w:qFormat/>
    <w:rsid w:val="007B6B42"/>
    <w:pPr>
      <w:pBdr>
        <w:bottom w:val="single" w:sz="4" w:space="1" w:color="auto"/>
      </w:pBdr>
      <w:spacing w:line="276" w:lineRule="auto"/>
    </w:pPr>
    <w:rPr>
      <w:rFonts w:asciiTheme="minorHAnsi" w:hAnsiTheme="minorHAnsi" w:cstheme="minorHAnsi"/>
      <w:color w:val="365F91" w:themeColor="accent1" w:themeShade="BF"/>
      <w:sz w:val="24"/>
      <w:lang w:eastAsia="en-US"/>
    </w:rPr>
  </w:style>
  <w:style w:type="character" w:customStyle="1" w:styleId="RIESbriefreportsChar">
    <w:name w:val="RIES brief/reports Char"/>
    <w:basedOn w:val="DefaultParagraphFont"/>
    <w:link w:val="RIESbriefreports"/>
    <w:rsid w:val="007B6B42"/>
    <w:rPr>
      <w:rFonts w:asciiTheme="minorHAnsi" w:eastAsiaTheme="majorEastAsia" w:hAnsiTheme="minorHAnsi" w:cstheme="minorHAnsi"/>
      <w:b/>
      <w:bCs/>
      <w:color w:val="365F91" w:themeColor="accent1" w:themeShade="BF"/>
      <w:sz w:val="24"/>
      <w:szCs w:val="28"/>
      <w:lang w:eastAsia="en-US"/>
    </w:rPr>
  </w:style>
  <w:style w:type="character" w:styleId="FollowedHyperlink">
    <w:name w:val="FollowedHyperlink"/>
    <w:basedOn w:val="DefaultParagraphFont"/>
    <w:rsid w:val="004E0D8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List Bullet" w:qFormat="1"/>
    <w:lsdException w:name="List Number" w:qFormat="1"/>
    <w:lsdException w:name="Title" w:uiPriority="10" w:qFormat="1"/>
    <w:lsdException w:name="Default Paragraph Font" w:uiPriority="1"/>
    <w:lsdException w:name="Subtitle" w:uiPriority="11" w:qFormat="1"/>
    <w:lsdException w:name="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3EC3"/>
    <w:pPr>
      <w:spacing w:before="120" w:after="120" w:line="300" w:lineRule="auto"/>
    </w:pPr>
    <w:rPr>
      <w:rFonts w:asciiTheme="minorHAnsi" w:hAnsiTheme="minorHAnsi"/>
      <w:sz w:val="22"/>
      <w:szCs w:val="24"/>
    </w:rPr>
  </w:style>
  <w:style w:type="paragraph" w:styleId="Heading1">
    <w:name w:val="heading 1"/>
    <w:basedOn w:val="Normal"/>
    <w:next w:val="Normal"/>
    <w:link w:val="Heading1Char"/>
    <w:uiPriority w:val="9"/>
    <w:qFormat/>
    <w:rsid w:val="008B316E"/>
    <w:pPr>
      <w:keepNext/>
      <w:keepLines/>
      <w:pBdr>
        <w:bottom w:val="single" w:sz="8" w:space="1" w:color="165788"/>
      </w:pBdr>
      <w:spacing w:before="480"/>
      <w:outlineLvl w:val="0"/>
    </w:pPr>
    <w:rPr>
      <w:rFonts w:ascii="Calibri" w:eastAsiaTheme="majorEastAsia" w:hAnsi="Calibri" w:cstheme="majorBidi"/>
      <w:b/>
      <w:bCs/>
      <w:color w:val="165788"/>
      <w:sz w:val="40"/>
      <w:szCs w:val="28"/>
    </w:rPr>
  </w:style>
  <w:style w:type="paragraph" w:styleId="Heading2">
    <w:name w:val="heading 2"/>
    <w:basedOn w:val="Normal"/>
    <w:next w:val="Normal"/>
    <w:link w:val="Heading2Char"/>
    <w:uiPriority w:val="9"/>
    <w:unhideWhenUsed/>
    <w:qFormat/>
    <w:rsid w:val="006503D7"/>
    <w:pPr>
      <w:keepNext/>
      <w:keepLines/>
      <w:tabs>
        <w:tab w:val="left" w:pos="567"/>
      </w:tabs>
      <w:spacing w:before="240" w:line="240" w:lineRule="auto"/>
      <w:outlineLvl w:val="1"/>
    </w:pPr>
    <w:rPr>
      <w:rFonts w:ascii="Calibri" w:eastAsiaTheme="majorEastAsia" w:hAnsi="Calibri" w:cstheme="majorBidi"/>
      <w:b/>
      <w:bCs/>
      <w:color w:val="165788"/>
      <w:sz w:val="32"/>
      <w:szCs w:val="26"/>
    </w:rPr>
  </w:style>
  <w:style w:type="paragraph" w:styleId="Heading3">
    <w:name w:val="heading 3"/>
    <w:basedOn w:val="Normal"/>
    <w:next w:val="Normal"/>
    <w:link w:val="Heading3Char"/>
    <w:uiPriority w:val="9"/>
    <w:unhideWhenUsed/>
    <w:qFormat/>
    <w:rsid w:val="006D24B7"/>
    <w:pPr>
      <w:keepNext/>
      <w:keepLines/>
      <w:spacing w:before="0"/>
      <w:outlineLvl w:val="2"/>
    </w:pPr>
    <w:rPr>
      <w:rFonts w:ascii="Calibri" w:eastAsiaTheme="majorEastAsia" w:hAnsi="Calibri" w:cstheme="majorBidi"/>
      <w:bCs/>
      <w:color w:val="165788"/>
      <w:sz w:val="24"/>
    </w:rPr>
  </w:style>
  <w:style w:type="paragraph" w:styleId="Heading4">
    <w:name w:val="heading 4"/>
    <w:basedOn w:val="Normal"/>
    <w:next w:val="Normal"/>
    <w:link w:val="Heading4Char"/>
    <w:uiPriority w:val="9"/>
    <w:unhideWhenUsed/>
    <w:qFormat/>
    <w:rsid w:val="00B32455"/>
    <w:pPr>
      <w:keepNext/>
      <w:keepLines/>
      <w:spacing w:before="200"/>
      <w:outlineLvl w:val="3"/>
    </w:pPr>
    <w:rPr>
      <w:rFonts w:ascii="Calibri" w:eastAsiaTheme="majorEastAsia" w:hAnsi="Calibri" w:cstheme="majorBidi"/>
      <w:b/>
      <w:bCs/>
      <w:iCs/>
      <w:sz w:val="26"/>
    </w:rPr>
  </w:style>
  <w:style w:type="paragraph" w:styleId="Heading5">
    <w:name w:val="heading 5"/>
    <w:basedOn w:val="Normal"/>
    <w:next w:val="Normal"/>
    <w:link w:val="Heading5Char"/>
    <w:uiPriority w:val="9"/>
    <w:unhideWhenUsed/>
    <w:qFormat/>
    <w:rsid w:val="00B32455"/>
    <w:pPr>
      <w:keepNext/>
      <w:keepLines/>
      <w:spacing w:before="200" w:after="0"/>
      <w:outlineLvl w:val="4"/>
    </w:pPr>
    <w:rPr>
      <w:rFonts w:ascii="Calibri" w:eastAsiaTheme="majorEastAsia" w:hAnsi="Calibri" w:cstheme="majorBidi"/>
      <w:b/>
      <w:sz w:val="24"/>
    </w:rPr>
  </w:style>
  <w:style w:type="paragraph" w:styleId="Heading6">
    <w:name w:val="heading 6"/>
    <w:basedOn w:val="Normal"/>
    <w:next w:val="Normal"/>
    <w:link w:val="Heading6Char"/>
    <w:uiPriority w:val="9"/>
    <w:semiHidden/>
    <w:unhideWhenUsed/>
    <w:qFormat/>
    <w:rsid w:val="00B32455"/>
    <w:pPr>
      <w:keepNext/>
      <w:keepLines/>
      <w:spacing w:before="200" w:after="0"/>
      <w:outlineLvl w:val="5"/>
    </w:pPr>
    <w:rPr>
      <w:rFonts w:ascii="Calibri" w:eastAsiaTheme="majorEastAsia" w:hAnsi="Calibri" w:cstheme="majorBidi"/>
      <w:b/>
      <w:iCs/>
    </w:rPr>
  </w:style>
  <w:style w:type="paragraph" w:styleId="Heading7">
    <w:name w:val="heading 7"/>
    <w:basedOn w:val="Normal"/>
    <w:next w:val="Normal"/>
    <w:link w:val="Heading7Char"/>
    <w:uiPriority w:val="9"/>
    <w:semiHidden/>
    <w:unhideWhenUsed/>
    <w:qFormat/>
    <w:rsid w:val="004B1A2D"/>
    <w:pPr>
      <w:pBdr>
        <w:bottom w:val="dotted" w:sz="8" w:space="1" w:color="67676C"/>
      </w:pBdr>
      <w:spacing w:before="200" w:after="100" w:line="240" w:lineRule="auto"/>
      <w:contextualSpacing/>
      <w:outlineLvl w:val="6"/>
    </w:pPr>
    <w:rPr>
      <w:rFonts w:ascii="Corbel" w:hAnsi="Corbel"/>
      <w:b/>
      <w:bCs/>
      <w:smallCaps/>
      <w:color w:val="67676C"/>
      <w:spacing w:val="20"/>
      <w:sz w:val="16"/>
      <w:szCs w:val="16"/>
      <w:lang w:val="en-US" w:eastAsia="en-US"/>
    </w:rPr>
  </w:style>
  <w:style w:type="paragraph" w:styleId="Heading8">
    <w:name w:val="heading 8"/>
    <w:basedOn w:val="Normal"/>
    <w:next w:val="Normal"/>
    <w:link w:val="Heading8Char"/>
    <w:uiPriority w:val="9"/>
    <w:semiHidden/>
    <w:unhideWhenUsed/>
    <w:qFormat/>
    <w:rsid w:val="004B1A2D"/>
    <w:pPr>
      <w:spacing w:before="200" w:after="60" w:line="240" w:lineRule="auto"/>
      <w:contextualSpacing/>
      <w:outlineLvl w:val="7"/>
    </w:pPr>
    <w:rPr>
      <w:rFonts w:ascii="Corbel" w:hAnsi="Corbel"/>
      <w:b/>
      <w:smallCaps/>
      <w:color w:val="67676C"/>
      <w:spacing w:val="20"/>
      <w:sz w:val="16"/>
      <w:szCs w:val="16"/>
      <w:lang w:val="en-US" w:eastAsia="en-US"/>
    </w:rPr>
  </w:style>
  <w:style w:type="paragraph" w:styleId="Heading9">
    <w:name w:val="heading 9"/>
    <w:basedOn w:val="Normal"/>
    <w:next w:val="Normal"/>
    <w:link w:val="Heading9Char"/>
    <w:uiPriority w:val="9"/>
    <w:semiHidden/>
    <w:unhideWhenUsed/>
    <w:qFormat/>
    <w:rsid w:val="004B1A2D"/>
    <w:pPr>
      <w:spacing w:before="200" w:after="60" w:line="240" w:lineRule="auto"/>
      <w:contextualSpacing/>
      <w:outlineLvl w:val="8"/>
    </w:pPr>
    <w:rPr>
      <w:rFonts w:ascii="Corbel" w:hAnsi="Corbel"/>
      <w:smallCaps/>
      <w:color w:val="67676C"/>
      <w:spacing w:val="20"/>
      <w:sz w:val="16"/>
      <w:szCs w:val="1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lt;EM&gt;"/>
    <w:basedOn w:val="DefaultParagraphFont"/>
    <w:uiPriority w:val="20"/>
    <w:qFormat/>
    <w:rsid w:val="00822942"/>
    <w:rPr>
      <w:rFonts w:asciiTheme="minorHAnsi" w:hAnsiTheme="minorHAnsi"/>
      <w:i/>
      <w:iCs/>
      <w:sz w:val="22"/>
    </w:rPr>
  </w:style>
  <w:style w:type="paragraph" w:styleId="NormalWeb">
    <w:name w:val="Normal (Web)"/>
    <w:basedOn w:val="Normal"/>
    <w:link w:val="NormalWebChar"/>
    <w:uiPriority w:val="99"/>
    <w:unhideWhenUsed/>
    <w:rsid w:val="00AF1D21"/>
    <w:pPr>
      <w:spacing w:before="100" w:beforeAutospacing="1" w:after="100" w:afterAutospacing="1"/>
    </w:pPr>
  </w:style>
  <w:style w:type="paragraph" w:styleId="Title">
    <w:name w:val="Title"/>
    <w:basedOn w:val="Normal"/>
    <w:next w:val="Normal"/>
    <w:link w:val="TitleChar"/>
    <w:uiPriority w:val="10"/>
    <w:qFormat/>
    <w:rsid w:val="00B32455"/>
    <w:pPr>
      <w:spacing w:before="1440" w:after="360"/>
      <w:contextualSpacing/>
      <w:jc w:val="right"/>
    </w:pPr>
    <w:rPr>
      <w:rFonts w:ascii="Calibri" w:eastAsiaTheme="majorEastAsia" w:hAnsi="Calibri" w:cstheme="majorBidi"/>
      <w:b/>
      <w:color w:val="165788"/>
      <w:spacing w:val="5"/>
      <w:kern w:val="28"/>
      <w:sz w:val="72"/>
      <w:szCs w:val="52"/>
    </w:rPr>
  </w:style>
  <w:style w:type="character" w:customStyle="1" w:styleId="TitleChar">
    <w:name w:val="Title Char"/>
    <w:basedOn w:val="DefaultParagraphFont"/>
    <w:link w:val="Title"/>
    <w:uiPriority w:val="10"/>
    <w:rsid w:val="00B32455"/>
    <w:rPr>
      <w:rFonts w:ascii="Calibri" w:eastAsiaTheme="majorEastAsia" w:hAnsi="Calibri" w:cstheme="majorBidi"/>
      <w:b/>
      <w:color w:val="165788"/>
      <w:spacing w:val="5"/>
      <w:kern w:val="28"/>
      <w:sz w:val="72"/>
      <w:szCs w:val="52"/>
    </w:rPr>
  </w:style>
  <w:style w:type="paragraph" w:styleId="Subtitle">
    <w:name w:val="Subtitle"/>
    <w:basedOn w:val="Normal"/>
    <w:next w:val="Normal"/>
    <w:link w:val="SubtitleChar"/>
    <w:uiPriority w:val="11"/>
    <w:qFormat/>
    <w:rsid w:val="00B32455"/>
    <w:pPr>
      <w:numPr>
        <w:ilvl w:val="1"/>
      </w:numPr>
      <w:jc w:val="right"/>
    </w:pPr>
    <w:rPr>
      <w:rFonts w:ascii="Calibri" w:eastAsiaTheme="majorEastAsia" w:hAnsi="Calibri" w:cstheme="majorBidi"/>
      <w:iCs/>
      <w:color w:val="165788"/>
      <w:spacing w:val="15"/>
      <w:sz w:val="40"/>
    </w:rPr>
  </w:style>
  <w:style w:type="character" w:customStyle="1" w:styleId="SubtitleChar">
    <w:name w:val="Subtitle Char"/>
    <w:basedOn w:val="DefaultParagraphFont"/>
    <w:link w:val="Subtitle"/>
    <w:uiPriority w:val="11"/>
    <w:rsid w:val="00B32455"/>
    <w:rPr>
      <w:rFonts w:ascii="Calibri" w:eastAsiaTheme="majorEastAsia" w:hAnsi="Calibri" w:cstheme="majorBidi"/>
      <w:iCs/>
      <w:color w:val="165788"/>
      <w:spacing w:val="15"/>
      <w:sz w:val="40"/>
      <w:szCs w:val="24"/>
    </w:rPr>
  </w:style>
  <w:style w:type="character" w:customStyle="1" w:styleId="Heading1Char">
    <w:name w:val="Heading 1 Char"/>
    <w:basedOn w:val="DefaultParagraphFont"/>
    <w:link w:val="Heading1"/>
    <w:uiPriority w:val="9"/>
    <w:rsid w:val="008B316E"/>
    <w:rPr>
      <w:rFonts w:ascii="Calibri" w:eastAsiaTheme="majorEastAsia" w:hAnsi="Calibri" w:cstheme="majorBidi"/>
      <w:b/>
      <w:bCs/>
      <w:color w:val="165788"/>
      <w:sz w:val="40"/>
      <w:szCs w:val="28"/>
    </w:rPr>
  </w:style>
  <w:style w:type="character" w:customStyle="1" w:styleId="Heading2Char">
    <w:name w:val="Heading 2 Char"/>
    <w:basedOn w:val="DefaultParagraphFont"/>
    <w:link w:val="Heading2"/>
    <w:uiPriority w:val="9"/>
    <w:rsid w:val="006503D7"/>
    <w:rPr>
      <w:rFonts w:ascii="Calibri" w:eastAsiaTheme="majorEastAsia" w:hAnsi="Calibri" w:cstheme="majorBidi"/>
      <w:b/>
      <w:bCs/>
      <w:color w:val="165788"/>
      <w:sz w:val="32"/>
      <w:szCs w:val="26"/>
    </w:rPr>
  </w:style>
  <w:style w:type="character" w:customStyle="1" w:styleId="Heading3Char">
    <w:name w:val="Heading 3 Char"/>
    <w:basedOn w:val="DefaultParagraphFont"/>
    <w:link w:val="Heading3"/>
    <w:uiPriority w:val="9"/>
    <w:rsid w:val="006D24B7"/>
    <w:rPr>
      <w:rFonts w:ascii="Calibri" w:eastAsiaTheme="majorEastAsia" w:hAnsi="Calibri" w:cstheme="majorBidi"/>
      <w:bCs/>
      <w:color w:val="165788"/>
      <w:sz w:val="24"/>
      <w:szCs w:val="24"/>
    </w:rPr>
  </w:style>
  <w:style w:type="character" w:customStyle="1" w:styleId="Heading4Char">
    <w:name w:val="Heading 4 Char"/>
    <w:basedOn w:val="DefaultParagraphFont"/>
    <w:link w:val="Heading4"/>
    <w:uiPriority w:val="9"/>
    <w:rsid w:val="00B32455"/>
    <w:rPr>
      <w:rFonts w:ascii="Calibri" w:eastAsiaTheme="majorEastAsia" w:hAnsi="Calibri" w:cstheme="majorBidi"/>
      <w:b/>
      <w:bCs/>
      <w:iCs/>
      <w:sz w:val="26"/>
      <w:szCs w:val="24"/>
    </w:rPr>
  </w:style>
  <w:style w:type="paragraph" w:styleId="Header">
    <w:name w:val="header"/>
    <w:basedOn w:val="Normal"/>
    <w:link w:val="HeaderChar"/>
    <w:uiPriority w:val="99"/>
    <w:rsid w:val="006D0101"/>
    <w:pPr>
      <w:tabs>
        <w:tab w:val="center" w:pos="4513"/>
        <w:tab w:val="right" w:pos="9026"/>
      </w:tabs>
    </w:pPr>
  </w:style>
  <w:style w:type="character" w:customStyle="1" w:styleId="HeaderChar">
    <w:name w:val="Header Char"/>
    <w:basedOn w:val="DefaultParagraphFont"/>
    <w:link w:val="Header"/>
    <w:uiPriority w:val="99"/>
    <w:rsid w:val="006D0101"/>
    <w:rPr>
      <w:sz w:val="24"/>
      <w:szCs w:val="24"/>
    </w:rPr>
  </w:style>
  <w:style w:type="paragraph" w:styleId="Footer">
    <w:name w:val="footer"/>
    <w:basedOn w:val="Normal"/>
    <w:link w:val="FooterChar"/>
    <w:uiPriority w:val="99"/>
    <w:rsid w:val="006D0101"/>
    <w:pPr>
      <w:tabs>
        <w:tab w:val="center" w:pos="4513"/>
        <w:tab w:val="right" w:pos="9026"/>
      </w:tabs>
    </w:pPr>
  </w:style>
  <w:style w:type="character" w:customStyle="1" w:styleId="FooterChar">
    <w:name w:val="Footer Char"/>
    <w:basedOn w:val="DefaultParagraphFont"/>
    <w:link w:val="Footer"/>
    <w:uiPriority w:val="99"/>
    <w:rsid w:val="006D0101"/>
    <w:rPr>
      <w:sz w:val="24"/>
      <w:szCs w:val="24"/>
    </w:rPr>
  </w:style>
  <w:style w:type="character" w:styleId="Strong">
    <w:name w:val="Strong"/>
    <w:basedOn w:val="DefaultParagraphFont"/>
    <w:uiPriority w:val="22"/>
    <w:qFormat/>
    <w:rsid w:val="0022116C"/>
    <w:rPr>
      <w:b/>
      <w:bCs/>
    </w:rPr>
  </w:style>
  <w:style w:type="paragraph" w:styleId="Quote">
    <w:name w:val="Quote"/>
    <w:basedOn w:val="Normal"/>
    <w:next w:val="Normal"/>
    <w:link w:val="QuoteChar"/>
    <w:uiPriority w:val="29"/>
    <w:qFormat/>
    <w:rsid w:val="00B32455"/>
    <w:pPr>
      <w:spacing w:before="240" w:after="240"/>
      <w:ind w:left="284" w:right="284"/>
    </w:pPr>
    <w:rPr>
      <w:rFonts w:ascii="Calibri" w:hAnsi="Calibri"/>
      <w:i/>
      <w:iCs/>
      <w:color w:val="000000" w:themeColor="text1"/>
    </w:rPr>
  </w:style>
  <w:style w:type="character" w:customStyle="1" w:styleId="QuoteChar">
    <w:name w:val="Quote Char"/>
    <w:basedOn w:val="DefaultParagraphFont"/>
    <w:link w:val="Quote"/>
    <w:uiPriority w:val="29"/>
    <w:rsid w:val="00B32455"/>
    <w:rPr>
      <w:rFonts w:ascii="Calibri" w:hAnsi="Calibri"/>
      <w:i/>
      <w:iCs/>
      <w:color w:val="000000" w:themeColor="text1"/>
      <w:sz w:val="22"/>
      <w:szCs w:val="24"/>
    </w:rPr>
  </w:style>
  <w:style w:type="paragraph" w:styleId="BalloonText">
    <w:name w:val="Balloon Text"/>
    <w:basedOn w:val="Normal"/>
    <w:link w:val="BalloonTextChar"/>
    <w:uiPriority w:val="99"/>
    <w:rsid w:val="009528B9"/>
    <w:rPr>
      <w:rFonts w:ascii="Tahoma" w:hAnsi="Tahoma" w:cs="Tahoma"/>
      <w:sz w:val="16"/>
      <w:szCs w:val="16"/>
    </w:rPr>
  </w:style>
  <w:style w:type="character" w:customStyle="1" w:styleId="BalloonTextChar">
    <w:name w:val="Balloon Text Char"/>
    <w:basedOn w:val="DefaultParagraphFont"/>
    <w:link w:val="BalloonText"/>
    <w:uiPriority w:val="99"/>
    <w:rsid w:val="009528B9"/>
    <w:rPr>
      <w:rFonts w:ascii="Tahoma" w:hAnsi="Tahoma" w:cs="Tahoma"/>
      <w:sz w:val="16"/>
      <w:szCs w:val="16"/>
    </w:rPr>
  </w:style>
  <w:style w:type="paragraph" w:styleId="Caption">
    <w:name w:val="caption"/>
    <w:basedOn w:val="Normal"/>
    <w:next w:val="Normal"/>
    <w:uiPriority w:val="35"/>
    <w:unhideWhenUsed/>
    <w:qFormat/>
    <w:rsid w:val="00B32455"/>
    <w:pPr>
      <w:spacing w:before="0" w:after="0"/>
    </w:pPr>
    <w:rPr>
      <w:b/>
      <w:bCs/>
      <w:color w:val="165788"/>
      <w:sz w:val="20"/>
      <w:szCs w:val="18"/>
    </w:rPr>
  </w:style>
  <w:style w:type="table" w:styleId="TableGrid">
    <w:name w:val="Table Grid"/>
    <w:basedOn w:val="TableNormal"/>
    <w:uiPriority w:val="59"/>
    <w:rsid w:val="004924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Web"/>
    <w:link w:val="TableHeadingChar"/>
    <w:qFormat/>
    <w:rsid w:val="00B32455"/>
    <w:rPr>
      <w:rFonts w:ascii="Calibri" w:hAnsi="Calibri"/>
      <w:b/>
      <w:color w:val="FFFFFF" w:themeColor="background1"/>
    </w:rPr>
  </w:style>
  <w:style w:type="paragraph" w:styleId="ListNumber">
    <w:name w:val="List Number"/>
    <w:basedOn w:val="Normal"/>
    <w:link w:val="ListNumberChar"/>
    <w:qFormat/>
    <w:rsid w:val="00546211"/>
    <w:pPr>
      <w:numPr>
        <w:numId w:val="2"/>
      </w:numPr>
      <w:contextualSpacing/>
    </w:pPr>
  </w:style>
  <w:style w:type="character" w:customStyle="1" w:styleId="NormalWebChar">
    <w:name w:val="Normal (Web) Char"/>
    <w:basedOn w:val="DefaultParagraphFont"/>
    <w:link w:val="NormalWeb"/>
    <w:uiPriority w:val="99"/>
    <w:rsid w:val="0032332A"/>
    <w:rPr>
      <w:sz w:val="24"/>
      <w:szCs w:val="24"/>
    </w:rPr>
  </w:style>
  <w:style w:type="character" w:customStyle="1" w:styleId="TableHeadingChar">
    <w:name w:val="Table Heading Char"/>
    <w:basedOn w:val="NormalWebChar"/>
    <w:link w:val="TableHeading"/>
    <w:rsid w:val="00B32455"/>
    <w:rPr>
      <w:rFonts w:ascii="Calibri" w:hAnsi="Calibri"/>
      <w:b/>
      <w:color w:val="FFFFFF" w:themeColor="background1"/>
      <w:sz w:val="22"/>
      <w:szCs w:val="24"/>
    </w:rPr>
  </w:style>
  <w:style w:type="paragraph" w:styleId="ListBullet">
    <w:name w:val="List Bullet"/>
    <w:basedOn w:val="Normal"/>
    <w:qFormat/>
    <w:rsid w:val="00546211"/>
    <w:pPr>
      <w:numPr>
        <w:numId w:val="1"/>
      </w:numPr>
      <w:contextualSpacing/>
    </w:pPr>
  </w:style>
  <w:style w:type="character" w:styleId="Hyperlink">
    <w:name w:val="Hyperlink"/>
    <w:basedOn w:val="DefaultParagraphFont"/>
    <w:uiPriority w:val="99"/>
    <w:unhideWhenUsed/>
    <w:rsid w:val="00750BEF"/>
    <w:rPr>
      <w:color w:val="0000FF" w:themeColor="hyperlink"/>
      <w:u w:val="single"/>
    </w:rPr>
  </w:style>
  <w:style w:type="paragraph" w:styleId="TOC1">
    <w:name w:val="toc 1"/>
    <w:basedOn w:val="Normal"/>
    <w:next w:val="Normal"/>
    <w:autoRedefine/>
    <w:uiPriority w:val="39"/>
    <w:rsid w:val="007E25A2"/>
    <w:pPr>
      <w:tabs>
        <w:tab w:val="left" w:pos="8675"/>
      </w:tabs>
      <w:spacing w:after="100"/>
      <w:ind w:left="567"/>
    </w:pPr>
    <w:rPr>
      <w:rFonts w:ascii="Calibri" w:hAnsi="Calibri"/>
      <w:b/>
      <w:color w:val="165788"/>
    </w:rPr>
  </w:style>
  <w:style w:type="paragraph" w:styleId="TOC2">
    <w:name w:val="toc 2"/>
    <w:basedOn w:val="Normal"/>
    <w:next w:val="Normal"/>
    <w:autoRedefine/>
    <w:uiPriority w:val="39"/>
    <w:rsid w:val="00BB0E53"/>
    <w:pPr>
      <w:tabs>
        <w:tab w:val="left" w:pos="880"/>
        <w:tab w:val="right" w:leader="dot" w:pos="8898"/>
      </w:tabs>
      <w:spacing w:after="100"/>
      <w:ind w:left="1134"/>
    </w:pPr>
    <w:rPr>
      <w:rFonts w:ascii="Calibri" w:eastAsiaTheme="majorEastAsia" w:hAnsi="Calibri"/>
      <w:b/>
      <w:noProof/>
    </w:rPr>
  </w:style>
  <w:style w:type="paragraph" w:styleId="TOC3">
    <w:name w:val="toc 3"/>
    <w:basedOn w:val="Normal"/>
    <w:next w:val="Normal"/>
    <w:autoRedefine/>
    <w:uiPriority w:val="39"/>
    <w:rsid w:val="007E25A2"/>
    <w:pPr>
      <w:tabs>
        <w:tab w:val="right" w:leader="dot" w:pos="8898"/>
      </w:tabs>
      <w:spacing w:after="100"/>
      <w:ind w:left="1843"/>
    </w:pPr>
    <w:rPr>
      <w:rFonts w:ascii="Calibri" w:hAnsi="Calibri"/>
      <w:i/>
    </w:rPr>
  </w:style>
  <w:style w:type="paragraph" w:styleId="NoSpacing">
    <w:name w:val="No Spacing"/>
    <w:link w:val="NoSpacingChar"/>
    <w:uiPriority w:val="1"/>
    <w:qFormat/>
    <w:rsid w:val="00B32455"/>
    <w:rPr>
      <w:rFonts w:ascii="Calibri" w:eastAsiaTheme="minorEastAsia" w:hAnsi="Calibri" w:cstheme="minorBidi"/>
      <w:sz w:val="22"/>
      <w:szCs w:val="22"/>
      <w:lang w:val="en-US" w:eastAsia="ja-JP"/>
    </w:rPr>
  </w:style>
  <w:style w:type="character" w:customStyle="1" w:styleId="NoSpacingChar">
    <w:name w:val="No Spacing Char"/>
    <w:basedOn w:val="DefaultParagraphFont"/>
    <w:link w:val="NoSpacing"/>
    <w:uiPriority w:val="1"/>
    <w:rsid w:val="00B32455"/>
    <w:rPr>
      <w:rFonts w:ascii="Calibri" w:eastAsiaTheme="minorEastAsia" w:hAnsi="Calibri" w:cstheme="minorBidi"/>
      <w:sz w:val="22"/>
      <w:szCs w:val="22"/>
      <w:lang w:val="en-US" w:eastAsia="ja-JP"/>
    </w:rPr>
  </w:style>
  <w:style w:type="paragraph" w:customStyle="1" w:styleId="SecurityRating">
    <w:name w:val="Security Rating"/>
    <w:basedOn w:val="Normal"/>
    <w:link w:val="SecurityRatingChar"/>
    <w:qFormat/>
    <w:rsid w:val="00214486"/>
    <w:pPr>
      <w:spacing w:before="0" w:after="200" w:line="240" w:lineRule="auto"/>
      <w:contextualSpacing/>
      <w:jc w:val="center"/>
    </w:pPr>
    <w:rPr>
      <w:b/>
      <w:color w:val="FF0000"/>
      <w:lang w:bidi="en-US"/>
    </w:rPr>
  </w:style>
  <w:style w:type="character" w:styleId="PlaceholderText">
    <w:name w:val="Placeholder Text"/>
    <w:basedOn w:val="DefaultParagraphFont"/>
    <w:uiPriority w:val="99"/>
    <w:semiHidden/>
    <w:rsid w:val="008B316E"/>
    <w:rPr>
      <w:color w:val="808080"/>
    </w:rPr>
  </w:style>
  <w:style w:type="character" w:customStyle="1" w:styleId="SecurityRatingChar">
    <w:name w:val="Security Rating Char"/>
    <w:basedOn w:val="DefaultParagraphFont"/>
    <w:link w:val="SecurityRating"/>
    <w:rsid w:val="00214486"/>
    <w:rPr>
      <w:rFonts w:asciiTheme="minorHAnsi" w:hAnsiTheme="minorHAnsi"/>
      <w:b/>
      <w:color w:val="FF0000"/>
      <w:sz w:val="22"/>
      <w:szCs w:val="24"/>
      <w:lang w:bidi="en-US"/>
    </w:rPr>
  </w:style>
  <w:style w:type="paragraph" w:customStyle="1" w:styleId="NonTOCHeading1">
    <w:name w:val="Non TOC Heading 1"/>
    <w:basedOn w:val="Heading1"/>
    <w:link w:val="NonTOCHeading1Char"/>
    <w:qFormat/>
    <w:rsid w:val="008B316E"/>
  </w:style>
  <w:style w:type="character" w:customStyle="1" w:styleId="Heading5Char">
    <w:name w:val="Heading 5 Char"/>
    <w:basedOn w:val="DefaultParagraphFont"/>
    <w:link w:val="Heading5"/>
    <w:uiPriority w:val="9"/>
    <w:rsid w:val="00B32455"/>
    <w:rPr>
      <w:rFonts w:ascii="Calibri" w:eastAsiaTheme="majorEastAsia" w:hAnsi="Calibri" w:cstheme="majorBidi"/>
      <w:b/>
      <w:sz w:val="24"/>
      <w:szCs w:val="24"/>
    </w:rPr>
  </w:style>
  <w:style w:type="character" w:customStyle="1" w:styleId="NonTOCHeading1Char">
    <w:name w:val="Non TOC Heading 1 Char"/>
    <w:basedOn w:val="Heading1Char"/>
    <w:link w:val="NonTOCHeading1"/>
    <w:rsid w:val="008B316E"/>
    <w:rPr>
      <w:rFonts w:ascii="Calibri" w:eastAsiaTheme="majorEastAsia" w:hAnsi="Calibri" w:cstheme="majorBidi"/>
      <w:b/>
      <w:bCs/>
      <w:color w:val="165788"/>
      <w:sz w:val="40"/>
      <w:szCs w:val="28"/>
    </w:rPr>
  </w:style>
  <w:style w:type="character" w:customStyle="1" w:styleId="Heading6Char">
    <w:name w:val="Heading 6 Char"/>
    <w:basedOn w:val="DefaultParagraphFont"/>
    <w:link w:val="Heading6"/>
    <w:uiPriority w:val="9"/>
    <w:semiHidden/>
    <w:rsid w:val="00B32455"/>
    <w:rPr>
      <w:rFonts w:ascii="Calibri" w:eastAsiaTheme="majorEastAsia" w:hAnsi="Calibri" w:cstheme="majorBidi"/>
      <w:b/>
      <w:iCs/>
      <w:sz w:val="22"/>
      <w:szCs w:val="24"/>
    </w:rPr>
  </w:style>
  <w:style w:type="paragraph" w:styleId="TOC4">
    <w:name w:val="toc 4"/>
    <w:basedOn w:val="Normal"/>
    <w:next w:val="Normal"/>
    <w:autoRedefine/>
    <w:rsid w:val="00CF032A"/>
    <w:pPr>
      <w:spacing w:after="100"/>
      <w:ind w:left="660"/>
    </w:pPr>
    <w:rPr>
      <w:rFonts w:ascii="Calibri" w:hAnsi="Calibri"/>
    </w:rPr>
  </w:style>
  <w:style w:type="paragraph" w:styleId="TOC5">
    <w:name w:val="toc 5"/>
    <w:basedOn w:val="Normal"/>
    <w:next w:val="Normal"/>
    <w:autoRedefine/>
    <w:rsid w:val="00CF032A"/>
    <w:pPr>
      <w:spacing w:after="100"/>
      <w:ind w:left="880"/>
    </w:pPr>
    <w:rPr>
      <w:rFonts w:ascii="Calibri" w:hAnsi="Calibri"/>
    </w:rPr>
  </w:style>
  <w:style w:type="paragraph" w:styleId="TOC6">
    <w:name w:val="toc 6"/>
    <w:basedOn w:val="Normal"/>
    <w:next w:val="Normal"/>
    <w:autoRedefine/>
    <w:rsid w:val="00CF032A"/>
    <w:pPr>
      <w:spacing w:after="100"/>
      <w:ind w:left="1100"/>
    </w:pPr>
    <w:rPr>
      <w:rFonts w:ascii="Calibri" w:hAnsi="Calibri"/>
    </w:rPr>
  </w:style>
  <w:style w:type="paragraph" w:customStyle="1" w:styleId="ShadedBoxHeader">
    <w:name w:val="Shaded Box Header"/>
    <w:basedOn w:val="Normal"/>
    <w:link w:val="ShadedBoxHeaderChar"/>
    <w:qFormat/>
    <w:rsid w:val="00485223"/>
    <w:pPr>
      <w:pBdr>
        <w:top w:val="single" w:sz="12" w:space="1" w:color="165788"/>
        <w:left w:val="single" w:sz="12" w:space="4" w:color="165788"/>
        <w:right w:val="single" w:sz="12" w:space="4" w:color="165788"/>
      </w:pBdr>
      <w:shd w:val="clear" w:color="auto" w:fill="E2EAF0"/>
      <w:spacing w:after="0"/>
      <w:ind w:left="357" w:hanging="357"/>
    </w:pPr>
    <w:rPr>
      <w:b/>
      <w:color w:val="165788"/>
      <w:sz w:val="28"/>
    </w:rPr>
  </w:style>
  <w:style w:type="paragraph" w:customStyle="1" w:styleId="ShadedBoxBody">
    <w:name w:val="Shaded Box Body"/>
    <w:basedOn w:val="Normal"/>
    <w:link w:val="ShadedBoxBodyChar"/>
    <w:qFormat/>
    <w:rsid w:val="00D771E2"/>
    <w:pPr>
      <w:pBdr>
        <w:left w:val="single" w:sz="12" w:space="4" w:color="165788"/>
        <w:bottom w:val="single" w:sz="12" w:space="1" w:color="165788"/>
        <w:right w:val="single" w:sz="12" w:space="4" w:color="165788"/>
      </w:pBdr>
      <w:shd w:val="clear" w:color="auto" w:fill="E2EAF0"/>
      <w:tabs>
        <w:tab w:val="left" w:pos="567"/>
      </w:tabs>
      <w:spacing w:before="0"/>
    </w:pPr>
  </w:style>
  <w:style w:type="character" w:customStyle="1" w:styleId="ListNumberChar">
    <w:name w:val="List Number Char"/>
    <w:basedOn w:val="DefaultParagraphFont"/>
    <w:link w:val="ListNumber"/>
    <w:rsid w:val="00485223"/>
    <w:rPr>
      <w:rFonts w:asciiTheme="minorHAnsi" w:hAnsiTheme="minorHAnsi"/>
      <w:sz w:val="22"/>
      <w:szCs w:val="24"/>
    </w:rPr>
  </w:style>
  <w:style w:type="character" w:customStyle="1" w:styleId="ShadedBoxHeaderChar">
    <w:name w:val="Shaded Box Header Char"/>
    <w:basedOn w:val="ListNumberChar"/>
    <w:link w:val="ShadedBoxHeader"/>
    <w:rsid w:val="00485223"/>
    <w:rPr>
      <w:rFonts w:asciiTheme="minorHAnsi" w:hAnsiTheme="minorHAnsi"/>
      <w:b/>
      <w:color w:val="165788"/>
      <w:sz w:val="28"/>
      <w:szCs w:val="24"/>
      <w:shd w:val="clear" w:color="auto" w:fill="E2EAF0"/>
    </w:rPr>
  </w:style>
  <w:style w:type="character" w:customStyle="1" w:styleId="ShadedBoxBodyChar">
    <w:name w:val="Shaded Box Body Char"/>
    <w:basedOn w:val="ShadedBoxHeaderChar"/>
    <w:link w:val="ShadedBoxBody"/>
    <w:rsid w:val="00D771E2"/>
    <w:rPr>
      <w:rFonts w:asciiTheme="minorHAnsi" w:hAnsiTheme="minorHAnsi"/>
      <w:b/>
      <w:color w:val="165788"/>
      <w:sz w:val="22"/>
      <w:szCs w:val="24"/>
      <w:shd w:val="clear" w:color="auto" w:fill="FFFFFF"/>
    </w:rPr>
  </w:style>
  <w:style w:type="character" w:customStyle="1" w:styleId="Heading7Char">
    <w:name w:val="Heading 7 Char"/>
    <w:basedOn w:val="DefaultParagraphFont"/>
    <w:link w:val="Heading7"/>
    <w:uiPriority w:val="9"/>
    <w:semiHidden/>
    <w:rsid w:val="004B1A2D"/>
    <w:rPr>
      <w:rFonts w:ascii="Corbel" w:hAnsi="Corbel"/>
      <w:b/>
      <w:bCs/>
      <w:smallCaps/>
      <w:color w:val="67676C"/>
      <w:spacing w:val="20"/>
      <w:sz w:val="16"/>
      <w:szCs w:val="16"/>
      <w:lang w:val="en-US" w:eastAsia="en-US"/>
    </w:rPr>
  </w:style>
  <w:style w:type="character" w:customStyle="1" w:styleId="Heading8Char">
    <w:name w:val="Heading 8 Char"/>
    <w:basedOn w:val="DefaultParagraphFont"/>
    <w:link w:val="Heading8"/>
    <w:uiPriority w:val="9"/>
    <w:semiHidden/>
    <w:rsid w:val="004B1A2D"/>
    <w:rPr>
      <w:rFonts w:ascii="Corbel" w:hAnsi="Corbel"/>
      <w:b/>
      <w:smallCaps/>
      <w:color w:val="67676C"/>
      <w:spacing w:val="20"/>
      <w:sz w:val="16"/>
      <w:szCs w:val="16"/>
      <w:lang w:val="en-US" w:eastAsia="en-US"/>
    </w:rPr>
  </w:style>
  <w:style w:type="character" w:customStyle="1" w:styleId="Heading9Char">
    <w:name w:val="Heading 9 Char"/>
    <w:basedOn w:val="DefaultParagraphFont"/>
    <w:link w:val="Heading9"/>
    <w:uiPriority w:val="9"/>
    <w:semiHidden/>
    <w:rsid w:val="004B1A2D"/>
    <w:rPr>
      <w:rFonts w:ascii="Corbel" w:hAnsi="Corbel"/>
      <w:smallCaps/>
      <w:color w:val="67676C"/>
      <w:spacing w:val="20"/>
      <w:sz w:val="16"/>
      <w:szCs w:val="16"/>
      <w:lang w:val="en-US" w:eastAsia="en-US"/>
    </w:rPr>
  </w:style>
  <w:style w:type="paragraph" w:styleId="ListParagraph">
    <w:name w:val="List Paragraph"/>
    <w:basedOn w:val="Normal"/>
    <w:uiPriority w:val="34"/>
    <w:qFormat/>
    <w:rsid w:val="004B1A2D"/>
    <w:pPr>
      <w:spacing w:before="0" w:after="160" w:line="288" w:lineRule="auto"/>
      <w:ind w:left="720"/>
      <w:contextualSpacing/>
    </w:pPr>
    <w:rPr>
      <w:rFonts w:ascii="Corbel" w:eastAsia="Corbel" w:hAnsi="Corbel"/>
      <w:color w:val="5A5A5A"/>
      <w:sz w:val="24"/>
      <w:szCs w:val="20"/>
      <w:lang w:val="en-US" w:eastAsia="en-US" w:bidi="en-US"/>
    </w:rPr>
  </w:style>
  <w:style w:type="paragraph" w:styleId="IntenseQuote">
    <w:name w:val="Intense Quote"/>
    <w:basedOn w:val="Normal"/>
    <w:next w:val="Normal"/>
    <w:link w:val="IntenseQuoteChar"/>
    <w:uiPriority w:val="30"/>
    <w:qFormat/>
    <w:rsid w:val="004B1A2D"/>
    <w:pPr>
      <w:pBdr>
        <w:top w:val="single" w:sz="4" w:space="12" w:color="FFC534"/>
        <w:left w:val="single" w:sz="4" w:space="15" w:color="FFC534"/>
        <w:bottom w:val="single" w:sz="12" w:space="10" w:color="B38000"/>
        <w:right w:val="single" w:sz="12" w:space="15" w:color="B38000"/>
        <w:between w:val="single" w:sz="4" w:space="12" w:color="FFC534"/>
        <w:bar w:val="single" w:sz="4" w:color="FFC534"/>
      </w:pBdr>
      <w:spacing w:before="0" w:after="160"/>
      <w:ind w:left="2506" w:right="432"/>
    </w:pPr>
    <w:rPr>
      <w:rFonts w:ascii="Corbel" w:hAnsi="Corbel"/>
      <w:smallCaps/>
      <w:color w:val="B38000"/>
      <w:sz w:val="20"/>
      <w:szCs w:val="20"/>
      <w:lang w:val="en-US" w:eastAsia="en-US"/>
    </w:rPr>
  </w:style>
  <w:style w:type="character" w:customStyle="1" w:styleId="IntenseQuoteChar">
    <w:name w:val="Intense Quote Char"/>
    <w:basedOn w:val="DefaultParagraphFont"/>
    <w:link w:val="IntenseQuote"/>
    <w:uiPriority w:val="30"/>
    <w:rsid w:val="004B1A2D"/>
    <w:rPr>
      <w:rFonts w:ascii="Corbel" w:hAnsi="Corbel"/>
      <w:smallCaps/>
      <w:color w:val="B38000"/>
      <w:lang w:val="en-US" w:eastAsia="en-US"/>
    </w:rPr>
  </w:style>
  <w:style w:type="character" w:styleId="SubtleEmphasis">
    <w:name w:val="Subtle Emphasis"/>
    <w:uiPriority w:val="19"/>
    <w:qFormat/>
    <w:rsid w:val="004B1A2D"/>
    <w:rPr>
      <w:smallCaps/>
      <w:dstrike w:val="0"/>
      <w:color w:val="5A5A5A"/>
      <w:vertAlign w:val="baseline"/>
    </w:rPr>
  </w:style>
  <w:style w:type="character" w:styleId="IntenseEmphasis">
    <w:name w:val="Intense Emphasis"/>
    <w:uiPriority w:val="21"/>
    <w:qFormat/>
    <w:rsid w:val="004B1A2D"/>
    <w:rPr>
      <w:b/>
      <w:bCs/>
      <w:smallCaps/>
      <w:color w:val="F0AD00"/>
      <w:spacing w:val="40"/>
    </w:rPr>
  </w:style>
  <w:style w:type="character" w:styleId="SubtleReference">
    <w:name w:val="Subtle Reference"/>
    <w:uiPriority w:val="31"/>
    <w:qFormat/>
    <w:rsid w:val="004B1A2D"/>
    <w:rPr>
      <w:rFonts w:ascii="Corbel" w:eastAsia="Times New Roman" w:hAnsi="Corbel" w:cs="Times New Roman"/>
      <w:i/>
      <w:iCs/>
      <w:smallCaps/>
      <w:color w:val="5A5A5A"/>
      <w:spacing w:val="20"/>
    </w:rPr>
  </w:style>
  <w:style w:type="character" w:styleId="IntenseReference">
    <w:name w:val="Intense Reference"/>
    <w:uiPriority w:val="32"/>
    <w:qFormat/>
    <w:rsid w:val="004B1A2D"/>
    <w:rPr>
      <w:rFonts w:ascii="Corbel" w:eastAsia="Times New Roman" w:hAnsi="Corbel" w:cs="Times New Roman"/>
      <w:b/>
      <w:bCs/>
      <w:i/>
      <w:iCs/>
      <w:smallCaps/>
      <w:color w:val="434959"/>
      <w:spacing w:val="20"/>
    </w:rPr>
  </w:style>
  <w:style w:type="character" w:styleId="BookTitle">
    <w:name w:val="Book Title"/>
    <w:uiPriority w:val="33"/>
    <w:qFormat/>
    <w:rsid w:val="004B1A2D"/>
    <w:rPr>
      <w:rFonts w:ascii="Corbel" w:eastAsia="Times New Roman" w:hAnsi="Corbel" w:cs="Times New Roman"/>
      <w:b/>
      <w:bCs/>
      <w:smallCaps/>
      <w:color w:val="434959"/>
      <w:spacing w:val="10"/>
      <w:u w:val="single"/>
    </w:rPr>
  </w:style>
  <w:style w:type="paragraph" w:styleId="TOCHeading">
    <w:name w:val="TOC Heading"/>
    <w:basedOn w:val="Heading1"/>
    <w:next w:val="Normal"/>
    <w:uiPriority w:val="39"/>
    <w:semiHidden/>
    <w:unhideWhenUsed/>
    <w:qFormat/>
    <w:rsid w:val="004B1A2D"/>
    <w:pPr>
      <w:keepNext w:val="0"/>
      <w:keepLines w:val="0"/>
      <w:pBdr>
        <w:bottom w:val="none" w:sz="0" w:space="0" w:color="auto"/>
      </w:pBdr>
      <w:spacing w:before="400" w:after="240" w:line="240" w:lineRule="auto"/>
      <w:contextualSpacing/>
      <w:outlineLvl w:val="9"/>
    </w:pPr>
    <w:rPr>
      <w:rFonts w:ascii="Corbel" w:eastAsia="Times New Roman" w:hAnsi="Corbel" w:cs="Times New Roman"/>
      <w:b w:val="0"/>
      <w:bCs w:val="0"/>
      <w:smallCaps/>
      <w:color w:val="2C313B"/>
      <w:spacing w:val="20"/>
      <w:sz w:val="32"/>
      <w:szCs w:val="32"/>
      <w:lang w:val="en-US" w:eastAsia="en-US"/>
    </w:rPr>
  </w:style>
  <w:style w:type="paragraph" w:customStyle="1" w:styleId="Default">
    <w:name w:val="Default"/>
    <w:rsid w:val="004B1A2D"/>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iPriority w:val="99"/>
    <w:unhideWhenUsed/>
    <w:rsid w:val="004B1A2D"/>
    <w:pPr>
      <w:spacing w:before="0" w:after="160" w:line="288" w:lineRule="auto"/>
    </w:pPr>
    <w:rPr>
      <w:rFonts w:ascii="Corbel" w:eastAsia="Corbel" w:hAnsi="Corbel"/>
      <w:color w:val="5A5A5A"/>
      <w:sz w:val="20"/>
      <w:szCs w:val="20"/>
      <w:lang w:val="en-US" w:eastAsia="en-US" w:bidi="en-US"/>
    </w:rPr>
  </w:style>
  <w:style w:type="character" w:customStyle="1" w:styleId="FootnoteTextChar">
    <w:name w:val="Footnote Text Char"/>
    <w:basedOn w:val="DefaultParagraphFont"/>
    <w:link w:val="FootnoteText"/>
    <w:uiPriority w:val="99"/>
    <w:rsid w:val="004B1A2D"/>
    <w:rPr>
      <w:rFonts w:ascii="Corbel" w:eastAsia="Corbel" w:hAnsi="Corbel"/>
      <w:color w:val="5A5A5A"/>
      <w:lang w:val="en-US" w:eastAsia="en-US" w:bidi="en-US"/>
    </w:rPr>
  </w:style>
  <w:style w:type="character" w:styleId="FootnoteReference">
    <w:name w:val="footnote reference"/>
    <w:uiPriority w:val="99"/>
    <w:unhideWhenUsed/>
    <w:rsid w:val="004B1A2D"/>
    <w:rPr>
      <w:vertAlign w:val="superscript"/>
    </w:rPr>
  </w:style>
  <w:style w:type="character" w:customStyle="1" w:styleId="apple-style-span">
    <w:name w:val="apple-style-span"/>
    <w:rsid w:val="004B1A2D"/>
  </w:style>
  <w:style w:type="character" w:styleId="CommentReference">
    <w:name w:val="annotation reference"/>
    <w:basedOn w:val="DefaultParagraphFont"/>
    <w:uiPriority w:val="99"/>
    <w:unhideWhenUsed/>
    <w:rsid w:val="004B1A2D"/>
    <w:rPr>
      <w:sz w:val="16"/>
      <w:szCs w:val="16"/>
    </w:rPr>
  </w:style>
  <w:style w:type="paragraph" w:styleId="CommentText">
    <w:name w:val="annotation text"/>
    <w:basedOn w:val="Normal"/>
    <w:link w:val="CommentTextChar"/>
    <w:uiPriority w:val="99"/>
    <w:unhideWhenUsed/>
    <w:rsid w:val="004B1A2D"/>
    <w:pPr>
      <w:spacing w:before="0" w:after="160" w:line="240" w:lineRule="auto"/>
    </w:pPr>
    <w:rPr>
      <w:rFonts w:ascii="Corbel" w:eastAsia="Corbel" w:hAnsi="Corbel"/>
      <w:color w:val="5A5A5A"/>
      <w:sz w:val="20"/>
      <w:szCs w:val="20"/>
      <w:lang w:val="en-US" w:eastAsia="en-US" w:bidi="en-US"/>
    </w:rPr>
  </w:style>
  <w:style w:type="character" w:customStyle="1" w:styleId="CommentTextChar">
    <w:name w:val="Comment Text Char"/>
    <w:basedOn w:val="DefaultParagraphFont"/>
    <w:link w:val="CommentText"/>
    <w:uiPriority w:val="99"/>
    <w:rsid w:val="004B1A2D"/>
    <w:rPr>
      <w:rFonts w:ascii="Corbel" w:eastAsia="Corbel" w:hAnsi="Corbel"/>
      <w:color w:val="5A5A5A"/>
      <w:lang w:val="en-US" w:eastAsia="en-US" w:bidi="en-US"/>
    </w:rPr>
  </w:style>
  <w:style w:type="paragraph" w:styleId="CommentSubject">
    <w:name w:val="annotation subject"/>
    <w:basedOn w:val="CommentText"/>
    <w:next w:val="CommentText"/>
    <w:link w:val="CommentSubjectChar"/>
    <w:uiPriority w:val="99"/>
    <w:unhideWhenUsed/>
    <w:rsid w:val="004B1A2D"/>
    <w:rPr>
      <w:b/>
      <w:bCs/>
    </w:rPr>
  </w:style>
  <w:style w:type="character" w:customStyle="1" w:styleId="CommentSubjectChar">
    <w:name w:val="Comment Subject Char"/>
    <w:basedOn w:val="CommentTextChar"/>
    <w:link w:val="CommentSubject"/>
    <w:uiPriority w:val="99"/>
    <w:rsid w:val="004B1A2D"/>
    <w:rPr>
      <w:rFonts w:ascii="Corbel" w:eastAsia="Corbel" w:hAnsi="Corbel"/>
      <w:b/>
      <w:bCs/>
      <w:color w:val="5A5A5A"/>
      <w:lang w:val="en-US" w:eastAsia="en-US" w:bidi="en-US"/>
    </w:rPr>
  </w:style>
  <w:style w:type="paragraph" w:customStyle="1" w:styleId="Bullet">
    <w:name w:val="Bullet"/>
    <w:basedOn w:val="Normal"/>
    <w:link w:val="BulletChar"/>
    <w:rsid w:val="004B1A2D"/>
    <w:pPr>
      <w:numPr>
        <w:numId w:val="4"/>
      </w:numPr>
      <w:spacing w:line="288" w:lineRule="auto"/>
    </w:pPr>
    <w:rPr>
      <w:rFonts w:ascii="Book Antiqua" w:eastAsia="Corbel" w:hAnsi="Book Antiqua"/>
      <w:szCs w:val="22"/>
      <w:lang w:eastAsia="en-US" w:bidi="en-US"/>
    </w:rPr>
  </w:style>
  <w:style w:type="character" w:customStyle="1" w:styleId="BulletChar">
    <w:name w:val="Bullet Char"/>
    <w:basedOn w:val="DefaultParagraphFont"/>
    <w:link w:val="Bullet"/>
    <w:rsid w:val="004B1A2D"/>
    <w:rPr>
      <w:rFonts w:ascii="Book Antiqua" w:eastAsia="Corbel" w:hAnsi="Book Antiqua"/>
      <w:sz w:val="22"/>
      <w:szCs w:val="22"/>
      <w:lang w:eastAsia="en-US" w:bidi="en-US"/>
    </w:rPr>
  </w:style>
  <w:style w:type="paragraph" w:customStyle="1" w:styleId="Dash">
    <w:name w:val="Dash"/>
    <w:basedOn w:val="Normal"/>
    <w:link w:val="DashChar"/>
    <w:rsid w:val="004B1A2D"/>
    <w:pPr>
      <w:numPr>
        <w:ilvl w:val="1"/>
        <w:numId w:val="4"/>
      </w:numPr>
      <w:spacing w:line="288" w:lineRule="auto"/>
    </w:pPr>
    <w:rPr>
      <w:rFonts w:ascii="Book Antiqua" w:eastAsia="Corbel" w:hAnsi="Book Antiqua"/>
      <w:szCs w:val="22"/>
      <w:lang w:eastAsia="en-US" w:bidi="en-US"/>
    </w:rPr>
  </w:style>
  <w:style w:type="character" w:customStyle="1" w:styleId="DashChar">
    <w:name w:val="Dash Char"/>
    <w:basedOn w:val="DefaultParagraphFont"/>
    <w:link w:val="Dash"/>
    <w:rsid w:val="004B1A2D"/>
    <w:rPr>
      <w:rFonts w:ascii="Book Antiqua" w:eastAsia="Corbel" w:hAnsi="Book Antiqua"/>
      <w:sz w:val="22"/>
      <w:szCs w:val="22"/>
      <w:lang w:eastAsia="en-US" w:bidi="en-US"/>
    </w:rPr>
  </w:style>
  <w:style w:type="paragraph" w:customStyle="1" w:styleId="DoubleDot">
    <w:name w:val="Double Dot"/>
    <w:basedOn w:val="Normal"/>
    <w:link w:val="DoubleDotChar"/>
    <w:rsid w:val="004B1A2D"/>
    <w:pPr>
      <w:numPr>
        <w:ilvl w:val="2"/>
        <w:numId w:val="4"/>
      </w:numPr>
      <w:spacing w:line="288" w:lineRule="auto"/>
    </w:pPr>
    <w:rPr>
      <w:rFonts w:ascii="Book Antiqua" w:eastAsia="Corbel" w:hAnsi="Book Antiqua"/>
      <w:szCs w:val="22"/>
      <w:lang w:eastAsia="en-US" w:bidi="en-US"/>
    </w:rPr>
  </w:style>
  <w:style w:type="character" w:customStyle="1" w:styleId="DoubleDotChar">
    <w:name w:val="Double Dot Char"/>
    <w:basedOn w:val="DefaultParagraphFont"/>
    <w:link w:val="DoubleDot"/>
    <w:rsid w:val="004B1A2D"/>
    <w:rPr>
      <w:rFonts w:ascii="Book Antiqua" w:eastAsia="Corbel" w:hAnsi="Book Antiqua"/>
      <w:sz w:val="22"/>
      <w:szCs w:val="22"/>
      <w:lang w:eastAsia="en-US" w:bidi="en-US"/>
    </w:rPr>
  </w:style>
  <w:style w:type="paragraph" w:customStyle="1" w:styleId="ecxmsonormal">
    <w:name w:val="ecxmsonormal"/>
    <w:basedOn w:val="Normal"/>
    <w:rsid w:val="004B1A2D"/>
    <w:pPr>
      <w:spacing w:before="100" w:beforeAutospacing="1" w:after="100" w:afterAutospacing="1" w:line="240" w:lineRule="auto"/>
    </w:pPr>
    <w:rPr>
      <w:rFonts w:ascii="Times New Roman" w:hAnsi="Times New Roman"/>
      <w:sz w:val="24"/>
    </w:rPr>
  </w:style>
  <w:style w:type="paragraph" w:customStyle="1" w:styleId="ecxmsolistparagraph">
    <w:name w:val="ecxmsolistparagraph"/>
    <w:basedOn w:val="Normal"/>
    <w:rsid w:val="004B1A2D"/>
    <w:pPr>
      <w:spacing w:before="100" w:beforeAutospacing="1" w:after="100" w:afterAutospacing="1" w:line="240" w:lineRule="auto"/>
    </w:pPr>
    <w:rPr>
      <w:rFonts w:ascii="Times New Roman" w:hAnsi="Times New Roman"/>
      <w:sz w:val="24"/>
    </w:rPr>
  </w:style>
  <w:style w:type="character" w:customStyle="1" w:styleId="apple-converted-space">
    <w:name w:val="apple-converted-space"/>
    <w:basedOn w:val="DefaultParagraphFont"/>
    <w:rsid w:val="004B1A2D"/>
  </w:style>
  <w:style w:type="paragraph" w:styleId="BodyText">
    <w:name w:val="Body Text"/>
    <w:basedOn w:val="Normal"/>
    <w:link w:val="BodyTextChar"/>
    <w:rsid w:val="004B1A2D"/>
  </w:style>
  <w:style w:type="character" w:customStyle="1" w:styleId="BodyTextChar">
    <w:name w:val="Body Text Char"/>
    <w:basedOn w:val="DefaultParagraphFont"/>
    <w:link w:val="BodyText"/>
    <w:rsid w:val="004B1A2D"/>
    <w:rPr>
      <w:rFonts w:asciiTheme="minorHAnsi" w:hAnsiTheme="minorHAnsi"/>
      <w:sz w:val="22"/>
      <w:szCs w:val="24"/>
    </w:rPr>
  </w:style>
  <w:style w:type="paragraph" w:customStyle="1" w:styleId="ShadedListBullet">
    <w:name w:val="Shaded List Bullet"/>
    <w:basedOn w:val="ListBullet"/>
    <w:qFormat/>
    <w:rsid w:val="00AE66D5"/>
    <w:pPr>
      <w:keepNext/>
      <w:numPr>
        <w:numId w:val="3"/>
      </w:numPr>
      <w:pBdr>
        <w:left w:val="single" w:sz="12" w:space="4" w:color="165788"/>
        <w:bottom w:val="single" w:sz="12" w:space="1" w:color="165788"/>
        <w:right w:val="single" w:sz="12" w:space="4" w:color="165788"/>
      </w:pBdr>
      <w:shd w:val="clear" w:color="auto" w:fill="E2EAF0"/>
      <w:spacing w:before="0" w:line="288" w:lineRule="auto"/>
      <w:ind w:left="357" w:hanging="357"/>
    </w:pPr>
    <w:rPr>
      <w:szCs w:val="22"/>
    </w:rPr>
  </w:style>
  <w:style w:type="paragraph" w:customStyle="1" w:styleId="ShadedNumberedList">
    <w:name w:val="Shaded Numbered List"/>
    <w:basedOn w:val="ListNumber"/>
    <w:qFormat/>
    <w:rsid w:val="00E202B8"/>
    <w:pPr>
      <w:pBdr>
        <w:left w:val="single" w:sz="12" w:space="4" w:color="165788"/>
        <w:bottom w:val="single" w:sz="12" w:space="1" w:color="165788"/>
        <w:right w:val="single" w:sz="12" w:space="4" w:color="165788"/>
      </w:pBdr>
      <w:shd w:val="clear" w:color="auto" w:fill="E2EAF0"/>
      <w:spacing w:before="0"/>
      <w:ind w:left="357" w:hanging="357"/>
    </w:pPr>
  </w:style>
  <w:style w:type="paragraph" w:styleId="List">
    <w:name w:val="List"/>
    <w:basedOn w:val="Normal"/>
    <w:rsid w:val="00B32505"/>
    <w:pPr>
      <w:ind w:left="283" w:hanging="283"/>
      <w:contextualSpacing/>
    </w:pPr>
  </w:style>
  <w:style w:type="paragraph" w:customStyle="1" w:styleId="TableBody">
    <w:name w:val="Table Body"/>
    <w:basedOn w:val="BodyText"/>
    <w:qFormat/>
    <w:rsid w:val="005B0FE4"/>
    <w:rPr>
      <w:sz w:val="20"/>
      <w:szCs w:val="20"/>
    </w:rPr>
  </w:style>
  <w:style w:type="paragraph" w:customStyle="1" w:styleId="TableListBullet">
    <w:name w:val="Table List Bullet"/>
    <w:basedOn w:val="ListBullet"/>
    <w:qFormat/>
    <w:rsid w:val="005B0FE4"/>
    <w:rPr>
      <w:sz w:val="20"/>
    </w:rPr>
  </w:style>
  <w:style w:type="paragraph" w:customStyle="1" w:styleId="numberedpara">
    <w:name w:val="numbered para"/>
    <w:basedOn w:val="Normal"/>
    <w:rsid w:val="0019736B"/>
    <w:pPr>
      <w:numPr>
        <w:numId w:val="5"/>
      </w:numPr>
      <w:spacing w:before="0" w:after="0" w:line="240" w:lineRule="auto"/>
    </w:pPr>
    <w:rPr>
      <w:rFonts w:ascii="Calibri" w:eastAsiaTheme="minorHAnsi" w:hAnsi="Calibri" w:cs="Calibri"/>
      <w:szCs w:val="22"/>
    </w:rPr>
  </w:style>
  <w:style w:type="paragraph" w:styleId="BlockText">
    <w:name w:val="Block Text"/>
    <w:basedOn w:val="Normal"/>
    <w:rsid w:val="009F1AE2"/>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paragraph" w:styleId="Revision">
    <w:name w:val="Revision"/>
    <w:hidden/>
    <w:uiPriority w:val="99"/>
    <w:semiHidden/>
    <w:rsid w:val="009424D7"/>
    <w:rPr>
      <w:rFonts w:asciiTheme="minorHAnsi" w:hAnsiTheme="minorHAnsi"/>
      <w:sz w:val="22"/>
      <w:szCs w:val="24"/>
    </w:rPr>
  </w:style>
  <w:style w:type="paragraph" w:customStyle="1" w:styleId="RIESbriefreports">
    <w:name w:val="RIES brief/reports"/>
    <w:basedOn w:val="Heading1"/>
    <w:next w:val="Normal"/>
    <w:link w:val="RIESbriefreportsChar"/>
    <w:qFormat/>
    <w:rsid w:val="007B6B42"/>
    <w:pPr>
      <w:pBdr>
        <w:bottom w:val="single" w:sz="4" w:space="1" w:color="auto"/>
      </w:pBdr>
      <w:spacing w:line="276" w:lineRule="auto"/>
    </w:pPr>
    <w:rPr>
      <w:rFonts w:asciiTheme="minorHAnsi" w:hAnsiTheme="minorHAnsi" w:cstheme="minorHAnsi"/>
      <w:color w:val="365F91" w:themeColor="accent1" w:themeShade="BF"/>
      <w:sz w:val="24"/>
      <w:lang w:eastAsia="en-US"/>
    </w:rPr>
  </w:style>
  <w:style w:type="character" w:customStyle="1" w:styleId="RIESbriefreportsChar">
    <w:name w:val="RIES brief/reports Char"/>
    <w:basedOn w:val="DefaultParagraphFont"/>
    <w:link w:val="RIESbriefreports"/>
    <w:rsid w:val="007B6B42"/>
    <w:rPr>
      <w:rFonts w:asciiTheme="minorHAnsi" w:eastAsiaTheme="majorEastAsia" w:hAnsiTheme="minorHAnsi" w:cstheme="minorHAnsi"/>
      <w:b/>
      <w:bCs/>
      <w:color w:val="365F91" w:themeColor="accent1" w:themeShade="BF"/>
      <w:sz w:val="24"/>
      <w:szCs w:val="28"/>
      <w:lang w:eastAsia="en-US"/>
    </w:rPr>
  </w:style>
  <w:style w:type="character" w:styleId="FollowedHyperlink">
    <w:name w:val="FollowedHyperlink"/>
    <w:basedOn w:val="DefaultParagraphFont"/>
    <w:rsid w:val="004E0D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80440">
      <w:bodyDiv w:val="1"/>
      <w:marLeft w:val="0"/>
      <w:marRight w:val="0"/>
      <w:marTop w:val="0"/>
      <w:marBottom w:val="0"/>
      <w:divBdr>
        <w:top w:val="none" w:sz="0" w:space="0" w:color="auto"/>
        <w:left w:val="none" w:sz="0" w:space="0" w:color="auto"/>
        <w:bottom w:val="none" w:sz="0" w:space="0" w:color="auto"/>
        <w:right w:val="none" w:sz="0" w:space="0" w:color="auto"/>
      </w:divBdr>
    </w:div>
    <w:div w:id="669455574">
      <w:bodyDiv w:val="1"/>
      <w:marLeft w:val="0"/>
      <w:marRight w:val="0"/>
      <w:marTop w:val="0"/>
      <w:marBottom w:val="0"/>
      <w:divBdr>
        <w:top w:val="none" w:sz="0" w:space="0" w:color="auto"/>
        <w:left w:val="none" w:sz="0" w:space="0" w:color="auto"/>
        <w:bottom w:val="none" w:sz="0" w:space="0" w:color="auto"/>
        <w:right w:val="none" w:sz="0" w:space="0" w:color="auto"/>
      </w:divBdr>
    </w:div>
    <w:div w:id="698967941">
      <w:bodyDiv w:val="1"/>
      <w:marLeft w:val="0"/>
      <w:marRight w:val="0"/>
      <w:marTop w:val="0"/>
      <w:marBottom w:val="0"/>
      <w:divBdr>
        <w:top w:val="none" w:sz="0" w:space="0" w:color="auto"/>
        <w:left w:val="none" w:sz="0" w:space="0" w:color="auto"/>
        <w:bottom w:val="none" w:sz="0" w:space="0" w:color="auto"/>
        <w:right w:val="none" w:sz="0" w:space="0" w:color="auto"/>
      </w:divBdr>
    </w:div>
    <w:div w:id="810288954">
      <w:bodyDiv w:val="1"/>
      <w:marLeft w:val="0"/>
      <w:marRight w:val="0"/>
      <w:marTop w:val="0"/>
      <w:marBottom w:val="0"/>
      <w:divBdr>
        <w:top w:val="none" w:sz="0" w:space="0" w:color="auto"/>
        <w:left w:val="none" w:sz="0" w:space="0" w:color="auto"/>
        <w:bottom w:val="none" w:sz="0" w:space="0" w:color="auto"/>
        <w:right w:val="none" w:sz="0" w:space="0" w:color="auto"/>
      </w:divBdr>
    </w:div>
    <w:div w:id="1006715620">
      <w:bodyDiv w:val="1"/>
      <w:marLeft w:val="0"/>
      <w:marRight w:val="0"/>
      <w:marTop w:val="0"/>
      <w:marBottom w:val="0"/>
      <w:divBdr>
        <w:top w:val="none" w:sz="0" w:space="0" w:color="auto"/>
        <w:left w:val="none" w:sz="0" w:space="0" w:color="auto"/>
        <w:bottom w:val="none" w:sz="0" w:space="0" w:color="auto"/>
        <w:right w:val="none" w:sz="0" w:space="0" w:color="auto"/>
      </w:divBdr>
    </w:div>
    <w:div w:id="1667827780">
      <w:bodyDiv w:val="1"/>
      <w:marLeft w:val="0"/>
      <w:marRight w:val="0"/>
      <w:marTop w:val="0"/>
      <w:marBottom w:val="0"/>
      <w:divBdr>
        <w:top w:val="none" w:sz="0" w:space="0" w:color="auto"/>
        <w:left w:val="none" w:sz="0" w:space="0" w:color="auto"/>
        <w:bottom w:val="none" w:sz="0" w:space="0" w:color="auto"/>
        <w:right w:val="none" w:sz="0" w:space="0" w:color="auto"/>
      </w:divBdr>
    </w:div>
    <w:div w:id="171318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hyperlink" Target="http://deewr.gov.au/regional-reports-employers-recruitment-experiences" TargetMode="External"/><Relationship Id="rId39"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http://deewr.gov.au/australian-jobs-publication"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jpeg"/><Relationship Id="rId25" Type="http://schemas.openxmlformats.org/officeDocument/2006/relationships/hyperlink" Target="http://creativecommons.org/licenses/by/3.0/au/legalcode" TargetMode="External"/><Relationship Id="rId33" Type="http://schemas.openxmlformats.org/officeDocument/2006/relationships/hyperlink" Target="http://www.skillsinfo.gov.au" TargetMode="Externa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2.xml"/><Relationship Id="rId29" Type="http://schemas.openxmlformats.org/officeDocument/2006/relationships/image" Target="media/image6.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creativecommons.org/licenses/by/3.0/au/" TargetMode="External"/><Relationship Id="rId32" Type="http://schemas.openxmlformats.org/officeDocument/2006/relationships/hyperlink" Target="http://deewr.gov.au/regional-reports-employers-recruitment-experiences" TargetMode="External"/><Relationship Id="rId37" Type="http://schemas.openxmlformats.org/officeDocument/2006/relationships/header" Target="header4.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image" Target="cid:image001.png@01CC5B5E.C6C84990" TargetMode="External"/><Relationship Id="rId28" Type="http://schemas.openxmlformats.org/officeDocument/2006/relationships/image" Target="media/image5.emf"/><Relationship Id="rId36" Type="http://schemas.openxmlformats.org/officeDocument/2006/relationships/footer" Target="footer3.xml"/><Relationship Id="rId10" Type="http://schemas.microsoft.com/office/2007/relationships/stylesWithEffects" Target="stylesWithEffects.xml"/><Relationship Id="rId19" Type="http://schemas.openxmlformats.org/officeDocument/2006/relationships/footer" Target="footer1.xml"/><Relationship Id="rId31" Type="http://schemas.openxmlformats.org/officeDocument/2006/relationships/hyperlink" Target="http://deewr.gov.au/skill-shortage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image" Target="media/image4.png"/><Relationship Id="rId27" Type="http://schemas.openxmlformats.org/officeDocument/2006/relationships/hyperlink" Target="mailto:recruitmentsurveys@deewr.gov.au" TargetMode="External"/><Relationship Id="rId30" Type="http://schemas.openxmlformats.org/officeDocument/2006/relationships/hyperlink" Target="http://deewr.gov.au/labour-market-information-portal-0"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Insert the document abstract here. The abstract should describe the purpose of the policy/guide, and is a document metadata field that is used to help establish relevance for search engines, etc. The abstract is also used to populate library cards for any documents publishable under the Information Publication Scheme. You cannot use paragraphs in the abstract so keep it brief.</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26B08DF205FC2F479E17486463F9ACA8" ma:contentTypeVersion="11" ma:contentTypeDescription="Ddocs' Word Content Type" ma:contentTypeScope="" ma:versionID="59e736296bbe3d93632163566f51bc98">
  <xsd:schema xmlns:xsd="http://www.w3.org/2001/XMLSchema" xmlns:p="http://schemas.microsoft.com/office/2006/metadata/properties" xmlns:ns2="http://schemas.microsoft.com/sharepoint/v3/fields" xmlns:ns3="4ff5bc6b-1238-418a-b0ee-f48830a30d62" targetNamespace="http://schemas.microsoft.com/office/2006/metadata/properties" ma:root="true" ma:fieldsID="dc64026ba537ae81b4e4f7ba51bda4c7" ns2:_="" ns3:_="">
    <xsd:import namespace="http://schemas.microsoft.com/sharepoint/v3/fields"/>
    <xsd:import namespace="4ff5bc6b-1238-418a-b0ee-f48830a30d62"/>
    <xsd:element name="properties">
      <xsd:complexType>
        <xsd:sequence>
          <xsd:element name="documentManagement">
            <xsd:complexType>
              <xsd:all>
                <xsd:element ref="ns2:DdocsSearchTerms" minOccurs="0"/>
                <xsd:element ref="ns3:_dlc_Exempt"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DdocsSearchTerms" ma:index="2" nillable="true" ma:displayName="Search terms" ma:internalName="DdocsSearchTerms">
      <xsd:simpleType>
        <xsd:restriction base="dms:Text"/>
      </xsd:simpleType>
    </xsd:element>
    <xsd:element name="TrimDatePublished" ma:index="12" nillable="true" ma:displayName="TRIM Date Published" ma:internalName="TrimDatePublished" ma:readOnly="true">
      <xsd:simpleType>
        <xsd:restriction base="dms:DateTime"/>
      </xsd:simpleType>
    </xsd:element>
    <xsd:element name="TrimDocumentNumber" ma:index="13" nillable="true" ma:displayName="TRIM Document Number" ma:internalName="TrimDocumentNumber" ma:readOnly="true">
      <xsd:simpleType>
        <xsd:restriction base="dms:Text"/>
      </xsd:simpleType>
    </xsd:element>
    <xsd:element name="TrimDocumentUri" ma:index="14" nillable="true" ma:displayName="TRIM Document Uri" ma:hidden="true" ma:internalName="TrimDocumentUri" ma:readOnly="true">
      <xsd:simpleType>
        <xsd:restriction base="dms:Unknown"/>
      </xsd:simpleType>
    </xsd:element>
    <xsd:element name="TrimFileNumber" ma:index="15" nillable="true" ma:displayName="TRIM File Number" ma:internalName="TrimFileNumber" ma:readOnly="true">
      <xsd:simpleType>
        <xsd:restriction base="dms:Text"/>
      </xsd:simpleType>
    </xsd:element>
    <xsd:element name="DNetUniqueId" ma:index="16" nillable="true" ma:displayName="DdocsId" ma:internalName="DNetUniqueId" ma:readOnly="true">
      <xsd:simpleType>
        <xsd:restriction base="dms:Text"/>
      </xsd:simpleType>
    </xsd:element>
  </xsd:schema>
  <xsd:schema xmlns:xsd="http://www.w3.org/2001/XMLSchema" xmlns:dms="http://schemas.microsoft.com/office/2006/documentManagement/types" targetNamespace="4ff5bc6b-1238-418a-b0ee-f48830a30d62" elementFormDefault="qualified">
    <xsd:import namespace="http://schemas.microsoft.com/office/2006/documentManagement/types"/>
    <xsd:element name="_dlc_Exempt" ma:index="9" nillable="true" ma:displayName="Exempt from Policy" ma:description="" ma:hidden="true" ma:internalName="_dlc_Exempt" ma:readOnly="true">
      <xsd:simpleType>
        <xsd:restriction base="dms:Unknown"/>
      </xsd:simpleType>
    </xsd:element>
    <xsd:element name="_dlc_ExpireDateSaved" ma:index="10" nillable="true" ma:displayName="Original Expiration Date" ma:description="" ma:hidden="true" ma:internalName="_dlc_ExpireDateSaved" ma:readOnly="true">
      <xsd:simpleType>
        <xsd:restriction base="dms:DateTime"/>
      </xsd:simpleType>
    </xsd:element>
    <xsd:element name="_dlc_ExpireDate" ma:index="11" nillable="true" ma:displayName="Expiration Date" ma:description="" ma:hidden="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docsSearchTerms xmlns="http://schemas.microsoft.com/sharepoint/v3/fields" xsi:nil="true"/>
    <_dlc_ExpireDateSaved xmlns="4ff5bc6b-1238-418a-b0ee-f48830a30d62" xsi:nil="true"/>
    <_dlc_ExpireDate xmlns="4ff5bc6b-1238-418a-b0ee-f48830a30d62" xsi:nil="true"/>
  </documentManagement>
</p:properties>
</file>

<file path=customXml/item4.xml><?xml version="1.0" encoding="utf-8"?>
<?mso-contentType ?>
<p:Policy xmlns:p="office.server.policy" id="da8fb119-f310-4c1a-adbe-1192e31a6ac5" local="false">
  <p:Name>Ddocs' Information Management Policy</p:Name>
  <p:Description>Ddocs' Information Management Policy</p:Description>
  <p:Statement/>
  <p:PolicyItems>
    <p:PolicyItem featureId="Microsoft.Office.RecordsManagement.PolicyFeatures.PolicyAudit">
      <p:Name>Auditing</p:Name>
      <p:Description>Audits user actions on documents and list items to the Audit Log.</p:Description>
      <p:CustomData>
        <Audit>
          <Update/>
          <View/>
          <DeleteRestore/>
        </Audit>
      </p:CustomData>
    </p:PolicyItem>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5</number>
            <property>Modified</property>
            <period>years</period>
          </formula>
          <action type="action" id="Microsoft.Office.RecordsManagement.PolicyFeatures.Expiration.Action.MoveToRecycleBin"/>
        </data>
      </p:CustomData>
    </p:PolicyItem>
  </p:PolicyItems>
</p:Policy>
</file>

<file path=customXml/item5.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8C9F18-AFFC-4553-9323-FC66C3EA8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ff5bc6b-1238-418a-b0ee-f48830a30d6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CE93746-C7CB-47C7-9427-5E12F449EAC1}">
  <ds:schemaRefs>
    <ds:schemaRef ds:uri="http://www.w3.org/XML/1998/namespace"/>
    <ds:schemaRef ds:uri="http://purl.org/dc/dcmitype/"/>
    <ds:schemaRef ds:uri="http://purl.org/dc/elements/1.1/"/>
    <ds:schemaRef ds:uri="http://schemas.microsoft.com/office/2006/documentManagement/types"/>
    <ds:schemaRef ds:uri="4ff5bc6b-1238-418a-b0ee-f48830a30d62"/>
    <ds:schemaRef ds:uri="http://schemas.microsoft.com/office/2006/metadata/properties"/>
    <ds:schemaRef ds:uri="http://schemas.microsoft.com/sharepoint/v3/fields"/>
    <ds:schemaRef ds:uri="http://purl.org/dc/terms/"/>
    <ds:schemaRef ds:uri="http://schemas.openxmlformats.org/package/2006/metadata/core-properties"/>
  </ds:schemaRefs>
</ds:datastoreItem>
</file>

<file path=customXml/itemProps4.xml><?xml version="1.0" encoding="utf-8"?>
<ds:datastoreItem xmlns:ds="http://schemas.openxmlformats.org/officeDocument/2006/customXml" ds:itemID="{53794BD5-7DF6-498B-A624-D85A92467193}">
  <ds:schemaRefs>
    <ds:schemaRef ds:uri="office.server.policy"/>
  </ds:schemaRefs>
</ds:datastoreItem>
</file>

<file path=customXml/itemProps5.xml><?xml version="1.0" encoding="utf-8"?>
<ds:datastoreItem xmlns:ds="http://schemas.openxmlformats.org/officeDocument/2006/customXml" ds:itemID="{75C0D125-9778-4CCD-859F-AD89FBA8A7F8}">
  <ds:schemaRefs>
    <ds:schemaRef ds:uri="http://schemas.microsoft.com/sharepoint/events"/>
  </ds:schemaRefs>
</ds:datastoreItem>
</file>

<file path=customXml/itemProps6.xml><?xml version="1.0" encoding="utf-8"?>
<ds:datastoreItem xmlns:ds="http://schemas.openxmlformats.org/officeDocument/2006/customXml" ds:itemID="{F316EDEC-9934-410F-A97C-CE1BCD96DB92}">
  <ds:schemaRefs>
    <ds:schemaRef ds:uri="http://schemas.openxmlformats.org/officeDocument/2006/bibliography"/>
  </ds:schemaRefs>
</ds:datastoreItem>
</file>

<file path=customXml/itemProps7.xml><?xml version="1.0" encoding="utf-8"?>
<ds:datastoreItem xmlns:ds="http://schemas.openxmlformats.org/officeDocument/2006/customXml" ds:itemID="{AE18E69B-4061-46DA-A745-68FB460F5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98EAE2E0.dotm</Template>
  <TotalTime>0</TotalTime>
  <Pages>9</Pages>
  <Words>1961</Words>
  <Characters>11184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Bundaberg-Hervey Bay         Priority Employment Area</vt:lpstr>
    </vt:vector>
  </TitlesOfParts>
  <Company>Australian Government</Company>
  <LinksUpToDate>false</LinksUpToDate>
  <CharactersWithSpaces>13119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Bundaberg-Hervey Bay         Priority Employment Area</dc:title>
  <dc:creator>Robert Pacey</dc:creator>
  <cp:lastModifiedBy>Martin Casey</cp:lastModifiedBy>
  <cp:revision>2</cp:revision>
  <cp:lastPrinted>2013-03-14T00:12:00Z</cp:lastPrinted>
  <dcterms:created xsi:type="dcterms:W3CDTF">2013-04-11T04:52:00Z</dcterms:created>
  <dcterms:modified xsi:type="dcterms:W3CDTF">2013-04-11T04:52:00Z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0x0101009EDC4876AF524A70BD125A9D2C0D191E0C0026B08DF205FC2F479E17486463F9ACA8</vt:lpwstr>
  </property>
  <property fmtid="{D5CDD505-2E9C-101B-9397-08002B2CF9AE}" pid="3" name="_dlc_ExpireDate">
    <vt:lpwstr>2016-09-15T00:04:33+00:00</vt:lpwstr>
  </property>
  <property fmtid="{D5CDD505-2E9C-101B-9397-08002B2CF9AE}" pid="4" name="_dlc_policyId">
    <vt:lpwstr/>
  </property>
  <property fmtid="{D5CDD505-2E9C-101B-9397-08002B2CF9AE}" pid="5" name="ItemRetentionFormula">
    <vt:lpwstr/>
  </property>
</Properties>
</file>