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0BB" w:rsidRDefault="003A20BB" w:rsidP="003A20BB">
      <w:pPr>
        <w:spacing w:line="360" w:lineRule="auto"/>
      </w:pPr>
      <w:r>
        <w:t>Slide 1</w:t>
      </w:r>
    </w:p>
    <w:p w:rsidR="003A20BB" w:rsidRDefault="003A20BB" w:rsidP="003A20BB">
      <w:pPr>
        <w:spacing w:line="360" w:lineRule="auto"/>
      </w:pPr>
    </w:p>
    <w:p w:rsidR="003A20BB" w:rsidRDefault="0013234A" w:rsidP="003A20BB">
      <w:pPr>
        <w:spacing w:line="360" w:lineRule="auto"/>
        <w:jc w:val="center"/>
      </w:pPr>
      <w:r>
        <w:object w:dxaOrig="7216"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70.75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5" DrawAspect="Content" ObjectID="_1412079704" r:id="rId8"/>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Calibri" w:cs="Calibri"/>
          <w:color w:val="000000"/>
          <w:kern w:val="24"/>
          <w:sz w:val="24"/>
          <w:szCs w:val="24"/>
          <w:lang w:eastAsia="en-AU"/>
        </w:rPr>
      </w:pPr>
      <w:proofErr w:type="gramStart"/>
      <w:r>
        <w:rPr>
          <w:rFonts w:ascii="Calibri" w:hAnsi="Calibri" w:cs="Calibri"/>
          <w:color w:val="000000"/>
          <w:kern w:val="24"/>
          <w:sz w:val="24"/>
          <w:szCs w:val="24"/>
          <w:lang w:eastAsia="en-AU"/>
        </w:rPr>
        <w:t>Survey of Employers’ Recruitment Experiences in the Northern and Western Adelaide Priority Employment Area (PEA).</w:t>
      </w:r>
      <w:proofErr w:type="gramEnd"/>
      <w:r>
        <w:rPr>
          <w:rFonts w:ascii="Calibri" w:hAnsi="Calibri" w:cs="Calibri"/>
          <w:color w:val="000000"/>
          <w:kern w:val="24"/>
          <w:sz w:val="24"/>
          <w:szCs w:val="24"/>
          <w:lang w:eastAsia="en-AU"/>
        </w:rPr>
        <w:t xml:space="preserve"> This area was surveyed in August 2012 and previously surveyed in the Survey of Employers’ Recruitment Experiences in Capital Cities, March 2011 and March 2010.</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Presenter: Ivan Neville, Branch Manager, Labour Market Research and Analysis Branch</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Australian Government</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Department of Education, Employment and Workplace Relations</w:t>
      </w:r>
    </w:p>
    <w:p w:rsidR="003A20BB" w:rsidRDefault="003A20BB" w:rsidP="003A20BB">
      <w:pPr>
        <w:autoSpaceDE w:val="0"/>
        <w:autoSpaceDN w:val="0"/>
        <w:adjustRightInd w:val="0"/>
        <w:rPr>
          <w:rFonts w:ascii="Calibri" w:hAnsi="Calibri" w:cs="Calibri"/>
          <w:b/>
          <w:bCs/>
          <w:color w:val="000000"/>
          <w:kern w:val="24"/>
          <w:sz w:val="24"/>
          <w:szCs w:val="24"/>
          <w:lang w:eastAsia="en-AU"/>
        </w:rPr>
      </w:pPr>
    </w:p>
    <w:p w:rsidR="003A20BB" w:rsidRDefault="003A20BB" w:rsidP="003A20BB">
      <w:pPr>
        <w:autoSpaceDE w:val="0"/>
        <w:autoSpaceDN w:val="0"/>
        <w:adjustRightInd w:val="0"/>
        <w:rPr>
          <w:rFonts w:ascii="Calibri" w:hAnsi="Calibri" w:cs="Calibri"/>
          <w:b/>
          <w:bCs/>
          <w:color w:val="000000"/>
          <w:kern w:val="24"/>
          <w:sz w:val="24"/>
          <w:szCs w:val="24"/>
          <w:lang w:eastAsia="en-AU"/>
        </w:rPr>
      </w:pPr>
    </w:p>
    <w:p w:rsidR="003A20BB" w:rsidRDefault="003A20BB" w:rsidP="003A20BB">
      <w:pPr>
        <w:autoSpaceDE w:val="0"/>
        <w:autoSpaceDN w:val="0"/>
        <w:adjustRightInd w:val="0"/>
        <w:rPr>
          <w:rFonts w:ascii="Calibri" w:hAnsi="Calibri" w:cs="Calibri"/>
          <w:b/>
          <w:bCs/>
          <w:color w:val="000000"/>
          <w:kern w:val="24"/>
          <w:sz w:val="24"/>
          <w:szCs w:val="24"/>
          <w:lang w:eastAsia="en-AU"/>
        </w:rPr>
      </w:pPr>
    </w:p>
    <w:p w:rsidR="003A20BB" w:rsidRDefault="003A20BB" w:rsidP="003A20BB">
      <w:pPr>
        <w:autoSpaceDE w:val="0"/>
        <w:autoSpaceDN w:val="0"/>
        <w:adjustRightInd w:val="0"/>
        <w:rPr>
          <w:rFonts w:cs="Arial"/>
          <w:sz w:val="24"/>
          <w:szCs w:val="24"/>
          <w:lang w:eastAsia="en-AU"/>
        </w:rPr>
      </w:pPr>
    </w:p>
    <w:p w:rsidR="003A20BB" w:rsidRDefault="003A20BB" w:rsidP="003A20BB">
      <w:pPr>
        <w:spacing w:line="360" w:lineRule="auto"/>
      </w:pPr>
    </w:p>
    <w:p w:rsidR="003A20BB" w:rsidRDefault="003A20BB">
      <w:r>
        <w:br w:type="page"/>
      </w:r>
    </w:p>
    <w:p w:rsidR="003A20BB" w:rsidRDefault="003A20BB" w:rsidP="003A20BB">
      <w:pPr>
        <w:spacing w:line="360" w:lineRule="auto"/>
      </w:pPr>
      <w:r>
        <w:lastRenderedPageBreak/>
        <w:t>Slide 2</w:t>
      </w:r>
    </w:p>
    <w:p w:rsidR="003A20BB" w:rsidRDefault="003A20BB" w:rsidP="003A20BB">
      <w:pPr>
        <w:spacing w:line="360" w:lineRule="auto"/>
      </w:pPr>
    </w:p>
    <w:p w:rsidR="003A20BB" w:rsidRDefault="0013234A" w:rsidP="003A20BB">
      <w:pPr>
        <w:spacing w:line="360" w:lineRule="auto"/>
        <w:jc w:val="center"/>
      </w:pPr>
      <w:r>
        <w:object w:dxaOrig="7216" w:dyaOrig="5409">
          <v:shape id="_x0000_i1026" type="#_x0000_t75" style="width:360.75pt;height:270.7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6" DrawAspect="Content" ObjectID="_1412079705" r:id="rId10"/>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Northern Adelaide Labour Force Region and Western Adelaide Labour Force Region together comprise 96 per cent of the Northern and Western Adelaide Priority Employment Area’s working age population.</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Northern and Western Adelaide Priority Employment Area is made up of the following Local Government Areas:</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Adelaide </w:t>
      </w:r>
      <w:proofErr w:type="spellStart"/>
      <w:r>
        <w:rPr>
          <w:rFonts w:ascii="Calibri" w:hAnsi="Calibri" w:cs="Calibri"/>
          <w:color w:val="000000"/>
          <w:kern w:val="24"/>
          <w:sz w:val="24"/>
          <w:szCs w:val="24"/>
          <w:lang w:eastAsia="en-AU"/>
        </w:rPr>
        <w:t>LGA</w:t>
      </w:r>
      <w:proofErr w:type="spellEnd"/>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Charles Sturt </w:t>
      </w:r>
      <w:proofErr w:type="spellStart"/>
      <w:r>
        <w:rPr>
          <w:rFonts w:ascii="Calibri" w:hAnsi="Calibri" w:cs="Calibri"/>
          <w:color w:val="000000"/>
          <w:kern w:val="24"/>
          <w:sz w:val="24"/>
          <w:szCs w:val="24"/>
          <w:lang w:eastAsia="en-AU"/>
        </w:rPr>
        <w:t>LGA</w:t>
      </w:r>
      <w:proofErr w:type="spellEnd"/>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Gawler </w:t>
      </w:r>
      <w:proofErr w:type="spellStart"/>
      <w:r>
        <w:rPr>
          <w:rFonts w:ascii="Calibri" w:hAnsi="Calibri" w:cs="Calibri"/>
          <w:color w:val="000000"/>
          <w:kern w:val="24"/>
          <w:sz w:val="24"/>
          <w:szCs w:val="24"/>
          <w:lang w:eastAsia="en-AU"/>
        </w:rPr>
        <w:t>LGA</w:t>
      </w:r>
      <w:proofErr w:type="spellEnd"/>
    </w:p>
    <w:p w:rsidR="003A20BB" w:rsidRDefault="003A20BB" w:rsidP="003A20BB">
      <w:pPr>
        <w:autoSpaceDE w:val="0"/>
        <w:autoSpaceDN w:val="0"/>
        <w:adjustRightInd w:val="0"/>
        <w:rPr>
          <w:rFonts w:ascii="Calibri" w:hAnsi="Calibri" w:cs="Calibri"/>
          <w:color w:val="000000"/>
          <w:kern w:val="24"/>
          <w:sz w:val="24"/>
          <w:szCs w:val="24"/>
          <w:lang w:eastAsia="en-AU"/>
        </w:rPr>
      </w:pPr>
      <w:proofErr w:type="spellStart"/>
      <w:r>
        <w:rPr>
          <w:rFonts w:ascii="Calibri" w:hAnsi="Calibri" w:cs="Calibri"/>
          <w:color w:val="000000"/>
          <w:kern w:val="24"/>
          <w:sz w:val="24"/>
          <w:szCs w:val="24"/>
          <w:lang w:eastAsia="en-AU"/>
        </w:rPr>
        <w:t>Playford</w:t>
      </w:r>
      <w:proofErr w:type="spellEnd"/>
      <w:r>
        <w:rPr>
          <w:rFonts w:ascii="Calibri" w:hAnsi="Calibri" w:cs="Calibri"/>
          <w:color w:val="000000"/>
          <w:kern w:val="24"/>
          <w:sz w:val="24"/>
          <w:szCs w:val="24"/>
          <w:lang w:eastAsia="en-AU"/>
        </w:rPr>
        <w:t xml:space="preserve"> </w:t>
      </w:r>
      <w:proofErr w:type="spellStart"/>
      <w:r>
        <w:rPr>
          <w:rFonts w:ascii="Calibri" w:hAnsi="Calibri" w:cs="Calibri"/>
          <w:color w:val="000000"/>
          <w:kern w:val="24"/>
          <w:sz w:val="24"/>
          <w:szCs w:val="24"/>
          <w:lang w:eastAsia="en-AU"/>
        </w:rPr>
        <w:t>LGA</w:t>
      </w:r>
      <w:proofErr w:type="spellEnd"/>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Port Adelaide Enfield </w:t>
      </w:r>
      <w:proofErr w:type="spellStart"/>
      <w:r>
        <w:rPr>
          <w:rFonts w:ascii="Calibri" w:hAnsi="Calibri" w:cs="Calibri"/>
          <w:color w:val="000000"/>
          <w:kern w:val="24"/>
          <w:sz w:val="24"/>
          <w:szCs w:val="24"/>
          <w:lang w:eastAsia="en-AU"/>
        </w:rPr>
        <w:t>LGA</w:t>
      </w:r>
      <w:proofErr w:type="spellEnd"/>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Salisbury </w:t>
      </w:r>
      <w:proofErr w:type="spellStart"/>
      <w:r>
        <w:rPr>
          <w:rFonts w:ascii="Calibri" w:hAnsi="Calibri" w:cs="Calibri"/>
          <w:color w:val="000000"/>
          <w:kern w:val="24"/>
          <w:sz w:val="24"/>
          <w:szCs w:val="24"/>
          <w:lang w:eastAsia="en-AU"/>
        </w:rPr>
        <w:t>LGA</w:t>
      </w:r>
      <w:proofErr w:type="spellEnd"/>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Tea Tree Gully </w:t>
      </w:r>
      <w:proofErr w:type="spellStart"/>
      <w:r>
        <w:rPr>
          <w:rFonts w:ascii="Calibri" w:hAnsi="Calibri" w:cs="Calibri"/>
          <w:color w:val="000000"/>
          <w:kern w:val="24"/>
          <w:sz w:val="24"/>
          <w:szCs w:val="24"/>
          <w:lang w:eastAsia="en-AU"/>
        </w:rPr>
        <w:t>LGA</w:t>
      </w:r>
      <w:proofErr w:type="spellEnd"/>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West Torrens </w:t>
      </w:r>
      <w:proofErr w:type="spellStart"/>
      <w:r>
        <w:rPr>
          <w:rFonts w:ascii="Calibri" w:hAnsi="Calibri" w:cs="Calibri"/>
          <w:color w:val="000000"/>
          <w:kern w:val="24"/>
          <w:sz w:val="24"/>
          <w:szCs w:val="24"/>
          <w:lang w:eastAsia="en-AU"/>
        </w:rPr>
        <w:t>LGA</w:t>
      </w:r>
      <w:proofErr w:type="spellEnd"/>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ind w:left="72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sz w:val="20"/>
          <w:lang w:eastAsia="en-AU"/>
        </w:rPr>
      </w:pPr>
      <w:r>
        <w:rPr>
          <w:rFonts w:ascii="Calibri" w:hAnsi="Calibri" w:cs="Calibri"/>
          <w:color w:val="000000"/>
          <w:sz w:val="20"/>
          <w:lang w:eastAsia="en-AU"/>
        </w:rPr>
        <w:br/>
      </w:r>
    </w:p>
    <w:p w:rsidR="003A20BB" w:rsidRDefault="003A20BB" w:rsidP="003A20BB">
      <w:pPr>
        <w:autoSpaceDE w:val="0"/>
        <w:autoSpaceDN w:val="0"/>
        <w:adjustRightInd w:val="0"/>
        <w:rPr>
          <w:rFonts w:cs="Arial"/>
          <w:sz w:val="24"/>
          <w:szCs w:val="24"/>
          <w:lang w:eastAsia="en-AU"/>
        </w:rPr>
      </w:pPr>
    </w:p>
    <w:p w:rsidR="003A20BB" w:rsidRDefault="003A20BB" w:rsidP="003A20BB">
      <w:pPr>
        <w:spacing w:line="360" w:lineRule="auto"/>
      </w:pPr>
    </w:p>
    <w:p w:rsidR="003A20BB" w:rsidRDefault="003A20BB">
      <w:r>
        <w:br w:type="page"/>
      </w:r>
    </w:p>
    <w:p w:rsidR="003A20BB" w:rsidRDefault="003A20BB" w:rsidP="003A20BB">
      <w:pPr>
        <w:spacing w:line="360" w:lineRule="auto"/>
      </w:pPr>
      <w:r>
        <w:lastRenderedPageBreak/>
        <w:t>Slide 3</w:t>
      </w:r>
    </w:p>
    <w:p w:rsidR="003A20BB" w:rsidRDefault="003A20BB" w:rsidP="003A20BB">
      <w:pPr>
        <w:spacing w:line="360" w:lineRule="auto"/>
      </w:pPr>
    </w:p>
    <w:p w:rsidR="003A20BB" w:rsidRDefault="0013234A" w:rsidP="003A20BB">
      <w:pPr>
        <w:spacing w:line="360" w:lineRule="auto"/>
        <w:jc w:val="center"/>
      </w:pPr>
      <w:r>
        <w:object w:dxaOrig="7216" w:dyaOrig="5409">
          <v:shape id="_x0000_i1027" type="#_x0000_t75" style="width:360.75pt;height:270.7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7" DrawAspect="Content" ObjectID="_1412079706" r:id="rId12"/>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b/>
          <w:bCs/>
          <w:color w:val="000000"/>
          <w:kern w:val="24"/>
          <w:sz w:val="24"/>
          <w:szCs w:val="24"/>
          <w:u w:val="single"/>
          <w:lang w:eastAsia="en-AU"/>
        </w:rPr>
        <w:t>Northern and Western Adelaide Priority Employment Area</w:t>
      </w:r>
    </w:p>
    <w:p w:rsidR="003A20BB" w:rsidRDefault="003A20BB" w:rsidP="003A20B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Estimated Residential Population 2011; ABS Census of Population and Housing, 2011 and 2006.</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As of 2011, the Northern and Western Adelaide PEA population of adults 15 years and older was </w:t>
      </w:r>
      <w:r>
        <w:rPr>
          <w:rFonts w:ascii="Calibri" w:hAnsi="Calibri" w:cs="Calibri"/>
          <w:color w:val="000000"/>
          <w:kern w:val="24"/>
          <w:sz w:val="24"/>
          <w:szCs w:val="24"/>
          <w:lang w:eastAsia="en-AU"/>
        </w:rPr>
        <w:t>524,100</w:t>
      </w:r>
      <w:r>
        <w:rPr>
          <w:rFonts w:ascii="Calibri" w:hAnsi="Times New Roman" w:cs="Calibri"/>
          <w:color w:val="000000"/>
          <w:kern w:val="24"/>
          <w:sz w:val="24"/>
          <w:szCs w:val="24"/>
          <w:lang w:eastAsia="en-AU"/>
        </w:rPr>
        <w:t>. This accounts for 39 per cent of the adult population of South Australia, and represented an increase of 7 per cent from 2006. Population growth between 2006 and 2011 for South Australia and Australia was 5 per cent and 9 per cent respectively.</w:t>
      </w:r>
    </w:p>
    <w:p w:rsidR="003A20BB" w:rsidRDefault="003A20BB" w:rsidP="003A20BB">
      <w:pPr>
        <w:autoSpaceDE w:val="0"/>
        <w:autoSpaceDN w:val="0"/>
        <w:adjustRightInd w:val="0"/>
        <w:rPr>
          <w:rFonts w:ascii="Calibri" w:hAnsi="Times New Roman" w:cs="Calibri"/>
          <w:color w:val="000000"/>
          <w:kern w:val="24"/>
          <w:sz w:val="24"/>
          <w:szCs w:val="24"/>
          <w:lang w:eastAsia="en-AU"/>
        </w:rPr>
      </w:pP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The </w:t>
      </w:r>
      <w:proofErr w:type="spellStart"/>
      <w:r>
        <w:rPr>
          <w:rFonts w:ascii="Calibri" w:hAnsi="Times New Roman" w:cs="Calibri"/>
          <w:color w:val="000000"/>
          <w:kern w:val="24"/>
          <w:sz w:val="24"/>
          <w:szCs w:val="24"/>
          <w:lang w:eastAsia="en-AU"/>
        </w:rPr>
        <w:t>LGA</w:t>
      </w:r>
      <w:proofErr w:type="spellEnd"/>
      <w:r>
        <w:rPr>
          <w:rFonts w:ascii="Calibri" w:hAnsi="Times New Roman" w:cs="Calibri"/>
          <w:color w:val="000000"/>
          <w:kern w:val="24"/>
          <w:sz w:val="24"/>
          <w:szCs w:val="24"/>
          <w:lang w:eastAsia="en-AU"/>
        </w:rPr>
        <w:t xml:space="preserve"> of </w:t>
      </w:r>
      <w:proofErr w:type="spellStart"/>
      <w:r>
        <w:rPr>
          <w:rFonts w:ascii="Calibri" w:hAnsi="Times New Roman" w:cs="Calibri"/>
          <w:color w:val="000000"/>
          <w:kern w:val="24"/>
          <w:sz w:val="24"/>
          <w:szCs w:val="24"/>
          <w:lang w:eastAsia="en-AU"/>
        </w:rPr>
        <w:t>Playford</w:t>
      </w:r>
      <w:proofErr w:type="spellEnd"/>
      <w:r>
        <w:rPr>
          <w:rFonts w:ascii="Calibri" w:hAnsi="Times New Roman" w:cs="Calibri"/>
          <w:color w:val="000000"/>
          <w:kern w:val="24"/>
          <w:sz w:val="24"/>
          <w:szCs w:val="24"/>
          <w:lang w:eastAsia="en-AU"/>
        </w:rPr>
        <w:t xml:space="preserve"> accounted for 12 per cent (or </w:t>
      </w:r>
      <w:r>
        <w:rPr>
          <w:rFonts w:ascii="Calibri" w:hAnsi="Calibri" w:cs="Calibri"/>
          <w:color w:val="000000"/>
          <w:kern w:val="24"/>
          <w:sz w:val="24"/>
          <w:szCs w:val="24"/>
          <w:lang w:eastAsia="en-AU"/>
        </w:rPr>
        <w:t xml:space="preserve">62,500 </w:t>
      </w:r>
      <w:r>
        <w:rPr>
          <w:rFonts w:ascii="Calibri" w:hAnsi="Times New Roman" w:cs="Calibri"/>
          <w:color w:val="000000"/>
          <w:kern w:val="24"/>
          <w:sz w:val="24"/>
          <w:szCs w:val="24"/>
          <w:lang w:eastAsia="en-AU"/>
        </w:rPr>
        <w:t>persons) of the adult population within the Northern and Western Adelaide PEA.</w:t>
      </w:r>
    </w:p>
    <w:p w:rsidR="003A20BB" w:rsidRDefault="003A20BB" w:rsidP="003A20BB">
      <w:pPr>
        <w:autoSpaceDE w:val="0"/>
        <w:autoSpaceDN w:val="0"/>
        <w:adjustRightInd w:val="0"/>
        <w:rPr>
          <w:rFonts w:ascii="Calibri" w:hAnsi="Times New Roman" w:cs="Calibri"/>
          <w:color w:val="000000"/>
          <w:kern w:val="24"/>
          <w:sz w:val="24"/>
          <w:szCs w:val="24"/>
          <w:lang w:eastAsia="en-AU"/>
        </w:rPr>
      </w:pP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The median age in the Northern and Western Adelaide PEA was 37 years, slightly lower compared with South Australia (39 </w:t>
      </w:r>
      <w:proofErr w:type="gramStart"/>
      <w:r>
        <w:rPr>
          <w:rFonts w:ascii="Calibri" w:hAnsi="Times New Roman" w:cs="Calibri"/>
          <w:color w:val="000000"/>
          <w:kern w:val="24"/>
          <w:sz w:val="24"/>
          <w:szCs w:val="24"/>
          <w:lang w:eastAsia="en-AU"/>
        </w:rPr>
        <w:t>years),</w:t>
      </w:r>
      <w:proofErr w:type="gramEnd"/>
      <w:r>
        <w:rPr>
          <w:rFonts w:ascii="Calibri" w:hAnsi="Times New Roman" w:cs="Calibri"/>
          <w:color w:val="000000"/>
          <w:kern w:val="24"/>
          <w:sz w:val="24"/>
          <w:szCs w:val="24"/>
          <w:lang w:eastAsia="en-AU"/>
        </w:rPr>
        <w:t xml:space="preserve"> and the same as Australia (37 years). The Adelaide and </w:t>
      </w:r>
      <w:proofErr w:type="spellStart"/>
      <w:r>
        <w:rPr>
          <w:rFonts w:ascii="Calibri" w:hAnsi="Times New Roman" w:cs="Calibri"/>
          <w:color w:val="000000"/>
          <w:kern w:val="24"/>
          <w:sz w:val="24"/>
          <w:szCs w:val="24"/>
          <w:lang w:eastAsia="en-AU"/>
        </w:rPr>
        <w:t>Playford</w:t>
      </w:r>
      <w:proofErr w:type="spellEnd"/>
      <w:r>
        <w:rPr>
          <w:rFonts w:ascii="Calibri" w:hAnsi="Times New Roman" w:cs="Calibri"/>
          <w:color w:val="000000"/>
          <w:kern w:val="24"/>
          <w:sz w:val="24"/>
          <w:szCs w:val="24"/>
          <w:lang w:eastAsia="en-AU"/>
        </w:rPr>
        <w:t xml:space="preserve"> </w:t>
      </w:r>
      <w:proofErr w:type="spellStart"/>
      <w:r>
        <w:rPr>
          <w:rFonts w:ascii="Calibri" w:hAnsi="Times New Roman" w:cs="Calibri"/>
          <w:color w:val="000000"/>
          <w:kern w:val="24"/>
          <w:sz w:val="24"/>
          <w:szCs w:val="24"/>
          <w:lang w:eastAsia="en-AU"/>
        </w:rPr>
        <w:t>LGAs</w:t>
      </w:r>
      <w:proofErr w:type="spellEnd"/>
      <w:r>
        <w:rPr>
          <w:rFonts w:ascii="Calibri" w:hAnsi="Times New Roman" w:cs="Calibri"/>
          <w:color w:val="000000"/>
          <w:kern w:val="24"/>
          <w:sz w:val="24"/>
          <w:szCs w:val="24"/>
          <w:lang w:eastAsia="en-AU"/>
        </w:rPr>
        <w:t xml:space="preserve"> had relatively low median ages of 30 years and 32 years respectively. </w:t>
      </w:r>
    </w:p>
    <w:p w:rsidR="003A20BB" w:rsidRDefault="003A20BB" w:rsidP="003A20BB">
      <w:pPr>
        <w:autoSpaceDE w:val="0"/>
        <w:autoSpaceDN w:val="0"/>
        <w:adjustRightInd w:val="0"/>
        <w:rPr>
          <w:rFonts w:ascii="Calibri" w:hAnsi="Times New Roman" w:cs="Calibri"/>
          <w:color w:val="000000"/>
          <w:kern w:val="24"/>
          <w:sz w:val="24"/>
          <w:szCs w:val="24"/>
          <w:lang w:eastAsia="en-AU"/>
        </w:rPr>
      </w:pP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The Adelaide </w:t>
      </w:r>
      <w:proofErr w:type="spellStart"/>
      <w:r>
        <w:rPr>
          <w:rFonts w:ascii="Calibri" w:hAnsi="Times New Roman" w:cs="Calibri"/>
          <w:color w:val="000000"/>
          <w:kern w:val="24"/>
          <w:sz w:val="24"/>
          <w:szCs w:val="24"/>
          <w:lang w:eastAsia="en-AU"/>
        </w:rPr>
        <w:t>LGA</w:t>
      </w:r>
      <w:proofErr w:type="spellEnd"/>
      <w:r>
        <w:rPr>
          <w:rFonts w:ascii="Calibri" w:hAnsi="Times New Roman" w:cs="Calibri"/>
          <w:color w:val="000000"/>
          <w:kern w:val="24"/>
          <w:sz w:val="24"/>
          <w:szCs w:val="24"/>
          <w:lang w:eastAsia="en-AU"/>
        </w:rPr>
        <w:t xml:space="preserve"> has a particularly high proportion of people from an Other Than Main English Speaking Country (</w:t>
      </w:r>
      <w:proofErr w:type="spellStart"/>
      <w:r>
        <w:rPr>
          <w:rFonts w:ascii="Calibri" w:hAnsi="Times New Roman" w:cs="Calibri"/>
          <w:color w:val="000000"/>
          <w:kern w:val="24"/>
          <w:sz w:val="24"/>
          <w:szCs w:val="24"/>
          <w:lang w:eastAsia="en-AU"/>
        </w:rPr>
        <w:t>OTMESC</w:t>
      </w:r>
      <w:proofErr w:type="spellEnd"/>
      <w:r>
        <w:rPr>
          <w:rFonts w:ascii="Calibri" w:hAnsi="Times New Roman" w:cs="Calibri"/>
          <w:color w:val="000000"/>
          <w:kern w:val="24"/>
          <w:sz w:val="24"/>
          <w:szCs w:val="24"/>
          <w:lang w:eastAsia="en-AU"/>
        </w:rPr>
        <w:t>).</w:t>
      </w:r>
    </w:p>
    <w:p w:rsidR="003A20BB" w:rsidRDefault="003A20BB" w:rsidP="003A20BB">
      <w:pPr>
        <w:autoSpaceDE w:val="0"/>
        <w:autoSpaceDN w:val="0"/>
        <w:adjustRightInd w:val="0"/>
        <w:rPr>
          <w:rFonts w:ascii="Calibri" w:hAnsi="Times New Roman" w:cs="Calibri"/>
          <w:color w:val="000000"/>
          <w:kern w:val="24"/>
          <w:sz w:val="24"/>
          <w:szCs w:val="24"/>
          <w:lang w:eastAsia="en-AU"/>
        </w:rPr>
      </w:pP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Some 2 per cent of the </w:t>
      </w:r>
      <w:proofErr w:type="spellStart"/>
      <w:r>
        <w:rPr>
          <w:rFonts w:ascii="Calibri" w:hAnsi="Times New Roman" w:cs="Calibri"/>
          <w:color w:val="000000"/>
          <w:kern w:val="24"/>
          <w:sz w:val="24"/>
          <w:szCs w:val="24"/>
          <w:lang w:eastAsia="en-AU"/>
        </w:rPr>
        <w:t>WAP</w:t>
      </w:r>
      <w:proofErr w:type="spellEnd"/>
      <w:r>
        <w:rPr>
          <w:rFonts w:ascii="Calibri" w:hAnsi="Times New Roman" w:cs="Calibri"/>
          <w:color w:val="000000"/>
          <w:kern w:val="24"/>
          <w:sz w:val="24"/>
          <w:szCs w:val="24"/>
          <w:lang w:eastAsia="en-AU"/>
        </w:rPr>
        <w:t xml:space="preserve"> in the PEA are Indigenous, the same as the proportion for South Australia and Australia.</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cs="Arial"/>
          <w:sz w:val="24"/>
          <w:szCs w:val="24"/>
          <w:lang w:eastAsia="en-AU"/>
        </w:rPr>
      </w:pPr>
    </w:p>
    <w:p w:rsidR="003A20BB" w:rsidRDefault="003A20BB" w:rsidP="003A20BB">
      <w:pPr>
        <w:spacing w:line="360" w:lineRule="auto"/>
      </w:pPr>
    </w:p>
    <w:p w:rsidR="00A93339" w:rsidRDefault="00A93339" w:rsidP="003A20BB">
      <w:pPr>
        <w:spacing w:line="360" w:lineRule="auto"/>
      </w:pPr>
    </w:p>
    <w:p w:rsidR="00A93339" w:rsidRDefault="00A93339" w:rsidP="003A20BB">
      <w:pPr>
        <w:spacing w:line="360" w:lineRule="auto"/>
      </w:pPr>
    </w:p>
    <w:p w:rsidR="003A20BB" w:rsidRDefault="003A20BB" w:rsidP="003A20BB">
      <w:pPr>
        <w:spacing w:line="360" w:lineRule="auto"/>
      </w:pPr>
      <w:r>
        <w:lastRenderedPageBreak/>
        <w:t>Slide 4</w:t>
      </w:r>
    </w:p>
    <w:p w:rsidR="003A20BB" w:rsidRDefault="003A20BB" w:rsidP="003A20BB">
      <w:pPr>
        <w:spacing w:line="360" w:lineRule="auto"/>
      </w:pPr>
    </w:p>
    <w:p w:rsidR="003A20BB" w:rsidRDefault="0013234A" w:rsidP="003A20BB">
      <w:pPr>
        <w:spacing w:line="360" w:lineRule="auto"/>
        <w:jc w:val="center"/>
      </w:pPr>
      <w:r>
        <w:object w:dxaOrig="7216" w:dyaOrig="5409">
          <v:shape id="_x0000_i1028" type="#_x0000_t75" style="width:360.75pt;height:270.7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8" DrawAspect="Content" ObjectID="_1412079707" r:id="rId14"/>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 xml:space="preserve">Unemployment Rate </w:t>
      </w:r>
      <w:proofErr w:type="spellStart"/>
      <w:r>
        <w:rPr>
          <w:rFonts w:ascii="Calibri" w:hAnsi="Calibri" w:cs="Calibri"/>
          <w:b/>
          <w:bCs/>
          <w:color w:val="000000"/>
          <w:kern w:val="24"/>
          <w:sz w:val="24"/>
          <w:szCs w:val="24"/>
          <w:u w:val="single"/>
          <w:lang w:eastAsia="en-AU"/>
        </w:rPr>
        <w:t>LGA</w:t>
      </w:r>
      <w:proofErr w:type="spellEnd"/>
    </w:p>
    <w:p w:rsidR="003A20BB" w:rsidRDefault="003A20BB" w:rsidP="003A20B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w:t>
      </w:r>
      <w:r>
        <w:rPr>
          <w:rFonts w:ascii="Calibri" w:hAnsi="Calibri" w:cs="Calibri"/>
          <w:color w:val="000000"/>
          <w:kern w:val="24"/>
          <w:sz w:val="24"/>
          <w:szCs w:val="24"/>
          <w:lang w:eastAsia="en-AU"/>
        </w:rPr>
        <w:t xml:space="preserve"> </w:t>
      </w:r>
      <w:r>
        <w:rPr>
          <w:rFonts w:ascii="Calibri" w:hAnsi="Calibri" w:cs="Calibri"/>
          <w:i/>
          <w:iCs/>
          <w:color w:val="000000"/>
          <w:kern w:val="24"/>
          <w:sz w:val="24"/>
          <w:szCs w:val="24"/>
          <w:lang w:eastAsia="en-AU"/>
        </w:rPr>
        <w:t>DEEWR Small Area Labour Markets, June 2012</w:t>
      </w:r>
    </w:p>
    <w:p w:rsidR="003A20BB" w:rsidRDefault="003A20BB" w:rsidP="003A20BB">
      <w:pPr>
        <w:autoSpaceDE w:val="0"/>
        <w:autoSpaceDN w:val="0"/>
        <w:adjustRightInd w:val="0"/>
        <w:rPr>
          <w:rFonts w:ascii="Calibri" w:hAnsi="Calibri" w:cs="Calibri"/>
          <w:i/>
          <w:iCs/>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Region</w:t>
      </w:r>
      <w:r>
        <w:rPr>
          <w:rFonts w:ascii="Calibri" w:hAnsi="Calibri" w:cs="Calibri"/>
          <w:b/>
          <w:bCs/>
          <w:color w:val="000000"/>
          <w:kern w:val="24"/>
          <w:sz w:val="24"/>
          <w:szCs w:val="24"/>
          <w:u w:val="single"/>
          <w:lang w:eastAsia="en-AU"/>
        </w:rPr>
        <w:tab/>
      </w:r>
      <w:r>
        <w:rPr>
          <w:rFonts w:ascii="Calibri" w:hAnsi="Calibri" w:cs="Calibri"/>
          <w:b/>
          <w:bCs/>
          <w:color w:val="000000"/>
          <w:kern w:val="24"/>
          <w:sz w:val="24"/>
          <w:szCs w:val="24"/>
          <w:u w:val="single"/>
          <w:lang w:eastAsia="en-AU"/>
        </w:rPr>
        <w:tab/>
      </w:r>
      <w:r>
        <w:rPr>
          <w:rFonts w:ascii="Calibri" w:hAnsi="Calibri" w:cs="Calibri"/>
          <w:b/>
          <w:bCs/>
          <w:color w:val="000000"/>
          <w:kern w:val="24"/>
          <w:sz w:val="24"/>
          <w:szCs w:val="24"/>
          <w:u w:val="single"/>
          <w:lang w:eastAsia="en-AU"/>
        </w:rPr>
        <w:tab/>
      </w:r>
      <w:r w:rsidR="0013234A">
        <w:rPr>
          <w:rFonts w:ascii="Calibri" w:hAnsi="Calibri" w:cs="Calibri"/>
          <w:b/>
          <w:bCs/>
          <w:color w:val="000000"/>
          <w:kern w:val="24"/>
          <w:sz w:val="24"/>
          <w:szCs w:val="24"/>
          <w:u w:val="single"/>
          <w:lang w:eastAsia="en-AU"/>
        </w:rPr>
        <w:tab/>
      </w:r>
      <w:r w:rsidR="0013234A">
        <w:rPr>
          <w:rFonts w:ascii="Calibri" w:hAnsi="Calibri" w:cs="Calibri"/>
          <w:b/>
          <w:bCs/>
          <w:color w:val="000000"/>
          <w:kern w:val="24"/>
          <w:sz w:val="24"/>
          <w:szCs w:val="24"/>
          <w:u w:val="single"/>
          <w:lang w:eastAsia="en-AU"/>
        </w:rPr>
        <w:tab/>
      </w:r>
      <w:r w:rsidR="0013234A">
        <w:rPr>
          <w:rFonts w:ascii="Calibri" w:hAnsi="Calibri" w:cs="Calibri"/>
          <w:b/>
          <w:bCs/>
          <w:color w:val="000000"/>
          <w:kern w:val="24"/>
          <w:sz w:val="24"/>
          <w:szCs w:val="24"/>
          <w:u w:val="single"/>
          <w:lang w:eastAsia="en-AU"/>
        </w:rPr>
        <w:tab/>
      </w:r>
      <w:r>
        <w:rPr>
          <w:rFonts w:ascii="Calibri" w:hAnsi="Calibri" w:cs="Calibri"/>
          <w:b/>
          <w:bCs/>
          <w:color w:val="000000"/>
          <w:kern w:val="24"/>
          <w:sz w:val="24"/>
          <w:szCs w:val="24"/>
          <w:u w:val="single"/>
          <w:lang w:eastAsia="en-AU"/>
        </w:rPr>
        <w:t>June 2012</w:t>
      </w:r>
      <w:r>
        <w:rPr>
          <w:rFonts w:ascii="Calibri" w:hAnsi="Calibri" w:cs="Calibri"/>
          <w:b/>
          <w:bCs/>
          <w:color w:val="000000"/>
          <w:kern w:val="24"/>
          <w:sz w:val="24"/>
          <w:szCs w:val="24"/>
          <w:u w:val="single"/>
          <w:lang w:eastAsia="en-AU"/>
        </w:rPr>
        <w:tab/>
        <w:t>June 2011</w:t>
      </w:r>
      <w:r>
        <w:rPr>
          <w:rFonts w:ascii="Calibri" w:hAnsi="Calibri" w:cs="Calibri"/>
          <w:b/>
          <w:bCs/>
          <w:color w:val="000000"/>
          <w:kern w:val="24"/>
          <w:sz w:val="24"/>
          <w:szCs w:val="24"/>
          <w:u w:val="single"/>
          <w:lang w:eastAsia="en-AU"/>
        </w:rPr>
        <w:tab/>
        <w:t>Annual Change</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Adelaide </w:t>
      </w:r>
      <w:proofErr w:type="spellStart"/>
      <w:r>
        <w:rPr>
          <w:rFonts w:ascii="Calibri" w:hAnsi="Times New Roman" w:cs="Calibri"/>
          <w:color w:val="000000"/>
          <w:kern w:val="24"/>
          <w:sz w:val="24"/>
          <w:szCs w:val="24"/>
          <w:lang w:eastAsia="en-AU"/>
        </w:rPr>
        <w:t>LGA</w:t>
      </w:r>
      <w:proofErr w:type="spellEnd"/>
      <w:r>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8.9%</w:t>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8.2%</w:t>
      </w:r>
      <w:r>
        <w:rPr>
          <w:rFonts w:ascii="Calibri" w:hAnsi="Times New Roman" w:cs="Calibri"/>
          <w:color w:val="000000"/>
          <w:kern w:val="24"/>
          <w:sz w:val="24"/>
          <w:szCs w:val="24"/>
          <w:lang w:eastAsia="en-AU"/>
        </w:rPr>
        <w:tab/>
        <w:t xml:space="preserve"> </w:t>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0.7 % pts</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Charles Sturt </w:t>
      </w:r>
      <w:proofErr w:type="spellStart"/>
      <w:r>
        <w:rPr>
          <w:rFonts w:ascii="Calibri" w:hAnsi="Times New Roman" w:cs="Calibri"/>
          <w:color w:val="000000"/>
          <w:kern w:val="24"/>
          <w:sz w:val="24"/>
          <w:szCs w:val="24"/>
          <w:lang w:eastAsia="en-AU"/>
        </w:rPr>
        <w:t>LGA</w:t>
      </w:r>
      <w:proofErr w:type="spellEnd"/>
      <w:r>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3.9%</w:t>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4.5%</w:t>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-0.6 % pts</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Gawler </w:t>
      </w:r>
      <w:proofErr w:type="spellStart"/>
      <w:r>
        <w:rPr>
          <w:rFonts w:ascii="Calibri" w:hAnsi="Times New Roman" w:cs="Calibri"/>
          <w:color w:val="000000"/>
          <w:kern w:val="24"/>
          <w:sz w:val="24"/>
          <w:szCs w:val="24"/>
          <w:lang w:eastAsia="en-AU"/>
        </w:rPr>
        <w:t>LGA</w:t>
      </w:r>
      <w:proofErr w:type="spellEnd"/>
      <w:r>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5.6%</w:t>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6.1%</w:t>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-0.5 % pts</w:t>
      </w:r>
    </w:p>
    <w:p w:rsidR="003A20BB" w:rsidRDefault="003A20BB" w:rsidP="003A20BB">
      <w:pPr>
        <w:autoSpaceDE w:val="0"/>
        <w:autoSpaceDN w:val="0"/>
        <w:adjustRightInd w:val="0"/>
        <w:rPr>
          <w:rFonts w:ascii="Calibri" w:hAnsi="Times New Roman" w:cs="Calibri"/>
          <w:color w:val="000000"/>
          <w:kern w:val="24"/>
          <w:sz w:val="24"/>
          <w:szCs w:val="24"/>
          <w:lang w:eastAsia="en-AU"/>
        </w:rPr>
      </w:pPr>
      <w:proofErr w:type="spellStart"/>
      <w:proofErr w:type="gramStart"/>
      <w:r>
        <w:rPr>
          <w:rFonts w:ascii="Calibri" w:hAnsi="Times New Roman" w:cs="Calibri"/>
          <w:color w:val="000000"/>
          <w:kern w:val="24"/>
          <w:sz w:val="24"/>
          <w:szCs w:val="24"/>
          <w:lang w:eastAsia="en-AU"/>
        </w:rPr>
        <w:t>Playford</w:t>
      </w:r>
      <w:proofErr w:type="spellEnd"/>
      <w:r>
        <w:rPr>
          <w:rFonts w:ascii="Calibri" w:hAnsi="Times New Roman" w:cs="Calibri"/>
          <w:color w:val="000000"/>
          <w:kern w:val="24"/>
          <w:sz w:val="24"/>
          <w:szCs w:val="24"/>
          <w:lang w:eastAsia="en-AU"/>
        </w:rPr>
        <w:t xml:space="preserve">  </w:t>
      </w:r>
      <w:proofErr w:type="spellStart"/>
      <w:r>
        <w:rPr>
          <w:rFonts w:ascii="Calibri" w:hAnsi="Times New Roman" w:cs="Calibri"/>
          <w:color w:val="000000"/>
          <w:kern w:val="24"/>
          <w:sz w:val="24"/>
          <w:szCs w:val="24"/>
          <w:lang w:eastAsia="en-AU"/>
        </w:rPr>
        <w:t>LGA</w:t>
      </w:r>
      <w:proofErr w:type="spellEnd"/>
      <w:proofErr w:type="gramEnd"/>
      <w:r>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13.3%</w:t>
      </w:r>
      <w:r>
        <w:rPr>
          <w:rFonts w:ascii="Calibri" w:hAnsi="Times New Roman" w:cs="Calibri"/>
          <w:color w:val="000000"/>
          <w:kern w:val="24"/>
          <w:sz w:val="24"/>
          <w:szCs w:val="24"/>
          <w:lang w:eastAsia="en-AU"/>
        </w:rPr>
        <w:tab/>
        <w:t>14.2%</w:t>
      </w:r>
      <w:r>
        <w:rPr>
          <w:rFonts w:ascii="Calibri" w:hAnsi="Times New Roman" w:cs="Calibri"/>
          <w:color w:val="000000"/>
          <w:kern w:val="24"/>
          <w:sz w:val="24"/>
          <w:szCs w:val="24"/>
          <w:lang w:eastAsia="en-AU"/>
        </w:rPr>
        <w:tab/>
        <w:t>-0.9 % pts</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Port Adelaide Enfield </w:t>
      </w:r>
      <w:proofErr w:type="spellStart"/>
      <w:r>
        <w:rPr>
          <w:rFonts w:ascii="Calibri" w:hAnsi="Times New Roman" w:cs="Calibri"/>
          <w:color w:val="000000"/>
          <w:kern w:val="24"/>
          <w:sz w:val="24"/>
          <w:szCs w:val="24"/>
          <w:lang w:eastAsia="en-AU"/>
        </w:rPr>
        <w:t>LGA</w:t>
      </w:r>
      <w:proofErr w:type="spellEnd"/>
      <w:r>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6.6%</w:t>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7.4%</w:t>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-0.8 %pts</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Salisbury </w:t>
      </w:r>
      <w:proofErr w:type="spellStart"/>
      <w:r>
        <w:rPr>
          <w:rFonts w:ascii="Calibri" w:hAnsi="Times New Roman" w:cs="Calibri"/>
          <w:color w:val="000000"/>
          <w:kern w:val="24"/>
          <w:sz w:val="24"/>
          <w:szCs w:val="24"/>
          <w:lang w:eastAsia="en-AU"/>
        </w:rPr>
        <w:t>LGA</w:t>
      </w:r>
      <w:proofErr w:type="spellEnd"/>
      <w:r>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8.1%</w:t>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8.6%</w:t>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-0.5% pts</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Tea Tree Gully </w:t>
      </w:r>
      <w:proofErr w:type="spellStart"/>
      <w:r>
        <w:rPr>
          <w:rFonts w:ascii="Calibri" w:hAnsi="Times New Roman" w:cs="Calibri"/>
          <w:color w:val="000000"/>
          <w:kern w:val="24"/>
          <w:sz w:val="24"/>
          <w:szCs w:val="24"/>
          <w:lang w:eastAsia="en-AU"/>
        </w:rPr>
        <w:t>LGA</w:t>
      </w:r>
      <w:proofErr w:type="spellEnd"/>
      <w:r>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3.2%</w:t>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3.5%</w:t>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ab/>
        <w:t>-0.3% pts</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West Torrens </w:t>
      </w:r>
      <w:proofErr w:type="spellStart"/>
      <w:r>
        <w:rPr>
          <w:rFonts w:ascii="Calibri" w:hAnsi="Times New Roman" w:cs="Calibri"/>
          <w:color w:val="000000"/>
          <w:kern w:val="24"/>
          <w:sz w:val="24"/>
          <w:szCs w:val="24"/>
          <w:lang w:eastAsia="en-AU"/>
        </w:rPr>
        <w:t>LGA</w:t>
      </w:r>
      <w:proofErr w:type="spellEnd"/>
      <w:r>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3.2%</w:t>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3.7%</w:t>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-0.5% pts</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Northern and Western Adelaide PEA</w:t>
      </w:r>
      <w:r>
        <w:rPr>
          <w:rFonts w:ascii="Calibri" w:hAnsi="Times New Roman" w:cs="Calibri"/>
          <w:color w:val="000000"/>
          <w:kern w:val="24"/>
          <w:sz w:val="24"/>
          <w:szCs w:val="24"/>
          <w:lang w:eastAsia="en-AU"/>
        </w:rPr>
        <w:tab/>
        <w:t>6.2%</w:t>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6.8%</w:t>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-0.6% pts</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b/>
          <w:bCs/>
          <w:color w:val="000000"/>
          <w:kern w:val="24"/>
          <w:sz w:val="24"/>
          <w:szCs w:val="24"/>
          <w:lang w:eastAsia="en-AU"/>
        </w:rPr>
        <w:t>South Australia</w:t>
      </w:r>
      <w:r>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5.3%</w:t>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5.5%</w:t>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-0.2% pts</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b/>
          <w:bCs/>
          <w:color w:val="000000"/>
          <w:kern w:val="24"/>
          <w:sz w:val="24"/>
          <w:szCs w:val="24"/>
          <w:lang w:eastAsia="en-AU"/>
        </w:rPr>
        <w:t>Australia</w:t>
      </w:r>
      <w:r>
        <w:rPr>
          <w:rFonts w:ascii="Calibri" w:hAnsi="Times New Roman" w:cs="Calibri"/>
          <w:b/>
          <w:bCs/>
          <w:color w:val="000000"/>
          <w:kern w:val="24"/>
          <w:sz w:val="24"/>
          <w:szCs w:val="24"/>
          <w:lang w:eastAsia="en-AU"/>
        </w:rPr>
        <w:tab/>
      </w:r>
      <w:r>
        <w:rPr>
          <w:rFonts w:ascii="Calibri" w:hAnsi="Times New Roman" w:cs="Calibri"/>
          <w:b/>
          <w:bCs/>
          <w:color w:val="000000"/>
          <w:kern w:val="24"/>
          <w:sz w:val="24"/>
          <w:szCs w:val="24"/>
          <w:lang w:eastAsia="en-AU"/>
        </w:rPr>
        <w:tab/>
      </w:r>
      <w:r>
        <w:rPr>
          <w:rFonts w:ascii="Calibri" w:hAnsi="Times New Roman" w:cs="Calibri"/>
          <w:b/>
          <w:bCs/>
          <w:color w:val="000000"/>
          <w:kern w:val="24"/>
          <w:sz w:val="24"/>
          <w:szCs w:val="24"/>
          <w:lang w:eastAsia="en-AU"/>
        </w:rPr>
        <w:tab/>
      </w:r>
      <w:r w:rsidR="0013234A">
        <w:rPr>
          <w:rFonts w:ascii="Calibri" w:hAnsi="Times New Roman" w:cs="Calibri"/>
          <w:b/>
          <w:bCs/>
          <w:color w:val="000000"/>
          <w:kern w:val="24"/>
          <w:sz w:val="24"/>
          <w:szCs w:val="24"/>
          <w:lang w:eastAsia="en-AU"/>
        </w:rPr>
        <w:tab/>
      </w:r>
      <w:r w:rsidR="0013234A">
        <w:rPr>
          <w:rFonts w:ascii="Calibri" w:hAnsi="Times New Roman" w:cs="Calibri"/>
          <w:b/>
          <w:bCs/>
          <w:color w:val="000000"/>
          <w:kern w:val="24"/>
          <w:sz w:val="24"/>
          <w:szCs w:val="24"/>
          <w:lang w:eastAsia="en-AU"/>
        </w:rPr>
        <w:tab/>
      </w:r>
      <w:r w:rsidR="0013234A">
        <w:rPr>
          <w:rFonts w:ascii="Calibri" w:hAnsi="Times New Roman" w:cs="Calibri"/>
          <w:b/>
          <w:bCs/>
          <w:color w:val="000000"/>
          <w:kern w:val="24"/>
          <w:sz w:val="24"/>
          <w:szCs w:val="24"/>
          <w:lang w:eastAsia="en-AU"/>
        </w:rPr>
        <w:tab/>
      </w:r>
      <w:r>
        <w:rPr>
          <w:rFonts w:ascii="Calibri" w:hAnsi="Times New Roman" w:cs="Calibri"/>
          <w:color w:val="000000"/>
          <w:kern w:val="24"/>
          <w:sz w:val="24"/>
          <w:szCs w:val="24"/>
          <w:lang w:eastAsia="en-AU"/>
        </w:rPr>
        <w:t>5.2%</w:t>
      </w:r>
      <w:r>
        <w:rPr>
          <w:rFonts w:ascii="Calibri" w:hAnsi="Times New Roman" w:cs="Calibri"/>
          <w:color w:val="000000"/>
          <w:kern w:val="24"/>
          <w:sz w:val="24"/>
          <w:szCs w:val="24"/>
          <w:lang w:eastAsia="en-AU"/>
        </w:rPr>
        <w:tab/>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5.1%</w:t>
      </w:r>
      <w:r>
        <w:rPr>
          <w:rFonts w:ascii="Calibri" w:hAnsi="Times New Roman" w:cs="Calibri"/>
          <w:color w:val="000000"/>
          <w:kern w:val="24"/>
          <w:sz w:val="24"/>
          <w:szCs w:val="24"/>
          <w:lang w:eastAsia="en-AU"/>
        </w:rPr>
        <w:tab/>
        <w:t xml:space="preserve"> </w:t>
      </w:r>
      <w:r w:rsidR="0013234A">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0.1 %pts</w:t>
      </w:r>
    </w:p>
    <w:p w:rsidR="00A9762A" w:rsidRDefault="00A9762A" w:rsidP="003A20BB">
      <w:pPr>
        <w:autoSpaceDE w:val="0"/>
        <w:autoSpaceDN w:val="0"/>
        <w:adjustRightInd w:val="0"/>
        <w:rPr>
          <w:rFonts w:ascii="Calibri" w:hAnsi="Times New Roman" w:cs="Calibri"/>
          <w:color w:val="000000"/>
          <w:kern w:val="24"/>
          <w:sz w:val="24"/>
          <w:szCs w:val="24"/>
          <w:lang w:eastAsia="en-AU"/>
        </w:rPr>
      </w:pPr>
    </w:p>
    <w:p w:rsidR="003A20BB" w:rsidRDefault="003A20BB">
      <w:r>
        <w:br w:type="page"/>
      </w:r>
    </w:p>
    <w:p w:rsidR="003A20BB" w:rsidRDefault="003A20BB" w:rsidP="003A20BB">
      <w:pPr>
        <w:spacing w:line="360" w:lineRule="auto"/>
      </w:pPr>
      <w:r>
        <w:lastRenderedPageBreak/>
        <w:t>Slide 5</w:t>
      </w:r>
    </w:p>
    <w:p w:rsidR="003A20BB" w:rsidRDefault="003A20BB" w:rsidP="003A20BB">
      <w:pPr>
        <w:spacing w:line="360" w:lineRule="auto"/>
      </w:pPr>
    </w:p>
    <w:p w:rsidR="003A20BB" w:rsidRDefault="0013234A" w:rsidP="003A20BB">
      <w:pPr>
        <w:spacing w:line="360" w:lineRule="auto"/>
        <w:jc w:val="center"/>
      </w:pPr>
      <w:r>
        <w:object w:dxaOrig="7216" w:dyaOrig="5409">
          <v:shape id="_x0000_i1029" type="#_x0000_t75" style="width:360.75pt;height:270.7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9" DrawAspect="Content" ObjectID="_1412079708" r:id="rId16"/>
        </w:object>
      </w:r>
    </w:p>
    <w:p w:rsidR="003A20BB" w:rsidRDefault="003A20BB" w:rsidP="003A20BB">
      <w:pPr>
        <w:spacing w:line="360" w:lineRule="auto"/>
        <w:jc w:val="center"/>
      </w:pPr>
    </w:p>
    <w:p w:rsidR="003A20BB" w:rsidRPr="002014DB" w:rsidRDefault="003A20BB" w:rsidP="003A20BB">
      <w:pPr>
        <w:autoSpaceDE w:val="0"/>
        <w:autoSpaceDN w:val="0"/>
        <w:adjustRightInd w:val="0"/>
        <w:rPr>
          <w:rFonts w:ascii="Calibri" w:hAnsi="Calibri" w:cs="Calibri"/>
          <w:color w:val="000000"/>
          <w:kern w:val="24"/>
          <w:sz w:val="24"/>
          <w:szCs w:val="24"/>
          <w:u w:val="single"/>
          <w:lang w:eastAsia="en-AU"/>
        </w:rPr>
      </w:pPr>
      <w:r w:rsidRPr="002014DB">
        <w:rPr>
          <w:rFonts w:ascii="Calibri" w:hAnsi="Calibri" w:cs="Calibri"/>
          <w:b/>
          <w:bCs/>
          <w:color w:val="000000"/>
          <w:kern w:val="24"/>
          <w:sz w:val="24"/>
          <w:szCs w:val="24"/>
          <w:u w:val="single"/>
          <w:lang w:eastAsia="en-AU"/>
        </w:rPr>
        <w:t>Long-Term Unemployed</w:t>
      </w:r>
    </w:p>
    <w:p w:rsidR="003A20BB" w:rsidRDefault="003A20BB" w:rsidP="003A20B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Labour Force data, August 2012, 12 month averages</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b/>
          <w:bCs/>
          <w:i/>
          <w:iCs/>
          <w:color w:val="000000"/>
          <w:kern w:val="24"/>
          <w:sz w:val="24"/>
          <w:szCs w:val="24"/>
          <w:lang w:eastAsia="en-AU"/>
        </w:rPr>
        <w:t> </w:t>
      </w:r>
      <w:r>
        <w:rPr>
          <w:rFonts w:ascii="Calibri" w:hAnsi="Calibri" w:cs="Calibri"/>
          <w:color w:val="000000"/>
          <w:kern w:val="24"/>
          <w:sz w:val="24"/>
          <w:szCs w:val="24"/>
          <w:lang w:eastAsia="en-AU"/>
        </w:rPr>
        <w:t> </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long-term unemployed (</w:t>
      </w:r>
      <w:proofErr w:type="spellStart"/>
      <w:r>
        <w:rPr>
          <w:rFonts w:ascii="Calibri" w:hAnsi="Calibri" w:cs="Calibri"/>
          <w:color w:val="000000"/>
          <w:kern w:val="24"/>
          <w:sz w:val="24"/>
          <w:szCs w:val="24"/>
          <w:lang w:eastAsia="en-AU"/>
        </w:rPr>
        <w:t>LTU</w:t>
      </w:r>
      <w:proofErr w:type="spellEnd"/>
      <w:r>
        <w:rPr>
          <w:rFonts w:ascii="Calibri" w:hAnsi="Calibri" w:cs="Calibri"/>
          <w:color w:val="000000"/>
          <w:kern w:val="24"/>
          <w:sz w:val="24"/>
          <w:szCs w:val="24"/>
          <w:lang w:eastAsia="en-AU"/>
        </w:rPr>
        <w:t>) are persons who have been unemployed and looking for work for at least 52 weeks.</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As at August 2012, the </w:t>
      </w:r>
      <w:proofErr w:type="gramStart"/>
      <w:r>
        <w:rPr>
          <w:rFonts w:ascii="Calibri" w:hAnsi="Calibri" w:cs="Calibri"/>
          <w:color w:val="000000"/>
          <w:kern w:val="24"/>
          <w:sz w:val="24"/>
          <w:szCs w:val="24"/>
          <w:lang w:eastAsia="en-AU"/>
        </w:rPr>
        <w:t>proportion of all unemployed who were</w:t>
      </w:r>
      <w:proofErr w:type="gramEnd"/>
      <w:r>
        <w:rPr>
          <w:rFonts w:ascii="Calibri" w:hAnsi="Calibri" w:cs="Calibri"/>
          <w:color w:val="000000"/>
          <w:kern w:val="24"/>
          <w:sz w:val="24"/>
          <w:szCs w:val="24"/>
          <w:lang w:eastAsia="en-AU"/>
        </w:rPr>
        <w:t xml:space="preserve"> </w:t>
      </w:r>
      <w:proofErr w:type="spellStart"/>
      <w:r>
        <w:rPr>
          <w:rFonts w:ascii="Calibri" w:hAnsi="Calibri" w:cs="Calibri"/>
          <w:color w:val="000000"/>
          <w:kern w:val="24"/>
          <w:sz w:val="24"/>
          <w:szCs w:val="24"/>
          <w:lang w:eastAsia="en-AU"/>
        </w:rPr>
        <w:t>LTU</w:t>
      </w:r>
      <w:proofErr w:type="spellEnd"/>
      <w:r>
        <w:rPr>
          <w:rFonts w:ascii="Calibri" w:hAnsi="Calibri" w:cs="Calibri"/>
          <w:color w:val="000000"/>
          <w:kern w:val="24"/>
          <w:sz w:val="24"/>
          <w:szCs w:val="24"/>
          <w:lang w:eastAsia="en-AU"/>
        </w:rPr>
        <w:t xml:space="preserve"> in the </w:t>
      </w:r>
      <w:r>
        <w:rPr>
          <w:rFonts w:ascii="Calibri" w:hAnsi="Times New Roman" w:cs="Calibri"/>
          <w:color w:val="000000"/>
          <w:kern w:val="24"/>
          <w:sz w:val="24"/>
          <w:szCs w:val="24"/>
          <w:lang w:eastAsia="en-AU"/>
        </w:rPr>
        <w:t xml:space="preserve">Northern Adelaide and Western Adelaide Labour Force Regions </w:t>
      </w:r>
      <w:r>
        <w:rPr>
          <w:rFonts w:ascii="Calibri" w:hAnsi="Calibri" w:cs="Calibri"/>
          <w:color w:val="000000"/>
          <w:kern w:val="24"/>
          <w:sz w:val="24"/>
          <w:szCs w:val="24"/>
          <w:lang w:val="en-US" w:eastAsia="en-AU"/>
        </w:rPr>
        <w:t xml:space="preserve">was 25 per cent, higher than both the state </w:t>
      </w:r>
      <w:r w:rsidR="00EA3892">
        <w:rPr>
          <w:rFonts w:ascii="Calibri" w:hAnsi="Calibri" w:cs="Calibri"/>
          <w:color w:val="000000"/>
          <w:kern w:val="24"/>
          <w:sz w:val="24"/>
          <w:szCs w:val="24"/>
          <w:lang w:val="en-US" w:eastAsia="en-AU"/>
        </w:rPr>
        <w:br/>
      </w:r>
      <w:r>
        <w:rPr>
          <w:rFonts w:ascii="Calibri" w:hAnsi="Calibri" w:cs="Calibri"/>
          <w:color w:val="000000"/>
          <w:kern w:val="24"/>
          <w:sz w:val="24"/>
          <w:szCs w:val="24"/>
          <w:lang w:val="en-US" w:eastAsia="en-AU"/>
        </w:rPr>
        <w:t>(20 per cent) and national average (19 per cent).</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val="en-US" w:eastAsia="en-AU"/>
        </w:rPr>
        <w:t> </w:t>
      </w:r>
    </w:p>
    <w:p w:rsidR="003A20BB" w:rsidRDefault="003A20BB" w:rsidP="003A20BB">
      <w:pPr>
        <w:autoSpaceDE w:val="0"/>
        <w:autoSpaceDN w:val="0"/>
        <w:adjustRightInd w:val="0"/>
        <w:rPr>
          <w:rFonts w:ascii="Calibri" w:hAnsi="Calibri" w:cs="Calibri"/>
          <w:color w:val="000000"/>
          <w:kern w:val="24"/>
          <w:sz w:val="24"/>
          <w:szCs w:val="24"/>
          <w:lang w:val="en-US" w:eastAsia="en-AU"/>
        </w:rPr>
      </w:pPr>
      <w:r>
        <w:rPr>
          <w:rFonts w:ascii="Calibri" w:hAnsi="Calibri" w:cs="Calibri"/>
          <w:color w:val="000000"/>
          <w:kern w:val="24"/>
          <w:sz w:val="24"/>
          <w:szCs w:val="24"/>
          <w:lang w:val="en-US" w:eastAsia="en-AU"/>
        </w:rPr>
        <w:t xml:space="preserve">The average duration of unemployment in the </w:t>
      </w:r>
      <w:r>
        <w:rPr>
          <w:rFonts w:ascii="Calibri" w:hAnsi="Times New Roman" w:cs="Calibri"/>
          <w:color w:val="000000"/>
          <w:kern w:val="24"/>
          <w:sz w:val="24"/>
          <w:szCs w:val="24"/>
          <w:lang w:eastAsia="en-AU"/>
        </w:rPr>
        <w:t xml:space="preserve">Northern Adelaide and Western Adelaide Labour Force Regions (51 weeks) </w:t>
      </w:r>
      <w:r>
        <w:rPr>
          <w:rFonts w:ascii="Calibri" w:hAnsi="Calibri" w:cs="Calibri"/>
          <w:color w:val="000000"/>
          <w:kern w:val="24"/>
          <w:sz w:val="24"/>
          <w:szCs w:val="24"/>
          <w:lang w:val="en-US" w:eastAsia="en-AU"/>
        </w:rPr>
        <w:t>was much higher than both the state average (41 weeks), and national average (36 weeks).</w:t>
      </w:r>
    </w:p>
    <w:p w:rsidR="003A20BB" w:rsidRDefault="003A20BB" w:rsidP="003A20BB">
      <w:pPr>
        <w:autoSpaceDE w:val="0"/>
        <w:autoSpaceDN w:val="0"/>
        <w:adjustRightInd w:val="0"/>
        <w:rPr>
          <w:rFonts w:ascii="Calibri" w:hAnsi="Calibri" w:cs="Calibri"/>
          <w:color w:val="000000"/>
          <w:kern w:val="24"/>
          <w:sz w:val="24"/>
          <w:szCs w:val="24"/>
          <w:lang w:val="en-US"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lang w:val="en-US" w:eastAsia="en-AU"/>
        </w:rPr>
        <w:t xml:space="preserve">Note: </w:t>
      </w:r>
      <w:r>
        <w:rPr>
          <w:rFonts w:ascii="Calibri" w:hAnsi="Calibri" w:cs="Calibri"/>
          <w:color w:val="000000"/>
          <w:kern w:val="24"/>
          <w:sz w:val="24"/>
          <w:szCs w:val="24"/>
          <w:lang w:eastAsia="en-AU"/>
        </w:rPr>
        <w:t>The Northern Adelaide Labour Force Region and Western Adelaide Labour Force Region together comprise 96 per cent of the Northern and Western Adelaide Priority Employment Area’s working age population.</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cs="Arial"/>
          <w:sz w:val="24"/>
          <w:szCs w:val="24"/>
          <w:lang w:eastAsia="en-AU"/>
        </w:rPr>
      </w:pPr>
    </w:p>
    <w:p w:rsidR="003A20BB" w:rsidRDefault="003A20BB" w:rsidP="003A20BB">
      <w:pPr>
        <w:spacing w:line="360" w:lineRule="auto"/>
      </w:pPr>
    </w:p>
    <w:p w:rsidR="003A20BB" w:rsidRDefault="003A20BB">
      <w:r>
        <w:br w:type="page"/>
      </w:r>
    </w:p>
    <w:p w:rsidR="003A20BB" w:rsidRDefault="003A20BB" w:rsidP="003A20BB">
      <w:pPr>
        <w:spacing w:line="360" w:lineRule="auto"/>
      </w:pPr>
      <w:r>
        <w:lastRenderedPageBreak/>
        <w:t>Slide 6</w:t>
      </w:r>
    </w:p>
    <w:p w:rsidR="003A20BB" w:rsidRDefault="003A20BB" w:rsidP="003A20BB">
      <w:pPr>
        <w:spacing w:line="360" w:lineRule="auto"/>
      </w:pPr>
    </w:p>
    <w:p w:rsidR="003A20BB" w:rsidRDefault="00B445B2" w:rsidP="003A20BB">
      <w:pPr>
        <w:spacing w:line="360" w:lineRule="auto"/>
        <w:jc w:val="center"/>
      </w:pPr>
      <w:r>
        <w:object w:dxaOrig="7148" w:dyaOrig="5357">
          <v:shape id="_x0000_i1030" type="#_x0000_t75" style="width:357.75pt;height:267.7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30" DrawAspect="Content" ObjectID="_1412079709" r:id="rId18"/>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Calibri" w:cs="Calibri"/>
          <w:b/>
          <w:bCs/>
          <w:color w:val="000000"/>
          <w:kern w:val="24"/>
          <w:sz w:val="24"/>
          <w:szCs w:val="24"/>
          <w:lang w:eastAsia="en-AU"/>
        </w:rPr>
      </w:pPr>
      <w:r>
        <w:rPr>
          <w:rFonts w:ascii="Calibri" w:hAnsi="Calibri" w:cs="Calibri"/>
          <w:b/>
          <w:bCs/>
          <w:color w:val="000000"/>
          <w:kern w:val="24"/>
          <w:sz w:val="24"/>
          <w:szCs w:val="24"/>
          <w:u w:val="single"/>
          <w:lang w:eastAsia="en-AU"/>
        </w:rPr>
        <w:t>The Teenage Labour Market</w:t>
      </w:r>
      <w:r>
        <w:rPr>
          <w:rFonts w:ascii="Calibri" w:hAnsi="Calibri" w:cs="Calibri"/>
          <w:b/>
          <w:bCs/>
          <w:color w:val="000000"/>
          <w:kern w:val="24"/>
          <w:sz w:val="24"/>
          <w:szCs w:val="24"/>
          <w:lang w:eastAsia="en-AU"/>
        </w:rPr>
        <w:tab/>
      </w:r>
    </w:p>
    <w:p w:rsidR="003A20BB" w:rsidRDefault="003A20BB" w:rsidP="003A20BB">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Source:</w:t>
      </w:r>
      <w:r>
        <w:rPr>
          <w:rFonts w:ascii="Calibri" w:hAnsi="Times New Roman" w:cs="Calibri"/>
          <w:color w:val="000000"/>
          <w:kern w:val="24"/>
          <w:sz w:val="24"/>
          <w:szCs w:val="24"/>
          <w:lang w:eastAsia="en-AU"/>
        </w:rPr>
        <w:t xml:space="preserve"> </w:t>
      </w:r>
      <w:r>
        <w:rPr>
          <w:rFonts w:ascii="Calibri" w:hAnsi="Times New Roman" w:cs="Calibri"/>
          <w:i/>
          <w:iCs/>
          <w:color w:val="000000"/>
          <w:kern w:val="24"/>
          <w:sz w:val="24"/>
          <w:szCs w:val="24"/>
          <w:lang w:eastAsia="en-AU"/>
        </w:rPr>
        <w:t>ABS Labour Force data, August 2012, 12 month average</w:t>
      </w:r>
    </w:p>
    <w:p w:rsidR="003A20BB" w:rsidRDefault="003A20BB" w:rsidP="003A20BB">
      <w:pPr>
        <w:autoSpaceDE w:val="0"/>
        <w:autoSpaceDN w:val="0"/>
        <w:adjustRightInd w:val="0"/>
        <w:rPr>
          <w:rFonts w:ascii="Calibri" w:hAnsi="Times New Roman" w:cs="Calibri"/>
          <w:i/>
          <w:iCs/>
          <w:color w:val="000000"/>
          <w:kern w:val="24"/>
          <w:sz w:val="24"/>
          <w:szCs w:val="24"/>
          <w:lang w:eastAsia="en-AU"/>
        </w:rPr>
      </w:pPr>
    </w:p>
    <w:p w:rsidR="003A20BB" w:rsidRDefault="003A20BB" w:rsidP="003A20B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The Northern Adelaide Labour Force Region and Western Adelaide Labour Force Region together make up 96 per cent of the Northern and Western Adelaide Priority Employment Area.</w:t>
      </w:r>
    </w:p>
    <w:p w:rsidR="003A20BB" w:rsidRDefault="003A20BB" w:rsidP="003A20BB">
      <w:pPr>
        <w:autoSpaceDE w:val="0"/>
        <w:autoSpaceDN w:val="0"/>
        <w:adjustRightInd w:val="0"/>
        <w:rPr>
          <w:rFonts w:ascii="Calibri" w:hAnsi="Times New Roman" w:cs="Calibri"/>
          <w:color w:val="000000"/>
          <w:kern w:val="24"/>
          <w:sz w:val="24"/>
          <w:szCs w:val="24"/>
          <w:lang w:eastAsia="en-AU"/>
        </w:rPr>
      </w:pP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Due to their lack of skills and experience, teenagers in the full-time labour market can be particularly vulnerable during a labour market downturn. </w:t>
      </w:r>
    </w:p>
    <w:p w:rsidR="003A20BB" w:rsidRDefault="003A20BB" w:rsidP="003A20BB">
      <w:pPr>
        <w:autoSpaceDE w:val="0"/>
        <w:autoSpaceDN w:val="0"/>
        <w:adjustRightInd w:val="0"/>
        <w:rPr>
          <w:rFonts w:ascii="Calibri" w:hAnsi="Times New Roman" w:cs="Calibri"/>
          <w:color w:val="000000"/>
          <w:kern w:val="24"/>
          <w:sz w:val="24"/>
          <w:szCs w:val="24"/>
          <w:lang w:eastAsia="en-AU"/>
        </w:rPr>
      </w:pP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The teenage full-time unemployment rate is based on people who are aged 15</w:t>
      </w:r>
      <w:r>
        <w:rPr>
          <w:rFonts w:ascii="Calibri" w:hAnsi="Times New Roman" w:cs="Calibri"/>
          <w:color w:val="000000"/>
          <w:kern w:val="24"/>
          <w:sz w:val="24"/>
          <w:szCs w:val="24"/>
          <w:lang w:eastAsia="en-AU"/>
        </w:rPr>
        <w:t>–</w:t>
      </w:r>
      <w:r>
        <w:rPr>
          <w:rFonts w:ascii="Calibri" w:hAnsi="Times New Roman" w:cs="Calibri"/>
          <w:color w:val="000000"/>
          <w:kern w:val="24"/>
          <w:sz w:val="24"/>
          <w:szCs w:val="24"/>
          <w:lang w:eastAsia="en-AU"/>
        </w:rPr>
        <w:t>19 years and are looking for full-time employment.</w:t>
      </w:r>
    </w:p>
    <w:p w:rsidR="003A20BB" w:rsidRDefault="003A20BB" w:rsidP="003A20BB">
      <w:pPr>
        <w:autoSpaceDE w:val="0"/>
        <w:autoSpaceDN w:val="0"/>
        <w:adjustRightInd w:val="0"/>
        <w:rPr>
          <w:rFonts w:ascii="Calibri" w:hAnsi="Times New Roman" w:cs="Calibri"/>
          <w:color w:val="000000"/>
          <w:kern w:val="24"/>
          <w:sz w:val="24"/>
          <w:szCs w:val="24"/>
          <w:lang w:eastAsia="en-AU"/>
        </w:rPr>
      </w:pP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The teenage full-time unemployment rate for the Northern Adelaide and Western Adelaide Labour Force Regions increased 6.5 percentage points in the 12 months from August 2011 </w:t>
      </w:r>
      <w:r w:rsidR="00EA3892">
        <w:rPr>
          <w:rFonts w:ascii="Calibri" w:hAnsi="Times New Roman" w:cs="Calibri"/>
          <w:color w:val="000000"/>
          <w:kern w:val="24"/>
          <w:sz w:val="24"/>
          <w:szCs w:val="24"/>
          <w:lang w:eastAsia="en-AU"/>
        </w:rPr>
        <w:br/>
      </w:r>
      <w:r>
        <w:rPr>
          <w:rFonts w:ascii="Calibri" w:hAnsi="Times New Roman" w:cs="Calibri"/>
          <w:color w:val="000000"/>
          <w:kern w:val="24"/>
          <w:sz w:val="24"/>
          <w:szCs w:val="24"/>
          <w:lang w:eastAsia="en-AU"/>
        </w:rPr>
        <w:t>(26.8 percent) to 33.2 per cent in August 2012, substantially higher compared with the national average of 24.0 per cent.</w:t>
      </w:r>
    </w:p>
    <w:p w:rsidR="003A20BB" w:rsidRDefault="003A20BB" w:rsidP="003A20BB">
      <w:pPr>
        <w:autoSpaceDE w:val="0"/>
        <w:autoSpaceDN w:val="0"/>
        <w:adjustRightInd w:val="0"/>
        <w:rPr>
          <w:rFonts w:ascii="Calibri" w:hAnsi="Times New Roman" w:cs="Calibri"/>
          <w:color w:val="000000"/>
          <w:kern w:val="24"/>
          <w:sz w:val="24"/>
          <w:szCs w:val="24"/>
          <w:lang w:eastAsia="en-AU"/>
        </w:rPr>
      </w:pP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However, the teenage full-time unemployment to civilian population ratio (4.5 per cent) is only slightly higher than the state (4.2 per cent) and national (4.3 per cent) ratios. </w:t>
      </w:r>
    </w:p>
    <w:p w:rsidR="003A20BB" w:rsidRDefault="003A20BB" w:rsidP="003A20BB">
      <w:pPr>
        <w:autoSpaceDE w:val="0"/>
        <w:autoSpaceDN w:val="0"/>
        <w:adjustRightInd w:val="0"/>
        <w:rPr>
          <w:rFonts w:cs="Arial"/>
          <w:sz w:val="24"/>
          <w:szCs w:val="24"/>
          <w:lang w:eastAsia="en-AU"/>
        </w:rPr>
      </w:pPr>
    </w:p>
    <w:p w:rsidR="003A20BB" w:rsidRDefault="003A20BB" w:rsidP="003A20BB">
      <w:pPr>
        <w:spacing w:line="360" w:lineRule="auto"/>
      </w:pPr>
    </w:p>
    <w:p w:rsidR="003A20BB" w:rsidRDefault="003A20BB">
      <w:r>
        <w:br w:type="page"/>
      </w:r>
    </w:p>
    <w:p w:rsidR="003A20BB" w:rsidRDefault="003A20BB" w:rsidP="003A20BB">
      <w:pPr>
        <w:spacing w:line="360" w:lineRule="auto"/>
      </w:pPr>
      <w:r>
        <w:lastRenderedPageBreak/>
        <w:t>Slide 7</w:t>
      </w:r>
    </w:p>
    <w:p w:rsidR="003A20BB" w:rsidRDefault="0013234A" w:rsidP="003A20BB">
      <w:pPr>
        <w:spacing w:line="360" w:lineRule="auto"/>
        <w:jc w:val="center"/>
      </w:pPr>
      <w:r>
        <w:object w:dxaOrig="7216" w:dyaOrig="5409">
          <v:shape id="_x0000_i1031" type="#_x0000_t75" style="width:360.75pt;height:270.7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1" DrawAspect="Content" ObjectID="_1412079710" r:id="rId20"/>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 xml:space="preserve">Neither working nor studying, 20-24 </w:t>
      </w:r>
      <w:proofErr w:type="gramStart"/>
      <w:r>
        <w:rPr>
          <w:rFonts w:ascii="Calibri" w:hAnsi="Calibri" w:cs="Calibri"/>
          <w:b/>
          <w:bCs/>
          <w:color w:val="000000"/>
          <w:kern w:val="24"/>
          <w:sz w:val="24"/>
          <w:szCs w:val="24"/>
          <w:u w:val="single"/>
          <w:lang w:eastAsia="en-AU"/>
        </w:rPr>
        <w:t>years  -</w:t>
      </w:r>
      <w:proofErr w:type="gramEnd"/>
      <w:r>
        <w:rPr>
          <w:rFonts w:ascii="Calibri" w:hAnsi="Calibri" w:cs="Calibri"/>
          <w:b/>
          <w:bCs/>
          <w:color w:val="000000"/>
          <w:kern w:val="24"/>
          <w:sz w:val="24"/>
          <w:szCs w:val="24"/>
          <w:u w:val="single"/>
          <w:lang w:eastAsia="en-AU"/>
        </w:rPr>
        <w:t xml:space="preserve"> Northern and Western Adelaide PEA</w:t>
      </w:r>
    </w:p>
    <w:p w:rsidR="003A20BB" w:rsidRDefault="003A20BB" w:rsidP="003A20B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xml:space="preserve">Source: ABS, 2006 Census of Population and Housing, Estimated Residential Population 2011, DEEWR Admin data, </w:t>
      </w:r>
      <w:r w:rsidR="00C1434F">
        <w:rPr>
          <w:rFonts w:ascii="Calibri" w:hAnsi="Calibri" w:cs="Calibri"/>
          <w:i/>
          <w:iCs/>
          <w:color w:val="000000"/>
          <w:kern w:val="24"/>
          <w:sz w:val="24"/>
          <w:szCs w:val="24"/>
          <w:lang w:eastAsia="en-AU"/>
        </w:rPr>
        <w:t>September</w:t>
      </w:r>
      <w:r>
        <w:rPr>
          <w:rFonts w:ascii="Calibri" w:hAnsi="Calibri" w:cs="Calibri"/>
          <w:i/>
          <w:iCs/>
          <w:color w:val="000000"/>
          <w:kern w:val="24"/>
          <w:sz w:val="24"/>
          <w:szCs w:val="24"/>
          <w:lang w:eastAsia="en-AU"/>
        </w:rPr>
        <w:t xml:space="preserve"> 2012. </w:t>
      </w:r>
    </w:p>
    <w:p w:rsidR="003A20BB" w:rsidRDefault="003A20BB" w:rsidP="003A20BB">
      <w:pPr>
        <w:autoSpaceDE w:val="0"/>
        <w:autoSpaceDN w:val="0"/>
        <w:adjustRightInd w:val="0"/>
        <w:rPr>
          <w:rFonts w:ascii="Calibri" w:hAnsi="Calibri" w:cs="Calibri"/>
          <w:i/>
          <w:iCs/>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At the time of the 2006 Census, the proportion of both males and females aged 20-24 in the Northern and Western Adelaide PEA who were neither employed nor </w:t>
      </w:r>
      <w:proofErr w:type="gramStart"/>
      <w:r>
        <w:rPr>
          <w:rFonts w:ascii="Calibri" w:hAnsi="Calibri" w:cs="Calibri"/>
          <w:color w:val="000000"/>
          <w:kern w:val="24"/>
          <w:sz w:val="24"/>
          <w:szCs w:val="24"/>
          <w:lang w:eastAsia="en-AU"/>
        </w:rPr>
        <w:t>studying was</w:t>
      </w:r>
      <w:proofErr w:type="gramEnd"/>
      <w:r>
        <w:rPr>
          <w:rFonts w:ascii="Calibri" w:hAnsi="Calibri" w:cs="Calibri"/>
          <w:color w:val="000000"/>
          <w:kern w:val="24"/>
          <w:sz w:val="24"/>
          <w:szCs w:val="24"/>
          <w:lang w:eastAsia="en-AU"/>
        </w:rPr>
        <w:t xml:space="preserve"> higher compared with South Australia and Australia.</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Some 6 per cent of males aged 20-24 were unemployed and not studying (compared with 5 per cent for Australia), while 6 per cent were not in the labour force and not studying (compared with 5 per cent for Australia).</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Some 4 per cent of females aged 20-24 were unemployed and not studying, the same as Australia (4 per cent), although the proportion not in the labour force and not studying (13 per cent) was slightly higher than for Australia (12 per cent).</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proportion of females not in the labour force and not studying in the </w:t>
      </w:r>
      <w:proofErr w:type="spellStart"/>
      <w:r>
        <w:rPr>
          <w:rFonts w:ascii="Calibri" w:hAnsi="Calibri" w:cs="Calibri"/>
          <w:color w:val="000000"/>
          <w:kern w:val="24"/>
          <w:sz w:val="24"/>
          <w:szCs w:val="24"/>
          <w:lang w:eastAsia="en-AU"/>
        </w:rPr>
        <w:t>Playford</w:t>
      </w:r>
      <w:proofErr w:type="spellEnd"/>
      <w:r>
        <w:rPr>
          <w:rFonts w:ascii="Calibri" w:hAnsi="Calibri" w:cs="Calibri"/>
          <w:color w:val="000000"/>
          <w:kern w:val="24"/>
          <w:sz w:val="24"/>
          <w:szCs w:val="24"/>
          <w:lang w:eastAsia="en-AU"/>
        </w:rPr>
        <w:t xml:space="preserve">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w:t>
      </w:r>
      <w:r w:rsidR="00EA3892">
        <w:rPr>
          <w:rFonts w:ascii="Calibri" w:hAnsi="Calibri" w:cs="Calibri"/>
          <w:color w:val="000000"/>
          <w:kern w:val="24"/>
          <w:sz w:val="24"/>
          <w:szCs w:val="24"/>
          <w:lang w:eastAsia="en-AU"/>
        </w:rPr>
        <w:br/>
      </w:r>
      <w:r>
        <w:rPr>
          <w:rFonts w:ascii="Calibri" w:hAnsi="Calibri" w:cs="Calibri"/>
          <w:color w:val="000000"/>
          <w:kern w:val="24"/>
          <w:sz w:val="24"/>
          <w:szCs w:val="24"/>
          <w:lang w:eastAsia="en-AU"/>
        </w:rPr>
        <w:t xml:space="preserve">(27 per cent) and was substantially higher compared with both the PEA and Australia </w:t>
      </w:r>
      <w:r w:rsidR="00EA3892">
        <w:rPr>
          <w:rFonts w:ascii="Calibri" w:hAnsi="Calibri" w:cs="Calibri"/>
          <w:color w:val="000000"/>
          <w:kern w:val="24"/>
          <w:sz w:val="24"/>
          <w:szCs w:val="24"/>
          <w:lang w:eastAsia="en-AU"/>
        </w:rPr>
        <w:br/>
      </w:r>
      <w:r>
        <w:rPr>
          <w:rFonts w:ascii="Calibri" w:hAnsi="Calibri" w:cs="Calibri"/>
          <w:color w:val="000000"/>
          <w:kern w:val="24"/>
          <w:sz w:val="24"/>
          <w:szCs w:val="24"/>
          <w:lang w:eastAsia="en-AU"/>
        </w:rPr>
        <w:t xml:space="preserve">(13 per cent and 12 per cent respectively). </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In the Northern and Western Adelaide PE</w:t>
      </w:r>
      <w:r w:rsidR="008F38B5">
        <w:rPr>
          <w:rFonts w:ascii="Calibri" w:hAnsi="Calibri" w:cs="Calibri"/>
          <w:color w:val="000000"/>
          <w:kern w:val="24"/>
          <w:sz w:val="24"/>
          <w:szCs w:val="24"/>
          <w:lang w:eastAsia="en-AU"/>
        </w:rPr>
        <w:t>A, 29.6</w:t>
      </w:r>
      <w:r>
        <w:rPr>
          <w:rFonts w:ascii="Calibri" w:hAnsi="Calibri" w:cs="Calibri"/>
          <w:color w:val="000000"/>
          <w:kern w:val="24"/>
          <w:sz w:val="24"/>
          <w:szCs w:val="24"/>
          <w:lang w:eastAsia="en-AU"/>
        </w:rPr>
        <w:t xml:space="preserve"> per cent of all females aged 20-24 were in receipt of an income sup</w:t>
      </w:r>
      <w:r w:rsidR="008F38B5">
        <w:rPr>
          <w:rFonts w:ascii="Calibri" w:hAnsi="Calibri" w:cs="Calibri"/>
          <w:color w:val="000000"/>
          <w:kern w:val="24"/>
          <w:sz w:val="24"/>
          <w:szCs w:val="24"/>
          <w:lang w:eastAsia="en-AU"/>
        </w:rPr>
        <w:t>port payment (compared with 24.5</w:t>
      </w:r>
      <w:r>
        <w:rPr>
          <w:rFonts w:ascii="Calibri" w:hAnsi="Calibri" w:cs="Calibri"/>
          <w:color w:val="000000"/>
          <w:kern w:val="24"/>
          <w:sz w:val="24"/>
          <w:szCs w:val="24"/>
          <w:lang w:eastAsia="en-AU"/>
        </w:rPr>
        <w:t xml:space="preserve"> p</w:t>
      </w:r>
      <w:r w:rsidR="008F38B5">
        <w:rPr>
          <w:rFonts w:ascii="Calibri" w:hAnsi="Calibri" w:cs="Calibri"/>
          <w:color w:val="000000"/>
          <w:kern w:val="24"/>
          <w:sz w:val="24"/>
          <w:szCs w:val="24"/>
          <w:lang w:eastAsia="en-AU"/>
        </w:rPr>
        <w:t>er cent for Australia); some 6.7</w:t>
      </w:r>
      <w:r>
        <w:rPr>
          <w:rFonts w:ascii="Calibri" w:hAnsi="Calibri" w:cs="Calibri"/>
          <w:color w:val="000000"/>
          <w:kern w:val="24"/>
          <w:sz w:val="24"/>
          <w:szCs w:val="24"/>
          <w:lang w:eastAsia="en-AU"/>
        </w:rPr>
        <w:t xml:space="preserve"> per cent of all females aged 20-24 were in receipt of parenting p</w:t>
      </w:r>
      <w:r w:rsidR="008F38B5">
        <w:rPr>
          <w:rFonts w:ascii="Calibri" w:hAnsi="Calibri" w:cs="Calibri"/>
          <w:color w:val="000000"/>
          <w:kern w:val="24"/>
          <w:sz w:val="24"/>
          <w:szCs w:val="24"/>
          <w:lang w:eastAsia="en-AU"/>
        </w:rPr>
        <w:t>ayment single (compared with 5.4</w:t>
      </w:r>
      <w:r>
        <w:rPr>
          <w:rFonts w:ascii="Calibri" w:hAnsi="Calibri" w:cs="Calibri"/>
          <w:color w:val="000000"/>
          <w:kern w:val="24"/>
          <w:sz w:val="24"/>
          <w:szCs w:val="24"/>
          <w:lang w:eastAsia="en-AU"/>
        </w:rPr>
        <w:t xml:space="preserve"> per cent for Australia). </w:t>
      </w:r>
    </w:p>
    <w:p w:rsidR="002014DB" w:rsidRDefault="002014DB" w:rsidP="003A20BB">
      <w:pPr>
        <w:autoSpaceDE w:val="0"/>
        <w:autoSpaceDN w:val="0"/>
        <w:adjustRightInd w:val="0"/>
        <w:rPr>
          <w:rFonts w:ascii="Calibri" w:hAnsi="Calibri" w:cs="Calibri"/>
          <w:color w:val="000000"/>
          <w:kern w:val="24"/>
          <w:sz w:val="24"/>
          <w:szCs w:val="24"/>
          <w:lang w:eastAsia="en-AU"/>
        </w:rPr>
      </w:pPr>
    </w:p>
    <w:p w:rsidR="003A20BB" w:rsidRDefault="008F38B5"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In the </w:t>
      </w:r>
      <w:proofErr w:type="spellStart"/>
      <w:r>
        <w:rPr>
          <w:rFonts w:ascii="Calibri" w:hAnsi="Calibri" w:cs="Calibri"/>
          <w:color w:val="000000"/>
          <w:kern w:val="24"/>
          <w:sz w:val="24"/>
          <w:szCs w:val="24"/>
          <w:lang w:eastAsia="en-AU"/>
        </w:rPr>
        <w:t>Playford</w:t>
      </w:r>
      <w:proofErr w:type="spellEnd"/>
      <w:r>
        <w:rPr>
          <w:rFonts w:ascii="Calibri" w:hAnsi="Calibri" w:cs="Calibri"/>
          <w:color w:val="000000"/>
          <w:kern w:val="24"/>
          <w:sz w:val="24"/>
          <w:szCs w:val="24"/>
          <w:lang w:eastAsia="en-AU"/>
        </w:rPr>
        <w:t xml:space="preserve">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48.1</w:t>
      </w:r>
      <w:r w:rsidR="003A20BB">
        <w:rPr>
          <w:rFonts w:ascii="Calibri" w:hAnsi="Calibri" w:cs="Calibri"/>
          <w:color w:val="000000"/>
          <w:kern w:val="24"/>
          <w:sz w:val="24"/>
          <w:szCs w:val="24"/>
          <w:lang w:eastAsia="en-AU"/>
        </w:rPr>
        <w:t xml:space="preserve"> per cent of all females aged 20-24 were in receipt of an</w:t>
      </w:r>
      <w:r>
        <w:rPr>
          <w:rFonts w:ascii="Calibri" w:hAnsi="Calibri" w:cs="Calibri"/>
          <w:color w:val="000000"/>
          <w:kern w:val="24"/>
          <w:sz w:val="24"/>
          <w:szCs w:val="24"/>
          <w:lang w:eastAsia="en-AU"/>
        </w:rPr>
        <w:t xml:space="preserve"> income support payment; some 18.1</w:t>
      </w:r>
      <w:r w:rsidR="003A20BB">
        <w:rPr>
          <w:rFonts w:ascii="Calibri" w:hAnsi="Calibri" w:cs="Calibri"/>
          <w:color w:val="000000"/>
          <w:kern w:val="24"/>
          <w:sz w:val="24"/>
          <w:szCs w:val="24"/>
          <w:lang w:eastAsia="en-AU"/>
        </w:rPr>
        <w:t xml:space="preserve"> per cent of all females aged 20-24 were in receipt of parenting payment single.</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spacing w:line="360" w:lineRule="auto"/>
      </w:pPr>
      <w:r>
        <w:t>Slide 8</w:t>
      </w:r>
    </w:p>
    <w:p w:rsidR="003A20BB" w:rsidRDefault="002014DB" w:rsidP="003A20BB">
      <w:pPr>
        <w:spacing w:line="360" w:lineRule="auto"/>
        <w:jc w:val="center"/>
      </w:pPr>
      <w:r>
        <w:object w:dxaOrig="7215" w:dyaOrig="5408">
          <v:shape id="_x0000_i1032" type="#_x0000_t75" style="width:360.75pt;height:279.7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2" DrawAspect="Content" ObjectID="_1412079711" r:id="rId22"/>
        </w:object>
      </w:r>
    </w:p>
    <w:p w:rsidR="003A20BB" w:rsidRDefault="003A20BB" w:rsidP="002014DB">
      <w:pPr>
        <w:autoSpaceDE w:val="0"/>
        <w:autoSpaceDN w:val="0"/>
        <w:adjustRightInd w:val="0"/>
        <w:spacing w:before="12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Household characteristics – jobless families</w:t>
      </w:r>
    </w:p>
    <w:p w:rsidR="003A20BB" w:rsidRDefault="003A20BB" w:rsidP="003A20B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2006 Census of Population and Housing</w:t>
      </w:r>
    </w:p>
    <w:p w:rsidR="003A20BB" w:rsidRPr="002014DB" w:rsidRDefault="003A20BB" w:rsidP="003A20BB">
      <w:pPr>
        <w:autoSpaceDE w:val="0"/>
        <w:autoSpaceDN w:val="0"/>
        <w:adjustRightInd w:val="0"/>
        <w:rPr>
          <w:rFonts w:ascii="Calibri" w:hAnsi="Calibri" w:cs="Calibri"/>
          <w:color w:val="000000"/>
          <w:kern w:val="24"/>
          <w:sz w:val="12"/>
          <w:szCs w:val="12"/>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proportion of families who are jobless in the Northern and Western Adelaide PEA </w:t>
      </w:r>
      <w:r w:rsidR="00EA3892">
        <w:rPr>
          <w:rFonts w:ascii="Calibri" w:hAnsi="Calibri" w:cs="Calibri"/>
          <w:color w:val="000000"/>
          <w:kern w:val="24"/>
          <w:sz w:val="24"/>
          <w:szCs w:val="24"/>
          <w:lang w:eastAsia="en-AU"/>
        </w:rPr>
        <w:br/>
      </w:r>
      <w:r>
        <w:rPr>
          <w:rFonts w:ascii="Calibri" w:hAnsi="Calibri" w:cs="Calibri"/>
          <w:color w:val="000000"/>
          <w:kern w:val="24"/>
          <w:sz w:val="24"/>
          <w:szCs w:val="24"/>
          <w:lang w:eastAsia="en-AU"/>
        </w:rPr>
        <w:t xml:space="preserve">(20 per cent) is higher than for both South Australia (16 per cent) and Australia (15 per cent). However, in parts of the PEA the proportion of families who are jobless is much higher, in particular the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of </w:t>
      </w:r>
      <w:proofErr w:type="spellStart"/>
      <w:r>
        <w:rPr>
          <w:rFonts w:ascii="Calibri" w:hAnsi="Calibri" w:cs="Calibri"/>
          <w:color w:val="000000"/>
          <w:kern w:val="24"/>
          <w:sz w:val="24"/>
          <w:szCs w:val="24"/>
          <w:lang w:eastAsia="en-AU"/>
        </w:rPr>
        <w:t>Playford</w:t>
      </w:r>
      <w:proofErr w:type="spellEnd"/>
      <w:r>
        <w:rPr>
          <w:rFonts w:ascii="Calibri" w:hAnsi="Calibri" w:cs="Calibri"/>
          <w:color w:val="000000"/>
          <w:kern w:val="24"/>
          <w:sz w:val="24"/>
          <w:szCs w:val="24"/>
          <w:lang w:eastAsia="en-AU"/>
        </w:rPr>
        <w:t xml:space="preserve"> (31 per cent).</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proportion of lone parent families who are jobless in the Northern and Western Adelaide PEA (52 per cent) is slightly higher than for South Australia (48 per cent) and Australia </w:t>
      </w:r>
      <w:r w:rsidR="00EA3892">
        <w:rPr>
          <w:rFonts w:ascii="Calibri" w:hAnsi="Calibri" w:cs="Calibri"/>
          <w:color w:val="000000"/>
          <w:kern w:val="24"/>
          <w:sz w:val="24"/>
          <w:szCs w:val="24"/>
          <w:lang w:eastAsia="en-AU"/>
        </w:rPr>
        <w:br/>
      </w:r>
      <w:r>
        <w:rPr>
          <w:rFonts w:ascii="Calibri" w:hAnsi="Calibri" w:cs="Calibri"/>
          <w:color w:val="000000"/>
          <w:kern w:val="24"/>
          <w:sz w:val="24"/>
          <w:szCs w:val="24"/>
          <w:lang w:eastAsia="en-AU"/>
        </w:rPr>
        <w:t xml:space="preserve">(47 per cent). However, the proportion of lone parent families who are jobless is much higher in several </w:t>
      </w:r>
      <w:proofErr w:type="spellStart"/>
      <w:r>
        <w:rPr>
          <w:rFonts w:ascii="Calibri" w:hAnsi="Calibri" w:cs="Calibri"/>
          <w:color w:val="000000"/>
          <w:kern w:val="24"/>
          <w:sz w:val="24"/>
          <w:szCs w:val="24"/>
          <w:lang w:eastAsia="en-AU"/>
        </w:rPr>
        <w:t>LGAs</w:t>
      </w:r>
      <w:proofErr w:type="spellEnd"/>
      <w:r>
        <w:rPr>
          <w:rFonts w:ascii="Calibri" w:hAnsi="Calibri" w:cs="Calibri"/>
          <w:color w:val="000000"/>
          <w:kern w:val="24"/>
          <w:sz w:val="24"/>
          <w:szCs w:val="24"/>
          <w:lang w:eastAsia="en-AU"/>
        </w:rPr>
        <w:t xml:space="preserve"> including </w:t>
      </w:r>
      <w:proofErr w:type="spellStart"/>
      <w:r>
        <w:rPr>
          <w:rFonts w:ascii="Calibri" w:hAnsi="Calibri" w:cs="Calibri"/>
          <w:color w:val="000000"/>
          <w:kern w:val="24"/>
          <w:sz w:val="24"/>
          <w:szCs w:val="24"/>
          <w:lang w:eastAsia="en-AU"/>
        </w:rPr>
        <w:t>Playford</w:t>
      </w:r>
      <w:proofErr w:type="spellEnd"/>
      <w:r>
        <w:rPr>
          <w:rFonts w:ascii="Calibri" w:hAnsi="Calibri" w:cs="Calibri"/>
          <w:color w:val="000000"/>
          <w:kern w:val="24"/>
          <w:sz w:val="24"/>
          <w:szCs w:val="24"/>
          <w:lang w:eastAsia="en-AU"/>
        </w:rPr>
        <w:t xml:space="preserve"> (64 per cent) and Port Adelaide Enfield (57 per cent).</w:t>
      </w:r>
    </w:p>
    <w:p w:rsidR="003A20BB" w:rsidRDefault="003A20BB" w:rsidP="003A20BB">
      <w:pPr>
        <w:autoSpaceDE w:val="0"/>
        <w:autoSpaceDN w:val="0"/>
        <w:adjustRightInd w:val="0"/>
        <w:rPr>
          <w:rFonts w:cs="Arial"/>
          <w:sz w:val="24"/>
          <w:szCs w:val="24"/>
          <w:lang w:eastAsia="en-AU"/>
        </w:rPr>
      </w:pPr>
    </w:p>
    <w:p w:rsidR="00236791" w:rsidRPr="00236791" w:rsidRDefault="00236791" w:rsidP="00236791">
      <w:pPr>
        <w:autoSpaceDE w:val="0"/>
        <w:autoSpaceDN w:val="0"/>
        <w:jc w:val="both"/>
        <w:rPr>
          <w:rFonts w:ascii="Calibri" w:hAnsi="Calibri" w:cs="Calibri"/>
          <w:color w:val="000000"/>
          <w:sz w:val="24"/>
          <w:szCs w:val="24"/>
        </w:rPr>
      </w:pPr>
      <w:r w:rsidRPr="00236791">
        <w:rPr>
          <w:rFonts w:ascii="Calibri" w:hAnsi="Calibri" w:cs="Calibri"/>
          <w:color w:val="000000"/>
          <w:sz w:val="24"/>
          <w:szCs w:val="24"/>
        </w:rPr>
        <w:t>Nationally, 40% (or 259,236) of all families with dependent children under 16 on income support payments are persistently jobless (16 March 2012)</w:t>
      </w:r>
    </w:p>
    <w:p w:rsidR="00236791" w:rsidRPr="00236791" w:rsidRDefault="00236791" w:rsidP="00236791">
      <w:pPr>
        <w:pStyle w:val="ListParagraph"/>
        <w:numPr>
          <w:ilvl w:val="0"/>
          <w:numId w:val="11"/>
        </w:numPr>
        <w:autoSpaceDE w:val="0"/>
        <w:autoSpaceDN w:val="0"/>
        <w:jc w:val="both"/>
        <w:rPr>
          <w:rFonts w:ascii="Calibri" w:hAnsi="Calibri" w:cs="Calibri"/>
          <w:color w:val="000000"/>
          <w:sz w:val="24"/>
          <w:szCs w:val="24"/>
        </w:rPr>
      </w:pPr>
      <w:r w:rsidRPr="00236791">
        <w:rPr>
          <w:rFonts w:ascii="Calibri" w:hAnsi="Calibri" w:cs="Calibri"/>
          <w:color w:val="000000"/>
          <w:sz w:val="24"/>
          <w:szCs w:val="24"/>
        </w:rPr>
        <w:t>85% of these persistently jobless families are single parent jobless families.</w:t>
      </w:r>
    </w:p>
    <w:p w:rsidR="00236791" w:rsidRPr="00236791" w:rsidRDefault="00236791" w:rsidP="00236791">
      <w:pPr>
        <w:pStyle w:val="ListParagraph"/>
        <w:numPr>
          <w:ilvl w:val="0"/>
          <w:numId w:val="11"/>
        </w:numPr>
        <w:autoSpaceDE w:val="0"/>
        <w:autoSpaceDN w:val="0"/>
        <w:jc w:val="both"/>
        <w:rPr>
          <w:rFonts w:ascii="Calibri" w:hAnsi="Calibri" w:cs="Calibri"/>
          <w:color w:val="000000"/>
          <w:sz w:val="24"/>
          <w:szCs w:val="24"/>
        </w:rPr>
      </w:pPr>
      <w:r w:rsidRPr="00236791">
        <w:rPr>
          <w:rFonts w:ascii="Calibri" w:hAnsi="Calibri" w:cs="Calibri"/>
          <w:color w:val="000000"/>
          <w:sz w:val="24"/>
          <w:szCs w:val="24"/>
        </w:rPr>
        <w:t>Of all pe</w:t>
      </w:r>
      <w:r w:rsidR="00DB4DEE">
        <w:rPr>
          <w:rFonts w:ascii="Calibri" w:hAnsi="Calibri" w:cs="Calibri"/>
          <w:color w:val="000000"/>
          <w:sz w:val="24"/>
          <w:szCs w:val="24"/>
        </w:rPr>
        <w:t>rsistently jobless families, 55</w:t>
      </w:r>
      <w:r w:rsidRPr="00236791">
        <w:rPr>
          <w:rFonts w:ascii="Calibri" w:hAnsi="Calibri" w:cs="Calibri"/>
          <w:color w:val="000000"/>
          <w:sz w:val="24"/>
          <w:szCs w:val="24"/>
        </w:rPr>
        <w:t>% (142,130) are very persistently jobless for three years (16 March 2009 -16 March 2012)</w:t>
      </w:r>
    </w:p>
    <w:p w:rsidR="00236791" w:rsidRPr="00236791" w:rsidRDefault="00236791" w:rsidP="00236791">
      <w:pPr>
        <w:autoSpaceDE w:val="0"/>
        <w:autoSpaceDN w:val="0"/>
        <w:jc w:val="both"/>
        <w:rPr>
          <w:rFonts w:ascii="Calibri" w:hAnsi="Calibri" w:cs="Calibri"/>
          <w:color w:val="000000"/>
          <w:sz w:val="24"/>
          <w:szCs w:val="24"/>
        </w:rPr>
      </w:pPr>
    </w:p>
    <w:p w:rsidR="00236791" w:rsidRDefault="00236791" w:rsidP="00236791">
      <w:pPr>
        <w:autoSpaceDE w:val="0"/>
        <w:autoSpaceDN w:val="0"/>
        <w:jc w:val="both"/>
        <w:rPr>
          <w:rFonts w:ascii="Calibri" w:hAnsi="Calibri" w:cs="Calibri"/>
          <w:i/>
          <w:iCs/>
          <w:color w:val="000000"/>
          <w:sz w:val="24"/>
          <w:szCs w:val="24"/>
        </w:rPr>
      </w:pPr>
      <w:r w:rsidRPr="00236791">
        <w:rPr>
          <w:rFonts w:ascii="Calibri" w:hAnsi="Calibri" w:cs="Calibri"/>
          <w:i/>
          <w:iCs/>
          <w:color w:val="000000"/>
          <w:sz w:val="24"/>
          <w:szCs w:val="24"/>
        </w:rPr>
        <w:t xml:space="preserve">A ‘persistently jobless family’ is defined by the Department of Education, Employment and Workplace Relations (DEEWR) as a family with at least one dependent child under the age of 16 where all parents (partnered or single) are on income support and have no reported earnings </w:t>
      </w:r>
      <w:r w:rsidRPr="00236791">
        <w:rPr>
          <w:rFonts w:ascii="Calibri" w:hAnsi="Calibri" w:cs="Calibri"/>
          <w:b/>
          <w:bCs/>
          <w:i/>
          <w:iCs/>
          <w:color w:val="000000"/>
          <w:sz w:val="24"/>
          <w:szCs w:val="24"/>
        </w:rPr>
        <w:t>in the previous year</w:t>
      </w:r>
      <w:r w:rsidRPr="00236791">
        <w:rPr>
          <w:rFonts w:ascii="Calibri" w:hAnsi="Calibri" w:cs="Calibri"/>
          <w:i/>
          <w:iCs/>
          <w:color w:val="000000"/>
          <w:sz w:val="24"/>
          <w:szCs w:val="24"/>
        </w:rPr>
        <w:t>.</w:t>
      </w:r>
    </w:p>
    <w:p w:rsidR="002014DB" w:rsidRPr="00236791" w:rsidRDefault="002014DB" w:rsidP="00236791">
      <w:pPr>
        <w:autoSpaceDE w:val="0"/>
        <w:autoSpaceDN w:val="0"/>
        <w:jc w:val="both"/>
        <w:rPr>
          <w:rFonts w:ascii="Calibri" w:hAnsi="Calibri" w:cs="Calibri"/>
          <w:i/>
          <w:iCs/>
          <w:color w:val="000000"/>
          <w:sz w:val="24"/>
          <w:szCs w:val="24"/>
        </w:rPr>
      </w:pPr>
    </w:p>
    <w:p w:rsidR="00236791" w:rsidRPr="00236791" w:rsidRDefault="00236791" w:rsidP="00236791">
      <w:pPr>
        <w:autoSpaceDE w:val="0"/>
        <w:autoSpaceDN w:val="0"/>
        <w:jc w:val="both"/>
        <w:rPr>
          <w:rFonts w:ascii="Calibri" w:hAnsi="Calibri" w:cs="Calibri"/>
          <w:i/>
          <w:iCs/>
          <w:color w:val="000000"/>
          <w:sz w:val="24"/>
          <w:szCs w:val="24"/>
        </w:rPr>
      </w:pPr>
      <w:r w:rsidRPr="00236791">
        <w:rPr>
          <w:rFonts w:ascii="Calibri" w:hAnsi="Calibri" w:cs="Calibri"/>
          <w:i/>
          <w:iCs/>
          <w:color w:val="000000"/>
          <w:sz w:val="24"/>
          <w:szCs w:val="24"/>
        </w:rPr>
        <w:t xml:space="preserve"> A ‘very persistently jobless family’ is defined by DEEWR as a family with at least one dependent child under the age of 16 where all parents (partnered or single) are on income support and have no reported earnings </w:t>
      </w:r>
      <w:r w:rsidRPr="00236791">
        <w:rPr>
          <w:rFonts w:ascii="Calibri" w:hAnsi="Calibri" w:cs="Calibri"/>
          <w:b/>
          <w:bCs/>
          <w:i/>
          <w:iCs/>
          <w:color w:val="000000"/>
          <w:sz w:val="24"/>
          <w:szCs w:val="24"/>
        </w:rPr>
        <w:t>in the previous 3 years</w:t>
      </w:r>
      <w:r w:rsidRPr="00236791">
        <w:rPr>
          <w:rFonts w:ascii="Calibri" w:hAnsi="Calibri" w:cs="Calibri"/>
          <w:i/>
          <w:iCs/>
          <w:color w:val="000000"/>
          <w:sz w:val="24"/>
          <w:szCs w:val="24"/>
        </w:rPr>
        <w:t xml:space="preserve">. </w:t>
      </w:r>
    </w:p>
    <w:p w:rsidR="003A20BB" w:rsidRPr="00236791" w:rsidRDefault="003A20BB" w:rsidP="003A20BB">
      <w:pPr>
        <w:spacing w:line="360" w:lineRule="auto"/>
        <w:rPr>
          <w:rFonts w:asciiTheme="minorHAnsi" w:hAnsiTheme="minorHAnsi" w:cstheme="minorHAnsi"/>
          <w:szCs w:val="22"/>
        </w:rPr>
      </w:pPr>
    </w:p>
    <w:p w:rsidR="003A20BB" w:rsidRDefault="003A20BB" w:rsidP="003A20BB">
      <w:pPr>
        <w:spacing w:line="360" w:lineRule="auto"/>
      </w:pPr>
      <w:r>
        <w:lastRenderedPageBreak/>
        <w:t>Slide 9</w:t>
      </w:r>
    </w:p>
    <w:p w:rsidR="003A20BB" w:rsidRDefault="003A20BB" w:rsidP="003A20BB">
      <w:pPr>
        <w:spacing w:line="360" w:lineRule="auto"/>
      </w:pPr>
    </w:p>
    <w:p w:rsidR="003A20BB" w:rsidRDefault="0013234A" w:rsidP="003A20BB">
      <w:pPr>
        <w:spacing w:line="360" w:lineRule="auto"/>
        <w:jc w:val="center"/>
      </w:pPr>
      <w:r>
        <w:object w:dxaOrig="7216" w:dyaOrig="5409">
          <v:shape id="_x0000_i1033" type="#_x0000_t75" style="width:360.75pt;height:270.7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3" DrawAspect="Content" ObjectID="_1412079712" r:id="rId24"/>
        </w:objec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u w:val="single"/>
          <w:lang w:eastAsia="en-AU"/>
        </w:rPr>
        <w:t>Levels of Educational Attainment, persons aged 25-34 years</w:t>
      </w:r>
      <w:r>
        <w:rPr>
          <w:rFonts w:ascii="Calibri" w:hAnsi="Calibri" w:cs="Calibri"/>
          <w:b/>
          <w:bCs/>
          <w:color w:val="000000"/>
          <w:kern w:val="24"/>
          <w:sz w:val="24"/>
          <w:szCs w:val="24"/>
          <w:lang w:eastAsia="en-AU"/>
        </w:rPr>
        <w:br/>
      </w:r>
      <w:r>
        <w:rPr>
          <w:rFonts w:ascii="Calibri" w:hAnsi="Calibri" w:cs="Calibri"/>
          <w:i/>
          <w:iCs/>
          <w:color w:val="000000"/>
          <w:kern w:val="24"/>
          <w:sz w:val="24"/>
          <w:szCs w:val="24"/>
          <w:lang w:eastAsia="en-AU"/>
        </w:rPr>
        <w:t>Source: ABS 2006 Census of Population and Housing</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lang w:eastAsia="en-AU"/>
        </w:rPr>
        <w:t> </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level of educational attainment is strongly linked with labour market performance and the ability of a region (or its population) to respond flexibly to an economic downturn. For example, upon retrenchment, those with lower educational attainment will find it significantly more difficult to find subsequent employment than their higher skilled counterparts. </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Job seekers who have not completed Year 12 and have limited experience in the workforce are likely to lack many basic employability skills that employers value and look for in applicants.</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proportion of 25 to 34 year olds who completed Year 12 in the Northern and Western Adelaide PEA (63 per cent) was similar to South Australia (64 per cent) and slightly lower than Australia (69 per cent). However, the proportion completing Year 12 varied by region, with low rates of completion in the </w:t>
      </w:r>
      <w:proofErr w:type="spellStart"/>
      <w:r>
        <w:rPr>
          <w:rFonts w:ascii="Calibri" w:hAnsi="Calibri" w:cs="Calibri"/>
          <w:color w:val="000000"/>
          <w:kern w:val="24"/>
          <w:sz w:val="24"/>
          <w:szCs w:val="24"/>
          <w:lang w:eastAsia="en-AU"/>
        </w:rPr>
        <w:t>Playford</w:t>
      </w:r>
      <w:proofErr w:type="spellEnd"/>
      <w:r>
        <w:rPr>
          <w:rFonts w:ascii="Calibri" w:hAnsi="Calibri" w:cs="Calibri"/>
          <w:color w:val="000000"/>
          <w:kern w:val="24"/>
          <w:sz w:val="24"/>
          <w:szCs w:val="24"/>
          <w:lang w:eastAsia="en-AU"/>
        </w:rPr>
        <w:t xml:space="preserve"> (41 per cent), Gawler (54 per cent) and Salisbury </w:t>
      </w:r>
      <w:r w:rsidR="00EA3892">
        <w:rPr>
          <w:rFonts w:ascii="Calibri" w:hAnsi="Calibri" w:cs="Calibri"/>
          <w:color w:val="000000"/>
          <w:kern w:val="24"/>
          <w:sz w:val="24"/>
          <w:szCs w:val="24"/>
          <w:lang w:eastAsia="en-AU"/>
        </w:rPr>
        <w:br/>
      </w:r>
      <w:r>
        <w:rPr>
          <w:rFonts w:ascii="Calibri" w:hAnsi="Calibri" w:cs="Calibri"/>
          <w:color w:val="000000"/>
          <w:kern w:val="24"/>
          <w:sz w:val="24"/>
          <w:szCs w:val="24"/>
          <w:lang w:eastAsia="en-AU"/>
        </w:rPr>
        <w:t xml:space="preserve">(55 per cent) </w:t>
      </w:r>
      <w:proofErr w:type="spellStart"/>
      <w:r>
        <w:rPr>
          <w:rFonts w:ascii="Calibri" w:hAnsi="Calibri" w:cs="Calibri"/>
          <w:color w:val="000000"/>
          <w:kern w:val="24"/>
          <w:sz w:val="24"/>
          <w:szCs w:val="24"/>
          <w:lang w:eastAsia="en-AU"/>
        </w:rPr>
        <w:t>LGAs</w:t>
      </w:r>
      <w:proofErr w:type="spellEnd"/>
      <w:r>
        <w:rPr>
          <w:rFonts w:ascii="Calibri" w:hAnsi="Calibri" w:cs="Calibri"/>
          <w:color w:val="000000"/>
          <w:kern w:val="24"/>
          <w:sz w:val="24"/>
          <w:szCs w:val="24"/>
          <w:lang w:eastAsia="en-AU"/>
        </w:rPr>
        <w:t>.</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proportion of 25 to 34 year olds who attained an Advanced Diploma, Diploma or Certificate III/IV in the PEA (27 per cent) was comparable to the state (27 per cent) and national </w:t>
      </w:r>
      <w:r w:rsidR="00EA3892">
        <w:rPr>
          <w:rFonts w:ascii="Calibri" w:hAnsi="Calibri" w:cs="Calibri"/>
          <w:color w:val="000000"/>
          <w:kern w:val="24"/>
          <w:sz w:val="24"/>
          <w:szCs w:val="24"/>
          <w:lang w:eastAsia="en-AU"/>
        </w:rPr>
        <w:br/>
      </w:r>
      <w:r>
        <w:rPr>
          <w:rFonts w:ascii="Calibri" w:hAnsi="Calibri" w:cs="Calibri"/>
          <w:color w:val="000000"/>
          <w:kern w:val="24"/>
          <w:sz w:val="24"/>
          <w:szCs w:val="24"/>
          <w:lang w:eastAsia="en-AU"/>
        </w:rPr>
        <w:t>(28 per cent) proportions.</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3A20BB" w:rsidRDefault="003A20BB" w:rsidP="00B858D1">
      <w:pPr>
        <w:autoSpaceDE w:val="0"/>
        <w:autoSpaceDN w:val="0"/>
        <w:adjustRightInd w:val="0"/>
      </w:pPr>
      <w:r>
        <w:rPr>
          <w:rFonts w:ascii="Calibri" w:hAnsi="Calibri" w:cs="Calibri"/>
          <w:color w:val="000000"/>
          <w:kern w:val="24"/>
          <w:sz w:val="24"/>
          <w:szCs w:val="24"/>
          <w:lang w:eastAsia="en-AU"/>
        </w:rPr>
        <w:t xml:space="preserve">Some 22 per cent of 25 to 34 year olds attained a Bachelor Degree or higher qualification in the PEA. This figure is lower compared with South Australia (24 per cent) and Australia </w:t>
      </w:r>
      <w:r w:rsidR="00EA3892">
        <w:rPr>
          <w:rFonts w:ascii="Calibri" w:hAnsi="Calibri" w:cs="Calibri"/>
          <w:color w:val="000000"/>
          <w:kern w:val="24"/>
          <w:sz w:val="24"/>
          <w:szCs w:val="24"/>
          <w:lang w:eastAsia="en-AU"/>
        </w:rPr>
        <w:br/>
      </w:r>
      <w:r>
        <w:rPr>
          <w:rFonts w:ascii="Calibri" w:hAnsi="Calibri" w:cs="Calibri"/>
          <w:color w:val="000000"/>
          <w:kern w:val="24"/>
          <w:sz w:val="24"/>
          <w:szCs w:val="24"/>
          <w:lang w:eastAsia="en-AU"/>
        </w:rPr>
        <w:t xml:space="preserve">(29 per cent). </w:t>
      </w:r>
      <w:proofErr w:type="spellStart"/>
      <w:r>
        <w:rPr>
          <w:rFonts w:ascii="Calibri" w:hAnsi="Calibri" w:cs="Calibri"/>
          <w:color w:val="000000"/>
          <w:kern w:val="24"/>
          <w:sz w:val="24"/>
          <w:szCs w:val="24"/>
          <w:lang w:eastAsia="en-AU"/>
        </w:rPr>
        <w:t>Playford</w:t>
      </w:r>
      <w:proofErr w:type="spellEnd"/>
      <w:r>
        <w:rPr>
          <w:rFonts w:ascii="Calibri" w:hAnsi="Calibri" w:cs="Calibri"/>
          <w:color w:val="000000"/>
          <w:kern w:val="24"/>
          <w:sz w:val="24"/>
          <w:szCs w:val="24"/>
          <w:lang w:eastAsia="en-AU"/>
        </w:rPr>
        <w:t xml:space="preserve"> in particular had an extremely low proportion of 25-34 year olds who attained a Bachelor Degree or higher qualification (6 per cent).</w:t>
      </w:r>
    </w:p>
    <w:p w:rsidR="003A20BB" w:rsidRDefault="003A20BB">
      <w:r>
        <w:br w:type="page"/>
      </w:r>
    </w:p>
    <w:p w:rsidR="003A20BB" w:rsidRDefault="003A20BB" w:rsidP="003A20BB">
      <w:pPr>
        <w:spacing w:line="360" w:lineRule="auto"/>
      </w:pPr>
      <w:r>
        <w:lastRenderedPageBreak/>
        <w:t>Slide 10</w:t>
      </w:r>
    </w:p>
    <w:p w:rsidR="003A20BB" w:rsidRDefault="003A20BB" w:rsidP="003A20BB">
      <w:pPr>
        <w:spacing w:line="360" w:lineRule="auto"/>
      </w:pPr>
    </w:p>
    <w:p w:rsidR="003A20BB" w:rsidRDefault="0013234A" w:rsidP="003A20BB">
      <w:pPr>
        <w:spacing w:line="360" w:lineRule="auto"/>
        <w:jc w:val="center"/>
      </w:pPr>
      <w:r>
        <w:object w:dxaOrig="7216" w:dyaOrig="5409">
          <v:shape id="_x0000_i1034" type="#_x0000_t75" style="width:360.75pt;height:270.7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4" DrawAspect="Content" ObjectID="_1412079713" r:id="rId26"/>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u w:val="single"/>
          <w:lang w:eastAsia="en-AU"/>
        </w:rPr>
        <w:t>Educational Attainment and Labour Market Outcomes – Northern and Western Adelaide PEA</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ABS, 2006 Census of Population and Housing</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There is a strong relationship between educational attainment and employment outcomes.</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Those people with higher levels of education perform better in the labour market, with high labour force participation rates and lower unemployment rates.</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This reflects the pattern seen across Australia and emphasises the importance of continuing in education to help job seekers obtain employment and participate in the labour market.</w:t>
      </w:r>
    </w:p>
    <w:p w:rsidR="003A20BB" w:rsidRDefault="003A20BB" w:rsidP="003A20BB">
      <w:pPr>
        <w:autoSpaceDE w:val="0"/>
        <w:autoSpaceDN w:val="0"/>
        <w:adjustRightInd w:val="0"/>
        <w:rPr>
          <w:rFonts w:ascii="Calibri" w:hAnsi="Calibri" w:cs="Calibri"/>
          <w:color w:val="000000"/>
          <w:sz w:val="20"/>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cs="Arial"/>
          <w:sz w:val="24"/>
          <w:szCs w:val="24"/>
          <w:lang w:eastAsia="en-AU"/>
        </w:rPr>
      </w:pPr>
    </w:p>
    <w:p w:rsidR="003A20BB" w:rsidRDefault="003A20BB" w:rsidP="003A20BB">
      <w:pPr>
        <w:spacing w:line="360" w:lineRule="auto"/>
      </w:pPr>
    </w:p>
    <w:p w:rsidR="003A20BB" w:rsidRDefault="003A20BB">
      <w:r>
        <w:br w:type="page"/>
      </w:r>
    </w:p>
    <w:p w:rsidR="003A20BB" w:rsidRDefault="003A20BB" w:rsidP="003A20BB">
      <w:pPr>
        <w:spacing w:line="360" w:lineRule="auto"/>
      </w:pPr>
      <w:r>
        <w:lastRenderedPageBreak/>
        <w:t>Slide 11</w:t>
      </w:r>
    </w:p>
    <w:p w:rsidR="003A20BB" w:rsidRDefault="003A20BB" w:rsidP="003A20BB">
      <w:pPr>
        <w:spacing w:line="360" w:lineRule="auto"/>
      </w:pPr>
    </w:p>
    <w:p w:rsidR="003A20BB" w:rsidRDefault="0013234A" w:rsidP="003A20BB">
      <w:pPr>
        <w:spacing w:line="360" w:lineRule="auto"/>
        <w:jc w:val="center"/>
      </w:pPr>
      <w:r>
        <w:object w:dxaOrig="7216" w:dyaOrig="5409">
          <v:shape id="_x0000_i1035" type="#_x0000_t75" style="width:360.75pt;height:270.7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5" DrawAspect="Content" ObjectID="_1412079714" r:id="rId28"/>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Literacy and Numeracy</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http://www.myschool.edu.au 2011, 2010, 2009, 2008</w:t>
      </w:r>
    </w:p>
    <w:p w:rsidR="003A20BB" w:rsidRDefault="003A20BB" w:rsidP="003A20B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Figures for Australia and South Australia represent proportions of all Year 9 students who did not meet minimum standards for literacy and numeracy.</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This slide shows the proportion of Year 9 students at selected government high schools in the Northern and Western Adelaide PEA who did not meet minimum standards for literacy and numeracy in 2011, compared with the proportions of Year 9 students who did not meet minimum standards for literacy and numeracy in South Australia and nationally.</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While the selected government schools’ data is not necessarily representative of all Year 9 students in the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it demonstrates that there are at least pockets of disadvantage within these </w:t>
      </w:r>
      <w:proofErr w:type="spellStart"/>
      <w:r>
        <w:rPr>
          <w:rFonts w:ascii="Calibri" w:hAnsi="Calibri" w:cs="Calibri"/>
          <w:color w:val="000000"/>
          <w:kern w:val="24"/>
          <w:sz w:val="24"/>
          <w:szCs w:val="24"/>
          <w:lang w:eastAsia="en-AU"/>
        </w:rPr>
        <w:t>LGAs</w:t>
      </w:r>
      <w:proofErr w:type="spellEnd"/>
      <w:r>
        <w:rPr>
          <w:rFonts w:ascii="Calibri" w:hAnsi="Calibri" w:cs="Calibri"/>
          <w:color w:val="000000"/>
          <w:kern w:val="24"/>
          <w:sz w:val="24"/>
          <w:szCs w:val="24"/>
          <w:lang w:eastAsia="en-AU"/>
        </w:rPr>
        <w:t>.</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
        <w:br w:type="page"/>
      </w:r>
    </w:p>
    <w:p w:rsidR="003A20BB" w:rsidRDefault="003A20BB" w:rsidP="003A20BB">
      <w:pPr>
        <w:spacing w:line="360" w:lineRule="auto"/>
      </w:pPr>
      <w:r>
        <w:lastRenderedPageBreak/>
        <w:t>Slide 12</w:t>
      </w:r>
    </w:p>
    <w:p w:rsidR="003A20BB" w:rsidRDefault="003A20BB" w:rsidP="003A20BB">
      <w:pPr>
        <w:spacing w:line="360" w:lineRule="auto"/>
      </w:pPr>
    </w:p>
    <w:p w:rsidR="003A20BB" w:rsidRDefault="00A20EAE" w:rsidP="003A20BB">
      <w:pPr>
        <w:spacing w:line="360" w:lineRule="auto"/>
        <w:jc w:val="center"/>
      </w:pPr>
      <w:r>
        <w:object w:dxaOrig="7215" w:dyaOrig="5408">
          <v:shape id="_x0000_i1036" type="#_x0000_t75" style="width:360.75pt;height:270.7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6" DrawAspect="Content" ObjectID="_1412079715" r:id="rId30"/>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Migrant Underutilisation- For Persons with a Bachelor Degree or higher</w:t>
      </w:r>
    </w:p>
    <w:p w:rsidR="003A20BB" w:rsidRDefault="003A20BB" w:rsidP="003A20B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Census of Population and Housing, 2006</w:t>
      </w:r>
    </w:p>
    <w:p w:rsidR="003A20BB" w:rsidRDefault="003A20BB" w:rsidP="003A20BB">
      <w:pPr>
        <w:autoSpaceDE w:val="0"/>
        <w:autoSpaceDN w:val="0"/>
        <w:adjustRightInd w:val="0"/>
        <w:rPr>
          <w:rFonts w:ascii="Calibri" w:hAnsi="Calibri" w:cs="Calibri"/>
          <w:i/>
          <w:iCs/>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Overall, 20 per cent of the working age population in the Northern and Western Adelaide PEA born in an</w:t>
      </w:r>
      <w:r w:rsidR="00863F4E">
        <w:rPr>
          <w:rFonts w:ascii="Calibri" w:hAnsi="Calibri" w:cs="Calibri"/>
          <w:color w:val="000000"/>
          <w:kern w:val="24"/>
          <w:sz w:val="24"/>
          <w:szCs w:val="24"/>
          <w:lang w:eastAsia="en-AU"/>
        </w:rPr>
        <w:t xml:space="preserve"> Other Than Mainly English Speaking Country</w:t>
      </w:r>
      <w:r>
        <w:rPr>
          <w:rFonts w:ascii="Calibri" w:hAnsi="Calibri" w:cs="Calibri"/>
          <w:color w:val="000000"/>
          <w:kern w:val="24"/>
          <w:sz w:val="24"/>
          <w:szCs w:val="24"/>
          <w:lang w:eastAsia="en-AU"/>
        </w:rPr>
        <w:t xml:space="preserve"> </w:t>
      </w:r>
      <w:r w:rsidR="00863F4E">
        <w:rPr>
          <w:rFonts w:ascii="Calibri" w:hAnsi="Calibri" w:cs="Calibri"/>
          <w:color w:val="000000"/>
          <w:kern w:val="24"/>
          <w:sz w:val="24"/>
          <w:szCs w:val="24"/>
          <w:lang w:eastAsia="en-AU"/>
        </w:rPr>
        <w:t>(</w:t>
      </w:r>
      <w:proofErr w:type="spellStart"/>
      <w:r>
        <w:rPr>
          <w:rFonts w:ascii="Calibri" w:hAnsi="Calibri" w:cs="Calibri"/>
          <w:color w:val="000000"/>
          <w:kern w:val="24"/>
          <w:sz w:val="24"/>
          <w:szCs w:val="24"/>
          <w:lang w:eastAsia="en-AU"/>
        </w:rPr>
        <w:t>OTMESC</w:t>
      </w:r>
      <w:proofErr w:type="spellEnd"/>
      <w:r w:rsidR="00863F4E">
        <w:rPr>
          <w:rFonts w:ascii="Calibri" w:hAnsi="Calibri" w:cs="Calibri"/>
          <w:color w:val="000000"/>
          <w:kern w:val="24"/>
          <w:sz w:val="24"/>
          <w:szCs w:val="24"/>
          <w:lang w:eastAsia="en-AU"/>
        </w:rPr>
        <w:t>)</w:t>
      </w:r>
      <w:r>
        <w:rPr>
          <w:rFonts w:ascii="Calibri" w:hAnsi="Calibri" w:cs="Calibri"/>
          <w:color w:val="000000"/>
          <w:kern w:val="24"/>
          <w:sz w:val="24"/>
          <w:szCs w:val="24"/>
          <w:lang w:eastAsia="en-AU"/>
        </w:rPr>
        <w:t xml:space="preserve"> have obtained a Bachelor Degree or higher qualification. This compares with 12 per cent for the</w:t>
      </w:r>
      <w:r w:rsidR="00863F4E">
        <w:rPr>
          <w:rFonts w:ascii="Calibri" w:hAnsi="Calibri" w:cs="Calibri"/>
          <w:color w:val="000000"/>
          <w:kern w:val="24"/>
          <w:sz w:val="24"/>
          <w:szCs w:val="24"/>
          <w:lang w:eastAsia="en-AU"/>
        </w:rPr>
        <w:t xml:space="preserve"> Mainly English Speaking Country</w:t>
      </w:r>
      <w:r>
        <w:rPr>
          <w:rFonts w:ascii="Calibri" w:hAnsi="Calibri" w:cs="Calibri"/>
          <w:color w:val="000000"/>
          <w:kern w:val="24"/>
          <w:sz w:val="24"/>
          <w:szCs w:val="24"/>
          <w:lang w:eastAsia="en-AU"/>
        </w:rPr>
        <w:t xml:space="preserve"> </w:t>
      </w:r>
      <w:r w:rsidR="00863F4E">
        <w:rPr>
          <w:rFonts w:ascii="Calibri" w:hAnsi="Calibri" w:cs="Calibri"/>
          <w:color w:val="000000"/>
          <w:kern w:val="24"/>
          <w:sz w:val="24"/>
          <w:szCs w:val="24"/>
          <w:lang w:eastAsia="en-AU"/>
        </w:rPr>
        <w:t>(</w:t>
      </w:r>
      <w:r>
        <w:rPr>
          <w:rFonts w:ascii="Calibri" w:hAnsi="Calibri" w:cs="Calibri"/>
          <w:color w:val="000000"/>
          <w:kern w:val="24"/>
          <w:sz w:val="24"/>
          <w:szCs w:val="24"/>
          <w:lang w:eastAsia="en-AU"/>
        </w:rPr>
        <w:t>MESC</w:t>
      </w:r>
      <w:r w:rsidR="00863F4E">
        <w:rPr>
          <w:rFonts w:ascii="Calibri" w:hAnsi="Calibri" w:cs="Calibri"/>
          <w:color w:val="000000"/>
          <w:kern w:val="24"/>
          <w:sz w:val="24"/>
          <w:szCs w:val="24"/>
          <w:lang w:eastAsia="en-AU"/>
        </w:rPr>
        <w:t>)</w:t>
      </w:r>
      <w:r>
        <w:rPr>
          <w:rFonts w:ascii="Calibri" w:hAnsi="Calibri" w:cs="Calibri"/>
          <w:color w:val="000000"/>
          <w:kern w:val="24"/>
          <w:sz w:val="24"/>
          <w:szCs w:val="24"/>
          <w:lang w:eastAsia="en-AU"/>
        </w:rPr>
        <w:t xml:space="preserve"> population. </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There was a lower level of labour market participation for highly qualified </w:t>
      </w:r>
      <w:proofErr w:type="spellStart"/>
      <w:r>
        <w:rPr>
          <w:rFonts w:ascii="Calibri" w:hAnsi="Calibri" w:cs="Calibri"/>
          <w:color w:val="000000"/>
          <w:kern w:val="24"/>
          <w:sz w:val="24"/>
          <w:szCs w:val="24"/>
          <w:lang w:eastAsia="en-AU"/>
        </w:rPr>
        <w:t>OTMESC</w:t>
      </w:r>
      <w:proofErr w:type="spellEnd"/>
      <w:r>
        <w:rPr>
          <w:rFonts w:ascii="Calibri" w:hAnsi="Calibri" w:cs="Calibri"/>
          <w:color w:val="000000"/>
          <w:kern w:val="24"/>
          <w:sz w:val="24"/>
          <w:szCs w:val="24"/>
          <w:lang w:eastAsia="en-AU"/>
        </w:rPr>
        <w:t xml:space="preserve"> persons compared with the highly qualified MESC population in the Northern and Western Adelaide PEA. For </w:t>
      </w:r>
      <w:proofErr w:type="gramStart"/>
      <w:r>
        <w:rPr>
          <w:rFonts w:ascii="Calibri" w:hAnsi="Calibri" w:cs="Calibri"/>
          <w:color w:val="000000"/>
          <w:kern w:val="24"/>
          <w:sz w:val="24"/>
          <w:szCs w:val="24"/>
          <w:lang w:eastAsia="en-AU"/>
        </w:rPr>
        <w:t>both males</w:t>
      </w:r>
      <w:proofErr w:type="gramEnd"/>
      <w:r>
        <w:rPr>
          <w:rFonts w:ascii="Calibri" w:hAnsi="Calibri" w:cs="Calibri"/>
          <w:color w:val="000000"/>
          <w:kern w:val="24"/>
          <w:sz w:val="24"/>
          <w:szCs w:val="24"/>
          <w:lang w:eastAsia="en-AU"/>
        </w:rPr>
        <w:t xml:space="preserve"> and females, a higher proportion of the </w:t>
      </w:r>
      <w:proofErr w:type="spellStart"/>
      <w:r>
        <w:rPr>
          <w:rFonts w:ascii="Calibri" w:hAnsi="Calibri" w:cs="Calibri"/>
          <w:color w:val="000000"/>
          <w:kern w:val="24"/>
          <w:sz w:val="24"/>
          <w:szCs w:val="24"/>
          <w:lang w:eastAsia="en-AU"/>
        </w:rPr>
        <w:t>OTMESC</w:t>
      </w:r>
      <w:proofErr w:type="spellEnd"/>
      <w:r>
        <w:rPr>
          <w:rFonts w:ascii="Calibri" w:hAnsi="Calibri" w:cs="Calibri"/>
          <w:color w:val="000000"/>
          <w:kern w:val="24"/>
          <w:sz w:val="24"/>
          <w:szCs w:val="24"/>
          <w:lang w:eastAsia="en-AU"/>
        </w:rPr>
        <w:t xml:space="preserve"> population with a Bachelor Degree or higher were either not in the labour force, unemployed or employed in a low skilled occupation compared with the corresponding proportion of the MESC population.</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b/>
          <w:bCs/>
          <w:color w:val="000000"/>
          <w:kern w:val="24"/>
          <w:sz w:val="24"/>
          <w:szCs w:val="24"/>
          <w:lang w:eastAsia="en-AU"/>
        </w:rPr>
      </w:pPr>
    </w:p>
    <w:p w:rsidR="003A20BB" w:rsidRDefault="003A20BB" w:rsidP="003A20BB">
      <w:pPr>
        <w:autoSpaceDE w:val="0"/>
        <w:autoSpaceDN w:val="0"/>
        <w:adjustRightInd w:val="0"/>
        <w:rPr>
          <w:rFonts w:ascii="Calibri" w:hAnsi="Calibri" w:cs="Calibri"/>
          <w:b/>
          <w:bCs/>
          <w:color w:val="000000"/>
          <w:kern w:val="24"/>
          <w:sz w:val="24"/>
          <w:szCs w:val="24"/>
          <w:lang w:eastAsia="en-AU"/>
        </w:rPr>
      </w:pPr>
    </w:p>
    <w:p w:rsidR="003A20BB" w:rsidRDefault="003A20BB" w:rsidP="003A20BB">
      <w:pPr>
        <w:autoSpaceDE w:val="0"/>
        <w:autoSpaceDN w:val="0"/>
        <w:adjustRightInd w:val="0"/>
        <w:rPr>
          <w:rFonts w:cs="Arial"/>
          <w:sz w:val="24"/>
          <w:szCs w:val="24"/>
          <w:lang w:eastAsia="en-AU"/>
        </w:rPr>
      </w:pPr>
    </w:p>
    <w:p w:rsidR="003A20BB" w:rsidRDefault="003A20BB" w:rsidP="003A20BB">
      <w:pPr>
        <w:spacing w:line="360" w:lineRule="auto"/>
      </w:pPr>
    </w:p>
    <w:p w:rsidR="003A20BB" w:rsidRDefault="003A20BB">
      <w:r>
        <w:br w:type="page"/>
      </w:r>
    </w:p>
    <w:p w:rsidR="003A20BB" w:rsidRDefault="003A20BB" w:rsidP="003A20BB">
      <w:pPr>
        <w:spacing w:line="360" w:lineRule="auto"/>
      </w:pPr>
      <w:r>
        <w:lastRenderedPageBreak/>
        <w:t>Slide 13</w:t>
      </w:r>
    </w:p>
    <w:p w:rsidR="003A20BB" w:rsidRDefault="003A20BB" w:rsidP="003A20BB">
      <w:pPr>
        <w:spacing w:line="360" w:lineRule="auto"/>
      </w:pPr>
    </w:p>
    <w:p w:rsidR="003A20BB" w:rsidRDefault="0013234A" w:rsidP="003A20BB">
      <w:pPr>
        <w:spacing w:line="360" w:lineRule="auto"/>
        <w:jc w:val="center"/>
      </w:pPr>
      <w:r>
        <w:object w:dxaOrig="7216" w:dyaOrig="5409">
          <v:shape id="_x0000_i1037" type="#_x0000_t75" style="width:360.75pt;height:270.7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7" DrawAspect="Content" ObjectID="_1412079716" r:id="rId32"/>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u w:val="single"/>
          <w:lang w:eastAsia="en-AU"/>
        </w:rPr>
        <w:t>Employment Growth by Industry</w:t>
      </w:r>
    </w:p>
    <w:p w:rsidR="003A20BB" w:rsidRDefault="003A20BB" w:rsidP="003A20B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Labour Force Survey, August Quarter 2012, 4 quarter average of original data</w:t>
      </w:r>
    </w:p>
    <w:p w:rsidR="003A20BB" w:rsidRDefault="003A20BB" w:rsidP="003A20BB">
      <w:pPr>
        <w:autoSpaceDE w:val="0"/>
        <w:autoSpaceDN w:val="0"/>
        <w:adjustRightInd w:val="0"/>
        <w:rPr>
          <w:rFonts w:ascii="Calibri" w:hAnsi="Times New Roman" w:cs="Calibri"/>
          <w:color w:val="000000"/>
          <w:kern w:val="24"/>
          <w:sz w:val="24"/>
          <w:szCs w:val="24"/>
          <w:lang w:val="en-US"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val="en-US" w:eastAsia="en-AU"/>
        </w:rPr>
        <w:t xml:space="preserve">As at August 2012, the major employing industries in the Northern and Western Adelaide PEA were </w:t>
      </w:r>
      <w:r>
        <w:rPr>
          <w:rFonts w:ascii="Calibri" w:hAnsi="Calibri" w:cs="Calibri"/>
          <w:color w:val="000000"/>
          <w:kern w:val="24"/>
          <w:sz w:val="24"/>
          <w:szCs w:val="24"/>
          <w:lang w:eastAsia="en-AU"/>
        </w:rPr>
        <w:t>Health Care and Social Assistance, Retail Trade, Manufacturing and Construction.</w:t>
      </w:r>
    </w:p>
    <w:p w:rsidR="003A20BB" w:rsidRDefault="003A20BB" w:rsidP="003A20BB">
      <w:pPr>
        <w:autoSpaceDE w:val="0"/>
        <w:autoSpaceDN w:val="0"/>
        <w:adjustRightInd w:val="0"/>
        <w:rPr>
          <w:rFonts w:ascii="Calibri" w:hAnsi="Calibri" w:cs="Calibri"/>
          <w:i/>
          <w:iCs/>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Of the top ten largest employing industries in the Northern Adelaide and Western Adelaide Labour Force Regions, employment growth in the five years to August 2012 was highest in the Health Care and Social Assistance (8,700), Construction (5,400), Education and Training (3,700), Public Administration and Safety (3,400), and Accommodation and Food Services (3,200) industries.</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largest falls in employment were in the Manufacturing </w:t>
      </w:r>
      <w:r w:rsidR="002D4D60">
        <w:rPr>
          <w:rFonts w:ascii="Calibri" w:hAnsi="Calibri" w:cs="Calibri"/>
          <w:color w:val="000000"/>
          <w:kern w:val="24"/>
          <w:sz w:val="24"/>
          <w:szCs w:val="24"/>
          <w:lang w:eastAsia="en-AU"/>
        </w:rPr>
        <w:t xml:space="preserve">(-4,700) and the Other Services </w:t>
      </w:r>
      <w:r w:rsidR="00EB0528">
        <w:rPr>
          <w:rFonts w:ascii="Calibri" w:hAnsi="Calibri" w:cs="Calibri"/>
          <w:color w:val="000000"/>
          <w:kern w:val="24"/>
          <w:sz w:val="24"/>
          <w:szCs w:val="24"/>
          <w:lang w:eastAsia="en-AU"/>
        </w:rPr>
        <w:br/>
      </w:r>
      <w:r w:rsidR="002D4D60">
        <w:rPr>
          <w:rFonts w:ascii="Calibri" w:hAnsi="Calibri" w:cs="Calibri"/>
          <w:color w:val="000000"/>
          <w:kern w:val="24"/>
          <w:sz w:val="24"/>
          <w:szCs w:val="24"/>
          <w:lang w:eastAsia="en-AU"/>
        </w:rPr>
        <w:t>(-</w:t>
      </w:r>
      <w:r>
        <w:rPr>
          <w:rFonts w:ascii="Calibri" w:hAnsi="Calibri" w:cs="Calibri"/>
          <w:color w:val="000000"/>
          <w:kern w:val="24"/>
          <w:sz w:val="24"/>
          <w:szCs w:val="24"/>
          <w:lang w:eastAsia="en-AU"/>
        </w:rPr>
        <w:t>1,300) industries.</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cs="Arial"/>
          <w:sz w:val="24"/>
          <w:szCs w:val="24"/>
          <w:lang w:eastAsia="en-AU"/>
        </w:rPr>
      </w:pPr>
    </w:p>
    <w:p w:rsidR="003A20BB" w:rsidRDefault="003A20BB" w:rsidP="003A20BB">
      <w:pPr>
        <w:spacing w:line="360" w:lineRule="auto"/>
      </w:pPr>
    </w:p>
    <w:p w:rsidR="003A20BB" w:rsidRDefault="003A20BB">
      <w:r>
        <w:br w:type="page"/>
      </w:r>
    </w:p>
    <w:p w:rsidR="003A20BB" w:rsidRDefault="003A20BB" w:rsidP="003A20BB">
      <w:pPr>
        <w:spacing w:line="360" w:lineRule="auto"/>
      </w:pPr>
      <w:r>
        <w:lastRenderedPageBreak/>
        <w:t>Slide 14</w:t>
      </w:r>
    </w:p>
    <w:p w:rsidR="003A20BB" w:rsidRDefault="003A20BB" w:rsidP="003A20BB">
      <w:pPr>
        <w:spacing w:line="360" w:lineRule="auto"/>
      </w:pPr>
    </w:p>
    <w:p w:rsidR="003A20BB" w:rsidRDefault="0013234A" w:rsidP="003A20BB">
      <w:pPr>
        <w:spacing w:line="360" w:lineRule="auto"/>
        <w:jc w:val="center"/>
      </w:pPr>
      <w:r>
        <w:object w:dxaOrig="7216" w:dyaOrig="5409">
          <v:shape id="_x0000_i1038" type="#_x0000_t75" style="width:360.75pt;height:270.7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8" DrawAspect="Content" ObjectID="_1412079717" r:id="rId34"/>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Travel outside of the PEA for work / Travel to the PEA for work</w:t>
      </w:r>
    </w:p>
    <w:p w:rsidR="003A20BB" w:rsidRDefault="003A20BB" w:rsidP="003A20B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2006 Census of Population and Housing</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b/>
          <w:bCs/>
          <w:color w:val="000000"/>
          <w:kern w:val="24"/>
          <w:sz w:val="24"/>
          <w:szCs w:val="24"/>
          <w:lang w:eastAsia="en-AU"/>
        </w:rPr>
      </w:pPr>
      <w:r>
        <w:rPr>
          <w:rFonts w:ascii="Calibri" w:hAnsi="Calibri" w:cs="Calibri"/>
          <w:b/>
          <w:bCs/>
          <w:color w:val="000000"/>
          <w:kern w:val="24"/>
          <w:sz w:val="24"/>
          <w:szCs w:val="24"/>
          <w:lang w:eastAsia="en-AU"/>
        </w:rPr>
        <w:t>Living in the PEA and travelling outside for work:</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At the time of the 2006 Census, over 237,400 employed people of working age (15-64 years) were residing in the Northern and Western Adelaide PEA.</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Of those people, 80 per cent (189,100 people) worked in the PEA.</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remaining 20 per cent (48,300 people) travelled outside of the PEA for work.</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largest proportions travelled to:</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Norwood Payneham St Peters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(3 per cent or 7,200 people) </w:t>
      </w:r>
      <w:r>
        <w:rPr>
          <w:rFonts w:ascii="Calibri" w:hAnsi="Calibri" w:cs="Calibri"/>
          <w:color w:val="000000"/>
          <w:kern w:val="24"/>
          <w:sz w:val="24"/>
          <w:szCs w:val="24"/>
          <w:lang w:eastAsia="en-AU"/>
        </w:rPr>
        <w:br/>
        <w:t xml:space="preserve">Unley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(2 per cent or 4,600 people) </w:t>
      </w:r>
      <w:r>
        <w:rPr>
          <w:rFonts w:ascii="Calibri" w:hAnsi="Calibri" w:cs="Calibri"/>
          <w:color w:val="000000"/>
          <w:kern w:val="24"/>
          <w:sz w:val="24"/>
          <w:szCs w:val="24"/>
          <w:lang w:eastAsia="en-AU"/>
        </w:rPr>
        <w:br/>
        <w:t xml:space="preserve">Burnside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(1 per cent or 3,500 people)</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Marion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(1 per cent or 2,900 people)</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Campbelltown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(SA) (1 per cent or 2,900 people)</w:t>
      </w:r>
    </w:p>
    <w:p w:rsidR="003A20BB" w:rsidRDefault="003A20BB" w:rsidP="003A20BB">
      <w:pPr>
        <w:autoSpaceDE w:val="0"/>
        <w:autoSpaceDN w:val="0"/>
        <w:adjustRightInd w:val="0"/>
        <w:rPr>
          <w:rFonts w:ascii="Calibri" w:hAnsi="Calibri" w:cs="Calibri"/>
          <w:b/>
          <w:bCs/>
          <w:color w:val="000000"/>
          <w:kern w:val="24"/>
          <w:sz w:val="24"/>
          <w:szCs w:val="24"/>
          <w:lang w:eastAsia="en-AU"/>
        </w:rPr>
      </w:pPr>
    </w:p>
    <w:p w:rsidR="003A20BB" w:rsidRDefault="003A20BB" w:rsidP="003A20BB">
      <w:pPr>
        <w:autoSpaceDE w:val="0"/>
        <w:autoSpaceDN w:val="0"/>
        <w:adjustRightInd w:val="0"/>
        <w:rPr>
          <w:rFonts w:ascii="Calibri" w:hAnsi="Calibri" w:cs="Calibri"/>
          <w:b/>
          <w:bCs/>
          <w:color w:val="000000"/>
          <w:kern w:val="24"/>
          <w:sz w:val="24"/>
          <w:szCs w:val="24"/>
          <w:lang w:eastAsia="en-AU"/>
        </w:rPr>
      </w:pPr>
      <w:r>
        <w:rPr>
          <w:rFonts w:ascii="Calibri" w:hAnsi="Calibri" w:cs="Calibri"/>
          <w:b/>
          <w:bCs/>
          <w:color w:val="000000"/>
          <w:kern w:val="24"/>
          <w:sz w:val="24"/>
          <w:szCs w:val="24"/>
          <w:lang w:eastAsia="en-AU"/>
        </w:rPr>
        <w:t>Living outside the PEA and travelling to the PEA for work:</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At the time of the 2006 Census, </w:t>
      </w:r>
      <w:r>
        <w:rPr>
          <w:rFonts w:ascii="Calibri" w:hAnsi="Times New Roman" w:cs="Calibri"/>
          <w:color w:val="000000"/>
          <w:kern w:val="24"/>
          <w:sz w:val="24"/>
          <w:szCs w:val="24"/>
          <w:lang w:eastAsia="en-AU"/>
        </w:rPr>
        <w:t>304,100</w:t>
      </w:r>
      <w:r>
        <w:rPr>
          <w:rFonts w:ascii="Calibri" w:hAnsi="Calibri" w:cs="Calibri"/>
          <w:color w:val="000000"/>
          <w:kern w:val="24"/>
          <w:sz w:val="24"/>
          <w:szCs w:val="24"/>
          <w:lang w:eastAsia="en-AU"/>
        </w:rPr>
        <w:t xml:space="preserve"> people were employed in the Northern and Western Adelaide PEA.</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Of those people working in the PEA, 62 per cent (189,100 people) lived in the PEA and the remaining 38 per cent (115,000 people) lived outside the PEA and travelled to the PEA to work.</w:t>
      </w:r>
      <w:r w:rsidR="007E405D">
        <w:rPr>
          <w:rFonts w:ascii="Calibri" w:hAnsi="Calibri" w:cs="Calibri"/>
          <w:color w:val="000000"/>
          <w:kern w:val="24"/>
          <w:sz w:val="24"/>
          <w:szCs w:val="24"/>
          <w:lang w:eastAsia="en-AU"/>
        </w:rPr>
        <w:t xml:space="preserve"> However, some 19 per cent lived outside the PEA and travelled into the PEA to work when the Adelaide </w:t>
      </w:r>
      <w:proofErr w:type="spellStart"/>
      <w:r w:rsidR="007E405D">
        <w:rPr>
          <w:rFonts w:ascii="Calibri" w:hAnsi="Calibri" w:cs="Calibri"/>
          <w:color w:val="000000"/>
          <w:kern w:val="24"/>
          <w:sz w:val="24"/>
          <w:szCs w:val="24"/>
          <w:lang w:eastAsia="en-AU"/>
        </w:rPr>
        <w:t>LGA</w:t>
      </w:r>
      <w:proofErr w:type="spellEnd"/>
      <w:r w:rsidR="007E405D">
        <w:rPr>
          <w:rFonts w:ascii="Calibri" w:hAnsi="Calibri" w:cs="Calibri"/>
          <w:color w:val="000000"/>
          <w:kern w:val="24"/>
          <w:sz w:val="24"/>
          <w:szCs w:val="24"/>
          <w:lang w:eastAsia="en-AU"/>
        </w:rPr>
        <w:t xml:space="preserve"> is excluded.</w:t>
      </w:r>
    </w:p>
    <w:p w:rsidR="004D01D3" w:rsidRDefault="004D01D3"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Of those </w:t>
      </w:r>
      <w:r w:rsidR="007E405D">
        <w:rPr>
          <w:rFonts w:ascii="Calibri" w:hAnsi="Calibri" w:cs="Calibri"/>
          <w:color w:val="000000"/>
          <w:kern w:val="24"/>
          <w:sz w:val="24"/>
          <w:szCs w:val="24"/>
          <w:lang w:eastAsia="en-AU"/>
        </w:rPr>
        <w:t xml:space="preserve">people working in the PEA </w:t>
      </w:r>
      <w:r>
        <w:rPr>
          <w:rFonts w:ascii="Calibri" w:hAnsi="Calibri" w:cs="Calibri"/>
          <w:color w:val="000000"/>
          <w:kern w:val="24"/>
          <w:sz w:val="24"/>
          <w:szCs w:val="24"/>
          <w:lang w:eastAsia="en-AU"/>
        </w:rPr>
        <w:t xml:space="preserve">that lived outside the PEA, 49 per cent (56,350 people) travelled into the PEA to work in the Adelaide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and the remaining 51 per cent (58,650 people) travelled into the PEA to work in other (non Adelaide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parts of the PEA.</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lastRenderedPageBreak/>
        <w:t>The largest proportions travelled from:</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Onkaparinga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(6 per cent or 17,900 people)</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Marion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(5 per cent or 14,500 people)</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Mitcham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(4 per cent or 12,000 people)</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Campbelltown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(SA) (3 per cent or 10,300 people)</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Burnside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(3 per cent or 9,400 people)</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spacing w:line="360" w:lineRule="auto"/>
      </w:pPr>
    </w:p>
    <w:p w:rsidR="003A20BB" w:rsidRDefault="003A20BB">
      <w:r>
        <w:br w:type="page"/>
      </w:r>
    </w:p>
    <w:p w:rsidR="003A20BB" w:rsidRDefault="003A20BB" w:rsidP="003A20BB">
      <w:pPr>
        <w:spacing w:line="360" w:lineRule="auto"/>
      </w:pPr>
      <w:r>
        <w:lastRenderedPageBreak/>
        <w:t>Slide 15</w:t>
      </w:r>
    </w:p>
    <w:p w:rsidR="003A20BB" w:rsidRDefault="003A20BB" w:rsidP="003A20BB">
      <w:pPr>
        <w:spacing w:line="360" w:lineRule="auto"/>
      </w:pPr>
    </w:p>
    <w:p w:rsidR="003A20BB" w:rsidRDefault="0013234A" w:rsidP="003A20BB">
      <w:pPr>
        <w:spacing w:line="360" w:lineRule="auto"/>
        <w:jc w:val="center"/>
      </w:pPr>
      <w:r>
        <w:object w:dxaOrig="7216" w:dyaOrig="5409">
          <v:shape id="_x0000_i1039" type="#_x0000_t75" style="width:360.75pt;height:270.7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9" DrawAspect="Content" ObjectID="_1412079718" r:id="rId36"/>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u w:val="single"/>
          <w:lang w:val="en-US" w:eastAsia="en-AU"/>
        </w:rPr>
        <w:t>Survey Results</w:t>
      </w:r>
    </w:p>
    <w:p w:rsidR="003A20BB" w:rsidRDefault="003A20BB" w:rsidP="003A20BB">
      <w:pPr>
        <w:autoSpaceDE w:val="0"/>
        <w:autoSpaceDN w:val="0"/>
        <w:adjustRightInd w:val="0"/>
        <w:rPr>
          <w:rFonts w:ascii="Calibri" w:hAnsi="Calibri" w:cs="Calibri"/>
          <w:i/>
          <w:iCs/>
          <w:color w:val="000000"/>
          <w:kern w:val="24"/>
          <w:sz w:val="24"/>
          <w:szCs w:val="24"/>
          <w:lang w:val="en-US" w:eastAsia="en-AU"/>
        </w:rPr>
      </w:pPr>
      <w:r>
        <w:rPr>
          <w:rFonts w:ascii="Calibri" w:hAnsi="Calibri" w:cs="Calibri"/>
          <w:i/>
          <w:iCs/>
          <w:color w:val="000000"/>
          <w:kern w:val="24"/>
          <w:sz w:val="24"/>
          <w:szCs w:val="24"/>
          <w:lang w:val="en-US" w:eastAsia="en-AU"/>
        </w:rPr>
        <w:t>Source: DEEWR, Northern and Western Adelaide Priority Employment Area Survey of Employers’ Recruitment Experiences, August 2012</w:t>
      </w:r>
      <w:r>
        <w:rPr>
          <w:rFonts w:ascii="Calibri" w:hAnsi="Calibri" w:cs="Calibri"/>
          <w:i/>
          <w:iCs/>
          <w:color w:val="000000"/>
          <w:kern w:val="24"/>
          <w:sz w:val="24"/>
          <w:szCs w:val="24"/>
          <w:lang w:eastAsia="en-AU"/>
        </w:rPr>
        <w:t>.</w:t>
      </w:r>
    </w:p>
    <w:p w:rsidR="003A20BB" w:rsidRDefault="003A20BB" w:rsidP="003A20BB">
      <w:pPr>
        <w:autoSpaceDE w:val="0"/>
        <w:autoSpaceDN w:val="0"/>
        <w:adjustRightInd w:val="0"/>
        <w:rPr>
          <w:rFonts w:ascii="Calibri" w:hAnsi="Calibri" w:cs="Calibri"/>
          <w:i/>
          <w:iCs/>
          <w:color w:val="000000"/>
          <w:kern w:val="24"/>
          <w:sz w:val="24"/>
          <w:szCs w:val="24"/>
          <w:lang w:val="en-US" w:eastAsia="en-AU"/>
        </w:rPr>
      </w:pPr>
    </w:p>
    <w:p w:rsidR="003A20BB" w:rsidRDefault="003A20BB" w:rsidP="003A20BB">
      <w:pPr>
        <w:autoSpaceDE w:val="0"/>
        <w:autoSpaceDN w:val="0"/>
        <w:adjustRightInd w:val="0"/>
        <w:rPr>
          <w:rFonts w:ascii="Calibri" w:hAnsi="Calibri" w:cs="Calibri"/>
          <w:color w:val="000000"/>
          <w:kern w:val="24"/>
          <w:sz w:val="24"/>
          <w:szCs w:val="24"/>
          <w:lang w:val="en-US" w:eastAsia="en-AU"/>
        </w:rPr>
      </w:pPr>
      <w:r>
        <w:rPr>
          <w:rFonts w:ascii="Calibri" w:hAnsi="Calibri" w:cs="Calibri"/>
          <w:color w:val="000000"/>
          <w:kern w:val="24"/>
          <w:sz w:val="24"/>
          <w:szCs w:val="24"/>
          <w:lang w:val="en-US" w:eastAsia="en-AU"/>
        </w:rPr>
        <w:t xml:space="preserve">The proportion of employers who recruited in the 12 months preceding the survey (72 per cent) was higher compared with all regions surveyed in the 12 months to June 2012 (65 per cent). </w:t>
      </w:r>
    </w:p>
    <w:p w:rsidR="003A20BB" w:rsidRDefault="003A20BB" w:rsidP="003A20BB">
      <w:pPr>
        <w:autoSpaceDE w:val="0"/>
        <w:autoSpaceDN w:val="0"/>
        <w:adjustRightInd w:val="0"/>
        <w:rPr>
          <w:rFonts w:ascii="Calibri" w:hAnsi="Calibri" w:cs="Calibri"/>
          <w:color w:val="000000"/>
          <w:kern w:val="24"/>
          <w:sz w:val="24"/>
          <w:szCs w:val="24"/>
          <w:lang w:val="en-US" w:eastAsia="en-AU"/>
        </w:rPr>
      </w:pPr>
    </w:p>
    <w:p w:rsidR="003A20BB" w:rsidRDefault="003A20BB" w:rsidP="003A20BB">
      <w:pPr>
        <w:autoSpaceDE w:val="0"/>
        <w:autoSpaceDN w:val="0"/>
        <w:adjustRightInd w:val="0"/>
        <w:rPr>
          <w:rFonts w:ascii="Calibri" w:hAnsi="Calibri" w:cs="Calibri"/>
          <w:color w:val="000000"/>
          <w:kern w:val="24"/>
          <w:sz w:val="24"/>
          <w:szCs w:val="24"/>
          <w:lang w:val="en-US" w:eastAsia="en-AU"/>
        </w:rPr>
      </w:pPr>
      <w:r>
        <w:rPr>
          <w:rFonts w:ascii="Calibri" w:hAnsi="Calibri" w:cs="Calibri"/>
          <w:color w:val="000000"/>
          <w:kern w:val="24"/>
          <w:sz w:val="24"/>
          <w:szCs w:val="24"/>
          <w:lang w:val="en-US" w:eastAsia="en-AU"/>
        </w:rPr>
        <w:t>The proportion of employers recruiting to increase staff numbers (39 per cent) was lower compared with all regions surveyed (48 per cent).</w:t>
      </w:r>
    </w:p>
    <w:p w:rsidR="003A20BB" w:rsidRDefault="003A20BB" w:rsidP="003A20BB">
      <w:pPr>
        <w:autoSpaceDE w:val="0"/>
        <w:autoSpaceDN w:val="0"/>
        <w:adjustRightInd w:val="0"/>
        <w:rPr>
          <w:rFonts w:ascii="Calibri" w:hAnsi="Calibri" w:cs="Calibri"/>
          <w:color w:val="000000"/>
          <w:kern w:val="24"/>
          <w:sz w:val="24"/>
          <w:szCs w:val="24"/>
          <w:lang w:val="en-US" w:eastAsia="en-AU"/>
        </w:rPr>
      </w:pPr>
    </w:p>
    <w:p w:rsidR="003A20BB" w:rsidRDefault="003A20BB" w:rsidP="003A20BB">
      <w:pPr>
        <w:autoSpaceDE w:val="0"/>
        <w:autoSpaceDN w:val="0"/>
        <w:adjustRightInd w:val="0"/>
        <w:rPr>
          <w:rFonts w:ascii="Calibri" w:hAnsi="Calibri" w:cs="Calibri"/>
          <w:color w:val="000000"/>
          <w:kern w:val="24"/>
          <w:sz w:val="24"/>
          <w:szCs w:val="24"/>
          <w:lang w:val="en-US" w:eastAsia="en-AU"/>
        </w:rPr>
      </w:pPr>
      <w:r>
        <w:rPr>
          <w:rFonts w:ascii="Calibri" w:hAnsi="Calibri" w:cs="Calibri"/>
          <w:color w:val="000000"/>
          <w:kern w:val="24"/>
          <w:sz w:val="24"/>
          <w:szCs w:val="24"/>
          <w:lang w:val="en-US" w:eastAsia="en-AU"/>
        </w:rPr>
        <w:t xml:space="preserve">The number of vacancies per 100 staff (16 vacancies per 100 staff) was lower compared with all regions surveyed (19 vacancies per 100 staff). </w:t>
      </w:r>
    </w:p>
    <w:p w:rsidR="003A20BB" w:rsidRDefault="003A20BB" w:rsidP="003A20BB">
      <w:pPr>
        <w:autoSpaceDE w:val="0"/>
        <w:autoSpaceDN w:val="0"/>
        <w:adjustRightInd w:val="0"/>
        <w:rPr>
          <w:rFonts w:ascii="Calibri" w:hAnsi="Calibri" w:cs="Calibri"/>
          <w:color w:val="000000"/>
          <w:kern w:val="24"/>
          <w:sz w:val="24"/>
          <w:szCs w:val="24"/>
          <w:lang w:val="en-US" w:eastAsia="en-AU"/>
        </w:rPr>
      </w:pPr>
    </w:p>
    <w:p w:rsidR="003A20BB" w:rsidRDefault="003A20BB" w:rsidP="003A20BB">
      <w:pPr>
        <w:autoSpaceDE w:val="0"/>
        <w:autoSpaceDN w:val="0"/>
        <w:adjustRightInd w:val="0"/>
        <w:rPr>
          <w:rFonts w:ascii="Calibri" w:hAnsi="Calibri" w:cs="Calibri"/>
          <w:color w:val="000000"/>
          <w:kern w:val="24"/>
          <w:sz w:val="24"/>
          <w:szCs w:val="24"/>
          <w:lang w:val="en-US" w:eastAsia="en-AU"/>
        </w:rPr>
      </w:pPr>
      <w:r>
        <w:rPr>
          <w:rFonts w:ascii="Calibri" w:hAnsi="Calibri" w:cs="Calibri"/>
          <w:color w:val="000000"/>
          <w:kern w:val="24"/>
          <w:sz w:val="24"/>
          <w:szCs w:val="24"/>
          <w:lang w:val="en-US" w:eastAsia="en-AU"/>
        </w:rPr>
        <w:t xml:space="preserve">The </w:t>
      </w:r>
      <w:proofErr w:type="spellStart"/>
      <w:r>
        <w:rPr>
          <w:rFonts w:ascii="Calibri" w:hAnsi="Calibri" w:cs="Calibri"/>
          <w:color w:val="000000"/>
          <w:kern w:val="24"/>
          <w:sz w:val="24"/>
          <w:szCs w:val="24"/>
          <w:lang w:val="en-US" w:eastAsia="en-AU"/>
        </w:rPr>
        <w:t>unfill</w:t>
      </w:r>
      <w:proofErr w:type="spellEnd"/>
      <w:r>
        <w:rPr>
          <w:rFonts w:ascii="Calibri" w:hAnsi="Calibri" w:cs="Calibri"/>
          <w:color w:val="000000"/>
          <w:kern w:val="24"/>
          <w:sz w:val="24"/>
          <w:szCs w:val="24"/>
          <w:lang w:val="en-US" w:eastAsia="en-AU"/>
        </w:rPr>
        <w:t xml:space="preserve"> rate (5.2 per cent) was substantially lower compared with all regions surveyed </w:t>
      </w:r>
      <w:r w:rsidR="00EA3892">
        <w:rPr>
          <w:rFonts w:ascii="Calibri" w:hAnsi="Calibri" w:cs="Calibri"/>
          <w:color w:val="000000"/>
          <w:kern w:val="24"/>
          <w:sz w:val="24"/>
          <w:szCs w:val="24"/>
          <w:lang w:val="en-US" w:eastAsia="en-AU"/>
        </w:rPr>
        <w:br/>
      </w:r>
      <w:r>
        <w:rPr>
          <w:rFonts w:ascii="Calibri" w:hAnsi="Calibri" w:cs="Calibri"/>
          <w:color w:val="000000"/>
          <w:kern w:val="24"/>
          <w:sz w:val="24"/>
          <w:szCs w:val="24"/>
          <w:lang w:val="en-US" w:eastAsia="en-AU"/>
        </w:rPr>
        <w:t xml:space="preserve">(6.3 per cent). </w:t>
      </w:r>
    </w:p>
    <w:p w:rsidR="003A20BB" w:rsidRDefault="003A20BB" w:rsidP="003A20BB">
      <w:pPr>
        <w:autoSpaceDE w:val="0"/>
        <w:autoSpaceDN w:val="0"/>
        <w:adjustRightInd w:val="0"/>
        <w:rPr>
          <w:rFonts w:ascii="Calibri" w:hAnsi="Calibri" w:cs="Calibri"/>
          <w:color w:val="000000"/>
          <w:kern w:val="24"/>
          <w:sz w:val="24"/>
          <w:szCs w:val="24"/>
          <w:lang w:val="en-US" w:eastAsia="en-AU"/>
        </w:rPr>
      </w:pPr>
    </w:p>
    <w:p w:rsidR="003A20BB" w:rsidRDefault="003A20BB" w:rsidP="003A20BB">
      <w:pPr>
        <w:autoSpaceDE w:val="0"/>
        <w:autoSpaceDN w:val="0"/>
        <w:adjustRightInd w:val="0"/>
        <w:rPr>
          <w:rFonts w:ascii="Calibri" w:hAnsi="Calibri" w:cs="Calibri"/>
          <w:color w:val="000000"/>
          <w:kern w:val="24"/>
          <w:sz w:val="24"/>
          <w:szCs w:val="24"/>
          <w:lang w:val="en-US" w:eastAsia="en-AU"/>
        </w:rPr>
      </w:pPr>
      <w:r>
        <w:rPr>
          <w:rFonts w:ascii="Calibri" w:hAnsi="Calibri" w:cs="Calibri"/>
          <w:color w:val="000000"/>
          <w:kern w:val="24"/>
          <w:sz w:val="24"/>
          <w:szCs w:val="24"/>
          <w:lang w:val="en-US" w:eastAsia="en-AU"/>
        </w:rPr>
        <w:t xml:space="preserve">The proportion of employers who experienced recruitment difficulty in the 12 months preceding the survey (47 per cent) was lower than all regions surveyed (56 per cent). </w:t>
      </w:r>
    </w:p>
    <w:p w:rsidR="003A20BB" w:rsidRDefault="003A20BB" w:rsidP="003A20BB">
      <w:pPr>
        <w:autoSpaceDE w:val="0"/>
        <w:autoSpaceDN w:val="0"/>
        <w:adjustRightInd w:val="0"/>
        <w:rPr>
          <w:rFonts w:ascii="Calibri" w:hAnsi="Calibri" w:cs="Calibri"/>
          <w:color w:val="000000"/>
          <w:kern w:val="24"/>
          <w:sz w:val="24"/>
          <w:szCs w:val="24"/>
          <w:lang w:val="en-US" w:eastAsia="en-AU"/>
        </w:rPr>
      </w:pPr>
    </w:p>
    <w:p w:rsidR="003A20BB" w:rsidRDefault="003A20BB" w:rsidP="002D4D60">
      <w:pPr>
        <w:autoSpaceDE w:val="0"/>
        <w:autoSpaceDN w:val="0"/>
        <w:adjustRightInd w:val="0"/>
        <w:rPr>
          <w:rFonts w:ascii="Calibri" w:hAnsi="Calibri" w:cs="Calibri"/>
          <w:color w:val="000000"/>
          <w:kern w:val="24"/>
          <w:sz w:val="24"/>
          <w:szCs w:val="24"/>
          <w:lang w:val="en-US" w:eastAsia="en-AU"/>
        </w:rPr>
      </w:pPr>
      <w:r>
        <w:rPr>
          <w:rFonts w:ascii="Calibri" w:hAnsi="Calibri" w:cs="Calibri"/>
          <w:color w:val="000000"/>
          <w:kern w:val="24"/>
          <w:sz w:val="24"/>
          <w:szCs w:val="24"/>
          <w:lang w:val="en-US" w:eastAsia="en-AU"/>
        </w:rPr>
        <w:t xml:space="preserve">Results across </w:t>
      </w:r>
      <w:proofErr w:type="spellStart"/>
      <w:r>
        <w:rPr>
          <w:rFonts w:ascii="Calibri" w:hAnsi="Calibri" w:cs="Calibri"/>
          <w:color w:val="000000"/>
          <w:kern w:val="24"/>
          <w:sz w:val="24"/>
          <w:szCs w:val="24"/>
          <w:lang w:val="en-US" w:eastAsia="en-AU"/>
        </w:rPr>
        <w:t>LGAs</w:t>
      </w:r>
      <w:proofErr w:type="spellEnd"/>
      <w:r>
        <w:rPr>
          <w:rFonts w:ascii="Calibri" w:hAnsi="Calibri" w:cs="Calibri"/>
          <w:color w:val="000000"/>
          <w:kern w:val="24"/>
          <w:sz w:val="24"/>
          <w:szCs w:val="24"/>
          <w:lang w:val="en-US" w:eastAsia="en-AU"/>
        </w:rPr>
        <w:t xml:space="preserve"> within the PEA varied. </w:t>
      </w:r>
      <w:proofErr w:type="spellStart"/>
      <w:r>
        <w:rPr>
          <w:rFonts w:ascii="Calibri" w:hAnsi="Calibri" w:cs="Calibri"/>
          <w:color w:val="000000"/>
          <w:kern w:val="24"/>
          <w:sz w:val="24"/>
          <w:szCs w:val="24"/>
          <w:lang w:val="en-US" w:eastAsia="en-AU"/>
        </w:rPr>
        <w:t>Playford’s</w:t>
      </w:r>
      <w:proofErr w:type="spellEnd"/>
      <w:r>
        <w:rPr>
          <w:rFonts w:ascii="Calibri" w:hAnsi="Calibri" w:cs="Calibri"/>
          <w:color w:val="000000"/>
          <w:kern w:val="24"/>
          <w:sz w:val="24"/>
          <w:szCs w:val="24"/>
          <w:lang w:val="en-US" w:eastAsia="en-AU"/>
        </w:rPr>
        <w:t xml:space="preserve"> results tended to indicate a soft </w:t>
      </w:r>
      <w:proofErr w:type="spellStart"/>
      <w:r>
        <w:rPr>
          <w:rFonts w:ascii="Calibri" w:hAnsi="Calibri" w:cs="Calibri"/>
          <w:color w:val="000000"/>
          <w:kern w:val="24"/>
          <w:sz w:val="24"/>
          <w:szCs w:val="24"/>
          <w:lang w:val="en-US" w:eastAsia="en-AU"/>
        </w:rPr>
        <w:t>labour</w:t>
      </w:r>
      <w:proofErr w:type="spellEnd"/>
      <w:r>
        <w:rPr>
          <w:rFonts w:ascii="Calibri" w:hAnsi="Calibri" w:cs="Calibri"/>
          <w:color w:val="000000"/>
          <w:kern w:val="24"/>
          <w:sz w:val="24"/>
          <w:szCs w:val="24"/>
          <w:lang w:val="en-US" w:eastAsia="en-AU"/>
        </w:rPr>
        <w:t xml:space="preserve"> market, while results for Port Adelaide Enfield indicated stronger </w:t>
      </w:r>
      <w:proofErr w:type="spellStart"/>
      <w:r>
        <w:rPr>
          <w:rFonts w:ascii="Calibri" w:hAnsi="Calibri" w:cs="Calibri"/>
          <w:color w:val="000000"/>
          <w:kern w:val="24"/>
          <w:sz w:val="24"/>
          <w:szCs w:val="24"/>
          <w:lang w:val="en-US" w:eastAsia="en-AU"/>
        </w:rPr>
        <w:t>labour</w:t>
      </w:r>
      <w:proofErr w:type="spellEnd"/>
      <w:r>
        <w:rPr>
          <w:rFonts w:ascii="Calibri" w:hAnsi="Calibri" w:cs="Calibri"/>
          <w:color w:val="000000"/>
          <w:kern w:val="24"/>
          <w:sz w:val="24"/>
          <w:szCs w:val="24"/>
          <w:lang w:val="en-US" w:eastAsia="en-AU"/>
        </w:rPr>
        <w:t xml:space="preserve"> market conditions:</w:t>
      </w:r>
    </w:p>
    <w:p w:rsidR="003A20BB" w:rsidRPr="002D4D60" w:rsidRDefault="003A20BB" w:rsidP="002D4D60">
      <w:pPr>
        <w:pStyle w:val="ListParagraph"/>
        <w:numPr>
          <w:ilvl w:val="0"/>
          <w:numId w:val="8"/>
        </w:numPr>
        <w:autoSpaceDE w:val="0"/>
        <w:autoSpaceDN w:val="0"/>
        <w:adjustRightInd w:val="0"/>
        <w:rPr>
          <w:rFonts w:ascii="Calibri" w:hAnsi="Calibri" w:cs="Calibri"/>
          <w:color w:val="000000"/>
          <w:kern w:val="24"/>
          <w:sz w:val="24"/>
          <w:szCs w:val="24"/>
          <w:lang w:val="en-US" w:eastAsia="en-AU"/>
        </w:rPr>
      </w:pPr>
      <w:r w:rsidRPr="002D4D60">
        <w:rPr>
          <w:rFonts w:ascii="Calibri" w:hAnsi="Calibri" w:cs="Calibri"/>
          <w:color w:val="000000"/>
          <w:kern w:val="24"/>
          <w:sz w:val="24"/>
          <w:szCs w:val="24"/>
          <w:lang w:val="en-US" w:eastAsia="en-AU"/>
        </w:rPr>
        <w:t xml:space="preserve">A relatively low number of employers recruited in the </w:t>
      </w:r>
      <w:proofErr w:type="spellStart"/>
      <w:r w:rsidRPr="002D4D60">
        <w:rPr>
          <w:rFonts w:ascii="Calibri" w:hAnsi="Calibri" w:cs="Calibri"/>
          <w:color w:val="000000"/>
          <w:kern w:val="24"/>
          <w:sz w:val="24"/>
          <w:szCs w:val="24"/>
          <w:lang w:val="en-US" w:eastAsia="en-AU"/>
        </w:rPr>
        <w:t>Playford</w:t>
      </w:r>
      <w:proofErr w:type="spellEnd"/>
      <w:r w:rsidRPr="002D4D60">
        <w:rPr>
          <w:rFonts w:ascii="Calibri" w:hAnsi="Calibri" w:cs="Calibri"/>
          <w:color w:val="000000"/>
          <w:kern w:val="24"/>
          <w:sz w:val="24"/>
          <w:szCs w:val="24"/>
          <w:lang w:val="en-US" w:eastAsia="en-AU"/>
        </w:rPr>
        <w:t xml:space="preserve"> </w:t>
      </w:r>
      <w:proofErr w:type="spellStart"/>
      <w:r w:rsidRPr="002D4D60">
        <w:rPr>
          <w:rFonts w:ascii="Calibri" w:hAnsi="Calibri" w:cs="Calibri"/>
          <w:color w:val="000000"/>
          <w:kern w:val="24"/>
          <w:sz w:val="24"/>
          <w:szCs w:val="24"/>
          <w:lang w:val="en-US" w:eastAsia="en-AU"/>
        </w:rPr>
        <w:t>LGA</w:t>
      </w:r>
      <w:proofErr w:type="spellEnd"/>
      <w:r w:rsidRPr="002D4D60">
        <w:rPr>
          <w:rFonts w:ascii="Calibri" w:hAnsi="Calibri" w:cs="Calibri"/>
          <w:color w:val="000000"/>
          <w:kern w:val="24"/>
          <w:sz w:val="24"/>
          <w:szCs w:val="24"/>
          <w:lang w:val="en-US" w:eastAsia="en-AU"/>
        </w:rPr>
        <w:t xml:space="preserve"> (63 per cent), while a far higher proportion recruited in the Port Adelaide Enfield </w:t>
      </w:r>
      <w:proofErr w:type="spellStart"/>
      <w:r w:rsidRPr="002D4D60">
        <w:rPr>
          <w:rFonts w:ascii="Calibri" w:hAnsi="Calibri" w:cs="Calibri"/>
          <w:color w:val="000000"/>
          <w:kern w:val="24"/>
          <w:sz w:val="24"/>
          <w:szCs w:val="24"/>
          <w:lang w:val="en-US" w:eastAsia="en-AU"/>
        </w:rPr>
        <w:t>LGA</w:t>
      </w:r>
      <w:proofErr w:type="spellEnd"/>
      <w:r w:rsidRPr="002D4D60">
        <w:rPr>
          <w:rFonts w:ascii="Calibri" w:hAnsi="Calibri" w:cs="Calibri"/>
          <w:color w:val="000000"/>
          <w:kern w:val="24"/>
          <w:sz w:val="24"/>
          <w:szCs w:val="24"/>
          <w:lang w:val="en-US" w:eastAsia="en-AU"/>
        </w:rPr>
        <w:t xml:space="preserve"> (77 per cent). </w:t>
      </w:r>
    </w:p>
    <w:p w:rsidR="003A20BB" w:rsidRPr="002D4D60" w:rsidRDefault="003A20BB" w:rsidP="002D4D60">
      <w:pPr>
        <w:pStyle w:val="ListParagraph"/>
        <w:numPr>
          <w:ilvl w:val="0"/>
          <w:numId w:val="8"/>
        </w:numPr>
        <w:autoSpaceDE w:val="0"/>
        <w:autoSpaceDN w:val="0"/>
        <w:adjustRightInd w:val="0"/>
        <w:rPr>
          <w:rFonts w:ascii="Calibri" w:hAnsi="Calibri" w:cs="Calibri"/>
          <w:color w:val="000000"/>
          <w:kern w:val="24"/>
          <w:sz w:val="24"/>
          <w:szCs w:val="24"/>
          <w:lang w:val="en-US" w:eastAsia="en-AU"/>
        </w:rPr>
      </w:pPr>
      <w:r w:rsidRPr="002D4D60">
        <w:rPr>
          <w:rFonts w:ascii="Calibri" w:hAnsi="Calibri" w:cs="Calibri"/>
          <w:color w:val="000000"/>
          <w:kern w:val="24"/>
          <w:sz w:val="24"/>
          <w:szCs w:val="24"/>
          <w:lang w:val="en-US" w:eastAsia="en-AU"/>
        </w:rPr>
        <w:t xml:space="preserve">More employers in Port Adelaide Enfield also recruited due to business growth (44 per cent) compared with the </w:t>
      </w:r>
      <w:proofErr w:type="spellStart"/>
      <w:r w:rsidRPr="002D4D60">
        <w:rPr>
          <w:rFonts w:ascii="Calibri" w:hAnsi="Calibri" w:cs="Calibri"/>
          <w:color w:val="000000"/>
          <w:kern w:val="24"/>
          <w:sz w:val="24"/>
          <w:szCs w:val="24"/>
          <w:lang w:val="en-US" w:eastAsia="en-AU"/>
        </w:rPr>
        <w:t>Playford</w:t>
      </w:r>
      <w:proofErr w:type="spellEnd"/>
      <w:r w:rsidRPr="002D4D60">
        <w:rPr>
          <w:rFonts w:ascii="Calibri" w:hAnsi="Calibri" w:cs="Calibri"/>
          <w:color w:val="000000"/>
          <w:kern w:val="24"/>
          <w:sz w:val="24"/>
          <w:szCs w:val="24"/>
          <w:lang w:val="en-US" w:eastAsia="en-AU"/>
        </w:rPr>
        <w:t xml:space="preserve"> </w:t>
      </w:r>
      <w:proofErr w:type="spellStart"/>
      <w:r w:rsidRPr="002D4D60">
        <w:rPr>
          <w:rFonts w:ascii="Calibri" w:hAnsi="Calibri" w:cs="Calibri"/>
          <w:color w:val="000000"/>
          <w:kern w:val="24"/>
          <w:sz w:val="24"/>
          <w:szCs w:val="24"/>
          <w:lang w:val="en-US" w:eastAsia="en-AU"/>
        </w:rPr>
        <w:t>LGA</w:t>
      </w:r>
      <w:proofErr w:type="spellEnd"/>
      <w:r w:rsidRPr="002D4D60">
        <w:rPr>
          <w:rFonts w:ascii="Calibri" w:hAnsi="Calibri" w:cs="Calibri"/>
          <w:color w:val="000000"/>
          <w:kern w:val="24"/>
          <w:sz w:val="24"/>
          <w:szCs w:val="24"/>
          <w:lang w:val="en-US" w:eastAsia="en-AU"/>
        </w:rPr>
        <w:t xml:space="preserve"> (40 per cent). </w:t>
      </w:r>
    </w:p>
    <w:p w:rsidR="003A20BB" w:rsidRPr="002D4D60" w:rsidRDefault="003A20BB" w:rsidP="002D4D60">
      <w:pPr>
        <w:pStyle w:val="ListParagraph"/>
        <w:numPr>
          <w:ilvl w:val="0"/>
          <w:numId w:val="8"/>
        </w:numPr>
        <w:autoSpaceDE w:val="0"/>
        <w:autoSpaceDN w:val="0"/>
        <w:adjustRightInd w:val="0"/>
        <w:rPr>
          <w:rFonts w:ascii="Calibri" w:hAnsi="Calibri" w:cs="Calibri"/>
          <w:color w:val="000000"/>
          <w:kern w:val="24"/>
          <w:sz w:val="24"/>
          <w:szCs w:val="24"/>
          <w:lang w:val="en-US" w:eastAsia="en-AU"/>
        </w:rPr>
      </w:pPr>
      <w:r w:rsidRPr="002D4D60">
        <w:rPr>
          <w:rFonts w:ascii="Calibri" w:hAnsi="Calibri" w:cs="Calibri"/>
          <w:color w:val="000000"/>
          <w:kern w:val="24"/>
          <w:sz w:val="24"/>
          <w:szCs w:val="24"/>
          <w:lang w:val="en-US" w:eastAsia="en-AU"/>
        </w:rPr>
        <w:lastRenderedPageBreak/>
        <w:t xml:space="preserve">Both of these </w:t>
      </w:r>
      <w:proofErr w:type="spellStart"/>
      <w:r w:rsidRPr="002D4D60">
        <w:rPr>
          <w:rFonts w:ascii="Calibri" w:hAnsi="Calibri" w:cs="Calibri"/>
          <w:color w:val="000000"/>
          <w:kern w:val="24"/>
          <w:sz w:val="24"/>
          <w:szCs w:val="24"/>
          <w:lang w:val="en-US" w:eastAsia="en-AU"/>
        </w:rPr>
        <w:t>LGAs</w:t>
      </w:r>
      <w:proofErr w:type="spellEnd"/>
      <w:r w:rsidRPr="002D4D60">
        <w:rPr>
          <w:rFonts w:ascii="Calibri" w:hAnsi="Calibri" w:cs="Calibri"/>
          <w:color w:val="000000"/>
          <w:kern w:val="24"/>
          <w:sz w:val="24"/>
          <w:szCs w:val="24"/>
          <w:lang w:val="en-US" w:eastAsia="en-AU"/>
        </w:rPr>
        <w:t xml:space="preserve"> had a relatively low number of vacancies per 100 staff (both 14 vacancies per 100 staff) when compared with the PEA as a whole (16 vacancies per 100 staff). </w:t>
      </w:r>
    </w:p>
    <w:p w:rsidR="003A20BB" w:rsidRPr="002D4D60" w:rsidRDefault="003A20BB" w:rsidP="002D4D60">
      <w:pPr>
        <w:pStyle w:val="ListParagraph"/>
        <w:numPr>
          <w:ilvl w:val="0"/>
          <w:numId w:val="8"/>
        </w:numPr>
        <w:autoSpaceDE w:val="0"/>
        <w:autoSpaceDN w:val="0"/>
        <w:adjustRightInd w:val="0"/>
        <w:rPr>
          <w:rFonts w:ascii="Calibri" w:hAnsi="Calibri" w:cs="Calibri"/>
          <w:color w:val="000000"/>
          <w:kern w:val="24"/>
          <w:sz w:val="24"/>
          <w:szCs w:val="24"/>
          <w:lang w:val="en-US" w:eastAsia="en-AU"/>
        </w:rPr>
      </w:pPr>
      <w:r w:rsidRPr="002D4D60">
        <w:rPr>
          <w:rFonts w:ascii="Calibri" w:hAnsi="Calibri" w:cs="Calibri"/>
          <w:color w:val="000000"/>
          <w:kern w:val="24"/>
          <w:sz w:val="24"/>
          <w:szCs w:val="24"/>
          <w:lang w:val="en-US" w:eastAsia="en-AU"/>
        </w:rPr>
        <w:t xml:space="preserve">While the </w:t>
      </w:r>
      <w:proofErr w:type="spellStart"/>
      <w:r w:rsidRPr="002D4D60">
        <w:rPr>
          <w:rFonts w:ascii="Calibri" w:hAnsi="Calibri" w:cs="Calibri"/>
          <w:color w:val="000000"/>
          <w:kern w:val="24"/>
          <w:sz w:val="24"/>
          <w:szCs w:val="24"/>
          <w:lang w:val="en-US" w:eastAsia="en-AU"/>
        </w:rPr>
        <w:t>Playford</w:t>
      </w:r>
      <w:proofErr w:type="spellEnd"/>
      <w:r w:rsidRPr="002D4D60">
        <w:rPr>
          <w:rFonts w:ascii="Calibri" w:hAnsi="Calibri" w:cs="Calibri"/>
          <w:color w:val="000000"/>
          <w:kern w:val="24"/>
          <w:sz w:val="24"/>
          <w:szCs w:val="24"/>
          <w:lang w:val="en-US" w:eastAsia="en-AU"/>
        </w:rPr>
        <w:t xml:space="preserve"> </w:t>
      </w:r>
      <w:proofErr w:type="spellStart"/>
      <w:r w:rsidRPr="002D4D60">
        <w:rPr>
          <w:rFonts w:ascii="Calibri" w:hAnsi="Calibri" w:cs="Calibri"/>
          <w:color w:val="000000"/>
          <w:kern w:val="24"/>
          <w:sz w:val="24"/>
          <w:szCs w:val="24"/>
          <w:lang w:val="en-US" w:eastAsia="en-AU"/>
        </w:rPr>
        <w:t>LGA</w:t>
      </w:r>
      <w:proofErr w:type="spellEnd"/>
      <w:r w:rsidRPr="002D4D60">
        <w:rPr>
          <w:rFonts w:ascii="Calibri" w:hAnsi="Calibri" w:cs="Calibri"/>
          <w:color w:val="000000"/>
          <w:kern w:val="24"/>
          <w:sz w:val="24"/>
          <w:szCs w:val="24"/>
          <w:lang w:val="en-US" w:eastAsia="en-AU"/>
        </w:rPr>
        <w:t xml:space="preserve"> had a relatively low </w:t>
      </w:r>
      <w:proofErr w:type="spellStart"/>
      <w:r w:rsidRPr="002D4D60">
        <w:rPr>
          <w:rFonts w:ascii="Calibri" w:hAnsi="Calibri" w:cs="Calibri"/>
          <w:color w:val="000000"/>
          <w:kern w:val="24"/>
          <w:sz w:val="24"/>
          <w:szCs w:val="24"/>
          <w:lang w:val="en-US" w:eastAsia="en-AU"/>
        </w:rPr>
        <w:t>unfill</w:t>
      </w:r>
      <w:proofErr w:type="spellEnd"/>
      <w:r w:rsidRPr="002D4D60">
        <w:rPr>
          <w:rFonts w:ascii="Calibri" w:hAnsi="Calibri" w:cs="Calibri"/>
          <w:color w:val="000000"/>
          <w:kern w:val="24"/>
          <w:sz w:val="24"/>
          <w:szCs w:val="24"/>
          <w:lang w:val="en-US" w:eastAsia="en-AU"/>
        </w:rPr>
        <w:t xml:space="preserve"> rate (3.4 per cent), the Port Adelaide Enfield </w:t>
      </w:r>
      <w:proofErr w:type="spellStart"/>
      <w:r w:rsidRPr="002D4D60">
        <w:rPr>
          <w:rFonts w:ascii="Calibri" w:hAnsi="Calibri" w:cs="Calibri"/>
          <w:color w:val="000000"/>
          <w:kern w:val="24"/>
          <w:sz w:val="24"/>
          <w:szCs w:val="24"/>
          <w:lang w:val="en-US" w:eastAsia="en-AU"/>
        </w:rPr>
        <w:t>LGA</w:t>
      </w:r>
      <w:proofErr w:type="spellEnd"/>
      <w:r w:rsidRPr="002D4D60">
        <w:rPr>
          <w:rFonts w:ascii="Calibri" w:hAnsi="Calibri" w:cs="Calibri"/>
          <w:color w:val="000000"/>
          <w:kern w:val="24"/>
          <w:sz w:val="24"/>
          <w:szCs w:val="24"/>
          <w:lang w:val="en-US" w:eastAsia="en-AU"/>
        </w:rPr>
        <w:t xml:space="preserve"> had an extremely high </w:t>
      </w:r>
      <w:proofErr w:type="spellStart"/>
      <w:r w:rsidRPr="002D4D60">
        <w:rPr>
          <w:rFonts w:ascii="Calibri" w:hAnsi="Calibri" w:cs="Calibri"/>
          <w:color w:val="000000"/>
          <w:kern w:val="24"/>
          <w:sz w:val="24"/>
          <w:szCs w:val="24"/>
          <w:lang w:val="en-US" w:eastAsia="en-AU"/>
        </w:rPr>
        <w:t>unfill</w:t>
      </w:r>
      <w:proofErr w:type="spellEnd"/>
      <w:r w:rsidRPr="002D4D60">
        <w:rPr>
          <w:rFonts w:ascii="Calibri" w:hAnsi="Calibri" w:cs="Calibri"/>
          <w:color w:val="000000"/>
          <w:kern w:val="24"/>
          <w:sz w:val="24"/>
          <w:szCs w:val="24"/>
          <w:lang w:val="en-US" w:eastAsia="en-AU"/>
        </w:rPr>
        <w:t xml:space="preserve"> rate of 14.0 per cent.</w:t>
      </w:r>
    </w:p>
    <w:p w:rsidR="003A20BB" w:rsidRPr="002D4D60" w:rsidRDefault="003A20BB" w:rsidP="002D4D60">
      <w:pPr>
        <w:pStyle w:val="ListParagraph"/>
        <w:numPr>
          <w:ilvl w:val="0"/>
          <w:numId w:val="8"/>
        </w:numPr>
        <w:autoSpaceDE w:val="0"/>
        <w:autoSpaceDN w:val="0"/>
        <w:adjustRightInd w:val="0"/>
        <w:rPr>
          <w:rFonts w:ascii="Calibri" w:hAnsi="Calibri" w:cs="Calibri"/>
          <w:color w:val="000000"/>
          <w:kern w:val="24"/>
          <w:sz w:val="24"/>
          <w:szCs w:val="24"/>
          <w:lang w:val="en-US" w:eastAsia="en-AU"/>
        </w:rPr>
      </w:pPr>
      <w:proofErr w:type="spellStart"/>
      <w:r w:rsidRPr="002D4D60">
        <w:rPr>
          <w:rFonts w:ascii="Calibri" w:hAnsi="Calibri" w:cs="Calibri"/>
          <w:color w:val="000000"/>
          <w:kern w:val="24"/>
          <w:sz w:val="24"/>
          <w:szCs w:val="24"/>
          <w:lang w:val="en-US" w:eastAsia="en-AU"/>
        </w:rPr>
        <w:t>Playford</w:t>
      </w:r>
      <w:proofErr w:type="spellEnd"/>
      <w:r w:rsidRPr="002D4D60">
        <w:rPr>
          <w:rFonts w:ascii="Calibri" w:hAnsi="Calibri" w:cs="Calibri"/>
          <w:color w:val="000000"/>
          <w:kern w:val="24"/>
          <w:sz w:val="24"/>
          <w:szCs w:val="24"/>
          <w:lang w:val="en-US" w:eastAsia="en-AU"/>
        </w:rPr>
        <w:t xml:space="preserve"> employers also experienced less difficulty recruiting (42 per cent) than the PEA as a whole (47 per cent) and the Port Adelaide Enfield </w:t>
      </w:r>
      <w:proofErr w:type="spellStart"/>
      <w:r w:rsidRPr="002D4D60">
        <w:rPr>
          <w:rFonts w:ascii="Calibri" w:hAnsi="Calibri" w:cs="Calibri"/>
          <w:color w:val="000000"/>
          <w:kern w:val="24"/>
          <w:sz w:val="24"/>
          <w:szCs w:val="24"/>
          <w:lang w:val="en-US" w:eastAsia="en-AU"/>
        </w:rPr>
        <w:t>LGA</w:t>
      </w:r>
      <w:proofErr w:type="spellEnd"/>
      <w:r w:rsidRPr="002D4D60">
        <w:rPr>
          <w:rFonts w:ascii="Calibri" w:hAnsi="Calibri" w:cs="Calibri"/>
          <w:color w:val="000000"/>
          <w:kern w:val="24"/>
          <w:sz w:val="24"/>
          <w:szCs w:val="24"/>
          <w:lang w:val="en-US" w:eastAsia="en-AU"/>
        </w:rPr>
        <w:t xml:space="preserve"> (48 per cent).</w:t>
      </w:r>
    </w:p>
    <w:p w:rsidR="003A20BB" w:rsidRDefault="003A20BB" w:rsidP="003A20BB">
      <w:pPr>
        <w:autoSpaceDE w:val="0"/>
        <w:autoSpaceDN w:val="0"/>
        <w:adjustRightInd w:val="0"/>
        <w:rPr>
          <w:rFonts w:ascii="Calibri" w:hAnsi="Calibri" w:cs="Calibri"/>
          <w:color w:val="000000"/>
          <w:kern w:val="24"/>
          <w:sz w:val="24"/>
          <w:szCs w:val="24"/>
          <w:lang w:val="en-US" w:eastAsia="en-AU"/>
        </w:rPr>
      </w:pPr>
    </w:p>
    <w:p w:rsidR="003A20BB" w:rsidRDefault="003A20BB" w:rsidP="003A20BB">
      <w:pPr>
        <w:autoSpaceDE w:val="0"/>
        <w:autoSpaceDN w:val="0"/>
        <w:adjustRightInd w:val="0"/>
        <w:rPr>
          <w:rFonts w:cs="Arial"/>
          <w:sz w:val="24"/>
          <w:szCs w:val="24"/>
          <w:lang w:eastAsia="en-AU"/>
        </w:rPr>
      </w:pPr>
    </w:p>
    <w:p w:rsidR="003A20BB" w:rsidRDefault="003A20BB" w:rsidP="003A20BB">
      <w:pPr>
        <w:spacing w:line="360" w:lineRule="auto"/>
      </w:pPr>
    </w:p>
    <w:p w:rsidR="003A20BB" w:rsidRDefault="003A20BB">
      <w:r>
        <w:br w:type="page"/>
      </w:r>
    </w:p>
    <w:p w:rsidR="003A20BB" w:rsidRDefault="003A20BB" w:rsidP="003A20BB">
      <w:pPr>
        <w:spacing w:line="360" w:lineRule="auto"/>
      </w:pPr>
      <w:r>
        <w:lastRenderedPageBreak/>
        <w:t>Slide 16</w:t>
      </w:r>
    </w:p>
    <w:p w:rsidR="003A20BB" w:rsidRDefault="003A20BB" w:rsidP="003A20BB">
      <w:pPr>
        <w:spacing w:line="360" w:lineRule="auto"/>
      </w:pPr>
    </w:p>
    <w:p w:rsidR="003A20BB" w:rsidRDefault="0013234A" w:rsidP="003A20BB">
      <w:pPr>
        <w:spacing w:line="360" w:lineRule="auto"/>
        <w:jc w:val="center"/>
      </w:pPr>
      <w:r>
        <w:object w:dxaOrig="7216" w:dyaOrig="5409">
          <v:shape id="_x0000_i1040" type="#_x0000_t75" style="width:360.75pt;height:270.7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40" DrawAspect="Content" ObjectID="_1412079719" r:id="rId38"/>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u w:val="single"/>
          <w:lang w:val="en-US" w:eastAsia="en-AU"/>
        </w:rPr>
        <w:t>Unfilled Vacancies by Occupation</w:t>
      </w:r>
    </w:p>
    <w:p w:rsidR="003A20BB" w:rsidRDefault="003A20BB" w:rsidP="003A20B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DEEWR, Northern and Western Adelaide Priority Employment Area Survey of Employers’ Recruitment Experiences, August 2012.</w:t>
      </w:r>
    </w:p>
    <w:p w:rsidR="003A20BB" w:rsidRDefault="003A20BB" w:rsidP="003A20BB">
      <w:pPr>
        <w:autoSpaceDE w:val="0"/>
        <w:autoSpaceDN w:val="0"/>
        <w:adjustRightInd w:val="0"/>
        <w:rPr>
          <w:rFonts w:ascii="Calibri" w:hAnsi="Calibri" w:cs="Calibri"/>
          <w:i/>
          <w:iCs/>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proportion of unfilled vacancies in the Northern and Western Adelaide PEA (5.7 per cent) was substantially lower than the proportion of unfilled vacancies for all regions surveyed in the 12 months to June 2012 (8.3 per cent). </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There </w:t>
      </w:r>
      <w:proofErr w:type="gramStart"/>
      <w:r>
        <w:rPr>
          <w:rFonts w:ascii="Calibri" w:hAnsi="Calibri" w:cs="Calibri"/>
          <w:color w:val="000000"/>
          <w:kern w:val="24"/>
          <w:sz w:val="24"/>
          <w:szCs w:val="24"/>
          <w:lang w:eastAsia="en-AU"/>
        </w:rPr>
        <w:t>was</w:t>
      </w:r>
      <w:proofErr w:type="gramEnd"/>
      <w:r>
        <w:rPr>
          <w:rFonts w:ascii="Calibri" w:hAnsi="Calibri" w:cs="Calibri"/>
          <w:color w:val="000000"/>
          <w:kern w:val="24"/>
          <w:sz w:val="24"/>
          <w:szCs w:val="24"/>
          <w:lang w:eastAsia="en-AU"/>
        </w:rPr>
        <w:t xml:space="preserve"> a high proportion of unfilled vacancies for Community and Personal Service Workers (13.2 per cent). </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survey found that all vacancies for Clerical and Administrative Workers, and almost all vacancies for Sales Workers and Labourers were filled. </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br/>
      </w:r>
    </w:p>
    <w:p w:rsidR="003A20BB" w:rsidRDefault="003A20BB" w:rsidP="003A20BB">
      <w:pPr>
        <w:autoSpaceDE w:val="0"/>
        <w:autoSpaceDN w:val="0"/>
        <w:adjustRightInd w:val="0"/>
        <w:rPr>
          <w:rFonts w:ascii="Calibri" w:hAnsi="Calibri" w:cs="Calibri"/>
          <w:color w:val="000000"/>
          <w:sz w:val="20"/>
          <w:lang w:eastAsia="en-AU"/>
        </w:rPr>
      </w:pPr>
    </w:p>
    <w:p w:rsidR="003A20BB" w:rsidRDefault="003A20BB" w:rsidP="003A20BB">
      <w:pPr>
        <w:autoSpaceDE w:val="0"/>
        <w:autoSpaceDN w:val="0"/>
        <w:adjustRightInd w:val="0"/>
        <w:rPr>
          <w:rFonts w:cs="Arial"/>
          <w:sz w:val="24"/>
          <w:szCs w:val="24"/>
          <w:lang w:eastAsia="en-AU"/>
        </w:rPr>
      </w:pPr>
    </w:p>
    <w:p w:rsidR="003A20BB" w:rsidRDefault="003A20BB" w:rsidP="003A20BB">
      <w:pPr>
        <w:spacing w:line="360" w:lineRule="auto"/>
      </w:pPr>
    </w:p>
    <w:p w:rsidR="003A20BB" w:rsidRDefault="003A20BB">
      <w:r>
        <w:br w:type="page"/>
      </w:r>
    </w:p>
    <w:p w:rsidR="003A20BB" w:rsidRDefault="003A20BB" w:rsidP="003A20BB">
      <w:pPr>
        <w:spacing w:line="360" w:lineRule="auto"/>
      </w:pPr>
      <w:r>
        <w:lastRenderedPageBreak/>
        <w:t>Slide 17</w:t>
      </w:r>
    </w:p>
    <w:p w:rsidR="003A20BB" w:rsidRDefault="003A20BB" w:rsidP="003A20BB">
      <w:pPr>
        <w:spacing w:line="360" w:lineRule="auto"/>
      </w:pPr>
    </w:p>
    <w:p w:rsidR="003A20BB" w:rsidRDefault="0013234A" w:rsidP="003A20BB">
      <w:pPr>
        <w:spacing w:line="360" w:lineRule="auto"/>
        <w:jc w:val="center"/>
      </w:pPr>
      <w:r>
        <w:object w:dxaOrig="7216" w:dyaOrig="5409">
          <v:shape id="_x0000_i1041" type="#_x0000_t75" style="width:360.75pt;height:270.7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41" DrawAspect="Content" ObjectID="_1412079720" r:id="rId40"/>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u w:val="single"/>
          <w:lang w:val="en-US" w:eastAsia="en-AU"/>
        </w:rPr>
        <w:t>Competition for vacancies</w:t>
      </w:r>
    </w:p>
    <w:p w:rsidR="003A20BB" w:rsidRDefault="003A20BB" w:rsidP="003A20B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DEEWR, Northern and Western Adelaide Priority Employment Area Survey of Employers’ Recruitment Experiences, August 2012.</w:t>
      </w:r>
    </w:p>
    <w:p w:rsidR="003A20BB" w:rsidRDefault="003A20BB" w:rsidP="003A20BB">
      <w:pPr>
        <w:autoSpaceDE w:val="0"/>
        <w:autoSpaceDN w:val="0"/>
        <w:adjustRightInd w:val="0"/>
        <w:rPr>
          <w:rFonts w:ascii="Calibri" w:hAnsi="Calibri" w:cs="Calibri"/>
          <w:i/>
          <w:iCs/>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There was an average of 11.4 applicants per vacancy in the Northern and Western Adelaide PEA, higher than all regions surveyed (7.9 applicants per vacancy). Of these, 2.8 applicants were considered suitable, higher compared with all regions surveyed (2.3 suitable applicants per vacancy).</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Employers recruiting for Technicians and Trades Workers experienced the lowest average number of suitable applicants (1.7), while also experiencing a relatively low average number of applicants (7.2).</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By contrast, while employers recruiting for Clerical and Administrative Workers experienced a relatively high number of suitable applicants (4.6), they experienced a very high average number of applicants (25.1). </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sz w:val="20"/>
          <w:lang w:eastAsia="en-AU"/>
        </w:rPr>
      </w:pPr>
    </w:p>
    <w:p w:rsidR="003A20BB" w:rsidRDefault="003A20BB" w:rsidP="003A20BB">
      <w:pPr>
        <w:autoSpaceDE w:val="0"/>
        <w:autoSpaceDN w:val="0"/>
        <w:adjustRightInd w:val="0"/>
        <w:rPr>
          <w:rFonts w:cs="Arial"/>
          <w:sz w:val="24"/>
          <w:szCs w:val="24"/>
          <w:lang w:eastAsia="en-AU"/>
        </w:rPr>
      </w:pPr>
    </w:p>
    <w:p w:rsidR="003A20BB" w:rsidRDefault="003A20BB" w:rsidP="003A20BB">
      <w:pPr>
        <w:spacing w:line="360" w:lineRule="auto"/>
      </w:pPr>
    </w:p>
    <w:p w:rsidR="003A20BB" w:rsidRDefault="003A20BB">
      <w:r>
        <w:br w:type="page"/>
      </w:r>
    </w:p>
    <w:p w:rsidR="003A20BB" w:rsidRDefault="003A20BB" w:rsidP="003A20BB">
      <w:pPr>
        <w:spacing w:line="360" w:lineRule="auto"/>
      </w:pPr>
      <w:r>
        <w:lastRenderedPageBreak/>
        <w:t>Slide 18</w:t>
      </w:r>
    </w:p>
    <w:p w:rsidR="003A20BB" w:rsidRDefault="003A20BB" w:rsidP="003A20BB">
      <w:pPr>
        <w:spacing w:line="360" w:lineRule="auto"/>
      </w:pPr>
    </w:p>
    <w:p w:rsidR="003A20BB" w:rsidRDefault="0027122C" w:rsidP="003A20BB">
      <w:pPr>
        <w:spacing w:line="360" w:lineRule="auto"/>
        <w:jc w:val="center"/>
      </w:pPr>
      <w:r>
        <w:object w:dxaOrig="7148" w:dyaOrig="5357">
          <v:shape id="_x0000_i1042" type="#_x0000_t75" style="width:357.75pt;height:267.7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42" DrawAspect="Content" ObjectID="_1412079721" r:id="rId42"/>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lang w:eastAsia="en-AU"/>
        </w:rPr>
        <w:t>Reasons applicants were considered unsuitable</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DEEWR, Survey of Employers’ Recruitment Experiences, August 2012</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3A20BB" w:rsidRDefault="003A20BB" w:rsidP="003A20BB">
      <w:pPr>
        <w:autoSpaceDE w:val="0"/>
        <w:autoSpaceDN w:val="0"/>
        <w:adjustRightInd w:val="0"/>
        <w:rPr>
          <w:rFonts w:ascii="Calibri" w:hAnsi="Calibri" w:cs="Calibri"/>
          <w:color w:val="000000"/>
          <w:sz w:val="24"/>
          <w:szCs w:val="24"/>
          <w:lang w:eastAsia="en-AU"/>
        </w:rPr>
      </w:pPr>
      <w:r>
        <w:rPr>
          <w:rFonts w:ascii="Calibri" w:hAnsi="Calibri" w:cs="Calibri"/>
          <w:color w:val="000000"/>
          <w:sz w:val="24"/>
          <w:szCs w:val="24"/>
          <w:lang w:eastAsia="en-AU"/>
        </w:rPr>
        <w:t>Of employers who recruited, 56 per cent had at least one unsuitable applicant in their most recent recruitment round, higher compared with all regions surveyed (52 per cent)</w:t>
      </w:r>
      <w:proofErr w:type="gramStart"/>
      <w:r>
        <w:rPr>
          <w:rFonts w:ascii="Calibri" w:hAnsi="Calibri" w:cs="Calibri"/>
          <w:color w:val="000000"/>
          <w:sz w:val="24"/>
          <w:szCs w:val="24"/>
          <w:lang w:eastAsia="en-AU"/>
        </w:rPr>
        <w:t>.</w:t>
      </w:r>
      <w:proofErr w:type="gramEnd"/>
    </w:p>
    <w:p w:rsidR="003A20BB" w:rsidRDefault="003A20BB" w:rsidP="003A20BB">
      <w:pPr>
        <w:autoSpaceDE w:val="0"/>
        <w:autoSpaceDN w:val="0"/>
        <w:adjustRightInd w:val="0"/>
        <w:rPr>
          <w:rFonts w:ascii="Calibri" w:hAnsi="Calibri" w:cs="Calibri"/>
          <w:color w:val="000000"/>
          <w:sz w:val="24"/>
          <w:szCs w:val="24"/>
          <w:lang w:eastAsia="en-AU"/>
        </w:rPr>
      </w:pPr>
    </w:p>
    <w:p w:rsidR="003A20BB" w:rsidRDefault="003A20BB" w:rsidP="003A20BB">
      <w:pPr>
        <w:autoSpaceDE w:val="0"/>
        <w:autoSpaceDN w:val="0"/>
        <w:adjustRightInd w:val="0"/>
        <w:rPr>
          <w:rFonts w:ascii="Calibri" w:hAnsi="Calibri" w:cs="Calibri"/>
          <w:color w:val="000000"/>
          <w:sz w:val="24"/>
          <w:szCs w:val="24"/>
          <w:lang w:eastAsia="en-AU"/>
        </w:rPr>
      </w:pPr>
      <w:r>
        <w:rPr>
          <w:rFonts w:ascii="Calibri" w:hAnsi="Calibri" w:cs="Calibri"/>
          <w:color w:val="000000"/>
          <w:sz w:val="24"/>
          <w:szCs w:val="24"/>
          <w:lang w:eastAsia="en-AU"/>
        </w:rPr>
        <w:t>Reasons for applicant unsuitability included:</w:t>
      </w:r>
    </w:p>
    <w:p w:rsidR="003A20BB" w:rsidRDefault="003A20BB" w:rsidP="003A20BB">
      <w:pPr>
        <w:numPr>
          <w:ilvl w:val="0"/>
          <w:numId w:val="4"/>
        </w:numPr>
        <w:autoSpaceDE w:val="0"/>
        <w:autoSpaceDN w:val="0"/>
        <w:adjustRightInd w:val="0"/>
        <w:ind w:left="1080" w:hanging="360"/>
        <w:rPr>
          <w:rFonts w:ascii="Calibri" w:hAnsi="Calibri" w:cs="Calibri"/>
          <w:color w:val="000000"/>
          <w:sz w:val="24"/>
          <w:szCs w:val="24"/>
          <w:lang w:eastAsia="en-AU"/>
        </w:rPr>
      </w:pPr>
      <w:r>
        <w:rPr>
          <w:rFonts w:ascii="Calibri" w:hAnsi="Calibri" w:cs="Calibri"/>
          <w:color w:val="000000"/>
          <w:sz w:val="24"/>
          <w:szCs w:val="24"/>
          <w:lang w:eastAsia="en-AU"/>
        </w:rPr>
        <w:t>Insufficient experience to perform job duties (59 per cent)</w:t>
      </w:r>
    </w:p>
    <w:p w:rsidR="003A20BB" w:rsidRDefault="003A20BB" w:rsidP="003A20BB">
      <w:pPr>
        <w:numPr>
          <w:ilvl w:val="0"/>
          <w:numId w:val="4"/>
        </w:numPr>
        <w:autoSpaceDE w:val="0"/>
        <w:autoSpaceDN w:val="0"/>
        <w:adjustRightInd w:val="0"/>
        <w:ind w:left="1080" w:hanging="360"/>
        <w:rPr>
          <w:rFonts w:ascii="Calibri" w:hAnsi="Calibri" w:cs="Calibri"/>
          <w:color w:val="000000"/>
          <w:sz w:val="24"/>
          <w:szCs w:val="24"/>
          <w:lang w:eastAsia="en-AU"/>
        </w:rPr>
      </w:pPr>
      <w:r>
        <w:rPr>
          <w:rFonts w:ascii="Calibri" w:hAnsi="Calibri" w:cs="Calibri"/>
          <w:color w:val="000000"/>
          <w:sz w:val="24"/>
          <w:szCs w:val="24"/>
          <w:lang w:eastAsia="en-AU"/>
        </w:rPr>
        <w:t>Employability skills and personal characteristics (38 per cent)</w:t>
      </w:r>
    </w:p>
    <w:p w:rsidR="003A20BB" w:rsidRDefault="003A20BB" w:rsidP="003A20BB">
      <w:pPr>
        <w:numPr>
          <w:ilvl w:val="0"/>
          <w:numId w:val="4"/>
        </w:numPr>
        <w:autoSpaceDE w:val="0"/>
        <w:autoSpaceDN w:val="0"/>
        <w:adjustRightInd w:val="0"/>
        <w:ind w:left="1080" w:hanging="360"/>
        <w:rPr>
          <w:rFonts w:ascii="Calibri" w:hAnsi="Calibri" w:cs="Calibri"/>
          <w:color w:val="000000"/>
          <w:sz w:val="24"/>
          <w:szCs w:val="24"/>
          <w:lang w:eastAsia="en-AU"/>
        </w:rPr>
      </w:pPr>
      <w:r>
        <w:rPr>
          <w:rFonts w:ascii="Calibri" w:hAnsi="Calibri" w:cs="Calibri"/>
          <w:color w:val="000000"/>
          <w:sz w:val="24"/>
          <w:szCs w:val="24"/>
          <w:lang w:eastAsia="en-AU"/>
        </w:rPr>
        <w:t>Insufficient qualifications or training to perform job duties (35 per cent)</w:t>
      </w:r>
    </w:p>
    <w:p w:rsidR="003A20BB" w:rsidRDefault="003A20BB" w:rsidP="003A20BB">
      <w:pPr>
        <w:autoSpaceDE w:val="0"/>
        <w:autoSpaceDN w:val="0"/>
        <w:adjustRightInd w:val="0"/>
        <w:rPr>
          <w:rFonts w:ascii="Calibri" w:hAnsi="Calibri" w:cs="Calibri"/>
          <w:color w:val="000000"/>
          <w:szCs w:val="22"/>
          <w:lang w:eastAsia="en-AU"/>
        </w:rPr>
      </w:pPr>
    </w:p>
    <w:p w:rsidR="003A20BB" w:rsidRDefault="003A20BB" w:rsidP="003A20BB">
      <w:pPr>
        <w:spacing w:line="360" w:lineRule="auto"/>
      </w:pPr>
    </w:p>
    <w:p w:rsidR="003A20BB" w:rsidRDefault="003A20BB">
      <w:r>
        <w:br w:type="page"/>
      </w:r>
    </w:p>
    <w:p w:rsidR="003A20BB" w:rsidRDefault="003A20BB" w:rsidP="003A20BB">
      <w:pPr>
        <w:spacing w:line="360" w:lineRule="auto"/>
      </w:pPr>
      <w:r>
        <w:lastRenderedPageBreak/>
        <w:t>Slide 19</w:t>
      </w:r>
    </w:p>
    <w:p w:rsidR="003A20BB" w:rsidRDefault="003A20BB" w:rsidP="003A20BB">
      <w:pPr>
        <w:spacing w:line="360" w:lineRule="auto"/>
      </w:pPr>
    </w:p>
    <w:p w:rsidR="003A20BB" w:rsidRDefault="0013234A" w:rsidP="003A20BB">
      <w:pPr>
        <w:spacing w:line="360" w:lineRule="auto"/>
        <w:jc w:val="center"/>
      </w:pPr>
      <w:r>
        <w:object w:dxaOrig="7216" w:dyaOrig="5409">
          <v:shape id="_x0000_i1043" type="#_x0000_t75" style="width:360.75pt;height:270.7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43" DrawAspect="Content" ObjectID="_1412079722" r:id="rId44"/>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Occupations Difficult to Fill</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DEEWR, Northern and Western Adelaide Priority Employment Area Survey of Employers’ Recruitment Experiences, August 2012.</w:t>
      </w:r>
    </w:p>
    <w:p w:rsidR="003A20BB" w:rsidRDefault="003A20BB" w:rsidP="003A20BB">
      <w:pPr>
        <w:autoSpaceDE w:val="0"/>
        <w:autoSpaceDN w:val="0"/>
        <w:adjustRightInd w:val="0"/>
        <w:rPr>
          <w:rFonts w:ascii="Calibri" w:hAnsi="Calibri" w:cs="Calibri"/>
          <w:b/>
          <w:bCs/>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vacancies in the Northern and Western Adelaide Priority Employment Area that employers considered difficult to fill are for occupations that fall across a range of skill levels and a range of industries.</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Although there are a number of vacancies considered difficult to fill that require a higher qualification, many of the occupations mentioned are medium to lower skill level jobs.</w:t>
      </w:r>
    </w:p>
    <w:p w:rsidR="003A20BB" w:rsidRDefault="003A20BB" w:rsidP="003A20BB">
      <w:pPr>
        <w:autoSpaceDE w:val="0"/>
        <w:autoSpaceDN w:val="0"/>
        <w:adjustRightInd w:val="0"/>
        <w:rPr>
          <w:rFonts w:ascii="Calibri" w:hAnsi="Calibri" w:cs="Calibri"/>
          <w:color w:val="000000"/>
          <w:sz w:val="20"/>
          <w:lang w:eastAsia="en-AU"/>
        </w:rPr>
      </w:pPr>
    </w:p>
    <w:p w:rsidR="003A20BB" w:rsidRDefault="003A20BB" w:rsidP="003A20BB">
      <w:pPr>
        <w:autoSpaceDE w:val="0"/>
        <w:autoSpaceDN w:val="0"/>
        <w:adjustRightInd w:val="0"/>
        <w:rPr>
          <w:rFonts w:cs="Arial"/>
          <w:sz w:val="24"/>
          <w:szCs w:val="24"/>
          <w:lang w:eastAsia="en-AU"/>
        </w:rPr>
      </w:pPr>
    </w:p>
    <w:p w:rsidR="003A20BB" w:rsidRDefault="003A20BB" w:rsidP="003A20BB">
      <w:pPr>
        <w:spacing w:line="360" w:lineRule="auto"/>
      </w:pPr>
    </w:p>
    <w:p w:rsidR="003A20BB" w:rsidRDefault="003A20BB">
      <w:r>
        <w:br w:type="page"/>
      </w:r>
    </w:p>
    <w:p w:rsidR="003A20BB" w:rsidRDefault="003A20BB" w:rsidP="003A20BB">
      <w:pPr>
        <w:spacing w:line="360" w:lineRule="auto"/>
      </w:pPr>
      <w:r>
        <w:lastRenderedPageBreak/>
        <w:t>Slide 20</w:t>
      </w:r>
    </w:p>
    <w:p w:rsidR="003A20BB" w:rsidRDefault="003A20BB" w:rsidP="003A20BB">
      <w:pPr>
        <w:spacing w:line="360" w:lineRule="auto"/>
      </w:pPr>
    </w:p>
    <w:p w:rsidR="003A20BB" w:rsidRDefault="0013234A" w:rsidP="003A20BB">
      <w:pPr>
        <w:spacing w:line="360" w:lineRule="auto"/>
        <w:jc w:val="center"/>
      </w:pPr>
      <w:r>
        <w:object w:dxaOrig="7216" w:dyaOrig="5409">
          <v:shape id="_x0000_i1044" type="#_x0000_t75" style="width:360.75pt;height:270.7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44" DrawAspect="Content" ObjectID="_1412079723" r:id="rId46"/>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Times New Roman" w:cs="Calibri"/>
          <w:b/>
          <w:bCs/>
          <w:color w:val="000000"/>
          <w:kern w:val="24"/>
          <w:sz w:val="24"/>
          <w:szCs w:val="24"/>
          <w:u w:val="single"/>
          <w:lang w:eastAsia="en-AU"/>
        </w:rPr>
      </w:pPr>
      <w:r>
        <w:rPr>
          <w:rFonts w:ascii="Calibri" w:hAnsi="Times New Roman" w:cs="Calibri"/>
          <w:b/>
          <w:bCs/>
          <w:color w:val="000000"/>
          <w:kern w:val="24"/>
          <w:sz w:val="24"/>
          <w:szCs w:val="24"/>
          <w:u w:val="single"/>
          <w:lang w:eastAsia="en-AU"/>
        </w:rPr>
        <w:t>Recruitment Methods</w:t>
      </w:r>
    </w:p>
    <w:p w:rsidR="003A20BB" w:rsidRDefault="003A20BB" w:rsidP="003A20BB">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Source:  DEEWR, Northern and Western Adelaide PEA Survey of Employers</w:t>
      </w:r>
      <w:r>
        <w:rPr>
          <w:rFonts w:ascii="Calibri" w:hAnsi="Times New Roman" w:cs="Calibri"/>
          <w:i/>
          <w:iCs/>
          <w:color w:val="000000"/>
          <w:kern w:val="24"/>
          <w:sz w:val="24"/>
          <w:szCs w:val="24"/>
          <w:lang w:eastAsia="en-AU"/>
        </w:rPr>
        <w:t>’</w:t>
      </w:r>
      <w:r>
        <w:rPr>
          <w:rFonts w:ascii="Calibri" w:hAnsi="Times New Roman" w:cs="Calibri"/>
          <w:i/>
          <w:iCs/>
          <w:color w:val="000000"/>
          <w:kern w:val="24"/>
          <w:sz w:val="24"/>
          <w:szCs w:val="24"/>
          <w:lang w:eastAsia="en-AU"/>
        </w:rPr>
        <w:t xml:space="preserve"> Recruitment Experiences, August 2012. </w:t>
      </w:r>
    </w:p>
    <w:p w:rsidR="003A20BB" w:rsidRDefault="003A20BB" w:rsidP="003A20BB">
      <w:pPr>
        <w:autoSpaceDE w:val="0"/>
        <w:autoSpaceDN w:val="0"/>
        <w:adjustRightInd w:val="0"/>
        <w:rPr>
          <w:rFonts w:ascii="Calibri" w:hAnsi="Times New Roman" w:cs="Calibri"/>
          <w:i/>
          <w:iCs/>
          <w:color w:val="000000"/>
          <w:kern w:val="24"/>
          <w:sz w:val="24"/>
          <w:szCs w:val="24"/>
          <w:lang w:eastAsia="en-AU"/>
        </w:rPr>
      </w:pPr>
    </w:p>
    <w:p w:rsidR="003A20BB" w:rsidRDefault="003A20BB" w:rsidP="003A20BB">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It should be noted that this slide refers to the recruitment methods used by employers in their most recent recruitment round.</w:t>
      </w:r>
    </w:p>
    <w:p w:rsidR="003A20BB" w:rsidRDefault="003A20BB" w:rsidP="003A20BB">
      <w:pPr>
        <w:autoSpaceDE w:val="0"/>
        <w:autoSpaceDN w:val="0"/>
        <w:adjustRightInd w:val="0"/>
        <w:rPr>
          <w:rFonts w:ascii="Calibri" w:hAnsi="Times New Roman" w:cs="Calibri"/>
          <w:color w:val="000000"/>
          <w:kern w:val="24"/>
          <w:sz w:val="24"/>
          <w:szCs w:val="24"/>
          <w:lang w:eastAsia="en-AU"/>
        </w:rPr>
      </w:pP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In the Northern and Western Adelaide PEA, 74 per cent of recruiting employers used a formal method of recruitment, and 35 per cent an informal method. Some 65 per cent used a formal method only, while some 26 per cent of employers used an informal method only. Approximately 9 per cent used both an informal and formal method of recruitment.</w:t>
      </w:r>
    </w:p>
    <w:p w:rsidR="003A20BB" w:rsidRDefault="003A20BB" w:rsidP="003A20BB">
      <w:pPr>
        <w:autoSpaceDE w:val="0"/>
        <w:autoSpaceDN w:val="0"/>
        <w:adjustRightInd w:val="0"/>
        <w:rPr>
          <w:rFonts w:ascii="Calibri" w:hAnsi="Times New Roman" w:cs="Calibri"/>
          <w:color w:val="000000"/>
          <w:kern w:val="24"/>
          <w:sz w:val="24"/>
          <w:szCs w:val="24"/>
          <w:lang w:eastAsia="en-AU"/>
        </w:rPr>
      </w:pPr>
    </w:p>
    <w:p w:rsidR="003A20BB" w:rsidRDefault="003A20BB" w:rsidP="003A20BB">
      <w:pPr>
        <w:autoSpaceDE w:val="0"/>
        <w:autoSpaceDN w:val="0"/>
        <w:adjustRightInd w:val="0"/>
        <w:rPr>
          <w:rFonts w:ascii="Calibri" w:hAnsi="Times New Roman" w:cs="Calibri"/>
          <w:b/>
          <w:bCs/>
          <w:color w:val="000000"/>
          <w:kern w:val="24"/>
          <w:sz w:val="24"/>
          <w:szCs w:val="24"/>
          <w:lang w:eastAsia="en-AU"/>
        </w:rPr>
      </w:pPr>
      <w:r>
        <w:rPr>
          <w:rFonts w:ascii="Calibri" w:hAnsi="Times New Roman" w:cs="Calibri"/>
          <w:b/>
          <w:bCs/>
          <w:color w:val="000000"/>
          <w:kern w:val="24"/>
          <w:sz w:val="24"/>
          <w:szCs w:val="24"/>
          <w:lang w:eastAsia="en-AU"/>
        </w:rPr>
        <w:t>Formal Only</w:t>
      </w:r>
      <w:r>
        <w:rPr>
          <w:rFonts w:ascii="Calibri" w:hAnsi="Times New Roman" w:cs="Calibri"/>
          <w:b/>
          <w:bCs/>
          <w:color w:val="000000"/>
          <w:kern w:val="24"/>
          <w:sz w:val="24"/>
          <w:szCs w:val="24"/>
          <w:lang w:eastAsia="en-AU"/>
        </w:rPr>
        <w:tab/>
      </w:r>
      <w:r w:rsidR="002D4D60">
        <w:rPr>
          <w:rFonts w:ascii="Calibri" w:hAnsi="Times New Roman" w:cs="Calibri"/>
          <w:b/>
          <w:bCs/>
          <w:color w:val="000000"/>
          <w:kern w:val="24"/>
          <w:sz w:val="24"/>
          <w:szCs w:val="24"/>
          <w:lang w:eastAsia="en-AU"/>
        </w:rPr>
        <w:tab/>
      </w:r>
      <w:r w:rsidR="002D4D60">
        <w:rPr>
          <w:rFonts w:ascii="Calibri" w:hAnsi="Times New Roman" w:cs="Calibri"/>
          <w:b/>
          <w:bCs/>
          <w:color w:val="000000"/>
          <w:kern w:val="24"/>
          <w:sz w:val="24"/>
          <w:szCs w:val="24"/>
          <w:lang w:eastAsia="en-AU"/>
        </w:rPr>
        <w:tab/>
      </w:r>
      <w:r>
        <w:rPr>
          <w:rFonts w:ascii="Calibri" w:hAnsi="Times New Roman" w:cs="Calibri"/>
          <w:b/>
          <w:bCs/>
          <w:color w:val="000000"/>
          <w:kern w:val="24"/>
          <w:sz w:val="24"/>
          <w:szCs w:val="24"/>
          <w:lang w:eastAsia="en-AU"/>
        </w:rPr>
        <w:t>65%</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Internet</w:t>
      </w:r>
      <w:r>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ab/>
      </w:r>
      <w:r w:rsidR="002D4D60">
        <w:rPr>
          <w:rFonts w:ascii="Calibri" w:hAnsi="Times New Roman" w:cs="Calibri"/>
          <w:color w:val="000000"/>
          <w:kern w:val="24"/>
          <w:sz w:val="24"/>
          <w:szCs w:val="24"/>
          <w:lang w:eastAsia="en-AU"/>
        </w:rPr>
        <w:tab/>
      </w:r>
      <w:r w:rsidR="002D4D60">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40%</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Newspaper</w:t>
      </w:r>
      <w:r>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ab/>
      </w:r>
      <w:r w:rsidR="002D4D60">
        <w:rPr>
          <w:rFonts w:ascii="Calibri" w:hAnsi="Times New Roman" w:cs="Calibri"/>
          <w:color w:val="000000"/>
          <w:kern w:val="24"/>
          <w:sz w:val="24"/>
          <w:szCs w:val="24"/>
          <w:lang w:eastAsia="en-AU"/>
        </w:rPr>
        <w:tab/>
      </w:r>
      <w:r w:rsidR="002D4D60">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22%</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Recruitment Agency</w:t>
      </w:r>
      <w:r>
        <w:rPr>
          <w:rFonts w:ascii="Calibri" w:hAnsi="Times New Roman" w:cs="Calibri"/>
          <w:color w:val="000000"/>
          <w:kern w:val="24"/>
          <w:sz w:val="24"/>
          <w:szCs w:val="24"/>
          <w:lang w:eastAsia="en-AU"/>
        </w:rPr>
        <w:tab/>
      </w:r>
      <w:r w:rsidR="002D4D60">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19%</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Internal advertising</w:t>
      </w:r>
      <w:r>
        <w:rPr>
          <w:rFonts w:ascii="Calibri" w:hAnsi="Times New Roman" w:cs="Calibri"/>
          <w:color w:val="000000"/>
          <w:kern w:val="24"/>
          <w:sz w:val="24"/>
          <w:szCs w:val="24"/>
          <w:lang w:eastAsia="en-AU"/>
        </w:rPr>
        <w:tab/>
      </w:r>
      <w:r w:rsidR="002D4D60">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8%</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Job Services Australia</w:t>
      </w:r>
      <w:r w:rsidR="002D4D60">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ab/>
        <w:t>5%</w:t>
      </w:r>
    </w:p>
    <w:p w:rsidR="003A20BB" w:rsidRDefault="003A20BB" w:rsidP="003A20BB">
      <w:pPr>
        <w:autoSpaceDE w:val="0"/>
        <w:autoSpaceDN w:val="0"/>
        <w:adjustRightInd w:val="0"/>
        <w:rPr>
          <w:rFonts w:ascii="Calibri" w:hAnsi="Times New Roman" w:cs="Calibri"/>
          <w:color w:val="000000"/>
          <w:kern w:val="24"/>
          <w:sz w:val="24"/>
          <w:szCs w:val="24"/>
          <w:lang w:eastAsia="en-AU"/>
        </w:rPr>
      </w:pPr>
    </w:p>
    <w:p w:rsidR="003A20BB" w:rsidRDefault="003A20BB" w:rsidP="003A20BB">
      <w:pPr>
        <w:autoSpaceDE w:val="0"/>
        <w:autoSpaceDN w:val="0"/>
        <w:adjustRightInd w:val="0"/>
        <w:rPr>
          <w:rFonts w:ascii="Calibri" w:hAnsi="Times New Roman" w:cs="Calibri"/>
          <w:b/>
          <w:bCs/>
          <w:color w:val="000000"/>
          <w:kern w:val="24"/>
          <w:sz w:val="24"/>
          <w:szCs w:val="24"/>
          <w:lang w:eastAsia="en-AU"/>
        </w:rPr>
      </w:pPr>
      <w:r>
        <w:rPr>
          <w:rFonts w:ascii="Calibri" w:hAnsi="Times New Roman" w:cs="Calibri"/>
          <w:b/>
          <w:bCs/>
          <w:color w:val="000000"/>
          <w:kern w:val="24"/>
          <w:sz w:val="24"/>
          <w:szCs w:val="24"/>
          <w:lang w:eastAsia="en-AU"/>
        </w:rPr>
        <w:t>Informal Only</w:t>
      </w:r>
      <w:r>
        <w:rPr>
          <w:rFonts w:ascii="Calibri" w:hAnsi="Times New Roman" w:cs="Calibri"/>
          <w:b/>
          <w:bCs/>
          <w:color w:val="000000"/>
          <w:kern w:val="24"/>
          <w:sz w:val="24"/>
          <w:szCs w:val="24"/>
          <w:lang w:eastAsia="en-AU"/>
        </w:rPr>
        <w:tab/>
      </w:r>
      <w:r w:rsidR="002D4D60">
        <w:rPr>
          <w:rFonts w:ascii="Calibri" w:hAnsi="Times New Roman" w:cs="Calibri"/>
          <w:b/>
          <w:bCs/>
          <w:color w:val="000000"/>
          <w:kern w:val="24"/>
          <w:sz w:val="24"/>
          <w:szCs w:val="24"/>
          <w:lang w:eastAsia="en-AU"/>
        </w:rPr>
        <w:tab/>
      </w:r>
      <w:r w:rsidR="002D4D60">
        <w:rPr>
          <w:rFonts w:ascii="Calibri" w:hAnsi="Times New Roman" w:cs="Calibri"/>
          <w:b/>
          <w:bCs/>
          <w:color w:val="000000"/>
          <w:kern w:val="24"/>
          <w:sz w:val="24"/>
          <w:szCs w:val="24"/>
          <w:lang w:eastAsia="en-AU"/>
        </w:rPr>
        <w:tab/>
      </w:r>
      <w:r>
        <w:rPr>
          <w:rFonts w:ascii="Calibri" w:hAnsi="Times New Roman" w:cs="Calibri"/>
          <w:b/>
          <w:bCs/>
          <w:color w:val="000000"/>
          <w:kern w:val="24"/>
          <w:sz w:val="24"/>
          <w:szCs w:val="24"/>
          <w:lang w:eastAsia="en-AU"/>
        </w:rPr>
        <w:t>26%</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Word of mouth </w:t>
      </w:r>
      <w:r>
        <w:rPr>
          <w:rFonts w:ascii="Calibri" w:hAnsi="Times New Roman" w:cs="Calibri"/>
          <w:color w:val="000000"/>
          <w:kern w:val="24"/>
          <w:sz w:val="24"/>
          <w:szCs w:val="24"/>
          <w:lang w:eastAsia="en-AU"/>
        </w:rPr>
        <w:tab/>
      </w:r>
      <w:r w:rsidR="002D4D60">
        <w:rPr>
          <w:rFonts w:ascii="Calibri" w:hAnsi="Times New Roman" w:cs="Calibri"/>
          <w:color w:val="000000"/>
          <w:kern w:val="24"/>
          <w:sz w:val="24"/>
          <w:szCs w:val="24"/>
          <w:lang w:eastAsia="en-AU"/>
        </w:rPr>
        <w:tab/>
      </w:r>
      <w:r w:rsidR="002D4D60">
        <w:rPr>
          <w:rFonts w:ascii="Calibri" w:hAnsi="Times New Roman" w:cs="Calibri"/>
          <w:color w:val="000000"/>
          <w:kern w:val="24"/>
          <w:sz w:val="24"/>
          <w:szCs w:val="24"/>
          <w:lang w:eastAsia="en-AU"/>
        </w:rPr>
        <w:tab/>
      </w:r>
      <w:r>
        <w:rPr>
          <w:rFonts w:ascii="Calibri" w:hAnsi="Times New Roman" w:cs="Calibri"/>
          <w:color w:val="000000"/>
          <w:kern w:val="24"/>
          <w:sz w:val="24"/>
          <w:szCs w:val="24"/>
          <w:lang w:eastAsia="en-AU"/>
        </w:rPr>
        <w:t>26%</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Approached by job seeker </w:t>
      </w:r>
      <w:r>
        <w:rPr>
          <w:rFonts w:ascii="Calibri" w:hAnsi="Times New Roman" w:cs="Calibri"/>
          <w:color w:val="000000"/>
          <w:kern w:val="24"/>
          <w:sz w:val="24"/>
          <w:szCs w:val="24"/>
          <w:lang w:eastAsia="en-AU"/>
        </w:rPr>
        <w:tab/>
        <w:t>7%</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Sign in window/billboard </w:t>
      </w:r>
      <w:r>
        <w:rPr>
          <w:rFonts w:ascii="Calibri" w:hAnsi="Times New Roman" w:cs="Calibri"/>
          <w:color w:val="000000"/>
          <w:kern w:val="24"/>
          <w:sz w:val="24"/>
          <w:szCs w:val="24"/>
          <w:lang w:eastAsia="en-AU"/>
        </w:rPr>
        <w:tab/>
        <w:t>3%</w:t>
      </w:r>
    </w:p>
    <w:p w:rsidR="003A20BB" w:rsidRDefault="003A20BB" w:rsidP="003A20BB">
      <w:pPr>
        <w:autoSpaceDE w:val="0"/>
        <w:autoSpaceDN w:val="0"/>
        <w:adjustRightInd w:val="0"/>
        <w:rPr>
          <w:rFonts w:cs="Arial"/>
          <w:sz w:val="24"/>
          <w:szCs w:val="24"/>
          <w:lang w:eastAsia="en-AU"/>
        </w:rPr>
      </w:pPr>
    </w:p>
    <w:p w:rsidR="003A20BB" w:rsidRDefault="003A20BB">
      <w:r>
        <w:br w:type="page"/>
      </w:r>
    </w:p>
    <w:p w:rsidR="003A20BB" w:rsidRDefault="003A20BB" w:rsidP="003A20BB">
      <w:pPr>
        <w:spacing w:line="360" w:lineRule="auto"/>
      </w:pPr>
      <w:r>
        <w:lastRenderedPageBreak/>
        <w:t>Slide 21</w:t>
      </w:r>
    </w:p>
    <w:p w:rsidR="003A20BB" w:rsidRDefault="003A20BB" w:rsidP="003A20BB">
      <w:pPr>
        <w:spacing w:line="360" w:lineRule="auto"/>
      </w:pPr>
    </w:p>
    <w:p w:rsidR="003A20BB" w:rsidRDefault="0013234A" w:rsidP="003A20BB">
      <w:pPr>
        <w:spacing w:line="360" w:lineRule="auto"/>
        <w:jc w:val="center"/>
      </w:pPr>
      <w:r>
        <w:object w:dxaOrig="7216" w:dyaOrig="5409">
          <v:shape id="_x0000_i1045" type="#_x0000_t75" style="width:360.75pt;height:270.7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45" DrawAspect="Content" ObjectID="_1412079724" r:id="rId48"/>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u w:val="single"/>
          <w:lang w:eastAsia="en-AU"/>
        </w:rPr>
        <w:t>Basic Employability Skills</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DEEWR, Survey of Employers’ Recruitment Experiences, all regions surveyed.</w:t>
      </w: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lang w:eastAsia="en-AU"/>
        </w:rPr>
        <w:t> </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Most importance placed on:</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 - 30 per cent personal traits and qualities only</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 - 28 per cent technical skills only</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 - 41 per cent both equally important</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Personal traits and qualities applicants lacked:</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 - Enthusiasm</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 - Motivation</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 - Communication</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 - Confidence</w:t>
      </w:r>
    </w:p>
    <w:p w:rsidR="003A20BB" w:rsidRDefault="003A20BB" w:rsidP="003A20B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 - Teamwork</w:t>
      </w:r>
    </w:p>
    <w:p w:rsidR="003A20BB" w:rsidRDefault="003A20BB" w:rsidP="003A20BB">
      <w:pPr>
        <w:autoSpaceDE w:val="0"/>
        <w:autoSpaceDN w:val="0"/>
        <w:adjustRightInd w:val="0"/>
        <w:rPr>
          <w:rFonts w:ascii="Calibri" w:hAnsi="Calibri" w:cs="Calibri"/>
          <w:color w:val="000000"/>
          <w:sz w:val="24"/>
          <w:szCs w:val="24"/>
          <w:lang w:eastAsia="en-AU"/>
        </w:rPr>
      </w:pPr>
    </w:p>
    <w:p w:rsidR="003A20BB" w:rsidRDefault="003A20BB" w:rsidP="003A20BB">
      <w:pPr>
        <w:autoSpaceDE w:val="0"/>
        <w:autoSpaceDN w:val="0"/>
        <w:adjustRightInd w:val="0"/>
        <w:rPr>
          <w:rFonts w:cs="Arial"/>
          <w:sz w:val="24"/>
          <w:szCs w:val="24"/>
          <w:lang w:eastAsia="en-AU"/>
        </w:rPr>
      </w:pPr>
    </w:p>
    <w:p w:rsidR="003A20BB" w:rsidRDefault="003A20BB" w:rsidP="003A20BB">
      <w:pPr>
        <w:spacing w:line="360" w:lineRule="auto"/>
      </w:pPr>
    </w:p>
    <w:p w:rsidR="003A20BB" w:rsidRDefault="003A20BB">
      <w:r>
        <w:br w:type="page"/>
      </w:r>
    </w:p>
    <w:p w:rsidR="003A20BB" w:rsidRDefault="003A20BB" w:rsidP="003A20BB">
      <w:pPr>
        <w:spacing w:line="360" w:lineRule="auto"/>
      </w:pPr>
      <w:r>
        <w:lastRenderedPageBreak/>
        <w:t>Slide 22</w:t>
      </w:r>
    </w:p>
    <w:p w:rsidR="003A20BB" w:rsidRDefault="0013234A" w:rsidP="003A20BB">
      <w:pPr>
        <w:spacing w:line="360" w:lineRule="auto"/>
        <w:jc w:val="center"/>
      </w:pPr>
      <w:r>
        <w:object w:dxaOrig="7216" w:dyaOrig="5409">
          <v:shape id="_x0000_i1046" type="#_x0000_t75" style="width:360.75pt;height:270.7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46" DrawAspect="Content" ObjectID="_1412079725" r:id="rId50"/>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u w:val="single"/>
          <w:lang w:eastAsia="en-AU"/>
        </w:rPr>
        <w:t>Future recruitment expectations</w:t>
      </w:r>
    </w:p>
    <w:p w:rsidR="003A20BB" w:rsidRDefault="003A20BB" w:rsidP="003A20B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DEEWR, Northern and Western Adelaide Priority Employment Area Survey of Employers’ Recruitment Experiences, August 2012.</w:t>
      </w:r>
    </w:p>
    <w:p w:rsidR="003A20BB" w:rsidRDefault="003A20BB" w:rsidP="003A20BB">
      <w:pPr>
        <w:autoSpaceDE w:val="0"/>
        <w:autoSpaceDN w:val="0"/>
        <w:adjustRightInd w:val="0"/>
        <w:rPr>
          <w:rFonts w:ascii="Calibri" w:hAnsi="Calibri" w:cs="Calibri"/>
          <w:i/>
          <w:iCs/>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proportion of employers who expected to recruit in the 12 months following the survey </w:t>
      </w:r>
      <w:r w:rsidR="00835B04">
        <w:rPr>
          <w:rFonts w:ascii="Calibri" w:hAnsi="Calibri" w:cs="Calibri"/>
          <w:color w:val="000000"/>
          <w:kern w:val="24"/>
          <w:sz w:val="24"/>
          <w:szCs w:val="24"/>
          <w:lang w:eastAsia="en-AU"/>
        </w:rPr>
        <w:br/>
      </w:r>
      <w:r>
        <w:rPr>
          <w:rFonts w:ascii="Calibri" w:hAnsi="Calibri" w:cs="Calibri"/>
          <w:color w:val="000000"/>
          <w:kern w:val="24"/>
          <w:sz w:val="24"/>
          <w:szCs w:val="24"/>
          <w:lang w:eastAsia="en-AU"/>
        </w:rPr>
        <w:t xml:space="preserve">(52 per cent) was slightly higher compared with all regions surveyed (50 per cent). </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proportion of employers who expected to increase staff in the 12 months following the survey (30 per cent) was higher compared with all regions surveyed (27 per cent). </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proportion of employers who expected to reduce staff numbers in the 12 months following the survey (5 per cent) was the same as all regions surveyed. </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proportion of employers who expected recruitment difficulty (36 per cent) was lower compared with all regions surveyed (44 per cent). </w:t>
      </w:r>
    </w:p>
    <w:p w:rsidR="003A20BB" w:rsidRDefault="003A20BB" w:rsidP="003A20BB">
      <w:pPr>
        <w:autoSpaceDE w:val="0"/>
        <w:autoSpaceDN w:val="0"/>
        <w:adjustRightInd w:val="0"/>
        <w:rPr>
          <w:rFonts w:ascii="Calibri" w:hAnsi="Calibri" w:cs="Calibri"/>
          <w:color w:val="000000"/>
          <w:sz w:val="20"/>
          <w:lang w:val="en-US" w:eastAsia="en-AU"/>
        </w:rPr>
      </w:pPr>
    </w:p>
    <w:p w:rsidR="003A20BB" w:rsidRPr="002D4D60" w:rsidRDefault="003A20BB" w:rsidP="003A20BB">
      <w:pPr>
        <w:autoSpaceDE w:val="0"/>
        <w:autoSpaceDN w:val="0"/>
        <w:adjustRightInd w:val="0"/>
        <w:rPr>
          <w:rFonts w:ascii="Calibri" w:hAnsi="Calibri" w:cs="Calibri"/>
          <w:color w:val="000000"/>
          <w:sz w:val="24"/>
          <w:szCs w:val="24"/>
          <w:lang w:val="en-US" w:eastAsia="en-AU"/>
        </w:rPr>
      </w:pPr>
      <w:r w:rsidRPr="002D4D60">
        <w:rPr>
          <w:rFonts w:ascii="Calibri" w:hAnsi="Calibri" w:cs="Calibri"/>
          <w:color w:val="000000"/>
          <w:sz w:val="24"/>
          <w:szCs w:val="24"/>
          <w:lang w:val="en-US" w:eastAsia="en-AU"/>
        </w:rPr>
        <w:t xml:space="preserve">Results for individual </w:t>
      </w:r>
      <w:proofErr w:type="spellStart"/>
      <w:r w:rsidRPr="002D4D60">
        <w:rPr>
          <w:rFonts w:ascii="Calibri" w:hAnsi="Calibri" w:cs="Calibri"/>
          <w:color w:val="000000"/>
          <w:sz w:val="24"/>
          <w:szCs w:val="24"/>
          <w:lang w:val="en-US" w:eastAsia="en-AU"/>
        </w:rPr>
        <w:t>LGAs</w:t>
      </w:r>
      <w:proofErr w:type="spellEnd"/>
      <w:r w:rsidRPr="002D4D60">
        <w:rPr>
          <w:rFonts w:ascii="Calibri" w:hAnsi="Calibri" w:cs="Calibri"/>
          <w:color w:val="000000"/>
          <w:sz w:val="24"/>
          <w:szCs w:val="24"/>
          <w:lang w:val="en-US" w:eastAsia="en-AU"/>
        </w:rPr>
        <w:t xml:space="preserve"> within the PEA varied:</w:t>
      </w:r>
    </w:p>
    <w:p w:rsidR="003A20BB" w:rsidRPr="002D4D60" w:rsidRDefault="003A20BB" w:rsidP="002D4D60">
      <w:pPr>
        <w:numPr>
          <w:ilvl w:val="0"/>
          <w:numId w:val="10"/>
        </w:numPr>
        <w:autoSpaceDE w:val="0"/>
        <w:autoSpaceDN w:val="0"/>
        <w:adjustRightInd w:val="0"/>
        <w:rPr>
          <w:rFonts w:ascii="Calibri" w:hAnsi="Calibri" w:cs="Calibri"/>
          <w:color w:val="000000"/>
          <w:sz w:val="24"/>
          <w:szCs w:val="24"/>
          <w:lang w:eastAsia="en-AU"/>
        </w:rPr>
      </w:pPr>
      <w:r w:rsidRPr="002D4D60">
        <w:rPr>
          <w:rFonts w:ascii="Calibri" w:hAnsi="Calibri" w:cs="Calibri"/>
          <w:color w:val="000000"/>
          <w:sz w:val="24"/>
          <w:szCs w:val="24"/>
          <w:lang w:eastAsia="en-AU"/>
        </w:rPr>
        <w:t xml:space="preserve">The </w:t>
      </w:r>
      <w:proofErr w:type="spellStart"/>
      <w:r w:rsidRPr="002D4D60">
        <w:rPr>
          <w:rFonts w:ascii="Calibri" w:hAnsi="Calibri" w:cs="Calibri"/>
          <w:color w:val="000000"/>
          <w:sz w:val="24"/>
          <w:szCs w:val="24"/>
          <w:lang w:eastAsia="en-AU"/>
        </w:rPr>
        <w:t>Playford</w:t>
      </w:r>
      <w:proofErr w:type="spellEnd"/>
      <w:r w:rsidRPr="002D4D60">
        <w:rPr>
          <w:rFonts w:ascii="Calibri" w:hAnsi="Calibri" w:cs="Calibri"/>
          <w:color w:val="000000"/>
          <w:sz w:val="24"/>
          <w:szCs w:val="24"/>
          <w:lang w:eastAsia="en-AU"/>
        </w:rPr>
        <w:t xml:space="preserve"> </w:t>
      </w:r>
      <w:proofErr w:type="spellStart"/>
      <w:r w:rsidRPr="002D4D60">
        <w:rPr>
          <w:rFonts w:ascii="Calibri" w:hAnsi="Calibri" w:cs="Calibri"/>
          <w:color w:val="000000"/>
          <w:sz w:val="24"/>
          <w:szCs w:val="24"/>
          <w:lang w:eastAsia="en-AU"/>
        </w:rPr>
        <w:t>LGA</w:t>
      </w:r>
      <w:proofErr w:type="spellEnd"/>
      <w:r w:rsidRPr="002D4D60">
        <w:rPr>
          <w:rFonts w:ascii="Calibri" w:hAnsi="Calibri" w:cs="Calibri"/>
          <w:color w:val="000000"/>
          <w:sz w:val="24"/>
          <w:szCs w:val="24"/>
          <w:lang w:eastAsia="en-AU"/>
        </w:rPr>
        <w:t xml:space="preserve"> had a slightly lower proportion of employers who expected to recruit </w:t>
      </w:r>
      <w:r w:rsidR="00835B04">
        <w:rPr>
          <w:rFonts w:ascii="Calibri" w:hAnsi="Calibri" w:cs="Calibri"/>
          <w:color w:val="000000"/>
          <w:sz w:val="24"/>
          <w:szCs w:val="24"/>
          <w:lang w:eastAsia="en-AU"/>
        </w:rPr>
        <w:br/>
      </w:r>
      <w:r w:rsidRPr="002D4D60">
        <w:rPr>
          <w:rFonts w:ascii="Calibri" w:hAnsi="Calibri" w:cs="Calibri"/>
          <w:color w:val="000000"/>
          <w:sz w:val="24"/>
          <w:szCs w:val="24"/>
          <w:lang w:eastAsia="en-AU"/>
        </w:rPr>
        <w:t xml:space="preserve">(47 per cent) compared with the PEA (52 per cent), while the Adelaide </w:t>
      </w:r>
      <w:proofErr w:type="spellStart"/>
      <w:r w:rsidRPr="002D4D60">
        <w:rPr>
          <w:rFonts w:ascii="Calibri" w:hAnsi="Calibri" w:cs="Calibri"/>
          <w:color w:val="000000"/>
          <w:sz w:val="24"/>
          <w:szCs w:val="24"/>
          <w:lang w:eastAsia="en-AU"/>
        </w:rPr>
        <w:t>LGA</w:t>
      </w:r>
      <w:proofErr w:type="spellEnd"/>
      <w:r w:rsidRPr="002D4D60">
        <w:rPr>
          <w:rFonts w:ascii="Calibri" w:hAnsi="Calibri" w:cs="Calibri"/>
          <w:color w:val="000000"/>
          <w:sz w:val="24"/>
          <w:szCs w:val="24"/>
          <w:lang w:eastAsia="en-AU"/>
        </w:rPr>
        <w:t xml:space="preserve"> had a relatively high proportion (62 per cent).</w:t>
      </w:r>
    </w:p>
    <w:p w:rsidR="003A20BB" w:rsidRPr="002D4D60" w:rsidRDefault="003A20BB" w:rsidP="002D4D60">
      <w:pPr>
        <w:pStyle w:val="ListParagraph"/>
        <w:numPr>
          <w:ilvl w:val="0"/>
          <w:numId w:val="10"/>
        </w:numPr>
        <w:autoSpaceDE w:val="0"/>
        <w:autoSpaceDN w:val="0"/>
        <w:adjustRightInd w:val="0"/>
        <w:rPr>
          <w:rFonts w:ascii="Calibri" w:hAnsi="Calibri" w:cs="Calibri"/>
          <w:color w:val="000000"/>
          <w:sz w:val="24"/>
          <w:szCs w:val="24"/>
          <w:lang w:eastAsia="en-AU"/>
        </w:rPr>
      </w:pPr>
      <w:r w:rsidRPr="002D4D60">
        <w:rPr>
          <w:rFonts w:ascii="Calibri" w:hAnsi="Calibri" w:cs="Calibri"/>
          <w:color w:val="000000"/>
          <w:sz w:val="24"/>
          <w:szCs w:val="24"/>
          <w:lang w:eastAsia="en-AU"/>
        </w:rPr>
        <w:t xml:space="preserve">The </w:t>
      </w:r>
      <w:proofErr w:type="spellStart"/>
      <w:r w:rsidRPr="002D4D60">
        <w:rPr>
          <w:rFonts w:ascii="Calibri" w:hAnsi="Calibri" w:cs="Calibri"/>
          <w:color w:val="000000"/>
          <w:sz w:val="24"/>
          <w:szCs w:val="24"/>
          <w:lang w:eastAsia="en-AU"/>
        </w:rPr>
        <w:t>Playford</w:t>
      </w:r>
      <w:proofErr w:type="spellEnd"/>
      <w:r w:rsidRPr="002D4D60">
        <w:rPr>
          <w:rFonts w:ascii="Calibri" w:hAnsi="Calibri" w:cs="Calibri"/>
          <w:color w:val="000000"/>
          <w:sz w:val="24"/>
          <w:szCs w:val="24"/>
          <w:lang w:eastAsia="en-AU"/>
        </w:rPr>
        <w:t xml:space="preserve"> </w:t>
      </w:r>
      <w:proofErr w:type="spellStart"/>
      <w:r w:rsidRPr="002D4D60">
        <w:rPr>
          <w:rFonts w:ascii="Calibri" w:hAnsi="Calibri" w:cs="Calibri"/>
          <w:color w:val="000000"/>
          <w:sz w:val="24"/>
          <w:szCs w:val="24"/>
          <w:lang w:eastAsia="en-AU"/>
        </w:rPr>
        <w:t>LGA</w:t>
      </w:r>
      <w:proofErr w:type="spellEnd"/>
      <w:r w:rsidRPr="002D4D60">
        <w:rPr>
          <w:rFonts w:ascii="Calibri" w:hAnsi="Calibri" w:cs="Calibri"/>
          <w:color w:val="000000"/>
          <w:sz w:val="24"/>
          <w:szCs w:val="24"/>
          <w:lang w:eastAsia="en-AU"/>
        </w:rPr>
        <w:t xml:space="preserve"> had a lower proportion of employers expecting to reduce staff (3 per cent) compared with the PEA (5 per cent), while the proportion for the Charles Sturt </w:t>
      </w:r>
      <w:proofErr w:type="spellStart"/>
      <w:r w:rsidRPr="002D4D60">
        <w:rPr>
          <w:rFonts w:ascii="Calibri" w:hAnsi="Calibri" w:cs="Calibri"/>
          <w:color w:val="000000"/>
          <w:sz w:val="24"/>
          <w:szCs w:val="24"/>
          <w:lang w:eastAsia="en-AU"/>
        </w:rPr>
        <w:t>LGA</w:t>
      </w:r>
      <w:proofErr w:type="spellEnd"/>
      <w:r w:rsidRPr="002D4D60">
        <w:rPr>
          <w:rFonts w:ascii="Calibri" w:hAnsi="Calibri" w:cs="Calibri"/>
          <w:color w:val="000000"/>
          <w:sz w:val="24"/>
          <w:szCs w:val="24"/>
          <w:lang w:eastAsia="en-AU"/>
        </w:rPr>
        <w:t xml:space="preserve"> was relatively high (8 per cent). </w:t>
      </w:r>
    </w:p>
    <w:p w:rsidR="003A20BB" w:rsidRPr="002D4D60" w:rsidRDefault="003A20BB" w:rsidP="002D4D60">
      <w:pPr>
        <w:numPr>
          <w:ilvl w:val="0"/>
          <w:numId w:val="10"/>
        </w:numPr>
        <w:autoSpaceDE w:val="0"/>
        <w:autoSpaceDN w:val="0"/>
        <w:adjustRightInd w:val="0"/>
        <w:rPr>
          <w:rFonts w:ascii="Calibri" w:hAnsi="Calibri" w:cs="Calibri"/>
          <w:color w:val="000000"/>
          <w:sz w:val="24"/>
          <w:szCs w:val="24"/>
          <w:lang w:eastAsia="en-AU"/>
        </w:rPr>
      </w:pPr>
      <w:r w:rsidRPr="002D4D60">
        <w:rPr>
          <w:rFonts w:ascii="Calibri" w:hAnsi="Calibri" w:cs="Calibri"/>
          <w:color w:val="000000"/>
          <w:sz w:val="24"/>
          <w:szCs w:val="24"/>
          <w:lang w:eastAsia="en-AU"/>
        </w:rPr>
        <w:t xml:space="preserve">While a lower proportion of employers expected difficulty recruiting in the 12 months following the survey in the </w:t>
      </w:r>
      <w:proofErr w:type="spellStart"/>
      <w:r w:rsidRPr="002D4D60">
        <w:rPr>
          <w:rFonts w:ascii="Calibri" w:hAnsi="Calibri" w:cs="Calibri"/>
          <w:color w:val="000000"/>
          <w:sz w:val="24"/>
          <w:szCs w:val="24"/>
          <w:lang w:eastAsia="en-AU"/>
        </w:rPr>
        <w:t>Playford</w:t>
      </w:r>
      <w:proofErr w:type="spellEnd"/>
      <w:r w:rsidRPr="002D4D60">
        <w:rPr>
          <w:rFonts w:ascii="Calibri" w:hAnsi="Calibri" w:cs="Calibri"/>
          <w:color w:val="000000"/>
          <w:sz w:val="24"/>
          <w:szCs w:val="24"/>
          <w:lang w:eastAsia="en-AU"/>
        </w:rPr>
        <w:t xml:space="preserve"> </w:t>
      </w:r>
      <w:proofErr w:type="spellStart"/>
      <w:r w:rsidRPr="002D4D60">
        <w:rPr>
          <w:rFonts w:ascii="Calibri" w:hAnsi="Calibri" w:cs="Calibri"/>
          <w:color w:val="000000"/>
          <w:sz w:val="24"/>
          <w:szCs w:val="24"/>
          <w:lang w:eastAsia="en-AU"/>
        </w:rPr>
        <w:t>LGA</w:t>
      </w:r>
      <w:proofErr w:type="spellEnd"/>
      <w:r w:rsidRPr="002D4D60">
        <w:rPr>
          <w:rFonts w:ascii="Calibri" w:hAnsi="Calibri" w:cs="Calibri"/>
          <w:color w:val="000000"/>
          <w:sz w:val="24"/>
          <w:szCs w:val="24"/>
          <w:lang w:eastAsia="en-AU"/>
        </w:rPr>
        <w:t xml:space="preserve"> (33 per cent) compared with the PEA (36 per cent), a relatively high proportion of employers in the Adelaide </w:t>
      </w:r>
      <w:proofErr w:type="spellStart"/>
      <w:r w:rsidRPr="002D4D60">
        <w:rPr>
          <w:rFonts w:ascii="Calibri" w:hAnsi="Calibri" w:cs="Calibri"/>
          <w:color w:val="000000"/>
          <w:sz w:val="24"/>
          <w:szCs w:val="24"/>
          <w:lang w:eastAsia="en-AU"/>
        </w:rPr>
        <w:t>LGA</w:t>
      </w:r>
      <w:proofErr w:type="spellEnd"/>
      <w:r w:rsidRPr="002D4D60">
        <w:rPr>
          <w:rFonts w:ascii="Calibri" w:hAnsi="Calibri" w:cs="Calibri"/>
          <w:color w:val="000000"/>
          <w:sz w:val="24"/>
          <w:szCs w:val="24"/>
          <w:lang w:eastAsia="en-AU"/>
        </w:rPr>
        <w:t xml:space="preserve"> expected recruitment difficulty (39 per cent). However, this was still lower when compared with all regions surveyed in the 12 months to June 2012 (44 per cent).</w:t>
      </w:r>
    </w:p>
    <w:p w:rsidR="003A20BB" w:rsidRDefault="003A20BB" w:rsidP="003A20BB">
      <w:pPr>
        <w:spacing w:line="360" w:lineRule="auto"/>
      </w:pPr>
      <w:r>
        <w:lastRenderedPageBreak/>
        <w:t>Slide 23</w:t>
      </w:r>
    </w:p>
    <w:p w:rsidR="003A20BB" w:rsidRDefault="003A20BB" w:rsidP="003A20BB">
      <w:pPr>
        <w:spacing w:line="360" w:lineRule="auto"/>
      </w:pPr>
    </w:p>
    <w:p w:rsidR="003A20BB" w:rsidRDefault="0013234A" w:rsidP="003A20BB">
      <w:pPr>
        <w:spacing w:line="360" w:lineRule="auto"/>
        <w:jc w:val="center"/>
      </w:pPr>
      <w:r>
        <w:object w:dxaOrig="7216" w:dyaOrig="5409">
          <v:shape id="_x0000_i1047" type="#_x0000_t75" style="width:360.75pt;height:270.7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7" DrawAspect="Content" ObjectID="_1412079726" r:id="rId52"/>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u w:val="single"/>
          <w:lang w:val="en-US" w:eastAsia="en-AU"/>
        </w:rPr>
        <w:t>Expected Challenges</w:t>
      </w:r>
    </w:p>
    <w:p w:rsidR="003A20BB" w:rsidRDefault="003A20BB" w:rsidP="003A20B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DEEWR, Northern and Western Adelaide Priority Employment Area Survey of Employers’ Recruitment Experiences, August 2012.</w:t>
      </w:r>
    </w:p>
    <w:p w:rsidR="003A20BB" w:rsidRDefault="003A20BB" w:rsidP="003A20BB">
      <w:pPr>
        <w:autoSpaceDE w:val="0"/>
        <w:autoSpaceDN w:val="0"/>
        <w:adjustRightInd w:val="0"/>
        <w:rPr>
          <w:rFonts w:ascii="Calibri" w:hAnsi="Calibri" w:cs="Calibri"/>
          <w:i/>
          <w:iCs/>
          <w:color w:val="000000"/>
          <w:kern w:val="24"/>
          <w:sz w:val="24"/>
          <w:szCs w:val="24"/>
          <w:lang w:eastAsia="en-AU"/>
        </w:rPr>
      </w:pPr>
    </w:p>
    <w:p w:rsidR="003A20BB" w:rsidRDefault="003A20BB" w:rsidP="002D4D60">
      <w:pPr>
        <w:autoSpaceDE w:val="0"/>
        <w:autoSpaceDN w:val="0"/>
        <w:adjustRightInd w:val="0"/>
        <w:rPr>
          <w:rFonts w:ascii="Calibri" w:hAnsi="Calibri" w:cs="Calibri"/>
          <w:color w:val="000000"/>
          <w:sz w:val="24"/>
          <w:szCs w:val="24"/>
          <w:lang w:eastAsia="en-AU"/>
        </w:rPr>
      </w:pPr>
      <w:r>
        <w:rPr>
          <w:rFonts w:ascii="Calibri" w:hAnsi="Calibri" w:cs="Calibri"/>
          <w:color w:val="000000"/>
          <w:sz w:val="24"/>
          <w:szCs w:val="24"/>
          <w:lang w:eastAsia="en-AU"/>
        </w:rPr>
        <w:t>Some 65 per cent of employers expected challenges in the 12 months following the survey, higher compared with all regions surveyed (58 per cent), although the most commonly reported challenges differed.</w:t>
      </w:r>
    </w:p>
    <w:p w:rsidR="003A20BB" w:rsidRDefault="003A20BB" w:rsidP="003A20BB">
      <w:pPr>
        <w:numPr>
          <w:ilvl w:val="0"/>
          <w:numId w:val="1"/>
        </w:numPr>
        <w:autoSpaceDE w:val="0"/>
        <w:autoSpaceDN w:val="0"/>
        <w:adjustRightInd w:val="0"/>
        <w:ind w:left="1260" w:hanging="540"/>
        <w:rPr>
          <w:rFonts w:ascii="Calibri" w:hAnsi="Calibri" w:cs="Calibri"/>
          <w:color w:val="000000"/>
          <w:sz w:val="24"/>
          <w:szCs w:val="24"/>
          <w:lang w:eastAsia="en-AU"/>
        </w:rPr>
      </w:pPr>
      <w:r>
        <w:rPr>
          <w:rFonts w:ascii="Calibri" w:hAnsi="Calibri" w:cs="Calibri"/>
          <w:color w:val="000000"/>
          <w:sz w:val="24"/>
          <w:szCs w:val="24"/>
          <w:lang w:eastAsia="en-AU"/>
        </w:rPr>
        <w:t>51 per cent of employers reported that reduced business activity would be an expected challenge in the 12 months following the survey, substantially higher than all regions surveyed (36 per cent).</w:t>
      </w:r>
    </w:p>
    <w:p w:rsidR="003A20BB" w:rsidRDefault="003A20BB" w:rsidP="003A20BB">
      <w:pPr>
        <w:numPr>
          <w:ilvl w:val="0"/>
          <w:numId w:val="1"/>
        </w:numPr>
        <w:autoSpaceDE w:val="0"/>
        <w:autoSpaceDN w:val="0"/>
        <w:adjustRightInd w:val="0"/>
        <w:ind w:left="1260" w:hanging="540"/>
        <w:rPr>
          <w:rFonts w:ascii="Calibri" w:hAnsi="Calibri" w:cs="Calibri"/>
          <w:color w:val="000000"/>
          <w:sz w:val="24"/>
          <w:szCs w:val="24"/>
          <w:lang w:eastAsia="en-AU"/>
        </w:rPr>
      </w:pPr>
      <w:r>
        <w:rPr>
          <w:rFonts w:ascii="Calibri" w:hAnsi="Calibri" w:cs="Calibri"/>
          <w:color w:val="000000"/>
          <w:sz w:val="24"/>
          <w:szCs w:val="24"/>
          <w:lang w:eastAsia="en-AU"/>
        </w:rPr>
        <w:t xml:space="preserve">A smaller proportion of employers (12 per cent) expected skills shortages or recruitment difficulty to be a challenge compared with all regions surveyed </w:t>
      </w:r>
      <w:r w:rsidR="00835B04">
        <w:rPr>
          <w:rFonts w:ascii="Calibri" w:hAnsi="Calibri" w:cs="Calibri"/>
          <w:color w:val="000000"/>
          <w:sz w:val="24"/>
          <w:szCs w:val="24"/>
          <w:lang w:eastAsia="en-AU"/>
        </w:rPr>
        <w:br/>
      </w:r>
      <w:r>
        <w:rPr>
          <w:rFonts w:ascii="Calibri" w:hAnsi="Calibri" w:cs="Calibri"/>
          <w:color w:val="000000"/>
          <w:sz w:val="24"/>
          <w:szCs w:val="24"/>
          <w:lang w:eastAsia="en-AU"/>
        </w:rPr>
        <w:t>(17 per cent).</w:t>
      </w:r>
    </w:p>
    <w:p w:rsidR="003A20BB" w:rsidRDefault="003A20BB" w:rsidP="003A20BB">
      <w:pPr>
        <w:autoSpaceDE w:val="0"/>
        <w:autoSpaceDN w:val="0"/>
        <w:adjustRightInd w:val="0"/>
        <w:rPr>
          <w:rFonts w:ascii="Calibri" w:hAnsi="Calibri" w:cs="Calibri"/>
          <w:color w:val="000000"/>
          <w:kern w:val="24"/>
          <w:sz w:val="24"/>
          <w:szCs w:val="24"/>
          <w:lang w:val="en-US" w:eastAsia="en-AU"/>
        </w:rPr>
      </w:pPr>
    </w:p>
    <w:p w:rsidR="003A20BB" w:rsidRDefault="003A20BB" w:rsidP="003A20BB">
      <w:pPr>
        <w:autoSpaceDE w:val="0"/>
        <w:autoSpaceDN w:val="0"/>
        <w:adjustRightInd w:val="0"/>
        <w:rPr>
          <w:rFonts w:cs="Arial"/>
          <w:sz w:val="24"/>
          <w:szCs w:val="24"/>
          <w:lang w:eastAsia="en-AU"/>
        </w:rPr>
      </w:pPr>
    </w:p>
    <w:p w:rsidR="003A20BB" w:rsidRDefault="003A20BB" w:rsidP="003A20BB">
      <w:pPr>
        <w:spacing w:line="360" w:lineRule="auto"/>
      </w:pPr>
    </w:p>
    <w:p w:rsidR="003A20BB" w:rsidRDefault="003A20BB">
      <w:r>
        <w:br w:type="page"/>
      </w:r>
    </w:p>
    <w:p w:rsidR="003A20BB" w:rsidRDefault="003A20BB" w:rsidP="003A20BB">
      <w:pPr>
        <w:spacing w:line="360" w:lineRule="auto"/>
      </w:pPr>
      <w:r>
        <w:lastRenderedPageBreak/>
        <w:t>Slide 24</w:t>
      </w:r>
    </w:p>
    <w:p w:rsidR="003A20BB" w:rsidRDefault="00FB29AD" w:rsidP="003A20BB">
      <w:pPr>
        <w:spacing w:line="360" w:lineRule="auto"/>
        <w:jc w:val="center"/>
      </w:pPr>
      <w:r>
        <w:object w:dxaOrig="7215" w:dyaOrig="5408">
          <v:shape id="_x0000_i1048" type="#_x0000_t75" style="width:360.75pt;height:274.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8" DrawAspect="Content" ObjectID="_1412079727" r:id="rId54"/>
        </w:object>
      </w:r>
    </w:p>
    <w:p w:rsidR="003A20BB" w:rsidRPr="00320795" w:rsidRDefault="003A20BB" w:rsidP="00FB29AD">
      <w:pPr>
        <w:autoSpaceDE w:val="0"/>
        <w:autoSpaceDN w:val="0"/>
        <w:adjustRightInd w:val="0"/>
        <w:spacing w:before="120"/>
        <w:ind w:left="539" w:hanging="539"/>
        <w:rPr>
          <w:rFonts w:ascii="Calibri" w:hAnsi="Calibri" w:cs="Calibri"/>
          <w:color w:val="000000"/>
          <w:kern w:val="24"/>
          <w:sz w:val="24"/>
          <w:szCs w:val="24"/>
          <w:lang w:val="en-US" w:eastAsia="en-AU"/>
        </w:rPr>
      </w:pPr>
      <w:r w:rsidRPr="00320795">
        <w:rPr>
          <w:rFonts w:ascii="Calibri" w:hAnsi="Calibri" w:cs="Calibri"/>
          <w:b/>
          <w:bCs/>
          <w:color w:val="000000"/>
          <w:kern w:val="24"/>
          <w:sz w:val="24"/>
          <w:szCs w:val="24"/>
          <w:lang w:eastAsia="en-AU"/>
        </w:rPr>
        <w:t>Conclusion</w:t>
      </w:r>
    </w:p>
    <w:p w:rsidR="003A20BB" w:rsidRPr="00FB29AD" w:rsidRDefault="003A20BB" w:rsidP="003A20BB">
      <w:pPr>
        <w:autoSpaceDE w:val="0"/>
        <w:autoSpaceDN w:val="0"/>
        <w:adjustRightInd w:val="0"/>
        <w:ind w:left="540" w:hanging="540"/>
        <w:rPr>
          <w:rFonts w:ascii="Calibri" w:hAnsi="Calibri" w:cs="Calibri"/>
          <w:color w:val="000000"/>
          <w:kern w:val="24"/>
          <w:sz w:val="12"/>
          <w:szCs w:val="12"/>
          <w:lang w:val="en-US" w:eastAsia="en-AU"/>
        </w:rPr>
      </w:pPr>
    </w:p>
    <w:p w:rsidR="003A20BB" w:rsidRPr="00320795" w:rsidRDefault="003A20BB" w:rsidP="003A20BB">
      <w:pPr>
        <w:numPr>
          <w:ilvl w:val="0"/>
          <w:numId w:val="6"/>
        </w:numPr>
        <w:autoSpaceDE w:val="0"/>
        <w:autoSpaceDN w:val="0"/>
        <w:adjustRightInd w:val="0"/>
        <w:ind w:left="540" w:hanging="540"/>
        <w:rPr>
          <w:rFonts w:ascii="Calibri" w:hAnsi="Calibri" w:cs="Calibri"/>
          <w:color w:val="000000"/>
          <w:kern w:val="24"/>
          <w:sz w:val="24"/>
          <w:szCs w:val="24"/>
          <w:lang w:val="en-US" w:eastAsia="en-AU"/>
        </w:rPr>
      </w:pPr>
      <w:r w:rsidRPr="00320795">
        <w:rPr>
          <w:rFonts w:ascii="Calibri" w:hAnsi="Calibri" w:cs="Calibri"/>
          <w:color w:val="000000"/>
          <w:kern w:val="24"/>
          <w:sz w:val="24"/>
          <w:szCs w:val="24"/>
          <w:lang w:val="en-US" w:eastAsia="en-AU"/>
        </w:rPr>
        <w:t xml:space="preserve">Some softness in </w:t>
      </w:r>
      <w:proofErr w:type="spellStart"/>
      <w:r w:rsidRPr="00320795">
        <w:rPr>
          <w:rFonts w:ascii="Calibri" w:hAnsi="Calibri" w:cs="Calibri"/>
          <w:color w:val="000000"/>
          <w:kern w:val="24"/>
          <w:sz w:val="24"/>
          <w:szCs w:val="24"/>
          <w:lang w:val="en-US" w:eastAsia="en-AU"/>
        </w:rPr>
        <w:t>labour</w:t>
      </w:r>
      <w:proofErr w:type="spellEnd"/>
      <w:r w:rsidRPr="00320795">
        <w:rPr>
          <w:rFonts w:ascii="Calibri" w:hAnsi="Calibri" w:cs="Calibri"/>
          <w:color w:val="000000"/>
          <w:kern w:val="24"/>
          <w:sz w:val="24"/>
          <w:szCs w:val="24"/>
          <w:lang w:val="en-US" w:eastAsia="en-AU"/>
        </w:rPr>
        <w:t xml:space="preserve"> market conditions and easing since 2011</w:t>
      </w:r>
    </w:p>
    <w:p w:rsidR="003A20BB" w:rsidRPr="00320795" w:rsidRDefault="003A20BB" w:rsidP="003A20BB">
      <w:pPr>
        <w:numPr>
          <w:ilvl w:val="0"/>
          <w:numId w:val="7"/>
        </w:numPr>
        <w:autoSpaceDE w:val="0"/>
        <w:autoSpaceDN w:val="0"/>
        <w:adjustRightInd w:val="0"/>
        <w:ind w:left="1170" w:hanging="450"/>
        <w:rPr>
          <w:rFonts w:ascii="Calibri" w:hAnsi="Calibri" w:cs="Calibri"/>
          <w:color w:val="000000"/>
          <w:kern w:val="24"/>
          <w:sz w:val="24"/>
          <w:szCs w:val="24"/>
          <w:lang w:eastAsia="en-AU"/>
        </w:rPr>
      </w:pPr>
      <w:r w:rsidRPr="00320795">
        <w:rPr>
          <w:rFonts w:ascii="Calibri" w:hAnsi="Calibri" w:cs="Calibri"/>
          <w:color w:val="000000"/>
          <w:kern w:val="24"/>
          <w:sz w:val="24"/>
          <w:szCs w:val="24"/>
          <w:lang w:val="en-US" w:eastAsia="en-AU"/>
        </w:rPr>
        <w:t>Unemployment rate in the PEA consistently higher than the state and national rate</w:t>
      </w:r>
    </w:p>
    <w:p w:rsidR="003A20BB" w:rsidRPr="00320795" w:rsidRDefault="003A20BB" w:rsidP="003A20BB">
      <w:pPr>
        <w:numPr>
          <w:ilvl w:val="0"/>
          <w:numId w:val="7"/>
        </w:numPr>
        <w:autoSpaceDE w:val="0"/>
        <w:autoSpaceDN w:val="0"/>
        <w:adjustRightInd w:val="0"/>
        <w:ind w:left="1170" w:hanging="450"/>
        <w:rPr>
          <w:rFonts w:ascii="Calibri" w:hAnsi="Calibri" w:cs="Calibri"/>
          <w:color w:val="000000"/>
          <w:kern w:val="24"/>
          <w:sz w:val="24"/>
          <w:szCs w:val="24"/>
          <w:lang w:val="en-US" w:eastAsia="en-AU"/>
        </w:rPr>
      </w:pPr>
      <w:r w:rsidRPr="00320795">
        <w:rPr>
          <w:rFonts w:ascii="Calibri" w:hAnsi="Calibri" w:cs="Calibri"/>
          <w:color w:val="000000"/>
          <w:kern w:val="24"/>
          <w:sz w:val="24"/>
          <w:szCs w:val="24"/>
          <w:lang w:eastAsia="en-AU"/>
        </w:rPr>
        <w:t>Some variance across the PEA in labour market conditions</w:t>
      </w:r>
    </w:p>
    <w:p w:rsidR="003A20BB" w:rsidRPr="00320795" w:rsidRDefault="003A20BB" w:rsidP="003A20BB">
      <w:pPr>
        <w:numPr>
          <w:ilvl w:val="0"/>
          <w:numId w:val="7"/>
        </w:numPr>
        <w:autoSpaceDE w:val="0"/>
        <w:autoSpaceDN w:val="0"/>
        <w:adjustRightInd w:val="0"/>
        <w:ind w:left="1170" w:hanging="450"/>
        <w:rPr>
          <w:rFonts w:ascii="Calibri" w:hAnsi="Calibri" w:cs="Calibri"/>
          <w:color w:val="000000"/>
          <w:kern w:val="24"/>
          <w:sz w:val="24"/>
          <w:szCs w:val="24"/>
          <w:lang w:val="en-US" w:eastAsia="en-AU"/>
        </w:rPr>
      </w:pPr>
      <w:r w:rsidRPr="00320795">
        <w:rPr>
          <w:rFonts w:ascii="Calibri" w:hAnsi="Calibri" w:cs="Calibri"/>
          <w:color w:val="000000"/>
          <w:kern w:val="24"/>
          <w:sz w:val="24"/>
          <w:szCs w:val="24"/>
          <w:lang w:val="en-US" w:eastAsia="en-AU"/>
        </w:rPr>
        <w:t>Below average recruitment activity</w:t>
      </w:r>
    </w:p>
    <w:p w:rsidR="003A20BB" w:rsidRPr="00320795" w:rsidRDefault="003A20BB" w:rsidP="003A20BB">
      <w:pPr>
        <w:numPr>
          <w:ilvl w:val="0"/>
          <w:numId w:val="7"/>
        </w:numPr>
        <w:autoSpaceDE w:val="0"/>
        <w:autoSpaceDN w:val="0"/>
        <w:adjustRightInd w:val="0"/>
        <w:ind w:left="1170" w:hanging="450"/>
        <w:rPr>
          <w:rFonts w:ascii="Calibri" w:hAnsi="Calibri" w:cs="Calibri"/>
          <w:color w:val="000000"/>
          <w:kern w:val="24"/>
          <w:sz w:val="24"/>
          <w:szCs w:val="24"/>
          <w:lang w:eastAsia="en-AU"/>
        </w:rPr>
      </w:pPr>
      <w:r w:rsidRPr="00320795">
        <w:rPr>
          <w:rFonts w:ascii="Calibri" w:hAnsi="Calibri" w:cs="Calibri"/>
          <w:color w:val="000000"/>
          <w:kern w:val="24"/>
          <w:sz w:val="24"/>
          <w:szCs w:val="24"/>
          <w:lang w:eastAsia="en-AU"/>
        </w:rPr>
        <w:t>Weakening recruitment expectations</w:t>
      </w:r>
    </w:p>
    <w:p w:rsidR="003A20BB" w:rsidRPr="00320795" w:rsidRDefault="003A20BB" w:rsidP="003A20BB">
      <w:pPr>
        <w:autoSpaceDE w:val="0"/>
        <w:autoSpaceDN w:val="0"/>
        <w:adjustRightInd w:val="0"/>
        <w:ind w:left="1170" w:hanging="450"/>
        <w:rPr>
          <w:rFonts w:ascii="Calibri" w:hAnsi="Calibri" w:cs="Calibri"/>
          <w:color w:val="000000"/>
          <w:kern w:val="24"/>
          <w:sz w:val="24"/>
          <w:szCs w:val="24"/>
          <w:lang w:eastAsia="en-AU"/>
        </w:rPr>
      </w:pPr>
    </w:p>
    <w:p w:rsidR="003A20BB" w:rsidRPr="00320795" w:rsidRDefault="003A20BB" w:rsidP="003A20BB">
      <w:pPr>
        <w:numPr>
          <w:ilvl w:val="0"/>
          <w:numId w:val="6"/>
        </w:numPr>
        <w:autoSpaceDE w:val="0"/>
        <w:autoSpaceDN w:val="0"/>
        <w:adjustRightInd w:val="0"/>
        <w:ind w:left="540" w:hanging="540"/>
        <w:rPr>
          <w:rFonts w:ascii="Calibri" w:hAnsi="Calibri" w:cs="Calibri"/>
          <w:color w:val="000000"/>
          <w:kern w:val="24"/>
          <w:sz w:val="24"/>
          <w:szCs w:val="24"/>
          <w:lang w:eastAsia="en-AU"/>
        </w:rPr>
      </w:pPr>
      <w:r w:rsidRPr="00320795">
        <w:rPr>
          <w:rFonts w:ascii="Calibri" w:hAnsi="Calibri" w:cs="Calibri"/>
          <w:color w:val="000000"/>
          <w:kern w:val="24"/>
          <w:sz w:val="24"/>
          <w:szCs w:val="24"/>
          <w:lang w:eastAsia="en-AU"/>
        </w:rPr>
        <w:t>Disadvantaged groups</w:t>
      </w:r>
    </w:p>
    <w:p w:rsidR="003A20BB" w:rsidRPr="00320795" w:rsidRDefault="003A20BB" w:rsidP="003A20BB">
      <w:pPr>
        <w:numPr>
          <w:ilvl w:val="0"/>
          <w:numId w:val="7"/>
        </w:numPr>
        <w:autoSpaceDE w:val="0"/>
        <w:autoSpaceDN w:val="0"/>
        <w:adjustRightInd w:val="0"/>
        <w:ind w:left="1170" w:hanging="450"/>
        <w:rPr>
          <w:rFonts w:ascii="Calibri" w:hAnsi="Calibri" w:cs="Calibri"/>
          <w:color w:val="000000"/>
          <w:kern w:val="24"/>
          <w:sz w:val="24"/>
          <w:szCs w:val="24"/>
          <w:lang w:eastAsia="en-AU"/>
        </w:rPr>
      </w:pPr>
      <w:r w:rsidRPr="00320795">
        <w:rPr>
          <w:rFonts w:ascii="Calibri" w:hAnsi="Calibri" w:cs="Calibri"/>
          <w:color w:val="000000"/>
          <w:kern w:val="24"/>
          <w:sz w:val="24"/>
          <w:szCs w:val="24"/>
          <w:lang w:eastAsia="en-AU"/>
        </w:rPr>
        <w:t>Teenagers, long-term unemployed, disengaged youth, jobless families, less educated</w:t>
      </w:r>
    </w:p>
    <w:p w:rsidR="003A20BB" w:rsidRPr="00320795" w:rsidRDefault="003A20BB" w:rsidP="003A20BB">
      <w:pPr>
        <w:numPr>
          <w:ilvl w:val="0"/>
          <w:numId w:val="7"/>
        </w:numPr>
        <w:autoSpaceDE w:val="0"/>
        <w:autoSpaceDN w:val="0"/>
        <w:adjustRightInd w:val="0"/>
        <w:ind w:left="1170" w:hanging="450"/>
        <w:rPr>
          <w:rFonts w:ascii="Calibri" w:hAnsi="Calibri" w:cs="Calibri"/>
          <w:color w:val="000000"/>
          <w:kern w:val="24"/>
          <w:sz w:val="24"/>
          <w:szCs w:val="24"/>
          <w:lang w:eastAsia="en-AU"/>
        </w:rPr>
      </w:pPr>
      <w:r w:rsidRPr="00320795">
        <w:rPr>
          <w:rFonts w:ascii="Calibri" w:hAnsi="Calibri" w:cs="Calibri"/>
          <w:color w:val="000000"/>
          <w:kern w:val="24"/>
          <w:sz w:val="24"/>
          <w:szCs w:val="24"/>
          <w:lang w:eastAsia="en-AU"/>
        </w:rPr>
        <w:t>Underutilisation of migrants</w:t>
      </w:r>
    </w:p>
    <w:p w:rsidR="003A20BB" w:rsidRPr="00320795" w:rsidRDefault="003A20BB" w:rsidP="003A20BB">
      <w:pPr>
        <w:autoSpaceDE w:val="0"/>
        <w:autoSpaceDN w:val="0"/>
        <w:adjustRightInd w:val="0"/>
        <w:ind w:left="1170" w:hanging="450"/>
        <w:rPr>
          <w:rFonts w:ascii="Calibri" w:hAnsi="Calibri" w:cs="Calibri"/>
          <w:color w:val="000000"/>
          <w:kern w:val="24"/>
          <w:sz w:val="24"/>
          <w:szCs w:val="24"/>
          <w:lang w:eastAsia="en-AU"/>
        </w:rPr>
      </w:pPr>
    </w:p>
    <w:p w:rsidR="003A20BB" w:rsidRPr="00320795" w:rsidRDefault="003A20BB" w:rsidP="003A20BB">
      <w:pPr>
        <w:numPr>
          <w:ilvl w:val="0"/>
          <w:numId w:val="6"/>
        </w:numPr>
        <w:autoSpaceDE w:val="0"/>
        <w:autoSpaceDN w:val="0"/>
        <w:adjustRightInd w:val="0"/>
        <w:ind w:left="540" w:hanging="540"/>
        <w:rPr>
          <w:rFonts w:ascii="Calibri" w:hAnsi="Calibri" w:cs="Calibri"/>
          <w:color w:val="000000"/>
          <w:kern w:val="24"/>
          <w:sz w:val="24"/>
          <w:szCs w:val="24"/>
          <w:lang w:eastAsia="en-AU"/>
        </w:rPr>
      </w:pPr>
      <w:r w:rsidRPr="00320795">
        <w:rPr>
          <w:rFonts w:ascii="Calibri" w:hAnsi="Calibri" w:cs="Calibri"/>
          <w:color w:val="000000"/>
          <w:kern w:val="24"/>
          <w:sz w:val="24"/>
          <w:szCs w:val="24"/>
          <w:lang w:eastAsia="en-AU"/>
        </w:rPr>
        <w:t>Job seekers need to be job ready</w:t>
      </w:r>
    </w:p>
    <w:p w:rsidR="003A20BB" w:rsidRPr="00320795" w:rsidRDefault="003A20BB" w:rsidP="003A20BB">
      <w:pPr>
        <w:numPr>
          <w:ilvl w:val="0"/>
          <w:numId w:val="7"/>
        </w:numPr>
        <w:autoSpaceDE w:val="0"/>
        <w:autoSpaceDN w:val="0"/>
        <w:adjustRightInd w:val="0"/>
        <w:ind w:left="1170" w:hanging="450"/>
        <w:rPr>
          <w:rFonts w:ascii="Calibri" w:hAnsi="Calibri" w:cs="Calibri"/>
          <w:color w:val="000000"/>
          <w:kern w:val="24"/>
          <w:sz w:val="24"/>
          <w:szCs w:val="24"/>
          <w:lang w:eastAsia="en-AU"/>
        </w:rPr>
      </w:pPr>
      <w:r w:rsidRPr="00320795">
        <w:rPr>
          <w:rFonts w:ascii="Calibri" w:hAnsi="Calibri" w:cs="Calibri"/>
          <w:color w:val="000000"/>
          <w:kern w:val="24"/>
          <w:sz w:val="24"/>
          <w:szCs w:val="24"/>
          <w:lang w:eastAsia="en-AU"/>
        </w:rPr>
        <w:t xml:space="preserve">Work experience / training / apprenticeships </w:t>
      </w:r>
    </w:p>
    <w:p w:rsidR="003A20BB" w:rsidRPr="00320795" w:rsidRDefault="003A20BB" w:rsidP="003A20BB">
      <w:pPr>
        <w:numPr>
          <w:ilvl w:val="0"/>
          <w:numId w:val="7"/>
        </w:numPr>
        <w:autoSpaceDE w:val="0"/>
        <w:autoSpaceDN w:val="0"/>
        <w:adjustRightInd w:val="0"/>
        <w:ind w:left="1170" w:hanging="450"/>
        <w:rPr>
          <w:rFonts w:ascii="Calibri" w:hAnsi="Calibri" w:cs="Calibri"/>
          <w:color w:val="000000"/>
          <w:kern w:val="24"/>
          <w:sz w:val="24"/>
          <w:szCs w:val="24"/>
          <w:lang w:eastAsia="en-AU"/>
        </w:rPr>
      </w:pPr>
      <w:r w:rsidRPr="00320795">
        <w:rPr>
          <w:rFonts w:ascii="Calibri" w:hAnsi="Calibri" w:cs="Calibri"/>
          <w:color w:val="000000"/>
          <w:kern w:val="24"/>
          <w:sz w:val="24"/>
          <w:szCs w:val="24"/>
          <w:lang w:eastAsia="en-AU"/>
        </w:rPr>
        <w:t>Literacy and numeracy skills/English language skills</w:t>
      </w:r>
    </w:p>
    <w:p w:rsidR="003A20BB" w:rsidRPr="00320795" w:rsidRDefault="003A20BB" w:rsidP="003A20BB">
      <w:pPr>
        <w:numPr>
          <w:ilvl w:val="0"/>
          <w:numId w:val="7"/>
        </w:numPr>
        <w:autoSpaceDE w:val="0"/>
        <w:autoSpaceDN w:val="0"/>
        <w:adjustRightInd w:val="0"/>
        <w:ind w:left="1170" w:hanging="450"/>
        <w:rPr>
          <w:rFonts w:ascii="Calibri" w:hAnsi="Calibri" w:cs="Calibri"/>
          <w:color w:val="000000"/>
          <w:kern w:val="24"/>
          <w:sz w:val="24"/>
          <w:szCs w:val="24"/>
          <w:lang w:eastAsia="en-AU"/>
        </w:rPr>
      </w:pPr>
      <w:r w:rsidRPr="00320795">
        <w:rPr>
          <w:rFonts w:ascii="Calibri" w:hAnsi="Calibri" w:cs="Calibri"/>
          <w:color w:val="000000"/>
          <w:kern w:val="24"/>
          <w:sz w:val="24"/>
          <w:szCs w:val="24"/>
          <w:lang w:eastAsia="en-AU"/>
        </w:rPr>
        <w:t xml:space="preserve">Employability skills </w:t>
      </w:r>
    </w:p>
    <w:p w:rsidR="003A20BB" w:rsidRPr="00320795" w:rsidRDefault="003A20BB" w:rsidP="003A20BB">
      <w:pPr>
        <w:autoSpaceDE w:val="0"/>
        <w:autoSpaceDN w:val="0"/>
        <w:adjustRightInd w:val="0"/>
        <w:ind w:left="1170" w:hanging="450"/>
        <w:rPr>
          <w:rFonts w:ascii="Calibri" w:hAnsi="Calibri" w:cs="Calibri"/>
          <w:color w:val="000000"/>
          <w:kern w:val="24"/>
          <w:sz w:val="24"/>
          <w:szCs w:val="24"/>
          <w:lang w:eastAsia="en-AU"/>
        </w:rPr>
      </w:pPr>
    </w:p>
    <w:p w:rsidR="003A20BB" w:rsidRPr="00320795" w:rsidRDefault="003A20BB" w:rsidP="003A20BB">
      <w:pPr>
        <w:numPr>
          <w:ilvl w:val="0"/>
          <w:numId w:val="6"/>
        </w:numPr>
        <w:autoSpaceDE w:val="0"/>
        <w:autoSpaceDN w:val="0"/>
        <w:adjustRightInd w:val="0"/>
        <w:ind w:left="540" w:hanging="540"/>
        <w:rPr>
          <w:rFonts w:ascii="Calibri" w:hAnsi="Calibri" w:cs="Calibri"/>
          <w:color w:val="000000"/>
          <w:kern w:val="24"/>
          <w:sz w:val="24"/>
          <w:szCs w:val="24"/>
          <w:lang w:eastAsia="en-AU"/>
        </w:rPr>
      </w:pPr>
      <w:r w:rsidRPr="00320795">
        <w:rPr>
          <w:rFonts w:ascii="Calibri" w:hAnsi="Calibri" w:cs="Calibri"/>
          <w:color w:val="000000"/>
          <w:kern w:val="24"/>
          <w:sz w:val="24"/>
          <w:szCs w:val="24"/>
          <w:lang w:eastAsia="en-AU"/>
        </w:rPr>
        <w:t>Opportunities</w:t>
      </w:r>
    </w:p>
    <w:p w:rsidR="003A20BB" w:rsidRPr="00320795" w:rsidRDefault="003A20BB" w:rsidP="003A20BB">
      <w:pPr>
        <w:numPr>
          <w:ilvl w:val="0"/>
          <w:numId w:val="7"/>
        </w:numPr>
        <w:autoSpaceDE w:val="0"/>
        <w:autoSpaceDN w:val="0"/>
        <w:adjustRightInd w:val="0"/>
        <w:ind w:left="1170" w:hanging="450"/>
        <w:rPr>
          <w:rFonts w:ascii="Calibri" w:hAnsi="Calibri" w:cs="Calibri"/>
          <w:color w:val="000000"/>
          <w:kern w:val="24"/>
          <w:sz w:val="24"/>
          <w:szCs w:val="24"/>
          <w:lang w:val="en-US" w:eastAsia="en-AU"/>
        </w:rPr>
      </w:pPr>
      <w:r w:rsidRPr="00320795">
        <w:rPr>
          <w:rFonts w:ascii="Calibri" w:hAnsi="Calibri" w:cs="Calibri"/>
          <w:color w:val="000000"/>
          <w:kern w:val="24"/>
          <w:sz w:val="24"/>
          <w:szCs w:val="24"/>
          <w:lang w:val="en-US" w:eastAsia="en-AU"/>
        </w:rPr>
        <w:t>Unmet demand across all skill levels</w:t>
      </w:r>
    </w:p>
    <w:p w:rsidR="003A20BB" w:rsidRPr="00320795" w:rsidRDefault="003A20BB" w:rsidP="003A20BB">
      <w:pPr>
        <w:numPr>
          <w:ilvl w:val="0"/>
          <w:numId w:val="7"/>
        </w:numPr>
        <w:autoSpaceDE w:val="0"/>
        <w:autoSpaceDN w:val="0"/>
        <w:adjustRightInd w:val="0"/>
        <w:ind w:left="1170" w:hanging="450"/>
        <w:rPr>
          <w:rFonts w:ascii="Calibri" w:hAnsi="Calibri" w:cs="Calibri"/>
          <w:color w:val="000000"/>
          <w:kern w:val="24"/>
          <w:sz w:val="24"/>
          <w:szCs w:val="24"/>
          <w:lang w:val="en-US" w:eastAsia="en-AU"/>
        </w:rPr>
      </w:pPr>
      <w:r w:rsidRPr="00320795">
        <w:rPr>
          <w:rFonts w:ascii="Calibri" w:hAnsi="Calibri" w:cs="Calibri"/>
          <w:color w:val="000000"/>
          <w:kern w:val="24"/>
          <w:sz w:val="24"/>
          <w:szCs w:val="24"/>
          <w:lang w:val="en-US" w:eastAsia="en-AU"/>
        </w:rPr>
        <w:t>Large and growing industries (Health Care and Social Assistance)</w:t>
      </w:r>
    </w:p>
    <w:p w:rsidR="003A20BB" w:rsidRPr="00320795" w:rsidRDefault="003A20BB" w:rsidP="003A20BB">
      <w:pPr>
        <w:numPr>
          <w:ilvl w:val="0"/>
          <w:numId w:val="7"/>
        </w:numPr>
        <w:autoSpaceDE w:val="0"/>
        <w:autoSpaceDN w:val="0"/>
        <w:adjustRightInd w:val="0"/>
        <w:ind w:left="1170" w:hanging="450"/>
        <w:rPr>
          <w:rFonts w:ascii="Calibri" w:hAnsi="Calibri" w:cs="Calibri"/>
          <w:color w:val="000000"/>
          <w:kern w:val="24"/>
          <w:sz w:val="24"/>
          <w:szCs w:val="24"/>
          <w:lang w:val="en-US" w:eastAsia="en-AU"/>
        </w:rPr>
      </w:pPr>
      <w:r w:rsidRPr="00320795">
        <w:rPr>
          <w:rFonts w:ascii="Calibri" w:hAnsi="Calibri" w:cs="Calibri"/>
          <w:color w:val="000000"/>
          <w:kern w:val="24"/>
          <w:sz w:val="24"/>
          <w:szCs w:val="24"/>
          <w:lang w:val="en-US" w:eastAsia="en-AU"/>
        </w:rPr>
        <w:t>Shortfall of Community and Personal Service Workers, and Technicians and Trades Workers</w:t>
      </w:r>
    </w:p>
    <w:p w:rsidR="003A20BB" w:rsidRPr="00320795" w:rsidRDefault="003A20BB" w:rsidP="003A20BB">
      <w:pPr>
        <w:autoSpaceDE w:val="0"/>
        <w:autoSpaceDN w:val="0"/>
        <w:adjustRightInd w:val="0"/>
        <w:ind w:left="1170" w:hanging="450"/>
        <w:rPr>
          <w:rFonts w:ascii="Calibri" w:hAnsi="Calibri" w:cs="Calibri"/>
          <w:color w:val="000000"/>
          <w:kern w:val="24"/>
          <w:sz w:val="24"/>
          <w:szCs w:val="24"/>
          <w:lang w:val="en-US" w:eastAsia="en-AU"/>
        </w:rPr>
      </w:pPr>
    </w:p>
    <w:p w:rsidR="003A20BB" w:rsidRPr="00320795" w:rsidRDefault="003A20BB" w:rsidP="003A20BB">
      <w:pPr>
        <w:numPr>
          <w:ilvl w:val="0"/>
          <w:numId w:val="6"/>
        </w:numPr>
        <w:autoSpaceDE w:val="0"/>
        <w:autoSpaceDN w:val="0"/>
        <w:adjustRightInd w:val="0"/>
        <w:ind w:left="540" w:hanging="540"/>
        <w:rPr>
          <w:rFonts w:ascii="Calibri" w:hAnsi="Calibri" w:cs="Calibri"/>
          <w:color w:val="000000"/>
          <w:kern w:val="24"/>
          <w:sz w:val="24"/>
          <w:szCs w:val="24"/>
          <w:lang w:eastAsia="en-AU"/>
        </w:rPr>
      </w:pPr>
      <w:r w:rsidRPr="00320795">
        <w:rPr>
          <w:rFonts w:ascii="Calibri" w:hAnsi="Calibri" w:cs="Calibri"/>
          <w:color w:val="000000"/>
          <w:kern w:val="24"/>
          <w:sz w:val="24"/>
          <w:szCs w:val="24"/>
          <w:lang w:eastAsia="en-AU"/>
        </w:rPr>
        <w:t>Need to ensure that all key stakeholders, including employers, continue to work collaboratively</w:t>
      </w:r>
    </w:p>
    <w:p w:rsidR="003A20BB" w:rsidRDefault="003A20BB" w:rsidP="003A20BB">
      <w:pPr>
        <w:autoSpaceDE w:val="0"/>
        <w:autoSpaceDN w:val="0"/>
        <w:adjustRightInd w:val="0"/>
        <w:ind w:left="540" w:hanging="540"/>
        <w:rPr>
          <w:rFonts w:ascii="Calibri" w:hAnsi="Calibri" w:cs="Calibri"/>
          <w:color w:val="000000"/>
          <w:kern w:val="24"/>
          <w:sz w:val="28"/>
          <w:szCs w:val="28"/>
          <w:lang w:eastAsia="en-AU"/>
        </w:rPr>
      </w:pPr>
    </w:p>
    <w:p w:rsidR="003A20BB" w:rsidRDefault="003A20BB" w:rsidP="00FB29AD">
      <w:r>
        <w:lastRenderedPageBreak/>
        <w:t>Slide 25</w:t>
      </w:r>
    </w:p>
    <w:p w:rsidR="003A20BB" w:rsidRDefault="003A20BB" w:rsidP="003A20BB">
      <w:pPr>
        <w:spacing w:line="360" w:lineRule="auto"/>
      </w:pPr>
    </w:p>
    <w:p w:rsidR="003A20BB" w:rsidRDefault="00FB29AD" w:rsidP="003A20BB">
      <w:pPr>
        <w:spacing w:line="360" w:lineRule="auto"/>
        <w:jc w:val="center"/>
      </w:pPr>
      <w:r>
        <w:object w:dxaOrig="7216" w:dyaOrig="5409">
          <v:shape id="_x0000_i1049" type="#_x0000_t75" style="width:360.75pt;height:276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49" DrawAspect="Content" ObjectID="_1412079728" r:id="rId56"/>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Further Information</w:t>
      </w:r>
    </w:p>
    <w:p w:rsidR="003A20BB" w:rsidRDefault="003A20BB" w:rsidP="003A20BB">
      <w:pPr>
        <w:autoSpaceDE w:val="0"/>
        <w:autoSpaceDN w:val="0"/>
        <w:adjustRightInd w:val="0"/>
        <w:rPr>
          <w:rFonts w:ascii="Calibri" w:hAnsi="Calibri" w:cs="Calibri"/>
          <w:b/>
          <w:bCs/>
          <w:color w:val="000000"/>
          <w:kern w:val="24"/>
          <w:sz w:val="24"/>
          <w:szCs w:val="24"/>
          <w:u w:val="single"/>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More information on labour market conditions and other research on small areas can be found on these web sites.</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A report on the survey findings for the Northern and Western Adelaide Priority Employment Area will be placed on the regional reports section of the DEEWR web site.</w:t>
      </w:r>
    </w:p>
    <w:p w:rsidR="003A20BB" w:rsidRDefault="003A20BB" w:rsidP="003A20BB">
      <w:pPr>
        <w:autoSpaceDE w:val="0"/>
        <w:autoSpaceDN w:val="0"/>
        <w:adjustRightInd w:val="0"/>
        <w:rPr>
          <w:rFonts w:ascii="Calibri" w:hAnsi="Calibri" w:cs="Calibri"/>
          <w:color w:val="000000"/>
          <w:kern w:val="24"/>
          <w:sz w:val="24"/>
          <w:szCs w:val="24"/>
          <w:lang w:eastAsia="en-AU"/>
        </w:rPr>
      </w:pPr>
    </w:p>
    <w:p w:rsidR="003A20BB" w:rsidRDefault="003A20BB" w:rsidP="003A20BB">
      <w:pPr>
        <w:autoSpaceDE w:val="0"/>
        <w:autoSpaceDN w:val="0"/>
        <w:adjustRightInd w:val="0"/>
        <w:rPr>
          <w:rFonts w:cs="Arial"/>
          <w:sz w:val="24"/>
          <w:szCs w:val="24"/>
          <w:lang w:eastAsia="en-AU"/>
        </w:rPr>
      </w:pPr>
    </w:p>
    <w:p w:rsidR="003A20BB" w:rsidRDefault="003A20BB" w:rsidP="003A20BB">
      <w:pPr>
        <w:spacing w:line="360" w:lineRule="auto"/>
      </w:pPr>
    </w:p>
    <w:p w:rsidR="003A20BB" w:rsidRDefault="003A20BB">
      <w:r>
        <w:br w:type="page"/>
      </w:r>
    </w:p>
    <w:p w:rsidR="003A20BB" w:rsidRDefault="003A20BB" w:rsidP="003A20BB">
      <w:pPr>
        <w:spacing w:line="360" w:lineRule="auto"/>
      </w:pPr>
      <w:r>
        <w:lastRenderedPageBreak/>
        <w:t>Slide 26</w:t>
      </w:r>
    </w:p>
    <w:p w:rsidR="003A20BB" w:rsidRDefault="003A20BB" w:rsidP="003A20BB">
      <w:pPr>
        <w:spacing w:line="360" w:lineRule="auto"/>
      </w:pPr>
    </w:p>
    <w:p w:rsidR="003A20BB" w:rsidRDefault="0013234A" w:rsidP="003A20BB">
      <w:pPr>
        <w:spacing w:line="360" w:lineRule="auto"/>
        <w:jc w:val="center"/>
      </w:pPr>
      <w:r>
        <w:object w:dxaOrig="7216" w:dyaOrig="5409">
          <v:shape id="_x0000_i1050" type="#_x0000_t75" style="width:360.75pt;height:270.75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50" DrawAspect="Content" ObjectID="_1412079729" r:id="rId58"/>
        </w:object>
      </w:r>
    </w:p>
    <w:p w:rsidR="003A20BB" w:rsidRDefault="003A20BB" w:rsidP="003A20BB">
      <w:pPr>
        <w:spacing w:line="360" w:lineRule="auto"/>
        <w:jc w:val="center"/>
      </w:pPr>
    </w:p>
    <w:p w:rsidR="003A20BB" w:rsidRDefault="003A20BB" w:rsidP="003A20BB">
      <w:pPr>
        <w:autoSpaceDE w:val="0"/>
        <w:autoSpaceDN w:val="0"/>
        <w:adjustRightInd w:val="0"/>
        <w:rPr>
          <w:rFonts w:ascii="Calibri" w:hAnsi="Calibri" w:cs="Calibri"/>
          <w:b/>
          <w:bCs/>
          <w:color w:val="000000"/>
          <w:kern w:val="24"/>
          <w:sz w:val="24"/>
          <w:szCs w:val="24"/>
          <w:lang w:eastAsia="en-AU"/>
        </w:rPr>
      </w:pPr>
      <w:r>
        <w:rPr>
          <w:rFonts w:ascii="Calibri" w:hAnsi="Calibri" w:cs="Calibri"/>
          <w:b/>
          <w:bCs/>
          <w:color w:val="000000"/>
          <w:kern w:val="24"/>
          <w:sz w:val="24"/>
          <w:szCs w:val="24"/>
          <w:lang w:eastAsia="en-AU"/>
        </w:rPr>
        <w:t>Australian Government</w:t>
      </w:r>
    </w:p>
    <w:p w:rsidR="003A20BB" w:rsidRDefault="003A20BB" w:rsidP="003A20BB">
      <w:pPr>
        <w:autoSpaceDE w:val="0"/>
        <w:autoSpaceDN w:val="0"/>
        <w:adjustRightInd w:val="0"/>
        <w:rPr>
          <w:rFonts w:ascii="Calibri" w:hAnsi="Calibri" w:cs="Calibri"/>
          <w:b/>
          <w:bCs/>
          <w:color w:val="000000"/>
          <w:kern w:val="24"/>
          <w:sz w:val="24"/>
          <w:szCs w:val="24"/>
          <w:lang w:eastAsia="en-AU"/>
        </w:rPr>
      </w:pPr>
      <w:r>
        <w:rPr>
          <w:rFonts w:ascii="Calibri" w:hAnsi="Calibri" w:cs="Calibri"/>
          <w:b/>
          <w:bCs/>
          <w:color w:val="000000"/>
          <w:kern w:val="24"/>
          <w:sz w:val="24"/>
          <w:szCs w:val="24"/>
          <w:lang w:eastAsia="en-AU"/>
        </w:rPr>
        <w:t>Department of Education, Employment and Workplace Relations</w:t>
      </w:r>
    </w:p>
    <w:p w:rsidR="003A20BB" w:rsidRDefault="003A20BB" w:rsidP="003A20BB">
      <w:pPr>
        <w:autoSpaceDE w:val="0"/>
        <w:autoSpaceDN w:val="0"/>
        <w:adjustRightInd w:val="0"/>
        <w:rPr>
          <w:rFonts w:cs="Arial"/>
          <w:sz w:val="24"/>
          <w:szCs w:val="24"/>
          <w:lang w:eastAsia="en-AU"/>
        </w:rPr>
      </w:pPr>
    </w:p>
    <w:p w:rsidR="003A20BB" w:rsidRDefault="003A20BB" w:rsidP="003A20BB">
      <w:pPr>
        <w:spacing w:line="360" w:lineRule="auto"/>
      </w:pPr>
    </w:p>
    <w:p w:rsidR="00FD16BC" w:rsidRDefault="00FD16BC" w:rsidP="003A20BB">
      <w:pPr>
        <w:spacing w:line="360" w:lineRule="auto"/>
      </w:pPr>
    </w:p>
    <w:sectPr w:rsidR="00FD16BC" w:rsidSect="002014DB">
      <w:headerReference w:type="even" r:id="rId59"/>
      <w:headerReference w:type="default" r:id="rId60"/>
      <w:footerReference w:type="even" r:id="rId61"/>
      <w:footerReference w:type="default" r:id="rId62"/>
      <w:headerReference w:type="first" r:id="rId63"/>
      <w:footerReference w:type="first" r:id="rId64"/>
      <w:pgSz w:w="11906" w:h="16838" w:code="9"/>
      <w:pgMar w:top="1418" w:right="1134" w:bottom="426" w:left="1418" w:header="567" w:footer="567"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DEE" w:rsidRDefault="00DB4DEE" w:rsidP="00236791">
      <w:r>
        <w:separator/>
      </w:r>
    </w:p>
  </w:endnote>
  <w:endnote w:type="continuationSeparator" w:id="0">
    <w:p w:rsidR="00DB4DEE" w:rsidRDefault="00DB4DEE" w:rsidP="002367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DEE" w:rsidRDefault="00DB4DE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DEE" w:rsidRDefault="00DB4DE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DEE" w:rsidRDefault="00DB4D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DEE" w:rsidRDefault="00DB4DEE" w:rsidP="00236791">
      <w:r>
        <w:separator/>
      </w:r>
    </w:p>
  </w:footnote>
  <w:footnote w:type="continuationSeparator" w:id="0">
    <w:p w:rsidR="00DB4DEE" w:rsidRDefault="00DB4DEE" w:rsidP="002367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DEE" w:rsidRDefault="00DB4DE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DEE" w:rsidRDefault="00DB4DE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DEE" w:rsidRDefault="00DB4D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0EA8F7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B83EAD56"/>
    <w:lvl w:ilvl="0">
      <w:numFmt w:val="bullet"/>
      <w:lvlText w:val="*"/>
      <w:lvlJc w:val="left"/>
    </w:lvl>
  </w:abstractNum>
  <w:abstractNum w:abstractNumId="2">
    <w:nsid w:val="480B0AC3"/>
    <w:multiLevelType w:val="hybridMultilevel"/>
    <w:tmpl w:val="09AC4B2A"/>
    <w:lvl w:ilvl="0" w:tplc="B83EAD56">
      <w:numFmt w:val="bullet"/>
      <w:lvlText w:val="-"/>
      <w:lvlJc w:val="left"/>
      <w:pPr>
        <w:ind w:left="360" w:hanging="360"/>
      </w:pPr>
      <w:rPr>
        <w:rFonts w:ascii="Calibri" w:hAnsi="Calibri"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5A7E6BA3"/>
    <w:multiLevelType w:val="hybridMultilevel"/>
    <w:tmpl w:val="4E4E5A9C"/>
    <w:lvl w:ilvl="0" w:tplc="1A22F922">
      <w:start w:val="1"/>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58247D7"/>
    <w:multiLevelType w:val="hybridMultilevel"/>
    <w:tmpl w:val="734EFE28"/>
    <w:lvl w:ilvl="0" w:tplc="B83EAD56">
      <w:numFmt w:val="bullet"/>
      <w:lvlText w:val="-"/>
      <w:lvlJc w:val="left"/>
      <w:pPr>
        <w:ind w:left="360" w:hanging="360"/>
      </w:pPr>
      <w:rPr>
        <w:rFonts w:ascii="Calibri" w:hAnsi="Calibri"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7BD6194"/>
    <w:multiLevelType w:val="hybridMultilevel"/>
    <w:tmpl w:val="1780EF24"/>
    <w:lvl w:ilvl="0" w:tplc="D1149FC0">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lvlOverride w:ilvl="0">
      <w:lvl w:ilvl="0">
        <w:numFmt w:val="bullet"/>
        <w:lvlText w:val="•"/>
        <w:legacy w:legacy="1" w:legacySpace="0" w:legacyIndent="0"/>
        <w:lvlJc w:val="left"/>
        <w:rPr>
          <w:rFonts w:ascii="Calibri" w:hAnsi="Calibri" w:hint="default"/>
          <w:sz w:val="24"/>
        </w:rPr>
      </w:lvl>
    </w:lvlOverride>
  </w:num>
  <w:num w:numId="2">
    <w:abstractNumId w:val="1"/>
    <w:lvlOverride w:ilvl="0">
      <w:lvl w:ilvl="0">
        <w:numFmt w:val="bullet"/>
        <w:lvlText w:val="-"/>
        <w:legacy w:legacy="1" w:legacySpace="0" w:legacyIndent="0"/>
        <w:lvlJc w:val="left"/>
        <w:rPr>
          <w:rFonts w:ascii="Calibri" w:hAnsi="Calibri" w:hint="default"/>
          <w:sz w:val="24"/>
        </w:rPr>
      </w:lvl>
    </w:lvlOverride>
  </w:num>
  <w:num w:numId="3">
    <w:abstractNumId w:val="1"/>
    <w:lvlOverride w:ilvl="0">
      <w:lvl w:ilvl="0">
        <w:numFmt w:val="bullet"/>
        <w:lvlText w:val="•"/>
        <w:legacy w:legacy="1" w:legacySpace="0" w:legacyIndent="0"/>
        <w:lvlJc w:val="left"/>
        <w:rPr>
          <w:rFonts w:ascii="Arial" w:hAnsi="Arial" w:cs="Arial" w:hint="default"/>
          <w:sz w:val="24"/>
        </w:rPr>
      </w:lvl>
    </w:lvlOverride>
  </w:num>
  <w:num w:numId="4">
    <w:abstractNumId w:val="1"/>
    <w:lvlOverride w:ilvl="0">
      <w:lvl w:ilvl="0">
        <w:numFmt w:val="bullet"/>
        <w:lvlText w:val="─"/>
        <w:legacy w:legacy="1" w:legacySpace="0" w:legacyIndent="0"/>
        <w:lvlJc w:val="left"/>
        <w:rPr>
          <w:rFonts w:ascii="Times New Roman" w:hAnsi="Times New Roman" w:cs="Times New Roman" w:hint="default"/>
          <w:sz w:val="24"/>
        </w:rPr>
      </w:lvl>
    </w:lvlOverride>
  </w:num>
  <w:num w:numId="5">
    <w:abstractNumId w:val="1"/>
    <w:lvlOverride w:ilvl="0">
      <w:lvl w:ilvl="0">
        <w:numFmt w:val="bullet"/>
        <w:lvlText w:val="-"/>
        <w:legacy w:legacy="1" w:legacySpace="0" w:legacyIndent="0"/>
        <w:lvlJc w:val="left"/>
        <w:rPr>
          <w:rFonts w:ascii="Calibri" w:hAnsi="Calibri" w:hint="default"/>
          <w:sz w:val="20"/>
        </w:rPr>
      </w:lvl>
    </w:lvlOverride>
  </w:num>
  <w:num w:numId="6">
    <w:abstractNumId w:val="1"/>
    <w:lvlOverride w:ilvl="0">
      <w:lvl w:ilvl="0">
        <w:numFmt w:val="bullet"/>
        <w:lvlText w:val="•"/>
        <w:legacy w:legacy="1" w:legacySpace="0" w:legacyIndent="0"/>
        <w:lvlJc w:val="left"/>
        <w:rPr>
          <w:rFonts w:ascii="Arial" w:hAnsi="Arial" w:cs="Arial" w:hint="default"/>
          <w:sz w:val="28"/>
        </w:rPr>
      </w:lvl>
    </w:lvlOverride>
  </w:num>
  <w:num w:numId="7">
    <w:abstractNumId w:val="1"/>
    <w:lvlOverride w:ilvl="0">
      <w:lvl w:ilvl="0">
        <w:numFmt w:val="bullet"/>
        <w:lvlText w:val="–"/>
        <w:legacy w:legacy="1" w:legacySpace="0" w:legacyIndent="0"/>
        <w:lvlJc w:val="left"/>
        <w:rPr>
          <w:rFonts w:ascii="Calibri" w:hAnsi="Calibri" w:hint="default"/>
          <w:sz w:val="28"/>
        </w:rPr>
      </w:lvl>
    </w:lvlOverride>
  </w:num>
  <w:num w:numId="8">
    <w:abstractNumId w:val="2"/>
  </w:num>
  <w:num w:numId="9">
    <w:abstractNumId w:val="5"/>
  </w:num>
  <w:num w:numId="10">
    <w:abstractNumId w:val="4"/>
  </w:num>
  <w:num w:numId="11">
    <w:abstractNumId w:val="3"/>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567"/>
  <w:drawingGridHorizontalSpacing w:val="100"/>
  <w:drawingGridVerticalSpacing w:val="136"/>
  <w:displayHorizontalDrawingGridEvery w:val="0"/>
  <w:displayVerticalDrawingGridEvery w:val="2"/>
  <w:noPunctuationKerning/>
  <w:characterSpacingControl w:val="doNotCompress"/>
  <w:footnotePr>
    <w:footnote w:id="-1"/>
    <w:footnote w:id="0"/>
  </w:footnotePr>
  <w:endnotePr>
    <w:endnote w:id="-1"/>
    <w:endnote w:id="0"/>
  </w:endnotePr>
  <w:compat/>
  <w:docVars>
    <w:docVar w:name="_AMO_XmlVersion" w:val="Empty"/>
  </w:docVars>
  <w:rsids>
    <w:rsidRoot w:val="003A20BB"/>
    <w:rsid w:val="00013AF9"/>
    <w:rsid w:val="0013234A"/>
    <w:rsid w:val="001605D7"/>
    <w:rsid w:val="001F0481"/>
    <w:rsid w:val="002014DB"/>
    <w:rsid w:val="00236791"/>
    <w:rsid w:val="0027122C"/>
    <w:rsid w:val="002B7A04"/>
    <w:rsid w:val="002D4D60"/>
    <w:rsid w:val="00320795"/>
    <w:rsid w:val="003A20BB"/>
    <w:rsid w:val="00471FD8"/>
    <w:rsid w:val="004B4A87"/>
    <w:rsid w:val="004D01D3"/>
    <w:rsid w:val="005D236C"/>
    <w:rsid w:val="00613F81"/>
    <w:rsid w:val="00692BBD"/>
    <w:rsid w:val="006C5D72"/>
    <w:rsid w:val="00737AB0"/>
    <w:rsid w:val="007E405D"/>
    <w:rsid w:val="00835B04"/>
    <w:rsid w:val="00863F4E"/>
    <w:rsid w:val="008F38B5"/>
    <w:rsid w:val="009805B9"/>
    <w:rsid w:val="00A14680"/>
    <w:rsid w:val="00A20EAE"/>
    <w:rsid w:val="00A35BAC"/>
    <w:rsid w:val="00A75645"/>
    <w:rsid w:val="00A93339"/>
    <w:rsid w:val="00A9762A"/>
    <w:rsid w:val="00AE75BD"/>
    <w:rsid w:val="00B0435F"/>
    <w:rsid w:val="00B4410E"/>
    <w:rsid w:val="00B445B2"/>
    <w:rsid w:val="00B858D1"/>
    <w:rsid w:val="00BB2D7A"/>
    <w:rsid w:val="00BF0D28"/>
    <w:rsid w:val="00C1434F"/>
    <w:rsid w:val="00C91F8F"/>
    <w:rsid w:val="00D641B9"/>
    <w:rsid w:val="00DB1B87"/>
    <w:rsid w:val="00DB4DEE"/>
    <w:rsid w:val="00E65DE5"/>
    <w:rsid w:val="00EA3892"/>
    <w:rsid w:val="00EA646D"/>
    <w:rsid w:val="00EB0528"/>
    <w:rsid w:val="00EE5BF2"/>
    <w:rsid w:val="00FB29AD"/>
    <w:rsid w:val="00FD16BC"/>
    <w:rsid w:val="00FF624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5BD"/>
    <w:rPr>
      <w:rFonts w:ascii="Arial" w:hAnsi="Arial"/>
      <w:sz w:val="22"/>
      <w:lang w:eastAsia="en-US"/>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4D60"/>
    <w:pPr>
      <w:ind w:left="720"/>
      <w:contextualSpacing/>
    </w:pPr>
  </w:style>
  <w:style w:type="paragraph" w:styleId="Header">
    <w:name w:val="header"/>
    <w:basedOn w:val="Normal"/>
    <w:link w:val="HeaderChar"/>
    <w:uiPriority w:val="99"/>
    <w:semiHidden/>
    <w:unhideWhenUsed/>
    <w:rsid w:val="00236791"/>
    <w:pPr>
      <w:tabs>
        <w:tab w:val="center" w:pos="4513"/>
        <w:tab w:val="right" w:pos="9026"/>
      </w:tabs>
    </w:pPr>
  </w:style>
  <w:style w:type="character" w:customStyle="1" w:styleId="HeaderChar">
    <w:name w:val="Header Char"/>
    <w:basedOn w:val="DefaultParagraphFont"/>
    <w:link w:val="Header"/>
    <w:uiPriority w:val="99"/>
    <w:semiHidden/>
    <w:rsid w:val="00236791"/>
    <w:rPr>
      <w:rFonts w:ascii="Arial" w:hAnsi="Arial"/>
      <w:sz w:val="22"/>
      <w:lang w:eastAsia="en-US"/>
    </w:rPr>
  </w:style>
  <w:style w:type="paragraph" w:styleId="Footer">
    <w:name w:val="footer"/>
    <w:basedOn w:val="Normal"/>
    <w:link w:val="FooterChar"/>
    <w:uiPriority w:val="99"/>
    <w:semiHidden/>
    <w:unhideWhenUsed/>
    <w:rsid w:val="00236791"/>
    <w:pPr>
      <w:tabs>
        <w:tab w:val="center" w:pos="4513"/>
        <w:tab w:val="right" w:pos="9026"/>
      </w:tabs>
    </w:pPr>
  </w:style>
  <w:style w:type="character" w:customStyle="1" w:styleId="FooterChar">
    <w:name w:val="Footer Char"/>
    <w:basedOn w:val="DefaultParagraphFont"/>
    <w:link w:val="Footer"/>
    <w:uiPriority w:val="99"/>
    <w:semiHidden/>
    <w:rsid w:val="00236791"/>
    <w:rPr>
      <w:rFonts w:ascii="Arial" w:hAnsi="Arial"/>
      <w:sz w:val="22"/>
      <w:lang w:eastAsia="en-US"/>
    </w:rPr>
  </w:style>
  <w:style w:type="paragraph" w:styleId="ListBullet">
    <w:name w:val="List Bullet"/>
    <w:basedOn w:val="Normal"/>
    <w:uiPriority w:val="99"/>
    <w:unhideWhenUsed/>
    <w:rsid w:val="00A9762A"/>
    <w:pPr>
      <w:numPr>
        <w:numId w:val="12"/>
      </w:numPr>
      <w:contextualSpacing/>
    </w:pPr>
  </w:style>
</w:styles>
</file>

<file path=word/webSettings.xml><?xml version="1.0" encoding="utf-8"?>
<w:webSettings xmlns:r="http://schemas.openxmlformats.org/officeDocument/2006/relationships" xmlns:w="http://schemas.openxmlformats.org/wordprocessingml/2006/main">
  <w:divs>
    <w:div w:id="149823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PowerPoint_Slide10.sldx"/><Relationship Id="rId21" Type="http://schemas.openxmlformats.org/officeDocument/2006/relationships/image" Target="media/image8.emf"/><Relationship Id="rId42" Type="http://schemas.openxmlformats.org/officeDocument/2006/relationships/package" Target="embeddings/Microsoft_Office_PowerPoint_Slide18.sldx"/><Relationship Id="rId47" Type="http://schemas.openxmlformats.org/officeDocument/2006/relationships/image" Target="media/image21.emf"/><Relationship Id="rId63" Type="http://schemas.openxmlformats.org/officeDocument/2006/relationships/header" Target="header3.xml"/><Relationship Id="rId68" Type="http://schemas.openxmlformats.org/officeDocument/2006/relationships/customXml" Target="../customXml/item2.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Microsoft_Office_PowerPoint_Slide5.sl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Office_PowerPoint_Slide9.sldx"/><Relationship Id="rId32" Type="http://schemas.openxmlformats.org/officeDocument/2006/relationships/package" Target="embeddings/Microsoft_Office_PowerPoint_Slide13.sldx"/><Relationship Id="rId37" Type="http://schemas.openxmlformats.org/officeDocument/2006/relationships/image" Target="media/image16.emf"/><Relationship Id="rId40" Type="http://schemas.openxmlformats.org/officeDocument/2006/relationships/package" Target="embeddings/Microsoft_Office_PowerPoint_Slide17.sl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Office_PowerPoint_Slide26.sldx"/><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7.emf"/><Relationship Id="rId14" Type="http://schemas.openxmlformats.org/officeDocument/2006/relationships/package" Target="embeddings/Microsoft_Office_PowerPoint_Slide4.sldx"/><Relationship Id="rId22" Type="http://schemas.openxmlformats.org/officeDocument/2006/relationships/package" Target="embeddings/Microsoft_Office_PowerPoint_Slide8.sldx"/><Relationship Id="rId27" Type="http://schemas.openxmlformats.org/officeDocument/2006/relationships/image" Target="media/image11.emf"/><Relationship Id="rId30" Type="http://schemas.openxmlformats.org/officeDocument/2006/relationships/package" Target="embeddings/Microsoft_Office_PowerPoint_Slide12.sl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Office_PowerPoint_Slide21.sldx"/><Relationship Id="rId56" Type="http://schemas.openxmlformats.org/officeDocument/2006/relationships/package" Target="embeddings/Microsoft_Office_PowerPoint_Slide25.sldx"/><Relationship Id="rId64" Type="http://schemas.openxmlformats.org/officeDocument/2006/relationships/footer" Target="footer3.xml"/><Relationship Id="rId69" Type="http://schemas.openxmlformats.org/officeDocument/2006/relationships/customXml" Target="../customXml/item3.xml"/><Relationship Id="rId8" Type="http://schemas.openxmlformats.org/officeDocument/2006/relationships/package" Target="embeddings/Microsoft_Office_PowerPoint_Slide1.sldx"/><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package" Target="embeddings/Microsoft_Office_PowerPoint_Slide3.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Office_PowerPoint_Slide16.sldx"/><Relationship Id="rId46" Type="http://schemas.openxmlformats.org/officeDocument/2006/relationships/package" Target="embeddings/Microsoft_Office_PowerPoint_Slide20.sldx"/><Relationship Id="rId59" Type="http://schemas.openxmlformats.org/officeDocument/2006/relationships/header" Target="header1.xml"/><Relationship Id="rId67" Type="http://schemas.openxmlformats.org/officeDocument/2006/relationships/customXml" Target="../customXml/item1.xml"/><Relationship Id="rId20" Type="http://schemas.openxmlformats.org/officeDocument/2006/relationships/package" Target="embeddings/Microsoft_Office_PowerPoint_Slide7.sldx"/><Relationship Id="rId41" Type="http://schemas.openxmlformats.org/officeDocument/2006/relationships/image" Target="media/image18.emf"/><Relationship Id="rId54" Type="http://schemas.openxmlformats.org/officeDocument/2006/relationships/package" Target="embeddings/Microsoft_Office_PowerPoint_Slide24.sldx"/><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PowerPoint_Slide11.sldx"/><Relationship Id="rId36" Type="http://schemas.openxmlformats.org/officeDocument/2006/relationships/package" Target="embeddings/Microsoft_Office_PowerPoint_Slide15.sl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package" Target="embeddings/Microsoft_Office_PowerPoint_Slide2.sldx"/><Relationship Id="rId31" Type="http://schemas.openxmlformats.org/officeDocument/2006/relationships/image" Target="media/image13.emf"/><Relationship Id="rId44" Type="http://schemas.openxmlformats.org/officeDocument/2006/relationships/package" Target="embeddings/Microsoft_Office_PowerPoint_Slide19.sldx"/><Relationship Id="rId52" Type="http://schemas.openxmlformats.org/officeDocument/2006/relationships/package" Target="embeddings/Microsoft_Office_PowerPoint_Slide23.sldx"/><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package" Target="embeddings/Microsoft_Office_PowerPoint_Slide6.sldx"/><Relationship Id="rId39" Type="http://schemas.openxmlformats.org/officeDocument/2006/relationships/image" Target="media/image17.emf"/><Relationship Id="rId34" Type="http://schemas.openxmlformats.org/officeDocument/2006/relationships/package" Target="embeddings/Microsoft_Office_PowerPoint_Slide14.sldx"/><Relationship Id="rId50" Type="http://schemas.openxmlformats.org/officeDocument/2006/relationships/package" Target="embeddings/Microsoft_Office_PowerPoint_Slide22.sldx"/><Relationship Id="rId55"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F38ADF-F5B5-4319-9DBF-FBCC4CAAC53A}"/>
</file>

<file path=customXml/itemProps2.xml><?xml version="1.0" encoding="utf-8"?>
<ds:datastoreItem xmlns:ds="http://schemas.openxmlformats.org/officeDocument/2006/customXml" ds:itemID="{596C11A4-D8C2-4F3A-B8C8-C30C4751F5C1}"/>
</file>

<file path=customXml/itemProps3.xml><?xml version="1.0" encoding="utf-8"?>
<ds:datastoreItem xmlns:ds="http://schemas.openxmlformats.org/officeDocument/2006/customXml" ds:itemID="{7DEBF7CF-E2FE-48FB-9299-EDCC14E09A06}"/>
</file>

<file path=docProps/app.xml><?xml version="1.0" encoding="utf-8"?>
<Properties xmlns="http://schemas.openxmlformats.org/officeDocument/2006/extended-properties" xmlns:vt="http://schemas.openxmlformats.org/officeDocument/2006/docPropsVTypes">
  <Template>Normal.dotm</Template>
  <TotalTime>3</TotalTime>
  <Pages>28</Pages>
  <Words>3794</Words>
  <Characters>20896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24641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Lavers</dc:creator>
  <cp:lastModifiedBy>Travis Suridge</cp:lastModifiedBy>
  <cp:revision>3</cp:revision>
  <cp:lastPrinted>2012-10-11T00:48:00Z</cp:lastPrinted>
  <dcterms:created xsi:type="dcterms:W3CDTF">2012-10-18T04:31:00Z</dcterms:created>
  <dcterms:modified xsi:type="dcterms:W3CDTF">2012-10-18T04:34:00Z</dcterms:modified>
</cp:coreProperties>
</file>