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14F3" w:rsidRPr="00CF32FE" w:rsidRDefault="00FC2270" w:rsidP="00130923">
      <w:pPr>
        <w:pStyle w:val="BodyText"/>
        <w:rPr>
          <w:sz w:val="60"/>
          <w:szCs w:val="60"/>
        </w:rPr>
      </w:pPr>
      <w:r>
        <w:rPr>
          <w:noProof/>
          <w:sz w:val="60"/>
          <w:szCs w:val="60"/>
        </w:rPr>
        <w:drawing>
          <wp:inline distT="0" distB="0" distL="0" distR="0">
            <wp:extent cx="7588800" cy="914400"/>
            <wp:effectExtent l="0" t="0" r="0" b="0"/>
            <wp:docPr id="3" name="Picture 3" descr="Australian Government Department of Employ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:\!Design Team\Work in Progress\_Employment\EM14-0169 EMP Lower skilled recuritment conditions\links\EM14-0169 EMP Lower skilled recuritment conditions_Smalll header Factsheet_Header_0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8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0726" w:rsidRDefault="00C30726" w:rsidP="009470F1">
      <w:pPr>
        <w:pStyle w:val="EMPNormal"/>
        <w:ind w:left="4535"/>
        <w:sectPr w:rsidR="00C30726" w:rsidSect="00AD61F3">
          <w:footerReference w:type="default" r:id="rId10"/>
          <w:footerReference w:type="first" r:id="rId11"/>
          <w:pgSz w:w="11906" w:h="16838"/>
          <w:pgMar w:top="0" w:right="1276" w:bottom="1440" w:left="0" w:header="709" w:footer="887" w:gutter="0"/>
          <w:cols w:space="708"/>
          <w:titlePg/>
          <w:docGrid w:linePitch="360"/>
        </w:sectPr>
      </w:pPr>
    </w:p>
    <w:p w:rsidR="00FC6AB3" w:rsidRDefault="00E55531" w:rsidP="00724D5E">
      <w:pPr>
        <w:pStyle w:val="EMPTitle"/>
        <w:spacing w:after="240"/>
      </w:pPr>
      <w:r w:rsidRPr="00E55531">
        <w:lastRenderedPageBreak/>
        <w:t xml:space="preserve">Labour market conditions in Mid West and Gascoyne </w:t>
      </w:r>
    </w:p>
    <w:p w:rsidR="00200F0A" w:rsidRPr="003E4978" w:rsidRDefault="00200F0A" w:rsidP="00200F0A">
      <w:pPr>
        <w:pStyle w:val="EMPListBullet"/>
        <w:spacing w:after="0"/>
        <w:contextualSpacing w:val="0"/>
        <w:jc w:val="both"/>
        <w:rPr>
          <w:lang w:val="en-US"/>
        </w:rPr>
      </w:pPr>
      <w:r w:rsidRPr="00083003">
        <w:t xml:space="preserve">Labour market conditions in the </w:t>
      </w:r>
      <w:proofErr w:type="spellStart"/>
      <w:r w:rsidRPr="00083003">
        <w:t>Mid West</w:t>
      </w:r>
      <w:proofErr w:type="spellEnd"/>
      <w:r w:rsidRPr="00083003">
        <w:t xml:space="preserve"> and Gascoyne</w:t>
      </w:r>
      <w:r>
        <w:rPr>
          <w:rStyle w:val="FootnoteReference"/>
        </w:rPr>
        <w:footnoteReference w:id="1"/>
      </w:r>
      <w:r w:rsidRPr="00083003">
        <w:t xml:space="preserve"> re</w:t>
      </w:r>
      <w:r>
        <w:t>gion continue to soften</w:t>
      </w:r>
      <w:r w:rsidRPr="00083003">
        <w:t>.</w:t>
      </w:r>
    </w:p>
    <w:p w:rsidR="00200F0A" w:rsidRPr="002C6974" w:rsidRDefault="00200F0A" w:rsidP="00200F0A">
      <w:pPr>
        <w:pStyle w:val="EMPListBullet2"/>
        <w:spacing w:after="0"/>
        <w:contextualSpacing w:val="0"/>
        <w:jc w:val="both"/>
        <w:rPr>
          <w:b/>
          <w:i/>
        </w:rPr>
      </w:pPr>
      <w:r w:rsidRPr="00B01EA2">
        <w:rPr>
          <w:lang w:val="en-US"/>
        </w:rPr>
        <w:t xml:space="preserve">The unemployment rate </w:t>
      </w:r>
      <w:r>
        <w:rPr>
          <w:lang w:val="en-US"/>
        </w:rPr>
        <w:t xml:space="preserve">has </w:t>
      </w:r>
      <w:r w:rsidRPr="00B01EA2">
        <w:rPr>
          <w:lang w:val="en-US"/>
        </w:rPr>
        <w:t>increased by 0.6 percentage points over the year, to stand at 7.2</w:t>
      </w:r>
      <w:r>
        <w:rPr>
          <w:lang w:val="en-US"/>
        </w:rPr>
        <w:t> </w:t>
      </w:r>
      <w:r w:rsidRPr="00B01EA2">
        <w:rPr>
          <w:lang w:val="en-US"/>
        </w:rPr>
        <w:t>per</w:t>
      </w:r>
      <w:r>
        <w:rPr>
          <w:lang w:val="en-US"/>
        </w:rPr>
        <w:t> </w:t>
      </w:r>
      <w:r w:rsidRPr="00B01EA2">
        <w:rPr>
          <w:lang w:val="en-US"/>
        </w:rPr>
        <w:t>cent in the September quarter 2014 (latest available data).</w:t>
      </w:r>
      <w:r w:rsidRPr="003A2CD8">
        <w:rPr>
          <w:vertAlign w:val="superscript"/>
          <w:lang w:val="en-US"/>
        </w:rPr>
        <w:footnoteReference w:id="2"/>
      </w:r>
    </w:p>
    <w:p w:rsidR="00200F0A" w:rsidRPr="003E4978" w:rsidRDefault="00200F0A" w:rsidP="00200F0A">
      <w:pPr>
        <w:pStyle w:val="EMPListBullet2"/>
        <w:spacing w:after="0"/>
        <w:contextualSpacing w:val="0"/>
        <w:jc w:val="both"/>
        <w:rPr>
          <w:b/>
          <w:i/>
        </w:rPr>
      </w:pPr>
      <w:r w:rsidRPr="004B01D3">
        <w:rPr>
          <w:lang w:val="en-US"/>
        </w:rPr>
        <w:t>Moreover, the number of people receiving unemployment benefits has increased by 17 per cent over</w:t>
      </w:r>
      <w:r w:rsidRPr="00B01EA2">
        <w:rPr>
          <w:lang w:val="en-US"/>
        </w:rPr>
        <w:t xml:space="preserve"> the year</w:t>
      </w:r>
      <w:r>
        <w:rPr>
          <w:rFonts w:cstheme="minorHAnsi"/>
        </w:rPr>
        <w:t>.</w:t>
      </w:r>
      <w:r w:rsidRPr="002C03E2">
        <w:rPr>
          <w:rStyle w:val="FootnoteReference"/>
          <w:rFonts w:cstheme="minorHAnsi"/>
        </w:rPr>
        <w:footnoteReference w:id="3"/>
      </w:r>
    </w:p>
    <w:p w:rsidR="00200F0A" w:rsidRPr="00A90757" w:rsidRDefault="00200F0A" w:rsidP="00200F0A">
      <w:pPr>
        <w:pStyle w:val="EMPListBullet"/>
        <w:numPr>
          <w:ilvl w:val="0"/>
          <w:numId w:val="32"/>
        </w:numPr>
        <w:spacing w:after="0"/>
        <w:contextualSpacing w:val="0"/>
        <w:jc w:val="both"/>
        <w:rPr>
          <w:lang w:val="en-US"/>
        </w:rPr>
      </w:pPr>
      <w:r w:rsidRPr="00A90757">
        <w:rPr>
          <w:lang w:val="en-US"/>
        </w:rPr>
        <w:t xml:space="preserve">While </w:t>
      </w:r>
      <w:r w:rsidRPr="00A90757">
        <w:rPr>
          <w:i/>
          <w:lang w:val="en-US"/>
        </w:rPr>
        <w:t>Construction</w:t>
      </w:r>
      <w:r w:rsidRPr="00A90757">
        <w:rPr>
          <w:lang w:val="en-US"/>
        </w:rPr>
        <w:t xml:space="preserve"> and </w:t>
      </w:r>
      <w:r w:rsidRPr="00A90757">
        <w:rPr>
          <w:i/>
          <w:lang w:val="en-US"/>
        </w:rPr>
        <w:t>Retail Trade</w:t>
      </w:r>
      <w:r w:rsidRPr="00A90757">
        <w:rPr>
          <w:lang w:val="en-US"/>
        </w:rPr>
        <w:t xml:space="preserve"> were the </w:t>
      </w:r>
      <w:r>
        <w:rPr>
          <w:lang w:val="en-US"/>
        </w:rPr>
        <w:t>largest</w:t>
      </w:r>
      <w:r w:rsidRPr="00A90757">
        <w:rPr>
          <w:lang w:val="en-US"/>
        </w:rPr>
        <w:t xml:space="preserve"> employing industries at the time of the 2011 Census, </w:t>
      </w:r>
      <w:r w:rsidRPr="00EA03F4">
        <w:rPr>
          <w:i/>
          <w:lang w:val="en-US"/>
        </w:rPr>
        <w:t>Mining</w:t>
      </w:r>
      <w:r w:rsidRPr="00A90757">
        <w:rPr>
          <w:lang w:val="en-US"/>
        </w:rPr>
        <w:t xml:space="preserve"> comprised 7 per cent of the workforce.  </w:t>
      </w:r>
    </w:p>
    <w:p w:rsidR="00200F0A" w:rsidRPr="004560C3" w:rsidRDefault="00200F0A" w:rsidP="00200F0A">
      <w:pPr>
        <w:pStyle w:val="EMPListBullet"/>
        <w:numPr>
          <w:ilvl w:val="0"/>
          <w:numId w:val="32"/>
        </w:numPr>
        <w:spacing w:after="0"/>
        <w:contextualSpacing w:val="0"/>
        <w:jc w:val="both"/>
        <w:rPr>
          <w:lang w:val="en-US"/>
        </w:rPr>
      </w:pPr>
      <w:r>
        <w:rPr>
          <w:lang w:val="en-US"/>
        </w:rPr>
        <w:t>In 2011, 10 per cent of the region’s working age (15-64) population was Indigenous</w:t>
      </w:r>
      <w:r w:rsidRPr="004560C3">
        <w:rPr>
          <w:lang w:val="en-US"/>
        </w:rPr>
        <w:t>.</w:t>
      </w:r>
      <w:r w:rsidRPr="004560C3">
        <w:rPr>
          <w:rStyle w:val="FootnoteReference"/>
          <w:lang w:val="en-US"/>
        </w:rPr>
        <w:footnoteReference w:id="4"/>
      </w:r>
    </w:p>
    <w:p w:rsidR="00083003" w:rsidRPr="002C03E2" w:rsidRDefault="00664E4F" w:rsidP="006B6198">
      <w:pPr>
        <w:pStyle w:val="EMPHeading1"/>
        <w:spacing w:before="120" w:after="120"/>
      </w:pPr>
      <w:r>
        <w:t xml:space="preserve">What employers </w:t>
      </w:r>
      <w:r w:rsidR="00083003" w:rsidRPr="002C03E2">
        <w:t>t</w:t>
      </w:r>
      <w:r>
        <w:t>old</w:t>
      </w:r>
      <w:r w:rsidR="00083003" w:rsidRPr="002C03E2">
        <w:t xml:space="preserve"> </w:t>
      </w:r>
      <w:proofErr w:type="gramStart"/>
      <w:r w:rsidR="00083003" w:rsidRPr="002C03E2">
        <w:t>us</w:t>
      </w:r>
      <w:proofErr w:type="gramEnd"/>
      <w:r w:rsidR="00083003" w:rsidRPr="002C03E2">
        <w:rPr>
          <w:rStyle w:val="FootnoteReference"/>
          <w:rFonts w:asciiTheme="minorHAnsi" w:hAnsiTheme="minorHAnsi" w:cstheme="minorHAnsi"/>
        </w:rPr>
        <w:footnoteReference w:id="5"/>
      </w:r>
    </w:p>
    <w:p w:rsidR="00200F0A" w:rsidRPr="006B6198" w:rsidRDefault="00200F0A" w:rsidP="00200F0A">
      <w:pPr>
        <w:pStyle w:val="EMPNormal"/>
        <w:spacing w:after="0"/>
        <w:jc w:val="both"/>
      </w:pPr>
      <w:r>
        <w:t>Recruitment conditions have eased since the Mid West and Gascoyne region was last surveyed in May 2011.</w:t>
      </w:r>
    </w:p>
    <w:p w:rsidR="00200F0A" w:rsidRPr="003E4978" w:rsidRDefault="00200F0A" w:rsidP="00200F0A">
      <w:pPr>
        <w:pStyle w:val="EMPListBullet"/>
        <w:spacing w:after="0"/>
        <w:contextualSpacing w:val="0"/>
        <w:jc w:val="both"/>
        <w:rPr>
          <w:lang w:val="en-US"/>
        </w:rPr>
      </w:pPr>
      <w:r w:rsidRPr="00B01EA2">
        <w:rPr>
          <w:lang w:val="en-US"/>
        </w:rPr>
        <w:t xml:space="preserve">Businesses recruited </w:t>
      </w:r>
      <w:r>
        <w:rPr>
          <w:lang w:val="en-US"/>
        </w:rPr>
        <w:t xml:space="preserve">at an </w:t>
      </w:r>
      <w:r w:rsidRPr="00B01EA2">
        <w:rPr>
          <w:lang w:val="en-US"/>
        </w:rPr>
        <w:t xml:space="preserve">average </w:t>
      </w:r>
      <w:r>
        <w:rPr>
          <w:lang w:val="en-US"/>
        </w:rPr>
        <w:t xml:space="preserve">annual </w:t>
      </w:r>
      <w:r w:rsidRPr="00B01EA2">
        <w:rPr>
          <w:lang w:val="en-US"/>
        </w:rPr>
        <w:t>rate of 21.7</w:t>
      </w:r>
      <w:r>
        <w:rPr>
          <w:lang w:val="en-US"/>
        </w:rPr>
        <w:t xml:space="preserve"> vacancies</w:t>
      </w:r>
      <w:r w:rsidRPr="00B01EA2">
        <w:rPr>
          <w:lang w:val="en-US"/>
        </w:rPr>
        <w:t xml:space="preserve"> per 100 staff, well below the 36.8 recorded in </w:t>
      </w:r>
      <w:r w:rsidRPr="003E4978">
        <w:rPr>
          <w:lang w:val="en-US"/>
        </w:rPr>
        <w:t>May 2011.</w:t>
      </w:r>
    </w:p>
    <w:p w:rsidR="00200F0A" w:rsidRPr="003E4978" w:rsidRDefault="00200F0A" w:rsidP="00200F0A">
      <w:pPr>
        <w:pStyle w:val="EMPListBullet2"/>
        <w:spacing w:after="0"/>
        <w:contextualSpacing w:val="0"/>
        <w:jc w:val="both"/>
        <w:rPr>
          <w:b/>
          <w:i/>
        </w:rPr>
      </w:pPr>
      <w:r w:rsidRPr="003E4978">
        <w:t xml:space="preserve">Recruitment was highest in the </w:t>
      </w:r>
      <w:r w:rsidRPr="003E4978">
        <w:rPr>
          <w:i/>
        </w:rPr>
        <w:t xml:space="preserve">Accommodation and Food Services </w:t>
      </w:r>
      <w:r w:rsidRPr="003E4978">
        <w:t>i</w:t>
      </w:r>
      <w:r>
        <w:t>ndustry (52.1 vacancies per 100 staff).</w:t>
      </w:r>
    </w:p>
    <w:p w:rsidR="00565051" w:rsidRDefault="00200F0A" w:rsidP="00565051">
      <w:pPr>
        <w:pStyle w:val="EMPListBullet"/>
        <w:spacing w:after="0"/>
        <w:contextualSpacing w:val="0"/>
        <w:jc w:val="both"/>
        <w:rPr>
          <w:lang w:val="en-US"/>
        </w:rPr>
      </w:pPr>
      <w:r w:rsidRPr="003E4978">
        <w:rPr>
          <w:lang w:val="en-US"/>
        </w:rPr>
        <w:t xml:space="preserve">Some 31 </w:t>
      </w:r>
      <w:r w:rsidRPr="00B01EA2">
        <w:rPr>
          <w:lang w:val="en-US"/>
        </w:rPr>
        <w:t>per cent of businesses had difficulty recruiting</w:t>
      </w:r>
      <w:r>
        <w:rPr>
          <w:lang w:val="en-US"/>
        </w:rPr>
        <w:t xml:space="preserve"> in their most recent recruitment round</w:t>
      </w:r>
      <w:r w:rsidRPr="00B01EA2">
        <w:rPr>
          <w:lang w:val="en-US"/>
        </w:rPr>
        <w:t>, a significant reduction from the 56 per cent recorded in the 2011 survey.</w:t>
      </w:r>
      <w:r>
        <w:rPr>
          <w:lang w:val="en-US"/>
        </w:rPr>
        <w:t xml:space="preserve"> </w:t>
      </w:r>
    </w:p>
    <w:p w:rsidR="00200F0A" w:rsidRPr="00565051" w:rsidRDefault="00200F0A" w:rsidP="00565051">
      <w:pPr>
        <w:pStyle w:val="ListBullet2"/>
        <w:spacing w:after="0"/>
        <w:rPr>
          <w:lang w:val="en-US"/>
        </w:rPr>
      </w:pPr>
      <w:r w:rsidRPr="00565051">
        <w:rPr>
          <w:lang w:val="en-US"/>
        </w:rPr>
        <w:t>Over the same period, the proportion of unfilled vacancies fell from 8.0 per cent to 1.8 per cent.</w:t>
      </w:r>
    </w:p>
    <w:p w:rsidR="00200F0A" w:rsidRPr="006B6198" w:rsidRDefault="00200F0A" w:rsidP="00200F0A">
      <w:pPr>
        <w:pStyle w:val="EMPListBullet2"/>
        <w:spacing w:after="0"/>
        <w:contextualSpacing w:val="0"/>
        <w:jc w:val="both"/>
        <w:rPr>
          <w:b/>
          <w:i/>
        </w:rPr>
      </w:pPr>
      <w:r>
        <w:t>Recruitment difficulty remained relatively common for higher skilled occupations</w:t>
      </w:r>
      <w:r>
        <w:rPr>
          <w:rStyle w:val="FootnoteReference"/>
          <w:lang w:val="en-US"/>
        </w:rPr>
        <w:footnoteReference w:id="6"/>
      </w:r>
      <w:r>
        <w:t xml:space="preserve">, with </w:t>
      </w:r>
      <w:r w:rsidRPr="002C03E2">
        <w:t>6</w:t>
      </w:r>
      <w:r>
        <w:t>2 per cent of employers reporting</w:t>
      </w:r>
      <w:r w:rsidRPr="002C03E2">
        <w:t xml:space="preserve"> difficulty filling vacancies for Technicians and Trades Workers.</w:t>
      </w:r>
    </w:p>
    <w:p w:rsidR="00200F0A" w:rsidRPr="000131FC" w:rsidRDefault="00200F0A" w:rsidP="00200F0A">
      <w:pPr>
        <w:pStyle w:val="EMPListBullet2"/>
        <w:spacing w:after="0"/>
        <w:contextualSpacing w:val="0"/>
        <w:jc w:val="both"/>
        <w:rPr>
          <w:b/>
          <w:i/>
        </w:rPr>
      </w:pPr>
      <w:r>
        <w:t>By contrast, recruitment difficulty for lower skilled occupations has eased</w:t>
      </w:r>
      <w:r w:rsidRPr="002C6974">
        <w:t xml:space="preserve"> </w:t>
      </w:r>
      <w:r>
        <w:t>sig</w:t>
      </w:r>
      <w:r w:rsidR="00565051">
        <w:t>nificantly, falling from 56 per </w:t>
      </w:r>
      <w:r>
        <w:t>cent</w:t>
      </w:r>
      <w:r w:rsidR="00AF1CD3">
        <w:t xml:space="preserve"> of employers</w:t>
      </w:r>
      <w:r>
        <w:t xml:space="preserve"> in 2011 to 22 per cent in 2014.</w:t>
      </w:r>
    </w:p>
    <w:p w:rsidR="00C67515" w:rsidRPr="00C67515" w:rsidRDefault="00200F0A" w:rsidP="00200F0A">
      <w:pPr>
        <w:pStyle w:val="ListBullet"/>
        <w:spacing w:after="0"/>
        <w:contextualSpacing w:val="0"/>
        <w:jc w:val="both"/>
      </w:pPr>
      <w:r w:rsidRPr="00C67515">
        <w:t xml:space="preserve">Recruitment activity is likely to soften further </w:t>
      </w:r>
      <w:r>
        <w:t>during</w:t>
      </w:r>
      <w:r w:rsidRPr="00C67515">
        <w:t xml:space="preserve"> 2015, with just 13 per cent of employers expecting to </w:t>
      </w:r>
      <w:r>
        <w:t>increase staff numbers</w:t>
      </w:r>
      <w:r w:rsidRPr="00C67515">
        <w:t>.</w:t>
      </w:r>
    </w:p>
    <w:tbl>
      <w:tblPr>
        <w:tblStyle w:val="Bluewithalternatingrows"/>
        <w:tblpPr w:leftFromText="180" w:rightFromText="180" w:vertAnchor="text" w:horzAnchor="margin" w:tblpX="108" w:tblpY="6"/>
        <w:tblW w:w="10658" w:type="dxa"/>
        <w:tblLayout w:type="fixed"/>
        <w:tblLook w:val="0420" w:firstRow="1" w:lastRow="0" w:firstColumn="0" w:lastColumn="0" w:noHBand="0" w:noVBand="1"/>
        <w:tblDescription w:val="Add Alt Text"/>
      </w:tblPr>
      <w:tblGrid>
        <w:gridCol w:w="3794"/>
        <w:gridCol w:w="2288"/>
        <w:gridCol w:w="2288"/>
        <w:gridCol w:w="2288"/>
      </w:tblGrid>
      <w:tr w:rsidR="006B6198" w:rsidRPr="00236BA4" w:rsidTr="00DA19A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7"/>
          <w:tblHeader/>
        </w:trPr>
        <w:tc>
          <w:tcPr>
            <w:tcW w:w="3794" w:type="dxa"/>
            <w:vAlign w:val="center"/>
          </w:tcPr>
          <w:p w:rsidR="006B6198" w:rsidRPr="00D53015" w:rsidRDefault="006B6198" w:rsidP="00F3469F">
            <w:pPr>
              <w:spacing w:line="20" w:lineRule="atLeast"/>
              <w:jc w:val="center"/>
              <w:rPr>
                <w:b w:val="0"/>
                <w:color w:val="auto"/>
                <w:highlight w:val="green"/>
              </w:rPr>
            </w:pPr>
          </w:p>
        </w:tc>
        <w:tc>
          <w:tcPr>
            <w:tcW w:w="2288" w:type="dxa"/>
            <w:vAlign w:val="center"/>
          </w:tcPr>
          <w:p w:rsidR="006B6198" w:rsidRPr="00D53015" w:rsidRDefault="00F3469F" w:rsidP="00F3469F">
            <w:pPr>
              <w:spacing w:line="20" w:lineRule="atLeast"/>
              <w:jc w:val="center"/>
              <w:rPr>
                <w:rFonts w:ascii="Calibri" w:hAnsi="Calibri" w:cs="Calibri"/>
                <w:b w:val="0"/>
              </w:rPr>
            </w:pPr>
            <w:proofErr w:type="spellStart"/>
            <w:r>
              <w:rPr>
                <w:rFonts w:ascii="Calibri" w:hAnsi="Calibri" w:cs="Calibri"/>
                <w:b w:val="0"/>
              </w:rPr>
              <w:t>MW&amp;G</w:t>
            </w:r>
            <w:proofErr w:type="spellEnd"/>
            <w:r w:rsidR="006B6198">
              <w:rPr>
                <w:rFonts w:ascii="Calibri" w:hAnsi="Calibri" w:cs="Calibri"/>
                <w:b w:val="0"/>
              </w:rPr>
              <w:t xml:space="preserve"> 2014</w:t>
            </w:r>
          </w:p>
        </w:tc>
        <w:tc>
          <w:tcPr>
            <w:tcW w:w="2288" w:type="dxa"/>
            <w:vAlign w:val="center"/>
          </w:tcPr>
          <w:p w:rsidR="006B6198" w:rsidRPr="00D53015" w:rsidRDefault="00F3469F" w:rsidP="00F3469F">
            <w:pPr>
              <w:spacing w:line="20" w:lineRule="atLeast"/>
              <w:jc w:val="center"/>
              <w:rPr>
                <w:rFonts w:ascii="Calibri" w:hAnsi="Calibri" w:cs="Calibri"/>
                <w:b w:val="0"/>
                <w:vertAlign w:val="superscript"/>
              </w:rPr>
            </w:pPr>
            <w:proofErr w:type="spellStart"/>
            <w:r>
              <w:rPr>
                <w:rFonts w:ascii="Calibri" w:hAnsi="Calibri" w:cs="Calibri"/>
                <w:b w:val="0"/>
              </w:rPr>
              <w:t>MW&amp;G</w:t>
            </w:r>
            <w:proofErr w:type="spellEnd"/>
            <w:r w:rsidR="006B6198">
              <w:rPr>
                <w:rFonts w:ascii="Calibri" w:hAnsi="Calibri" w:cs="Calibri"/>
                <w:b w:val="0"/>
              </w:rPr>
              <w:t xml:space="preserve"> 2011</w:t>
            </w:r>
          </w:p>
        </w:tc>
        <w:tc>
          <w:tcPr>
            <w:tcW w:w="2288" w:type="dxa"/>
            <w:vAlign w:val="center"/>
          </w:tcPr>
          <w:p w:rsidR="006B6198" w:rsidRPr="00D53015" w:rsidRDefault="00F3469F" w:rsidP="00F3469F">
            <w:pPr>
              <w:spacing w:line="20" w:lineRule="atLeast"/>
              <w:jc w:val="center"/>
              <w:rPr>
                <w:rFonts w:ascii="Calibri" w:hAnsi="Calibri" w:cs="Calibri"/>
                <w:b w:val="0"/>
                <w:vertAlign w:val="superscript"/>
              </w:rPr>
            </w:pPr>
            <w:r>
              <w:rPr>
                <w:rFonts w:ascii="Calibri" w:hAnsi="Calibri" w:cs="Calibri"/>
                <w:b w:val="0"/>
              </w:rPr>
              <w:t>All regions (</w:t>
            </w:r>
            <w:r w:rsidR="006B6198">
              <w:rPr>
                <w:rFonts w:ascii="Calibri" w:hAnsi="Calibri" w:cs="Calibri"/>
                <w:b w:val="0"/>
              </w:rPr>
              <w:t>2014</w:t>
            </w:r>
            <w:r>
              <w:rPr>
                <w:rFonts w:ascii="Calibri" w:hAnsi="Calibri" w:cs="Calibri"/>
                <w:b w:val="0"/>
              </w:rPr>
              <w:t>)</w:t>
            </w:r>
          </w:p>
        </w:tc>
      </w:tr>
      <w:tr w:rsidR="006B6198" w:rsidRPr="00236BA4" w:rsidTr="00DA19AF">
        <w:trPr>
          <w:trHeight w:val="227"/>
        </w:trPr>
        <w:tc>
          <w:tcPr>
            <w:tcW w:w="3794" w:type="dxa"/>
          </w:tcPr>
          <w:p w:rsidR="006B6198" w:rsidRPr="00236BA4" w:rsidRDefault="006B6198" w:rsidP="00F3469F">
            <w:pPr>
              <w:spacing w:line="20" w:lineRule="atLeast"/>
              <w:rPr>
                <w:rFonts w:ascii="Calibri" w:hAnsi="Calibri" w:cs="Calibri"/>
                <w:vertAlign w:val="superscript"/>
              </w:rPr>
            </w:pPr>
            <w:r w:rsidRPr="00236BA4">
              <w:rPr>
                <w:rFonts w:ascii="Calibri" w:hAnsi="Calibri" w:cs="Calibri"/>
              </w:rPr>
              <w:t>Average annual vacancies per 100 staff</w:t>
            </w:r>
          </w:p>
        </w:tc>
        <w:tc>
          <w:tcPr>
            <w:tcW w:w="2288" w:type="dxa"/>
          </w:tcPr>
          <w:p w:rsidR="006B6198" w:rsidRPr="000F048B" w:rsidRDefault="006B6198" w:rsidP="00F3469F">
            <w:pPr>
              <w:spacing w:line="20" w:lineRule="atLeast"/>
              <w:jc w:val="center"/>
              <w:rPr>
                <w:rFonts w:ascii="Calibri" w:hAnsi="Calibri" w:cs="Calibri"/>
              </w:rPr>
            </w:pPr>
            <w:r w:rsidRPr="000F048B">
              <w:rPr>
                <w:rFonts w:ascii="Calibri" w:hAnsi="Calibri" w:cs="Calibri"/>
              </w:rPr>
              <w:t>21.7</w:t>
            </w:r>
          </w:p>
        </w:tc>
        <w:tc>
          <w:tcPr>
            <w:tcW w:w="2288" w:type="dxa"/>
          </w:tcPr>
          <w:p w:rsidR="006B6198" w:rsidRPr="000F048B" w:rsidRDefault="006B6198" w:rsidP="00F3469F">
            <w:pPr>
              <w:spacing w:line="20" w:lineRule="atLeast"/>
              <w:jc w:val="center"/>
            </w:pPr>
            <w:r w:rsidRPr="000F048B">
              <w:t>36.8</w:t>
            </w:r>
          </w:p>
        </w:tc>
        <w:tc>
          <w:tcPr>
            <w:tcW w:w="2288" w:type="dxa"/>
          </w:tcPr>
          <w:p w:rsidR="006B6198" w:rsidRPr="000F048B" w:rsidRDefault="006B6198" w:rsidP="00F3469F">
            <w:pPr>
              <w:spacing w:line="20" w:lineRule="atLeast"/>
              <w:jc w:val="center"/>
            </w:pPr>
            <w:r>
              <w:t>16.1</w:t>
            </w:r>
          </w:p>
        </w:tc>
      </w:tr>
      <w:tr w:rsidR="006B6198" w:rsidRPr="007C2F41" w:rsidTr="00DA19A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7"/>
        </w:trPr>
        <w:tc>
          <w:tcPr>
            <w:tcW w:w="3794" w:type="dxa"/>
          </w:tcPr>
          <w:p w:rsidR="006B6198" w:rsidRPr="00236BA4" w:rsidRDefault="006B6198" w:rsidP="00F3469F">
            <w:pPr>
              <w:spacing w:line="20" w:lineRule="atLeast"/>
              <w:rPr>
                <w:rFonts w:ascii="Calibri" w:hAnsi="Calibri" w:cs="Calibri"/>
                <w:vertAlign w:val="superscript"/>
              </w:rPr>
            </w:pPr>
            <w:r w:rsidRPr="00236BA4">
              <w:rPr>
                <w:rFonts w:ascii="Calibri" w:hAnsi="Calibri" w:cs="Calibri"/>
              </w:rPr>
              <w:t>Unfilled vacancies</w:t>
            </w:r>
          </w:p>
        </w:tc>
        <w:tc>
          <w:tcPr>
            <w:tcW w:w="2288" w:type="dxa"/>
          </w:tcPr>
          <w:p w:rsidR="006B6198" w:rsidRPr="000F048B" w:rsidRDefault="006B6198" w:rsidP="00F3469F">
            <w:pPr>
              <w:spacing w:line="20" w:lineRule="atLeast"/>
              <w:jc w:val="center"/>
              <w:rPr>
                <w:rFonts w:ascii="Calibri" w:hAnsi="Calibri" w:cs="Calibri"/>
              </w:rPr>
            </w:pPr>
            <w:r w:rsidRPr="000F048B">
              <w:rPr>
                <w:rFonts w:ascii="Calibri" w:hAnsi="Calibri" w:cs="Calibri"/>
              </w:rPr>
              <w:t>1.8</w:t>
            </w:r>
            <w:r>
              <w:rPr>
                <w:rFonts w:ascii="Calibri" w:hAnsi="Calibri" w:cs="Calibri"/>
              </w:rPr>
              <w:t>%</w:t>
            </w:r>
          </w:p>
        </w:tc>
        <w:tc>
          <w:tcPr>
            <w:tcW w:w="2288" w:type="dxa"/>
          </w:tcPr>
          <w:p w:rsidR="006B6198" w:rsidRPr="000F048B" w:rsidRDefault="006B6198" w:rsidP="00F3469F">
            <w:pPr>
              <w:spacing w:line="20" w:lineRule="atLeast"/>
              <w:jc w:val="center"/>
            </w:pPr>
            <w:r w:rsidRPr="000F048B">
              <w:t>8.0</w:t>
            </w:r>
            <w:r>
              <w:t>%</w:t>
            </w:r>
          </w:p>
        </w:tc>
        <w:tc>
          <w:tcPr>
            <w:tcW w:w="2288" w:type="dxa"/>
          </w:tcPr>
          <w:p w:rsidR="006B6198" w:rsidRPr="000F048B" w:rsidRDefault="006B6198" w:rsidP="00F3469F">
            <w:pPr>
              <w:spacing w:line="20" w:lineRule="atLeast"/>
              <w:jc w:val="center"/>
            </w:pPr>
            <w:r>
              <w:t>2.3%</w:t>
            </w:r>
          </w:p>
        </w:tc>
      </w:tr>
      <w:tr w:rsidR="006B6198" w:rsidRPr="007C2F41" w:rsidTr="00DA19AF">
        <w:trPr>
          <w:trHeight w:val="227"/>
        </w:trPr>
        <w:tc>
          <w:tcPr>
            <w:tcW w:w="3794" w:type="dxa"/>
          </w:tcPr>
          <w:p w:rsidR="006B6198" w:rsidRPr="00236BA4" w:rsidRDefault="006B6198" w:rsidP="00F3469F">
            <w:pPr>
              <w:spacing w:line="20" w:lineRule="atLeast"/>
              <w:rPr>
                <w:vertAlign w:val="superscript"/>
              </w:rPr>
            </w:pPr>
            <w:r>
              <w:t>Experienced difficulty recruiting staff</w:t>
            </w:r>
          </w:p>
        </w:tc>
        <w:tc>
          <w:tcPr>
            <w:tcW w:w="2288" w:type="dxa"/>
          </w:tcPr>
          <w:p w:rsidR="006B6198" w:rsidRPr="000F048B" w:rsidRDefault="006B6198" w:rsidP="00F3469F">
            <w:pPr>
              <w:spacing w:line="20" w:lineRule="atLeast"/>
              <w:jc w:val="center"/>
            </w:pPr>
            <w:r w:rsidRPr="000F048B">
              <w:t>31%</w:t>
            </w:r>
          </w:p>
        </w:tc>
        <w:tc>
          <w:tcPr>
            <w:tcW w:w="2288" w:type="dxa"/>
          </w:tcPr>
          <w:p w:rsidR="006B6198" w:rsidRPr="000F048B" w:rsidRDefault="006B6198" w:rsidP="00F3469F">
            <w:pPr>
              <w:spacing w:line="20" w:lineRule="atLeast"/>
              <w:jc w:val="center"/>
            </w:pPr>
            <w:r w:rsidRPr="000F048B">
              <w:t>56%</w:t>
            </w:r>
          </w:p>
        </w:tc>
        <w:tc>
          <w:tcPr>
            <w:tcW w:w="2288" w:type="dxa"/>
          </w:tcPr>
          <w:p w:rsidR="006B6198" w:rsidRPr="000F048B" w:rsidRDefault="006B6198" w:rsidP="00F3469F">
            <w:pPr>
              <w:spacing w:line="20" w:lineRule="atLeast"/>
              <w:jc w:val="center"/>
            </w:pPr>
            <w:r>
              <w:t>31%</w:t>
            </w:r>
          </w:p>
        </w:tc>
      </w:tr>
      <w:tr w:rsidR="004560C3" w:rsidRPr="007C2F41" w:rsidTr="00DA19A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7"/>
        </w:trPr>
        <w:tc>
          <w:tcPr>
            <w:tcW w:w="3794" w:type="dxa"/>
          </w:tcPr>
          <w:p w:rsidR="004560C3" w:rsidRPr="006B6198" w:rsidRDefault="004560C3" w:rsidP="00F3469F">
            <w:pPr>
              <w:spacing w:line="20" w:lineRule="atLeast"/>
              <w:rPr>
                <w:color w:val="FF0000"/>
              </w:rPr>
            </w:pPr>
            <w:r w:rsidRPr="00236BA4">
              <w:t>Expect to increase staff numbers</w:t>
            </w:r>
          </w:p>
        </w:tc>
        <w:tc>
          <w:tcPr>
            <w:tcW w:w="2288" w:type="dxa"/>
          </w:tcPr>
          <w:p w:rsidR="004560C3" w:rsidRPr="006B6198" w:rsidRDefault="004560C3" w:rsidP="00F3469F">
            <w:pPr>
              <w:spacing w:line="20" w:lineRule="atLeast"/>
              <w:jc w:val="center"/>
              <w:rPr>
                <w:color w:val="FF0000"/>
              </w:rPr>
            </w:pPr>
            <w:r w:rsidRPr="000F048B">
              <w:t>13%</w:t>
            </w:r>
          </w:p>
        </w:tc>
        <w:tc>
          <w:tcPr>
            <w:tcW w:w="2288" w:type="dxa"/>
          </w:tcPr>
          <w:p w:rsidR="004560C3" w:rsidRPr="006B6198" w:rsidRDefault="004560C3" w:rsidP="00F3469F">
            <w:pPr>
              <w:spacing w:line="20" w:lineRule="atLeast"/>
              <w:jc w:val="center"/>
              <w:rPr>
                <w:color w:val="FF0000"/>
              </w:rPr>
            </w:pPr>
            <w:r w:rsidRPr="000F048B">
              <w:t>30%</w:t>
            </w:r>
          </w:p>
        </w:tc>
        <w:tc>
          <w:tcPr>
            <w:tcW w:w="2288" w:type="dxa"/>
          </w:tcPr>
          <w:p w:rsidR="004560C3" w:rsidRPr="006B6198" w:rsidRDefault="004560C3" w:rsidP="00F3469F">
            <w:pPr>
              <w:spacing w:line="20" w:lineRule="atLeast"/>
              <w:jc w:val="center"/>
              <w:rPr>
                <w:color w:val="FF0000"/>
              </w:rPr>
            </w:pPr>
            <w:r>
              <w:t>19%</w:t>
            </w:r>
          </w:p>
        </w:tc>
      </w:tr>
    </w:tbl>
    <w:p w:rsidR="00083003" w:rsidRPr="00944A26" w:rsidRDefault="00083003" w:rsidP="006B6198">
      <w:pPr>
        <w:pStyle w:val="EMPHeading1"/>
        <w:spacing w:before="120" w:after="120"/>
      </w:pPr>
      <w:r w:rsidRPr="00944A26">
        <w:t>Where are the opportunities</w:t>
      </w:r>
      <w:r w:rsidR="00B31167">
        <w:t>?</w:t>
      </w:r>
    </w:p>
    <w:p w:rsidR="00200F0A" w:rsidRDefault="00AF1CD3" w:rsidP="00200F0A">
      <w:pPr>
        <w:pStyle w:val="EMPNormal"/>
        <w:numPr>
          <w:ilvl w:val="0"/>
          <w:numId w:val="30"/>
        </w:numPr>
        <w:spacing w:after="0"/>
        <w:ind w:left="357" w:hanging="357"/>
        <w:jc w:val="both"/>
      </w:pPr>
      <w:r>
        <w:t>Despite the softening in labour market conditions, o</w:t>
      </w:r>
      <w:r w:rsidR="00200F0A" w:rsidRPr="0098492D">
        <w:t xml:space="preserve">pportunities for job seekers </w:t>
      </w:r>
      <w:r w:rsidR="00200F0A">
        <w:t xml:space="preserve">are likely to exist </w:t>
      </w:r>
      <w:r w:rsidR="00200F0A" w:rsidRPr="0098492D">
        <w:t xml:space="preserve">in </w:t>
      </w:r>
      <w:r w:rsidR="00200F0A">
        <w:t xml:space="preserve">higher skilled </w:t>
      </w:r>
      <w:r w:rsidR="00200F0A" w:rsidRPr="0098492D">
        <w:t>occupations for which empl</w:t>
      </w:r>
      <w:r w:rsidR="00200F0A">
        <w:t>oyers had difficulty recruiting, such as</w:t>
      </w:r>
      <w:r w:rsidR="00200F0A" w:rsidRPr="0098492D">
        <w:t xml:space="preserve"> Chefs, Registered Nurses and Motor Mechanics, as well as lower skilled occupations </w:t>
      </w:r>
      <w:r w:rsidR="00200F0A">
        <w:t>like</w:t>
      </w:r>
      <w:r w:rsidR="00200F0A" w:rsidRPr="0098492D">
        <w:t xml:space="preserve"> Housekeepers</w:t>
      </w:r>
      <w:r w:rsidR="00200F0A">
        <w:t xml:space="preserve">. </w:t>
      </w:r>
    </w:p>
    <w:p w:rsidR="00ED7B8F" w:rsidRPr="0098492D" w:rsidRDefault="00200F0A" w:rsidP="00ED7B8F">
      <w:pPr>
        <w:pStyle w:val="EMPNormal"/>
        <w:numPr>
          <w:ilvl w:val="0"/>
          <w:numId w:val="30"/>
        </w:numPr>
        <w:spacing w:after="0"/>
        <w:ind w:left="357" w:hanging="357"/>
        <w:jc w:val="both"/>
      </w:pPr>
      <w:r w:rsidRPr="0098492D">
        <w:t>In addition, many employers intended to recruit for Sales Assistants and Bar At</w:t>
      </w:r>
      <w:r w:rsidR="00565051">
        <w:t>tendants and Baristas in the 12 </w:t>
      </w:r>
      <w:r w:rsidRPr="0098492D">
        <w:t>months following the survey</w:t>
      </w:r>
      <w:r>
        <w:t>.</w:t>
      </w:r>
    </w:p>
    <w:sectPr w:rsidR="00ED7B8F" w:rsidRPr="0098492D" w:rsidSect="005574FF">
      <w:headerReference w:type="default" r:id="rId12"/>
      <w:type w:val="continuous"/>
      <w:pgSz w:w="11906" w:h="16838"/>
      <w:pgMar w:top="1372" w:right="652" w:bottom="397" w:left="652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7EA2" w:rsidRDefault="002B7EA2" w:rsidP="00130923">
      <w:pPr>
        <w:spacing w:after="0" w:line="240" w:lineRule="auto"/>
      </w:pPr>
      <w:r>
        <w:separator/>
      </w:r>
    </w:p>
  </w:endnote>
  <w:endnote w:type="continuationSeparator" w:id="0">
    <w:p w:rsidR="002B7EA2" w:rsidRDefault="002B7EA2" w:rsidP="001309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6AB3" w:rsidRPr="000F6AD5" w:rsidRDefault="00F75415" w:rsidP="00FC6AB3">
    <w:pPr>
      <w:jc w:val="right"/>
    </w:pPr>
    <w:r>
      <w:rPr>
        <w:noProof/>
        <w:lang w:eastAsia="en-AU"/>
      </w:rPr>
      <w:drawing>
        <wp:inline distT="0" distB="0" distL="0" distR="0">
          <wp:extent cx="7606685" cy="876300"/>
          <wp:effectExtent l="0" t="0" r="0" b="0"/>
          <wp:docPr id="4" name="Picture 4" descr="Decorativ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:\!Design Team\Work in Progress\Michael\EM14-0168 EMP Looking for a Job Factsheet\links\Footer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2381"/>
                  <a:stretch/>
                </pic:blipFill>
                <pic:spPr bwMode="auto">
                  <a:xfrm>
                    <a:off x="0" y="0"/>
                    <a:ext cx="7639200" cy="88004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3003" w:rsidRPr="00083003" w:rsidRDefault="00083003" w:rsidP="00020B86">
    <w:pPr>
      <w:pStyle w:val="Footer"/>
      <w:ind w:left="709"/>
      <w:rPr>
        <w:sz w:val="16"/>
      </w:rPr>
    </w:pPr>
    <w:r w:rsidRPr="009A0424">
      <w:rPr>
        <w:sz w:val="16"/>
      </w:rPr>
      <w:t xml:space="preserve">This report was produced by the Labour Market Research and Analysis Branch. Further results from the </w:t>
    </w:r>
    <w:r w:rsidRPr="009A0424">
      <w:rPr>
        <w:i/>
        <w:sz w:val="16"/>
      </w:rPr>
      <w:t xml:space="preserve">Survey of Employers’ Recruitment Experiences </w:t>
    </w:r>
    <w:r w:rsidRPr="009A0424">
      <w:rPr>
        <w:sz w:val="16"/>
      </w:rPr>
      <w:t xml:space="preserve">can be found </w:t>
    </w:r>
    <w:r w:rsidR="009910FB">
      <w:rPr>
        <w:sz w:val="16"/>
      </w:rPr>
      <w:t>on the</w:t>
    </w:r>
    <w:r w:rsidRPr="009A0424">
      <w:rPr>
        <w:sz w:val="16"/>
      </w:rPr>
      <w:t xml:space="preserve"> </w:t>
    </w:r>
    <w:hyperlink r:id="rId1" w:history="1">
      <w:r w:rsidR="009910FB">
        <w:rPr>
          <w:rStyle w:val="Hyperlink"/>
          <w:sz w:val="16"/>
        </w:rPr>
        <w:t>Department of Employment website</w:t>
      </w:r>
    </w:hyperlink>
    <w:r w:rsidR="009910FB">
      <w:rPr>
        <w:sz w:val="16"/>
      </w:rPr>
      <w:t xml:space="preserve"> </w:t>
    </w:r>
    <w:r w:rsidRPr="009A0424">
      <w:rPr>
        <w:sz w:val="16"/>
      </w:rPr>
      <w:t xml:space="preserve">or by contacting </w:t>
    </w:r>
    <w:hyperlink r:id="rId2" w:history="1">
      <w:r w:rsidR="00093B26" w:rsidRPr="00CD19DD">
        <w:rPr>
          <w:rStyle w:val="Hyperlink"/>
          <w:sz w:val="16"/>
        </w:rPr>
        <w:t>recruitmentsurveys@employment.gov.au</w:t>
      </w:r>
    </w:hyperlink>
    <w:r w:rsidR="00093B26">
      <w:rPr>
        <w:sz w:val="16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7EA2" w:rsidRDefault="002B7EA2" w:rsidP="00130923">
      <w:pPr>
        <w:spacing w:after="0" w:line="240" w:lineRule="auto"/>
      </w:pPr>
      <w:r>
        <w:separator/>
      </w:r>
    </w:p>
  </w:footnote>
  <w:footnote w:type="continuationSeparator" w:id="0">
    <w:p w:rsidR="002B7EA2" w:rsidRDefault="002B7EA2" w:rsidP="00130923">
      <w:pPr>
        <w:spacing w:after="0" w:line="240" w:lineRule="auto"/>
      </w:pPr>
      <w:r>
        <w:continuationSeparator/>
      </w:r>
    </w:p>
  </w:footnote>
  <w:footnote w:id="1">
    <w:p w:rsidR="00200F0A" w:rsidRPr="00E42114" w:rsidRDefault="00200F0A" w:rsidP="00200F0A">
      <w:pPr>
        <w:pStyle w:val="FootnoteText"/>
        <w:rPr>
          <w:sz w:val="16"/>
          <w:szCs w:val="16"/>
        </w:rPr>
      </w:pPr>
      <w:r w:rsidRPr="00E42114">
        <w:rPr>
          <w:rStyle w:val="FootnoteReference"/>
          <w:sz w:val="16"/>
          <w:szCs w:val="16"/>
        </w:rPr>
        <w:footnoteRef/>
      </w:r>
      <w:r w:rsidRPr="00E42114">
        <w:rPr>
          <w:sz w:val="16"/>
          <w:szCs w:val="16"/>
        </w:rPr>
        <w:t xml:space="preserve"> </w:t>
      </w:r>
      <w:r>
        <w:rPr>
          <w:sz w:val="16"/>
          <w:szCs w:val="16"/>
        </w:rPr>
        <w:t>T</w:t>
      </w:r>
      <w:r w:rsidRPr="00966CF7">
        <w:rPr>
          <w:sz w:val="16"/>
          <w:szCs w:val="16"/>
        </w:rPr>
        <w:t>he Mid West and Gascoyne Employment Service Area (ESA)</w:t>
      </w:r>
      <w:r>
        <w:rPr>
          <w:sz w:val="16"/>
          <w:szCs w:val="16"/>
        </w:rPr>
        <w:t xml:space="preserve"> </w:t>
      </w:r>
      <w:proofErr w:type="gramStart"/>
      <w:r>
        <w:rPr>
          <w:sz w:val="16"/>
          <w:szCs w:val="16"/>
        </w:rPr>
        <w:t>comprises</w:t>
      </w:r>
      <w:proofErr w:type="gramEnd"/>
      <w:r>
        <w:rPr>
          <w:sz w:val="16"/>
          <w:szCs w:val="16"/>
        </w:rPr>
        <w:t xml:space="preserve"> 20 Local </w:t>
      </w:r>
      <w:r w:rsidRPr="00E42114">
        <w:rPr>
          <w:sz w:val="16"/>
          <w:szCs w:val="16"/>
        </w:rPr>
        <w:t>Government Areas including Greater Geraldton, Ca</w:t>
      </w:r>
      <w:r>
        <w:rPr>
          <w:sz w:val="16"/>
          <w:szCs w:val="16"/>
        </w:rPr>
        <w:t>rnarvon and Exmouth</w:t>
      </w:r>
      <w:r w:rsidRPr="00E42114">
        <w:rPr>
          <w:sz w:val="16"/>
          <w:szCs w:val="16"/>
        </w:rPr>
        <w:t>.</w:t>
      </w:r>
    </w:p>
  </w:footnote>
  <w:footnote w:id="2">
    <w:p w:rsidR="00200F0A" w:rsidRPr="00966CF7" w:rsidRDefault="00200F0A" w:rsidP="00200F0A">
      <w:pPr>
        <w:pStyle w:val="FootnoteText"/>
        <w:rPr>
          <w:sz w:val="16"/>
          <w:szCs w:val="16"/>
        </w:rPr>
      </w:pPr>
      <w:r w:rsidRPr="00966CF7">
        <w:rPr>
          <w:rStyle w:val="FootnoteReference"/>
          <w:sz w:val="16"/>
          <w:szCs w:val="16"/>
        </w:rPr>
        <w:footnoteRef/>
      </w:r>
      <w:r w:rsidRPr="00966CF7">
        <w:rPr>
          <w:sz w:val="16"/>
          <w:szCs w:val="16"/>
        </w:rPr>
        <w:t xml:space="preserve"> Department of Employment, </w:t>
      </w:r>
      <w:r w:rsidRPr="00966CF7">
        <w:rPr>
          <w:i/>
          <w:sz w:val="16"/>
          <w:szCs w:val="16"/>
        </w:rPr>
        <w:t xml:space="preserve">Small Area Labour Markets, </w:t>
      </w:r>
      <w:r w:rsidRPr="00966CF7">
        <w:rPr>
          <w:sz w:val="16"/>
          <w:szCs w:val="16"/>
        </w:rPr>
        <w:t>September</w:t>
      </w:r>
      <w:r>
        <w:rPr>
          <w:sz w:val="16"/>
          <w:szCs w:val="16"/>
        </w:rPr>
        <w:t xml:space="preserve"> quarter</w:t>
      </w:r>
      <w:r w:rsidRPr="00966CF7">
        <w:rPr>
          <w:sz w:val="16"/>
          <w:szCs w:val="16"/>
        </w:rPr>
        <w:t xml:space="preserve"> 2014.</w:t>
      </w:r>
      <w:bookmarkStart w:id="0" w:name="_GoBack"/>
      <w:bookmarkEnd w:id="0"/>
    </w:p>
  </w:footnote>
  <w:footnote w:id="3">
    <w:p w:rsidR="00200F0A" w:rsidRPr="00966CF7" w:rsidRDefault="00200F0A" w:rsidP="00200F0A">
      <w:pPr>
        <w:pStyle w:val="FootnoteText"/>
        <w:rPr>
          <w:sz w:val="16"/>
          <w:szCs w:val="16"/>
        </w:rPr>
      </w:pPr>
      <w:r w:rsidRPr="00966CF7">
        <w:rPr>
          <w:rStyle w:val="FootnoteReference"/>
          <w:sz w:val="16"/>
          <w:szCs w:val="16"/>
        </w:rPr>
        <w:footnoteRef/>
      </w:r>
      <w:r w:rsidRPr="00966CF7">
        <w:rPr>
          <w:sz w:val="16"/>
          <w:szCs w:val="16"/>
        </w:rPr>
        <w:t xml:space="preserve"> Centrelink Administrative Data - Department of Human Services Administrative Data (Department of Social Services Extract), December 2014.</w:t>
      </w:r>
    </w:p>
  </w:footnote>
  <w:footnote w:id="4">
    <w:p w:rsidR="00200F0A" w:rsidRPr="00966CF7" w:rsidRDefault="00200F0A" w:rsidP="00200F0A">
      <w:pPr>
        <w:pStyle w:val="FootnoteText"/>
        <w:rPr>
          <w:sz w:val="16"/>
          <w:szCs w:val="16"/>
        </w:rPr>
      </w:pPr>
      <w:r w:rsidRPr="00966CF7">
        <w:rPr>
          <w:rStyle w:val="FootnoteReference"/>
          <w:sz w:val="16"/>
          <w:szCs w:val="16"/>
        </w:rPr>
        <w:footnoteRef/>
      </w:r>
      <w:r w:rsidRPr="00966CF7">
        <w:rPr>
          <w:sz w:val="16"/>
          <w:szCs w:val="16"/>
        </w:rPr>
        <w:t xml:space="preserve"> </w:t>
      </w:r>
      <w:proofErr w:type="gramStart"/>
      <w:r w:rsidRPr="00966CF7">
        <w:rPr>
          <w:sz w:val="16"/>
          <w:szCs w:val="16"/>
        </w:rPr>
        <w:t xml:space="preserve">ABS, </w:t>
      </w:r>
      <w:r w:rsidRPr="00966CF7">
        <w:rPr>
          <w:i/>
          <w:sz w:val="16"/>
          <w:szCs w:val="16"/>
        </w:rPr>
        <w:t xml:space="preserve">Census of Population and Housing, </w:t>
      </w:r>
      <w:r w:rsidRPr="00966CF7">
        <w:rPr>
          <w:sz w:val="16"/>
          <w:szCs w:val="16"/>
        </w:rPr>
        <w:t>2011.</w:t>
      </w:r>
      <w:proofErr w:type="gramEnd"/>
    </w:p>
  </w:footnote>
  <w:footnote w:id="5">
    <w:p w:rsidR="00083003" w:rsidRPr="00966CF7" w:rsidRDefault="00083003" w:rsidP="00083003">
      <w:pPr>
        <w:pStyle w:val="FootnoteText"/>
        <w:rPr>
          <w:i/>
          <w:sz w:val="16"/>
          <w:szCs w:val="16"/>
        </w:rPr>
      </w:pPr>
      <w:r w:rsidRPr="00966CF7">
        <w:rPr>
          <w:rStyle w:val="FootnoteReference"/>
          <w:sz w:val="16"/>
          <w:szCs w:val="16"/>
        </w:rPr>
        <w:footnoteRef/>
      </w:r>
      <w:r w:rsidRPr="00966CF7">
        <w:rPr>
          <w:sz w:val="16"/>
          <w:szCs w:val="16"/>
        </w:rPr>
        <w:t xml:space="preserve"> </w:t>
      </w:r>
      <w:proofErr w:type="gramStart"/>
      <w:r w:rsidRPr="00966CF7">
        <w:rPr>
          <w:sz w:val="16"/>
          <w:szCs w:val="16"/>
        </w:rPr>
        <w:t xml:space="preserve">Based on responses from 311 employers in the </w:t>
      </w:r>
      <w:proofErr w:type="spellStart"/>
      <w:r w:rsidRPr="00966CF7">
        <w:rPr>
          <w:sz w:val="16"/>
          <w:szCs w:val="16"/>
        </w:rPr>
        <w:t>Mid West</w:t>
      </w:r>
      <w:proofErr w:type="spellEnd"/>
      <w:r w:rsidRPr="00966CF7">
        <w:rPr>
          <w:sz w:val="16"/>
          <w:szCs w:val="16"/>
        </w:rPr>
        <w:t xml:space="preserve"> and Gascoyne ESA in December 2014.</w:t>
      </w:r>
      <w:proofErr w:type="gramEnd"/>
      <w:r w:rsidRPr="00966CF7">
        <w:rPr>
          <w:sz w:val="16"/>
          <w:szCs w:val="16"/>
        </w:rPr>
        <w:t xml:space="preserve"> The region was </w:t>
      </w:r>
      <w:r w:rsidR="000E0FE9">
        <w:rPr>
          <w:sz w:val="16"/>
          <w:szCs w:val="16"/>
        </w:rPr>
        <w:t>previously surveyed in May 2011</w:t>
      </w:r>
      <w:r w:rsidR="00E42114">
        <w:rPr>
          <w:sz w:val="16"/>
          <w:szCs w:val="16"/>
        </w:rPr>
        <w:t>.</w:t>
      </w:r>
    </w:p>
  </w:footnote>
  <w:footnote w:id="6">
    <w:p w:rsidR="00200F0A" w:rsidRPr="00FA4A4A" w:rsidRDefault="00200F0A" w:rsidP="00200F0A">
      <w:pPr>
        <w:pStyle w:val="FootnoteText"/>
        <w:rPr>
          <w:sz w:val="16"/>
          <w:szCs w:val="16"/>
          <w:lang w:val="en-US"/>
        </w:rPr>
      </w:pPr>
      <w:r w:rsidRPr="00B72D5B">
        <w:rPr>
          <w:rStyle w:val="FootnoteReference"/>
          <w:sz w:val="16"/>
          <w:szCs w:val="16"/>
        </w:rPr>
        <w:footnoteRef/>
      </w:r>
      <w:r w:rsidRPr="00B72D5B">
        <w:rPr>
          <w:sz w:val="16"/>
          <w:szCs w:val="16"/>
        </w:rPr>
        <w:t xml:space="preserve"> </w:t>
      </w:r>
      <w:r w:rsidRPr="00B72D5B">
        <w:rPr>
          <w:sz w:val="16"/>
          <w:szCs w:val="16"/>
          <w:lang w:val="en-US"/>
        </w:rPr>
        <w:t>High</w:t>
      </w:r>
      <w:r>
        <w:rPr>
          <w:sz w:val="16"/>
          <w:szCs w:val="16"/>
          <w:lang w:val="en-US"/>
        </w:rPr>
        <w:t>er</w:t>
      </w:r>
      <w:r w:rsidRPr="00B72D5B">
        <w:rPr>
          <w:sz w:val="16"/>
          <w:szCs w:val="16"/>
          <w:lang w:val="en-US"/>
        </w:rPr>
        <w:t xml:space="preserve"> skilled vacancies refer to those with </w:t>
      </w:r>
      <w:r w:rsidRPr="00B72D5B">
        <w:rPr>
          <w:i/>
          <w:sz w:val="16"/>
          <w:szCs w:val="16"/>
          <w:lang w:val="en-US"/>
        </w:rPr>
        <w:t xml:space="preserve">Australia and New Zealand Standard Classification of Occupations </w:t>
      </w:r>
      <w:r w:rsidRPr="00B72D5B">
        <w:rPr>
          <w:sz w:val="16"/>
          <w:szCs w:val="16"/>
          <w:lang w:val="en-US"/>
        </w:rPr>
        <w:t>(</w:t>
      </w:r>
      <w:proofErr w:type="spellStart"/>
      <w:r w:rsidRPr="00B72D5B">
        <w:rPr>
          <w:sz w:val="16"/>
          <w:szCs w:val="16"/>
          <w:lang w:val="en-US"/>
        </w:rPr>
        <w:t>ANZSCO</w:t>
      </w:r>
      <w:proofErr w:type="spellEnd"/>
      <w:r w:rsidRPr="00B72D5B">
        <w:rPr>
          <w:sz w:val="16"/>
          <w:szCs w:val="16"/>
          <w:lang w:val="en-US"/>
        </w:rPr>
        <w:t>) skill level 1</w:t>
      </w:r>
      <w:r>
        <w:rPr>
          <w:sz w:val="16"/>
          <w:szCs w:val="16"/>
          <w:lang w:val="en-US"/>
        </w:rPr>
        <w:t>, 2 or 3</w:t>
      </w:r>
      <w:r w:rsidRPr="00B72D5B">
        <w:rPr>
          <w:sz w:val="16"/>
          <w:szCs w:val="16"/>
          <w:lang w:val="en-US"/>
        </w:rPr>
        <w:t xml:space="preserve">. Lower skilled refer to </w:t>
      </w:r>
      <w:proofErr w:type="spellStart"/>
      <w:r w:rsidRPr="00B72D5B">
        <w:rPr>
          <w:sz w:val="16"/>
          <w:szCs w:val="16"/>
          <w:lang w:val="en-US"/>
        </w:rPr>
        <w:t>ANZSCO</w:t>
      </w:r>
      <w:proofErr w:type="spellEnd"/>
      <w:r w:rsidRPr="00B72D5B">
        <w:rPr>
          <w:sz w:val="16"/>
          <w:szCs w:val="16"/>
          <w:lang w:val="en-US"/>
        </w:rPr>
        <w:t xml:space="preserve"> occupations with skill level 4 or 5.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0CA0" w:rsidRPr="008A3028" w:rsidRDefault="00560CA0" w:rsidP="008A302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10C64D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F2C02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7D08C3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942CF7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5081C4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C8686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C840E1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EFE160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20016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2B8B4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6CA14A9"/>
    <w:multiLevelType w:val="multilevel"/>
    <w:tmpl w:val="BDD63C78"/>
    <w:lvl w:ilvl="0">
      <w:start w:val="1"/>
      <w:numFmt w:val="decimal"/>
      <w:lvlText w:val="%1."/>
      <w:lvlJc w:val="right"/>
      <w:pPr>
        <w:ind w:left="369" w:hanging="11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>
    <w:nsid w:val="06E350C6"/>
    <w:multiLevelType w:val="hybridMultilevel"/>
    <w:tmpl w:val="8FE85656"/>
    <w:lvl w:ilvl="0" w:tplc="20465F18">
      <w:start w:val="1"/>
      <w:numFmt w:val="lowerRoman"/>
      <w:lvlText w:val="%1."/>
      <w:lvlJc w:val="right"/>
      <w:pPr>
        <w:ind w:left="357" w:hanging="357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80F485D"/>
    <w:multiLevelType w:val="hybridMultilevel"/>
    <w:tmpl w:val="5BE4D756"/>
    <w:lvl w:ilvl="0" w:tplc="1A4409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A784D04"/>
    <w:multiLevelType w:val="hybridMultilevel"/>
    <w:tmpl w:val="AB1E254E"/>
    <w:lvl w:ilvl="0" w:tplc="78CCB112">
      <w:start w:val="1"/>
      <w:numFmt w:val="lowerLetter"/>
      <w:pStyle w:val="EMPListParagraph"/>
      <w:lvlText w:val="(%1)"/>
      <w:lvlJc w:val="left"/>
      <w:pPr>
        <w:ind w:left="720" w:hanging="360"/>
      </w:pPr>
      <w:rPr>
        <w:rFonts w:ascii="Calibri" w:hAnsi="Calibri" w:cs="Calibri" w:hint="default"/>
        <w:color w:val="auto"/>
        <w:vertAlign w:val="superscrip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4E12691"/>
    <w:multiLevelType w:val="hybridMultilevel"/>
    <w:tmpl w:val="87F08DF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16641DF2"/>
    <w:multiLevelType w:val="hybridMultilevel"/>
    <w:tmpl w:val="F7842D62"/>
    <w:lvl w:ilvl="0" w:tplc="7F847DE4">
      <w:start w:val="1"/>
      <w:numFmt w:val="decimal"/>
      <w:pStyle w:val="numberedpara"/>
      <w:lvlText w:val="%1."/>
      <w:lvlJc w:val="right"/>
      <w:pPr>
        <w:tabs>
          <w:tab w:val="num" w:pos="567"/>
        </w:tabs>
        <w:ind w:left="0" w:hanging="567"/>
      </w:pPr>
      <w:rPr>
        <w:rFonts w:ascii="Calibri" w:hAnsi="Calibri" w:cs="Times New Roman" w:hint="default"/>
        <w:b w:val="0"/>
        <w:i w:val="0"/>
        <w:color w:val="auto"/>
        <w:sz w:val="22"/>
      </w:r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FBA5C77"/>
    <w:multiLevelType w:val="multilevel"/>
    <w:tmpl w:val="EA90483C"/>
    <w:lvl w:ilvl="0">
      <w:start w:val="1"/>
      <w:numFmt w:val="decimal"/>
      <w:pStyle w:val="ListNumber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ind w:left="851" w:hanging="491"/>
      </w:pPr>
      <w:rPr>
        <w:rFonts w:hint="default"/>
      </w:rPr>
    </w:lvl>
    <w:lvl w:ilvl="2">
      <w:start w:val="1"/>
      <w:numFmt w:val="decimal"/>
      <w:pStyle w:val="ListNumber3"/>
      <w:lvlText w:val="%1.%2.%3"/>
      <w:lvlJc w:val="left"/>
      <w:pPr>
        <w:ind w:left="1474" w:hanging="623"/>
      </w:pPr>
      <w:rPr>
        <w:rFonts w:hint="default"/>
      </w:rPr>
    </w:lvl>
    <w:lvl w:ilvl="3">
      <w:start w:val="1"/>
      <w:numFmt w:val="decimal"/>
      <w:pStyle w:val="ListNumber4"/>
      <w:lvlText w:val="%1.%2.%3.%4"/>
      <w:lvlJc w:val="left"/>
      <w:pPr>
        <w:ind w:left="2268" w:hanging="737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7">
    <w:nsid w:val="2DE97200"/>
    <w:multiLevelType w:val="hybridMultilevel"/>
    <w:tmpl w:val="4730637A"/>
    <w:lvl w:ilvl="0" w:tplc="273EBE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079455A"/>
    <w:multiLevelType w:val="multilevel"/>
    <w:tmpl w:val="64F4757C"/>
    <w:lvl w:ilvl="0">
      <w:start w:val="1"/>
      <w:numFmt w:val="decimal"/>
      <w:pStyle w:val="EMPHeading1Numbered"/>
      <w:suff w:val="space"/>
      <w:lvlText w:val="%1."/>
      <w:lvlJc w:val="left"/>
      <w:pPr>
        <w:ind w:left="363" w:hanging="363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527" w:hanging="17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884" w:hanging="17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241" w:hanging="17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598" w:hanging="17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955" w:hanging="17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312" w:hanging="17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669" w:hanging="17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026" w:hanging="170"/>
      </w:pPr>
      <w:rPr>
        <w:rFonts w:hint="default"/>
      </w:rPr>
    </w:lvl>
  </w:abstractNum>
  <w:abstractNum w:abstractNumId="19">
    <w:nsid w:val="32AF3371"/>
    <w:multiLevelType w:val="hybridMultilevel"/>
    <w:tmpl w:val="51BAA7F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50A92686"/>
    <w:multiLevelType w:val="hybridMultilevel"/>
    <w:tmpl w:val="A8F2EB3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51B73210"/>
    <w:multiLevelType w:val="multilevel"/>
    <w:tmpl w:val="2C4CE3A4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pStyle w:val="ListBullet2"/>
      <w:lvlText w:val=""/>
      <w:lvlJc w:val="left"/>
      <w:pPr>
        <w:ind w:left="737" w:hanging="340"/>
      </w:pPr>
      <w:rPr>
        <w:rFonts w:ascii="Symbol" w:hAnsi="Symbol" w:hint="default"/>
      </w:rPr>
    </w:lvl>
    <w:lvl w:ilvl="2">
      <w:start w:val="1"/>
      <w:numFmt w:val="bullet"/>
      <w:pStyle w:val="ListBullet3"/>
      <w:lvlText w:val=""/>
      <w:lvlJc w:val="left"/>
      <w:pPr>
        <w:ind w:left="1134" w:hanging="340"/>
      </w:pPr>
      <w:rPr>
        <w:rFonts w:ascii="Wingdings" w:hAnsi="Wingdings" w:hint="default"/>
      </w:rPr>
    </w:lvl>
    <w:lvl w:ilvl="3">
      <w:start w:val="1"/>
      <w:numFmt w:val="bullet"/>
      <w:pStyle w:val="ListBullet4"/>
      <w:lvlText w:val="o"/>
      <w:lvlJc w:val="left"/>
      <w:pPr>
        <w:ind w:left="1531" w:hanging="397"/>
      </w:pPr>
      <w:rPr>
        <w:rFonts w:ascii="Courier New" w:hAnsi="Courier New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52654230"/>
    <w:multiLevelType w:val="hybridMultilevel"/>
    <w:tmpl w:val="5DACEA56"/>
    <w:lvl w:ilvl="0" w:tplc="1C2C36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9CF1710"/>
    <w:multiLevelType w:val="multilevel"/>
    <w:tmpl w:val="835A880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"/>
      <w:lvlJc w:val="left"/>
      <w:pPr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24">
    <w:nsid w:val="5CE92C41"/>
    <w:multiLevelType w:val="hybridMultilevel"/>
    <w:tmpl w:val="DFE85E9E"/>
    <w:lvl w:ilvl="0" w:tplc="427CFC3E">
      <w:start w:val="1"/>
      <w:numFmt w:val="lowerRoman"/>
      <w:pStyle w:val="Style1"/>
      <w:lvlText w:val="%1."/>
      <w:lvlJc w:val="righ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0DA4BD1"/>
    <w:multiLevelType w:val="hybridMultilevel"/>
    <w:tmpl w:val="856E6A0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6B8F286C"/>
    <w:multiLevelType w:val="hybridMultilevel"/>
    <w:tmpl w:val="F93C3FE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76BE2999"/>
    <w:multiLevelType w:val="hybridMultilevel"/>
    <w:tmpl w:val="BE9A9BF0"/>
    <w:lvl w:ilvl="0" w:tplc="CC82115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7D864B09"/>
    <w:multiLevelType w:val="hybridMultilevel"/>
    <w:tmpl w:val="E7E0F980"/>
    <w:lvl w:ilvl="0" w:tplc="65DC278E">
      <w:start w:val="1"/>
      <w:numFmt w:val="lowerRoman"/>
      <w:lvlText w:val="%1."/>
      <w:lvlJc w:val="right"/>
      <w:pPr>
        <w:ind w:left="1089" w:hanging="360"/>
      </w:pPr>
    </w:lvl>
    <w:lvl w:ilvl="1" w:tplc="0C090019" w:tentative="1">
      <w:start w:val="1"/>
      <w:numFmt w:val="lowerLetter"/>
      <w:lvlText w:val="%2."/>
      <w:lvlJc w:val="left"/>
      <w:pPr>
        <w:ind w:left="1809" w:hanging="360"/>
      </w:pPr>
    </w:lvl>
    <w:lvl w:ilvl="2" w:tplc="0C09001B" w:tentative="1">
      <w:start w:val="1"/>
      <w:numFmt w:val="lowerRoman"/>
      <w:lvlText w:val="%3."/>
      <w:lvlJc w:val="right"/>
      <w:pPr>
        <w:ind w:left="2529" w:hanging="180"/>
      </w:pPr>
    </w:lvl>
    <w:lvl w:ilvl="3" w:tplc="0C09000F" w:tentative="1">
      <w:start w:val="1"/>
      <w:numFmt w:val="decimal"/>
      <w:lvlText w:val="%4."/>
      <w:lvlJc w:val="left"/>
      <w:pPr>
        <w:ind w:left="3249" w:hanging="360"/>
      </w:pPr>
    </w:lvl>
    <w:lvl w:ilvl="4" w:tplc="0C090019" w:tentative="1">
      <w:start w:val="1"/>
      <w:numFmt w:val="lowerLetter"/>
      <w:lvlText w:val="%5."/>
      <w:lvlJc w:val="left"/>
      <w:pPr>
        <w:ind w:left="3969" w:hanging="360"/>
      </w:pPr>
    </w:lvl>
    <w:lvl w:ilvl="5" w:tplc="0C09001B" w:tentative="1">
      <w:start w:val="1"/>
      <w:numFmt w:val="lowerRoman"/>
      <w:lvlText w:val="%6."/>
      <w:lvlJc w:val="right"/>
      <w:pPr>
        <w:ind w:left="4689" w:hanging="180"/>
      </w:pPr>
    </w:lvl>
    <w:lvl w:ilvl="6" w:tplc="0C09000F" w:tentative="1">
      <w:start w:val="1"/>
      <w:numFmt w:val="decimal"/>
      <w:lvlText w:val="%7."/>
      <w:lvlJc w:val="left"/>
      <w:pPr>
        <w:ind w:left="5409" w:hanging="360"/>
      </w:pPr>
    </w:lvl>
    <w:lvl w:ilvl="7" w:tplc="0C090019" w:tentative="1">
      <w:start w:val="1"/>
      <w:numFmt w:val="lowerLetter"/>
      <w:lvlText w:val="%8."/>
      <w:lvlJc w:val="left"/>
      <w:pPr>
        <w:ind w:left="6129" w:hanging="360"/>
      </w:pPr>
    </w:lvl>
    <w:lvl w:ilvl="8" w:tplc="0C09001B" w:tentative="1">
      <w:start w:val="1"/>
      <w:numFmt w:val="lowerRoman"/>
      <w:lvlText w:val="%9."/>
      <w:lvlJc w:val="right"/>
      <w:pPr>
        <w:ind w:left="6849" w:hanging="180"/>
      </w:pPr>
    </w:lvl>
  </w:abstractNum>
  <w:num w:numId="1">
    <w:abstractNumId w:val="23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6"/>
  </w:num>
  <w:num w:numId="1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27"/>
  </w:num>
  <w:num w:numId="15">
    <w:abstractNumId w:val="14"/>
  </w:num>
  <w:num w:numId="16">
    <w:abstractNumId w:val="21"/>
  </w:num>
  <w:num w:numId="1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</w:num>
  <w:num w:numId="20">
    <w:abstractNumId w:val="24"/>
  </w:num>
  <w:num w:numId="21">
    <w:abstractNumId w:val="11"/>
  </w:num>
  <w:num w:numId="22">
    <w:abstractNumId w:val="28"/>
  </w:num>
  <w:num w:numId="23">
    <w:abstractNumId w:val="17"/>
  </w:num>
  <w:num w:numId="24">
    <w:abstractNumId w:val="22"/>
  </w:num>
  <w:num w:numId="25">
    <w:abstractNumId w:val="10"/>
  </w:num>
  <w:num w:numId="26">
    <w:abstractNumId w:val="18"/>
  </w:num>
  <w:num w:numId="27">
    <w:abstractNumId w:val="13"/>
  </w:num>
  <w:num w:numId="28">
    <w:abstractNumId w:val="19"/>
  </w:num>
  <w:num w:numId="29">
    <w:abstractNumId w:val="26"/>
  </w:num>
  <w:num w:numId="30">
    <w:abstractNumId w:val="25"/>
  </w:num>
  <w:num w:numId="31">
    <w:abstractNumId w:val="9"/>
  </w:num>
  <w:num w:numId="3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SortMethod w:val="0000"/>
  <w:defaultTabStop w:val="720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AMO_XmlVersion" w:val="Empty"/>
  </w:docVars>
  <w:rsids>
    <w:rsidRoot w:val="002B7EA2"/>
    <w:rsid w:val="00002721"/>
    <w:rsid w:val="000036D9"/>
    <w:rsid w:val="00003FCE"/>
    <w:rsid w:val="00012440"/>
    <w:rsid w:val="000131FC"/>
    <w:rsid w:val="00020B86"/>
    <w:rsid w:val="00024E24"/>
    <w:rsid w:val="00034EAA"/>
    <w:rsid w:val="00035A5B"/>
    <w:rsid w:val="000429E4"/>
    <w:rsid w:val="00062F97"/>
    <w:rsid w:val="00083003"/>
    <w:rsid w:val="000861A6"/>
    <w:rsid w:val="00093B26"/>
    <w:rsid w:val="0009514E"/>
    <w:rsid w:val="000A32A3"/>
    <w:rsid w:val="000A5DF9"/>
    <w:rsid w:val="000C093F"/>
    <w:rsid w:val="000C1B31"/>
    <w:rsid w:val="000C2746"/>
    <w:rsid w:val="000E0FE9"/>
    <w:rsid w:val="000E50D0"/>
    <w:rsid w:val="000E7E7B"/>
    <w:rsid w:val="000F15EB"/>
    <w:rsid w:val="000F3BA2"/>
    <w:rsid w:val="000F4DC6"/>
    <w:rsid w:val="000F6AD5"/>
    <w:rsid w:val="00101D6A"/>
    <w:rsid w:val="001175BF"/>
    <w:rsid w:val="00130923"/>
    <w:rsid w:val="00135DF9"/>
    <w:rsid w:val="001361AF"/>
    <w:rsid w:val="001414F3"/>
    <w:rsid w:val="00143FCD"/>
    <w:rsid w:val="00193A65"/>
    <w:rsid w:val="001B6467"/>
    <w:rsid w:val="001D3ADE"/>
    <w:rsid w:val="001D5A77"/>
    <w:rsid w:val="001E0B41"/>
    <w:rsid w:val="001F4583"/>
    <w:rsid w:val="001F7D78"/>
    <w:rsid w:val="00200F0A"/>
    <w:rsid w:val="00210819"/>
    <w:rsid w:val="00217A60"/>
    <w:rsid w:val="00223EB1"/>
    <w:rsid w:val="00233015"/>
    <w:rsid w:val="00236917"/>
    <w:rsid w:val="00237659"/>
    <w:rsid w:val="00243D6B"/>
    <w:rsid w:val="00245FA4"/>
    <w:rsid w:val="002804AE"/>
    <w:rsid w:val="002821E3"/>
    <w:rsid w:val="00295B04"/>
    <w:rsid w:val="002A25E6"/>
    <w:rsid w:val="002A3B7A"/>
    <w:rsid w:val="002B06E6"/>
    <w:rsid w:val="002B7EA2"/>
    <w:rsid w:val="002D271F"/>
    <w:rsid w:val="002D6386"/>
    <w:rsid w:val="002D7333"/>
    <w:rsid w:val="002E0B06"/>
    <w:rsid w:val="0030244A"/>
    <w:rsid w:val="00304AE1"/>
    <w:rsid w:val="00305B35"/>
    <w:rsid w:val="00306AE1"/>
    <w:rsid w:val="003166C5"/>
    <w:rsid w:val="003242B9"/>
    <w:rsid w:val="00327DB4"/>
    <w:rsid w:val="003A2CD8"/>
    <w:rsid w:val="003A35B6"/>
    <w:rsid w:val="003A43F0"/>
    <w:rsid w:val="003B1A48"/>
    <w:rsid w:val="003C4CDB"/>
    <w:rsid w:val="003C7D20"/>
    <w:rsid w:val="003D67FC"/>
    <w:rsid w:val="003E4978"/>
    <w:rsid w:val="003E5B65"/>
    <w:rsid w:val="003F7756"/>
    <w:rsid w:val="00403F54"/>
    <w:rsid w:val="00406894"/>
    <w:rsid w:val="00406E5A"/>
    <w:rsid w:val="0042005E"/>
    <w:rsid w:val="00426E30"/>
    <w:rsid w:val="00430782"/>
    <w:rsid w:val="00455B34"/>
    <w:rsid w:val="004560C3"/>
    <w:rsid w:val="00475A95"/>
    <w:rsid w:val="0048762C"/>
    <w:rsid w:val="00487CE5"/>
    <w:rsid w:val="00490F19"/>
    <w:rsid w:val="00496D06"/>
    <w:rsid w:val="004B01D3"/>
    <w:rsid w:val="004B256F"/>
    <w:rsid w:val="00501DB7"/>
    <w:rsid w:val="0050586B"/>
    <w:rsid w:val="005113B6"/>
    <w:rsid w:val="00525BE3"/>
    <w:rsid w:val="00525F6E"/>
    <w:rsid w:val="0052661F"/>
    <w:rsid w:val="00531817"/>
    <w:rsid w:val="005574FF"/>
    <w:rsid w:val="00560CA0"/>
    <w:rsid w:val="005624F3"/>
    <w:rsid w:val="00565051"/>
    <w:rsid w:val="005811EF"/>
    <w:rsid w:val="005818AE"/>
    <w:rsid w:val="0058287A"/>
    <w:rsid w:val="005A4D6A"/>
    <w:rsid w:val="005B0878"/>
    <w:rsid w:val="005B2296"/>
    <w:rsid w:val="005C15C0"/>
    <w:rsid w:val="00600C65"/>
    <w:rsid w:val="00610654"/>
    <w:rsid w:val="00617DC0"/>
    <w:rsid w:val="00621172"/>
    <w:rsid w:val="006318B9"/>
    <w:rsid w:val="00657E59"/>
    <w:rsid w:val="00663480"/>
    <w:rsid w:val="00664716"/>
    <w:rsid w:val="00664E4F"/>
    <w:rsid w:val="0067026C"/>
    <w:rsid w:val="00685448"/>
    <w:rsid w:val="00686A41"/>
    <w:rsid w:val="006B0502"/>
    <w:rsid w:val="006B6198"/>
    <w:rsid w:val="006C4EFC"/>
    <w:rsid w:val="006D3733"/>
    <w:rsid w:val="006D4427"/>
    <w:rsid w:val="006E10EC"/>
    <w:rsid w:val="006E2D49"/>
    <w:rsid w:val="006E68AF"/>
    <w:rsid w:val="006F2839"/>
    <w:rsid w:val="00705220"/>
    <w:rsid w:val="00705F06"/>
    <w:rsid w:val="0072124E"/>
    <w:rsid w:val="00724D5E"/>
    <w:rsid w:val="00730C70"/>
    <w:rsid w:val="007468FC"/>
    <w:rsid w:val="00762D18"/>
    <w:rsid w:val="00774375"/>
    <w:rsid w:val="00792CA3"/>
    <w:rsid w:val="007B2FDD"/>
    <w:rsid w:val="007B662E"/>
    <w:rsid w:val="007B6902"/>
    <w:rsid w:val="007C57B8"/>
    <w:rsid w:val="007D111D"/>
    <w:rsid w:val="007D286C"/>
    <w:rsid w:val="007D58FB"/>
    <w:rsid w:val="007F02DB"/>
    <w:rsid w:val="007F7C95"/>
    <w:rsid w:val="00801835"/>
    <w:rsid w:val="00813808"/>
    <w:rsid w:val="00817053"/>
    <w:rsid w:val="00820EC0"/>
    <w:rsid w:val="00824734"/>
    <w:rsid w:val="00833EBB"/>
    <w:rsid w:val="0083468A"/>
    <w:rsid w:val="00842D43"/>
    <w:rsid w:val="00854A69"/>
    <w:rsid w:val="00856D1C"/>
    <w:rsid w:val="008652D3"/>
    <w:rsid w:val="00876AC0"/>
    <w:rsid w:val="00882387"/>
    <w:rsid w:val="00885C8C"/>
    <w:rsid w:val="008939C1"/>
    <w:rsid w:val="00894410"/>
    <w:rsid w:val="008A11D1"/>
    <w:rsid w:val="008A3028"/>
    <w:rsid w:val="008D198B"/>
    <w:rsid w:val="008E1771"/>
    <w:rsid w:val="008F4486"/>
    <w:rsid w:val="008F6BA6"/>
    <w:rsid w:val="00901587"/>
    <w:rsid w:val="00903408"/>
    <w:rsid w:val="0091107E"/>
    <w:rsid w:val="009116EA"/>
    <w:rsid w:val="00913DA4"/>
    <w:rsid w:val="009148EF"/>
    <w:rsid w:val="0093110C"/>
    <w:rsid w:val="00933671"/>
    <w:rsid w:val="009470F1"/>
    <w:rsid w:val="00966CF7"/>
    <w:rsid w:val="00972BF7"/>
    <w:rsid w:val="00972DD5"/>
    <w:rsid w:val="00984879"/>
    <w:rsid w:val="0098492D"/>
    <w:rsid w:val="00985632"/>
    <w:rsid w:val="009910FB"/>
    <w:rsid w:val="00991B63"/>
    <w:rsid w:val="009A73C9"/>
    <w:rsid w:val="009B2428"/>
    <w:rsid w:val="009B5CB7"/>
    <w:rsid w:val="00A041E2"/>
    <w:rsid w:val="00A04609"/>
    <w:rsid w:val="00A12A12"/>
    <w:rsid w:val="00A31242"/>
    <w:rsid w:val="00A4083C"/>
    <w:rsid w:val="00A52530"/>
    <w:rsid w:val="00A551BF"/>
    <w:rsid w:val="00A70524"/>
    <w:rsid w:val="00A73406"/>
    <w:rsid w:val="00A90757"/>
    <w:rsid w:val="00A92F02"/>
    <w:rsid w:val="00AC65DA"/>
    <w:rsid w:val="00AD61F3"/>
    <w:rsid w:val="00AE6398"/>
    <w:rsid w:val="00AF1CD3"/>
    <w:rsid w:val="00B00F44"/>
    <w:rsid w:val="00B2722A"/>
    <w:rsid w:val="00B31167"/>
    <w:rsid w:val="00B331D1"/>
    <w:rsid w:val="00B36A9C"/>
    <w:rsid w:val="00B549DF"/>
    <w:rsid w:val="00B57D88"/>
    <w:rsid w:val="00B618BA"/>
    <w:rsid w:val="00B62093"/>
    <w:rsid w:val="00B6431A"/>
    <w:rsid w:val="00B904AC"/>
    <w:rsid w:val="00B90820"/>
    <w:rsid w:val="00BA282D"/>
    <w:rsid w:val="00BB4728"/>
    <w:rsid w:val="00BB6260"/>
    <w:rsid w:val="00C00191"/>
    <w:rsid w:val="00C05E74"/>
    <w:rsid w:val="00C10C19"/>
    <w:rsid w:val="00C143B8"/>
    <w:rsid w:val="00C17D02"/>
    <w:rsid w:val="00C27DD4"/>
    <w:rsid w:val="00C30726"/>
    <w:rsid w:val="00C37641"/>
    <w:rsid w:val="00C52E6E"/>
    <w:rsid w:val="00C5649C"/>
    <w:rsid w:val="00C67515"/>
    <w:rsid w:val="00C75486"/>
    <w:rsid w:val="00C81F31"/>
    <w:rsid w:val="00C8202C"/>
    <w:rsid w:val="00C8324C"/>
    <w:rsid w:val="00C92A5B"/>
    <w:rsid w:val="00CA46EC"/>
    <w:rsid w:val="00CC0B61"/>
    <w:rsid w:val="00CD0AFD"/>
    <w:rsid w:val="00CE185D"/>
    <w:rsid w:val="00CE75B5"/>
    <w:rsid w:val="00CF32FE"/>
    <w:rsid w:val="00CF69F6"/>
    <w:rsid w:val="00D05B29"/>
    <w:rsid w:val="00D1394D"/>
    <w:rsid w:val="00D47740"/>
    <w:rsid w:val="00D53015"/>
    <w:rsid w:val="00D6502B"/>
    <w:rsid w:val="00D65524"/>
    <w:rsid w:val="00D704ED"/>
    <w:rsid w:val="00D80B67"/>
    <w:rsid w:val="00D812B9"/>
    <w:rsid w:val="00D903FD"/>
    <w:rsid w:val="00D94BC5"/>
    <w:rsid w:val="00D96C08"/>
    <w:rsid w:val="00D97D2C"/>
    <w:rsid w:val="00DA19AF"/>
    <w:rsid w:val="00DB018D"/>
    <w:rsid w:val="00DC3052"/>
    <w:rsid w:val="00DC4963"/>
    <w:rsid w:val="00DC6249"/>
    <w:rsid w:val="00DD79B4"/>
    <w:rsid w:val="00DE01B9"/>
    <w:rsid w:val="00DF0F9C"/>
    <w:rsid w:val="00DF2E9B"/>
    <w:rsid w:val="00DF46C4"/>
    <w:rsid w:val="00E00F65"/>
    <w:rsid w:val="00E120C5"/>
    <w:rsid w:val="00E261EA"/>
    <w:rsid w:val="00E41483"/>
    <w:rsid w:val="00E42114"/>
    <w:rsid w:val="00E55531"/>
    <w:rsid w:val="00E624E2"/>
    <w:rsid w:val="00E84B90"/>
    <w:rsid w:val="00E916C5"/>
    <w:rsid w:val="00E9649B"/>
    <w:rsid w:val="00EA03F4"/>
    <w:rsid w:val="00EB4EFC"/>
    <w:rsid w:val="00EC1BB7"/>
    <w:rsid w:val="00EC78E7"/>
    <w:rsid w:val="00ED00D4"/>
    <w:rsid w:val="00ED2C73"/>
    <w:rsid w:val="00ED43D2"/>
    <w:rsid w:val="00ED7B8F"/>
    <w:rsid w:val="00EE2BCC"/>
    <w:rsid w:val="00EE3B8C"/>
    <w:rsid w:val="00EE3D2F"/>
    <w:rsid w:val="00EE4104"/>
    <w:rsid w:val="00EE52EF"/>
    <w:rsid w:val="00EF4A38"/>
    <w:rsid w:val="00F11B8F"/>
    <w:rsid w:val="00F12B36"/>
    <w:rsid w:val="00F1540B"/>
    <w:rsid w:val="00F33B4E"/>
    <w:rsid w:val="00F3469F"/>
    <w:rsid w:val="00F523AC"/>
    <w:rsid w:val="00F5471B"/>
    <w:rsid w:val="00F665AB"/>
    <w:rsid w:val="00F74011"/>
    <w:rsid w:val="00F75415"/>
    <w:rsid w:val="00F779B2"/>
    <w:rsid w:val="00F81C3B"/>
    <w:rsid w:val="00F92479"/>
    <w:rsid w:val="00FB0C0B"/>
    <w:rsid w:val="00FB10CB"/>
    <w:rsid w:val="00FC2270"/>
    <w:rsid w:val="00FC6AB3"/>
    <w:rsid w:val="00FD5644"/>
    <w:rsid w:val="00FD616C"/>
    <w:rsid w:val="00FE3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uiPriority="9" w:unhideWhenUsed="1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footnote text" w:unhideWhenUsed="1"/>
    <w:lsdException w:name="header" w:unhideWhenUsed="1"/>
    <w:lsdException w:name="footer" w:unhideWhenUsed="1"/>
    <w:lsdException w:name="caption" w:uiPriority="35" w:unhideWhenUsed="1"/>
    <w:lsdException w:name="footnote reference" w:unhideWhenUsed="1"/>
    <w:lsdException w:name="List Bullet" w:unhideWhenUsed="1"/>
    <w:lsdException w:name="List Number" w:unhideWhenUsed="1"/>
    <w:lsdException w:name="List Bullet 2" w:unhideWhenUsed="1"/>
    <w:lsdException w:name="List Bullet 3" w:unhideWhenUsed="1"/>
    <w:lsdException w:name="List Bullet 4" w:unhideWhenUsed="1"/>
    <w:lsdException w:name="List Number 2" w:unhideWhenUsed="1"/>
    <w:lsdException w:name="List Number 3" w:unhideWhenUsed="1"/>
    <w:lsdException w:name="List Number 4" w:unhideWhenUsed="1"/>
    <w:lsdException w:name="Title" w:uiPriority="10" w:qFormat="1"/>
    <w:lsdException w:name="Default Paragraph Font" w:uiPriority="1" w:unhideWhenUsed="1"/>
    <w:lsdException w:name="Body Text" w:uiPriority="0" w:unhideWhenUsed="1"/>
    <w:lsdException w:name="Subtitle" w:uiPriority="11" w:qFormat="1"/>
    <w:lsdException w:name="Hyperlink" w:unhideWhenUsed="1"/>
    <w:lsdException w:name="Strong" w:semiHidden="0" w:uiPriority="22" w:qFormat="1"/>
    <w:lsdException w:name="Emphasis" w:semiHidden="0" w:uiPriority="20" w:qFormat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/>
    <w:lsdException w:name="TOC Heading" w:uiPriority="39" w:unhideWhenUsed="1" w:qFormat="1"/>
  </w:latentStyles>
  <w:style w:type="paragraph" w:default="1" w:styleId="Normal">
    <w:name w:val="Normal"/>
    <w:semiHidden/>
    <w:qFormat/>
    <w:rsid w:val="006E10EC"/>
  </w:style>
  <w:style w:type="paragraph" w:styleId="Heading1">
    <w:name w:val="heading 1"/>
    <w:basedOn w:val="Normal"/>
    <w:next w:val="Normal"/>
    <w:link w:val="Heading1Char"/>
    <w:uiPriority w:val="9"/>
    <w:semiHidden/>
    <w:rsid w:val="003166C5"/>
    <w:pPr>
      <w:spacing w:after="240" w:line="240" w:lineRule="auto"/>
      <w:contextualSpacing/>
      <w:outlineLvl w:val="0"/>
    </w:pPr>
    <w:rPr>
      <w:rFonts w:ascii="Calibri" w:eastAsiaTheme="majorEastAsia" w:hAnsi="Calibri" w:cstheme="majorBidi"/>
      <w:b/>
      <w:bCs/>
      <w:color w:val="000000" w:themeColor="text1"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qFormat/>
    <w:rsid w:val="00A31242"/>
    <w:pPr>
      <w:spacing w:before="200" w:after="0"/>
      <w:outlineLvl w:val="1"/>
    </w:pPr>
    <w:rPr>
      <w:rFonts w:ascii="Calibri" w:eastAsiaTheme="majorEastAsia" w:hAnsi="Calibri" w:cstheme="majorBidi"/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qFormat/>
    <w:rsid w:val="001B6467"/>
    <w:pPr>
      <w:spacing w:before="200" w:after="0"/>
      <w:outlineLvl w:val="2"/>
    </w:pPr>
    <w:rPr>
      <w:rFonts w:ascii="Calibri" w:eastAsiaTheme="majorEastAsia" w:hAnsi="Calibr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qFormat/>
    <w:rsid w:val="00236917"/>
    <w:pPr>
      <w:spacing w:before="200" w:after="0"/>
      <w:outlineLvl w:val="3"/>
    </w:pPr>
    <w:rPr>
      <w:rFonts w:ascii="Calibri" w:eastAsiaTheme="majorEastAsia" w:hAnsi="Calibr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1B6467"/>
    <w:pPr>
      <w:spacing w:before="200" w:after="0"/>
      <w:outlineLvl w:val="4"/>
    </w:pPr>
    <w:rPr>
      <w:rFonts w:ascii="Calibri" w:eastAsiaTheme="majorEastAsia" w:hAnsi="Calibri" w:cstheme="majorBidi"/>
      <w:b/>
      <w:bCs/>
      <w:color w:val="757575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933671"/>
    <w:pPr>
      <w:spacing w:before="200" w:after="0"/>
      <w:outlineLvl w:val="5"/>
    </w:pPr>
    <w:rPr>
      <w:rFonts w:ascii="Calibri" w:eastAsiaTheme="majorEastAsia" w:hAnsi="Calibri" w:cstheme="majorBidi"/>
      <w:b/>
      <w:bCs/>
      <w:i/>
      <w:iCs/>
      <w:color w:val="757575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AC65DA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AC65DA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AC65DA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semiHidden/>
    <w:qFormat/>
    <w:rsid w:val="00AC65DA"/>
    <w:rPr>
      <w:b/>
      <w:bCs/>
    </w:rPr>
  </w:style>
  <w:style w:type="character" w:styleId="Emphasis">
    <w:name w:val="Emphasis"/>
    <w:uiPriority w:val="20"/>
    <w:semiHidden/>
    <w:qFormat/>
    <w:rsid w:val="00DC4963"/>
    <w:rPr>
      <w:b w:val="0"/>
      <w:bCs/>
      <w:i/>
      <w:iCs/>
      <w:spacing w:val="0"/>
      <w:bdr w:val="none" w:sz="0" w:space="0" w:color="auto"/>
      <w:shd w:val="clear" w:color="auto" w:fill="auto"/>
    </w:rPr>
  </w:style>
  <w:style w:type="character" w:styleId="BookTitle">
    <w:name w:val="Book Title"/>
    <w:uiPriority w:val="33"/>
    <w:semiHidden/>
    <w:qFormat/>
    <w:rsid w:val="009116EA"/>
    <w:rPr>
      <w:i/>
      <w:iCs/>
      <w:caps w:val="0"/>
      <w:smallCaps w:val="0"/>
      <w:spacing w:val="5"/>
    </w:rPr>
  </w:style>
  <w:style w:type="paragraph" w:styleId="Quote">
    <w:name w:val="Quote"/>
    <w:basedOn w:val="Normal"/>
    <w:next w:val="Normal"/>
    <w:link w:val="QuoteChar"/>
    <w:uiPriority w:val="29"/>
    <w:semiHidden/>
    <w:qFormat/>
    <w:rsid w:val="00C05E74"/>
    <w:pPr>
      <w:spacing w:after="120"/>
      <w:ind w:left="369" w:right="369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semiHidden/>
    <w:rsid w:val="00EE3D2F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semiHidden/>
    <w:rsid w:val="00EE3D2F"/>
    <w:rPr>
      <w:rFonts w:ascii="Calibri" w:eastAsiaTheme="majorEastAsia" w:hAnsi="Calibri" w:cstheme="majorBidi"/>
      <w:b/>
      <w:bCs/>
      <w:color w:val="000000" w:themeColor="text1"/>
      <w:sz w:val="3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E3D2F"/>
    <w:rPr>
      <w:rFonts w:ascii="Calibri" w:eastAsiaTheme="majorEastAsia" w:hAnsi="Calibri" w:cstheme="majorBidi"/>
      <w:b/>
      <w:bCs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E3D2F"/>
    <w:rPr>
      <w:rFonts w:ascii="Calibri" w:eastAsiaTheme="majorEastAsia" w:hAnsi="Calibr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E3D2F"/>
    <w:rPr>
      <w:rFonts w:ascii="Calibri" w:eastAsiaTheme="majorEastAsia" w:hAnsi="Calibr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E3D2F"/>
    <w:rPr>
      <w:rFonts w:ascii="Calibri" w:eastAsiaTheme="majorEastAsia" w:hAnsi="Calibri" w:cstheme="majorBidi"/>
      <w:b/>
      <w:bCs/>
      <w:color w:val="757575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E3D2F"/>
    <w:rPr>
      <w:rFonts w:ascii="Calibri" w:eastAsiaTheme="majorEastAsia" w:hAnsi="Calibri" w:cstheme="majorBidi"/>
      <w:b/>
      <w:bCs/>
      <w:i/>
      <w:iCs/>
      <w:color w:val="757575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E3D2F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E3D2F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E3D2F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customStyle="1" w:styleId="EMPFooter">
    <w:name w:val="EMP_Footer"/>
    <w:basedOn w:val="Normal"/>
    <w:qFormat/>
    <w:rsid w:val="00306AE1"/>
    <w:pPr>
      <w:tabs>
        <w:tab w:val="center" w:pos="4513"/>
        <w:tab w:val="right" w:pos="8647"/>
      </w:tabs>
      <w:spacing w:before="1320" w:after="0" w:line="240" w:lineRule="auto"/>
    </w:pPr>
    <w:rPr>
      <w:color w:val="522762"/>
      <w:sz w:val="20"/>
    </w:rPr>
  </w:style>
  <w:style w:type="paragraph" w:customStyle="1" w:styleId="EMPHeading1Numbered">
    <w:name w:val="EMP_Heading 1 Numbered"/>
    <w:basedOn w:val="EMPHeading1"/>
    <w:qFormat/>
    <w:rsid w:val="000F4DC6"/>
    <w:pPr>
      <w:numPr>
        <w:numId w:val="26"/>
      </w:numPr>
    </w:pPr>
  </w:style>
  <w:style w:type="paragraph" w:styleId="Footer">
    <w:name w:val="footer"/>
    <w:basedOn w:val="Normal"/>
    <w:link w:val="FooterChar"/>
    <w:uiPriority w:val="99"/>
    <w:rsid w:val="007C57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10EC"/>
  </w:style>
  <w:style w:type="paragraph" w:styleId="NoSpacing">
    <w:name w:val="No Spacing"/>
    <w:basedOn w:val="Normal"/>
    <w:link w:val="NoSpacingChar"/>
    <w:uiPriority w:val="1"/>
    <w:semiHidden/>
    <w:qFormat/>
    <w:rsid w:val="00AC65D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C65DA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AC65D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EE3D2F"/>
    <w:rPr>
      <w:b/>
      <w:bCs/>
      <w:i/>
      <w:iCs/>
    </w:rPr>
  </w:style>
  <w:style w:type="character" w:styleId="SubtleEmphasis">
    <w:name w:val="Subtle Emphasis"/>
    <w:uiPriority w:val="19"/>
    <w:semiHidden/>
    <w:qFormat/>
    <w:rsid w:val="00AC65DA"/>
    <w:rPr>
      <w:i/>
      <w:iCs/>
    </w:rPr>
  </w:style>
  <w:style w:type="character" w:styleId="IntenseEmphasis">
    <w:name w:val="Intense Emphasis"/>
    <w:uiPriority w:val="21"/>
    <w:semiHidden/>
    <w:qFormat/>
    <w:rsid w:val="00DC4963"/>
    <w:rPr>
      <w:b/>
      <w:bCs/>
      <w:i/>
    </w:rPr>
  </w:style>
  <w:style w:type="character" w:styleId="SubtleReference">
    <w:name w:val="Subtle Reference"/>
    <w:uiPriority w:val="31"/>
    <w:semiHidden/>
    <w:qFormat/>
    <w:rsid w:val="00AC65DA"/>
    <w:rPr>
      <w:smallCaps/>
    </w:rPr>
  </w:style>
  <w:style w:type="character" w:styleId="IntenseReference">
    <w:name w:val="Intense Reference"/>
    <w:uiPriority w:val="32"/>
    <w:semiHidden/>
    <w:qFormat/>
    <w:rsid w:val="00AC65DA"/>
    <w:rPr>
      <w:smallCaps/>
      <w:spacing w:val="5"/>
      <w:u w:val="single"/>
    </w:rPr>
  </w:style>
  <w:style w:type="paragraph" w:styleId="ListNumber">
    <w:name w:val="List Number"/>
    <w:basedOn w:val="Normal"/>
    <w:uiPriority w:val="99"/>
    <w:semiHidden/>
    <w:rsid w:val="00FB10CB"/>
    <w:pPr>
      <w:numPr>
        <w:numId w:val="11"/>
      </w:numPr>
      <w:spacing w:after="120"/>
      <w:ind w:left="369" w:hanging="369"/>
      <w:contextualSpacing/>
    </w:pPr>
  </w:style>
  <w:style w:type="paragraph" w:styleId="ListNumber2">
    <w:name w:val="List Number 2"/>
    <w:basedOn w:val="Normal"/>
    <w:uiPriority w:val="99"/>
    <w:semiHidden/>
    <w:rsid w:val="00985632"/>
    <w:pPr>
      <w:numPr>
        <w:ilvl w:val="1"/>
        <w:numId w:val="11"/>
      </w:numPr>
      <w:tabs>
        <w:tab w:val="left" w:pos="1134"/>
      </w:tabs>
      <w:spacing w:after="120"/>
      <w:ind w:left="936" w:hanging="567"/>
      <w:contextualSpacing/>
    </w:pPr>
  </w:style>
  <w:style w:type="paragraph" w:styleId="ListNumber3">
    <w:name w:val="List Number 3"/>
    <w:basedOn w:val="Normal"/>
    <w:uiPriority w:val="99"/>
    <w:semiHidden/>
    <w:rsid w:val="00985632"/>
    <w:pPr>
      <w:numPr>
        <w:ilvl w:val="2"/>
        <w:numId w:val="11"/>
      </w:numPr>
      <w:spacing w:after="120"/>
      <w:ind w:left="1701" w:hanging="765"/>
      <w:contextualSpacing/>
    </w:pPr>
  </w:style>
  <w:style w:type="paragraph" w:styleId="ListNumber4">
    <w:name w:val="List Number 4"/>
    <w:basedOn w:val="Normal"/>
    <w:uiPriority w:val="99"/>
    <w:semiHidden/>
    <w:rsid w:val="00406E5A"/>
    <w:pPr>
      <w:numPr>
        <w:ilvl w:val="3"/>
        <w:numId w:val="11"/>
      </w:numPr>
      <w:spacing w:after="120"/>
      <w:ind w:left="2637" w:hanging="936"/>
      <w:contextualSpacing/>
    </w:pPr>
  </w:style>
  <w:style w:type="paragraph" w:styleId="ListBullet">
    <w:name w:val="List Bullet"/>
    <w:basedOn w:val="Normal"/>
    <w:uiPriority w:val="99"/>
    <w:semiHidden/>
    <w:rsid w:val="00CA46EC"/>
    <w:pPr>
      <w:numPr>
        <w:numId w:val="16"/>
      </w:numPr>
      <w:spacing w:after="120"/>
      <w:ind w:left="369" w:hanging="369"/>
      <w:contextualSpacing/>
    </w:pPr>
  </w:style>
  <w:style w:type="paragraph" w:styleId="ListBullet2">
    <w:name w:val="List Bullet 2"/>
    <w:basedOn w:val="Normal"/>
    <w:uiPriority w:val="99"/>
    <w:semiHidden/>
    <w:rsid w:val="00CA46EC"/>
    <w:pPr>
      <w:numPr>
        <w:ilvl w:val="1"/>
        <w:numId w:val="16"/>
      </w:numPr>
      <w:spacing w:after="120"/>
      <w:ind w:left="766" w:hanging="369"/>
      <w:contextualSpacing/>
    </w:pPr>
  </w:style>
  <w:style w:type="paragraph" w:styleId="ListBullet3">
    <w:name w:val="List Bullet 3"/>
    <w:basedOn w:val="Normal"/>
    <w:uiPriority w:val="99"/>
    <w:semiHidden/>
    <w:rsid w:val="00CA46EC"/>
    <w:pPr>
      <w:numPr>
        <w:ilvl w:val="2"/>
        <w:numId w:val="16"/>
      </w:numPr>
      <w:spacing w:after="120"/>
      <w:ind w:left="1163" w:hanging="369"/>
      <w:contextualSpacing/>
    </w:pPr>
  </w:style>
  <w:style w:type="paragraph" w:styleId="ListBullet4">
    <w:name w:val="List Bullet 4"/>
    <w:basedOn w:val="Normal"/>
    <w:uiPriority w:val="99"/>
    <w:semiHidden/>
    <w:rsid w:val="00CA46EC"/>
    <w:pPr>
      <w:numPr>
        <w:ilvl w:val="3"/>
        <w:numId w:val="16"/>
      </w:numPr>
      <w:spacing w:after="120"/>
      <w:ind w:left="1503" w:hanging="369"/>
      <w:contextualSpacing/>
    </w:pPr>
  </w:style>
  <w:style w:type="table" w:styleId="TableGrid">
    <w:name w:val="Table Grid"/>
    <w:aliases w:val="INT_Glossary"/>
    <w:basedOn w:val="TableNormal"/>
    <w:uiPriority w:val="59"/>
    <w:rsid w:val="00306AE1"/>
    <w:pPr>
      <w:spacing w:after="0" w:line="240" w:lineRule="auto"/>
    </w:pPr>
    <w:tblPr>
      <w:tblBorders>
        <w:top w:val="single" w:sz="4" w:space="0" w:color="B2B2B2" w:themeColor="background1" w:themeTint="99"/>
        <w:left w:val="single" w:sz="4" w:space="0" w:color="B2B2B2" w:themeColor="background1" w:themeTint="99"/>
        <w:bottom w:val="single" w:sz="4" w:space="0" w:color="B2B2B2" w:themeColor="background1" w:themeTint="99"/>
        <w:right w:val="single" w:sz="4" w:space="0" w:color="B2B2B2" w:themeColor="background1" w:themeTint="99"/>
        <w:insideH w:val="single" w:sz="4" w:space="0" w:color="B2B2B2" w:themeColor="background1" w:themeTint="99"/>
        <w:insideV w:val="single" w:sz="4" w:space="0" w:color="B2B2B2" w:themeColor="background1" w:themeTint="99"/>
      </w:tblBorders>
    </w:tblPr>
    <w:tcPr>
      <w:tcMar>
        <w:top w:w="28" w:type="dxa"/>
        <w:bottom w:w="28" w:type="dxa"/>
      </w:tcMar>
    </w:tcPr>
  </w:style>
  <w:style w:type="paragraph" w:customStyle="1" w:styleId="Default">
    <w:name w:val="Default"/>
    <w:semiHidden/>
    <w:rsid w:val="0013092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en-AU"/>
    </w:rPr>
  </w:style>
  <w:style w:type="paragraph" w:styleId="BodyText">
    <w:name w:val="Body Text"/>
    <w:basedOn w:val="Normal"/>
    <w:link w:val="BodyTextChar"/>
    <w:semiHidden/>
    <w:rsid w:val="00130923"/>
    <w:pPr>
      <w:spacing w:after="120" w:line="240" w:lineRule="auto"/>
    </w:pPr>
    <w:rPr>
      <w:rFonts w:eastAsia="Times New Roman" w:cs="Times New Roman"/>
      <w:szCs w:val="24"/>
      <w:lang w:eastAsia="en-AU"/>
    </w:rPr>
  </w:style>
  <w:style w:type="character" w:customStyle="1" w:styleId="BodyTextChar">
    <w:name w:val="Body Text Char"/>
    <w:basedOn w:val="DefaultParagraphFont"/>
    <w:link w:val="BodyText"/>
    <w:semiHidden/>
    <w:rsid w:val="00EE3D2F"/>
    <w:rPr>
      <w:rFonts w:eastAsia="Times New Roman" w:cs="Times New Roman"/>
      <w:szCs w:val="24"/>
      <w:lang w:eastAsia="en-AU"/>
    </w:rPr>
  </w:style>
  <w:style w:type="paragraph" w:customStyle="1" w:styleId="numberedpara">
    <w:name w:val="numbered para"/>
    <w:basedOn w:val="Normal"/>
    <w:semiHidden/>
    <w:rsid w:val="00130923"/>
    <w:pPr>
      <w:numPr>
        <w:numId w:val="18"/>
      </w:numPr>
      <w:spacing w:after="0" w:line="240" w:lineRule="auto"/>
    </w:pPr>
    <w:rPr>
      <w:rFonts w:ascii="Calibri" w:eastAsiaTheme="minorHAnsi" w:hAnsi="Calibri" w:cs="Calibri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rsid w:val="001309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3D2F"/>
    <w:rPr>
      <w:rFonts w:ascii="Tahoma" w:hAnsi="Tahoma" w:cs="Tahoma"/>
      <w:sz w:val="16"/>
      <w:szCs w:val="16"/>
    </w:rPr>
  </w:style>
  <w:style w:type="character" w:customStyle="1" w:styleId="NoSpacingChar">
    <w:name w:val="No Spacing Char"/>
    <w:basedOn w:val="DefaultParagraphFont"/>
    <w:link w:val="NoSpacing"/>
    <w:uiPriority w:val="1"/>
    <w:semiHidden/>
    <w:rsid w:val="00EE3D2F"/>
  </w:style>
  <w:style w:type="paragraph" w:styleId="Header">
    <w:name w:val="header"/>
    <w:basedOn w:val="Normal"/>
    <w:link w:val="HeaderChar"/>
    <w:uiPriority w:val="99"/>
    <w:semiHidden/>
    <w:rsid w:val="00F92479"/>
    <w:pPr>
      <w:tabs>
        <w:tab w:val="center" w:pos="4513"/>
        <w:tab w:val="right" w:pos="9026"/>
      </w:tabs>
      <w:spacing w:after="0" w:line="240" w:lineRule="auto"/>
      <w:jc w:val="right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E3D2F"/>
  </w:style>
  <w:style w:type="paragraph" w:styleId="Caption">
    <w:name w:val="caption"/>
    <w:basedOn w:val="Heading4"/>
    <w:next w:val="Normal"/>
    <w:uiPriority w:val="35"/>
    <w:semiHidden/>
    <w:rsid w:val="00B2722A"/>
    <w:rPr>
      <w:i w:val="0"/>
    </w:rPr>
  </w:style>
  <w:style w:type="paragraph" w:customStyle="1" w:styleId="Source">
    <w:name w:val="Source"/>
    <w:basedOn w:val="Normal"/>
    <w:semiHidden/>
    <w:qFormat/>
    <w:rsid w:val="00B2722A"/>
    <w:rPr>
      <w:rFonts w:cstheme="minorHAnsi"/>
      <w:b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BA282D"/>
    <w:rPr>
      <w:color w:val="808080"/>
    </w:rPr>
  </w:style>
  <w:style w:type="paragraph" w:customStyle="1" w:styleId="EMPNormal">
    <w:name w:val="EMP_Normal"/>
    <w:basedOn w:val="Normal"/>
    <w:qFormat/>
    <w:rsid w:val="003A35B6"/>
    <w:rPr>
      <w:noProof/>
    </w:rPr>
  </w:style>
  <w:style w:type="paragraph" w:customStyle="1" w:styleId="EMPTitle">
    <w:name w:val="EMP_Title"/>
    <w:basedOn w:val="Normal"/>
    <w:qFormat/>
    <w:rsid w:val="00FC2270"/>
    <w:pPr>
      <w:spacing w:before="240" w:after="120" w:line="520" w:lineRule="exact"/>
      <w:contextualSpacing/>
    </w:pPr>
    <w:rPr>
      <w:rFonts w:ascii="Calibri" w:eastAsiaTheme="majorEastAsia" w:hAnsi="Calibri" w:cstheme="majorBidi"/>
      <w:color w:val="1E3D6B"/>
      <w:spacing w:val="5"/>
      <w:sz w:val="48"/>
      <w:szCs w:val="52"/>
    </w:rPr>
  </w:style>
  <w:style w:type="paragraph" w:customStyle="1" w:styleId="EMPSubtitle">
    <w:name w:val="EMP_Subtitle"/>
    <w:basedOn w:val="Normal"/>
    <w:qFormat/>
    <w:rsid w:val="00B57D88"/>
    <w:pPr>
      <w:spacing w:before="600" w:line="400" w:lineRule="exact"/>
    </w:pPr>
    <w:rPr>
      <w:rFonts w:ascii="Calibri" w:eastAsiaTheme="majorEastAsia" w:hAnsi="Calibri" w:cstheme="majorBidi"/>
      <w:iCs/>
      <w:color w:val="522762"/>
      <w:spacing w:val="13"/>
      <w:sz w:val="30"/>
      <w:szCs w:val="24"/>
    </w:rPr>
  </w:style>
  <w:style w:type="paragraph" w:customStyle="1" w:styleId="EMPDeleteText">
    <w:name w:val="EMP_Delete Text"/>
    <w:basedOn w:val="Normal"/>
    <w:qFormat/>
    <w:rsid w:val="009470F1"/>
    <w:rPr>
      <w:color w:val="7030A0"/>
    </w:rPr>
  </w:style>
  <w:style w:type="paragraph" w:customStyle="1" w:styleId="EMPHeading1">
    <w:name w:val="EMP_Heading 1"/>
    <w:basedOn w:val="Heading1"/>
    <w:qFormat/>
    <w:rsid w:val="00233015"/>
    <w:pPr>
      <w:spacing w:before="240"/>
    </w:pPr>
    <w:rPr>
      <w:color w:val="1E3D6B"/>
    </w:rPr>
  </w:style>
  <w:style w:type="paragraph" w:customStyle="1" w:styleId="EMPHeading2">
    <w:name w:val="EMP_Heading 2"/>
    <w:basedOn w:val="Heading2"/>
    <w:qFormat/>
    <w:rsid w:val="00233015"/>
    <w:rPr>
      <w:color w:val="1E3D6B"/>
    </w:rPr>
  </w:style>
  <w:style w:type="paragraph" w:customStyle="1" w:styleId="EMPHeading3">
    <w:name w:val="EMP_Heading 3"/>
    <w:basedOn w:val="Heading3"/>
    <w:qFormat/>
    <w:rsid w:val="000036D9"/>
  </w:style>
  <w:style w:type="paragraph" w:customStyle="1" w:styleId="EMPHeading4">
    <w:name w:val="EMP_Heading 4"/>
    <w:basedOn w:val="Heading4"/>
    <w:qFormat/>
    <w:rsid w:val="000036D9"/>
  </w:style>
  <w:style w:type="paragraph" w:customStyle="1" w:styleId="EMPHeading5">
    <w:name w:val="EMP_Heading 5"/>
    <w:basedOn w:val="Heading5"/>
    <w:qFormat/>
    <w:rsid w:val="000036D9"/>
  </w:style>
  <w:style w:type="paragraph" w:customStyle="1" w:styleId="EMPHeading6">
    <w:name w:val="EMP_Heading 6"/>
    <w:basedOn w:val="Heading6"/>
    <w:qFormat/>
    <w:rsid w:val="000036D9"/>
  </w:style>
  <w:style w:type="paragraph" w:customStyle="1" w:styleId="EMPListBullet">
    <w:name w:val="EMP_List Bullet"/>
    <w:basedOn w:val="ListBullet"/>
    <w:qFormat/>
    <w:rsid w:val="003A35B6"/>
    <w:pPr>
      <w:spacing w:after="200"/>
    </w:pPr>
  </w:style>
  <w:style w:type="paragraph" w:customStyle="1" w:styleId="Style1">
    <w:name w:val="Style1"/>
    <w:basedOn w:val="Normal"/>
    <w:semiHidden/>
    <w:qFormat/>
    <w:rsid w:val="000036D9"/>
    <w:pPr>
      <w:numPr>
        <w:numId w:val="20"/>
      </w:numPr>
      <w:spacing w:after="120"/>
      <w:ind w:left="426" w:hanging="369"/>
      <w:contextualSpacing/>
    </w:pPr>
  </w:style>
  <w:style w:type="paragraph" w:customStyle="1" w:styleId="EMPListBullet2">
    <w:name w:val="EMP_List Bullet 2"/>
    <w:basedOn w:val="ListBullet2"/>
    <w:qFormat/>
    <w:rsid w:val="003A35B6"/>
    <w:pPr>
      <w:spacing w:after="200"/>
    </w:pPr>
  </w:style>
  <w:style w:type="paragraph" w:customStyle="1" w:styleId="EMPListNumber">
    <w:name w:val="EMP_List Number"/>
    <w:basedOn w:val="ListNumber"/>
    <w:qFormat/>
    <w:rsid w:val="003A35B6"/>
    <w:pPr>
      <w:spacing w:after="200"/>
    </w:pPr>
  </w:style>
  <w:style w:type="paragraph" w:customStyle="1" w:styleId="EMPListNumber2">
    <w:name w:val="EMP_List Number 2"/>
    <w:basedOn w:val="ListNumber2"/>
    <w:qFormat/>
    <w:rsid w:val="003A35B6"/>
    <w:pPr>
      <w:spacing w:after="200"/>
    </w:pPr>
  </w:style>
  <w:style w:type="character" w:customStyle="1" w:styleId="EMPBold">
    <w:name w:val="*EMP_Bold"/>
    <w:basedOn w:val="Strong"/>
    <w:uiPriority w:val="1"/>
    <w:qFormat/>
    <w:rsid w:val="00B90820"/>
    <w:rPr>
      <w:b/>
      <w:bCs/>
    </w:rPr>
  </w:style>
  <w:style w:type="character" w:customStyle="1" w:styleId="EMPBoldItalic">
    <w:name w:val="*EMP_Bold Italic"/>
    <w:basedOn w:val="IntenseEmphasis"/>
    <w:uiPriority w:val="1"/>
    <w:qFormat/>
    <w:rsid w:val="00B90820"/>
    <w:rPr>
      <w:b/>
      <w:bCs/>
      <w:i/>
    </w:rPr>
  </w:style>
  <w:style w:type="character" w:customStyle="1" w:styleId="EMPItalic">
    <w:name w:val="*EMP_Italic"/>
    <w:basedOn w:val="Emphasis"/>
    <w:uiPriority w:val="1"/>
    <w:qFormat/>
    <w:rsid w:val="00DC4963"/>
    <w:rPr>
      <w:b w:val="0"/>
      <w:bCs/>
      <w:i/>
      <w:iCs/>
      <w:spacing w:val="0"/>
      <w:bdr w:val="none" w:sz="0" w:space="0" w:color="auto"/>
      <w:shd w:val="clear" w:color="auto" w:fill="auto"/>
    </w:rPr>
  </w:style>
  <w:style w:type="character" w:customStyle="1" w:styleId="EMPHyperlink">
    <w:name w:val="*EMP_Hyperlink"/>
    <w:basedOn w:val="DefaultParagraphFont"/>
    <w:uiPriority w:val="1"/>
    <w:qFormat/>
    <w:rsid w:val="00306AE1"/>
    <w:rPr>
      <w:color w:val="084268"/>
      <w:u w:val="single"/>
    </w:rPr>
  </w:style>
  <w:style w:type="paragraph" w:customStyle="1" w:styleId="BasicParagraph">
    <w:name w:val="[Basic Paragraph]"/>
    <w:basedOn w:val="Normal"/>
    <w:uiPriority w:val="99"/>
    <w:semiHidden/>
    <w:rsid w:val="0072124E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paragraph" w:customStyle="1" w:styleId="Heading2FeatureBox">
    <w:name w:val="Heading 2 Feature Box"/>
    <w:basedOn w:val="Heading2"/>
    <w:semiHidden/>
    <w:qFormat/>
    <w:rsid w:val="00B904AC"/>
    <w:pPr>
      <w:spacing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rsid w:val="005818A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E3D2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5818AE"/>
    <w:rPr>
      <w:vertAlign w:val="superscript"/>
    </w:rPr>
  </w:style>
  <w:style w:type="table" w:customStyle="1" w:styleId="Bluewithalternatingrows">
    <w:name w:val="Blue with alternating rows"/>
    <w:basedOn w:val="TableNormal"/>
    <w:uiPriority w:val="99"/>
    <w:rsid w:val="00817053"/>
    <w:pPr>
      <w:spacing w:after="0" w:line="240" w:lineRule="auto"/>
    </w:pPr>
    <w:tblPr>
      <w:tblStyleRowBandSize w:val="1"/>
      <w:tblCellMar>
        <w:top w:w="28" w:type="dxa"/>
        <w:bottom w:w="28" w:type="dxa"/>
      </w:tblCellMar>
    </w:tblPr>
    <w:tblStylePr w:type="firstRow">
      <w:rPr>
        <w:b/>
        <w:color w:val="FFFFFF" w:themeColor="background2"/>
      </w:rPr>
      <w:tblPr/>
      <w:tcPr>
        <w:shd w:val="clear" w:color="auto" w:fill="1B3D6B"/>
      </w:tcPr>
    </w:tblStylePr>
    <w:tblStylePr w:type="band2Horz">
      <w:tblPr/>
      <w:tcPr>
        <w:shd w:val="clear" w:color="auto" w:fill="C4C5D4"/>
      </w:tcPr>
    </w:tblStylePr>
  </w:style>
  <w:style w:type="paragraph" w:customStyle="1" w:styleId="EMPListParagraph">
    <w:name w:val="EMP_List Paragraph"/>
    <w:basedOn w:val="Normal"/>
    <w:qFormat/>
    <w:rsid w:val="00817053"/>
    <w:pPr>
      <w:numPr>
        <w:numId w:val="27"/>
      </w:numPr>
      <w:spacing w:before="120" w:after="0" w:line="20" w:lineRule="atLeast"/>
      <w:ind w:left="142" w:hanging="142"/>
      <w:contextualSpacing/>
    </w:pPr>
    <w:rPr>
      <w:rFonts w:cstheme="minorHAnsi"/>
      <w:i/>
      <w:sz w:val="16"/>
      <w:szCs w:val="16"/>
    </w:rPr>
  </w:style>
  <w:style w:type="table" w:customStyle="1" w:styleId="BlueTablenoshadedrows">
    <w:name w:val="Blue Table no shaded rows"/>
    <w:basedOn w:val="TableNormal"/>
    <w:uiPriority w:val="99"/>
    <w:rsid w:val="00817053"/>
    <w:pPr>
      <w:spacing w:after="0" w:line="240" w:lineRule="auto"/>
    </w:pPr>
    <w:tblPr>
      <w:tblStyleRowBandSize w:val="1"/>
      <w:tblCellMar>
        <w:top w:w="28" w:type="dxa"/>
        <w:bottom w:w="28" w:type="dxa"/>
      </w:tblCellMar>
    </w:tblPr>
    <w:tblStylePr w:type="firstRow">
      <w:pPr>
        <w:jc w:val="left"/>
      </w:pPr>
      <w:rPr>
        <w:b/>
      </w:rPr>
      <w:tblPr/>
      <w:tcPr>
        <w:shd w:val="clear" w:color="auto" w:fill="1B3D6B"/>
      </w:tcPr>
    </w:tblStylePr>
    <w:tblStylePr w:type="lastRow">
      <w:tblPr/>
      <w:tcPr>
        <w:tcBorders>
          <w:bottom w:val="single" w:sz="4" w:space="0" w:color="1B3D6B"/>
        </w:tcBorders>
      </w:tcPr>
    </w:tblStylePr>
  </w:style>
  <w:style w:type="paragraph" w:customStyle="1" w:styleId="EMPHeading1KeyFindings">
    <w:name w:val="EMP_Heading 1 (Key Findings)"/>
    <w:basedOn w:val="EMPHeading1"/>
    <w:qFormat/>
    <w:rsid w:val="002B7EA2"/>
    <w:pPr>
      <w:spacing w:before="0" w:after="120"/>
      <w:outlineLvl w:val="9"/>
    </w:pPr>
    <w:rPr>
      <w:b w:val="0"/>
      <w:color w:val="FFFFFF" w:themeColor="background2"/>
    </w:rPr>
  </w:style>
  <w:style w:type="character" w:styleId="Hyperlink">
    <w:name w:val="Hyperlink"/>
    <w:basedOn w:val="DefaultParagraphFont"/>
    <w:uiPriority w:val="99"/>
    <w:unhideWhenUsed/>
    <w:rsid w:val="00093B26"/>
    <w:rPr>
      <w:color w:val="165788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rsid w:val="007B662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7B662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B662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B662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662E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rsid w:val="009910FB"/>
    <w:rPr>
      <w:color w:val="00000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uiPriority="9" w:unhideWhenUsed="1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footnote text" w:unhideWhenUsed="1"/>
    <w:lsdException w:name="header" w:unhideWhenUsed="1"/>
    <w:lsdException w:name="footer" w:unhideWhenUsed="1"/>
    <w:lsdException w:name="caption" w:uiPriority="35" w:unhideWhenUsed="1"/>
    <w:lsdException w:name="footnote reference" w:unhideWhenUsed="1"/>
    <w:lsdException w:name="List Bullet" w:unhideWhenUsed="1"/>
    <w:lsdException w:name="List Number" w:unhideWhenUsed="1"/>
    <w:lsdException w:name="List Bullet 2" w:unhideWhenUsed="1"/>
    <w:lsdException w:name="List Bullet 3" w:unhideWhenUsed="1"/>
    <w:lsdException w:name="List Bullet 4" w:unhideWhenUsed="1"/>
    <w:lsdException w:name="List Number 2" w:unhideWhenUsed="1"/>
    <w:lsdException w:name="List Number 3" w:unhideWhenUsed="1"/>
    <w:lsdException w:name="List Number 4" w:unhideWhenUsed="1"/>
    <w:lsdException w:name="Title" w:uiPriority="10" w:qFormat="1"/>
    <w:lsdException w:name="Default Paragraph Font" w:uiPriority="1" w:unhideWhenUsed="1"/>
    <w:lsdException w:name="Body Text" w:uiPriority="0" w:unhideWhenUsed="1"/>
    <w:lsdException w:name="Subtitle" w:uiPriority="11" w:qFormat="1"/>
    <w:lsdException w:name="Hyperlink" w:unhideWhenUsed="1"/>
    <w:lsdException w:name="Strong" w:semiHidden="0" w:uiPriority="22" w:qFormat="1"/>
    <w:lsdException w:name="Emphasis" w:semiHidden="0" w:uiPriority="20" w:qFormat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/>
    <w:lsdException w:name="TOC Heading" w:uiPriority="39" w:unhideWhenUsed="1" w:qFormat="1"/>
  </w:latentStyles>
  <w:style w:type="paragraph" w:default="1" w:styleId="Normal">
    <w:name w:val="Normal"/>
    <w:semiHidden/>
    <w:qFormat/>
    <w:rsid w:val="006E10EC"/>
  </w:style>
  <w:style w:type="paragraph" w:styleId="Heading1">
    <w:name w:val="heading 1"/>
    <w:basedOn w:val="Normal"/>
    <w:next w:val="Normal"/>
    <w:link w:val="Heading1Char"/>
    <w:uiPriority w:val="9"/>
    <w:semiHidden/>
    <w:rsid w:val="003166C5"/>
    <w:pPr>
      <w:spacing w:after="240" w:line="240" w:lineRule="auto"/>
      <w:contextualSpacing/>
      <w:outlineLvl w:val="0"/>
    </w:pPr>
    <w:rPr>
      <w:rFonts w:ascii="Calibri" w:eastAsiaTheme="majorEastAsia" w:hAnsi="Calibri" w:cstheme="majorBidi"/>
      <w:b/>
      <w:bCs/>
      <w:color w:val="000000" w:themeColor="text1"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qFormat/>
    <w:rsid w:val="00A31242"/>
    <w:pPr>
      <w:spacing w:before="200" w:after="0"/>
      <w:outlineLvl w:val="1"/>
    </w:pPr>
    <w:rPr>
      <w:rFonts w:ascii="Calibri" w:eastAsiaTheme="majorEastAsia" w:hAnsi="Calibri" w:cstheme="majorBidi"/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qFormat/>
    <w:rsid w:val="001B6467"/>
    <w:pPr>
      <w:spacing w:before="200" w:after="0"/>
      <w:outlineLvl w:val="2"/>
    </w:pPr>
    <w:rPr>
      <w:rFonts w:ascii="Calibri" w:eastAsiaTheme="majorEastAsia" w:hAnsi="Calibr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qFormat/>
    <w:rsid w:val="00236917"/>
    <w:pPr>
      <w:spacing w:before="200" w:after="0"/>
      <w:outlineLvl w:val="3"/>
    </w:pPr>
    <w:rPr>
      <w:rFonts w:ascii="Calibri" w:eastAsiaTheme="majorEastAsia" w:hAnsi="Calibr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1B6467"/>
    <w:pPr>
      <w:spacing w:before="200" w:after="0"/>
      <w:outlineLvl w:val="4"/>
    </w:pPr>
    <w:rPr>
      <w:rFonts w:ascii="Calibri" w:eastAsiaTheme="majorEastAsia" w:hAnsi="Calibri" w:cstheme="majorBidi"/>
      <w:b/>
      <w:bCs/>
      <w:color w:val="757575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933671"/>
    <w:pPr>
      <w:spacing w:before="200" w:after="0"/>
      <w:outlineLvl w:val="5"/>
    </w:pPr>
    <w:rPr>
      <w:rFonts w:ascii="Calibri" w:eastAsiaTheme="majorEastAsia" w:hAnsi="Calibri" w:cstheme="majorBidi"/>
      <w:b/>
      <w:bCs/>
      <w:i/>
      <w:iCs/>
      <w:color w:val="757575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AC65DA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AC65DA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AC65DA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semiHidden/>
    <w:qFormat/>
    <w:rsid w:val="00AC65DA"/>
    <w:rPr>
      <w:b/>
      <w:bCs/>
    </w:rPr>
  </w:style>
  <w:style w:type="character" w:styleId="Emphasis">
    <w:name w:val="Emphasis"/>
    <w:uiPriority w:val="20"/>
    <w:semiHidden/>
    <w:qFormat/>
    <w:rsid w:val="00DC4963"/>
    <w:rPr>
      <w:b w:val="0"/>
      <w:bCs/>
      <w:i/>
      <w:iCs/>
      <w:spacing w:val="0"/>
      <w:bdr w:val="none" w:sz="0" w:space="0" w:color="auto"/>
      <w:shd w:val="clear" w:color="auto" w:fill="auto"/>
    </w:rPr>
  </w:style>
  <w:style w:type="character" w:styleId="BookTitle">
    <w:name w:val="Book Title"/>
    <w:uiPriority w:val="33"/>
    <w:semiHidden/>
    <w:qFormat/>
    <w:rsid w:val="009116EA"/>
    <w:rPr>
      <w:i/>
      <w:iCs/>
      <w:caps w:val="0"/>
      <w:smallCaps w:val="0"/>
      <w:spacing w:val="5"/>
    </w:rPr>
  </w:style>
  <w:style w:type="paragraph" w:styleId="Quote">
    <w:name w:val="Quote"/>
    <w:basedOn w:val="Normal"/>
    <w:next w:val="Normal"/>
    <w:link w:val="QuoteChar"/>
    <w:uiPriority w:val="29"/>
    <w:semiHidden/>
    <w:qFormat/>
    <w:rsid w:val="00C05E74"/>
    <w:pPr>
      <w:spacing w:after="120"/>
      <w:ind w:left="369" w:right="369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semiHidden/>
    <w:rsid w:val="00EE3D2F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semiHidden/>
    <w:rsid w:val="00EE3D2F"/>
    <w:rPr>
      <w:rFonts w:ascii="Calibri" w:eastAsiaTheme="majorEastAsia" w:hAnsi="Calibri" w:cstheme="majorBidi"/>
      <w:b/>
      <w:bCs/>
      <w:color w:val="000000" w:themeColor="text1"/>
      <w:sz w:val="3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E3D2F"/>
    <w:rPr>
      <w:rFonts w:ascii="Calibri" w:eastAsiaTheme="majorEastAsia" w:hAnsi="Calibri" w:cstheme="majorBidi"/>
      <w:b/>
      <w:bCs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E3D2F"/>
    <w:rPr>
      <w:rFonts w:ascii="Calibri" w:eastAsiaTheme="majorEastAsia" w:hAnsi="Calibr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E3D2F"/>
    <w:rPr>
      <w:rFonts w:ascii="Calibri" w:eastAsiaTheme="majorEastAsia" w:hAnsi="Calibr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E3D2F"/>
    <w:rPr>
      <w:rFonts w:ascii="Calibri" w:eastAsiaTheme="majorEastAsia" w:hAnsi="Calibri" w:cstheme="majorBidi"/>
      <w:b/>
      <w:bCs/>
      <w:color w:val="757575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E3D2F"/>
    <w:rPr>
      <w:rFonts w:ascii="Calibri" w:eastAsiaTheme="majorEastAsia" w:hAnsi="Calibri" w:cstheme="majorBidi"/>
      <w:b/>
      <w:bCs/>
      <w:i/>
      <w:iCs/>
      <w:color w:val="757575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E3D2F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E3D2F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E3D2F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customStyle="1" w:styleId="EMPFooter">
    <w:name w:val="EMP_Footer"/>
    <w:basedOn w:val="Normal"/>
    <w:qFormat/>
    <w:rsid w:val="00306AE1"/>
    <w:pPr>
      <w:tabs>
        <w:tab w:val="center" w:pos="4513"/>
        <w:tab w:val="right" w:pos="8647"/>
      </w:tabs>
      <w:spacing w:before="1320" w:after="0" w:line="240" w:lineRule="auto"/>
    </w:pPr>
    <w:rPr>
      <w:color w:val="522762"/>
      <w:sz w:val="20"/>
    </w:rPr>
  </w:style>
  <w:style w:type="paragraph" w:customStyle="1" w:styleId="EMPHeading1Numbered">
    <w:name w:val="EMP_Heading 1 Numbered"/>
    <w:basedOn w:val="EMPHeading1"/>
    <w:qFormat/>
    <w:rsid w:val="000F4DC6"/>
    <w:pPr>
      <w:numPr>
        <w:numId w:val="26"/>
      </w:numPr>
    </w:pPr>
  </w:style>
  <w:style w:type="paragraph" w:styleId="Footer">
    <w:name w:val="footer"/>
    <w:basedOn w:val="Normal"/>
    <w:link w:val="FooterChar"/>
    <w:uiPriority w:val="99"/>
    <w:rsid w:val="007C57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10EC"/>
  </w:style>
  <w:style w:type="paragraph" w:styleId="NoSpacing">
    <w:name w:val="No Spacing"/>
    <w:basedOn w:val="Normal"/>
    <w:link w:val="NoSpacingChar"/>
    <w:uiPriority w:val="1"/>
    <w:semiHidden/>
    <w:qFormat/>
    <w:rsid w:val="00AC65D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C65DA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AC65D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EE3D2F"/>
    <w:rPr>
      <w:b/>
      <w:bCs/>
      <w:i/>
      <w:iCs/>
    </w:rPr>
  </w:style>
  <w:style w:type="character" w:styleId="SubtleEmphasis">
    <w:name w:val="Subtle Emphasis"/>
    <w:uiPriority w:val="19"/>
    <w:semiHidden/>
    <w:qFormat/>
    <w:rsid w:val="00AC65DA"/>
    <w:rPr>
      <w:i/>
      <w:iCs/>
    </w:rPr>
  </w:style>
  <w:style w:type="character" w:styleId="IntenseEmphasis">
    <w:name w:val="Intense Emphasis"/>
    <w:uiPriority w:val="21"/>
    <w:semiHidden/>
    <w:qFormat/>
    <w:rsid w:val="00DC4963"/>
    <w:rPr>
      <w:b/>
      <w:bCs/>
      <w:i/>
    </w:rPr>
  </w:style>
  <w:style w:type="character" w:styleId="SubtleReference">
    <w:name w:val="Subtle Reference"/>
    <w:uiPriority w:val="31"/>
    <w:semiHidden/>
    <w:qFormat/>
    <w:rsid w:val="00AC65DA"/>
    <w:rPr>
      <w:smallCaps/>
    </w:rPr>
  </w:style>
  <w:style w:type="character" w:styleId="IntenseReference">
    <w:name w:val="Intense Reference"/>
    <w:uiPriority w:val="32"/>
    <w:semiHidden/>
    <w:qFormat/>
    <w:rsid w:val="00AC65DA"/>
    <w:rPr>
      <w:smallCaps/>
      <w:spacing w:val="5"/>
      <w:u w:val="single"/>
    </w:rPr>
  </w:style>
  <w:style w:type="paragraph" w:styleId="ListNumber">
    <w:name w:val="List Number"/>
    <w:basedOn w:val="Normal"/>
    <w:uiPriority w:val="99"/>
    <w:semiHidden/>
    <w:rsid w:val="00FB10CB"/>
    <w:pPr>
      <w:numPr>
        <w:numId w:val="11"/>
      </w:numPr>
      <w:spacing w:after="120"/>
      <w:ind w:left="369" w:hanging="369"/>
      <w:contextualSpacing/>
    </w:pPr>
  </w:style>
  <w:style w:type="paragraph" w:styleId="ListNumber2">
    <w:name w:val="List Number 2"/>
    <w:basedOn w:val="Normal"/>
    <w:uiPriority w:val="99"/>
    <w:semiHidden/>
    <w:rsid w:val="00985632"/>
    <w:pPr>
      <w:numPr>
        <w:ilvl w:val="1"/>
        <w:numId w:val="11"/>
      </w:numPr>
      <w:tabs>
        <w:tab w:val="left" w:pos="1134"/>
      </w:tabs>
      <w:spacing w:after="120"/>
      <w:ind w:left="936" w:hanging="567"/>
      <w:contextualSpacing/>
    </w:pPr>
  </w:style>
  <w:style w:type="paragraph" w:styleId="ListNumber3">
    <w:name w:val="List Number 3"/>
    <w:basedOn w:val="Normal"/>
    <w:uiPriority w:val="99"/>
    <w:semiHidden/>
    <w:rsid w:val="00985632"/>
    <w:pPr>
      <w:numPr>
        <w:ilvl w:val="2"/>
        <w:numId w:val="11"/>
      </w:numPr>
      <w:spacing w:after="120"/>
      <w:ind w:left="1701" w:hanging="765"/>
      <w:contextualSpacing/>
    </w:pPr>
  </w:style>
  <w:style w:type="paragraph" w:styleId="ListNumber4">
    <w:name w:val="List Number 4"/>
    <w:basedOn w:val="Normal"/>
    <w:uiPriority w:val="99"/>
    <w:semiHidden/>
    <w:rsid w:val="00406E5A"/>
    <w:pPr>
      <w:numPr>
        <w:ilvl w:val="3"/>
        <w:numId w:val="11"/>
      </w:numPr>
      <w:spacing w:after="120"/>
      <w:ind w:left="2637" w:hanging="936"/>
      <w:contextualSpacing/>
    </w:pPr>
  </w:style>
  <w:style w:type="paragraph" w:styleId="ListBullet">
    <w:name w:val="List Bullet"/>
    <w:basedOn w:val="Normal"/>
    <w:uiPriority w:val="99"/>
    <w:semiHidden/>
    <w:rsid w:val="00CA46EC"/>
    <w:pPr>
      <w:numPr>
        <w:numId w:val="16"/>
      </w:numPr>
      <w:spacing w:after="120"/>
      <w:ind w:left="369" w:hanging="369"/>
      <w:contextualSpacing/>
    </w:pPr>
  </w:style>
  <w:style w:type="paragraph" w:styleId="ListBullet2">
    <w:name w:val="List Bullet 2"/>
    <w:basedOn w:val="Normal"/>
    <w:uiPriority w:val="99"/>
    <w:semiHidden/>
    <w:rsid w:val="00CA46EC"/>
    <w:pPr>
      <w:numPr>
        <w:ilvl w:val="1"/>
        <w:numId w:val="16"/>
      </w:numPr>
      <w:spacing w:after="120"/>
      <w:ind w:left="766" w:hanging="369"/>
      <w:contextualSpacing/>
    </w:pPr>
  </w:style>
  <w:style w:type="paragraph" w:styleId="ListBullet3">
    <w:name w:val="List Bullet 3"/>
    <w:basedOn w:val="Normal"/>
    <w:uiPriority w:val="99"/>
    <w:semiHidden/>
    <w:rsid w:val="00CA46EC"/>
    <w:pPr>
      <w:numPr>
        <w:ilvl w:val="2"/>
        <w:numId w:val="16"/>
      </w:numPr>
      <w:spacing w:after="120"/>
      <w:ind w:left="1163" w:hanging="369"/>
      <w:contextualSpacing/>
    </w:pPr>
  </w:style>
  <w:style w:type="paragraph" w:styleId="ListBullet4">
    <w:name w:val="List Bullet 4"/>
    <w:basedOn w:val="Normal"/>
    <w:uiPriority w:val="99"/>
    <w:semiHidden/>
    <w:rsid w:val="00CA46EC"/>
    <w:pPr>
      <w:numPr>
        <w:ilvl w:val="3"/>
        <w:numId w:val="16"/>
      </w:numPr>
      <w:spacing w:after="120"/>
      <w:ind w:left="1503" w:hanging="369"/>
      <w:contextualSpacing/>
    </w:pPr>
  </w:style>
  <w:style w:type="table" w:styleId="TableGrid">
    <w:name w:val="Table Grid"/>
    <w:aliases w:val="INT_Glossary"/>
    <w:basedOn w:val="TableNormal"/>
    <w:uiPriority w:val="59"/>
    <w:rsid w:val="00306AE1"/>
    <w:pPr>
      <w:spacing w:after="0" w:line="240" w:lineRule="auto"/>
    </w:pPr>
    <w:tblPr>
      <w:tblBorders>
        <w:top w:val="single" w:sz="4" w:space="0" w:color="B2B2B2" w:themeColor="background1" w:themeTint="99"/>
        <w:left w:val="single" w:sz="4" w:space="0" w:color="B2B2B2" w:themeColor="background1" w:themeTint="99"/>
        <w:bottom w:val="single" w:sz="4" w:space="0" w:color="B2B2B2" w:themeColor="background1" w:themeTint="99"/>
        <w:right w:val="single" w:sz="4" w:space="0" w:color="B2B2B2" w:themeColor="background1" w:themeTint="99"/>
        <w:insideH w:val="single" w:sz="4" w:space="0" w:color="B2B2B2" w:themeColor="background1" w:themeTint="99"/>
        <w:insideV w:val="single" w:sz="4" w:space="0" w:color="B2B2B2" w:themeColor="background1" w:themeTint="99"/>
      </w:tblBorders>
    </w:tblPr>
    <w:tcPr>
      <w:tcMar>
        <w:top w:w="28" w:type="dxa"/>
        <w:bottom w:w="28" w:type="dxa"/>
      </w:tcMar>
    </w:tcPr>
  </w:style>
  <w:style w:type="paragraph" w:customStyle="1" w:styleId="Default">
    <w:name w:val="Default"/>
    <w:semiHidden/>
    <w:rsid w:val="0013092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en-AU"/>
    </w:rPr>
  </w:style>
  <w:style w:type="paragraph" w:styleId="BodyText">
    <w:name w:val="Body Text"/>
    <w:basedOn w:val="Normal"/>
    <w:link w:val="BodyTextChar"/>
    <w:semiHidden/>
    <w:rsid w:val="00130923"/>
    <w:pPr>
      <w:spacing w:after="120" w:line="240" w:lineRule="auto"/>
    </w:pPr>
    <w:rPr>
      <w:rFonts w:eastAsia="Times New Roman" w:cs="Times New Roman"/>
      <w:szCs w:val="24"/>
      <w:lang w:eastAsia="en-AU"/>
    </w:rPr>
  </w:style>
  <w:style w:type="character" w:customStyle="1" w:styleId="BodyTextChar">
    <w:name w:val="Body Text Char"/>
    <w:basedOn w:val="DefaultParagraphFont"/>
    <w:link w:val="BodyText"/>
    <w:semiHidden/>
    <w:rsid w:val="00EE3D2F"/>
    <w:rPr>
      <w:rFonts w:eastAsia="Times New Roman" w:cs="Times New Roman"/>
      <w:szCs w:val="24"/>
      <w:lang w:eastAsia="en-AU"/>
    </w:rPr>
  </w:style>
  <w:style w:type="paragraph" w:customStyle="1" w:styleId="numberedpara">
    <w:name w:val="numbered para"/>
    <w:basedOn w:val="Normal"/>
    <w:semiHidden/>
    <w:rsid w:val="00130923"/>
    <w:pPr>
      <w:numPr>
        <w:numId w:val="18"/>
      </w:numPr>
      <w:spacing w:after="0" w:line="240" w:lineRule="auto"/>
    </w:pPr>
    <w:rPr>
      <w:rFonts w:ascii="Calibri" w:eastAsiaTheme="minorHAnsi" w:hAnsi="Calibri" w:cs="Calibri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rsid w:val="001309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3D2F"/>
    <w:rPr>
      <w:rFonts w:ascii="Tahoma" w:hAnsi="Tahoma" w:cs="Tahoma"/>
      <w:sz w:val="16"/>
      <w:szCs w:val="16"/>
    </w:rPr>
  </w:style>
  <w:style w:type="character" w:customStyle="1" w:styleId="NoSpacingChar">
    <w:name w:val="No Spacing Char"/>
    <w:basedOn w:val="DefaultParagraphFont"/>
    <w:link w:val="NoSpacing"/>
    <w:uiPriority w:val="1"/>
    <w:semiHidden/>
    <w:rsid w:val="00EE3D2F"/>
  </w:style>
  <w:style w:type="paragraph" w:styleId="Header">
    <w:name w:val="header"/>
    <w:basedOn w:val="Normal"/>
    <w:link w:val="HeaderChar"/>
    <w:uiPriority w:val="99"/>
    <w:semiHidden/>
    <w:rsid w:val="00F92479"/>
    <w:pPr>
      <w:tabs>
        <w:tab w:val="center" w:pos="4513"/>
        <w:tab w:val="right" w:pos="9026"/>
      </w:tabs>
      <w:spacing w:after="0" w:line="240" w:lineRule="auto"/>
      <w:jc w:val="right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E3D2F"/>
  </w:style>
  <w:style w:type="paragraph" w:styleId="Caption">
    <w:name w:val="caption"/>
    <w:basedOn w:val="Heading4"/>
    <w:next w:val="Normal"/>
    <w:uiPriority w:val="35"/>
    <w:semiHidden/>
    <w:rsid w:val="00B2722A"/>
    <w:rPr>
      <w:i w:val="0"/>
    </w:rPr>
  </w:style>
  <w:style w:type="paragraph" w:customStyle="1" w:styleId="Source">
    <w:name w:val="Source"/>
    <w:basedOn w:val="Normal"/>
    <w:semiHidden/>
    <w:qFormat/>
    <w:rsid w:val="00B2722A"/>
    <w:rPr>
      <w:rFonts w:cstheme="minorHAnsi"/>
      <w:b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BA282D"/>
    <w:rPr>
      <w:color w:val="808080"/>
    </w:rPr>
  </w:style>
  <w:style w:type="paragraph" w:customStyle="1" w:styleId="EMPNormal">
    <w:name w:val="EMP_Normal"/>
    <w:basedOn w:val="Normal"/>
    <w:qFormat/>
    <w:rsid w:val="003A35B6"/>
    <w:rPr>
      <w:noProof/>
    </w:rPr>
  </w:style>
  <w:style w:type="paragraph" w:customStyle="1" w:styleId="EMPTitle">
    <w:name w:val="EMP_Title"/>
    <w:basedOn w:val="Normal"/>
    <w:qFormat/>
    <w:rsid w:val="00FC2270"/>
    <w:pPr>
      <w:spacing w:before="240" w:after="120" w:line="520" w:lineRule="exact"/>
      <w:contextualSpacing/>
    </w:pPr>
    <w:rPr>
      <w:rFonts w:ascii="Calibri" w:eastAsiaTheme="majorEastAsia" w:hAnsi="Calibri" w:cstheme="majorBidi"/>
      <w:color w:val="1E3D6B"/>
      <w:spacing w:val="5"/>
      <w:sz w:val="48"/>
      <w:szCs w:val="52"/>
    </w:rPr>
  </w:style>
  <w:style w:type="paragraph" w:customStyle="1" w:styleId="EMPSubtitle">
    <w:name w:val="EMP_Subtitle"/>
    <w:basedOn w:val="Normal"/>
    <w:qFormat/>
    <w:rsid w:val="00B57D88"/>
    <w:pPr>
      <w:spacing w:before="600" w:line="400" w:lineRule="exact"/>
    </w:pPr>
    <w:rPr>
      <w:rFonts w:ascii="Calibri" w:eastAsiaTheme="majorEastAsia" w:hAnsi="Calibri" w:cstheme="majorBidi"/>
      <w:iCs/>
      <w:color w:val="522762"/>
      <w:spacing w:val="13"/>
      <w:sz w:val="30"/>
      <w:szCs w:val="24"/>
    </w:rPr>
  </w:style>
  <w:style w:type="paragraph" w:customStyle="1" w:styleId="EMPDeleteText">
    <w:name w:val="EMP_Delete Text"/>
    <w:basedOn w:val="Normal"/>
    <w:qFormat/>
    <w:rsid w:val="009470F1"/>
    <w:rPr>
      <w:color w:val="7030A0"/>
    </w:rPr>
  </w:style>
  <w:style w:type="paragraph" w:customStyle="1" w:styleId="EMPHeading1">
    <w:name w:val="EMP_Heading 1"/>
    <w:basedOn w:val="Heading1"/>
    <w:qFormat/>
    <w:rsid w:val="00233015"/>
    <w:pPr>
      <w:spacing w:before="240"/>
    </w:pPr>
    <w:rPr>
      <w:color w:val="1E3D6B"/>
    </w:rPr>
  </w:style>
  <w:style w:type="paragraph" w:customStyle="1" w:styleId="EMPHeading2">
    <w:name w:val="EMP_Heading 2"/>
    <w:basedOn w:val="Heading2"/>
    <w:qFormat/>
    <w:rsid w:val="00233015"/>
    <w:rPr>
      <w:color w:val="1E3D6B"/>
    </w:rPr>
  </w:style>
  <w:style w:type="paragraph" w:customStyle="1" w:styleId="EMPHeading3">
    <w:name w:val="EMP_Heading 3"/>
    <w:basedOn w:val="Heading3"/>
    <w:qFormat/>
    <w:rsid w:val="000036D9"/>
  </w:style>
  <w:style w:type="paragraph" w:customStyle="1" w:styleId="EMPHeading4">
    <w:name w:val="EMP_Heading 4"/>
    <w:basedOn w:val="Heading4"/>
    <w:qFormat/>
    <w:rsid w:val="000036D9"/>
  </w:style>
  <w:style w:type="paragraph" w:customStyle="1" w:styleId="EMPHeading5">
    <w:name w:val="EMP_Heading 5"/>
    <w:basedOn w:val="Heading5"/>
    <w:qFormat/>
    <w:rsid w:val="000036D9"/>
  </w:style>
  <w:style w:type="paragraph" w:customStyle="1" w:styleId="EMPHeading6">
    <w:name w:val="EMP_Heading 6"/>
    <w:basedOn w:val="Heading6"/>
    <w:qFormat/>
    <w:rsid w:val="000036D9"/>
  </w:style>
  <w:style w:type="paragraph" w:customStyle="1" w:styleId="EMPListBullet">
    <w:name w:val="EMP_List Bullet"/>
    <w:basedOn w:val="ListBullet"/>
    <w:qFormat/>
    <w:rsid w:val="003A35B6"/>
    <w:pPr>
      <w:spacing w:after="200"/>
    </w:pPr>
  </w:style>
  <w:style w:type="paragraph" w:customStyle="1" w:styleId="Style1">
    <w:name w:val="Style1"/>
    <w:basedOn w:val="Normal"/>
    <w:semiHidden/>
    <w:qFormat/>
    <w:rsid w:val="000036D9"/>
    <w:pPr>
      <w:numPr>
        <w:numId w:val="20"/>
      </w:numPr>
      <w:spacing w:after="120"/>
      <w:ind w:left="426" w:hanging="369"/>
      <w:contextualSpacing/>
    </w:pPr>
  </w:style>
  <w:style w:type="paragraph" w:customStyle="1" w:styleId="EMPListBullet2">
    <w:name w:val="EMP_List Bullet 2"/>
    <w:basedOn w:val="ListBullet2"/>
    <w:qFormat/>
    <w:rsid w:val="003A35B6"/>
    <w:pPr>
      <w:spacing w:after="200"/>
    </w:pPr>
  </w:style>
  <w:style w:type="paragraph" w:customStyle="1" w:styleId="EMPListNumber">
    <w:name w:val="EMP_List Number"/>
    <w:basedOn w:val="ListNumber"/>
    <w:qFormat/>
    <w:rsid w:val="003A35B6"/>
    <w:pPr>
      <w:spacing w:after="200"/>
    </w:pPr>
  </w:style>
  <w:style w:type="paragraph" w:customStyle="1" w:styleId="EMPListNumber2">
    <w:name w:val="EMP_List Number 2"/>
    <w:basedOn w:val="ListNumber2"/>
    <w:qFormat/>
    <w:rsid w:val="003A35B6"/>
    <w:pPr>
      <w:spacing w:after="200"/>
    </w:pPr>
  </w:style>
  <w:style w:type="character" w:customStyle="1" w:styleId="EMPBold">
    <w:name w:val="*EMP_Bold"/>
    <w:basedOn w:val="Strong"/>
    <w:uiPriority w:val="1"/>
    <w:qFormat/>
    <w:rsid w:val="00B90820"/>
    <w:rPr>
      <w:b/>
      <w:bCs/>
    </w:rPr>
  </w:style>
  <w:style w:type="character" w:customStyle="1" w:styleId="EMPBoldItalic">
    <w:name w:val="*EMP_Bold Italic"/>
    <w:basedOn w:val="IntenseEmphasis"/>
    <w:uiPriority w:val="1"/>
    <w:qFormat/>
    <w:rsid w:val="00B90820"/>
    <w:rPr>
      <w:b/>
      <w:bCs/>
      <w:i/>
    </w:rPr>
  </w:style>
  <w:style w:type="character" w:customStyle="1" w:styleId="EMPItalic">
    <w:name w:val="*EMP_Italic"/>
    <w:basedOn w:val="Emphasis"/>
    <w:uiPriority w:val="1"/>
    <w:qFormat/>
    <w:rsid w:val="00DC4963"/>
    <w:rPr>
      <w:b w:val="0"/>
      <w:bCs/>
      <w:i/>
      <w:iCs/>
      <w:spacing w:val="0"/>
      <w:bdr w:val="none" w:sz="0" w:space="0" w:color="auto"/>
      <w:shd w:val="clear" w:color="auto" w:fill="auto"/>
    </w:rPr>
  </w:style>
  <w:style w:type="character" w:customStyle="1" w:styleId="EMPHyperlink">
    <w:name w:val="*EMP_Hyperlink"/>
    <w:basedOn w:val="DefaultParagraphFont"/>
    <w:uiPriority w:val="1"/>
    <w:qFormat/>
    <w:rsid w:val="00306AE1"/>
    <w:rPr>
      <w:color w:val="084268"/>
      <w:u w:val="single"/>
    </w:rPr>
  </w:style>
  <w:style w:type="paragraph" w:customStyle="1" w:styleId="BasicParagraph">
    <w:name w:val="[Basic Paragraph]"/>
    <w:basedOn w:val="Normal"/>
    <w:uiPriority w:val="99"/>
    <w:semiHidden/>
    <w:rsid w:val="0072124E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paragraph" w:customStyle="1" w:styleId="Heading2FeatureBox">
    <w:name w:val="Heading 2 Feature Box"/>
    <w:basedOn w:val="Heading2"/>
    <w:semiHidden/>
    <w:qFormat/>
    <w:rsid w:val="00B904AC"/>
    <w:pPr>
      <w:spacing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rsid w:val="005818A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E3D2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5818AE"/>
    <w:rPr>
      <w:vertAlign w:val="superscript"/>
    </w:rPr>
  </w:style>
  <w:style w:type="table" w:customStyle="1" w:styleId="Bluewithalternatingrows">
    <w:name w:val="Blue with alternating rows"/>
    <w:basedOn w:val="TableNormal"/>
    <w:uiPriority w:val="99"/>
    <w:rsid w:val="00817053"/>
    <w:pPr>
      <w:spacing w:after="0" w:line="240" w:lineRule="auto"/>
    </w:pPr>
    <w:tblPr>
      <w:tblStyleRowBandSize w:val="1"/>
      <w:tblCellMar>
        <w:top w:w="28" w:type="dxa"/>
        <w:bottom w:w="28" w:type="dxa"/>
      </w:tblCellMar>
    </w:tblPr>
    <w:tblStylePr w:type="firstRow">
      <w:rPr>
        <w:b/>
        <w:color w:val="FFFFFF" w:themeColor="background2"/>
      </w:rPr>
      <w:tblPr/>
      <w:tcPr>
        <w:shd w:val="clear" w:color="auto" w:fill="1B3D6B"/>
      </w:tcPr>
    </w:tblStylePr>
    <w:tblStylePr w:type="band2Horz">
      <w:tblPr/>
      <w:tcPr>
        <w:shd w:val="clear" w:color="auto" w:fill="C4C5D4"/>
      </w:tcPr>
    </w:tblStylePr>
  </w:style>
  <w:style w:type="paragraph" w:customStyle="1" w:styleId="EMPListParagraph">
    <w:name w:val="EMP_List Paragraph"/>
    <w:basedOn w:val="Normal"/>
    <w:qFormat/>
    <w:rsid w:val="00817053"/>
    <w:pPr>
      <w:numPr>
        <w:numId w:val="27"/>
      </w:numPr>
      <w:spacing w:before="120" w:after="0" w:line="20" w:lineRule="atLeast"/>
      <w:ind w:left="142" w:hanging="142"/>
      <w:contextualSpacing/>
    </w:pPr>
    <w:rPr>
      <w:rFonts w:cstheme="minorHAnsi"/>
      <w:i/>
      <w:sz w:val="16"/>
      <w:szCs w:val="16"/>
    </w:rPr>
  </w:style>
  <w:style w:type="table" w:customStyle="1" w:styleId="BlueTablenoshadedrows">
    <w:name w:val="Blue Table no shaded rows"/>
    <w:basedOn w:val="TableNormal"/>
    <w:uiPriority w:val="99"/>
    <w:rsid w:val="00817053"/>
    <w:pPr>
      <w:spacing w:after="0" w:line="240" w:lineRule="auto"/>
    </w:pPr>
    <w:tblPr>
      <w:tblStyleRowBandSize w:val="1"/>
      <w:tblCellMar>
        <w:top w:w="28" w:type="dxa"/>
        <w:bottom w:w="28" w:type="dxa"/>
      </w:tblCellMar>
    </w:tblPr>
    <w:tblStylePr w:type="firstRow">
      <w:pPr>
        <w:jc w:val="left"/>
      </w:pPr>
      <w:rPr>
        <w:b/>
      </w:rPr>
      <w:tblPr/>
      <w:tcPr>
        <w:shd w:val="clear" w:color="auto" w:fill="1B3D6B"/>
      </w:tcPr>
    </w:tblStylePr>
    <w:tblStylePr w:type="lastRow">
      <w:tblPr/>
      <w:tcPr>
        <w:tcBorders>
          <w:bottom w:val="single" w:sz="4" w:space="0" w:color="1B3D6B"/>
        </w:tcBorders>
      </w:tcPr>
    </w:tblStylePr>
  </w:style>
  <w:style w:type="paragraph" w:customStyle="1" w:styleId="EMPHeading1KeyFindings">
    <w:name w:val="EMP_Heading 1 (Key Findings)"/>
    <w:basedOn w:val="EMPHeading1"/>
    <w:qFormat/>
    <w:rsid w:val="002B7EA2"/>
    <w:pPr>
      <w:spacing w:before="0" w:after="120"/>
      <w:outlineLvl w:val="9"/>
    </w:pPr>
    <w:rPr>
      <w:b w:val="0"/>
      <w:color w:val="FFFFFF" w:themeColor="background2"/>
    </w:rPr>
  </w:style>
  <w:style w:type="character" w:styleId="Hyperlink">
    <w:name w:val="Hyperlink"/>
    <w:basedOn w:val="DefaultParagraphFont"/>
    <w:uiPriority w:val="99"/>
    <w:unhideWhenUsed/>
    <w:rsid w:val="00093B26"/>
    <w:rPr>
      <w:color w:val="165788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rsid w:val="007B662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7B662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B662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B662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662E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rsid w:val="009910FB"/>
    <w:rPr>
      <w:color w:val="00000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36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customXml" Target="../customXml/item2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recruitmentsurveys@employment.gov.au" TargetMode="External"/><Relationship Id="rId1" Type="http://schemas.openxmlformats.org/officeDocument/2006/relationships/hyperlink" Target="http://www.employment.gov.au/regionalreports" TargetMode="External"/></Relationships>
</file>

<file path=word/theme/theme1.xml><?xml version="1.0" encoding="utf-8"?>
<a:theme xmlns:a="http://schemas.openxmlformats.org/drawingml/2006/main" name="Office Theme">
  <a:themeElements>
    <a:clrScheme name="DEEWR">
      <a:dk1>
        <a:sysClr val="windowText" lastClr="000000"/>
      </a:dk1>
      <a:lt1>
        <a:srgbClr val="7F7F7F"/>
      </a:lt1>
      <a:dk2>
        <a:srgbClr val="165788"/>
      </a:dk2>
      <a:lt2>
        <a:srgbClr val="FFFFFF"/>
      </a:lt2>
      <a:accent1>
        <a:srgbClr val="165788"/>
      </a:accent1>
      <a:accent2>
        <a:srgbClr val="593674"/>
      </a:accent2>
      <a:accent3>
        <a:srgbClr val="478A57"/>
      </a:accent3>
      <a:accent4>
        <a:srgbClr val="969A52"/>
      </a:accent4>
      <a:accent5>
        <a:srgbClr val="CF9A3E"/>
      </a:accent5>
      <a:accent6>
        <a:srgbClr val="A75534"/>
      </a:accent6>
      <a:hlink>
        <a:srgbClr val="165788"/>
      </a:hlink>
      <a:folHlink>
        <a:srgbClr val="00000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7D4A96D-3345-40A6-856E-7E6F57D7A15C}"/>
</file>

<file path=customXml/itemProps2.xml><?xml version="1.0" encoding="utf-8"?>
<ds:datastoreItem xmlns:ds="http://schemas.openxmlformats.org/officeDocument/2006/customXml" ds:itemID="{216100C9-5A35-4DFB-A372-640DD8E87DC3}"/>
</file>

<file path=customXml/itemProps3.xml><?xml version="1.0" encoding="utf-8"?>
<ds:datastoreItem xmlns:ds="http://schemas.openxmlformats.org/officeDocument/2006/customXml" ds:itemID="{2DD17860-1766-414D-84A9-4F3268A42A88}"/>
</file>

<file path=customXml/itemProps4.xml><?xml version="1.0" encoding="utf-8"?>
<ds:datastoreItem xmlns:ds="http://schemas.openxmlformats.org/officeDocument/2006/customXml" ds:itemID="{5C742FE6-B945-4CF2-9187-38383C93584A}"/>
</file>

<file path=docProps/app.xml><?xml version="1.0" encoding="utf-8"?>
<Properties xmlns="http://schemas.openxmlformats.org/officeDocument/2006/extended-properties" xmlns:vt="http://schemas.openxmlformats.org/officeDocument/2006/docPropsVTypes">
  <Template>BC764054.dotm</Template>
  <TotalTime>11</TotalTime>
  <Pages>1</Pages>
  <Words>363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Australian Research Data Infrastructure Strategy</vt:lpstr>
    </vt:vector>
  </TitlesOfParts>
  <Company>Australian Government</Company>
  <LinksUpToDate>false</LinksUpToDate>
  <CharactersWithSpaces>2432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Australian Research Data Infrastructure Strategy</dc:title>
  <dc:creator>Melinda Lumb</dc:creator>
  <cp:lastModifiedBy>James Costabile</cp:lastModifiedBy>
  <cp:revision>5</cp:revision>
  <cp:lastPrinted>2015-03-05T00:41:00Z</cp:lastPrinted>
  <dcterms:created xsi:type="dcterms:W3CDTF">2015-03-12T05:28:00Z</dcterms:created>
  <dcterms:modified xsi:type="dcterms:W3CDTF">2015-03-12T05:45:00Z</dcterms:modified>
</cp:coreProperties>
</file>