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BA5A" w14:textId="77777777" w:rsidR="00A668BF" w:rsidRDefault="00C60222" w:rsidP="00414677">
      <w:pPr>
        <w:ind w:left="709"/>
        <w:sectPr w:rsidR="00A668BF" w:rsidSect="002A7840">
          <w:footerReference w:type="default" r:id="rId8"/>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CC9B046" wp14:editId="3DB479B7">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381DB264" wp14:editId="66516AF6">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0"/>
                    <a:stretch>
                      <a:fillRect/>
                    </a:stretch>
                  </pic:blipFill>
                  <pic:spPr>
                    <a:xfrm>
                      <a:off x="0" y="0"/>
                      <a:ext cx="2331725" cy="716281"/>
                    </a:xfrm>
                    <a:prstGeom prst="rect">
                      <a:avLst/>
                    </a:prstGeom>
                  </pic:spPr>
                </pic:pic>
              </a:graphicData>
            </a:graphic>
          </wp:inline>
        </w:drawing>
      </w:r>
    </w:p>
    <w:p w14:paraId="3D58448A" w14:textId="0F25AC65" w:rsidR="004F4A39" w:rsidRPr="00C1733A" w:rsidRDefault="004F4A39" w:rsidP="004F4A39">
      <w:pPr>
        <w:pStyle w:val="Title"/>
        <w:rPr>
          <w:color w:val="007CAF" w:themeColor="text2" w:themeTint="BF"/>
          <w:sz w:val="52"/>
          <w:szCs w:val="52"/>
        </w:rPr>
      </w:pPr>
      <w:r w:rsidRPr="00C1733A">
        <w:rPr>
          <w:color w:val="007CAF" w:themeColor="text2" w:themeTint="BF"/>
          <w:sz w:val="52"/>
          <w:szCs w:val="52"/>
        </w:rPr>
        <w:t xml:space="preserve">New Employment Services Model Financial Viability </w:t>
      </w:r>
      <w:r w:rsidR="00542062" w:rsidRPr="00C1733A">
        <w:rPr>
          <w:color w:val="007CAF" w:themeColor="text2" w:themeTint="BF"/>
          <w:sz w:val="52"/>
          <w:szCs w:val="52"/>
        </w:rPr>
        <w:t>Analys</w:t>
      </w:r>
      <w:r w:rsidR="00542062">
        <w:rPr>
          <w:color w:val="007CAF" w:themeColor="text2" w:themeTint="BF"/>
          <w:sz w:val="52"/>
          <w:szCs w:val="52"/>
        </w:rPr>
        <w:t>e</w:t>
      </w:r>
      <w:r w:rsidR="00542062" w:rsidRPr="00C1733A">
        <w:rPr>
          <w:color w:val="007CAF" w:themeColor="text2" w:themeTint="BF"/>
          <w:sz w:val="52"/>
          <w:szCs w:val="52"/>
        </w:rPr>
        <w:t>s</w:t>
      </w:r>
      <w:r w:rsidR="00340B9E">
        <w:rPr>
          <w:color w:val="007CAF" w:themeColor="text2" w:themeTint="BF"/>
          <w:sz w:val="52"/>
          <w:szCs w:val="52"/>
        </w:rPr>
        <w:t>—</w:t>
      </w:r>
      <w:r w:rsidRPr="00C1733A">
        <w:rPr>
          <w:color w:val="007CAF" w:themeColor="text2" w:themeTint="BF"/>
          <w:sz w:val="52"/>
          <w:szCs w:val="52"/>
        </w:rPr>
        <w:t>Summary</w:t>
      </w:r>
      <w:r w:rsidR="00340B9E">
        <w:rPr>
          <w:color w:val="007CAF" w:themeColor="text2" w:themeTint="BF"/>
          <w:sz w:val="52"/>
          <w:szCs w:val="52"/>
        </w:rPr>
        <w:t xml:space="preserve"> </w:t>
      </w:r>
      <w:r w:rsidRPr="00C1733A">
        <w:rPr>
          <w:color w:val="007CAF" w:themeColor="text2" w:themeTint="BF"/>
          <w:sz w:val="52"/>
          <w:szCs w:val="52"/>
        </w:rPr>
        <w:t xml:space="preserve">of Findings </w:t>
      </w:r>
    </w:p>
    <w:p w14:paraId="7E4A3B72" w14:textId="660262DF" w:rsidR="004F4A39" w:rsidRPr="00B72C60" w:rsidRDefault="004F4A39" w:rsidP="004F4A39">
      <w:pPr>
        <w:spacing w:after="0"/>
        <w:rPr>
          <w:rFonts w:cstheme="minorHAnsi"/>
        </w:rPr>
      </w:pPr>
      <w:r w:rsidRPr="00B72C60">
        <w:rPr>
          <w:rFonts w:cstheme="minorHAnsi"/>
        </w:rPr>
        <w:t xml:space="preserve">The Australian Government is transforming employment services to deliver better services to job seekers and employers and a better system for providers. The design of the </w:t>
      </w:r>
      <w:r w:rsidR="00340B9E">
        <w:rPr>
          <w:rFonts w:cstheme="minorHAnsi"/>
        </w:rPr>
        <w:t xml:space="preserve">New Employment Services Model (the </w:t>
      </w:r>
      <w:r w:rsidRPr="00B72C60">
        <w:rPr>
          <w:rFonts w:cstheme="minorHAnsi"/>
        </w:rPr>
        <w:t>new model</w:t>
      </w:r>
      <w:r w:rsidR="00340B9E">
        <w:rPr>
          <w:rFonts w:cstheme="minorHAnsi"/>
        </w:rPr>
        <w:t>)</w:t>
      </w:r>
      <w:r w:rsidRPr="00B72C60">
        <w:rPr>
          <w:rFonts w:cstheme="minorHAnsi"/>
        </w:rPr>
        <w:t xml:space="preserve"> provides a predominantly digital service for the most job</w:t>
      </w:r>
      <w:r w:rsidR="00AB1668">
        <w:rPr>
          <w:rFonts w:cstheme="minorHAnsi"/>
        </w:rPr>
        <w:t>-</w:t>
      </w:r>
      <w:r w:rsidRPr="00B72C60">
        <w:rPr>
          <w:rFonts w:cstheme="minorHAnsi"/>
        </w:rPr>
        <w:t>ready job seekers, freeing up resources to allow providers to deliver more intensive, structured and tailored services for disadvantaged job seekers to help prepare and support them into work.</w:t>
      </w:r>
    </w:p>
    <w:p w14:paraId="00D7720A" w14:textId="77777777" w:rsidR="004F4A39" w:rsidRPr="00B72C60" w:rsidRDefault="004F4A39" w:rsidP="004F4A39">
      <w:pPr>
        <w:keepNext/>
        <w:spacing w:after="0"/>
        <w:rPr>
          <w:rFonts w:cstheme="minorHAnsi"/>
        </w:rPr>
      </w:pPr>
    </w:p>
    <w:p w14:paraId="643E9337" w14:textId="50C84750" w:rsidR="004F4A39" w:rsidRPr="00B72C60" w:rsidRDefault="004F4A39" w:rsidP="004F4A39">
      <w:pPr>
        <w:keepNext/>
        <w:spacing w:after="0"/>
        <w:rPr>
          <w:rFonts w:cstheme="minorHAnsi"/>
        </w:rPr>
      </w:pPr>
      <w:r w:rsidRPr="00B72C60">
        <w:rPr>
          <w:rFonts w:cstheme="minorHAnsi"/>
        </w:rPr>
        <w:t xml:space="preserve">The </w:t>
      </w:r>
      <w:r w:rsidR="00340B9E">
        <w:rPr>
          <w:rFonts w:cstheme="minorHAnsi"/>
        </w:rPr>
        <w:t xml:space="preserve">new model </w:t>
      </w:r>
      <w:r w:rsidRPr="00B72C60">
        <w:rPr>
          <w:rFonts w:cstheme="minorHAnsi"/>
        </w:rPr>
        <w:t>is substantially different to current policy settings under jobactive and represents a significant change to the business and financial models that underpin the current employment services. Core elements changing from jobactive include a licensing approach for employment service contractual arrangements and a new provider payments model with payment types that do not exist in jobactive. As a result, undertaking detailed financial analysis is critical to ensuring the long-term stability and viability of the employment services market.</w:t>
      </w:r>
    </w:p>
    <w:p w14:paraId="4FA29DEA" w14:textId="77777777" w:rsidR="004F4A39" w:rsidRPr="00B72C60" w:rsidRDefault="004F4A39" w:rsidP="004F4A39">
      <w:pPr>
        <w:keepNext/>
        <w:spacing w:after="0"/>
        <w:rPr>
          <w:rFonts w:cstheme="minorHAnsi"/>
        </w:rPr>
      </w:pPr>
    </w:p>
    <w:p w14:paraId="2C9105C2" w14:textId="0264342C" w:rsidR="004F4A39" w:rsidRPr="00B72C60" w:rsidRDefault="004F4A39" w:rsidP="004F4A39">
      <w:pPr>
        <w:keepNext/>
        <w:spacing w:after="0"/>
        <w:rPr>
          <w:rFonts w:cstheme="minorHAnsi"/>
        </w:rPr>
      </w:pPr>
      <w:r w:rsidRPr="00B72C60">
        <w:rPr>
          <w:rFonts w:cstheme="minorHAnsi"/>
        </w:rPr>
        <w:t xml:space="preserve">The Department of Education, Skills and Employment (the Department) is committed to ensuring the </w:t>
      </w:r>
      <w:r w:rsidR="00340B9E">
        <w:rPr>
          <w:rFonts w:cstheme="minorHAnsi"/>
        </w:rPr>
        <w:t>new model</w:t>
      </w:r>
      <w:r w:rsidRPr="00B72C60">
        <w:rPr>
          <w:rFonts w:cstheme="minorHAnsi"/>
        </w:rPr>
        <w:t xml:space="preserve"> is sound, viable and supports job seekers to secure and sustain employment. The </w:t>
      </w:r>
      <w:r w:rsidR="00340B9E">
        <w:rPr>
          <w:rFonts w:cstheme="minorHAnsi"/>
        </w:rPr>
        <w:t xml:space="preserve">new provider </w:t>
      </w:r>
      <w:r w:rsidRPr="00B72C60">
        <w:rPr>
          <w:rFonts w:cstheme="minorHAnsi"/>
        </w:rPr>
        <w:t xml:space="preserve">payment model is designed based on stakeholder consultations, recommendations from the </w:t>
      </w:r>
      <w:r w:rsidRPr="00B72C60">
        <w:rPr>
          <w:rFonts w:cstheme="minorHAnsi"/>
          <w:i/>
          <w:iCs/>
        </w:rPr>
        <w:t xml:space="preserve">‘I Want to Work’ </w:t>
      </w:r>
      <w:r w:rsidRPr="00B72C60">
        <w:rPr>
          <w:rFonts w:cstheme="minorHAnsi"/>
        </w:rPr>
        <w:t xml:space="preserve">Report, learnings from the New Employment Services Trial (NEST) and independent financial viability analysis. As there are new </w:t>
      </w:r>
      <w:r w:rsidR="00340B9E">
        <w:rPr>
          <w:rFonts w:cstheme="minorHAnsi"/>
        </w:rPr>
        <w:t xml:space="preserve">provider </w:t>
      </w:r>
      <w:r w:rsidRPr="00B72C60">
        <w:rPr>
          <w:rFonts w:cstheme="minorHAnsi"/>
        </w:rPr>
        <w:t xml:space="preserve">payment types introduced in the </w:t>
      </w:r>
      <w:r w:rsidR="00340B9E">
        <w:rPr>
          <w:rFonts w:cstheme="minorHAnsi"/>
        </w:rPr>
        <w:t>new</w:t>
      </w:r>
      <w:r w:rsidRPr="00B72C60">
        <w:rPr>
          <w:rFonts w:cstheme="minorHAnsi"/>
        </w:rPr>
        <w:t xml:space="preserve"> payment model that have yet to be tested in operation, the Department will commission financial viability analysis within the first 18 months of the NESM commencing to confirm it is operating as intended.  </w:t>
      </w:r>
    </w:p>
    <w:p w14:paraId="52969E98" w14:textId="77777777" w:rsidR="004F4A39" w:rsidRPr="00B72C60" w:rsidRDefault="004F4A39" w:rsidP="004F4A39">
      <w:pPr>
        <w:pStyle w:val="Heading2"/>
        <w:rPr>
          <w:rFonts w:eastAsia="Times New Roman" w:cs="Calibri"/>
          <w:b w:val="0"/>
          <w:color w:val="auto"/>
          <w:sz w:val="24"/>
          <w:szCs w:val="24"/>
          <w:lang w:eastAsia="en-AU"/>
        </w:rPr>
      </w:pPr>
      <w:r>
        <w:t xml:space="preserve">Analysis Overview  </w:t>
      </w:r>
    </w:p>
    <w:p w14:paraId="774F131E" w14:textId="0D4D5E33" w:rsidR="004F4A39" w:rsidRDefault="004F4A39" w:rsidP="004F4A39">
      <w:pPr>
        <w:spacing w:after="0"/>
        <w:rPr>
          <w:rFonts w:ascii="Calibri" w:hAnsi="Calibri" w:cs="Calibri"/>
        </w:rPr>
      </w:pPr>
      <w:r>
        <w:rPr>
          <w:rFonts w:ascii="Calibri" w:hAnsi="Calibri" w:cs="Calibri"/>
        </w:rPr>
        <w:t>The</w:t>
      </w:r>
      <w:r w:rsidRPr="00EC483B">
        <w:rPr>
          <w:rFonts w:ascii="Calibri" w:hAnsi="Calibri" w:cs="Calibri"/>
        </w:rPr>
        <w:t xml:space="preserve"> Department</w:t>
      </w:r>
      <w:r>
        <w:rPr>
          <w:rFonts w:ascii="Calibri" w:hAnsi="Calibri" w:cs="Calibri"/>
        </w:rPr>
        <w:t xml:space="preserve"> </w:t>
      </w:r>
      <w:r w:rsidRPr="00EC483B">
        <w:rPr>
          <w:rFonts w:ascii="Calibri" w:hAnsi="Calibri" w:cs="Calibri"/>
        </w:rPr>
        <w:t xml:space="preserve">engaged KPMG Australia to undertake </w:t>
      </w:r>
      <w:r>
        <w:rPr>
          <w:rFonts w:ascii="Calibri" w:hAnsi="Calibri" w:cs="Calibri"/>
        </w:rPr>
        <w:t xml:space="preserve">a series of </w:t>
      </w:r>
      <w:r w:rsidRPr="00EC483B">
        <w:rPr>
          <w:rFonts w:ascii="Calibri" w:hAnsi="Calibri" w:cs="Calibri"/>
        </w:rPr>
        <w:t>financial viability analys</w:t>
      </w:r>
      <w:r>
        <w:rPr>
          <w:rFonts w:ascii="Calibri" w:hAnsi="Calibri" w:cs="Calibri"/>
        </w:rPr>
        <w:t xml:space="preserve">es to test a range of payment structures and scenarios to understand the impact policy options could have on provider viability. The purpose of the analyses was to </w:t>
      </w:r>
      <w:r w:rsidRPr="00EC483B">
        <w:rPr>
          <w:rFonts w:ascii="Calibri" w:hAnsi="Calibri" w:cs="Calibri"/>
        </w:rPr>
        <w:t xml:space="preserve">determine </w:t>
      </w:r>
      <w:r>
        <w:rPr>
          <w:rFonts w:ascii="Calibri" w:hAnsi="Calibri" w:cs="Calibri"/>
        </w:rPr>
        <w:t>a payment structure for</w:t>
      </w:r>
      <w:r w:rsidRPr="00EC483B">
        <w:rPr>
          <w:rFonts w:ascii="Calibri" w:hAnsi="Calibri" w:cs="Calibri"/>
        </w:rPr>
        <w:t xml:space="preserve"> the </w:t>
      </w:r>
      <w:r w:rsidR="00340B9E">
        <w:rPr>
          <w:rFonts w:ascii="Calibri" w:hAnsi="Calibri" w:cs="Calibri"/>
        </w:rPr>
        <w:t>new model</w:t>
      </w:r>
      <w:r w:rsidRPr="001C5A4A">
        <w:rPr>
          <w:rFonts w:ascii="Calibri" w:hAnsi="Calibri" w:cs="Calibri"/>
        </w:rPr>
        <w:t xml:space="preserve"> </w:t>
      </w:r>
      <w:r>
        <w:rPr>
          <w:rFonts w:ascii="Calibri" w:hAnsi="Calibri" w:cs="Calibri"/>
        </w:rPr>
        <w:t>that would be</w:t>
      </w:r>
      <w:r w:rsidRPr="001C5A4A">
        <w:rPr>
          <w:rFonts w:ascii="Calibri" w:hAnsi="Calibri" w:cs="Calibri"/>
        </w:rPr>
        <w:t xml:space="preserve"> feasible, appropriate, and acceptable in terms of its financial viability for providers to deliver services to the standard expected by the </w:t>
      </w:r>
      <w:r>
        <w:rPr>
          <w:rFonts w:ascii="Calibri" w:hAnsi="Calibri" w:cs="Calibri"/>
        </w:rPr>
        <w:t>G</w:t>
      </w:r>
      <w:r w:rsidRPr="001C5A4A">
        <w:rPr>
          <w:rFonts w:ascii="Calibri" w:hAnsi="Calibri" w:cs="Calibri"/>
        </w:rPr>
        <w:t>overnment</w:t>
      </w:r>
      <w:r w:rsidR="00340B9E">
        <w:rPr>
          <w:rFonts w:ascii="Calibri" w:hAnsi="Calibri" w:cs="Calibri"/>
        </w:rPr>
        <w:t>, D</w:t>
      </w:r>
      <w:r w:rsidR="00340B9E" w:rsidRPr="001C5A4A">
        <w:rPr>
          <w:rFonts w:ascii="Calibri" w:hAnsi="Calibri" w:cs="Calibri"/>
        </w:rPr>
        <w:t>epartment,</w:t>
      </w:r>
      <w:r w:rsidR="00340B9E">
        <w:rPr>
          <w:rFonts w:ascii="Calibri" w:hAnsi="Calibri" w:cs="Calibri"/>
        </w:rPr>
        <w:t xml:space="preserve"> </w:t>
      </w:r>
      <w:r w:rsidRPr="001C5A4A">
        <w:rPr>
          <w:rFonts w:ascii="Calibri" w:hAnsi="Calibri" w:cs="Calibri"/>
        </w:rPr>
        <w:t>and</w:t>
      </w:r>
      <w:r>
        <w:rPr>
          <w:rFonts w:ascii="Calibri" w:hAnsi="Calibri" w:cs="Calibri"/>
        </w:rPr>
        <w:t xml:space="preserve"> the</w:t>
      </w:r>
      <w:r w:rsidRPr="001C5A4A">
        <w:rPr>
          <w:rFonts w:ascii="Calibri" w:hAnsi="Calibri" w:cs="Calibri"/>
        </w:rPr>
        <w:t xml:space="preserve"> public</w:t>
      </w:r>
      <w:r>
        <w:rPr>
          <w:rFonts w:ascii="Calibri" w:hAnsi="Calibri" w:cs="Calibri"/>
        </w:rPr>
        <w:t xml:space="preserve">. </w:t>
      </w:r>
    </w:p>
    <w:p w14:paraId="2F9D674D" w14:textId="77777777" w:rsidR="004F4A39" w:rsidRDefault="004F4A39" w:rsidP="004F4A39">
      <w:pPr>
        <w:spacing w:after="0"/>
        <w:rPr>
          <w:rFonts w:ascii="Calibri" w:hAnsi="Calibri" w:cs="Calibri"/>
        </w:rPr>
      </w:pPr>
    </w:p>
    <w:p w14:paraId="44B97787" w14:textId="6230EB4D" w:rsidR="0000783B" w:rsidRDefault="004F4A39" w:rsidP="0000783B">
      <w:pPr>
        <w:spacing w:after="0"/>
        <w:rPr>
          <w:rFonts w:ascii="Calibri" w:hAnsi="Calibri" w:cs="Calibri"/>
        </w:rPr>
      </w:pPr>
      <w:r w:rsidRPr="00B72C60">
        <w:rPr>
          <w:rFonts w:ascii="Calibri" w:hAnsi="Calibri" w:cs="Calibri"/>
        </w:rPr>
        <w:t xml:space="preserve">All jobactive and NEST providers were invited to participate in the analyses and some providers shared their financial records and other information to help inform the analyses. These providers were assured all information provided would be treated on a strictly confidential basis and only for the purposes of the independent analysis. As information was collected from participating providers </w:t>
      </w:r>
      <w:r w:rsidRPr="00B72C60">
        <w:rPr>
          <w:rFonts w:ascii="Calibri" w:hAnsi="Calibri" w:cs="Calibri"/>
        </w:rPr>
        <w:lastRenderedPageBreak/>
        <w:t xml:space="preserve">on a confidential basis, the Department is not able to share all the findings of the analyses. </w:t>
      </w:r>
      <w:r w:rsidR="00340B9E">
        <w:rPr>
          <w:rFonts w:ascii="Calibri" w:hAnsi="Calibri" w:cs="Calibri"/>
        </w:rPr>
        <w:t>K</w:t>
      </w:r>
      <w:r w:rsidRPr="00B72C60">
        <w:rPr>
          <w:rFonts w:ascii="Calibri" w:hAnsi="Calibri" w:cs="Calibri"/>
        </w:rPr>
        <w:t>ey findings</w:t>
      </w:r>
      <w:r w:rsidR="00340B9E">
        <w:rPr>
          <w:rFonts w:ascii="Calibri" w:hAnsi="Calibri" w:cs="Calibri"/>
        </w:rPr>
        <w:t xml:space="preserve"> from the analysis is </w:t>
      </w:r>
      <w:r w:rsidRPr="00B72C60">
        <w:rPr>
          <w:rFonts w:ascii="Calibri" w:hAnsi="Calibri" w:cs="Calibri"/>
        </w:rPr>
        <w:t xml:space="preserve">outlined below. This information should be considered alongside the modelling information provided in the Exposure Draft </w:t>
      </w:r>
      <w:r w:rsidR="00AB1668">
        <w:rPr>
          <w:rFonts w:ascii="Calibri" w:hAnsi="Calibri" w:cs="Calibri"/>
        </w:rPr>
        <w:t>to support</w:t>
      </w:r>
      <w:r w:rsidR="00AB1668" w:rsidRPr="00B72C60">
        <w:rPr>
          <w:rFonts w:ascii="Calibri" w:hAnsi="Calibri" w:cs="Calibri"/>
        </w:rPr>
        <w:t xml:space="preserve"> </w:t>
      </w:r>
      <w:r w:rsidRPr="00B72C60">
        <w:rPr>
          <w:rFonts w:ascii="Calibri" w:hAnsi="Calibri" w:cs="Calibri"/>
        </w:rPr>
        <w:t xml:space="preserve">organisations to undertake their own financial modelling that is unique to their business and operating structures. </w:t>
      </w:r>
    </w:p>
    <w:p w14:paraId="4A9CB225" w14:textId="44E29D4D" w:rsidR="0000783B" w:rsidRDefault="004F4A39" w:rsidP="0000783B">
      <w:pPr>
        <w:spacing w:after="0"/>
        <w:rPr>
          <w:rFonts w:ascii="Calibri" w:hAnsi="Calibri" w:cs="Calibri"/>
        </w:rPr>
      </w:pPr>
      <w:r w:rsidRPr="00B72C60">
        <w:rPr>
          <w:rFonts w:ascii="Calibri" w:hAnsi="Calibri" w:cs="Calibri"/>
        </w:rPr>
        <w:t xml:space="preserve">  </w:t>
      </w:r>
    </w:p>
    <w:p w14:paraId="009A676A" w14:textId="7649F712" w:rsidR="004F4A39" w:rsidRPr="00B72C60" w:rsidRDefault="004F4A39" w:rsidP="0000783B">
      <w:pPr>
        <w:spacing w:after="0"/>
        <w:rPr>
          <w:rFonts w:ascii="Calibri" w:hAnsi="Calibri" w:cs="Calibri"/>
        </w:rPr>
      </w:pPr>
      <w:r w:rsidRPr="00B72C60">
        <w:rPr>
          <w:rFonts w:ascii="Calibri" w:hAnsi="Calibri" w:cs="Calibri"/>
        </w:rPr>
        <w:t>KPMG’s analyses modelled a range of scenarios using administrative data such as caseload figures, referral flows, outcomes, and payment data from both jobactive and NEST. It is important to note there are limitations as the analyses were conducted during a period of unprecedented change in the labour market and economy due to the effects of the bushfires</w:t>
      </w:r>
      <w:r w:rsidR="00340B9E">
        <w:rPr>
          <w:rFonts w:ascii="Calibri" w:hAnsi="Calibri" w:cs="Calibri"/>
        </w:rPr>
        <w:t>, floods</w:t>
      </w:r>
      <w:r w:rsidRPr="00B72C60">
        <w:rPr>
          <w:rFonts w:ascii="Calibri" w:hAnsi="Calibri" w:cs="Calibri"/>
        </w:rPr>
        <w:t xml:space="preserve"> and COVID-19. It was therefore necessary to rely more heavily on historic jobactive administrative data than originally anticipated.</w:t>
      </w:r>
    </w:p>
    <w:p w14:paraId="3E7DF73E" w14:textId="77777777" w:rsidR="004F4A39" w:rsidRDefault="004F4A39" w:rsidP="004F4A39">
      <w:pPr>
        <w:pStyle w:val="Heading2"/>
      </w:pPr>
      <w:r>
        <w:t>Key Findings</w:t>
      </w:r>
    </w:p>
    <w:p w14:paraId="54627542" w14:textId="77777777" w:rsidR="006275F8" w:rsidRDefault="006275F8" w:rsidP="004F4A39">
      <w:pPr>
        <w:spacing w:after="0" w:line="240" w:lineRule="auto"/>
        <w:rPr>
          <w:rFonts w:ascii="Calibri" w:hAnsi="Calibri" w:cs="Calibri"/>
          <w:i/>
          <w:iCs/>
          <w:u w:val="single"/>
        </w:rPr>
      </w:pPr>
    </w:p>
    <w:p w14:paraId="0182E609" w14:textId="031EEC78" w:rsidR="004F4A39" w:rsidRPr="0074209D" w:rsidRDefault="004F4A39" w:rsidP="004F4A39">
      <w:pPr>
        <w:spacing w:after="0" w:line="240" w:lineRule="auto"/>
        <w:rPr>
          <w:rFonts w:ascii="Calibri" w:hAnsi="Calibri" w:cs="Calibri"/>
          <w:i/>
          <w:iCs/>
          <w:u w:val="single"/>
        </w:rPr>
      </w:pPr>
      <w:r w:rsidRPr="0074209D">
        <w:rPr>
          <w:rFonts w:ascii="Calibri" w:hAnsi="Calibri" w:cs="Calibri"/>
          <w:i/>
          <w:iCs/>
          <w:u w:val="single"/>
        </w:rPr>
        <w:t>General findings:</w:t>
      </w:r>
    </w:p>
    <w:p w14:paraId="15BFA46A" w14:textId="7F1C35FA" w:rsidR="004F4A39" w:rsidRDefault="004F4A39" w:rsidP="004F4A39">
      <w:pPr>
        <w:spacing w:after="0"/>
        <w:rPr>
          <w:rFonts w:ascii="Calibri" w:hAnsi="Calibri" w:cs="Calibri"/>
        </w:rPr>
      </w:pPr>
      <w:r>
        <w:rPr>
          <w:rFonts w:ascii="Calibri" w:hAnsi="Calibri" w:cs="Calibri"/>
        </w:rPr>
        <w:t>The</w:t>
      </w:r>
      <w:r w:rsidRPr="0075587D">
        <w:rPr>
          <w:rFonts w:ascii="Calibri" w:hAnsi="Calibri" w:cs="Calibri"/>
        </w:rPr>
        <w:t xml:space="preserve"> </w:t>
      </w:r>
      <w:r w:rsidR="00FD5F18" w:rsidRPr="0075587D">
        <w:rPr>
          <w:rFonts w:ascii="Calibri" w:hAnsi="Calibri" w:cs="Calibri"/>
        </w:rPr>
        <w:t>analys</w:t>
      </w:r>
      <w:r w:rsidR="00FD5F18">
        <w:rPr>
          <w:rFonts w:ascii="Calibri" w:hAnsi="Calibri" w:cs="Calibri"/>
        </w:rPr>
        <w:t>is</w:t>
      </w:r>
      <w:r w:rsidR="00FD5F18" w:rsidRPr="0075587D">
        <w:rPr>
          <w:rFonts w:ascii="Calibri" w:hAnsi="Calibri" w:cs="Calibri"/>
        </w:rPr>
        <w:t xml:space="preserve"> </w:t>
      </w:r>
      <w:r w:rsidRPr="0075587D">
        <w:rPr>
          <w:rFonts w:ascii="Calibri" w:hAnsi="Calibri" w:cs="Calibri"/>
        </w:rPr>
        <w:t xml:space="preserve">found </w:t>
      </w:r>
      <w:r>
        <w:rPr>
          <w:rFonts w:ascii="Calibri" w:hAnsi="Calibri" w:cs="Calibri"/>
        </w:rPr>
        <w:t>that the</w:t>
      </w:r>
      <w:r w:rsidR="00340B9E">
        <w:rPr>
          <w:rFonts w:ascii="Calibri" w:hAnsi="Calibri" w:cs="Calibri"/>
        </w:rPr>
        <w:t xml:space="preserve"> provider</w:t>
      </w:r>
      <w:r>
        <w:rPr>
          <w:rFonts w:ascii="Calibri" w:hAnsi="Calibri" w:cs="Calibri"/>
        </w:rPr>
        <w:t xml:space="preserve"> payment model being implemented for the </w:t>
      </w:r>
      <w:r w:rsidR="00340B9E">
        <w:rPr>
          <w:rFonts w:ascii="Calibri" w:hAnsi="Calibri" w:cs="Calibri"/>
        </w:rPr>
        <w:t>new model</w:t>
      </w:r>
      <w:r w:rsidRPr="0075587D">
        <w:rPr>
          <w:rFonts w:ascii="Calibri" w:hAnsi="Calibri" w:cs="Calibri"/>
        </w:rPr>
        <w:t xml:space="preserve"> would be viable</w:t>
      </w:r>
      <w:r w:rsidR="00FD5F18">
        <w:rPr>
          <w:rFonts w:ascii="Calibri" w:hAnsi="Calibri" w:cs="Calibri"/>
        </w:rPr>
        <w:t xml:space="preserve"> for each year and</w:t>
      </w:r>
      <w:r w:rsidRPr="0075587D">
        <w:rPr>
          <w:rFonts w:ascii="Calibri" w:hAnsi="Calibri" w:cs="Calibri"/>
        </w:rPr>
        <w:t xml:space="preserve"> </w:t>
      </w:r>
      <w:r>
        <w:rPr>
          <w:rFonts w:ascii="Calibri" w:hAnsi="Calibri" w:cs="Calibri"/>
        </w:rPr>
        <w:t xml:space="preserve">in aggregate </w:t>
      </w:r>
      <w:r w:rsidRPr="0075587D">
        <w:rPr>
          <w:rFonts w:ascii="Calibri" w:hAnsi="Calibri" w:cs="Calibri"/>
        </w:rPr>
        <w:t xml:space="preserve">over </w:t>
      </w:r>
      <w:r>
        <w:rPr>
          <w:rFonts w:ascii="Calibri" w:hAnsi="Calibri" w:cs="Calibri"/>
        </w:rPr>
        <w:t xml:space="preserve">a 10 </w:t>
      </w:r>
      <w:r w:rsidRPr="0075587D">
        <w:rPr>
          <w:rFonts w:ascii="Calibri" w:hAnsi="Calibri" w:cs="Calibri"/>
        </w:rPr>
        <w:t>year contract period</w:t>
      </w:r>
      <w:r>
        <w:rPr>
          <w:rFonts w:ascii="Calibri" w:hAnsi="Calibri" w:cs="Calibri"/>
        </w:rPr>
        <w:t xml:space="preserve"> at the baseline model </w:t>
      </w:r>
      <w:r w:rsidR="00AB1668">
        <w:rPr>
          <w:rFonts w:ascii="Calibri" w:hAnsi="Calibri" w:cs="Calibri"/>
        </w:rPr>
        <w:t xml:space="preserve">of </w:t>
      </w:r>
      <w:r>
        <w:rPr>
          <w:rFonts w:ascii="Calibri" w:hAnsi="Calibri" w:cs="Calibri"/>
        </w:rPr>
        <w:t>caseload to staff ratios of 80:1</w:t>
      </w:r>
      <w:r w:rsidR="00EE4F35">
        <w:rPr>
          <w:rStyle w:val="FootnoteReference"/>
          <w:rFonts w:ascii="Calibri" w:hAnsi="Calibri" w:cs="Calibri"/>
        </w:rPr>
        <w:footnoteReference w:id="1"/>
      </w:r>
      <w:r>
        <w:rPr>
          <w:rFonts w:ascii="Calibri" w:hAnsi="Calibri" w:cs="Calibri"/>
        </w:rPr>
        <w:t xml:space="preserve"> and provider fixed costs of $2.4 </w:t>
      </w:r>
      <w:r w:rsidRPr="003D594E">
        <w:rPr>
          <w:rFonts w:ascii="Calibri" w:hAnsi="Calibri" w:cs="Calibri"/>
        </w:rPr>
        <w:t>million</w:t>
      </w:r>
      <w:r w:rsidR="00AB1668">
        <w:rPr>
          <w:rFonts w:ascii="Calibri" w:hAnsi="Calibri" w:cs="Calibri"/>
        </w:rPr>
        <w:t xml:space="preserve"> (refer</w:t>
      </w:r>
      <w:r w:rsidRPr="003D594E">
        <w:rPr>
          <w:rFonts w:ascii="Calibri" w:hAnsi="Calibri" w:cs="Calibri"/>
        </w:rPr>
        <w:t xml:space="preserve"> Table 1 for the baseline assumptions).</w:t>
      </w:r>
      <w:r w:rsidRPr="0075587D">
        <w:rPr>
          <w:rFonts w:ascii="Calibri" w:hAnsi="Calibri" w:cs="Calibri"/>
        </w:rPr>
        <w:t xml:space="preserve"> </w:t>
      </w:r>
      <w:r>
        <w:rPr>
          <w:rFonts w:ascii="Calibri" w:hAnsi="Calibri" w:cs="Calibri"/>
        </w:rPr>
        <w:t>Throughout the analyses and payment consultation opportunities, stakeholders have</w:t>
      </w:r>
      <w:r w:rsidRPr="0075587D">
        <w:rPr>
          <w:rFonts w:ascii="Calibri" w:hAnsi="Calibri" w:cs="Calibri"/>
        </w:rPr>
        <w:t xml:space="preserve"> expressed concern the new model would not be viable, particularly </w:t>
      </w:r>
      <w:r w:rsidR="00FD5F18">
        <w:rPr>
          <w:rFonts w:ascii="Calibri" w:hAnsi="Calibri" w:cs="Calibri"/>
        </w:rPr>
        <w:t xml:space="preserve">given that </w:t>
      </w:r>
      <w:r w:rsidR="000E71CD">
        <w:rPr>
          <w:rFonts w:ascii="Calibri" w:hAnsi="Calibri" w:cs="Calibri"/>
        </w:rPr>
        <w:t>the most</w:t>
      </w:r>
      <w:r w:rsidR="000E71CD" w:rsidRPr="0075587D">
        <w:rPr>
          <w:rFonts w:ascii="Calibri" w:hAnsi="Calibri" w:cs="Calibri"/>
        </w:rPr>
        <w:t xml:space="preserve"> </w:t>
      </w:r>
      <w:r w:rsidRPr="0075587D">
        <w:rPr>
          <w:rFonts w:ascii="Calibri" w:hAnsi="Calibri" w:cs="Calibri"/>
        </w:rPr>
        <w:t>job</w:t>
      </w:r>
      <w:r w:rsidR="00AB1668">
        <w:rPr>
          <w:rFonts w:ascii="Calibri" w:hAnsi="Calibri" w:cs="Calibri"/>
        </w:rPr>
        <w:t>-</w:t>
      </w:r>
      <w:r w:rsidRPr="0075587D">
        <w:rPr>
          <w:rFonts w:ascii="Calibri" w:hAnsi="Calibri" w:cs="Calibri"/>
        </w:rPr>
        <w:t>ready job seekers</w:t>
      </w:r>
      <w:r w:rsidR="000E71CD">
        <w:rPr>
          <w:rFonts w:ascii="Calibri" w:hAnsi="Calibri" w:cs="Calibri"/>
        </w:rPr>
        <w:t>,</w:t>
      </w:r>
      <w:r w:rsidRPr="0075587D">
        <w:rPr>
          <w:rFonts w:ascii="Calibri" w:hAnsi="Calibri" w:cs="Calibri"/>
        </w:rPr>
        <w:t xml:space="preserve"> who </w:t>
      </w:r>
      <w:r w:rsidR="000E71CD">
        <w:rPr>
          <w:rFonts w:ascii="Calibri" w:hAnsi="Calibri" w:cs="Calibri"/>
        </w:rPr>
        <w:t xml:space="preserve">are more likely to achieve Employment Outcomes, </w:t>
      </w:r>
      <w:r>
        <w:rPr>
          <w:rFonts w:ascii="Calibri" w:hAnsi="Calibri" w:cs="Calibri"/>
        </w:rPr>
        <w:t xml:space="preserve">will be </w:t>
      </w:r>
      <w:r w:rsidRPr="0075587D">
        <w:rPr>
          <w:rFonts w:ascii="Calibri" w:hAnsi="Calibri" w:cs="Calibri"/>
        </w:rPr>
        <w:t>serviced digitally</w:t>
      </w:r>
      <w:r w:rsidR="000E71CD">
        <w:rPr>
          <w:rFonts w:ascii="Calibri" w:hAnsi="Calibri" w:cs="Calibri"/>
        </w:rPr>
        <w:t xml:space="preserve"> under the new model</w:t>
      </w:r>
      <w:r w:rsidRPr="0075587D">
        <w:rPr>
          <w:rFonts w:ascii="Calibri" w:hAnsi="Calibri" w:cs="Calibri"/>
        </w:rPr>
        <w:t xml:space="preserve">. Modelling indicates </w:t>
      </w:r>
      <w:r>
        <w:rPr>
          <w:rFonts w:ascii="Calibri" w:hAnsi="Calibri" w:cs="Calibri"/>
        </w:rPr>
        <w:t xml:space="preserve">the </w:t>
      </w:r>
      <w:r w:rsidR="00EE4F35">
        <w:rPr>
          <w:rFonts w:ascii="Calibri" w:hAnsi="Calibri" w:cs="Calibri"/>
        </w:rPr>
        <w:t>new model c</w:t>
      </w:r>
      <w:r w:rsidRPr="0075587D">
        <w:rPr>
          <w:rFonts w:ascii="Calibri" w:hAnsi="Calibri" w:cs="Calibri"/>
        </w:rPr>
        <w:t xml:space="preserve">an achieve viability if </w:t>
      </w:r>
      <w:r>
        <w:rPr>
          <w:rFonts w:ascii="Calibri" w:hAnsi="Calibri" w:cs="Calibri"/>
        </w:rPr>
        <w:t>providers</w:t>
      </w:r>
      <w:r w:rsidRPr="0075587D">
        <w:rPr>
          <w:rFonts w:ascii="Calibri" w:hAnsi="Calibri" w:cs="Calibri"/>
        </w:rPr>
        <w:t xml:space="preserve"> replicate </w:t>
      </w:r>
      <w:r w:rsidR="000E71CD">
        <w:rPr>
          <w:rFonts w:ascii="Calibri" w:hAnsi="Calibri" w:cs="Calibri"/>
        </w:rPr>
        <w:t xml:space="preserve">the </w:t>
      </w:r>
      <w:r w:rsidRPr="0075587D">
        <w:rPr>
          <w:rFonts w:ascii="Calibri" w:hAnsi="Calibri" w:cs="Calibri"/>
        </w:rPr>
        <w:t>outcomes achieved historically under jobactive</w:t>
      </w:r>
      <w:r w:rsidR="000E71CD">
        <w:rPr>
          <w:rFonts w:ascii="Calibri" w:hAnsi="Calibri" w:cs="Calibri"/>
        </w:rPr>
        <w:t xml:space="preserve"> for the more disadvantaged job seekers that will comprise their caseload under the new model</w:t>
      </w:r>
      <w:r w:rsidRPr="0075587D">
        <w:rPr>
          <w:rFonts w:ascii="Calibri" w:hAnsi="Calibri" w:cs="Calibri"/>
        </w:rPr>
        <w:t xml:space="preserve">. </w:t>
      </w:r>
      <w:r>
        <w:rPr>
          <w:rFonts w:ascii="Calibri" w:hAnsi="Calibri" w:cs="Calibri"/>
        </w:rPr>
        <w:t xml:space="preserve">However, the analyses confirm providers should review and adjust their operating and business models if they want to succeed under the new model. This is to be expected given the shift to more intensive and personalised servicing for job seekers suffering disadvantage in the labour market. </w:t>
      </w:r>
    </w:p>
    <w:p w14:paraId="74133260" w14:textId="77777777" w:rsidR="004F4A39" w:rsidRDefault="004F4A39" w:rsidP="004F4A39">
      <w:pPr>
        <w:spacing w:after="0"/>
        <w:rPr>
          <w:rFonts w:ascii="Calibri" w:hAnsi="Calibri" w:cs="Calibri"/>
        </w:rPr>
      </w:pPr>
    </w:p>
    <w:p w14:paraId="0EAAF263" w14:textId="3646BC5A" w:rsidR="004F4A39" w:rsidRDefault="004F4A39" w:rsidP="00AB1668">
      <w:pPr>
        <w:spacing w:after="160"/>
      </w:pPr>
      <w:r>
        <w:rPr>
          <w:rFonts w:ascii="Calibri" w:hAnsi="Calibri" w:cs="Calibri"/>
        </w:rPr>
        <w:t xml:space="preserve">KPMG’s </w:t>
      </w:r>
      <w:r w:rsidRPr="007A2889">
        <w:rPr>
          <w:rFonts w:ascii="Calibri" w:hAnsi="Calibri" w:cs="Calibri"/>
        </w:rPr>
        <w:t>scenario analys</w:t>
      </w:r>
      <w:r>
        <w:rPr>
          <w:rFonts w:ascii="Calibri" w:hAnsi="Calibri" w:cs="Calibri"/>
        </w:rPr>
        <w:t>es</w:t>
      </w:r>
      <w:r w:rsidRPr="007A2889">
        <w:rPr>
          <w:rFonts w:ascii="Calibri" w:hAnsi="Calibri" w:cs="Calibri"/>
        </w:rPr>
        <w:t xml:space="preserve"> focused on changing one factor or a group of factors at a time to isolate and understand their discrete impact</w:t>
      </w:r>
      <w:r>
        <w:rPr>
          <w:rFonts w:ascii="Calibri" w:hAnsi="Calibri" w:cs="Calibri"/>
        </w:rPr>
        <w:t xml:space="preserve"> on provider viability</w:t>
      </w:r>
      <w:r w:rsidRPr="007A2889">
        <w:rPr>
          <w:rFonts w:ascii="Calibri" w:hAnsi="Calibri" w:cs="Calibri"/>
        </w:rPr>
        <w:t xml:space="preserve">. In the real world, the </w:t>
      </w:r>
      <w:r w:rsidR="00EE4F35">
        <w:rPr>
          <w:rFonts w:ascii="Calibri" w:hAnsi="Calibri" w:cs="Calibri"/>
        </w:rPr>
        <w:t>new model’s</w:t>
      </w:r>
      <w:r w:rsidRPr="007A2889">
        <w:rPr>
          <w:rFonts w:ascii="Calibri" w:hAnsi="Calibri" w:cs="Calibri"/>
        </w:rPr>
        <w:t xml:space="preserve"> operation would be much more complicated with multiple factors vary</w:t>
      </w:r>
      <w:r>
        <w:rPr>
          <w:rFonts w:ascii="Calibri" w:hAnsi="Calibri" w:cs="Calibri"/>
        </w:rPr>
        <w:t>ing</w:t>
      </w:r>
      <w:r w:rsidRPr="007A2889">
        <w:rPr>
          <w:rFonts w:ascii="Calibri" w:hAnsi="Calibri" w:cs="Calibri"/>
        </w:rPr>
        <w:t xml:space="preserve"> at once and not always in the same direction. Understanding the relative importance of all factors is just as important as considering the impact of any single factor. KPMG undertook </w:t>
      </w:r>
      <w:r>
        <w:rPr>
          <w:rFonts w:ascii="Calibri" w:hAnsi="Calibri" w:cs="Calibri"/>
        </w:rPr>
        <w:t xml:space="preserve">Monte Carlo </w:t>
      </w:r>
      <w:r w:rsidRPr="007A2889">
        <w:rPr>
          <w:rFonts w:ascii="Calibri" w:hAnsi="Calibri" w:cs="Calibri"/>
        </w:rPr>
        <w:t xml:space="preserve">analysis to determine which factors consistently emerge as the most significant factors of provider viability. </w:t>
      </w:r>
      <w:r w:rsidRPr="008B477F">
        <w:t>At the end of a three-year contract</w:t>
      </w:r>
      <w:r w:rsidR="00AB1668">
        <w:t xml:space="preserve"> t</w:t>
      </w:r>
      <w:r w:rsidRPr="008B477F">
        <w:t>he single most important factor</w:t>
      </w:r>
      <w:r>
        <w:t xml:space="preserve"> is</w:t>
      </w:r>
      <w:r w:rsidRPr="008B477F">
        <w:t xml:space="preserve"> caseload to staff ratios</w:t>
      </w:r>
      <w:r w:rsidR="00AB1668">
        <w:t xml:space="preserve"> followed by </w:t>
      </w:r>
      <w:r>
        <w:t>n</w:t>
      </w:r>
      <w:r w:rsidRPr="008B477F">
        <w:t xml:space="preserve">ew commencements, the rate of </w:t>
      </w:r>
      <w:r>
        <w:t>P</w:t>
      </w:r>
      <w:r w:rsidRPr="008B477F">
        <w:t xml:space="preserve">rogress </w:t>
      </w:r>
      <w:r>
        <w:t>Payments</w:t>
      </w:r>
      <w:r w:rsidRPr="008B477F">
        <w:t xml:space="preserve"> achieved, and the rate of </w:t>
      </w:r>
      <w:r>
        <w:t>Employment O</w:t>
      </w:r>
      <w:r w:rsidRPr="008B477F">
        <w:t>utcome</w:t>
      </w:r>
      <w:r>
        <w:t>s</w:t>
      </w:r>
      <w:r w:rsidRPr="008B477F">
        <w:t xml:space="preserve"> achieve</w:t>
      </w:r>
      <w:r>
        <w:t>d</w:t>
      </w:r>
      <w:r w:rsidR="00AB1668">
        <w:t xml:space="preserve">; these three latter variables were found to be </w:t>
      </w:r>
      <w:r>
        <w:t xml:space="preserve">of broadly equal importance. </w:t>
      </w:r>
    </w:p>
    <w:p w14:paraId="5E35E50A" w14:textId="77777777" w:rsidR="004F4A39" w:rsidRPr="00B4660D" w:rsidRDefault="004F4A39" w:rsidP="004F4A39">
      <w:pPr>
        <w:spacing w:after="0"/>
        <w:rPr>
          <w:rFonts w:cstheme="minorHAnsi"/>
          <w:i/>
          <w:u w:val="single"/>
        </w:rPr>
      </w:pPr>
      <w:r w:rsidRPr="00B4660D">
        <w:rPr>
          <w:rFonts w:cstheme="minorHAnsi"/>
          <w:i/>
          <w:u w:val="single"/>
        </w:rPr>
        <w:t xml:space="preserve">Revenue composition: </w:t>
      </w:r>
    </w:p>
    <w:p w14:paraId="54A08A79" w14:textId="705E650B" w:rsidR="004F4A39" w:rsidRDefault="004F4A39" w:rsidP="0000783B">
      <w:pPr>
        <w:spacing w:after="0"/>
        <w:rPr>
          <w:rFonts w:ascii="Calibri" w:hAnsi="Calibri" w:cs="Calibri"/>
        </w:rPr>
      </w:pPr>
      <w:r w:rsidRPr="0000783B">
        <w:rPr>
          <w:rFonts w:ascii="Calibri" w:hAnsi="Calibri" w:cs="Calibri"/>
        </w:rPr>
        <w:t xml:space="preserve">The analyses identified the payment types that have the largest impact on provider viability include </w:t>
      </w:r>
      <w:r w:rsidR="00AB1668">
        <w:rPr>
          <w:rFonts w:ascii="Calibri" w:hAnsi="Calibri" w:cs="Calibri"/>
        </w:rPr>
        <w:t>Upfront</w:t>
      </w:r>
      <w:r w:rsidRPr="0000783B">
        <w:rPr>
          <w:rFonts w:ascii="Calibri" w:hAnsi="Calibri" w:cs="Calibri"/>
        </w:rPr>
        <w:t xml:space="preserve"> Payments and the partial 26 Week Employment Outcome Payment. </w:t>
      </w:r>
    </w:p>
    <w:p w14:paraId="0C562248" w14:textId="77777777" w:rsidR="0000783B" w:rsidRPr="0000783B" w:rsidRDefault="0000783B" w:rsidP="0000783B">
      <w:pPr>
        <w:spacing w:after="0"/>
        <w:rPr>
          <w:rFonts w:ascii="Calibri" w:hAnsi="Calibri" w:cs="Calibri"/>
        </w:rPr>
      </w:pPr>
    </w:p>
    <w:p w14:paraId="02F229C9" w14:textId="59B05D2D" w:rsidR="0000783B" w:rsidRDefault="004F4A39" w:rsidP="0000783B">
      <w:pPr>
        <w:spacing w:after="0"/>
        <w:rPr>
          <w:rFonts w:ascii="Calibri" w:hAnsi="Calibri" w:cs="Calibri"/>
        </w:rPr>
      </w:pPr>
      <w:r w:rsidRPr="0000783B">
        <w:rPr>
          <w:rFonts w:ascii="Calibri" w:hAnsi="Calibri" w:cs="Calibri"/>
        </w:rPr>
        <w:t>The baseline model illustrated a cumulative net profit at all points of the contract as follows; $1.2</w:t>
      </w:r>
      <w:r w:rsidR="00EE4F35">
        <w:rPr>
          <w:rFonts w:ascii="Calibri" w:hAnsi="Calibri" w:cs="Calibri"/>
        </w:rPr>
        <w:t> </w:t>
      </w:r>
      <w:r w:rsidRPr="0000783B">
        <w:rPr>
          <w:rFonts w:ascii="Calibri" w:hAnsi="Calibri" w:cs="Calibri"/>
        </w:rPr>
        <w:t xml:space="preserve">million at </w:t>
      </w:r>
      <w:r w:rsidR="008763B2">
        <w:rPr>
          <w:rFonts w:ascii="Calibri" w:hAnsi="Calibri" w:cs="Calibri"/>
        </w:rPr>
        <w:t xml:space="preserve">three </w:t>
      </w:r>
      <w:r w:rsidRPr="0000783B">
        <w:rPr>
          <w:rFonts w:ascii="Calibri" w:hAnsi="Calibri" w:cs="Calibri"/>
        </w:rPr>
        <w:t>year</w:t>
      </w:r>
      <w:r w:rsidR="008763B2">
        <w:rPr>
          <w:rFonts w:ascii="Calibri" w:hAnsi="Calibri" w:cs="Calibri"/>
        </w:rPr>
        <w:t>s</w:t>
      </w:r>
      <w:r w:rsidRPr="0000783B">
        <w:rPr>
          <w:rFonts w:ascii="Calibri" w:hAnsi="Calibri" w:cs="Calibri"/>
        </w:rPr>
        <w:t xml:space="preserve">, $1.8 million at five years, $2.2 million at seven years and 10 years (after indexation). While monthly expenses exceed revenue for the first nine months, Engagement Payments paid for transition job seekers and the increasing number of Employment Outcomes achieved from month 12 onward increase revenue and result in positive monthly results from month 13 until the end of the ten year period. </w:t>
      </w:r>
    </w:p>
    <w:p w14:paraId="062CDEB3" w14:textId="77777777" w:rsidR="0000783B" w:rsidRDefault="0000783B" w:rsidP="0000783B">
      <w:pPr>
        <w:spacing w:after="0"/>
        <w:rPr>
          <w:rFonts w:ascii="Calibri" w:hAnsi="Calibri" w:cs="Calibri"/>
        </w:rPr>
      </w:pPr>
    </w:p>
    <w:p w14:paraId="72EB0305" w14:textId="05042988" w:rsidR="004F4A39" w:rsidRPr="0000783B" w:rsidRDefault="004F4A39" w:rsidP="004F4A39">
      <w:pPr>
        <w:spacing w:after="0"/>
        <w:rPr>
          <w:rFonts w:ascii="Calibri" w:hAnsi="Calibri" w:cs="Calibri"/>
        </w:rPr>
      </w:pPr>
      <w:r w:rsidRPr="0000783B">
        <w:rPr>
          <w:rFonts w:ascii="Calibri" w:hAnsi="Calibri" w:cs="Calibri"/>
        </w:rPr>
        <w:t xml:space="preserve">KPMG also modelled a scenario which considered the impact on viability if provider performance improved as the new model intends. It was found that if providers achieve high Employment Outcome rates (peak of 5.5%) and fully utilise the Progress Payments (60% of caseload) and the VLTU Bonus Payments (30% of Employment Outcomes), providers have the potential to earn significantly more revenue, enabling them to invest more in their staff. </w:t>
      </w:r>
    </w:p>
    <w:p w14:paraId="3CDFDE10" w14:textId="77777777" w:rsidR="004F4A39" w:rsidRPr="00B72C60" w:rsidRDefault="004F4A39" w:rsidP="004F4A39">
      <w:pPr>
        <w:spacing w:after="0"/>
        <w:rPr>
          <w:rFonts w:cstheme="minorHAnsi"/>
          <w:i/>
          <w:sz w:val="24"/>
          <w:szCs w:val="24"/>
          <w:u w:val="single"/>
        </w:rPr>
      </w:pPr>
    </w:p>
    <w:p w14:paraId="7356E067" w14:textId="77777777" w:rsidR="004F4A39" w:rsidRPr="00B4660D" w:rsidRDefault="004F4A39" w:rsidP="004F4A39">
      <w:pPr>
        <w:spacing w:after="0"/>
        <w:rPr>
          <w:rFonts w:cstheme="minorHAnsi"/>
          <w:i/>
          <w:u w:val="single"/>
        </w:rPr>
      </w:pPr>
      <w:r w:rsidRPr="00B4660D">
        <w:rPr>
          <w:rFonts w:cstheme="minorHAnsi"/>
          <w:i/>
          <w:u w:val="single"/>
        </w:rPr>
        <w:t>Market share allocations:</w:t>
      </w:r>
    </w:p>
    <w:p w14:paraId="72129AE3" w14:textId="017CAC6B" w:rsidR="008658C2" w:rsidRDefault="004F4A39" w:rsidP="004F4A39">
      <w:pPr>
        <w:spacing w:after="0"/>
        <w:rPr>
          <w:rFonts w:ascii="Calibri" w:hAnsi="Calibri" w:cs="Calibri"/>
        </w:rPr>
      </w:pPr>
      <w:r w:rsidRPr="0000783B">
        <w:rPr>
          <w:rFonts w:ascii="Calibri" w:hAnsi="Calibri" w:cs="Calibri"/>
        </w:rPr>
        <w:t xml:space="preserve">The modelling demonstrates </w:t>
      </w:r>
      <w:r w:rsidR="00EE4F35">
        <w:rPr>
          <w:rFonts w:ascii="Calibri" w:hAnsi="Calibri" w:cs="Calibri"/>
        </w:rPr>
        <w:t>the new model</w:t>
      </w:r>
      <w:r w:rsidRPr="0000783B">
        <w:rPr>
          <w:rFonts w:ascii="Calibri" w:hAnsi="Calibri" w:cs="Calibri"/>
        </w:rPr>
        <w:t xml:space="preserve"> would best operate with a mixture of organisation sizes, with small organisations (fixed costs of $0.4 million) being viable across most regions (49 of the 51 existing regions), maintaining an 80:1 staff ratio. </w:t>
      </w:r>
    </w:p>
    <w:p w14:paraId="20A895C2" w14:textId="77777777" w:rsidR="00DB1DF8" w:rsidRDefault="00DB1DF8" w:rsidP="004F4A39">
      <w:pPr>
        <w:spacing w:after="0"/>
        <w:rPr>
          <w:rFonts w:ascii="Calibri" w:hAnsi="Calibri" w:cs="Calibri"/>
        </w:rPr>
      </w:pPr>
    </w:p>
    <w:p w14:paraId="73550492" w14:textId="3A9FD484" w:rsidR="008658C2" w:rsidRDefault="004F4A39" w:rsidP="004F4A39">
      <w:pPr>
        <w:spacing w:after="0"/>
        <w:rPr>
          <w:rFonts w:ascii="Calibri" w:hAnsi="Calibri" w:cs="Calibri"/>
        </w:rPr>
      </w:pPr>
      <w:r w:rsidRPr="0000783B">
        <w:rPr>
          <w:rFonts w:ascii="Calibri" w:hAnsi="Calibri" w:cs="Calibri"/>
        </w:rPr>
        <w:t>On a cohort by cohort basis, the analysis identified Employment Regions where cohort specialists are likely to be viable, subject to individual business models</w:t>
      </w:r>
      <w:r w:rsidR="008658C2">
        <w:rPr>
          <w:rFonts w:ascii="Calibri" w:hAnsi="Calibri" w:cs="Calibri"/>
        </w:rPr>
        <w:t xml:space="preserve">. Only certain cohort specialist provider types would be viable in each region, and while multiple cohort specialist provider types may be viable independently, many regions would not be able to host multiple specialist providers. Further, the analysis found that in many regions, cohort specialist providers may need to operate in part of a region rather than covering a full region. </w:t>
      </w:r>
      <w:r w:rsidRPr="0000783B">
        <w:rPr>
          <w:rFonts w:ascii="Calibri" w:hAnsi="Calibri" w:cs="Calibri"/>
        </w:rPr>
        <w:t xml:space="preserve"> </w:t>
      </w:r>
      <w:r w:rsidR="008658C2">
        <w:rPr>
          <w:rFonts w:ascii="Calibri" w:hAnsi="Calibri" w:cs="Calibri"/>
        </w:rPr>
        <w:t xml:space="preserve">The analysis has been considered in the development of </w:t>
      </w:r>
      <w:r w:rsidRPr="0000783B">
        <w:rPr>
          <w:rFonts w:ascii="Calibri" w:hAnsi="Calibri" w:cs="Calibri"/>
        </w:rPr>
        <w:t>information included in the Exposure Draft</w:t>
      </w:r>
      <w:r w:rsidR="008658C2">
        <w:rPr>
          <w:rFonts w:ascii="Calibri" w:hAnsi="Calibri" w:cs="Calibri"/>
        </w:rPr>
        <w:t xml:space="preserve"> related to identifying the indicative number of licences that could be offered in each Employment Region including cohort specialist provider licences</w:t>
      </w:r>
      <w:r w:rsidRPr="0000783B">
        <w:rPr>
          <w:rFonts w:ascii="Calibri" w:hAnsi="Calibri" w:cs="Calibri"/>
        </w:rPr>
        <w:t xml:space="preserve">. </w:t>
      </w:r>
    </w:p>
    <w:p w14:paraId="06658EEF" w14:textId="77777777" w:rsidR="00EE4F35" w:rsidRDefault="00EE4F35" w:rsidP="004F4A39">
      <w:pPr>
        <w:spacing w:after="0"/>
        <w:rPr>
          <w:rFonts w:ascii="Calibri" w:hAnsi="Calibri" w:cs="Calibri"/>
        </w:rPr>
      </w:pPr>
    </w:p>
    <w:p w14:paraId="66EBD264" w14:textId="792B30EF" w:rsidR="004F4A39" w:rsidRPr="0000783B" w:rsidRDefault="004F4A39" w:rsidP="004F4A39">
      <w:pPr>
        <w:spacing w:after="0"/>
        <w:rPr>
          <w:rFonts w:ascii="Calibri" w:hAnsi="Calibri" w:cs="Calibri"/>
        </w:rPr>
      </w:pPr>
      <w:r w:rsidRPr="0000783B">
        <w:rPr>
          <w:rFonts w:ascii="Calibri" w:hAnsi="Calibri" w:cs="Calibri"/>
        </w:rPr>
        <w:t xml:space="preserve">Furthermore, data analysed </w:t>
      </w:r>
      <w:r w:rsidR="008763B2">
        <w:rPr>
          <w:rFonts w:ascii="Calibri" w:hAnsi="Calibri" w:cs="Calibri"/>
        </w:rPr>
        <w:t xml:space="preserve">did not identify </w:t>
      </w:r>
      <w:r w:rsidRPr="0000783B">
        <w:rPr>
          <w:rFonts w:ascii="Calibri" w:hAnsi="Calibri" w:cs="Calibri"/>
        </w:rPr>
        <w:t>regional cost differences. The analysis shows that some of the perceived difference in viability between regional and metropolitan providers can be explained by the lower relative jobseeker volumes in regional areas.</w:t>
      </w:r>
    </w:p>
    <w:p w14:paraId="0FD02203" w14:textId="77777777" w:rsidR="008763B2" w:rsidRDefault="008763B2" w:rsidP="004F4A39">
      <w:pPr>
        <w:spacing w:after="0"/>
        <w:rPr>
          <w:rFonts w:cstheme="minorHAnsi"/>
          <w:i/>
          <w:sz w:val="24"/>
          <w:szCs w:val="24"/>
          <w:u w:val="single"/>
        </w:rPr>
      </w:pPr>
    </w:p>
    <w:p w14:paraId="301141AB" w14:textId="5FBA7966" w:rsidR="004F4A39" w:rsidRPr="00B4660D" w:rsidRDefault="004F4A39" w:rsidP="004F4A39">
      <w:pPr>
        <w:spacing w:after="0"/>
        <w:rPr>
          <w:rFonts w:cstheme="minorHAnsi"/>
          <w:i/>
          <w:u w:val="single"/>
        </w:rPr>
      </w:pPr>
      <w:r w:rsidRPr="00B4660D">
        <w:rPr>
          <w:rFonts w:cstheme="minorHAnsi"/>
          <w:i/>
          <w:u w:val="single"/>
        </w:rPr>
        <w:t>Indexation:</w:t>
      </w:r>
    </w:p>
    <w:p w14:paraId="2111195C" w14:textId="651466CE" w:rsidR="00C43D36" w:rsidRDefault="004F4A39" w:rsidP="004F4A39">
      <w:pPr>
        <w:rPr>
          <w:rFonts w:ascii="Calibri" w:hAnsi="Calibri" w:cs="Calibri"/>
        </w:rPr>
      </w:pPr>
      <w:r w:rsidRPr="0000783B">
        <w:rPr>
          <w:rFonts w:ascii="Calibri" w:hAnsi="Calibri" w:cs="Calibri"/>
        </w:rPr>
        <w:t xml:space="preserve">The analyses examined the importance of indexation over the </w:t>
      </w:r>
      <w:r w:rsidR="008763B2" w:rsidRPr="0000783B">
        <w:rPr>
          <w:rFonts w:ascii="Calibri" w:hAnsi="Calibri" w:cs="Calibri"/>
        </w:rPr>
        <w:t>10-year</w:t>
      </w:r>
      <w:r w:rsidRPr="0000783B">
        <w:rPr>
          <w:rFonts w:ascii="Calibri" w:hAnsi="Calibri" w:cs="Calibri"/>
        </w:rPr>
        <w:t xml:space="preserve"> period and identified that relative differences between revenue and cost indexation will amplify the longer the contract period, however adjustments could be required overtime depending on cost inflation changes. KPMG modelled indexation at 6.8% every three years (starting in 2025) with cost inflation rates of 1%, 2.5%, 1.85% and 4%. Providers would maintain viability at all inflation rates </w:t>
      </w:r>
      <w:r w:rsidR="009D1417">
        <w:rPr>
          <w:rFonts w:ascii="Calibri" w:hAnsi="Calibri" w:cs="Calibri"/>
        </w:rPr>
        <w:t>except</w:t>
      </w:r>
      <w:r w:rsidR="009D1417" w:rsidRPr="0000783B">
        <w:rPr>
          <w:rFonts w:ascii="Calibri" w:hAnsi="Calibri" w:cs="Calibri"/>
        </w:rPr>
        <w:t xml:space="preserve"> </w:t>
      </w:r>
      <w:r w:rsidRPr="0000783B">
        <w:rPr>
          <w:rFonts w:ascii="Calibri" w:hAnsi="Calibri" w:cs="Calibri"/>
        </w:rPr>
        <w:t xml:space="preserve">4% </w:t>
      </w:r>
      <w:r w:rsidR="009D1417">
        <w:rPr>
          <w:rFonts w:ascii="Calibri" w:hAnsi="Calibri" w:cs="Calibri"/>
        </w:rPr>
        <w:t>where</w:t>
      </w:r>
      <w:r w:rsidR="009D1417" w:rsidRPr="0000783B">
        <w:rPr>
          <w:rFonts w:ascii="Calibri" w:hAnsi="Calibri" w:cs="Calibri"/>
        </w:rPr>
        <w:t xml:space="preserve"> </w:t>
      </w:r>
      <w:r w:rsidRPr="0000783B">
        <w:rPr>
          <w:rFonts w:ascii="Calibri" w:hAnsi="Calibri" w:cs="Calibri"/>
        </w:rPr>
        <w:t xml:space="preserve">a loss would be recorded over a </w:t>
      </w:r>
      <w:r w:rsidR="008763B2" w:rsidRPr="0000783B">
        <w:rPr>
          <w:rFonts w:ascii="Calibri" w:hAnsi="Calibri" w:cs="Calibri"/>
        </w:rPr>
        <w:t>10-year</w:t>
      </w:r>
      <w:r w:rsidRPr="0000783B">
        <w:rPr>
          <w:rFonts w:ascii="Calibri" w:hAnsi="Calibri" w:cs="Calibri"/>
        </w:rPr>
        <w:t xml:space="preserve"> contract period.</w:t>
      </w:r>
    </w:p>
    <w:p w14:paraId="301EFBD7" w14:textId="77777777" w:rsidR="00C43D36" w:rsidRDefault="00C43D36">
      <w:pPr>
        <w:spacing w:after="160" w:line="259" w:lineRule="auto"/>
        <w:rPr>
          <w:rFonts w:ascii="Calibri" w:hAnsi="Calibri" w:cs="Calibri"/>
        </w:rPr>
      </w:pPr>
      <w:r>
        <w:rPr>
          <w:rFonts w:ascii="Calibri" w:hAnsi="Calibri" w:cs="Calibri"/>
        </w:rPr>
        <w:br w:type="page"/>
      </w:r>
    </w:p>
    <w:p w14:paraId="228A6E87" w14:textId="79739828" w:rsidR="004F4A39" w:rsidRPr="00B4660D" w:rsidRDefault="004F4A39" w:rsidP="004F4A39">
      <w:pPr>
        <w:rPr>
          <w:rFonts w:cstheme="minorHAnsi"/>
          <w:b/>
          <w:bCs/>
        </w:rPr>
      </w:pPr>
      <w:r w:rsidRPr="00B4660D">
        <w:rPr>
          <w:rFonts w:cstheme="minorHAnsi"/>
          <w:b/>
          <w:bCs/>
        </w:rPr>
        <w:lastRenderedPageBreak/>
        <w:t>Table 1: Modelling Assumptions for the Baseline Scenario (representative organisation)</w:t>
      </w:r>
    </w:p>
    <w:tbl>
      <w:tblPr>
        <w:tblStyle w:val="TableGrid"/>
        <w:tblW w:w="0" w:type="auto"/>
        <w:tblLook w:val="04A0" w:firstRow="1" w:lastRow="0" w:firstColumn="1" w:lastColumn="0" w:noHBand="0" w:noVBand="1"/>
      </w:tblPr>
      <w:tblGrid>
        <w:gridCol w:w="3005"/>
        <w:gridCol w:w="2519"/>
        <w:gridCol w:w="3492"/>
      </w:tblGrid>
      <w:tr w:rsidR="004F4A39" w:rsidRPr="0000783B" w14:paraId="218C2B37" w14:textId="77777777" w:rsidTr="00A41491">
        <w:trPr>
          <w:trHeight w:val="281"/>
        </w:trPr>
        <w:tc>
          <w:tcPr>
            <w:tcW w:w="3005" w:type="dxa"/>
            <w:shd w:val="clear" w:color="auto" w:fill="D9D9D9" w:themeFill="background1" w:themeFillShade="D9"/>
          </w:tcPr>
          <w:p w14:paraId="33BEE4E5" w14:textId="77777777" w:rsidR="004F4A39" w:rsidRPr="0000783B" w:rsidRDefault="004F4A39" w:rsidP="00A41491">
            <w:pPr>
              <w:rPr>
                <w:rFonts w:cstheme="minorHAnsi"/>
                <w:b/>
                <w:bCs/>
              </w:rPr>
            </w:pPr>
            <w:r w:rsidRPr="0000783B">
              <w:rPr>
                <w:rFonts w:cstheme="minorHAnsi"/>
                <w:b/>
                <w:bCs/>
              </w:rPr>
              <w:t>Assumption</w:t>
            </w:r>
          </w:p>
        </w:tc>
        <w:tc>
          <w:tcPr>
            <w:tcW w:w="2519" w:type="dxa"/>
            <w:shd w:val="clear" w:color="auto" w:fill="D9D9D9" w:themeFill="background1" w:themeFillShade="D9"/>
          </w:tcPr>
          <w:p w14:paraId="3D5FF358" w14:textId="77777777" w:rsidR="004F4A39" w:rsidRPr="0000783B" w:rsidRDefault="004F4A39" w:rsidP="00A41491">
            <w:pPr>
              <w:rPr>
                <w:rFonts w:cstheme="minorHAnsi"/>
                <w:b/>
                <w:bCs/>
              </w:rPr>
            </w:pPr>
            <w:r w:rsidRPr="0000783B">
              <w:rPr>
                <w:rFonts w:cstheme="minorHAnsi"/>
                <w:b/>
                <w:bCs/>
              </w:rPr>
              <w:t>Value</w:t>
            </w:r>
          </w:p>
        </w:tc>
        <w:tc>
          <w:tcPr>
            <w:tcW w:w="3492" w:type="dxa"/>
            <w:shd w:val="clear" w:color="auto" w:fill="D9D9D9" w:themeFill="background1" w:themeFillShade="D9"/>
          </w:tcPr>
          <w:p w14:paraId="25073BC1" w14:textId="77777777" w:rsidR="004F4A39" w:rsidRPr="0000783B" w:rsidRDefault="004F4A39" w:rsidP="00A41491">
            <w:pPr>
              <w:rPr>
                <w:rFonts w:cstheme="minorHAnsi"/>
                <w:b/>
                <w:bCs/>
              </w:rPr>
            </w:pPr>
            <w:r w:rsidRPr="0000783B">
              <w:rPr>
                <w:rFonts w:cstheme="minorHAnsi"/>
                <w:b/>
                <w:bCs/>
              </w:rPr>
              <w:t>Basis</w:t>
            </w:r>
          </w:p>
        </w:tc>
      </w:tr>
      <w:tr w:rsidR="004F4A39" w:rsidRPr="0000783B" w14:paraId="764C7EAA" w14:textId="77777777" w:rsidTr="00A41491">
        <w:tc>
          <w:tcPr>
            <w:tcW w:w="9016" w:type="dxa"/>
            <w:gridSpan w:val="3"/>
          </w:tcPr>
          <w:p w14:paraId="19629721" w14:textId="77777777" w:rsidR="004F4A39" w:rsidRPr="0000783B" w:rsidRDefault="004F4A39" w:rsidP="00A41491">
            <w:pPr>
              <w:rPr>
                <w:rFonts w:cstheme="minorHAnsi"/>
              </w:rPr>
            </w:pPr>
            <w:r w:rsidRPr="0000783B">
              <w:rPr>
                <w:rFonts w:cstheme="minorHAnsi"/>
                <w:b/>
                <w:bCs/>
              </w:rPr>
              <w:t>Caseload</w:t>
            </w:r>
          </w:p>
        </w:tc>
      </w:tr>
      <w:tr w:rsidR="004F4A39" w:rsidRPr="0000783B" w14:paraId="2C5493A6" w14:textId="77777777" w:rsidTr="00A41491">
        <w:tc>
          <w:tcPr>
            <w:tcW w:w="3005" w:type="dxa"/>
          </w:tcPr>
          <w:p w14:paraId="6FA42A01" w14:textId="77777777" w:rsidR="004F4A39" w:rsidRPr="0000783B" w:rsidRDefault="004F4A39" w:rsidP="00A41491">
            <w:pPr>
              <w:rPr>
                <w:rFonts w:cstheme="minorHAnsi"/>
              </w:rPr>
            </w:pPr>
            <w:r w:rsidRPr="0000783B">
              <w:rPr>
                <w:rFonts w:cstheme="minorHAnsi"/>
              </w:rPr>
              <w:t>Monthly Commencements</w:t>
            </w:r>
          </w:p>
        </w:tc>
        <w:tc>
          <w:tcPr>
            <w:tcW w:w="2519" w:type="dxa"/>
          </w:tcPr>
          <w:p w14:paraId="07EC5816" w14:textId="77777777" w:rsidR="004F4A39" w:rsidRPr="0000783B" w:rsidRDefault="004F4A39" w:rsidP="00A41491">
            <w:pPr>
              <w:rPr>
                <w:rFonts w:cstheme="minorHAnsi"/>
              </w:rPr>
            </w:pPr>
            <w:r w:rsidRPr="0000783B">
              <w:rPr>
                <w:rFonts w:cstheme="minorHAnsi"/>
              </w:rPr>
              <w:t>320 as a baseline but higher in Year 1, 2 and 3 to reflect 10-year Department forecast</w:t>
            </w:r>
          </w:p>
        </w:tc>
        <w:tc>
          <w:tcPr>
            <w:tcW w:w="3492" w:type="dxa"/>
          </w:tcPr>
          <w:p w14:paraId="10FBF0E1" w14:textId="173FD216" w:rsidR="004F4A39" w:rsidRPr="0000783B" w:rsidRDefault="008763B2" w:rsidP="00A41491">
            <w:pPr>
              <w:rPr>
                <w:rFonts w:cstheme="minorHAnsi"/>
              </w:rPr>
            </w:pPr>
            <w:r w:rsidRPr="0000783B">
              <w:rPr>
                <w:rFonts w:cstheme="minorHAnsi"/>
              </w:rPr>
              <w:t>3-year</w:t>
            </w:r>
            <w:r w:rsidR="004F4A39" w:rsidRPr="0000783B">
              <w:rPr>
                <w:rFonts w:cstheme="minorHAnsi"/>
              </w:rPr>
              <w:t xml:space="preserve"> average </w:t>
            </w:r>
            <w:r w:rsidR="003853CF">
              <w:rPr>
                <w:rFonts w:cstheme="minorHAnsi"/>
              </w:rPr>
              <w:t>jobactive</w:t>
            </w:r>
            <w:r w:rsidR="004F4A39" w:rsidRPr="0000783B">
              <w:rPr>
                <w:rFonts w:cstheme="minorHAnsi"/>
              </w:rPr>
              <w:t xml:space="preserve"> </w:t>
            </w:r>
            <w:r w:rsidR="003853CF">
              <w:rPr>
                <w:rFonts w:cstheme="minorHAnsi"/>
              </w:rPr>
              <w:t>d</w:t>
            </w:r>
            <w:r w:rsidR="004F4A39" w:rsidRPr="0000783B">
              <w:rPr>
                <w:rFonts w:cstheme="minorHAnsi"/>
              </w:rPr>
              <w:t xml:space="preserve">ata (2015-19) with an escalation in Year 1, 2, and 3 to maintain consistency with Treasury forecasts of new commencements. This results in an increase in new commencements of 19%, 7% and 1% in the first three years before returning to long-run average commencements in Year 4. </w:t>
            </w:r>
          </w:p>
        </w:tc>
      </w:tr>
      <w:tr w:rsidR="004F4A39" w:rsidRPr="0000783B" w14:paraId="68C52F68" w14:textId="77777777" w:rsidTr="00A41491">
        <w:tc>
          <w:tcPr>
            <w:tcW w:w="3005" w:type="dxa"/>
          </w:tcPr>
          <w:p w14:paraId="43B10BB7" w14:textId="77777777" w:rsidR="004F4A39" w:rsidRPr="0000783B" w:rsidRDefault="004F4A39" w:rsidP="00A41491">
            <w:pPr>
              <w:rPr>
                <w:rFonts w:cstheme="minorHAnsi"/>
              </w:rPr>
            </w:pPr>
            <w:r w:rsidRPr="0000783B">
              <w:rPr>
                <w:rFonts w:cstheme="minorHAnsi"/>
              </w:rPr>
              <w:t>Transitioned jobseekers</w:t>
            </w:r>
          </w:p>
        </w:tc>
        <w:tc>
          <w:tcPr>
            <w:tcW w:w="2519" w:type="dxa"/>
          </w:tcPr>
          <w:p w14:paraId="7A1B3F19" w14:textId="77777777" w:rsidR="004F4A39" w:rsidRPr="0000783B" w:rsidRDefault="004F4A39" w:rsidP="00A41491">
            <w:pPr>
              <w:rPr>
                <w:rFonts w:cstheme="minorHAnsi"/>
              </w:rPr>
            </w:pPr>
            <w:r w:rsidRPr="0000783B">
              <w:rPr>
                <w:rFonts w:cstheme="minorHAnsi"/>
              </w:rPr>
              <w:t>2,600</w:t>
            </w:r>
          </w:p>
        </w:tc>
        <w:tc>
          <w:tcPr>
            <w:tcW w:w="3492" w:type="dxa"/>
          </w:tcPr>
          <w:p w14:paraId="02509733" w14:textId="1E3C1C2F" w:rsidR="004F4A39" w:rsidRPr="0000783B" w:rsidRDefault="004F4A39" w:rsidP="00A41491">
            <w:pPr>
              <w:rPr>
                <w:rFonts w:cstheme="minorHAnsi"/>
              </w:rPr>
            </w:pPr>
            <w:r w:rsidRPr="0000783B">
              <w:rPr>
                <w:rFonts w:cstheme="minorHAnsi"/>
              </w:rPr>
              <w:t xml:space="preserve">Based on </w:t>
            </w:r>
            <w:r w:rsidR="003853CF">
              <w:rPr>
                <w:rFonts w:cstheme="minorHAnsi"/>
              </w:rPr>
              <w:t xml:space="preserve">NEST </w:t>
            </w:r>
            <w:r w:rsidRPr="0000783B">
              <w:rPr>
                <w:rFonts w:cstheme="minorHAnsi"/>
              </w:rPr>
              <w:t xml:space="preserve">data and relativities with commencements to reflect </w:t>
            </w:r>
            <w:r w:rsidR="008763B2">
              <w:rPr>
                <w:rFonts w:cstheme="minorHAnsi"/>
              </w:rPr>
              <w:br/>
            </w:r>
            <w:r w:rsidR="008763B2" w:rsidRPr="0000783B">
              <w:rPr>
                <w:rFonts w:cstheme="minorHAnsi"/>
              </w:rPr>
              <w:t>10-year</w:t>
            </w:r>
            <w:r w:rsidRPr="0000783B">
              <w:rPr>
                <w:rFonts w:cstheme="minorHAnsi"/>
              </w:rPr>
              <w:t xml:space="preserve"> Departmental caseload forecasts.</w:t>
            </w:r>
          </w:p>
        </w:tc>
      </w:tr>
      <w:tr w:rsidR="004F4A39" w:rsidRPr="0000783B" w14:paraId="79C0F43C" w14:textId="77777777" w:rsidTr="00A41491">
        <w:tc>
          <w:tcPr>
            <w:tcW w:w="3005" w:type="dxa"/>
          </w:tcPr>
          <w:p w14:paraId="6FB8853E" w14:textId="77777777" w:rsidR="004F4A39" w:rsidRPr="0000783B" w:rsidRDefault="004F4A39" w:rsidP="00A41491">
            <w:pPr>
              <w:rPr>
                <w:rFonts w:cstheme="minorHAnsi"/>
              </w:rPr>
            </w:pPr>
            <w:r w:rsidRPr="0000783B">
              <w:rPr>
                <w:rFonts w:cstheme="minorHAnsi"/>
              </w:rPr>
              <w:t>Caseload</w:t>
            </w:r>
          </w:p>
        </w:tc>
        <w:tc>
          <w:tcPr>
            <w:tcW w:w="2519" w:type="dxa"/>
          </w:tcPr>
          <w:p w14:paraId="14DC91EA" w14:textId="77777777" w:rsidR="004F4A39" w:rsidRPr="0000783B" w:rsidRDefault="004F4A39" w:rsidP="00A41491">
            <w:pPr>
              <w:rPr>
                <w:rFonts w:cstheme="minorHAnsi"/>
              </w:rPr>
            </w:pPr>
            <w:r w:rsidRPr="0000783B">
              <w:rPr>
                <w:rFonts w:cstheme="minorHAnsi"/>
              </w:rPr>
              <w:t>2,780 – average over 10 years</w:t>
            </w:r>
          </w:p>
        </w:tc>
        <w:tc>
          <w:tcPr>
            <w:tcW w:w="3492" w:type="dxa"/>
          </w:tcPr>
          <w:p w14:paraId="6CD6712E" w14:textId="77777777" w:rsidR="004F4A39" w:rsidRPr="0000783B" w:rsidRDefault="004F4A39" w:rsidP="00A41491">
            <w:pPr>
              <w:rPr>
                <w:rFonts w:cstheme="minorHAnsi"/>
              </w:rPr>
            </w:pPr>
            <w:r w:rsidRPr="0000783B">
              <w:rPr>
                <w:rFonts w:cstheme="minorHAnsi"/>
              </w:rPr>
              <w:t>Based on Treasury forecasts for system-wide caseload over time.</w:t>
            </w:r>
          </w:p>
        </w:tc>
      </w:tr>
      <w:tr w:rsidR="004F4A39" w:rsidRPr="0000783B" w14:paraId="0CCAF359" w14:textId="77777777" w:rsidTr="00A41491">
        <w:tc>
          <w:tcPr>
            <w:tcW w:w="3005" w:type="dxa"/>
          </w:tcPr>
          <w:p w14:paraId="7A668BD1" w14:textId="77777777" w:rsidR="004F4A39" w:rsidRPr="0000783B" w:rsidRDefault="004F4A39" w:rsidP="00A41491">
            <w:pPr>
              <w:rPr>
                <w:rFonts w:cstheme="minorHAnsi"/>
              </w:rPr>
            </w:pPr>
            <w:r w:rsidRPr="0000783B">
              <w:rPr>
                <w:rFonts w:cstheme="minorHAnsi"/>
              </w:rPr>
              <w:t>Survival rate</w:t>
            </w:r>
          </w:p>
        </w:tc>
        <w:tc>
          <w:tcPr>
            <w:tcW w:w="2519" w:type="dxa"/>
          </w:tcPr>
          <w:p w14:paraId="4B0ED207" w14:textId="77777777" w:rsidR="004F4A39" w:rsidRPr="0000783B" w:rsidRDefault="004F4A39" w:rsidP="00A41491">
            <w:pPr>
              <w:rPr>
                <w:rFonts w:cstheme="minorHAnsi"/>
              </w:rPr>
            </w:pPr>
            <w:r w:rsidRPr="0000783B">
              <w:rPr>
                <w:rFonts w:cstheme="minorHAnsi"/>
              </w:rPr>
              <w:t xml:space="preserve">Maintain consistency with Treasury caseload </w:t>
            </w:r>
          </w:p>
        </w:tc>
        <w:tc>
          <w:tcPr>
            <w:tcW w:w="3492" w:type="dxa"/>
          </w:tcPr>
          <w:p w14:paraId="129C2F30" w14:textId="77777777" w:rsidR="004F4A39" w:rsidRPr="0000783B" w:rsidRDefault="004F4A39" w:rsidP="00A41491">
            <w:pPr>
              <w:rPr>
                <w:rFonts w:cstheme="minorHAnsi"/>
              </w:rPr>
            </w:pPr>
            <w:r w:rsidRPr="0000783B">
              <w:rPr>
                <w:rFonts w:cstheme="minorHAnsi"/>
              </w:rPr>
              <w:t xml:space="preserve">Rate required to hold caseload consistent against the Treasury forecast of system-wide caseload over time. </w:t>
            </w:r>
          </w:p>
        </w:tc>
      </w:tr>
      <w:tr w:rsidR="004F4A39" w:rsidRPr="0000783B" w14:paraId="09B4894F" w14:textId="77777777" w:rsidTr="00A41491">
        <w:tc>
          <w:tcPr>
            <w:tcW w:w="3005" w:type="dxa"/>
          </w:tcPr>
          <w:p w14:paraId="60E64591" w14:textId="77777777" w:rsidR="004F4A39" w:rsidRPr="0000783B" w:rsidRDefault="004F4A39" w:rsidP="00A41491">
            <w:pPr>
              <w:rPr>
                <w:rFonts w:cstheme="minorHAnsi"/>
              </w:rPr>
            </w:pPr>
            <w:r w:rsidRPr="0000783B">
              <w:rPr>
                <w:rFonts w:cstheme="minorHAnsi"/>
              </w:rPr>
              <w:t>Transfer fee rate</w:t>
            </w:r>
          </w:p>
        </w:tc>
        <w:tc>
          <w:tcPr>
            <w:tcW w:w="2519" w:type="dxa"/>
          </w:tcPr>
          <w:p w14:paraId="7D07BA44" w14:textId="77777777" w:rsidR="004F4A39" w:rsidRPr="0000783B" w:rsidRDefault="004F4A39" w:rsidP="00A41491">
            <w:pPr>
              <w:rPr>
                <w:rFonts w:cstheme="minorHAnsi"/>
              </w:rPr>
            </w:pPr>
            <w:r w:rsidRPr="0000783B">
              <w:rPr>
                <w:rFonts w:cstheme="minorHAnsi"/>
              </w:rPr>
              <w:t>10% of caseload annually</w:t>
            </w:r>
          </w:p>
        </w:tc>
        <w:tc>
          <w:tcPr>
            <w:tcW w:w="3492" w:type="dxa"/>
          </w:tcPr>
          <w:p w14:paraId="2C81C6CE" w14:textId="77777777" w:rsidR="004F4A39" w:rsidRPr="0000783B" w:rsidRDefault="004F4A39" w:rsidP="00A41491">
            <w:pPr>
              <w:rPr>
                <w:rFonts w:cstheme="minorHAnsi"/>
              </w:rPr>
            </w:pPr>
            <w:r w:rsidRPr="0000783B">
              <w:rPr>
                <w:rFonts w:cstheme="minorHAnsi"/>
              </w:rPr>
              <w:t xml:space="preserve">Departmental advice assumed that 10% of caseload transfers between providers annually. </w:t>
            </w:r>
          </w:p>
        </w:tc>
      </w:tr>
      <w:tr w:rsidR="004F4A39" w:rsidRPr="0000783B" w14:paraId="79B91428" w14:textId="77777777" w:rsidTr="00A41491">
        <w:tc>
          <w:tcPr>
            <w:tcW w:w="3005" w:type="dxa"/>
          </w:tcPr>
          <w:p w14:paraId="6E043F36" w14:textId="77777777" w:rsidR="004F4A39" w:rsidRPr="0000783B" w:rsidRDefault="004F4A39" w:rsidP="00A41491">
            <w:pPr>
              <w:rPr>
                <w:rFonts w:cstheme="minorHAnsi"/>
              </w:rPr>
            </w:pPr>
            <w:r w:rsidRPr="0000783B">
              <w:rPr>
                <w:rFonts w:cstheme="minorHAnsi"/>
              </w:rPr>
              <w:t>Outcome rates (expressed as a % of caseload over XX years)</w:t>
            </w:r>
          </w:p>
        </w:tc>
        <w:tc>
          <w:tcPr>
            <w:tcW w:w="2519" w:type="dxa"/>
          </w:tcPr>
          <w:p w14:paraId="33F9FE91" w14:textId="77777777" w:rsidR="004F4A39" w:rsidRPr="0000783B" w:rsidRDefault="004F4A39" w:rsidP="00A41491">
            <w:pPr>
              <w:rPr>
                <w:rFonts w:cstheme="minorHAnsi"/>
              </w:rPr>
            </w:pPr>
            <w:r w:rsidRPr="0000783B">
              <w:rPr>
                <w:rFonts w:cstheme="minorHAnsi"/>
              </w:rPr>
              <w:t>4.3%</w:t>
            </w:r>
            <w:r w:rsidRPr="0000783B">
              <w:rPr>
                <w:rStyle w:val="FootnoteReference"/>
                <w:rFonts w:cstheme="minorHAnsi"/>
              </w:rPr>
              <w:footnoteReference w:id="2"/>
            </w:r>
          </w:p>
        </w:tc>
        <w:tc>
          <w:tcPr>
            <w:tcW w:w="3492" w:type="dxa"/>
          </w:tcPr>
          <w:p w14:paraId="18A7D592" w14:textId="4CCE4D93" w:rsidR="004F4A39" w:rsidRPr="0000783B" w:rsidRDefault="008763B2" w:rsidP="00A41491">
            <w:pPr>
              <w:rPr>
                <w:rFonts w:cstheme="minorHAnsi"/>
              </w:rPr>
            </w:pPr>
            <w:r w:rsidRPr="0000783B">
              <w:rPr>
                <w:rFonts w:cstheme="minorHAnsi"/>
              </w:rPr>
              <w:t>4.5-year</w:t>
            </w:r>
            <w:r w:rsidR="004F4A39" w:rsidRPr="0000783B">
              <w:rPr>
                <w:rFonts w:cstheme="minorHAnsi"/>
              </w:rPr>
              <w:t xml:space="preserve"> average jobactive data (July 2015 to December 2019)</w:t>
            </w:r>
          </w:p>
        </w:tc>
      </w:tr>
      <w:tr w:rsidR="004F4A39" w:rsidRPr="0000783B" w14:paraId="42DB5B46" w14:textId="77777777" w:rsidTr="00A41491">
        <w:tc>
          <w:tcPr>
            <w:tcW w:w="3005" w:type="dxa"/>
          </w:tcPr>
          <w:p w14:paraId="4C4745BB" w14:textId="77777777" w:rsidR="004F4A39" w:rsidRPr="0000783B" w:rsidRDefault="004F4A39" w:rsidP="00A41491">
            <w:pPr>
              <w:rPr>
                <w:rFonts w:cstheme="minorHAnsi"/>
              </w:rPr>
            </w:pPr>
            <w:r w:rsidRPr="0000783B">
              <w:rPr>
                <w:rFonts w:cstheme="minorHAnsi"/>
              </w:rPr>
              <w:t>4 week</w:t>
            </w:r>
          </w:p>
        </w:tc>
        <w:tc>
          <w:tcPr>
            <w:tcW w:w="2519" w:type="dxa"/>
          </w:tcPr>
          <w:p w14:paraId="654AF2DE" w14:textId="77777777" w:rsidR="004F4A39" w:rsidRPr="0000783B" w:rsidRDefault="004F4A39" w:rsidP="00A41491">
            <w:pPr>
              <w:rPr>
                <w:rFonts w:cstheme="minorHAnsi"/>
              </w:rPr>
            </w:pPr>
            <w:r w:rsidRPr="0000783B">
              <w:rPr>
                <w:rFonts w:cstheme="minorHAnsi"/>
              </w:rPr>
              <w:t>1.8%</w:t>
            </w:r>
          </w:p>
        </w:tc>
        <w:tc>
          <w:tcPr>
            <w:tcW w:w="3492" w:type="dxa"/>
          </w:tcPr>
          <w:p w14:paraId="075429FC" w14:textId="323AE25F" w:rsidR="004F4A39" w:rsidRPr="0000783B" w:rsidRDefault="008763B2" w:rsidP="00A41491">
            <w:pPr>
              <w:rPr>
                <w:rFonts w:cstheme="minorHAnsi"/>
              </w:rPr>
            </w:pPr>
            <w:r w:rsidRPr="0000783B">
              <w:rPr>
                <w:rFonts w:cstheme="minorHAnsi"/>
              </w:rPr>
              <w:t>4.5-year</w:t>
            </w:r>
            <w:r w:rsidR="004F4A39" w:rsidRPr="0000783B">
              <w:rPr>
                <w:rFonts w:cstheme="minorHAnsi"/>
              </w:rPr>
              <w:t xml:space="preserve"> average jobactive data (July 2015 to December 2019)</w:t>
            </w:r>
          </w:p>
        </w:tc>
      </w:tr>
      <w:tr w:rsidR="004F4A39" w:rsidRPr="0000783B" w14:paraId="48EB4FC7" w14:textId="77777777" w:rsidTr="00A41491">
        <w:tc>
          <w:tcPr>
            <w:tcW w:w="3005" w:type="dxa"/>
          </w:tcPr>
          <w:p w14:paraId="74496524" w14:textId="77777777" w:rsidR="004F4A39" w:rsidRPr="0000783B" w:rsidRDefault="004F4A39" w:rsidP="00A41491">
            <w:pPr>
              <w:rPr>
                <w:rFonts w:cstheme="minorHAnsi"/>
              </w:rPr>
            </w:pPr>
            <w:r w:rsidRPr="0000783B">
              <w:rPr>
                <w:rFonts w:cstheme="minorHAnsi"/>
              </w:rPr>
              <w:t>12 week</w:t>
            </w:r>
          </w:p>
        </w:tc>
        <w:tc>
          <w:tcPr>
            <w:tcW w:w="2519" w:type="dxa"/>
          </w:tcPr>
          <w:p w14:paraId="3EBA18AE" w14:textId="77777777" w:rsidR="004F4A39" w:rsidRPr="0000783B" w:rsidRDefault="004F4A39" w:rsidP="00A41491">
            <w:pPr>
              <w:rPr>
                <w:rFonts w:cstheme="minorHAnsi"/>
              </w:rPr>
            </w:pPr>
            <w:r w:rsidRPr="0000783B">
              <w:rPr>
                <w:rFonts w:cstheme="minorHAnsi"/>
              </w:rPr>
              <w:t>1.5%</w:t>
            </w:r>
          </w:p>
        </w:tc>
        <w:tc>
          <w:tcPr>
            <w:tcW w:w="3492" w:type="dxa"/>
          </w:tcPr>
          <w:p w14:paraId="045195C5" w14:textId="7ED50F2D" w:rsidR="004F4A39" w:rsidRPr="0000783B" w:rsidRDefault="008763B2" w:rsidP="00A41491">
            <w:pPr>
              <w:rPr>
                <w:rFonts w:cstheme="minorHAnsi"/>
              </w:rPr>
            </w:pPr>
            <w:r w:rsidRPr="0000783B">
              <w:rPr>
                <w:rFonts w:cstheme="minorHAnsi"/>
              </w:rPr>
              <w:t>4.5-year</w:t>
            </w:r>
            <w:r w:rsidR="004F4A39" w:rsidRPr="0000783B">
              <w:rPr>
                <w:rFonts w:cstheme="minorHAnsi"/>
              </w:rPr>
              <w:t xml:space="preserve"> average jobactive data (July 2015 to December 2019)</w:t>
            </w:r>
          </w:p>
        </w:tc>
      </w:tr>
      <w:tr w:rsidR="004F4A39" w:rsidRPr="0000783B" w14:paraId="1C7FFD21" w14:textId="77777777" w:rsidTr="00A41491">
        <w:tc>
          <w:tcPr>
            <w:tcW w:w="3005" w:type="dxa"/>
          </w:tcPr>
          <w:p w14:paraId="06605B64" w14:textId="77777777" w:rsidR="004F4A39" w:rsidRPr="0000783B" w:rsidRDefault="004F4A39" w:rsidP="00A41491">
            <w:pPr>
              <w:rPr>
                <w:rFonts w:cstheme="minorHAnsi"/>
              </w:rPr>
            </w:pPr>
            <w:r w:rsidRPr="0000783B">
              <w:rPr>
                <w:rFonts w:cstheme="minorHAnsi"/>
              </w:rPr>
              <w:t>26 week</w:t>
            </w:r>
          </w:p>
        </w:tc>
        <w:tc>
          <w:tcPr>
            <w:tcW w:w="2519" w:type="dxa"/>
          </w:tcPr>
          <w:p w14:paraId="399EB37E" w14:textId="77777777" w:rsidR="004F4A39" w:rsidRPr="0000783B" w:rsidRDefault="004F4A39" w:rsidP="00A41491">
            <w:pPr>
              <w:rPr>
                <w:rFonts w:cstheme="minorHAnsi"/>
              </w:rPr>
            </w:pPr>
            <w:r w:rsidRPr="0000783B">
              <w:rPr>
                <w:rFonts w:cstheme="minorHAnsi"/>
              </w:rPr>
              <w:t>1.0%</w:t>
            </w:r>
          </w:p>
        </w:tc>
        <w:tc>
          <w:tcPr>
            <w:tcW w:w="3492" w:type="dxa"/>
          </w:tcPr>
          <w:p w14:paraId="1858AA0A" w14:textId="7198C312" w:rsidR="004F4A39" w:rsidRPr="0000783B" w:rsidRDefault="008763B2" w:rsidP="00A41491">
            <w:pPr>
              <w:rPr>
                <w:rFonts w:cstheme="minorHAnsi"/>
              </w:rPr>
            </w:pPr>
            <w:r w:rsidRPr="0000783B">
              <w:rPr>
                <w:rFonts w:cstheme="minorHAnsi"/>
              </w:rPr>
              <w:t>4.5-year</w:t>
            </w:r>
            <w:r w:rsidR="004F4A39" w:rsidRPr="0000783B">
              <w:rPr>
                <w:rFonts w:cstheme="minorHAnsi"/>
              </w:rPr>
              <w:t xml:space="preserve"> average jobactive data (July 2015 to December 2019)</w:t>
            </w:r>
          </w:p>
        </w:tc>
      </w:tr>
      <w:tr w:rsidR="004F4A39" w:rsidRPr="0000783B" w14:paraId="3193EE29" w14:textId="77777777" w:rsidTr="00A41491">
        <w:tc>
          <w:tcPr>
            <w:tcW w:w="9016" w:type="dxa"/>
            <w:gridSpan w:val="3"/>
          </w:tcPr>
          <w:p w14:paraId="751E9701" w14:textId="77777777" w:rsidR="004F4A39" w:rsidRPr="0000783B" w:rsidRDefault="004F4A39" w:rsidP="00B857E9">
            <w:pPr>
              <w:keepNext/>
              <w:rPr>
                <w:rFonts w:cstheme="minorHAnsi"/>
              </w:rPr>
            </w:pPr>
            <w:r w:rsidRPr="0000783B">
              <w:rPr>
                <w:rFonts w:cstheme="minorHAnsi"/>
                <w:b/>
                <w:bCs/>
              </w:rPr>
              <w:lastRenderedPageBreak/>
              <w:t>Outcome timing</w:t>
            </w:r>
          </w:p>
        </w:tc>
      </w:tr>
      <w:tr w:rsidR="004F4A39" w:rsidRPr="0000783B" w14:paraId="04B10896" w14:textId="77777777" w:rsidTr="00A41491">
        <w:tc>
          <w:tcPr>
            <w:tcW w:w="3005" w:type="dxa"/>
          </w:tcPr>
          <w:p w14:paraId="13246AD9" w14:textId="77777777" w:rsidR="004F4A39" w:rsidRPr="0000783B" w:rsidRDefault="004F4A39" w:rsidP="00A41491">
            <w:pPr>
              <w:rPr>
                <w:rFonts w:cstheme="minorHAnsi"/>
              </w:rPr>
            </w:pPr>
            <w:r w:rsidRPr="0000783B">
              <w:rPr>
                <w:rFonts w:cstheme="minorHAnsi"/>
              </w:rPr>
              <w:t>4 week</w:t>
            </w:r>
          </w:p>
        </w:tc>
        <w:tc>
          <w:tcPr>
            <w:tcW w:w="2519" w:type="dxa"/>
          </w:tcPr>
          <w:p w14:paraId="7723B309" w14:textId="77777777" w:rsidR="004F4A39" w:rsidRPr="0000783B" w:rsidRDefault="004F4A39" w:rsidP="00A41491">
            <w:pPr>
              <w:rPr>
                <w:rFonts w:cstheme="minorHAnsi"/>
              </w:rPr>
            </w:pPr>
            <w:r w:rsidRPr="0000783B">
              <w:rPr>
                <w:rFonts w:cstheme="minorHAnsi"/>
              </w:rPr>
              <w:t>1 to 53 months; Average – 11 months</w:t>
            </w:r>
          </w:p>
        </w:tc>
        <w:tc>
          <w:tcPr>
            <w:tcW w:w="3492" w:type="dxa"/>
          </w:tcPr>
          <w:p w14:paraId="2F9866EB" w14:textId="77777777" w:rsidR="004F4A39" w:rsidRPr="0000783B" w:rsidRDefault="004F4A39" w:rsidP="00A41491">
            <w:pPr>
              <w:rPr>
                <w:rFonts w:cstheme="minorHAnsi"/>
              </w:rPr>
            </w:pPr>
            <w:r w:rsidRPr="0000783B">
              <w:rPr>
                <w:rFonts w:cstheme="minorHAnsi"/>
              </w:rPr>
              <w:t>30 months of jobactive data (July 2017 to December 2019)</w:t>
            </w:r>
          </w:p>
        </w:tc>
      </w:tr>
      <w:tr w:rsidR="004F4A39" w:rsidRPr="0000783B" w14:paraId="787F7258" w14:textId="77777777" w:rsidTr="00A41491">
        <w:tc>
          <w:tcPr>
            <w:tcW w:w="3005" w:type="dxa"/>
          </w:tcPr>
          <w:p w14:paraId="16A31359" w14:textId="77777777" w:rsidR="004F4A39" w:rsidRPr="0000783B" w:rsidRDefault="004F4A39" w:rsidP="00A41491">
            <w:pPr>
              <w:rPr>
                <w:rFonts w:cstheme="minorHAnsi"/>
              </w:rPr>
            </w:pPr>
            <w:r w:rsidRPr="0000783B">
              <w:rPr>
                <w:rFonts w:cstheme="minorHAnsi"/>
              </w:rPr>
              <w:t>12 week</w:t>
            </w:r>
          </w:p>
        </w:tc>
        <w:tc>
          <w:tcPr>
            <w:tcW w:w="2519" w:type="dxa"/>
          </w:tcPr>
          <w:p w14:paraId="092A014C" w14:textId="77777777" w:rsidR="004F4A39" w:rsidRPr="0000783B" w:rsidRDefault="004F4A39" w:rsidP="00A41491">
            <w:pPr>
              <w:rPr>
                <w:rFonts w:cstheme="minorHAnsi"/>
              </w:rPr>
            </w:pPr>
            <w:r w:rsidRPr="0000783B">
              <w:rPr>
                <w:rFonts w:cstheme="minorHAnsi"/>
              </w:rPr>
              <w:t>3 to 53 months; Average – 12 months</w:t>
            </w:r>
          </w:p>
        </w:tc>
        <w:tc>
          <w:tcPr>
            <w:tcW w:w="3492" w:type="dxa"/>
          </w:tcPr>
          <w:p w14:paraId="2B806A6C" w14:textId="77777777" w:rsidR="004F4A39" w:rsidRPr="0000783B" w:rsidRDefault="004F4A39" w:rsidP="00A41491">
            <w:pPr>
              <w:rPr>
                <w:rFonts w:cstheme="minorHAnsi"/>
              </w:rPr>
            </w:pPr>
            <w:r w:rsidRPr="0000783B">
              <w:rPr>
                <w:rFonts w:cstheme="minorHAnsi"/>
              </w:rPr>
              <w:t>30 months of jobactive data (July 2017 to December 2019)</w:t>
            </w:r>
          </w:p>
        </w:tc>
      </w:tr>
      <w:tr w:rsidR="004F4A39" w:rsidRPr="0000783B" w14:paraId="79F3DE70" w14:textId="77777777" w:rsidTr="00A41491">
        <w:tc>
          <w:tcPr>
            <w:tcW w:w="3005" w:type="dxa"/>
          </w:tcPr>
          <w:p w14:paraId="4C529440" w14:textId="77777777" w:rsidR="004F4A39" w:rsidRPr="0000783B" w:rsidRDefault="004F4A39" w:rsidP="00A41491">
            <w:pPr>
              <w:rPr>
                <w:rFonts w:cstheme="minorHAnsi"/>
              </w:rPr>
            </w:pPr>
            <w:r w:rsidRPr="0000783B">
              <w:rPr>
                <w:rFonts w:cstheme="minorHAnsi"/>
              </w:rPr>
              <w:t>26 week</w:t>
            </w:r>
          </w:p>
        </w:tc>
        <w:tc>
          <w:tcPr>
            <w:tcW w:w="2519" w:type="dxa"/>
          </w:tcPr>
          <w:p w14:paraId="170E45E0" w14:textId="77777777" w:rsidR="004F4A39" w:rsidRPr="0000783B" w:rsidRDefault="004F4A39" w:rsidP="00A41491">
            <w:pPr>
              <w:rPr>
                <w:rFonts w:cstheme="minorHAnsi"/>
              </w:rPr>
            </w:pPr>
            <w:r w:rsidRPr="0000783B">
              <w:rPr>
                <w:rFonts w:cstheme="minorHAnsi"/>
              </w:rPr>
              <w:t>6 to 53 months; Average – 15 months</w:t>
            </w:r>
          </w:p>
        </w:tc>
        <w:tc>
          <w:tcPr>
            <w:tcW w:w="3492" w:type="dxa"/>
          </w:tcPr>
          <w:p w14:paraId="199B6810" w14:textId="77777777" w:rsidR="004F4A39" w:rsidRPr="0000783B" w:rsidRDefault="004F4A39" w:rsidP="00A41491">
            <w:pPr>
              <w:rPr>
                <w:rFonts w:cstheme="minorHAnsi"/>
              </w:rPr>
            </w:pPr>
            <w:r w:rsidRPr="0000783B">
              <w:rPr>
                <w:rFonts w:cstheme="minorHAnsi"/>
              </w:rPr>
              <w:t>30 months of jobactive data (July 2017 to December 2019)</w:t>
            </w:r>
          </w:p>
        </w:tc>
      </w:tr>
      <w:tr w:rsidR="004F4A39" w:rsidRPr="0000783B" w14:paraId="08B3F012" w14:textId="77777777" w:rsidTr="00A41491">
        <w:tc>
          <w:tcPr>
            <w:tcW w:w="3005" w:type="dxa"/>
          </w:tcPr>
          <w:p w14:paraId="1BA96A79" w14:textId="77777777" w:rsidR="004F4A39" w:rsidRPr="0000783B" w:rsidRDefault="004F4A39" w:rsidP="00A41491">
            <w:pPr>
              <w:rPr>
                <w:rFonts w:cstheme="minorHAnsi"/>
              </w:rPr>
            </w:pPr>
            <w:r w:rsidRPr="0000783B">
              <w:rPr>
                <w:rFonts w:cstheme="minorHAnsi"/>
              </w:rPr>
              <w:t>Full/Partial Outcome</w:t>
            </w:r>
          </w:p>
        </w:tc>
        <w:tc>
          <w:tcPr>
            <w:tcW w:w="2519" w:type="dxa"/>
          </w:tcPr>
          <w:p w14:paraId="4D665A21" w14:textId="77777777" w:rsidR="004F4A39" w:rsidRPr="0000783B" w:rsidRDefault="004F4A39" w:rsidP="00A41491">
            <w:pPr>
              <w:rPr>
                <w:rFonts w:cstheme="minorHAnsi"/>
              </w:rPr>
            </w:pPr>
            <w:r w:rsidRPr="0000783B">
              <w:rPr>
                <w:rFonts w:cstheme="minorHAnsi"/>
              </w:rPr>
              <w:t>Full – 72%</w:t>
            </w:r>
          </w:p>
          <w:p w14:paraId="6A9C8A57" w14:textId="77777777" w:rsidR="004F4A39" w:rsidRPr="0000783B" w:rsidRDefault="004F4A39" w:rsidP="00A41491">
            <w:pPr>
              <w:rPr>
                <w:rFonts w:cstheme="minorHAnsi"/>
              </w:rPr>
            </w:pPr>
            <w:r w:rsidRPr="0000783B">
              <w:rPr>
                <w:rFonts w:cstheme="minorHAnsi"/>
              </w:rPr>
              <w:t>Partial – 28%</w:t>
            </w:r>
          </w:p>
        </w:tc>
        <w:tc>
          <w:tcPr>
            <w:tcW w:w="3492" w:type="dxa"/>
          </w:tcPr>
          <w:p w14:paraId="12740A18" w14:textId="38BE4087" w:rsidR="004F4A39" w:rsidRPr="0000783B" w:rsidRDefault="004F4A39" w:rsidP="00A41491">
            <w:pPr>
              <w:rPr>
                <w:rFonts w:cstheme="minorHAnsi"/>
              </w:rPr>
            </w:pPr>
            <w:r w:rsidRPr="0000783B">
              <w:rPr>
                <w:rFonts w:cstheme="minorHAnsi"/>
              </w:rPr>
              <w:t xml:space="preserve">Used the split in the </w:t>
            </w:r>
            <w:r w:rsidR="008763B2" w:rsidRPr="0000783B">
              <w:rPr>
                <w:rFonts w:cstheme="minorHAnsi"/>
              </w:rPr>
              <w:t>3-year</w:t>
            </w:r>
            <w:r w:rsidRPr="0000783B">
              <w:rPr>
                <w:rFonts w:cstheme="minorHAnsi"/>
              </w:rPr>
              <w:t xml:space="preserve"> average data. </w:t>
            </w:r>
          </w:p>
        </w:tc>
      </w:tr>
      <w:tr w:rsidR="004F4A39" w:rsidRPr="0000783B" w14:paraId="550AAB8F" w14:textId="77777777" w:rsidTr="00A41491">
        <w:tc>
          <w:tcPr>
            <w:tcW w:w="3005" w:type="dxa"/>
          </w:tcPr>
          <w:p w14:paraId="7A0DA299" w14:textId="77777777" w:rsidR="004F4A39" w:rsidRPr="0000783B" w:rsidRDefault="004F4A39" w:rsidP="00A41491">
            <w:pPr>
              <w:rPr>
                <w:rFonts w:cstheme="minorHAnsi"/>
              </w:rPr>
            </w:pPr>
            <w:r w:rsidRPr="0000783B">
              <w:rPr>
                <w:rFonts w:cstheme="minorHAnsi"/>
              </w:rPr>
              <w:t>High/Moderate JSCI by Full and Partial</w:t>
            </w:r>
          </w:p>
        </w:tc>
        <w:tc>
          <w:tcPr>
            <w:tcW w:w="2519" w:type="dxa"/>
          </w:tcPr>
          <w:p w14:paraId="7823D365" w14:textId="77777777" w:rsidR="004F4A39" w:rsidRPr="0000783B" w:rsidRDefault="004F4A39" w:rsidP="00A41491">
            <w:pPr>
              <w:rPr>
                <w:rFonts w:cstheme="minorHAnsi"/>
              </w:rPr>
            </w:pPr>
            <w:r w:rsidRPr="0000783B">
              <w:rPr>
                <w:rFonts w:cstheme="minorHAnsi"/>
              </w:rPr>
              <w:t>Various for 4wk, 12wk and 26 wk</w:t>
            </w:r>
          </w:p>
        </w:tc>
        <w:tc>
          <w:tcPr>
            <w:tcW w:w="3492" w:type="dxa"/>
          </w:tcPr>
          <w:p w14:paraId="1171C7CD" w14:textId="64ADF85D" w:rsidR="004F4A39" w:rsidRPr="0000783B" w:rsidRDefault="004F4A39" w:rsidP="00A41491">
            <w:pPr>
              <w:rPr>
                <w:rFonts w:cstheme="minorHAnsi"/>
              </w:rPr>
            </w:pPr>
            <w:r w:rsidRPr="0000783B">
              <w:rPr>
                <w:rFonts w:cstheme="minorHAnsi"/>
              </w:rPr>
              <w:t xml:space="preserve">Used the </w:t>
            </w:r>
            <w:r w:rsidR="003853CF">
              <w:rPr>
                <w:rFonts w:cstheme="minorHAnsi"/>
              </w:rPr>
              <w:t xml:space="preserve">NEST </w:t>
            </w:r>
            <w:r w:rsidRPr="0000783B">
              <w:rPr>
                <w:rFonts w:cstheme="minorHAnsi"/>
              </w:rPr>
              <w:t>payment unit data to split each distribution type between Full Outcome, High JSCI, Partial Outcome, High JSCI and Partial Outcome, Medium JSCI.</w:t>
            </w:r>
          </w:p>
        </w:tc>
      </w:tr>
      <w:tr w:rsidR="004F4A39" w:rsidRPr="0000783B" w14:paraId="48CDB949" w14:textId="77777777" w:rsidTr="00A41491">
        <w:tc>
          <w:tcPr>
            <w:tcW w:w="9016" w:type="dxa"/>
            <w:gridSpan w:val="3"/>
          </w:tcPr>
          <w:p w14:paraId="15646D9C" w14:textId="77777777" w:rsidR="004F4A39" w:rsidRPr="0000783B" w:rsidRDefault="004F4A39" w:rsidP="00A41491">
            <w:pPr>
              <w:rPr>
                <w:rFonts w:cstheme="minorHAnsi"/>
              </w:rPr>
            </w:pPr>
            <w:r w:rsidRPr="0000783B">
              <w:rPr>
                <w:rFonts w:cstheme="minorHAnsi"/>
                <w:b/>
                <w:bCs/>
              </w:rPr>
              <w:t>Very long term unemployed bonus</w:t>
            </w:r>
          </w:p>
        </w:tc>
      </w:tr>
      <w:tr w:rsidR="004F4A39" w:rsidRPr="0000783B" w14:paraId="4A713E80" w14:textId="77777777" w:rsidTr="00A41491">
        <w:tc>
          <w:tcPr>
            <w:tcW w:w="3005" w:type="dxa"/>
          </w:tcPr>
          <w:p w14:paraId="174A0787" w14:textId="77777777" w:rsidR="004F4A39" w:rsidRPr="0000783B" w:rsidRDefault="004F4A39" w:rsidP="00A41491">
            <w:pPr>
              <w:rPr>
                <w:rFonts w:cstheme="minorHAnsi"/>
              </w:rPr>
            </w:pPr>
            <w:r w:rsidRPr="0000783B">
              <w:rPr>
                <w:rFonts w:cstheme="minorHAnsi"/>
              </w:rPr>
              <w:t>% of 12 week full</w:t>
            </w:r>
          </w:p>
        </w:tc>
        <w:tc>
          <w:tcPr>
            <w:tcW w:w="2519" w:type="dxa"/>
          </w:tcPr>
          <w:p w14:paraId="0E0F9000" w14:textId="77777777" w:rsidR="004F4A39" w:rsidRPr="0000783B" w:rsidRDefault="004F4A39" w:rsidP="00A41491">
            <w:pPr>
              <w:rPr>
                <w:rFonts w:cstheme="minorHAnsi"/>
              </w:rPr>
            </w:pPr>
            <w:r w:rsidRPr="0000783B">
              <w:rPr>
                <w:rFonts w:cstheme="minorHAnsi"/>
              </w:rPr>
              <w:t>19%</w:t>
            </w:r>
          </w:p>
        </w:tc>
        <w:tc>
          <w:tcPr>
            <w:tcW w:w="3492" w:type="dxa"/>
          </w:tcPr>
          <w:p w14:paraId="06140E32" w14:textId="08FF6B92" w:rsidR="004F4A39" w:rsidRPr="0000783B" w:rsidRDefault="004F4A39" w:rsidP="00A41491">
            <w:pPr>
              <w:rPr>
                <w:rFonts w:cstheme="minorHAnsi"/>
              </w:rPr>
            </w:pPr>
            <w:r w:rsidRPr="0000783B">
              <w:rPr>
                <w:rFonts w:cstheme="minorHAnsi"/>
              </w:rPr>
              <w:t xml:space="preserve">Based on the </w:t>
            </w:r>
            <w:r w:rsidR="003853CF">
              <w:rPr>
                <w:rFonts w:cstheme="minorHAnsi"/>
              </w:rPr>
              <w:t>NEST</w:t>
            </w:r>
            <w:r w:rsidRPr="0000783B">
              <w:rPr>
                <w:rFonts w:cstheme="minorHAnsi"/>
              </w:rPr>
              <w:t xml:space="preserve"> payment unit data. Represented as a percentage of the VLTU Bonus payments per </w:t>
            </w:r>
            <w:r w:rsidR="008763B2">
              <w:rPr>
                <w:rFonts w:cstheme="minorHAnsi"/>
              </w:rPr>
              <w:br/>
            </w:r>
            <w:r w:rsidR="008763B2" w:rsidRPr="0000783B">
              <w:rPr>
                <w:rFonts w:cstheme="minorHAnsi"/>
              </w:rPr>
              <w:t>12-week</w:t>
            </w:r>
            <w:r w:rsidRPr="0000783B">
              <w:rPr>
                <w:rFonts w:cstheme="minorHAnsi"/>
              </w:rPr>
              <w:t xml:space="preserve"> full outcomes. </w:t>
            </w:r>
          </w:p>
        </w:tc>
      </w:tr>
      <w:tr w:rsidR="004F4A39" w:rsidRPr="0000783B" w14:paraId="787F0470" w14:textId="77777777" w:rsidTr="00A41491">
        <w:tc>
          <w:tcPr>
            <w:tcW w:w="3005" w:type="dxa"/>
          </w:tcPr>
          <w:p w14:paraId="75778006" w14:textId="77777777" w:rsidR="004F4A39" w:rsidRPr="0000783B" w:rsidRDefault="004F4A39" w:rsidP="00A41491">
            <w:pPr>
              <w:rPr>
                <w:rFonts w:cstheme="minorHAnsi"/>
                <w:b/>
                <w:bCs/>
              </w:rPr>
            </w:pPr>
            <w:r w:rsidRPr="0000783B">
              <w:rPr>
                <w:rFonts w:cstheme="minorHAnsi"/>
              </w:rPr>
              <w:t>% of 12 week partial</w:t>
            </w:r>
          </w:p>
        </w:tc>
        <w:tc>
          <w:tcPr>
            <w:tcW w:w="2519" w:type="dxa"/>
          </w:tcPr>
          <w:p w14:paraId="047769FC" w14:textId="77777777" w:rsidR="004F4A39" w:rsidRPr="0000783B" w:rsidRDefault="004F4A39" w:rsidP="00A41491">
            <w:pPr>
              <w:rPr>
                <w:rFonts w:cstheme="minorHAnsi"/>
              </w:rPr>
            </w:pPr>
            <w:r w:rsidRPr="0000783B">
              <w:rPr>
                <w:rFonts w:cstheme="minorHAnsi"/>
              </w:rPr>
              <w:t xml:space="preserve">17.2% </w:t>
            </w:r>
          </w:p>
        </w:tc>
        <w:tc>
          <w:tcPr>
            <w:tcW w:w="3492" w:type="dxa"/>
          </w:tcPr>
          <w:p w14:paraId="74298923" w14:textId="149D3798" w:rsidR="004F4A39" w:rsidRPr="0000783B" w:rsidRDefault="004F4A39" w:rsidP="00A41491">
            <w:pPr>
              <w:rPr>
                <w:rFonts w:cstheme="minorHAnsi"/>
              </w:rPr>
            </w:pPr>
            <w:r w:rsidRPr="0000783B">
              <w:rPr>
                <w:rFonts w:cstheme="minorHAnsi"/>
              </w:rPr>
              <w:t xml:space="preserve">Based on the </w:t>
            </w:r>
            <w:r w:rsidR="003853CF">
              <w:rPr>
                <w:rFonts w:cstheme="minorHAnsi"/>
              </w:rPr>
              <w:t>NEST</w:t>
            </w:r>
            <w:r w:rsidRPr="0000783B">
              <w:rPr>
                <w:rFonts w:cstheme="minorHAnsi"/>
              </w:rPr>
              <w:t xml:space="preserve"> payment unit data. Represented as a percentage of the VLTU Bonus payments per </w:t>
            </w:r>
            <w:r w:rsidR="008763B2">
              <w:rPr>
                <w:rFonts w:cstheme="minorHAnsi"/>
              </w:rPr>
              <w:br/>
            </w:r>
            <w:r w:rsidR="008763B2" w:rsidRPr="0000783B">
              <w:rPr>
                <w:rFonts w:cstheme="minorHAnsi"/>
              </w:rPr>
              <w:t>12-week</w:t>
            </w:r>
            <w:r w:rsidRPr="0000783B">
              <w:rPr>
                <w:rFonts w:cstheme="minorHAnsi"/>
              </w:rPr>
              <w:t xml:space="preserve"> partial outcomes.</w:t>
            </w:r>
          </w:p>
        </w:tc>
      </w:tr>
      <w:tr w:rsidR="004F4A39" w:rsidRPr="0000783B" w14:paraId="38BEFC6F" w14:textId="77777777" w:rsidTr="00A41491">
        <w:tc>
          <w:tcPr>
            <w:tcW w:w="3005" w:type="dxa"/>
          </w:tcPr>
          <w:p w14:paraId="3BDA3F4A" w14:textId="77777777" w:rsidR="004F4A39" w:rsidRPr="0000783B" w:rsidRDefault="004F4A39" w:rsidP="00A41491">
            <w:pPr>
              <w:rPr>
                <w:rFonts w:cstheme="minorHAnsi"/>
              </w:rPr>
            </w:pPr>
            <w:r w:rsidRPr="0000783B">
              <w:rPr>
                <w:rFonts w:cstheme="minorHAnsi"/>
              </w:rPr>
              <w:t>% of 26 week full</w:t>
            </w:r>
          </w:p>
        </w:tc>
        <w:tc>
          <w:tcPr>
            <w:tcW w:w="2519" w:type="dxa"/>
          </w:tcPr>
          <w:p w14:paraId="3EBAC470" w14:textId="77777777" w:rsidR="004F4A39" w:rsidRPr="0000783B" w:rsidRDefault="004F4A39" w:rsidP="00A41491">
            <w:pPr>
              <w:rPr>
                <w:rFonts w:cstheme="minorHAnsi"/>
              </w:rPr>
            </w:pPr>
            <w:r w:rsidRPr="0000783B">
              <w:rPr>
                <w:rFonts w:cstheme="minorHAnsi"/>
              </w:rPr>
              <w:t>14.5%</w:t>
            </w:r>
          </w:p>
        </w:tc>
        <w:tc>
          <w:tcPr>
            <w:tcW w:w="3492" w:type="dxa"/>
          </w:tcPr>
          <w:p w14:paraId="1E0ECC44" w14:textId="340421F1" w:rsidR="004F4A39" w:rsidRPr="0000783B" w:rsidRDefault="004F4A39" w:rsidP="00A41491">
            <w:pPr>
              <w:rPr>
                <w:rFonts w:cstheme="minorHAnsi"/>
              </w:rPr>
            </w:pPr>
            <w:r w:rsidRPr="0000783B">
              <w:rPr>
                <w:rFonts w:cstheme="minorHAnsi"/>
              </w:rPr>
              <w:t>Based on Department assumption applied in budget estimate for the</w:t>
            </w:r>
            <w:r w:rsidR="003853CF">
              <w:rPr>
                <w:rFonts w:cstheme="minorHAnsi"/>
              </w:rPr>
              <w:t xml:space="preserve"> NEST.</w:t>
            </w:r>
          </w:p>
        </w:tc>
      </w:tr>
      <w:tr w:rsidR="004F4A39" w:rsidRPr="0000783B" w14:paraId="657EF875" w14:textId="77777777" w:rsidTr="00A41491">
        <w:tc>
          <w:tcPr>
            <w:tcW w:w="9016" w:type="dxa"/>
            <w:gridSpan w:val="3"/>
          </w:tcPr>
          <w:p w14:paraId="11E6FCDA" w14:textId="77777777" w:rsidR="004F4A39" w:rsidRPr="0000783B" w:rsidRDefault="004F4A39" w:rsidP="00A41491">
            <w:pPr>
              <w:rPr>
                <w:rFonts w:cstheme="minorHAnsi"/>
              </w:rPr>
            </w:pPr>
            <w:r w:rsidRPr="0000783B">
              <w:rPr>
                <w:rFonts w:cstheme="minorHAnsi"/>
                <w:b/>
                <w:bCs/>
              </w:rPr>
              <w:t>Progress Fee - Rate</w:t>
            </w:r>
          </w:p>
        </w:tc>
      </w:tr>
      <w:tr w:rsidR="004F4A39" w:rsidRPr="0000783B" w14:paraId="1C77E504" w14:textId="77777777" w:rsidTr="00A41491">
        <w:tc>
          <w:tcPr>
            <w:tcW w:w="3005" w:type="dxa"/>
          </w:tcPr>
          <w:p w14:paraId="530E825C" w14:textId="77777777" w:rsidR="004F4A39" w:rsidRPr="0000783B" w:rsidRDefault="004F4A39" w:rsidP="00A41491">
            <w:pPr>
              <w:rPr>
                <w:rFonts w:cstheme="minorHAnsi"/>
              </w:rPr>
            </w:pPr>
            <w:r w:rsidRPr="0000783B">
              <w:rPr>
                <w:rFonts w:cstheme="minorHAnsi"/>
              </w:rPr>
              <w:t>New and Transitioned</w:t>
            </w:r>
          </w:p>
        </w:tc>
        <w:tc>
          <w:tcPr>
            <w:tcW w:w="2519" w:type="dxa"/>
          </w:tcPr>
          <w:p w14:paraId="6EABE5CD" w14:textId="77777777" w:rsidR="004F4A39" w:rsidRPr="0000783B" w:rsidRDefault="004F4A39" w:rsidP="00A41491">
            <w:pPr>
              <w:rPr>
                <w:rFonts w:cstheme="minorHAnsi"/>
              </w:rPr>
            </w:pPr>
            <w:r w:rsidRPr="0000783B">
              <w:rPr>
                <w:rFonts w:cstheme="minorHAnsi"/>
              </w:rPr>
              <w:t>18% to 60% with 30% likely</w:t>
            </w:r>
          </w:p>
        </w:tc>
        <w:tc>
          <w:tcPr>
            <w:tcW w:w="3492" w:type="dxa"/>
          </w:tcPr>
          <w:p w14:paraId="539BD645" w14:textId="4F98AB8E" w:rsidR="004F4A39" w:rsidRPr="0000783B" w:rsidRDefault="00A236D7" w:rsidP="00A41491">
            <w:pPr>
              <w:rPr>
                <w:rFonts w:cstheme="minorHAnsi"/>
              </w:rPr>
            </w:pPr>
            <w:r>
              <w:rPr>
                <w:rFonts w:cstheme="minorHAnsi"/>
              </w:rPr>
              <w:t>Based on Department assumption</w:t>
            </w:r>
          </w:p>
        </w:tc>
      </w:tr>
      <w:tr w:rsidR="004F4A39" w:rsidRPr="0000783B" w14:paraId="456EA566" w14:textId="77777777" w:rsidTr="00A41491">
        <w:tc>
          <w:tcPr>
            <w:tcW w:w="3005" w:type="dxa"/>
          </w:tcPr>
          <w:p w14:paraId="3E999D06" w14:textId="77777777" w:rsidR="004F4A39" w:rsidRPr="0000783B" w:rsidRDefault="004F4A39" w:rsidP="00A41491">
            <w:pPr>
              <w:rPr>
                <w:rFonts w:cstheme="minorHAnsi"/>
              </w:rPr>
            </w:pPr>
            <w:r w:rsidRPr="0000783B">
              <w:rPr>
                <w:rFonts w:cstheme="minorHAnsi"/>
              </w:rPr>
              <w:t>New</w:t>
            </w:r>
          </w:p>
        </w:tc>
        <w:tc>
          <w:tcPr>
            <w:tcW w:w="2519" w:type="dxa"/>
          </w:tcPr>
          <w:p w14:paraId="2629CF77" w14:textId="77777777" w:rsidR="004F4A39" w:rsidRPr="0000783B" w:rsidRDefault="004F4A39" w:rsidP="00A41491">
            <w:pPr>
              <w:rPr>
                <w:rFonts w:cstheme="minorHAnsi"/>
              </w:rPr>
            </w:pPr>
            <w:r w:rsidRPr="0000783B">
              <w:rPr>
                <w:rFonts w:cstheme="minorHAnsi"/>
              </w:rPr>
              <w:t>2-23 months</w:t>
            </w:r>
          </w:p>
        </w:tc>
        <w:tc>
          <w:tcPr>
            <w:tcW w:w="3492" w:type="dxa"/>
          </w:tcPr>
          <w:p w14:paraId="2D08CB5E" w14:textId="09B26BB4" w:rsidR="004F4A39" w:rsidRPr="0000783B" w:rsidRDefault="004F4A39" w:rsidP="00A41491">
            <w:pPr>
              <w:rPr>
                <w:rFonts w:cstheme="minorHAnsi"/>
              </w:rPr>
            </w:pPr>
            <w:r w:rsidRPr="0000783B">
              <w:rPr>
                <w:rFonts w:cstheme="minorHAnsi"/>
              </w:rPr>
              <w:t xml:space="preserve">Likely timing of 6 months assuming that jobseekers could achieve a progress fee over a </w:t>
            </w:r>
            <w:r w:rsidR="008763B2" w:rsidRPr="0000783B">
              <w:rPr>
                <w:rFonts w:cstheme="minorHAnsi"/>
              </w:rPr>
              <w:t>24-month</w:t>
            </w:r>
            <w:r w:rsidRPr="0000783B">
              <w:rPr>
                <w:rFonts w:cstheme="minorHAnsi"/>
              </w:rPr>
              <w:t xml:space="preserve"> period.</w:t>
            </w:r>
          </w:p>
        </w:tc>
      </w:tr>
      <w:tr w:rsidR="004F4A39" w:rsidRPr="0000783B" w14:paraId="1DCD4705" w14:textId="77777777" w:rsidTr="00A41491">
        <w:tc>
          <w:tcPr>
            <w:tcW w:w="3005" w:type="dxa"/>
          </w:tcPr>
          <w:p w14:paraId="40CC0223" w14:textId="77777777" w:rsidR="004F4A39" w:rsidRPr="0000783B" w:rsidRDefault="004F4A39" w:rsidP="00A41491">
            <w:pPr>
              <w:rPr>
                <w:rFonts w:cstheme="minorHAnsi"/>
              </w:rPr>
            </w:pPr>
            <w:r w:rsidRPr="0000783B">
              <w:rPr>
                <w:rFonts w:cstheme="minorHAnsi"/>
              </w:rPr>
              <w:t>Transitioned</w:t>
            </w:r>
          </w:p>
        </w:tc>
        <w:tc>
          <w:tcPr>
            <w:tcW w:w="2519" w:type="dxa"/>
          </w:tcPr>
          <w:p w14:paraId="6D7AC883" w14:textId="77777777" w:rsidR="004F4A39" w:rsidRPr="0000783B" w:rsidRDefault="004F4A39" w:rsidP="00A41491">
            <w:pPr>
              <w:rPr>
                <w:rFonts w:cstheme="minorHAnsi"/>
              </w:rPr>
            </w:pPr>
            <w:r w:rsidRPr="0000783B">
              <w:rPr>
                <w:rFonts w:cstheme="minorHAnsi"/>
              </w:rPr>
              <w:t>1-23 months</w:t>
            </w:r>
          </w:p>
        </w:tc>
        <w:tc>
          <w:tcPr>
            <w:tcW w:w="3492" w:type="dxa"/>
          </w:tcPr>
          <w:p w14:paraId="1A6B3497" w14:textId="77777777" w:rsidR="004F4A39" w:rsidRPr="0000783B" w:rsidRDefault="004F4A39" w:rsidP="00A41491">
            <w:pPr>
              <w:rPr>
                <w:rFonts w:cstheme="minorHAnsi"/>
              </w:rPr>
            </w:pPr>
            <w:r w:rsidRPr="0000783B">
              <w:rPr>
                <w:rFonts w:cstheme="minorHAnsi"/>
              </w:rPr>
              <w:t>Assumed payments could start immediately</w:t>
            </w:r>
          </w:p>
        </w:tc>
      </w:tr>
      <w:tr w:rsidR="004F4A39" w:rsidRPr="0000783B" w14:paraId="5CE09B2E" w14:textId="77777777" w:rsidTr="00A41491">
        <w:tc>
          <w:tcPr>
            <w:tcW w:w="9016" w:type="dxa"/>
            <w:gridSpan w:val="3"/>
          </w:tcPr>
          <w:p w14:paraId="672A4D33" w14:textId="77777777" w:rsidR="004F4A39" w:rsidRPr="0000783B" w:rsidRDefault="004F4A39" w:rsidP="00A41491">
            <w:pPr>
              <w:rPr>
                <w:rFonts w:cstheme="minorHAnsi"/>
              </w:rPr>
            </w:pPr>
            <w:r w:rsidRPr="0000783B">
              <w:rPr>
                <w:rFonts w:cstheme="minorHAnsi"/>
                <w:b/>
                <w:bCs/>
              </w:rPr>
              <w:lastRenderedPageBreak/>
              <w:t>Expenses</w:t>
            </w:r>
          </w:p>
        </w:tc>
      </w:tr>
      <w:tr w:rsidR="004F4A39" w:rsidRPr="0000783B" w14:paraId="0EAEB6D3" w14:textId="77777777" w:rsidTr="00A41491">
        <w:tc>
          <w:tcPr>
            <w:tcW w:w="3005" w:type="dxa"/>
          </w:tcPr>
          <w:p w14:paraId="2FAE2501" w14:textId="77777777" w:rsidR="004F4A39" w:rsidRPr="0000783B" w:rsidRDefault="004F4A39" w:rsidP="00A41491">
            <w:pPr>
              <w:rPr>
                <w:rFonts w:cstheme="minorHAnsi"/>
              </w:rPr>
            </w:pPr>
            <w:r w:rsidRPr="0000783B">
              <w:rPr>
                <w:rFonts w:cstheme="minorHAnsi"/>
              </w:rPr>
              <w:t>Employment consultant staff- Caseload to staff ratio</w:t>
            </w:r>
          </w:p>
        </w:tc>
        <w:tc>
          <w:tcPr>
            <w:tcW w:w="2519" w:type="dxa"/>
          </w:tcPr>
          <w:p w14:paraId="46CE636A" w14:textId="77777777" w:rsidR="004F4A39" w:rsidRPr="0000783B" w:rsidRDefault="004F4A39" w:rsidP="00A41491">
            <w:pPr>
              <w:rPr>
                <w:rFonts w:cstheme="minorHAnsi"/>
              </w:rPr>
            </w:pPr>
            <w:r w:rsidRPr="0000783B">
              <w:rPr>
                <w:rFonts w:cstheme="minorHAnsi"/>
              </w:rPr>
              <w:t>80 to 1</w:t>
            </w:r>
          </w:p>
        </w:tc>
        <w:tc>
          <w:tcPr>
            <w:tcW w:w="3492" w:type="dxa"/>
          </w:tcPr>
          <w:p w14:paraId="76C8C15B" w14:textId="77777777" w:rsidR="004F4A39" w:rsidRPr="0000783B" w:rsidRDefault="004F4A39" w:rsidP="00A41491">
            <w:pPr>
              <w:rPr>
                <w:rFonts w:cstheme="minorHAnsi"/>
              </w:rPr>
            </w:pPr>
            <w:r w:rsidRPr="0000783B">
              <w:rPr>
                <w:rFonts w:cstheme="minorHAnsi"/>
              </w:rPr>
              <w:t>Based on target caseload to staff ratio</w:t>
            </w:r>
          </w:p>
        </w:tc>
      </w:tr>
      <w:tr w:rsidR="004F4A39" w:rsidRPr="0000783B" w14:paraId="5B52BA20" w14:textId="77777777" w:rsidTr="00A41491">
        <w:tc>
          <w:tcPr>
            <w:tcW w:w="9016" w:type="dxa"/>
            <w:gridSpan w:val="3"/>
          </w:tcPr>
          <w:p w14:paraId="5FA86C61" w14:textId="77777777" w:rsidR="004F4A39" w:rsidRPr="0000783B" w:rsidRDefault="004F4A39" w:rsidP="00A41491">
            <w:pPr>
              <w:rPr>
                <w:rFonts w:cstheme="minorHAnsi"/>
              </w:rPr>
            </w:pPr>
            <w:r w:rsidRPr="0000783B">
              <w:rPr>
                <w:rFonts w:cstheme="minorHAnsi"/>
                <w:b/>
                <w:bCs/>
              </w:rPr>
              <w:t>Fixed costs $2.4 million</w:t>
            </w:r>
          </w:p>
        </w:tc>
      </w:tr>
    </w:tbl>
    <w:p w14:paraId="565AF7B3" w14:textId="77777777" w:rsidR="004F4A39" w:rsidRPr="0000783B" w:rsidRDefault="004F4A39" w:rsidP="004F4A39">
      <w:pPr>
        <w:spacing w:after="0"/>
        <w:rPr>
          <w:rFonts w:cstheme="minorHAnsi"/>
          <w:highlight w:val="yellow"/>
        </w:rPr>
      </w:pPr>
    </w:p>
    <w:p w14:paraId="0E6D93BF" w14:textId="7B888E30" w:rsidR="00A56FC7" w:rsidRPr="00B4660D" w:rsidRDefault="004F4A39" w:rsidP="00B4660D">
      <w:pPr>
        <w:rPr>
          <w:rFonts w:cstheme="minorHAnsi"/>
          <w:highlight w:val="yellow"/>
        </w:rPr>
      </w:pPr>
      <w:r w:rsidRPr="0000783B">
        <w:rPr>
          <w:rStyle w:val="FootnoteReference"/>
          <w:rFonts w:cstheme="minorHAnsi"/>
        </w:rPr>
        <w:footnoteRef/>
      </w:r>
      <w:r w:rsidRPr="0000783B">
        <w:rPr>
          <w:rFonts w:cstheme="minorHAnsi"/>
        </w:rPr>
        <w:t xml:space="preserve"> The overall rate at the </w:t>
      </w:r>
      <w:r w:rsidR="008763B2" w:rsidRPr="0000783B">
        <w:rPr>
          <w:rFonts w:cstheme="minorHAnsi"/>
        </w:rPr>
        <w:t>4.5-year</w:t>
      </w:r>
      <w:r w:rsidRPr="0000783B">
        <w:rPr>
          <w:rFonts w:cstheme="minorHAnsi"/>
        </w:rPr>
        <w:t xml:space="preserve"> mark is 4.9%. The lower rates in the early years reduce the overall average for the </w:t>
      </w:r>
      <w:r w:rsidR="008763B2" w:rsidRPr="0000783B">
        <w:rPr>
          <w:rFonts w:cstheme="minorHAnsi"/>
        </w:rPr>
        <w:t>4.5-year</w:t>
      </w:r>
      <w:r w:rsidRPr="0000783B">
        <w:rPr>
          <w:rFonts w:cstheme="minorHAnsi"/>
        </w:rPr>
        <w:t xml:space="preserve"> period.</w:t>
      </w:r>
    </w:p>
    <w:sectPr w:rsidR="00A56FC7" w:rsidRPr="00B4660D" w:rsidSect="004F4A39">
      <w:headerReference w:type="default" r:id="rId11"/>
      <w:headerReference w:type="first" r:id="rId12"/>
      <w:footerReference w:type="first" r:id="rId13"/>
      <w:type w:val="continuous"/>
      <w:pgSz w:w="11906" w:h="16838" w:code="9"/>
      <w:pgMar w:top="851" w:right="1440" w:bottom="1276"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E1CF" w14:textId="77777777" w:rsidR="003D799B" w:rsidRDefault="003D799B" w:rsidP="0051352E">
      <w:pPr>
        <w:spacing w:after="0" w:line="240" w:lineRule="auto"/>
      </w:pPr>
      <w:r>
        <w:separator/>
      </w:r>
    </w:p>
  </w:endnote>
  <w:endnote w:type="continuationSeparator" w:id="0">
    <w:p w14:paraId="5D8FB5DC" w14:textId="77777777" w:rsidR="003D799B" w:rsidRDefault="003D799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506"/>
      <w:docPartObj>
        <w:docPartGallery w:val="Page Numbers (Bottom of Page)"/>
        <w:docPartUnique/>
      </w:docPartObj>
    </w:sdtPr>
    <w:sdtEndPr>
      <w:rPr>
        <w:noProof/>
      </w:rPr>
    </w:sdtEndPr>
    <w:sdtContent>
      <w:p w14:paraId="60592BAE" w14:textId="4F8A1BBD" w:rsidR="00AB1668" w:rsidRDefault="00AB1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547A7" w14:textId="77777777" w:rsidR="00AB1668" w:rsidRDefault="00AB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5D53" w14:textId="77777777" w:rsidR="00C43D36" w:rsidRPr="001147E6" w:rsidRDefault="004F4A39" w:rsidP="001147E6">
    <w:pPr>
      <w:pStyle w:val="Footer"/>
      <w:jc w:val="center"/>
    </w:pPr>
    <w:r w:rsidRPr="001147E6">
      <w:rPr>
        <w:rFonts w:cstheme="minorHAnsi"/>
        <w:sz w:val="18"/>
        <w:szCs w:val="18"/>
      </w:rPr>
      <w:t>GPO Box 9880, Canberra ACT 2601 | Phone 13 33 97 | www.dese.gov.au | ABN 12 862 898 150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8C46" w14:textId="77777777" w:rsidR="003D799B" w:rsidRDefault="003D799B" w:rsidP="0051352E">
      <w:pPr>
        <w:spacing w:after="0" w:line="240" w:lineRule="auto"/>
      </w:pPr>
      <w:r>
        <w:separator/>
      </w:r>
    </w:p>
  </w:footnote>
  <w:footnote w:type="continuationSeparator" w:id="0">
    <w:p w14:paraId="0915A96C" w14:textId="77777777" w:rsidR="003D799B" w:rsidRDefault="003D799B" w:rsidP="0051352E">
      <w:pPr>
        <w:spacing w:after="0" w:line="240" w:lineRule="auto"/>
      </w:pPr>
      <w:r>
        <w:continuationSeparator/>
      </w:r>
    </w:p>
  </w:footnote>
  <w:footnote w:id="1">
    <w:p w14:paraId="026C008F" w14:textId="77777777" w:rsidR="00EE4F35" w:rsidRDefault="00EE4F35" w:rsidP="00EE4F35">
      <w:r>
        <w:rPr>
          <w:rStyle w:val="FootnoteReference"/>
        </w:rPr>
        <w:footnoteRef/>
      </w:r>
      <w:r>
        <w:t xml:space="preserve"> </w:t>
      </w:r>
      <w:r w:rsidRPr="00EE4F35">
        <w:rPr>
          <w:sz w:val="16"/>
          <w:szCs w:val="16"/>
        </w:rPr>
        <w:t>Caseload ratios of 80:1 have been used as an indicative measure of the average caseload size that is likely to support the intensive case management support required for the new model. Caseload ratios of 80:1 will not be mandated in recognition that caseload sizes differ across sites based on the characteristics of the caseload. However, it is expected providers will operate under smaller caseload sizes in the new model.</w:t>
      </w:r>
    </w:p>
    <w:p w14:paraId="2984879E" w14:textId="045E1909" w:rsidR="00EE4F35" w:rsidRDefault="00EE4F35">
      <w:pPr>
        <w:pStyle w:val="FootnoteText"/>
      </w:pPr>
    </w:p>
  </w:footnote>
  <w:footnote w:id="2">
    <w:p w14:paraId="29D97317" w14:textId="77777777" w:rsidR="004F4A39" w:rsidRDefault="004F4A39" w:rsidP="004F4A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1452" w14:textId="6F071900" w:rsidR="00C43D36" w:rsidRDefault="00C43D36" w:rsidP="00D10816">
    <w:pPr>
      <w:pStyle w:val="Header"/>
      <w:jc w:val="center"/>
      <w:rPr>
        <w:rFonts w:cstheme="minorHAnsi"/>
      </w:rPr>
    </w:pPr>
  </w:p>
  <w:p w14:paraId="0E1554E6" w14:textId="77777777" w:rsidR="00C43D36" w:rsidRDefault="00C43D36" w:rsidP="00D10816">
    <w:pPr>
      <w:pStyle w:val="Header"/>
      <w:jc w:val="center"/>
      <w:rPr>
        <w:rFonts w:cstheme="minorHAnsi"/>
      </w:rPr>
    </w:pPr>
  </w:p>
  <w:p w14:paraId="6366BD7D" w14:textId="77777777" w:rsidR="00C43D36" w:rsidRDefault="00C43D36" w:rsidP="00D10816">
    <w:pPr>
      <w:pStyle w:val="Header"/>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70E" w14:textId="77777777" w:rsidR="00C43D36" w:rsidRPr="0085314F" w:rsidRDefault="00C43D36">
    <w:pPr>
      <w:pStyle w:val="Header"/>
      <w:rPr>
        <w:rFonts w:cstheme="minorHAnsi"/>
      </w:rPr>
    </w:pPr>
  </w:p>
  <w:p w14:paraId="200D5E0B" w14:textId="77777777" w:rsidR="00C43D36" w:rsidRPr="0085314F" w:rsidRDefault="00C43D36">
    <w:pPr>
      <w:pStyle w:val="Header"/>
      <w:rPr>
        <w:rFonts w:cstheme="minorHAnsi"/>
      </w:rPr>
    </w:pPr>
  </w:p>
  <w:p w14:paraId="3BDD8A30" w14:textId="77777777" w:rsidR="00C43D36" w:rsidRPr="00D36C05" w:rsidRDefault="00072E6B" w:rsidP="00862D25">
    <w:pPr>
      <w:pStyle w:val="Header"/>
      <w:ind w:left="-426"/>
      <w:rPr>
        <w:rFonts w:cstheme="minorHAnsi"/>
        <w:noProof/>
      </w:rPr>
    </w:pPr>
    <w:sdt>
      <w:sdtPr>
        <w:rPr>
          <w:noProof/>
        </w:rPr>
        <w:alias w:val="Dept logo"/>
        <w:tag w:val="Dept logo"/>
        <w:id w:val="-556625921"/>
        <w:lock w:val="contentLocked"/>
        <w:picture/>
      </w:sdtPr>
      <w:sdtEndPr/>
      <w:sdtContent>
        <w:r w:rsidR="004F4A39">
          <w:rPr>
            <w:noProof/>
          </w:rPr>
          <w:drawing>
            <wp:inline distT="0" distB="0" distL="0" distR="0" wp14:anchorId="50C18B0A" wp14:editId="2BFFE18A">
              <wp:extent cx="2331725" cy="716281"/>
              <wp:effectExtent l="0" t="0" r="0" b="7620"/>
              <wp:docPr id="3" name="Picture 3" title="Logo: 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3764" name="Dept Education, Skills and Employment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725" cy="716281"/>
                      </a:xfrm>
                      <a:prstGeom prst="rect">
                        <a:avLst/>
                      </a:prstGeom>
                    </pic:spPr>
                  </pic:pic>
                </a:graphicData>
              </a:graphic>
            </wp:inline>
          </w:drawing>
        </w:r>
      </w:sdtContent>
    </w:sdt>
  </w:p>
  <w:p w14:paraId="3D0B2423" w14:textId="77777777" w:rsidR="00C43D36" w:rsidRPr="0085314F" w:rsidRDefault="00C43D36">
    <w:pPr>
      <w:pStyle w:val="Header"/>
      <w:rPr>
        <w:rFonts w:cstheme="minorHAnsi"/>
        <w:noProof/>
      </w:rPr>
    </w:pPr>
  </w:p>
  <w:p w14:paraId="6F761E3D" w14:textId="77777777" w:rsidR="00C43D36" w:rsidRPr="0085314F" w:rsidRDefault="00C43D36">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747DA4"/>
    <w:multiLevelType w:val="hybridMultilevel"/>
    <w:tmpl w:val="BEA0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641003">
    <w:abstractNumId w:val="9"/>
  </w:num>
  <w:num w:numId="2" w16cid:durableId="471557507">
    <w:abstractNumId w:val="7"/>
  </w:num>
  <w:num w:numId="3" w16cid:durableId="883908769">
    <w:abstractNumId w:val="6"/>
  </w:num>
  <w:num w:numId="4" w16cid:durableId="193544977">
    <w:abstractNumId w:val="5"/>
  </w:num>
  <w:num w:numId="5" w16cid:durableId="1844974734">
    <w:abstractNumId w:val="4"/>
  </w:num>
  <w:num w:numId="6" w16cid:durableId="799612668">
    <w:abstractNumId w:val="8"/>
  </w:num>
  <w:num w:numId="7" w16cid:durableId="1394348733">
    <w:abstractNumId w:val="3"/>
  </w:num>
  <w:num w:numId="8" w16cid:durableId="1415932262">
    <w:abstractNumId w:val="2"/>
  </w:num>
  <w:num w:numId="9" w16cid:durableId="1729374552">
    <w:abstractNumId w:val="1"/>
  </w:num>
  <w:num w:numId="10" w16cid:durableId="1867063590">
    <w:abstractNumId w:val="0"/>
  </w:num>
  <w:num w:numId="11" w16cid:durableId="1383677666">
    <w:abstractNumId w:val="10"/>
  </w:num>
  <w:num w:numId="12" w16cid:durableId="1970746861">
    <w:abstractNumId w:val="11"/>
  </w:num>
  <w:num w:numId="13" w16cid:durableId="1387223864">
    <w:abstractNumId w:val="12"/>
  </w:num>
  <w:num w:numId="14" w16cid:durableId="212993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39"/>
    <w:rsid w:val="0000783B"/>
    <w:rsid w:val="00052BBC"/>
    <w:rsid w:val="00072E6B"/>
    <w:rsid w:val="000A453D"/>
    <w:rsid w:val="000E71CD"/>
    <w:rsid w:val="00157F35"/>
    <w:rsid w:val="0016176D"/>
    <w:rsid w:val="00217EAB"/>
    <w:rsid w:val="0022498C"/>
    <w:rsid w:val="002724D0"/>
    <w:rsid w:val="002A7840"/>
    <w:rsid w:val="002B1CE5"/>
    <w:rsid w:val="002D4AC8"/>
    <w:rsid w:val="002F4DB3"/>
    <w:rsid w:val="00340B9E"/>
    <w:rsid w:val="00350FFA"/>
    <w:rsid w:val="00373827"/>
    <w:rsid w:val="00382F07"/>
    <w:rsid w:val="003853CF"/>
    <w:rsid w:val="003D799B"/>
    <w:rsid w:val="00414677"/>
    <w:rsid w:val="00453C04"/>
    <w:rsid w:val="00497764"/>
    <w:rsid w:val="004A080B"/>
    <w:rsid w:val="004F4A39"/>
    <w:rsid w:val="0051352E"/>
    <w:rsid w:val="00517DA7"/>
    <w:rsid w:val="00520A33"/>
    <w:rsid w:val="00527AE4"/>
    <w:rsid w:val="00542062"/>
    <w:rsid w:val="00545E23"/>
    <w:rsid w:val="0055569D"/>
    <w:rsid w:val="005C26B2"/>
    <w:rsid w:val="00610A38"/>
    <w:rsid w:val="006275F8"/>
    <w:rsid w:val="00630DDF"/>
    <w:rsid w:val="006E5D6E"/>
    <w:rsid w:val="00721B03"/>
    <w:rsid w:val="007570DC"/>
    <w:rsid w:val="007B1ABA"/>
    <w:rsid w:val="007B74C5"/>
    <w:rsid w:val="007E6367"/>
    <w:rsid w:val="008507C1"/>
    <w:rsid w:val="00861934"/>
    <w:rsid w:val="008658C2"/>
    <w:rsid w:val="008763B2"/>
    <w:rsid w:val="008C04A1"/>
    <w:rsid w:val="008F0AC9"/>
    <w:rsid w:val="00917CE4"/>
    <w:rsid w:val="0093473D"/>
    <w:rsid w:val="00944ECC"/>
    <w:rsid w:val="00972F57"/>
    <w:rsid w:val="00993794"/>
    <w:rsid w:val="00995280"/>
    <w:rsid w:val="009D1417"/>
    <w:rsid w:val="00A236D7"/>
    <w:rsid w:val="00A24E6E"/>
    <w:rsid w:val="00A43694"/>
    <w:rsid w:val="00A56FC7"/>
    <w:rsid w:val="00A668BF"/>
    <w:rsid w:val="00A72575"/>
    <w:rsid w:val="00A74071"/>
    <w:rsid w:val="00A754E4"/>
    <w:rsid w:val="00AA124A"/>
    <w:rsid w:val="00AA2A96"/>
    <w:rsid w:val="00AB1668"/>
    <w:rsid w:val="00B100CC"/>
    <w:rsid w:val="00B4660D"/>
    <w:rsid w:val="00B6689D"/>
    <w:rsid w:val="00B72368"/>
    <w:rsid w:val="00B857E9"/>
    <w:rsid w:val="00C14EC3"/>
    <w:rsid w:val="00C43D36"/>
    <w:rsid w:val="00C54D58"/>
    <w:rsid w:val="00C573E1"/>
    <w:rsid w:val="00C60222"/>
    <w:rsid w:val="00C95DF6"/>
    <w:rsid w:val="00CC1EEB"/>
    <w:rsid w:val="00D5209B"/>
    <w:rsid w:val="00DA1B7B"/>
    <w:rsid w:val="00DB1DF8"/>
    <w:rsid w:val="00DB79DF"/>
    <w:rsid w:val="00EA32F7"/>
    <w:rsid w:val="00EE4F35"/>
    <w:rsid w:val="00F230CD"/>
    <w:rsid w:val="00F51C18"/>
    <w:rsid w:val="00FA31E2"/>
    <w:rsid w:val="00FD5F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0CA78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4F4A39"/>
  </w:style>
  <w:style w:type="character" w:styleId="CommentReference">
    <w:name w:val="annotation reference"/>
    <w:basedOn w:val="DefaultParagraphFont"/>
    <w:uiPriority w:val="99"/>
    <w:semiHidden/>
    <w:unhideWhenUsed/>
    <w:rsid w:val="004F4A39"/>
    <w:rPr>
      <w:sz w:val="16"/>
      <w:szCs w:val="16"/>
    </w:rPr>
  </w:style>
  <w:style w:type="paragraph" w:styleId="CommentText">
    <w:name w:val="annotation text"/>
    <w:basedOn w:val="Normal"/>
    <w:link w:val="CommentTextChar"/>
    <w:uiPriority w:val="99"/>
    <w:semiHidden/>
    <w:unhideWhenUsed/>
    <w:rsid w:val="004F4A3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F4A39"/>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4F4A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A39"/>
    <w:rPr>
      <w:sz w:val="20"/>
      <w:szCs w:val="20"/>
    </w:rPr>
  </w:style>
  <w:style w:type="character" w:styleId="FootnoteReference">
    <w:name w:val="footnote reference"/>
    <w:basedOn w:val="DefaultParagraphFont"/>
    <w:uiPriority w:val="99"/>
    <w:semiHidden/>
    <w:unhideWhenUsed/>
    <w:rsid w:val="004F4A39"/>
    <w:rPr>
      <w:vertAlign w:val="superscript"/>
    </w:rPr>
  </w:style>
  <w:style w:type="paragraph" w:styleId="CommentSubject">
    <w:name w:val="annotation subject"/>
    <w:basedOn w:val="CommentText"/>
    <w:next w:val="CommentText"/>
    <w:link w:val="CommentSubjectChar"/>
    <w:uiPriority w:val="99"/>
    <w:semiHidden/>
    <w:unhideWhenUsed/>
    <w:rsid w:val="008763B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63B2"/>
    <w:rPr>
      <w:rFonts w:ascii="Times New Roman" w:eastAsia="Times New Roman" w:hAnsi="Times New Roman" w:cs="Times New Roman"/>
      <w:b/>
      <w:bCs/>
      <w:sz w:val="20"/>
      <w:szCs w:val="20"/>
      <w:lang w:eastAsia="en-AU"/>
    </w:rPr>
  </w:style>
  <w:style w:type="paragraph" w:styleId="Revision">
    <w:name w:val="Revision"/>
    <w:hidden/>
    <w:uiPriority w:val="99"/>
    <w:semiHidden/>
    <w:rsid w:val="009D1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2024-04-18T04:16:00Z</dcterms:created>
  <dcterms:modified xsi:type="dcterms:W3CDTF">2024-04-18T04:16:00Z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2024-04-18T00:11:48Z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30279631-cec2-40a5-a004-4db69a6a108f</vt:lpwstr>
  </property>
  <property fmtid="{D5CDD505-2E9C-101B-9397-08002B2CF9AE}" pid="8" name="MSIP_Label_79d889eb-932f-4752-8739-64d25806ef64_ContentBits">
    <vt:lpwstr>0</vt:lpwstr>
  </property>
</Properties>
</file>