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AB1D4" w14:textId="77777777" w:rsidR="004B5E35" w:rsidRDefault="004B5E35" w:rsidP="004B5E35">
      <w:pPr>
        <w:pStyle w:val="Title"/>
        <w:spacing w:after="480"/>
        <w:contextualSpacing w:val="0"/>
        <w:rPr>
          <w:bCs/>
          <w:sz w:val="72"/>
          <w:szCs w:val="72"/>
        </w:rPr>
      </w:pPr>
      <w:r>
        <w:rPr>
          <w:noProof/>
          <w:lang w:eastAsia="en-AU"/>
        </w:rPr>
        <w:drawing>
          <wp:inline distT="0" distB="0" distL="0" distR="0" wp14:anchorId="78CEC480" wp14:editId="2F554A21">
            <wp:extent cx="4144645" cy="960120"/>
            <wp:effectExtent l="0" t="0" r="8255" b="0"/>
            <wp:docPr id="5" name="Picture 5" descr="Australian Government Local Job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TA_GOV_Lockup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7744" cy="960710"/>
                    </a:xfrm>
                    <a:prstGeom prst="rect">
                      <a:avLst/>
                    </a:prstGeom>
                  </pic:spPr>
                </pic:pic>
              </a:graphicData>
            </a:graphic>
          </wp:inline>
        </w:drawing>
      </w:r>
      <w:bookmarkStart w:id="0" w:name="_Toc54878833"/>
      <w:bookmarkStart w:id="1" w:name="_Toc54952021"/>
      <w:bookmarkStart w:id="2" w:name="_Toc57369385"/>
    </w:p>
    <w:p w14:paraId="44C72F72" w14:textId="77777777" w:rsidR="004B5E35" w:rsidRDefault="004B5E35" w:rsidP="004B5E35">
      <w:pPr>
        <w:pStyle w:val="Title"/>
        <w:spacing w:after="480"/>
        <w:contextualSpacing w:val="0"/>
        <w:rPr>
          <w:bCs/>
          <w:sz w:val="72"/>
          <w:szCs w:val="72"/>
        </w:rPr>
      </w:pPr>
    </w:p>
    <w:p w14:paraId="7F718DC2" w14:textId="28740EFE" w:rsidR="004B5E35" w:rsidRPr="00F10595" w:rsidRDefault="004B5E35" w:rsidP="0073574F">
      <w:pPr>
        <w:pStyle w:val="Title"/>
        <w:spacing w:after="480"/>
        <w:contextualSpacing w:val="0"/>
        <w:jc w:val="center"/>
        <w:rPr>
          <w:rFonts w:asciiTheme="minorHAnsi" w:eastAsiaTheme="minorEastAsia" w:hAnsiTheme="minorHAnsi" w:cstheme="minorBidi"/>
          <w:bCs/>
          <w:color w:val="2F5496" w:themeColor="accent1" w:themeShade="BF"/>
          <w:spacing w:val="0"/>
          <w:sz w:val="72"/>
          <w:szCs w:val="72"/>
        </w:rPr>
      </w:pPr>
      <w:r w:rsidRPr="00F10595">
        <w:rPr>
          <w:rFonts w:asciiTheme="minorHAnsi" w:eastAsiaTheme="minorEastAsia" w:hAnsiTheme="minorHAnsi" w:cstheme="minorBidi"/>
          <w:bCs/>
          <w:color w:val="2F5496" w:themeColor="accent1" w:themeShade="BF"/>
          <w:spacing w:val="0"/>
          <w:sz w:val="72"/>
          <w:szCs w:val="72"/>
        </w:rPr>
        <w:t>Local Jobs Plan</w:t>
      </w:r>
      <w:bookmarkEnd w:id="0"/>
      <w:bookmarkEnd w:id="1"/>
      <w:bookmarkEnd w:id="2"/>
    </w:p>
    <w:p w14:paraId="076FF34E" w14:textId="77777777" w:rsidR="004B5E35" w:rsidRPr="004B5E35" w:rsidRDefault="004B5E35" w:rsidP="004B5E35"/>
    <w:p w14:paraId="42584D41" w14:textId="0D579943" w:rsidR="004B5E35" w:rsidRPr="00753CD6" w:rsidRDefault="004B5E35" w:rsidP="00753CD6">
      <w:pPr>
        <w:jc w:val="center"/>
        <w:rPr>
          <w:b/>
          <w:bCs/>
          <w:color w:val="2F5496" w:themeColor="accent1" w:themeShade="BF"/>
          <w:sz w:val="72"/>
          <w:szCs w:val="72"/>
        </w:rPr>
      </w:pPr>
      <w:bookmarkStart w:id="3" w:name="_Toc57369386"/>
      <w:bookmarkStart w:id="4" w:name="_Toc54952022"/>
      <w:r w:rsidRPr="00753CD6">
        <w:rPr>
          <w:b/>
          <w:bCs/>
          <w:color w:val="2F5496" w:themeColor="accent1" w:themeShade="BF"/>
          <w:sz w:val="72"/>
          <w:szCs w:val="72"/>
        </w:rPr>
        <w:t>North Eastern Melbourne</w:t>
      </w:r>
      <w:bookmarkEnd w:id="3"/>
    </w:p>
    <w:p w14:paraId="05A01E33" w14:textId="77777777" w:rsidR="004B5E35" w:rsidRPr="00753CD6" w:rsidRDefault="004B5E35" w:rsidP="00753CD6">
      <w:pPr>
        <w:jc w:val="center"/>
        <w:rPr>
          <w:b/>
          <w:bCs/>
          <w:color w:val="2F5496" w:themeColor="accent1" w:themeShade="BF"/>
          <w:sz w:val="72"/>
          <w:szCs w:val="72"/>
        </w:rPr>
      </w:pPr>
      <w:bookmarkStart w:id="5" w:name="_Toc54952023"/>
      <w:bookmarkStart w:id="6" w:name="_Toc57369388"/>
      <w:bookmarkEnd w:id="4"/>
      <w:r w:rsidRPr="00753CD6">
        <w:rPr>
          <w:b/>
          <w:bCs/>
          <w:color w:val="2F5496" w:themeColor="accent1" w:themeShade="BF"/>
          <w:sz w:val="72"/>
          <w:szCs w:val="72"/>
        </w:rPr>
        <w:t>Victoria</w:t>
      </w:r>
      <w:bookmarkEnd w:id="5"/>
      <w:bookmarkEnd w:id="6"/>
    </w:p>
    <w:p w14:paraId="6AB33A41" w14:textId="512DDBD0" w:rsidR="004B5E35" w:rsidRPr="00753CD6" w:rsidRDefault="008800A0" w:rsidP="00753CD6">
      <w:pPr>
        <w:jc w:val="center"/>
        <w:rPr>
          <w:b/>
          <w:bCs/>
          <w:color w:val="2F5496" w:themeColor="accent1" w:themeShade="BF"/>
          <w:sz w:val="56"/>
          <w:szCs w:val="56"/>
        </w:rPr>
      </w:pPr>
      <w:bookmarkStart w:id="7" w:name="_Toc54878836"/>
      <w:bookmarkStart w:id="8" w:name="_Toc57369389"/>
      <w:r w:rsidRPr="00753CD6">
        <w:rPr>
          <w:b/>
          <w:bCs/>
          <w:color w:val="2F5496" w:themeColor="accent1" w:themeShade="BF"/>
          <w:sz w:val="56"/>
          <w:szCs w:val="56"/>
        </w:rPr>
        <w:t xml:space="preserve">July </w:t>
      </w:r>
      <w:r w:rsidR="004B5E35" w:rsidRPr="00753CD6">
        <w:rPr>
          <w:b/>
          <w:bCs/>
          <w:color w:val="2F5496" w:themeColor="accent1" w:themeShade="BF"/>
          <w:sz w:val="56"/>
          <w:szCs w:val="56"/>
        </w:rPr>
        <w:t>202</w:t>
      </w:r>
      <w:bookmarkEnd w:id="7"/>
      <w:bookmarkEnd w:id="8"/>
      <w:r w:rsidR="004B5E35" w:rsidRPr="00753CD6">
        <w:rPr>
          <w:b/>
          <w:bCs/>
          <w:color w:val="2F5496" w:themeColor="accent1" w:themeShade="BF"/>
          <w:sz w:val="56"/>
          <w:szCs w:val="56"/>
        </w:rPr>
        <w:t>1</w:t>
      </w:r>
    </w:p>
    <w:p w14:paraId="2DA36ECC"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780ABF5B"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17CDD113"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514431D9"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6FBFAF73"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44B1A435"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7BE5EF83"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28EA15DB"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5B83B7B4"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059585E4"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70E5F24A" w14:textId="77777777" w:rsidR="004B5E35" w:rsidRDefault="004B5E35" w:rsidP="006C27E6">
      <w:pPr>
        <w:pStyle w:val="Heading1"/>
        <w:jc w:val="both"/>
        <w:rPr>
          <w:rStyle w:val="Heading1Char"/>
          <w:rFonts w:asciiTheme="minorHAnsi" w:eastAsiaTheme="minorEastAsia" w:hAnsiTheme="minorHAnsi" w:cstheme="minorHAnsi"/>
          <w:sz w:val="32"/>
          <w:szCs w:val="32"/>
        </w:rPr>
      </w:pPr>
    </w:p>
    <w:p w14:paraId="7AE5AC87" w14:textId="77777777" w:rsidR="004B5E35" w:rsidRDefault="004B5E35" w:rsidP="006C27E6">
      <w:pPr>
        <w:pStyle w:val="Heading1"/>
        <w:jc w:val="both"/>
        <w:rPr>
          <w:rStyle w:val="Heading1Char"/>
          <w:rFonts w:asciiTheme="minorHAnsi" w:eastAsiaTheme="minorEastAsia" w:hAnsiTheme="minorHAnsi" w:cstheme="minorHAnsi"/>
          <w:sz w:val="32"/>
          <w:szCs w:val="32"/>
        </w:rPr>
      </w:pPr>
    </w:p>
    <w:sdt>
      <w:sdtPr>
        <w:rPr>
          <w:rFonts w:asciiTheme="minorHAnsi" w:eastAsiaTheme="minorHAnsi" w:hAnsiTheme="minorHAnsi" w:cstheme="minorBidi"/>
          <w:noProof w:val="0"/>
          <w:color w:val="auto"/>
          <w:sz w:val="22"/>
          <w:szCs w:val="22"/>
          <w:lang w:val="en" w:bidi="ar-SA"/>
        </w:rPr>
        <w:id w:val="-507822736"/>
        <w:docPartObj>
          <w:docPartGallery w:val="Table of Contents"/>
          <w:docPartUnique/>
        </w:docPartObj>
      </w:sdtPr>
      <w:sdtEndPr>
        <w:rPr>
          <w:rFonts w:eastAsiaTheme="minorEastAsia"/>
        </w:rPr>
      </w:sdtEndPr>
      <w:sdtContent>
        <w:p w14:paraId="23CD6C72" w14:textId="65EBEE2B" w:rsidR="006E50BF" w:rsidRDefault="006E50BF" w:rsidP="006E50BF">
          <w:pPr>
            <w:pStyle w:val="TOCHeading"/>
            <w:rPr>
              <w:lang w:bidi="ar-SA"/>
            </w:rPr>
          </w:pPr>
          <w:r>
            <w:rPr>
              <w:lang w:bidi="ar-SA"/>
            </w:rPr>
            <w:t>Contents</w:t>
          </w:r>
        </w:p>
        <w:p w14:paraId="233E8EEB" w14:textId="77777777" w:rsidR="005F0301" w:rsidRPr="005F0301" w:rsidRDefault="005F0301" w:rsidP="005F0301">
          <w:pPr>
            <w:rPr>
              <w:lang w:val="en-AU"/>
            </w:rPr>
          </w:pPr>
        </w:p>
        <w:p w14:paraId="513E409E" w14:textId="2DF1D9FE" w:rsidR="006E50BF" w:rsidRPr="005F0301" w:rsidRDefault="006E50BF" w:rsidP="00753CD6">
          <w:pPr>
            <w:pStyle w:val="TOC1"/>
          </w:pPr>
          <w:r w:rsidRPr="005F0301">
            <w:t>Preface</w:t>
          </w:r>
          <w:r w:rsidR="005F0301">
            <w:tab/>
          </w:r>
          <w:r w:rsidR="003924EE">
            <w:t>3</w:t>
          </w:r>
        </w:p>
        <w:p w14:paraId="3D819282" w14:textId="761EAC45" w:rsidR="00FC16E2" w:rsidRDefault="006E50BF">
          <w:pPr>
            <w:pStyle w:val="TOC1"/>
            <w:rPr>
              <w:noProof/>
              <w:lang w:val="en-AU" w:eastAsia="en-AU"/>
            </w:rPr>
          </w:pPr>
          <w:r w:rsidRPr="005F0301">
            <w:rPr>
              <w:rFonts w:cstheme="minorHAnsi"/>
            </w:rPr>
            <w:fldChar w:fldCharType="begin"/>
          </w:r>
          <w:r w:rsidRPr="005F0301">
            <w:rPr>
              <w:rFonts w:cstheme="minorHAnsi"/>
            </w:rPr>
            <w:instrText xml:space="preserve"> TOC \o "1-3" \h \z \u </w:instrText>
          </w:r>
          <w:r w:rsidRPr="005F0301">
            <w:rPr>
              <w:rFonts w:cstheme="minorHAnsi"/>
            </w:rPr>
            <w:fldChar w:fldCharType="separate"/>
          </w:r>
          <w:hyperlink w:anchor="_Toc78461092" w:history="1">
            <w:r w:rsidR="00FC16E2" w:rsidRPr="00230C45">
              <w:rPr>
                <w:rStyle w:val="Hyperlink"/>
                <w:rFonts w:cstheme="minorHAnsi"/>
                <w:noProof/>
              </w:rPr>
              <w:t>Local Jobs Program Key Priorities: North Eastern Melbourne ER</w:t>
            </w:r>
            <w:r w:rsidR="00FC16E2">
              <w:rPr>
                <w:noProof/>
                <w:webHidden/>
              </w:rPr>
              <w:tab/>
            </w:r>
            <w:r w:rsidR="00FC16E2">
              <w:rPr>
                <w:noProof/>
                <w:webHidden/>
              </w:rPr>
              <w:fldChar w:fldCharType="begin"/>
            </w:r>
            <w:r w:rsidR="00FC16E2">
              <w:rPr>
                <w:noProof/>
                <w:webHidden/>
              </w:rPr>
              <w:instrText xml:space="preserve"> PAGEREF _Toc78461092 \h </w:instrText>
            </w:r>
            <w:r w:rsidR="00FC16E2">
              <w:rPr>
                <w:noProof/>
                <w:webHidden/>
              </w:rPr>
            </w:r>
            <w:r w:rsidR="00FC16E2">
              <w:rPr>
                <w:noProof/>
                <w:webHidden/>
              </w:rPr>
              <w:fldChar w:fldCharType="separate"/>
            </w:r>
            <w:r w:rsidR="00FC16E2">
              <w:rPr>
                <w:noProof/>
                <w:webHidden/>
              </w:rPr>
              <w:t>4</w:t>
            </w:r>
            <w:r w:rsidR="00FC16E2">
              <w:rPr>
                <w:noProof/>
                <w:webHidden/>
              </w:rPr>
              <w:fldChar w:fldCharType="end"/>
            </w:r>
          </w:hyperlink>
        </w:p>
        <w:p w14:paraId="2EDE4E22" w14:textId="2477ACCF" w:rsidR="00FC16E2" w:rsidRDefault="00A12F3B">
          <w:pPr>
            <w:pStyle w:val="TOC1"/>
            <w:rPr>
              <w:noProof/>
              <w:lang w:val="en-AU" w:eastAsia="en-AU"/>
            </w:rPr>
          </w:pPr>
          <w:hyperlink w:anchor="_Toc78461093" w:history="1">
            <w:r w:rsidR="00FC16E2" w:rsidRPr="00230C45">
              <w:rPr>
                <w:rStyle w:val="Hyperlink"/>
                <w:rFonts w:cstheme="minorHAnsi"/>
                <w:noProof/>
              </w:rPr>
              <w:t>North Eastern Melbourne ER Overview</w:t>
            </w:r>
            <w:r w:rsidR="00FC16E2">
              <w:rPr>
                <w:noProof/>
                <w:webHidden/>
              </w:rPr>
              <w:tab/>
            </w:r>
            <w:r w:rsidR="00FC16E2">
              <w:rPr>
                <w:noProof/>
                <w:webHidden/>
              </w:rPr>
              <w:fldChar w:fldCharType="begin"/>
            </w:r>
            <w:r w:rsidR="00FC16E2">
              <w:rPr>
                <w:noProof/>
                <w:webHidden/>
              </w:rPr>
              <w:instrText xml:space="preserve"> PAGEREF _Toc78461093 \h </w:instrText>
            </w:r>
            <w:r w:rsidR="00FC16E2">
              <w:rPr>
                <w:noProof/>
                <w:webHidden/>
              </w:rPr>
            </w:r>
            <w:r w:rsidR="00FC16E2">
              <w:rPr>
                <w:noProof/>
                <w:webHidden/>
              </w:rPr>
              <w:fldChar w:fldCharType="separate"/>
            </w:r>
            <w:r w:rsidR="00FC16E2">
              <w:rPr>
                <w:noProof/>
                <w:webHidden/>
              </w:rPr>
              <w:t>5</w:t>
            </w:r>
            <w:r w:rsidR="00FC16E2">
              <w:rPr>
                <w:noProof/>
                <w:webHidden/>
              </w:rPr>
              <w:fldChar w:fldCharType="end"/>
            </w:r>
          </w:hyperlink>
        </w:p>
        <w:p w14:paraId="21683E14" w14:textId="1D712086" w:rsidR="00FC16E2" w:rsidRDefault="00A12F3B">
          <w:pPr>
            <w:pStyle w:val="TOC1"/>
            <w:rPr>
              <w:noProof/>
              <w:lang w:val="en-AU" w:eastAsia="en-AU"/>
            </w:rPr>
          </w:pPr>
          <w:hyperlink w:anchor="_Toc78461094" w:history="1">
            <w:r w:rsidR="00FC16E2" w:rsidRPr="00230C45">
              <w:rPr>
                <w:rStyle w:val="Hyperlink"/>
                <w:rFonts w:cstheme="minorHAnsi"/>
                <w:noProof/>
              </w:rPr>
              <w:t>North Eastern Melbourne Employment ER Boundary Map</w:t>
            </w:r>
            <w:r w:rsidR="00FC16E2">
              <w:rPr>
                <w:noProof/>
                <w:webHidden/>
              </w:rPr>
              <w:tab/>
            </w:r>
            <w:r w:rsidR="00FC16E2">
              <w:rPr>
                <w:noProof/>
                <w:webHidden/>
              </w:rPr>
              <w:fldChar w:fldCharType="begin"/>
            </w:r>
            <w:r w:rsidR="00FC16E2">
              <w:rPr>
                <w:noProof/>
                <w:webHidden/>
              </w:rPr>
              <w:instrText xml:space="preserve"> PAGEREF _Toc78461094 \h </w:instrText>
            </w:r>
            <w:r w:rsidR="00FC16E2">
              <w:rPr>
                <w:noProof/>
                <w:webHidden/>
              </w:rPr>
            </w:r>
            <w:r w:rsidR="00FC16E2">
              <w:rPr>
                <w:noProof/>
                <w:webHidden/>
              </w:rPr>
              <w:fldChar w:fldCharType="separate"/>
            </w:r>
            <w:r w:rsidR="00FC16E2">
              <w:rPr>
                <w:noProof/>
                <w:webHidden/>
              </w:rPr>
              <w:t>6</w:t>
            </w:r>
            <w:r w:rsidR="00FC16E2">
              <w:rPr>
                <w:noProof/>
                <w:webHidden/>
              </w:rPr>
              <w:fldChar w:fldCharType="end"/>
            </w:r>
          </w:hyperlink>
        </w:p>
        <w:p w14:paraId="372242EF" w14:textId="3837B961" w:rsidR="00FC16E2" w:rsidRDefault="00A12F3B">
          <w:pPr>
            <w:pStyle w:val="TOC1"/>
            <w:rPr>
              <w:noProof/>
              <w:lang w:val="en-AU" w:eastAsia="en-AU"/>
            </w:rPr>
          </w:pPr>
          <w:hyperlink w:anchor="_Toc78461095" w:history="1">
            <w:r w:rsidR="00FC16E2" w:rsidRPr="00230C45">
              <w:rPr>
                <w:rStyle w:val="Hyperlink"/>
                <w:rFonts w:cstheme="minorHAnsi"/>
                <w:noProof/>
              </w:rPr>
              <w:t>Key challenges in North Eastern Melbourne</w:t>
            </w:r>
            <w:r w:rsidR="00FC16E2">
              <w:rPr>
                <w:noProof/>
                <w:webHidden/>
              </w:rPr>
              <w:tab/>
            </w:r>
            <w:r w:rsidR="00FC16E2">
              <w:rPr>
                <w:noProof/>
                <w:webHidden/>
              </w:rPr>
              <w:fldChar w:fldCharType="begin"/>
            </w:r>
            <w:r w:rsidR="00FC16E2">
              <w:rPr>
                <w:noProof/>
                <w:webHidden/>
              </w:rPr>
              <w:instrText xml:space="preserve"> PAGEREF _Toc78461095 \h </w:instrText>
            </w:r>
            <w:r w:rsidR="00FC16E2">
              <w:rPr>
                <w:noProof/>
                <w:webHidden/>
              </w:rPr>
            </w:r>
            <w:r w:rsidR="00FC16E2">
              <w:rPr>
                <w:noProof/>
                <w:webHidden/>
              </w:rPr>
              <w:fldChar w:fldCharType="separate"/>
            </w:r>
            <w:r w:rsidR="00FC16E2">
              <w:rPr>
                <w:noProof/>
                <w:webHidden/>
              </w:rPr>
              <w:t>6</w:t>
            </w:r>
            <w:r w:rsidR="00FC16E2">
              <w:rPr>
                <w:noProof/>
                <w:webHidden/>
              </w:rPr>
              <w:fldChar w:fldCharType="end"/>
            </w:r>
          </w:hyperlink>
        </w:p>
        <w:p w14:paraId="386E911C" w14:textId="7CA4A72C" w:rsidR="00FC16E2" w:rsidRDefault="00A12F3B">
          <w:pPr>
            <w:pStyle w:val="TOC1"/>
            <w:rPr>
              <w:noProof/>
              <w:lang w:val="en-AU" w:eastAsia="en-AU"/>
            </w:rPr>
          </w:pPr>
          <w:hyperlink w:anchor="_Toc78461096" w:history="1">
            <w:r w:rsidR="00FC16E2" w:rsidRPr="00230C45">
              <w:rPr>
                <w:rStyle w:val="Hyperlink"/>
                <w:rFonts w:cstheme="minorHAnsi"/>
                <w:noProof/>
              </w:rPr>
              <w:t>Impacts of COVID-19</w:t>
            </w:r>
            <w:r w:rsidR="00FC16E2">
              <w:rPr>
                <w:noProof/>
                <w:webHidden/>
              </w:rPr>
              <w:tab/>
            </w:r>
            <w:r w:rsidR="00FC16E2">
              <w:rPr>
                <w:noProof/>
                <w:webHidden/>
              </w:rPr>
              <w:fldChar w:fldCharType="begin"/>
            </w:r>
            <w:r w:rsidR="00FC16E2">
              <w:rPr>
                <w:noProof/>
                <w:webHidden/>
              </w:rPr>
              <w:instrText xml:space="preserve"> PAGEREF _Toc78461096 \h </w:instrText>
            </w:r>
            <w:r w:rsidR="00FC16E2">
              <w:rPr>
                <w:noProof/>
                <w:webHidden/>
              </w:rPr>
            </w:r>
            <w:r w:rsidR="00FC16E2">
              <w:rPr>
                <w:noProof/>
                <w:webHidden/>
              </w:rPr>
              <w:fldChar w:fldCharType="separate"/>
            </w:r>
            <w:r w:rsidR="00FC16E2">
              <w:rPr>
                <w:noProof/>
                <w:webHidden/>
              </w:rPr>
              <w:t>10</w:t>
            </w:r>
            <w:r w:rsidR="00FC16E2">
              <w:rPr>
                <w:noProof/>
                <w:webHidden/>
              </w:rPr>
              <w:fldChar w:fldCharType="end"/>
            </w:r>
          </w:hyperlink>
        </w:p>
        <w:p w14:paraId="04C1A130" w14:textId="6381D380" w:rsidR="00FC16E2" w:rsidRDefault="00A12F3B">
          <w:pPr>
            <w:pStyle w:val="TOC1"/>
            <w:rPr>
              <w:noProof/>
              <w:lang w:val="en-AU" w:eastAsia="en-AU"/>
            </w:rPr>
          </w:pPr>
          <w:hyperlink w:anchor="_Toc78461097" w:history="1">
            <w:r w:rsidR="00FC16E2" w:rsidRPr="00230C45">
              <w:rPr>
                <w:rStyle w:val="Hyperlink"/>
                <w:rFonts w:cstheme="minorHAnsi"/>
                <w:noProof/>
              </w:rPr>
              <w:t>Major Employing Industries</w:t>
            </w:r>
            <w:r w:rsidR="00FC16E2">
              <w:rPr>
                <w:noProof/>
                <w:webHidden/>
              </w:rPr>
              <w:tab/>
            </w:r>
            <w:r w:rsidR="00FC16E2">
              <w:rPr>
                <w:noProof/>
                <w:webHidden/>
              </w:rPr>
              <w:fldChar w:fldCharType="begin"/>
            </w:r>
            <w:r w:rsidR="00FC16E2">
              <w:rPr>
                <w:noProof/>
                <w:webHidden/>
              </w:rPr>
              <w:instrText xml:space="preserve"> PAGEREF _Toc78461097 \h </w:instrText>
            </w:r>
            <w:r w:rsidR="00FC16E2">
              <w:rPr>
                <w:noProof/>
                <w:webHidden/>
              </w:rPr>
            </w:r>
            <w:r w:rsidR="00FC16E2">
              <w:rPr>
                <w:noProof/>
                <w:webHidden/>
              </w:rPr>
              <w:fldChar w:fldCharType="separate"/>
            </w:r>
            <w:r w:rsidR="00FC16E2">
              <w:rPr>
                <w:noProof/>
                <w:webHidden/>
              </w:rPr>
              <w:t>11</w:t>
            </w:r>
            <w:r w:rsidR="00FC16E2">
              <w:rPr>
                <w:noProof/>
                <w:webHidden/>
              </w:rPr>
              <w:fldChar w:fldCharType="end"/>
            </w:r>
          </w:hyperlink>
        </w:p>
        <w:p w14:paraId="135162E4" w14:textId="4F7BDCA9" w:rsidR="00FC16E2" w:rsidRDefault="00A12F3B">
          <w:pPr>
            <w:pStyle w:val="TOC1"/>
            <w:rPr>
              <w:noProof/>
              <w:lang w:val="en-AU" w:eastAsia="en-AU"/>
            </w:rPr>
          </w:pPr>
          <w:hyperlink w:anchor="_Toc78461098" w:history="1">
            <w:r w:rsidR="00FC16E2" w:rsidRPr="00230C45">
              <w:rPr>
                <w:rStyle w:val="Hyperlink"/>
                <w:rFonts w:cstheme="minorHAnsi"/>
                <w:noProof/>
              </w:rPr>
              <w:t>Selected Major Projects</w:t>
            </w:r>
            <w:r w:rsidR="00FC16E2">
              <w:rPr>
                <w:noProof/>
                <w:webHidden/>
              </w:rPr>
              <w:tab/>
            </w:r>
            <w:r w:rsidR="00FC16E2">
              <w:rPr>
                <w:noProof/>
                <w:webHidden/>
              </w:rPr>
              <w:fldChar w:fldCharType="begin"/>
            </w:r>
            <w:r w:rsidR="00FC16E2">
              <w:rPr>
                <w:noProof/>
                <w:webHidden/>
              </w:rPr>
              <w:instrText xml:space="preserve"> PAGEREF _Toc78461098 \h </w:instrText>
            </w:r>
            <w:r w:rsidR="00FC16E2">
              <w:rPr>
                <w:noProof/>
                <w:webHidden/>
              </w:rPr>
            </w:r>
            <w:r w:rsidR="00FC16E2">
              <w:rPr>
                <w:noProof/>
                <w:webHidden/>
              </w:rPr>
              <w:fldChar w:fldCharType="separate"/>
            </w:r>
            <w:r w:rsidR="00FC16E2">
              <w:rPr>
                <w:noProof/>
                <w:webHidden/>
              </w:rPr>
              <w:t>13</w:t>
            </w:r>
            <w:r w:rsidR="00FC16E2">
              <w:rPr>
                <w:noProof/>
                <w:webHidden/>
              </w:rPr>
              <w:fldChar w:fldCharType="end"/>
            </w:r>
          </w:hyperlink>
        </w:p>
        <w:p w14:paraId="344B7E00" w14:textId="70965DB2" w:rsidR="00FC16E2" w:rsidRDefault="00A12F3B">
          <w:pPr>
            <w:pStyle w:val="TOC1"/>
            <w:rPr>
              <w:noProof/>
              <w:lang w:val="en-AU" w:eastAsia="en-AU"/>
            </w:rPr>
          </w:pPr>
          <w:hyperlink w:anchor="_Toc78461099" w:history="1">
            <w:r w:rsidR="00FC16E2" w:rsidRPr="00230C45">
              <w:rPr>
                <w:rStyle w:val="Hyperlink"/>
                <w:rFonts w:cstheme="minorHAnsi"/>
                <w:noProof/>
              </w:rPr>
              <w:t>Local Stakeholders and Opportunities</w:t>
            </w:r>
            <w:r w:rsidR="00FC16E2">
              <w:rPr>
                <w:noProof/>
                <w:webHidden/>
              </w:rPr>
              <w:tab/>
            </w:r>
            <w:r w:rsidR="00FC16E2">
              <w:rPr>
                <w:noProof/>
                <w:webHidden/>
              </w:rPr>
              <w:fldChar w:fldCharType="begin"/>
            </w:r>
            <w:r w:rsidR="00FC16E2">
              <w:rPr>
                <w:noProof/>
                <w:webHidden/>
              </w:rPr>
              <w:instrText xml:space="preserve"> PAGEREF _Toc78461099 \h </w:instrText>
            </w:r>
            <w:r w:rsidR="00FC16E2">
              <w:rPr>
                <w:noProof/>
                <w:webHidden/>
              </w:rPr>
            </w:r>
            <w:r w:rsidR="00FC16E2">
              <w:rPr>
                <w:noProof/>
                <w:webHidden/>
              </w:rPr>
              <w:fldChar w:fldCharType="separate"/>
            </w:r>
            <w:r w:rsidR="00FC16E2">
              <w:rPr>
                <w:noProof/>
                <w:webHidden/>
              </w:rPr>
              <w:t>13</w:t>
            </w:r>
            <w:r w:rsidR="00FC16E2">
              <w:rPr>
                <w:noProof/>
                <w:webHidden/>
              </w:rPr>
              <w:fldChar w:fldCharType="end"/>
            </w:r>
          </w:hyperlink>
        </w:p>
        <w:p w14:paraId="1540558D" w14:textId="4F2D902E" w:rsidR="006E50BF" w:rsidRDefault="006E50BF" w:rsidP="00753CD6">
          <w:pPr>
            <w:pStyle w:val="TOC1"/>
          </w:pPr>
          <w:r w:rsidRPr="005F0301">
            <w:rPr>
              <w:noProof/>
            </w:rPr>
            <w:fldChar w:fldCharType="end"/>
          </w:r>
        </w:p>
      </w:sdtContent>
    </w:sdt>
    <w:p w14:paraId="1D44A14A" w14:textId="12167B86" w:rsidR="002A1D89" w:rsidRDefault="002A1D89" w:rsidP="00AA044C">
      <w:pPr>
        <w:spacing w:after="0"/>
        <w:rPr>
          <w:lang w:val="en-AU"/>
        </w:rPr>
      </w:pPr>
    </w:p>
    <w:p w14:paraId="038D8446" w14:textId="67181492" w:rsidR="002A1D89" w:rsidRDefault="002A1D89" w:rsidP="00AA044C">
      <w:pPr>
        <w:spacing w:after="0"/>
        <w:rPr>
          <w:lang w:val="en-AU"/>
        </w:rPr>
      </w:pPr>
    </w:p>
    <w:p w14:paraId="2F280C11" w14:textId="77777777" w:rsidR="00753CD6" w:rsidRDefault="00753CD6" w:rsidP="00753CD6">
      <w:pPr>
        <w:spacing w:after="0"/>
        <w:rPr>
          <w:lang w:val="en-AU"/>
        </w:rPr>
      </w:pPr>
    </w:p>
    <w:p w14:paraId="5A76E8F5" w14:textId="77777777" w:rsidR="00753CD6" w:rsidRDefault="00753CD6" w:rsidP="00753CD6">
      <w:pPr>
        <w:spacing w:after="0"/>
        <w:rPr>
          <w:lang w:val="en-AU"/>
        </w:rPr>
      </w:pPr>
    </w:p>
    <w:p w14:paraId="097D7D5E" w14:textId="77777777" w:rsidR="00753CD6" w:rsidRDefault="00753CD6" w:rsidP="00753CD6">
      <w:pPr>
        <w:spacing w:after="0"/>
        <w:rPr>
          <w:lang w:val="en-AU"/>
        </w:rPr>
      </w:pPr>
    </w:p>
    <w:p w14:paraId="5FB7AAC9" w14:textId="77777777" w:rsidR="00753CD6" w:rsidRDefault="00753CD6" w:rsidP="00753CD6">
      <w:pPr>
        <w:spacing w:after="0"/>
        <w:rPr>
          <w:lang w:val="en-AU"/>
        </w:rPr>
      </w:pPr>
    </w:p>
    <w:p w14:paraId="13FEF567" w14:textId="77777777" w:rsidR="00753CD6" w:rsidRDefault="00753CD6" w:rsidP="00753CD6">
      <w:pPr>
        <w:spacing w:after="0"/>
        <w:rPr>
          <w:lang w:val="en-AU"/>
        </w:rPr>
      </w:pPr>
    </w:p>
    <w:p w14:paraId="408930CA" w14:textId="77777777" w:rsidR="00753CD6" w:rsidRDefault="00753CD6" w:rsidP="00753CD6">
      <w:pPr>
        <w:spacing w:after="0"/>
        <w:rPr>
          <w:lang w:val="en-AU"/>
        </w:rPr>
      </w:pPr>
    </w:p>
    <w:p w14:paraId="0CD74FF0" w14:textId="77777777" w:rsidR="00753CD6" w:rsidRDefault="00753CD6" w:rsidP="00753CD6">
      <w:pPr>
        <w:spacing w:after="0"/>
        <w:rPr>
          <w:lang w:val="en-AU"/>
        </w:rPr>
      </w:pPr>
    </w:p>
    <w:p w14:paraId="1E193E87" w14:textId="77777777" w:rsidR="00753CD6" w:rsidRDefault="00753CD6" w:rsidP="00753CD6">
      <w:pPr>
        <w:spacing w:after="0"/>
        <w:rPr>
          <w:lang w:val="en-AU"/>
        </w:rPr>
      </w:pPr>
    </w:p>
    <w:p w14:paraId="24E4CC1F" w14:textId="77777777" w:rsidR="00753CD6" w:rsidRDefault="00753CD6" w:rsidP="00753CD6">
      <w:pPr>
        <w:spacing w:after="0"/>
        <w:rPr>
          <w:lang w:val="en-AU"/>
        </w:rPr>
      </w:pPr>
    </w:p>
    <w:p w14:paraId="4F6F10BB" w14:textId="77777777" w:rsidR="00753CD6" w:rsidRDefault="00753CD6" w:rsidP="00753CD6">
      <w:pPr>
        <w:spacing w:after="0"/>
        <w:rPr>
          <w:lang w:val="en-AU"/>
        </w:rPr>
      </w:pPr>
    </w:p>
    <w:p w14:paraId="4BACF649" w14:textId="77777777" w:rsidR="00753CD6" w:rsidRDefault="00753CD6" w:rsidP="00753CD6">
      <w:pPr>
        <w:spacing w:after="0"/>
        <w:rPr>
          <w:lang w:val="en-AU"/>
        </w:rPr>
      </w:pPr>
    </w:p>
    <w:p w14:paraId="7BACEB69" w14:textId="77777777" w:rsidR="00753CD6" w:rsidRDefault="00753CD6" w:rsidP="00753CD6">
      <w:pPr>
        <w:spacing w:after="0"/>
        <w:rPr>
          <w:lang w:val="en-AU"/>
        </w:rPr>
      </w:pPr>
    </w:p>
    <w:p w14:paraId="1653BB23" w14:textId="77777777" w:rsidR="00753CD6" w:rsidRDefault="00753CD6" w:rsidP="00753CD6">
      <w:pPr>
        <w:spacing w:after="0"/>
        <w:rPr>
          <w:lang w:val="en-AU"/>
        </w:rPr>
      </w:pPr>
    </w:p>
    <w:p w14:paraId="6887D0BD" w14:textId="77777777" w:rsidR="00753CD6" w:rsidRDefault="00753CD6" w:rsidP="00753CD6">
      <w:pPr>
        <w:spacing w:after="0"/>
        <w:rPr>
          <w:lang w:val="en-AU"/>
        </w:rPr>
      </w:pPr>
    </w:p>
    <w:p w14:paraId="5FF5C0FD" w14:textId="77777777" w:rsidR="00753CD6" w:rsidRDefault="00753CD6" w:rsidP="00753CD6">
      <w:pPr>
        <w:spacing w:after="0"/>
        <w:rPr>
          <w:lang w:val="en-AU"/>
        </w:rPr>
      </w:pPr>
    </w:p>
    <w:p w14:paraId="777018BF" w14:textId="77777777" w:rsidR="00753CD6" w:rsidRDefault="00753CD6" w:rsidP="00753CD6">
      <w:pPr>
        <w:spacing w:after="0"/>
        <w:rPr>
          <w:lang w:val="en-AU"/>
        </w:rPr>
      </w:pPr>
    </w:p>
    <w:p w14:paraId="1ACE1EED" w14:textId="77777777" w:rsidR="00753CD6" w:rsidRDefault="00753CD6" w:rsidP="00753CD6">
      <w:pPr>
        <w:spacing w:after="0"/>
        <w:rPr>
          <w:lang w:val="en-AU"/>
        </w:rPr>
      </w:pPr>
    </w:p>
    <w:p w14:paraId="57B1A871" w14:textId="77777777" w:rsidR="00753CD6" w:rsidRDefault="00753CD6" w:rsidP="00753CD6">
      <w:pPr>
        <w:spacing w:after="0"/>
        <w:rPr>
          <w:lang w:val="en-AU"/>
        </w:rPr>
      </w:pPr>
    </w:p>
    <w:p w14:paraId="6E5F4845" w14:textId="77777777" w:rsidR="00753CD6" w:rsidRDefault="00753CD6" w:rsidP="00753CD6">
      <w:pPr>
        <w:spacing w:after="0"/>
        <w:rPr>
          <w:lang w:val="en-AU"/>
        </w:rPr>
      </w:pPr>
    </w:p>
    <w:p w14:paraId="51FEF61F" w14:textId="77777777" w:rsidR="00753CD6" w:rsidRDefault="00753CD6" w:rsidP="00753CD6">
      <w:pPr>
        <w:spacing w:after="0"/>
        <w:rPr>
          <w:lang w:val="en-AU"/>
        </w:rPr>
      </w:pPr>
    </w:p>
    <w:p w14:paraId="31AD8BF2" w14:textId="77777777" w:rsidR="00753CD6" w:rsidRDefault="00753CD6" w:rsidP="00753CD6">
      <w:pPr>
        <w:spacing w:after="0"/>
        <w:rPr>
          <w:lang w:val="en-AU"/>
        </w:rPr>
      </w:pPr>
    </w:p>
    <w:p w14:paraId="7120FC71" w14:textId="77777777" w:rsidR="00753CD6" w:rsidRDefault="00753CD6" w:rsidP="00753CD6">
      <w:pPr>
        <w:spacing w:after="0"/>
        <w:rPr>
          <w:lang w:val="en-AU"/>
        </w:rPr>
      </w:pPr>
    </w:p>
    <w:p w14:paraId="425116EF" w14:textId="77777777" w:rsidR="00753CD6" w:rsidRDefault="00753CD6" w:rsidP="00753CD6">
      <w:pPr>
        <w:spacing w:after="0"/>
        <w:rPr>
          <w:lang w:val="en-AU"/>
        </w:rPr>
      </w:pPr>
    </w:p>
    <w:p w14:paraId="7673F417" w14:textId="77777777" w:rsidR="00753CD6" w:rsidRDefault="00753CD6" w:rsidP="00753CD6">
      <w:pPr>
        <w:spacing w:after="0"/>
        <w:rPr>
          <w:lang w:val="en-AU"/>
        </w:rPr>
      </w:pPr>
    </w:p>
    <w:p w14:paraId="57C047B2" w14:textId="77777777" w:rsidR="00753CD6" w:rsidRDefault="00753CD6" w:rsidP="00753CD6">
      <w:pPr>
        <w:spacing w:after="0"/>
        <w:rPr>
          <w:lang w:val="en-AU"/>
        </w:rPr>
      </w:pPr>
    </w:p>
    <w:p w14:paraId="1A18D19B" w14:textId="77777777" w:rsidR="00753CD6" w:rsidRDefault="00753CD6" w:rsidP="00753CD6">
      <w:pPr>
        <w:spacing w:after="0"/>
        <w:rPr>
          <w:lang w:val="en-AU"/>
        </w:rPr>
      </w:pPr>
    </w:p>
    <w:p w14:paraId="7EA9B5B6" w14:textId="77777777" w:rsidR="00753CD6" w:rsidRDefault="00753CD6" w:rsidP="00753CD6">
      <w:pPr>
        <w:spacing w:after="0"/>
        <w:rPr>
          <w:lang w:val="en-AU"/>
        </w:rPr>
      </w:pPr>
    </w:p>
    <w:p w14:paraId="73A9DFC7" w14:textId="77777777" w:rsidR="00D44A2E" w:rsidRDefault="00D44A2E" w:rsidP="00D44A2E">
      <w:pPr>
        <w:spacing w:after="0"/>
        <w:rPr>
          <w:rFonts w:ascii="Calibri" w:eastAsia="Calibri" w:hAnsi="Calibri" w:cs="Calibri"/>
        </w:rPr>
      </w:pPr>
      <w:bookmarkStart w:id="9" w:name="_Toc77320663"/>
    </w:p>
    <w:p w14:paraId="7DE19F32" w14:textId="4B914DCC" w:rsidR="00D7008A" w:rsidRPr="000F28E4" w:rsidRDefault="00D7008A" w:rsidP="000F28E4">
      <w:pPr>
        <w:spacing w:after="0"/>
        <w:jc w:val="center"/>
        <w:rPr>
          <w:rFonts w:ascii="Calibri" w:eastAsia="Calibri" w:hAnsi="Calibri" w:cs="Calibri"/>
          <w:color w:val="002060"/>
        </w:rPr>
      </w:pPr>
      <w:r w:rsidRPr="000F28E4">
        <w:rPr>
          <w:rFonts w:ascii="Calibri" w:eastAsia="Calibri" w:hAnsi="Calibri" w:cs="Calibri"/>
          <w:color w:val="002060"/>
        </w:rPr>
        <w:t xml:space="preserve">The Department of Education, Skills and Employment acknowledges the traditional owners and custodians of the Kulin Nation lands where we work and travel through. We pay our respects to their people, </w:t>
      </w:r>
      <w:r w:rsidR="00524CB8" w:rsidRPr="000F28E4">
        <w:rPr>
          <w:rFonts w:ascii="Calibri" w:eastAsia="Calibri" w:hAnsi="Calibri" w:cs="Calibri"/>
          <w:color w:val="002060"/>
        </w:rPr>
        <w:t>cultures,</w:t>
      </w:r>
      <w:r w:rsidRPr="000F28E4">
        <w:rPr>
          <w:rFonts w:ascii="Calibri" w:eastAsia="Calibri" w:hAnsi="Calibri" w:cs="Calibri"/>
          <w:color w:val="002060"/>
        </w:rPr>
        <w:t xml:space="preserve"> and their Elders past, present and emerging.</w:t>
      </w:r>
    </w:p>
    <w:p w14:paraId="7B0E9BF2" w14:textId="1A7D1934" w:rsidR="00976673" w:rsidRDefault="00976673" w:rsidP="00976673">
      <w:pPr>
        <w:rPr>
          <w:lang w:val="en-AU"/>
        </w:rPr>
      </w:pPr>
    </w:p>
    <w:p w14:paraId="4C3C9A69" w14:textId="77777777" w:rsidR="000F28E4" w:rsidRPr="00976673" w:rsidRDefault="000F28E4" w:rsidP="00976673">
      <w:pPr>
        <w:rPr>
          <w:lang w:val="en-AU"/>
        </w:rPr>
      </w:pPr>
    </w:p>
    <w:p w14:paraId="637C739A" w14:textId="183F1B6B" w:rsidR="006C27E6" w:rsidRPr="00753CD6" w:rsidRDefault="00AB39EB" w:rsidP="00753CD6">
      <w:pPr>
        <w:pStyle w:val="Heading1"/>
        <w:rPr>
          <w:rStyle w:val="Heading1Char"/>
          <w:rFonts w:asciiTheme="minorHAnsi" w:eastAsiaTheme="minorEastAsia" w:hAnsiTheme="minorHAnsi" w:cstheme="minorBidi"/>
          <w:noProof w:val="0"/>
          <w:color w:val="auto"/>
          <w:sz w:val="22"/>
          <w:szCs w:val="22"/>
        </w:rPr>
      </w:pPr>
      <w:bookmarkStart w:id="10" w:name="_Toc78461091"/>
      <w:r>
        <w:rPr>
          <w:rStyle w:val="Heading1Char"/>
          <w:rFonts w:asciiTheme="minorHAnsi" w:eastAsiaTheme="minorEastAsia" w:hAnsiTheme="minorHAnsi" w:cstheme="minorHAnsi"/>
          <w:sz w:val="32"/>
          <w:szCs w:val="32"/>
        </w:rPr>
        <w:t>P</w:t>
      </w:r>
      <w:r w:rsidR="006C27E6" w:rsidRPr="0061007B">
        <w:rPr>
          <w:rStyle w:val="Heading1Char"/>
          <w:rFonts w:asciiTheme="minorHAnsi" w:eastAsiaTheme="minorEastAsia" w:hAnsiTheme="minorHAnsi" w:cstheme="minorHAnsi"/>
          <w:sz w:val="32"/>
          <w:szCs w:val="32"/>
        </w:rPr>
        <w:t>reface</w:t>
      </w:r>
      <w:bookmarkEnd w:id="9"/>
      <w:bookmarkEnd w:id="10"/>
    </w:p>
    <w:p w14:paraId="386BD933" w14:textId="6F5817F5" w:rsidR="006C27E6" w:rsidRDefault="00056CBD" w:rsidP="00056CBD">
      <w:pPr>
        <w:spacing w:after="0"/>
        <w:rPr>
          <w:rFonts w:ascii="Calibri" w:eastAsia="Calibri" w:hAnsi="Calibri" w:cs="Calibri"/>
          <w:lang w:val="en-US"/>
        </w:rPr>
      </w:pPr>
      <w:r w:rsidRPr="007D1210">
        <w:rPr>
          <w:rFonts w:ascii="Calibri" w:eastAsia="Calibri" w:hAnsi="Calibri" w:cs="Calibri"/>
        </w:rPr>
        <w:t xml:space="preserve">As part of supporting Australia’s economic recovery from the COVID-19 pandemic, the Australian </w:t>
      </w:r>
      <w:r w:rsidRPr="007D1210">
        <w:rPr>
          <w:rFonts w:ascii="Calibri" w:eastAsia="Calibri" w:hAnsi="Calibri" w:cs="Calibri"/>
          <w:lang w:val="en-US"/>
        </w:rPr>
        <w:t>Government’s</w:t>
      </w:r>
      <w:r w:rsidR="006C27E6" w:rsidRPr="00F93930">
        <w:rPr>
          <w:rFonts w:eastAsia="Calibri" w:cstheme="minorHAnsi"/>
          <w:lang w:val="en-US"/>
        </w:rPr>
        <w:t> Local Jobs Program (LJP) brings together expertise, resources and access to funding at the local level to </w:t>
      </w:r>
      <w:r>
        <w:rPr>
          <w:rFonts w:ascii="Calibri" w:eastAsia="Calibri" w:hAnsi="Calibri" w:cs="Calibri"/>
          <w:lang w:val="en-US"/>
        </w:rPr>
        <w:t>accelerate</w:t>
      </w:r>
      <w:r w:rsidRPr="007D1210">
        <w:rPr>
          <w:rFonts w:ascii="Calibri" w:eastAsia="Calibri" w:hAnsi="Calibri" w:cs="Calibri"/>
          <w:lang w:val="en-US"/>
        </w:rPr>
        <w:t xml:space="preserve"> </w:t>
      </w:r>
      <w:r w:rsidR="006C27E6" w:rsidRPr="00F93930">
        <w:rPr>
          <w:rFonts w:eastAsia="Calibri" w:cstheme="minorHAnsi"/>
          <w:lang w:val="en-US"/>
        </w:rPr>
        <w:t xml:space="preserve">reskilling, upskilling and employment pathways </w:t>
      </w:r>
      <w:r w:rsidRPr="007D1210">
        <w:rPr>
          <w:rFonts w:ascii="Calibri" w:eastAsia="Calibri" w:hAnsi="Calibri" w:cs="Calibri"/>
          <w:lang w:val="en-US"/>
        </w:rPr>
        <w:t>in 51 Employment</w:t>
      </w:r>
      <w:r w:rsidR="00F10595">
        <w:rPr>
          <w:rFonts w:ascii="Calibri" w:eastAsia="Calibri" w:hAnsi="Calibri" w:cs="Calibri"/>
          <w:lang w:val="en-US"/>
        </w:rPr>
        <w:t xml:space="preserve"> Regions (ER</w:t>
      </w:r>
      <w:r w:rsidRPr="007D1210">
        <w:rPr>
          <w:rFonts w:ascii="Calibri" w:eastAsia="Calibri" w:hAnsi="Calibri" w:cs="Calibri"/>
          <w:lang w:val="en-US"/>
        </w:rPr>
        <w:t>s</w:t>
      </w:r>
      <w:r w:rsidR="00F10595">
        <w:rPr>
          <w:rFonts w:ascii="Calibri" w:eastAsia="Calibri" w:hAnsi="Calibri" w:cs="Calibri"/>
          <w:lang w:val="en-US"/>
        </w:rPr>
        <w:t>).</w:t>
      </w:r>
    </w:p>
    <w:p w14:paraId="6B5DB31A" w14:textId="77777777" w:rsidR="00056CBD" w:rsidRDefault="00056CBD" w:rsidP="006813D3">
      <w:pPr>
        <w:spacing w:after="0"/>
        <w:jc w:val="both"/>
        <w:rPr>
          <w:rFonts w:ascii="Calibri" w:hAnsi="Calibri" w:cs="Calibri"/>
        </w:rPr>
      </w:pPr>
    </w:p>
    <w:p w14:paraId="753DC701" w14:textId="17D5EC30" w:rsidR="00056CBD" w:rsidRPr="007D1210" w:rsidRDefault="00056CBD" w:rsidP="00056CBD">
      <w:pPr>
        <w:spacing w:after="120"/>
        <w:rPr>
          <w:rFonts w:ascii="Calibri" w:hAnsi="Calibri" w:cs="Calibri"/>
        </w:rPr>
      </w:pPr>
      <w:r w:rsidRPr="007D1210">
        <w:rPr>
          <w:rFonts w:ascii="Calibri" w:hAnsi="Calibri" w:cs="Calibri"/>
        </w:rPr>
        <w:t xml:space="preserve">Recognising the importance of local knowledge in getting people back into jobs quickly, the LJP includes the following key elements in each </w:t>
      </w:r>
      <w:r w:rsidR="00F10595">
        <w:rPr>
          <w:rFonts w:ascii="Calibri" w:hAnsi="Calibri" w:cs="Calibri"/>
        </w:rPr>
        <w:t>ER</w:t>
      </w:r>
      <w:r w:rsidRPr="007D1210">
        <w:rPr>
          <w:rFonts w:ascii="Calibri" w:hAnsi="Calibri" w:cs="Calibri"/>
        </w:rPr>
        <w:t>:</w:t>
      </w:r>
    </w:p>
    <w:p w14:paraId="5E086055" w14:textId="77777777" w:rsidR="00056CBD" w:rsidRPr="007D1210" w:rsidRDefault="00056CBD" w:rsidP="00056CBD">
      <w:pPr>
        <w:pStyle w:val="ListParagraph"/>
        <w:numPr>
          <w:ilvl w:val="0"/>
          <w:numId w:val="10"/>
        </w:numPr>
        <w:spacing w:after="0"/>
        <w:rPr>
          <w:rFonts w:eastAsiaTheme="minorHAnsi"/>
        </w:rPr>
      </w:pPr>
      <w:r w:rsidRPr="007D1210">
        <w:t xml:space="preserve">a local </w:t>
      </w:r>
      <w:r w:rsidRPr="007D1210">
        <w:rPr>
          <w:rFonts w:eastAsiaTheme="minorHAnsi"/>
        </w:rPr>
        <w:t>Employment Facilitator</w:t>
      </w:r>
    </w:p>
    <w:p w14:paraId="0264772C" w14:textId="77777777" w:rsidR="00056CBD" w:rsidRPr="007D1210" w:rsidRDefault="00056CBD" w:rsidP="00056CBD">
      <w:pPr>
        <w:pStyle w:val="ListParagraph"/>
        <w:numPr>
          <w:ilvl w:val="0"/>
          <w:numId w:val="10"/>
        </w:numPr>
        <w:spacing w:after="0"/>
        <w:rPr>
          <w:rFonts w:eastAsiaTheme="minorHAnsi"/>
        </w:rPr>
      </w:pPr>
      <w:r w:rsidRPr="007D1210">
        <w:t xml:space="preserve">a </w:t>
      </w:r>
      <w:r w:rsidRPr="007D1210">
        <w:rPr>
          <w:rFonts w:eastAsiaTheme="minorHAnsi"/>
        </w:rPr>
        <w:t xml:space="preserve">Local Jobs and Skills Taskforce </w:t>
      </w:r>
    </w:p>
    <w:p w14:paraId="633C81BD" w14:textId="77777777" w:rsidR="00056CBD" w:rsidRPr="007D1210" w:rsidRDefault="00056CBD" w:rsidP="00056CBD">
      <w:pPr>
        <w:pStyle w:val="ListParagraph"/>
        <w:numPr>
          <w:ilvl w:val="0"/>
          <w:numId w:val="10"/>
        </w:numPr>
        <w:spacing w:after="0"/>
        <w:rPr>
          <w:rFonts w:eastAsiaTheme="minorHAnsi"/>
        </w:rPr>
      </w:pPr>
      <w:r w:rsidRPr="007D1210">
        <w:t xml:space="preserve">a </w:t>
      </w:r>
      <w:r w:rsidRPr="007D1210">
        <w:rPr>
          <w:rFonts w:eastAsiaTheme="minorHAnsi"/>
        </w:rPr>
        <w:t>Local Jobs Plan</w:t>
      </w:r>
    </w:p>
    <w:p w14:paraId="234A16B1" w14:textId="77777777" w:rsidR="00056CBD" w:rsidRPr="007D1210" w:rsidRDefault="00056CBD" w:rsidP="00056CBD">
      <w:pPr>
        <w:pStyle w:val="ListParagraph"/>
        <w:numPr>
          <w:ilvl w:val="0"/>
          <w:numId w:val="10"/>
        </w:numPr>
        <w:spacing w:after="0"/>
        <w:rPr>
          <w:rFonts w:eastAsiaTheme="minorHAnsi"/>
        </w:rPr>
      </w:pPr>
      <w:r w:rsidRPr="007D1210">
        <w:rPr>
          <w:rFonts w:eastAsiaTheme="minorHAnsi"/>
        </w:rPr>
        <w:t xml:space="preserve">a Local Recovery Fund to support small scale activities </w:t>
      </w:r>
    </w:p>
    <w:p w14:paraId="6C554569" w14:textId="77777777" w:rsidR="00056CBD" w:rsidRPr="007D1210" w:rsidRDefault="00056CBD" w:rsidP="00056CBD">
      <w:pPr>
        <w:pStyle w:val="ListParagraph"/>
        <w:numPr>
          <w:ilvl w:val="0"/>
          <w:numId w:val="10"/>
        </w:numPr>
        <w:spacing w:after="120"/>
        <w:rPr>
          <w:rFonts w:eastAsiaTheme="minorHAnsi"/>
        </w:rPr>
      </w:pPr>
      <w:r w:rsidRPr="007D1210">
        <w:rPr>
          <w:rFonts w:eastAsiaTheme="minorHAnsi"/>
        </w:rPr>
        <w:t>access to the National Priority Funding Pool.</w:t>
      </w:r>
    </w:p>
    <w:p w14:paraId="1E54C76E" w14:textId="5F2383B1" w:rsidR="00056CBD" w:rsidRPr="007D1210" w:rsidRDefault="00056CBD" w:rsidP="006813D3">
      <w:pPr>
        <w:spacing w:after="0"/>
        <w:jc w:val="both"/>
      </w:pPr>
      <w:r w:rsidRPr="007D1210">
        <w:t xml:space="preserve">The Taskforces, each chaired by the respective </w:t>
      </w:r>
      <w:r w:rsidR="00F10595">
        <w:t>ER</w:t>
      </w:r>
      <w:r w:rsidRPr="007D1210">
        <w:t xml:space="preserve">’s Employment Facilitator, develop and update a Local Jobs Plan for their </w:t>
      </w:r>
      <w:r w:rsidR="00F10595">
        <w:t>ER</w:t>
      </w:r>
      <w:r w:rsidRPr="007D1210">
        <w:t xml:space="preserve"> that identifies key employment and training priorities and provides a </w:t>
      </w:r>
      <w:r w:rsidRPr="006813D3">
        <w:rPr>
          <w:rFonts w:ascii="Calibri" w:hAnsi="Calibri" w:cs="Calibri"/>
        </w:rPr>
        <w:t>framework</w:t>
      </w:r>
      <w:r w:rsidRPr="007D1210">
        <w:t xml:space="preserve"> for driving employment outcomes in the context of the local labour market.</w:t>
      </w:r>
    </w:p>
    <w:p w14:paraId="60F0EA25" w14:textId="77777777" w:rsidR="00C7651D" w:rsidRPr="00F93930" w:rsidRDefault="00C7651D" w:rsidP="00AA044C">
      <w:pPr>
        <w:spacing w:after="0"/>
        <w:jc w:val="both"/>
        <w:rPr>
          <w:rFonts w:eastAsia="Calibri" w:cstheme="minorHAnsi"/>
        </w:rPr>
      </w:pPr>
    </w:p>
    <w:p w14:paraId="413DAAB0" w14:textId="1C8ADC98" w:rsidR="001770C6" w:rsidRDefault="006C27E6" w:rsidP="00AA044C">
      <w:pPr>
        <w:spacing w:after="0"/>
        <w:rPr>
          <w:rFonts w:eastAsia="Calibri" w:cstheme="minorHAnsi"/>
        </w:rPr>
      </w:pPr>
      <w:r w:rsidRPr="00F93930">
        <w:rPr>
          <w:rFonts w:eastAsia="Calibri" w:cstheme="minorHAnsi"/>
        </w:rPr>
        <w:t xml:space="preserve">This interim </w:t>
      </w:r>
      <w:r w:rsidRPr="00B86C73">
        <w:rPr>
          <w:rFonts w:eastAsia="Calibri" w:cstheme="minorHAnsi"/>
        </w:rPr>
        <w:t xml:space="preserve">plan identifies the </w:t>
      </w:r>
      <w:r w:rsidR="001770C6">
        <w:rPr>
          <w:rFonts w:eastAsia="Calibri" w:cstheme="minorHAnsi"/>
        </w:rPr>
        <w:t xml:space="preserve">direction and </w:t>
      </w:r>
      <w:r w:rsidRPr="00B86C73">
        <w:rPr>
          <w:rFonts w:eastAsia="Calibri" w:cstheme="minorHAnsi"/>
        </w:rPr>
        <w:t xml:space="preserve">key priorities for the North Eastern Melbourne </w:t>
      </w:r>
      <w:r w:rsidR="00F10595">
        <w:rPr>
          <w:rFonts w:eastAsia="Calibri" w:cstheme="minorHAnsi"/>
        </w:rPr>
        <w:t>ER</w:t>
      </w:r>
      <w:r w:rsidRPr="00B86C73">
        <w:rPr>
          <w:rFonts w:eastAsia="Calibri" w:cstheme="minorHAnsi"/>
        </w:rPr>
        <w:t>, with a focus on creating employment opportunities,</w:t>
      </w:r>
      <w:r w:rsidR="00056CBD" w:rsidRPr="007D1210">
        <w:rPr>
          <w:rFonts w:eastAsiaTheme="minorHAnsi"/>
        </w:rPr>
        <w:t xml:space="preserve"> actively upskilling or reskilling local job seekers and meeting local employer demands.  </w:t>
      </w:r>
    </w:p>
    <w:p w14:paraId="42BDDE52" w14:textId="77777777" w:rsidR="00C6189B" w:rsidRDefault="00C6189B" w:rsidP="006813D3">
      <w:pPr>
        <w:spacing w:after="0"/>
        <w:jc w:val="both"/>
        <w:rPr>
          <w:rFonts w:ascii="Calibri" w:eastAsia="Calibri" w:hAnsi="Calibri" w:cs="Calibri"/>
          <w:lang w:val="en-AU"/>
        </w:rPr>
      </w:pPr>
    </w:p>
    <w:p w14:paraId="020D3782" w14:textId="7AFB70BC" w:rsidR="0091517E" w:rsidRDefault="001770C6" w:rsidP="00246AB6">
      <w:pPr>
        <w:spacing w:after="0"/>
        <w:rPr>
          <w:rFonts w:eastAsia="Calibri" w:cstheme="minorHAnsi"/>
        </w:rPr>
      </w:pPr>
      <w:r w:rsidRPr="310A692D">
        <w:rPr>
          <w:rFonts w:ascii="Calibri" w:eastAsia="Calibri" w:hAnsi="Calibri" w:cs="Calibri"/>
          <w:lang w:val="en-AU"/>
        </w:rPr>
        <w:t xml:space="preserve">The Local Jobs Plan will be reviewed </w:t>
      </w:r>
      <w:r w:rsidR="00C6189B">
        <w:rPr>
          <w:rFonts w:ascii="Calibri" w:eastAsia="Calibri" w:hAnsi="Calibri" w:cs="Calibri"/>
          <w:lang w:val="en-AU"/>
        </w:rPr>
        <w:t xml:space="preserve">following establishment of the </w:t>
      </w:r>
      <w:r w:rsidR="00C6189B" w:rsidRPr="00B86C73">
        <w:rPr>
          <w:rFonts w:eastAsia="Calibri" w:cstheme="minorHAnsi"/>
        </w:rPr>
        <w:t xml:space="preserve">North Eastern Melbourne </w:t>
      </w:r>
      <w:r w:rsidR="00C6189B" w:rsidRPr="008D424A">
        <w:rPr>
          <w:rFonts w:ascii="Calibri" w:eastAsia="Calibri" w:hAnsi="Calibri" w:cs="Calibri"/>
        </w:rPr>
        <w:t>Local Jobs and Skills</w:t>
      </w:r>
      <w:r w:rsidR="00C6189B" w:rsidRPr="008D424A">
        <w:rPr>
          <w:rFonts w:ascii="Calibri" w:eastAsia="Calibri" w:hAnsi="Calibri" w:cs="Calibri"/>
          <w:b/>
          <w:bCs/>
        </w:rPr>
        <w:t xml:space="preserve"> </w:t>
      </w:r>
      <w:r w:rsidR="00C6189B" w:rsidRPr="006813D3">
        <w:rPr>
          <w:rFonts w:ascii="Calibri" w:eastAsia="Calibri" w:hAnsi="Calibri" w:cs="Calibri"/>
        </w:rPr>
        <w:t>Taskforce</w:t>
      </w:r>
      <w:r w:rsidR="00C6189B">
        <w:rPr>
          <w:rFonts w:ascii="Calibri" w:eastAsia="Calibri" w:hAnsi="Calibri" w:cs="Calibri"/>
        </w:rPr>
        <w:t>,</w:t>
      </w:r>
      <w:r w:rsidR="00C6189B" w:rsidRPr="008D424A">
        <w:rPr>
          <w:rFonts w:ascii="Calibri" w:eastAsia="Calibri" w:hAnsi="Calibri" w:cs="Calibri"/>
        </w:rPr>
        <w:t xml:space="preserve"> </w:t>
      </w:r>
      <w:r w:rsidRPr="310A692D">
        <w:rPr>
          <w:rFonts w:ascii="Calibri" w:eastAsia="Calibri" w:hAnsi="Calibri" w:cs="Calibri"/>
          <w:lang w:val="en-AU"/>
        </w:rPr>
        <w:t xml:space="preserve">and </w:t>
      </w:r>
      <w:r w:rsidR="00C6189B">
        <w:rPr>
          <w:rFonts w:ascii="Calibri" w:eastAsia="Calibri" w:hAnsi="Calibri" w:cs="Calibri"/>
          <w:lang w:val="en-AU"/>
        </w:rPr>
        <w:t xml:space="preserve">as required </w:t>
      </w:r>
      <w:r w:rsidRPr="310A692D">
        <w:rPr>
          <w:rFonts w:ascii="Calibri" w:eastAsia="Calibri" w:hAnsi="Calibri" w:cs="Calibri"/>
          <w:lang w:val="en-AU"/>
        </w:rPr>
        <w:t xml:space="preserve">to include emerging priorities and address the current needs of the </w:t>
      </w:r>
      <w:r w:rsidR="00C04ACA">
        <w:rPr>
          <w:rFonts w:ascii="Calibri" w:eastAsia="Calibri" w:hAnsi="Calibri" w:cs="Calibri"/>
          <w:lang w:val="en-AU"/>
        </w:rPr>
        <w:t>ER</w:t>
      </w:r>
      <w:r w:rsidR="00056CBD">
        <w:rPr>
          <w:rFonts w:ascii="Calibri" w:eastAsia="Calibri" w:hAnsi="Calibri" w:cs="Calibri"/>
          <w:lang w:val="en-AU"/>
        </w:rPr>
        <w:t>, or at least every 6 months</w:t>
      </w:r>
      <w:r w:rsidR="00C6189B">
        <w:rPr>
          <w:rFonts w:ascii="Calibri" w:eastAsia="Calibri" w:hAnsi="Calibri" w:cs="Calibri"/>
          <w:lang w:val="en-AU"/>
        </w:rPr>
        <w:t>.</w:t>
      </w:r>
    </w:p>
    <w:p w14:paraId="7E941AC9" w14:textId="076510EA" w:rsidR="00393059" w:rsidRDefault="006813D3" w:rsidP="0091517E">
      <w:pPr>
        <w:pStyle w:val="Heading1"/>
        <w:spacing w:before="0" w:after="0"/>
        <w:rPr>
          <w:rFonts w:asciiTheme="minorHAnsi" w:hAnsiTheme="minorHAnsi" w:cstheme="minorHAnsi"/>
          <w:sz w:val="32"/>
          <w:szCs w:val="32"/>
        </w:rPr>
      </w:pPr>
      <w:r>
        <w:rPr>
          <w:rFonts w:asciiTheme="minorHAnsi" w:hAnsiTheme="minorHAnsi" w:cstheme="minorHAnsi"/>
          <w:sz w:val="32"/>
          <w:szCs w:val="32"/>
        </w:rPr>
        <w:br w:type="column"/>
      </w:r>
    </w:p>
    <w:p w14:paraId="70F8A320" w14:textId="1B20CF17" w:rsidR="006C27E6" w:rsidRPr="006813D3" w:rsidRDefault="00D32AAA" w:rsidP="006813D3">
      <w:pPr>
        <w:pStyle w:val="Heading1"/>
        <w:rPr>
          <w:rStyle w:val="Heading1Char"/>
          <w:rFonts w:asciiTheme="minorHAnsi" w:eastAsiaTheme="minorEastAsia" w:hAnsiTheme="minorHAnsi" w:cstheme="minorHAnsi"/>
          <w:sz w:val="32"/>
          <w:szCs w:val="32"/>
        </w:rPr>
      </w:pPr>
      <w:bookmarkStart w:id="11" w:name="_Toc78461092"/>
      <w:r w:rsidRPr="006813D3">
        <w:rPr>
          <w:rStyle w:val="Heading1Char"/>
          <w:rFonts w:asciiTheme="minorHAnsi" w:eastAsiaTheme="minorEastAsia" w:hAnsiTheme="minorHAnsi" w:cstheme="minorHAnsi"/>
          <w:sz w:val="32"/>
          <w:szCs w:val="32"/>
        </w:rPr>
        <w:t xml:space="preserve">Local Jobs Program </w:t>
      </w:r>
      <w:r w:rsidR="006C27E6" w:rsidRPr="006813D3">
        <w:rPr>
          <w:rStyle w:val="Heading1Char"/>
          <w:rFonts w:asciiTheme="minorHAnsi" w:eastAsiaTheme="minorEastAsia" w:hAnsiTheme="minorHAnsi" w:cstheme="minorHAnsi"/>
          <w:sz w:val="32"/>
          <w:szCs w:val="32"/>
        </w:rPr>
        <w:t xml:space="preserve">Key Priorities: North Eastern Melbourne </w:t>
      </w:r>
      <w:r w:rsidR="00C04ACA">
        <w:rPr>
          <w:rStyle w:val="Heading1Char"/>
          <w:rFonts w:asciiTheme="minorHAnsi" w:eastAsiaTheme="minorEastAsia" w:hAnsiTheme="minorHAnsi" w:cstheme="minorHAnsi"/>
          <w:sz w:val="32"/>
          <w:szCs w:val="32"/>
        </w:rPr>
        <w:t>ER</w:t>
      </w:r>
      <w:bookmarkEnd w:id="11"/>
    </w:p>
    <w:p w14:paraId="193C675B" w14:textId="5C354F40" w:rsidR="00072268" w:rsidRDefault="00562304" w:rsidP="0091517E">
      <w:pPr>
        <w:spacing w:after="0"/>
        <w:ind w:left="720" w:hanging="720"/>
      </w:pPr>
      <w:r>
        <w:tab/>
      </w:r>
      <w:bookmarkStart w:id="12" w:name="_Hlk77865106"/>
    </w:p>
    <w:p w14:paraId="1BE90B53" w14:textId="0AE3B4A6" w:rsidR="00F10595" w:rsidRDefault="006813D3" w:rsidP="00F10595">
      <w:pPr>
        <w:pStyle w:val="ListParagraph"/>
        <w:numPr>
          <w:ilvl w:val="0"/>
          <w:numId w:val="12"/>
        </w:numPr>
        <w:spacing w:after="0"/>
      </w:pPr>
      <w:r w:rsidRPr="006C17DF">
        <w:t>Maximis</w:t>
      </w:r>
      <w:r w:rsidR="00317810">
        <w:t>e</w:t>
      </w:r>
      <w:r w:rsidRPr="006C17DF">
        <w:t xml:space="preserve"> the benefits of existing Australian, Victorian and Local Government programs to creat</w:t>
      </w:r>
      <w:r>
        <w:t xml:space="preserve">e pathways to employment </w:t>
      </w:r>
      <w:r w:rsidRPr="006C17DF">
        <w:t xml:space="preserve">in growth </w:t>
      </w:r>
      <w:r>
        <w:t xml:space="preserve">and major employing industries, particularly in </w:t>
      </w:r>
      <w:r w:rsidRPr="00F10595">
        <w:t xml:space="preserve">Health Care and Social Assistance, Construction and Retail Trade, </w:t>
      </w:r>
      <w:r>
        <w:t>including through apprenticeships, traineeships.</w:t>
      </w:r>
    </w:p>
    <w:p w14:paraId="42AB743D" w14:textId="77777777" w:rsidR="00F10595" w:rsidRDefault="00F10595" w:rsidP="00F10595">
      <w:pPr>
        <w:pStyle w:val="ListParagraph"/>
        <w:spacing w:after="0"/>
      </w:pPr>
    </w:p>
    <w:p w14:paraId="1265BA94" w14:textId="6ECD8D0B" w:rsidR="00F10595" w:rsidRDefault="00072268" w:rsidP="00F10595">
      <w:pPr>
        <w:pStyle w:val="ListParagraph"/>
        <w:numPr>
          <w:ilvl w:val="0"/>
          <w:numId w:val="12"/>
        </w:numPr>
        <w:spacing w:after="0"/>
      </w:pPr>
      <w:r>
        <w:t>Broker</w:t>
      </w:r>
      <w:r w:rsidR="00317810">
        <w:t xml:space="preserve"> </w:t>
      </w:r>
      <w:r>
        <w:t>opportunities for employment and skill development</w:t>
      </w:r>
      <w:r w:rsidR="00F10595">
        <w:t xml:space="preserve"> to target</w:t>
      </w:r>
      <w:r>
        <w:t xml:space="preserve"> the economic recovery of peri-urban areas in the ER, with a particular focus on tourism and primary industries. </w:t>
      </w:r>
    </w:p>
    <w:p w14:paraId="155DA5C5" w14:textId="77777777" w:rsidR="00F10595" w:rsidRDefault="00F10595" w:rsidP="00F10595">
      <w:pPr>
        <w:pStyle w:val="ListParagraph"/>
        <w:spacing w:after="0"/>
      </w:pPr>
    </w:p>
    <w:p w14:paraId="74A7A039" w14:textId="70426B20" w:rsidR="00F10595" w:rsidRDefault="00072268" w:rsidP="00F10595">
      <w:pPr>
        <w:pStyle w:val="ListParagraph"/>
        <w:numPr>
          <w:ilvl w:val="0"/>
          <w:numId w:val="12"/>
        </w:numPr>
        <w:spacing w:after="0"/>
      </w:pPr>
      <w:r>
        <w:t>Develop strategies to upskill and/or reskill job seekers to meet the growing labour market needs in major infrastructure and construction</w:t>
      </w:r>
      <w:r w:rsidR="00007C37">
        <w:t xml:space="preserve"> projects</w:t>
      </w:r>
      <w:r>
        <w:t xml:space="preserve">, including supporting Victoria’s Big Build strategy.    </w:t>
      </w:r>
    </w:p>
    <w:p w14:paraId="5A1F424A" w14:textId="77777777" w:rsidR="00F10595" w:rsidRDefault="00F10595" w:rsidP="00F10595">
      <w:pPr>
        <w:pStyle w:val="ListParagraph"/>
        <w:spacing w:after="0"/>
      </w:pPr>
    </w:p>
    <w:p w14:paraId="6C250F30" w14:textId="519662E3" w:rsidR="00F10595" w:rsidRPr="00F10595" w:rsidRDefault="00BA2FEF" w:rsidP="00F10595">
      <w:pPr>
        <w:pStyle w:val="ListParagraph"/>
        <w:numPr>
          <w:ilvl w:val="0"/>
          <w:numId w:val="12"/>
        </w:numPr>
        <w:spacing w:after="0"/>
      </w:pPr>
      <w:r w:rsidRPr="00F10595">
        <w:rPr>
          <w:rFonts w:cstheme="minorHAnsi"/>
          <w:lang w:val="en-AU"/>
        </w:rPr>
        <w:t>Reduc</w:t>
      </w:r>
      <w:r w:rsidR="00317810">
        <w:rPr>
          <w:rFonts w:cstheme="minorHAnsi"/>
          <w:lang w:val="en-AU"/>
        </w:rPr>
        <w:t>e</w:t>
      </w:r>
      <w:r w:rsidRPr="00F10595">
        <w:rPr>
          <w:rFonts w:cstheme="minorHAnsi"/>
          <w:lang w:val="en-AU"/>
        </w:rPr>
        <w:t xml:space="preserve"> </w:t>
      </w:r>
      <w:r w:rsidR="00CE65B2" w:rsidRPr="00F10595">
        <w:rPr>
          <w:rFonts w:cstheme="minorHAnsi"/>
          <w:lang w:val="en-AU"/>
        </w:rPr>
        <w:t>barriers to participation and employment</w:t>
      </w:r>
      <w:r w:rsidR="00F10595">
        <w:rPr>
          <w:rFonts w:cstheme="minorHAnsi"/>
          <w:lang w:val="en-AU"/>
        </w:rPr>
        <w:t>,</w:t>
      </w:r>
      <w:r w:rsidR="00CE65B2" w:rsidRPr="00F10595">
        <w:rPr>
          <w:rFonts w:cstheme="minorHAnsi"/>
          <w:lang w:val="en-AU"/>
        </w:rPr>
        <w:t xml:space="preserve"> </w:t>
      </w:r>
      <w:r w:rsidR="007E11FD" w:rsidRPr="00F10595">
        <w:rPr>
          <w:rFonts w:cstheme="minorHAnsi"/>
          <w:lang w:val="en-AU"/>
        </w:rPr>
        <w:t xml:space="preserve">and </w:t>
      </w:r>
      <w:r w:rsidR="00EC183D" w:rsidRPr="00F10595">
        <w:rPr>
          <w:rFonts w:ascii="Calibri" w:eastAsia="Calibri" w:hAnsi="Calibri" w:cs="Calibri"/>
          <w:color w:val="000000" w:themeColor="text1"/>
        </w:rPr>
        <w:t>generat</w:t>
      </w:r>
      <w:r w:rsidR="00317810">
        <w:rPr>
          <w:rFonts w:ascii="Calibri" w:eastAsia="Calibri" w:hAnsi="Calibri" w:cs="Calibri"/>
          <w:color w:val="000000" w:themeColor="text1"/>
        </w:rPr>
        <w:t>e</w:t>
      </w:r>
      <w:r w:rsidR="00EC183D" w:rsidRPr="00F10595">
        <w:rPr>
          <w:rFonts w:ascii="Calibri" w:eastAsia="Calibri" w:hAnsi="Calibri" w:cs="Calibri"/>
          <w:color w:val="000000" w:themeColor="text1"/>
        </w:rPr>
        <w:t xml:space="preserve"> opportunities for skill development </w:t>
      </w:r>
      <w:r w:rsidR="00F10595">
        <w:rPr>
          <w:rFonts w:ascii="Calibri" w:eastAsia="Calibri" w:hAnsi="Calibri" w:cs="Calibri"/>
          <w:color w:val="000000" w:themeColor="text1"/>
        </w:rPr>
        <w:t xml:space="preserve">for </w:t>
      </w:r>
      <w:r w:rsidR="009D2E2E" w:rsidRPr="00F10595">
        <w:rPr>
          <w:rFonts w:cstheme="minorHAnsi"/>
          <w:lang w:val="en-AU"/>
        </w:rPr>
        <w:t>m</w:t>
      </w:r>
      <w:r w:rsidR="00BF6EA1" w:rsidRPr="00F10595">
        <w:rPr>
          <w:rFonts w:cstheme="minorHAnsi"/>
          <w:lang w:val="en-AU"/>
        </w:rPr>
        <w:t xml:space="preserve">ature </w:t>
      </w:r>
      <w:r w:rsidR="008E6450" w:rsidRPr="00F10595">
        <w:rPr>
          <w:rFonts w:cstheme="minorHAnsi"/>
          <w:lang w:val="en-AU"/>
        </w:rPr>
        <w:t>a</w:t>
      </w:r>
      <w:r w:rsidR="00BF6EA1" w:rsidRPr="00F10595">
        <w:rPr>
          <w:rFonts w:cstheme="minorHAnsi"/>
          <w:lang w:val="en-AU"/>
        </w:rPr>
        <w:t xml:space="preserve">ge people, people from </w:t>
      </w:r>
      <w:r w:rsidR="001C4590" w:rsidRPr="00F10595">
        <w:rPr>
          <w:rFonts w:cstheme="minorHAnsi"/>
          <w:lang w:val="en-AU"/>
        </w:rPr>
        <w:t>Culturally and Linguistically Diverse (CALD)</w:t>
      </w:r>
      <w:r w:rsidR="004A0577" w:rsidRPr="00F10595">
        <w:rPr>
          <w:rFonts w:cstheme="minorHAnsi"/>
          <w:lang w:val="en-AU"/>
        </w:rPr>
        <w:t xml:space="preserve"> backgrounds</w:t>
      </w:r>
      <w:r w:rsidR="00BF6EA1" w:rsidRPr="00F10595">
        <w:rPr>
          <w:rFonts w:cstheme="minorHAnsi"/>
          <w:lang w:val="en-AU"/>
        </w:rPr>
        <w:t xml:space="preserve">, </w:t>
      </w:r>
      <w:r w:rsidR="007653C6" w:rsidRPr="00F10595">
        <w:rPr>
          <w:rFonts w:cstheme="minorHAnsi"/>
          <w:lang w:val="en-AU"/>
        </w:rPr>
        <w:t>Youth,</w:t>
      </w:r>
      <w:r w:rsidR="00BF6EA1" w:rsidRPr="00F10595">
        <w:rPr>
          <w:rFonts w:cstheme="minorHAnsi"/>
          <w:lang w:val="en-AU"/>
        </w:rPr>
        <w:t xml:space="preserve"> </w:t>
      </w:r>
      <w:r w:rsidR="00FC2587" w:rsidRPr="00F10595">
        <w:rPr>
          <w:rFonts w:cstheme="minorHAnsi"/>
          <w:lang w:val="en-AU"/>
        </w:rPr>
        <w:t xml:space="preserve">people </w:t>
      </w:r>
      <w:r w:rsidR="00C7651D" w:rsidRPr="00F10595">
        <w:rPr>
          <w:rFonts w:cstheme="minorHAnsi"/>
          <w:lang w:val="en-AU"/>
        </w:rPr>
        <w:t xml:space="preserve">with </w:t>
      </w:r>
      <w:r w:rsidR="009B3D24">
        <w:rPr>
          <w:rFonts w:cstheme="minorHAnsi"/>
          <w:lang w:val="en-AU"/>
        </w:rPr>
        <w:t xml:space="preserve">a </w:t>
      </w:r>
      <w:r w:rsidR="00C7651D" w:rsidRPr="00F10595">
        <w:rPr>
          <w:rFonts w:cstheme="minorHAnsi"/>
          <w:lang w:val="en-AU"/>
        </w:rPr>
        <w:t xml:space="preserve">disability </w:t>
      </w:r>
      <w:r w:rsidR="00BF6EA1" w:rsidRPr="00F10595">
        <w:rPr>
          <w:rFonts w:cstheme="minorHAnsi"/>
          <w:lang w:val="en-AU"/>
        </w:rPr>
        <w:t xml:space="preserve">and </w:t>
      </w:r>
      <w:r w:rsidR="00F10595" w:rsidRPr="00F10595">
        <w:rPr>
          <w:rFonts w:cstheme="minorHAnsi"/>
          <w:lang w:val="en-AU"/>
        </w:rPr>
        <w:t xml:space="preserve">Aboriginal and Torres Strait Islander </w:t>
      </w:r>
      <w:r w:rsidR="00F94B27">
        <w:rPr>
          <w:rFonts w:cstheme="minorHAnsi"/>
          <w:lang w:val="en-AU"/>
        </w:rPr>
        <w:t>p</w:t>
      </w:r>
      <w:r w:rsidR="00F10595" w:rsidRPr="00F10595">
        <w:rPr>
          <w:rFonts w:cstheme="minorHAnsi"/>
          <w:lang w:val="en-AU"/>
        </w:rPr>
        <w:t>eoples</w:t>
      </w:r>
      <w:r w:rsidR="009B3D24">
        <w:rPr>
          <w:rFonts w:cstheme="minorHAnsi"/>
          <w:lang w:val="en-AU"/>
        </w:rPr>
        <w:t>, a</w:t>
      </w:r>
      <w:r w:rsidR="00F10595" w:rsidRPr="00F10595">
        <w:rPr>
          <w:rFonts w:ascii="Calibri" w:eastAsia="Calibri" w:hAnsi="Calibri" w:cs="Calibri"/>
          <w:bCs/>
          <w:color w:val="000000" w:themeColor="text1"/>
        </w:rPr>
        <w:t xml:space="preserve">ligned to </w:t>
      </w:r>
      <w:r w:rsidR="00F10595" w:rsidRPr="00F10595">
        <w:rPr>
          <w:color w:val="000000" w:themeColor="text1"/>
        </w:rPr>
        <w:t>local employer and industry needs</w:t>
      </w:r>
      <w:r w:rsidR="007E11FD" w:rsidRPr="00F10595">
        <w:rPr>
          <w:rFonts w:cstheme="minorHAnsi"/>
          <w:lang w:val="en-AU"/>
        </w:rPr>
        <w:t>.</w:t>
      </w:r>
    </w:p>
    <w:p w14:paraId="64C49C52" w14:textId="77777777" w:rsidR="00F10595" w:rsidRDefault="00F10595" w:rsidP="00F10595">
      <w:pPr>
        <w:pStyle w:val="ListParagraph"/>
      </w:pPr>
    </w:p>
    <w:p w14:paraId="0726D001" w14:textId="226386D0" w:rsidR="006C27E6" w:rsidRDefault="006C27E6" w:rsidP="00F10595">
      <w:pPr>
        <w:pStyle w:val="ListParagraph"/>
        <w:numPr>
          <w:ilvl w:val="0"/>
          <w:numId w:val="12"/>
        </w:numPr>
        <w:spacing w:after="0"/>
      </w:pPr>
      <w:r w:rsidRPr="00F535DB">
        <w:t>Facilitat</w:t>
      </w:r>
      <w:r w:rsidR="00317810">
        <w:t>e a</w:t>
      </w:r>
      <w:r w:rsidRPr="00F535DB">
        <w:t xml:space="preserve">nd support the transition of displaced workers via reskilling and upskilling aligned to local </w:t>
      </w:r>
      <w:r w:rsidR="003A57B4" w:rsidRPr="007F6265">
        <w:t>industry</w:t>
      </w:r>
      <w:r w:rsidRPr="007F6265">
        <w:t xml:space="preserve"> needs</w:t>
      </w:r>
      <w:r w:rsidR="00F535DB" w:rsidRPr="007F6265">
        <w:t xml:space="preserve">, including pathways to </w:t>
      </w:r>
      <w:r w:rsidR="00F94B27">
        <w:t>s</w:t>
      </w:r>
      <w:r w:rsidR="00320E30" w:rsidRPr="007F6265">
        <w:t>elf-</w:t>
      </w:r>
      <w:r w:rsidR="00F94B27">
        <w:t>e</w:t>
      </w:r>
      <w:r w:rsidR="00320E30" w:rsidRPr="007F6265">
        <w:t>mployment</w:t>
      </w:r>
      <w:r w:rsidR="007F6265">
        <w:t>.</w:t>
      </w:r>
      <w:r w:rsidR="00A733D9" w:rsidRPr="007F6265">
        <w:t xml:space="preserve"> </w:t>
      </w:r>
    </w:p>
    <w:p w14:paraId="2160DDB0" w14:textId="77777777" w:rsidR="004338C9" w:rsidRDefault="004338C9" w:rsidP="007E11FD">
      <w:pPr>
        <w:spacing w:after="0"/>
        <w:ind w:left="720" w:hanging="720"/>
      </w:pPr>
    </w:p>
    <w:p w14:paraId="5ECA6AEA" w14:textId="3BC4F9CE" w:rsidR="004338C9" w:rsidRPr="007F6265" w:rsidRDefault="004338C9" w:rsidP="007E11FD">
      <w:pPr>
        <w:spacing w:after="0"/>
        <w:ind w:left="720" w:hanging="720"/>
      </w:pPr>
    </w:p>
    <w:p w14:paraId="4B3CB89B" w14:textId="70FE3633" w:rsidR="006C27E6" w:rsidRPr="00F93930" w:rsidRDefault="00EE2711" w:rsidP="006D13FC">
      <w:pPr>
        <w:spacing w:after="0"/>
        <w:jc w:val="both"/>
        <w:rPr>
          <w:rFonts w:cstheme="minorHAnsi"/>
          <w:highlight w:val="green"/>
          <w:lang w:val="en-AU"/>
        </w:rPr>
      </w:pPr>
      <w:r>
        <w:rPr>
          <w:rFonts w:cstheme="minorHAnsi"/>
          <w:highlight w:val="green"/>
          <w:lang w:val="en-AU"/>
        </w:rPr>
        <w:t xml:space="preserve"> </w:t>
      </w:r>
    </w:p>
    <w:bookmarkEnd w:id="12"/>
    <w:p w14:paraId="4984FE9A" w14:textId="77777777" w:rsidR="00BF4B03" w:rsidRDefault="007629B5" w:rsidP="00AC6779">
      <w:pPr>
        <w:spacing w:after="0"/>
        <w:ind w:right="95"/>
        <w:jc w:val="both"/>
        <w:rPr>
          <w:rStyle w:val="Heading1Char"/>
          <w:rFonts w:asciiTheme="minorHAnsi" w:eastAsiaTheme="minorEastAsia" w:hAnsiTheme="minorHAnsi" w:cstheme="minorHAnsi"/>
          <w:sz w:val="32"/>
          <w:szCs w:val="32"/>
        </w:rPr>
      </w:pPr>
      <w:r>
        <w:rPr>
          <w:rStyle w:val="Heading1Char"/>
          <w:rFonts w:asciiTheme="minorHAnsi" w:eastAsiaTheme="minorEastAsia" w:hAnsiTheme="minorHAnsi" w:cstheme="minorHAnsi"/>
          <w:sz w:val="32"/>
          <w:szCs w:val="32"/>
        </w:rPr>
        <w:br w:type="column"/>
      </w:r>
    </w:p>
    <w:p w14:paraId="217F7342" w14:textId="79A4FCD9" w:rsidR="00CB2020" w:rsidRDefault="006C27E6" w:rsidP="00AC6779">
      <w:pPr>
        <w:spacing w:after="0"/>
        <w:ind w:right="95"/>
        <w:jc w:val="both"/>
        <w:rPr>
          <w:rStyle w:val="Heading1Char"/>
          <w:rFonts w:asciiTheme="minorHAnsi" w:eastAsiaTheme="minorEastAsia" w:hAnsiTheme="minorHAnsi" w:cstheme="minorHAnsi"/>
          <w:sz w:val="32"/>
          <w:szCs w:val="32"/>
        </w:rPr>
      </w:pPr>
      <w:bookmarkStart w:id="13" w:name="_Toc78461093"/>
      <w:r w:rsidRPr="0061007B">
        <w:rPr>
          <w:rStyle w:val="Heading1Char"/>
          <w:rFonts w:asciiTheme="minorHAnsi" w:eastAsiaTheme="minorEastAsia" w:hAnsiTheme="minorHAnsi" w:cstheme="minorHAnsi"/>
          <w:sz w:val="32"/>
          <w:szCs w:val="32"/>
        </w:rPr>
        <w:t xml:space="preserve">North Eastern Melbourne </w:t>
      </w:r>
      <w:r w:rsidR="00B41774">
        <w:rPr>
          <w:rStyle w:val="Heading1Char"/>
          <w:rFonts w:asciiTheme="minorHAnsi" w:eastAsiaTheme="minorEastAsia" w:hAnsiTheme="minorHAnsi" w:cstheme="minorHAnsi"/>
          <w:sz w:val="32"/>
          <w:szCs w:val="32"/>
        </w:rPr>
        <w:t>ER</w:t>
      </w:r>
      <w:r w:rsidRPr="0061007B">
        <w:rPr>
          <w:rStyle w:val="Heading1Char"/>
          <w:rFonts w:asciiTheme="minorHAnsi" w:eastAsiaTheme="minorEastAsia" w:hAnsiTheme="minorHAnsi" w:cstheme="minorHAnsi"/>
          <w:sz w:val="32"/>
          <w:szCs w:val="32"/>
        </w:rPr>
        <w:t xml:space="preserve"> Overview</w:t>
      </w:r>
      <w:bookmarkEnd w:id="13"/>
      <w:r w:rsidR="00224921">
        <w:rPr>
          <w:rStyle w:val="Heading1Char"/>
          <w:rFonts w:asciiTheme="minorHAnsi" w:eastAsiaTheme="minorEastAsia" w:hAnsiTheme="minorHAnsi" w:cstheme="minorHAnsi"/>
          <w:sz w:val="32"/>
          <w:szCs w:val="32"/>
        </w:rPr>
        <w:t xml:space="preserve"> </w:t>
      </w:r>
    </w:p>
    <w:p w14:paraId="69B309AA" w14:textId="0F1F32CE" w:rsidR="00B35F3C" w:rsidRPr="00246AB6" w:rsidRDefault="00F72CB6" w:rsidP="00246AB6">
      <w:pPr>
        <w:jc w:val="both"/>
        <w:rPr>
          <w:rFonts w:cstheme="minorHAnsi"/>
        </w:rPr>
      </w:pPr>
      <w:r w:rsidRPr="00F72CB6">
        <w:rPr>
          <w:rFonts w:cstheme="minorHAnsi"/>
        </w:rPr>
        <w:t xml:space="preserve">The North Eastern Melbourne ER incorporates two separate ABS SA4 locations of Melbourne North East and Melbourne Outer East.  The ER contains 11 Local Government Areas (LGAs) of the Cities of Banyule, Darebin, Knox, Manningham, Maroondah, Whitehorse, </w:t>
      </w:r>
      <w:r w:rsidR="00320E30" w:rsidRPr="00F72CB6">
        <w:rPr>
          <w:rFonts w:cstheme="minorHAnsi"/>
        </w:rPr>
        <w:t>Whittlesea,</w:t>
      </w:r>
      <w:r w:rsidRPr="00F72CB6">
        <w:rPr>
          <w:rFonts w:cstheme="minorHAnsi"/>
        </w:rPr>
        <w:t xml:space="preserve"> and</w:t>
      </w:r>
      <w:r w:rsidR="00121ADE">
        <w:rPr>
          <w:rFonts w:cstheme="minorHAnsi"/>
        </w:rPr>
        <w:t xml:space="preserve"> the Shires of</w:t>
      </w:r>
      <w:r w:rsidRPr="00F72CB6">
        <w:rPr>
          <w:rFonts w:cstheme="minorHAnsi"/>
        </w:rPr>
        <w:t xml:space="preserve"> Mitchell, Murrindindi, Nillumbik, and Yarra Ranges. </w:t>
      </w:r>
    </w:p>
    <w:p w14:paraId="369AD542" w14:textId="0D60A24F" w:rsidR="00121ADE" w:rsidRDefault="000E5967" w:rsidP="00102560">
      <w:pPr>
        <w:jc w:val="both"/>
        <w:rPr>
          <w:rFonts w:eastAsia="Calibri" w:cstheme="minorHAnsi"/>
          <w:lang w:val="en-US"/>
        </w:rPr>
      </w:pPr>
      <w:r w:rsidRPr="00246AB6">
        <w:rPr>
          <w:rFonts w:cstheme="minorHAnsi"/>
        </w:rPr>
        <w:t xml:space="preserve">The </w:t>
      </w:r>
      <w:r w:rsidR="00F10595">
        <w:rPr>
          <w:rFonts w:cstheme="minorHAnsi"/>
        </w:rPr>
        <w:t>ER</w:t>
      </w:r>
      <w:r w:rsidRPr="00246AB6">
        <w:rPr>
          <w:rFonts w:cstheme="minorHAnsi"/>
        </w:rPr>
        <w:t xml:space="preserve"> is diverse, covering suburban and industrial precincts, </w:t>
      </w:r>
      <w:r w:rsidR="00B35F3C" w:rsidRPr="00246AB6">
        <w:rPr>
          <w:rFonts w:cstheme="minorHAnsi"/>
        </w:rPr>
        <w:t>peri</w:t>
      </w:r>
      <w:r w:rsidR="007629B5">
        <w:rPr>
          <w:rFonts w:cstheme="minorHAnsi"/>
        </w:rPr>
        <w:t>-</w:t>
      </w:r>
      <w:r w:rsidR="00B35F3C" w:rsidRPr="00246AB6">
        <w:rPr>
          <w:rFonts w:cstheme="minorHAnsi"/>
        </w:rPr>
        <w:t xml:space="preserve">urban and </w:t>
      </w:r>
      <w:r w:rsidRPr="00246AB6">
        <w:rPr>
          <w:rFonts w:cstheme="minorHAnsi"/>
        </w:rPr>
        <w:t xml:space="preserve">rural communities.   The western and southern parts of the </w:t>
      </w:r>
      <w:r w:rsidR="00F10595">
        <w:rPr>
          <w:rFonts w:cstheme="minorHAnsi"/>
        </w:rPr>
        <w:t>ER</w:t>
      </w:r>
      <w:r w:rsidRPr="00246AB6">
        <w:rPr>
          <w:rFonts w:cstheme="minorHAnsi"/>
        </w:rPr>
        <w:t xml:space="preserve"> have higher concentrations of population and industry </w:t>
      </w:r>
      <w:r w:rsidR="0085412F" w:rsidRPr="00246AB6">
        <w:rPr>
          <w:rFonts w:cstheme="minorHAnsi"/>
        </w:rPr>
        <w:t>density</w:t>
      </w:r>
      <w:r w:rsidR="007629B5">
        <w:rPr>
          <w:rFonts w:cstheme="minorHAnsi"/>
        </w:rPr>
        <w:t>,</w:t>
      </w:r>
      <w:r w:rsidR="0085412F" w:rsidRPr="00246AB6">
        <w:rPr>
          <w:rFonts w:cstheme="minorHAnsi"/>
        </w:rPr>
        <w:t xml:space="preserve"> </w:t>
      </w:r>
      <w:r w:rsidRPr="00246AB6">
        <w:rPr>
          <w:rFonts w:cstheme="minorHAnsi"/>
        </w:rPr>
        <w:t xml:space="preserve">compared to the other parts of the </w:t>
      </w:r>
      <w:r w:rsidR="00F10595">
        <w:rPr>
          <w:rFonts w:cstheme="minorHAnsi"/>
        </w:rPr>
        <w:t>ER</w:t>
      </w:r>
      <w:r w:rsidRPr="00246AB6">
        <w:rPr>
          <w:rFonts w:cstheme="minorHAnsi"/>
        </w:rPr>
        <w:t>. The main urban areas are the suburbs surrounding Preston,</w:t>
      </w:r>
      <w:r w:rsidR="0085412F" w:rsidRPr="00246AB6">
        <w:rPr>
          <w:rFonts w:cstheme="minorHAnsi"/>
        </w:rPr>
        <w:t xml:space="preserve"> </w:t>
      </w:r>
      <w:r w:rsidRPr="00246AB6">
        <w:rPr>
          <w:rFonts w:cstheme="minorHAnsi"/>
        </w:rPr>
        <w:t xml:space="preserve">Thomastown, Epping, Heidelberg, Greensborough, Eltham, Nunawading, Ringwood, Wantirna South, Lilydale, Croydon North and Bayswater. </w:t>
      </w:r>
    </w:p>
    <w:p w14:paraId="1C0769EB" w14:textId="25466EA7" w:rsidR="00F63AD8" w:rsidRDefault="00F63AD8" w:rsidP="006D13FC">
      <w:pPr>
        <w:spacing w:after="0"/>
        <w:jc w:val="both"/>
      </w:pPr>
      <w:r w:rsidRPr="00F93930">
        <w:rPr>
          <w:rFonts w:cstheme="minorHAnsi"/>
        </w:rPr>
        <w:t xml:space="preserve">Over </w:t>
      </w:r>
      <w:r>
        <w:rPr>
          <w:rFonts w:cstheme="minorHAnsi"/>
        </w:rPr>
        <w:t>at least the last decade</w:t>
      </w:r>
      <w:r w:rsidRPr="00F93930">
        <w:rPr>
          <w:rFonts w:cstheme="minorHAnsi"/>
        </w:rPr>
        <w:t xml:space="preserve">, the North Eastern Melbourne ER has experienced gradual </w:t>
      </w:r>
      <w:r>
        <w:rPr>
          <w:rFonts w:cstheme="minorHAnsi"/>
        </w:rPr>
        <w:t xml:space="preserve">population movements, </w:t>
      </w:r>
      <w:r w:rsidRPr="00F93930">
        <w:rPr>
          <w:rFonts w:cstheme="minorHAnsi"/>
        </w:rPr>
        <w:t xml:space="preserve">particularly </w:t>
      </w:r>
      <w:r>
        <w:rPr>
          <w:rFonts w:cstheme="minorHAnsi"/>
        </w:rPr>
        <w:t>notable in the</w:t>
      </w:r>
      <w:r w:rsidRPr="00F93930">
        <w:rPr>
          <w:rFonts w:cstheme="minorHAnsi"/>
        </w:rPr>
        <w:t xml:space="preserve"> western parts of the </w:t>
      </w:r>
      <w:r w:rsidR="00F10595">
        <w:rPr>
          <w:rFonts w:cstheme="minorHAnsi"/>
        </w:rPr>
        <w:t>ER</w:t>
      </w:r>
      <w:r w:rsidR="001C1E32">
        <w:rPr>
          <w:rFonts w:cstheme="minorHAnsi"/>
        </w:rPr>
        <w:t>, w</w:t>
      </w:r>
      <w:r w:rsidR="001C1E32">
        <w:t xml:space="preserve">ith substantial growth in Mernda, South Morang, Whittlesea, and Wallan.  </w:t>
      </w:r>
      <w:r>
        <w:rPr>
          <w:rFonts w:cstheme="minorHAnsi"/>
        </w:rPr>
        <w:t xml:space="preserve">Population increases in the western parts of the </w:t>
      </w:r>
      <w:r w:rsidR="00F10595">
        <w:rPr>
          <w:rFonts w:cstheme="minorHAnsi"/>
        </w:rPr>
        <w:t>ER</w:t>
      </w:r>
      <w:r>
        <w:rPr>
          <w:rFonts w:cstheme="minorHAnsi"/>
        </w:rPr>
        <w:t xml:space="preserve"> have been due (in part) to government investments and infrastructure projects (</w:t>
      </w:r>
      <w:r w:rsidRPr="00F93930">
        <w:rPr>
          <w:rFonts w:cstheme="minorHAnsi"/>
        </w:rPr>
        <w:t>such as the expansion of the Epping train line to Mernda</w:t>
      </w:r>
      <w:r>
        <w:rPr>
          <w:rFonts w:cstheme="minorHAnsi"/>
        </w:rPr>
        <w:t xml:space="preserve"> and the further development of the Metropolitan Melbourne Ring Road project), lifestyle changes and affordable housing.  </w:t>
      </w:r>
      <w:r w:rsidR="001C1E32">
        <w:t xml:space="preserve">This growth contributes to the need for jobs growth and infrastructure in this area. Additionally, peri-urban areas within the shires of Nillumbik, Murrindindi, and parts of Yarra Ranges, offer significant tourism and harvest labour opportunities, </w:t>
      </w:r>
      <w:r w:rsidR="00304262">
        <w:t>necessitating the need to draw on</w:t>
      </w:r>
      <w:r w:rsidR="001C1E32">
        <w:t xml:space="preserve"> </w:t>
      </w:r>
      <w:r w:rsidR="00C7651D">
        <w:t xml:space="preserve">additional </w:t>
      </w:r>
      <w:r w:rsidR="001C1E32">
        <w:t xml:space="preserve">labour supply from surrounding </w:t>
      </w:r>
      <w:r w:rsidR="00F10595">
        <w:t>ER</w:t>
      </w:r>
      <w:r w:rsidR="00FC2587">
        <w:t>ER</w:t>
      </w:r>
      <w:r w:rsidR="001C1E32">
        <w:t>s to meet labour demands.</w:t>
      </w:r>
    </w:p>
    <w:p w14:paraId="256097F8" w14:textId="4099A95A" w:rsidR="00D84BD8" w:rsidRDefault="00D84BD8" w:rsidP="006D13FC">
      <w:pPr>
        <w:spacing w:after="0"/>
        <w:jc w:val="both"/>
      </w:pPr>
    </w:p>
    <w:p w14:paraId="6202C44D" w14:textId="1F319950" w:rsidR="00D96780" w:rsidRDefault="00D96780" w:rsidP="006D13FC">
      <w:pPr>
        <w:spacing w:after="0"/>
        <w:jc w:val="both"/>
      </w:pPr>
    </w:p>
    <w:p w14:paraId="4CD355A6" w14:textId="628994FF" w:rsidR="00D96780" w:rsidRDefault="00D96780" w:rsidP="006D13FC">
      <w:pPr>
        <w:spacing w:after="0"/>
        <w:jc w:val="both"/>
      </w:pPr>
    </w:p>
    <w:p w14:paraId="5325F6B8" w14:textId="7276C2E3" w:rsidR="00D96780" w:rsidRDefault="00D96780" w:rsidP="006D13FC">
      <w:pPr>
        <w:spacing w:after="0"/>
        <w:jc w:val="both"/>
      </w:pPr>
    </w:p>
    <w:p w14:paraId="511F7AB2" w14:textId="3FB2DECC" w:rsidR="00D96780" w:rsidRDefault="00D96780" w:rsidP="006D13FC">
      <w:pPr>
        <w:spacing w:after="0"/>
        <w:jc w:val="both"/>
      </w:pPr>
    </w:p>
    <w:p w14:paraId="4C1A13AC" w14:textId="1F7185FA" w:rsidR="00D96780" w:rsidRDefault="00D96780" w:rsidP="006D13FC">
      <w:pPr>
        <w:spacing w:after="0"/>
        <w:jc w:val="both"/>
      </w:pPr>
    </w:p>
    <w:p w14:paraId="612D8F26" w14:textId="2BD9A203" w:rsidR="00D96780" w:rsidRDefault="00D96780" w:rsidP="006D13FC">
      <w:pPr>
        <w:spacing w:after="0"/>
        <w:jc w:val="both"/>
      </w:pPr>
    </w:p>
    <w:p w14:paraId="57291492" w14:textId="5E0709D1" w:rsidR="00D96780" w:rsidRDefault="00D96780" w:rsidP="006D13FC">
      <w:pPr>
        <w:spacing w:after="0"/>
        <w:jc w:val="both"/>
      </w:pPr>
    </w:p>
    <w:p w14:paraId="4F107C87" w14:textId="46862C92" w:rsidR="00D96780" w:rsidRDefault="00D96780" w:rsidP="006D13FC">
      <w:pPr>
        <w:spacing w:after="0"/>
        <w:jc w:val="both"/>
      </w:pPr>
    </w:p>
    <w:p w14:paraId="2468BB9A" w14:textId="60F1BF43" w:rsidR="00D96780" w:rsidRDefault="00D96780" w:rsidP="006D13FC">
      <w:pPr>
        <w:spacing w:after="0"/>
        <w:jc w:val="both"/>
      </w:pPr>
    </w:p>
    <w:p w14:paraId="35434FA6" w14:textId="725352C4" w:rsidR="00D96780" w:rsidRDefault="00D96780" w:rsidP="006D13FC">
      <w:pPr>
        <w:spacing w:after="0"/>
        <w:jc w:val="both"/>
      </w:pPr>
    </w:p>
    <w:p w14:paraId="019B23A4" w14:textId="37B2F690" w:rsidR="00D96780" w:rsidRDefault="00D96780" w:rsidP="006D13FC">
      <w:pPr>
        <w:spacing w:after="0"/>
        <w:jc w:val="both"/>
      </w:pPr>
    </w:p>
    <w:p w14:paraId="67A9BDB0" w14:textId="75DF0A43" w:rsidR="00D96780" w:rsidRDefault="00D96780" w:rsidP="006D13FC">
      <w:pPr>
        <w:spacing w:after="0"/>
        <w:jc w:val="both"/>
      </w:pPr>
    </w:p>
    <w:p w14:paraId="089999D0" w14:textId="07AE8294" w:rsidR="00D96780" w:rsidRDefault="00D96780" w:rsidP="006D13FC">
      <w:pPr>
        <w:spacing w:after="0"/>
        <w:jc w:val="both"/>
      </w:pPr>
    </w:p>
    <w:p w14:paraId="4CD41C37" w14:textId="004B4985" w:rsidR="00D96780" w:rsidRDefault="00D96780" w:rsidP="006D13FC">
      <w:pPr>
        <w:spacing w:after="0"/>
        <w:jc w:val="both"/>
      </w:pPr>
    </w:p>
    <w:p w14:paraId="63501721" w14:textId="12944674" w:rsidR="00D96780" w:rsidRDefault="00D96780" w:rsidP="006D13FC">
      <w:pPr>
        <w:spacing w:after="0"/>
        <w:jc w:val="both"/>
      </w:pPr>
    </w:p>
    <w:p w14:paraId="5D5F7C7F" w14:textId="3338025B" w:rsidR="00D96780" w:rsidRDefault="00D96780" w:rsidP="006D13FC">
      <w:pPr>
        <w:spacing w:after="0"/>
        <w:jc w:val="both"/>
      </w:pPr>
    </w:p>
    <w:p w14:paraId="06BF3E52" w14:textId="71C67A6C" w:rsidR="00D96780" w:rsidRDefault="00D96780" w:rsidP="006D13FC">
      <w:pPr>
        <w:spacing w:after="0"/>
        <w:jc w:val="both"/>
      </w:pPr>
    </w:p>
    <w:p w14:paraId="665368A2" w14:textId="28E2022B" w:rsidR="00D96780" w:rsidRDefault="00D96780" w:rsidP="006D13FC">
      <w:pPr>
        <w:spacing w:after="0"/>
        <w:jc w:val="both"/>
      </w:pPr>
    </w:p>
    <w:p w14:paraId="0179F402" w14:textId="3E928FAC" w:rsidR="00D96780" w:rsidRDefault="00D96780" w:rsidP="006D13FC">
      <w:pPr>
        <w:spacing w:after="0"/>
        <w:jc w:val="both"/>
      </w:pPr>
    </w:p>
    <w:p w14:paraId="179E9400" w14:textId="39A09320" w:rsidR="00D96780" w:rsidRDefault="00D96780" w:rsidP="006D13FC">
      <w:pPr>
        <w:spacing w:after="0"/>
        <w:jc w:val="both"/>
      </w:pPr>
    </w:p>
    <w:p w14:paraId="42CF22C5" w14:textId="77777777" w:rsidR="002F113E" w:rsidRDefault="002F113E" w:rsidP="006B0F39">
      <w:pPr>
        <w:pStyle w:val="Heading1"/>
        <w:rPr>
          <w:rStyle w:val="Heading1Char"/>
          <w:rFonts w:asciiTheme="minorHAnsi" w:eastAsiaTheme="minorEastAsia" w:hAnsiTheme="minorHAnsi" w:cstheme="minorHAnsi"/>
          <w:sz w:val="32"/>
          <w:szCs w:val="32"/>
        </w:rPr>
      </w:pPr>
    </w:p>
    <w:p w14:paraId="60390545" w14:textId="76735D4C" w:rsidR="00D96780" w:rsidRDefault="00D96780" w:rsidP="006B0F39">
      <w:pPr>
        <w:pStyle w:val="Heading1"/>
        <w:rPr>
          <w:rStyle w:val="Heading1Char"/>
          <w:rFonts w:asciiTheme="minorHAnsi" w:eastAsiaTheme="minorEastAsia" w:hAnsiTheme="minorHAnsi" w:cstheme="minorHAnsi"/>
          <w:sz w:val="32"/>
          <w:szCs w:val="32"/>
        </w:rPr>
      </w:pPr>
      <w:bookmarkStart w:id="14" w:name="_Toc78461094"/>
      <w:r w:rsidRPr="00D96780">
        <w:rPr>
          <w:rStyle w:val="Heading1Char"/>
          <w:rFonts w:asciiTheme="minorHAnsi" w:eastAsiaTheme="minorEastAsia" w:hAnsiTheme="minorHAnsi" w:cstheme="minorHAnsi"/>
          <w:sz w:val="32"/>
          <w:szCs w:val="32"/>
        </w:rPr>
        <w:t xml:space="preserve">North Eastern Melbourne Employment </w:t>
      </w:r>
      <w:r w:rsidR="00F10595">
        <w:rPr>
          <w:rStyle w:val="Heading1Char"/>
          <w:rFonts w:asciiTheme="minorHAnsi" w:eastAsiaTheme="minorEastAsia" w:hAnsiTheme="minorHAnsi" w:cstheme="minorHAnsi"/>
          <w:sz w:val="32"/>
          <w:szCs w:val="32"/>
        </w:rPr>
        <w:t>ER</w:t>
      </w:r>
      <w:r w:rsidRPr="00D96780">
        <w:rPr>
          <w:rStyle w:val="Heading1Char"/>
          <w:rFonts w:asciiTheme="minorHAnsi" w:eastAsiaTheme="minorEastAsia" w:hAnsiTheme="minorHAnsi" w:cstheme="minorHAnsi"/>
          <w:sz w:val="32"/>
          <w:szCs w:val="32"/>
        </w:rPr>
        <w:t xml:space="preserve"> Boundary Map</w:t>
      </w:r>
      <w:bookmarkEnd w:id="14"/>
    </w:p>
    <w:p w14:paraId="4ED6F5E5" w14:textId="3F736EFD" w:rsidR="00D84BD8" w:rsidRPr="005B30C5" w:rsidRDefault="00D84BD8" w:rsidP="00246AB6">
      <w:pPr>
        <w:spacing w:after="0"/>
        <w:jc w:val="center"/>
        <w:rPr>
          <w:rFonts w:cstheme="minorHAnsi"/>
        </w:rPr>
      </w:pPr>
      <w:r w:rsidRPr="00F93930">
        <w:rPr>
          <w:rFonts w:cstheme="minorHAnsi"/>
          <w:noProof/>
        </w:rPr>
        <w:drawing>
          <wp:inline distT="0" distB="0" distL="0" distR="0" wp14:anchorId="5E6B3566" wp14:editId="05A3C123">
            <wp:extent cx="4819650" cy="4667250"/>
            <wp:effectExtent l="0" t="0" r="0" b="0"/>
            <wp:docPr id="3" name="Picture 3" descr="Map of the North Eastern Melbourne Employment Region, as sourced from the Labour Market Information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the North Eastern Melbourne Employment Region, as sourced from the Labour Market Information Portal."/>
                    <pic:cNvPicPr/>
                  </pic:nvPicPr>
                  <pic:blipFill>
                    <a:blip r:embed="rId9"/>
                    <a:stretch>
                      <a:fillRect/>
                    </a:stretch>
                  </pic:blipFill>
                  <pic:spPr>
                    <a:xfrm>
                      <a:off x="0" y="0"/>
                      <a:ext cx="4847955" cy="4694660"/>
                    </a:xfrm>
                    <a:prstGeom prst="rect">
                      <a:avLst/>
                    </a:prstGeom>
                  </pic:spPr>
                </pic:pic>
              </a:graphicData>
            </a:graphic>
          </wp:inline>
        </w:drawing>
      </w:r>
    </w:p>
    <w:p w14:paraId="3EF9A94D" w14:textId="487D5E59" w:rsidR="005B30C5" w:rsidRPr="00B8641F" w:rsidRDefault="00B8641F" w:rsidP="00B8641F">
      <w:pPr>
        <w:autoSpaceDE w:val="0"/>
        <w:autoSpaceDN w:val="0"/>
        <w:spacing w:after="0" w:line="240" w:lineRule="auto"/>
        <w:ind w:firstLine="720"/>
        <w:jc w:val="both"/>
        <w:rPr>
          <w:rFonts w:cstheme="minorHAnsi"/>
          <w:i/>
          <w:iCs/>
          <w:sz w:val="18"/>
          <w:szCs w:val="18"/>
        </w:rPr>
      </w:pPr>
      <w:r>
        <w:rPr>
          <w:rFonts w:cstheme="minorHAnsi"/>
          <w:i/>
          <w:iCs/>
          <w:sz w:val="18"/>
          <w:szCs w:val="18"/>
        </w:rPr>
        <w:t xml:space="preserve">Source:- Labour </w:t>
      </w:r>
      <w:r w:rsidR="00771386">
        <w:rPr>
          <w:rFonts w:cstheme="minorHAnsi"/>
          <w:i/>
          <w:iCs/>
          <w:sz w:val="18"/>
          <w:szCs w:val="18"/>
        </w:rPr>
        <w:t>M</w:t>
      </w:r>
      <w:r>
        <w:rPr>
          <w:rFonts w:cstheme="minorHAnsi"/>
          <w:i/>
          <w:iCs/>
          <w:sz w:val="18"/>
          <w:szCs w:val="18"/>
        </w:rPr>
        <w:t xml:space="preserve">arket </w:t>
      </w:r>
      <w:r w:rsidR="00771386">
        <w:rPr>
          <w:rFonts w:cstheme="minorHAnsi"/>
          <w:i/>
          <w:iCs/>
          <w:sz w:val="18"/>
          <w:szCs w:val="18"/>
        </w:rPr>
        <w:t>I</w:t>
      </w:r>
      <w:r>
        <w:rPr>
          <w:rFonts w:cstheme="minorHAnsi"/>
          <w:i/>
          <w:iCs/>
          <w:sz w:val="18"/>
          <w:szCs w:val="18"/>
        </w:rPr>
        <w:t>nformation Portal-mapbox</w:t>
      </w:r>
    </w:p>
    <w:p w14:paraId="4317414B" w14:textId="05ACCB7B" w:rsidR="006C27E6" w:rsidRDefault="006C27E6" w:rsidP="006D13FC">
      <w:pPr>
        <w:spacing w:after="0"/>
        <w:jc w:val="both"/>
        <w:rPr>
          <w:rFonts w:cstheme="minorHAnsi"/>
          <w:highlight w:val="green"/>
          <w:lang w:val="en-AU"/>
        </w:rPr>
      </w:pPr>
    </w:p>
    <w:p w14:paraId="5106D445" w14:textId="77777777" w:rsidR="006B0F39" w:rsidRPr="00F93930" w:rsidRDefault="006B0F39" w:rsidP="006D13FC">
      <w:pPr>
        <w:spacing w:after="0"/>
        <w:jc w:val="both"/>
        <w:rPr>
          <w:rFonts w:cstheme="minorHAnsi"/>
          <w:highlight w:val="green"/>
          <w:lang w:val="en-AU"/>
        </w:rPr>
      </w:pPr>
    </w:p>
    <w:p w14:paraId="2C42A478" w14:textId="5519253E" w:rsidR="00CB2020" w:rsidRPr="006B0F39" w:rsidRDefault="006C27E6" w:rsidP="006D13FC">
      <w:pPr>
        <w:spacing w:after="0"/>
        <w:jc w:val="both"/>
        <w:rPr>
          <w:rStyle w:val="Heading1Char"/>
          <w:rFonts w:asciiTheme="minorHAnsi" w:eastAsiaTheme="minorEastAsia" w:hAnsiTheme="minorHAnsi" w:cstheme="minorHAnsi"/>
          <w:sz w:val="32"/>
          <w:szCs w:val="32"/>
          <w:lang w:val="en-AU"/>
        </w:rPr>
      </w:pPr>
      <w:bookmarkStart w:id="15" w:name="_Toc78461095"/>
      <w:r w:rsidRPr="006B0F39">
        <w:rPr>
          <w:rStyle w:val="Heading1Char"/>
          <w:rFonts w:asciiTheme="minorHAnsi" w:eastAsiaTheme="minorEastAsia" w:hAnsiTheme="minorHAnsi" w:cstheme="minorHAnsi"/>
          <w:sz w:val="32"/>
          <w:szCs w:val="32"/>
          <w:lang w:val="en-AU"/>
        </w:rPr>
        <w:t>Key challenges in North Eastern Melbourne</w:t>
      </w:r>
      <w:bookmarkEnd w:id="15"/>
      <w:r w:rsidRPr="006B0F39">
        <w:rPr>
          <w:rStyle w:val="Heading1Char"/>
          <w:rFonts w:asciiTheme="minorHAnsi" w:eastAsiaTheme="minorEastAsia" w:hAnsiTheme="minorHAnsi" w:cstheme="minorHAnsi"/>
          <w:sz w:val="32"/>
          <w:szCs w:val="32"/>
          <w:lang w:val="en-AU"/>
        </w:rPr>
        <w:t xml:space="preserve">  </w:t>
      </w:r>
    </w:p>
    <w:p w14:paraId="194F5E7F" w14:textId="1A0FC487" w:rsidR="00D721EA" w:rsidRDefault="00D721EA" w:rsidP="00246AB6">
      <w:pPr>
        <w:spacing w:after="0"/>
        <w:jc w:val="both"/>
        <w:rPr>
          <w:rFonts w:cstheme="minorHAnsi"/>
        </w:rPr>
      </w:pPr>
      <w:r>
        <w:rPr>
          <w:rFonts w:cstheme="minorHAnsi"/>
        </w:rPr>
        <w:t xml:space="preserve">The </w:t>
      </w:r>
      <w:r w:rsidR="00F10595">
        <w:rPr>
          <w:rFonts w:cstheme="minorHAnsi"/>
        </w:rPr>
        <w:t>ER</w:t>
      </w:r>
      <w:r>
        <w:rPr>
          <w:rFonts w:cstheme="minorHAnsi"/>
        </w:rPr>
        <w:t xml:space="preserve"> is serviced by the four primary arterial </w:t>
      </w:r>
      <w:r w:rsidR="00C7651D">
        <w:rPr>
          <w:rFonts w:cstheme="minorHAnsi"/>
        </w:rPr>
        <w:t xml:space="preserve">rail </w:t>
      </w:r>
      <w:r>
        <w:rPr>
          <w:rFonts w:cstheme="minorHAnsi"/>
        </w:rPr>
        <w:t xml:space="preserve">lines of Belgrave, Lilydale, </w:t>
      </w:r>
      <w:r w:rsidRPr="00F72CB6">
        <w:rPr>
          <w:rFonts w:cstheme="minorHAnsi"/>
        </w:rPr>
        <w:t>Hurstbridge and Mernda</w:t>
      </w:r>
      <w:r>
        <w:rPr>
          <w:rFonts w:cstheme="minorHAnsi"/>
        </w:rPr>
        <w:t>,</w:t>
      </w:r>
      <w:r w:rsidRPr="00F72CB6">
        <w:rPr>
          <w:rFonts w:cstheme="minorHAnsi"/>
        </w:rPr>
        <w:t xml:space="preserve"> which</w:t>
      </w:r>
      <w:r w:rsidR="001167FA">
        <w:rPr>
          <w:rFonts w:cstheme="minorHAnsi"/>
        </w:rPr>
        <w:t xml:space="preserve"> all</w:t>
      </w:r>
      <w:r w:rsidRPr="00F72CB6">
        <w:rPr>
          <w:rFonts w:cstheme="minorHAnsi"/>
        </w:rPr>
        <w:t xml:space="preserve"> radiate </w:t>
      </w:r>
      <w:r w:rsidR="00C7651D">
        <w:rPr>
          <w:rFonts w:cstheme="minorHAnsi"/>
        </w:rPr>
        <w:t xml:space="preserve">outwards </w:t>
      </w:r>
      <w:r w:rsidRPr="00F72CB6">
        <w:rPr>
          <w:rFonts w:cstheme="minorHAnsi"/>
        </w:rPr>
        <w:t>from the Melbourne CBD.  Other major transport routes include EastLink, the Hume Freeway and the Metropolitan Melbourne Ring Road</w:t>
      </w:r>
      <w:r w:rsidR="00C7651D">
        <w:rPr>
          <w:rFonts w:cstheme="minorHAnsi"/>
        </w:rPr>
        <w:t xml:space="preserve">. These transport corridors </w:t>
      </w:r>
      <w:r w:rsidRPr="00F72CB6">
        <w:rPr>
          <w:rFonts w:cstheme="minorHAnsi"/>
        </w:rPr>
        <w:t>link</w:t>
      </w:r>
      <w:r w:rsidR="00C7651D">
        <w:rPr>
          <w:rFonts w:cstheme="minorHAnsi"/>
        </w:rPr>
        <w:t xml:space="preserve"> </w:t>
      </w:r>
      <w:r w:rsidRPr="00F72CB6">
        <w:rPr>
          <w:rFonts w:cstheme="minorHAnsi"/>
        </w:rPr>
        <w:t xml:space="preserve">the </w:t>
      </w:r>
      <w:r w:rsidR="00F10595">
        <w:rPr>
          <w:rFonts w:cstheme="minorHAnsi"/>
        </w:rPr>
        <w:t>ER</w:t>
      </w:r>
      <w:r w:rsidRPr="00F72CB6">
        <w:rPr>
          <w:rFonts w:cstheme="minorHAnsi"/>
        </w:rPr>
        <w:t xml:space="preserve"> to other metropolitan areas</w:t>
      </w:r>
      <w:r>
        <w:rPr>
          <w:rFonts w:cstheme="minorHAnsi"/>
        </w:rPr>
        <w:t>, facilitating movement of</w:t>
      </w:r>
      <w:r w:rsidRPr="00F72CB6">
        <w:rPr>
          <w:rFonts w:cstheme="minorHAnsi"/>
        </w:rPr>
        <w:t xml:space="preserve"> commuters and freight. </w:t>
      </w:r>
      <w:r>
        <w:rPr>
          <w:rFonts w:cstheme="minorHAnsi"/>
        </w:rPr>
        <w:t xml:space="preserve"> Transport </w:t>
      </w:r>
      <w:r w:rsidR="007653C6">
        <w:rPr>
          <w:rFonts w:cstheme="minorHAnsi"/>
        </w:rPr>
        <w:t>issues,</w:t>
      </w:r>
      <w:r>
        <w:rPr>
          <w:rFonts w:cstheme="minorHAnsi"/>
        </w:rPr>
        <w:t xml:space="preserve"> however, exist </w:t>
      </w:r>
      <w:r w:rsidR="00A8225B">
        <w:rPr>
          <w:rFonts w:cstheme="minorHAnsi"/>
        </w:rPr>
        <w:t xml:space="preserve">for those who are </w:t>
      </w:r>
      <w:r>
        <w:rPr>
          <w:rFonts w:cstheme="minorHAnsi"/>
        </w:rPr>
        <w:t>outside of the main transport hubs</w:t>
      </w:r>
      <w:r w:rsidR="00A8225B">
        <w:rPr>
          <w:rFonts w:cstheme="minorHAnsi"/>
        </w:rPr>
        <w:t xml:space="preserve"> who rely on public transport</w:t>
      </w:r>
      <w:r>
        <w:rPr>
          <w:rFonts w:cstheme="minorHAnsi"/>
        </w:rPr>
        <w:t xml:space="preserve">, </w:t>
      </w:r>
      <w:r w:rsidR="00A8225B">
        <w:rPr>
          <w:rFonts w:cstheme="minorHAnsi"/>
        </w:rPr>
        <w:t xml:space="preserve">which is </w:t>
      </w:r>
      <w:r>
        <w:rPr>
          <w:rFonts w:cstheme="minorHAnsi"/>
        </w:rPr>
        <w:t xml:space="preserve">particularly </w:t>
      </w:r>
      <w:r w:rsidR="00A8225B">
        <w:rPr>
          <w:rFonts w:cstheme="minorHAnsi"/>
        </w:rPr>
        <w:t xml:space="preserve">evident </w:t>
      </w:r>
      <w:r>
        <w:rPr>
          <w:rFonts w:cstheme="minorHAnsi"/>
        </w:rPr>
        <w:t xml:space="preserve">in </w:t>
      </w:r>
      <w:r w:rsidR="00333C9A">
        <w:rPr>
          <w:rFonts w:cstheme="minorHAnsi"/>
        </w:rPr>
        <w:t>per</w:t>
      </w:r>
      <w:r>
        <w:rPr>
          <w:rFonts w:cstheme="minorHAnsi"/>
        </w:rPr>
        <w:t>i-urban and rural areas</w:t>
      </w:r>
      <w:r w:rsidR="00301857">
        <w:rPr>
          <w:rFonts w:cstheme="minorHAnsi"/>
        </w:rPr>
        <w:t xml:space="preserve"> with dispersed populations.</w:t>
      </w:r>
    </w:p>
    <w:p w14:paraId="3FA402B6" w14:textId="77777777" w:rsidR="00D721EA" w:rsidRDefault="00D721EA" w:rsidP="006D13FC">
      <w:pPr>
        <w:spacing w:after="0"/>
        <w:jc w:val="both"/>
        <w:rPr>
          <w:rFonts w:cstheme="minorHAnsi"/>
        </w:rPr>
      </w:pPr>
    </w:p>
    <w:p w14:paraId="309D1DC6" w14:textId="309CAD30" w:rsidR="00E46457" w:rsidRDefault="006C27E6" w:rsidP="006D13FC">
      <w:pPr>
        <w:spacing w:after="0"/>
        <w:jc w:val="both"/>
        <w:rPr>
          <w:rFonts w:cstheme="minorHAnsi"/>
        </w:rPr>
      </w:pPr>
      <w:r w:rsidRPr="00F93930">
        <w:rPr>
          <w:rFonts w:cstheme="minorHAnsi"/>
        </w:rPr>
        <w:t>According to the 2016 Socio-Economic Indexes for Areas (SEIFA)</w:t>
      </w:r>
      <w:r w:rsidR="00881AD7" w:rsidRPr="00246AB6">
        <w:footnoteReference w:id="1"/>
      </w:r>
      <w:r w:rsidR="00E70EC0">
        <w:rPr>
          <w:rFonts w:cstheme="minorHAnsi"/>
        </w:rPr>
        <w:t xml:space="preserve">, there are pockets </w:t>
      </w:r>
      <w:r w:rsidR="00380642">
        <w:rPr>
          <w:rFonts w:cstheme="minorHAnsi"/>
        </w:rPr>
        <w:t xml:space="preserve">of </w:t>
      </w:r>
      <w:r w:rsidR="00950746">
        <w:rPr>
          <w:rFonts w:cstheme="minorHAnsi"/>
        </w:rPr>
        <w:t>s</w:t>
      </w:r>
      <w:r w:rsidRPr="00F93930">
        <w:rPr>
          <w:rFonts w:cstheme="minorHAnsi"/>
        </w:rPr>
        <w:t>ocio-</w:t>
      </w:r>
      <w:r w:rsidR="00950746">
        <w:rPr>
          <w:rFonts w:cstheme="minorHAnsi"/>
        </w:rPr>
        <w:t>e</w:t>
      </w:r>
      <w:r w:rsidRPr="00F93930">
        <w:rPr>
          <w:rFonts w:cstheme="minorHAnsi"/>
        </w:rPr>
        <w:t xml:space="preserve">conomic </w:t>
      </w:r>
      <w:r w:rsidR="00950746">
        <w:rPr>
          <w:rFonts w:cstheme="minorHAnsi"/>
        </w:rPr>
        <w:t>d</w:t>
      </w:r>
      <w:r w:rsidRPr="00F93930">
        <w:rPr>
          <w:rFonts w:cstheme="minorHAnsi"/>
        </w:rPr>
        <w:t>isadvantage</w:t>
      </w:r>
      <w:r w:rsidR="00380642">
        <w:rPr>
          <w:rFonts w:cstheme="minorHAnsi"/>
        </w:rPr>
        <w:t xml:space="preserve"> within the </w:t>
      </w:r>
      <w:r w:rsidR="00F10595">
        <w:rPr>
          <w:rFonts w:cstheme="minorHAnsi"/>
        </w:rPr>
        <w:t>ER</w:t>
      </w:r>
      <w:r w:rsidR="00950746">
        <w:rPr>
          <w:rFonts w:cstheme="minorHAnsi"/>
        </w:rPr>
        <w:t xml:space="preserve">.  </w:t>
      </w:r>
      <w:r w:rsidR="00E46457">
        <w:rPr>
          <w:rFonts w:cstheme="minorHAnsi"/>
        </w:rPr>
        <w:t xml:space="preserve">The indexes show that </w:t>
      </w:r>
      <w:r w:rsidR="00FC2587">
        <w:rPr>
          <w:rFonts w:cstheme="minorHAnsi"/>
        </w:rPr>
        <w:t xml:space="preserve">13 </w:t>
      </w:r>
      <w:r w:rsidR="007653C6" w:rsidRPr="00F93930">
        <w:rPr>
          <w:rFonts w:cstheme="minorHAnsi"/>
        </w:rPr>
        <w:t xml:space="preserve">of the </w:t>
      </w:r>
      <w:r w:rsidR="00FC2587">
        <w:rPr>
          <w:rFonts w:cstheme="minorHAnsi"/>
        </w:rPr>
        <w:t>76</w:t>
      </w:r>
      <w:r w:rsidR="00380642">
        <w:rPr>
          <w:rFonts w:cstheme="minorHAnsi"/>
        </w:rPr>
        <w:t xml:space="preserve"> </w:t>
      </w:r>
      <w:r w:rsidRPr="00F93930">
        <w:rPr>
          <w:rFonts w:cstheme="minorHAnsi"/>
        </w:rPr>
        <w:t xml:space="preserve">SA2 areas in the </w:t>
      </w:r>
      <w:r w:rsidR="00F10595">
        <w:rPr>
          <w:rFonts w:cstheme="minorHAnsi"/>
        </w:rPr>
        <w:t>ER</w:t>
      </w:r>
      <w:r w:rsidRPr="00F93930">
        <w:rPr>
          <w:rFonts w:cstheme="minorHAnsi"/>
        </w:rPr>
        <w:t xml:space="preserve"> experience levels of disadvantage</w:t>
      </w:r>
      <w:r w:rsidR="00380642">
        <w:rPr>
          <w:rFonts w:cstheme="minorHAnsi"/>
        </w:rPr>
        <w:t xml:space="preserve"> and higher rates of unemployment.</w:t>
      </w:r>
    </w:p>
    <w:p w14:paraId="0DE4127A" w14:textId="77777777" w:rsidR="00C667EB" w:rsidRDefault="00C667EB" w:rsidP="006D13FC">
      <w:pPr>
        <w:spacing w:after="0"/>
        <w:jc w:val="both"/>
        <w:rPr>
          <w:rFonts w:cstheme="minorHAnsi"/>
        </w:rPr>
      </w:pPr>
    </w:p>
    <w:p w14:paraId="56362697" w14:textId="77777777" w:rsidR="002F113E" w:rsidRDefault="002F113E" w:rsidP="0091517E">
      <w:pPr>
        <w:spacing w:after="0"/>
        <w:jc w:val="both"/>
        <w:rPr>
          <w:rFonts w:cstheme="minorHAnsi"/>
        </w:rPr>
      </w:pPr>
      <w:bookmarkStart w:id="16" w:name="_Hlk77058378"/>
    </w:p>
    <w:p w14:paraId="40DABCAD" w14:textId="39719A38" w:rsidR="006C27E6" w:rsidRDefault="006C27E6" w:rsidP="0091517E">
      <w:pPr>
        <w:spacing w:after="0"/>
        <w:jc w:val="both"/>
        <w:rPr>
          <w:rFonts w:cstheme="minorHAnsi"/>
        </w:rPr>
      </w:pPr>
      <w:r w:rsidRPr="00C75D8A">
        <w:rPr>
          <w:rFonts w:cstheme="minorHAnsi"/>
        </w:rPr>
        <w:t xml:space="preserve">Small Area Labour Markets data </w:t>
      </w:r>
      <w:r w:rsidR="00DC770E">
        <w:rPr>
          <w:rFonts w:cstheme="minorHAnsi"/>
        </w:rPr>
        <w:t xml:space="preserve">(SALM) </w:t>
      </w:r>
      <w:r w:rsidR="004F4360" w:rsidRPr="00164087">
        <w:rPr>
          <w:rFonts w:cstheme="minorHAnsi"/>
        </w:rPr>
        <w:t xml:space="preserve">as at </w:t>
      </w:r>
      <w:r w:rsidR="00966F99" w:rsidRPr="00164087">
        <w:rPr>
          <w:rFonts w:cstheme="minorHAnsi"/>
        </w:rPr>
        <w:t xml:space="preserve">May </w:t>
      </w:r>
      <w:r w:rsidRPr="00164087">
        <w:rPr>
          <w:rFonts w:cstheme="minorHAnsi"/>
        </w:rPr>
        <w:t>2021</w:t>
      </w:r>
      <w:r w:rsidR="00036076" w:rsidRPr="00164087">
        <w:rPr>
          <w:rStyle w:val="FootnoteReference"/>
          <w:rFonts w:cstheme="minorHAnsi"/>
        </w:rPr>
        <w:footnoteReference w:id="2"/>
      </w:r>
      <w:r w:rsidR="004F4360" w:rsidRPr="00164087">
        <w:rPr>
          <w:rFonts w:cstheme="minorHAnsi"/>
        </w:rPr>
        <w:t>,</w:t>
      </w:r>
      <w:r w:rsidRPr="00164087">
        <w:rPr>
          <w:rFonts w:cstheme="minorHAnsi"/>
        </w:rPr>
        <w:t xml:space="preserve"> shows </w:t>
      </w:r>
      <w:r w:rsidR="003E57EA" w:rsidRPr="00164087">
        <w:rPr>
          <w:rFonts w:cstheme="minorHAnsi"/>
        </w:rPr>
        <w:t>that</w:t>
      </w:r>
      <w:r w:rsidR="003E57EA">
        <w:rPr>
          <w:rFonts w:cstheme="minorHAnsi"/>
        </w:rPr>
        <w:t xml:space="preserve"> the unemployment rate for </w:t>
      </w:r>
      <w:r w:rsidR="003E57EA" w:rsidRPr="00C75D8A">
        <w:rPr>
          <w:rFonts w:cstheme="minorHAnsi"/>
        </w:rPr>
        <w:t>the North Eastern Melbourne ER</w:t>
      </w:r>
      <w:r w:rsidR="003E57EA">
        <w:rPr>
          <w:rFonts w:cstheme="minorHAnsi"/>
        </w:rPr>
        <w:t xml:space="preserve"> was </w:t>
      </w:r>
      <w:r w:rsidR="003E57EA" w:rsidRPr="00C75D8A">
        <w:rPr>
          <w:rFonts w:cstheme="minorHAnsi"/>
        </w:rPr>
        <w:t>6.</w:t>
      </w:r>
      <w:r w:rsidR="00966F99">
        <w:rPr>
          <w:rFonts w:cstheme="minorHAnsi"/>
        </w:rPr>
        <w:t>4</w:t>
      </w:r>
      <w:r w:rsidR="00966F99" w:rsidRPr="00C75D8A">
        <w:rPr>
          <w:rFonts w:cstheme="minorHAnsi"/>
        </w:rPr>
        <w:t xml:space="preserve"> </w:t>
      </w:r>
      <w:r w:rsidR="003E57EA" w:rsidRPr="00C75D8A">
        <w:rPr>
          <w:rFonts w:cstheme="minorHAnsi"/>
        </w:rPr>
        <w:t>per cent</w:t>
      </w:r>
      <w:r w:rsidR="00D03496">
        <w:rPr>
          <w:rFonts w:cstheme="minorHAnsi"/>
        </w:rPr>
        <w:t xml:space="preserve"> </w:t>
      </w:r>
      <w:r w:rsidR="00D03496" w:rsidRPr="004F4360">
        <w:rPr>
          <w:rFonts w:cstheme="minorHAnsi"/>
        </w:rPr>
        <w:t>(</w:t>
      </w:r>
      <w:r w:rsidR="00D03496" w:rsidRPr="008B4182">
        <w:rPr>
          <w:rFonts w:cstheme="minorHAnsi"/>
        </w:rPr>
        <w:t xml:space="preserve">compared to </w:t>
      </w:r>
      <w:r w:rsidR="004F4360" w:rsidRPr="008B4182">
        <w:rPr>
          <w:rFonts w:cstheme="minorHAnsi"/>
        </w:rPr>
        <w:t xml:space="preserve">4.8 percent for Victoria and </w:t>
      </w:r>
      <w:r w:rsidR="00D03496" w:rsidRPr="008B4182">
        <w:rPr>
          <w:rFonts w:cstheme="minorHAnsi"/>
        </w:rPr>
        <w:t>5.</w:t>
      </w:r>
      <w:r w:rsidR="004F4360" w:rsidRPr="008B4182">
        <w:rPr>
          <w:rFonts w:cstheme="minorHAnsi"/>
        </w:rPr>
        <w:t xml:space="preserve">1 </w:t>
      </w:r>
      <w:r w:rsidR="008B4182">
        <w:rPr>
          <w:rFonts w:cstheme="minorHAnsi"/>
        </w:rPr>
        <w:t xml:space="preserve">per cent </w:t>
      </w:r>
      <w:r w:rsidR="004F4360" w:rsidRPr="008B4182">
        <w:rPr>
          <w:rFonts w:cstheme="minorHAnsi"/>
        </w:rPr>
        <w:t>for Australia</w:t>
      </w:r>
      <w:r w:rsidR="00D03496" w:rsidRPr="008B4182">
        <w:rPr>
          <w:rFonts w:cstheme="minorHAnsi"/>
        </w:rPr>
        <w:t>).</w:t>
      </w:r>
      <w:r w:rsidR="00D03496">
        <w:rPr>
          <w:rFonts w:cstheme="minorHAnsi"/>
        </w:rPr>
        <w:t xml:space="preserve"> </w:t>
      </w:r>
      <w:r w:rsidR="003E57EA">
        <w:rPr>
          <w:rFonts w:cstheme="minorHAnsi"/>
        </w:rPr>
        <w:t xml:space="preserve"> </w:t>
      </w:r>
      <w:r w:rsidR="00E547D2">
        <w:rPr>
          <w:rFonts w:cstheme="minorHAnsi"/>
        </w:rPr>
        <w:t xml:space="preserve">Higher levels of unemployment are concentrated within the Whittlesea, Knox, Yarra Ranges and Darebin LGAs.   </w:t>
      </w:r>
      <w:r w:rsidR="00DE3581">
        <w:rPr>
          <w:rFonts w:cstheme="minorHAnsi"/>
        </w:rPr>
        <w:t>Additionally,</w:t>
      </w:r>
      <w:r w:rsidR="003E57EA">
        <w:rPr>
          <w:rFonts w:cstheme="minorHAnsi"/>
        </w:rPr>
        <w:t xml:space="preserve"> </w:t>
      </w:r>
      <w:r w:rsidR="009073E5">
        <w:rPr>
          <w:rFonts w:cstheme="minorHAnsi"/>
        </w:rPr>
        <w:t xml:space="preserve">a </w:t>
      </w:r>
      <w:r w:rsidRPr="00C75D8A">
        <w:rPr>
          <w:rFonts w:cstheme="minorHAnsi"/>
        </w:rPr>
        <w:t xml:space="preserve">number of localities </w:t>
      </w:r>
      <w:r w:rsidR="003E57EA">
        <w:rPr>
          <w:rFonts w:cstheme="minorHAnsi"/>
        </w:rPr>
        <w:t xml:space="preserve">within the </w:t>
      </w:r>
      <w:r w:rsidR="00F10595">
        <w:rPr>
          <w:rFonts w:cstheme="minorHAnsi"/>
        </w:rPr>
        <w:t>ER</w:t>
      </w:r>
      <w:r w:rsidR="003E57EA">
        <w:rPr>
          <w:rFonts w:cstheme="minorHAnsi"/>
        </w:rPr>
        <w:t xml:space="preserve"> </w:t>
      </w:r>
      <w:r w:rsidRPr="00C75D8A">
        <w:rPr>
          <w:rFonts w:cstheme="minorHAnsi"/>
        </w:rPr>
        <w:t xml:space="preserve">recorded </w:t>
      </w:r>
      <w:r w:rsidR="003E57EA">
        <w:rPr>
          <w:rFonts w:cstheme="minorHAnsi"/>
        </w:rPr>
        <w:t xml:space="preserve">significantly </w:t>
      </w:r>
      <w:r w:rsidRPr="00C75D8A">
        <w:rPr>
          <w:rFonts w:cstheme="minorHAnsi"/>
        </w:rPr>
        <w:t xml:space="preserve">higher unemployment rates </w:t>
      </w:r>
      <w:r w:rsidR="003E57EA">
        <w:rPr>
          <w:rFonts w:cstheme="minorHAnsi"/>
        </w:rPr>
        <w:t xml:space="preserve">for the same period, such as </w:t>
      </w:r>
      <w:r w:rsidRPr="00AA044C">
        <w:rPr>
          <w:rFonts w:cstheme="minorHAnsi"/>
        </w:rPr>
        <w:t>Thomastown (12.2 per cent), Epping South (12.6 per cent), Lalor (12.4 per cent), and Heidelberg West (11.3 per cent)</w:t>
      </w:r>
      <w:r w:rsidR="001167FA" w:rsidRPr="00AA044C">
        <w:rPr>
          <w:rStyle w:val="FootnoteReference"/>
          <w:rFonts w:cstheme="minorHAnsi"/>
        </w:rPr>
        <w:footnoteReference w:id="3"/>
      </w:r>
      <w:r w:rsidRPr="00AA044C">
        <w:rPr>
          <w:rFonts w:cstheme="minorHAnsi"/>
        </w:rPr>
        <w:t xml:space="preserve">. </w:t>
      </w:r>
    </w:p>
    <w:p w14:paraId="4432930C" w14:textId="77777777" w:rsidR="006D13FC" w:rsidRDefault="006D13FC" w:rsidP="006D13FC">
      <w:pPr>
        <w:spacing w:after="0"/>
        <w:jc w:val="both"/>
        <w:rPr>
          <w:rFonts w:cstheme="minorHAnsi"/>
        </w:rPr>
      </w:pPr>
    </w:p>
    <w:p w14:paraId="20E19C03" w14:textId="0EB52DCC" w:rsidR="00B85F70" w:rsidRDefault="0026444F" w:rsidP="0091517E">
      <w:pPr>
        <w:spacing w:after="0"/>
        <w:jc w:val="both"/>
        <w:rPr>
          <w:rFonts w:cstheme="minorHAnsi"/>
        </w:rPr>
      </w:pPr>
      <w:r>
        <w:rPr>
          <w:rFonts w:cstheme="minorHAnsi"/>
        </w:rPr>
        <w:t xml:space="preserve">The </w:t>
      </w:r>
      <w:r w:rsidR="00CA1DD2">
        <w:rPr>
          <w:rFonts w:cstheme="minorHAnsi"/>
        </w:rPr>
        <w:t xml:space="preserve">North </w:t>
      </w:r>
      <w:r w:rsidR="009A7EFE">
        <w:rPr>
          <w:rFonts w:cstheme="minorHAnsi"/>
        </w:rPr>
        <w:t xml:space="preserve">Eastern Melbourne ER </w:t>
      </w:r>
      <w:r>
        <w:rPr>
          <w:rFonts w:cstheme="minorHAnsi"/>
        </w:rPr>
        <w:t xml:space="preserve">has also experienced </w:t>
      </w:r>
      <w:r w:rsidR="009A7EFE">
        <w:rPr>
          <w:rFonts w:cstheme="minorHAnsi"/>
        </w:rPr>
        <w:t xml:space="preserve">a steady decline in Labour Force Participation </w:t>
      </w:r>
      <w:r>
        <w:rPr>
          <w:rFonts w:cstheme="minorHAnsi"/>
        </w:rPr>
        <w:t xml:space="preserve">Rates </w:t>
      </w:r>
      <w:r w:rsidR="009A7EFE">
        <w:rPr>
          <w:rFonts w:cstheme="minorHAnsi"/>
        </w:rPr>
        <w:t>over the last 2 years.</w:t>
      </w:r>
      <w:r w:rsidR="003D1F13">
        <w:rPr>
          <w:rStyle w:val="FootnoteReference"/>
          <w:rFonts w:cstheme="minorHAnsi"/>
        </w:rPr>
        <w:footnoteReference w:id="4"/>
      </w:r>
      <w:r w:rsidR="009A7EFE">
        <w:rPr>
          <w:rFonts w:cstheme="minorHAnsi"/>
        </w:rPr>
        <w:t xml:space="preserve"> </w:t>
      </w:r>
      <w:r w:rsidR="00B85F70">
        <w:rPr>
          <w:rFonts w:cstheme="minorHAnsi"/>
        </w:rPr>
        <w:t xml:space="preserve">The </w:t>
      </w:r>
      <w:r w:rsidR="00F10595">
        <w:rPr>
          <w:rFonts w:cstheme="minorHAnsi"/>
        </w:rPr>
        <w:t>ER</w:t>
      </w:r>
      <w:r w:rsidR="00B85F70">
        <w:rPr>
          <w:rFonts w:cstheme="minorHAnsi"/>
        </w:rPr>
        <w:t xml:space="preserve">’s Labour Force Participation </w:t>
      </w:r>
      <w:r w:rsidR="006B7FAA">
        <w:rPr>
          <w:rFonts w:cstheme="minorHAnsi"/>
        </w:rPr>
        <w:t>R</w:t>
      </w:r>
      <w:r w:rsidR="00B85F70">
        <w:rPr>
          <w:rFonts w:cstheme="minorHAnsi"/>
        </w:rPr>
        <w:t xml:space="preserve">ate declined from </w:t>
      </w:r>
      <w:r w:rsidR="006D1BB2">
        <w:rPr>
          <w:rFonts w:cstheme="minorHAnsi"/>
        </w:rPr>
        <w:t xml:space="preserve">66.9 per cent in </w:t>
      </w:r>
      <w:r w:rsidR="00B85F70">
        <w:rPr>
          <w:rFonts w:cstheme="minorHAnsi"/>
        </w:rPr>
        <w:t xml:space="preserve">May 2020 to </w:t>
      </w:r>
      <w:r w:rsidR="006D1BB2">
        <w:rPr>
          <w:rFonts w:cstheme="minorHAnsi"/>
        </w:rPr>
        <w:t xml:space="preserve">64.4 per cent </w:t>
      </w:r>
      <w:r w:rsidR="00A55170">
        <w:rPr>
          <w:rFonts w:cstheme="minorHAnsi"/>
        </w:rPr>
        <w:t xml:space="preserve">in </w:t>
      </w:r>
      <w:r w:rsidR="00B85F70">
        <w:rPr>
          <w:rFonts w:cstheme="minorHAnsi"/>
        </w:rPr>
        <w:t>May 2021</w:t>
      </w:r>
      <w:r>
        <w:rPr>
          <w:rFonts w:cstheme="minorHAnsi"/>
        </w:rPr>
        <w:t xml:space="preserve">, </w:t>
      </w:r>
      <w:r w:rsidR="00B85F70">
        <w:rPr>
          <w:rFonts w:cstheme="minorHAnsi"/>
        </w:rPr>
        <w:t xml:space="preserve">compared to </w:t>
      </w:r>
      <w:r w:rsidR="00A55170">
        <w:rPr>
          <w:rFonts w:cstheme="minorHAnsi"/>
        </w:rPr>
        <w:t xml:space="preserve">the </w:t>
      </w:r>
      <w:r w:rsidR="00B85F70">
        <w:rPr>
          <w:rFonts w:cstheme="minorHAnsi"/>
        </w:rPr>
        <w:t xml:space="preserve">Inner Metropolitan Melbourne ER with the highest Participation Rate </w:t>
      </w:r>
      <w:r w:rsidR="00333C9A">
        <w:rPr>
          <w:rFonts w:cstheme="minorHAnsi"/>
        </w:rPr>
        <w:t xml:space="preserve">in metropolitan Melbourne ERs </w:t>
      </w:r>
      <w:r w:rsidR="00B85F70">
        <w:rPr>
          <w:rFonts w:cstheme="minorHAnsi"/>
        </w:rPr>
        <w:t xml:space="preserve">of </w:t>
      </w:r>
      <w:r w:rsidR="006D1BB2">
        <w:rPr>
          <w:rFonts w:cstheme="minorHAnsi"/>
        </w:rPr>
        <w:t>69.</w:t>
      </w:r>
      <w:r w:rsidR="00AA29D9">
        <w:rPr>
          <w:rFonts w:cstheme="minorHAnsi"/>
        </w:rPr>
        <w:t>6</w:t>
      </w:r>
      <w:r w:rsidR="006D1BB2">
        <w:rPr>
          <w:rFonts w:cstheme="minorHAnsi"/>
        </w:rPr>
        <w:t xml:space="preserve"> per cent and </w:t>
      </w:r>
      <w:r w:rsidR="00B85F70">
        <w:rPr>
          <w:rFonts w:cstheme="minorHAnsi"/>
        </w:rPr>
        <w:t>70.1 per cent</w:t>
      </w:r>
      <w:r w:rsidR="006D1BB2">
        <w:rPr>
          <w:rFonts w:cstheme="minorHAnsi"/>
        </w:rPr>
        <w:t xml:space="preserve"> respectively for the same period.</w:t>
      </w:r>
      <w:r w:rsidR="006D1BB2">
        <w:rPr>
          <w:rStyle w:val="FootnoteReference"/>
          <w:rFonts w:cstheme="minorHAnsi"/>
        </w:rPr>
        <w:footnoteReference w:id="5"/>
      </w:r>
      <w:r w:rsidR="00B85F70">
        <w:rPr>
          <w:rFonts w:cstheme="minorHAnsi"/>
        </w:rPr>
        <w:t xml:space="preserve"> </w:t>
      </w:r>
      <w:bookmarkEnd w:id="16"/>
      <w:r w:rsidR="009A7EFE">
        <w:rPr>
          <w:rFonts w:cstheme="minorHAnsi"/>
        </w:rPr>
        <w:t xml:space="preserve"> </w:t>
      </w:r>
    </w:p>
    <w:p w14:paraId="28F14A1A" w14:textId="77777777" w:rsidR="006D13FC" w:rsidRDefault="006D13FC" w:rsidP="006D13FC">
      <w:pPr>
        <w:spacing w:after="0"/>
        <w:jc w:val="both"/>
        <w:rPr>
          <w:rFonts w:cstheme="minorHAnsi"/>
        </w:rPr>
      </w:pPr>
    </w:p>
    <w:p w14:paraId="34C6D9BE" w14:textId="35E45956" w:rsidR="001F7CB9" w:rsidRDefault="00794DA6" w:rsidP="0091517E">
      <w:pPr>
        <w:spacing w:after="0"/>
        <w:jc w:val="both"/>
        <w:rPr>
          <w:rFonts w:cstheme="minorHAnsi"/>
          <w:lang w:val="en-AU"/>
        </w:rPr>
      </w:pPr>
      <w:r>
        <w:rPr>
          <w:rFonts w:cstheme="minorHAnsi"/>
          <w:lang w:val="en-AU"/>
        </w:rPr>
        <w:t xml:space="preserve">The </w:t>
      </w:r>
      <w:r w:rsidR="00A55170">
        <w:rPr>
          <w:rFonts w:cstheme="minorHAnsi"/>
          <w:lang w:val="en-AU"/>
        </w:rPr>
        <w:t xml:space="preserve">jobactive caseload in the </w:t>
      </w:r>
      <w:r>
        <w:rPr>
          <w:rFonts w:cstheme="minorHAnsi"/>
          <w:lang w:val="en-AU"/>
        </w:rPr>
        <w:t xml:space="preserve">North Eastern Melbourne </w:t>
      </w:r>
      <w:r w:rsidR="00A55170">
        <w:rPr>
          <w:rFonts w:cstheme="minorHAnsi"/>
          <w:lang w:val="en-AU"/>
        </w:rPr>
        <w:t xml:space="preserve">ER </w:t>
      </w:r>
      <w:r w:rsidR="008830CE">
        <w:rPr>
          <w:rFonts w:cstheme="minorHAnsi"/>
          <w:lang w:val="en-AU"/>
        </w:rPr>
        <w:t xml:space="preserve">includes </w:t>
      </w:r>
      <w:r>
        <w:rPr>
          <w:rFonts w:cstheme="minorHAnsi"/>
          <w:lang w:val="en-AU"/>
        </w:rPr>
        <w:t>job seeker</w:t>
      </w:r>
      <w:r w:rsidR="00A55170">
        <w:rPr>
          <w:rFonts w:cstheme="minorHAnsi"/>
          <w:lang w:val="en-AU"/>
        </w:rPr>
        <w:t>s</w:t>
      </w:r>
      <w:r>
        <w:rPr>
          <w:rFonts w:cstheme="minorHAnsi"/>
          <w:lang w:val="en-AU"/>
        </w:rPr>
        <w:t xml:space="preserve"> who </w:t>
      </w:r>
      <w:r w:rsidR="008830CE">
        <w:rPr>
          <w:rFonts w:cstheme="minorHAnsi"/>
          <w:lang w:val="en-AU"/>
        </w:rPr>
        <w:t xml:space="preserve">may be </w:t>
      </w:r>
      <w:r>
        <w:rPr>
          <w:rFonts w:cstheme="minorHAnsi"/>
          <w:lang w:val="en-AU"/>
        </w:rPr>
        <w:t>more likely to exhibit labour market disadvantage</w:t>
      </w:r>
      <w:r w:rsidR="008830CE">
        <w:rPr>
          <w:rFonts w:cstheme="minorHAnsi"/>
          <w:lang w:val="en-AU"/>
        </w:rPr>
        <w:t>.</w:t>
      </w:r>
      <w:r>
        <w:rPr>
          <w:rFonts w:cstheme="minorHAnsi"/>
          <w:lang w:val="en-AU"/>
        </w:rPr>
        <w:t xml:space="preserve">  </w:t>
      </w:r>
      <w:r w:rsidRPr="004F4360">
        <w:rPr>
          <w:rFonts w:cstheme="minorHAnsi"/>
          <w:lang w:val="en-AU"/>
        </w:rPr>
        <w:t>A</w:t>
      </w:r>
      <w:r w:rsidR="009073E5" w:rsidRPr="004F4360">
        <w:rPr>
          <w:rFonts w:cstheme="minorHAnsi"/>
          <w:lang w:val="en-AU"/>
        </w:rPr>
        <w:t xml:space="preserve">s at 30 </w:t>
      </w:r>
      <w:r w:rsidR="00097592" w:rsidRPr="004F4360">
        <w:rPr>
          <w:rFonts w:cstheme="minorHAnsi"/>
          <w:lang w:val="en-AU"/>
        </w:rPr>
        <w:t xml:space="preserve">June </w:t>
      </w:r>
      <w:r w:rsidR="009073E5" w:rsidRPr="004F4360">
        <w:rPr>
          <w:rFonts w:cstheme="minorHAnsi"/>
          <w:lang w:val="en-AU"/>
        </w:rPr>
        <w:t>2021</w:t>
      </w:r>
      <w:r w:rsidRPr="004F4360">
        <w:rPr>
          <w:rFonts w:cstheme="minorHAnsi"/>
          <w:lang w:val="en-AU"/>
        </w:rPr>
        <w:t>,</w:t>
      </w:r>
      <w:r w:rsidRPr="00794DA6">
        <w:rPr>
          <w:rFonts w:cstheme="minorHAnsi"/>
          <w:lang w:val="en-AU"/>
        </w:rPr>
        <w:t xml:space="preserve"> </w:t>
      </w:r>
      <w:r w:rsidR="00055460">
        <w:rPr>
          <w:rFonts w:cstheme="minorHAnsi"/>
          <w:lang w:val="en-AU"/>
        </w:rPr>
        <w:t>Employment Services Caseload data</w:t>
      </w:r>
      <w:r w:rsidR="003D1F13">
        <w:rPr>
          <w:rStyle w:val="FootnoteReference"/>
          <w:rFonts w:cstheme="minorHAnsi"/>
          <w:lang w:val="en-AU"/>
        </w:rPr>
        <w:footnoteReference w:id="6"/>
      </w:r>
      <w:r>
        <w:rPr>
          <w:rFonts w:cstheme="minorHAnsi"/>
          <w:lang w:val="en-AU"/>
        </w:rPr>
        <w:t xml:space="preserve"> </w:t>
      </w:r>
      <w:r w:rsidR="009073E5">
        <w:rPr>
          <w:rFonts w:cstheme="minorHAnsi"/>
          <w:lang w:val="en-AU"/>
        </w:rPr>
        <w:t>shows that a large proportion of t</w:t>
      </w:r>
      <w:r w:rsidR="006C27E6" w:rsidRPr="00F93930">
        <w:rPr>
          <w:rFonts w:cstheme="minorHAnsi"/>
          <w:lang w:val="en-AU"/>
        </w:rPr>
        <w:t xml:space="preserve">he </w:t>
      </w:r>
      <w:r w:rsidR="00804D9F">
        <w:rPr>
          <w:rFonts w:cstheme="minorHAnsi"/>
          <w:lang w:val="en-AU"/>
        </w:rPr>
        <w:t xml:space="preserve">jobactive </w:t>
      </w:r>
      <w:r w:rsidR="006C27E6" w:rsidRPr="00F93930">
        <w:rPr>
          <w:rFonts w:cstheme="minorHAnsi"/>
          <w:lang w:val="en-AU"/>
        </w:rPr>
        <w:t xml:space="preserve">caseload </w:t>
      </w:r>
      <w:r w:rsidR="00943838">
        <w:rPr>
          <w:rFonts w:cstheme="minorHAnsi"/>
          <w:lang w:val="en-AU"/>
        </w:rPr>
        <w:t xml:space="preserve">includes </w:t>
      </w:r>
      <w:r w:rsidR="009073E5">
        <w:rPr>
          <w:rFonts w:cstheme="minorHAnsi"/>
          <w:lang w:val="en-AU"/>
        </w:rPr>
        <w:t xml:space="preserve">job seekers who </w:t>
      </w:r>
      <w:r w:rsidR="0064208D">
        <w:rPr>
          <w:rFonts w:cstheme="minorHAnsi"/>
          <w:lang w:val="en-AU"/>
        </w:rPr>
        <w:t>are</w:t>
      </w:r>
      <w:r w:rsidR="006C27E6" w:rsidRPr="00F93930">
        <w:rPr>
          <w:rFonts w:cstheme="minorHAnsi"/>
          <w:lang w:val="en-AU"/>
        </w:rPr>
        <w:t xml:space="preserve"> Culturally and Linguistically Diverse (CALD), Mature Age </w:t>
      </w:r>
      <w:r w:rsidR="0064269E">
        <w:rPr>
          <w:rFonts w:cstheme="minorHAnsi"/>
          <w:lang w:val="en-AU"/>
        </w:rPr>
        <w:t>(</w:t>
      </w:r>
      <w:r w:rsidR="006C27E6" w:rsidRPr="00F93930">
        <w:rPr>
          <w:rFonts w:cstheme="minorHAnsi"/>
          <w:lang w:val="en-AU"/>
        </w:rPr>
        <w:t>50</w:t>
      </w:r>
      <w:r w:rsidR="00F562B7">
        <w:rPr>
          <w:rFonts w:cstheme="minorHAnsi"/>
          <w:lang w:val="en-AU"/>
        </w:rPr>
        <w:t xml:space="preserve"> </w:t>
      </w:r>
      <w:r w:rsidR="00B75FCD">
        <w:rPr>
          <w:rFonts w:cstheme="minorHAnsi"/>
          <w:lang w:val="en-AU"/>
        </w:rPr>
        <w:t xml:space="preserve">years </w:t>
      </w:r>
      <w:r w:rsidR="00F562B7">
        <w:rPr>
          <w:rFonts w:cstheme="minorHAnsi"/>
          <w:lang w:val="en-AU"/>
        </w:rPr>
        <w:t xml:space="preserve">or more </w:t>
      </w:r>
      <w:r w:rsidR="00943838">
        <w:rPr>
          <w:rFonts w:cstheme="minorHAnsi"/>
          <w:lang w:val="en-AU"/>
        </w:rPr>
        <w:t>of age</w:t>
      </w:r>
      <w:r w:rsidR="0064269E">
        <w:rPr>
          <w:rFonts w:cstheme="minorHAnsi"/>
          <w:lang w:val="en-AU"/>
        </w:rPr>
        <w:t>)</w:t>
      </w:r>
      <w:r w:rsidR="00F562B7">
        <w:rPr>
          <w:rFonts w:cstheme="minorHAnsi"/>
          <w:lang w:val="en-AU"/>
        </w:rPr>
        <w:t>,</w:t>
      </w:r>
      <w:r w:rsidR="006C27E6" w:rsidRPr="00F93930">
        <w:rPr>
          <w:rFonts w:cstheme="minorHAnsi"/>
          <w:lang w:val="en-AU"/>
        </w:rPr>
        <w:t xml:space="preserve"> </w:t>
      </w:r>
      <w:r w:rsidR="00FC2587">
        <w:rPr>
          <w:rFonts w:cstheme="minorHAnsi"/>
          <w:lang w:val="en-AU"/>
        </w:rPr>
        <w:t>p</w:t>
      </w:r>
      <w:r w:rsidR="006C27E6" w:rsidRPr="00F93930">
        <w:rPr>
          <w:rFonts w:cstheme="minorHAnsi"/>
          <w:lang w:val="en-AU"/>
        </w:rPr>
        <w:t xml:space="preserve">eople with </w:t>
      </w:r>
      <w:r w:rsidR="00FC2587">
        <w:rPr>
          <w:rFonts w:cstheme="minorHAnsi"/>
          <w:lang w:val="en-AU"/>
        </w:rPr>
        <w:t>d</w:t>
      </w:r>
      <w:r w:rsidR="006C27E6" w:rsidRPr="00F93930">
        <w:rPr>
          <w:rFonts w:cstheme="minorHAnsi"/>
          <w:lang w:val="en-AU"/>
        </w:rPr>
        <w:t>isabilit</w:t>
      </w:r>
      <w:r w:rsidR="00FC2587">
        <w:rPr>
          <w:rFonts w:cstheme="minorHAnsi"/>
          <w:lang w:val="en-AU"/>
        </w:rPr>
        <w:t>y</w:t>
      </w:r>
      <w:r w:rsidR="00AB2C84">
        <w:rPr>
          <w:rFonts w:cstheme="minorHAnsi"/>
          <w:lang w:val="en-AU"/>
        </w:rPr>
        <w:t>, Youth</w:t>
      </w:r>
      <w:r w:rsidR="006C27E6" w:rsidRPr="00F93930">
        <w:rPr>
          <w:rFonts w:cstheme="minorHAnsi"/>
          <w:lang w:val="en-AU"/>
        </w:rPr>
        <w:t xml:space="preserve"> and Parents.  </w:t>
      </w:r>
    </w:p>
    <w:p w14:paraId="3FAF6699" w14:textId="5E7E4797" w:rsidR="001F7CB9" w:rsidRDefault="001F7CB9" w:rsidP="0091517E">
      <w:pPr>
        <w:spacing w:after="0"/>
        <w:jc w:val="both"/>
        <w:rPr>
          <w:rFonts w:cstheme="minorHAnsi"/>
          <w:lang w:val="en-AU"/>
        </w:rPr>
      </w:pPr>
    </w:p>
    <w:p w14:paraId="2D8D5608" w14:textId="23F0AEB8" w:rsidR="006E4AC0" w:rsidRDefault="006E4AC0" w:rsidP="0091517E">
      <w:pPr>
        <w:spacing w:after="0"/>
        <w:jc w:val="both"/>
        <w:rPr>
          <w:rFonts w:cstheme="minorHAnsi"/>
          <w:lang w:val="en-AU"/>
        </w:rPr>
      </w:pPr>
      <w:r w:rsidRPr="00340955">
        <w:rPr>
          <w:rFonts w:cstheme="minorHAnsi"/>
          <w:lang w:val="en-AU"/>
        </w:rPr>
        <w:t>Disadvantaged job seekers are more likely to experience extensive periods of unemployment, creating an additional barrier to employment. Employment services caseload data as at 30 June 2021, show</w:t>
      </w:r>
      <w:r w:rsidR="00D657FE">
        <w:rPr>
          <w:rFonts w:cstheme="minorHAnsi"/>
          <w:lang w:val="en-AU"/>
        </w:rPr>
        <w:t xml:space="preserve"> </w:t>
      </w:r>
      <w:r w:rsidRPr="00340955">
        <w:rPr>
          <w:rFonts w:cstheme="minorHAnsi"/>
          <w:lang w:val="en-AU"/>
        </w:rPr>
        <w:t>th</w:t>
      </w:r>
      <w:r w:rsidR="00D657FE">
        <w:rPr>
          <w:rFonts w:cstheme="minorHAnsi"/>
          <w:lang w:val="en-AU"/>
        </w:rPr>
        <w:t xml:space="preserve">at </w:t>
      </w:r>
      <w:r w:rsidR="0034041E">
        <w:rPr>
          <w:rFonts w:cstheme="minorHAnsi"/>
          <w:lang w:val="en-AU"/>
        </w:rPr>
        <w:t>many</w:t>
      </w:r>
      <w:r w:rsidR="00D657FE">
        <w:rPr>
          <w:rFonts w:cstheme="minorHAnsi"/>
          <w:lang w:val="en-AU"/>
        </w:rPr>
        <w:t xml:space="preserve"> job seekers experience extensive periods of unemployment ranging from 12 months to 60 months or longer.</w:t>
      </w:r>
    </w:p>
    <w:p w14:paraId="50FD11C5" w14:textId="77777777" w:rsidR="006E4AC0" w:rsidRDefault="006E4AC0" w:rsidP="0091517E">
      <w:pPr>
        <w:spacing w:after="0"/>
        <w:jc w:val="both"/>
        <w:rPr>
          <w:rFonts w:cstheme="minorHAnsi"/>
          <w:lang w:val="en-AU"/>
        </w:rPr>
      </w:pPr>
    </w:p>
    <w:p w14:paraId="44B2F815" w14:textId="3324A70F" w:rsidR="0011269E" w:rsidRDefault="00697EC0" w:rsidP="0091517E">
      <w:pPr>
        <w:spacing w:after="0"/>
        <w:jc w:val="both"/>
        <w:rPr>
          <w:rFonts w:cstheme="minorHAnsi"/>
          <w:lang w:val="en-AU"/>
        </w:rPr>
      </w:pPr>
      <w:r w:rsidRPr="00340955">
        <w:rPr>
          <w:rFonts w:cstheme="minorHAnsi"/>
          <w:lang w:val="en-AU"/>
        </w:rPr>
        <w:t>While all LGA</w:t>
      </w:r>
      <w:r w:rsidR="00DC5259" w:rsidRPr="00340955">
        <w:rPr>
          <w:rFonts w:cstheme="minorHAnsi"/>
          <w:lang w:val="en-AU"/>
        </w:rPr>
        <w:t>s</w:t>
      </w:r>
      <w:r w:rsidRPr="00340955">
        <w:rPr>
          <w:rFonts w:cstheme="minorHAnsi"/>
          <w:lang w:val="en-AU"/>
        </w:rPr>
        <w:t xml:space="preserve"> </w:t>
      </w:r>
      <w:r w:rsidR="00907985" w:rsidRPr="00340955">
        <w:rPr>
          <w:rFonts w:cstheme="minorHAnsi"/>
          <w:lang w:val="en-AU"/>
        </w:rPr>
        <w:t xml:space="preserve">within the North Eastern Melbourne ER </w:t>
      </w:r>
      <w:r w:rsidRPr="00340955">
        <w:rPr>
          <w:rFonts w:cstheme="minorHAnsi"/>
          <w:lang w:val="en-AU"/>
        </w:rPr>
        <w:t xml:space="preserve">experience high levels of </w:t>
      </w:r>
      <w:r w:rsidR="005C5FF1" w:rsidRPr="00340955">
        <w:rPr>
          <w:rFonts w:cstheme="minorHAnsi"/>
          <w:lang w:val="en-AU"/>
        </w:rPr>
        <w:t>longer-term</w:t>
      </w:r>
      <w:r w:rsidRPr="00340955">
        <w:rPr>
          <w:rFonts w:cstheme="minorHAnsi"/>
          <w:lang w:val="en-AU"/>
        </w:rPr>
        <w:t xml:space="preserve"> unemployment </w:t>
      </w:r>
      <w:r w:rsidR="00DC5259" w:rsidRPr="00340955">
        <w:rPr>
          <w:rFonts w:cstheme="minorHAnsi"/>
          <w:lang w:val="en-AU"/>
        </w:rPr>
        <w:t>(</w:t>
      </w:r>
      <w:r w:rsidR="00925CE4" w:rsidRPr="00340955">
        <w:rPr>
          <w:rFonts w:cstheme="minorHAnsi"/>
          <w:lang w:val="en-AU"/>
        </w:rPr>
        <w:t>as a proportion of the jobactive caseload</w:t>
      </w:r>
      <w:r w:rsidR="00DC5259" w:rsidRPr="00340955">
        <w:rPr>
          <w:rFonts w:cstheme="minorHAnsi"/>
          <w:lang w:val="en-AU"/>
        </w:rPr>
        <w:t>)</w:t>
      </w:r>
      <w:r w:rsidR="00925CE4" w:rsidRPr="00340955">
        <w:rPr>
          <w:rFonts w:cstheme="minorHAnsi"/>
          <w:lang w:val="en-AU"/>
        </w:rPr>
        <w:t xml:space="preserve">, </w:t>
      </w:r>
      <w:r w:rsidRPr="00340955">
        <w:rPr>
          <w:rFonts w:cstheme="minorHAnsi"/>
          <w:lang w:val="en-AU"/>
        </w:rPr>
        <w:t>t</w:t>
      </w:r>
      <w:r w:rsidR="007B618A" w:rsidRPr="00340955">
        <w:rPr>
          <w:rFonts w:cstheme="minorHAnsi"/>
          <w:lang w:val="en-AU"/>
        </w:rPr>
        <w:t xml:space="preserve">here </w:t>
      </w:r>
      <w:r w:rsidRPr="00340955">
        <w:rPr>
          <w:rFonts w:cstheme="minorHAnsi"/>
          <w:lang w:val="en-AU"/>
        </w:rPr>
        <w:t>are</w:t>
      </w:r>
      <w:r w:rsidR="007B618A" w:rsidRPr="00340955">
        <w:rPr>
          <w:rFonts w:cstheme="minorHAnsi"/>
          <w:lang w:val="en-AU"/>
        </w:rPr>
        <w:t xml:space="preserve"> higher concentration</w:t>
      </w:r>
      <w:r w:rsidRPr="00340955">
        <w:rPr>
          <w:rFonts w:cstheme="minorHAnsi"/>
          <w:lang w:val="en-AU"/>
        </w:rPr>
        <w:t>s</w:t>
      </w:r>
      <w:r w:rsidR="007B618A" w:rsidRPr="00340955">
        <w:rPr>
          <w:rFonts w:cstheme="minorHAnsi"/>
          <w:lang w:val="en-AU"/>
        </w:rPr>
        <w:t xml:space="preserve"> </w:t>
      </w:r>
      <w:r w:rsidRPr="00340955">
        <w:rPr>
          <w:rFonts w:cstheme="minorHAnsi"/>
          <w:lang w:val="en-AU"/>
        </w:rPr>
        <w:t>of</w:t>
      </w:r>
      <w:r w:rsidR="007B618A" w:rsidRPr="00340955">
        <w:rPr>
          <w:rFonts w:cstheme="minorHAnsi"/>
          <w:lang w:val="en-AU"/>
        </w:rPr>
        <w:t xml:space="preserve"> </w:t>
      </w:r>
      <w:r w:rsidR="0034041E" w:rsidRPr="00340955">
        <w:rPr>
          <w:rFonts w:cstheme="minorHAnsi"/>
          <w:lang w:val="en-AU"/>
        </w:rPr>
        <w:t>long-term</w:t>
      </w:r>
      <w:r w:rsidR="007B618A" w:rsidRPr="00340955">
        <w:rPr>
          <w:rFonts w:cstheme="minorHAnsi"/>
          <w:lang w:val="en-AU"/>
        </w:rPr>
        <w:t xml:space="preserve"> unemployment within the large Yarra Ranges Shire</w:t>
      </w:r>
      <w:r w:rsidR="00D657FE">
        <w:rPr>
          <w:rFonts w:cstheme="minorHAnsi"/>
          <w:lang w:val="en-AU"/>
        </w:rPr>
        <w:t xml:space="preserve">. </w:t>
      </w:r>
    </w:p>
    <w:p w14:paraId="023C1DA9" w14:textId="77777777" w:rsidR="006D13FC" w:rsidRDefault="006D13FC" w:rsidP="006D13FC">
      <w:pPr>
        <w:spacing w:after="0"/>
        <w:jc w:val="both"/>
        <w:rPr>
          <w:rFonts w:cstheme="minorHAnsi"/>
          <w:lang w:val="en-AU"/>
        </w:rPr>
      </w:pPr>
    </w:p>
    <w:p w14:paraId="2FA51AFC" w14:textId="22659F50" w:rsidR="00B25C50" w:rsidRDefault="006813D3" w:rsidP="006D13FC">
      <w:pPr>
        <w:spacing w:after="0"/>
        <w:jc w:val="both"/>
        <w:rPr>
          <w:rFonts w:cstheme="minorHAnsi"/>
          <w:lang w:val="en-AU"/>
        </w:rPr>
      </w:pPr>
      <w:r>
        <w:rPr>
          <w:rFonts w:cstheme="minorHAnsi"/>
          <w:lang w:val="en-AU"/>
        </w:rPr>
        <w:t>T</w:t>
      </w:r>
      <w:r w:rsidR="00686195" w:rsidRPr="009D64AD">
        <w:rPr>
          <w:rFonts w:cstheme="minorHAnsi"/>
          <w:lang w:val="en-AU"/>
        </w:rPr>
        <w:t xml:space="preserve">argeted </w:t>
      </w:r>
      <w:r w:rsidR="0017629A" w:rsidRPr="009D64AD">
        <w:rPr>
          <w:rFonts w:cstheme="minorHAnsi"/>
          <w:lang w:val="en-AU"/>
        </w:rPr>
        <w:t>location</w:t>
      </w:r>
      <w:r w:rsidR="00DB5E41" w:rsidRPr="009D64AD">
        <w:rPr>
          <w:rFonts w:cstheme="minorHAnsi"/>
          <w:lang w:val="en-AU"/>
        </w:rPr>
        <w:t>-</w:t>
      </w:r>
      <w:r w:rsidR="0017629A" w:rsidRPr="009D64AD">
        <w:rPr>
          <w:rFonts w:cstheme="minorHAnsi"/>
          <w:lang w:val="en-AU"/>
        </w:rPr>
        <w:t xml:space="preserve">based solutions </w:t>
      </w:r>
      <w:r w:rsidR="00AE5E02" w:rsidRPr="009D64AD">
        <w:rPr>
          <w:rFonts w:cstheme="minorHAnsi"/>
          <w:lang w:val="en-AU"/>
        </w:rPr>
        <w:t xml:space="preserve">that </w:t>
      </w:r>
      <w:r w:rsidR="00686195" w:rsidRPr="009D64AD">
        <w:rPr>
          <w:rFonts w:cstheme="minorHAnsi"/>
          <w:lang w:val="en-AU"/>
        </w:rPr>
        <w:t xml:space="preserve">mitigate labour market disadvantage </w:t>
      </w:r>
      <w:r w:rsidR="002026E7" w:rsidRPr="009D64AD">
        <w:rPr>
          <w:rFonts w:cstheme="minorHAnsi"/>
          <w:lang w:val="en-AU"/>
        </w:rPr>
        <w:t xml:space="preserve">(including longer durations of </w:t>
      </w:r>
      <w:r w:rsidR="00DC5259" w:rsidRPr="009D64AD">
        <w:rPr>
          <w:rFonts w:cstheme="minorHAnsi"/>
          <w:lang w:val="en-AU"/>
        </w:rPr>
        <w:t>un</w:t>
      </w:r>
      <w:r w:rsidR="002026E7" w:rsidRPr="009D64AD">
        <w:rPr>
          <w:rFonts w:cstheme="minorHAnsi"/>
          <w:lang w:val="en-AU"/>
        </w:rPr>
        <w:t>employment)</w:t>
      </w:r>
      <w:r>
        <w:rPr>
          <w:rFonts w:cstheme="minorHAnsi"/>
          <w:lang w:val="en-AU"/>
        </w:rPr>
        <w:t xml:space="preserve"> c</w:t>
      </w:r>
      <w:r w:rsidR="00333C9A" w:rsidRPr="009D64AD">
        <w:rPr>
          <w:rFonts w:cstheme="minorHAnsi"/>
          <w:lang w:val="en-AU"/>
        </w:rPr>
        <w:t xml:space="preserve">ould </w:t>
      </w:r>
      <w:r w:rsidR="00686195" w:rsidRPr="009D64AD">
        <w:rPr>
          <w:rFonts w:cstheme="minorHAnsi"/>
          <w:lang w:val="en-AU"/>
        </w:rPr>
        <w:t>support</w:t>
      </w:r>
      <w:r w:rsidR="00AE5E02" w:rsidRPr="009D64AD">
        <w:rPr>
          <w:rFonts w:cstheme="minorHAnsi"/>
          <w:lang w:val="en-AU"/>
        </w:rPr>
        <w:t xml:space="preserve"> either direct employment or </w:t>
      </w:r>
      <w:r w:rsidR="00686195" w:rsidRPr="009D64AD">
        <w:rPr>
          <w:rFonts w:cstheme="minorHAnsi"/>
          <w:lang w:val="en-AU"/>
        </w:rPr>
        <w:t>pathways to employment for</w:t>
      </w:r>
      <w:r w:rsidR="006B0F39">
        <w:rPr>
          <w:rFonts w:cstheme="minorHAnsi"/>
          <w:lang w:val="en-AU"/>
        </w:rPr>
        <w:t xml:space="preserve"> </w:t>
      </w:r>
      <w:r w:rsidR="00333C9A" w:rsidRPr="009D64AD">
        <w:rPr>
          <w:rFonts w:cstheme="minorHAnsi"/>
          <w:lang w:val="en-AU"/>
        </w:rPr>
        <w:t xml:space="preserve">disadvantaged </w:t>
      </w:r>
      <w:r w:rsidR="006B0F39" w:rsidRPr="009D64AD">
        <w:rPr>
          <w:rFonts w:cstheme="minorHAnsi"/>
          <w:lang w:val="en-AU"/>
        </w:rPr>
        <w:t>job</w:t>
      </w:r>
      <w:r w:rsidR="006B0F39">
        <w:rPr>
          <w:rFonts w:cstheme="minorHAnsi"/>
          <w:lang w:val="en-AU"/>
        </w:rPr>
        <w:t xml:space="preserve"> </w:t>
      </w:r>
      <w:r w:rsidR="006B0F39" w:rsidRPr="009D64AD">
        <w:rPr>
          <w:rFonts w:cstheme="minorHAnsi"/>
          <w:lang w:val="en-AU"/>
        </w:rPr>
        <w:t>seekers</w:t>
      </w:r>
      <w:r w:rsidR="006B0F39">
        <w:rPr>
          <w:rFonts w:cstheme="minorHAnsi"/>
          <w:lang w:val="en-AU"/>
        </w:rPr>
        <w:t xml:space="preserve"> in the ER</w:t>
      </w:r>
      <w:r w:rsidR="00333C9A" w:rsidRPr="009D64AD">
        <w:rPr>
          <w:rFonts w:cstheme="minorHAnsi"/>
          <w:lang w:val="en-AU"/>
        </w:rPr>
        <w:t>.</w:t>
      </w:r>
      <w:r w:rsidR="00333C9A">
        <w:rPr>
          <w:rFonts w:cstheme="minorHAnsi"/>
          <w:lang w:val="en-AU"/>
        </w:rPr>
        <w:t xml:space="preserve"> </w:t>
      </w:r>
    </w:p>
    <w:p w14:paraId="2F951DAF" w14:textId="06A0A050" w:rsidR="00B25C50" w:rsidRDefault="00B25C50" w:rsidP="006D13FC">
      <w:pPr>
        <w:spacing w:after="0"/>
        <w:jc w:val="both"/>
        <w:rPr>
          <w:rFonts w:cstheme="minorHAnsi"/>
          <w:lang w:val="en-AU"/>
        </w:rPr>
      </w:pPr>
    </w:p>
    <w:p w14:paraId="4497D9C8" w14:textId="487CEEC0" w:rsidR="00C4559C" w:rsidRDefault="00C4559C" w:rsidP="006D13FC">
      <w:pPr>
        <w:spacing w:after="0"/>
        <w:jc w:val="both"/>
        <w:rPr>
          <w:rFonts w:cstheme="minorHAnsi"/>
          <w:b/>
          <w:bCs/>
          <w:lang w:val="en-AU"/>
        </w:rPr>
      </w:pPr>
      <w:r w:rsidRPr="008A754F">
        <w:rPr>
          <w:rFonts w:cstheme="minorHAnsi"/>
          <w:b/>
          <w:bCs/>
          <w:lang w:val="en-AU"/>
        </w:rPr>
        <w:t xml:space="preserve">Mature </w:t>
      </w:r>
      <w:r w:rsidR="00B41774">
        <w:rPr>
          <w:rFonts w:cstheme="minorHAnsi"/>
          <w:b/>
          <w:bCs/>
          <w:lang w:val="en-AU"/>
        </w:rPr>
        <w:t>a</w:t>
      </w:r>
      <w:r w:rsidRPr="008A754F">
        <w:rPr>
          <w:rFonts w:cstheme="minorHAnsi"/>
          <w:b/>
          <w:bCs/>
          <w:lang w:val="en-AU"/>
        </w:rPr>
        <w:t>ge Job seekers</w:t>
      </w:r>
    </w:p>
    <w:p w14:paraId="73E9D78D" w14:textId="4BFA2598" w:rsidR="003762AF" w:rsidRDefault="0017629A" w:rsidP="001D77A6">
      <w:pPr>
        <w:spacing w:after="0"/>
        <w:jc w:val="both"/>
        <w:rPr>
          <w:rFonts w:cstheme="minorHAnsi"/>
          <w:lang w:val="en-AU"/>
        </w:rPr>
      </w:pPr>
      <w:r w:rsidRPr="001D77A6">
        <w:rPr>
          <w:rFonts w:cstheme="minorHAnsi"/>
          <w:lang w:val="en-AU"/>
        </w:rPr>
        <w:t>Employment Services C</w:t>
      </w:r>
      <w:r w:rsidR="0013189B" w:rsidRPr="001D77A6">
        <w:rPr>
          <w:rFonts w:cstheme="minorHAnsi"/>
          <w:lang w:val="en-AU"/>
        </w:rPr>
        <w:t>aseload data as at 30 June 2021, shows that 27.7 per</w:t>
      </w:r>
      <w:r w:rsidR="009C41BD" w:rsidRPr="001D77A6">
        <w:rPr>
          <w:rFonts w:cstheme="minorHAnsi"/>
          <w:lang w:val="en-AU"/>
        </w:rPr>
        <w:t xml:space="preserve"> </w:t>
      </w:r>
      <w:r w:rsidR="0013189B" w:rsidRPr="001D77A6">
        <w:rPr>
          <w:rFonts w:cstheme="minorHAnsi"/>
          <w:lang w:val="en-AU"/>
        </w:rPr>
        <w:t>cent</w:t>
      </w:r>
      <w:r w:rsidR="00C4559C" w:rsidRPr="001D77A6">
        <w:rPr>
          <w:rFonts w:cstheme="minorHAnsi"/>
          <w:lang w:val="en-AU"/>
        </w:rPr>
        <w:t xml:space="preserve"> of job seekers </w:t>
      </w:r>
      <w:r w:rsidR="00D733DA" w:rsidRPr="001D77A6">
        <w:rPr>
          <w:rFonts w:cstheme="minorHAnsi"/>
          <w:lang w:val="en-AU"/>
        </w:rPr>
        <w:t xml:space="preserve">in the North Eastern Melbourne ER </w:t>
      </w:r>
      <w:r w:rsidR="00C4559C" w:rsidRPr="001D77A6">
        <w:rPr>
          <w:rFonts w:cstheme="minorHAnsi"/>
          <w:lang w:val="en-AU"/>
        </w:rPr>
        <w:t>are mature age</w:t>
      </w:r>
      <w:r w:rsidR="00D733DA" w:rsidRPr="001D77A6">
        <w:rPr>
          <w:rFonts w:cstheme="minorHAnsi"/>
          <w:lang w:val="en-AU"/>
        </w:rPr>
        <w:t xml:space="preserve"> (</w:t>
      </w:r>
      <w:r w:rsidR="00C4559C" w:rsidRPr="001D77A6">
        <w:rPr>
          <w:rFonts w:cstheme="minorHAnsi"/>
          <w:lang w:val="en-AU"/>
        </w:rPr>
        <w:t>50 years of age or more</w:t>
      </w:r>
      <w:r w:rsidR="00D733DA" w:rsidRPr="001D77A6">
        <w:rPr>
          <w:rFonts w:cstheme="minorHAnsi"/>
          <w:lang w:val="en-AU"/>
        </w:rPr>
        <w:t>)</w:t>
      </w:r>
      <w:r w:rsidR="00C4559C" w:rsidRPr="001D77A6">
        <w:rPr>
          <w:rFonts w:cstheme="minorHAnsi"/>
          <w:lang w:val="en-AU"/>
        </w:rPr>
        <w:t xml:space="preserve">.  </w:t>
      </w:r>
      <w:r w:rsidR="00925CE4" w:rsidRPr="001D77A6">
        <w:rPr>
          <w:rFonts w:cstheme="minorHAnsi"/>
          <w:lang w:val="en-AU"/>
        </w:rPr>
        <w:t>The data shows mature age job seekers are represented on jobactive caseloads across the entire ER</w:t>
      </w:r>
      <w:r w:rsidR="00221C8E" w:rsidRPr="001D77A6">
        <w:rPr>
          <w:rFonts w:cstheme="minorHAnsi"/>
          <w:lang w:val="en-AU"/>
        </w:rPr>
        <w:t>,</w:t>
      </w:r>
      <w:r w:rsidR="006D1B2B" w:rsidRPr="001D77A6">
        <w:rPr>
          <w:rFonts w:cstheme="minorHAnsi"/>
          <w:lang w:val="en-AU"/>
        </w:rPr>
        <w:t xml:space="preserve"> </w:t>
      </w:r>
      <w:r w:rsidR="00221C8E" w:rsidRPr="001D77A6">
        <w:rPr>
          <w:rFonts w:cstheme="minorHAnsi"/>
          <w:lang w:val="en-AU"/>
        </w:rPr>
        <w:t xml:space="preserve">the lowest being the Darebin </w:t>
      </w:r>
    </w:p>
    <w:p w14:paraId="16E9117B" w14:textId="77777777" w:rsidR="003762AF" w:rsidRDefault="003762AF" w:rsidP="001D77A6">
      <w:pPr>
        <w:spacing w:after="0"/>
        <w:jc w:val="both"/>
        <w:rPr>
          <w:rFonts w:cstheme="minorHAnsi"/>
          <w:lang w:val="en-AU"/>
        </w:rPr>
      </w:pPr>
    </w:p>
    <w:p w14:paraId="37F2B0B5" w14:textId="77777777" w:rsidR="00BF4B03" w:rsidRDefault="00BF4B03" w:rsidP="001D77A6">
      <w:pPr>
        <w:spacing w:after="0"/>
        <w:jc w:val="both"/>
        <w:rPr>
          <w:rFonts w:cstheme="minorHAnsi"/>
          <w:lang w:val="en-AU"/>
        </w:rPr>
      </w:pPr>
    </w:p>
    <w:p w14:paraId="4810214C" w14:textId="0E2837D5" w:rsidR="00925CE4" w:rsidRPr="00246AB6" w:rsidRDefault="00221C8E" w:rsidP="001D77A6">
      <w:pPr>
        <w:spacing w:after="0"/>
        <w:jc w:val="both"/>
        <w:rPr>
          <w:rFonts w:cstheme="minorHAnsi"/>
        </w:rPr>
      </w:pPr>
      <w:r w:rsidRPr="001D77A6">
        <w:rPr>
          <w:rFonts w:cstheme="minorHAnsi"/>
          <w:lang w:val="en-AU"/>
        </w:rPr>
        <w:t>LGA w</w:t>
      </w:r>
      <w:r w:rsidR="00D733DA" w:rsidRPr="001D77A6">
        <w:rPr>
          <w:rFonts w:cstheme="minorHAnsi"/>
          <w:lang w:val="en-AU"/>
        </w:rPr>
        <w:t>here</w:t>
      </w:r>
      <w:r w:rsidRPr="001D77A6">
        <w:rPr>
          <w:rFonts w:cstheme="minorHAnsi"/>
          <w:lang w:val="en-AU"/>
        </w:rPr>
        <w:t xml:space="preserve"> </w:t>
      </w:r>
      <w:r w:rsidR="006D1B2B" w:rsidRPr="001D77A6">
        <w:rPr>
          <w:rFonts w:cstheme="minorHAnsi"/>
          <w:lang w:val="en-AU"/>
        </w:rPr>
        <w:t xml:space="preserve">24.7 </w:t>
      </w:r>
      <w:r w:rsidRPr="001D77A6">
        <w:rPr>
          <w:rFonts w:cstheme="minorHAnsi"/>
          <w:lang w:val="en-AU"/>
        </w:rPr>
        <w:t xml:space="preserve">per cent of </w:t>
      </w:r>
      <w:r w:rsidR="00D733DA" w:rsidRPr="001D77A6">
        <w:rPr>
          <w:rFonts w:cstheme="minorHAnsi"/>
          <w:lang w:val="en-AU"/>
        </w:rPr>
        <w:t xml:space="preserve">job seekers are </w:t>
      </w:r>
      <w:r w:rsidRPr="001D77A6">
        <w:rPr>
          <w:rFonts w:cstheme="minorHAnsi"/>
          <w:lang w:val="en-AU"/>
        </w:rPr>
        <w:t xml:space="preserve">mature age, to </w:t>
      </w:r>
      <w:r w:rsidR="00925CE4" w:rsidRPr="001D77A6">
        <w:rPr>
          <w:rFonts w:cstheme="minorHAnsi"/>
          <w:lang w:val="en-AU"/>
        </w:rPr>
        <w:t xml:space="preserve">higher levels of mature age job seekers represented within </w:t>
      </w:r>
      <w:r w:rsidR="00DC5259" w:rsidRPr="001D77A6">
        <w:rPr>
          <w:rFonts w:cstheme="minorHAnsi"/>
          <w:lang w:val="en-AU"/>
        </w:rPr>
        <w:t xml:space="preserve">the LGAs of </w:t>
      </w:r>
      <w:r w:rsidR="00925CE4" w:rsidRPr="001D77A6">
        <w:rPr>
          <w:rFonts w:cstheme="minorHAnsi"/>
          <w:lang w:val="en-AU"/>
        </w:rPr>
        <w:t>Murrindindi Shire (36.6 per cent) and the City of Manningham (35.1 per cent).</w:t>
      </w:r>
    </w:p>
    <w:p w14:paraId="274EE778" w14:textId="77777777" w:rsidR="00925CE4" w:rsidRPr="001D77A6" w:rsidRDefault="00925CE4" w:rsidP="001D77A6">
      <w:pPr>
        <w:spacing w:after="0"/>
        <w:jc w:val="both"/>
        <w:rPr>
          <w:rFonts w:cstheme="minorHAnsi"/>
        </w:rPr>
      </w:pPr>
    </w:p>
    <w:p w14:paraId="12997EBE" w14:textId="5B478359" w:rsidR="00722C06" w:rsidRPr="008E3175" w:rsidRDefault="00C4559C" w:rsidP="008E3175">
      <w:pPr>
        <w:spacing w:after="0"/>
        <w:jc w:val="both"/>
        <w:rPr>
          <w:rFonts w:cstheme="minorHAnsi"/>
          <w:lang w:val="en-AU"/>
        </w:rPr>
      </w:pPr>
      <w:r w:rsidRPr="001D77A6">
        <w:rPr>
          <w:rFonts w:cstheme="minorHAnsi"/>
          <w:lang w:val="en-AU"/>
        </w:rPr>
        <w:t>Mature age job seekers, who have recently engaged in the labour market bring with them extensive workplace skills</w:t>
      </w:r>
      <w:r w:rsidR="009C41BD" w:rsidRPr="001D77A6">
        <w:rPr>
          <w:rFonts w:cstheme="minorHAnsi"/>
          <w:lang w:val="en-AU"/>
        </w:rPr>
        <w:t>,</w:t>
      </w:r>
      <w:r w:rsidRPr="001D77A6">
        <w:rPr>
          <w:rFonts w:cstheme="minorHAnsi"/>
          <w:lang w:val="en-AU"/>
        </w:rPr>
        <w:t xml:space="preserve"> as well as valuable life skills and knowledge. </w:t>
      </w:r>
      <w:r w:rsidR="00D733DA" w:rsidRPr="001D77A6">
        <w:rPr>
          <w:rFonts w:cstheme="minorHAnsi"/>
          <w:lang w:val="en-AU"/>
        </w:rPr>
        <w:t>However, t</w:t>
      </w:r>
      <w:r w:rsidRPr="001D77A6">
        <w:rPr>
          <w:rFonts w:cstheme="minorHAnsi"/>
          <w:lang w:val="en-AU"/>
        </w:rPr>
        <w:t xml:space="preserve">here </w:t>
      </w:r>
      <w:r w:rsidR="007653C6" w:rsidRPr="001D77A6">
        <w:rPr>
          <w:rFonts w:cstheme="minorHAnsi"/>
          <w:lang w:val="en-AU"/>
        </w:rPr>
        <w:t>may</w:t>
      </w:r>
      <w:r w:rsidRPr="001D77A6">
        <w:rPr>
          <w:rFonts w:cstheme="minorHAnsi"/>
          <w:lang w:val="en-AU"/>
        </w:rPr>
        <w:t xml:space="preserve"> be factors impeding their ability to re-enter employment (such as employer perceptions and transitioning into a competitive labour market).  </w:t>
      </w:r>
      <w:r w:rsidR="008E3175" w:rsidRPr="001D77A6">
        <w:rPr>
          <w:rFonts w:cstheme="minorHAnsi"/>
          <w:lang w:val="en-AU"/>
        </w:rPr>
        <w:t xml:space="preserve">Mature age job seekers are highly represented in redundancies, or having been stood down, and may require upskilling or reskilling to transition into priority industry sectors.   </w:t>
      </w:r>
      <w:r w:rsidRPr="001D77A6">
        <w:rPr>
          <w:rFonts w:cstheme="minorHAnsi"/>
          <w:lang w:val="en-AU"/>
        </w:rPr>
        <w:t xml:space="preserve">Additionally, for some mature age job seekers, the type of job that they were previously engaged in may no longer be available, necessitating a career change.  </w:t>
      </w:r>
    </w:p>
    <w:p w14:paraId="0385F16B" w14:textId="77777777" w:rsidR="00722C06" w:rsidRPr="00246AB6" w:rsidRDefault="00722C06" w:rsidP="00775872">
      <w:pPr>
        <w:spacing w:after="0"/>
        <w:jc w:val="both"/>
        <w:rPr>
          <w:rFonts w:cstheme="minorHAnsi"/>
        </w:rPr>
      </w:pPr>
    </w:p>
    <w:p w14:paraId="23AC6E09" w14:textId="6186C54C" w:rsidR="009C41BD" w:rsidRPr="00246AB6" w:rsidRDefault="00C4559C" w:rsidP="001D77A6">
      <w:pPr>
        <w:spacing w:after="0"/>
        <w:jc w:val="both"/>
        <w:rPr>
          <w:rFonts w:cstheme="minorHAnsi"/>
        </w:rPr>
      </w:pPr>
      <w:r w:rsidRPr="001D77A6">
        <w:rPr>
          <w:rFonts w:cstheme="minorHAnsi"/>
          <w:lang w:val="en-AU"/>
        </w:rPr>
        <w:t xml:space="preserve">There are </w:t>
      </w:r>
      <w:r w:rsidR="00435336" w:rsidRPr="001D77A6">
        <w:rPr>
          <w:rFonts w:cstheme="minorHAnsi"/>
          <w:lang w:val="en-AU"/>
        </w:rPr>
        <w:t xml:space="preserve">also </w:t>
      </w:r>
      <w:r w:rsidRPr="001D77A6">
        <w:rPr>
          <w:rFonts w:cstheme="minorHAnsi"/>
          <w:lang w:val="en-AU"/>
        </w:rPr>
        <w:t xml:space="preserve">mature age job seekers who do not have recent labour market experience. These job seekers are also likely to experience other labour market disadvantage, including long periods out of the workforce.  </w:t>
      </w:r>
    </w:p>
    <w:p w14:paraId="698F896E" w14:textId="77777777" w:rsidR="009C41BD" w:rsidRPr="001D77A6" w:rsidRDefault="009C41BD" w:rsidP="001D77A6">
      <w:pPr>
        <w:spacing w:after="0"/>
        <w:jc w:val="both"/>
        <w:rPr>
          <w:rFonts w:cstheme="minorHAnsi"/>
        </w:rPr>
      </w:pPr>
    </w:p>
    <w:p w14:paraId="108AB1FD" w14:textId="7FC03F7D" w:rsidR="00C4559C" w:rsidRPr="00246AB6" w:rsidRDefault="006B0F39" w:rsidP="001D77A6">
      <w:pPr>
        <w:spacing w:after="0"/>
        <w:jc w:val="both"/>
        <w:rPr>
          <w:rFonts w:cstheme="minorHAnsi"/>
        </w:rPr>
      </w:pPr>
      <w:r>
        <w:rPr>
          <w:rFonts w:cstheme="minorHAnsi"/>
          <w:lang w:val="en-AU"/>
        </w:rPr>
        <w:t xml:space="preserve">Mature age jobs seekers </w:t>
      </w:r>
      <w:r w:rsidR="00C4559C" w:rsidRPr="001D77A6">
        <w:rPr>
          <w:rFonts w:cstheme="minorHAnsi"/>
          <w:lang w:val="en-AU"/>
        </w:rPr>
        <w:t>with little or no labour market currency</w:t>
      </w:r>
      <w:r>
        <w:rPr>
          <w:rFonts w:cstheme="minorHAnsi"/>
          <w:lang w:val="en-AU"/>
        </w:rPr>
        <w:t xml:space="preserve"> will face different barrier to employment than r</w:t>
      </w:r>
      <w:r w:rsidRPr="001D77A6">
        <w:rPr>
          <w:rFonts w:cstheme="minorHAnsi"/>
          <w:lang w:val="en-AU"/>
        </w:rPr>
        <w:t>ecently unemployed mature age job seekers</w:t>
      </w:r>
      <w:r>
        <w:rPr>
          <w:rFonts w:cstheme="minorHAnsi"/>
          <w:lang w:val="en-AU"/>
        </w:rPr>
        <w:t>. Targeting of these specific needs of could increase opportunities for mature age job seekers</w:t>
      </w:r>
      <w:r w:rsidR="00C4559C" w:rsidRPr="001D77A6">
        <w:rPr>
          <w:rFonts w:cstheme="minorHAnsi"/>
          <w:lang w:val="en-AU"/>
        </w:rPr>
        <w:t>.</w:t>
      </w:r>
      <w:r>
        <w:rPr>
          <w:rFonts w:cstheme="minorHAnsi"/>
          <w:lang w:val="en-AU"/>
        </w:rPr>
        <w:t xml:space="preserve"> T</w:t>
      </w:r>
      <w:r w:rsidR="00722C06" w:rsidRPr="001D77A6">
        <w:rPr>
          <w:rFonts w:cstheme="minorHAnsi"/>
          <w:lang w:val="en-AU"/>
        </w:rPr>
        <w:t>ransition</w:t>
      </w:r>
      <w:r>
        <w:rPr>
          <w:rFonts w:cstheme="minorHAnsi"/>
          <w:lang w:val="en-AU"/>
        </w:rPr>
        <w:t>ing</w:t>
      </w:r>
      <w:r w:rsidR="00722C06" w:rsidRPr="001D77A6">
        <w:rPr>
          <w:rFonts w:cstheme="minorHAnsi"/>
          <w:lang w:val="en-AU"/>
        </w:rPr>
        <w:t xml:space="preserve"> mature age workers into growth industries, through existing government programs designed to up-skill or re-skill</w:t>
      </w:r>
      <w:r>
        <w:rPr>
          <w:rFonts w:cstheme="minorHAnsi"/>
          <w:lang w:val="en-AU"/>
        </w:rPr>
        <w:t xml:space="preserve"> them</w:t>
      </w:r>
      <w:r w:rsidR="00722C06" w:rsidRPr="001D77A6">
        <w:rPr>
          <w:rFonts w:cstheme="minorHAnsi"/>
          <w:lang w:val="en-AU"/>
        </w:rPr>
        <w:t xml:space="preserve"> (such as the Career Transition Assistance</w:t>
      </w:r>
      <w:r w:rsidR="00D733DA" w:rsidRPr="001D77A6">
        <w:rPr>
          <w:rFonts w:cstheme="minorHAnsi"/>
          <w:lang w:val="en-AU"/>
        </w:rPr>
        <w:t xml:space="preserve"> (CTA)</w:t>
      </w:r>
      <w:r w:rsidR="00722C06" w:rsidRPr="001D77A6">
        <w:rPr>
          <w:rFonts w:cstheme="minorHAnsi"/>
          <w:lang w:val="en-AU"/>
        </w:rPr>
        <w:t xml:space="preserve"> Program, Restart Wage Subsidies or Local Jobs Program activities)</w:t>
      </w:r>
      <w:r w:rsidR="00D733DA" w:rsidRPr="001D77A6">
        <w:rPr>
          <w:rFonts w:cstheme="minorHAnsi"/>
          <w:lang w:val="en-AU"/>
        </w:rPr>
        <w:t xml:space="preserve"> </w:t>
      </w:r>
      <w:r w:rsidR="00C701B1" w:rsidRPr="001D77A6">
        <w:rPr>
          <w:rFonts w:cstheme="minorHAnsi"/>
          <w:lang w:val="en-AU"/>
        </w:rPr>
        <w:t xml:space="preserve">could support sustainable employment. </w:t>
      </w:r>
      <w:r>
        <w:rPr>
          <w:rFonts w:cstheme="minorHAnsi"/>
          <w:lang w:val="en-AU"/>
        </w:rPr>
        <w:t>F</w:t>
      </w:r>
      <w:r w:rsidR="006D1B2B" w:rsidRPr="001D77A6">
        <w:rPr>
          <w:rFonts w:cstheme="minorHAnsi"/>
          <w:lang w:val="en-AU"/>
        </w:rPr>
        <w:t xml:space="preserve">or some </w:t>
      </w:r>
      <w:r>
        <w:rPr>
          <w:rFonts w:cstheme="minorHAnsi"/>
          <w:lang w:val="en-AU"/>
        </w:rPr>
        <w:t xml:space="preserve">mature age </w:t>
      </w:r>
      <w:r w:rsidR="006D1B2B" w:rsidRPr="001D77A6">
        <w:rPr>
          <w:rFonts w:cstheme="minorHAnsi"/>
          <w:lang w:val="en-AU"/>
        </w:rPr>
        <w:t>job seekers</w:t>
      </w:r>
      <w:r>
        <w:rPr>
          <w:rFonts w:cstheme="minorHAnsi"/>
          <w:lang w:val="en-AU"/>
        </w:rPr>
        <w:t xml:space="preserve"> may be well suited to</w:t>
      </w:r>
      <w:r w:rsidR="006D1B2B" w:rsidRPr="001D77A6">
        <w:rPr>
          <w:rFonts w:cstheme="minorHAnsi"/>
          <w:lang w:val="en-AU"/>
        </w:rPr>
        <w:t xml:space="preserve"> self-employment</w:t>
      </w:r>
      <w:r>
        <w:rPr>
          <w:rFonts w:cstheme="minorHAnsi"/>
          <w:lang w:val="en-AU"/>
        </w:rPr>
        <w:t xml:space="preserve"> opportunities and could be supported through programs</w:t>
      </w:r>
      <w:r w:rsidR="006D1B2B" w:rsidRPr="001D77A6">
        <w:rPr>
          <w:rFonts w:cstheme="minorHAnsi"/>
          <w:lang w:val="en-AU"/>
        </w:rPr>
        <w:t xml:space="preserve"> such as the New Enterprise Incentive Scheme (NEIS).</w:t>
      </w:r>
    </w:p>
    <w:p w14:paraId="563DF86C" w14:textId="77777777" w:rsidR="003762AF" w:rsidRDefault="003762AF" w:rsidP="00B25C50">
      <w:pPr>
        <w:spacing w:after="0"/>
        <w:jc w:val="both"/>
        <w:rPr>
          <w:rFonts w:cstheme="minorHAnsi"/>
          <w:lang w:val="en-AU"/>
        </w:rPr>
      </w:pPr>
    </w:p>
    <w:p w14:paraId="6F6BBCF5" w14:textId="06506BA3" w:rsidR="00D26D08" w:rsidRDefault="00D26D08" w:rsidP="00B25C50">
      <w:pPr>
        <w:spacing w:after="0"/>
        <w:jc w:val="both"/>
        <w:rPr>
          <w:rFonts w:cstheme="minorHAnsi"/>
          <w:b/>
          <w:bCs/>
          <w:lang w:val="en-AU"/>
        </w:rPr>
      </w:pPr>
      <w:r w:rsidRPr="008A754F">
        <w:rPr>
          <w:rFonts w:cstheme="minorHAnsi"/>
          <w:b/>
          <w:bCs/>
          <w:lang w:val="en-AU"/>
        </w:rPr>
        <w:t>CALD and Refugee job seekers</w:t>
      </w:r>
    </w:p>
    <w:p w14:paraId="78447509" w14:textId="0D50A9DB" w:rsidR="00286403" w:rsidRDefault="006149B7" w:rsidP="00B25C50">
      <w:pPr>
        <w:spacing w:after="0"/>
        <w:jc w:val="both"/>
        <w:rPr>
          <w:rFonts w:cstheme="minorHAnsi"/>
          <w:lang w:val="en-AU"/>
        </w:rPr>
      </w:pPr>
      <w:r>
        <w:rPr>
          <w:rFonts w:cstheme="minorHAnsi"/>
          <w:lang w:val="en-AU"/>
        </w:rPr>
        <w:t>Employment Services C</w:t>
      </w:r>
      <w:r w:rsidR="00DC5259">
        <w:rPr>
          <w:rFonts w:cstheme="minorHAnsi"/>
          <w:lang w:val="en-AU"/>
        </w:rPr>
        <w:t>aseload data a</w:t>
      </w:r>
      <w:r w:rsidR="0013189B">
        <w:rPr>
          <w:rFonts w:cstheme="minorHAnsi"/>
          <w:lang w:val="en-AU"/>
        </w:rPr>
        <w:t xml:space="preserve">s at 30 June 2021, </w:t>
      </w:r>
      <w:r w:rsidR="00DC5259">
        <w:rPr>
          <w:rFonts w:cstheme="minorHAnsi"/>
          <w:lang w:val="en-AU"/>
        </w:rPr>
        <w:t>show</w:t>
      </w:r>
      <w:r w:rsidR="006D1B2B">
        <w:rPr>
          <w:rFonts w:cstheme="minorHAnsi"/>
          <w:lang w:val="en-AU"/>
        </w:rPr>
        <w:t xml:space="preserve">s </w:t>
      </w:r>
      <w:r w:rsidR="00DC5259">
        <w:rPr>
          <w:rFonts w:cstheme="minorHAnsi"/>
          <w:lang w:val="en-AU"/>
        </w:rPr>
        <w:t xml:space="preserve">that </w:t>
      </w:r>
      <w:r w:rsidR="0013189B">
        <w:rPr>
          <w:rFonts w:cstheme="minorHAnsi"/>
          <w:lang w:val="en-AU"/>
        </w:rPr>
        <w:t xml:space="preserve">job seekers </w:t>
      </w:r>
      <w:r w:rsidR="00D26D08" w:rsidRPr="00F93930">
        <w:rPr>
          <w:rFonts w:cstheme="minorHAnsi"/>
          <w:lang w:val="en-AU"/>
        </w:rPr>
        <w:t>from CALD backgrounds represent</w:t>
      </w:r>
      <w:r w:rsidR="00435336">
        <w:rPr>
          <w:rFonts w:cstheme="minorHAnsi"/>
          <w:lang w:val="en-AU"/>
        </w:rPr>
        <w:t>ed</w:t>
      </w:r>
      <w:r w:rsidR="00D26D08" w:rsidRPr="00F93930">
        <w:rPr>
          <w:rFonts w:cstheme="minorHAnsi"/>
          <w:lang w:val="en-AU"/>
        </w:rPr>
        <w:t xml:space="preserve"> </w:t>
      </w:r>
      <w:r w:rsidR="00D26D08" w:rsidRPr="00BB320D">
        <w:rPr>
          <w:rFonts w:cstheme="minorHAnsi"/>
          <w:lang w:val="en-AU"/>
        </w:rPr>
        <w:t>26.</w:t>
      </w:r>
      <w:r w:rsidR="00C4559C">
        <w:rPr>
          <w:rFonts w:cstheme="minorHAnsi"/>
          <w:lang w:val="en-AU"/>
        </w:rPr>
        <w:t>3</w:t>
      </w:r>
      <w:r w:rsidR="00D26D08" w:rsidRPr="00BB320D">
        <w:rPr>
          <w:rFonts w:cstheme="minorHAnsi"/>
          <w:lang w:val="en-AU"/>
        </w:rPr>
        <w:t xml:space="preserve"> per cent of the </w:t>
      </w:r>
      <w:r w:rsidR="00F10595">
        <w:rPr>
          <w:rFonts w:cstheme="minorHAnsi"/>
          <w:lang w:val="en-AU"/>
        </w:rPr>
        <w:t>ER</w:t>
      </w:r>
      <w:r w:rsidR="00D26D08" w:rsidRPr="00BB320D">
        <w:rPr>
          <w:rFonts w:cstheme="minorHAnsi"/>
          <w:lang w:val="en-AU"/>
        </w:rPr>
        <w:t xml:space="preserve">’s jobactive caseload.  In addition, </w:t>
      </w:r>
      <w:r w:rsidR="006D1B2B">
        <w:rPr>
          <w:rFonts w:cstheme="minorHAnsi"/>
          <w:lang w:val="en-AU"/>
        </w:rPr>
        <w:t xml:space="preserve">the </w:t>
      </w:r>
      <w:r w:rsidR="00D26D08" w:rsidRPr="00BB320D">
        <w:rPr>
          <w:rFonts w:cstheme="minorHAnsi"/>
          <w:lang w:val="en-AU"/>
        </w:rPr>
        <w:t xml:space="preserve">jobactive caseload data shows that approximately </w:t>
      </w:r>
      <w:r w:rsidR="00D26D08" w:rsidRPr="004F4360">
        <w:rPr>
          <w:rFonts w:cstheme="minorHAnsi"/>
          <w:lang w:val="en-AU"/>
        </w:rPr>
        <w:t>5.</w:t>
      </w:r>
      <w:r w:rsidR="00C4559C">
        <w:rPr>
          <w:rFonts w:cstheme="minorHAnsi"/>
          <w:lang w:val="en-AU"/>
        </w:rPr>
        <w:t>2</w:t>
      </w:r>
      <w:r w:rsidR="00C4559C" w:rsidRPr="00BB320D">
        <w:rPr>
          <w:rFonts w:cstheme="minorHAnsi"/>
          <w:lang w:val="en-AU"/>
        </w:rPr>
        <w:t xml:space="preserve"> </w:t>
      </w:r>
      <w:r w:rsidR="00D26D08" w:rsidRPr="00BB320D">
        <w:rPr>
          <w:rFonts w:cstheme="minorHAnsi"/>
          <w:lang w:val="en-AU"/>
        </w:rPr>
        <w:t>per cent</w:t>
      </w:r>
      <w:r w:rsidR="00D26D08" w:rsidRPr="00F93930">
        <w:rPr>
          <w:rFonts w:cstheme="minorHAnsi"/>
          <w:lang w:val="en-AU"/>
        </w:rPr>
        <w:t xml:space="preserve"> of job seekers a</w:t>
      </w:r>
      <w:r w:rsidR="00D26D08">
        <w:rPr>
          <w:rFonts w:cstheme="minorHAnsi"/>
          <w:lang w:val="en-AU"/>
        </w:rPr>
        <w:t xml:space="preserve">re also </w:t>
      </w:r>
      <w:r w:rsidR="00D26D08" w:rsidRPr="00F93930">
        <w:rPr>
          <w:rFonts w:cstheme="minorHAnsi"/>
          <w:lang w:val="en-AU"/>
        </w:rPr>
        <w:t xml:space="preserve">Refugees. </w:t>
      </w:r>
      <w:r w:rsidR="006D1B2B">
        <w:rPr>
          <w:rFonts w:cstheme="minorHAnsi"/>
          <w:lang w:val="en-AU"/>
        </w:rPr>
        <w:t xml:space="preserve"> The proportion of the </w:t>
      </w:r>
      <w:r w:rsidR="00F10595">
        <w:rPr>
          <w:rFonts w:cstheme="minorHAnsi"/>
          <w:lang w:val="en-AU"/>
        </w:rPr>
        <w:t>ER</w:t>
      </w:r>
      <w:r w:rsidR="006D1B2B">
        <w:rPr>
          <w:rFonts w:cstheme="minorHAnsi"/>
          <w:lang w:val="en-AU"/>
        </w:rPr>
        <w:t>’s CALD job seekers on jobactive caseloads, ranges from 3.8 per cent in Murrindindi Shire to 40</w:t>
      </w:r>
      <w:r w:rsidR="00A73192">
        <w:rPr>
          <w:rFonts w:cstheme="minorHAnsi"/>
          <w:lang w:val="en-AU"/>
        </w:rPr>
        <w:t>.</w:t>
      </w:r>
      <w:r w:rsidR="006D1B2B">
        <w:rPr>
          <w:rFonts w:cstheme="minorHAnsi"/>
          <w:lang w:val="en-AU"/>
        </w:rPr>
        <w:t>8 per cent in the City of Whitehorse.</w:t>
      </w:r>
      <w:r w:rsidR="00D26D08" w:rsidRPr="00F93930">
        <w:rPr>
          <w:rFonts w:cstheme="minorHAnsi"/>
          <w:lang w:val="en-AU"/>
        </w:rPr>
        <w:t xml:space="preserve"> </w:t>
      </w:r>
      <w:r w:rsidR="00D26D08">
        <w:rPr>
          <w:rFonts w:cstheme="minorHAnsi"/>
          <w:lang w:val="en-AU"/>
        </w:rPr>
        <w:t>G</w:t>
      </w:r>
      <w:r w:rsidR="00D26D08" w:rsidRPr="00F93930">
        <w:rPr>
          <w:rFonts w:cstheme="minorHAnsi"/>
          <w:lang w:val="en-AU"/>
        </w:rPr>
        <w:t>enerally</w:t>
      </w:r>
      <w:r w:rsidR="00D26D08">
        <w:rPr>
          <w:rFonts w:cstheme="minorHAnsi"/>
          <w:lang w:val="en-AU"/>
        </w:rPr>
        <w:t>,</w:t>
      </w:r>
      <w:r w:rsidR="00D26D08" w:rsidRPr="00F93930">
        <w:rPr>
          <w:rFonts w:cstheme="minorHAnsi"/>
          <w:lang w:val="en-AU"/>
        </w:rPr>
        <w:t xml:space="preserve"> CALD and Refugee job seekers may be faced with </w:t>
      </w:r>
      <w:r w:rsidR="00D26D08">
        <w:rPr>
          <w:rFonts w:cstheme="minorHAnsi"/>
          <w:lang w:val="en-AU"/>
        </w:rPr>
        <w:t xml:space="preserve">additional </w:t>
      </w:r>
      <w:r w:rsidR="00D26D08" w:rsidRPr="00F93930">
        <w:rPr>
          <w:rFonts w:cstheme="minorHAnsi"/>
          <w:lang w:val="en-AU"/>
        </w:rPr>
        <w:t xml:space="preserve">challenges </w:t>
      </w:r>
      <w:r w:rsidR="00D26D08">
        <w:rPr>
          <w:rFonts w:cstheme="minorHAnsi"/>
          <w:lang w:val="en-AU"/>
        </w:rPr>
        <w:t xml:space="preserve">in </w:t>
      </w:r>
      <w:r w:rsidR="00D26D08" w:rsidRPr="00F93930">
        <w:rPr>
          <w:rFonts w:cstheme="minorHAnsi"/>
          <w:lang w:val="en-AU"/>
        </w:rPr>
        <w:t>securing work</w:t>
      </w:r>
      <w:r w:rsidR="00D26D08">
        <w:rPr>
          <w:rFonts w:cstheme="minorHAnsi"/>
          <w:lang w:val="en-AU"/>
        </w:rPr>
        <w:t>.  This can be</w:t>
      </w:r>
      <w:r w:rsidR="00D26D08" w:rsidRPr="00F93930">
        <w:rPr>
          <w:rFonts w:cstheme="minorHAnsi"/>
          <w:lang w:val="en-AU"/>
        </w:rPr>
        <w:t xml:space="preserve"> due to low language, literacy, and numeracy skills, limited </w:t>
      </w:r>
      <w:r w:rsidR="00D26D08">
        <w:rPr>
          <w:rFonts w:cstheme="minorHAnsi"/>
          <w:lang w:val="en-AU"/>
        </w:rPr>
        <w:t xml:space="preserve">Australian </w:t>
      </w:r>
      <w:r w:rsidR="00F94B27">
        <w:rPr>
          <w:rFonts w:cstheme="minorHAnsi"/>
          <w:lang w:val="en-AU"/>
        </w:rPr>
        <w:t>l</w:t>
      </w:r>
      <w:r w:rsidR="00D26D08">
        <w:rPr>
          <w:rFonts w:cstheme="minorHAnsi"/>
          <w:lang w:val="en-AU"/>
        </w:rPr>
        <w:t xml:space="preserve">abour market </w:t>
      </w:r>
      <w:r w:rsidR="00D26D08" w:rsidRPr="00F93930">
        <w:rPr>
          <w:rFonts w:cstheme="minorHAnsi"/>
          <w:lang w:val="en-AU"/>
        </w:rPr>
        <w:t xml:space="preserve">experience, </w:t>
      </w:r>
      <w:r w:rsidR="002400DA">
        <w:rPr>
          <w:rFonts w:cstheme="minorHAnsi"/>
          <w:lang w:val="en-AU"/>
        </w:rPr>
        <w:t xml:space="preserve">a </w:t>
      </w:r>
      <w:r w:rsidR="00D26D08" w:rsidRPr="00F93930">
        <w:rPr>
          <w:rFonts w:cstheme="minorHAnsi"/>
          <w:lang w:val="en-AU"/>
        </w:rPr>
        <w:t>lack of qualifications</w:t>
      </w:r>
      <w:r w:rsidR="006D1B2B">
        <w:rPr>
          <w:rFonts w:cstheme="minorHAnsi"/>
          <w:lang w:val="en-AU"/>
        </w:rPr>
        <w:t>,</w:t>
      </w:r>
      <w:r w:rsidR="00D26D08" w:rsidRPr="00F93930">
        <w:rPr>
          <w:rFonts w:cstheme="minorHAnsi"/>
          <w:lang w:val="en-AU"/>
        </w:rPr>
        <w:t xml:space="preserve"> </w:t>
      </w:r>
      <w:r w:rsidR="00D26D08">
        <w:rPr>
          <w:rFonts w:cstheme="minorHAnsi"/>
          <w:lang w:val="en-AU"/>
        </w:rPr>
        <w:t xml:space="preserve">or a lack of overseas </w:t>
      </w:r>
      <w:r w:rsidR="00D26D08" w:rsidRPr="00F93930">
        <w:rPr>
          <w:rFonts w:cstheme="minorHAnsi"/>
          <w:lang w:val="en-AU"/>
        </w:rPr>
        <w:t>skills recognition</w:t>
      </w:r>
      <w:r w:rsidR="006D1B2B">
        <w:rPr>
          <w:rFonts w:cstheme="minorHAnsi"/>
          <w:lang w:val="en-AU"/>
        </w:rPr>
        <w:t>.</w:t>
      </w:r>
      <w:r w:rsidR="00D26D08">
        <w:rPr>
          <w:rFonts w:cstheme="minorHAnsi"/>
          <w:lang w:val="en-AU"/>
        </w:rPr>
        <w:t xml:space="preserve"> </w:t>
      </w:r>
    </w:p>
    <w:p w14:paraId="49376BBC" w14:textId="77777777" w:rsidR="009A2105" w:rsidRDefault="009A2105" w:rsidP="00B25C50">
      <w:pPr>
        <w:spacing w:after="0"/>
        <w:jc w:val="both"/>
        <w:rPr>
          <w:rFonts w:cstheme="minorHAnsi"/>
          <w:lang w:val="en-AU"/>
        </w:rPr>
      </w:pPr>
    </w:p>
    <w:p w14:paraId="33BE4D88" w14:textId="6A90EB61" w:rsidR="00B25C50" w:rsidRDefault="00C46B88" w:rsidP="00B25C50">
      <w:pPr>
        <w:spacing w:after="0"/>
        <w:jc w:val="both"/>
        <w:rPr>
          <w:rFonts w:cstheme="minorHAnsi"/>
          <w:lang w:val="en-AU"/>
        </w:rPr>
      </w:pPr>
      <w:r>
        <w:rPr>
          <w:rFonts w:cstheme="minorHAnsi"/>
          <w:lang w:val="en-AU"/>
        </w:rPr>
        <w:t>Recognising</w:t>
      </w:r>
      <w:r w:rsidR="006B0F39">
        <w:rPr>
          <w:rFonts w:cstheme="minorHAnsi"/>
          <w:lang w:val="en-AU"/>
        </w:rPr>
        <w:t xml:space="preserve"> </w:t>
      </w:r>
      <w:r w:rsidR="002400DA">
        <w:rPr>
          <w:rFonts w:cstheme="minorHAnsi"/>
          <w:lang w:val="en-AU"/>
        </w:rPr>
        <w:t xml:space="preserve">the skills and abilities </w:t>
      </w:r>
      <w:r>
        <w:rPr>
          <w:rFonts w:cstheme="minorHAnsi"/>
          <w:lang w:val="en-AU"/>
        </w:rPr>
        <w:t>of</w:t>
      </w:r>
      <w:r w:rsidR="002400DA">
        <w:rPr>
          <w:rFonts w:cstheme="minorHAnsi"/>
          <w:lang w:val="en-AU"/>
        </w:rPr>
        <w:t xml:space="preserve"> </w:t>
      </w:r>
      <w:r>
        <w:rPr>
          <w:rFonts w:cstheme="minorHAnsi"/>
          <w:lang w:val="en-AU"/>
        </w:rPr>
        <w:t>CALD and Refugee</w:t>
      </w:r>
      <w:r w:rsidR="002400DA">
        <w:rPr>
          <w:rFonts w:cstheme="minorHAnsi"/>
          <w:lang w:val="en-AU"/>
        </w:rPr>
        <w:t xml:space="preserve"> job seekers</w:t>
      </w:r>
      <w:r>
        <w:rPr>
          <w:rFonts w:cstheme="minorHAnsi"/>
          <w:lang w:val="en-AU"/>
        </w:rPr>
        <w:t xml:space="preserve"> to </w:t>
      </w:r>
      <w:r w:rsidR="002400DA">
        <w:rPr>
          <w:rFonts w:cstheme="minorHAnsi"/>
          <w:lang w:val="en-AU"/>
        </w:rPr>
        <w:t xml:space="preserve">target employment </w:t>
      </w:r>
      <w:r w:rsidR="00286403">
        <w:rPr>
          <w:rFonts w:cstheme="minorHAnsi"/>
          <w:lang w:val="en-AU"/>
        </w:rPr>
        <w:t xml:space="preserve">or </w:t>
      </w:r>
      <w:r w:rsidR="002400DA">
        <w:rPr>
          <w:rFonts w:cstheme="minorHAnsi"/>
          <w:lang w:val="en-AU"/>
        </w:rPr>
        <w:t>employment pathway</w:t>
      </w:r>
      <w:r w:rsidR="00286403">
        <w:rPr>
          <w:rFonts w:cstheme="minorHAnsi"/>
          <w:lang w:val="en-AU"/>
        </w:rPr>
        <w:t>s</w:t>
      </w:r>
      <w:r w:rsidR="00722C06">
        <w:rPr>
          <w:rFonts w:cstheme="minorHAnsi"/>
          <w:lang w:val="en-AU"/>
        </w:rPr>
        <w:t>,</w:t>
      </w:r>
      <w:r w:rsidR="002400DA">
        <w:rPr>
          <w:rFonts w:cstheme="minorHAnsi"/>
          <w:lang w:val="en-AU"/>
        </w:rPr>
        <w:t xml:space="preserve"> </w:t>
      </w:r>
      <w:r w:rsidR="00286403">
        <w:rPr>
          <w:rFonts w:cstheme="minorHAnsi"/>
          <w:lang w:val="en-AU"/>
        </w:rPr>
        <w:t>could improve labour market participation</w:t>
      </w:r>
      <w:r>
        <w:rPr>
          <w:rFonts w:cstheme="minorHAnsi"/>
          <w:lang w:val="en-AU"/>
        </w:rPr>
        <w:t xml:space="preserve"> for these job seekers</w:t>
      </w:r>
      <w:r w:rsidR="00286403">
        <w:rPr>
          <w:rFonts w:cstheme="minorHAnsi"/>
          <w:lang w:val="en-AU"/>
        </w:rPr>
        <w:t xml:space="preserve">. </w:t>
      </w:r>
      <w:r>
        <w:rPr>
          <w:rFonts w:cstheme="minorHAnsi"/>
          <w:lang w:val="en-AU"/>
        </w:rPr>
        <w:t>M</w:t>
      </w:r>
      <w:r w:rsidR="006F250D">
        <w:rPr>
          <w:rFonts w:cstheme="minorHAnsi"/>
          <w:lang w:val="en-AU"/>
        </w:rPr>
        <w:t xml:space="preserve">aximising the range of existing </w:t>
      </w:r>
      <w:r w:rsidR="00F94B27">
        <w:rPr>
          <w:rFonts w:cstheme="minorHAnsi"/>
          <w:lang w:val="en-AU"/>
        </w:rPr>
        <w:t>g</w:t>
      </w:r>
      <w:r w:rsidR="006F250D">
        <w:rPr>
          <w:rFonts w:cstheme="minorHAnsi"/>
          <w:lang w:val="en-AU"/>
        </w:rPr>
        <w:t xml:space="preserve">overnment programs and supports </w:t>
      </w:r>
      <w:r w:rsidR="00722C06">
        <w:rPr>
          <w:rFonts w:cstheme="minorHAnsi"/>
          <w:lang w:val="en-AU"/>
        </w:rPr>
        <w:t xml:space="preserve">to </w:t>
      </w:r>
      <w:r w:rsidR="006F250D">
        <w:rPr>
          <w:rFonts w:cstheme="minorHAnsi"/>
          <w:lang w:val="en-AU"/>
        </w:rPr>
        <w:t>upskill</w:t>
      </w:r>
      <w:r w:rsidR="00722C06">
        <w:rPr>
          <w:rFonts w:cstheme="minorHAnsi"/>
          <w:lang w:val="en-AU"/>
        </w:rPr>
        <w:t xml:space="preserve"> </w:t>
      </w:r>
      <w:r w:rsidR="006F250D">
        <w:rPr>
          <w:rFonts w:cstheme="minorHAnsi"/>
          <w:lang w:val="en-AU"/>
        </w:rPr>
        <w:t xml:space="preserve">job seekers </w:t>
      </w:r>
      <w:r>
        <w:rPr>
          <w:rFonts w:cstheme="minorHAnsi"/>
          <w:lang w:val="en-AU"/>
        </w:rPr>
        <w:t>may also</w:t>
      </w:r>
      <w:r w:rsidR="006F250D">
        <w:rPr>
          <w:rFonts w:cstheme="minorHAnsi"/>
          <w:lang w:val="en-AU"/>
        </w:rPr>
        <w:t xml:space="preserve"> </w:t>
      </w:r>
      <w:r w:rsidR="00722C06">
        <w:rPr>
          <w:rFonts w:cstheme="minorHAnsi"/>
          <w:lang w:val="en-AU"/>
        </w:rPr>
        <w:t xml:space="preserve">provide pathways to transition </w:t>
      </w:r>
      <w:r w:rsidR="006F250D">
        <w:rPr>
          <w:rFonts w:cstheme="minorHAnsi"/>
          <w:lang w:val="en-AU"/>
        </w:rPr>
        <w:t>into employment.</w:t>
      </w:r>
    </w:p>
    <w:p w14:paraId="0EE4D741" w14:textId="77777777" w:rsidR="002F113E" w:rsidRDefault="002F113E" w:rsidP="001D77A6">
      <w:pPr>
        <w:spacing w:after="0"/>
        <w:jc w:val="both"/>
        <w:rPr>
          <w:rFonts w:cstheme="minorHAnsi"/>
          <w:b/>
          <w:bCs/>
          <w:lang w:val="en-AU"/>
        </w:rPr>
      </w:pPr>
    </w:p>
    <w:p w14:paraId="7B71BF08" w14:textId="2CA346EE" w:rsidR="006149B7" w:rsidRPr="00246AB6" w:rsidRDefault="009F36F0" w:rsidP="001D77A6">
      <w:pPr>
        <w:spacing w:after="0"/>
        <w:jc w:val="both"/>
        <w:rPr>
          <w:rFonts w:cstheme="minorHAnsi"/>
          <w:b/>
          <w:bCs/>
        </w:rPr>
      </w:pPr>
      <w:r w:rsidRPr="001D77A6">
        <w:rPr>
          <w:rFonts w:cstheme="minorHAnsi"/>
          <w:b/>
          <w:bCs/>
          <w:lang w:val="en-AU"/>
        </w:rPr>
        <w:t xml:space="preserve">People with </w:t>
      </w:r>
      <w:r w:rsidR="009A10C1">
        <w:rPr>
          <w:rFonts w:cstheme="minorHAnsi"/>
          <w:b/>
          <w:bCs/>
          <w:lang w:val="en-AU"/>
        </w:rPr>
        <w:t>d</w:t>
      </w:r>
      <w:r w:rsidRPr="001D77A6">
        <w:rPr>
          <w:rFonts w:cstheme="minorHAnsi"/>
          <w:b/>
          <w:bCs/>
          <w:lang w:val="en-AU"/>
        </w:rPr>
        <w:t>isability</w:t>
      </w:r>
      <w:r w:rsidR="002E5D82" w:rsidRPr="001D77A6">
        <w:rPr>
          <w:rFonts w:cstheme="minorHAnsi"/>
          <w:b/>
          <w:bCs/>
          <w:lang w:val="en-AU"/>
        </w:rPr>
        <w:t xml:space="preserve"> </w:t>
      </w:r>
    </w:p>
    <w:p w14:paraId="0EB3D0A3" w14:textId="77777777" w:rsidR="002F113E" w:rsidRDefault="009F36F0" w:rsidP="001D77A6">
      <w:pPr>
        <w:spacing w:after="0"/>
        <w:jc w:val="both"/>
        <w:rPr>
          <w:rFonts w:cstheme="minorHAnsi"/>
          <w:lang w:val="en-AU"/>
        </w:rPr>
      </w:pPr>
      <w:r w:rsidRPr="001D77A6">
        <w:rPr>
          <w:rFonts w:cstheme="minorHAnsi"/>
          <w:lang w:val="en-AU"/>
        </w:rPr>
        <w:t>The Employment Services Caseload data as at 30 June 2021</w:t>
      </w:r>
      <w:r w:rsidR="002E5D82" w:rsidRPr="001D77A6">
        <w:rPr>
          <w:rFonts w:cstheme="minorHAnsi"/>
          <w:lang w:val="en-AU"/>
        </w:rPr>
        <w:t>,</w:t>
      </w:r>
      <w:r w:rsidRPr="001D77A6">
        <w:rPr>
          <w:rFonts w:cstheme="minorHAnsi"/>
          <w:lang w:val="en-AU"/>
        </w:rPr>
        <w:t xml:space="preserve"> shows that 21.6 per cent of job seekers</w:t>
      </w:r>
      <w:r w:rsidR="002E5D82" w:rsidRPr="001D77A6">
        <w:rPr>
          <w:rFonts w:cstheme="minorHAnsi"/>
          <w:lang w:val="en-AU"/>
        </w:rPr>
        <w:t xml:space="preserve"> on</w:t>
      </w:r>
      <w:r w:rsidRPr="001D77A6">
        <w:rPr>
          <w:rFonts w:cstheme="minorHAnsi"/>
          <w:lang w:val="en-AU"/>
        </w:rPr>
        <w:t xml:space="preserve"> the jobactive caseload have a disability.  </w:t>
      </w:r>
      <w:r w:rsidR="002E5D82" w:rsidRPr="001D77A6">
        <w:rPr>
          <w:rFonts w:cstheme="minorHAnsi"/>
          <w:lang w:val="en-AU"/>
        </w:rPr>
        <w:t xml:space="preserve">Across the </w:t>
      </w:r>
      <w:r w:rsidR="00F10595">
        <w:rPr>
          <w:rFonts w:cstheme="minorHAnsi"/>
          <w:lang w:val="en-AU"/>
        </w:rPr>
        <w:t>ER</w:t>
      </w:r>
      <w:r w:rsidR="002E5D82" w:rsidRPr="001D77A6">
        <w:rPr>
          <w:rFonts w:cstheme="minorHAnsi"/>
          <w:lang w:val="en-AU"/>
        </w:rPr>
        <w:t xml:space="preserve">, the percentage of </w:t>
      </w:r>
      <w:r w:rsidR="009A10C1">
        <w:rPr>
          <w:rFonts w:cstheme="minorHAnsi"/>
          <w:lang w:val="en-AU"/>
        </w:rPr>
        <w:t>p</w:t>
      </w:r>
      <w:r w:rsidR="009A10C1" w:rsidRPr="009A10C1">
        <w:rPr>
          <w:rFonts w:cstheme="minorHAnsi"/>
          <w:lang w:val="en-AU"/>
        </w:rPr>
        <w:t>eople with disability</w:t>
      </w:r>
      <w:r w:rsidR="009A10C1" w:rsidRPr="009A10C1" w:rsidDel="009A10C1">
        <w:rPr>
          <w:rFonts w:cstheme="minorHAnsi"/>
          <w:lang w:val="en-AU"/>
        </w:rPr>
        <w:t xml:space="preserve"> </w:t>
      </w:r>
    </w:p>
    <w:p w14:paraId="787B0CF1" w14:textId="77777777" w:rsidR="002F113E" w:rsidRDefault="002F113E" w:rsidP="001D77A6">
      <w:pPr>
        <w:spacing w:after="0"/>
        <w:jc w:val="both"/>
        <w:rPr>
          <w:rFonts w:cstheme="minorHAnsi"/>
          <w:lang w:val="en-AU"/>
        </w:rPr>
      </w:pPr>
    </w:p>
    <w:p w14:paraId="281E7196" w14:textId="77777777" w:rsidR="002F113E" w:rsidRDefault="002F113E" w:rsidP="001D77A6">
      <w:pPr>
        <w:spacing w:after="0"/>
        <w:jc w:val="both"/>
        <w:rPr>
          <w:rFonts w:cstheme="minorHAnsi"/>
          <w:lang w:val="en-AU"/>
        </w:rPr>
      </w:pPr>
    </w:p>
    <w:p w14:paraId="3A608413" w14:textId="23AC67FF" w:rsidR="009F36F0" w:rsidRPr="00246AB6" w:rsidRDefault="002E5D82" w:rsidP="001D77A6">
      <w:pPr>
        <w:spacing w:after="0"/>
        <w:jc w:val="both"/>
        <w:rPr>
          <w:rFonts w:cstheme="minorHAnsi"/>
        </w:rPr>
      </w:pPr>
      <w:r w:rsidRPr="001D77A6">
        <w:rPr>
          <w:rFonts w:cstheme="minorHAnsi"/>
          <w:lang w:val="en-AU"/>
        </w:rPr>
        <w:t>who are on jobactive caseloads, varies from 17.6 per cent in the City of Manningham LGA, to 29 per cent in Murrindindi Shire.</w:t>
      </w:r>
    </w:p>
    <w:p w14:paraId="115CB3B0" w14:textId="15F0ED69" w:rsidR="002E5D82" w:rsidRPr="001D77A6" w:rsidRDefault="002E5D82" w:rsidP="001D77A6">
      <w:pPr>
        <w:spacing w:after="0"/>
        <w:jc w:val="both"/>
        <w:rPr>
          <w:rFonts w:cstheme="minorHAnsi"/>
        </w:rPr>
      </w:pPr>
    </w:p>
    <w:p w14:paraId="56D081CD" w14:textId="433CE641" w:rsidR="002E5D82" w:rsidRPr="00246AB6" w:rsidRDefault="001F3503" w:rsidP="001D77A6">
      <w:pPr>
        <w:spacing w:after="0"/>
        <w:jc w:val="both"/>
        <w:rPr>
          <w:rFonts w:cstheme="minorHAnsi"/>
        </w:rPr>
      </w:pPr>
      <w:r w:rsidRPr="001D77A6">
        <w:rPr>
          <w:rFonts w:cstheme="minorHAnsi"/>
          <w:lang w:val="en-AU"/>
        </w:rPr>
        <w:t xml:space="preserve">Despite the </w:t>
      </w:r>
      <w:r w:rsidR="005E6435" w:rsidRPr="001D77A6">
        <w:rPr>
          <w:rFonts w:cstheme="minorHAnsi"/>
          <w:lang w:val="en-AU"/>
        </w:rPr>
        <w:t>range of s</w:t>
      </w:r>
      <w:r w:rsidRPr="001D77A6">
        <w:rPr>
          <w:rFonts w:cstheme="minorHAnsi"/>
          <w:lang w:val="en-AU"/>
        </w:rPr>
        <w:t>kills</w:t>
      </w:r>
      <w:r w:rsidR="005E6435" w:rsidRPr="001D77A6">
        <w:rPr>
          <w:rFonts w:cstheme="minorHAnsi"/>
          <w:lang w:val="en-AU"/>
        </w:rPr>
        <w:t xml:space="preserve">, </w:t>
      </w:r>
      <w:r w:rsidR="007653C6" w:rsidRPr="001D77A6">
        <w:rPr>
          <w:rFonts w:cstheme="minorHAnsi"/>
          <w:lang w:val="en-AU"/>
        </w:rPr>
        <w:t>expertise,</w:t>
      </w:r>
      <w:r w:rsidRPr="001D77A6">
        <w:rPr>
          <w:rFonts w:cstheme="minorHAnsi"/>
          <w:lang w:val="en-AU"/>
        </w:rPr>
        <w:t xml:space="preserve"> </w:t>
      </w:r>
      <w:r w:rsidR="005E6435" w:rsidRPr="001D77A6">
        <w:rPr>
          <w:rFonts w:cstheme="minorHAnsi"/>
          <w:lang w:val="en-AU"/>
        </w:rPr>
        <w:t xml:space="preserve">and qualifications </w:t>
      </w:r>
      <w:r w:rsidRPr="001D77A6">
        <w:rPr>
          <w:rFonts w:cstheme="minorHAnsi"/>
          <w:lang w:val="en-AU"/>
        </w:rPr>
        <w:t xml:space="preserve">that </w:t>
      </w:r>
      <w:r w:rsidR="009A10C1">
        <w:rPr>
          <w:rFonts w:cstheme="minorHAnsi"/>
          <w:lang w:val="en-AU"/>
        </w:rPr>
        <w:t>p</w:t>
      </w:r>
      <w:r w:rsidR="009A10C1" w:rsidRPr="009A10C1">
        <w:rPr>
          <w:rFonts w:cstheme="minorHAnsi"/>
          <w:lang w:val="en-AU"/>
        </w:rPr>
        <w:t>eople with disability</w:t>
      </w:r>
      <w:r w:rsidRPr="001D77A6">
        <w:rPr>
          <w:rFonts w:cstheme="minorHAnsi"/>
          <w:lang w:val="en-AU"/>
        </w:rPr>
        <w:t xml:space="preserve"> bring to employment, s</w:t>
      </w:r>
      <w:r w:rsidR="002E5D82" w:rsidRPr="001D77A6">
        <w:rPr>
          <w:rFonts w:cstheme="minorHAnsi"/>
          <w:lang w:val="en-AU"/>
        </w:rPr>
        <w:t>ome people with a disability experience challenges in securing and sustaining employment</w:t>
      </w:r>
      <w:r w:rsidRPr="001D77A6">
        <w:rPr>
          <w:rFonts w:cstheme="minorHAnsi"/>
          <w:lang w:val="en-AU"/>
        </w:rPr>
        <w:t xml:space="preserve"> and are more likely to be unemployed or underemployed. </w:t>
      </w:r>
      <w:r w:rsidR="00915269" w:rsidRPr="001D77A6">
        <w:rPr>
          <w:rFonts w:cstheme="minorHAnsi"/>
          <w:lang w:val="en-AU"/>
        </w:rPr>
        <w:t xml:space="preserve"> </w:t>
      </w:r>
      <w:r w:rsidRPr="001D77A6">
        <w:rPr>
          <w:rFonts w:cstheme="minorHAnsi"/>
          <w:lang w:val="en-AU"/>
        </w:rPr>
        <w:t xml:space="preserve">Challenges faced by </w:t>
      </w:r>
      <w:r w:rsidR="009A10C1">
        <w:rPr>
          <w:rFonts w:cstheme="minorHAnsi"/>
          <w:lang w:val="en-AU"/>
        </w:rPr>
        <w:t>p</w:t>
      </w:r>
      <w:r w:rsidR="009A10C1" w:rsidRPr="009A10C1">
        <w:rPr>
          <w:rFonts w:cstheme="minorHAnsi"/>
          <w:lang w:val="en-AU"/>
        </w:rPr>
        <w:t>eople with disability</w:t>
      </w:r>
      <w:r w:rsidRPr="001D77A6">
        <w:rPr>
          <w:rFonts w:cstheme="minorHAnsi"/>
          <w:lang w:val="en-AU"/>
        </w:rPr>
        <w:t xml:space="preserve"> can </w:t>
      </w:r>
      <w:r w:rsidR="002E5D82" w:rsidRPr="001D77A6">
        <w:rPr>
          <w:rFonts w:cstheme="minorHAnsi"/>
          <w:lang w:val="en-AU"/>
        </w:rPr>
        <w:t>includ</w:t>
      </w:r>
      <w:r w:rsidRPr="001D77A6">
        <w:rPr>
          <w:rFonts w:cstheme="minorHAnsi"/>
          <w:lang w:val="en-AU"/>
        </w:rPr>
        <w:t>e</w:t>
      </w:r>
      <w:r w:rsidR="002E5D82" w:rsidRPr="001D77A6">
        <w:rPr>
          <w:rFonts w:cstheme="minorHAnsi"/>
          <w:lang w:val="en-AU"/>
        </w:rPr>
        <w:t xml:space="preserve"> discrimination</w:t>
      </w:r>
      <w:r w:rsidRPr="001D77A6">
        <w:rPr>
          <w:rFonts w:cstheme="minorHAnsi"/>
          <w:lang w:val="en-AU"/>
        </w:rPr>
        <w:t>, lack of employer awareness or an appropriate workplace culture</w:t>
      </w:r>
      <w:r w:rsidR="00A8225B" w:rsidRPr="001D77A6">
        <w:rPr>
          <w:rFonts w:cstheme="minorHAnsi"/>
          <w:lang w:val="en-AU"/>
        </w:rPr>
        <w:t>,</w:t>
      </w:r>
      <w:r w:rsidRPr="001D77A6">
        <w:rPr>
          <w:rFonts w:cstheme="minorHAnsi"/>
          <w:lang w:val="en-AU"/>
        </w:rPr>
        <w:t xml:space="preserve"> and a lack of appropriate workplace </w:t>
      </w:r>
      <w:r w:rsidR="005E6435" w:rsidRPr="001D77A6">
        <w:rPr>
          <w:rFonts w:cstheme="minorHAnsi"/>
          <w:lang w:val="en-AU"/>
        </w:rPr>
        <w:t xml:space="preserve">adjustments or </w:t>
      </w:r>
      <w:r w:rsidRPr="001D77A6">
        <w:rPr>
          <w:rFonts w:cstheme="minorHAnsi"/>
          <w:lang w:val="en-AU"/>
        </w:rPr>
        <w:t>supports</w:t>
      </w:r>
      <w:r w:rsidRPr="00775872">
        <w:rPr>
          <w:rFonts w:cstheme="minorHAnsi"/>
          <w:lang w:val="en-AU"/>
        </w:rPr>
        <w:t>.</w:t>
      </w:r>
    </w:p>
    <w:p w14:paraId="2693DE02" w14:textId="11B8C9A6" w:rsidR="001F3503" w:rsidRPr="001D77A6" w:rsidRDefault="001F3503" w:rsidP="00775872">
      <w:pPr>
        <w:spacing w:after="0"/>
        <w:jc w:val="both"/>
        <w:rPr>
          <w:rFonts w:cstheme="minorHAnsi"/>
        </w:rPr>
      </w:pPr>
    </w:p>
    <w:p w14:paraId="791C8D63" w14:textId="54A2EA9D" w:rsidR="001F3503" w:rsidRPr="00246AB6" w:rsidRDefault="00C46B88" w:rsidP="00775872">
      <w:pPr>
        <w:spacing w:after="0"/>
        <w:jc w:val="both"/>
        <w:rPr>
          <w:rFonts w:cstheme="minorHAnsi"/>
        </w:rPr>
      </w:pPr>
      <w:r>
        <w:rPr>
          <w:rFonts w:cstheme="minorHAnsi"/>
          <w:lang w:val="en-AU"/>
        </w:rPr>
        <w:t>A</w:t>
      </w:r>
      <w:r w:rsidR="005E6435" w:rsidRPr="00775872">
        <w:rPr>
          <w:rFonts w:cstheme="minorHAnsi"/>
          <w:lang w:val="en-AU"/>
        </w:rPr>
        <w:t xml:space="preserve">ccessing a range of financial supports such as </w:t>
      </w:r>
      <w:r w:rsidR="00F94B27">
        <w:rPr>
          <w:rFonts w:cstheme="minorHAnsi"/>
          <w:lang w:val="en-AU"/>
        </w:rPr>
        <w:t>w</w:t>
      </w:r>
      <w:r w:rsidR="00CB23A9" w:rsidRPr="00775872">
        <w:rPr>
          <w:rFonts w:cstheme="minorHAnsi"/>
          <w:lang w:val="en-AU"/>
        </w:rPr>
        <w:t>age subsidies and other employment supports (for those registered with jobactive providers)</w:t>
      </w:r>
      <w:r>
        <w:rPr>
          <w:rFonts w:cstheme="minorHAnsi"/>
          <w:lang w:val="en-AU"/>
        </w:rPr>
        <w:t xml:space="preserve"> could r</w:t>
      </w:r>
      <w:r w:rsidRPr="00775872">
        <w:rPr>
          <w:rFonts w:cstheme="minorHAnsi"/>
          <w:lang w:val="en-AU"/>
        </w:rPr>
        <w:t>educ</w:t>
      </w:r>
      <w:r>
        <w:rPr>
          <w:rFonts w:cstheme="minorHAnsi"/>
          <w:lang w:val="en-AU"/>
        </w:rPr>
        <w:t>e the</w:t>
      </w:r>
      <w:r w:rsidRPr="00775872">
        <w:rPr>
          <w:rFonts w:cstheme="minorHAnsi"/>
          <w:lang w:val="en-AU"/>
        </w:rPr>
        <w:t xml:space="preserve"> labour market </w:t>
      </w:r>
      <w:r>
        <w:rPr>
          <w:rFonts w:cstheme="minorHAnsi"/>
          <w:lang w:val="en-AU"/>
        </w:rPr>
        <w:t>barriers</w:t>
      </w:r>
      <w:r w:rsidRPr="00775872">
        <w:rPr>
          <w:rFonts w:cstheme="minorHAnsi"/>
          <w:lang w:val="en-AU"/>
        </w:rPr>
        <w:t xml:space="preserve"> for </w:t>
      </w:r>
      <w:r>
        <w:rPr>
          <w:rFonts w:cstheme="minorHAnsi"/>
          <w:lang w:val="en-AU"/>
        </w:rPr>
        <w:t>p</w:t>
      </w:r>
      <w:r w:rsidRPr="009A10C1">
        <w:rPr>
          <w:rFonts w:cstheme="minorHAnsi"/>
          <w:lang w:val="en-AU"/>
        </w:rPr>
        <w:t>eople with disability</w:t>
      </w:r>
      <w:r>
        <w:rPr>
          <w:rFonts w:cstheme="minorHAnsi"/>
          <w:lang w:val="en-AU"/>
        </w:rPr>
        <w:t>. This</w:t>
      </w:r>
      <w:r w:rsidRPr="00775872">
        <w:rPr>
          <w:rFonts w:cstheme="minorHAnsi"/>
          <w:lang w:val="en-AU"/>
        </w:rPr>
        <w:t xml:space="preserve"> could include</w:t>
      </w:r>
      <w:r w:rsidR="00CB23A9" w:rsidRPr="00775872">
        <w:rPr>
          <w:rFonts w:cstheme="minorHAnsi"/>
          <w:lang w:val="en-AU"/>
        </w:rPr>
        <w:t xml:space="preserve"> Employment Assistance Fund or engagement with key stakeholders such as the National Disability Recruitment Coordinator.</w:t>
      </w:r>
    </w:p>
    <w:p w14:paraId="24AB7F3D" w14:textId="77777777" w:rsidR="00A836CA" w:rsidRDefault="00A836CA" w:rsidP="0091517E">
      <w:pPr>
        <w:pStyle w:val="Default"/>
        <w:jc w:val="both"/>
        <w:rPr>
          <w:rFonts w:cstheme="minorHAnsi"/>
          <w:b/>
          <w:bCs/>
        </w:rPr>
      </w:pPr>
    </w:p>
    <w:p w14:paraId="56EEE8F5" w14:textId="77020CA1" w:rsidR="00885965" w:rsidRPr="00246AB6" w:rsidRDefault="002B6C2A" w:rsidP="00775872">
      <w:pPr>
        <w:spacing w:after="0"/>
        <w:jc w:val="both"/>
        <w:rPr>
          <w:rFonts w:cstheme="minorHAnsi"/>
          <w:b/>
          <w:bCs/>
        </w:rPr>
      </w:pPr>
      <w:r w:rsidRPr="00775872">
        <w:rPr>
          <w:rFonts w:cstheme="minorHAnsi"/>
          <w:b/>
          <w:bCs/>
          <w:lang w:val="en-AU"/>
        </w:rPr>
        <w:t>Youth</w:t>
      </w:r>
    </w:p>
    <w:p w14:paraId="43BBB2FC" w14:textId="2FA792C2" w:rsidR="00300B60" w:rsidRPr="00246AB6" w:rsidRDefault="000F209B" w:rsidP="001D77A6">
      <w:pPr>
        <w:spacing w:after="0"/>
        <w:jc w:val="both"/>
        <w:rPr>
          <w:rFonts w:cstheme="minorHAnsi"/>
        </w:rPr>
      </w:pPr>
      <w:r w:rsidRPr="001D77A6">
        <w:rPr>
          <w:rFonts w:cstheme="minorHAnsi"/>
          <w:lang w:val="en-AU"/>
        </w:rPr>
        <w:t xml:space="preserve">As </w:t>
      </w:r>
      <w:r w:rsidR="006C27E6" w:rsidRPr="001D77A6">
        <w:rPr>
          <w:rFonts w:cstheme="minorHAnsi"/>
          <w:lang w:val="en-AU"/>
        </w:rPr>
        <w:t xml:space="preserve">at </w:t>
      </w:r>
      <w:r w:rsidRPr="001D77A6">
        <w:rPr>
          <w:rFonts w:cstheme="minorHAnsi"/>
          <w:lang w:val="en-AU"/>
        </w:rPr>
        <w:t xml:space="preserve">30 </w:t>
      </w:r>
      <w:r w:rsidR="006C27E6" w:rsidRPr="001D77A6">
        <w:rPr>
          <w:rFonts w:cstheme="minorHAnsi"/>
          <w:lang w:val="en-AU"/>
        </w:rPr>
        <w:t>June 2021</w:t>
      </w:r>
      <w:r w:rsidR="00CE73FA" w:rsidRPr="001D77A6">
        <w:rPr>
          <w:rFonts w:cstheme="minorHAnsi"/>
          <w:lang w:val="en-AU"/>
        </w:rPr>
        <w:t>,</w:t>
      </w:r>
      <w:r w:rsidR="006C27E6" w:rsidRPr="001D77A6">
        <w:rPr>
          <w:rFonts w:cstheme="minorHAnsi"/>
          <w:lang w:val="en-AU"/>
        </w:rPr>
        <w:t xml:space="preserve"> </w:t>
      </w:r>
      <w:r w:rsidR="00EF49EE" w:rsidRPr="001D77A6">
        <w:rPr>
          <w:rFonts w:cstheme="minorHAnsi"/>
          <w:lang w:val="en-AU"/>
        </w:rPr>
        <w:t xml:space="preserve">6,743 young people under 25 years of age were engaged </w:t>
      </w:r>
      <w:r w:rsidR="003962F4" w:rsidRPr="001D77A6">
        <w:rPr>
          <w:rFonts w:cstheme="minorHAnsi"/>
          <w:lang w:val="en-AU"/>
        </w:rPr>
        <w:t xml:space="preserve">in </w:t>
      </w:r>
      <w:r w:rsidR="00EF49EE" w:rsidRPr="001D77A6">
        <w:rPr>
          <w:rFonts w:cstheme="minorHAnsi"/>
          <w:lang w:val="en-AU"/>
        </w:rPr>
        <w:t xml:space="preserve">the </w:t>
      </w:r>
      <w:r w:rsidR="00F10595">
        <w:rPr>
          <w:rFonts w:cstheme="minorHAnsi"/>
          <w:lang w:val="en-AU"/>
        </w:rPr>
        <w:t>ER</w:t>
      </w:r>
      <w:r w:rsidR="00EF49EE" w:rsidRPr="001D77A6">
        <w:rPr>
          <w:rFonts w:cstheme="minorHAnsi"/>
          <w:lang w:val="en-AU"/>
        </w:rPr>
        <w:t xml:space="preserve">’s employment services </w:t>
      </w:r>
      <w:r w:rsidR="003962F4" w:rsidRPr="001D77A6">
        <w:rPr>
          <w:rFonts w:cstheme="minorHAnsi"/>
          <w:lang w:val="en-AU"/>
        </w:rPr>
        <w:t>programs</w:t>
      </w:r>
      <w:r w:rsidR="00EF49EE" w:rsidRPr="001D77A6">
        <w:rPr>
          <w:rFonts w:cstheme="minorHAnsi"/>
          <w:lang w:val="en-AU"/>
        </w:rPr>
        <w:t>.</w:t>
      </w:r>
      <w:r w:rsidR="00EF49EE" w:rsidRPr="00707F09">
        <w:rPr>
          <w:rStyle w:val="FootnoteReference"/>
          <w:rFonts w:cstheme="minorHAnsi"/>
        </w:rPr>
        <w:footnoteReference w:id="7"/>
      </w:r>
      <w:r w:rsidR="00EF49EE" w:rsidRPr="001D77A6">
        <w:rPr>
          <w:rFonts w:cstheme="minorHAnsi"/>
          <w:lang w:val="en-AU"/>
        </w:rPr>
        <w:t xml:space="preserve">  Of these</w:t>
      </w:r>
      <w:r w:rsidR="00333C9A">
        <w:rPr>
          <w:rFonts w:cstheme="minorHAnsi"/>
          <w:lang w:val="en-AU"/>
        </w:rPr>
        <w:t>,</w:t>
      </w:r>
      <w:r w:rsidR="00EF49EE" w:rsidRPr="001D77A6">
        <w:rPr>
          <w:rFonts w:cstheme="minorHAnsi"/>
          <w:lang w:val="en-AU"/>
        </w:rPr>
        <w:t xml:space="preserve"> 5,601 job seekers </w:t>
      </w:r>
      <w:r w:rsidR="003962F4" w:rsidRPr="001D77A6">
        <w:rPr>
          <w:rFonts w:cstheme="minorHAnsi"/>
          <w:lang w:val="en-AU"/>
        </w:rPr>
        <w:t>were represented on</w:t>
      </w:r>
      <w:r w:rsidR="00EF49EE" w:rsidRPr="001D77A6">
        <w:rPr>
          <w:rFonts w:cstheme="minorHAnsi"/>
          <w:lang w:val="en-AU"/>
        </w:rPr>
        <w:t xml:space="preserve"> jobactive caseloads (</w:t>
      </w:r>
      <w:r w:rsidR="00D211C0" w:rsidRPr="001D77A6">
        <w:rPr>
          <w:rFonts w:cstheme="minorHAnsi"/>
          <w:lang w:val="en-AU"/>
        </w:rPr>
        <w:t>15.9</w:t>
      </w:r>
      <w:r w:rsidRPr="001D77A6">
        <w:rPr>
          <w:rFonts w:cstheme="minorHAnsi"/>
          <w:lang w:val="en-AU"/>
        </w:rPr>
        <w:t xml:space="preserve"> per cent</w:t>
      </w:r>
      <w:r w:rsidR="00EF49EE" w:rsidRPr="001D77A6">
        <w:rPr>
          <w:rFonts w:cstheme="minorHAnsi"/>
          <w:lang w:val="en-AU"/>
        </w:rPr>
        <w:t xml:space="preserve">) while 969 youth </w:t>
      </w:r>
      <w:r w:rsidR="00333C9A">
        <w:rPr>
          <w:rFonts w:cstheme="minorHAnsi"/>
          <w:lang w:val="en-AU"/>
        </w:rPr>
        <w:t xml:space="preserve">were </w:t>
      </w:r>
      <w:r w:rsidR="00EF49EE" w:rsidRPr="001D77A6">
        <w:rPr>
          <w:rFonts w:cstheme="minorHAnsi"/>
          <w:lang w:val="en-AU"/>
        </w:rPr>
        <w:t xml:space="preserve">engaged </w:t>
      </w:r>
      <w:r w:rsidR="003962F4" w:rsidRPr="001D77A6">
        <w:rPr>
          <w:rFonts w:cstheme="minorHAnsi"/>
          <w:lang w:val="en-AU"/>
        </w:rPr>
        <w:t xml:space="preserve">with </w:t>
      </w:r>
      <w:r w:rsidR="00EF49EE" w:rsidRPr="001D77A6">
        <w:rPr>
          <w:rFonts w:cstheme="minorHAnsi"/>
          <w:lang w:val="en-AU"/>
        </w:rPr>
        <w:t xml:space="preserve">Transition to Work </w:t>
      </w:r>
      <w:r w:rsidR="00A8225B" w:rsidRPr="001D77A6">
        <w:rPr>
          <w:rFonts w:cstheme="minorHAnsi"/>
          <w:lang w:val="en-AU"/>
        </w:rPr>
        <w:t xml:space="preserve">services </w:t>
      </w:r>
      <w:r w:rsidR="00EF49EE" w:rsidRPr="001D77A6">
        <w:rPr>
          <w:rFonts w:cstheme="minorHAnsi"/>
          <w:lang w:val="en-AU"/>
        </w:rPr>
        <w:t>and 173</w:t>
      </w:r>
      <w:r w:rsidR="003962F4" w:rsidRPr="001D77A6">
        <w:rPr>
          <w:rFonts w:cstheme="minorHAnsi"/>
          <w:lang w:val="en-AU"/>
        </w:rPr>
        <w:t xml:space="preserve"> young parents </w:t>
      </w:r>
      <w:r w:rsidR="00333C9A">
        <w:rPr>
          <w:rFonts w:cstheme="minorHAnsi"/>
          <w:lang w:val="en-AU"/>
        </w:rPr>
        <w:t xml:space="preserve">were </w:t>
      </w:r>
      <w:r w:rsidR="003962F4" w:rsidRPr="001D77A6">
        <w:rPr>
          <w:rFonts w:cstheme="minorHAnsi"/>
          <w:lang w:val="en-AU"/>
        </w:rPr>
        <w:t xml:space="preserve">engaged with the ParentsNext program.  </w:t>
      </w:r>
    </w:p>
    <w:p w14:paraId="0CA708E2" w14:textId="77777777" w:rsidR="00300B60" w:rsidRPr="001D77A6" w:rsidRDefault="00300B60" w:rsidP="001D77A6">
      <w:pPr>
        <w:spacing w:after="0"/>
        <w:jc w:val="both"/>
        <w:rPr>
          <w:rFonts w:cstheme="minorHAnsi"/>
        </w:rPr>
      </w:pPr>
    </w:p>
    <w:p w14:paraId="38FBD4D9" w14:textId="2A4631B0" w:rsidR="004943AA" w:rsidRPr="00246AB6" w:rsidRDefault="004943AA" w:rsidP="001D77A6">
      <w:pPr>
        <w:spacing w:after="0"/>
        <w:jc w:val="both"/>
        <w:rPr>
          <w:rFonts w:cstheme="minorHAnsi"/>
        </w:rPr>
      </w:pPr>
      <w:r w:rsidRPr="001D77A6">
        <w:rPr>
          <w:rFonts w:cstheme="minorHAnsi"/>
          <w:lang w:val="en-AU"/>
        </w:rPr>
        <w:t>The combined impact of COVID-19 on face</w:t>
      </w:r>
      <w:r w:rsidR="00DB5E41">
        <w:rPr>
          <w:rFonts w:cstheme="minorHAnsi"/>
          <w:lang w:val="en-AU"/>
        </w:rPr>
        <w:t>-</w:t>
      </w:r>
      <w:r w:rsidRPr="001D77A6">
        <w:rPr>
          <w:rFonts w:cstheme="minorHAnsi"/>
          <w:lang w:val="en-AU"/>
        </w:rPr>
        <w:t>to</w:t>
      </w:r>
      <w:r w:rsidR="00DB5E41">
        <w:rPr>
          <w:rFonts w:cstheme="minorHAnsi"/>
          <w:lang w:val="en-AU"/>
        </w:rPr>
        <w:t>-</w:t>
      </w:r>
      <w:r w:rsidRPr="001D77A6">
        <w:rPr>
          <w:rFonts w:cstheme="minorHAnsi"/>
          <w:lang w:val="en-AU"/>
        </w:rPr>
        <w:t xml:space="preserve">face services as well as the disruption to education and training (making it more difficult to attend or meet course outcomes) has contributed to youth disengagement in the Employment </w:t>
      </w:r>
      <w:r w:rsidR="00F10595">
        <w:rPr>
          <w:rFonts w:cstheme="minorHAnsi"/>
          <w:lang w:val="en-AU"/>
        </w:rPr>
        <w:t>ER</w:t>
      </w:r>
      <w:r w:rsidRPr="001D77A6">
        <w:rPr>
          <w:rFonts w:cstheme="minorHAnsi"/>
          <w:lang w:val="en-AU"/>
        </w:rPr>
        <w:t>.</w:t>
      </w:r>
      <w:r w:rsidR="003962F4" w:rsidRPr="001D77A6">
        <w:rPr>
          <w:rFonts w:cstheme="minorHAnsi"/>
          <w:lang w:val="en-AU"/>
        </w:rPr>
        <w:t xml:space="preserve">  While young parents may have experienced a lack of opportunity to engage with services, </w:t>
      </w:r>
      <w:r w:rsidR="009A2105" w:rsidRPr="001D77A6">
        <w:rPr>
          <w:rFonts w:cstheme="minorHAnsi"/>
          <w:lang w:val="en-AU"/>
        </w:rPr>
        <w:t>including</w:t>
      </w:r>
      <w:r w:rsidR="003962F4" w:rsidRPr="001D77A6">
        <w:rPr>
          <w:rFonts w:cstheme="minorHAnsi"/>
          <w:lang w:val="en-AU"/>
        </w:rPr>
        <w:t xml:space="preserve"> vocational or non</w:t>
      </w:r>
      <w:r w:rsidR="009A2105" w:rsidRPr="001D77A6">
        <w:rPr>
          <w:rFonts w:cstheme="minorHAnsi"/>
          <w:lang w:val="en-AU"/>
        </w:rPr>
        <w:t>-</w:t>
      </w:r>
      <w:r w:rsidR="003962F4" w:rsidRPr="001D77A6">
        <w:rPr>
          <w:rFonts w:cstheme="minorHAnsi"/>
          <w:lang w:val="en-AU"/>
        </w:rPr>
        <w:t xml:space="preserve">vocational supports.  </w:t>
      </w:r>
    </w:p>
    <w:p w14:paraId="08F35344" w14:textId="77777777" w:rsidR="004943AA" w:rsidRPr="001D77A6" w:rsidRDefault="004943AA" w:rsidP="001D77A6">
      <w:pPr>
        <w:spacing w:after="0"/>
        <w:jc w:val="both"/>
        <w:rPr>
          <w:rFonts w:cstheme="minorHAnsi"/>
        </w:rPr>
      </w:pPr>
    </w:p>
    <w:p w14:paraId="755FCCA5" w14:textId="6049EC2E" w:rsidR="00344BA8" w:rsidRPr="00246AB6" w:rsidRDefault="00296D3C" w:rsidP="001D77A6">
      <w:pPr>
        <w:spacing w:after="0"/>
        <w:jc w:val="both"/>
        <w:rPr>
          <w:rFonts w:cstheme="minorHAnsi"/>
        </w:rPr>
      </w:pPr>
      <w:r w:rsidRPr="001D77A6">
        <w:rPr>
          <w:rFonts w:cstheme="minorHAnsi"/>
          <w:lang w:val="en-AU"/>
        </w:rPr>
        <w:t xml:space="preserve">Young </w:t>
      </w:r>
      <w:r w:rsidR="007526AA" w:rsidRPr="001D77A6">
        <w:rPr>
          <w:rFonts w:cstheme="minorHAnsi"/>
          <w:lang w:val="en-AU"/>
        </w:rPr>
        <w:t xml:space="preserve">people </w:t>
      </w:r>
      <w:r w:rsidR="004943AA" w:rsidRPr="001D77A6">
        <w:rPr>
          <w:rFonts w:cstheme="minorHAnsi"/>
          <w:lang w:val="en-AU"/>
        </w:rPr>
        <w:t xml:space="preserve">also </w:t>
      </w:r>
      <w:r w:rsidR="007526AA" w:rsidRPr="001D77A6">
        <w:rPr>
          <w:rFonts w:cstheme="minorHAnsi"/>
          <w:lang w:val="en-AU"/>
        </w:rPr>
        <w:t xml:space="preserve">face competition in the labour market from experienced adult </w:t>
      </w:r>
      <w:r w:rsidR="006F250D" w:rsidRPr="001D77A6">
        <w:rPr>
          <w:rFonts w:cstheme="minorHAnsi"/>
          <w:lang w:val="en-AU"/>
        </w:rPr>
        <w:t>(</w:t>
      </w:r>
      <w:r w:rsidRPr="001D77A6">
        <w:rPr>
          <w:rFonts w:cstheme="minorHAnsi"/>
          <w:lang w:val="en-AU"/>
        </w:rPr>
        <w:t>or more skilled</w:t>
      </w:r>
      <w:r w:rsidR="006F250D" w:rsidRPr="001D77A6">
        <w:rPr>
          <w:rFonts w:cstheme="minorHAnsi"/>
          <w:lang w:val="en-AU"/>
        </w:rPr>
        <w:t xml:space="preserve">) </w:t>
      </w:r>
      <w:r w:rsidR="007526AA" w:rsidRPr="001D77A6">
        <w:rPr>
          <w:rFonts w:cstheme="minorHAnsi"/>
          <w:lang w:val="en-AU"/>
        </w:rPr>
        <w:t>job seekers.</w:t>
      </w:r>
      <w:r w:rsidR="006C27E6" w:rsidRPr="001D77A6">
        <w:rPr>
          <w:rFonts w:cstheme="minorHAnsi"/>
          <w:lang w:val="en-AU"/>
        </w:rPr>
        <w:t xml:space="preserve"> </w:t>
      </w:r>
      <w:r w:rsidR="007526AA" w:rsidRPr="001D77A6">
        <w:rPr>
          <w:rFonts w:cstheme="minorHAnsi"/>
          <w:lang w:val="en-AU"/>
        </w:rPr>
        <w:t xml:space="preserve"> </w:t>
      </w:r>
      <w:r w:rsidR="004943AA" w:rsidRPr="001D77A6">
        <w:rPr>
          <w:rFonts w:cstheme="minorHAnsi"/>
          <w:lang w:val="en-AU"/>
        </w:rPr>
        <w:t>Further, y</w:t>
      </w:r>
      <w:r w:rsidR="007526AA" w:rsidRPr="001D77A6">
        <w:rPr>
          <w:rFonts w:cstheme="minorHAnsi"/>
          <w:lang w:val="en-AU"/>
        </w:rPr>
        <w:t>oung people are more likely to be engaged in casual or insecure work</w:t>
      </w:r>
      <w:r w:rsidR="00344BA8" w:rsidRPr="001D77A6">
        <w:rPr>
          <w:rFonts w:cstheme="minorHAnsi"/>
          <w:lang w:val="en-AU"/>
        </w:rPr>
        <w:t>,</w:t>
      </w:r>
      <w:r w:rsidRPr="001D77A6">
        <w:rPr>
          <w:rFonts w:cstheme="minorHAnsi"/>
          <w:lang w:val="en-AU"/>
        </w:rPr>
        <w:t xml:space="preserve"> and are highly represented</w:t>
      </w:r>
      <w:r w:rsidR="007526AA" w:rsidRPr="001D77A6">
        <w:rPr>
          <w:rFonts w:cstheme="minorHAnsi"/>
          <w:lang w:val="en-AU"/>
        </w:rPr>
        <w:t xml:space="preserve"> in the hospitality, </w:t>
      </w:r>
      <w:r w:rsidR="007653C6" w:rsidRPr="001D77A6">
        <w:rPr>
          <w:rFonts w:cstheme="minorHAnsi"/>
          <w:lang w:val="en-AU"/>
        </w:rPr>
        <w:t>tourism,</w:t>
      </w:r>
      <w:r w:rsidR="007526AA" w:rsidRPr="001D77A6">
        <w:rPr>
          <w:rFonts w:cstheme="minorHAnsi"/>
          <w:lang w:val="en-AU"/>
        </w:rPr>
        <w:t xml:space="preserve"> and retail</w:t>
      </w:r>
      <w:r w:rsidRPr="001D77A6">
        <w:rPr>
          <w:rFonts w:cstheme="minorHAnsi"/>
          <w:lang w:val="en-AU"/>
        </w:rPr>
        <w:t xml:space="preserve"> sectors</w:t>
      </w:r>
      <w:r w:rsidR="007526AA" w:rsidRPr="001D77A6">
        <w:rPr>
          <w:rFonts w:cstheme="minorHAnsi"/>
          <w:lang w:val="en-AU"/>
        </w:rPr>
        <w:t xml:space="preserve">, which </w:t>
      </w:r>
      <w:r w:rsidRPr="001D77A6">
        <w:rPr>
          <w:rFonts w:cstheme="minorHAnsi"/>
          <w:lang w:val="en-AU"/>
        </w:rPr>
        <w:t xml:space="preserve">have been significantly impacted by COVID-19. </w:t>
      </w:r>
      <w:r w:rsidR="007526AA" w:rsidRPr="001D77A6">
        <w:rPr>
          <w:rFonts w:cstheme="minorHAnsi"/>
          <w:lang w:val="en-AU"/>
        </w:rPr>
        <w:t xml:space="preserve"> </w:t>
      </w:r>
    </w:p>
    <w:p w14:paraId="278C574F" w14:textId="77777777" w:rsidR="00344BA8" w:rsidRPr="00246AB6" w:rsidRDefault="00344BA8" w:rsidP="001D77A6">
      <w:pPr>
        <w:spacing w:after="0"/>
        <w:jc w:val="both"/>
        <w:rPr>
          <w:rFonts w:cstheme="minorHAnsi"/>
        </w:rPr>
      </w:pPr>
    </w:p>
    <w:p w14:paraId="12FBE1AB" w14:textId="52E03D34" w:rsidR="006C27E6" w:rsidRPr="00246AB6" w:rsidRDefault="00C46B88" w:rsidP="001D77A6">
      <w:pPr>
        <w:spacing w:after="0"/>
        <w:jc w:val="both"/>
        <w:rPr>
          <w:rFonts w:cstheme="minorHAnsi"/>
        </w:rPr>
      </w:pPr>
      <w:r>
        <w:rPr>
          <w:rFonts w:cstheme="minorHAnsi"/>
          <w:lang w:val="en-AU"/>
        </w:rPr>
        <w:t>C</w:t>
      </w:r>
      <w:r w:rsidR="007F5F6F" w:rsidRPr="001D77A6">
        <w:rPr>
          <w:rFonts w:cstheme="minorHAnsi"/>
          <w:lang w:val="en-AU"/>
        </w:rPr>
        <w:t>onnect</w:t>
      </w:r>
      <w:r>
        <w:rPr>
          <w:rFonts w:cstheme="minorHAnsi"/>
          <w:lang w:val="en-AU"/>
        </w:rPr>
        <w:t>ing</w:t>
      </w:r>
      <w:r w:rsidR="00344BA8" w:rsidRPr="001D77A6">
        <w:rPr>
          <w:rFonts w:cstheme="minorHAnsi"/>
          <w:lang w:val="en-AU"/>
        </w:rPr>
        <w:t xml:space="preserve"> </w:t>
      </w:r>
      <w:r w:rsidR="007F5F6F" w:rsidRPr="001D77A6">
        <w:rPr>
          <w:rFonts w:cstheme="minorHAnsi"/>
          <w:lang w:val="en-AU"/>
        </w:rPr>
        <w:t xml:space="preserve">youth to employers </w:t>
      </w:r>
      <w:r>
        <w:rPr>
          <w:rFonts w:cstheme="minorHAnsi"/>
          <w:lang w:val="en-AU"/>
        </w:rPr>
        <w:t>could</w:t>
      </w:r>
      <w:r w:rsidR="007F5F6F" w:rsidRPr="001D77A6">
        <w:rPr>
          <w:rFonts w:cstheme="minorHAnsi"/>
          <w:lang w:val="en-AU"/>
        </w:rPr>
        <w:t xml:space="preserve"> play an important role in driving down </w:t>
      </w:r>
      <w:r w:rsidR="006F250D" w:rsidRPr="001D77A6">
        <w:rPr>
          <w:rFonts w:cstheme="minorHAnsi"/>
          <w:lang w:val="en-AU"/>
        </w:rPr>
        <w:t xml:space="preserve">both </w:t>
      </w:r>
      <w:r w:rsidR="007F5F6F" w:rsidRPr="001D77A6">
        <w:rPr>
          <w:rFonts w:cstheme="minorHAnsi"/>
          <w:lang w:val="en-AU"/>
        </w:rPr>
        <w:t xml:space="preserve">youth unemployment </w:t>
      </w:r>
      <w:r w:rsidR="00344BA8" w:rsidRPr="001D77A6">
        <w:rPr>
          <w:rFonts w:cstheme="minorHAnsi"/>
          <w:lang w:val="en-AU"/>
        </w:rPr>
        <w:t xml:space="preserve">and disengagement </w:t>
      </w:r>
      <w:r w:rsidR="007F5F6F" w:rsidRPr="001D77A6">
        <w:rPr>
          <w:rFonts w:cstheme="minorHAnsi"/>
          <w:lang w:val="en-AU"/>
        </w:rPr>
        <w:t xml:space="preserve">in </w:t>
      </w:r>
      <w:r>
        <w:rPr>
          <w:rFonts w:cstheme="minorHAnsi"/>
          <w:lang w:val="en-AU"/>
        </w:rPr>
        <w:t>employment in the</w:t>
      </w:r>
      <w:r w:rsidR="007F5F6F" w:rsidRPr="001D77A6">
        <w:rPr>
          <w:rFonts w:cstheme="minorHAnsi"/>
          <w:lang w:val="en-AU"/>
        </w:rPr>
        <w:t xml:space="preserve"> </w:t>
      </w:r>
      <w:r w:rsidR="00F10595">
        <w:rPr>
          <w:rFonts w:cstheme="minorHAnsi"/>
          <w:lang w:val="en-AU"/>
        </w:rPr>
        <w:t>ER</w:t>
      </w:r>
      <w:r w:rsidR="007F5F6F" w:rsidRPr="001D77A6">
        <w:rPr>
          <w:rFonts w:cstheme="minorHAnsi"/>
          <w:lang w:val="en-AU"/>
        </w:rPr>
        <w:t xml:space="preserve">. </w:t>
      </w:r>
      <w:r w:rsidR="00344BA8" w:rsidRPr="001D77A6">
        <w:rPr>
          <w:rFonts w:cstheme="minorHAnsi"/>
          <w:lang w:val="en-AU"/>
        </w:rPr>
        <w:t>A focus</w:t>
      </w:r>
      <w:r w:rsidR="007F5F6F" w:rsidRPr="001D77A6">
        <w:rPr>
          <w:rFonts w:cstheme="minorHAnsi"/>
          <w:lang w:val="en-AU"/>
        </w:rPr>
        <w:t xml:space="preserve"> </w:t>
      </w:r>
      <w:r w:rsidR="00344BA8" w:rsidRPr="001D77A6">
        <w:rPr>
          <w:rFonts w:cstheme="minorHAnsi"/>
          <w:lang w:val="en-AU"/>
        </w:rPr>
        <w:t xml:space="preserve">on </w:t>
      </w:r>
      <w:r w:rsidR="007F5F6F" w:rsidRPr="001D77A6">
        <w:rPr>
          <w:rFonts w:cstheme="minorHAnsi"/>
          <w:lang w:val="en-AU"/>
        </w:rPr>
        <w:t xml:space="preserve">skills </w:t>
      </w:r>
      <w:r w:rsidR="00915269">
        <w:rPr>
          <w:rFonts w:cstheme="minorHAnsi"/>
          <w:lang w:val="en-AU"/>
        </w:rPr>
        <w:t xml:space="preserve">for </w:t>
      </w:r>
      <w:r w:rsidR="007F5F6F" w:rsidRPr="001D77A6">
        <w:rPr>
          <w:rFonts w:cstheme="minorHAnsi"/>
          <w:lang w:val="en-AU"/>
        </w:rPr>
        <w:t>in</w:t>
      </w:r>
      <w:r w:rsidR="00915269">
        <w:rPr>
          <w:rFonts w:cstheme="minorHAnsi"/>
          <w:lang w:val="en-AU"/>
        </w:rPr>
        <w:t>-</w:t>
      </w:r>
      <w:r w:rsidR="007F5F6F" w:rsidRPr="001D77A6">
        <w:rPr>
          <w:rFonts w:cstheme="minorHAnsi"/>
          <w:lang w:val="en-AU"/>
        </w:rPr>
        <w:t>demand</w:t>
      </w:r>
      <w:r w:rsidR="00344BA8" w:rsidRPr="001D77A6">
        <w:rPr>
          <w:rFonts w:cstheme="minorHAnsi"/>
          <w:lang w:val="en-AU"/>
        </w:rPr>
        <w:t xml:space="preserve"> sectors, </w:t>
      </w:r>
      <w:r w:rsidR="007F5F6F" w:rsidRPr="001D77A6">
        <w:rPr>
          <w:rFonts w:cstheme="minorHAnsi"/>
          <w:lang w:val="en-AU"/>
        </w:rPr>
        <w:t xml:space="preserve">as well as brokering </w:t>
      </w:r>
      <w:r w:rsidR="00344BA8" w:rsidRPr="001D77A6">
        <w:rPr>
          <w:rFonts w:cstheme="minorHAnsi"/>
          <w:lang w:val="en-AU"/>
        </w:rPr>
        <w:t xml:space="preserve">employment opportunities (such as through </w:t>
      </w:r>
      <w:r w:rsidR="007E3E69">
        <w:rPr>
          <w:rFonts w:cstheme="minorHAnsi"/>
          <w:lang w:val="en-AU"/>
        </w:rPr>
        <w:t>a</w:t>
      </w:r>
      <w:r w:rsidR="007F5F6F" w:rsidRPr="001D77A6">
        <w:rPr>
          <w:rFonts w:cstheme="minorHAnsi"/>
          <w:lang w:val="en-AU"/>
        </w:rPr>
        <w:t xml:space="preserve">pprenticeships and </w:t>
      </w:r>
      <w:r w:rsidR="007E3E69">
        <w:rPr>
          <w:rFonts w:cstheme="minorHAnsi"/>
          <w:lang w:val="en-AU"/>
        </w:rPr>
        <w:t>t</w:t>
      </w:r>
      <w:r w:rsidR="007F5F6F" w:rsidRPr="001D77A6">
        <w:rPr>
          <w:rFonts w:cstheme="minorHAnsi"/>
          <w:lang w:val="en-AU"/>
        </w:rPr>
        <w:t>raineeship</w:t>
      </w:r>
      <w:r w:rsidR="00344BA8" w:rsidRPr="001D77A6">
        <w:rPr>
          <w:rFonts w:cstheme="minorHAnsi"/>
          <w:lang w:val="en-AU"/>
        </w:rPr>
        <w:t>s) could support sustainable employment prospects for youth.</w:t>
      </w:r>
    </w:p>
    <w:p w14:paraId="52CB4A01" w14:textId="77777777" w:rsidR="002F113E" w:rsidRDefault="002F113E" w:rsidP="00775872">
      <w:pPr>
        <w:spacing w:after="0"/>
        <w:jc w:val="both"/>
        <w:rPr>
          <w:rFonts w:cstheme="minorHAnsi"/>
          <w:b/>
          <w:bCs/>
          <w:lang w:val="en-AU"/>
        </w:rPr>
      </w:pPr>
    </w:p>
    <w:p w14:paraId="3F19BB7B" w14:textId="090F64FA" w:rsidR="008A754F" w:rsidRPr="00246AB6" w:rsidRDefault="008A754F" w:rsidP="00775872">
      <w:pPr>
        <w:spacing w:after="0"/>
        <w:jc w:val="both"/>
        <w:rPr>
          <w:rFonts w:cstheme="minorHAnsi"/>
          <w:b/>
          <w:bCs/>
        </w:rPr>
      </w:pPr>
      <w:r w:rsidRPr="00775872">
        <w:rPr>
          <w:rFonts w:cstheme="minorHAnsi"/>
          <w:b/>
          <w:bCs/>
          <w:lang w:val="en-AU"/>
        </w:rPr>
        <w:t xml:space="preserve">Aboriginal and Torres Strait Islander </w:t>
      </w:r>
      <w:r w:rsidR="00F94B27">
        <w:rPr>
          <w:rFonts w:cstheme="minorHAnsi"/>
          <w:b/>
          <w:bCs/>
          <w:lang w:val="en-AU"/>
        </w:rPr>
        <w:t>p</w:t>
      </w:r>
      <w:r w:rsidRPr="00775872">
        <w:rPr>
          <w:rFonts w:cstheme="minorHAnsi"/>
          <w:b/>
          <w:bCs/>
          <w:lang w:val="en-AU"/>
        </w:rPr>
        <w:t>eople</w:t>
      </w:r>
      <w:r w:rsidR="00745AF4">
        <w:rPr>
          <w:rFonts w:cstheme="minorHAnsi"/>
          <w:b/>
          <w:bCs/>
          <w:lang w:val="en-AU"/>
        </w:rPr>
        <w:t>s</w:t>
      </w:r>
    </w:p>
    <w:p w14:paraId="69BCD2BB" w14:textId="77777777" w:rsidR="004F7E0A" w:rsidRDefault="009D2E2E" w:rsidP="001D77A6">
      <w:pPr>
        <w:spacing w:after="0"/>
        <w:jc w:val="both"/>
        <w:rPr>
          <w:rFonts w:cstheme="minorHAnsi"/>
          <w:lang w:val="en-AU"/>
        </w:rPr>
      </w:pPr>
      <w:r w:rsidRPr="001D77A6">
        <w:rPr>
          <w:rFonts w:cstheme="minorHAnsi"/>
          <w:lang w:val="en-AU"/>
        </w:rPr>
        <w:t xml:space="preserve">The North Eastern Melbourne ER has the highest number of job seekers on </w:t>
      </w:r>
      <w:r w:rsidR="00300B60" w:rsidRPr="001D77A6">
        <w:rPr>
          <w:rFonts w:cstheme="minorHAnsi"/>
          <w:lang w:val="en-AU"/>
        </w:rPr>
        <w:t xml:space="preserve">Employment Services Caseloads </w:t>
      </w:r>
      <w:r w:rsidRPr="001D77A6">
        <w:rPr>
          <w:rFonts w:cstheme="minorHAnsi"/>
          <w:lang w:val="en-AU"/>
        </w:rPr>
        <w:t xml:space="preserve">who identify as </w:t>
      </w:r>
      <w:r w:rsidR="00915269">
        <w:rPr>
          <w:rFonts w:cstheme="minorHAnsi"/>
          <w:lang w:val="en-AU"/>
        </w:rPr>
        <w:t>Aboriginal</w:t>
      </w:r>
      <w:r w:rsidRPr="001D77A6">
        <w:rPr>
          <w:rFonts w:cstheme="minorHAnsi"/>
          <w:lang w:val="en-AU"/>
        </w:rPr>
        <w:t xml:space="preserve"> or Torres Strait Islander people</w:t>
      </w:r>
      <w:r w:rsidR="00745AF4">
        <w:rPr>
          <w:rFonts w:cstheme="minorHAnsi"/>
          <w:lang w:val="en-AU"/>
        </w:rPr>
        <w:t>s</w:t>
      </w:r>
      <w:r w:rsidRPr="001D77A6">
        <w:rPr>
          <w:rFonts w:cstheme="minorHAnsi"/>
          <w:lang w:val="en-AU"/>
        </w:rPr>
        <w:t xml:space="preserve"> compared to other </w:t>
      </w:r>
      <w:r w:rsidR="00CA2182">
        <w:rPr>
          <w:rFonts w:cstheme="minorHAnsi"/>
          <w:lang w:val="en-AU"/>
        </w:rPr>
        <w:t>m</w:t>
      </w:r>
      <w:r w:rsidRPr="001D77A6">
        <w:rPr>
          <w:rFonts w:cstheme="minorHAnsi"/>
          <w:lang w:val="en-AU"/>
        </w:rPr>
        <w:t xml:space="preserve">etropolitan </w:t>
      </w:r>
      <w:r w:rsidR="00B459B9" w:rsidRPr="001D77A6">
        <w:rPr>
          <w:rFonts w:cstheme="minorHAnsi"/>
          <w:lang w:val="en-AU"/>
        </w:rPr>
        <w:t xml:space="preserve">Melbourne </w:t>
      </w:r>
      <w:r w:rsidRPr="001D77A6">
        <w:rPr>
          <w:rFonts w:cstheme="minorHAnsi"/>
          <w:lang w:val="en-AU"/>
        </w:rPr>
        <w:t>ER</w:t>
      </w:r>
      <w:r w:rsidR="00915269">
        <w:rPr>
          <w:rFonts w:cstheme="minorHAnsi"/>
          <w:lang w:val="en-AU"/>
        </w:rPr>
        <w:t>s</w:t>
      </w:r>
      <w:r w:rsidRPr="001D77A6">
        <w:rPr>
          <w:rFonts w:cstheme="minorHAnsi"/>
          <w:lang w:val="en-AU"/>
        </w:rPr>
        <w:t>.</w:t>
      </w:r>
      <w:r w:rsidR="002B1E35" w:rsidRPr="00707F09">
        <w:rPr>
          <w:rStyle w:val="FootnoteReference"/>
          <w:rFonts w:cstheme="minorHAnsi"/>
        </w:rPr>
        <w:footnoteReference w:id="8"/>
      </w:r>
      <w:r w:rsidRPr="001D77A6">
        <w:rPr>
          <w:rFonts w:cstheme="minorHAnsi"/>
          <w:lang w:val="en-AU"/>
        </w:rPr>
        <w:t xml:space="preserve"> </w:t>
      </w:r>
      <w:r w:rsidR="00E218E4" w:rsidRPr="001D77A6">
        <w:rPr>
          <w:rFonts w:cstheme="minorHAnsi"/>
          <w:lang w:val="en-AU"/>
        </w:rPr>
        <w:t xml:space="preserve">Between March 2021 and June 2021, </w:t>
      </w:r>
      <w:r w:rsidR="000D7E9C" w:rsidRPr="001D77A6">
        <w:rPr>
          <w:rFonts w:cstheme="minorHAnsi"/>
          <w:lang w:val="en-AU"/>
        </w:rPr>
        <w:t>the overall jobactive caseload in the North Eastern Melbourne ER ha</w:t>
      </w:r>
      <w:r w:rsidR="00B459B9" w:rsidRPr="001D77A6">
        <w:rPr>
          <w:rFonts w:cstheme="minorHAnsi"/>
          <w:lang w:val="en-AU"/>
        </w:rPr>
        <w:t>d</w:t>
      </w:r>
      <w:r w:rsidR="000D7E9C" w:rsidRPr="001D77A6">
        <w:rPr>
          <w:rFonts w:cstheme="minorHAnsi"/>
          <w:lang w:val="en-AU"/>
        </w:rPr>
        <w:t xml:space="preserve"> decreased by 9,657 job seekers</w:t>
      </w:r>
      <w:r w:rsidR="00D211C0" w:rsidRPr="001D77A6">
        <w:rPr>
          <w:rFonts w:cstheme="minorHAnsi"/>
          <w:lang w:val="en-AU"/>
        </w:rPr>
        <w:t xml:space="preserve"> overall</w:t>
      </w:r>
      <w:r w:rsidR="00915269">
        <w:rPr>
          <w:rFonts w:cstheme="minorHAnsi"/>
          <w:lang w:val="en-AU"/>
        </w:rPr>
        <w:t>.</w:t>
      </w:r>
      <w:r w:rsidR="000D7E9C" w:rsidRPr="001D77A6">
        <w:rPr>
          <w:rFonts w:cstheme="minorHAnsi"/>
          <w:lang w:val="en-AU"/>
        </w:rPr>
        <w:t xml:space="preserve"> </w:t>
      </w:r>
      <w:r w:rsidR="00915269">
        <w:rPr>
          <w:rFonts w:cstheme="minorHAnsi"/>
          <w:lang w:val="en-AU"/>
        </w:rPr>
        <w:t>H</w:t>
      </w:r>
      <w:r w:rsidR="00E218E4" w:rsidRPr="001D77A6">
        <w:rPr>
          <w:rFonts w:cstheme="minorHAnsi"/>
          <w:lang w:val="en-AU"/>
        </w:rPr>
        <w:t xml:space="preserve">owever, </w:t>
      </w:r>
      <w:r w:rsidR="000D7E9C" w:rsidRPr="001D77A6">
        <w:rPr>
          <w:rFonts w:cstheme="minorHAnsi"/>
          <w:lang w:val="en-AU"/>
        </w:rPr>
        <w:t xml:space="preserve">there has not been a corresponding </w:t>
      </w:r>
      <w:r w:rsidR="00E218E4" w:rsidRPr="001D77A6">
        <w:rPr>
          <w:rFonts w:cstheme="minorHAnsi"/>
          <w:lang w:val="en-AU"/>
        </w:rPr>
        <w:t xml:space="preserve">decrease </w:t>
      </w:r>
      <w:r w:rsidR="000D7E9C" w:rsidRPr="001D77A6">
        <w:rPr>
          <w:rFonts w:cstheme="minorHAnsi"/>
          <w:lang w:val="en-AU"/>
        </w:rPr>
        <w:t xml:space="preserve">in </w:t>
      </w:r>
      <w:r w:rsidR="00915269">
        <w:rPr>
          <w:rFonts w:cstheme="minorHAnsi"/>
          <w:lang w:val="en-AU"/>
        </w:rPr>
        <w:t xml:space="preserve">the </w:t>
      </w:r>
      <w:r w:rsidR="00E218E4" w:rsidRPr="001D77A6">
        <w:rPr>
          <w:rFonts w:cstheme="minorHAnsi"/>
          <w:lang w:val="en-AU"/>
        </w:rPr>
        <w:t xml:space="preserve">representation </w:t>
      </w:r>
      <w:r w:rsidR="00915269">
        <w:rPr>
          <w:rFonts w:cstheme="minorHAnsi"/>
          <w:lang w:val="en-AU"/>
        </w:rPr>
        <w:t>of Aboriginal and Torres Strait Islander people</w:t>
      </w:r>
      <w:r w:rsidR="00745AF4">
        <w:rPr>
          <w:rFonts w:cstheme="minorHAnsi"/>
          <w:lang w:val="en-AU"/>
        </w:rPr>
        <w:t>s</w:t>
      </w:r>
      <w:r w:rsidR="00915269">
        <w:rPr>
          <w:rFonts w:cstheme="minorHAnsi"/>
          <w:lang w:val="en-AU"/>
        </w:rPr>
        <w:t xml:space="preserve"> </w:t>
      </w:r>
      <w:r w:rsidR="00E218E4" w:rsidRPr="001D77A6">
        <w:rPr>
          <w:rFonts w:cstheme="minorHAnsi"/>
          <w:lang w:val="en-AU"/>
        </w:rPr>
        <w:t xml:space="preserve">on the </w:t>
      </w:r>
    </w:p>
    <w:p w14:paraId="289E521B" w14:textId="77777777" w:rsidR="004F7E0A" w:rsidRDefault="004F7E0A" w:rsidP="001D77A6">
      <w:pPr>
        <w:spacing w:after="0"/>
        <w:jc w:val="both"/>
        <w:rPr>
          <w:rFonts w:cstheme="minorHAnsi"/>
          <w:lang w:val="en-AU"/>
        </w:rPr>
      </w:pPr>
    </w:p>
    <w:p w14:paraId="751BEBD8" w14:textId="5CC0A455" w:rsidR="00A56393" w:rsidRPr="00246AB6" w:rsidRDefault="00E218E4" w:rsidP="001D77A6">
      <w:pPr>
        <w:spacing w:after="0"/>
        <w:jc w:val="both"/>
        <w:rPr>
          <w:rFonts w:cstheme="minorHAnsi"/>
        </w:rPr>
      </w:pPr>
      <w:r w:rsidRPr="001D77A6">
        <w:rPr>
          <w:rFonts w:cstheme="minorHAnsi"/>
          <w:lang w:val="en-AU"/>
        </w:rPr>
        <w:t>caseload.</w:t>
      </w:r>
      <w:r w:rsidR="000D7E9C" w:rsidRPr="001D77A6">
        <w:rPr>
          <w:rFonts w:cstheme="minorHAnsi"/>
          <w:lang w:val="en-AU"/>
        </w:rPr>
        <w:t xml:space="preserve">  </w:t>
      </w:r>
      <w:r w:rsidR="00915269">
        <w:rPr>
          <w:rFonts w:cstheme="minorHAnsi"/>
          <w:lang w:val="en-AU"/>
        </w:rPr>
        <w:t>A</w:t>
      </w:r>
      <w:r w:rsidR="00915269" w:rsidRPr="00911C72">
        <w:rPr>
          <w:rFonts w:cstheme="minorHAnsi"/>
          <w:lang w:val="en-AU"/>
        </w:rPr>
        <w:t>s at June 2021</w:t>
      </w:r>
      <w:r w:rsidR="00915269">
        <w:rPr>
          <w:rFonts w:cstheme="minorHAnsi"/>
          <w:lang w:val="en-AU"/>
        </w:rPr>
        <w:t>,</w:t>
      </w:r>
      <w:r w:rsidR="00915269" w:rsidRPr="00911C72">
        <w:rPr>
          <w:rFonts w:cstheme="minorHAnsi"/>
          <w:lang w:val="en-AU"/>
        </w:rPr>
        <w:t xml:space="preserve"> </w:t>
      </w:r>
      <w:r w:rsidR="009D2E2E" w:rsidRPr="001D77A6">
        <w:rPr>
          <w:rFonts w:cstheme="minorHAnsi"/>
          <w:lang w:val="en-AU"/>
        </w:rPr>
        <w:t>j</w:t>
      </w:r>
      <w:r w:rsidRPr="001D77A6">
        <w:rPr>
          <w:rFonts w:cstheme="minorHAnsi"/>
          <w:lang w:val="en-AU"/>
        </w:rPr>
        <w:t xml:space="preserve">obactive </w:t>
      </w:r>
      <w:r w:rsidR="000D7E9C" w:rsidRPr="001D77A6">
        <w:rPr>
          <w:rFonts w:cstheme="minorHAnsi"/>
          <w:lang w:val="en-AU"/>
        </w:rPr>
        <w:t>caseload data</w:t>
      </w:r>
      <w:r w:rsidRPr="001D77A6">
        <w:rPr>
          <w:rFonts w:cstheme="minorHAnsi"/>
          <w:lang w:val="en-AU"/>
        </w:rPr>
        <w:t xml:space="preserve"> </w:t>
      </w:r>
      <w:r w:rsidR="00C80159" w:rsidRPr="001D77A6">
        <w:rPr>
          <w:rFonts w:cstheme="minorHAnsi"/>
          <w:lang w:val="en-AU"/>
        </w:rPr>
        <w:t xml:space="preserve">shows </w:t>
      </w:r>
      <w:r w:rsidR="000D7E9C" w:rsidRPr="001D77A6">
        <w:rPr>
          <w:rFonts w:cstheme="minorHAnsi"/>
          <w:lang w:val="en-AU"/>
        </w:rPr>
        <w:t xml:space="preserve">that </w:t>
      </w:r>
      <w:r w:rsidR="004A5F60" w:rsidRPr="001D77A6">
        <w:rPr>
          <w:rFonts w:cstheme="minorHAnsi"/>
          <w:lang w:val="en-AU"/>
        </w:rPr>
        <w:t xml:space="preserve">2.5 per cent of job seekers identify as </w:t>
      </w:r>
      <w:r w:rsidR="00915269">
        <w:rPr>
          <w:rFonts w:cstheme="minorHAnsi"/>
          <w:lang w:val="en-AU"/>
        </w:rPr>
        <w:t>Aboriginal</w:t>
      </w:r>
      <w:r w:rsidR="004A5F60" w:rsidRPr="001D77A6">
        <w:rPr>
          <w:rFonts w:cstheme="minorHAnsi"/>
          <w:lang w:val="en-AU"/>
        </w:rPr>
        <w:t xml:space="preserve"> or Torres Strait Islander people</w:t>
      </w:r>
      <w:r w:rsidR="00745AF4">
        <w:rPr>
          <w:rFonts w:cstheme="minorHAnsi"/>
          <w:lang w:val="en-AU"/>
        </w:rPr>
        <w:t>s</w:t>
      </w:r>
      <w:r w:rsidR="004A5F60" w:rsidRPr="001D77A6">
        <w:rPr>
          <w:rFonts w:cstheme="minorHAnsi"/>
          <w:lang w:val="en-AU"/>
        </w:rPr>
        <w:t>, compared to 2.2 percent in March 2021</w:t>
      </w:r>
      <w:r w:rsidR="00352D59">
        <w:rPr>
          <w:rStyle w:val="FootnoteReference"/>
          <w:rFonts w:cstheme="minorHAnsi"/>
          <w:lang w:val="en-AU"/>
        </w:rPr>
        <w:footnoteReference w:id="9"/>
      </w:r>
      <w:r w:rsidR="004A5F60" w:rsidRPr="00775872">
        <w:rPr>
          <w:rFonts w:cstheme="minorHAnsi"/>
          <w:lang w:val="en-AU"/>
        </w:rPr>
        <w:t xml:space="preserve">. </w:t>
      </w:r>
    </w:p>
    <w:p w14:paraId="17C74647" w14:textId="77777777" w:rsidR="00A56393" w:rsidRPr="00246AB6" w:rsidRDefault="00A56393" w:rsidP="00775872">
      <w:pPr>
        <w:spacing w:after="0"/>
        <w:jc w:val="both"/>
        <w:rPr>
          <w:rFonts w:cstheme="minorHAnsi"/>
        </w:rPr>
      </w:pPr>
    </w:p>
    <w:p w14:paraId="15928516" w14:textId="3C43B5E8" w:rsidR="004A5F60" w:rsidRPr="00246AB6" w:rsidRDefault="009D2E2E" w:rsidP="001D77A6">
      <w:pPr>
        <w:spacing w:after="0"/>
        <w:jc w:val="both"/>
        <w:rPr>
          <w:rFonts w:cstheme="minorHAnsi"/>
        </w:rPr>
      </w:pPr>
      <w:r w:rsidRPr="001D77A6">
        <w:rPr>
          <w:rFonts w:cstheme="minorHAnsi"/>
          <w:lang w:val="en-AU"/>
        </w:rPr>
        <w:t xml:space="preserve">The majority of </w:t>
      </w:r>
      <w:r w:rsidR="00F10595">
        <w:rPr>
          <w:rFonts w:cstheme="minorHAnsi"/>
          <w:lang w:val="en-AU"/>
        </w:rPr>
        <w:t xml:space="preserve">Aboriginal and Torres Strait Islander </w:t>
      </w:r>
      <w:r w:rsidR="00F94B27">
        <w:rPr>
          <w:rFonts w:cstheme="minorHAnsi"/>
          <w:lang w:val="en-AU"/>
        </w:rPr>
        <w:t>p</w:t>
      </w:r>
      <w:r w:rsidR="00F10595">
        <w:rPr>
          <w:rFonts w:cstheme="minorHAnsi"/>
          <w:lang w:val="en-AU"/>
        </w:rPr>
        <w:t>eoples</w:t>
      </w:r>
      <w:r w:rsidRPr="001D77A6">
        <w:rPr>
          <w:rFonts w:cstheme="minorHAnsi"/>
          <w:lang w:val="en-AU"/>
        </w:rPr>
        <w:t xml:space="preserve"> job seekers on jobactive caseloads </w:t>
      </w:r>
      <w:r w:rsidR="00F94B27">
        <w:rPr>
          <w:rFonts w:cstheme="minorHAnsi"/>
          <w:lang w:val="en-AU"/>
        </w:rPr>
        <w:t xml:space="preserve">in the ER </w:t>
      </w:r>
      <w:r w:rsidRPr="001D77A6">
        <w:rPr>
          <w:rFonts w:cstheme="minorHAnsi"/>
          <w:lang w:val="en-AU"/>
        </w:rPr>
        <w:t>are located within the City of Darebin (4.9 per cent), Murrindindi Shire (4.6 per cent) and Mitchell Shire (3.8 per cent)</w:t>
      </w:r>
      <w:r w:rsidR="005E3C71" w:rsidRPr="001D77A6">
        <w:rPr>
          <w:rFonts w:cstheme="minorHAnsi"/>
          <w:lang w:val="en-AU"/>
        </w:rPr>
        <w:t xml:space="preserve">, </w:t>
      </w:r>
      <w:r w:rsidR="00A56393" w:rsidRPr="001D77A6">
        <w:rPr>
          <w:rFonts w:cstheme="minorHAnsi"/>
          <w:lang w:val="en-AU"/>
        </w:rPr>
        <w:t>which are</w:t>
      </w:r>
      <w:r w:rsidR="005E3C71" w:rsidRPr="001D77A6">
        <w:rPr>
          <w:rFonts w:cstheme="minorHAnsi"/>
          <w:lang w:val="en-AU"/>
        </w:rPr>
        <w:t xml:space="preserve"> also</w:t>
      </w:r>
      <w:r w:rsidR="00A56393" w:rsidRPr="001D77A6">
        <w:rPr>
          <w:rFonts w:cstheme="minorHAnsi"/>
          <w:lang w:val="en-AU"/>
        </w:rPr>
        <w:t xml:space="preserve"> greater than the Victorian average of approximately 0.8 per cent</w:t>
      </w:r>
      <w:r w:rsidR="005E3C71" w:rsidRPr="001D77A6">
        <w:rPr>
          <w:rFonts w:cstheme="minorHAnsi"/>
          <w:lang w:val="en-AU"/>
        </w:rPr>
        <w:t xml:space="preserve"> </w:t>
      </w:r>
      <w:r w:rsidR="00F10595">
        <w:rPr>
          <w:rFonts w:cstheme="minorHAnsi"/>
          <w:lang w:val="en-AU"/>
        </w:rPr>
        <w:t xml:space="preserve">Aboriginal and Torres Strait Islander </w:t>
      </w:r>
      <w:r w:rsidR="00F94B27">
        <w:rPr>
          <w:rFonts w:cstheme="minorHAnsi"/>
          <w:lang w:val="en-AU"/>
        </w:rPr>
        <w:t>p</w:t>
      </w:r>
      <w:r w:rsidR="00F10595">
        <w:rPr>
          <w:rFonts w:cstheme="minorHAnsi"/>
          <w:lang w:val="en-AU"/>
        </w:rPr>
        <w:t>eoples</w:t>
      </w:r>
      <w:r w:rsidR="00A836CA" w:rsidRPr="001D77A6">
        <w:rPr>
          <w:rFonts w:cstheme="minorHAnsi"/>
          <w:lang w:val="en-AU"/>
        </w:rPr>
        <w:t>.</w:t>
      </w:r>
      <w:r w:rsidR="00A56393" w:rsidRPr="001D77A6">
        <w:rPr>
          <w:rFonts w:cstheme="minorHAnsi"/>
          <w:lang w:val="en-AU"/>
        </w:rPr>
        <w:t xml:space="preserve"> </w:t>
      </w:r>
    </w:p>
    <w:p w14:paraId="25E91AA2" w14:textId="77777777" w:rsidR="00711806" w:rsidRPr="001D77A6" w:rsidRDefault="00711806" w:rsidP="00775872">
      <w:pPr>
        <w:spacing w:after="0"/>
        <w:jc w:val="both"/>
        <w:rPr>
          <w:rFonts w:cstheme="minorHAnsi"/>
        </w:rPr>
      </w:pPr>
    </w:p>
    <w:p w14:paraId="4D66F8B4" w14:textId="4961F5EC" w:rsidR="00212A69" w:rsidRPr="00246AB6" w:rsidRDefault="008E6CA5" w:rsidP="00327CF7">
      <w:pPr>
        <w:spacing w:after="0"/>
        <w:jc w:val="both"/>
        <w:rPr>
          <w:rFonts w:cstheme="minorHAnsi"/>
        </w:rPr>
      </w:pPr>
      <w:r w:rsidRPr="00327CF7">
        <w:rPr>
          <w:rFonts w:cstheme="minorHAnsi"/>
          <w:lang w:val="en-AU"/>
        </w:rPr>
        <w:t xml:space="preserve">As at 30 June 2021, 128 young job seekers under the age of 25 years (13.2 percent) </w:t>
      </w:r>
      <w:r w:rsidR="00F94B27">
        <w:rPr>
          <w:rFonts w:cstheme="minorHAnsi"/>
          <w:lang w:val="en-AU"/>
        </w:rPr>
        <w:t xml:space="preserve">in the ER </w:t>
      </w:r>
      <w:r w:rsidR="00F74E02">
        <w:rPr>
          <w:rFonts w:cstheme="minorHAnsi"/>
          <w:lang w:val="en-AU"/>
        </w:rPr>
        <w:t xml:space="preserve">who </w:t>
      </w:r>
      <w:r w:rsidR="00B459B9" w:rsidRPr="00327CF7">
        <w:rPr>
          <w:rFonts w:cstheme="minorHAnsi"/>
          <w:lang w:val="en-AU"/>
        </w:rPr>
        <w:t xml:space="preserve">were engaged </w:t>
      </w:r>
      <w:r w:rsidRPr="00327CF7">
        <w:rPr>
          <w:rFonts w:cstheme="minorHAnsi"/>
          <w:lang w:val="en-AU"/>
        </w:rPr>
        <w:t xml:space="preserve">in the Transition to Work program in the ER and 69 Parents engaged in the ParentsNext program (4.7 per cent) identified as </w:t>
      </w:r>
      <w:r w:rsidR="00F10595">
        <w:rPr>
          <w:rFonts w:cstheme="minorHAnsi"/>
          <w:lang w:val="en-AU"/>
        </w:rPr>
        <w:t xml:space="preserve">Aboriginal and Torres Strait Islander </w:t>
      </w:r>
      <w:r w:rsidR="00F94B27">
        <w:rPr>
          <w:rFonts w:cstheme="minorHAnsi"/>
          <w:lang w:val="en-AU"/>
        </w:rPr>
        <w:t>p</w:t>
      </w:r>
      <w:r w:rsidR="00F10595">
        <w:rPr>
          <w:rFonts w:cstheme="minorHAnsi"/>
          <w:lang w:val="en-AU"/>
        </w:rPr>
        <w:t>eoples</w:t>
      </w:r>
      <w:r w:rsidRPr="00327CF7">
        <w:rPr>
          <w:rFonts w:cstheme="minorHAnsi"/>
          <w:lang w:val="en-AU"/>
        </w:rPr>
        <w:t>.</w:t>
      </w:r>
      <w:r w:rsidRPr="00707F09">
        <w:rPr>
          <w:rStyle w:val="FootnoteReference"/>
          <w:rFonts w:cstheme="minorHAnsi"/>
        </w:rPr>
        <w:footnoteReference w:id="10"/>
      </w:r>
    </w:p>
    <w:p w14:paraId="6DCD2AFB" w14:textId="77777777" w:rsidR="00AA044C" w:rsidRPr="00F74E02" w:rsidRDefault="00AA044C" w:rsidP="00775872">
      <w:pPr>
        <w:spacing w:after="0"/>
        <w:jc w:val="both"/>
        <w:rPr>
          <w:rFonts w:cstheme="minorHAnsi"/>
          <w:lang w:val="en-AU"/>
        </w:rPr>
      </w:pPr>
    </w:p>
    <w:p w14:paraId="383FA088" w14:textId="462E15A3" w:rsidR="00212A69" w:rsidRDefault="00A836CA" w:rsidP="00915269">
      <w:pPr>
        <w:spacing w:after="0"/>
        <w:jc w:val="both"/>
        <w:rPr>
          <w:rFonts w:cstheme="minorHAnsi"/>
          <w:lang w:val="en-AU"/>
        </w:rPr>
      </w:pPr>
      <w:r w:rsidRPr="00327CF7">
        <w:rPr>
          <w:rFonts w:cstheme="minorHAnsi"/>
          <w:lang w:val="en-AU"/>
        </w:rPr>
        <w:t xml:space="preserve">Across the ER, there are </w:t>
      </w:r>
      <w:r w:rsidR="0034041E" w:rsidRPr="00327CF7">
        <w:rPr>
          <w:rFonts w:cstheme="minorHAnsi"/>
          <w:lang w:val="en-AU"/>
        </w:rPr>
        <w:t>several</w:t>
      </w:r>
      <w:r w:rsidRPr="00327CF7">
        <w:rPr>
          <w:rFonts w:cstheme="minorHAnsi"/>
          <w:lang w:val="en-AU"/>
        </w:rPr>
        <w:t xml:space="preserve"> </w:t>
      </w:r>
      <w:r w:rsidR="00F10595">
        <w:rPr>
          <w:rFonts w:cstheme="minorHAnsi"/>
          <w:lang w:val="en-AU"/>
        </w:rPr>
        <w:t xml:space="preserve">Aboriginal and Torres Strait Islander </w:t>
      </w:r>
      <w:r w:rsidR="00F94B27">
        <w:rPr>
          <w:rFonts w:cstheme="minorHAnsi"/>
          <w:lang w:val="en-AU"/>
        </w:rPr>
        <w:t>p</w:t>
      </w:r>
      <w:r w:rsidR="00F10595">
        <w:rPr>
          <w:rFonts w:cstheme="minorHAnsi"/>
          <w:lang w:val="en-AU"/>
        </w:rPr>
        <w:t>eoples</w:t>
      </w:r>
      <w:r w:rsidRPr="00327CF7">
        <w:rPr>
          <w:rFonts w:cstheme="minorHAnsi"/>
          <w:lang w:val="en-AU"/>
        </w:rPr>
        <w:t xml:space="preserve"> partnerships in place at local government level, </w:t>
      </w:r>
      <w:r w:rsidR="00780C87">
        <w:rPr>
          <w:rFonts w:cstheme="minorHAnsi"/>
          <w:lang w:val="en-AU"/>
        </w:rPr>
        <w:t xml:space="preserve">such as </w:t>
      </w:r>
      <w:r w:rsidR="00510FF2">
        <w:rPr>
          <w:rFonts w:cstheme="minorHAnsi"/>
          <w:lang w:val="en-AU"/>
        </w:rPr>
        <w:t xml:space="preserve">the </w:t>
      </w:r>
      <w:r w:rsidR="00780C87">
        <w:rPr>
          <w:rFonts w:cstheme="minorHAnsi"/>
          <w:lang w:val="en-AU"/>
        </w:rPr>
        <w:t>Aboriginal and Torres Strait Islander Advisory Committee</w:t>
      </w:r>
      <w:r w:rsidR="00510FF2">
        <w:rPr>
          <w:rFonts w:cstheme="minorHAnsi"/>
          <w:lang w:val="en-AU"/>
        </w:rPr>
        <w:t>s in the Cities of Banyule and Darebin</w:t>
      </w:r>
      <w:r w:rsidR="0055670F">
        <w:rPr>
          <w:rFonts w:cstheme="minorHAnsi"/>
          <w:lang w:val="en-AU"/>
        </w:rPr>
        <w:t>,</w:t>
      </w:r>
      <w:r w:rsidR="00510FF2">
        <w:rPr>
          <w:rFonts w:cstheme="minorHAnsi"/>
          <w:lang w:val="en-AU"/>
        </w:rPr>
        <w:t xml:space="preserve"> and M</w:t>
      </w:r>
      <w:r w:rsidR="00BA4DB1">
        <w:rPr>
          <w:rFonts w:cstheme="minorHAnsi"/>
          <w:lang w:val="en-AU"/>
        </w:rPr>
        <w:t xml:space="preserve">aggolee </w:t>
      </w:r>
      <w:r w:rsidR="00510FF2">
        <w:rPr>
          <w:rFonts w:cstheme="minorHAnsi"/>
          <w:lang w:val="en-AU"/>
        </w:rPr>
        <w:t>in Murrindindi Shire</w:t>
      </w:r>
      <w:r w:rsidR="00780C87">
        <w:rPr>
          <w:rFonts w:cstheme="minorHAnsi"/>
          <w:lang w:val="en-AU"/>
        </w:rPr>
        <w:t xml:space="preserve">. Further, </w:t>
      </w:r>
      <w:r w:rsidR="00510FF2">
        <w:rPr>
          <w:rFonts w:cstheme="minorHAnsi"/>
          <w:lang w:val="en-AU"/>
        </w:rPr>
        <w:t xml:space="preserve">relationships with Elders and </w:t>
      </w:r>
      <w:r w:rsidRPr="00327CF7">
        <w:rPr>
          <w:rFonts w:cstheme="minorHAnsi"/>
          <w:lang w:val="en-AU"/>
        </w:rPr>
        <w:t xml:space="preserve">community level </w:t>
      </w:r>
      <w:r w:rsidR="00510FF2">
        <w:rPr>
          <w:rFonts w:cstheme="minorHAnsi"/>
          <w:lang w:val="en-AU"/>
        </w:rPr>
        <w:t xml:space="preserve">services (such as the Aboriginal </w:t>
      </w:r>
      <w:r w:rsidR="00780C87">
        <w:rPr>
          <w:rFonts w:cstheme="minorHAnsi"/>
          <w:lang w:val="en-AU"/>
        </w:rPr>
        <w:t xml:space="preserve">and Counselling </w:t>
      </w:r>
      <w:r w:rsidR="00510FF2">
        <w:rPr>
          <w:rFonts w:cstheme="minorHAnsi"/>
          <w:lang w:val="en-AU"/>
        </w:rPr>
        <w:t xml:space="preserve">service </w:t>
      </w:r>
      <w:r w:rsidR="00780C87">
        <w:rPr>
          <w:rFonts w:cstheme="minorHAnsi"/>
          <w:lang w:val="en-AU"/>
        </w:rPr>
        <w:t>within the City of Knox</w:t>
      </w:r>
      <w:r w:rsidR="00510FF2">
        <w:rPr>
          <w:rFonts w:cstheme="minorHAnsi"/>
          <w:lang w:val="en-AU"/>
        </w:rPr>
        <w:t>)</w:t>
      </w:r>
      <w:r w:rsidR="00780C87">
        <w:rPr>
          <w:rFonts w:cstheme="minorHAnsi"/>
          <w:lang w:val="en-AU"/>
        </w:rPr>
        <w:t xml:space="preserve"> </w:t>
      </w:r>
      <w:r w:rsidR="00510FF2">
        <w:rPr>
          <w:rFonts w:cstheme="minorHAnsi"/>
          <w:lang w:val="en-AU"/>
        </w:rPr>
        <w:t xml:space="preserve">may </w:t>
      </w:r>
      <w:r w:rsidRPr="00327CF7">
        <w:rPr>
          <w:rFonts w:cstheme="minorHAnsi"/>
          <w:lang w:val="en-AU"/>
        </w:rPr>
        <w:t xml:space="preserve">support employment and pathways to employment for </w:t>
      </w:r>
      <w:r w:rsidR="00F10595">
        <w:rPr>
          <w:rFonts w:cstheme="minorHAnsi"/>
          <w:lang w:val="en-AU"/>
        </w:rPr>
        <w:t xml:space="preserve">Aboriginal and Torres Strait Islander </w:t>
      </w:r>
      <w:r w:rsidR="00F94B27">
        <w:rPr>
          <w:rFonts w:cstheme="minorHAnsi"/>
          <w:lang w:val="en-AU"/>
        </w:rPr>
        <w:t>p</w:t>
      </w:r>
      <w:r w:rsidR="00F10595">
        <w:rPr>
          <w:rFonts w:cstheme="minorHAnsi"/>
          <w:lang w:val="en-AU"/>
        </w:rPr>
        <w:t>eoples</w:t>
      </w:r>
      <w:r w:rsidRPr="00327CF7">
        <w:rPr>
          <w:rFonts w:cstheme="minorHAnsi"/>
          <w:lang w:val="en-AU"/>
        </w:rPr>
        <w:t xml:space="preserve"> in a culturally appropriate manner.  </w:t>
      </w:r>
    </w:p>
    <w:p w14:paraId="5E573A3A" w14:textId="77777777" w:rsidR="00CB2020" w:rsidRPr="00775872" w:rsidRDefault="00CB2020" w:rsidP="00775872">
      <w:pPr>
        <w:spacing w:after="0"/>
        <w:jc w:val="both"/>
        <w:rPr>
          <w:rFonts w:cstheme="minorHAnsi"/>
        </w:rPr>
      </w:pPr>
    </w:p>
    <w:p w14:paraId="68ABE0CD" w14:textId="77777777" w:rsidR="00212A69" w:rsidRDefault="00212A69" w:rsidP="00440E78">
      <w:pPr>
        <w:pStyle w:val="Heading1"/>
        <w:spacing w:before="0" w:after="0"/>
        <w:jc w:val="both"/>
        <w:rPr>
          <w:rFonts w:asciiTheme="minorHAnsi" w:hAnsiTheme="minorHAnsi" w:cstheme="minorHAnsi"/>
          <w:sz w:val="32"/>
          <w:szCs w:val="32"/>
        </w:rPr>
      </w:pPr>
    </w:p>
    <w:p w14:paraId="27306556" w14:textId="207D6DF0" w:rsidR="00440E78" w:rsidRPr="00C46B88" w:rsidRDefault="006C27E6" w:rsidP="00C46B88">
      <w:pPr>
        <w:spacing w:after="0"/>
        <w:jc w:val="both"/>
        <w:rPr>
          <w:rStyle w:val="Heading1Char"/>
          <w:rFonts w:asciiTheme="minorHAnsi" w:eastAsiaTheme="minorEastAsia" w:hAnsiTheme="minorHAnsi" w:cstheme="minorHAnsi"/>
          <w:sz w:val="32"/>
          <w:szCs w:val="32"/>
        </w:rPr>
      </w:pPr>
      <w:bookmarkStart w:id="17" w:name="_Toc78461096"/>
      <w:r w:rsidRPr="00C46B88">
        <w:rPr>
          <w:rStyle w:val="Heading1Char"/>
          <w:rFonts w:asciiTheme="minorHAnsi" w:eastAsiaTheme="minorEastAsia" w:hAnsiTheme="minorHAnsi" w:cstheme="minorHAnsi"/>
          <w:sz w:val="32"/>
          <w:szCs w:val="32"/>
        </w:rPr>
        <w:t>Impacts of COVID-19</w:t>
      </w:r>
      <w:bookmarkEnd w:id="17"/>
    </w:p>
    <w:p w14:paraId="51A8C879" w14:textId="22C28AAC" w:rsidR="00440E78" w:rsidRPr="00327CF7" w:rsidRDefault="00E547D2" w:rsidP="00B25C50">
      <w:pPr>
        <w:spacing w:after="0"/>
        <w:jc w:val="both"/>
        <w:rPr>
          <w:rFonts w:cstheme="minorHAnsi"/>
          <w:lang w:val="en-AU"/>
        </w:rPr>
      </w:pPr>
      <w:r w:rsidRPr="00327CF7">
        <w:rPr>
          <w:rFonts w:cstheme="minorHAnsi"/>
          <w:lang w:val="en-AU"/>
        </w:rPr>
        <w:t>The North Eastern Melbourne ER jobactive caseload increased significantly from 31 March 2020 to 30 June</w:t>
      </w:r>
      <w:r w:rsidR="009A2ECA" w:rsidRPr="00327CF7">
        <w:rPr>
          <w:rFonts w:cstheme="minorHAnsi"/>
          <w:lang w:val="en-AU"/>
        </w:rPr>
        <w:t xml:space="preserve"> </w:t>
      </w:r>
      <w:r w:rsidRPr="00327CF7">
        <w:rPr>
          <w:rFonts w:cstheme="minorHAnsi"/>
          <w:lang w:val="en-AU"/>
        </w:rPr>
        <w:t>2021</w:t>
      </w:r>
      <w:r w:rsidR="00212A69" w:rsidRPr="00707F09">
        <w:rPr>
          <w:rStyle w:val="FootnoteReference"/>
          <w:rFonts w:cstheme="minorHAnsi"/>
        </w:rPr>
        <w:footnoteReference w:id="11"/>
      </w:r>
      <w:r w:rsidR="009A2ECA" w:rsidRPr="00327CF7">
        <w:rPr>
          <w:rFonts w:cstheme="minorHAnsi"/>
          <w:lang w:val="en-AU"/>
        </w:rPr>
        <w:t xml:space="preserve">, directly reflecting the impacts of COVID-19 on job seekers within the ER. </w:t>
      </w:r>
    </w:p>
    <w:p w14:paraId="7F5760BA" w14:textId="77777777" w:rsidR="00440E78" w:rsidRPr="00327CF7" w:rsidRDefault="00440E78" w:rsidP="00B25C50">
      <w:pPr>
        <w:spacing w:after="0"/>
        <w:jc w:val="both"/>
        <w:rPr>
          <w:rFonts w:cstheme="minorHAnsi"/>
          <w:lang w:val="en-AU"/>
        </w:rPr>
      </w:pPr>
    </w:p>
    <w:p w14:paraId="067882D0" w14:textId="6D683E7E" w:rsidR="006C27E6" w:rsidRDefault="007425E8" w:rsidP="00B25C50">
      <w:pPr>
        <w:spacing w:after="0"/>
        <w:jc w:val="both"/>
        <w:rPr>
          <w:rFonts w:cstheme="minorHAnsi"/>
          <w:lang w:val="en-AU"/>
        </w:rPr>
      </w:pPr>
      <w:r>
        <w:rPr>
          <w:rFonts w:cstheme="minorHAnsi"/>
          <w:lang w:val="en-AU"/>
        </w:rPr>
        <w:t xml:space="preserve">In the North Eastern Melbourne ER, </w:t>
      </w:r>
      <w:r w:rsidR="006C27E6" w:rsidRPr="00F93930">
        <w:rPr>
          <w:rFonts w:cstheme="minorHAnsi"/>
          <w:lang w:val="en-AU"/>
        </w:rPr>
        <w:t xml:space="preserve">19,127 job seekers registered </w:t>
      </w:r>
      <w:r w:rsidR="00B25C50">
        <w:rPr>
          <w:rFonts w:cstheme="minorHAnsi"/>
          <w:lang w:val="en-AU"/>
        </w:rPr>
        <w:t>with</w:t>
      </w:r>
      <w:r w:rsidR="00B25C50" w:rsidRPr="00F93930">
        <w:rPr>
          <w:rFonts w:cstheme="minorHAnsi"/>
          <w:lang w:val="en-AU"/>
        </w:rPr>
        <w:t xml:space="preserve"> </w:t>
      </w:r>
      <w:r w:rsidR="006C27E6" w:rsidRPr="00F93930">
        <w:rPr>
          <w:rFonts w:cstheme="minorHAnsi"/>
          <w:lang w:val="en-AU"/>
        </w:rPr>
        <w:t>jobactive services</w:t>
      </w:r>
      <w:r w:rsidR="009A2ECA">
        <w:rPr>
          <w:rFonts w:cstheme="minorHAnsi"/>
          <w:lang w:val="en-AU"/>
        </w:rPr>
        <w:t xml:space="preserve"> as at 31 March 2020</w:t>
      </w:r>
      <w:r w:rsidR="00F74E02">
        <w:rPr>
          <w:rFonts w:cstheme="minorHAnsi"/>
          <w:lang w:val="en-AU"/>
        </w:rPr>
        <w:t>. T</w:t>
      </w:r>
      <w:r w:rsidR="00710227">
        <w:rPr>
          <w:rFonts w:cstheme="minorHAnsi"/>
          <w:lang w:val="en-AU"/>
        </w:rPr>
        <w:t xml:space="preserve">his number </w:t>
      </w:r>
      <w:r w:rsidR="00F74E02">
        <w:rPr>
          <w:rFonts w:cstheme="minorHAnsi"/>
          <w:lang w:val="en-AU"/>
        </w:rPr>
        <w:t xml:space="preserve">had </w:t>
      </w:r>
      <w:r w:rsidR="00710227">
        <w:rPr>
          <w:rFonts w:cstheme="minorHAnsi"/>
          <w:lang w:val="en-AU"/>
        </w:rPr>
        <w:t xml:space="preserve">increased to </w:t>
      </w:r>
      <w:r w:rsidR="00710227" w:rsidRPr="00F93930">
        <w:rPr>
          <w:rFonts w:cstheme="minorHAnsi"/>
          <w:lang w:val="en-AU"/>
        </w:rPr>
        <w:t xml:space="preserve">60,412 </w:t>
      </w:r>
      <w:r w:rsidR="00710227">
        <w:rPr>
          <w:rFonts w:cstheme="minorHAnsi"/>
          <w:lang w:val="en-AU"/>
        </w:rPr>
        <w:t>job seekers (</w:t>
      </w:r>
      <w:r w:rsidR="005A7DFE">
        <w:rPr>
          <w:rFonts w:cstheme="minorHAnsi"/>
          <w:lang w:val="en-AU"/>
        </w:rPr>
        <w:t>an increase of</w:t>
      </w:r>
      <w:r w:rsidR="00710227">
        <w:rPr>
          <w:rFonts w:cstheme="minorHAnsi"/>
          <w:lang w:val="en-AU"/>
        </w:rPr>
        <w:t xml:space="preserve"> approximately 215 percent) as at 30 September 2020. </w:t>
      </w:r>
      <w:r w:rsidR="005A7DFE">
        <w:rPr>
          <w:rFonts w:cstheme="minorHAnsi"/>
          <w:lang w:val="en-AU"/>
        </w:rPr>
        <w:t xml:space="preserve">While </w:t>
      </w:r>
      <w:r w:rsidR="00F74E02">
        <w:rPr>
          <w:rFonts w:cstheme="minorHAnsi"/>
          <w:lang w:val="en-AU"/>
        </w:rPr>
        <w:t xml:space="preserve">current </w:t>
      </w:r>
      <w:r w:rsidR="005A7DFE">
        <w:rPr>
          <w:rFonts w:cstheme="minorHAnsi"/>
          <w:lang w:val="en-AU"/>
        </w:rPr>
        <w:t xml:space="preserve">caseloads </w:t>
      </w:r>
      <w:r w:rsidR="00F74E02">
        <w:rPr>
          <w:rFonts w:cstheme="minorHAnsi"/>
          <w:lang w:val="en-AU"/>
        </w:rPr>
        <w:t xml:space="preserve">remain </w:t>
      </w:r>
      <w:r w:rsidR="005A7DFE">
        <w:rPr>
          <w:rFonts w:cstheme="minorHAnsi"/>
          <w:lang w:val="en-AU"/>
        </w:rPr>
        <w:t xml:space="preserve">significantly higher than at </w:t>
      </w:r>
      <w:r w:rsidR="006C27E6" w:rsidRPr="00F93930">
        <w:rPr>
          <w:rFonts w:cstheme="minorHAnsi"/>
          <w:lang w:val="en-AU"/>
        </w:rPr>
        <w:t>31 March 202</w:t>
      </w:r>
      <w:r w:rsidR="005A7DFE">
        <w:rPr>
          <w:rFonts w:cstheme="minorHAnsi"/>
          <w:lang w:val="en-AU"/>
        </w:rPr>
        <w:t xml:space="preserve">0, there has been </w:t>
      </w:r>
      <w:r w:rsidR="00F74E02">
        <w:rPr>
          <w:rFonts w:cstheme="minorHAnsi"/>
          <w:lang w:val="en-AU"/>
        </w:rPr>
        <w:t>a</w:t>
      </w:r>
      <w:r w:rsidR="005A7DFE">
        <w:rPr>
          <w:rFonts w:cstheme="minorHAnsi"/>
          <w:lang w:val="en-AU"/>
        </w:rPr>
        <w:t xml:space="preserve"> </w:t>
      </w:r>
      <w:r w:rsidR="00E54E63">
        <w:rPr>
          <w:rFonts w:cstheme="minorHAnsi"/>
          <w:lang w:val="en-AU"/>
        </w:rPr>
        <w:t xml:space="preserve">steady </w:t>
      </w:r>
      <w:r w:rsidR="005A7DFE">
        <w:rPr>
          <w:rFonts w:cstheme="minorHAnsi"/>
          <w:lang w:val="en-AU"/>
        </w:rPr>
        <w:t xml:space="preserve">decrease in </w:t>
      </w:r>
      <w:r w:rsidR="00E54E63">
        <w:rPr>
          <w:rFonts w:cstheme="minorHAnsi"/>
          <w:lang w:val="en-AU"/>
        </w:rPr>
        <w:t xml:space="preserve">job seeker </w:t>
      </w:r>
      <w:r w:rsidR="005A7DFE">
        <w:rPr>
          <w:rFonts w:cstheme="minorHAnsi"/>
          <w:lang w:val="en-AU"/>
        </w:rPr>
        <w:t xml:space="preserve">caseload numbers, </w:t>
      </w:r>
      <w:r w:rsidR="00440E78">
        <w:rPr>
          <w:rFonts w:cstheme="minorHAnsi"/>
          <w:lang w:val="en-AU"/>
        </w:rPr>
        <w:t xml:space="preserve">indicating </w:t>
      </w:r>
      <w:r w:rsidR="005A7DFE">
        <w:rPr>
          <w:rFonts w:cstheme="minorHAnsi"/>
          <w:lang w:val="en-AU"/>
        </w:rPr>
        <w:t>improved labour market conditions</w:t>
      </w:r>
      <w:r w:rsidR="000E4FE6">
        <w:rPr>
          <w:rFonts w:cstheme="minorHAnsi"/>
          <w:lang w:val="en-AU"/>
        </w:rPr>
        <w:t>.  This downward trend is consistent with caseload data at</w:t>
      </w:r>
      <w:r w:rsidR="00E54E63">
        <w:rPr>
          <w:rFonts w:cstheme="minorHAnsi"/>
          <w:lang w:val="en-AU"/>
        </w:rPr>
        <w:t xml:space="preserve"> 30 June</w:t>
      </w:r>
      <w:r w:rsidR="000E4FE6">
        <w:rPr>
          <w:rFonts w:cstheme="minorHAnsi"/>
          <w:lang w:val="en-AU"/>
        </w:rPr>
        <w:t xml:space="preserve"> 2021,</w:t>
      </w:r>
      <w:r w:rsidR="00E54E63">
        <w:rPr>
          <w:rFonts w:cstheme="minorHAnsi"/>
          <w:lang w:val="en-AU"/>
        </w:rPr>
        <w:t xml:space="preserve"> whe</w:t>
      </w:r>
      <w:r w:rsidR="00F74E02">
        <w:rPr>
          <w:rFonts w:cstheme="minorHAnsi"/>
          <w:lang w:val="en-AU"/>
        </w:rPr>
        <w:t>n</w:t>
      </w:r>
      <w:r w:rsidR="00E54E63">
        <w:rPr>
          <w:rFonts w:cstheme="minorHAnsi"/>
          <w:lang w:val="en-AU"/>
        </w:rPr>
        <w:t xml:space="preserve"> </w:t>
      </w:r>
      <w:r w:rsidR="005A7DFE">
        <w:rPr>
          <w:rFonts w:cstheme="minorHAnsi"/>
          <w:lang w:val="en-AU"/>
        </w:rPr>
        <w:t>35,570 job seekers were registered on the jobactive caseload</w:t>
      </w:r>
      <w:r w:rsidR="000E4FE6">
        <w:rPr>
          <w:rFonts w:cstheme="minorHAnsi"/>
          <w:lang w:val="en-AU"/>
        </w:rPr>
        <w:t xml:space="preserve"> (a decrease of 24,842 job seeker</w:t>
      </w:r>
      <w:r w:rsidR="00F74E02">
        <w:rPr>
          <w:rFonts w:cstheme="minorHAnsi"/>
          <w:lang w:val="en-AU"/>
        </w:rPr>
        <w:t>s</w:t>
      </w:r>
      <w:r w:rsidR="000E4FE6">
        <w:rPr>
          <w:rFonts w:cstheme="minorHAnsi"/>
          <w:lang w:val="en-AU"/>
        </w:rPr>
        <w:t xml:space="preserve"> </w:t>
      </w:r>
      <w:r w:rsidR="00B459B9">
        <w:rPr>
          <w:rFonts w:cstheme="minorHAnsi"/>
          <w:lang w:val="en-AU"/>
        </w:rPr>
        <w:t xml:space="preserve">who were </w:t>
      </w:r>
      <w:r w:rsidR="000E4FE6">
        <w:rPr>
          <w:rFonts w:cstheme="minorHAnsi"/>
          <w:lang w:val="en-AU"/>
        </w:rPr>
        <w:t xml:space="preserve">registered </w:t>
      </w:r>
      <w:r w:rsidR="00440E78">
        <w:rPr>
          <w:rFonts w:cstheme="minorHAnsi"/>
          <w:lang w:val="en-AU"/>
        </w:rPr>
        <w:t xml:space="preserve">as </w:t>
      </w:r>
      <w:r w:rsidR="000E4FE6">
        <w:rPr>
          <w:rFonts w:cstheme="minorHAnsi"/>
          <w:lang w:val="en-AU"/>
        </w:rPr>
        <w:t>at 30 September 2020).</w:t>
      </w:r>
      <w:r w:rsidR="003E4AC1">
        <w:rPr>
          <w:rFonts w:cstheme="minorHAnsi"/>
          <w:lang w:val="en-AU"/>
        </w:rPr>
        <w:t xml:space="preserve">  </w:t>
      </w:r>
    </w:p>
    <w:p w14:paraId="602047B6" w14:textId="77777777" w:rsidR="00440E78" w:rsidRDefault="00440E78" w:rsidP="00B25C50">
      <w:pPr>
        <w:spacing w:after="0"/>
        <w:jc w:val="both"/>
        <w:rPr>
          <w:rFonts w:cstheme="minorHAnsi"/>
          <w:lang w:val="en-AU"/>
        </w:rPr>
      </w:pPr>
    </w:p>
    <w:p w14:paraId="5FD4946D" w14:textId="3CEB6585" w:rsidR="005E54C9" w:rsidRDefault="005E54C9" w:rsidP="00440E78">
      <w:pPr>
        <w:spacing w:after="0"/>
        <w:jc w:val="both"/>
        <w:rPr>
          <w:rFonts w:cstheme="minorHAnsi"/>
          <w:lang w:val="en-AU"/>
        </w:rPr>
      </w:pPr>
      <w:r>
        <w:rPr>
          <w:rFonts w:cstheme="minorHAnsi"/>
          <w:lang w:val="en-AU"/>
        </w:rPr>
        <w:t xml:space="preserve">Construction, retail trade, manufacturing, </w:t>
      </w:r>
      <w:r w:rsidR="007653C6">
        <w:rPr>
          <w:rFonts w:cstheme="minorHAnsi"/>
          <w:lang w:val="en-AU"/>
        </w:rPr>
        <w:t>accommodation,</w:t>
      </w:r>
      <w:r w:rsidR="007425E8">
        <w:rPr>
          <w:rFonts w:cstheme="minorHAnsi"/>
          <w:lang w:val="en-AU"/>
        </w:rPr>
        <w:t xml:space="preserve"> </w:t>
      </w:r>
      <w:r>
        <w:rPr>
          <w:rFonts w:cstheme="minorHAnsi"/>
          <w:lang w:val="en-AU"/>
        </w:rPr>
        <w:t xml:space="preserve">and food services </w:t>
      </w:r>
      <w:r w:rsidR="007425E8">
        <w:rPr>
          <w:rFonts w:cstheme="minorHAnsi"/>
          <w:lang w:val="en-AU"/>
        </w:rPr>
        <w:t xml:space="preserve">industries </w:t>
      </w:r>
      <w:r>
        <w:rPr>
          <w:rFonts w:cstheme="minorHAnsi"/>
          <w:lang w:val="en-AU"/>
        </w:rPr>
        <w:t>saw notable impacts from COVID-19</w:t>
      </w:r>
      <w:r w:rsidR="005E4F87">
        <w:rPr>
          <w:rFonts w:cstheme="minorHAnsi"/>
          <w:lang w:val="en-AU"/>
        </w:rPr>
        <w:t xml:space="preserve">, </w:t>
      </w:r>
      <w:r w:rsidR="00946201">
        <w:rPr>
          <w:rFonts w:cstheme="minorHAnsi"/>
          <w:lang w:val="en-AU"/>
        </w:rPr>
        <w:t>as well as economic stresses on small to medium businesses</w:t>
      </w:r>
      <w:r w:rsidR="008E3175">
        <w:rPr>
          <w:rFonts w:cstheme="minorHAnsi"/>
          <w:lang w:val="en-AU"/>
        </w:rPr>
        <w:t xml:space="preserve"> which are highly represented across the </w:t>
      </w:r>
      <w:r w:rsidR="00F10595">
        <w:rPr>
          <w:rFonts w:cstheme="minorHAnsi"/>
          <w:lang w:val="en-AU"/>
        </w:rPr>
        <w:t>ER</w:t>
      </w:r>
      <w:r w:rsidR="00946201">
        <w:rPr>
          <w:rFonts w:cstheme="minorHAnsi"/>
          <w:lang w:val="en-AU"/>
        </w:rPr>
        <w:t xml:space="preserve">. </w:t>
      </w:r>
      <w:r w:rsidR="003E4AC1">
        <w:rPr>
          <w:rFonts w:cstheme="minorHAnsi"/>
          <w:lang w:val="en-AU"/>
        </w:rPr>
        <w:t>Further</w:t>
      </w:r>
      <w:r w:rsidR="005E4F87">
        <w:rPr>
          <w:rFonts w:cstheme="minorHAnsi"/>
          <w:lang w:val="en-AU"/>
        </w:rPr>
        <w:t xml:space="preserve">, </w:t>
      </w:r>
      <w:r w:rsidR="007425E8">
        <w:rPr>
          <w:rFonts w:cstheme="minorHAnsi"/>
          <w:lang w:val="en-AU"/>
        </w:rPr>
        <w:t xml:space="preserve">the </w:t>
      </w:r>
      <w:r w:rsidR="005E4F87">
        <w:rPr>
          <w:rFonts w:cstheme="minorHAnsi"/>
          <w:lang w:val="en-AU"/>
        </w:rPr>
        <w:t xml:space="preserve">peri-urban fringe </w:t>
      </w:r>
      <w:r w:rsidR="007425E8">
        <w:rPr>
          <w:rFonts w:cstheme="minorHAnsi"/>
          <w:lang w:val="en-AU"/>
        </w:rPr>
        <w:t xml:space="preserve">and rural areas </w:t>
      </w:r>
      <w:r w:rsidR="005E4F87">
        <w:rPr>
          <w:rFonts w:cstheme="minorHAnsi"/>
          <w:lang w:val="en-AU"/>
        </w:rPr>
        <w:t xml:space="preserve">experienced harvest labour shortages and reductions in </w:t>
      </w:r>
      <w:r w:rsidR="00440E78">
        <w:rPr>
          <w:rFonts w:cstheme="minorHAnsi"/>
          <w:lang w:val="en-AU"/>
        </w:rPr>
        <w:t xml:space="preserve">economic benefit </w:t>
      </w:r>
      <w:r w:rsidR="00301857">
        <w:rPr>
          <w:rFonts w:cstheme="minorHAnsi"/>
          <w:lang w:val="en-AU"/>
        </w:rPr>
        <w:t xml:space="preserve">usually </w:t>
      </w:r>
      <w:r w:rsidR="007425E8">
        <w:rPr>
          <w:rFonts w:cstheme="minorHAnsi"/>
          <w:lang w:val="en-AU"/>
        </w:rPr>
        <w:t xml:space="preserve">derived from </w:t>
      </w:r>
      <w:r w:rsidR="00301857">
        <w:rPr>
          <w:rFonts w:cstheme="minorHAnsi"/>
          <w:lang w:val="en-AU"/>
        </w:rPr>
        <w:t>a significant domestic and international</w:t>
      </w:r>
      <w:r w:rsidR="005E4F87">
        <w:rPr>
          <w:rFonts w:cstheme="minorHAnsi"/>
          <w:lang w:val="en-AU"/>
        </w:rPr>
        <w:t xml:space="preserve"> tourism economy</w:t>
      </w:r>
      <w:r w:rsidR="00301857">
        <w:rPr>
          <w:rFonts w:cstheme="minorHAnsi"/>
          <w:lang w:val="en-AU"/>
        </w:rPr>
        <w:t xml:space="preserve"> (such as the Yarra valley, the Dandenong </w:t>
      </w:r>
      <w:r w:rsidR="00055195">
        <w:rPr>
          <w:rFonts w:cstheme="minorHAnsi"/>
          <w:lang w:val="en-AU"/>
        </w:rPr>
        <w:t>R</w:t>
      </w:r>
      <w:r w:rsidR="00301857">
        <w:rPr>
          <w:rFonts w:cstheme="minorHAnsi"/>
          <w:lang w:val="en-AU"/>
        </w:rPr>
        <w:t xml:space="preserve">anges </w:t>
      </w:r>
      <w:r w:rsidR="00055195">
        <w:rPr>
          <w:rFonts w:cstheme="minorHAnsi"/>
          <w:lang w:val="en-AU"/>
        </w:rPr>
        <w:t xml:space="preserve">and Lake Eildon). </w:t>
      </w:r>
    </w:p>
    <w:p w14:paraId="3ACF197C" w14:textId="36117580" w:rsidR="00055195" w:rsidRDefault="00055195" w:rsidP="00440E78">
      <w:pPr>
        <w:spacing w:after="0"/>
        <w:jc w:val="both"/>
        <w:rPr>
          <w:rFonts w:cstheme="minorHAnsi"/>
          <w:lang w:val="en-AU"/>
        </w:rPr>
      </w:pPr>
    </w:p>
    <w:p w14:paraId="5CA44DF6" w14:textId="77777777" w:rsidR="00887FD0" w:rsidRDefault="00887FD0" w:rsidP="00440E78">
      <w:pPr>
        <w:spacing w:after="0"/>
        <w:jc w:val="both"/>
        <w:rPr>
          <w:rFonts w:cstheme="minorHAnsi"/>
          <w:lang w:val="en-AU"/>
        </w:rPr>
      </w:pPr>
    </w:p>
    <w:p w14:paraId="5DEAA79A" w14:textId="77777777" w:rsidR="00887FD0" w:rsidRDefault="00887FD0" w:rsidP="00440E78">
      <w:pPr>
        <w:spacing w:after="0"/>
        <w:jc w:val="both"/>
        <w:rPr>
          <w:rFonts w:cstheme="minorHAnsi"/>
          <w:lang w:val="en-AU"/>
        </w:rPr>
      </w:pPr>
    </w:p>
    <w:p w14:paraId="56D585F7" w14:textId="5F66C810" w:rsidR="00055195" w:rsidRDefault="00F74E02" w:rsidP="00440E78">
      <w:pPr>
        <w:spacing w:after="0"/>
        <w:jc w:val="both"/>
        <w:rPr>
          <w:rFonts w:cstheme="minorHAnsi"/>
          <w:lang w:val="en-AU"/>
        </w:rPr>
      </w:pPr>
      <w:r>
        <w:rPr>
          <w:rFonts w:cstheme="minorHAnsi"/>
          <w:lang w:val="en-AU"/>
        </w:rPr>
        <w:t>D</w:t>
      </w:r>
      <w:r w:rsidR="008E3175">
        <w:rPr>
          <w:rFonts w:cstheme="minorHAnsi"/>
          <w:lang w:val="en-AU"/>
        </w:rPr>
        <w:t xml:space="preserve">ue to the impacts of COVID-19, the </w:t>
      </w:r>
      <w:r w:rsidR="00F10595">
        <w:rPr>
          <w:rFonts w:cstheme="minorHAnsi"/>
          <w:lang w:val="en-AU"/>
        </w:rPr>
        <w:t>ER</w:t>
      </w:r>
      <w:r w:rsidR="008E3175">
        <w:rPr>
          <w:rFonts w:cstheme="minorHAnsi"/>
          <w:lang w:val="en-AU"/>
        </w:rPr>
        <w:t xml:space="preserve"> experienced </w:t>
      </w:r>
      <w:r w:rsidR="00055195">
        <w:rPr>
          <w:rFonts w:cstheme="minorHAnsi"/>
          <w:lang w:val="en-AU"/>
        </w:rPr>
        <w:t xml:space="preserve">insecure employment </w:t>
      </w:r>
      <w:r w:rsidR="008E3175">
        <w:rPr>
          <w:rFonts w:cstheme="minorHAnsi"/>
          <w:lang w:val="en-AU"/>
        </w:rPr>
        <w:t>and</w:t>
      </w:r>
      <w:r w:rsidR="00055195">
        <w:rPr>
          <w:rFonts w:cstheme="minorHAnsi"/>
          <w:lang w:val="en-AU"/>
        </w:rPr>
        <w:t xml:space="preserve"> reduction</w:t>
      </w:r>
      <w:r w:rsidR="008E3175">
        <w:rPr>
          <w:rFonts w:cstheme="minorHAnsi"/>
          <w:lang w:val="en-AU"/>
        </w:rPr>
        <w:t>s</w:t>
      </w:r>
      <w:r w:rsidR="00055195">
        <w:rPr>
          <w:rFonts w:cstheme="minorHAnsi"/>
          <w:lang w:val="en-AU"/>
        </w:rPr>
        <w:t xml:space="preserve"> in working hours across many industr</w:t>
      </w:r>
      <w:r w:rsidR="008E3175">
        <w:rPr>
          <w:rFonts w:cstheme="minorHAnsi"/>
          <w:lang w:val="en-AU"/>
        </w:rPr>
        <w:t xml:space="preserve">ies, including hotels and accommodation, hospitality, </w:t>
      </w:r>
      <w:r w:rsidR="007653C6">
        <w:rPr>
          <w:rFonts w:cstheme="minorHAnsi"/>
          <w:lang w:val="en-AU"/>
        </w:rPr>
        <w:t>retail,</w:t>
      </w:r>
      <w:r w:rsidR="008E3175">
        <w:rPr>
          <w:rFonts w:cstheme="minorHAnsi"/>
          <w:lang w:val="en-AU"/>
        </w:rPr>
        <w:t xml:space="preserve"> and manufacturing.</w:t>
      </w:r>
      <w:r>
        <w:rPr>
          <w:rFonts w:cstheme="minorHAnsi"/>
          <w:lang w:val="en-AU"/>
        </w:rPr>
        <w:t xml:space="preserve"> This is consistent with the experiences across Victoria. </w:t>
      </w:r>
      <w:r w:rsidR="00233B58">
        <w:rPr>
          <w:rFonts w:cstheme="minorHAnsi"/>
          <w:lang w:val="en-AU"/>
        </w:rPr>
        <w:t xml:space="preserve">Females and </w:t>
      </w:r>
      <w:r w:rsidR="00077979">
        <w:rPr>
          <w:rFonts w:cstheme="minorHAnsi"/>
          <w:lang w:val="en-AU"/>
        </w:rPr>
        <w:t xml:space="preserve">youth </w:t>
      </w:r>
      <w:r w:rsidR="00233B58">
        <w:rPr>
          <w:rFonts w:cstheme="minorHAnsi"/>
          <w:lang w:val="en-AU"/>
        </w:rPr>
        <w:t xml:space="preserve">(who represent 51.9 per cent </w:t>
      </w:r>
      <w:r w:rsidR="00077979">
        <w:rPr>
          <w:rFonts w:cstheme="minorHAnsi"/>
          <w:lang w:val="en-AU"/>
        </w:rPr>
        <w:t xml:space="preserve">and 15.9 per cent </w:t>
      </w:r>
      <w:r w:rsidR="00233B58">
        <w:rPr>
          <w:rFonts w:cstheme="minorHAnsi"/>
          <w:lang w:val="en-AU"/>
        </w:rPr>
        <w:t xml:space="preserve">of jobactive caseloads in the </w:t>
      </w:r>
      <w:r w:rsidR="00F10595">
        <w:rPr>
          <w:rFonts w:cstheme="minorHAnsi"/>
          <w:lang w:val="en-AU"/>
        </w:rPr>
        <w:t>ER</w:t>
      </w:r>
      <w:r w:rsidR="00233B58">
        <w:rPr>
          <w:rFonts w:cstheme="minorHAnsi"/>
          <w:lang w:val="en-AU"/>
        </w:rPr>
        <w:t>)</w:t>
      </w:r>
      <w:r w:rsidR="00233B58">
        <w:rPr>
          <w:rStyle w:val="FootnoteReference"/>
          <w:rFonts w:cstheme="minorHAnsi"/>
          <w:lang w:val="en-AU"/>
        </w:rPr>
        <w:footnoteReference w:id="12"/>
      </w:r>
      <w:r w:rsidR="00233B58">
        <w:rPr>
          <w:rFonts w:cstheme="minorHAnsi"/>
          <w:lang w:val="en-AU"/>
        </w:rPr>
        <w:t xml:space="preserve"> are highly represented </w:t>
      </w:r>
      <w:r w:rsidR="00077979">
        <w:rPr>
          <w:rFonts w:cstheme="minorHAnsi"/>
          <w:lang w:val="en-AU"/>
        </w:rPr>
        <w:t>in the hospitality and retail sectors and are more likely to be impacted by casual and insecure work</w:t>
      </w:r>
      <w:r>
        <w:rPr>
          <w:rFonts w:cstheme="minorHAnsi"/>
          <w:lang w:val="en-AU"/>
        </w:rPr>
        <w:t>.</w:t>
      </w:r>
      <w:r w:rsidR="00856917">
        <w:rPr>
          <w:rStyle w:val="FootnoteReference"/>
          <w:rFonts w:cstheme="minorHAnsi"/>
          <w:lang w:val="en-AU"/>
        </w:rPr>
        <w:footnoteReference w:id="13"/>
      </w:r>
      <w:r w:rsidR="00077979">
        <w:rPr>
          <w:rFonts w:cstheme="minorHAnsi"/>
          <w:lang w:val="en-AU"/>
        </w:rPr>
        <w:t xml:space="preserve"> Further, d</w:t>
      </w:r>
      <w:r w:rsidR="008E3175">
        <w:rPr>
          <w:rFonts w:cstheme="minorHAnsi"/>
          <w:lang w:val="en-AU"/>
        </w:rPr>
        <w:t>isruptions to education and engagement (particularly for young people) was also noted across the ER, particularly during periods of lockdown, where face to face servicing was unavailable.</w:t>
      </w:r>
    </w:p>
    <w:p w14:paraId="2B07D25D" w14:textId="77777777" w:rsidR="00440E78" w:rsidRDefault="00440E78" w:rsidP="00440E78">
      <w:pPr>
        <w:spacing w:after="0"/>
        <w:jc w:val="both"/>
        <w:rPr>
          <w:rFonts w:cstheme="minorHAnsi"/>
          <w:lang w:val="en-AU"/>
        </w:rPr>
      </w:pPr>
    </w:p>
    <w:p w14:paraId="17DB9AEE" w14:textId="4AC106E9" w:rsidR="006B7FAA" w:rsidRDefault="006B7FAA" w:rsidP="00440E78">
      <w:pPr>
        <w:spacing w:after="0"/>
        <w:jc w:val="both"/>
        <w:rPr>
          <w:rFonts w:cstheme="minorHAnsi"/>
          <w:lang w:val="en-AU"/>
        </w:rPr>
      </w:pPr>
      <w:r>
        <w:rPr>
          <w:rFonts w:cstheme="minorHAnsi"/>
          <w:lang w:val="en-AU"/>
        </w:rPr>
        <w:t>Given the significant impacts of COVID-19</w:t>
      </w:r>
      <w:r w:rsidR="00B459B9">
        <w:rPr>
          <w:rFonts w:cstheme="minorHAnsi"/>
          <w:lang w:val="en-AU"/>
        </w:rPr>
        <w:t>,</w:t>
      </w:r>
      <w:r>
        <w:rPr>
          <w:rFonts w:cstheme="minorHAnsi"/>
          <w:lang w:val="en-AU"/>
        </w:rPr>
        <w:t xml:space="preserve"> </w:t>
      </w:r>
      <w:r w:rsidR="00077979">
        <w:rPr>
          <w:rFonts w:cstheme="minorHAnsi"/>
          <w:lang w:val="en-AU"/>
        </w:rPr>
        <w:t>the Australian</w:t>
      </w:r>
      <w:r w:rsidR="00A54855">
        <w:rPr>
          <w:rStyle w:val="FootnoteReference"/>
          <w:rFonts w:cstheme="minorHAnsi"/>
          <w:lang w:val="en-AU"/>
        </w:rPr>
        <w:footnoteReference w:id="14"/>
      </w:r>
      <w:r w:rsidR="00077979">
        <w:rPr>
          <w:rFonts w:cstheme="minorHAnsi"/>
          <w:lang w:val="en-AU"/>
        </w:rPr>
        <w:t xml:space="preserve"> and Victorian</w:t>
      </w:r>
      <w:r w:rsidR="00A54855">
        <w:rPr>
          <w:rStyle w:val="FootnoteReference"/>
          <w:rFonts w:cstheme="minorHAnsi"/>
          <w:lang w:val="en-AU"/>
        </w:rPr>
        <w:footnoteReference w:id="15"/>
      </w:r>
      <w:r w:rsidR="00077979">
        <w:rPr>
          <w:rFonts w:cstheme="minorHAnsi"/>
          <w:lang w:val="en-AU"/>
        </w:rPr>
        <w:t xml:space="preserve"> Governments initiated a range of budget measures to support recovery.  In addition, </w:t>
      </w:r>
      <w:r>
        <w:rPr>
          <w:rFonts w:cstheme="minorHAnsi"/>
          <w:lang w:val="en-AU"/>
        </w:rPr>
        <w:t xml:space="preserve">across the </w:t>
      </w:r>
      <w:r w:rsidR="00F10595">
        <w:rPr>
          <w:rFonts w:cstheme="minorHAnsi"/>
          <w:lang w:val="en-AU"/>
        </w:rPr>
        <w:t>ER</w:t>
      </w:r>
      <w:r>
        <w:rPr>
          <w:rFonts w:cstheme="minorHAnsi"/>
          <w:lang w:val="en-AU"/>
        </w:rPr>
        <w:t xml:space="preserve">, </w:t>
      </w:r>
      <w:r w:rsidR="007653C6">
        <w:rPr>
          <w:rFonts w:cstheme="minorHAnsi"/>
          <w:lang w:val="en-AU"/>
        </w:rPr>
        <w:t>several</w:t>
      </w:r>
      <w:r>
        <w:rPr>
          <w:rFonts w:cstheme="minorHAnsi"/>
          <w:lang w:val="en-AU"/>
        </w:rPr>
        <w:t xml:space="preserve"> Local Councils introduced measures to mitigate some of the challenges that COVID-19 presented</w:t>
      </w:r>
      <w:r w:rsidR="00077979">
        <w:rPr>
          <w:rFonts w:cstheme="minorHAnsi"/>
          <w:lang w:val="en-AU"/>
        </w:rPr>
        <w:t xml:space="preserve"> at a local level</w:t>
      </w:r>
      <w:r w:rsidR="00B459B9">
        <w:rPr>
          <w:rFonts w:cstheme="minorHAnsi"/>
          <w:lang w:val="en-AU"/>
        </w:rPr>
        <w:t>. These</w:t>
      </w:r>
      <w:r>
        <w:rPr>
          <w:rFonts w:cstheme="minorHAnsi"/>
          <w:lang w:val="en-AU"/>
        </w:rPr>
        <w:t xml:space="preserve"> </w:t>
      </w:r>
      <w:r w:rsidR="00B459B9">
        <w:rPr>
          <w:rFonts w:cstheme="minorHAnsi"/>
          <w:lang w:val="en-AU"/>
        </w:rPr>
        <w:t xml:space="preserve">range </w:t>
      </w:r>
      <w:r w:rsidR="005E54C9">
        <w:rPr>
          <w:rFonts w:cstheme="minorHAnsi"/>
          <w:lang w:val="en-AU"/>
        </w:rPr>
        <w:t>from Community Support Grants to Community and Local Business Resilience and Recovery Packages.</w:t>
      </w:r>
      <w:r w:rsidR="00077979">
        <w:rPr>
          <w:rFonts w:cstheme="minorHAnsi"/>
          <w:lang w:val="en-AU"/>
        </w:rPr>
        <w:t xml:space="preserve">  Strong relationships with Key </w:t>
      </w:r>
      <w:r w:rsidR="00B459B9">
        <w:rPr>
          <w:rFonts w:cstheme="minorHAnsi"/>
          <w:lang w:val="en-AU"/>
        </w:rPr>
        <w:t>local s</w:t>
      </w:r>
      <w:r w:rsidR="00077979">
        <w:rPr>
          <w:rFonts w:cstheme="minorHAnsi"/>
          <w:lang w:val="en-AU"/>
        </w:rPr>
        <w:t xml:space="preserve">takeholders in the </w:t>
      </w:r>
      <w:r w:rsidR="00F10595">
        <w:rPr>
          <w:rFonts w:cstheme="minorHAnsi"/>
          <w:lang w:val="en-AU"/>
        </w:rPr>
        <w:t>ER</w:t>
      </w:r>
      <w:r w:rsidR="00077979">
        <w:rPr>
          <w:rFonts w:cstheme="minorHAnsi"/>
          <w:lang w:val="en-AU"/>
        </w:rPr>
        <w:t xml:space="preserve"> would be beneficial to </w:t>
      </w:r>
      <w:r w:rsidR="00A54855">
        <w:rPr>
          <w:rFonts w:cstheme="minorHAnsi"/>
          <w:lang w:val="en-AU"/>
        </w:rPr>
        <w:t>supporting recovery.</w:t>
      </w:r>
    </w:p>
    <w:p w14:paraId="4B615A34" w14:textId="77777777" w:rsidR="00CB2020" w:rsidRDefault="00CB2020" w:rsidP="00440E78">
      <w:pPr>
        <w:spacing w:after="0"/>
        <w:jc w:val="both"/>
        <w:rPr>
          <w:rFonts w:cstheme="minorHAnsi"/>
          <w:lang w:val="en-AU"/>
        </w:rPr>
      </w:pPr>
    </w:p>
    <w:p w14:paraId="09C9EE20" w14:textId="750F033B" w:rsidR="006C27E6" w:rsidRPr="00F93930" w:rsidRDefault="006B7FAA" w:rsidP="007653C6">
      <w:pPr>
        <w:spacing w:after="0"/>
        <w:jc w:val="both"/>
        <w:rPr>
          <w:highlight w:val="green"/>
        </w:rPr>
      </w:pPr>
      <w:r>
        <w:rPr>
          <w:rFonts w:cstheme="minorHAnsi"/>
          <w:lang w:val="en-AU"/>
        </w:rPr>
        <w:t xml:space="preserve"> </w:t>
      </w:r>
    </w:p>
    <w:p w14:paraId="22C0F148" w14:textId="661DF773" w:rsidR="006C27E6" w:rsidRDefault="006C27E6" w:rsidP="00C46B88">
      <w:pPr>
        <w:spacing w:after="0"/>
        <w:jc w:val="both"/>
        <w:rPr>
          <w:rFonts w:cstheme="minorHAnsi"/>
          <w:sz w:val="32"/>
          <w:szCs w:val="32"/>
        </w:rPr>
      </w:pPr>
      <w:bookmarkStart w:id="18" w:name="_Toc78461097"/>
      <w:r w:rsidRPr="00C46B88">
        <w:rPr>
          <w:rStyle w:val="Heading1Char"/>
          <w:rFonts w:asciiTheme="minorHAnsi" w:eastAsiaTheme="minorEastAsia" w:hAnsiTheme="minorHAnsi" w:cstheme="minorHAnsi"/>
          <w:sz w:val="32"/>
          <w:szCs w:val="32"/>
        </w:rPr>
        <w:t>Major Employing Industries</w:t>
      </w:r>
      <w:bookmarkEnd w:id="18"/>
      <w:r w:rsidRPr="00EC3D5F">
        <w:rPr>
          <w:rFonts w:cstheme="minorHAnsi"/>
          <w:sz w:val="32"/>
          <w:szCs w:val="32"/>
        </w:rPr>
        <w:t xml:space="preserve"> </w:t>
      </w:r>
    </w:p>
    <w:p w14:paraId="5EF51EB6" w14:textId="0236E83B" w:rsidR="006C27E6" w:rsidRPr="00F93930" w:rsidRDefault="006C27E6" w:rsidP="00C03979">
      <w:pPr>
        <w:pStyle w:val="NoSpacing"/>
        <w:spacing w:line="276" w:lineRule="auto"/>
        <w:jc w:val="both"/>
        <w:rPr>
          <w:rFonts w:cstheme="minorHAnsi"/>
          <w:lang w:val="en-AU"/>
        </w:rPr>
      </w:pPr>
      <w:r w:rsidRPr="00F93930">
        <w:rPr>
          <w:rFonts w:cstheme="minorHAnsi"/>
          <w:lang w:val="en-AU"/>
        </w:rPr>
        <w:t xml:space="preserve">Health Care and Social Assistance, Construction, Retail Trade, </w:t>
      </w:r>
      <w:r w:rsidR="008F1A49" w:rsidRPr="00F93930">
        <w:rPr>
          <w:rFonts w:cstheme="minorHAnsi"/>
          <w:lang w:val="en-AU"/>
        </w:rPr>
        <w:t>Manufacturing</w:t>
      </w:r>
      <w:r w:rsidR="008F1A49">
        <w:rPr>
          <w:rFonts w:cstheme="minorHAnsi"/>
          <w:lang w:val="en-AU"/>
        </w:rPr>
        <w:t xml:space="preserve">, </w:t>
      </w:r>
      <w:r w:rsidRPr="00F93930">
        <w:rPr>
          <w:rFonts w:cstheme="minorHAnsi"/>
          <w:lang w:val="en-AU"/>
        </w:rPr>
        <w:t xml:space="preserve">Education and Training, </w:t>
      </w:r>
      <w:r w:rsidR="00536C1D">
        <w:rPr>
          <w:rFonts w:cstheme="minorHAnsi"/>
          <w:lang w:val="en-AU"/>
        </w:rPr>
        <w:t xml:space="preserve">and Professional, Scientific and Technical Services </w:t>
      </w:r>
      <w:r w:rsidR="00F8249E">
        <w:rPr>
          <w:rFonts w:cstheme="minorHAnsi"/>
          <w:lang w:val="en-AU"/>
        </w:rPr>
        <w:t xml:space="preserve">are the top </w:t>
      </w:r>
      <w:r w:rsidR="00536C1D">
        <w:rPr>
          <w:rFonts w:cstheme="minorHAnsi"/>
          <w:lang w:val="en-AU"/>
        </w:rPr>
        <w:t xml:space="preserve">six </w:t>
      </w:r>
      <w:r w:rsidR="00F8249E">
        <w:rPr>
          <w:rFonts w:cstheme="minorHAnsi"/>
          <w:lang w:val="en-AU"/>
        </w:rPr>
        <w:t>employing Industries in the North Eastern Melbourne ER</w:t>
      </w:r>
      <w:r w:rsidR="00707F09">
        <w:rPr>
          <w:rFonts w:cstheme="minorHAnsi"/>
          <w:lang w:val="en-AU"/>
        </w:rPr>
        <w:t>.</w:t>
      </w:r>
      <w:r w:rsidR="00536C1D">
        <w:rPr>
          <w:rStyle w:val="FootnoteReference"/>
          <w:rFonts w:cstheme="minorHAnsi"/>
          <w:lang w:val="en-AU"/>
        </w:rPr>
        <w:footnoteReference w:id="16"/>
      </w:r>
      <w:r w:rsidR="00E31537">
        <w:rPr>
          <w:rFonts w:cstheme="minorHAnsi"/>
          <w:lang w:val="en-AU"/>
        </w:rPr>
        <w:t xml:space="preserve"> </w:t>
      </w:r>
      <w:r w:rsidR="00091D68">
        <w:rPr>
          <w:rFonts w:cstheme="minorHAnsi"/>
          <w:lang w:val="en-AU"/>
        </w:rPr>
        <w:t>These industries offer a range of employment opportunities</w:t>
      </w:r>
      <w:r w:rsidR="008B1E2B">
        <w:rPr>
          <w:rFonts w:cstheme="minorHAnsi"/>
          <w:lang w:val="en-AU"/>
        </w:rPr>
        <w:t xml:space="preserve"> across</w:t>
      </w:r>
      <w:r w:rsidR="00091D68">
        <w:rPr>
          <w:rFonts w:cstheme="minorHAnsi"/>
          <w:lang w:val="en-AU"/>
        </w:rPr>
        <w:t xml:space="preserve"> all skill and educational levels</w:t>
      </w:r>
      <w:r w:rsidR="008B1E2B">
        <w:rPr>
          <w:rFonts w:cstheme="minorHAnsi"/>
          <w:lang w:val="en-AU"/>
        </w:rPr>
        <w:t xml:space="preserve">.  </w:t>
      </w:r>
      <w:r w:rsidR="008B1E2B" w:rsidRPr="00F93930">
        <w:rPr>
          <w:rFonts w:cstheme="minorHAnsi"/>
          <w:lang w:val="en-AU"/>
        </w:rPr>
        <w:t>Health Care and Social Assistance, Construction, Retail Trade, and Manufacturing</w:t>
      </w:r>
      <w:r w:rsidR="008B1E2B">
        <w:rPr>
          <w:rFonts w:cstheme="minorHAnsi"/>
          <w:lang w:val="en-AU"/>
        </w:rPr>
        <w:t xml:space="preserve"> in particular offer good potential for </w:t>
      </w:r>
      <w:r w:rsidR="00091D68">
        <w:rPr>
          <w:rFonts w:cstheme="minorHAnsi"/>
          <w:lang w:val="en-AU"/>
        </w:rPr>
        <w:t xml:space="preserve">entry level roles, </w:t>
      </w:r>
      <w:r w:rsidR="00707F09">
        <w:rPr>
          <w:rFonts w:cstheme="minorHAnsi"/>
          <w:lang w:val="en-AU"/>
        </w:rPr>
        <w:t xml:space="preserve">and </w:t>
      </w:r>
      <w:r w:rsidR="00D87602">
        <w:rPr>
          <w:rFonts w:cstheme="minorHAnsi"/>
          <w:lang w:val="en-AU"/>
        </w:rPr>
        <w:t>t</w:t>
      </w:r>
      <w:r w:rsidR="00091D68">
        <w:rPr>
          <w:rFonts w:cstheme="minorHAnsi"/>
          <w:lang w:val="en-AU"/>
        </w:rPr>
        <w:t xml:space="preserve">raineeships and </w:t>
      </w:r>
      <w:r w:rsidR="00D87602">
        <w:rPr>
          <w:rFonts w:cstheme="minorHAnsi"/>
          <w:lang w:val="en-AU"/>
        </w:rPr>
        <w:t>a</w:t>
      </w:r>
      <w:r w:rsidR="00091D68">
        <w:rPr>
          <w:rFonts w:cstheme="minorHAnsi"/>
          <w:lang w:val="en-AU"/>
        </w:rPr>
        <w:t>pprenticeships</w:t>
      </w:r>
      <w:r w:rsidR="00707F09">
        <w:rPr>
          <w:rFonts w:cstheme="minorHAnsi"/>
          <w:lang w:val="en-AU"/>
        </w:rPr>
        <w:t xml:space="preserve">, </w:t>
      </w:r>
      <w:r w:rsidR="00091D68">
        <w:rPr>
          <w:rFonts w:cstheme="minorHAnsi"/>
          <w:lang w:val="en-AU"/>
        </w:rPr>
        <w:t xml:space="preserve">which </w:t>
      </w:r>
      <w:r w:rsidR="008B1E2B">
        <w:rPr>
          <w:rFonts w:cstheme="minorHAnsi"/>
          <w:lang w:val="en-AU"/>
        </w:rPr>
        <w:t xml:space="preserve">are well </w:t>
      </w:r>
      <w:r w:rsidR="00091D68">
        <w:rPr>
          <w:rFonts w:cstheme="minorHAnsi"/>
          <w:lang w:val="en-AU"/>
        </w:rPr>
        <w:t>suited to job seekers on employment services caseloads.</w:t>
      </w:r>
      <w:r w:rsidR="0082248E">
        <w:rPr>
          <w:rFonts w:cstheme="minorHAnsi"/>
          <w:lang w:val="en-AU"/>
        </w:rPr>
        <w:t xml:space="preserve"> </w:t>
      </w:r>
    </w:p>
    <w:p w14:paraId="7CA817DC" w14:textId="77777777" w:rsidR="006C27E6" w:rsidRPr="00F93930" w:rsidRDefault="006C27E6" w:rsidP="00C03979">
      <w:pPr>
        <w:pStyle w:val="NoSpacing"/>
        <w:spacing w:line="276" w:lineRule="auto"/>
        <w:jc w:val="both"/>
        <w:rPr>
          <w:rFonts w:cstheme="minorHAnsi"/>
          <w:lang w:val="en-AU"/>
        </w:rPr>
      </w:pPr>
      <w:r w:rsidRPr="00F93930">
        <w:rPr>
          <w:rFonts w:cstheme="minorHAnsi"/>
          <w:lang w:val="en-AU"/>
        </w:rPr>
        <w:t xml:space="preserve"> </w:t>
      </w:r>
    </w:p>
    <w:p w14:paraId="57A85AC4" w14:textId="7680CAC1" w:rsidR="006C27E6" w:rsidRDefault="00E31537" w:rsidP="00C03979">
      <w:pPr>
        <w:pStyle w:val="NoSpacing"/>
        <w:spacing w:line="276" w:lineRule="auto"/>
        <w:jc w:val="both"/>
        <w:rPr>
          <w:rFonts w:cstheme="minorHAnsi"/>
        </w:rPr>
      </w:pPr>
      <w:bookmarkStart w:id="19" w:name="_Hlk75270064"/>
      <w:r>
        <w:rPr>
          <w:rFonts w:cstheme="minorHAnsi"/>
          <w:lang w:val="en-AU"/>
        </w:rPr>
        <w:t xml:space="preserve">The </w:t>
      </w:r>
      <w:r w:rsidR="006C27E6" w:rsidRPr="00F93930">
        <w:rPr>
          <w:rFonts w:cstheme="minorHAnsi"/>
          <w:lang w:val="en-AU"/>
        </w:rPr>
        <w:t xml:space="preserve">Health Care and Social Assistance </w:t>
      </w:r>
      <w:bookmarkEnd w:id="19"/>
      <w:r w:rsidR="006C27E6" w:rsidRPr="00F93930">
        <w:rPr>
          <w:rFonts w:cstheme="minorHAnsi"/>
          <w:lang w:val="en-AU"/>
        </w:rPr>
        <w:t>industry is the largest employing industry in the North Eastern Melbourne ER with 7</w:t>
      </w:r>
      <w:r w:rsidR="00E57AFD">
        <w:rPr>
          <w:rFonts w:cstheme="minorHAnsi"/>
          <w:lang w:val="en-AU"/>
        </w:rPr>
        <w:t>5</w:t>
      </w:r>
      <w:r w:rsidR="006C27E6" w:rsidRPr="00F93930">
        <w:rPr>
          <w:rFonts w:cstheme="minorHAnsi"/>
          <w:lang w:val="en-AU"/>
        </w:rPr>
        <w:t>,000 persons employed</w:t>
      </w:r>
      <w:r w:rsidR="00B459B9">
        <w:rPr>
          <w:rFonts w:cstheme="minorHAnsi"/>
          <w:lang w:val="en-AU"/>
        </w:rPr>
        <w:t>,</w:t>
      </w:r>
      <w:r>
        <w:rPr>
          <w:rFonts w:cstheme="minorHAnsi"/>
          <w:lang w:val="en-AU"/>
        </w:rPr>
        <w:t xml:space="preserve"> and an anticipated growth</w:t>
      </w:r>
      <w:r w:rsidR="006C27E6" w:rsidRPr="00F93930">
        <w:rPr>
          <w:rFonts w:cstheme="minorHAnsi"/>
          <w:lang w:val="en-AU"/>
        </w:rPr>
        <w:t xml:space="preserve"> </w:t>
      </w:r>
      <w:r>
        <w:rPr>
          <w:rFonts w:cstheme="minorHAnsi"/>
          <w:lang w:val="en-AU"/>
        </w:rPr>
        <w:t xml:space="preserve">of </w:t>
      </w:r>
      <w:r w:rsidR="006C27E6" w:rsidRPr="00F93930">
        <w:rPr>
          <w:rFonts w:cstheme="minorHAnsi"/>
          <w:lang w:val="en-AU"/>
        </w:rPr>
        <w:t>17.3</w:t>
      </w:r>
      <w:r w:rsidR="006C27E6">
        <w:rPr>
          <w:rFonts w:cstheme="minorHAnsi"/>
          <w:lang w:val="en-AU"/>
        </w:rPr>
        <w:t xml:space="preserve"> per cent</w:t>
      </w:r>
      <w:r w:rsidR="006C27E6" w:rsidRPr="00F93930">
        <w:rPr>
          <w:rFonts w:cstheme="minorHAnsi"/>
          <w:lang w:val="en-AU"/>
        </w:rPr>
        <w:t xml:space="preserve"> </w:t>
      </w:r>
      <w:r w:rsidR="00D8253E">
        <w:rPr>
          <w:rFonts w:cstheme="minorHAnsi"/>
          <w:lang w:val="en-AU"/>
        </w:rPr>
        <w:t xml:space="preserve">to May </w:t>
      </w:r>
      <w:r w:rsidR="006C27E6" w:rsidRPr="00F93930">
        <w:rPr>
          <w:rFonts w:cstheme="minorHAnsi"/>
          <w:lang w:val="en-AU"/>
        </w:rPr>
        <w:t>2024</w:t>
      </w:r>
      <w:r w:rsidR="00707F09">
        <w:rPr>
          <w:rFonts w:cstheme="minorHAnsi"/>
          <w:lang w:val="en-AU"/>
        </w:rPr>
        <w:t>.</w:t>
      </w:r>
      <w:r w:rsidR="006E750E">
        <w:rPr>
          <w:rStyle w:val="FootnoteReference"/>
          <w:rFonts w:cstheme="minorHAnsi"/>
          <w:lang w:val="en-AU"/>
        </w:rPr>
        <w:footnoteReference w:id="17"/>
      </w:r>
      <w:r w:rsidR="006C27E6" w:rsidRPr="00F93930">
        <w:rPr>
          <w:rFonts w:cstheme="minorHAnsi"/>
          <w:lang w:val="en-AU"/>
        </w:rPr>
        <w:t xml:space="preserve"> </w:t>
      </w:r>
      <w:r w:rsidR="006C27E6" w:rsidRPr="00F93930">
        <w:rPr>
          <w:rFonts w:cstheme="minorHAnsi"/>
        </w:rPr>
        <w:t xml:space="preserve">This growth is supported by continued </w:t>
      </w:r>
      <w:r>
        <w:rPr>
          <w:rFonts w:cstheme="minorHAnsi"/>
        </w:rPr>
        <w:t xml:space="preserve">Commonwealth and State </w:t>
      </w:r>
      <w:r w:rsidR="006C27E6" w:rsidRPr="00F93930">
        <w:rPr>
          <w:rFonts w:cstheme="minorHAnsi"/>
        </w:rPr>
        <w:t>investment in public health care</w:t>
      </w:r>
      <w:r w:rsidR="00DE5867">
        <w:rPr>
          <w:rFonts w:cstheme="minorHAnsi"/>
        </w:rPr>
        <w:t>.</w:t>
      </w:r>
      <w:r w:rsidR="006C27E6" w:rsidRPr="00F93930">
        <w:rPr>
          <w:rFonts w:cstheme="minorHAnsi"/>
        </w:rPr>
        <w:t xml:space="preserve"> </w:t>
      </w:r>
      <w:r w:rsidR="00B459B9">
        <w:rPr>
          <w:rFonts w:cstheme="minorHAnsi"/>
        </w:rPr>
        <w:t>An i</w:t>
      </w:r>
      <w:r w:rsidR="006C27E6" w:rsidRPr="00F93930">
        <w:rPr>
          <w:rFonts w:cstheme="minorHAnsi"/>
        </w:rPr>
        <w:t>ncreasing demand for childcare</w:t>
      </w:r>
      <w:r w:rsidR="00DE5867">
        <w:rPr>
          <w:rFonts w:cstheme="minorHAnsi"/>
        </w:rPr>
        <w:t>,</w:t>
      </w:r>
      <w:r w:rsidR="006C27E6" w:rsidRPr="00F93930">
        <w:rPr>
          <w:rFonts w:cstheme="minorHAnsi"/>
        </w:rPr>
        <w:t xml:space="preserve"> </w:t>
      </w:r>
      <w:r>
        <w:rPr>
          <w:rFonts w:cstheme="minorHAnsi"/>
        </w:rPr>
        <w:t xml:space="preserve">the impacts of </w:t>
      </w:r>
      <w:r w:rsidR="006C27E6" w:rsidRPr="00F93930">
        <w:rPr>
          <w:rFonts w:cstheme="minorHAnsi"/>
        </w:rPr>
        <w:t>an ageing population</w:t>
      </w:r>
      <w:r w:rsidR="00DE5867">
        <w:rPr>
          <w:rFonts w:cstheme="minorHAnsi"/>
        </w:rPr>
        <w:t xml:space="preserve">, and </w:t>
      </w:r>
      <w:r w:rsidR="00DE5867" w:rsidRPr="00F93930">
        <w:rPr>
          <w:rFonts w:cstheme="minorHAnsi"/>
        </w:rPr>
        <w:t>ongoing demand generated by the National Disability Insurance Scheme</w:t>
      </w:r>
      <w:r w:rsidR="006C27E6" w:rsidRPr="00F93930" w:rsidDel="001C55C8">
        <w:rPr>
          <w:rFonts w:cstheme="minorHAnsi"/>
        </w:rPr>
        <w:t xml:space="preserve"> </w:t>
      </w:r>
      <w:r w:rsidR="006C27E6" w:rsidRPr="00F93930">
        <w:rPr>
          <w:rFonts w:cstheme="minorHAnsi"/>
        </w:rPr>
        <w:t>also contribute to this strong projected growth</w:t>
      </w:r>
      <w:r w:rsidR="00DE5867">
        <w:rPr>
          <w:rFonts w:cstheme="minorHAnsi"/>
        </w:rPr>
        <w:t xml:space="preserve">.  </w:t>
      </w:r>
      <w:r w:rsidR="00707F09">
        <w:rPr>
          <w:rFonts w:cstheme="minorHAnsi"/>
        </w:rPr>
        <w:t>E</w:t>
      </w:r>
      <w:r w:rsidR="006C27E6" w:rsidRPr="00F93930">
        <w:rPr>
          <w:rFonts w:cstheme="minorHAnsi"/>
        </w:rPr>
        <w:t xml:space="preserve">mployment </w:t>
      </w:r>
      <w:r w:rsidR="00DE5867">
        <w:rPr>
          <w:rFonts w:cstheme="minorHAnsi"/>
        </w:rPr>
        <w:t xml:space="preserve">within </w:t>
      </w:r>
      <w:r w:rsidR="006C27E6" w:rsidRPr="00F93930">
        <w:rPr>
          <w:rFonts w:cstheme="minorHAnsi"/>
        </w:rPr>
        <w:t xml:space="preserve">this industry </w:t>
      </w:r>
      <w:r w:rsidR="00DE5867" w:rsidRPr="00F93930">
        <w:rPr>
          <w:rFonts w:cstheme="minorHAnsi"/>
        </w:rPr>
        <w:t>ha</w:t>
      </w:r>
      <w:r w:rsidR="00DE5867">
        <w:rPr>
          <w:rFonts w:cstheme="minorHAnsi"/>
        </w:rPr>
        <w:t>s</w:t>
      </w:r>
      <w:r w:rsidR="00DE5867" w:rsidRPr="00F93930">
        <w:rPr>
          <w:rFonts w:cstheme="minorHAnsi"/>
        </w:rPr>
        <w:t xml:space="preserve"> </w:t>
      </w:r>
      <w:r w:rsidR="006C27E6" w:rsidRPr="00F93930">
        <w:rPr>
          <w:rFonts w:cstheme="minorHAnsi"/>
        </w:rPr>
        <w:t xml:space="preserve">been relatively resilient to the impacts of </w:t>
      </w:r>
      <w:r w:rsidR="006C27E6" w:rsidRPr="008F1A49">
        <w:rPr>
          <w:rFonts w:cstheme="minorHAnsi"/>
        </w:rPr>
        <w:t>COVID-19</w:t>
      </w:r>
      <w:r w:rsidR="00707F09">
        <w:rPr>
          <w:rFonts w:cstheme="minorHAnsi"/>
        </w:rPr>
        <w:t>.</w:t>
      </w:r>
      <w:r w:rsidR="006C27E6" w:rsidRPr="008F1A49">
        <w:rPr>
          <w:rStyle w:val="FootnoteReference"/>
          <w:rFonts w:cstheme="minorHAnsi"/>
        </w:rPr>
        <w:footnoteReference w:id="18"/>
      </w:r>
      <w:r w:rsidR="006C27E6" w:rsidRPr="008F1A49">
        <w:rPr>
          <w:rFonts w:cstheme="minorHAnsi"/>
        </w:rPr>
        <w:t xml:space="preserve">  </w:t>
      </w:r>
    </w:p>
    <w:p w14:paraId="70AEF72E" w14:textId="77777777" w:rsidR="006C27E6" w:rsidRPr="00F93930" w:rsidRDefault="006C27E6" w:rsidP="00775872">
      <w:pPr>
        <w:pStyle w:val="NoSpacing"/>
        <w:spacing w:line="276" w:lineRule="auto"/>
        <w:jc w:val="both"/>
        <w:rPr>
          <w:rFonts w:cstheme="minorHAnsi"/>
        </w:rPr>
      </w:pPr>
    </w:p>
    <w:p w14:paraId="034D81B9" w14:textId="4022C9FE" w:rsidR="006C27E6" w:rsidRPr="00775872" w:rsidRDefault="006C27E6" w:rsidP="00775872">
      <w:pPr>
        <w:pStyle w:val="NoSpacing"/>
        <w:spacing w:line="276" w:lineRule="auto"/>
        <w:jc w:val="both"/>
        <w:rPr>
          <w:rFonts w:cstheme="minorHAnsi"/>
        </w:rPr>
      </w:pPr>
      <w:r w:rsidRPr="00775872">
        <w:rPr>
          <w:rFonts w:cstheme="minorHAnsi"/>
        </w:rPr>
        <w:t xml:space="preserve">Major employers within the Health Care and Social Assistance industry include Austin Health, </w:t>
      </w:r>
      <w:r w:rsidR="002C04E3" w:rsidRPr="00775872">
        <w:rPr>
          <w:rFonts w:cstheme="minorHAnsi"/>
        </w:rPr>
        <w:t xml:space="preserve">the </w:t>
      </w:r>
      <w:r w:rsidRPr="00775872">
        <w:rPr>
          <w:rFonts w:cstheme="minorHAnsi"/>
        </w:rPr>
        <w:t xml:space="preserve">Northern Hospital and a range of disability and aged care services and facilities across the </w:t>
      </w:r>
      <w:r w:rsidR="00F10595">
        <w:rPr>
          <w:rFonts w:cstheme="minorHAnsi"/>
        </w:rPr>
        <w:t>ER</w:t>
      </w:r>
      <w:r w:rsidRPr="00775872">
        <w:rPr>
          <w:rFonts w:cstheme="minorHAnsi"/>
        </w:rPr>
        <w:t>.</w:t>
      </w:r>
      <w:r w:rsidR="00091D68" w:rsidRPr="00775872">
        <w:rPr>
          <w:rFonts w:cstheme="minorHAnsi"/>
        </w:rPr>
        <w:t xml:space="preserve"> </w:t>
      </w:r>
    </w:p>
    <w:p w14:paraId="5C0EFFBF" w14:textId="77777777" w:rsidR="002C04E3" w:rsidRPr="00775872" w:rsidRDefault="002C04E3" w:rsidP="00775872">
      <w:pPr>
        <w:pStyle w:val="NoSpacing"/>
        <w:spacing w:line="276" w:lineRule="auto"/>
        <w:jc w:val="both"/>
        <w:rPr>
          <w:rFonts w:cstheme="minorHAnsi"/>
        </w:rPr>
      </w:pPr>
    </w:p>
    <w:p w14:paraId="5FF1088F" w14:textId="77777777" w:rsidR="00887FD0" w:rsidRDefault="00887FD0" w:rsidP="00775872">
      <w:pPr>
        <w:pStyle w:val="NoSpacing"/>
        <w:spacing w:line="276" w:lineRule="auto"/>
        <w:jc w:val="both"/>
        <w:rPr>
          <w:rFonts w:cstheme="minorHAnsi"/>
        </w:rPr>
      </w:pPr>
    </w:p>
    <w:p w14:paraId="52849DE7" w14:textId="343F6506" w:rsidR="00DC0BAC" w:rsidRDefault="006C27E6" w:rsidP="00775872">
      <w:pPr>
        <w:pStyle w:val="NoSpacing"/>
        <w:spacing w:line="276" w:lineRule="auto"/>
        <w:jc w:val="both"/>
        <w:rPr>
          <w:rFonts w:cstheme="minorHAnsi"/>
        </w:rPr>
      </w:pPr>
      <w:r w:rsidRPr="00F93930">
        <w:rPr>
          <w:rFonts w:cstheme="minorHAnsi"/>
        </w:rPr>
        <w:lastRenderedPageBreak/>
        <w:t>Following several years of subdued growth, employment in construction has increased over the last few years</w:t>
      </w:r>
      <w:r w:rsidR="002C04E3">
        <w:rPr>
          <w:rFonts w:cstheme="minorHAnsi"/>
        </w:rPr>
        <w:t>.  This is</w:t>
      </w:r>
      <w:r w:rsidRPr="00F93930">
        <w:rPr>
          <w:rFonts w:cstheme="minorHAnsi"/>
        </w:rPr>
        <w:t xml:space="preserve"> against a backdrop of a strong rise in building approvals and historically low interest rates, both of which are likely to continue to support growth in the industry.  Government stimulus </w:t>
      </w:r>
      <w:r w:rsidR="00317810">
        <w:rPr>
          <w:rFonts w:cstheme="minorHAnsi"/>
        </w:rPr>
        <w:t xml:space="preserve"> </w:t>
      </w:r>
      <w:r w:rsidRPr="00F93930">
        <w:rPr>
          <w:rFonts w:cstheme="minorHAnsi"/>
        </w:rPr>
        <w:t>measures such as the Australian Government’s Home</w:t>
      </w:r>
      <w:r w:rsidR="00FA5F6C">
        <w:rPr>
          <w:rFonts w:cstheme="minorHAnsi"/>
        </w:rPr>
        <w:t xml:space="preserve"> </w:t>
      </w:r>
      <w:r w:rsidRPr="00F93930">
        <w:rPr>
          <w:rFonts w:cstheme="minorHAnsi"/>
        </w:rPr>
        <w:t xml:space="preserve">Builder initiative, will continue to support the expected substantial growth in </w:t>
      </w:r>
      <w:r>
        <w:rPr>
          <w:rFonts w:cstheme="minorHAnsi"/>
        </w:rPr>
        <w:t>th</w:t>
      </w:r>
      <w:r w:rsidRPr="00F93930">
        <w:rPr>
          <w:rFonts w:cstheme="minorHAnsi"/>
        </w:rPr>
        <w:t xml:space="preserve">is sector over the next three years.  </w:t>
      </w:r>
    </w:p>
    <w:p w14:paraId="29B1C874" w14:textId="77777777" w:rsidR="00DC0BAC" w:rsidRDefault="00DC0BAC" w:rsidP="00775872">
      <w:pPr>
        <w:pStyle w:val="NoSpacing"/>
        <w:spacing w:line="276" w:lineRule="auto"/>
        <w:jc w:val="both"/>
        <w:rPr>
          <w:rFonts w:cstheme="minorHAnsi"/>
        </w:rPr>
      </w:pPr>
    </w:p>
    <w:p w14:paraId="05942BAB" w14:textId="0E512292" w:rsidR="006C27E6" w:rsidRPr="00775872" w:rsidRDefault="00DC0BAC" w:rsidP="00775872">
      <w:pPr>
        <w:pStyle w:val="NoSpacing"/>
        <w:spacing w:line="276" w:lineRule="auto"/>
        <w:jc w:val="both"/>
        <w:rPr>
          <w:rFonts w:cstheme="minorHAnsi"/>
        </w:rPr>
      </w:pPr>
      <w:r w:rsidRPr="00775872">
        <w:rPr>
          <w:rFonts w:cstheme="minorHAnsi"/>
        </w:rPr>
        <w:t>Notwithstanding the</w:t>
      </w:r>
      <w:r w:rsidR="006C27E6" w:rsidRPr="00775872">
        <w:rPr>
          <w:rFonts w:cstheme="minorHAnsi"/>
        </w:rPr>
        <w:t xml:space="preserve"> </w:t>
      </w:r>
      <w:r w:rsidRPr="00775872">
        <w:rPr>
          <w:rFonts w:cstheme="minorHAnsi"/>
        </w:rPr>
        <w:t>modest growth</w:t>
      </w:r>
      <w:r w:rsidR="00536C1D" w:rsidRPr="00775872">
        <w:rPr>
          <w:rFonts w:cstheme="minorHAnsi"/>
        </w:rPr>
        <w:t xml:space="preserve"> projected</w:t>
      </w:r>
      <w:r w:rsidRPr="00775872">
        <w:rPr>
          <w:rFonts w:cstheme="minorHAnsi"/>
        </w:rPr>
        <w:t xml:space="preserve"> </w:t>
      </w:r>
      <w:r w:rsidR="00536C1D" w:rsidRPr="00775872">
        <w:rPr>
          <w:rFonts w:cstheme="minorHAnsi"/>
        </w:rPr>
        <w:t xml:space="preserve">for the </w:t>
      </w:r>
      <w:r w:rsidR="006C27E6" w:rsidRPr="00775872">
        <w:rPr>
          <w:rFonts w:cstheme="minorHAnsi"/>
        </w:rPr>
        <w:t xml:space="preserve">Manufacturing and Retail Trade </w:t>
      </w:r>
      <w:r w:rsidR="00536C1D" w:rsidRPr="00775872">
        <w:rPr>
          <w:rFonts w:cstheme="minorHAnsi"/>
        </w:rPr>
        <w:t xml:space="preserve">Industries to </w:t>
      </w:r>
      <w:r w:rsidR="006C27E6" w:rsidRPr="00775872">
        <w:rPr>
          <w:rFonts w:cstheme="minorHAnsi"/>
        </w:rPr>
        <w:t xml:space="preserve">May 2024, </w:t>
      </w:r>
      <w:r w:rsidR="00536C1D" w:rsidRPr="00775872">
        <w:rPr>
          <w:rFonts w:cstheme="minorHAnsi"/>
        </w:rPr>
        <w:t xml:space="preserve">Employment by Industry </w:t>
      </w:r>
      <w:r w:rsidR="00773A0E" w:rsidRPr="00775872">
        <w:rPr>
          <w:rFonts w:cstheme="minorHAnsi"/>
        </w:rPr>
        <w:t xml:space="preserve">data shows that </w:t>
      </w:r>
      <w:r w:rsidRPr="00775872">
        <w:rPr>
          <w:rFonts w:cstheme="minorHAnsi"/>
        </w:rPr>
        <w:t>the</w:t>
      </w:r>
      <w:r w:rsidR="00536C1D" w:rsidRPr="00775872">
        <w:rPr>
          <w:rFonts w:cstheme="minorHAnsi"/>
        </w:rPr>
        <w:t>se industries</w:t>
      </w:r>
      <w:r w:rsidR="006C27E6" w:rsidRPr="00775872">
        <w:rPr>
          <w:rFonts w:cstheme="minorHAnsi"/>
        </w:rPr>
        <w:t xml:space="preserve"> </w:t>
      </w:r>
      <w:r w:rsidRPr="00775872">
        <w:rPr>
          <w:rFonts w:cstheme="minorHAnsi"/>
        </w:rPr>
        <w:t xml:space="preserve">continue to be </w:t>
      </w:r>
      <w:r w:rsidR="006C27E6" w:rsidRPr="00775872">
        <w:rPr>
          <w:rFonts w:cstheme="minorHAnsi"/>
        </w:rPr>
        <w:t xml:space="preserve">major </w:t>
      </w:r>
      <w:r w:rsidR="00536C1D" w:rsidRPr="00775872">
        <w:rPr>
          <w:rFonts w:cstheme="minorHAnsi"/>
        </w:rPr>
        <w:t>employers</w:t>
      </w:r>
      <w:r w:rsidR="000E13A2" w:rsidRPr="00775872">
        <w:rPr>
          <w:rFonts w:cstheme="minorHAnsi"/>
        </w:rPr>
        <w:t xml:space="preserve"> </w:t>
      </w:r>
      <w:r w:rsidR="00DA227B" w:rsidRPr="00775872">
        <w:rPr>
          <w:rFonts w:cstheme="minorHAnsi"/>
        </w:rPr>
        <w:t xml:space="preserve">in the </w:t>
      </w:r>
      <w:r w:rsidR="00F10595">
        <w:rPr>
          <w:rFonts w:cstheme="minorHAnsi"/>
        </w:rPr>
        <w:t>ER</w:t>
      </w:r>
      <w:r w:rsidR="000E13A2" w:rsidRPr="00775872">
        <w:rPr>
          <w:rFonts w:cstheme="minorHAnsi"/>
        </w:rPr>
        <w:t xml:space="preserve">, </w:t>
      </w:r>
      <w:r w:rsidRPr="00775872">
        <w:rPr>
          <w:rFonts w:cstheme="minorHAnsi"/>
        </w:rPr>
        <w:t xml:space="preserve">employing </w:t>
      </w:r>
      <w:r w:rsidR="000D6BBB" w:rsidRPr="00775872">
        <w:rPr>
          <w:rFonts w:cstheme="minorHAnsi"/>
        </w:rPr>
        <w:t xml:space="preserve">over 103,000 </w:t>
      </w:r>
      <w:r w:rsidRPr="00775872">
        <w:rPr>
          <w:rFonts w:cstheme="minorHAnsi"/>
        </w:rPr>
        <w:t xml:space="preserve">job seekers </w:t>
      </w:r>
      <w:r w:rsidR="000D6BBB" w:rsidRPr="00775872">
        <w:rPr>
          <w:rFonts w:cstheme="minorHAnsi"/>
        </w:rPr>
        <w:t xml:space="preserve">between them </w:t>
      </w:r>
      <w:r w:rsidRPr="00775872">
        <w:rPr>
          <w:rFonts w:cstheme="minorHAnsi"/>
        </w:rPr>
        <w:t xml:space="preserve">as at </w:t>
      </w:r>
      <w:r w:rsidR="000D6BBB" w:rsidRPr="00775872">
        <w:rPr>
          <w:rFonts w:cstheme="minorHAnsi"/>
        </w:rPr>
        <w:t xml:space="preserve">May </w:t>
      </w:r>
      <w:r w:rsidRPr="00775872">
        <w:rPr>
          <w:rFonts w:cstheme="minorHAnsi"/>
        </w:rPr>
        <w:t>2021</w:t>
      </w:r>
      <w:r w:rsidR="000E13A2" w:rsidRPr="00775872">
        <w:rPr>
          <w:rFonts w:cstheme="minorHAnsi"/>
        </w:rPr>
        <w:t>.</w:t>
      </w:r>
    </w:p>
    <w:p w14:paraId="30852D24" w14:textId="77777777" w:rsidR="00DC0BAC" w:rsidRPr="00775872" w:rsidRDefault="00DC0BAC" w:rsidP="00775872">
      <w:pPr>
        <w:pStyle w:val="NoSpacing"/>
        <w:spacing w:line="276" w:lineRule="auto"/>
        <w:jc w:val="both"/>
        <w:rPr>
          <w:rFonts w:cstheme="minorHAnsi"/>
        </w:rPr>
      </w:pPr>
    </w:p>
    <w:p w14:paraId="205C0076" w14:textId="19A718F0" w:rsidR="006C27E6" w:rsidRDefault="006C27E6" w:rsidP="00775872">
      <w:pPr>
        <w:pStyle w:val="NoSpacing"/>
        <w:spacing w:line="276" w:lineRule="auto"/>
        <w:jc w:val="both"/>
        <w:rPr>
          <w:rFonts w:cstheme="minorHAnsi"/>
        </w:rPr>
      </w:pPr>
      <w:r w:rsidRPr="00F93930">
        <w:rPr>
          <w:rFonts w:cstheme="minorHAnsi"/>
        </w:rPr>
        <w:t xml:space="preserve">The Retail Trade industry </w:t>
      </w:r>
      <w:r w:rsidR="00A6019A">
        <w:rPr>
          <w:rFonts w:cstheme="minorHAnsi"/>
        </w:rPr>
        <w:t xml:space="preserve">has been heavily impacted by the COVID-19 </w:t>
      </w:r>
      <w:r w:rsidR="00320E30">
        <w:rPr>
          <w:rFonts w:cstheme="minorHAnsi"/>
        </w:rPr>
        <w:t>pandemic;</w:t>
      </w:r>
      <w:r w:rsidR="00A6019A">
        <w:rPr>
          <w:rFonts w:cstheme="minorHAnsi"/>
        </w:rPr>
        <w:t xml:space="preserve"> however</w:t>
      </w:r>
      <w:r w:rsidR="000D6BBB">
        <w:rPr>
          <w:rFonts w:cstheme="minorHAnsi"/>
        </w:rPr>
        <w:t>,</w:t>
      </w:r>
      <w:r w:rsidR="00A6019A">
        <w:rPr>
          <w:rFonts w:cstheme="minorHAnsi"/>
        </w:rPr>
        <w:t xml:space="preserve"> economic recovery will </w:t>
      </w:r>
      <w:r w:rsidRPr="00F93930">
        <w:rPr>
          <w:rFonts w:cstheme="minorHAnsi"/>
        </w:rPr>
        <w:t>provide valuable opportunities for</w:t>
      </w:r>
      <w:r w:rsidR="001F7B5C">
        <w:rPr>
          <w:rFonts w:cstheme="minorHAnsi"/>
        </w:rPr>
        <w:t xml:space="preserve"> </w:t>
      </w:r>
      <w:r w:rsidR="0058378A">
        <w:rPr>
          <w:rFonts w:cstheme="minorHAnsi"/>
        </w:rPr>
        <w:t xml:space="preserve">both </w:t>
      </w:r>
      <w:r w:rsidR="001F7B5C">
        <w:rPr>
          <w:rFonts w:cstheme="minorHAnsi"/>
        </w:rPr>
        <w:t xml:space="preserve">displaced </w:t>
      </w:r>
      <w:r w:rsidR="0058378A">
        <w:rPr>
          <w:rFonts w:cstheme="minorHAnsi"/>
        </w:rPr>
        <w:t xml:space="preserve">workers </w:t>
      </w:r>
      <w:r w:rsidR="001F7B5C">
        <w:rPr>
          <w:rFonts w:cstheme="minorHAnsi"/>
        </w:rPr>
        <w:t>and</w:t>
      </w:r>
      <w:r w:rsidRPr="00F93930">
        <w:rPr>
          <w:rFonts w:cstheme="minorHAnsi"/>
        </w:rPr>
        <w:t xml:space="preserve"> new labour market entrants</w:t>
      </w:r>
      <w:r w:rsidR="0058378A">
        <w:rPr>
          <w:rFonts w:cstheme="minorHAnsi"/>
        </w:rPr>
        <w:t>.</w:t>
      </w:r>
      <w:r w:rsidRPr="00F93930">
        <w:rPr>
          <w:rFonts w:cstheme="minorHAnsi"/>
        </w:rPr>
        <w:t xml:space="preserve"> </w:t>
      </w:r>
      <w:r w:rsidR="0058378A">
        <w:rPr>
          <w:rFonts w:cstheme="minorHAnsi"/>
        </w:rPr>
        <w:t xml:space="preserve">The retail Industry is strongly represented </w:t>
      </w:r>
      <w:r w:rsidRPr="00F93930">
        <w:rPr>
          <w:rFonts w:cstheme="minorHAnsi"/>
        </w:rPr>
        <w:t xml:space="preserve">across the </w:t>
      </w:r>
      <w:r w:rsidR="007D786A">
        <w:rPr>
          <w:rFonts w:cstheme="minorHAnsi"/>
        </w:rPr>
        <w:t xml:space="preserve">urban </w:t>
      </w:r>
      <w:r w:rsidR="001468F5">
        <w:rPr>
          <w:rFonts w:cstheme="minorHAnsi"/>
        </w:rPr>
        <w:t>parts of the</w:t>
      </w:r>
      <w:r w:rsidR="007D786A">
        <w:rPr>
          <w:rFonts w:cstheme="minorHAnsi"/>
        </w:rPr>
        <w:t xml:space="preserve"> </w:t>
      </w:r>
      <w:r w:rsidR="00F10595">
        <w:rPr>
          <w:rFonts w:cstheme="minorHAnsi"/>
        </w:rPr>
        <w:t>ER</w:t>
      </w:r>
      <w:r w:rsidR="0058378A">
        <w:rPr>
          <w:rFonts w:cstheme="minorHAnsi"/>
        </w:rPr>
        <w:t xml:space="preserve">, </w:t>
      </w:r>
      <w:r w:rsidR="007D786A">
        <w:rPr>
          <w:rFonts w:cstheme="minorHAnsi"/>
        </w:rPr>
        <w:t xml:space="preserve">such </w:t>
      </w:r>
      <w:r w:rsidRPr="00F93930">
        <w:rPr>
          <w:rFonts w:cstheme="minorHAnsi"/>
        </w:rPr>
        <w:t xml:space="preserve">as Northland, </w:t>
      </w:r>
      <w:r w:rsidR="00320E30" w:rsidRPr="00F93930">
        <w:rPr>
          <w:rFonts w:cstheme="minorHAnsi"/>
        </w:rPr>
        <w:t>Eastland,</w:t>
      </w:r>
      <w:r w:rsidRPr="00F93930">
        <w:rPr>
          <w:rFonts w:cstheme="minorHAnsi"/>
        </w:rPr>
        <w:t xml:space="preserve"> and Knox</w:t>
      </w:r>
      <w:r w:rsidR="000E13A2">
        <w:rPr>
          <w:rFonts w:cstheme="minorHAnsi"/>
        </w:rPr>
        <w:t xml:space="preserve"> shopping complexes,</w:t>
      </w:r>
      <w:r w:rsidRPr="00F93930">
        <w:rPr>
          <w:rFonts w:cstheme="minorHAnsi"/>
        </w:rPr>
        <w:t xml:space="preserve"> as well as suburban shopping precincts servicing the local communit</w:t>
      </w:r>
      <w:r w:rsidR="00C53528">
        <w:rPr>
          <w:rFonts w:cstheme="minorHAnsi"/>
        </w:rPr>
        <w:t>ies</w:t>
      </w:r>
      <w:r w:rsidRPr="00F93930">
        <w:rPr>
          <w:rFonts w:cstheme="minorHAnsi"/>
        </w:rPr>
        <w:t xml:space="preserve">.  </w:t>
      </w:r>
      <w:r w:rsidR="007D786A">
        <w:rPr>
          <w:rFonts w:cstheme="minorHAnsi"/>
        </w:rPr>
        <w:t>R</w:t>
      </w:r>
      <w:r w:rsidRPr="00F93930">
        <w:rPr>
          <w:rFonts w:cstheme="minorHAnsi"/>
        </w:rPr>
        <w:t xml:space="preserve">etail opportunities </w:t>
      </w:r>
      <w:r w:rsidR="000E13A2">
        <w:rPr>
          <w:rFonts w:cstheme="minorHAnsi"/>
        </w:rPr>
        <w:t xml:space="preserve">also </w:t>
      </w:r>
      <w:r w:rsidRPr="00F93930">
        <w:rPr>
          <w:rFonts w:cstheme="minorHAnsi"/>
        </w:rPr>
        <w:t xml:space="preserve">exist in warehousing environments such as Costco and </w:t>
      </w:r>
      <w:r w:rsidR="00D87602">
        <w:rPr>
          <w:rFonts w:cstheme="minorHAnsi"/>
        </w:rPr>
        <w:t xml:space="preserve">the </w:t>
      </w:r>
      <w:r w:rsidRPr="00F93930">
        <w:rPr>
          <w:rFonts w:cstheme="minorHAnsi"/>
        </w:rPr>
        <w:t>Melbourne Markets, both located in Epping.</w:t>
      </w:r>
      <w:r w:rsidR="007D786A">
        <w:rPr>
          <w:rFonts w:cstheme="minorHAnsi"/>
        </w:rPr>
        <w:t xml:space="preserve"> The peri-urban and rural areas have a high </w:t>
      </w:r>
      <w:r w:rsidR="000E13A2">
        <w:rPr>
          <w:rFonts w:cstheme="minorHAnsi"/>
        </w:rPr>
        <w:t xml:space="preserve">percentage </w:t>
      </w:r>
      <w:r w:rsidR="007D786A">
        <w:rPr>
          <w:rFonts w:cstheme="minorHAnsi"/>
        </w:rPr>
        <w:t>of small business</w:t>
      </w:r>
      <w:r w:rsidR="001468F5">
        <w:rPr>
          <w:rFonts w:cstheme="minorHAnsi"/>
        </w:rPr>
        <w:t xml:space="preserve"> operating in</w:t>
      </w:r>
      <w:r w:rsidR="007D786A">
        <w:rPr>
          <w:rFonts w:cstheme="minorHAnsi"/>
        </w:rPr>
        <w:t xml:space="preserve"> retail</w:t>
      </w:r>
      <w:r w:rsidR="001468F5">
        <w:rPr>
          <w:rFonts w:cstheme="minorHAnsi"/>
        </w:rPr>
        <w:t xml:space="preserve"> while </w:t>
      </w:r>
      <w:r w:rsidR="007D786A">
        <w:rPr>
          <w:rFonts w:cstheme="minorHAnsi"/>
        </w:rPr>
        <w:t xml:space="preserve">catering to the </w:t>
      </w:r>
      <w:r w:rsidR="000E13A2">
        <w:rPr>
          <w:rFonts w:cstheme="minorHAnsi"/>
        </w:rPr>
        <w:t xml:space="preserve">domestic and international </w:t>
      </w:r>
      <w:r w:rsidR="007D786A">
        <w:rPr>
          <w:rFonts w:cstheme="minorHAnsi"/>
        </w:rPr>
        <w:t>tourism industry.</w:t>
      </w:r>
    </w:p>
    <w:p w14:paraId="4ED945E8" w14:textId="77777777" w:rsidR="000D6BBB" w:rsidRPr="00F93930" w:rsidRDefault="000D6BBB" w:rsidP="00707F09">
      <w:pPr>
        <w:spacing w:after="0"/>
        <w:jc w:val="both"/>
        <w:rPr>
          <w:rFonts w:eastAsiaTheme="minorHAnsi" w:cstheme="minorHAnsi"/>
          <w:lang w:val="en-AU"/>
        </w:rPr>
      </w:pPr>
    </w:p>
    <w:p w14:paraId="048A7155" w14:textId="75F1E3F1" w:rsidR="006C27E6" w:rsidRDefault="009A03E3" w:rsidP="00707F09">
      <w:pPr>
        <w:spacing w:after="0"/>
        <w:jc w:val="both"/>
        <w:rPr>
          <w:rFonts w:cstheme="minorHAnsi"/>
        </w:rPr>
      </w:pPr>
      <w:r>
        <w:t xml:space="preserve">The Employment </w:t>
      </w:r>
      <w:r w:rsidR="00F10595">
        <w:t>ER</w:t>
      </w:r>
      <w:r>
        <w:t xml:space="preserve"> Data, Employment by Industry May 2021, shows that </w:t>
      </w:r>
      <w:r>
        <w:rPr>
          <w:rFonts w:cstheme="minorHAnsi"/>
        </w:rPr>
        <w:t>t</w:t>
      </w:r>
      <w:r w:rsidR="007D786A">
        <w:rPr>
          <w:rFonts w:cstheme="minorHAnsi"/>
        </w:rPr>
        <w:t>he Manufacturing Indust</w:t>
      </w:r>
      <w:r>
        <w:rPr>
          <w:rFonts w:cstheme="minorHAnsi"/>
        </w:rPr>
        <w:t>ry in the North Eastern Melbourne ER</w:t>
      </w:r>
      <w:r w:rsidR="007D786A">
        <w:rPr>
          <w:rFonts w:cstheme="minorHAnsi"/>
        </w:rPr>
        <w:t xml:space="preserve"> employed </w:t>
      </w:r>
      <w:r>
        <w:rPr>
          <w:rFonts w:cstheme="minorHAnsi"/>
        </w:rPr>
        <w:t xml:space="preserve">over 46,000 persons as at May 2021, mostly on a </w:t>
      </w:r>
      <w:r w:rsidR="007653C6">
        <w:rPr>
          <w:rFonts w:cstheme="minorHAnsi"/>
        </w:rPr>
        <w:t>full-time</w:t>
      </w:r>
      <w:r>
        <w:rPr>
          <w:rFonts w:cstheme="minorHAnsi"/>
        </w:rPr>
        <w:t xml:space="preserve"> basis.  While t</w:t>
      </w:r>
      <w:r w:rsidR="006C27E6" w:rsidRPr="00F93930">
        <w:rPr>
          <w:rFonts w:cstheme="minorHAnsi"/>
        </w:rPr>
        <w:t>he occupational profile of the industry</w:t>
      </w:r>
      <w:r w:rsidR="007D786A">
        <w:rPr>
          <w:rFonts w:cstheme="minorHAnsi"/>
        </w:rPr>
        <w:t xml:space="preserve"> predominately caters </w:t>
      </w:r>
      <w:r w:rsidR="000E13A2">
        <w:rPr>
          <w:rFonts w:cstheme="minorHAnsi"/>
        </w:rPr>
        <w:t xml:space="preserve">for </w:t>
      </w:r>
      <w:r w:rsidR="006C27E6" w:rsidRPr="00F93930">
        <w:rPr>
          <w:rFonts w:cstheme="minorHAnsi"/>
        </w:rPr>
        <w:t>skilled occupations</w:t>
      </w:r>
      <w:r w:rsidR="001468F5">
        <w:rPr>
          <w:rFonts w:cstheme="minorHAnsi"/>
        </w:rPr>
        <w:t xml:space="preserve"> (</w:t>
      </w:r>
      <w:r w:rsidR="006C27E6" w:rsidRPr="00F93930">
        <w:rPr>
          <w:rFonts w:cstheme="minorHAnsi"/>
        </w:rPr>
        <w:t>such as Managers and Professionals</w:t>
      </w:r>
      <w:r>
        <w:rPr>
          <w:rFonts w:cstheme="minorHAnsi"/>
        </w:rPr>
        <w:t>, Technicians and Trades workers</w:t>
      </w:r>
      <w:r w:rsidR="001468F5">
        <w:rPr>
          <w:rFonts w:cstheme="minorHAnsi"/>
        </w:rPr>
        <w:t>)</w:t>
      </w:r>
      <w:r>
        <w:rPr>
          <w:rFonts w:cstheme="minorHAnsi"/>
        </w:rPr>
        <w:t xml:space="preserve">, there is still scope within the Industry for experienced or entry level Labourers, Sales and </w:t>
      </w:r>
      <w:r w:rsidR="00FA62D3">
        <w:rPr>
          <w:rFonts w:cstheme="minorHAnsi"/>
        </w:rPr>
        <w:t>C</w:t>
      </w:r>
      <w:r>
        <w:rPr>
          <w:rFonts w:cstheme="minorHAnsi"/>
        </w:rPr>
        <w:t xml:space="preserve">lerical Workers, Machinery Operators and Drivers.  </w:t>
      </w:r>
      <w:r w:rsidR="00DA227B">
        <w:rPr>
          <w:rFonts w:cstheme="minorHAnsi"/>
        </w:rPr>
        <w:t xml:space="preserve">Within the ER, over 79,000 people were employed as Clerical and Administrative workers (14.7 per cent of the </w:t>
      </w:r>
      <w:r w:rsidR="00F10595">
        <w:rPr>
          <w:rFonts w:cstheme="minorHAnsi"/>
        </w:rPr>
        <w:t>ER</w:t>
      </w:r>
      <w:r w:rsidR="00DA227B">
        <w:rPr>
          <w:rFonts w:cstheme="minorHAnsi"/>
        </w:rPr>
        <w:t>’s employment distribution</w:t>
      </w:r>
      <w:r w:rsidR="000E13A2">
        <w:rPr>
          <w:rFonts w:cstheme="minorHAnsi"/>
        </w:rPr>
        <w:t>)</w:t>
      </w:r>
      <w:r w:rsidR="00DA227B">
        <w:rPr>
          <w:rFonts w:cstheme="minorHAnsi"/>
        </w:rPr>
        <w:t xml:space="preserve">, over 43,000 (8 per cent) were employed in sales, over 37,000 (7 </w:t>
      </w:r>
      <w:r w:rsidR="000E13A2">
        <w:rPr>
          <w:rFonts w:cstheme="minorHAnsi"/>
        </w:rPr>
        <w:t>p</w:t>
      </w:r>
      <w:r w:rsidR="00DA227B">
        <w:rPr>
          <w:rFonts w:cstheme="minorHAnsi"/>
        </w:rPr>
        <w:t>er cent) were employed as Labourers and over 28,000 workers (5.2 per cent) were employed as Machinery Operators and Drivers.</w:t>
      </w:r>
      <w:r w:rsidR="00DA227B">
        <w:rPr>
          <w:rStyle w:val="FootnoteReference"/>
          <w:rFonts w:cstheme="minorHAnsi"/>
        </w:rPr>
        <w:footnoteReference w:id="19"/>
      </w:r>
      <w:r w:rsidR="00DA227B">
        <w:rPr>
          <w:rFonts w:cstheme="minorHAnsi"/>
        </w:rPr>
        <w:t xml:space="preserve">  This indicates that these occupations continue to offer employment opportunities for job seekers.</w:t>
      </w:r>
    </w:p>
    <w:p w14:paraId="11BC3A30" w14:textId="77777777" w:rsidR="007D786A" w:rsidRPr="00F93930" w:rsidRDefault="007D786A" w:rsidP="00707F09">
      <w:pPr>
        <w:spacing w:after="0"/>
        <w:jc w:val="both"/>
        <w:rPr>
          <w:rFonts w:cstheme="minorHAnsi"/>
        </w:rPr>
      </w:pPr>
    </w:p>
    <w:p w14:paraId="1DD14756" w14:textId="136973D7" w:rsidR="00D8253E" w:rsidRDefault="006E750E" w:rsidP="00707F09">
      <w:pPr>
        <w:spacing w:after="0"/>
        <w:jc w:val="both"/>
        <w:rPr>
          <w:rFonts w:cstheme="minorHAnsi"/>
        </w:rPr>
      </w:pPr>
      <w:r>
        <w:t xml:space="preserve">The </w:t>
      </w:r>
      <w:r w:rsidR="00D8253E">
        <w:t xml:space="preserve">Department’s </w:t>
      </w:r>
      <w:r w:rsidR="00F10595">
        <w:t>ER</w:t>
      </w:r>
      <w:r>
        <w:t xml:space="preserve"> Data</w:t>
      </w:r>
      <w:r w:rsidR="00D8253E">
        <w:t xml:space="preserve"> (</w:t>
      </w:r>
      <w:r>
        <w:t>Employment by Industry</w:t>
      </w:r>
      <w:r w:rsidR="00C04ACA">
        <w:t xml:space="preserve"> </w:t>
      </w:r>
      <w:r>
        <w:t>- May 2021</w:t>
      </w:r>
      <w:r w:rsidR="00D8253E">
        <w:t>)</w:t>
      </w:r>
      <w:r>
        <w:t xml:space="preserve">, shows that </w:t>
      </w:r>
      <w:r>
        <w:rPr>
          <w:rFonts w:cstheme="minorHAnsi"/>
        </w:rPr>
        <w:t>t</w:t>
      </w:r>
      <w:r w:rsidR="006C27E6" w:rsidRPr="00F93930">
        <w:rPr>
          <w:rFonts w:cstheme="minorHAnsi"/>
        </w:rPr>
        <w:t xml:space="preserve">he Education and Training sector supports employment for over </w:t>
      </w:r>
      <w:r w:rsidRPr="00F93930">
        <w:rPr>
          <w:rFonts w:cstheme="minorHAnsi"/>
        </w:rPr>
        <w:t>5</w:t>
      </w:r>
      <w:r>
        <w:rPr>
          <w:rFonts w:cstheme="minorHAnsi"/>
        </w:rPr>
        <w:t>2</w:t>
      </w:r>
      <w:r w:rsidR="006C27E6" w:rsidRPr="00F93930">
        <w:rPr>
          <w:rFonts w:cstheme="minorHAnsi"/>
        </w:rPr>
        <w:t xml:space="preserve">,000 workers in the North Eastern Melbourne ER as at </w:t>
      </w:r>
      <w:r>
        <w:rPr>
          <w:rFonts w:cstheme="minorHAnsi"/>
        </w:rPr>
        <w:t>May 2021.</w:t>
      </w:r>
      <w:r w:rsidR="00D8253E">
        <w:rPr>
          <w:rFonts w:cstheme="minorHAnsi"/>
        </w:rPr>
        <w:t xml:space="preserve"> According to the Department’s </w:t>
      </w:r>
      <w:r w:rsidR="00D8253E">
        <w:t xml:space="preserve">Employment </w:t>
      </w:r>
      <w:r w:rsidR="00F10595">
        <w:t>ER</w:t>
      </w:r>
      <w:r w:rsidR="00D8253E">
        <w:t xml:space="preserve"> data (Employment Projections to May 2024), this </w:t>
      </w:r>
      <w:r w:rsidR="006C27E6" w:rsidRPr="00F93930">
        <w:rPr>
          <w:rFonts w:cstheme="minorHAnsi"/>
        </w:rPr>
        <w:t>industry is predicted to continue to increase by 17.5</w:t>
      </w:r>
      <w:r w:rsidR="006C27E6">
        <w:rPr>
          <w:rFonts w:cstheme="minorHAnsi"/>
        </w:rPr>
        <w:t xml:space="preserve"> per cent</w:t>
      </w:r>
      <w:r w:rsidR="006C27E6" w:rsidRPr="00F93930">
        <w:rPr>
          <w:rFonts w:cstheme="minorHAnsi"/>
        </w:rPr>
        <w:t xml:space="preserve"> </w:t>
      </w:r>
      <w:r w:rsidR="00D8253E">
        <w:rPr>
          <w:rFonts w:cstheme="minorHAnsi"/>
        </w:rPr>
        <w:t xml:space="preserve">to May 2024. </w:t>
      </w:r>
      <w:r w:rsidR="006C27E6" w:rsidRPr="00F93930">
        <w:rPr>
          <w:rFonts w:cstheme="minorHAnsi"/>
        </w:rPr>
        <w:t xml:space="preserve"> At a national level, while the industry employs a high proportion of professional and tertiary qualified staff, lower skilled positions such as General Clerks and Education Aides are amongst the top 10 employing occupations in the industry.  Also, according to </w:t>
      </w:r>
      <w:r w:rsidR="00D8253E">
        <w:rPr>
          <w:rFonts w:cstheme="minorHAnsi"/>
        </w:rPr>
        <w:t>May 2021</w:t>
      </w:r>
      <w:r w:rsidR="006C27E6" w:rsidRPr="00F93930">
        <w:rPr>
          <w:rFonts w:cstheme="minorHAnsi"/>
        </w:rPr>
        <w:t xml:space="preserve"> labour force data, Clerical and Administrative Workers was the third highest ranked occupation in the North Eastern Melbourne ER.  </w:t>
      </w:r>
    </w:p>
    <w:p w14:paraId="7233356C" w14:textId="77777777" w:rsidR="00C04ACA" w:rsidRDefault="00C04ACA" w:rsidP="00707F09">
      <w:pPr>
        <w:spacing w:after="0"/>
        <w:jc w:val="both"/>
        <w:rPr>
          <w:rFonts w:cstheme="minorHAnsi"/>
        </w:rPr>
      </w:pPr>
    </w:p>
    <w:p w14:paraId="51608FBA" w14:textId="77777777" w:rsidR="00887FD0" w:rsidRDefault="00CA6955" w:rsidP="00707F09">
      <w:pPr>
        <w:spacing w:after="0"/>
        <w:jc w:val="both"/>
        <w:rPr>
          <w:rFonts w:cstheme="minorHAnsi"/>
        </w:rPr>
      </w:pPr>
      <w:r>
        <w:rPr>
          <w:rFonts w:cstheme="minorHAnsi"/>
        </w:rPr>
        <w:t>Opportunities for skilled and entry level employment in the ER can be found through</w:t>
      </w:r>
      <w:r w:rsidR="006C27E6" w:rsidRPr="00F93930">
        <w:rPr>
          <w:rFonts w:cstheme="minorHAnsi"/>
        </w:rPr>
        <w:t xml:space="preserve"> Latrobe University, Melbourne Polytechnic</w:t>
      </w:r>
      <w:r w:rsidR="00585449">
        <w:rPr>
          <w:rFonts w:cstheme="minorHAnsi"/>
        </w:rPr>
        <w:t>, Swinburne University</w:t>
      </w:r>
      <w:r w:rsidR="006C27E6" w:rsidRPr="00F93930">
        <w:rPr>
          <w:rFonts w:cstheme="minorHAnsi"/>
        </w:rPr>
        <w:t xml:space="preserve"> and RMIT University as well as a variety of </w:t>
      </w:r>
    </w:p>
    <w:p w14:paraId="66DD45FE" w14:textId="77777777" w:rsidR="00887FD0" w:rsidRDefault="00887FD0" w:rsidP="00707F09">
      <w:pPr>
        <w:spacing w:after="0"/>
        <w:jc w:val="both"/>
        <w:rPr>
          <w:rFonts w:cstheme="minorHAnsi"/>
        </w:rPr>
      </w:pPr>
    </w:p>
    <w:p w14:paraId="0C4E9DF4" w14:textId="0076C12B" w:rsidR="00CA6955" w:rsidRDefault="00D8253E" w:rsidP="00707F09">
      <w:pPr>
        <w:spacing w:after="0"/>
        <w:jc w:val="both"/>
        <w:rPr>
          <w:rFonts w:cstheme="minorHAnsi"/>
        </w:rPr>
      </w:pPr>
      <w:r>
        <w:rPr>
          <w:rFonts w:cstheme="minorHAnsi"/>
        </w:rPr>
        <w:lastRenderedPageBreak/>
        <w:t>private and public early education facili</w:t>
      </w:r>
      <w:r w:rsidR="00CA6955">
        <w:rPr>
          <w:rFonts w:cstheme="minorHAnsi"/>
        </w:rPr>
        <w:t xml:space="preserve">ties, </w:t>
      </w:r>
      <w:r w:rsidR="006C27E6" w:rsidRPr="00F93930">
        <w:rPr>
          <w:rFonts w:cstheme="minorHAnsi"/>
        </w:rPr>
        <w:t xml:space="preserve">primary </w:t>
      </w:r>
      <w:r w:rsidR="00CA6955">
        <w:rPr>
          <w:rFonts w:cstheme="minorHAnsi"/>
        </w:rPr>
        <w:t>and</w:t>
      </w:r>
      <w:r w:rsidR="006C27E6" w:rsidRPr="00F93930">
        <w:rPr>
          <w:rFonts w:cstheme="minorHAnsi"/>
        </w:rPr>
        <w:t xml:space="preserve"> secondary </w:t>
      </w:r>
      <w:r w:rsidR="00320E30" w:rsidRPr="00F93930">
        <w:rPr>
          <w:rFonts w:cstheme="minorHAnsi"/>
        </w:rPr>
        <w:t>schools,</w:t>
      </w:r>
      <w:r w:rsidR="006C27E6" w:rsidRPr="00F93930">
        <w:rPr>
          <w:rFonts w:cstheme="minorHAnsi"/>
        </w:rPr>
        <w:t xml:space="preserve"> </w:t>
      </w:r>
      <w:r w:rsidR="00CA6955">
        <w:rPr>
          <w:rFonts w:cstheme="minorHAnsi"/>
        </w:rPr>
        <w:t xml:space="preserve">and </w:t>
      </w:r>
      <w:r w:rsidR="00B9077F">
        <w:rPr>
          <w:rFonts w:cstheme="minorHAnsi"/>
        </w:rPr>
        <w:t xml:space="preserve">a large number of </w:t>
      </w:r>
      <w:r w:rsidR="006C27E6" w:rsidRPr="00F93930">
        <w:rPr>
          <w:rFonts w:cstheme="minorHAnsi"/>
        </w:rPr>
        <w:t>Registered Training Organisations (RTOs)</w:t>
      </w:r>
      <w:r w:rsidR="00CA6955">
        <w:rPr>
          <w:rFonts w:cstheme="minorHAnsi"/>
        </w:rPr>
        <w:t>.</w:t>
      </w:r>
    </w:p>
    <w:p w14:paraId="127ABF54" w14:textId="77777777" w:rsidR="00CB2020" w:rsidRDefault="00CB2020" w:rsidP="00707F09">
      <w:pPr>
        <w:spacing w:after="0"/>
        <w:jc w:val="both"/>
        <w:rPr>
          <w:rFonts w:cstheme="minorHAnsi"/>
        </w:rPr>
      </w:pPr>
    </w:p>
    <w:p w14:paraId="214FB97B" w14:textId="25D941F0" w:rsidR="00CA6955" w:rsidRDefault="00CA6955" w:rsidP="006E750E">
      <w:pPr>
        <w:spacing w:after="0"/>
        <w:jc w:val="both"/>
        <w:rPr>
          <w:rFonts w:cstheme="minorHAnsi"/>
        </w:rPr>
      </w:pPr>
    </w:p>
    <w:p w14:paraId="05B07178" w14:textId="085F61AD" w:rsidR="00FD5351" w:rsidRPr="00C46B88" w:rsidRDefault="00FD5351" w:rsidP="00C46B88">
      <w:pPr>
        <w:spacing w:after="0"/>
        <w:jc w:val="both"/>
        <w:rPr>
          <w:rStyle w:val="Heading1Char"/>
          <w:rFonts w:asciiTheme="minorHAnsi" w:eastAsiaTheme="minorEastAsia" w:hAnsiTheme="minorHAnsi" w:cstheme="minorHAnsi"/>
          <w:sz w:val="32"/>
          <w:szCs w:val="32"/>
        </w:rPr>
      </w:pPr>
      <w:bookmarkStart w:id="20" w:name="_Toc78461098"/>
      <w:r w:rsidRPr="00C46B88">
        <w:rPr>
          <w:rStyle w:val="Heading1Char"/>
          <w:rFonts w:asciiTheme="minorHAnsi" w:eastAsiaTheme="minorEastAsia" w:hAnsiTheme="minorHAnsi" w:cstheme="minorHAnsi"/>
          <w:sz w:val="32"/>
          <w:szCs w:val="32"/>
        </w:rPr>
        <w:t>Selected Major Projects</w:t>
      </w:r>
      <w:bookmarkEnd w:id="20"/>
    </w:p>
    <w:p w14:paraId="2DC6272A" w14:textId="6550316B" w:rsidR="00FD5351" w:rsidRDefault="00FD5351" w:rsidP="00FD5351">
      <w:pPr>
        <w:spacing w:after="0"/>
        <w:jc w:val="both"/>
        <w:rPr>
          <w:rFonts w:cstheme="minorHAnsi"/>
        </w:rPr>
      </w:pPr>
      <w:r w:rsidRPr="00F93930">
        <w:rPr>
          <w:rFonts w:cstheme="minorHAnsi"/>
        </w:rPr>
        <w:t xml:space="preserve">Major infrastructure projects </w:t>
      </w:r>
      <w:r w:rsidR="007C7C6B">
        <w:rPr>
          <w:rFonts w:cstheme="minorHAnsi"/>
        </w:rPr>
        <w:t xml:space="preserve">underway in the </w:t>
      </w:r>
      <w:r w:rsidR="00F10595">
        <w:rPr>
          <w:rFonts w:cstheme="minorHAnsi"/>
        </w:rPr>
        <w:t>ER</w:t>
      </w:r>
      <w:r w:rsidR="007C7C6B">
        <w:rPr>
          <w:rFonts w:cstheme="minorHAnsi"/>
        </w:rPr>
        <w:t xml:space="preserve"> </w:t>
      </w:r>
      <w:r w:rsidRPr="00F93930">
        <w:rPr>
          <w:rFonts w:cstheme="minorHAnsi"/>
        </w:rPr>
        <w:t>includ</w:t>
      </w:r>
      <w:r>
        <w:rPr>
          <w:rFonts w:cstheme="minorHAnsi"/>
        </w:rPr>
        <w:t>e</w:t>
      </w:r>
      <w:r w:rsidRPr="00F93930">
        <w:rPr>
          <w:rFonts w:cstheme="minorHAnsi"/>
        </w:rPr>
        <w:t xml:space="preserve"> the </w:t>
      </w:r>
      <w:r w:rsidR="007C7C6B">
        <w:rPr>
          <w:rFonts w:cstheme="minorHAnsi"/>
        </w:rPr>
        <w:t xml:space="preserve">$15.6 billion </w:t>
      </w:r>
      <w:r w:rsidRPr="00F93930">
        <w:rPr>
          <w:rFonts w:cstheme="minorHAnsi"/>
        </w:rPr>
        <w:t>North East Link</w:t>
      </w:r>
      <w:r w:rsidR="007C7C6B">
        <w:rPr>
          <w:rFonts w:cstheme="minorHAnsi"/>
        </w:rPr>
        <w:t xml:space="preserve"> road transport project that will connect the Metropolitan Ring Road to the Eastern Freeway at Bulleen Road.  </w:t>
      </w:r>
      <w:r w:rsidR="00EE2D29">
        <w:rPr>
          <w:rFonts w:cstheme="minorHAnsi"/>
        </w:rPr>
        <w:t>There are v</w:t>
      </w:r>
      <w:r>
        <w:rPr>
          <w:rFonts w:cstheme="minorHAnsi"/>
        </w:rPr>
        <w:t xml:space="preserve">arious initiatives under Victoria’s Big Build strategy and </w:t>
      </w:r>
      <w:r w:rsidR="007C7C6B">
        <w:rPr>
          <w:rFonts w:cstheme="minorHAnsi"/>
        </w:rPr>
        <w:t xml:space="preserve">through </w:t>
      </w:r>
      <w:r>
        <w:rPr>
          <w:rFonts w:cstheme="minorHAnsi"/>
        </w:rPr>
        <w:t>existing funding</w:t>
      </w:r>
      <w:r w:rsidR="00EE2D29">
        <w:rPr>
          <w:rFonts w:cstheme="minorHAnsi"/>
        </w:rPr>
        <w:t>. These include</w:t>
      </w:r>
      <w:r>
        <w:rPr>
          <w:rFonts w:cstheme="minorHAnsi"/>
        </w:rPr>
        <w:t xml:space="preserve"> </w:t>
      </w:r>
      <w:r w:rsidRPr="00F93930">
        <w:rPr>
          <w:rFonts w:cstheme="minorHAnsi"/>
        </w:rPr>
        <w:t xml:space="preserve">upgrades to the Hurstbridge Railway </w:t>
      </w:r>
      <w:r w:rsidR="007C7C6B">
        <w:rPr>
          <w:rFonts w:cstheme="minorHAnsi"/>
        </w:rPr>
        <w:t>corridor</w:t>
      </w:r>
      <w:r w:rsidR="00EE2D29">
        <w:rPr>
          <w:rFonts w:cstheme="minorHAnsi"/>
        </w:rPr>
        <w:t>,</w:t>
      </w:r>
      <w:r w:rsidR="007C7C6B">
        <w:rPr>
          <w:rFonts w:cstheme="minorHAnsi"/>
        </w:rPr>
        <w:t xml:space="preserve"> </w:t>
      </w:r>
      <w:r>
        <w:rPr>
          <w:rFonts w:cstheme="minorHAnsi"/>
        </w:rPr>
        <w:t>Yan Yean Road, Plenty Road and O’Hearns Road</w:t>
      </w:r>
      <w:r w:rsidR="007C7C6B">
        <w:rPr>
          <w:rFonts w:cstheme="minorHAnsi"/>
        </w:rPr>
        <w:t xml:space="preserve">.  </w:t>
      </w:r>
      <w:r w:rsidR="00FA62D3">
        <w:rPr>
          <w:rFonts w:cstheme="minorHAnsi"/>
        </w:rPr>
        <w:t>U</w:t>
      </w:r>
      <w:r>
        <w:rPr>
          <w:rFonts w:cstheme="minorHAnsi"/>
        </w:rPr>
        <w:t>pgrades could</w:t>
      </w:r>
      <w:r w:rsidRPr="00F93930">
        <w:rPr>
          <w:rFonts w:cstheme="minorHAnsi"/>
        </w:rPr>
        <w:t xml:space="preserve"> present</w:t>
      </w:r>
      <w:r>
        <w:rPr>
          <w:rFonts w:cstheme="minorHAnsi"/>
        </w:rPr>
        <w:t xml:space="preserve"> opportunities for qualified </w:t>
      </w:r>
      <w:r w:rsidR="007653C6">
        <w:rPr>
          <w:rFonts w:cstheme="minorHAnsi"/>
        </w:rPr>
        <w:t>or experienced</w:t>
      </w:r>
      <w:r>
        <w:rPr>
          <w:rFonts w:cstheme="minorHAnsi"/>
        </w:rPr>
        <w:t xml:space="preserve"> job seekers as well as skills development opportunities</w:t>
      </w:r>
      <w:r w:rsidRPr="00F93930">
        <w:rPr>
          <w:rFonts w:cstheme="minorHAnsi"/>
        </w:rPr>
        <w:t xml:space="preserve"> in North Eastern Melbourne ER</w:t>
      </w:r>
      <w:r>
        <w:rPr>
          <w:rFonts w:cstheme="minorHAnsi"/>
        </w:rPr>
        <w:t xml:space="preserve">. </w:t>
      </w:r>
    </w:p>
    <w:p w14:paraId="5AE89492" w14:textId="27988134" w:rsidR="007C7C6B" w:rsidRDefault="007C7C6B" w:rsidP="00FD5351">
      <w:pPr>
        <w:spacing w:after="0"/>
        <w:jc w:val="both"/>
        <w:rPr>
          <w:rFonts w:cstheme="minorHAnsi"/>
        </w:rPr>
      </w:pPr>
    </w:p>
    <w:p w14:paraId="20A16B67" w14:textId="49049936" w:rsidR="007C7C6B" w:rsidRDefault="00BD43AC" w:rsidP="00FD5351">
      <w:pPr>
        <w:spacing w:after="0"/>
        <w:jc w:val="both"/>
        <w:rPr>
          <w:rFonts w:cstheme="minorHAnsi"/>
        </w:rPr>
      </w:pPr>
      <w:r>
        <w:rPr>
          <w:rFonts w:cstheme="minorHAnsi"/>
        </w:rPr>
        <w:t xml:space="preserve">In addition to major works, </w:t>
      </w:r>
      <w:r w:rsidR="00D87602">
        <w:rPr>
          <w:rFonts w:cstheme="minorHAnsi"/>
        </w:rPr>
        <w:t>l</w:t>
      </w:r>
      <w:r w:rsidR="007C7C6B">
        <w:rPr>
          <w:rFonts w:cstheme="minorHAnsi"/>
        </w:rPr>
        <w:t xml:space="preserve">ocal </w:t>
      </w:r>
      <w:r>
        <w:rPr>
          <w:rFonts w:cstheme="minorHAnsi"/>
        </w:rPr>
        <w:t>capital works</w:t>
      </w:r>
      <w:r w:rsidR="007C7C6B">
        <w:rPr>
          <w:rFonts w:cstheme="minorHAnsi"/>
        </w:rPr>
        <w:t xml:space="preserve"> projects </w:t>
      </w:r>
      <w:r>
        <w:rPr>
          <w:rFonts w:cstheme="minorHAnsi"/>
        </w:rPr>
        <w:t xml:space="preserve">are specific to each LGA, and potentially represent opportunities for local job seekers and businesses.  Capital works projects include </w:t>
      </w:r>
      <w:r w:rsidR="007653C6">
        <w:rPr>
          <w:rFonts w:cstheme="minorHAnsi"/>
        </w:rPr>
        <w:t xml:space="preserve">both minor and major </w:t>
      </w:r>
      <w:r>
        <w:rPr>
          <w:rFonts w:cstheme="minorHAnsi"/>
        </w:rPr>
        <w:t>upgrades to existing infrastructure as well as new builds</w:t>
      </w:r>
      <w:r w:rsidR="00C24323">
        <w:rPr>
          <w:rFonts w:cstheme="minorHAnsi"/>
        </w:rPr>
        <w:t>,</w:t>
      </w:r>
      <w:r>
        <w:rPr>
          <w:rFonts w:cstheme="minorHAnsi"/>
        </w:rPr>
        <w:t xml:space="preserve"> such as the $28.57 million </w:t>
      </w:r>
      <w:r w:rsidR="007653C6">
        <w:rPr>
          <w:rFonts w:cstheme="minorHAnsi"/>
        </w:rPr>
        <w:t xml:space="preserve">land and building upgrades in the City of Whitehorse. </w:t>
      </w:r>
    </w:p>
    <w:p w14:paraId="145C1596" w14:textId="77777777" w:rsidR="00CB2020" w:rsidRDefault="00CB2020" w:rsidP="00FD5351">
      <w:pPr>
        <w:spacing w:after="0"/>
        <w:jc w:val="both"/>
        <w:rPr>
          <w:rFonts w:cstheme="minorHAnsi"/>
        </w:rPr>
      </w:pPr>
    </w:p>
    <w:p w14:paraId="68BD6CBB" w14:textId="77777777" w:rsidR="00A265D5" w:rsidRDefault="00A265D5" w:rsidP="00B9077F">
      <w:pPr>
        <w:spacing w:after="0"/>
        <w:jc w:val="both"/>
        <w:rPr>
          <w:rFonts w:cstheme="minorHAnsi"/>
        </w:rPr>
      </w:pPr>
    </w:p>
    <w:p w14:paraId="67884257" w14:textId="738547A9" w:rsidR="006C27E6" w:rsidRPr="00C46B88" w:rsidRDefault="006C27E6" w:rsidP="00C46B88">
      <w:pPr>
        <w:spacing w:after="0"/>
        <w:jc w:val="both"/>
        <w:rPr>
          <w:rStyle w:val="Heading1Char"/>
          <w:rFonts w:asciiTheme="minorHAnsi" w:eastAsiaTheme="minorEastAsia" w:hAnsiTheme="minorHAnsi" w:cstheme="minorHAnsi"/>
          <w:sz w:val="32"/>
          <w:szCs w:val="32"/>
          <w:lang w:val="en-AU"/>
        </w:rPr>
      </w:pPr>
      <w:bookmarkStart w:id="21" w:name="_Toc78461099"/>
      <w:r w:rsidRPr="00C46B88">
        <w:rPr>
          <w:rStyle w:val="Heading1Char"/>
          <w:rFonts w:asciiTheme="minorHAnsi" w:eastAsiaTheme="minorEastAsia" w:hAnsiTheme="minorHAnsi" w:cstheme="minorHAnsi"/>
          <w:sz w:val="32"/>
          <w:szCs w:val="32"/>
          <w:lang w:val="en-AU"/>
        </w:rPr>
        <w:t>Local Stakeholders and Opportunities</w:t>
      </w:r>
      <w:bookmarkEnd w:id="21"/>
    </w:p>
    <w:p w14:paraId="155940EE" w14:textId="180EA88C" w:rsidR="00B9077F" w:rsidRPr="00775872" w:rsidRDefault="00CA6955" w:rsidP="00775872">
      <w:pPr>
        <w:spacing w:after="0"/>
        <w:jc w:val="both"/>
      </w:pPr>
      <w:r w:rsidRPr="00775872">
        <w:t xml:space="preserve">There are </w:t>
      </w:r>
      <w:r w:rsidR="0074515A">
        <w:t>11</w:t>
      </w:r>
      <w:r w:rsidR="0074515A" w:rsidRPr="00775872">
        <w:t xml:space="preserve"> </w:t>
      </w:r>
      <w:r w:rsidR="00247598" w:rsidRPr="00775872">
        <w:t>LGAs within the North Eastern Melbourn</w:t>
      </w:r>
      <w:r w:rsidR="002528C2">
        <w:t>e</w:t>
      </w:r>
      <w:r w:rsidR="00FA62D3" w:rsidRPr="00775872">
        <w:t xml:space="preserve"> </w:t>
      </w:r>
      <w:r w:rsidR="002528C2" w:rsidRPr="00775872">
        <w:t>ER, each</w:t>
      </w:r>
      <w:r w:rsidR="00247598" w:rsidRPr="00775872">
        <w:t xml:space="preserve"> contributing significant resources and knowledge to the </w:t>
      </w:r>
      <w:r w:rsidR="00F10595">
        <w:t>ER</w:t>
      </w:r>
      <w:r w:rsidR="00247598" w:rsidRPr="00775872">
        <w:t xml:space="preserve">.  Given the wide demographics </w:t>
      </w:r>
      <w:r w:rsidR="00FD5351" w:rsidRPr="00775872">
        <w:t xml:space="preserve">of </w:t>
      </w:r>
      <w:r w:rsidR="00247598" w:rsidRPr="00775872">
        <w:t xml:space="preserve">the </w:t>
      </w:r>
      <w:r w:rsidR="00F10595">
        <w:t>ER</w:t>
      </w:r>
      <w:r w:rsidR="00247598" w:rsidRPr="00775872">
        <w:t>, engagement at the local governme</w:t>
      </w:r>
      <w:r w:rsidR="00462921" w:rsidRPr="00775872">
        <w:t>n</w:t>
      </w:r>
      <w:r w:rsidR="00247598" w:rsidRPr="00775872">
        <w:t xml:space="preserve">t level could </w:t>
      </w:r>
      <w:r w:rsidR="00B9077F" w:rsidRPr="00775872">
        <w:t xml:space="preserve">ensure that </w:t>
      </w:r>
      <w:r w:rsidR="00DB5E41" w:rsidRPr="00775872">
        <w:t>targeted</w:t>
      </w:r>
      <w:r w:rsidR="00B9077F" w:rsidRPr="00775872">
        <w:t xml:space="preserve"> local place</w:t>
      </w:r>
      <w:r w:rsidR="00DB5E41">
        <w:t>-</w:t>
      </w:r>
      <w:r w:rsidR="00B9077F" w:rsidRPr="00775872">
        <w:t xml:space="preserve">based </w:t>
      </w:r>
      <w:r w:rsidR="00247598" w:rsidRPr="00775872">
        <w:t>support</w:t>
      </w:r>
      <w:r w:rsidR="00B9077F" w:rsidRPr="00775872">
        <w:t xml:space="preserve">s are well represented across </w:t>
      </w:r>
      <w:r w:rsidR="001468F5" w:rsidRPr="00775872">
        <w:t>the entire</w:t>
      </w:r>
      <w:r w:rsidR="00B9077F" w:rsidRPr="00775872">
        <w:t xml:space="preserve"> </w:t>
      </w:r>
      <w:r w:rsidR="00F10595">
        <w:t>ER</w:t>
      </w:r>
      <w:r w:rsidR="00B9077F" w:rsidRPr="00775872">
        <w:t>.</w:t>
      </w:r>
    </w:p>
    <w:p w14:paraId="7165E5C2" w14:textId="31EE110D" w:rsidR="006C27E6" w:rsidRPr="00775872" w:rsidRDefault="00247598" w:rsidP="00775872">
      <w:pPr>
        <w:spacing w:after="0"/>
        <w:jc w:val="both"/>
      </w:pPr>
      <w:r w:rsidRPr="00775872">
        <w:t xml:space="preserve"> </w:t>
      </w:r>
    </w:p>
    <w:p w14:paraId="6F9FF392" w14:textId="081A4FB3" w:rsidR="00787DA5" w:rsidRPr="00775872" w:rsidRDefault="00F71D1E" w:rsidP="00775872">
      <w:pPr>
        <w:spacing w:after="0"/>
        <w:jc w:val="both"/>
      </w:pPr>
      <w:r w:rsidRPr="00775872">
        <w:t xml:space="preserve">Metropolitan Partnerships are a mechanism for local communities to engage with the Victorian </w:t>
      </w:r>
      <w:r w:rsidR="00134D87" w:rsidRPr="00775872">
        <w:t xml:space="preserve">State </w:t>
      </w:r>
      <w:r w:rsidR="00FA62D3" w:rsidRPr="00775872">
        <w:t>G</w:t>
      </w:r>
      <w:r w:rsidRPr="00775872">
        <w:t xml:space="preserve">overnment through a range of key stakeholders and </w:t>
      </w:r>
      <w:r w:rsidR="001468F5" w:rsidRPr="00775872">
        <w:t xml:space="preserve">senior </w:t>
      </w:r>
      <w:r w:rsidR="00AA357C" w:rsidRPr="00775872">
        <w:t>representatives</w:t>
      </w:r>
      <w:r w:rsidR="001468F5" w:rsidRPr="00775872">
        <w:t xml:space="preserve"> at </w:t>
      </w:r>
      <w:r w:rsidRPr="00775872">
        <w:t>LGA</w:t>
      </w:r>
      <w:r w:rsidR="001468F5" w:rsidRPr="00775872">
        <w:t xml:space="preserve"> level</w:t>
      </w:r>
      <w:r w:rsidRPr="00775872">
        <w:t xml:space="preserve">. Two Metropolitan Partnerships </w:t>
      </w:r>
      <w:r w:rsidR="00134D87" w:rsidRPr="00775872">
        <w:t>o</w:t>
      </w:r>
      <w:r w:rsidRPr="00775872">
        <w:t xml:space="preserve">perate in the </w:t>
      </w:r>
      <w:r w:rsidR="00F10595">
        <w:t>ER</w:t>
      </w:r>
      <w:r w:rsidRPr="00775872">
        <w:t xml:space="preserve">, </w:t>
      </w:r>
      <w:r w:rsidR="00134D87" w:rsidRPr="00775872">
        <w:t xml:space="preserve">i.e. the </w:t>
      </w:r>
      <w:r w:rsidRPr="00775872">
        <w:t>Eastern Metropolitan Melbourne Partnership and the Northern Metropolitan Melbourne Partnership. The Eastern Melbourne Partnership includes representation from Manningham City Council, Maroonda</w:t>
      </w:r>
      <w:r w:rsidR="00134D87" w:rsidRPr="00775872">
        <w:t>h</w:t>
      </w:r>
      <w:r w:rsidRPr="00775872">
        <w:t xml:space="preserve"> City Council, Knox City Council, Yarra Ranges Shire Council, and Whitehorse City Council.  The Northern </w:t>
      </w:r>
      <w:r w:rsidR="00134D87" w:rsidRPr="00775872">
        <w:t xml:space="preserve">Melbourne </w:t>
      </w:r>
      <w:r w:rsidRPr="00775872">
        <w:t xml:space="preserve">Metropolitan </w:t>
      </w:r>
      <w:r w:rsidR="00134D87" w:rsidRPr="00775872">
        <w:t>Partnership includes representation from Banyule City Council, Darebin City Council, Mitchell Shire Council, Nillumbik Shire Council, and Whittlesea City Council.</w:t>
      </w:r>
    </w:p>
    <w:p w14:paraId="1510DAD9" w14:textId="77777777" w:rsidR="00F71D1E" w:rsidRPr="00CB2020" w:rsidRDefault="00F71D1E" w:rsidP="00775872">
      <w:pPr>
        <w:spacing w:after="0"/>
        <w:jc w:val="both"/>
      </w:pPr>
    </w:p>
    <w:p w14:paraId="6D2C41BA" w14:textId="23FCF0F2" w:rsidR="006C27E6" w:rsidRPr="00CB2020" w:rsidRDefault="00134D87" w:rsidP="00B9077F">
      <w:pPr>
        <w:spacing w:after="0"/>
        <w:jc w:val="both"/>
      </w:pPr>
      <w:r w:rsidRPr="00CB2020">
        <w:t xml:space="preserve">The </w:t>
      </w:r>
      <w:r w:rsidR="00F10595">
        <w:t>ER</w:t>
      </w:r>
      <w:r w:rsidRPr="00CB2020">
        <w:t xml:space="preserve"> has a </w:t>
      </w:r>
      <w:r w:rsidR="00787DA5" w:rsidRPr="00CB2020">
        <w:t xml:space="preserve">wide range of partnerships that operate across the </w:t>
      </w:r>
      <w:r w:rsidR="00F10595">
        <w:t>ER</w:t>
      </w:r>
      <w:r w:rsidR="00787DA5" w:rsidRPr="00CB2020">
        <w:t xml:space="preserve"> at both a strategic and local </w:t>
      </w:r>
      <w:r w:rsidR="007653C6" w:rsidRPr="00CB2020">
        <w:t>place-based</w:t>
      </w:r>
      <w:r w:rsidR="00787DA5" w:rsidRPr="00CB2020">
        <w:t xml:space="preserve"> level.  </w:t>
      </w:r>
      <w:r w:rsidR="00B9077F" w:rsidRPr="00CB2020">
        <w:t xml:space="preserve"> These include</w:t>
      </w:r>
      <w:r w:rsidR="001468F5" w:rsidRPr="00CB2020">
        <w:t>, but are not limited to</w:t>
      </w:r>
      <w:r w:rsidR="00B9077F" w:rsidRPr="00CB2020">
        <w:t>:</w:t>
      </w:r>
    </w:p>
    <w:p w14:paraId="15DDA27E" w14:textId="23483308" w:rsidR="006C27E6" w:rsidRPr="00AB7940" w:rsidRDefault="000A5101" w:rsidP="00B9077F">
      <w:pPr>
        <w:pStyle w:val="ListParagraph"/>
        <w:numPr>
          <w:ilvl w:val="0"/>
          <w:numId w:val="2"/>
        </w:numPr>
        <w:spacing w:after="0"/>
        <w:jc w:val="both"/>
        <w:rPr>
          <w:rFonts w:cstheme="minorHAnsi"/>
        </w:rPr>
      </w:pPr>
      <w:r w:rsidRPr="00AB7940">
        <w:rPr>
          <w:rFonts w:cstheme="minorHAnsi"/>
        </w:rPr>
        <w:t xml:space="preserve">Melbourne East </w:t>
      </w:r>
      <w:r w:rsidR="00F10595">
        <w:rPr>
          <w:rFonts w:cstheme="minorHAnsi"/>
        </w:rPr>
        <w:t>R</w:t>
      </w:r>
      <w:r w:rsidR="00F608F0">
        <w:rPr>
          <w:rFonts w:cstheme="minorHAnsi"/>
        </w:rPr>
        <w:t xml:space="preserve">egional </w:t>
      </w:r>
      <w:r w:rsidRPr="00AB7940">
        <w:rPr>
          <w:rFonts w:cstheme="minorHAnsi"/>
        </w:rPr>
        <w:t>Econom</w:t>
      </w:r>
      <w:r w:rsidR="00AB7940" w:rsidRPr="00AB7940">
        <w:rPr>
          <w:rFonts w:cstheme="minorHAnsi"/>
        </w:rPr>
        <w:t>ic Development Group</w:t>
      </w:r>
    </w:p>
    <w:p w14:paraId="4951322D" w14:textId="1C4AE323" w:rsidR="007653C6" w:rsidRDefault="00F608F0" w:rsidP="00134D87">
      <w:pPr>
        <w:pStyle w:val="ListParagraph"/>
        <w:numPr>
          <w:ilvl w:val="0"/>
          <w:numId w:val="2"/>
        </w:numPr>
        <w:spacing w:after="0"/>
        <w:jc w:val="both"/>
        <w:rPr>
          <w:rFonts w:cstheme="minorHAnsi"/>
        </w:rPr>
      </w:pPr>
      <w:r>
        <w:rPr>
          <w:rFonts w:cstheme="minorHAnsi"/>
        </w:rPr>
        <w:t xml:space="preserve">Regional </w:t>
      </w:r>
      <w:r w:rsidR="00AB7940" w:rsidRPr="00AB7940">
        <w:rPr>
          <w:rFonts w:cstheme="minorHAnsi"/>
        </w:rPr>
        <w:t>Development Australia</w:t>
      </w:r>
      <w:r w:rsidR="007653C6">
        <w:rPr>
          <w:rFonts w:cstheme="minorHAnsi"/>
        </w:rPr>
        <w:t xml:space="preserve"> </w:t>
      </w:r>
    </w:p>
    <w:p w14:paraId="7A0C77B1" w14:textId="5E53A0EB" w:rsidR="00FD5351" w:rsidRPr="00134D87" w:rsidRDefault="00FD5351" w:rsidP="00134D87">
      <w:pPr>
        <w:pStyle w:val="ListParagraph"/>
        <w:numPr>
          <w:ilvl w:val="0"/>
          <w:numId w:val="2"/>
        </w:numPr>
        <w:spacing w:after="0"/>
        <w:jc w:val="both"/>
        <w:rPr>
          <w:rFonts w:cstheme="minorHAnsi"/>
        </w:rPr>
      </w:pPr>
      <w:r w:rsidRPr="00134D87">
        <w:rPr>
          <w:rFonts w:cstheme="minorHAnsi"/>
        </w:rPr>
        <w:t>Peri</w:t>
      </w:r>
      <w:r w:rsidR="00F86839" w:rsidRPr="00134D87">
        <w:rPr>
          <w:rFonts w:cstheme="minorHAnsi"/>
        </w:rPr>
        <w:t xml:space="preserve"> Urban group of Rural Councils</w:t>
      </w:r>
    </w:p>
    <w:p w14:paraId="58F3C9C6" w14:textId="72AFB7F9" w:rsidR="00F71D1E" w:rsidRDefault="00F71D1E" w:rsidP="00B9077F">
      <w:pPr>
        <w:pStyle w:val="ListParagraph"/>
        <w:numPr>
          <w:ilvl w:val="0"/>
          <w:numId w:val="2"/>
        </w:numPr>
        <w:spacing w:after="0"/>
        <w:jc w:val="both"/>
        <w:rPr>
          <w:rFonts w:cstheme="minorHAnsi"/>
        </w:rPr>
      </w:pPr>
      <w:r>
        <w:rPr>
          <w:rFonts w:cstheme="minorHAnsi"/>
        </w:rPr>
        <w:t>Eastern Melbourne Group of Councils</w:t>
      </w:r>
    </w:p>
    <w:p w14:paraId="5A31BCAC" w14:textId="53D1E820" w:rsidR="007C7C6B" w:rsidRDefault="007C7C6B" w:rsidP="00B9077F">
      <w:pPr>
        <w:pStyle w:val="ListParagraph"/>
        <w:numPr>
          <w:ilvl w:val="0"/>
          <w:numId w:val="2"/>
        </w:numPr>
        <w:spacing w:after="0"/>
        <w:jc w:val="both"/>
        <w:rPr>
          <w:rFonts w:cstheme="minorHAnsi"/>
        </w:rPr>
      </w:pPr>
      <w:r>
        <w:rPr>
          <w:rFonts w:cstheme="minorHAnsi"/>
        </w:rPr>
        <w:t>Eastern Transport coalition</w:t>
      </w:r>
    </w:p>
    <w:p w14:paraId="231677B9" w14:textId="45B8ADE3" w:rsidR="00F86839" w:rsidRDefault="00F86839" w:rsidP="00B9077F">
      <w:pPr>
        <w:pStyle w:val="ListParagraph"/>
        <w:numPr>
          <w:ilvl w:val="0"/>
          <w:numId w:val="2"/>
        </w:numPr>
        <w:spacing w:after="0"/>
        <w:jc w:val="both"/>
        <w:rPr>
          <w:rFonts w:cstheme="minorHAnsi"/>
        </w:rPr>
      </w:pPr>
      <w:r>
        <w:rPr>
          <w:rFonts w:cstheme="minorHAnsi"/>
        </w:rPr>
        <w:t>NORTH Link</w:t>
      </w:r>
    </w:p>
    <w:p w14:paraId="637667A1" w14:textId="1F799FEE" w:rsidR="0055670F" w:rsidRDefault="00F86839" w:rsidP="0055670F">
      <w:pPr>
        <w:pStyle w:val="ListParagraph"/>
        <w:numPr>
          <w:ilvl w:val="0"/>
          <w:numId w:val="2"/>
        </w:numPr>
        <w:spacing w:after="0"/>
        <w:jc w:val="both"/>
        <w:rPr>
          <w:rFonts w:cstheme="minorHAnsi"/>
        </w:rPr>
      </w:pPr>
      <w:r>
        <w:rPr>
          <w:rFonts w:cstheme="minorHAnsi"/>
        </w:rPr>
        <w:t>North Eastern Business Networking Groups (such as Lower Plenty)</w:t>
      </w:r>
    </w:p>
    <w:p w14:paraId="17F94189" w14:textId="7100F95C" w:rsidR="0055670F" w:rsidRPr="0055670F" w:rsidRDefault="0055670F" w:rsidP="0055670F">
      <w:pPr>
        <w:pStyle w:val="ListParagraph"/>
        <w:numPr>
          <w:ilvl w:val="0"/>
          <w:numId w:val="2"/>
        </w:numPr>
        <w:spacing w:after="0"/>
        <w:jc w:val="both"/>
        <w:rPr>
          <w:rFonts w:cstheme="minorHAnsi"/>
        </w:rPr>
      </w:pPr>
      <w:r>
        <w:rPr>
          <w:rFonts w:cstheme="minorHAnsi"/>
        </w:rPr>
        <w:t xml:space="preserve">The National </w:t>
      </w:r>
      <w:r w:rsidR="00F10595">
        <w:rPr>
          <w:rFonts w:cstheme="minorHAnsi"/>
        </w:rPr>
        <w:t xml:space="preserve">Aboriginal and Torres Strait Islander </w:t>
      </w:r>
      <w:r w:rsidR="00F94B27">
        <w:rPr>
          <w:rFonts w:cstheme="minorHAnsi"/>
        </w:rPr>
        <w:t>p</w:t>
      </w:r>
      <w:r w:rsidR="00F10595">
        <w:rPr>
          <w:rFonts w:cstheme="minorHAnsi"/>
        </w:rPr>
        <w:t>eoples</w:t>
      </w:r>
      <w:r>
        <w:rPr>
          <w:rFonts w:cstheme="minorHAnsi"/>
        </w:rPr>
        <w:t xml:space="preserve"> Australians Agency (NIAA)</w:t>
      </w:r>
    </w:p>
    <w:p w14:paraId="6EA6EB39" w14:textId="4D6B34E2" w:rsidR="00CD4CC5" w:rsidRDefault="00CD4CC5" w:rsidP="00B9077F">
      <w:pPr>
        <w:pStyle w:val="ListParagraph"/>
        <w:numPr>
          <w:ilvl w:val="0"/>
          <w:numId w:val="2"/>
        </w:numPr>
        <w:spacing w:after="0"/>
        <w:jc w:val="both"/>
        <w:rPr>
          <w:rFonts w:cstheme="minorHAnsi"/>
        </w:rPr>
      </w:pPr>
      <w:r>
        <w:rPr>
          <w:rFonts w:cstheme="minorHAnsi"/>
        </w:rPr>
        <w:t xml:space="preserve">Aboriginal and Torres Strait Islander </w:t>
      </w:r>
      <w:r w:rsidR="00F94B27">
        <w:rPr>
          <w:rFonts w:cstheme="minorHAnsi"/>
        </w:rPr>
        <w:t>p</w:t>
      </w:r>
      <w:r w:rsidR="00767818">
        <w:rPr>
          <w:rFonts w:cstheme="minorHAnsi"/>
        </w:rPr>
        <w:t xml:space="preserve">eoples </w:t>
      </w:r>
      <w:r>
        <w:rPr>
          <w:rFonts w:cstheme="minorHAnsi"/>
        </w:rPr>
        <w:t>Committees.</w:t>
      </w:r>
    </w:p>
    <w:p w14:paraId="505DDBE0" w14:textId="77777777" w:rsidR="00165B4F" w:rsidRPr="00165B4F" w:rsidRDefault="00165B4F" w:rsidP="00165B4F">
      <w:pPr>
        <w:spacing w:after="0"/>
        <w:ind w:right="95"/>
        <w:jc w:val="both"/>
        <w:rPr>
          <w:rStyle w:val="Heading1Char"/>
          <w:rFonts w:asciiTheme="minorHAnsi" w:eastAsiaTheme="minorEastAsia" w:hAnsiTheme="minorHAnsi" w:cstheme="minorHAnsi"/>
          <w:color w:val="auto"/>
          <w:sz w:val="22"/>
          <w:szCs w:val="22"/>
        </w:rPr>
      </w:pPr>
    </w:p>
    <w:p w14:paraId="1F3F3690" w14:textId="01ABEFB4" w:rsidR="00134D87" w:rsidRPr="00775872" w:rsidRDefault="00134D87" w:rsidP="00775872">
      <w:pPr>
        <w:spacing w:after="0"/>
        <w:jc w:val="both"/>
      </w:pPr>
      <w:r w:rsidRPr="00775872">
        <w:lastRenderedPageBreak/>
        <w:t xml:space="preserve">There are a range of Australian Government employment programs within the Department of Education, Skills and Employment (DESE) portfolio that are delivered by employment services providers in the </w:t>
      </w:r>
      <w:r w:rsidR="00F10595">
        <w:t>ER</w:t>
      </w:r>
      <w:r w:rsidRPr="00775872">
        <w:t xml:space="preserve">. </w:t>
      </w:r>
      <w:r w:rsidR="00EE2D29">
        <w:t>Six</w:t>
      </w:r>
      <w:r w:rsidR="00165B4F" w:rsidRPr="00775872">
        <w:t xml:space="preserve"> </w:t>
      </w:r>
      <w:r w:rsidRPr="00775872">
        <w:t>providers deliver jobactive services</w:t>
      </w:r>
      <w:r w:rsidR="00165B4F" w:rsidRPr="00775872">
        <w:t xml:space="preserve"> in the </w:t>
      </w:r>
      <w:r w:rsidR="00F10595">
        <w:t>ER</w:t>
      </w:r>
      <w:r w:rsidRPr="00775872">
        <w:t>: AMES</w:t>
      </w:r>
      <w:r w:rsidR="00165B4F" w:rsidRPr="00775872">
        <w:t xml:space="preserve"> Australia</w:t>
      </w:r>
      <w:r w:rsidRPr="00775872">
        <w:t>, J</w:t>
      </w:r>
      <w:r w:rsidR="00165B4F" w:rsidRPr="00775872">
        <w:t xml:space="preserve">ob Prospects, </w:t>
      </w:r>
      <w:r w:rsidRPr="00775872">
        <w:t xml:space="preserve">MatchWorks, MAX Employment, Sarina Russo Job Access and </w:t>
      </w:r>
      <w:r w:rsidR="00165B4F" w:rsidRPr="00775872">
        <w:t xml:space="preserve">The Salvation Army Employment Plus. </w:t>
      </w:r>
    </w:p>
    <w:p w14:paraId="67C01552" w14:textId="77777777" w:rsidR="00165B4F" w:rsidRPr="00775872" w:rsidRDefault="00165B4F" w:rsidP="00775872">
      <w:pPr>
        <w:spacing w:after="0"/>
        <w:jc w:val="both"/>
      </w:pPr>
    </w:p>
    <w:p w14:paraId="571CFE5D" w14:textId="6A919057" w:rsidR="00134D87" w:rsidRDefault="00134D87">
      <w:pPr>
        <w:spacing w:after="0"/>
        <w:jc w:val="both"/>
      </w:pPr>
      <w:r w:rsidRPr="00775872">
        <w:t xml:space="preserve">Other DESE employment services in the </w:t>
      </w:r>
      <w:r w:rsidR="00F10595">
        <w:t>ER</w:t>
      </w:r>
      <w:r w:rsidRPr="00775872">
        <w:t xml:space="preserve"> include ParentsNext, Transition to Work (TtW), New Enterprise Incentive Scheme (NEIS), Career Transition Assistance (CTA), Employability Skills Training (EST), Entrepreneurship Facilitator Services</w:t>
      </w:r>
      <w:r w:rsidR="00165B4F" w:rsidRPr="00775872">
        <w:t>,</w:t>
      </w:r>
      <w:r w:rsidRPr="00775872">
        <w:t xml:space="preserve"> and </w:t>
      </w:r>
      <w:r w:rsidR="001468F5" w:rsidRPr="00775872">
        <w:t xml:space="preserve">the </w:t>
      </w:r>
      <w:r w:rsidRPr="00775872">
        <w:t>Australian Apprenticeship Support Network (AASN).</w:t>
      </w:r>
    </w:p>
    <w:p w14:paraId="3A3554E4" w14:textId="77777777" w:rsidR="00EE2D29" w:rsidRPr="00775872" w:rsidRDefault="00EE2D29" w:rsidP="00EE2D29">
      <w:pPr>
        <w:spacing w:after="0"/>
        <w:jc w:val="both"/>
      </w:pPr>
    </w:p>
    <w:p w14:paraId="0E505A27" w14:textId="77777777" w:rsidR="00EE2D29" w:rsidRDefault="00134D87" w:rsidP="00165B4F">
      <w:pPr>
        <w:spacing w:after="0"/>
        <w:jc w:val="both"/>
      </w:pPr>
      <w:r w:rsidRPr="00775872">
        <w:t xml:space="preserve">Additional Australian Government programs delivered by other </w:t>
      </w:r>
      <w:r w:rsidR="00165B4F" w:rsidRPr="00775872">
        <w:t xml:space="preserve">Australian government </w:t>
      </w:r>
      <w:r w:rsidRPr="00775872">
        <w:t xml:space="preserve">agencies include Vocational Training and Employment Centre (VTEC), DES - Disability Management Service (DES DMS), DES - Employment Support Service (DES ESS), </w:t>
      </w:r>
      <w:r w:rsidR="00165B4F" w:rsidRPr="00775872">
        <w:t xml:space="preserve">and the </w:t>
      </w:r>
      <w:r w:rsidRPr="00775872">
        <w:t>National Disability Insurance Scheme (NDIS)</w:t>
      </w:r>
      <w:r w:rsidR="00165B4F" w:rsidRPr="00775872">
        <w:t>.</w:t>
      </w:r>
    </w:p>
    <w:p w14:paraId="67F86A02" w14:textId="77777777" w:rsidR="00EE2D29" w:rsidRDefault="00EE2D29" w:rsidP="00165B4F">
      <w:pPr>
        <w:spacing w:after="0"/>
        <w:jc w:val="both"/>
      </w:pPr>
    </w:p>
    <w:p w14:paraId="4B21A168" w14:textId="62E4DF24" w:rsidR="00165B4F" w:rsidRPr="00CB2020" w:rsidRDefault="006C27E6" w:rsidP="00165B4F">
      <w:pPr>
        <w:spacing w:after="0"/>
        <w:jc w:val="both"/>
      </w:pPr>
      <w:r w:rsidRPr="00775872">
        <w:t>The</w:t>
      </w:r>
      <w:r w:rsidR="00165B4F" w:rsidRPr="00775872">
        <w:t xml:space="preserve">re are also a number of </w:t>
      </w:r>
      <w:r w:rsidRPr="00775872">
        <w:t xml:space="preserve">Victoria State Government training and employment programs </w:t>
      </w:r>
      <w:r w:rsidR="00165B4F" w:rsidRPr="00775872">
        <w:t xml:space="preserve">supporting job seekers and employers in the </w:t>
      </w:r>
      <w:r w:rsidR="00F10595">
        <w:t>ER</w:t>
      </w:r>
      <w:r w:rsidR="00165B4F" w:rsidRPr="00775872">
        <w:t xml:space="preserve">.  These include </w:t>
      </w:r>
      <w:r w:rsidR="001468F5" w:rsidRPr="00775872">
        <w:t xml:space="preserve">the </w:t>
      </w:r>
      <w:r w:rsidR="00165B4F" w:rsidRPr="00775872">
        <w:t xml:space="preserve">Jobs Victoria Employment Services Network (JVEN), </w:t>
      </w:r>
      <w:r w:rsidR="00165B4F" w:rsidRPr="00CB2020">
        <w:t>Jobs Victoria Advocates,</w:t>
      </w:r>
      <w:r w:rsidR="00165B4F" w:rsidRPr="00775872">
        <w:t xml:space="preserve"> </w:t>
      </w:r>
      <w:r w:rsidR="001468F5" w:rsidRPr="00775872">
        <w:t xml:space="preserve">and </w:t>
      </w:r>
      <w:r w:rsidR="00165B4F" w:rsidRPr="00775872">
        <w:t>Skills and Jobs Centres</w:t>
      </w:r>
      <w:r w:rsidR="00964756" w:rsidRPr="00775872">
        <w:t>.</w:t>
      </w:r>
      <w:r w:rsidR="00165B4F" w:rsidRPr="00775872">
        <w:t xml:space="preserve"> </w:t>
      </w:r>
    </w:p>
    <w:p w14:paraId="788BEB42" w14:textId="77777777" w:rsidR="00964756" w:rsidRPr="00CB2020" w:rsidRDefault="00964756" w:rsidP="00165B4F">
      <w:pPr>
        <w:spacing w:after="0"/>
        <w:jc w:val="both"/>
      </w:pPr>
    </w:p>
    <w:p w14:paraId="172B4EDF" w14:textId="2A5B884A" w:rsidR="00964756" w:rsidRPr="00775872" w:rsidRDefault="00964756" w:rsidP="00775872">
      <w:pPr>
        <w:spacing w:after="0"/>
        <w:jc w:val="both"/>
      </w:pPr>
      <w:r w:rsidRPr="00775872">
        <w:t xml:space="preserve">The </w:t>
      </w:r>
      <w:r w:rsidR="00F10595">
        <w:t>ER</w:t>
      </w:r>
      <w:r w:rsidRPr="00775872">
        <w:t xml:space="preserve"> is home to a wide variety of education providers that cater to all levels of training needs, from entry level </w:t>
      </w:r>
      <w:r w:rsidR="006931DA" w:rsidRPr="00775872">
        <w:t xml:space="preserve">training, trade training and </w:t>
      </w:r>
      <w:r w:rsidRPr="00775872">
        <w:t xml:space="preserve">higher education.  </w:t>
      </w:r>
      <w:r w:rsidR="006931DA" w:rsidRPr="00775872">
        <w:t xml:space="preserve">Training and education providers </w:t>
      </w:r>
      <w:r w:rsidRPr="00775872">
        <w:t xml:space="preserve">include; </w:t>
      </w:r>
      <w:r w:rsidRPr="00CB2020">
        <w:t xml:space="preserve">Melbourne Polytechnic, Swinburne University and RMIT University, </w:t>
      </w:r>
      <w:r w:rsidR="006931DA" w:rsidRPr="00CB2020">
        <w:t xml:space="preserve">TAFEs, </w:t>
      </w:r>
      <w:r w:rsidRPr="00CB2020">
        <w:t>a Learn Local Employment Network (LLEN)</w:t>
      </w:r>
      <w:r w:rsidR="006931DA" w:rsidRPr="00CB2020">
        <w:t xml:space="preserve"> and </w:t>
      </w:r>
      <w:r w:rsidRPr="00CB2020">
        <w:t>schools</w:t>
      </w:r>
      <w:r w:rsidR="006931DA" w:rsidRPr="00CB2020">
        <w:t xml:space="preserve">. </w:t>
      </w:r>
      <w:r w:rsidRPr="00CB2020">
        <w:t xml:space="preserve"> </w:t>
      </w:r>
      <w:r w:rsidR="006931DA" w:rsidRPr="00CB2020">
        <w:t xml:space="preserve">A </w:t>
      </w:r>
      <w:r w:rsidRPr="00CB2020">
        <w:t xml:space="preserve">number </w:t>
      </w:r>
      <w:r w:rsidR="007653C6" w:rsidRPr="00CB2020">
        <w:t xml:space="preserve">of </w:t>
      </w:r>
      <w:r w:rsidR="0074515A">
        <w:t xml:space="preserve">RTOs </w:t>
      </w:r>
      <w:r w:rsidR="007653C6" w:rsidRPr="00CB2020">
        <w:t>Registered</w:t>
      </w:r>
      <w:r w:rsidRPr="00CB2020">
        <w:t xml:space="preserve"> Training Organisations (RTOs)</w:t>
      </w:r>
      <w:r w:rsidR="006931DA" w:rsidRPr="00CB2020">
        <w:t xml:space="preserve"> also operate across the </w:t>
      </w:r>
      <w:r w:rsidR="00F10595">
        <w:t>ER</w:t>
      </w:r>
      <w:r w:rsidR="006931DA" w:rsidRPr="00CB2020">
        <w:t xml:space="preserve">, </w:t>
      </w:r>
      <w:r w:rsidRPr="00CB2020">
        <w:t xml:space="preserve">including </w:t>
      </w:r>
      <w:r w:rsidR="006931DA" w:rsidRPr="00CB2020">
        <w:t xml:space="preserve">some who </w:t>
      </w:r>
      <w:r w:rsidRPr="00CB2020">
        <w:t>deliver</w:t>
      </w:r>
      <w:r w:rsidR="006931DA" w:rsidRPr="00CB2020">
        <w:t xml:space="preserve"> </w:t>
      </w:r>
      <w:r w:rsidRPr="00CB2020">
        <w:t>industry specific vocational training.</w:t>
      </w:r>
    </w:p>
    <w:p w14:paraId="32434A8B" w14:textId="77777777" w:rsidR="00964756" w:rsidRDefault="00964756" w:rsidP="00964756">
      <w:pPr>
        <w:rPr>
          <w:rFonts w:ascii="Calibri" w:hAnsi="Calibri" w:cs="Calibri"/>
          <w:color w:val="000000" w:themeColor="text1"/>
        </w:rPr>
      </w:pPr>
    </w:p>
    <w:p w14:paraId="4B0F05AA" w14:textId="4B8F1CAA" w:rsidR="00BF52AA" w:rsidRDefault="00BF52AA" w:rsidP="006C27E6">
      <w:pPr>
        <w:jc w:val="both"/>
        <w:rPr>
          <w:rFonts w:cstheme="minorHAnsi"/>
        </w:rPr>
      </w:pPr>
    </w:p>
    <w:p w14:paraId="2FF879BE" w14:textId="6A634C5B" w:rsidR="002D0A7D" w:rsidRDefault="002D0A7D" w:rsidP="006C27E6">
      <w:pPr>
        <w:jc w:val="both"/>
        <w:rPr>
          <w:rFonts w:cstheme="minorHAnsi"/>
        </w:rPr>
      </w:pPr>
    </w:p>
    <w:p w14:paraId="7E753332" w14:textId="7139F3D5" w:rsidR="002D0A7D" w:rsidRDefault="002D0A7D" w:rsidP="006C27E6">
      <w:pPr>
        <w:jc w:val="both"/>
        <w:rPr>
          <w:rFonts w:cstheme="minorHAnsi"/>
        </w:rPr>
      </w:pPr>
    </w:p>
    <w:p w14:paraId="2C5BF47F" w14:textId="77777777" w:rsidR="002D0A7D" w:rsidRDefault="002D0A7D" w:rsidP="006C27E6">
      <w:pPr>
        <w:jc w:val="both"/>
        <w:rPr>
          <w:rFonts w:cstheme="minorHAnsi"/>
        </w:rPr>
        <w:sectPr w:rsidR="002D0A7D" w:rsidSect="004C2685">
          <w:headerReference w:type="default" r:id="rId10"/>
          <w:footerReference w:type="default" r:id="rId11"/>
          <w:pgSz w:w="11906" w:h="16838" w:code="9"/>
          <w:pgMar w:top="1440" w:right="1440" w:bottom="1440" w:left="1440" w:header="709" w:footer="709" w:gutter="0"/>
          <w:cols w:space="708"/>
          <w:titlePg/>
          <w:docGrid w:linePitch="360"/>
        </w:sectPr>
      </w:pPr>
    </w:p>
    <w:p w14:paraId="1AC00D93" w14:textId="1167AD5E" w:rsidR="00F5227F" w:rsidRPr="002D0A7D" w:rsidRDefault="007E1151" w:rsidP="002D0A7D">
      <w:pPr>
        <w:spacing w:after="120"/>
        <w:ind w:right="95"/>
        <w:rPr>
          <w:rFonts w:cstheme="minorHAnsi"/>
          <w:noProof/>
          <w:color w:val="1D4289"/>
          <w:sz w:val="32"/>
          <w:szCs w:val="32"/>
        </w:rPr>
      </w:pPr>
      <w:r>
        <w:rPr>
          <w:rFonts w:cstheme="minorHAnsi"/>
          <w:noProof/>
          <w:color w:val="1D4289"/>
          <w:sz w:val="32"/>
          <w:szCs w:val="32"/>
        </w:rPr>
        <w:lastRenderedPageBreak/>
        <w:drawing>
          <wp:inline distT="0" distB="0" distL="0" distR="0" wp14:anchorId="2589A206" wp14:editId="35EF1563">
            <wp:extent cx="9239250" cy="6515735"/>
            <wp:effectExtent l="0" t="0" r="0" b="0"/>
            <wp:docPr id="4" name="Picture 4" descr="This Labour Market Data Dashboard was published on 7 June 2021 and provides a summary of the key indicators for the North Eastern Melbourne Employment Region labour market. &#10;&#10;The dashboards combine a range of data for each of the 51 Employment Regions, to provide an overview of local labour market conditions. &#10;&#10;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Labour Market Data Dashboard was published on 7 June 2021 and provides a summary of the key indicators for the North Eastern Melbourne Employment Region labour market. &#10;&#10;The dashboards combine a range of data for each of the 51 Employment Regions, to provide an overview of local labour market conditions. &#10;&#10;Dashboards are also available for each state and territory, and at the national level. The data used include the Labour Force Survey, Employment Services Caseload, Internet Vacancy Index and Small Area Labour Markets.&#10;&#10;For any enquiries related to this dashboard, please contact EmploymentPathwaysAnalysis@skillscommission.gov.au&#10;"/>
                    <pic:cNvPicPr/>
                  </pic:nvPicPr>
                  <pic:blipFill rotWithShape="1">
                    <a:blip r:embed="rId12">
                      <a:extLst>
                        <a:ext uri="{28A0092B-C50C-407E-A947-70E740481C1C}">
                          <a14:useLocalDpi xmlns:a14="http://schemas.microsoft.com/office/drawing/2010/main" val="0"/>
                        </a:ext>
                      </a:extLst>
                    </a:blip>
                    <a:srcRect r="948"/>
                    <a:stretch/>
                  </pic:blipFill>
                  <pic:spPr bwMode="auto">
                    <a:xfrm>
                      <a:off x="0" y="0"/>
                      <a:ext cx="9302902" cy="6560624"/>
                    </a:xfrm>
                    <a:prstGeom prst="rect">
                      <a:avLst/>
                    </a:prstGeom>
                    <a:ln>
                      <a:noFill/>
                    </a:ln>
                    <a:extLst>
                      <a:ext uri="{53640926-AAD7-44D8-BBD7-CCE9431645EC}">
                        <a14:shadowObscured xmlns:a14="http://schemas.microsoft.com/office/drawing/2010/main"/>
                      </a:ext>
                    </a:extLst>
                  </pic:spPr>
                </pic:pic>
              </a:graphicData>
            </a:graphic>
          </wp:inline>
        </w:drawing>
      </w:r>
    </w:p>
    <w:sectPr w:rsidR="00F5227F" w:rsidRPr="002D0A7D" w:rsidSect="002D0A7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8D46A" w14:textId="77777777" w:rsidR="00FB68B4" w:rsidRDefault="00FB68B4" w:rsidP="006C27E6">
      <w:pPr>
        <w:spacing w:after="0" w:line="240" w:lineRule="auto"/>
      </w:pPr>
      <w:r>
        <w:separator/>
      </w:r>
    </w:p>
  </w:endnote>
  <w:endnote w:type="continuationSeparator" w:id="0">
    <w:p w14:paraId="4B684A67" w14:textId="77777777" w:rsidR="00FB68B4" w:rsidRDefault="00FB68B4" w:rsidP="006C2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863395"/>
      <w:docPartObj>
        <w:docPartGallery w:val="Page Numbers (Bottom of Page)"/>
        <w:docPartUnique/>
      </w:docPartObj>
    </w:sdtPr>
    <w:sdtEndPr>
      <w:rPr>
        <w:noProof/>
      </w:rPr>
    </w:sdtEndPr>
    <w:sdtContent>
      <w:p w14:paraId="0D323342" w14:textId="490434D3" w:rsidR="00C7651D" w:rsidRDefault="00C76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858F95" w14:textId="77777777" w:rsidR="00C7651D" w:rsidRDefault="00C7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78B0" w14:textId="77777777" w:rsidR="00FB68B4" w:rsidRDefault="00FB68B4" w:rsidP="006C27E6">
      <w:pPr>
        <w:spacing w:after="0" w:line="240" w:lineRule="auto"/>
      </w:pPr>
      <w:r>
        <w:separator/>
      </w:r>
    </w:p>
  </w:footnote>
  <w:footnote w:type="continuationSeparator" w:id="0">
    <w:p w14:paraId="3202B1F6" w14:textId="77777777" w:rsidR="00FB68B4" w:rsidRDefault="00FB68B4" w:rsidP="006C27E6">
      <w:pPr>
        <w:spacing w:after="0" w:line="240" w:lineRule="auto"/>
      </w:pPr>
      <w:r>
        <w:continuationSeparator/>
      </w:r>
    </w:p>
  </w:footnote>
  <w:footnote w:id="1">
    <w:p w14:paraId="4C2307BC" w14:textId="5E61C391" w:rsidR="00C7651D" w:rsidRDefault="00C7651D">
      <w:pPr>
        <w:pStyle w:val="FootnoteText"/>
      </w:pPr>
      <w:r>
        <w:rPr>
          <w:rStyle w:val="FootnoteReference"/>
        </w:rPr>
        <w:footnoteRef/>
      </w:r>
      <w:r>
        <w:t xml:space="preserve"> Australian Bureau of Statistics -</w:t>
      </w:r>
      <w:r w:rsidRPr="00881AD7">
        <w:rPr>
          <w:rFonts w:ascii="Arial" w:hAnsi="Arial" w:cs="Arial"/>
          <w:b/>
          <w:bCs/>
          <w:color w:val="223F83"/>
          <w:sz w:val="21"/>
          <w:szCs w:val="21"/>
          <w:shd w:val="clear" w:color="auto" w:fill="FFFFFF"/>
        </w:rPr>
        <w:t xml:space="preserve"> </w:t>
      </w:r>
      <w:r w:rsidRPr="003D1F13">
        <w:t>Socio-Economic Indexes for Areas (SEIFA)</w:t>
      </w:r>
    </w:p>
  </w:footnote>
  <w:footnote w:id="2">
    <w:p w14:paraId="3074A2AE" w14:textId="3325A843" w:rsidR="00C7651D" w:rsidRDefault="00C7651D">
      <w:pPr>
        <w:pStyle w:val="FootnoteText"/>
      </w:pPr>
      <w:r>
        <w:rPr>
          <w:rStyle w:val="FootnoteReference"/>
        </w:rPr>
        <w:footnoteRef/>
      </w:r>
      <w:r>
        <w:t xml:space="preserve"> Labour Market Information Portal Unemployment Rate, Participation Rate &amp; Employment Rate Time Series (SA4) May 2021</w:t>
      </w:r>
    </w:p>
  </w:footnote>
  <w:footnote w:id="3">
    <w:p w14:paraId="447E4DE6" w14:textId="35F09893" w:rsidR="00C7651D" w:rsidRDefault="00C7651D">
      <w:pPr>
        <w:pStyle w:val="FootnoteText"/>
      </w:pPr>
      <w:r>
        <w:rPr>
          <w:rStyle w:val="FootnoteReference"/>
        </w:rPr>
        <w:footnoteRef/>
      </w:r>
      <w:r>
        <w:t xml:space="preserve"> National Skills Commission, Small Area Labour Markets, March quarter 2021.</w:t>
      </w:r>
    </w:p>
  </w:footnote>
  <w:footnote w:id="4">
    <w:p w14:paraId="7815B66E" w14:textId="14660C83" w:rsidR="00C7651D" w:rsidRDefault="00C7651D">
      <w:pPr>
        <w:pStyle w:val="FootnoteText"/>
      </w:pPr>
      <w:r>
        <w:rPr>
          <w:rStyle w:val="FootnoteReference"/>
        </w:rPr>
        <w:footnoteRef/>
      </w:r>
      <w:r>
        <w:t xml:space="preserve"> Labour Market Information Portal Unemployment Rate, Participation Rate &amp; Employment Rate Time Series May 2021</w:t>
      </w:r>
    </w:p>
  </w:footnote>
  <w:footnote w:id="5">
    <w:p w14:paraId="0A5FF61F" w14:textId="514665F0" w:rsidR="00C7651D" w:rsidRDefault="00C7651D">
      <w:pPr>
        <w:pStyle w:val="FootnoteText"/>
      </w:pPr>
      <w:r>
        <w:rPr>
          <w:rStyle w:val="FootnoteReference"/>
        </w:rPr>
        <w:footnoteRef/>
      </w:r>
      <w:r>
        <w:t xml:space="preserve"> Australian Bureau of Statistics (ABS), SA4 Employment </w:t>
      </w:r>
      <w:r w:rsidR="00F10595">
        <w:t>ER</w:t>
      </w:r>
      <w:r>
        <w:t>s – Time Series, May 2021</w:t>
      </w:r>
    </w:p>
  </w:footnote>
  <w:footnote w:id="6">
    <w:p w14:paraId="124DA081" w14:textId="508F2A26" w:rsidR="00C7651D" w:rsidRDefault="00C7651D">
      <w:pPr>
        <w:pStyle w:val="FootnoteText"/>
      </w:pPr>
      <w:r>
        <w:rPr>
          <w:rStyle w:val="FootnoteReference"/>
        </w:rPr>
        <w:footnoteRef/>
      </w:r>
      <w:r>
        <w:t xml:space="preserve"> Employment Services Caseload data as at 30 June 2021</w:t>
      </w:r>
    </w:p>
  </w:footnote>
  <w:footnote w:id="7">
    <w:p w14:paraId="00DC20E8" w14:textId="017F6566" w:rsidR="00C7651D" w:rsidRDefault="00C7651D">
      <w:pPr>
        <w:pStyle w:val="FootnoteText"/>
      </w:pPr>
      <w:r>
        <w:rPr>
          <w:rStyle w:val="FootnoteReference"/>
        </w:rPr>
        <w:footnoteRef/>
      </w:r>
      <w:r>
        <w:t xml:space="preserve"> Employment Services Caseload data as at 30 June 2021</w:t>
      </w:r>
    </w:p>
  </w:footnote>
  <w:footnote w:id="8">
    <w:p w14:paraId="19B49D80" w14:textId="06986C58" w:rsidR="00C7651D" w:rsidRDefault="00C7651D">
      <w:pPr>
        <w:pStyle w:val="FootnoteText"/>
      </w:pPr>
      <w:r>
        <w:rPr>
          <w:rStyle w:val="FootnoteReference"/>
        </w:rPr>
        <w:footnoteRef/>
      </w:r>
      <w:r>
        <w:t xml:space="preserve"> </w:t>
      </w:r>
      <w:sdt>
        <w:sdtPr>
          <w:rPr>
            <w:rFonts w:asciiTheme="minorHAnsi" w:hAnsiTheme="minorHAnsi" w:cstheme="minorHAnsi"/>
            <w:szCs w:val="18"/>
          </w:rPr>
          <w:id w:val="408349453"/>
          <w:citation/>
        </w:sdtPr>
        <w:sdtEndPr/>
        <w:sdtContent>
          <w:r w:rsidRPr="008E6CA5">
            <w:rPr>
              <w:rFonts w:asciiTheme="minorHAnsi" w:hAnsiTheme="minorHAnsi" w:cstheme="minorHAnsi"/>
              <w:szCs w:val="18"/>
            </w:rPr>
            <w:fldChar w:fldCharType="begin"/>
          </w:r>
          <w:r w:rsidRPr="008E6CA5">
            <w:rPr>
              <w:rFonts w:asciiTheme="minorHAnsi" w:hAnsiTheme="minorHAnsi" w:cstheme="minorHAnsi"/>
              <w:szCs w:val="18"/>
            </w:rPr>
            <w:instrText xml:space="preserve"> CITATION Lab \l 3081 </w:instrText>
          </w:r>
          <w:r w:rsidRPr="008E6CA5">
            <w:rPr>
              <w:rFonts w:asciiTheme="minorHAnsi" w:hAnsiTheme="minorHAnsi" w:cstheme="minorHAnsi"/>
              <w:szCs w:val="18"/>
            </w:rPr>
            <w:fldChar w:fldCharType="separate"/>
          </w:r>
          <w:r w:rsidRPr="008E6CA5">
            <w:rPr>
              <w:rFonts w:asciiTheme="minorHAnsi" w:hAnsiTheme="minorHAnsi" w:cstheme="minorHAnsi"/>
              <w:noProof/>
              <w:szCs w:val="18"/>
            </w:rPr>
            <w:t xml:space="preserve"> (Labour Market Information Portal Employmment Region Summary data 30 June 2021)</w:t>
          </w:r>
          <w:r w:rsidRPr="008E6CA5">
            <w:rPr>
              <w:rFonts w:asciiTheme="minorHAnsi" w:hAnsiTheme="minorHAnsi" w:cstheme="minorHAnsi"/>
              <w:szCs w:val="18"/>
            </w:rPr>
            <w:fldChar w:fldCharType="end"/>
          </w:r>
        </w:sdtContent>
      </w:sdt>
    </w:p>
  </w:footnote>
  <w:footnote w:id="9">
    <w:p w14:paraId="29FAF1FF" w14:textId="41652D7B" w:rsidR="00352D59" w:rsidRDefault="00352D59">
      <w:pPr>
        <w:pStyle w:val="FootnoteText"/>
      </w:pPr>
      <w:r>
        <w:rPr>
          <w:rStyle w:val="FootnoteReference"/>
        </w:rPr>
        <w:footnoteRef/>
      </w:r>
      <w:r>
        <w:t xml:space="preserve"> Labour Market Information Portal jobactive caseload by selected cohort time series</w:t>
      </w:r>
    </w:p>
  </w:footnote>
  <w:footnote w:id="10">
    <w:p w14:paraId="0B7CFE24" w14:textId="5698195E" w:rsidR="00C7651D" w:rsidRDefault="00C7651D">
      <w:pPr>
        <w:pStyle w:val="FootnoteText"/>
      </w:pPr>
      <w:r>
        <w:rPr>
          <w:rStyle w:val="FootnoteReference"/>
        </w:rPr>
        <w:footnoteRef/>
      </w:r>
      <w:r>
        <w:t xml:space="preserve"> Employment Services Caseload data as at 30 June 2021</w:t>
      </w:r>
    </w:p>
  </w:footnote>
  <w:footnote w:id="11">
    <w:p w14:paraId="26B1E44D" w14:textId="3C6B07A5" w:rsidR="00C7651D" w:rsidRDefault="00C7651D">
      <w:pPr>
        <w:pStyle w:val="FootnoteText"/>
      </w:pPr>
      <w:r>
        <w:rPr>
          <w:rStyle w:val="FootnoteReference"/>
        </w:rPr>
        <w:footnoteRef/>
      </w:r>
      <w:r>
        <w:t xml:space="preserve"> Labour Market Information Portal -jobactive Caseload by Selected Cohorts Time Series</w:t>
      </w:r>
    </w:p>
  </w:footnote>
  <w:footnote w:id="12">
    <w:p w14:paraId="64B416D4" w14:textId="59C35733" w:rsidR="00C7651D" w:rsidRDefault="00C7651D">
      <w:pPr>
        <w:pStyle w:val="FootnoteText"/>
      </w:pPr>
      <w:r>
        <w:rPr>
          <w:rStyle w:val="FootnoteReference"/>
        </w:rPr>
        <w:footnoteRef/>
      </w:r>
      <w:r>
        <w:t xml:space="preserve"> Labour Market Information Portal- jobactive and TtW Provider Caseload by Selected Cohorts</w:t>
      </w:r>
    </w:p>
  </w:footnote>
  <w:footnote w:id="13">
    <w:p w14:paraId="3573F58A" w14:textId="4630BED1" w:rsidR="00C7651D" w:rsidRDefault="00C7651D">
      <w:pPr>
        <w:pStyle w:val="FootnoteText"/>
      </w:pPr>
      <w:r>
        <w:rPr>
          <w:rStyle w:val="FootnoteReference"/>
        </w:rPr>
        <w:footnoteRef/>
      </w:r>
      <w:r>
        <w:t xml:space="preserve"> Labour Market Information Portal Employment by Occupation May 2021</w:t>
      </w:r>
    </w:p>
  </w:footnote>
  <w:footnote w:id="14">
    <w:p w14:paraId="5DE5AB6E" w14:textId="73B4DA67" w:rsidR="00C7651D" w:rsidRDefault="00C7651D">
      <w:pPr>
        <w:pStyle w:val="FootnoteText"/>
      </w:pPr>
      <w:r>
        <w:rPr>
          <w:rStyle w:val="FootnoteReference"/>
        </w:rPr>
        <w:footnoteRef/>
      </w:r>
      <w:r>
        <w:t xml:space="preserve"> Government of Australia Budget 2021-2022</w:t>
      </w:r>
    </w:p>
  </w:footnote>
  <w:footnote w:id="15">
    <w:p w14:paraId="755AC07A" w14:textId="603F819C" w:rsidR="00C7651D" w:rsidRDefault="00C7651D">
      <w:pPr>
        <w:pStyle w:val="FootnoteText"/>
      </w:pPr>
      <w:r>
        <w:rPr>
          <w:rStyle w:val="FootnoteReference"/>
        </w:rPr>
        <w:footnoteRef/>
      </w:r>
      <w:r>
        <w:t xml:space="preserve"> Budget papers 2021/22 Victorian State Budget papers</w:t>
      </w:r>
    </w:p>
  </w:footnote>
  <w:footnote w:id="16">
    <w:p w14:paraId="27241CF6" w14:textId="7F5EFBAB" w:rsidR="00C7651D" w:rsidRDefault="00C7651D">
      <w:pPr>
        <w:pStyle w:val="FootnoteText"/>
      </w:pPr>
      <w:r>
        <w:rPr>
          <w:rStyle w:val="FootnoteReference"/>
        </w:rPr>
        <w:footnoteRef/>
      </w:r>
      <w:r>
        <w:t xml:space="preserve"> Employment Region Data, Employment by Industry- May 2021</w:t>
      </w:r>
    </w:p>
  </w:footnote>
  <w:footnote w:id="17">
    <w:p w14:paraId="22B758D5" w14:textId="7493F3F9" w:rsidR="00C7651D" w:rsidRDefault="00C7651D">
      <w:pPr>
        <w:pStyle w:val="FootnoteText"/>
      </w:pPr>
      <w:r>
        <w:rPr>
          <w:rStyle w:val="FootnoteReference"/>
        </w:rPr>
        <w:footnoteRef/>
      </w:r>
      <w:r>
        <w:t xml:space="preserve"> Labour Market Information Portal, Employment Region-Employment Projections to May 2024</w:t>
      </w:r>
    </w:p>
  </w:footnote>
  <w:footnote w:id="18">
    <w:p w14:paraId="1AF74E64" w14:textId="77777777" w:rsidR="00C7651D" w:rsidRDefault="00C7651D" w:rsidP="006C27E6">
      <w:pPr>
        <w:pStyle w:val="FootnoteText"/>
      </w:pPr>
      <w:r>
        <w:rPr>
          <w:rStyle w:val="FootnoteReference"/>
        </w:rPr>
        <w:footnoteRef/>
      </w:r>
      <w:r>
        <w:t xml:space="preserve"> National Skills Commission, Industry Employment Outlook Five years to November 2025, 15 March 2021</w:t>
      </w:r>
    </w:p>
  </w:footnote>
  <w:footnote w:id="19">
    <w:p w14:paraId="7DFC9BCD" w14:textId="02AFC92B" w:rsidR="00C7651D" w:rsidRDefault="00C7651D">
      <w:pPr>
        <w:pStyle w:val="FootnoteText"/>
      </w:pPr>
      <w:r>
        <w:rPr>
          <w:rStyle w:val="FootnoteReference"/>
        </w:rPr>
        <w:footnoteRef/>
      </w:r>
      <w:r>
        <w:t xml:space="preserve"> Labour Market Information Portal, Employment Region Data, Employment by Industry data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8F8E" w14:textId="77777777" w:rsidR="00C7651D" w:rsidRDefault="00C7651D" w:rsidP="009D2E2E">
    <w:pPr>
      <w:pStyle w:val="Header"/>
    </w:pPr>
    <w:r>
      <w:rPr>
        <w:noProof/>
        <w:lang w:eastAsia="en-AU"/>
      </w:rPr>
      <w:drawing>
        <wp:anchor distT="0" distB="0" distL="114300" distR="114300" simplePos="0" relativeHeight="251659264" behindDoc="1" locked="0" layoutInCell="1" allowOverlap="1" wp14:anchorId="76D070A5" wp14:editId="357E6E91">
          <wp:simplePos x="0" y="0"/>
          <wp:positionH relativeFrom="page">
            <wp:posOffset>118110</wp:posOffset>
          </wp:positionH>
          <wp:positionV relativeFrom="paragraph">
            <wp:posOffset>-442595</wp:posOffset>
          </wp:positionV>
          <wp:extent cx="7437528" cy="3610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B18-0086 Career Transition Assistance_Factsheet Header_01.jpg"/>
                  <pic:cNvPicPr/>
                </pic:nvPicPr>
                <pic:blipFill>
                  <a:blip r:embed="rId1">
                    <a:extLst>
                      <a:ext uri="{28A0092B-C50C-407E-A947-70E740481C1C}">
                        <a14:useLocalDpi xmlns:a14="http://schemas.microsoft.com/office/drawing/2010/main" val="0"/>
                      </a:ext>
                    </a:extLst>
                  </a:blip>
                  <a:stretch>
                    <a:fillRect/>
                  </a:stretch>
                </pic:blipFill>
                <pic:spPr>
                  <a:xfrm>
                    <a:off x="0" y="0"/>
                    <a:ext cx="7437528" cy="361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009C"/>
    <w:multiLevelType w:val="multilevel"/>
    <w:tmpl w:val="3D2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7389E"/>
    <w:multiLevelType w:val="hybridMultilevel"/>
    <w:tmpl w:val="8A6A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7B1A13"/>
    <w:multiLevelType w:val="hybridMultilevel"/>
    <w:tmpl w:val="0E0054FC"/>
    <w:lvl w:ilvl="0" w:tplc="A3707D36">
      <w:start w:val="1"/>
      <w:numFmt w:val="bullet"/>
      <w:lvlText w:val=""/>
      <w:lvlJc w:val="left"/>
      <w:pPr>
        <w:ind w:left="720" w:hanging="360"/>
      </w:pPr>
      <w:rPr>
        <w:rFonts w:ascii="Symbol" w:hAnsi="Symbol" w:hint="default"/>
      </w:rPr>
    </w:lvl>
    <w:lvl w:ilvl="1" w:tplc="0C64DC04">
      <w:start w:val="1"/>
      <w:numFmt w:val="bullet"/>
      <w:lvlText w:val="o"/>
      <w:lvlJc w:val="left"/>
      <w:pPr>
        <w:ind w:left="1440" w:hanging="360"/>
      </w:pPr>
      <w:rPr>
        <w:rFonts w:ascii="Courier New" w:hAnsi="Courier New" w:hint="default"/>
      </w:rPr>
    </w:lvl>
    <w:lvl w:ilvl="2" w:tplc="10284F72">
      <w:start w:val="1"/>
      <w:numFmt w:val="bullet"/>
      <w:lvlText w:val=""/>
      <w:lvlJc w:val="left"/>
      <w:pPr>
        <w:ind w:left="2160" w:hanging="360"/>
      </w:pPr>
      <w:rPr>
        <w:rFonts w:ascii="Wingdings" w:hAnsi="Wingdings" w:hint="default"/>
      </w:rPr>
    </w:lvl>
    <w:lvl w:ilvl="3" w:tplc="1B6EADA6">
      <w:start w:val="1"/>
      <w:numFmt w:val="bullet"/>
      <w:lvlText w:val=""/>
      <w:lvlJc w:val="left"/>
      <w:pPr>
        <w:ind w:left="2880" w:hanging="360"/>
      </w:pPr>
      <w:rPr>
        <w:rFonts w:ascii="Symbol" w:hAnsi="Symbol" w:hint="default"/>
      </w:rPr>
    </w:lvl>
    <w:lvl w:ilvl="4" w:tplc="41F6FD36">
      <w:start w:val="1"/>
      <w:numFmt w:val="bullet"/>
      <w:lvlText w:val="o"/>
      <w:lvlJc w:val="left"/>
      <w:pPr>
        <w:ind w:left="3600" w:hanging="360"/>
      </w:pPr>
      <w:rPr>
        <w:rFonts w:ascii="Courier New" w:hAnsi="Courier New" w:hint="default"/>
      </w:rPr>
    </w:lvl>
    <w:lvl w:ilvl="5" w:tplc="A39297F2">
      <w:start w:val="1"/>
      <w:numFmt w:val="bullet"/>
      <w:lvlText w:val=""/>
      <w:lvlJc w:val="left"/>
      <w:pPr>
        <w:ind w:left="4320" w:hanging="360"/>
      </w:pPr>
      <w:rPr>
        <w:rFonts w:ascii="Wingdings" w:hAnsi="Wingdings" w:hint="default"/>
      </w:rPr>
    </w:lvl>
    <w:lvl w:ilvl="6" w:tplc="CAC0CFE4">
      <w:start w:val="1"/>
      <w:numFmt w:val="bullet"/>
      <w:lvlText w:val=""/>
      <w:lvlJc w:val="left"/>
      <w:pPr>
        <w:ind w:left="5040" w:hanging="360"/>
      </w:pPr>
      <w:rPr>
        <w:rFonts w:ascii="Symbol" w:hAnsi="Symbol" w:hint="default"/>
      </w:rPr>
    </w:lvl>
    <w:lvl w:ilvl="7" w:tplc="DABC010E">
      <w:start w:val="1"/>
      <w:numFmt w:val="bullet"/>
      <w:lvlText w:val="o"/>
      <w:lvlJc w:val="left"/>
      <w:pPr>
        <w:ind w:left="5760" w:hanging="360"/>
      </w:pPr>
      <w:rPr>
        <w:rFonts w:ascii="Courier New" w:hAnsi="Courier New" w:hint="default"/>
      </w:rPr>
    </w:lvl>
    <w:lvl w:ilvl="8" w:tplc="ED3CC080">
      <w:start w:val="1"/>
      <w:numFmt w:val="bullet"/>
      <w:lvlText w:val=""/>
      <w:lvlJc w:val="left"/>
      <w:pPr>
        <w:ind w:left="6480" w:hanging="360"/>
      </w:pPr>
      <w:rPr>
        <w:rFonts w:ascii="Wingdings" w:hAnsi="Wingdings" w:hint="default"/>
      </w:rPr>
    </w:lvl>
  </w:abstractNum>
  <w:abstractNum w:abstractNumId="3" w15:restartNumberingAfterBreak="0">
    <w:nsid w:val="4830216E"/>
    <w:multiLevelType w:val="hybridMultilevel"/>
    <w:tmpl w:val="69A696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0C118C"/>
    <w:multiLevelType w:val="hybridMultilevel"/>
    <w:tmpl w:val="7B32D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961653"/>
    <w:multiLevelType w:val="hybridMultilevel"/>
    <w:tmpl w:val="43AED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63030C2"/>
    <w:multiLevelType w:val="hybridMultilevel"/>
    <w:tmpl w:val="26C8250E"/>
    <w:lvl w:ilvl="0" w:tplc="E06E5B38">
      <w:start w:val="1"/>
      <w:numFmt w:val="decimal"/>
      <w:lvlText w:val="%1."/>
      <w:lvlJc w:val="left"/>
      <w:pPr>
        <w:ind w:left="360" w:hanging="360"/>
      </w:pPr>
      <w:rPr>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2651A09"/>
    <w:multiLevelType w:val="hybridMultilevel"/>
    <w:tmpl w:val="BAB09694"/>
    <w:lvl w:ilvl="0" w:tplc="B00EA4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EB1B05"/>
    <w:multiLevelType w:val="hybridMultilevel"/>
    <w:tmpl w:val="56C662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DE1F4B"/>
    <w:multiLevelType w:val="hybridMultilevel"/>
    <w:tmpl w:val="7776777C"/>
    <w:lvl w:ilvl="0" w:tplc="7438E7A6">
      <w:start w:val="1"/>
      <w:numFmt w:val="decimal"/>
      <w:lvlText w:val="%1."/>
      <w:lvlJc w:val="left"/>
      <w:pPr>
        <w:ind w:left="360" w:hanging="360"/>
      </w:pPr>
      <w:rPr>
        <w:rFonts w:hint="default"/>
        <w:strike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81520D8"/>
    <w:multiLevelType w:val="hybridMultilevel"/>
    <w:tmpl w:val="511AB0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E846DA1"/>
    <w:multiLevelType w:val="hybridMultilevel"/>
    <w:tmpl w:val="F49C9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10"/>
  </w:num>
  <w:num w:numId="5">
    <w:abstractNumId w:val="9"/>
  </w:num>
  <w:num w:numId="6">
    <w:abstractNumId w:val="6"/>
  </w:num>
  <w:num w:numId="7">
    <w:abstractNumId w:val="11"/>
  </w:num>
  <w:num w:numId="8">
    <w:abstractNumId w:val="3"/>
  </w:num>
  <w:num w:numId="9">
    <w:abstractNumId w:val="0"/>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E6"/>
    <w:rsid w:val="00001955"/>
    <w:rsid w:val="00007C37"/>
    <w:rsid w:val="00011667"/>
    <w:rsid w:val="00021142"/>
    <w:rsid w:val="00030A31"/>
    <w:rsid w:val="00036076"/>
    <w:rsid w:val="000504F0"/>
    <w:rsid w:val="00055195"/>
    <w:rsid w:val="00055460"/>
    <w:rsid w:val="000557C8"/>
    <w:rsid w:val="00056CBD"/>
    <w:rsid w:val="000605FA"/>
    <w:rsid w:val="00072268"/>
    <w:rsid w:val="0007370C"/>
    <w:rsid w:val="00073825"/>
    <w:rsid w:val="00077979"/>
    <w:rsid w:val="00091D68"/>
    <w:rsid w:val="00092D0B"/>
    <w:rsid w:val="000952C3"/>
    <w:rsid w:val="000973A4"/>
    <w:rsid w:val="00097592"/>
    <w:rsid w:val="000A2FDE"/>
    <w:rsid w:val="000A3CC9"/>
    <w:rsid w:val="000A5101"/>
    <w:rsid w:val="000C33DE"/>
    <w:rsid w:val="000C63C4"/>
    <w:rsid w:val="000D6BBB"/>
    <w:rsid w:val="000D7E9C"/>
    <w:rsid w:val="000E13A2"/>
    <w:rsid w:val="000E16E2"/>
    <w:rsid w:val="000E235D"/>
    <w:rsid w:val="000E4FE6"/>
    <w:rsid w:val="000E5967"/>
    <w:rsid w:val="000F209B"/>
    <w:rsid w:val="000F28E4"/>
    <w:rsid w:val="001001AD"/>
    <w:rsid w:val="00102560"/>
    <w:rsid w:val="0011269E"/>
    <w:rsid w:val="001167FA"/>
    <w:rsid w:val="00121ADE"/>
    <w:rsid w:val="001314FA"/>
    <w:rsid w:val="0013189B"/>
    <w:rsid w:val="00133DD9"/>
    <w:rsid w:val="00134D87"/>
    <w:rsid w:val="001353BA"/>
    <w:rsid w:val="001365F0"/>
    <w:rsid w:val="001468F5"/>
    <w:rsid w:val="00156C45"/>
    <w:rsid w:val="00157FAD"/>
    <w:rsid w:val="00164087"/>
    <w:rsid w:val="00165B4F"/>
    <w:rsid w:val="0017629A"/>
    <w:rsid w:val="001770C6"/>
    <w:rsid w:val="0017761D"/>
    <w:rsid w:val="00181247"/>
    <w:rsid w:val="00181D29"/>
    <w:rsid w:val="00184506"/>
    <w:rsid w:val="001918EE"/>
    <w:rsid w:val="00193F18"/>
    <w:rsid w:val="001A29FF"/>
    <w:rsid w:val="001A4916"/>
    <w:rsid w:val="001C1773"/>
    <w:rsid w:val="001C1E32"/>
    <w:rsid w:val="001C1FE2"/>
    <w:rsid w:val="001C4590"/>
    <w:rsid w:val="001D0692"/>
    <w:rsid w:val="001D606F"/>
    <w:rsid w:val="001D77A6"/>
    <w:rsid w:val="001E0C8C"/>
    <w:rsid w:val="001F3312"/>
    <w:rsid w:val="001F3503"/>
    <w:rsid w:val="001F6E48"/>
    <w:rsid w:val="001F7B5C"/>
    <w:rsid w:val="001F7CB9"/>
    <w:rsid w:val="002026E7"/>
    <w:rsid w:val="0020746E"/>
    <w:rsid w:val="00212A69"/>
    <w:rsid w:val="002160BD"/>
    <w:rsid w:val="00221C8E"/>
    <w:rsid w:val="002242E0"/>
    <w:rsid w:val="00224921"/>
    <w:rsid w:val="00232A21"/>
    <w:rsid w:val="00233B58"/>
    <w:rsid w:val="002400DA"/>
    <w:rsid w:val="00244ECF"/>
    <w:rsid w:val="00246AB6"/>
    <w:rsid w:val="00247598"/>
    <w:rsid w:val="002528C2"/>
    <w:rsid w:val="0025426B"/>
    <w:rsid w:val="00255ADA"/>
    <w:rsid w:val="00255F54"/>
    <w:rsid w:val="0026444F"/>
    <w:rsid w:val="0027111A"/>
    <w:rsid w:val="0028319E"/>
    <w:rsid w:val="00286403"/>
    <w:rsid w:val="00292C4C"/>
    <w:rsid w:val="00296D3C"/>
    <w:rsid w:val="002A1D89"/>
    <w:rsid w:val="002A3094"/>
    <w:rsid w:val="002A5D1B"/>
    <w:rsid w:val="002A79DC"/>
    <w:rsid w:val="002B1E35"/>
    <w:rsid w:val="002B6C2A"/>
    <w:rsid w:val="002C04E3"/>
    <w:rsid w:val="002C4878"/>
    <w:rsid w:val="002D0A7D"/>
    <w:rsid w:val="002D3959"/>
    <w:rsid w:val="002D3E3E"/>
    <w:rsid w:val="002E040B"/>
    <w:rsid w:val="002E1516"/>
    <w:rsid w:val="002E5D82"/>
    <w:rsid w:val="002E7A66"/>
    <w:rsid w:val="002F113E"/>
    <w:rsid w:val="0030083B"/>
    <w:rsid w:val="00300B60"/>
    <w:rsid w:val="00301857"/>
    <w:rsid w:val="00304262"/>
    <w:rsid w:val="00317810"/>
    <w:rsid w:val="00320E30"/>
    <w:rsid w:val="00324A74"/>
    <w:rsid w:val="00325B9D"/>
    <w:rsid w:val="00327CF7"/>
    <w:rsid w:val="00327DD8"/>
    <w:rsid w:val="00333C9A"/>
    <w:rsid w:val="00340354"/>
    <w:rsid w:val="0034041E"/>
    <w:rsid w:val="00340955"/>
    <w:rsid w:val="00344BA8"/>
    <w:rsid w:val="00352D59"/>
    <w:rsid w:val="00355890"/>
    <w:rsid w:val="00356FB3"/>
    <w:rsid w:val="0036089E"/>
    <w:rsid w:val="00363901"/>
    <w:rsid w:val="00372049"/>
    <w:rsid w:val="003741F1"/>
    <w:rsid w:val="003762AF"/>
    <w:rsid w:val="00380642"/>
    <w:rsid w:val="003818C9"/>
    <w:rsid w:val="0038602B"/>
    <w:rsid w:val="00390640"/>
    <w:rsid w:val="003913F8"/>
    <w:rsid w:val="003924EE"/>
    <w:rsid w:val="00393059"/>
    <w:rsid w:val="003962F4"/>
    <w:rsid w:val="003A4F12"/>
    <w:rsid w:val="003A57B4"/>
    <w:rsid w:val="003A5FC7"/>
    <w:rsid w:val="003B147E"/>
    <w:rsid w:val="003B3269"/>
    <w:rsid w:val="003C7AC8"/>
    <w:rsid w:val="003D1F13"/>
    <w:rsid w:val="003D28AE"/>
    <w:rsid w:val="003D2ED2"/>
    <w:rsid w:val="003E4AC1"/>
    <w:rsid w:val="003E57EA"/>
    <w:rsid w:val="003E6243"/>
    <w:rsid w:val="004004C2"/>
    <w:rsid w:val="00400610"/>
    <w:rsid w:val="0040190C"/>
    <w:rsid w:val="004338C9"/>
    <w:rsid w:val="00435336"/>
    <w:rsid w:val="004356F4"/>
    <w:rsid w:val="00440E78"/>
    <w:rsid w:val="00445006"/>
    <w:rsid w:val="004457F2"/>
    <w:rsid w:val="00462921"/>
    <w:rsid w:val="0047453D"/>
    <w:rsid w:val="00476FE6"/>
    <w:rsid w:val="004943AA"/>
    <w:rsid w:val="00496DC5"/>
    <w:rsid w:val="00496E7C"/>
    <w:rsid w:val="004A0577"/>
    <w:rsid w:val="004A25CD"/>
    <w:rsid w:val="004A5F60"/>
    <w:rsid w:val="004B5E35"/>
    <w:rsid w:val="004C2685"/>
    <w:rsid w:val="004C6149"/>
    <w:rsid w:val="004D4929"/>
    <w:rsid w:val="004D5E39"/>
    <w:rsid w:val="004E1DEA"/>
    <w:rsid w:val="004E5873"/>
    <w:rsid w:val="004F24EA"/>
    <w:rsid w:val="004F285D"/>
    <w:rsid w:val="004F4360"/>
    <w:rsid w:val="004F774C"/>
    <w:rsid w:val="004F7E0A"/>
    <w:rsid w:val="005008F7"/>
    <w:rsid w:val="00500B3C"/>
    <w:rsid w:val="0050728E"/>
    <w:rsid w:val="00510FF2"/>
    <w:rsid w:val="00513051"/>
    <w:rsid w:val="00513745"/>
    <w:rsid w:val="00522734"/>
    <w:rsid w:val="00524CB8"/>
    <w:rsid w:val="00536C1D"/>
    <w:rsid w:val="00536FB9"/>
    <w:rsid w:val="0053703D"/>
    <w:rsid w:val="005529F4"/>
    <w:rsid w:val="0055670F"/>
    <w:rsid w:val="005601E4"/>
    <w:rsid w:val="00561CD9"/>
    <w:rsid w:val="00562304"/>
    <w:rsid w:val="0056378E"/>
    <w:rsid w:val="00564B31"/>
    <w:rsid w:val="005652B9"/>
    <w:rsid w:val="005701C5"/>
    <w:rsid w:val="005702D2"/>
    <w:rsid w:val="005802F4"/>
    <w:rsid w:val="0058378A"/>
    <w:rsid w:val="00585449"/>
    <w:rsid w:val="0059448C"/>
    <w:rsid w:val="005A61DC"/>
    <w:rsid w:val="005A7DFE"/>
    <w:rsid w:val="005B30C5"/>
    <w:rsid w:val="005B3781"/>
    <w:rsid w:val="005B4BAA"/>
    <w:rsid w:val="005C5672"/>
    <w:rsid w:val="005C5FF1"/>
    <w:rsid w:val="005C72F1"/>
    <w:rsid w:val="005D59A2"/>
    <w:rsid w:val="005E3C71"/>
    <w:rsid w:val="005E4F87"/>
    <w:rsid w:val="005E54C9"/>
    <w:rsid w:val="005E6435"/>
    <w:rsid w:val="005F0301"/>
    <w:rsid w:val="005F5849"/>
    <w:rsid w:val="006149B7"/>
    <w:rsid w:val="006178B8"/>
    <w:rsid w:val="006233DA"/>
    <w:rsid w:val="00626037"/>
    <w:rsid w:val="006262BA"/>
    <w:rsid w:val="00633697"/>
    <w:rsid w:val="006347C8"/>
    <w:rsid w:val="00635A9D"/>
    <w:rsid w:val="0064208D"/>
    <w:rsid w:val="0064269E"/>
    <w:rsid w:val="006648D9"/>
    <w:rsid w:val="006675CA"/>
    <w:rsid w:val="00676C1B"/>
    <w:rsid w:val="006813D3"/>
    <w:rsid w:val="006817DD"/>
    <w:rsid w:val="006836AF"/>
    <w:rsid w:val="00686195"/>
    <w:rsid w:val="006931DA"/>
    <w:rsid w:val="006950A1"/>
    <w:rsid w:val="00697EC0"/>
    <w:rsid w:val="006B0F39"/>
    <w:rsid w:val="006B51BC"/>
    <w:rsid w:val="006B7FAA"/>
    <w:rsid w:val="006C06F8"/>
    <w:rsid w:val="006C17DF"/>
    <w:rsid w:val="006C27E6"/>
    <w:rsid w:val="006D13FC"/>
    <w:rsid w:val="006D1B2B"/>
    <w:rsid w:val="006D1BB2"/>
    <w:rsid w:val="006E4AC0"/>
    <w:rsid w:val="006E50BF"/>
    <w:rsid w:val="006E750E"/>
    <w:rsid w:val="006F250D"/>
    <w:rsid w:val="006F5A2B"/>
    <w:rsid w:val="006F7003"/>
    <w:rsid w:val="00705EF7"/>
    <w:rsid w:val="007077DC"/>
    <w:rsid w:val="00707F09"/>
    <w:rsid w:val="00710227"/>
    <w:rsid w:val="00711806"/>
    <w:rsid w:val="00711B33"/>
    <w:rsid w:val="00713465"/>
    <w:rsid w:val="00717C78"/>
    <w:rsid w:val="00722C06"/>
    <w:rsid w:val="00725734"/>
    <w:rsid w:val="00727433"/>
    <w:rsid w:val="00733042"/>
    <w:rsid w:val="0073574F"/>
    <w:rsid w:val="00742003"/>
    <w:rsid w:val="007425E8"/>
    <w:rsid w:val="0074515A"/>
    <w:rsid w:val="00745AF4"/>
    <w:rsid w:val="007526AA"/>
    <w:rsid w:val="007538FA"/>
    <w:rsid w:val="00753A67"/>
    <w:rsid w:val="00753CD6"/>
    <w:rsid w:val="00761019"/>
    <w:rsid w:val="007629B5"/>
    <w:rsid w:val="00763938"/>
    <w:rsid w:val="007653C6"/>
    <w:rsid w:val="00765BC6"/>
    <w:rsid w:val="00767818"/>
    <w:rsid w:val="00771386"/>
    <w:rsid w:val="00773A0E"/>
    <w:rsid w:val="00774EED"/>
    <w:rsid w:val="00775872"/>
    <w:rsid w:val="0078059D"/>
    <w:rsid w:val="0078098C"/>
    <w:rsid w:val="00780C87"/>
    <w:rsid w:val="007829C8"/>
    <w:rsid w:val="007851DA"/>
    <w:rsid w:val="00787DA5"/>
    <w:rsid w:val="00790334"/>
    <w:rsid w:val="00794DA6"/>
    <w:rsid w:val="007976A6"/>
    <w:rsid w:val="007B458A"/>
    <w:rsid w:val="007B618A"/>
    <w:rsid w:val="007C131B"/>
    <w:rsid w:val="007C769C"/>
    <w:rsid w:val="007C7C6B"/>
    <w:rsid w:val="007D2EAE"/>
    <w:rsid w:val="007D43F0"/>
    <w:rsid w:val="007D4DE6"/>
    <w:rsid w:val="007D786A"/>
    <w:rsid w:val="007E0580"/>
    <w:rsid w:val="007E1151"/>
    <w:rsid w:val="007E11FD"/>
    <w:rsid w:val="007E3E69"/>
    <w:rsid w:val="007F139C"/>
    <w:rsid w:val="007F3394"/>
    <w:rsid w:val="007F5F6F"/>
    <w:rsid w:val="007F6265"/>
    <w:rsid w:val="00804D9F"/>
    <w:rsid w:val="00805A1D"/>
    <w:rsid w:val="008165A5"/>
    <w:rsid w:val="0082248E"/>
    <w:rsid w:val="008314C3"/>
    <w:rsid w:val="008321D6"/>
    <w:rsid w:val="00837CA1"/>
    <w:rsid w:val="0084751E"/>
    <w:rsid w:val="0085043C"/>
    <w:rsid w:val="0085412F"/>
    <w:rsid w:val="00856917"/>
    <w:rsid w:val="00862EEF"/>
    <w:rsid w:val="008800A0"/>
    <w:rsid w:val="008800D5"/>
    <w:rsid w:val="00881AD7"/>
    <w:rsid w:val="008830CE"/>
    <w:rsid w:val="00885771"/>
    <w:rsid w:val="00885965"/>
    <w:rsid w:val="0088696F"/>
    <w:rsid w:val="00887EE6"/>
    <w:rsid w:val="00887FD0"/>
    <w:rsid w:val="008A754F"/>
    <w:rsid w:val="008B1E2B"/>
    <w:rsid w:val="008B4182"/>
    <w:rsid w:val="008B5ADB"/>
    <w:rsid w:val="008C0524"/>
    <w:rsid w:val="008D6F66"/>
    <w:rsid w:val="008E3175"/>
    <w:rsid w:val="008E6450"/>
    <w:rsid w:val="008E6B4D"/>
    <w:rsid w:val="008E6CA5"/>
    <w:rsid w:val="008E70D4"/>
    <w:rsid w:val="008F1A49"/>
    <w:rsid w:val="008F6D84"/>
    <w:rsid w:val="00900EA4"/>
    <w:rsid w:val="00903A3C"/>
    <w:rsid w:val="009073E5"/>
    <w:rsid w:val="00907985"/>
    <w:rsid w:val="0091517E"/>
    <w:rsid w:val="00915269"/>
    <w:rsid w:val="00925CE4"/>
    <w:rsid w:val="00925F37"/>
    <w:rsid w:val="009307FA"/>
    <w:rsid w:val="00943838"/>
    <w:rsid w:val="00946201"/>
    <w:rsid w:val="009468E5"/>
    <w:rsid w:val="00950746"/>
    <w:rsid w:val="00952364"/>
    <w:rsid w:val="00956E16"/>
    <w:rsid w:val="0096049C"/>
    <w:rsid w:val="00964756"/>
    <w:rsid w:val="00966F99"/>
    <w:rsid w:val="00974BBE"/>
    <w:rsid w:val="00976673"/>
    <w:rsid w:val="009A03E3"/>
    <w:rsid w:val="009A10C1"/>
    <w:rsid w:val="009A2105"/>
    <w:rsid w:val="009A2ECA"/>
    <w:rsid w:val="009A7EFE"/>
    <w:rsid w:val="009B1E04"/>
    <w:rsid w:val="009B3D24"/>
    <w:rsid w:val="009C41BD"/>
    <w:rsid w:val="009C4DB5"/>
    <w:rsid w:val="009C7790"/>
    <w:rsid w:val="009D2A43"/>
    <w:rsid w:val="009D2E2E"/>
    <w:rsid w:val="009D3D89"/>
    <w:rsid w:val="009D64AD"/>
    <w:rsid w:val="009E054D"/>
    <w:rsid w:val="009F36F0"/>
    <w:rsid w:val="009F61DD"/>
    <w:rsid w:val="00A12F3B"/>
    <w:rsid w:val="00A21A72"/>
    <w:rsid w:val="00A265D5"/>
    <w:rsid w:val="00A36946"/>
    <w:rsid w:val="00A54855"/>
    <w:rsid w:val="00A55170"/>
    <w:rsid w:val="00A56393"/>
    <w:rsid w:val="00A6019A"/>
    <w:rsid w:val="00A73192"/>
    <w:rsid w:val="00A733D9"/>
    <w:rsid w:val="00A74FC4"/>
    <w:rsid w:val="00A80F23"/>
    <w:rsid w:val="00A8100E"/>
    <w:rsid w:val="00A81B56"/>
    <w:rsid w:val="00A8225B"/>
    <w:rsid w:val="00A830A9"/>
    <w:rsid w:val="00A836CA"/>
    <w:rsid w:val="00A94C3E"/>
    <w:rsid w:val="00A97C39"/>
    <w:rsid w:val="00AA044C"/>
    <w:rsid w:val="00AA1EA8"/>
    <w:rsid w:val="00AA29D9"/>
    <w:rsid w:val="00AA300E"/>
    <w:rsid w:val="00AA357C"/>
    <w:rsid w:val="00AA3A69"/>
    <w:rsid w:val="00AB0892"/>
    <w:rsid w:val="00AB0D6C"/>
    <w:rsid w:val="00AB1729"/>
    <w:rsid w:val="00AB2C84"/>
    <w:rsid w:val="00AB39EB"/>
    <w:rsid w:val="00AB7940"/>
    <w:rsid w:val="00AC2BD9"/>
    <w:rsid w:val="00AC6779"/>
    <w:rsid w:val="00AD1C2F"/>
    <w:rsid w:val="00AE5E02"/>
    <w:rsid w:val="00AF1591"/>
    <w:rsid w:val="00AF38E9"/>
    <w:rsid w:val="00B0720F"/>
    <w:rsid w:val="00B11780"/>
    <w:rsid w:val="00B11EAC"/>
    <w:rsid w:val="00B16751"/>
    <w:rsid w:val="00B23A8C"/>
    <w:rsid w:val="00B24A0E"/>
    <w:rsid w:val="00B25C50"/>
    <w:rsid w:val="00B26525"/>
    <w:rsid w:val="00B30DD9"/>
    <w:rsid w:val="00B32251"/>
    <w:rsid w:val="00B35F3C"/>
    <w:rsid w:val="00B37A71"/>
    <w:rsid w:val="00B41774"/>
    <w:rsid w:val="00B459B9"/>
    <w:rsid w:val="00B52054"/>
    <w:rsid w:val="00B75FCD"/>
    <w:rsid w:val="00B85F2E"/>
    <w:rsid w:val="00B85F70"/>
    <w:rsid w:val="00B8641F"/>
    <w:rsid w:val="00B9077F"/>
    <w:rsid w:val="00B91A49"/>
    <w:rsid w:val="00B92B30"/>
    <w:rsid w:val="00BA1C1B"/>
    <w:rsid w:val="00BA2D52"/>
    <w:rsid w:val="00BA2FEF"/>
    <w:rsid w:val="00BA4DB1"/>
    <w:rsid w:val="00BB320D"/>
    <w:rsid w:val="00BB6232"/>
    <w:rsid w:val="00BC0495"/>
    <w:rsid w:val="00BC0A5C"/>
    <w:rsid w:val="00BC3181"/>
    <w:rsid w:val="00BC6597"/>
    <w:rsid w:val="00BC66EB"/>
    <w:rsid w:val="00BD24AA"/>
    <w:rsid w:val="00BD43AC"/>
    <w:rsid w:val="00BF3B0A"/>
    <w:rsid w:val="00BF4B03"/>
    <w:rsid w:val="00BF52AA"/>
    <w:rsid w:val="00BF6EA1"/>
    <w:rsid w:val="00BF7C70"/>
    <w:rsid w:val="00C03979"/>
    <w:rsid w:val="00C04080"/>
    <w:rsid w:val="00C04ACA"/>
    <w:rsid w:val="00C05F9B"/>
    <w:rsid w:val="00C151AA"/>
    <w:rsid w:val="00C16507"/>
    <w:rsid w:val="00C20AF9"/>
    <w:rsid w:val="00C24323"/>
    <w:rsid w:val="00C30B70"/>
    <w:rsid w:val="00C34B23"/>
    <w:rsid w:val="00C358BA"/>
    <w:rsid w:val="00C40746"/>
    <w:rsid w:val="00C42B53"/>
    <w:rsid w:val="00C43C86"/>
    <w:rsid w:val="00C4559C"/>
    <w:rsid w:val="00C46B88"/>
    <w:rsid w:val="00C475BF"/>
    <w:rsid w:val="00C53528"/>
    <w:rsid w:val="00C5775F"/>
    <w:rsid w:val="00C6095A"/>
    <w:rsid w:val="00C6189B"/>
    <w:rsid w:val="00C62F05"/>
    <w:rsid w:val="00C667EB"/>
    <w:rsid w:val="00C701B1"/>
    <w:rsid w:val="00C7161A"/>
    <w:rsid w:val="00C7651D"/>
    <w:rsid w:val="00C80159"/>
    <w:rsid w:val="00C83D67"/>
    <w:rsid w:val="00CA1DD2"/>
    <w:rsid w:val="00CA2182"/>
    <w:rsid w:val="00CA3ED4"/>
    <w:rsid w:val="00CA6955"/>
    <w:rsid w:val="00CA6A39"/>
    <w:rsid w:val="00CB2020"/>
    <w:rsid w:val="00CB23A9"/>
    <w:rsid w:val="00CB69F6"/>
    <w:rsid w:val="00CB71C2"/>
    <w:rsid w:val="00CC0F70"/>
    <w:rsid w:val="00CC3432"/>
    <w:rsid w:val="00CD4CC5"/>
    <w:rsid w:val="00CE65B2"/>
    <w:rsid w:val="00CE73FA"/>
    <w:rsid w:val="00CE7A73"/>
    <w:rsid w:val="00CF41BA"/>
    <w:rsid w:val="00CF790F"/>
    <w:rsid w:val="00D00A9F"/>
    <w:rsid w:val="00D03496"/>
    <w:rsid w:val="00D10793"/>
    <w:rsid w:val="00D13ADA"/>
    <w:rsid w:val="00D211C0"/>
    <w:rsid w:val="00D26D08"/>
    <w:rsid w:val="00D32AAA"/>
    <w:rsid w:val="00D372F2"/>
    <w:rsid w:val="00D44A2E"/>
    <w:rsid w:val="00D56BC8"/>
    <w:rsid w:val="00D657FE"/>
    <w:rsid w:val="00D7008A"/>
    <w:rsid w:val="00D721EA"/>
    <w:rsid w:val="00D733DA"/>
    <w:rsid w:val="00D8253E"/>
    <w:rsid w:val="00D8316D"/>
    <w:rsid w:val="00D843B6"/>
    <w:rsid w:val="00D84BD8"/>
    <w:rsid w:val="00D87602"/>
    <w:rsid w:val="00D95AC2"/>
    <w:rsid w:val="00D96780"/>
    <w:rsid w:val="00DA227B"/>
    <w:rsid w:val="00DB419D"/>
    <w:rsid w:val="00DB52AA"/>
    <w:rsid w:val="00DB5E41"/>
    <w:rsid w:val="00DC0BAC"/>
    <w:rsid w:val="00DC5259"/>
    <w:rsid w:val="00DC5DC6"/>
    <w:rsid w:val="00DC664B"/>
    <w:rsid w:val="00DC770E"/>
    <w:rsid w:val="00DD0827"/>
    <w:rsid w:val="00DD514A"/>
    <w:rsid w:val="00DE07E3"/>
    <w:rsid w:val="00DE3291"/>
    <w:rsid w:val="00DE3581"/>
    <w:rsid w:val="00DE5867"/>
    <w:rsid w:val="00DF6979"/>
    <w:rsid w:val="00E218E4"/>
    <w:rsid w:val="00E227BF"/>
    <w:rsid w:val="00E27DFB"/>
    <w:rsid w:val="00E31537"/>
    <w:rsid w:val="00E46457"/>
    <w:rsid w:val="00E469F4"/>
    <w:rsid w:val="00E547D2"/>
    <w:rsid w:val="00E54E63"/>
    <w:rsid w:val="00E57AFD"/>
    <w:rsid w:val="00E614EC"/>
    <w:rsid w:val="00E70EC0"/>
    <w:rsid w:val="00E81D14"/>
    <w:rsid w:val="00E85654"/>
    <w:rsid w:val="00E950AF"/>
    <w:rsid w:val="00E95701"/>
    <w:rsid w:val="00EA07F1"/>
    <w:rsid w:val="00EA6C13"/>
    <w:rsid w:val="00EC130D"/>
    <w:rsid w:val="00EC183D"/>
    <w:rsid w:val="00EE2711"/>
    <w:rsid w:val="00EE2D29"/>
    <w:rsid w:val="00EE3A33"/>
    <w:rsid w:val="00EE62C6"/>
    <w:rsid w:val="00EE7B73"/>
    <w:rsid w:val="00EF04DE"/>
    <w:rsid w:val="00EF48D1"/>
    <w:rsid w:val="00EF49EE"/>
    <w:rsid w:val="00F00EB3"/>
    <w:rsid w:val="00F03C64"/>
    <w:rsid w:val="00F10595"/>
    <w:rsid w:val="00F1483E"/>
    <w:rsid w:val="00F22C7A"/>
    <w:rsid w:val="00F27F87"/>
    <w:rsid w:val="00F42441"/>
    <w:rsid w:val="00F5227F"/>
    <w:rsid w:val="00F5344E"/>
    <w:rsid w:val="00F535DB"/>
    <w:rsid w:val="00F5366F"/>
    <w:rsid w:val="00F53C57"/>
    <w:rsid w:val="00F562B7"/>
    <w:rsid w:val="00F60651"/>
    <w:rsid w:val="00F608F0"/>
    <w:rsid w:val="00F63AD8"/>
    <w:rsid w:val="00F66C31"/>
    <w:rsid w:val="00F71D1E"/>
    <w:rsid w:val="00F72CB6"/>
    <w:rsid w:val="00F74008"/>
    <w:rsid w:val="00F74E02"/>
    <w:rsid w:val="00F8249E"/>
    <w:rsid w:val="00F86839"/>
    <w:rsid w:val="00F87C32"/>
    <w:rsid w:val="00F902CC"/>
    <w:rsid w:val="00F94B27"/>
    <w:rsid w:val="00FA28DB"/>
    <w:rsid w:val="00FA5F6C"/>
    <w:rsid w:val="00FA62D3"/>
    <w:rsid w:val="00FB39C2"/>
    <w:rsid w:val="00FB68B4"/>
    <w:rsid w:val="00FB69D1"/>
    <w:rsid w:val="00FB6C4C"/>
    <w:rsid w:val="00FC16E2"/>
    <w:rsid w:val="00FC2587"/>
    <w:rsid w:val="00FC56A4"/>
    <w:rsid w:val="00FC7EBF"/>
    <w:rsid w:val="00FD5351"/>
    <w:rsid w:val="00FD6618"/>
    <w:rsid w:val="00FE31FC"/>
    <w:rsid w:val="00FE6375"/>
    <w:rsid w:val="00FF6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5F9E8"/>
  <w15:chartTrackingRefBased/>
  <w15:docId w15:val="{D552C585-96A1-4D9D-B813-DEC3724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E6"/>
    <w:pPr>
      <w:spacing w:after="200" w:line="276" w:lineRule="auto"/>
    </w:pPr>
    <w:rPr>
      <w:rFonts w:eastAsiaTheme="minorEastAsia"/>
      <w:lang w:val="en"/>
    </w:rPr>
  </w:style>
  <w:style w:type="paragraph" w:styleId="Heading1">
    <w:name w:val="heading 1"/>
    <w:basedOn w:val="Normal"/>
    <w:next w:val="Normal"/>
    <w:link w:val="Heading1Char"/>
    <w:uiPriority w:val="9"/>
    <w:qFormat/>
    <w:rsid w:val="006C27E6"/>
    <w:pPr>
      <w:spacing w:before="120" w:after="120" w:line="240" w:lineRule="auto"/>
      <w:contextualSpacing/>
      <w:outlineLvl w:val="0"/>
    </w:pPr>
    <w:rPr>
      <w:rFonts w:ascii="Calibri" w:eastAsia="Times New Roman" w:hAnsi="Calibri" w:cstheme="majorBidi"/>
      <w:noProof/>
      <w:color w:val="1D4289"/>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E6"/>
    <w:rPr>
      <w:rFonts w:ascii="Calibri" w:eastAsia="Times New Roman" w:hAnsi="Calibri" w:cstheme="majorBidi"/>
      <w:noProof/>
      <w:color w:val="1D4289"/>
      <w:sz w:val="48"/>
      <w:szCs w:val="48"/>
    </w:r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6C27E6"/>
    <w:pPr>
      <w:ind w:left="720"/>
      <w:contextualSpacing/>
    </w:pPr>
  </w:style>
  <w:style w:type="paragraph" w:styleId="FootnoteText">
    <w:name w:val="footnote text"/>
    <w:basedOn w:val="Normal"/>
    <w:link w:val="FootnoteTextChar"/>
    <w:uiPriority w:val="99"/>
    <w:qFormat/>
    <w:rsid w:val="006C27E6"/>
    <w:pPr>
      <w:spacing w:before="120" w:after="120" w:line="240" w:lineRule="auto"/>
    </w:pPr>
    <w:rPr>
      <w:rFonts w:ascii="Calibri" w:eastAsiaTheme="minorHAnsi" w:hAnsi="Calibri"/>
      <w:sz w:val="18"/>
      <w:szCs w:val="20"/>
      <w:lang w:val="en-AU"/>
    </w:rPr>
  </w:style>
  <w:style w:type="character" w:customStyle="1" w:styleId="FootnoteTextChar">
    <w:name w:val="Footnote Text Char"/>
    <w:basedOn w:val="DefaultParagraphFont"/>
    <w:link w:val="FootnoteText"/>
    <w:uiPriority w:val="99"/>
    <w:rsid w:val="006C27E6"/>
    <w:rPr>
      <w:rFonts w:ascii="Calibri" w:hAnsi="Calibri"/>
      <w:sz w:val="18"/>
      <w:szCs w:val="20"/>
    </w:rPr>
  </w:style>
  <w:style w:type="character" w:styleId="FootnoteReference">
    <w:name w:val="footnote reference"/>
    <w:basedOn w:val="DefaultParagraphFont"/>
    <w:uiPriority w:val="99"/>
    <w:unhideWhenUsed/>
    <w:rsid w:val="006C27E6"/>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6C27E6"/>
    <w:rPr>
      <w:rFonts w:eastAsiaTheme="minorEastAsia"/>
      <w:lang w:val="en"/>
    </w:rPr>
  </w:style>
  <w:style w:type="paragraph" w:customStyle="1" w:styleId="Default">
    <w:name w:val="Default"/>
    <w:rsid w:val="006C27E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C27E6"/>
    <w:pPr>
      <w:spacing w:after="0" w:line="240" w:lineRule="auto"/>
    </w:pPr>
    <w:rPr>
      <w:rFonts w:eastAsiaTheme="minorEastAsia"/>
      <w:lang w:val="en"/>
    </w:rPr>
  </w:style>
  <w:style w:type="paragraph" w:styleId="Title">
    <w:name w:val="Title"/>
    <w:basedOn w:val="Normal"/>
    <w:next w:val="Normal"/>
    <w:link w:val="TitleChar"/>
    <w:uiPriority w:val="10"/>
    <w:qFormat/>
    <w:rsid w:val="004B5E35"/>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uiPriority w:val="10"/>
    <w:rsid w:val="004B5E35"/>
    <w:rPr>
      <w:rFonts w:ascii="Calibri" w:eastAsiaTheme="majorEastAsia" w:hAnsi="Calibri" w:cstheme="majorBidi"/>
      <w:b/>
      <w:spacing w:val="5"/>
      <w:sz w:val="56"/>
      <w:szCs w:val="52"/>
      <w:lang w:val="en"/>
    </w:rPr>
  </w:style>
  <w:style w:type="paragraph" w:styleId="Header">
    <w:name w:val="header"/>
    <w:basedOn w:val="Normal"/>
    <w:link w:val="HeaderChar"/>
    <w:uiPriority w:val="99"/>
    <w:unhideWhenUsed/>
    <w:rsid w:val="004B5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35"/>
    <w:rPr>
      <w:rFonts w:eastAsiaTheme="minorEastAsia"/>
      <w:lang w:val="en"/>
    </w:rPr>
  </w:style>
  <w:style w:type="character" w:styleId="Hyperlink">
    <w:name w:val="Hyperlink"/>
    <w:basedOn w:val="DefaultParagraphFont"/>
    <w:uiPriority w:val="99"/>
    <w:unhideWhenUsed/>
    <w:rsid w:val="006E50BF"/>
    <w:rPr>
      <w:color w:val="0563C1" w:themeColor="hyperlink"/>
      <w:u w:val="single"/>
    </w:rPr>
  </w:style>
  <w:style w:type="paragraph" w:styleId="TOCHeading">
    <w:name w:val="TOC Heading"/>
    <w:basedOn w:val="Heading1"/>
    <w:next w:val="Normal"/>
    <w:uiPriority w:val="39"/>
    <w:unhideWhenUsed/>
    <w:qFormat/>
    <w:rsid w:val="006E50BF"/>
    <w:pPr>
      <w:outlineLvl w:val="9"/>
    </w:pPr>
    <w:rPr>
      <w:lang w:bidi="en-US"/>
    </w:rPr>
  </w:style>
  <w:style w:type="paragraph" w:styleId="TOC1">
    <w:name w:val="toc 1"/>
    <w:basedOn w:val="Normal"/>
    <w:next w:val="Normal"/>
    <w:autoRedefine/>
    <w:uiPriority w:val="39"/>
    <w:unhideWhenUsed/>
    <w:rsid w:val="00753CD6"/>
    <w:pPr>
      <w:tabs>
        <w:tab w:val="right" w:leader="dot" w:pos="9016"/>
      </w:tabs>
      <w:spacing w:after="100"/>
    </w:pPr>
  </w:style>
  <w:style w:type="paragraph" w:styleId="TOC2">
    <w:name w:val="toc 2"/>
    <w:basedOn w:val="Normal"/>
    <w:next w:val="Normal"/>
    <w:autoRedefine/>
    <w:uiPriority w:val="39"/>
    <w:unhideWhenUsed/>
    <w:rsid w:val="006E50BF"/>
    <w:pPr>
      <w:spacing w:after="100"/>
      <w:ind w:left="220"/>
    </w:pPr>
  </w:style>
  <w:style w:type="paragraph" w:styleId="TOC3">
    <w:name w:val="toc 3"/>
    <w:basedOn w:val="Normal"/>
    <w:next w:val="Normal"/>
    <w:autoRedefine/>
    <w:uiPriority w:val="39"/>
    <w:unhideWhenUsed/>
    <w:rsid w:val="006E50BF"/>
    <w:pPr>
      <w:spacing w:after="100"/>
      <w:ind w:left="440"/>
    </w:pPr>
  </w:style>
  <w:style w:type="paragraph" w:styleId="Footer">
    <w:name w:val="footer"/>
    <w:basedOn w:val="Normal"/>
    <w:link w:val="FooterChar"/>
    <w:uiPriority w:val="99"/>
    <w:unhideWhenUsed/>
    <w:rsid w:val="00A8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0A9"/>
    <w:rPr>
      <w:rFonts w:eastAsiaTheme="minorEastAsia"/>
      <w:lang w:val="en"/>
    </w:rPr>
  </w:style>
  <w:style w:type="paragraph" w:styleId="BalloonText">
    <w:name w:val="Balloon Text"/>
    <w:basedOn w:val="Normal"/>
    <w:link w:val="BalloonTextChar"/>
    <w:uiPriority w:val="99"/>
    <w:semiHidden/>
    <w:unhideWhenUsed/>
    <w:rsid w:val="00224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921"/>
    <w:rPr>
      <w:rFonts w:ascii="Segoe UI" w:eastAsiaTheme="minorEastAsia" w:hAnsi="Segoe UI" w:cs="Segoe UI"/>
      <w:sz w:val="18"/>
      <w:szCs w:val="18"/>
      <w:lang w:val="en"/>
    </w:rPr>
  </w:style>
  <w:style w:type="character" w:styleId="CommentReference">
    <w:name w:val="annotation reference"/>
    <w:basedOn w:val="DefaultParagraphFont"/>
    <w:uiPriority w:val="99"/>
    <w:semiHidden/>
    <w:unhideWhenUsed/>
    <w:rsid w:val="00224921"/>
    <w:rPr>
      <w:sz w:val="16"/>
      <w:szCs w:val="16"/>
    </w:rPr>
  </w:style>
  <w:style w:type="paragraph" w:styleId="CommentText">
    <w:name w:val="annotation text"/>
    <w:basedOn w:val="Normal"/>
    <w:link w:val="CommentTextChar"/>
    <w:uiPriority w:val="99"/>
    <w:semiHidden/>
    <w:unhideWhenUsed/>
    <w:rsid w:val="00224921"/>
    <w:pPr>
      <w:spacing w:line="240" w:lineRule="auto"/>
    </w:pPr>
    <w:rPr>
      <w:sz w:val="20"/>
      <w:szCs w:val="20"/>
    </w:rPr>
  </w:style>
  <w:style w:type="character" w:customStyle="1" w:styleId="CommentTextChar">
    <w:name w:val="Comment Text Char"/>
    <w:basedOn w:val="DefaultParagraphFont"/>
    <w:link w:val="CommentText"/>
    <w:uiPriority w:val="99"/>
    <w:semiHidden/>
    <w:rsid w:val="00224921"/>
    <w:rPr>
      <w:rFonts w:eastAsiaTheme="minorEastAsia"/>
      <w:sz w:val="20"/>
      <w:szCs w:val="20"/>
      <w:lang w:val="en"/>
    </w:rPr>
  </w:style>
  <w:style w:type="paragraph" w:styleId="CommentSubject">
    <w:name w:val="annotation subject"/>
    <w:basedOn w:val="CommentText"/>
    <w:next w:val="CommentText"/>
    <w:link w:val="CommentSubjectChar"/>
    <w:uiPriority w:val="99"/>
    <w:semiHidden/>
    <w:unhideWhenUsed/>
    <w:rsid w:val="00224921"/>
    <w:rPr>
      <w:b/>
      <w:bCs/>
    </w:rPr>
  </w:style>
  <w:style w:type="character" w:customStyle="1" w:styleId="CommentSubjectChar">
    <w:name w:val="Comment Subject Char"/>
    <w:basedOn w:val="CommentTextChar"/>
    <w:link w:val="CommentSubject"/>
    <w:uiPriority w:val="99"/>
    <w:semiHidden/>
    <w:rsid w:val="00224921"/>
    <w:rPr>
      <w:rFonts w:eastAsiaTheme="minorEastAsia"/>
      <w:b/>
      <w:bCs/>
      <w:sz w:val="20"/>
      <w:szCs w:val="20"/>
      <w:lang w:val="en"/>
    </w:rPr>
  </w:style>
  <w:style w:type="paragraph" w:styleId="Revision">
    <w:name w:val="Revision"/>
    <w:hidden/>
    <w:uiPriority w:val="99"/>
    <w:semiHidden/>
    <w:rsid w:val="00707F09"/>
    <w:pPr>
      <w:spacing w:after="0" w:line="240" w:lineRule="auto"/>
    </w:pPr>
    <w:rPr>
      <w:rFonts w:eastAsiaTheme="minorEastAsia"/>
      <w:lang w:val="en"/>
    </w:rPr>
  </w:style>
  <w:style w:type="character" w:styleId="FollowedHyperlink">
    <w:name w:val="FollowedHyperlink"/>
    <w:basedOn w:val="DefaultParagraphFont"/>
    <w:uiPriority w:val="99"/>
    <w:semiHidden/>
    <w:unhideWhenUsed/>
    <w:rsid w:val="00056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7225">
      <w:bodyDiv w:val="1"/>
      <w:marLeft w:val="0"/>
      <w:marRight w:val="0"/>
      <w:marTop w:val="0"/>
      <w:marBottom w:val="0"/>
      <w:divBdr>
        <w:top w:val="none" w:sz="0" w:space="0" w:color="auto"/>
        <w:left w:val="none" w:sz="0" w:space="0" w:color="auto"/>
        <w:bottom w:val="none" w:sz="0" w:space="0" w:color="auto"/>
        <w:right w:val="none" w:sz="0" w:space="0" w:color="auto"/>
      </w:divBdr>
    </w:div>
    <w:div w:id="193540400">
      <w:bodyDiv w:val="1"/>
      <w:marLeft w:val="0"/>
      <w:marRight w:val="0"/>
      <w:marTop w:val="0"/>
      <w:marBottom w:val="0"/>
      <w:divBdr>
        <w:top w:val="none" w:sz="0" w:space="0" w:color="auto"/>
        <w:left w:val="none" w:sz="0" w:space="0" w:color="auto"/>
        <w:bottom w:val="none" w:sz="0" w:space="0" w:color="auto"/>
        <w:right w:val="none" w:sz="0" w:space="0" w:color="auto"/>
      </w:divBdr>
    </w:div>
    <w:div w:id="301273088">
      <w:bodyDiv w:val="1"/>
      <w:marLeft w:val="0"/>
      <w:marRight w:val="0"/>
      <w:marTop w:val="0"/>
      <w:marBottom w:val="0"/>
      <w:divBdr>
        <w:top w:val="none" w:sz="0" w:space="0" w:color="auto"/>
        <w:left w:val="none" w:sz="0" w:space="0" w:color="auto"/>
        <w:bottom w:val="none" w:sz="0" w:space="0" w:color="auto"/>
        <w:right w:val="none" w:sz="0" w:space="0" w:color="auto"/>
      </w:divBdr>
    </w:div>
    <w:div w:id="545142012">
      <w:bodyDiv w:val="1"/>
      <w:marLeft w:val="0"/>
      <w:marRight w:val="0"/>
      <w:marTop w:val="0"/>
      <w:marBottom w:val="0"/>
      <w:divBdr>
        <w:top w:val="none" w:sz="0" w:space="0" w:color="auto"/>
        <w:left w:val="none" w:sz="0" w:space="0" w:color="auto"/>
        <w:bottom w:val="none" w:sz="0" w:space="0" w:color="auto"/>
        <w:right w:val="none" w:sz="0" w:space="0" w:color="auto"/>
      </w:divBdr>
    </w:div>
    <w:div w:id="751927179">
      <w:bodyDiv w:val="1"/>
      <w:marLeft w:val="0"/>
      <w:marRight w:val="0"/>
      <w:marTop w:val="0"/>
      <w:marBottom w:val="0"/>
      <w:divBdr>
        <w:top w:val="none" w:sz="0" w:space="0" w:color="auto"/>
        <w:left w:val="none" w:sz="0" w:space="0" w:color="auto"/>
        <w:bottom w:val="none" w:sz="0" w:space="0" w:color="auto"/>
        <w:right w:val="none" w:sz="0" w:space="0" w:color="auto"/>
      </w:divBdr>
    </w:div>
    <w:div w:id="938290503">
      <w:bodyDiv w:val="1"/>
      <w:marLeft w:val="0"/>
      <w:marRight w:val="0"/>
      <w:marTop w:val="0"/>
      <w:marBottom w:val="0"/>
      <w:divBdr>
        <w:top w:val="none" w:sz="0" w:space="0" w:color="auto"/>
        <w:left w:val="none" w:sz="0" w:space="0" w:color="auto"/>
        <w:bottom w:val="none" w:sz="0" w:space="0" w:color="auto"/>
        <w:right w:val="none" w:sz="0" w:space="0" w:color="auto"/>
      </w:divBdr>
    </w:div>
    <w:div w:id="965281317">
      <w:bodyDiv w:val="1"/>
      <w:marLeft w:val="0"/>
      <w:marRight w:val="0"/>
      <w:marTop w:val="0"/>
      <w:marBottom w:val="0"/>
      <w:divBdr>
        <w:top w:val="none" w:sz="0" w:space="0" w:color="auto"/>
        <w:left w:val="none" w:sz="0" w:space="0" w:color="auto"/>
        <w:bottom w:val="none" w:sz="0" w:space="0" w:color="auto"/>
        <w:right w:val="none" w:sz="0" w:space="0" w:color="auto"/>
      </w:divBdr>
    </w:div>
    <w:div w:id="985276267">
      <w:bodyDiv w:val="1"/>
      <w:marLeft w:val="0"/>
      <w:marRight w:val="0"/>
      <w:marTop w:val="0"/>
      <w:marBottom w:val="0"/>
      <w:divBdr>
        <w:top w:val="none" w:sz="0" w:space="0" w:color="auto"/>
        <w:left w:val="none" w:sz="0" w:space="0" w:color="auto"/>
        <w:bottom w:val="none" w:sz="0" w:space="0" w:color="auto"/>
        <w:right w:val="none" w:sz="0" w:space="0" w:color="auto"/>
      </w:divBdr>
    </w:div>
    <w:div w:id="1025670648">
      <w:bodyDiv w:val="1"/>
      <w:marLeft w:val="0"/>
      <w:marRight w:val="0"/>
      <w:marTop w:val="0"/>
      <w:marBottom w:val="0"/>
      <w:divBdr>
        <w:top w:val="none" w:sz="0" w:space="0" w:color="auto"/>
        <w:left w:val="none" w:sz="0" w:space="0" w:color="auto"/>
        <w:bottom w:val="none" w:sz="0" w:space="0" w:color="auto"/>
        <w:right w:val="none" w:sz="0" w:space="0" w:color="auto"/>
      </w:divBdr>
    </w:div>
    <w:div w:id="1308782172">
      <w:bodyDiv w:val="1"/>
      <w:marLeft w:val="0"/>
      <w:marRight w:val="0"/>
      <w:marTop w:val="0"/>
      <w:marBottom w:val="0"/>
      <w:divBdr>
        <w:top w:val="none" w:sz="0" w:space="0" w:color="auto"/>
        <w:left w:val="none" w:sz="0" w:space="0" w:color="auto"/>
        <w:bottom w:val="none" w:sz="0" w:space="0" w:color="auto"/>
        <w:right w:val="none" w:sz="0" w:space="0" w:color="auto"/>
      </w:divBdr>
    </w:div>
    <w:div w:id="1431928764">
      <w:bodyDiv w:val="1"/>
      <w:marLeft w:val="0"/>
      <w:marRight w:val="0"/>
      <w:marTop w:val="0"/>
      <w:marBottom w:val="0"/>
      <w:divBdr>
        <w:top w:val="none" w:sz="0" w:space="0" w:color="auto"/>
        <w:left w:val="none" w:sz="0" w:space="0" w:color="auto"/>
        <w:bottom w:val="none" w:sz="0" w:space="0" w:color="auto"/>
        <w:right w:val="none" w:sz="0" w:space="0" w:color="auto"/>
      </w:divBdr>
    </w:div>
    <w:div w:id="1575970688">
      <w:bodyDiv w:val="1"/>
      <w:marLeft w:val="0"/>
      <w:marRight w:val="0"/>
      <w:marTop w:val="0"/>
      <w:marBottom w:val="0"/>
      <w:divBdr>
        <w:top w:val="none" w:sz="0" w:space="0" w:color="auto"/>
        <w:left w:val="none" w:sz="0" w:space="0" w:color="auto"/>
        <w:bottom w:val="none" w:sz="0" w:space="0" w:color="auto"/>
        <w:right w:val="none" w:sz="0" w:space="0" w:color="auto"/>
      </w:divBdr>
    </w:div>
    <w:div w:id="1784838276">
      <w:bodyDiv w:val="1"/>
      <w:marLeft w:val="0"/>
      <w:marRight w:val="0"/>
      <w:marTop w:val="0"/>
      <w:marBottom w:val="0"/>
      <w:divBdr>
        <w:top w:val="none" w:sz="0" w:space="0" w:color="auto"/>
        <w:left w:val="none" w:sz="0" w:space="0" w:color="auto"/>
        <w:bottom w:val="none" w:sz="0" w:space="0" w:color="auto"/>
        <w:right w:val="none" w:sz="0" w:space="0" w:color="auto"/>
      </w:divBdr>
    </w:div>
    <w:div w:id="2027443420">
      <w:bodyDiv w:val="1"/>
      <w:marLeft w:val="0"/>
      <w:marRight w:val="0"/>
      <w:marTop w:val="0"/>
      <w:marBottom w:val="0"/>
      <w:divBdr>
        <w:top w:val="none" w:sz="0" w:space="0" w:color="auto"/>
        <w:left w:val="none" w:sz="0" w:space="0" w:color="auto"/>
        <w:bottom w:val="none" w:sz="0" w:space="0" w:color="auto"/>
        <w:right w:val="none" w:sz="0" w:space="0" w:color="auto"/>
      </w:divBdr>
    </w:div>
    <w:div w:id="2056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b:Tag>
    <b:SourceType>Report</b:SourceType>
    <b:Guid>{CFE65352-A141-4896-81CD-6B763E6818B3}</b:Guid>
    <b:Title>ABS Labour force Survey - Employment Region Time Series, May 2021</b:Title>
    <b:Author>
      <b:Author>
        <b:NameList>
          <b:Person>
            <b:Last>(ABS)</b:Last>
            <b:First>Australian</b:First>
            <b:Middle>Bureau of Statistics</b:Middle>
          </b:Person>
        </b:NameList>
      </b:Author>
    </b:Author>
    <b:RefOrder>2</b:RefOrder>
  </b:Source>
  <b:Source>
    <b:Tag>Lab</b:Tag>
    <b:SourceType>Report</b:SourceType>
    <b:Guid>{99E9E376-3C9A-4BE7-9F33-1E2C352D85AA}</b:Guid>
    <b:Title>Labour Market Information Portal Employmment Region Summary data 30 June 2021</b:Title>
    <b:RefOrder>1</b:RefOrder>
  </b:Source>
</b:Sources>
</file>

<file path=customXml/itemProps1.xml><?xml version="1.0" encoding="utf-8"?>
<ds:datastoreItem xmlns:ds="http://schemas.openxmlformats.org/officeDocument/2006/customXml" ds:itemID="{F0C98196-56CA-44C2-930E-D17DA3D9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LOUEY,Jennifer</dc:creator>
  <cp:keywords/>
  <dc:description/>
  <cp:lastModifiedBy>RUECROFT,Katie</cp:lastModifiedBy>
  <cp:revision>24</cp:revision>
  <cp:lastPrinted>2021-07-15T07:39:00Z</cp:lastPrinted>
  <dcterms:created xsi:type="dcterms:W3CDTF">2021-07-28T02:26:00Z</dcterms:created>
  <dcterms:modified xsi:type="dcterms:W3CDTF">2021-07-30T02:35:00Z</dcterms:modified>
</cp:coreProperties>
</file>