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0CEF" w14:textId="0B5E3D99" w:rsidR="00984FB8" w:rsidRPr="00C90260" w:rsidRDefault="00DD0C9E" w:rsidP="00937739">
      <w:pPr>
        <w:spacing w:before="120" w:after="120"/>
      </w:pPr>
      <w:r>
        <w:rPr>
          <w:noProof/>
        </w:rPr>
        <w:drawing>
          <wp:anchor distT="0" distB="0" distL="114300" distR="114300" simplePos="0" relativeHeight="251659264" behindDoc="1" locked="0" layoutInCell="1" allowOverlap="1" wp14:anchorId="396DD66C" wp14:editId="65BE5F90">
            <wp:simplePos x="0" y="0"/>
            <wp:positionH relativeFrom="column">
              <wp:posOffset>-904875</wp:posOffset>
            </wp:positionH>
            <wp:positionV relativeFrom="paragraph">
              <wp:posOffset>-915035</wp:posOffset>
            </wp:positionV>
            <wp:extent cx="7530010" cy="10643616"/>
            <wp:effectExtent l="0" t="0" r="127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30010" cy="10643616"/>
                    </a:xfrm>
                    <a:prstGeom prst="rect">
                      <a:avLst/>
                    </a:prstGeom>
                  </pic:spPr>
                </pic:pic>
              </a:graphicData>
            </a:graphic>
            <wp14:sizeRelH relativeFrom="page">
              <wp14:pctWidth>0</wp14:pctWidth>
            </wp14:sizeRelH>
            <wp14:sizeRelV relativeFrom="page">
              <wp14:pctHeight>0</wp14:pctHeight>
            </wp14:sizeRelV>
          </wp:anchor>
        </w:drawing>
      </w:r>
      <w:r w:rsidR="00984FB8">
        <w:rPr>
          <w:noProof/>
        </w:rPr>
        <w:drawing>
          <wp:inline distT="0" distB="0" distL="0" distR="0" wp14:anchorId="360793E7" wp14:editId="2386F47E">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155" cy="727075"/>
                    </a:xfrm>
                    <a:prstGeom prst="rect">
                      <a:avLst/>
                    </a:prstGeom>
                  </pic:spPr>
                </pic:pic>
              </a:graphicData>
            </a:graphic>
          </wp:inline>
        </w:drawing>
      </w:r>
    </w:p>
    <w:p w14:paraId="63274358" w14:textId="63FB1E35" w:rsidR="00A02B33" w:rsidRPr="003D5D28" w:rsidRDefault="007855CC" w:rsidP="00A02B33">
      <w:pPr>
        <w:pStyle w:val="Title"/>
        <w:spacing w:line="240" w:lineRule="auto"/>
        <w:ind w:left="1276"/>
        <w:rPr>
          <w:i/>
          <w:iCs/>
          <w:noProof/>
          <w:lang w:eastAsia="en-AU"/>
        </w:rPr>
      </w:pPr>
      <w:r w:rsidRPr="00984FB8">
        <w:rPr>
          <w:noProof/>
          <w:color w:val="404246"/>
          <w:lang w:eastAsia="en-AU"/>
        </w:rPr>
        <w:br/>
      </w:r>
      <w:r w:rsidR="00930CDA" w:rsidRPr="00984FB8">
        <w:rPr>
          <w:noProof/>
          <w:color w:val="404246"/>
          <w:lang w:eastAsia="en-AU"/>
        </w:rPr>
        <w:t xml:space="preserve"> </w:t>
      </w:r>
      <w:r w:rsidRPr="00984FB8">
        <w:rPr>
          <w:noProof/>
          <w:color w:val="404246"/>
          <w:lang w:eastAsia="en-AU"/>
        </w:rPr>
        <w:br/>
      </w:r>
      <w:bookmarkStart w:id="0" w:name="_Toc30065222"/>
      <w:r w:rsidR="00D12E8E" w:rsidRPr="00D12E8E">
        <w:rPr>
          <w:noProof/>
          <w:sz w:val="54"/>
          <w:szCs w:val="54"/>
          <w:lang w:eastAsia="en-AU"/>
        </w:rPr>
        <w:t xml:space="preserve">Criminalising wage underpayments and reforming civil penalties in the </w:t>
      </w:r>
      <w:r w:rsidR="00D12E8E" w:rsidRPr="00D12E8E">
        <w:rPr>
          <w:i/>
          <w:iCs/>
          <w:noProof/>
          <w:sz w:val="54"/>
          <w:szCs w:val="54"/>
          <w:lang w:eastAsia="en-AU"/>
        </w:rPr>
        <w:t>Fair Work Act 2009</w:t>
      </w:r>
    </w:p>
    <w:p w14:paraId="744F6227" w14:textId="0BF36EDD" w:rsidR="00A02B33" w:rsidRDefault="00A02B33" w:rsidP="00A02B33">
      <w:pPr>
        <w:pStyle w:val="Subtitle"/>
        <w:spacing w:before="240"/>
        <w:ind w:left="1276"/>
        <w:rPr>
          <w:noProof/>
          <w:lang w:eastAsia="en-AU"/>
        </w:rPr>
      </w:pPr>
      <w:r>
        <w:rPr>
          <w:noProof/>
          <w:lang w:eastAsia="en-AU"/>
        </w:rPr>
        <w:t xml:space="preserve">Consultation paper </w:t>
      </w:r>
    </w:p>
    <w:p w14:paraId="72212D0C" w14:textId="77777777" w:rsidR="00245ADE" w:rsidRPr="003C2FE7" w:rsidRDefault="00245ADE" w:rsidP="00245ADE">
      <w:pPr>
        <w:jc w:val="right"/>
        <w:rPr>
          <w:b/>
          <w:bCs/>
          <w:color w:val="FFFFFF" w:themeColor="background1"/>
          <w:lang w:eastAsia="en-AU"/>
        </w:rPr>
      </w:pPr>
      <w:r w:rsidRPr="003C2FE7">
        <w:rPr>
          <w:b/>
          <w:bCs/>
          <w:color w:val="FFFFFF" w:themeColor="background1"/>
          <w:lang w:eastAsia="en-AU"/>
        </w:rPr>
        <w:t>April 2023</w:t>
      </w:r>
    </w:p>
    <w:p w14:paraId="14F0BA20" w14:textId="77777777" w:rsidR="00245ADE" w:rsidRPr="00245ADE" w:rsidRDefault="00245ADE" w:rsidP="00245ADE">
      <w:pPr>
        <w:rPr>
          <w:lang w:eastAsia="en-AU"/>
        </w:rPr>
      </w:pPr>
    </w:p>
    <w:p w14:paraId="7401EBB9" w14:textId="77777777" w:rsidR="00DD0C9E" w:rsidRPr="00DD0C9E" w:rsidRDefault="00DD0C9E" w:rsidP="00DD0C9E"/>
    <w:p w14:paraId="37D784CC" w14:textId="77777777" w:rsidR="00DD0C9E" w:rsidRDefault="00DD0C9E" w:rsidP="00226A60">
      <w:pPr>
        <w:spacing w:before="8800"/>
      </w:pPr>
    </w:p>
    <w:p w14:paraId="07E383CE" w14:textId="3569D32F" w:rsidR="00226A60" w:rsidRDefault="00ED6227" w:rsidP="00226A60">
      <w:pPr>
        <w:spacing w:before="8800"/>
      </w:pPr>
      <w:r>
        <w:rPr>
          <w:noProof/>
        </w:rPr>
        <w:drawing>
          <wp:inline distT="0" distB="0" distL="0" distR="0" wp14:anchorId="73B4F9BF" wp14:editId="00DE0815">
            <wp:extent cx="848360" cy="284480"/>
            <wp:effectExtent l="0" t="0" r="8890" b="1270"/>
            <wp:docPr id="8" name="Picture 8"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E443932" w14:textId="77777777" w:rsidR="00226A60" w:rsidRDefault="00226A60" w:rsidP="00226A60">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5A531851" w14:textId="77777777" w:rsidR="00226A60" w:rsidRDefault="00226A60" w:rsidP="00226A60">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2003F58D" w14:textId="78393F21" w:rsidR="00B36B3C" w:rsidRDefault="00226A60" w:rsidP="00226A60">
      <w:pPr>
        <w:spacing w:before="120" w:after="120"/>
      </w:pPr>
      <w:r>
        <w:t xml:space="preserve">The document must be attributed as the </w:t>
      </w:r>
      <w:r w:rsidRPr="003C1533">
        <w:rPr>
          <w:i/>
          <w:iCs/>
        </w:rPr>
        <w:t xml:space="preserve">Australian Government </w:t>
      </w:r>
      <w:r w:rsidR="006F0228" w:rsidRPr="006F0228">
        <w:rPr>
          <w:i/>
          <w:iCs/>
        </w:rPr>
        <w:t xml:space="preserve">Criminalising wage underpayments and reforming civil penalties in the </w:t>
      </w:r>
      <w:r w:rsidR="006F0228" w:rsidRPr="006F0228">
        <w:t>Fair Work Act 2009</w:t>
      </w:r>
      <w:r w:rsidR="00436F26">
        <w:t xml:space="preserve"> </w:t>
      </w:r>
      <w:r w:rsidR="00415465">
        <w:t>c</w:t>
      </w:r>
      <w:r w:rsidRPr="003C1533">
        <w:rPr>
          <w:i/>
          <w:iCs/>
        </w:rPr>
        <w:t>onsultation paper</w:t>
      </w:r>
      <w:r>
        <w:t>.</w:t>
      </w: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937739">
          <w:pPr>
            <w:pStyle w:val="TOCHeading"/>
            <w:pageBreakBefore/>
            <w:spacing w:before="120" w:after="120"/>
          </w:pPr>
          <w:r w:rsidRPr="00D84395">
            <w:t>Contents</w:t>
          </w:r>
        </w:p>
        <w:p w14:paraId="4A336BE9" w14:textId="250AB8A7" w:rsidR="008F78DF" w:rsidRPr="008F78DF" w:rsidRDefault="00A0175F">
          <w:pPr>
            <w:pStyle w:val="TOC1"/>
            <w:tabs>
              <w:tab w:val="right" w:leader="dot" w:pos="9060"/>
            </w:tabs>
            <w:rPr>
              <w:rFonts w:eastAsiaTheme="minorEastAsia"/>
              <w:b w:val="0"/>
              <w:i w:val="0"/>
              <w:iCs/>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32119622" w:history="1">
            <w:r w:rsidR="008F78DF" w:rsidRPr="008F78DF">
              <w:rPr>
                <w:rStyle w:val="Hyperlink"/>
                <w:i w:val="0"/>
                <w:iCs/>
                <w:noProof/>
              </w:rPr>
              <w:t>Overview</w:t>
            </w:r>
            <w:r w:rsidR="008F78DF" w:rsidRPr="008F78DF">
              <w:rPr>
                <w:i w:val="0"/>
                <w:iCs/>
                <w:noProof/>
                <w:webHidden/>
              </w:rPr>
              <w:tab/>
            </w:r>
            <w:r w:rsidR="008F78DF" w:rsidRPr="008F78DF">
              <w:rPr>
                <w:i w:val="0"/>
                <w:iCs/>
                <w:noProof/>
                <w:webHidden/>
              </w:rPr>
              <w:fldChar w:fldCharType="begin"/>
            </w:r>
            <w:r w:rsidR="008F78DF" w:rsidRPr="008F78DF">
              <w:rPr>
                <w:i w:val="0"/>
                <w:iCs/>
                <w:noProof/>
                <w:webHidden/>
              </w:rPr>
              <w:instrText xml:space="preserve"> PAGEREF _Toc132119622 \h </w:instrText>
            </w:r>
            <w:r w:rsidR="008F78DF" w:rsidRPr="008F78DF">
              <w:rPr>
                <w:i w:val="0"/>
                <w:iCs/>
                <w:noProof/>
                <w:webHidden/>
              </w:rPr>
            </w:r>
            <w:r w:rsidR="008F78DF" w:rsidRPr="008F78DF">
              <w:rPr>
                <w:i w:val="0"/>
                <w:iCs/>
                <w:noProof/>
                <w:webHidden/>
              </w:rPr>
              <w:fldChar w:fldCharType="separate"/>
            </w:r>
            <w:r w:rsidR="008F78DF" w:rsidRPr="008F78DF">
              <w:rPr>
                <w:i w:val="0"/>
                <w:iCs/>
                <w:noProof/>
                <w:webHidden/>
              </w:rPr>
              <w:t>4</w:t>
            </w:r>
            <w:r w:rsidR="008F78DF" w:rsidRPr="008F78DF">
              <w:rPr>
                <w:i w:val="0"/>
                <w:iCs/>
                <w:noProof/>
                <w:webHidden/>
              </w:rPr>
              <w:fldChar w:fldCharType="end"/>
            </w:r>
          </w:hyperlink>
        </w:p>
        <w:p w14:paraId="31BF9CF7" w14:textId="61ABDC2D" w:rsidR="008F78DF" w:rsidRPr="008F78DF" w:rsidRDefault="009804D7">
          <w:pPr>
            <w:pStyle w:val="TOC1"/>
            <w:tabs>
              <w:tab w:val="right" w:leader="dot" w:pos="9060"/>
            </w:tabs>
            <w:rPr>
              <w:rFonts w:eastAsiaTheme="minorEastAsia"/>
              <w:b w:val="0"/>
              <w:i w:val="0"/>
              <w:iCs/>
              <w:noProof/>
              <w:lang w:eastAsia="en-AU"/>
            </w:rPr>
          </w:pPr>
          <w:hyperlink w:anchor="_Toc132119623" w:history="1">
            <w:r w:rsidR="008F78DF" w:rsidRPr="008F78DF">
              <w:rPr>
                <w:rStyle w:val="Hyperlink"/>
                <w:i w:val="0"/>
                <w:iCs/>
                <w:noProof/>
              </w:rPr>
              <w:t>How to provide your feedback</w:t>
            </w:r>
            <w:r w:rsidR="008F78DF" w:rsidRPr="008F78DF">
              <w:rPr>
                <w:i w:val="0"/>
                <w:iCs/>
                <w:noProof/>
                <w:webHidden/>
              </w:rPr>
              <w:tab/>
            </w:r>
            <w:r w:rsidR="008F78DF" w:rsidRPr="008F78DF">
              <w:rPr>
                <w:i w:val="0"/>
                <w:iCs/>
                <w:noProof/>
                <w:webHidden/>
              </w:rPr>
              <w:fldChar w:fldCharType="begin"/>
            </w:r>
            <w:r w:rsidR="008F78DF" w:rsidRPr="008F78DF">
              <w:rPr>
                <w:i w:val="0"/>
                <w:iCs/>
                <w:noProof/>
                <w:webHidden/>
              </w:rPr>
              <w:instrText xml:space="preserve"> PAGEREF _Toc132119623 \h </w:instrText>
            </w:r>
            <w:r w:rsidR="008F78DF" w:rsidRPr="008F78DF">
              <w:rPr>
                <w:i w:val="0"/>
                <w:iCs/>
                <w:noProof/>
                <w:webHidden/>
              </w:rPr>
            </w:r>
            <w:r w:rsidR="008F78DF" w:rsidRPr="008F78DF">
              <w:rPr>
                <w:i w:val="0"/>
                <w:iCs/>
                <w:noProof/>
                <w:webHidden/>
              </w:rPr>
              <w:fldChar w:fldCharType="separate"/>
            </w:r>
            <w:r w:rsidR="008F78DF" w:rsidRPr="008F78DF">
              <w:rPr>
                <w:i w:val="0"/>
                <w:iCs/>
                <w:noProof/>
                <w:webHidden/>
              </w:rPr>
              <w:t>4</w:t>
            </w:r>
            <w:r w:rsidR="008F78DF" w:rsidRPr="008F78DF">
              <w:rPr>
                <w:i w:val="0"/>
                <w:iCs/>
                <w:noProof/>
                <w:webHidden/>
              </w:rPr>
              <w:fldChar w:fldCharType="end"/>
            </w:r>
          </w:hyperlink>
        </w:p>
        <w:p w14:paraId="1EF588F9" w14:textId="0CE91918" w:rsidR="008F78DF" w:rsidRPr="008F78DF" w:rsidRDefault="009804D7">
          <w:pPr>
            <w:pStyle w:val="TOC1"/>
            <w:tabs>
              <w:tab w:val="right" w:leader="dot" w:pos="9060"/>
            </w:tabs>
            <w:rPr>
              <w:rFonts w:eastAsiaTheme="minorEastAsia"/>
              <w:b w:val="0"/>
              <w:i w:val="0"/>
              <w:iCs/>
              <w:noProof/>
              <w:lang w:eastAsia="en-AU"/>
            </w:rPr>
          </w:pPr>
          <w:hyperlink w:anchor="_Toc132119624" w:history="1">
            <w:r w:rsidR="008F78DF" w:rsidRPr="008F78DF">
              <w:rPr>
                <w:rStyle w:val="Hyperlink"/>
                <w:i w:val="0"/>
                <w:iCs/>
                <w:noProof/>
              </w:rPr>
              <w:t>Policies</w:t>
            </w:r>
            <w:r w:rsidR="008F78DF" w:rsidRPr="008F78DF">
              <w:rPr>
                <w:i w:val="0"/>
                <w:iCs/>
                <w:noProof/>
                <w:webHidden/>
              </w:rPr>
              <w:tab/>
            </w:r>
            <w:r w:rsidR="008F78DF" w:rsidRPr="008F78DF">
              <w:rPr>
                <w:i w:val="0"/>
                <w:iCs/>
                <w:noProof/>
                <w:webHidden/>
              </w:rPr>
              <w:fldChar w:fldCharType="begin"/>
            </w:r>
            <w:r w:rsidR="008F78DF" w:rsidRPr="008F78DF">
              <w:rPr>
                <w:i w:val="0"/>
                <w:iCs/>
                <w:noProof/>
                <w:webHidden/>
              </w:rPr>
              <w:instrText xml:space="preserve"> PAGEREF _Toc132119624 \h </w:instrText>
            </w:r>
            <w:r w:rsidR="008F78DF" w:rsidRPr="008F78DF">
              <w:rPr>
                <w:i w:val="0"/>
                <w:iCs/>
                <w:noProof/>
                <w:webHidden/>
              </w:rPr>
            </w:r>
            <w:r w:rsidR="008F78DF" w:rsidRPr="008F78DF">
              <w:rPr>
                <w:i w:val="0"/>
                <w:iCs/>
                <w:noProof/>
                <w:webHidden/>
              </w:rPr>
              <w:fldChar w:fldCharType="separate"/>
            </w:r>
            <w:r w:rsidR="008F78DF" w:rsidRPr="008F78DF">
              <w:rPr>
                <w:i w:val="0"/>
                <w:iCs/>
                <w:noProof/>
                <w:webHidden/>
              </w:rPr>
              <w:t>5</w:t>
            </w:r>
            <w:r w:rsidR="008F78DF" w:rsidRPr="008F78DF">
              <w:rPr>
                <w:i w:val="0"/>
                <w:iCs/>
                <w:noProof/>
                <w:webHidden/>
              </w:rPr>
              <w:fldChar w:fldCharType="end"/>
            </w:r>
          </w:hyperlink>
        </w:p>
        <w:p w14:paraId="4C9478BF" w14:textId="039FEEAC" w:rsidR="008F78DF" w:rsidRPr="008F78DF" w:rsidRDefault="009804D7">
          <w:pPr>
            <w:pStyle w:val="TOC2"/>
            <w:tabs>
              <w:tab w:val="right" w:leader="dot" w:pos="9060"/>
            </w:tabs>
            <w:rPr>
              <w:rFonts w:eastAsiaTheme="minorEastAsia"/>
              <w:b w:val="0"/>
              <w:iCs/>
              <w:noProof/>
              <w:lang w:eastAsia="en-AU"/>
            </w:rPr>
          </w:pPr>
          <w:hyperlink w:anchor="_Toc132119625" w:history="1">
            <w:r w:rsidR="008F78DF" w:rsidRPr="008F78DF">
              <w:rPr>
                <w:rStyle w:val="Hyperlink"/>
                <w:iCs/>
                <w:noProof/>
              </w:rPr>
              <w:t>Criminalising wage underpayments</w:t>
            </w:r>
            <w:r w:rsidR="008F78DF" w:rsidRPr="008F78DF">
              <w:rPr>
                <w:iCs/>
                <w:noProof/>
                <w:webHidden/>
              </w:rPr>
              <w:tab/>
            </w:r>
            <w:r w:rsidR="008F78DF" w:rsidRPr="008F78DF">
              <w:rPr>
                <w:iCs/>
                <w:noProof/>
                <w:webHidden/>
              </w:rPr>
              <w:fldChar w:fldCharType="begin"/>
            </w:r>
            <w:r w:rsidR="008F78DF" w:rsidRPr="008F78DF">
              <w:rPr>
                <w:iCs/>
                <w:noProof/>
                <w:webHidden/>
              </w:rPr>
              <w:instrText xml:space="preserve"> PAGEREF _Toc132119625 \h </w:instrText>
            </w:r>
            <w:r w:rsidR="008F78DF" w:rsidRPr="008F78DF">
              <w:rPr>
                <w:iCs/>
                <w:noProof/>
                <w:webHidden/>
              </w:rPr>
            </w:r>
            <w:r w:rsidR="008F78DF" w:rsidRPr="008F78DF">
              <w:rPr>
                <w:iCs/>
                <w:noProof/>
                <w:webHidden/>
              </w:rPr>
              <w:fldChar w:fldCharType="separate"/>
            </w:r>
            <w:r w:rsidR="008F78DF" w:rsidRPr="008F78DF">
              <w:rPr>
                <w:iCs/>
                <w:noProof/>
                <w:webHidden/>
              </w:rPr>
              <w:t>5</w:t>
            </w:r>
            <w:r w:rsidR="008F78DF" w:rsidRPr="008F78DF">
              <w:rPr>
                <w:iCs/>
                <w:noProof/>
                <w:webHidden/>
              </w:rPr>
              <w:fldChar w:fldCharType="end"/>
            </w:r>
          </w:hyperlink>
        </w:p>
        <w:p w14:paraId="76E90B61" w14:textId="410073A1" w:rsidR="008F78DF" w:rsidRDefault="009804D7">
          <w:pPr>
            <w:pStyle w:val="TOC3"/>
            <w:tabs>
              <w:tab w:val="right" w:leader="dot" w:pos="9060"/>
            </w:tabs>
            <w:rPr>
              <w:rFonts w:eastAsiaTheme="minorEastAsia"/>
              <w:noProof/>
              <w:lang w:eastAsia="en-AU"/>
            </w:rPr>
          </w:pPr>
          <w:hyperlink w:anchor="_Toc132119626" w:history="1">
            <w:r w:rsidR="008F78DF" w:rsidRPr="008A1C4B">
              <w:rPr>
                <w:rStyle w:val="Hyperlink"/>
                <w:noProof/>
              </w:rPr>
              <w:t>Wage underpayment offence</w:t>
            </w:r>
            <w:r w:rsidR="008F78DF">
              <w:rPr>
                <w:noProof/>
                <w:webHidden/>
              </w:rPr>
              <w:tab/>
            </w:r>
            <w:r w:rsidR="008F78DF">
              <w:rPr>
                <w:noProof/>
                <w:webHidden/>
              </w:rPr>
              <w:fldChar w:fldCharType="begin"/>
            </w:r>
            <w:r w:rsidR="008F78DF">
              <w:rPr>
                <w:noProof/>
                <w:webHidden/>
              </w:rPr>
              <w:instrText xml:space="preserve"> PAGEREF _Toc132119626 \h </w:instrText>
            </w:r>
            <w:r w:rsidR="008F78DF">
              <w:rPr>
                <w:noProof/>
                <w:webHidden/>
              </w:rPr>
            </w:r>
            <w:r w:rsidR="008F78DF">
              <w:rPr>
                <w:noProof/>
                <w:webHidden/>
              </w:rPr>
              <w:fldChar w:fldCharType="separate"/>
            </w:r>
            <w:r w:rsidR="008F78DF">
              <w:rPr>
                <w:noProof/>
                <w:webHidden/>
              </w:rPr>
              <w:t>5</w:t>
            </w:r>
            <w:r w:rsidR="008F78DF">
              <w:rPr>
                <w:noProof/>
                <w:webHidden/>
              </w:rPr>
              <w:fldChar w:fldCharType="end"/>
            </w:r>
          </w:hyperlink>
        </w:p>
        <w:p w14:paraId="656679D4" w14:textId="1FFE69D3" w:rsidR="008F78DF" w:rsidRDefault="009804D7">
          <w:pPr>
            <w:pStyle w:val="TOC3"/>
            <w:tabs>
              <w:tab w:val="right" w:leader="dot" w:pos="9060"/>
            </w:tabs>
            <w:rPr>
              <w:rFonts w:eastAsiaTheme="minorEastAsia"/>
              <w:noProof/>
              <w:lang w:eastAsia="en-AU"/>
            </w:rPr>
          </w:pPr>
          <w:hyperlink w:anchor="_Toc132119627" w:history="1">
            <w:r w:rsidR="008F78DF" w:rsidRPr="008A1C4B">
              <w:rPr>
                <w:rStyle w:val="Hyperlink"/>
                <w:noProof/>
              </w:rPr>
              <w:t>Offence-specific defences</w:t>
            </w:r>
            <w:r w:rsidR="008F78DF">
              <w:rPr>
                <w:noProof/>
                <w:webHidden/>
              </w:rPr>
              <w:tab/>
            </w:r>
            <w:r w:rsidR="008F78DF">
              <w:rPr>
                <w:noProof/>
                <w:webHidden/>
              </w:rPr>
              <w:fldChar w:fldCharType="begin"/>
            </w:r>
            <w:r w:rsidR="008F78DF">
              <w:rPr>
                <w:noProof/>
                <w:webHidden/>
              </w:rPr>
              <w:instrText xml:space="preserve"> PAGEREF _Toc132119627 \h </w:instrText>
            </w:r>
            <w:r w:rsidR="008F78DF">
              <w:rPr>
                <w:noProof/>
                <w:webHidden/>
              </w:rPr>
            </w:r>
            <w:r w:rsidR="008F78DF">
              <w:rPr>
                <w:noProof/>
                <w:webHidden/>
              </w:rPr>
              <w:fldChar w:fldCharType="separate"/>
            </w:r>
            <w:r w:rsidR="008F78DF">
              <w:rPr>
                <w:noProof/>
                <w:webHidden/>
              </w:rPr>
              <w:t>8</w:t>
            </w:r>
            <w:r w:rsidR="008F78DF">
              <w:rPr>
                <w:noProof/>
                <w:webHidden/>
              </w:rPr>
              <w:fldChar w:fldCharType="end"/>
            </w:r>
          </w:hyperlink>
        </w:p>
        <w:p w14:paraId="275CA1F1" w14:textId="61DF2BD2" w:rsidR="008F78DF" w:rsidRDefault="009804D7">
          <w:pPr>
            <w:pStyle w:val="TOC3"/>
            <w:tabs>
              <w:tab w:val="right" w:leader="dot" w:pos="9060"/>
            </w:tabs>
            <w:rPr>
              <w:rFonts w:eastAsiaTheme="minorEastAsia"/>
              <w:noProof/>
              <w:lang w:eastAsia="en-AU"/>
            </w:rPr>
          </w:pPr>
          <w:hyperlink w:anchor="_Toc132119628" w:history="1">
            <w:r w:rsidR="008F78DF" w:rsidRPr="008A1C4B">
              <w:rPr>
                <w:rStyle w:val="Hyperlink"/>
                <w:noProof/>
              </w:rPr>
              <w:t>Types of underpayments covered by the offence</w:t>
            </w:r>
            <w:r w:rsidR="008F78DF">
              <w:rPr>
                <w:noProof/>
                <w:webHidden/>
              </w:rPr>
              <w:tab/>
            </w:r>
            <w:r w:rsidR="008F78DF">
              <w:rPr>
                <w:noProof/>
                <w:webHidden/>
              </w:rPr>
              <w:fldChar w:fldCharType="begin"/>
            </w:r>
            <w:r w:rsidR="008F78DF">
              <w:rPr>
                <w:noProof/>
                <w:webHidden/>
              </w:rPr>
              <w:instrText xml:space="preserve"> PAGEREF _Toc132119628 \h </w:instrText>
            </w:r>
            <w:r w:rsidR="008F78DF">
              <w:rPr>
                <w:noProof/>
                <w:webHidden/>
              </w:rPr>
            </w:r>
            <w:r w:rsidR="008F78DF">
              <w:rPr>
                <w:noProof/>
                <w:webHidden/>
              </w:rPr>
              <w:fldChar w:fldCharType="separate"/>
            </w:r>
            <w:r w:rsidR="008F78DF">
              <w:rPr>
                <w:noProof/>
                <w:webHidden/>
              </w:rPr>
              <w:t>8</w:t>
            </w:r>
            <w:r w:rsidR="008F78DF">
              <w:rPr>
                <w:noProof/>
                <w:webHidden/>
              </w:rPr>
              <w:fldChar w:fldCharType="end"/>
            </w:r>
          </w:hyperlink>
        </w:p>
        <w:p w14:paraId="27BD71EB" w14:textId="6E10A455" w:rsidR="008F78DF" w:rsidRDefault="009804D7">
          <w:pPr>
            <w:pStyle w:val="TOC3"/>
            <w:tabs>
              <w:tab w:val="right" w:leader="dot" w:pos="9060"/>
            </w:tabs>
            <w:rPr>
              <w:rFonts w:eastAsiaTheme="minorEastAsia"/>
              <w:noProof/>
              <w:lang w:eastAsia="en-AU"/>
            </w:rPr>
          </w:pPr>
          <w:hyperlink w:anchor="_Toc132119629" w:history="1">
            <w:r w:rsidR="008F78DF" w:rsidRPr="008A1C4B">
              <w:rPr>
                <w:rStyle w:val="Hyperlink"/>
                <w:noProof/>
              </w:rPr>
              <w:t>Penalties</w:t>
            </w:r>
            <w:r w:rsidR="008F78DF">
              <w:rPr>
                <w:noProof/>
                <w:webHidden/>
              </w:rPr>
              <w:tab/>
            </w:r>
            <w:r w:rsidR="008F78DF">
              <w:rPr>
                <w:noProof/>
                <w:webHidden/>
              </w:rPr>
              <w:fldChar w:fldCharType="begin"/>
            </w:r>
            <w:r w:rsidR="008F78DF">
              <w:rPr>
                <w:noProof/>
                <w:webHidden/>
              </w:rPr>
              <w:instrText xml:space="preserve"> PAGEREF _Toc132119629 \h </w:instrText>
            </w:r>
            <w:r w:rsidR="008F78DF">
              <w:rPr>
                <w:noProof/>
                <w:webHidden/>
              </w:rPr>
            </w:r>
            <w:r w:rsidR="008F78DF">
              <w:rPr>
                <w:noProof/>
                <w:webHidden/>
              </w:rPr>
              <w:fldChar w:fldCharType="separate"/>
            </w:r>
            <w:r w:rsidR="008F78DF">
              <w:rPr>
                <w:noProof/>
                <w:webHidden/>
              </w:rPr>
              <w:t>9</w:t>
            </w:r>
            <w:r w:rsidR="008F78DF">
              <w:rPr>
                <w:noProof/>
                <w:webHidden/>
              </w:rPr>
              <w:fldChar w:fldCharType="end"/>
            </w:r>
          </w:hyperlink>
        </w:p>
        <w:p w14:paraId="29C81645" w14:textId="2D71B7E8" w:rsidR="008F78DF" w:rsidRDefault="009804D7">
          <w:pPr>
            <w:pStyle w:val="TOC3"/>
            <w:tabs>
              <w:tab w:val="right" w:leader="dot" w:pos="9060"/>
            </w:tabs>
            <w:rPr>
              <w:rFonts w:eastAsiaTheme="minorEastAsia"/>
              <w:noProof/>
              <w:lang w:eastAsia="en-AU"/>
            </w:rPr>
          </w:pPr>
          <w:hyperlink w:anchor="_Toc132119630" w:history="1">
            <w:r w:rsidR="008F78DF" w:rsidRPr="008A1C4B">
              <w:rPr>
                <w:rStyle w:val="Hyperlink"/>
                <w:noProof/>
              </w:rPr>
              <w:t>Election to charge multiple offences as a course of conduct</w:t>
            </w:r>
            <w:r w:rsidR="008F78DF">
              <w:rPr>
                <w:noProof/>
                <w:webHidden/>
              </w:rPr>
              <w:tab/>
            </w:r>
            <w:r w:rsidR="008F78DF">
              <w:rPr>
                <w:noProof/>
                <w:webHidden/>
              </w:rPr>
              <w:fldChar w:fldCharType="begin"/>
            </w:r>
            <w:r w:rsidR="008F78DF">
              <w:rPr>
                <w:noProof/>
                <w:webHidden/>
              </w:rPr>
              <w:instrText xml:space="preserve"> PAGEREF _Toc132119630 \h </w:instrText>
            </w:r>
            <w:r w:rsidR="008F78DF">
              <w:rPr>
                <w:noProof/>
                <w:webHidden/>
              </w:rPr>
            </w:r>
            <w:r w:rsidR="008F78DF">
              <w:rPr>
                <w:noProof/>
                <w:webHidden/>
              </w:rPr>
              <w:fldChar w:fldCharType="separate"/>
            </w:r>
            <w:r w:rsidR="008F78DF">
              <w:rPr>
                <w:noProof/>
                <w:webHidden/>
              </w:rPr>
              <w:t>10</w:t>
            </w:r>
            <w:r w:rsidR="008F78DF">
              <w:rPr>
                <w:noProof/>
                <w:webHidden/>
              </w:rPr>
              <w:fldChar w:fldCharType="end"/>
            </w:r>
          </w:hyperlink>
        </w:p>
        <w:p w14:paraId="7C0B1CFF" w14:textId="7F390F9E" w:rsidR="008F78DF" w:rsidRDefault="009804D7">
          <w:pPr>
            <w:pStyle w:val="TOC3"/>
            <w:tabs>
              <w:tab w:val="right" w:leader="dot" w:pos="9060"/>
            </w:tabs>
            <w:rPr>
              <w:rFonts w:eastAsiaTheme="minorEastAsia"/>
              <w:noProof/>
              <w:lang w:eastAsia="en-AU"/>
            </w:rPr>
          </w:pPr>
          <w:hyperlink w:anchor="_Toc132119631" w:history="1">
            <w:r w:rsidR="008F78DF" w:rsidRPr="008A1C4B">
              <w:rPr>
                <w:rStyle w:val="Hyperlink"/>
                <w:noProof/>
              </w:rPr>
              <w:t>Liability of bodies corporate</w:t>
            </w:r>
            <w:r w:rsidR="008F78DF">
              <w:rPr>
                <w:noProof/>
                <w:webHidden/>
              </w:rPr>
              <w:tab/>
            </w:r>
            <w:r w:rsidR="008F78DF">
              <w:rPr>
                <w:noProof/>
                <w:webHidden/>
              </w:rPr>
              <w:fldChar w:fldCharType="begin"/>
            </w:r>
            <w:r w:rsidR="008F78DF">
              <w:rPr>
                <w:noProof/>
                <w:webHidden/>
              </w:rPr>
              <w:instrText xml:space="preserve"> PAGEREF _Toc132119631 \h </w:instrText>
            </w:r>
            <w:r w:rsidR="008F78DF">
              <w:rPr>
                <w:noProof/>
                <w:webHidden/>
              </w:rPr>
            </w:r>
            <w:r w:rsidR="008F78DF">
              <w:rPr>
                <w:noProof/>
                <w:webHidden/>
              </w:rPr>
              <w:fldChar w:fldCharType="separate"/>
            </w:r>
            <w:r w:rsidR="008F78DF">
              <w:rPr>
                <w:noProof/>
                <w:webHidden/>
              </w:rPr>
              <w:t>10</w:t>
            </w:r>
            <w:r w:rsidR="008F78DF">
              <w:rPr>
                <w:noProof/>
                <w:webHidden/>
              </w:rPr>
              <w:fldChar w:fldCharType="end"/>
            </w:r>
          </w:hyperlink>
        </w:p>
        <w:p w14:paraId="51644ADC" w14:textId="07A8FA82" w:rsidR="008F78DF" w:rsidRDefault="009804D7">
          <w:pPr>
            <w:pStyle w:val="TOC3"/>
            <w:tabs>
              <w:tab w:val="right" w:leader="dot" w:pos="9060"/>
            </w:tabs>
            <w:rPr>
              <w:rFonts w:eastAsiaTheme="minorEastAsia"/>
              <w:noProof/>
              <w:lang w:eastAsia="en-AU"/>
            </w:rPr>
          </w:pPr>
          <w:hyperlink w:anchor="_Toc132119632" w:history="1">
            <w:r w:rsidR="008F78DF" w:rsidRPr="008A1C4B">
              <w:rPr>
                <w:rStyle w:val="Hyperlink"/>
                <w:noProof/>
              </w:rPr>
              <w:t>Liability of officers of bodies corporate</w:t>
            </w:r>
            <w:r w:rsidR="008F78DF">
              <w:rPr>
                <w:noProof/>
                <w:webHidden/>
              </w:rPr>
              <w:tab/>
            </w:r>
            <w:r w:rsidR="008F78DF">
              <w:rPr>
                <w:noProof/>
                <w:webHidden/>
              </w:rPr>
              <w:fldChar w:fldCharType="begin"/>
            </w:r>
            <w:r w:rsidR="008F78DF">
              <w:rPr>
                <w:noProof/>
                <w:webHidden/>
              </w:rPr>
              <w:instrText xml:space="preserve"> PAGEREF _Toc132119632 \h </w:instrText>
            </w:r>
            <w:r w:rsidR="008F78DF">
              <w:rPr>
                <w:noProof/>
                <w:webHidden/>
              </w:rPr>
            </w:r>
            <w:r w:rsidR="008F78DF">
              <w:rPr>
                <w:noProof/>
                <w:webHidden/>
              </w:rPr>
              <w:fldChar w:fldCharType="separate"/>
            </w:r>
            <w:r w:rsidR="008F78DF">
              <w:rPr>
                <w:noProof/>
                <w:webHidden/>
              </w:rPr>
              <w:t>10</w:t>
            </w:r>
            <w:r w:rsidR="008F78DF">
              <w:rPr>
                <w:noProof/>
                <w:webHidden/>
              </w:rPr>
              <w:fldChar w:fldCharType="end"/>
            </w:r>
          </w:hyperlink>
        </w:p>
        <w:p w14:paraId="0F98CD3D" w14:textId="35A2A81B" w:rsidR="008F78DF" w:rsidRDefault="009804D7">
          <w:pPr>
            <w:pStyle w:val="TOC2"/>
            <w:tabs>
              <w:tab w:val="right" w:leader="dot" w:pos="9060"/>
            </w:tabs>
            <w:rPr>
              <w:rFonts w:eastAsiaTheme="minorEastAsia"/>
              <w:b w:val="0"/>
              <w:noProof/>
              <w:lang w:eastAsia="en-AU"/>
            </w:rPr>
          </w:pPr>
          <w:hyperlink w:anchor="_Toc132119633" w:history="1">
            <w:r w:rsidR="008F78DF" w:rsidRPr="008A1C4B">
              <w:rPr>
                <w:rStyle w:val="Hyperlink"/>
                <w:noProof/>
              </w:rPr>
              <w:t>Criminalising record-keeping misconduct</w:t>
            </w:r>
            <w:r w:rsidR="008F78DF">
              <w:rPr>
                <w:noProof/>
                <w:webHidden/>
              </w:rPr>
              <w:tab/>
            </w:r>
            <w:r w:rsidR="008F78DF">
              <w:rPr>
                <w:noProof/>
                <w:webHidden/>
              </w:rPr>
              <w:fldChar w:fldCharType="begin"/>
            </w:r>
            <w:r w:rsidR="008F78DF">
              <w:rPr>
                <w:noProof/>
                <w:webHidden/>
              </w:rPr>
              <w:instrText xml:space="preserve"> PAGEREF _Toc132119633 \h </w:instrText>
            </w:r>
            <w:r w:rsidR="008F78DF">
              <w:rPr>
                <w:noProof/>
                <w:webHidden/>
              </w:rPr>
            </w:r>
            <w:r w:rsidR="008F78DF">
              <w:rPr>
                <w:noProof/>
                <w:webHidden/>
              </w:rPr>
              <w:fldChar w:fldCharType="separate"/>
            </w:r>
            <w:r w:rsidR="008F78DF">
              <w:rPr>
                <w:noProof/>
                <w:webHidden/>
              </w:rPr>
              <w:t>11</w:t>
            </w:r>
            <w:r w:rsidR="008F78DF">
              <w:rPr>
                <w:noProof/>
                <w:webHidden/>
              </w:rPr>
              <w:fldChar w:fldCharType="end"/>
            </w:r>
          </w:hyperlink>
        </w:p>
        <w:p w14:paraId="7406658A" w14:textId="35D9AEB3" w:rsidR="008F78DF" w:rsidRDefault="009804D7">
          <w:pPr>
            <w:pStyle w:val="TOC3"/>
            <w:tabs>
              <w:tab w:val="right" w:leader="dot" w:pos="9060"/>
            </w:tabs>
            <w:rPr>
              <w:rFonts w:eastAsiaTheme="minorEastAsia"/>
              <w:noProof/>
              <w:lang w:eastAsia="en-AU"/>
            </w:rPr>
          </w:pPr>
          <w:hyperlink w:anchor="_Toc132119634" w:history="1">
            <w:r w:rsidR="008F78DF" w:rsidRPr="008A1C4B">
              <w:rPr>
                <w:rStyle w:val="Hyperlink"/>
                <w:noProof/>
              </w:rPr>
              <w:t>Record</w:t>
            </w:r>
            <w:r w:rsidR="008F78DF" w:rsidRPr="008A1C4B">
              <w:rPr>
                <w:rStyle w:val="Hyperlink"/>
                <w:noProof/>
              </w:rPr>
              <w:noBreakHyphen/>
              <w:t>keeping offences</w:t>
            </w:r>
            <w:r w:rsidR="008F78DF">
              <w:rPr>
                <w:noProof/>
                <w:webHidden/>
              </w:rPr>
              <w:tab/>
            </w:r>
            <w:r w:rsidR="008F78DF">
              <w:rPr>
                <w:noProof/>
                <w:webHidden/>
              </w:rPr>
              <w:fldChar w:fldCharType="begin"/>
            </w:r>
            <w:r w:rsidR="008F78DF">
              <w:rPr>
                <w:noProof/>
                <w:webHidden/>
              </w:rPr>
              <w:instrText xml:space="preserve"> PAGEREF _Toc132119634 \h </w:instrText>
            </w:r>
            <w:r w:rsidR="008F78DF">
              <w:rPr>
                <w:noProof/>
                <w:webHidden/>
              </w:rPr>
            </w:r>
            <w:r w:rsidR="008F78DF">
              <w:rPr>
                <w:noProof/>
                <w:webHidden/>
              </w:rPr>
              <w:fldChar w:fldCharType="separate"/>
            </w:r>
            <w:r w:rsidR="008F78DF">
              <w:rPr>
                <w:noProof/>
                <w:webHidden/>
              </w:rPr>
              <w:t>11</w:t>
            </w:r>
            <w:r w:rsidR="008F78DF">
              <w:rPr>
                <w:noProof/>
                <w:webHidden/>
              </w:rPr>
              <w:fldChar w:fldCharType="end"/>
            </w:r>
          </w:hyperlink>
        </w:p>
        <w:p w14:paraId="34724ACE" w14:textId="599D9CB1" w:rsidR="008F78DF" w:rsidRDefault="009804D7">
          <w:pPr>
            <w:pStyle w:val="TOC3"/>
            <w:tabs>
              <w:tab w:val="right" w:leader="dot" w:pos="9060"/>
            </w:tabs>
            <w:rPr>
              <w:rFonts w:eastAsiaTheme="minorEastAsia"/>
              <w:noProof/>
              <w:lang w:eastAsia="en-AU"/>
            </w:rPr>
          </w:pPr>
          <w:hyperlink w:anchor="_Toc132119635" w:history="1">
            <w:r w:rsidR="008F78DF" w:rsidRPr="008A1C4B">
              <w:rPr>
                <w:rStyle w:val="Hyperlink"/>
                <w:noProof/>
              </w:rPr>
              <w:t>Penalties</w:t>
            </w:r>
            <w:r w:rsidR="008F78DF">
              <w:rPr>
                <w:noProof/>
                <w:webHidden/>
              </w:rPr>
              <w:tab/>
            </w:r>
            <w:r w:rsidR="008F78DF">
              <w:rPr>
                <w:noProof/>
                <w:webHidden/>
              </w:rPr>
              <w:fldChar w:fldCharType="begin"/>
            </w:r>
            <w:r w:rsidR="008F78DF">
              <w:rPr>
                <w:noProof/>
                <w:webHidden/>
              </w:rPr>
              <w:instrText xml:space="preserve"> PAGEREF _Toc132119635 \h </w:instrText>
            </w:r>
            <w:r w:rsidR="008F78DF">
              <w:rPr>
                <w:noProof/>
                <w:webHidden/>
              </w:rPr>
            </w:r>
            <w:r w:rsidR="008F78DF">
              <w:rPr>
                <w:noProof/>
                <w:webHidden/>
              </w:rPr>
              <w:fldChar w:fldCharType="separate"/>
            </w:r>
            <w:r w:rsidR="008F78DF">
              <w:rPr>
                <w:noProof/>
                <w:webHidden/>
              </w:rPr>
              <w:t>12</w:t>
            </w:r>
            <w:r w:rsidR="008F78DF">
              <w:rPr>
                <w:noProof/>
                <w:webHidden/>
              </w:rPr>
              <w:fldChar w:fldCharType="end"/>
            </w:r>
          </w:hyperlink>
        </w:p>
        <w:p w14:paraId="1FAC9B6D" w14:textId="707C02A3" w:rsidR="008F78DF" w:rsidRDefault="009804D7">
          <w:pPr>
            <w:pStyle w:val="TOC3"/>
            <w:tabs>
              <w:tab w:val="right" w:leader="dot" w:pos="9060"/>
            </w:tabs>
            <w:rPr>
              <w:rFonts w:eastAsiaTheme="minorEastAsia"/>
              <w:noProof/>
              <w:lang w:eastAsia="en-AU"/>
            </w:rPr>
          </w:pPr>
          <w:hyperlink w:anchor="_Toc132119636" w:history="1">
            <w:r w:rsidR="008F78DF" w:rsidRPr="008A1C4B">
              <w:rPr>
                <w:rStyle w:val="Hyperlink"/>
                <w:noProof/>
              </w:rPr>
              <w:t>State and territory offences</w:t>
            </w:r>
            <w:r w:rsidR="008F78DF">
              <w:rPr>
                <w:noProof/>
                <w:webHidden/>
              </w:rPr>
              <w:tab/>
            </w:r>
            <w:r w:rsidR="008F78DF">
              <w:rPr>
                <w:noProof/>
                <w:webHidden/>
              </w:rPr>
              <w:fldChar w:fldCharType="begin"/>
            </w:r>
            <w:r w:rsidR="008F78DF">
              <w:rPr>
                <w:noProof/>
                <w:webHidden/>
              </w:rPr>
              <w:instrText xml:space="preserve"> PAGEREF _Toc132119636 \h </w:instrText>
            </w:r>
            <w:r w:rsidR="008F78DF">
              <w:rPr>
                <w:noProof/>
                <w:webHidden/>
              </w:rPr>
            </w:r>
            <w:r w:rsidR="008F78DF">
              <w:rPr>
                <w:noProof/>
                <w:webHidden/>
              </w:rPr>
              <w:fldChar w:fldCharType="separate"/>
            </w:r>
            <w:r w:rsidR="008F78DF">
              <w:rPr>
                <w:noProof/>
                <w:webHidden/>
              </w:rPr>
              <w:t>12</w:t>
            </w:r>
            <w:r w:rsidR="008F78DF">
              <w:rPr>
                <w:noProof/>
                <w:webHidden/>
              </w:rPr>
              <w:fldChar w:fldCharType="end"/>
            </w:r>
          </w:hyperlink>
        </w:p>
        <w:p w14:paraId="3BD36F3A" w14:textId="5D9DE120" w:rsidR="008F78DF" w:rsidRDefault="009804D7">
          <w:pPr>
            <w:pStyle w:val="TOC2"/>
            <w:tabs>
              <w:tab w:val="right" w:leader="dot" w:pos="9060"/>
            </w:tabs>
            <w:rPr>
              <w:rFonts w:eastAsiaTheme="minorEastAsia"/>
              <w:b w:val="0"/>
              <w:noProof/>
              <w:lang w:eastAsia="en-AU"/>
            </w:rPr>
          </w:pPr>
          <w:hyperlink w:anchor="_Toc132119637" w:history="1">
            <w:r w:rsidR="008F78DF" w:rsidRPr="008A1C4B">
              <w:rPr>
                <w:rStyle w:val="Hyperlink"/>
                <w:noProof/>
              </w:rPr>
              <w:t>Changes to the serious civil contraventions regime</w:t>
            </w:r>
            <w:r w:rsidR="008F78DF">
              <w:rPr>
                <w:noProof/>
                <w:webHidden/>
              </w:rPr>
              <w:tab/>
            </w:r>
            <w:r w:rsidR="008F78DF">
              <w:rPr>
                <w:noProof/>
                <w:webHidden/>
              </w:rPr>
              <w:fldChar w:fldCharType="begin"/>
            </w:r>
            <w:r w:rsidR="008F78DF">
              <w:rPr>
                <w:noProof/>
                <w:webHidden/>
              </w:rPr>
              <w:instrText xml:space="preserve"> PAGEREF _Toc132119637 \h </w:instrText>
            </w:r>
            <w:r w:rsidR="008F78DF">
              <w:rPr>
                <w:noProof/>
                <w:webHidden/>
              </w:rPr>
            </w:r>
            <w:r w:rsidR="008F78DF">
              <w:rPr>
                <w:noProof/>
                <w:webHidden/>
              </w:rPr>
              <w:fldChar w:fldCharType="separate"/>
            </w:r>
            <w:r w:rsidR="008F78DF">
              <w:rPr>
                <w:noProof/>
                <w:webHidden/>
              </w:rPr>
              <w:t>12</w:t>
            </w:r>
            <w:r w:rsidR="008F78DF">
              <w:rPr>
                <w:noProof/>
                <w:webHidden/>
              </w:rPr>
              <w:fldChar w:fldCharType="end"/>
            </w:r>
          </w:hyperlink>
        </w:p>
        <w:p w14:paraId="395EDA9D" w14:textId="5057F626" w:rsidR="008F78DF" w:rsidRDefault="009804D7">
          <w:pPr>
            <w:pStyle w:val="TOC3"/>
            <w:tabs>
              <w:tab w:val="right" w:leader="dot" w:pos="9060"/>
            </w:tabs>
            <w:rPr>
              <w:rFonts w:eastAsiaTheme="minorEastAsia"/>
              <w:noProof/>
              <w:lang w:eastAsia="en-AU"/>
            </w:rPr>
          </w:pPr>
          <w:hyperlink w:anchor="_Toc132119638" w:history="1">
            <w:r w:rsidR="008F78DF" w:rsidRPr="008A1C4B">
              <w:rPr>
                <w:rStyle w:val="Hyperlink"/>
                <w:noProof/>
              </w:rPr>
              <w:t>Ensuring the serious civil contraventions regime sits logically alongside new criminal offences</w:t>
            </w:r>
            <w:r w:rsidR="008F78DF">
              <w:rPr>
                <w:noProof/>
                <w:webHidden/>
              </w:rPr>
              <w:tab/>
            </w:r>
            <w:r w:rsidR="008F78DF">
              <w:rPr>
                <w:noProof/>
                <w:webHidden/>
              </w:rPr>
              <w:fldChar w:fldCharType="begin"/>
            </w:r>
            <w:r w:rsidR="008F78DF">
              <w:rPr>
                <w:noProof/>
                <w:webHidden/>
              </w:rPr>
              <w:instrText xml:space="preserve"> PAGEREF _Toc132119638 \h </w:instrText>
            </w:r>
            <w:r w:rsidR="008F78DF">
              <w:rPr>
                <w:noProof/>
                <w:webHidden/>
              </w:rPr>
            </w:r>
            <w:r w:rsidR="008F78DF">
              <w:rPr>
                <w:noProof/>
                <w:webHidden/>
              </w:rPr>
              <w:fldChar w:fldCharType="separate"/>
            </w:r>
            <w:r w:rsidR="008F78DF">
              <w:rPr>
                <w:noProof/>
                <w:webHidden/>
              </w:rPr>
              <w:t>12</w:t>
            </w:r>
            <w:r w:rsidR="008F78DF">
              <w:rPr>
                <w:noProof/>
                <w:webHidden/>
              </w:rPr>
              <w:fldChar w:fldCharType="end"/>
            </w:r>
          </w:hyperlink>
        </w:p>
        <w:p w14:paraId="06F58B03" w14:textId="74361F7E" w:rsidR="008F78DF" w:rsidRDefault="009804D7">
          <w:pPr>
            <w:pStyle w:val="TOC2"/>
            <w:tabs>
              <w:tab w:val="right" w:leader="dot" w:pos="9060"/>
            </w:tabs>
            <w:rPr>
              <w:rFonts w:eastAsiaTheme="minorEastAsia"/>
              <w:b w:val="0"/>
              <w:noProof/>
              <w:lang w:eastAsia="en-AU"/>
            </w:rPr>
          </w:pPr>
          <w:hyperlink w:anchor="_Toc132119639" w:history="1">
            <w:r w:rsidR="008F78DF" w:rsidRPr="008A1C4B">
              <w:rPr>
                <w:rStyle w:val="Hyperlink"/>
                <w:noProof/>
              </w:rPr>
              <w:t>Increasing maximum civil penalties</w:t>
            </w:r>
            <w:r w:rsidR="008F78DF">
              <w:rPr>
                <w:noProof/>
                <w:webHidden/>
              </w:rPr>
              <w:tab/>
            </w:r>
            <w:r w:rsidR="008F78DF">
              <w:rPr>
                <w:noProof/>
                <w:webHidden/>
              </w:rPr>
              <w:fldChar w:fldCharType="begin"/>
            </w:r>
            <w:r w:rsidR="008F78DF">
              <w:rPr>
                <w:noProof/>
                <w:webHidden/>
              </w:rPr>
              <w:instrText xml:space="preserve"> PAGEREF _Toc132119639 \h </w:instrText>
            </w:r>
            <w:r w:rsidR="008F78DF">
              <w:rPr>
                <w:noProof/>
                <w:webHidden/>
              </w:rPr>
            </w:r>
            <w:r w:rsidR="008F78DF">
              <w:rPr>
                <w:noProof/>
                <w:webHidden/>
              </w:rPr>
              <w:fldChar w:fldCharType="separate"/>
            </w:r>
            <w:r w:rsidR="008F78DF">
              <w:rPr>
                <w:noProof/>
                <w:webHidden/>
              </w:rPr>
              <w:t>13</w:t>
            </w:r>
            <w:r w:rsidR="008F78DF">
              <w:rPr>
                <w:noProof/>
                <w:webHidden/>
              </w:rPr>
              <w:fldChar w:fldCharType="end"/>
            </w:r>
          </w:hyperlink>
        </w:p>
        <w:p w14:paraId="14E29AA1" w14:textId="74C5056D" w:rsidR="008F78DF" w:rsidRDefault="009804D7">
          <w:pPr>
            <w:pStyle w:val="TOC3"/>
            <w:tabs>
              <w:tab w:val="right" w:leader="dot" w:pos="9060"/>
            </w:tabs>
            <w:rPr>
              <w:rFonts w:eastAsiaTheme="minorEastAsia"/>
              <w:noProof/>
              <w:lang w:eastAsia="en-AU"/>
            </w:rPr>
          </w:pPr>
          <w:hyperlink w:anchor="_Toc132119640" w:history="1">
            <w:r w:rsidR="008F78DF" w:rsidRPr="008A1C4B">
              <w:rPr>
                <w:rStyle w:val="Hyperlink"/>
                <w:noProof/>
              </w:rPr>
              <w:t>Penalties calculated with reference to amount of the underpayment</w:t>
            </w:r>
            <w:r w:rsidR="008F78DF">
              <w:rPr>
                <w:noProof/>
                <w:webHidden/>
              </w:rPr>
              <w:tab/>
            </w:r>
            <w:r w:rsidR="008F78DF">
              <w:rPr>
                <w:noProof/>
                <w:webHidden/>
              </w:rPr>
              <w:fldChar w:fldCharType="begin"/>
            </w:r>
            <w:r w:rsidR="008F78DF">
              <w:rPr>
                <w:noProof/>
                <w:webHidden/>
              </w:rPr>
              <w:instrText xml:space="preserve"> PAGEREF _Toc132119640 \h </w:instrText>
            </w:r>
            <w:r w:rsidR="008F78DF">
              <w:rPr>
                <w:noProof/>
                <w:webHidden/>
              </w:rPr>
            </w:r>
            <w:r w:rsidR="008F78DF">
              <w:rPr>
                <w:noProof/>
                <w:webHidden/>
              </w:rPr>
              <w:fldChar w:fldCharType="separate"/>
            </w:r>
            <w:r w:rsidR="008F78DF">
              <w:rPr>
                <w:noProof/>
                <w:webHidden/>
              </w:rPr>
              <w:t>15</w:t>
            </w:r>
            <w:r w:rsidR="008F78DF">
              <w:rPr>
                <w:noProof/>
                <w:webHidden/>
              </w:rPr>
              <w:fldChar w:fldCharType="end"/>
            </w:r>
          </w:hyperlink>
        </w:p>
        <w:p w14:paraId="5452D03A" w14:textId="5BA776F8" w:rsidR="008F78DF" w:rsidRDefault="009804D7">
          <w:pPr>
            <w:pStyle w:val="TOC2"/>
            <w:tabs>
              <w:tab w:val="right" w:leader="dot" w:pos="9060"/>
            </w:tabs>
            <w:rPr>
              <w:rFonts w:eastAsiaTheme="minorEastAsia"/>
              <w:b w:val="0"/>
              <w:noProof/>
              <w:lang w:eastAsia="en-AU"/>
            </w:rPr>
          </w:pPr>
          <w:hyperlink w:anchor="_Toc132119641" w:history="1">
            <w:r w:rsidR="008F78DF" w:rsidRPr="008A1C4B">
              <w:rPr>
                <w:rStyle w:val="Hyperlink"/>
                <w:noProof/>
              </w:rPr>
              <w:t>Sham arrangements</w:t>
            </w:r>
            <w:r w:rsidR="008F78DF">
              <w:rPr>
                <w:noProof/>
                <w:webHidden/>
              </w:rPr>
              <w:tab/>
            </w:r>
            <w:r w:rsidR="008F78DF">
              <w:rPr>
                <w:noProof/>
                <w:webHidden/>
              </w:rPr>
              <w:fldChar w:fldCharType="begin"/>
            </w:r>
            <w:r w:rsidR="008F78DF">
              <w:rPr>
                <w:noProof/>
                <w:webHidden/>
              </w:rPr>
              <w:instrText xml:space="preserve"> PAGEREF _Toc132119641 \h </w:instrText>
            </w:r>
            <w:r w:rsidR="008F78DF">
              <w:rPr>
                <w:noProof/>
                <w:webHidden/>
              </w:rPr>
            </w:r>
            <w:r w:rsidR="008F78DF">
              <w:rPr>
                <w:noProof/>
                <w:webHidden/>
              </w:rPr>
              <w:fldChar w:fldCharType="separate"/>
            </w:r>
            <w:r w:rsidR="008F78DF">
              <w:rPr>
                <w:noProof/>
                <w:webHidden/>
              </w:rPr>
              <w:t>16</w:t>
            </w:r>
            <w:r w:rsidR="008F78DF">
              <w:rPr>
                <w:noProof/>
                <w:webHidden/>
              </w:rPr>
              <w:fldChar w:fldCharType="end"/>
            </w:r>
          </w:hyperlink>
        </w:p>
        <w:p w14:paraId="080B34B0" w14:textId="7FFBCAE7" w:rsidR="008F78DF" w:rsidRDefault="009804D7">
          <w:pPr>
            <w:pStyle w:val="TOC3"/>
            <w:tabs>
              <w:tab w:val="right" w:leader="dot" w:pos="9060"/>
            </w:tabs>
            <w:rPr>
              <w:rFonts w:eastAsiaTheme="minorEastAsia"/>
              <w:noProof/>
              <w:lang w:eastAsia="en-AU"/>
            </w:rPr>
          </w:pPr>
          <w:hyperlink w:anchor="_Toc132119642" w:history="1">
            <w:r w:rsidR="008F78DF" w:rsidRPr="008A1C4B">
              <w:rPr>
                <w:rStyle w:val="Hyperlink"/>
                <w:noProof/>
              </w:rPr>
              <w:t>Reforming the defence to sham contracting</w:t>
            </w:r>
            <w:r w:rsidR="008F78DF">
              <w:rPr>
                <w:noProof/>
                <w:webHidden/>
              </w:rPr>
              <w:tab/>
            </w:r>
            <w:r w:rsidR="008F78DF">
              <w:rPr>
                <w:noProof/>
                <w:webHidden/>
              </w:rPr>
              <w:fldChar w:fldCharType="begin"/>
            </w:r>
            <w:r w:rsidR="008F78DF">
              <w:rPr>
                <w:noProof/>
                <w:webHidden/>
              </w:rPr>
              <w:instrText xml:space="preserve"> PAGEREF _Toc132119642 \h </w:instrText>
            </w:r>
            <w:r w:rsidR="008F78DF">
              <w:rPr>
                <w:noProof/>
                <w:webHidden/>
              </w:rPr>
            </w:r>
            <w:r w:rsidR="008F78DF">
              <w:rPr>
                <w:noProof/>
                <w:webHidden/>
              </w:rPr>
              <w:fldChar w:fldCharType="separate"/>
            </w:r>
            <w:r w:rsidR="008F78DF">
              <w:rPr>
                <w:noProof/>
                <w:webHidden/>
              </w:rPr>
              <w:t>16</w:t>
            </w:r>
            <w:r w:rsidR="008F78DF">
              <w:rPr>
                <w:noProof/>
                <w:webHidden/>
              </w:rPr>
              <w:fldChar w:fldCharType="end"/>
            </w:r>
          </w:hyperlink>
        </w:p>
        <w:p w14:paraId="0EAD83CE" w14:textId="30F101D4" w:rsidR="007855CC" w:rsidRPr="0095636C" w:rsidRDefault="00A0175F" w:rsidP="00937739">
          <w:pPr>
            <w:spacing w:before="120" w:after="120"/>
          </w:pPr>
          <w:r>
            <w:rPr>
              <w:rFonts w:ascii="Calibri" w:eastAsiaTheme="majorEastAsia" w:hAnsi="Calibri" w:cstheme="majorBidi"/>
              <w:color w:val="343741"/>
              <w:sz w:val="32"/>
              <w:szCs w:val="32"/>
            </w:rPr>
            <w:fldChar w:fldCharType="end"/>
          </w:r>
        </w:p>
      </w:sdtContent>
    </w:sdt>
    <w:p w14:paraId="31A63E98" w14:textId="1B74CB54" w:rsidR="007855CC" w:rsidRPr="0095636C" w:rsidRDefault="007855CC" w:rsidP="00937739">
      <w:pPr>
        <w:spacing w:before="120" w:after="120"/>
      </w:pPr>
      <w:r>
        <w:br w:type="page"/>
      </w:r>
    </w:p>
    <w:p w14:paraId="49F8D6E4" w14:textId="46E08C75" w:rsidR="00E657FC" w:rsidRPr="00A0175F" w:rsidRDefault="008F78DF" w:rsidP="00937739">
      <w:pPr>
        <w:pStyle w:val="Heading1"/>
        <w:rPr>
          <w:color w:val="789B4A"/>
        </w:rPr>
      </w:pPr>
      <w:bookmarkStart w:id="1" w:name="_Toc132119622"/>
      <w:bookmarkEnd w:id="0"/>
      <w:r>
        <w:rPr>
          <w:color w:val="789B4A"/>
        </w:rPr>
        <w:lastRenderedPageBreak/>
        <w:t>Overview</w:t>
      </w:r>
      <w:bookmarkEnd w:id="1"/>
    </w:p>
    <w:p w14:paraId="58761729" w14:textId="75700FF1" w:rsidR="006E4237" w:rsidRDefault="00460EF2" w:rsidP="00A4374D">
      <w:pPr>
        <w:spacing w:before="120" w:after="120"/>
      </w:pPr>
      <w:r>
        <w:t>The u</w:t>
      </w:r>
      <w:r w:rsidR="15E6E618">
        <w:t>nderpayment</w:t>
      </w:r>
      <w:r>
        <w:t xml:space="preserve"> and non-payment of wages (</w:t>
      </w:r>
      <w:r w:rsidR="00D253CB">
        <w:t xml:space="preserve">together referred to as </w:t>
      </w:r>
      <w:r w:rsidR="00D253CB">
        <w:rPr>
          <w:i/>
          <w:iCs/>
        </w:rPr>
        <w:t>underpayment</w:t>
      </w:r>
      <w:r w:rsidR="00D253CB">
        <w:t xml:space="preserve"> in this paper)</w:t>
      </w:r>
      <w:r w:rsidR="15E6E618">
        <w:t xml:space="preserve"> continues to feature across </w:t>
      </w:r>
      <w:r w:rsidR="203DC352">
        <w:t xml:space="preserve">a </w:t>
      </w:r>
      <w:r w:rsidR="15E6E618">
        <w:t xml:space="preserve">range of Australian workplaces, from small business to large </w:t>
      </w:r>
      <w:r w:rsidR="498406B5">
        <w:t>corporations</w:t>
      </w:r>
      <w:r w:rsidR="00112510">
        <w:t>. Wage underpayment</w:t>
      </w:r>
      <w:r w:rsidR="15E6E618">
        <w:t xml:space="preserve"> leav</w:t>
      </w:r>
      <w:r w:rsidR="00112510">
        <w:t>es</w:t>
      </w:r>
      <w:r w:rsidR="15E6E618">
        <w:t xml:space="preserve"> workers out of pocket and</w:t>
      </w:r>
      <w:r w:rsidR="00570515">
        <w:t xml:space="preserve"> forces</w:t>
      </w:r>
      <w:r w:rsidR="15E6E618">
        <w:t xml:space="preserve"> those businesses that </w:t>
      </w:r>
      <w:r w:rsidR="05A622AC">
        <w:t>follow the law</w:t>
      </w:r>
      <w:r w:rsidR="00570515">
        <w:t xml:space="preserve"> to </w:t>
      </w:r>
      <w:r w:rsidR="05A622AC">
        <w:t>compet</w:t>
      </w:r>
      <w:r w:rsidR="00570515">
        <w:t xml:space="preserve">e with businesses that have </w:t>
      </w:r>
      <w:r w:rsidR="05A622AC">
        <w:t xml:space="preserve">an unfair </w:t>
      </w:r>
      <w:r w:rsidR="1081D604">
        <w:t>advantage</w:t>
      </w:r>
      <w:r w:rsidR="05A622AC">
        <w:t xml:space="preserve">. </w:t>
      </w:r>
      <w:r w:rsidR="15E6E618">
        <w:t xml:space="preserve"> </w:t>
      </w:r>
    </w:p>
    <w:p w14:paraId="0B61CF09" w14:textId="26888F92" w:rsidR="00B22178" w:rsidRDefault="00C071AF" w:rsidP="00A4374D">
      <w:pPr>
        <w:spacing w:before="120" w:after="120"/>
        <w:rPr>
          <w:rFonts w:ascii="Calibri" w:eastAsia="Calibri" w:hAnsi="Calibri" w:cs="Calibri"/>
        </w:rPr>
      </w:pPr>
      <w:r>
        <w:t xml:space="preserve">The </w:t>
      </w:r>
      <w:r w:rsidR="00524FFA">
        <w:t xml:space="preserve">Australian </w:t>
      </w:r>
      <w:r>
        <w:t xml:space="preserve">Government has </w:t>
      </w:r>
      <w:r w:rsidR="00FE5E7B">
        <w:t>made an election commitment</w:t>
      </w:r>
      <w:r>
        <w:t xml:space="preserve"> to </w:t>
      </w:r>
      <w:r w:rsidR="00FE5E7B">
        <w:t>implement the recommendations of the Migrant Workers’ Taskforce</w:t>
      </w:r>
      <w:r w:rsidR="00441753">
        <w:t>.</w:t>
      </w:r>
      <w:r w:rsidR="006E4237">
        <w:t xml:space="preserve"> </w:t>
      </w:r>
      <w:r w:rsidR="00B22178">
        <w:rPr>
          <w:rFonts w:ascii="Calibri" w:eastAsia="Calibri" w:hAnsi="Calibri" w:cs="Calibri"/>
        </w:rPr>
        <w:t>The Taskforce identified that despite measures taken by the F</w:t>
      </w:r>
      <w:r w:rsidR="00126248">
        <w:rPr>
          <w:rFonts w:ascii="Calibri" w:eastAsia="Calibri" w:hAnsi="Calibri" w:cs="Calibri"/>
        </w:rPr>
        <w:t>air </w:t>
      </w:r>
      <w:r w:rsidR="00B22178">
        <w:rPr>
          <w:rFonts w:ascii="Calibri" w:eastAsia="Calibri" w:hAnsi="Calibri" w:cs="Calibri"/>
        </w:rPr>
        <w:t>W</w:t>
      </w:r>
      <w:r w:rsidR="00126248">
        <w:rPr>
          <w:rFonts w:ascii="Calibri" w:eastAsia="Calibri" w:hAnsi="Calibri" w:cs="Calibri"/>
        </w:rPr>
        <w:t xml:space="preserve">ork </w:t>
      </w:r>
      <w:r w:rsidR="00B22178">
        <w:rPr>
          <w:rFonts w:ascii="Calibri" w:eastAsia="Calibri" w:hAnsi="Calibri" w:cs="Calibri"/>
        </w:rPr>
        <w:t>O</w:t>
      </w:r>
      <w:r w:rsidR="00126248">
        <w:rPr>
          <w:rFonts w:ascii="Calibri" w:eastAsia="Calibri" w:hAnsi="Calibri" w:cs="Calibri"/>
        </w:rPr>
        <w:t>mbudsman</w:t>
      </w:r>
      <w:r w:rsidR="00B22178">
        <w:rPr>
          <w:rFonts w:ascii="Calibri" w:eastAsia="Calibri" w:hAnsi="Calibri" w:cs="Calibri"/>
        </w:rPr>
        <w:t xml:space="preserve"> and the Government at the time, underpayments were occurring with a severity and magnitude that suggested maximum penalty levels in the </w:t>
      </w:r>
      <w:r w:rsidR="00B22178" w:rsidRPr="001F5E58">
        <w:rPr>
          <w:rFonts w:ascii="Calibri" w:eastAsia="Calibri" w:hAnsi="Calibri" w:cs="Calibri"/>
          <w:i/>
          <w:iCs/>
        </w:rPr>
        <w:t>Fair Work Act</w:t>
      </w:r>
      <w:r w:rsidR="00B22178">
        <w:rPr>
          <w:rFonts w:ascii="Calibri" w:eastAsia="Calibri" w:hAnsi="Calibri" w:cs="Calibri"/>
        </w:rPr>
        <w:t xml:space="preserve"> </w:t>
      </w:r>
      <w:r w:rsidR="00A5420F">
        <w:rPr>
          <w:rFonts w:ascii="Calibri" w:eastAsia="Calibri" w:hAnsi="Calibri" w:cs="Calibri"/>
          <w:i/>
          <w:iCs/>
        </w:rPr>
        <w:t xml:space="preserve">2009 </w:t>
      </w:r>
      <w:r w:rsidR="00A5420F">
        <w:rPr>
          <w:rFonts w:ascii="Calibri" w:eastAsia="Calibri" w:hAnsi="Calibri" w:cs="Calibri"/>
        </w:rPr>
        <w:t>(Fair</w:t>
      </w:r>
      <w:r w:rsidR="007A3A73">
        <w:rPr>
          <w:rFonts w:ascii="Calibri" w:eastAsia="Calibri" w:hAnsi="Calibri" w:cs="Calibri"/>
        </w:rPr>
        <w:t> </w:t>
      </w:r>
      <w:r w:rsidR="00A5420F">
        <w:rPr>
          <w:rFonts w:ascii="Calibri" w:eastAsia="Calibri" w:hAnsi="Calibri" w:cs="Calibri"/>
        </w:rPr>
        <w:t>Work</w:t>
      </w:r>
      <w:r w:rsidR="007A3A73">
        <w:rPr>
          <w:rFonts w:ascii="Calibri" w:eastAsia="Calibri" w:hAnsi="Calibri" w:cs="Calibri"/>
        </w:rPr>
        <w:t> </w:t>
      </w:r>
      <w:r w:rsidR="00A5420F">
        <w:rPr>
          <w:rFonts w:ascii="Calibri" w:eastAsia="Calibri" w:hAnsi="Calibri" w:cs="Calibri"/>
        </w:rPr>
        <w:t xml:space="preserve">Act) </w:t>
      </w:r>
      <w:r w:rsidR="00B22178">
        <w:rPr>
          <w:rFonts w:ascii="Calibri" w:eastAsia="Calibri" w:hAnsi="Calibri" w:cs="Calibri"/>
        </w:rPr>
        <w:t>were not sufficient to adequately deter wrongdoing and drive cultural changes amongst employers.</w:t>
      </w:r>
      <w:r w:rsidR="00126248">
        <w:rPr>
          <w:rFonts w:ascii="Calibri" w:eastAsia="Calibri" w:hAnsi="Calibri" w:cs="Calibri"/>
        </w:rPr>
        <w:t xml:space="preserve"> In 2021-22, </w:t>
      </w:r>
      <w:r w:rsidR="00126248">
        <w:t xml:space="preserve">the </w:t>
      </w:r>
      <w:r w:rsidR="00126248">
        <w:rPr>
          <w:rFonts w:ascii="Calibri" w:eastAsia="Calibri" w:hAnsi="Calibri" w:cs="Calibri"/>
        </w:rPr>
        <w:t xml:space="preserve">Fair Work Ombudsman </w:t>
      </w:r>
      <w:r w:rsidR="00126248">
        <w:t xml:space="preserve">recovered </w:t>
      </w:r>
      <w:r w:rsidR="00B96F97">
        <w:t>over</w:t>
      </w:r>
      <w:r w:rsidR="00126248">
        <w:t xml:space="preserve"> half a billion dollars’ worth of underpayments for nearly 385,00</w:t>
      </w:r>
      <w:r w:rsidR="009804D7">
        <w:t>0</w:t>
      </w:r>
      <w:r w:rsidR="00126248">
        <w:t xml:space="preserve"> workers, indicating that non-compliance is widespread and requires stronger deterrence through stronger penalties.</w:t>
      </w:r>
    </w:p>
    <w:p w14:paraId="12F65C70" w14:textId="2434228A" w:rsidR="004501B9" w:rsidRDefault="00AE4AE3" w:rsidP="00A4374D">
      <w:pPr>
        <w:spacing w:before="120" w:after="120"/>
        <w:rPr>
          <w:rFonts w:ascii="Calibri" w:eastAsia="Calibri" w:hAnsi="Calibri" w:cs="Calibri"/>
        </w:rPr>
      </w:pPr>
      <w:r>
        <w:rPr>
          <w:rFonts w:ascii="Calibri" w:eastAsia="Calibri" w:hAnsi="Calibri" w:cs="Calibri"/>
        </w:rPr>
        <w:t>This paper outlines the Government’s</w:t>
      </w:r>
      <w:r w:rsidR="007C6487">
        <w:rPr>
          <w:rFonts w:ascii="Calibri" w:eastAsia="Calibri" w:hAnsi="Calibri" w:cs="Calibri"/>
        </w:rPr>
        <w:t xml:space="preserve"> </w:t>
      </w:r>
      <w:r w:rsidR="00BC3506">
        <w:rPr>
          <w:rFonts w:ascii="Calibri" w:eastAsia="Calibri" w:hAnsi="Calibri" w:cs="Calibri"/>
        </w:rPr>
        <w:t>proposed reforms</w:t>
      </w:r>
      <w:r w:rsidR="004501B9" w:rsidRPr="004501B9">
        <w:rPr>
          <w:rFonts w:ascii="Calibri" w:eastAsia="Calibri" w:hAnsi="Calibri" w:cs="Calibri"/>
        </w:rPr>
        <w:t xml:space="preserve"> </w:t>
      </w:r>
      <w:r w:rsidR="004501B9">
        <w:rPr>
          <w:rFonts w:ascii="Calibri" w:eastAsia="Calibri" w:hAnsi="Calibri" w:cs="Calibri"/>
        </w:rPr>
        <w:t>to strengthen the compliance and enforcement framework in the Fair Work Act and ensure that the framework contains a graduated scale of penalties and enforcement tools which address the full spectrum of non-compliance with workplace obligations.</w:t>
      </w:r>
    </w:p>
    <w:p w14:paraId="04583042" w14:textId="3E349540" w:rsidR="0045416A" w:rsidRDefault="004501B9" w:rsidP="00A4374D">
      <w:pPr>
        <w:spacing w:before="120" w:after="120"/>
        <w:rPr>
          <w:rFonts w:ascii="Calibri" w:eastAsia="Calibri" w:hAnsi="Calibri" w:cs="Calibri"/>
        </w:rPr>
      </w:pPr>
      <w:r>
        <w:rPr>
          <w:rFonts w:ascii="Calibri" w:eastAsia="Calibri" w:hAnsi="Calibri" w:cs="Calibri"/>
        </w:rPr>
        <w:t xml:space="preserve">This paper proposes </w:t>
      </w:r>
      <w:r w:rsidR="002568D7">
        <w:rPr>
          <w:rFonts w:ascii="Calibri" w:eastAsia="Calibri" w:hAnsi="Calibri" w:cs="Calibri"/>
        </w:rPr>
        <w:t xml:space="preserve">options for </w:t>
      </w:r>
      <w:r>
        <w:rPr>
          <w:rFonts w:ascii="Calibri" w:eastAsia="Calibri" w:hAnsi="Calibri" w:cs="Calibri"/>
        </w:rPr>
        <w:t xml:space="preserve">a criminal offence for wage underpayment and </w:t>
      </w:r>
      <w:r w:rsidR="002568D7">
        <w:rPr>
          <w:rFonts w:ascii="Calibri" w:eastAsia="Calibri" w:hAnsi="Calibri" w:cs="Calibri"/>
        </w:rPr>
        <w:t>proposes methods for increasing t</w:t>
      </w:r>
      <w:r w:rsidR="000A73BB">
        <w:rPr>
          <w:rFonts w:ascii="Calibri" w:eastAsia="Calibri" w:hAnsi="Calibri" w:cs="Calibri"/>
        </w:rPr>
        <w:t>he</w:t>
      </w:r>
      <w:r>
        <w:rPr>
          <w:rFonts w:ascii="Calibri" w:eastAsia="Calibri" w:hAnsi="Calibri" w:cs="Calibri"/>
        </w:rPr>
        <w:t xml:space="preserve"> maximum civil penalties for wage exploitation-related provisions of the Fair Work Act. </w:t>
      </w:r>
      <w:r w:rsidR="004F5D7F">
        <w:rPr>
          <w:rFonts w:ascii="Calibri" w:eastAsia="Calibri" w:hAnsi="Calibri" w:cs="Calibri"/>
        </w:rPr>
        <w:t xml:space="preserve"> </w:t>
      </w:r>
    </w:p>
    <w:p w14:paraId="58B4D461" w14:textId="37094F1C" w:rsidR="004F5D7F" w:rsidRDefault="004F5D7F" w:rsidP="00A4374D">
      <w:pPr>
        <w:spacing w:before="120" w:after="120"/>
      </w:pPr>
      <w:r>
        <w:t>These changes will implement</w:t>
      </w:r>
      <w:r w:rsidR="005824AE">
        <w:t xml:space="preserve"> recommendations 5 and 6 of the Migrant Workers’ Taskforce.</w:t>
      </w:r>
    </w:p>
    <w:p w14:paraId="2915C814" w14:textId="1C7E97FB" w:rsidR="00FA5322" w:rsidDel="005526E8" w:rsidRDefault="007A0D0F" w:rsidP="00A4374D">
      <w:pPr>
        <w:spacing w:before="120" w:after="120"/>
        <w:rPr>
          <w:rFonts w:ascii="Calibri" w:eastAsia="Calibri" w:hAnsi="Calibri" w:cs="Calibri"/>
        </w:rPr>
      </w:pPr>
      <w:r>
        <w:rPr>
          <w:rFonts w:ascii="Calibri" w:eastAsia="Calibri" w:hAnsi="Calibri" w:cs="Calibri"/>
        </w:rPr>
        <w:t>Th</w:t>
      </w:r>
      <w:r w:rsidR="0031696C">
        <w:rPr>
          <w:rFonts w:ascii="Calibri" w:eastAsia="Calibri" w:hAnsi="Calibri" w:cs="Calibri"/>
        </w:rPr>
        <w:t>is paper also proposes reforms to the sham arrangements provisions in the Fair Work Act</w:t>
      </w:r>
      <w:r w:rsidR="00AA181C">
        <w:rPr>
          <w:rFonts w:ascii="Calibri" w:eastAsia="Calibri" w:hAnsi="Calibri" w:cs="Calibri"/>
        </w:rPr>
        <w:t xml:space="preserve">. </w:t>
      </w:r>
      <w:r w:rsidR="008A5802">
        <w:t xml:space="preserve">Sham arrangements often </w:t>
      </w:r>
      <w:r w:rsidR="00BC198B">
        <w:t>result in</w:t>
      </w:r>
      <w:r w:rsidR="008A5802">
        <w:t xml:space="preserve"> underpayments of entitlements that attach to employment relationships but not contracting relationships</w:t>
      </w:r>
      <w:r w:rsidR="00DD582B">
        <w:t>.</w:t>
      </w:r>
      <w:r w:rsidR="008A5802">
        <w:t xml:space="preserve"> </w:t>
      </w:r>
      <w:r w:rsidR="004A4FC2" w:rsidRPr="004A4FC2">
        <w:t>Amending the defence</w:t>
      </w:r>
      <w:r w:rsidR="004A4FC2">
        <w:t xml:space="preserve"> to sham contracting and increasing penalties</w:t>
      </w:r>
      <w:r w:rsidR="004A4FC2" w:rsidRPr="004A4FC2">
        <w:t xml:space="preserve"> </w:t>
      </w:r>
      <w:r w:rsidR="004A4FC2">
        <w:t>for sham arrangements ensures</w:t>
      </w:r>
      <w:r w:rsidR="004A4FC2" w:rsidRPr="004A4FC2">
        <w:t xml:space="preserve"> that </w:t>
      </w:r>
      <w:r w:rsidR="004B3AF4">
        <w:t>the provisions protect workers from exploitation and</w:t>
      </w:r>
      <w:r w:rsidR="004B3AF4" w:rsidRPr="004A4FC2">
        <w:t xml:space="preserve"> </w:t>
      </w:r>
      <w:r w:rsidR="004A4FC2" w:rsidRPr="004A4FC2">
        <w:t xml:space="preserve">the defence to sham contracting operates fairly for workers and businesses.  </w:t>
      </w:r>
    </w:p>
    <w:p w14:paraId="254E28FC" w14:textId="77777777" w:rsidR="0033713A" w:rsidRDefault="0033713A" w:rsidP="0033713A">
      <w:pPr>
        <w:pStyle w:val="Heading1"/>
        <w:keepLines w:val="0"/>
      </w:pPr>
      <w:bookmarkStart w:id="2" w:name="_Toc128051812"/>
      <w:bookmarkStart w:id="3" w:name="_Toc128645622"/>
      <w:bookmarkStart w:id="4" w:name="_Toc910605696"/>
      <w:bookmarkStart w:id="5" w:name="_Toc129075951"/>
      <w:bookmarkStart w:id="6" w:name="_Toc129774601"/>
      <w:bookmarkStart w:id="7" w:name="_Toc132119623"/>
      <w:r>
        <w:t>How to provide your feedback</w:t>
      </w:r>
      <w:bookmarkEnd w:id="2"/>
      <w:bookmarkEnd w:id="3"/>
      <w:bookmarkEnd w:id="4"/>
      <w:bookmarkEnd w:id="5"/>
      <w:bookmarkEnd w:id="6"/>
      <w:bookmarkEnd w:id="7"/>
    </w:p>
    <w:p w14:paraId="42871700" w14:textId="77777777" w:rsidR="0033713A" w:rsidRDefault="0033713A" w:rsidP="0033713A">
      <w:r>
        <w:t>The department will use your views to help develop the final measures for introduction in legislation in the second half of this year.</w:t>
      </w:r>
    </w:p>
    <w:p w14:paraId="538A3177" w14:textId="77777777" w:rsidR="0033713A" w:rsidRDefault="0033713A" w:rsidP="0033713A">
      <w:r>
        <w:t xml:space="preserve">Please provide your written comments by providing a written submission to </w:t>
      </w:r>
      <w:r>
        <w:rPr>
          <w:rStyle w:val="Hyperlink"/>
        </w:rPr>
        <w:t>WRSubmissions@dewr.gov.au</w:t>
      </w:r>
      <w:r>
        <w:t xml:space="preserve">. All submissions will be treated as confidential and will not be published. You can choose to remain anonymous. </w:t>
      </w:r>
    </w:p>
    <w:p w14:paraId="77989398" w14:textId="52C90576" w:rsidR="0033713A" w:rsidRDefault="0033713A" w:rsidP="0033713A">
      <w:r>
        <w:rPr>
          <w:b/>
          <w:bCs/>
        </w:rPr>
        <w:t xml:space="preserve">Closing date: </w:t>
      </w:r>
      <w:r w:rsidR="00245ADE" w:rsidRPr="00711971">
        <w:t xml:space="preserve">Submissions close at </w:t>
      </w:r>
      <w:r w:rsidR="00245ADE" w:rsidRPr="004B2129">
        <w:t xml:space="preserve">11:00pm AEST on </w:t>
      </w:r>
      <w:r w:rsidR="00D503BA" w:rsidRPr="00D503BA">
        <w:t>Friday 12 May 2023</w:t>
      </w:r>
      <w:r w:rsidR="00A21D5F">
        <w:t>.</w:t>
      </w:r>
    </w:p>
    <w:p w14:paraId="1108B79E" w14:textId="77777777" w:rsidR="00BB3BB6" w:rsidRDefault="0033713A" w:rsidP="0033713A">
      <w:pPr>
        <w:sectPr w:rsidR="00BB3BB6" w:rsidSect="009836AF">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0" w:footer="454" w:gutter="0"/>
          <w:cols w:space="708"/>
          <w:docGrid w:linePitch="360"/>
        </w:sectPr>
      </w:pPr>
      <w:r>
        <w:t xml:space="preserve">Please keep informed of progress of these reforms at </w:t>
      </w:r>
      <w:hyperlink r:id="rId24" w:history="1">
        <w:r>
          <w:rPr>
            <w:rStyle w:val="Hyperlink"/>
          </w:rPr>
          <w:t>www.dewr.gov.au</w:t>
        </w:r>
      </w:hyperlink>
      <w:r>
        <w:t>, including opportunities to be involved in later stages of consultation.</w:t>
      </w:r>
    </w:p>
    <w:p w14:paraId="404C5CE4" w14:textId="34AD643B" w:rsidR="005455FF" w:rsidRPr="00A0175F" w:rsidRDefault="005455FF" w:rsidP="00937739">
      <w:pPr>
        <w:pStyle w:val="Heading1"/>
        <w:rPr>
          <w:color w:val="789B4A"/>
        </w:rPr>
      </w:pPr>
      <w:bookmarkStart w:id="8" w:name="_Toc132119624"/>
      <w:r w:rsidRPr="00A0175F">
        <w:rPr>
          <w:color w:val="789B4A"/>
        </w:rPr>
        <w:lastRenderedPageBreak/>
        <w:t>Policies</w:t>
      </w:r>
      <w:bookmarkEnd w:id="8"/>
    </w:p>
    <w:p w14:paraId="4B0CC272" w14:textId="3451404C" w:rsidR="00EC77E4" w:rsidRDefault="00A242A3" w:rsidP="00937739">
      <w:pPr>
        <w:pStyle w:val="Heading2"/>
      </w:pPr>
      <w:bookmarkStart w:id="9" w:name="_Toc132119625"/>
      <w:r>
        <w:t>Criminalising wage underpayments</w:t>
      </w:r>
      <w:bookmarkEnd w:id="9"/>
      <w:r>
        <w:t xml:space="preserve"> </w:t>
      </w:r>
    </w:p>
    <w:p w14:paraId="3D8E53F0" w14:textId="68C10C65" w:rsidR="00295B8B" w:rsidRDefault="00F34D93" w:rsidP="00937739">
      <w:pPr>
        <w:pStyle w:val="Heading3"/>
        <w:spacing w:before="120" w:after="120"/>
      </w:pPr>
      <w:bookmarkStart w:id="10" w:name="_Toc132119626"/>
      <w:r>
        <w:t>W</w:t>
      </w:r>
      <w:r w:rsidR="009426A0">
        <w:t>age underpayment offence</w:t>
      </w:r>
      <w:bookmarkEnd w:id="10"/>
    </w:p>
    <w:p w14:paraId="3484A754" w14:textId="5FB6382A" w:rsidR="001935A2" w:rsidRPr="00374857" w:rsidRDefault="001935A2" w:rsidP="00374857">
      <w:pPr>
        <w:pStyle w:val="Question"/>
        <w:rPr>
          <w:b/>
          <w:bCs/>
        </w:rPr>
      </w:pPr>
      <w:r w:rsidRPr="00374857">
        <w:rPr>
          <w:b/>
          <w:bCs/>
        </w:rPr>
        <w:t xml:space="preserve">Question </w:t>
      </w:r>
      <w:r w:rsidR="00E6640D" w:rsidRPr="00374857">
        <w:rPr>
          <w:b/>
          <w:bCs/>
        </w:rPr>
        <w:t>1</w:t>
      </w:r>
      <w:r w:rsidRPr="00374857">
        <w:rPr>
          <w:b/>
          <w:bCs/>
        </w:rPr>
        <w:t xml:space="preserve">: </w:t>
      </w:r>
    </w:p>
    <w:p w14:paraId="11F78D3A" w14:textId="4571A56E" w:rsidR="006C5CAF" w:rsidRDefault="004B7649">
      <w:pPr>
        <w:pStyle w:val="Question"/>
      </w:pPr>
      <w:r>
        <w:t xml:space="preserve">Which of the following options </w:t>
      </w:r>
      <w:r w:rsidR="00F4693C">
        <w:t xml:space="preserve">proposed by the department </w:t>
      </w:r>
      <w:r w:rsidR="007D5C3A">
        <w:t xml:space="preserve">would be the most effective for introducing a criminal offence for wage underpayment? </w:t>
      </w:r>
    </w:p>
    <w:p w14:paraId="246F9448" w14:textId="67FCA9C1" w:rsidR="00306E53" w:rsidRPr="009246DE" w:rsidRDefault="00E6640D" w:rsidP="008E2A53">
      <w:pPr>
        <w:pStyle w:val="offenceoption1"/>
        <w:ind w:left="0"/>
        <w:rPr>
          <w:b/>
          <w:bCs/>
          <w:color w:val="B6006A" w:themeColor="accent4"/>
        </w:rPr>
      </w:pPr>
      <w:r w:rsidRPr="009246DE">
        <w:rPr>
          <w:b/>
          <w:bCs/>
          <w:color w:val="B6006A" w:themeColor="accent4"/>
        </w:rPr>
        <w:t xml:space="preserve">Option </w:t>
      </w:r>
      <w:r w:rsidR="0021144C">
        <w:rPr>
          <w:b/>
          <w:bCs/>
          <w:color w:val="B6006A" w:themeColor="accent4"/>
        </w:rPr>
        <w:t>1</w:t>
      </w:r>
      <w:r w:rsidRPr="009246DE">
        <w:rPr>
          <w:b/>
          <w:bCs/>
          <w:color w:val="B6006A" w:themeColor="accent4"/>
        </w:rPr>
        <w:t xml:space="preserve">: </w:t>
      </w:r>
      <w:r w:rsidR="00306E53" w:rsidRPr="009246DE">
        <w:rPr>
          <w:b/>
          <w:bCs/>
          <w:color w:val="B6006A" w:themeColor="accent4"/>
        </w:rPr>
        <w:t xml:space="preserve">Knowledge-based wage underpayment offence </w:t>
      </w:r>
      <w:r w:rsidR="00306E53" w:rsidRPr="009246DE">
        <w:rPr>
          <w:b/>
          <w:bCs/>
          <w:color w:val="B6006A" w:themeColor="accent4"/>
          <w:u w:val="single"/>
        </w:rPr>
        <w:t>only</w:t>
      </w:r>
    </w:p>
    <w:p w14:paraId="6798594F" w14:textId="69E83259" w:rsidR="00306E53" w:rsidRDefault="00306E53" w:rsidP="008E2A53">
      <w:pPr>
        <w:pStyle w:val="offenceoption1"/>
        <w:ind w:left="0"/>
      </w:pPr>
      <w:r w:rsidRPr="006F1D0E">
        <w:t xml:space="preserve">The offence would cover employers who </w:t>
      </w:r>
      <w:r w:rsidRPr="00A246B3">
        <w:rPr>
          <w:b/>
          <w:bCs/>
        </w:rPr>
        <w:t>know</w:t>
      </w:r>
      <w:r w:rsidRPr="006F1D0E">
        <w:t xml:space="preserve"> they are not paying an employee the amount to which that employee is entitled. </w:t>
      </w:r>
    </w:p>
    <w:p w14:paraId="0BE05E72" w14:textId="672084B0" w:rsidR="00633AEB" w:rsidRDefault="00633AEB" w:rsidP="008E2A53">
      <w:pPr>
        <w:pStyle w:val="offenceoption1"/>
        <w:ind w:left="0"/>
      </w:pPr>
      <w:r w:rsidRPr="00633AEB">
        <w:t>This offence is proposed to cover the most serious and egregious instances of wage underpayment – for example, deliberate underpayment of wages or entitlements.</w:t>
      </w:r>
    </w:p>
    <w:p w14:paraId="55BF048A" w14:textId="3EC60467" w:rsidR="00B44AE0" w:rsidRPr="009246DE" w:rsidRDefault="00E6640D" w:rsidP="008E2A53">
      <w:pPr>
        <w:pStyle w:val="Offenceoption2"/>
        <w:ind w:left="0"/>
        <w:rPr>
          <w:b/>
          <w:bCs/>
          <w:color w:val="F26322" w:themeColor="accent2"/>
        </w:rPr>
      </w:pPr>
      <w:r w:rsidRPr="009246DE">
        <w:rPr>
          <w:b/>
          <w:bCs/>
          <w:color w:val="F26322" w:themeColor="accent2"/>
        </w:rPr>
        <w:t xml:space="preserve">Option </w:t>
      </w:r>
      <w:r w:rsidR="006E4987">
        <w:rPr>
          <w:b/>
          <w:bCs/>
          <w:color w:val="F26322" w:themeColor="accent2"/>
        </w:rPr>
        <w:t>2</w:t>
      </w:r>
      <w:r w:rsidRPr="009246DE">
        <w:rPr>
          <w:b/>
          <w:bCs/>
          <w:color w:val="F26322" w:themeColor="accent2"/>
        </w:rPr>
        <w:t xml:space="preserve">: </w:t>
      </w:r>
      <w:r w:rsidR="00B44AE0" w:rsidRPr="009246DE">
        <w:rPr>
          <w:b/>
          <w:bCs/>
          <w:color w:val="F26322" w:themeColor="accent2"/>
        </w:rPr>
        <w:t xml:space="preserve">Recklessness-based wage underpayment offence </w:t>
      </w:r>
      <w:r w:rsidR="00B44AE0" w:rsidRPr="009246DE">
        <w:rPr>
          <w:b/>
          <w:bCs/>
          <w:color w:val="F26322" w:themeColor="accent2"/>
          <w:u w:val="single"/>
        </w:rPr>
        <w:t>only</w:t>
      </w:r>
    </w:p>
    <w:p w14:paraId="1C1DF9CD" w14:textId="23415972" w:rsidR="00B44AE0" w:rsidRDefault="00B44AE0" w:rsidP="008E2A53">
      <w:pPr>
        <w:pStyle w:val="Offenceoption2"/>
        <w:ind w:left="0"/>
      </w:pPr>
      <w:r w:rsidRPr="006F1D0E">
        <w:t xml:space="preserve">The offence would cover employers who are </w:t>
      </w:r>
      <w:r w:rsidRPr="00A246B3">
        <w:rPr>
          <w:b/>
          <w:bCs/>
        </w:rPr>
        <w:t>aware of a substantial risk</w:t>
      </w:r>
      <w:r w:rsidRPr="006F1D0E">
        <w:t xml:space="preserve"> that they are not paying an employee the amount to which </w:t>
      </w:r>
      <w:r w:rsidR="00674B98">
        <w:t>t</w:t>
      </w:r>
      <w:r w:rsidRPr="006F1D0E">
        <w:t xml:space="preserve">hat employee is entitled and proceed even though it is </w:t>
      </w:r>
      <w:r w:rsidRPr="00A246B3">
        <w:rPr>
          <w:b/>
          <w:bCs/>
        </w:rPr>
        <w:t>unjustifiable to take that risk</w:t>
      </w:r>
      <w:r w:rsidRPr="006F1D0E">
        <w:t xml:space="preserve">. </w:t>
      </w:r>
    </w:p>
    <w:p w14:paraId="1E8ACC86" w14:textId="77777777" w:rsidR="00633AEB" w:rsidRPr="00633AEB" w:rsidRDefault="00633AEB" w:rsidP="008E2A53">
      <w:pPr>
        <w:pStyle w:val="Offenceoption2"/>
        <w:ind w:left="0"/>
      </w:pPr>
      <w:r w:rsidRPr="00633AEB">
        <w:t xml:space="preserve">This offence is proposed to apply to employers who may not deliberately underpay their workers, but whose appreciation of the risk that an amount is incorrect is such that it is unjustifiable for them to proceed with paying that amount.  </w:t>
      </w:r>
    </w:p>
    <w:p w14:paraId="2DD5C778" w14:textId="46660415" w:rsidR="00633AEB" w:rsidRDefault="00633AEB" w:rsidP="008E2A53">
      <w:pPr>
        <w:pStyle w:val="Offenceoption2"/>
        <w:ind w:left="0"/>
      </w:pPr>
      <w:r w:rsidRPr="00633AEB">
        <w:t>Under the Commonwealth Criminal Code, deliberate conduct could also be prosecuted under this offence</w:t>
      </w:r>
      <w:r w:rsidR="00574208">
        <w:t xml:space="preserve">. The </w:t>
      </w:r>
      <w:r w:rsidR="00C0635F">
        <w:t>fault element to be proved would remain at recklessness, and the conduct would be punishable</w:t>
      </w:r>
      <w:r w:rsidR="00674B98">
        <w:t xml:space="preserve"> by the penalty for </w:t>
      </w:r>
      <w:r w:rsidR="00C0635F">
        <w:t>reckless</w:t>
      </w:r>
      <w:r w:rsidR="00674B98">
        <w:t xml:space="preserve"> conduct.</w:t>
      </w:r>
    </w:p>
    <w:p w14:paraId="090A24F7" w14:textId="4951BDFB" w:rsidR="0021144C" w:rsidRPr="009246DE" w:rsidRDefault="0021144C" w:rsidP="008E2A53">
      <w:pPr>
        <w:pStyle w:val="Option3"/>
        <w:pBdr>
          <w:top w:val="single" w:sz="12" w:space="1" w:color="E9A913" w:themeColor="accent5"/>
          <w:left w:val="single" w:sz="12" w:space="4" w:color="E9A913" w:themeColor="accent5"/>
          <w:bottom w:val="single" w:sz="12" w:space="1" w:color="E9A913" w:themeColor="accent5"/>
          <w:right w:val="single" w:sz="12" w:space="4" w:color="E9A913" w:themeColor="accent5"/>
        </w:pBdr>
        <w:ind w:left="0"/>
        <w:rPr>
          <w:b/>
          <w:bCs/>
          <w:color w:val="E9A913" w:themeColor="accent5"/>
        </w:rPr>
      </w:pPr>
      <w:r w:rsidRPr="009246DE">
        <w:rPr>
          <w:b/>
          <w:bCs/>
          <w:color w:val="E9A913" w:themeColor="accent5"/>
        </w:rPr>
        <w:t xml:space="preserve">Option </w:t>
      </w:r>
      <w:r>
        <w:rPr>
          <w:b/>
          <w:bCs/>
          <w:color w:val="E9A913" w:themeColor="accent5"/>
        </w:rPr>
        <w:t>3</w:t>
      </w:r>
      <w:r w:rsidRPr="009246DE">
        <w:rPr>
          <w:b/>
          <w:bCs/>
          <w:color w:val="E9A913" w:themeColor="accent5"/>
        </w:rPr>
        <w:t>: Tiered approach</w:t>
      </w:r>
    </w:p>
    <w:p w14:paraId="6538D099" w14:textId="6B9850B4" w:rsidR="0021144C" w:rsidRDefault="0021144C" w:rsidP="008E2A53">
      <w:pPr>
        <w:pStyle w:val="tieredapproach"/>
        <w:ind w:left="0"/>
      </w:pPr>
      <w:r>
        <w:t xml:space="preserve">Two offences would be </w:t>
      </w:r>
      <w:r w:rsidRPr="007A6BAD">
        <w:t>inserted</w:t>
      </w:r>
      <w:r>
        <w:t xml:space="preserve"> into the Fair Work Act: a </w:t>
      </w:r>
      <w:r w:rsidRPr="007A6BAD">
        <w:rPr>
          <w:b/>
          <w:bCs/>
          <w:color w:val="B6006A" w:themeColor="accent4"/>
        </w:rPr>
        <w:t>knowledge-based wage underpayment offence</w:t>
      </w:r>
      <w:r w:rsidRPr="00BD0921">
        <w:rPr>
          <w:i/>
          <w:iCs/>
          <w:color w:val="B6006A" w:themeColor="accent4"/>
        </w:rPr>
        <w:t xml:space="preserve"> </w:t>
      </w:r>
      <w:r>
        <w:t xml:space="preserve">and a </w:t>
      </w:r>
      <w:r w:rsidRPr="007A6BAD">
        <w:rPr>
          <w:b/>
          <w:bCs/>
          <w:color w:val="F26322" w:themeColor="accent2"/>
        </w:rPr>
        <w:t>recklessness-based wage underpayment</w:t>
      </w:r>
      <w:r w:rsidRPr="007A6BAD">
        <w:rPr>
          <w:b/>
          <w:bCs/>
          <w:i/>
          <w:iCs/>
          <w:color w:val="F26322" w:themeColor="accent2"/>
        </w:rPr>
        <w:t xml:space="preserve"> </w:t>
      </w:r>
      <w:r w:rsidRPr="007A6BAD">
        <w:rPr>
          <w:b/>
          <w:bCs/>
          <w:color w:val="F26322" w:themeColor="accent2"/>
        </w:rPr>
        <w:t>offence</w:t>
      </w:r>
      <w:r>
        <w:t xml:space="preserve">. </w:t>
      </w:r>
      <w:r w:rsidR="00674B98">
        <w:t xml:space="preserve"> There could be different penalties applicable to each offence, reflecting a more graduated approach to criminal culpability.</w:t>
      </w:r>
    </w:p>
    <w:p w14:paraId="75BF16B4" w14:textId="37117A61" w:rsidR="006473D4" w:rsidRDefault="006473D4" w:rsidP="006473D4">
      <w:pPr>
        <w:spacing w:before="120" w:after="120"/>
      </w:pPr>
      <w:r>
        <w:rPr>
          <w:b/>
          <w:bCs/>
        </w:rPr>
        <w:t>All</w:t>
      </w:r>
      <w:r w:rsidRPr="00DB2F7B">
        <w:rPr>
          <w:b/>
          <w:bCs/>
        </w:rPr>
        <w:t xml:space="preserve"> offence options</w:t>
      </w:r>
      <w:r>
        <w:t xml:space="preserve"> would cover instances where an employer is required to pay an amount to a third party on behalf of an employee, for example, where an employer is required to pay superannuation contributions to a superannuation fund on behalf of an employee. </w:t>
      </w:r>
    </w:p>
    <w:p w14:paraId="3ED6F246" w14:textId="77777777" w:rsidR="006473D4" w:rsidRDefault="006473D4" w:rsidP="006473D4">
      <w:pPr>
        <w:spacing w:before="120" w:after="120"/>
      </w:pPr>
      <w:r>
        <w:rPr>
          <w:b/>
          <w:bCs/>
        </w:rPr>
        <w:t>All</w:t>
      </w:r>
      <w:r w:rsidRPr="00DB2F7B">
        <w:rPr>
          <w:b/>
          <w:bCs/>
        </w:rPr>
        <w:t xml:space="preserve"> offence options</w:t>
      </w:r>
      <w:r>
        <w:t xml:space="preserve"> are proposed to apply to officers of bodies corporate (including directors) if they are </w:t>
      </w:r>
      <w:r w:rsidRPr="00C93958">
        <w:t>covered by the ancillary liability provisions of the Commonwealth Criminal Code</w:t>
      </w:r>
      <w:r>
        <w:t xml:space="preserve"> (see </w:t>
      </w:r>
      <w:r w:rsidRPr="00DB2F7B">
        <w:rPr>
          <w:b/>
          <w:bCs/>
          <w:i/>
          <w:iCs/>
        </w:rPr>
        <w:t>Liability of officers of bodies corporate</w:t>
      </w:r>
      <w:r>
        <w:t xml:space="preserve"> below)</w:t>
      </w:r>
      <w:r w:rsidRPr="00C93958">
        <w:t>.</w:t>
      </w:r>
      <w:r>
        <w:t xml:space="preserve"> </w:t>
      </w:r>
    </w:p>
    <w:p w14:paraId="57193D12" w14:textId="77777777" w:rsidR="006473D4" w:rsidRDefault="006473D4" w:rsidP="006473D4">
      <w:pPr>
        <w:spacing w:after="0"/>
      </w:pPr>
      <w:r>
        <w:rPr>
          <w:b/>
          <w:bCs/>
        </w:rPr>
        <w:t>All</w:t>
      </w:r>
      <w:r w:rsidRPr="00DB2F7B">
        <w:rPr>
          <w:b/>
          <w:bCs/>
        </w:rPr>
        <w:t xml:space="preserve"> offence options</w:t>
      </w:r>
      <w:r>
        <w:t xml:space="preserve"> would also cover:</w:t>
      </w:r>
    </w:p>
    <w:p w14:paraId="7E48CCFA" w14:textId="77777777" w:rsidR="006473D4" w:rsidRDefault="006473D4" w:rsidP="006473D4">
      <w:pPr>
        <w:pStyle w:val="ListParagraph"/>
        <w:numPr>
          <w:ilvl w:val="0"/>
          <w:numId w:val="35"/>
        </w:numPr>
        <w:spacing w:after="0" w:line="276" w:lineRule="auto"/>
      </w:pPr>
      <w:r>
        <w:t xml:space="preserve">cash-back arrangements and </w:t>
      </w:r>
    </w:p>
    <w:p w14:paraId="49EC932C" w14:textId="26E09452" w:rsidR="006473D4" w:rsidRDefault="006473D4" w:rsidP="006473D4">
      <w:pPr>
        <w:pStyle w:val="ListParagraph"/>
        <w:numPr>
          <w:ilvl w:val="0"/>
          <w:numId w:val="35"/>
        </w:numPr>
        <w:spacing w:after="0" w:line="276" w:lineRule="auto"/>
      </w:pPr>
      <w:r>
        <w:t>deductions which benefit the employer directly or indirectly and are unreasonable in the circumstances.</w:t>
      </w:r>
    </w:p>
    <w:p w14:paraId="71FF07EA" w14:textId="62775D7F" w:rsidR="00D317AB" w:rsidRPr="000D3E5D" w:rsidRDefault="00D317AB" w:rsidP="003C0EB3">
      <w:pPr>
        <w:pStyle w:val="Examplebox"/>
      </w:pPr>
      <w:r w:rsidRPr="000D3E5D">
        <w:lastRenderedPageBreak/>
        <w:t>Example:</w:t>
      </w:r>
    </w:p>
    <w:p w14:paraId="5FDFA1E7" w14:textId="71860268" w:rsidR="00D317AB" w:rsidRPr="0014583D" w:rsidRDefault="00D317AB" w:rsidP="003C0EB3">
      <w:pPr>
        <w:pStyle w:val="Examplebox"/>
        <w:rPr>
          <w:b w:val="0"/>
          <w:bCs w:val="0"/>
        </w:rPr>
      </w:pPr>
      <w:r w:rsidRPr="0014583D">
        <w:rPr>
          <w:b w:val="0"/>
          <w:bCs w:val="0"/>
        </w:rPr>
        <w:t xml:space="preserve">Amanda’s Greengrocer Pty Ltd employs 100 workers across 6 locations. The business pays its staff between $12 and $15 per hour. The owner and CEO are aware that this is below the applicable Award rates for these employees but believe </w:t>
      </w:r>
      <w:r w:rsidR="009267C6" w:rsidRPr="0014583D">
        <w:rPr>
          <w:b w:val="0"/>
          <w:bCs w:val="0"/>
        </w:rPr>
        <w:t>it</w:t>
      </w:r>
      <w:r w:rsidRPr="0014583D">
        <w:rPr>
          <w:b w:val="0"/>
          <w:bCs w:val="0"/>
        </w:rPr>
        <w:t xml:space="preserve"> is the ‘market rate’.</w:t>
      </w:r>
    </w:p>
    <w:p w14:paraId="21530B8A" w14:textId="02F3C95A" w:rsidR="00D317AB" w:rsidRPr="0014583D" w:rsidRDefault="00D317AB" w:rsidP="003C0EB3">
      <w:pPr>
        <w:pStyle w:val="Examplebox"/>
        <w:rPr>
          <w:b w:val="0"/>
          <w:bCs w:val="0"/>
        </w:rPr>
      </w:pPr>
      <w:r w:rsidRPr="0014583D">
        <w:rPr>
          <w:b w:val="0"/>
          <w:bCs w:val="0"/>
        </w:rPr>
        <w:t xml:space="preserve">A number of the underpaid employees approach the directors, asking </w:t>
      </w:r>
      <w:r w:rsidR="00327347" w:rsidRPr="0014583D">
        <w:rPr>
          <w:b w:val="0"/>
          <w:bCs w:val="0"/>
        </w:rPr>
        <w:t>to be paid their Award rate</w:t>
      </w:r>
      <w:r w:rsidRPr="0014583D">
        <w:rPr>
          <w:b w:val="0"/>
          <w:bCs w:val="0"/>
        </w:rPr>
        <w:t>. The response from the directors and owners is that paying the award will eat into the company’s profits.</w:t>
      </w:r>
    </w:p>
    <w:p w14:paraId="0025A762" w14:textId="5A06AAD2" w:rsidR="00E77482" w:rsidRDefault="00D317AB" w:rsidP="00953532">
      <w:pPr>
        <w:pStyle w:val="Examplebox"/>
        <w:rPr>
          <w:b w:val="0"/>
          <w:bCs w:val="0"/>
        </w:rPr>
      </w:pPr>
      <w:r w:rsidRPr="0014583D">
        <w:rPr>
          <w:b w:val="0"/>
          <w:bCs w:val="0"/>
        </w:rPr>
        <w:t xml:space="preserve">In this case, the </w:t>
      </w:r>
      <w:r w:rsidR="00382E1C" w:rsidRPr="0014583D">
        <w:rPr>
          <w:color w:val="B6006A" w:themeColor="accent4"/>
        </w:rPr>
        <w:t>knowledge-based offence</w:t>
      </w:r>
      <w:r w:rsidRPr="0014583D">
        <w:rPr>
          <w:b w:val="0"/>
          <w:bCs w:val="0"/>
          <w:color w:val="B6006A" w:themeColor="accent4"/>
        </w:rPr>
        <w:t xml:space="preserve"> </w:t>
      </w:r>
      <w:r w:rsidRPr="0014583D">
        <w:rPr>
          <w:b w:val="0"/>
          <w:bCs w:val="0"/>
        </w:rPr>
        <w:t>could apply to the company’s conduct.  The owner and senior managers may also be liable for the offence as accessories.</w:t>
      </w:r>
    </w:p>
    <w:p w14:paraId="023CC353" w14:textId="77777777" w:rsidR="00953532" w:rsidRPr="00953532" w:rsidRDefault="00953532" w:rsidP="00953532">
      <w:pPr>
        <w:spacing w:after="0"/>
        <w:rPr>
          <w:sz w:val="2"/>
          <w:szCs w:val="2"/>
        </w:rPr>
      </w:pPr>
    </w:p>
    <w:p w14:paraId="701D9EC5" w14:textId="184ABC83" w:rsidR="00E043BA" w:rsidRPr="000D3E5D" w:rsidRDefault="00E043BA" w:rsidP="003C0EB3">
      <w:pPr>
        <w:pStyle w:val="Examplebox"/>
      </w:pPr>
      <w:r w:rsidRPr="000D3E5D">
        <w:t>Example</w:t>
      </w:r>
      <w:r w:rsidR="00D87502" w:rsidRPr="000D3E5D">
        <w:t xml:space="preserve">: </w:t>
      </w:r>
      <w:r w:rsidRPr="000D3E5D">
        <w:t xml:space="preserve"> </w:t>
      </w:r>
    </w:p>
    <w:p w14:paraId="3B60ED6B" w14:textId="77777777" w:rsidR="00E043BA" w:rsidRPr="0014583D" w:rsidRDefault="00E043BA" w:rsidP="003C0EB3">
      <w:pPr>
        <w:pStyle w:val="Examplebox"/>
        <w:rPr>
          <w:b w:val="0"/>
          <w:bCs w:val="0"/>
        </w:rPr>
      </w:pPr>
      <w:r w:rsidRPr="0014583D">
        <w:rPr>
          <w:b w:val="0"/>
          <w:bCs w:val="0"/>
        </w:rPr>
        <w:t>Speedy Printing Pty Ltd is a commercial printing business that employs 40 workers across 5 stores. Speedy Printing pays all of its employees a flat rate of $20 per hour, including on Saturdays. Speedy Printing Pty Ltd is a member of, and receives fortnightly newsletters from, the Printing Business Consortium. Speedy Printing has received newsletters from the Printing Business Consortium with updates about pay entitlements for employees in the industry, including about changes to penalty rates.  </w:t>
      </w:r>
    </w:p>
    <w:p w14:paraId="6086A4C0" w14:textId="6F9E80C3" w:rsidR="00E043BA" w:rsidRPr="0014583D" w:rsidRDefault="00E043BA" w:rsidP="003C0EB3">
      <w:pPr>
        <w:pStyle w:val="Examplebox"/>
        <w:rPr>
          <w:b w:val="0"/>
          <w:bCs w:val="0"/>
        </w:rPr>
      </w:pPr>
      <w:r w:rsidRPr="0014583D">
        <w:rPr>
          <w:b w:val="0"/>
          <w:bCs w:val="0"/>
        </w:rPr>
        <w:t>The director of Speedy Printing read</w:t>
      </w:r>
      <w:r w:rsidR="00673E5F" w:rsidRPr="0014583D">
        <w:rPr>
          <w:b w:val="0"/>
          <w:bCs w:val="0"/>
        </w:rPr>
        <w:t>s</w:t>
      </w:r>
      <w:r w:rsidRPr="0014583D">
        <w:rPr>
          <w:b w:val="0"/>
          <w:bCs w:val="0"/>
        </w:rPr>
        <w:t xml:space="preserve"> </w:t>
      </w:r>
      <w:r w:rsidR="00586AF9" w:rsidRPr="0014583D">
        <w:rPr>
          <w:b w:val="0"/>
          <w:bCs w:val="0"/>
        </w:rPr>
        <w:t>the subject lines of</w:t>
      </w:r>
      <w:r w:rsidRPr="0014583D">
        <w:rPr>
          <w:b w:val="0"/>
          <w:bCs w:val="0"/>
        </w:rPr>
        <w:t xml:space="preserve"> these </w:t>
      </w:r>
      <w:r w:rsidR="001E7CD3" w:rsidRPr="0014583D">
        <w:rPr>
          <w:b w:val="0"/>
          <w:bCs w:val="0"/>
        </w:rPr>
        <w:t>newsletters but</w:t>
      </w:r>
      <w:r w:rsidR="00586AF9" w:rsidRPr="0014583D">
        <w:rPr>
          <w:b w:val="0"/>
          <w:bCs w:val="0"/>
        </w:rPr>
        <w:t xml:space="preserve"> delete</w:t>
      </w:r>
      <w:r w:rsidR="00673E5F" w:rsidRPr="0014583D">
        <w:rPr>
          <w:b w:val="0"/>
          <w:bCs w:val="0"/>
        </w:rPr>
        <w:t>s</w:t>
      </w:r>
      <w:r w:rsidR="00586AF9" w:rsidRPr="0014583D">
        <w:rPr>
          <w:b w:val="0"/>
          <w:bCs w:val="0"/>
        </w:rPr>
        <w:t xml:space="preserve"> them without </w:t>
      </w:r>
      <w:r w:rsidR="000A6EA9" w:rsidRPr="0014583D">
        <w:rPr>
          <w:b w:val="0"/>
          <w:bCs w:val="0"/>
        </w:rPr>
        <w:t>checking the entitlements described in the articles</w:t>
      </w:r>
      <w:r w:rsidRPr="0014583D">
        <w:rPr>
          <w:b w:val="0"/>
          <w:bCs w:val="0"/>
        </w:rPr>
        <w:t xml:space="preserve">. The director of Speedy Printing also does not check the applicable award, deciding that $20 is a fair rate even though she is aware of a </w:t>
      </w:r>
      <w:r w:rsidR="000A6EA9" w:rsidRPr="0014583D">
        <w:rPr>
          <w:b w:val="0"/>
          <w:bCs w:val="0"/>
        </w:rPr>
        <w:t>substantial</w:t>
      </w:r>
      <w:r w:rsidRPr="0014583D">
        <w:rPr>
          <w:b w:val="0"/>
          <w:bCs w:val="0"/>
        </w:rPr>
        <w:t xml:space="preserve"> risk that it is not the correct rate of pay. This continues for a further 7 months, with underpayments totalling approximately $110,000. </w:t>
      </w:r>
    </w:p>
    <w:p w14:paraId="05EAF1AD" w14:textId="75DE0BEA" w:rsidR="009E316A" w:rsidRPr="0014583D" w:rsidRDefault="00E043BA" w:rsidP="00953532">
      <w:pPr>
        <w:pStyle w:val="Examplebox"/>
        <w:rPr>
          <w:b w:val="0"/>
          <w:bCs w:val="0"/>
        </w:rPr>
      </w:pPr>
      <w:r w:rsidRPr="0014583D">
        <w:rPr>
          <w:b w:val="0"/>
          <w:bCs w:val="0"/>
        </w:rPr>
        <w:t xml:space="preserve">In this case, the </w:t>
      </w:r>
      <w:r w:rsidR="00382E1C" w:rsidRPr="0014583D">
        <w:rPr>
          <w:color w:val="F26322" w:themeColor="accent2"/>
        </w:rPr>
        <w:t>recklessness-based offence</w:t>
      </w:r>
      <w:r w:rsidRPr="0014583D">
        <w:rPr>
          <w:b w:val="0"/>
          <w:bCs w:val="0"/>
          <w:color w:val="F26322" w:themeColor="accent2"/>
        </w:rPr>
        <w:t xml:space="preserve"> </w:t>
      </w:r>
      <w:r w:rsidRPr="0014583D">
        <w:rPr>
          <w:b w:val="0"/>
          <w:bCs w:val="0"/>
        </w:rPr>
        <w:t>could apply to the company’s conduct.  The director may also be liable for the offence as an accessory.</w:t>
      </w:r>
    </w:p>
    <w:p w14:paraId="78D6BDDE" w14:textId="782D8F0C" w:rsidR="00E61340" w:rsidRDefault="00E61340" w:rsidP="00E61340">
      <w:pPr>
        <w:pStyle w:val="Heading4"/>
      </w:pPr>
      <w:r>
        <w:t>State and territory offences</w:t>
      </w:r>
    </w:p>
    <w:p w14:paraId="25480394" w14:textId="77777777" w:rsidR="00465757" w:rsidRPr="003D4CD7" w:rsidRDefault="00465757" w:rsidP="00465757">
      <w:pPr>
        <w:pStyle w:val="Question"/>
        <w:pBdr>
          <w:bottom w:val="single" w:sz="12" w:space="0" w:color="808080" w:themeColor="background1" w:themeShade="80"/>
        </w:pBdr>
      </w:pPr>
      <w:r>
        <w:rPr>
          <w:b/>
          <w:bCs/>
        </w:rPr>
        <w:t>Question 2</w:t>
      </w:r>
      <w:r>
        <w:t>:</w:t>
      </w:r>
    </w:p>
    <w:p w14:paraId="56BE1BD5" w14:textId="3A2AB59F" w:rsidR="00465757" w:rsidRDefault="00465757" w:rsidP="00465757">
      <w:pPr>
        <w:pStyle w:val="Question"/>
        <w:pBdr>
          <w:bottom w:val="single" w:sz="12" w:space="0" w:color="808080" w:themeColor="background1" w:themeShade="80"/>
        </w:pBdr>
      </w:pPr>
      <w:r>
        <w:t xml:space="preserve">Are there additional considerations which the department should examine for the wage underpayment offence, for example from other areas of Commonwealth criminal law or existing state and territory wage underpayment offences? </w:t>
      </w:r>
    </w:p>
    <w:p w14:paraId="613EF7F7" w14:textId="77777777" w:rsidR="00E61340" w:rsidRPr="00E61340" w:rsidRDefault="00E61340" w:rsidP="00465757">
      <w:pPr>
        <w:spacing w:before="240"/>
      </w:pPr>
      <w:r w:rsidRPr="00E61340">
        <w:t>The department is aware that some states and territories have introduced, or are considering introducing, existing wage underpayment offences.  Provisions currently exist in Victoria and Queensland.</w:t>
      </w:r>
    </w:p>
    <w:p w14:paraId="42B35003" w14:textId="77777777" w:rsidR="00E61340" w:rsidRPr="00E61340" w:rsidRDefault="00E61340" w:rsidP="00D914E7">
      <w:pPr>
        <w:pStyle w:val="Heading5"/>
      </w:pPr>
      <w:r w:rsidRPr="00E61340">
        <w:t>Victoria</w:t>
      </w:r>
    </w:p>
    <w:p w14:paraId="741166E4" w14:textId="77777777" w:rsidR="00E61340" w:rsidRPr="00E61340" w:rsidRDefault="00E61340" w:rsidP="00E61340">
      <w:r w:rsidRPr="00E61340">
        <w:t xml:space="preserve">The </w:t>
      </w:r>
      <w:r w:rsidRPr="00E61340">
        <w:rPr>
          <w:i/>
          <w:iCs/>
        </w:rPr>
        <w:t>Wage Theft Act</w:t>
      </w:r>
      <w:r w:rsidRPr="00E61340">
        <w:t xml:space="preserve"> </w:t>
      </w:r>
      <w:r w:rsidRPr="00E61340">
        <w:rPr>
          <w:i/>
          <w:iCs/>
        </w:rPr>
        <w:t xml:space="preserve">2020 </w:t>
      </w:r>
      <w:r w:rsidRPr="00E61340">
        <w:t>(Vic) (Wage Theft Act) contains criminal offences for the dishonest withholding of employee entitlements, and the falsification of or failure to keep employee entitlement records to gain a financial advantage (or prevent the exposure of such an advantage).</w:t>
      </w:r>
      <w:r w:rsidRPr="00E61340">
        <w:rPr>
          <w:rStyle w:val="FootnoteReference"/>
        </w:rPr>
        <w:footnoteReference w:id="2"/>
      </w:r>
      <w:r w:rsidRPr="00E61340">
        <w:t xml:space="preserve"> </w:t>
      </w:r>
    </w:p>
    <w:p w14:paraId="5AA536EE" w14:textId="77777777" w:rsidR="00E61340" w:rsidRPr="00E61340" w:rsidRDefault="00E61340" w:rsidP="00E61340">
      <w:r w:rsidRPr="00E61340">
        <w:lastRenderedPageBreak/>
        <w:t>The offences in the Wage Theft Act apply to employers and officers of employers who directly engage in misconduct, or who authorise or permit, expressly or impliedly, another person to engage in misconduct.</w:t>
      </w:r>
      <w:r w:rsidRPr="00E61340">
        <w:rPr>
          <w:rStyle w:val="FootnoteReference"/>
        </w:rPr>
        <w:footnoteReference w:id="3"/>
      </w:r>
      <w:r w:rsidRPr="00E61340">
        <w:t xml:space="preserve"> A defence is available for employers or officers who establish that they had exercised due diligence to comply with the law.</w:t>
      </w:r>
      <w:r w:rsidRPr="00E61340">
        <w:rPr>
          <w:rStyle w:val="FootnoteReference"/>
        </w:rPr>
        <w:footnoteReference w:id="4"/>
      </w:r>
    </w:p>
    <w:p w14:paraId="0F393D47" w14:textId="77777777" w:rsidR="00E61340" w:rsidRPr="00E61340" w:rsidRDefault="00E61340" w:rsidP="00E61340">
      <w:r w:rsidRPr="00E61340">
        <w:t xml:space="preserve">The Wage Theft Act provides that an employer or officer is </w:t>
      </w:r>
      <w:r w:rsidRPr="00E61340">
        <w:rPr>
          <w:i/>
          <w:iCs/>
        </w:rPr>
        <w:t>dishonest</w:t>
      </w:r>
      <w:r w:rsidRPr="00E61340">
        <w:t xml:space="preserve"> if they are dishonest according to the standards of ordinary people.</w:t>
      </w:r>
      <w:r w:rsidRPr="00E61340">
        <w:rPr>
          <w:rStyle w:val="FootnoteReference"/>
        </w:rPr>
        <w:footnoteReference w:id="5"/>
      </w:r>
      <w:r w:rsidRPr="00E61340">
        <w:t xml:space="preserve"> The Explanatory Memorandum to the Wage Theft Bill 2020 notes this is an “objective assessment” which is “intended that the assessment of dishonesty go beyond intentionally dishonest conduct and for recklessness to be captured as part of a reasonable person's understanding of dishonesty”.</w:t>
      </w:r>
      <w:r w:rsidRPr="00E61340">
        <w:rPr>
          <w:rStyle w:val="FootnoteReference"/>
        </w:rPr>
        <w:footnoteReference w:id="6"/>
      </w:r>
      <w:r w:rsidRPr="00E61340">
        <w:t xml:space="preserve"> </w:t>
      </w:r>
    </w:p>
    <w:p w14:paraId="21F08717" w14:textId="77777777" w:rsidR="00E61340" w:rsidRPr="00E61340" w:rsidRDefault="00E61340" w:rsidP="00E61340">
      <w:r w:rsidRPr="00E61340">
        <w:t>Employee entitlements are amounts payable by an employer to or in respect of an employee, including wages, allowances, leave, superannuation in accordance with relevant laws, contracts or agreements.</w:t>
      </w:r>
      <w:r w:rsidRPr="00E61340">
        <w:rPr>
          <w:rStyle w:val="FootnoteReference"/>
        </w:rPr>
        <w:footnoteReference w:id="7"/>
      </w:r>
      <w:r w:rsidRPr="00E61340">
        <w:t xml:space="preserve"> </w:t>
      </w:r>
    </w:p>
    <w:p w14:paraId="237B3CF9" w14:textId="77777777" w:rsidR="00E61340" w:rsidRPr="00E61340" w:rsidRDefault="00E61340" w:rsidP="00E61340">
      <w:r w:rsidRPr="00E61340">
        <w:t>All offences are punishable by the same penalty of 1200 penalty units for an individual, 6000 penalty units for a body corporate, or a maximum of 10 years’ imprisonment for an individual.</w:t>
      </w:r>
      <w:r w:rsidRPr="00E61340">
        <w:rPr>
          <w:rStyle w:val="FootnoteReference"/>
        </w:rPr>
        <w:footnoteReference w:id="8"/>
      </w:r>
    </w:p>
    <w:p w14:paraId="49DED81A" w14:textId="77777777" w:rsidR="00E61340" w:rsidRPr="00E61340" w:rsidRDefault="00E61340" w:rsidP="00D914E7">
      <w:pPr>
        <w:pStyle w:val="Heading5"/>
      </w:pPr>
      <w:r w:rsidRPr="00E61340">
        <w:t>Queensland</w:t>
      </w:r>
    </w:p>
    <w:p w14:paraId="05152767" w14:textId="77777777" w:rsidR="00E61340" w:rsidRPr="00E61340" w:rsidRDefault="00E61340" w:rsidP="00E61340">
      <w:r w:rsidRPr="00E61340">
        <w:t xml:space="preserve">The definition of stealing at section 391 of Schedule 1 of the </w:t>
      </w:r>
      <w:r w:rsidRPr="00E61340">
        <w:rPr>
          <w:i/>
          <w:iCs/>
        </w:rPr>
        <w:t xml:space="preserve">Criminal Code Act 1899 </w:t>
      </w:r>
      <w:r w:rsidRPr="00E61340">
        <w:t>(Qld) (Queensland Criminal Code) includes a failure to pay an employee, or another person on behalf of the employee, an amount payable to the employee or other person in relation to the performance of work by the employee.</w:t>
      </w:r>
      <w:r w:rsidRPr="00E61340">
        <w:rPr>
          <w:rStyle w:val="FootnoteReference"/>
        </w:rPr>
        <w:footnoteReference w:id="9"/>
      </w:r>
      <w:r w:rsidRPr="00E61340">
        <w:t xml:space="preserve"> </w:t>
      </w:r>
    </w:p>
    <w:p w14:paraId="1795589C" w14:textId="77777777" w:rsidR="00E61340" w:rsidRPr="00E61340" w:rsidRDefault="00E61340" w:rsidP="00E61340">
      <w:r w:rsidRPr="00E61340">
        <w:t>The Queensland offence is intended to apply to intentional behaviour leading to under- or non</w:t>
      </w:r>
      <w:r w:rsidRPr="00E61340">
        <w:noBreakHyphen/>
        <w:t>payment of entitlements.</w:t>
      </w:r>
      <w:r w:rsidRPr="00E61340">
        <w:rPr>
          <w:rStyle w:val="FootnoteReference"/>
        </w:rPr>
        <w:footnoteReference w:id="10"/>
      </w:r>
      <w:r w:rsidRPr="00E61340">
        <w:t xml:space="preserve"> </w:t>
      </w:r>
    </w:p>
    <w:p w14:paraId="5775295E" w14:textId="77777777" w:rsidR="00E61340" w:rsidRPr="00E61340" w:rsidRDefault="00E61340" w:rsidP="00E61340">
      <w:r w:rsidRPr="00E61340">
        <w:t>The Explanatory Note to the Criminal Code and Other Legislation (Wage Theft) Amendment Bill 2020 provides that an amount payable to an employee can include unpaid wages, unreasonable deductions, unpaid superannuation, and underpayment through misclassification of a worker.</w:t>
      </w:r>
      <w:r w:rsidRPr="00E61340">
        <w:rPr>
          <w:rStyle w:val="FootnoteReference"/>
        </w:rPr>
        <w:footnoteReference w:id="11"/>
      </w:r>
      <w:r w:rsidRPr="00E61340">
        <w:t xml:space="preserve"> </w:t>
      </w:r>
    </w:p>
    <w:p w14:paraId="611589DA" w14:textId="42A7C2A0" w:rsidR="00953532" w:rsidRDefault="00E61340" w:rsidP="00E61340">
      <w:r w:rsidRPr="00E61340">
        <w:t>Stealing by employers is punishable by a maximum of 10 years’ imprisonment.</w:t>
      </w:r>
      <w:r w:rsidRPr="00E61340">
        <w:rPr>
          <w:rStyle w:val="FootnoteReference"/>
        </w:rPr>
        <w:footnoteReference w:id="12"/>
      </w:r>
      <w:r>
        <w:t xml:space="preserve"> </w:t>
      </w:r>
    </w:p>
    <w:p w14:paraId="3DC92FAB" w14:textId="77777777" w:rsidR="00465757" w:rsidRPr="002667F6" w:rsidRDefault="00465757" w:rsidP="00E61340"/>
    <w:p w14:paraId="23822F6B" w14:textId="2E0C6E5F" w:rsidR="00486049" w:rsidRDefault="00516464" w:rsidP="006D0365">
      <w:pPr>
        <w:pStyle w:val="Heading3"/>
      </w:pPr>
      <w:bookmarkStart w:id="11" w:name="_Toc132119627"/>
      <w:r>
        <w:lastRenderedPageBreak/>
        <w:t>Offence-specific d</w:t>
      </w:r>
      <w:r w:rsidR="00486049">
        <w:t>efences</w:t>
      </w:r>
      <w:bookmarkEnd w:id="11"/>
      <w:r w:rsidR="00486049">
        <w:t xml:space="preserve"> </w:t>
      </w:r>
    </w:p>
    <w:p w14:paraId="7B39CDBD" w14:textId="59237655" w:rsidR="00886D66" w:rsidRPr="008E7882" w:rsidRDefault="00886D66" w:rsidP="008E2A53">
      <w:pPr>
        <w:pStyle w:val="Question"/>
        <w:rPr>
          <w:b/>
          <w:bCs/>
        </w:rPr>
      </w:pPr>
      <w:r w:rsidRPr="008E7882">
        <w:rPr>
          <w:b/>
          <w:bCs/>
        </w:rPr>
        <w:t xml:space="preserve">Question </w:t>
      </w:r>
      <w:r w:rsidR="009E316A">
        <w:rPr>
          <w:b/>
          <w:bCs/>
        </w:rPr>
        <w:t>3</w:t>
      </w:r>
      <w:r w:rsidRPr="008E7882">
        <w:rPr>
          <w:b/>
          <w:bCs/>
        </w:rPr>
        <w:t>:</w:t>
      </w:r>
    </w:p>
    <w:p w14:paraId="47AB30E3" w14:textId="0FE8CA4F" w:rsidR="00075B9D" w:rsidRDefault="00BD2BEB" w:rsidP="00F31DD6">
      <w:pPr>
        <w:pStyle w:val="Question"/>
      </w:pPr>
      <w:r>
        <w:t>Should</w:t>
      </w:r>
      <w:r w:rsidR="005F1D51">
        <w:t xml:space="preserve"> </w:t>
      </w:r>
      <w:r w:rsidR="00886D66" w:rsidRPr="00BD2BEB">
        <w:rPr>
          <w:b/>
          <w:bCs/>
        </w:rPr>
        <w:t>offence-specific defences</w:t>
      </w:r>
      <w:r w:rsidR="00886D66">
        <w:t xml:space="preserve"> </w:t>
      </w:r>
      <w:r>
        <w:t xml:space="preserve">be available </w:t>
      </w:r>
      <w:r w:rsidR="00886D66">
        <w:t xml:space="preserve">for </w:t>
      </w:r>
      <w:r w:rsidR="00921C88">
        <w:t>either of the</w:t>
      </w:r>
      <w:r w:rsidR="00886D66">
        <w:t xml:space="preserve"> wage </w:t>
      </w:r>
      <w:r w:rsidR="005F1D51">
        <w:t>underpayment offences</w:t>
      </w:r>
      <w:r>
        <w:t xml:space="preserve"> in addition to the </w:t>
      </w:r>
      <w:r w:rsidRPr="00F31DD6">
        <w:t>default defences available in Part 2.3 of the Commonwealth Criminal Code</w:t>
      </w:r>
      <w:r>
        <w:t>?</w:t>
      </w:r>
      <w:r w:rsidR="00F31DD6" w:rsidRPr="00F31DD6">
        <w:t xml:space="preserve"> </w:t>
      </w:r>
    </w:p>
    <w:p w14:paraId="1871D7FA" w14:textId="77777777" w:rsidR="006473D4" w:rsidRDefault="006473D4" w:rsidP="0078053E">
      <w:pPr>
        <w:spacing w:after="0"/>
      </w:pPr>
    </w:p>
    <w:p w14:paraId="182C8FFF" w14:textId="040A70B2" w:rsidR="00486049" w:rsidRPr="009246DE" w:rsidRDefault="00486049" w:rsidP="008E2A53">
      <w:pPr>
        <w:pStyle w:val="offenceoption1"/>
        <w:ind w:left="0"/>
        <w:rPr>
          <w:b/>
          <w:bCs/>
          <w:color w:val="B6006A" w:themeColor="accent4"/>
        </w:rPr>
      </w:pPr>
      <w:r w:rsidRPr="009246DE">
        <w:rPr>
          <w:b/>
          <w:bCs/>
          <w:color w:val="B6006A" w:themeColor="accent4"/>
        </w:rPr>
        <w:t xml:space="preserve">Knowledge-based </w:t>
      </w:r>
      <w:r w:rsidR="001630BB" w:rsidRPr="009246DE">
        <w:rPr>
          <w:b/>
          <w:bCs/>
          <w:color w:val="B6006A" w:themeColor="accent4"/>
        </w:rPr>
        <w:t xml:space="preserve">wage underpayment </w:t>
      </w:r>
      <w:r w:rsidRPr="009246DE">
        <w:rPr>
          <w:b/>
          <w:bCs/>
          <w:color w:val="B6006A" w:themeColor="accent4"/>
        </w:rPr>
        <w:t>offence</w:t>
      </w:r>
    </w:p>
    <w:p w14:paraId="52B9885F" w14:textId="1C31522A" w:rsidR="007C423B" w:rsidRDefault="00921C88" w:rsidP="008E2A53">
      <w:pPr>
        <w:pStyle w:val="offenceoption1"/>
        <w:ind w:left="0"/>
      </w:pPr>
      <w:r>
        <w:t>The department proposes no</w:t>
      </w:r>
      <w:r w:rsidR="00486049" w:rsidRPr="008D1E47">
        <w:t xml:space="preserve"> offence-specific </w:t>
      </w:r>
      <w:r w:rsidR="004931F9" w:rsidRPr="008D1E47">
        <w:t xml:space="preserve">defence </w:t>
      </w:r>
      <w:r>
        <w:t xml:space="preserve">for a </w:t>
      </w:r>
      <w:r w:rsidRPr="00921C88">
        <w:rPr>
          <w:b/>
          <w:bCs/>
          <w:color w:val="B6006A" w:themeColor="accent4"/>
        </w:rPr>
        <w:t>knowledge-based offence</w:t>
      </w:r>
      <w:r w:rsidR="00C745DC">
        <w:t xml:space="preserve">. </w:t>
      </w:r>
      <w:r w:rsidR="00075B9D" w:rsidRPr="00075B9D">
        <w:t>In general, a defence is not required for serious offences involving intent or knowledge, because the bar for proving guilt is high and automatically excludes less serious, inadvertent conduct from its scope.</w:t>
      </w:r>
    </w:p>
    <w:p w14:paraId="52F9A9C8" w14:textId="0A0749A2" w:rsidR="004F204E" w:rsidRPr="009246DE" w:rsidRDefault="004F204E" w:rsidP="008E2A53">
      <w:pPr>
        <w:pStyle w:val="Offenceoption2"/>
        <w:ind w:left="0"/>
        <w:rPr>
          <w:b/>
          <w:bCs/>
          <w:color w:val="F26322" w:themeColor="accent2"/>
        </w:rPr>
      </w:pPr>
      <w:r w:rsidRPr="009246DE">
        <w:rPr>
          <w:b/>
          <w:bCs/>
          <w:color w:val="F26322" w:themeColor="accent2"/>
        </w:rPr>
        <w:t>Recklessness-based</w:t>
      </w:r>
      <w:r w:rsidR="001630BB" w:rsidRPr="009246DE">
        <w:rPr>
          <w:b/>
          <w:bCs/>
          <w:color w:val="F26322" w:themeColor="accent2"/>
        </w:rPr>
        <w:t xml:space="preserve"> wage underpayment</w:t>
      </w:r>
      <w:r w:rsidRPr="009246DE">
        <w:rPr>
          <w:b/>
          <w:bCs/>
          <w:color w:val="F26322" w:themeColor="accent2"/>
        </w:rPr>
        <w:t xml:space="preserve"> offence </w:t>
      </w:r>
    </w:p>
    <w:p w14:paraId="26F45ED5" w14:textId="1F16DC4C" w:rsidR="004F204E" w:rsidRDefault="000021CA" w:rsidP="008E2A53">
      <w:pPr>
        <w:pStyle w:val="Offenceoption2"/>
        <w:ind w:left="0"/>
      </w:pPr>
      <w:r w:rsidRPr="008D1E47">
        <w:t xml:space="preserve">The department is </w:t>
      </w:r>
      <w:r w:rsidR="008E2D30" w:rsidRPr="008D1E47">
        <w:t xml:space="preserve">seeking stakeholder views </w:t>
      </w:r>
      <w:r w:rsidR="007319D9">
        <w:t xml:space="preserve">on </w:t>
      </w:r>
      <w:r w:rsidR="00B60B09">
        <w:t xml:space="preserve">whether a </w:t>
      </w:r>
      <w:r w:rsidR="00A022B6">
        <w:t xml:space="preserve">due diligence </w:t>
      </w:r>
      <w:r w:rsidR="00B60B09">
        <w:t>defence should be included</w:t>
      </w:r>
      <w:r w:rsidR="007319D9">
        <w:t>.</w:t>
      </w:r>
    </w:p>
    <w:p w14:paraId="4B0E05B5" w14:textId="04CF5C71" w:rsidR="00075B9D" w:rsidRDefault="00075B9D" w:rsidP="008E2A53">
      <w:pPr>
        <w:pStyle w:val="Offenceoption2"/>
        <w:ind w:left="0"/>
      </w:pPr>
      <w:r w:rsidRPr="00075B9D">
        <w:t xml:space="preserve">A </w:t>
      </w:r>
      <w:r w:rsidRPr="00075B9D">
        <w:rPr>
          <w:b/>
          <w:bCs/>
          <w:color w:val="F26322" w:themeColor="accent2"/>
        </w:rPr>
        <w:t>recklessness-based offence</w:t>
      </w:r>
      <w:r w:rsidRPr="00075B9D">
        <w:rPr>
          <w:color w:val="F26322" w:themeColor="accent2"/>
        </w:rPr>
        <w:t xml:space="preserve"> </w:t>
      </w:r>
      <w:r w:rsidRPr="00075B9D">
        <w:t xml:space="preserve">would apply to a broader range of conduct, including underpayments which are not deliberate but are the result of reckless conduct. It may be necessary for a defence to be available to employers who took reasonable steps to mitigate the substantial risk of underpayment. </w:t>
      </w:r>
    </w:p>
    <w:p w14:paraId="55083C2C" w14:textId="2FC81EE0" w:rsidR="00411029" w:rsidRPr="00411029" w:rsidRDefault="00494EDB" w:rsidP="00937739">
      <w:pPr>
        <w:pStyle w:val="Heading3"/>
        <w:spacing w:before="120" w:after="120"/>
      </w:pPr>
      <w:bookmarkStart w:id="12" w:name="_Toc132119628"/>
      <w:r>
        <w:t>Types of underpayments covered by</w:t>
      </w:r>
      <w:r w:rsidR="00F34D93">
        <w:t xml:space="preserve"> the offence</w:t>
      </w:r>
      <w:bookmarkEnd w:id="12"/>
      <w:r w:rsidR="00F34D93">
        <w:t xml:space="preserve"> </w:t>
      </w:r>
    </w:p>
    <w:p w14:paraId="639E12AC" w14:textId="77777777" w:rsidR="00465757" w:rsidRDefault="00465757" w:rsidP="00465757">
      <w:pPr>
        <w:pStyle w:val="Question"/>
      </w:pPr>
      <w:r>
        <w:rPr>
          <w:b/>
          <w:bCs/>
        </w:rPr>
        <w:t xml:space="preserve">Question 4: </w:t>
      </w:r>
    </w:p>
    <w:p w14:paraId="423F3663" w14:textId="06B145B4" w:rsidR="00465757" w:rsidRPr="00105666" w:rsidRDefault="00465757" w:rsidP="00465757">
      <w:pPr>
        <w:pStyle w:val="Question"/>
      </w:pPr>
      <w:r>
        <w:t xml:space="preserve">Should the wage underpayment offence apply to any additional or different entitlements to those proposed below? If so, which entitlements should be covered by the offence? </w:t>
      </w:r>
    </w:p>
    <w:p w14:paraId="4B7A6AFE" w14:textId="78E3A7C4" w:rsidR="002D46A5" w:rsidRPr="0099181A" w:rsidRDefault="11B6EEB0" w:rsidP="00465757">
      <w:pPr>
        <w:spacing w:before="240"/>
      </w:pPr>
      <w:r w:rsidRPr="0099181A">
        <w:t xml:space="preserve">The wage underpayment offence </w:t>
      </w:r>
      <w:r w:rsidR="5A60DBA2" w:rsidRPr="0099181A">
        <w:t xml:space="preserve">is proposed to </w:t>
      </w:r>
      <w:r w:rsidRPr="0099181A">
        <w:t xml:space="preserve">apply to entitlements arising under one of the following: </w:t>
      </w:r>
    </w:p>
    <w:p w14:paraId="058C1C3E" w14:textId="737786C7" w:rsidR="00EB386A" w:rsidRDefault="00EB386A" w:rsidP="00A743FA">
      <w:pPr>
        <w:pStyle w:val="ListParagraph"/>
        <w:numPr>
          <w:ilvl w:val="0"/>
          <w:numId w:val="37"/>
        </w:numPr>
      </w:pPr>
      <w:r>
        <w:t>An applicable modern award</w:t>
      </w:r>
    </w:p>
    <w:p w14:paraId="6B24262D" w14:textId="77777777" w:rsidR="00EB386A" w:rsidRDefault="00EB386A" w:rsidP="00A743FA">
      <w:pPr>
        <w:pStyle w:val="ListParagraph"/>
        <w:numPr>
          <w:ilvl w:val="0"/>
          <w:numId w:val="37"/>
        </w:numPr>
      </w:pPr>
      <w:r>
        <w:t>An applicable enterprise agreement</w:t>
      </w:r>
    </w:p>
    <w:p w14:paraId="50EA2381" w14:textId="77777777" w:rsidR="00F56F72" w:rsidRDefault="00F56F72" w:rsidP="00A743FA">
      <w:pPr>
        <w:pStyle w:val="ListParagraph"/>
        <w:numPr>
          <w:ilvl w:val="0"/>
          <w:numId w:val="37"/>
        </w:numPr>
      </w:pPr>
      <w:r>
        <w:t>Safety net contractual entitlements</w:t>
      </w:r>
    </w:p>
    <w:p w14:paraId="06346E87" w14:textId="77777777" w:rsidR="00EB386A" w:rsidRDefault="00EB386A" w:rsidP="00A743FA">
      <w:pPr>
        <w:pStyle w:val="ListParagraph"/>
        <w:numPr>
          <w:ilvl w:val="0"/>
          <w:numId w:val="37"/>
        </w:numPr>
      </w:pPr>
      <w:r>
        <w:t>The Fair Work Act, including the National Employment Standards</w:t>
      </w:r>
    </w:p>
    <w:p w14:paraId="2480F322" w14:textId="52A58E27" w:rsidR="00EB386A" w:rsidRDefault="00EB386A" w:rsidP="00A743FA">
      <w:pPr>
        <w:pStyle w:val="ListParagraph"/>
        <w:numPr>
          <w:ilvl w:val="0"/>
          <w:numId w:val="37"/>
        </w:numPr>
      </w:pPr>
      <w:r>
        <w:t>Transitional instruments</w:t>
      </w:r>
      <w:r w:rsidR="005E3F32">
        <w:t xml:space="preserve">, where they apply. </w:t>
      </w:r>
    </w:p>
    <w:p w14:paraId="08CFF6FE" w14:textId="73DA9031" w:rsidR="00EB386A" w:rsidRDefault="00EB386A" w:rsidP="00A743FA">
      <w:r>
        <w:t>Superannuation will be included if it is an entitlement under one of the above instruments</w:t>
      </w:r>
      <w:r w:rsidR="00640594">
        <w:t>, noting the Government has committed to include superannuation in the National Employment Standards</w:t>
      </w:r>
      <w:r>
        <w:t>.</w:t>
      </w:r>
      <w:r w:rsidR="003035F7">
        <w:t xml:space="preserve"> </w:t>
      </w:r>
    </w:p>
    <w:p w14:paraId="105A9EC5" w14:textId="13E41875" w:rsidR="00411029" w:rsidRDefault="00D253CB" w:rsidP="00937739">
      <w:pPr>
        <w:spacing w:before="120" w:after="120"/>
      </w:pPr>
      <w:r>
        <w:t>U</w:t>
      </w:r>
      <w:r w:rsidR="00CA48DA">
        <w:t>nderpayment</w:t>
      </w:r>
      <w:r w:rsidR="001626B4">
        <w:t xml:space="preserve"> is</w:t>
      </w:r>
      <w:r w:rsidR="00CA48DA">
        <w:t xml:space="preserve"> not limited to wages</w:t>
      </w:r>
      <w:r w:rsidR="003910AF">
        <w:t xml:space="preserve"> </w:t>
      </w:r>
      <w:r w:rsidR="00417657">
        <w:t>for time worked</w:t>
      </w:r>
      <w:r w:rsidR="000C0AE4">
        <w:t xml:space="preserve">. </w:t>
      </w:r>
      <w:r w:rsidR="006F1034">
        <w:t>It</w:t>
      </w:r>
      <w:r w:rsidR="000C0AE4">
        <w:t xml:space="preserve"> often extend</w:t>
      </w:r>
      <w:r w:rsidR="006F1034">
        <w:t>s</w:t>
      </w:r>
      <w:r w:rsidR="000C0AE4">
        <w:t xml:space="preserve"> to </w:t>
      </w:r>
      <w:r w:rsidR="001E08AE">
        <w:t xml:space="preserve">other </w:t>
      </w:r>
      <w:r w:rsidR="00BD057A">
        <w:t xml:space="preserve">monetary </w:t>
      </w:r>
      <w:r w:rsidR="001E08AE">
        <w:t xml:space="preserve">employee entitlements such as leave and superannuation. </w:t>
      </w:r>
      <w:r w:rsidR="00A65E8C">
        <w:t xml:space="preserve">Covering a broad range of entitlements ensures that the offence adequately captures the types of misconduct seen in workplaces. </w:t>
      </w:r>
    </w:p>
    <w:p w14:paraId="20D439B1" w14:textId="64E2EEAE" w:rsidR="00BC62A0" w:rsidRDefault="0867892F" w:rsidP="00937739">
      <w:pPr>
        <w:spacing w:before="120" w:after="120"/>
      </w:pPr>
      <w:r w:rsidRPr="2CCCD2A2">
        <w:rPr>
          <w:b/>
          <w:bCs/>
        </w:rPr>
        <w:lastRenderedPageBreak/>
        <w:t>Safety net contractual entitlements</w:t>
      </w:r>
      <w:r>
        <w:t xml:space="preserve"> are terms of a contract that </w:t>
      </w:r>
      <w:r w:rsidR="00182CBF">
        <w:t>relate to</w:t>
      </w:r>
      <w:r>
        <w:t xml:space="preserve"> </w:t>
      </w:r>
      <w:r w:rsidR="2F2E26C0">
        <w:t>matters either</w:t>
      </w:r>
      <w:r>
        <w:t xml:space="preserve"> in the National Employment Standards or that can be included in a modern award. </w:t>
      </w:r>
      <w:r w:rsidR="006F1034">
        <w:t xml:space="preserve">Typically, they add entitlements to what would otherwise apply under the applicable National Employment Standard or modern award.  </w:t>
      </w:r>
      <w:r w:rsidR="5F3BB333">
        <w:t xml:space="preserve">The </w:t>
      </w:r>
      <w:r w:rsidR="0AF86A36">
        <w:t>policy</w:t>
      </w:r>
      <w:r w:rsidR="5F3BB333">
        <w:t xml:space="preserve"> intention is that t</w:t>
      </w:r>
      <w:r w:rsidR="1BA8CA01">
        <w:t xml:space="preserve">hese workers </w:t>
      </w:r>
      <w:r w:rsidR="5F3BB333">
        <w:t>are</w:t>
      </w:r>
      <w:r w:rsidR="1BA8CA01">
        <w:t xml:space="preserve"> afforded the same protection as workers </w:t>
      </w:r>
      <w:r w:rsidR="5F3BB333">
        <w:t xml:space="preserve">covered by </w:t>
      </w:r>
      <w:r w:rsidR="09D6A593">
        <w:t>other fair work instruments</w:t>
      </w:r>
      <w:r w:rsidR="00CD783E">
        <w:t>.</w:t>
      </w:r>
    </w:p>
    <w:p w14:paraId="44D8F037" w14:textId="3C19AD16" w:rsidR="00494EDB" w:rsidRDefault="00A33753" w:rsidP="00937739">
      <w:pPr>
        <w:pStyle w:val="Heading3"/>
        <w:spacing w:before="120" w:after="120"/>
      </w:pPr>
      <w:bookmarkStart w:id="13" w:name="_Toc132119629"/>
      <w:r w:rsidRPr="00921BD8">
        <w:t>Penalties</w:t>
      </w:r>
      <w:bookmarkEnd w:id="13"/>
    </w:p>
    <w:p w14:paraId="3D74E090" w14:textId="3F5C0FC9" w:rsidR="00A33753" w:rsidRDefault="0073136F" w:rsidP="00937739">
      <w:pPr>
        <w:pStyle w:val="Heading4"/>
        <w:spacing w:before="120" w:after="120"/>
      </w:pPr>
      <w:r>
        <w:t xml:space="preserve">Penalty amount </w:t>
      </w:r>
    </w:p>
    <w:p w14:paraId="3ABC5426" w14:textId="3785157B" w:rsidR="007B3B4B" w:rsidRPr="008E7882" w:rsidRDefault="007B3B4B" w:rsidP="008E2A53">
      <w:pPr>
        <w:pStyle w:val="Question"/>
        <w:rPr>
          <w:b/>
          <w:bCs/>
        </w:rPr>
      </w:pPr>
      <w:r w:rsidRPr="008E7882">
        <w:rPr>
          <w:b/>
          <w:bCs/>
        </w:rPr>
        <w:t xml:space="preserve">Question </w:t>
      </w:r>
      <w:r w:rsidR="00E3301B">
        <w:rPr>
          <w:b/>
          <w:bCs/>
        </w:rPr>
        <w:t>5</w:t>
      </w:r>
      <w:r w:rsidRPr="008E7882">
        <w:rPr>
          <w:b/>
          <w:bCs/>
        </w:rPr>
        <w:t xml:space="preserve">: </w:t>
      </w:r>
    </w:p>
    <w:p w14:paraId="65F50693" w14:textId="2949C20F" w:rsidR="007B3B4B" w:rsidRDefault="00EE246E" w:rsidP="008E2A53">
      <w:pPr>
        <w:pStyle w:val="Question"/>
      </w:pPr>
      <w:r>
        <w:t>What would be</w:t>
      </w:r>
      <w:r w:rsidR="007B3B4B">
        <w:t xml:space="preserve"> appropriate penalties</w:t>
      </w:r>
      <w:r w:rsidR="00153CDD">
        <w:t xml:space="preserve"> (including a fine and/or a period of imprisonment)</w:t>
      </w:r>
      <w:r w:rsidR="007B3B4B">
        <w:t xml:space="preserve"> for a </w:t>
      </w:r>
      <w:r w:rsidR="007B3B4B" w:rsidRPr="001B198C">
        <w:rPr>
          <w:b/>
          <w:bCs/>
          <w:color w:val="B6006A" w:themeColor="accent4"/>
        </w:rPr>
        <w:t>knowledge-based wage underpayment offence</w:t>
      </w:r>
      <w:r w:rsidR="007B3B4B">
        <w:rPr>
          <w:color w:val="B6006A" w:themeColor="accent4"/>
        </w:rPr>
        <w:t xml:space="preserve"> </w:t>
      </w:r>
      <w:r w:rsidR="007B3B4B">
        <w:t xml:space="preserve">and a </w:t>
      </w:r>
      <w:r w:rsidR="007B3B4B" w:rsidRPr="001B198C">
        <w:rPr>
          <w:b/>
          <w:bCs/>
          <w:color w:val="F26322" w:themeColor="accent2"/>
        </w:rPr>
        <w:t>recklessness-based wage underpayment offence</w:t>
      </w:r>
      <w:r w:rsidR="00153CDD" w:rsidRPr="00153CDD">
        <w:t>?</w:t>
      </w:r>
      <w:r w:rsidR="007B3B4B">
        <w:t xml:space="preserve"> </w:t>
      </w:r>
    </w:p>
    <w:p w14:paraId="584D7174" w14:textId="77777777" w:rsidR="00667261" w:rsidRDefault="00667261" w:rsidP="00667261">
      <w:pPr>
        <w:spacing w:before="120" w:after="120"/>
      </w:pPr>
      <w:r>
        <w:t>The main objective of introducing criminal penalties in relation to wage underpayments is to punish those who either do not pay or who underpay workers, and to deter others from doing so. These penalties will further extend the existing compliance and enforcement framework.</w:t>
      </w:r>
    </w:p>
    <w:p w14:paraId="2E0666E1" w14:textId="3C92EB78" w:rsidR="00667261" w:rsidRDefault="00667261" w:rsidP="00667261">
      <w:pPr>
        <w:spacing w:before="120" w:after="120"/>
      </w:pPr>
      <w:r w:rsidRPr="00987C3A">
        <w:t xml:space="preserve">The intent is for the maximum penalty for the wage underpayment offence to be comparable to </w:t>
      </w:r>
      <w:r w:rsidRPr="00B504D3">
        <w:t xml:space="preserve">maximum penalties for similar offences in other </w:t>
      </w:r>
      <w:r>
        <w:t xml:space="preserve">Commonwealth laws, such as the </w:t>
      </w:r>
      <w:r>
        <w:rPr>
          <w:i/>
          <w:iCs/>
        </w:rPr>
        <w:t>Corporations Act 2001</w:t>
      </w:r>
      <w:r>
        <w:t xml:space="preserve"> or the </w:t>
      </w:r>
      <w:r>
        <w:rPr>
          <w:i/>
          <w:iCs/>
        </w:rPr>
        <w:t>Competition and Consumer Act 2010</w:t>
      </w:r>
      <w:r w:rsidRPr="00B504D3">
        <w:t xml:space="preserve">. </w:t>
      </w:r>
    </w:p>
    <w:p w14:paraId="6B602A8A" w14:textId="2B40911B" w:rsidR="00905B42" w:rsidRPr="00B504D3" w:rsidRDefault="00905B42" w:rsidP="00415CB9">
      <w:pPr>
        <w:pStyle w:val="Heading4"/>
      </w:pPr>
      <w:r>
        <w:t>Penalties calculated with reference to the amount of the underpayment</w:t>
      </w:r>
    </w:p>
    <w:p w14:paraId="2FAC2DCD" w14:textId="1B49A115" w:rsidR="00254600" w:rsidRPr="00254600" w:rsidRDefault="00254600" w:rsidP="00254600">
      <w:pPr>
        <w:pStyle w:val="Question"/>
      </w:pPr>
      <w:r>
        <w:rPr>
          <w:b/>
          <w:bCs/>
        </w:rPr>
        <w:t xml:space="preserve">Question </w:t>
      </w:r>
      <w:r w:rsidR="00E3301B">
        <w:rPr>
          <w:b/>
          <w:bCs/>
        </w:rPr>
        <w:t>6</w:t>
      </w:r>
      <w:r>
        <w:rPr>
          <w:b/>
          <w:bCs/>
        </w:rPr>
        <w:t>:</w:t>
      </w:r>
      <w:r>
        <w:t xml:space="preserve"> </w:t>
      </w:r>
    </w:p>
    <w:p w14:paraId="32967F64" w14:textId="065E7FFB" w:rsidR="00254600" w:rsidRDefault="00B35AE4" w:rsidP="00254600">
      <w:pPr>
        <w:pStyle w:val="Question"/>
      </w:pPr>
      <w:r>
        <w:t>T</w:t>
      </w:r>
      <w:r w:rsidR="00254600">
        <w:t xml:space="preserve">he department proposes that </w:t>
      </w:r>
      <w:r w:rsidR="00254600" w:rsidRPr="00D12D54">
        <w:t xml:space="preserve">courts would be empowered to order </w:t>
      </w:r>
      <w:r w:rsidR="00254600" w:rsidRPr="00CA7A17">
        <w:rPr>
          <w:i/>
          <w:iCs/>
        </w:rPr>
        <w:t>the higher of</w:t>
      </w:r>
      <w:r w:rsidR="00254600" w:rsidRPr="00D12D54">
        <w:t xml:space="preserve"> the maximum penalty units available or up to </w:t>
      </w:r>
      <w:r w:rsidR="00254600" w:rsidRPr="0084788B">
        <w:rPr>
          <w:b/>
          <w:bCs/>
        </w:rPr>
        <w:t>three times</w:t>
      </w:r>
      <w:r w:rsidR="00254600" w:rsidRPr="00D12D54">
        <w:t xml:space="preserve"> the amount of the underpayment arising in the particular matter if that amount can be calculated.</w:t>
      </w:r>
    </w:p>
    <w:p w14:paraId="18F5CF37" w14:textId="0B7B54D6" w:rsidR="003E15A8" w:rsidRPr="00667261" w:rsidRDefault="00667261" w:rsidP="00254600">
      <w:pPr>
        <w:pStyle w:val="Question"/>
      </w:pPr>
      <w:r>
        <w:t xml:space="preserve">Would it be appropriate to include such a penalty for </w:t>
      </w:r>
      <w:r w:rsidRPr="00667261">
        <w:rPr>
          <w:b/>
          <w:bCs/>
          <w:color w:val="B6006A" w:themeColor="accent4"/>
        </w:rPr>
        <w:t>knowledge-based</w:t>
      </w:r>
      <w:r w:rsidRPr="00667261">
        <w:rPr>
          <w:color w:val="B6006A" w:themeColor="accent4"/>
        </w:rPr>
        <w:t xml:space="preserve"> </w:t>
      </w:r>
      <w:r>
        <w:t xml:space="preserve">and </w:t>
      </w:r>
      <w:r w:rsidRPr="00667261">
        <w:rPr>
          <w:b/>
          <w:bCs/>
          <w:color w:val="F26322" w:themeColor="accent2"/>
        </w:rPr>
        <w:t>recklessness-based</w:t>
      </w:r>
      <w:r w:rsidRPr="00667261">
        <w:rPr>
          <w:color w:val="F26322" w:themeColor="accent2"/>
        </w:rPr>
        <w:t xml:space="preserve"> </w:t>
      </w:r>
      <w:r>
        <w:t xml:space="preserve">offence options? </w:t>
      </w:r>
    </w:p>
    <w:p w14:paraId="2BA2EA21" w14:textId="17537C27" w:rsidR="00483A77" w:rsidRDefault="0022796D" w:rsidP="00937739">
      <w:pPr>
        <w:spacing w:before="120" w:after="120"/>
      </w:pPr>
      <w:r>
        <w:t xml:space="preserve">High maximum penalties for the offence will </w:t>
      </w:r>
      <w:r w:rsidR="0017608E">
        <w:t xml:space="preserve">significantly increase the cost of non-compliance with workplace obligations, further deterring those employers who consider current penalties low enough to be a risk worth taking. However, certain </w:t>
      </w:r>
      <w:r w:rsidR="003940CA">
        <w:t>employers may regard penalties</w:t>
      </w:r>
      <w:r w:rsidR="00483A77">
        <w:t xml:space="preserve"> as a ‘cost of doing business’ </w:t>
      </w:r>
      <w:r w:rsidR="003940CA">
        <w:t>if their turnover far exceeds the maximum available in legislation</w:t>
      </w:r>
      <w:r w:rsidR="00242092">
        <w:t xml:space="preserve">. </w:t>
      </w:r>
    </w:p>
    <w:p w14:paraId="0B38A444" w14:textId="490A0EA5" w:rsidR="007F2C0D" w:rsidRDefault="1A1AA476" w:rsidP="00937739">
      <w:pPr>
        <w:spacing w:before="120" w:after="120"/>
      </w:pPr>
      <w:r>
        <w:t>Empowering the court to calculate a penalty by reference to the</w:t>
      </w:r>
      <w:r w:rsidR="1321CA0C">
        <w:t xml:space="preserve"> monetary </w:t>
      </w:r>
      <w:r w:rsidR="0E789958">
        <w:t>value</w:t>
      </w:r>
      <w:r w:rsidR="1321CA0C">
        <w:t xml:space="preserve"> of entitlements that have been underpaid </w:t>
      </w:r>
      <w:r w:rsidR="4727E2CD">
        <w:t>(</w:t>
      </w:r>
      <w:r w:rsidR="1321CA0C">
        <w:t>or not paid</w:t>
      </w:r>
      <w:r w:rsidR="3C1C5CAE">
        <w:t>)</w:t>
      </w:r>
      <w:r w:rsidR="1321CA0C">
        <w:t xml:space="preserve"> ensures that </w:t>
      </w:r>
      <w:r w:rsidR="008463F1">
        <w:t>adequately deterrent</w:t>
      </w:r>
      <w:r w:rsidR="0CA3CD0C">
        <w:t xml:space="preserve"> penalties can be applied in cases where the amount of the underpayment </w:t>
      </w:r>
      <w:r w:rsidR="00B67D98">
        <w:t>is much higher than</w:t>
      </w:r>
      <w:r w:rsidR="0CA3CD0C">
        <w:t xml:space="preserve"> the maximum penalty available. </w:t>
      </w:r>
    </w:p>
    <w:p w14:paraId="2AB6DEBF" w14:textId="7929E281" w:rsidR="550F29D5" w:rsidRDefault="0D9870E2" w:rsidP="00937739">
      <w:pPr>
        <w:spacing w:before="120" w:after="120"/>
      </w:pPr>
      <w:r>
        <w:t xml:space="preserve">This method of calculation </w:t>
      </w:r>
      <w:r w:rsidR="7D1B9A11">
        <w:t xml:space="preserve">is proposed to </w:t>
      </w:r>
      <w:r>
        <w:t xml:space="preserve">only be available where the </w:t>
      </w:r>
      <w:r w:rsidR="00253102">
        <w:t>court can make a finding as to</w:t>
      </w:r>
      <w:r>
        <w:t xml:space="preserve"> the exact value of the underpayment </w:t>
      </w:r>
      <w:r w:rsidR="00E444D2">
        <w:t xml:space="preserve">being alleged </w:t>
      </w:r>
      <w:r>
        <w:t>when considering the penalty orders to be made.</w:t>
      </w:r>
      <w:r w:rsidR="00AD04A3">
        <w:t xml:space="preserve"> </w:t>
      </w:r>
      <w:r w:rsidR="00052AF2">
        <w:t>Courts will have regard to the circumstances of the offending and will continue to balance the need for deterrence with the need to ensure penalties are not oppressive.</w:t>
      </w:r>
    </w:p>
    <w:p w14:paraId="36227F7A" w14:textId="77777777" w:rsidR="00465757" w:rsidRDefault="00465757" w:rsidP="00937739">
      <w:pPr>
        <w:spacing w:before="120" w:after="120"/>
      </w:pPr>
    </w:p>
    <w:p w14:paraId="4EFAAF34" w14:textId="0E140902" w:rsidR="00FF7D9A" w:rsidRDefault="433DAF54" w:rsidP="00937739">
      <w:pPr>
        <w:pStyle w:val="Heading3"/>
      </w:pPr>
      <w:bookmarkStart w:id="14" w:name="_Toc132119630"/>
      <w:r>
        <w:lastRenderedPageBreak/>
        <w:t>Election to c</w:t>
      </w:r>
      <w:r w:rsidR="00EE07ED">
        <w:t>harg</w:t>
      </w:r>
      <w:r w:rsidR="694300D3">
        <w:t>e</w:t>
      </w:r>
      <w:r w:rsidR="00EE07ED">
        <w:t xml:space="preserve"> multiple </w:t>
      </w:r>
      <w:r w:rsidR="0005084C">
        <w:t>offences</w:t>
      </w:r>
      <w:r w:rsidR="008748B5">
        <w:t xml:space="preserve"> as a course of conduct</w:t>
      </w:r>
      <w:bookmarkEnd w:id="14"/>
    </w:p>
    <w:p w14:paraId="7DDB88A4" w14:textId="77777777" w:rsidR="00465757" w:rsidRDefault="00465757" w:rsidP="00465757">
      <w:pPr>
        <w:pStyle w:val="Question"/>
      </w:pPr>
      <w:r>
        <w:rPr>
          <w:b/>
          <w:bCs/>
        </w:rPr>
        <w:t>Question 7:</w:t>
      </w:r>
    </w:p>
    <w:p w14:paraId="6A15E633" w14:textId="077D7941" w:rsidR="00465757" w:rsidRPr="00927707" w:rsidRDefault="00465757" w:rsidP="00465757">
      <w:pPr>
        <w:pStyle w:val="Question"/>
      </w:pPr>
      <w:r>
        <w:t xml:space="preserve">Should the department consider an alternative method than the one set out below for “grouping” or “rolling-up” charges for wage underpayment (and any record-keeping) offences? </w:t>
      </w:r>
    </w:p>
    <w:p w14:paraId="3BD01739" w14:textId="762DACCF" w:rsidR="00733CBE" w:rsidRDefault="00FA040A" w:rsidP="00465757">
      <w:pPr>
        <w:spacing w:before="240"/>
      </w:pPr>
      <w:r>
        <w:t>The department proposes to introduce o</w:t>
      </w:r>
      <w:r w:rsidR="002D19FF">
        <w:t>ffence-specific c</w:t>
      </w:r>
      <w:r w:rsidR="00733CBE">
        <w:t xml:space="preserve">ourse of conduct charging rules </w:t>
      </w:r>
      <w:r w:rsidR="00F21EA0">
        <w:t>into the Fair Work Act</w:t>
      </w:r>
      <w:r w:rsidR="004C2BEC">
        <w:t>. These rules would</w:t>
      </w:r>
      <w:r w:rsidR="00F21EA0">
        <w:t xml:space="preserve"> </w:t>
      </w:r>
      <w:r w:rsidR="00733CBE">
        <w:t xml:space="preserve">apply to the wage underpayment and </w:t>
      </w:r>
      <w:r w:rsidR="00064120">
        <w:t xml:space="preserve">any </w:t>
      </w:r>
      <w:r w:rsidR="00733CBE">
        <w:t>record</w:t>
      </w:r>
      <w:r w:rsidR="00985796">
        <w:noBreakHyphen/>
      </w:r>
      <w:r w:rsidR="00733CBE">
        <w:t>keeping offences</w:t>
      </w:r>
      <w:r w:rsidR="00064120">
        <w:t xml:space="preserve"> introduced (see below for further detail)</w:t>
      </w:r>
      <w:r w:rsidR="00733CBE">
        <w:t xml:space="preserve">. </w:t>
      </w:r>
      <w:r w:rsidR="005134A2">
        <w:t>The</w:t>
      </w:r>
      <w:r w:rsidR="7DAD0EC4">
        <w:t xml:space="preserve"> rules would provide that a</w:t>
      </w:r>
      <w:r w:rsidR="00733CBE">
        <w:t xml:space="preserve"> series of incidents</w:t>
      </w:r>
      <w:r w:rsidR="00CA7A17">
        <w:t xml:space="preserve"> involving underpayment</w:t>
      </w:r>
      <w:r w:rsidR="00733CBE">
        <w:t xml:space="preserve">, which could be taken as separate offences and charged separately, </w:t>
      </w:r>
      <w:r w:rsidR="00733CBE" w:rsidRPr="532BAE1C">
        <w:rPr>
          <w:b/>
          <w:bCs/>
        </w:rPr>
        <w:t>may</w:t>
      </w:r>
      <w:r w:rsidR="00733CBE">
        <w:t xml:space="preserve"> be treated as a ‘course of conduct’ and charged as a single offence if</w:t>
      </w:r>
      <w:r w:rsidR="0017431B">
        <w:t xml:space="preserve"> all of the below apply</w:t>
      </w:r>
      <w:r w:rsidR="00733CBE">
        <w:t xml:space="preserve">: </w:t>
      </w:r>
    </w:p>
    <w:p w14:paraId="3917B19C" w14:textId="043D43B3" w:rsidR="00733CBE" w:rsidRDefault="00733CBE" w:rsidP="006B2868">
      <w:pPr>
        <w:pStyle w:val="ListParagraph"/>
        <w:numPr>
          <w:ilvl w:val="0"/>
          <w:numId w:val="38"/>
        </w:numPr>
        <w:spacing w:line="276" w:lineRule="auto"/>
      </w:pPr>
      <w:r>
        <w:t>each incident would separately satisfy the elements of the relevant offence</w:t>
      </w:r>
    </w:p>
    <w:p w14:paraId="5D058796" w14:textId="3D5F4A08" w:rsidR="00733CBE" w:rsidRDefault="00733CBE" w:rsidP="006B2868">
      <w:pPr>
        <w:pStyle w:val="ListParagraph"/>
        <w:numPr>
          <w:ilvl w:val="0"/>
          <w:numId w:val="38"/>
        </w:numPr>
        <w:spacing w:line="276" w:lineRule="auto"/>
      </w:pPr>
      <w:r>
        <w:t xml:space="preserve">the incidents have taken place on more than one occasion over a certain period of time, and </w:t>
      </w:r>
    </w:p>
    <w:p w14:paraId="7FCDEEA8" w14:textId="3D5F4A08" w:rsidR="006D54DE" w:rsidRDefault="00733CBE" w:rsidP="006B2868">
      <w:pPr>
        <w:pStyle w:val="ListParagraph"/>
        <w:numPr>
          <w:ilvl w:val="0"/>
          <w:numId w:val="38"/>
        </w:numPr>
        <w:spacing w:line="276" w:lineRule="auto"/>
      </w:pPr>
      <w:r>
        <w:t xml:space="preserve">the incidents, when taken together, amount to a course of conduct having regard to the time and place when the incidents happened and having regard to the reason for the incidents. </w:t>
      </w:r>
    </w:p>
    <w:p w14:paraId="463E577F" w14:textId="5ACDF746" w:rsidR="0005084C" w:rsidRDefault="08266F65" w:rsidP="00937739">
      <w:pPr>
        <w:spacing w:before="120" w:after="120"/>
      </w:pPr>
      <w:r>
        <w:t xml:space="preserve">The </w:t>
      </w:r>
      <w:r w:rsidR="6725C65B">
        <w:t>policy intent is</w:t>
      </w:r>
      <w:r>
        <w:t xml:space="preserve"> to provide a clear</w:t>
      </w:r>
      <w:r w:rsidR="5B7FA723">
        <w:t xml:space="preserve"> and fair</w:t>
      </w:r>
      <w:r>
        <w:t xml:space="preserve"> framework for how </w:t>
      </w:r>
      <w:r w:rsidR="00FA4749">
        <w:t>multiple offences</w:t>
      </w:r>
      <w:r w:rsidR="00295858">
        <w:t xml:space="preserve"> of the same kind</w:t>
      </w:r>
      <w:r>
        <w:t xml:space="preserve"> will be </w:t>
      </w:r>
      <w:r w:rsidR="00FA4749">
        <w:t>charged</w:t>
      </w:r>
      <w:r>
        <w:t xml:space="preserve"> and prosecuted</w:t>
      </w:r>
      <w:r w:rsidR="491FE6D6">
        <w:t>.</w:t>
      </w:r>
    </w:p>
    <w:p w14:paraId="6856695C" w14:textId="514B721E" w:rsidR="008748B5" w:rsidRDefault="00AF6169" w:rsidP="00937739">
      <w:pPr>
        <w:spacing w:before="120" w:after="120"/>
      </w:pPr>
      <w:r>
        <w:t>Non-compliance</w:t>
      </w:r>
      <w:r w:rsidR="000E50AA">
        <w:t xml:space="preserve"> </w:t>
      </w:r>
      <w:r w:rsidR="00AE2269">
        <w:t xml:space="preserve">may involve </w:t>
      </w:r>
      <w:r w:rsidR="00DD20C5">
        <w:t>many</w:t>
      </w:r>
      <w:r w:rsidR="00AE2269">
        <w:t xml:space="preserve"> individual instances, each of which could be capable of being charged as a separate offence.</w:t>
      </w:r>
      <w:r w:rsidR="008748B5">
        <w:t xml:space="preserve"> Under the course of conduct rule, this same situation may result in a single charge being laid, with a penalty reflecting the serious and systemic nature of the course of conduct. </w:t>
      </w:r>
    </w:p>
    <w:p w14:paraId="5A0874C1" w14:textId="66C0A244" w:rsidR="00394CE3" w:rsidRPr="007C472C" w:rsidRDefault="00394CE3" w:rsidP="00937739">
      <w:pPr>
        <w:pStyle w:val="Heading3"/>
      </w:pPr>
      <w:bookmarkStart w:id="15" w:name="_Toc132119631"/>
      <w:r w:rsidRPr="007C472C">
        <w:t>Liability of bodies corporate</w:t>
      </w:r>
      <w:bookmarkEnd w:id="15"/>
    </w:p>
    <w:p w14:paraId="599F3503" w14:textId="5DB83B59" w:rsidR="00394CE3" w:rsidRPr="007C472C" w:rsidRDefault="000731C1" w:rsidP="006B2868">
      <w:r w:rsidRPr="007C472C">
        <w:t xml:space="preserve">Part 2.5 of the Commonwealth Criminal Code will apply to the </w:t>
      </w:r>
      <w:r w:rsidR="00234028" w:rsidRPr="007C472C">
        <w:t>proposed wage underpayment and record</w:t>
      </w:r>
      <w:r w:rsidR="00985796" w:rsidRPr="007C472C">
        <w:noBreakHyphen/>
      </w:r>
      <w:r w:rsidR="00234028" w:rsidRPr="007C472C">
        <w:t>keeping offence</w:t>
      </w:r>
      <w:r w:rsidR="00B81884" w:rsidRPr="007C472C">
        <w:t xml:space="preserve">s. </w:t>
      </w:r>
    </w:p>
    <w:p w14:paraId="14B47CB7" w14:textId="7F0C71B3" w:rsidR="003D43AA" w:rsidRPr="007C472C" w:rsidRDefault="00590B58" w:rsidP="008E2A53">
      <w:pPr>
        <w:spacing w:before="240"/>
      </w:pPr>
      <w:r w:rsidRPr="007C472C">
        <w:t>T</w:t>
      </w:r>
      <w:r w:rsidR="00A20E52" w:rsidRPr="007C472C">
        <w:t>he physical and fault elements of the wage underpayment</w:t>
      </w:r>
      <w:r w:rsidR="0067253E">
        <w:t xml:space="preserve"> offence</w:t>
      </w:r>
      <w:r w:rsidR="00A20E52" w:rsidRPr="007C472C">
        <w:t xml:space="preserve"> and </w:t>
      </w:r>
      <w:r w:rsidR="00BF0E25">
        <w:t xml:space="preserve">any </w:t>
      </w:r>
      <w:r w:rsidR="00A20E52" w:rsidRPr="007C472C">
        <w:t>record keeping offences may be attri</w:t>
      </w:r>
      <w:r w:rsidR="00092F7C" w:rsidRPr="007C472C">
        <w:t xml:space="preserve">buted </w:t>
      </w:r>
      <w:r w:rsidRPr="007C472C">
        <w:t xml:space="preserve">to a body corporate </w:t>
      </w:r>
      <w:r w:rsidR="00092F7C" w:rsidRPr="007C472C">
        <w:t xml:space="preserve">from </w:t>
      </w:r>
      <w:r w:rsidRPr="007C472C">
        <w:t xml:space="preserve">its </w:t>
      </w:r>
      <w:r w:rsidR="00092F7C" w:rsidRPr="007C472C">
        <w:t xml:space="preserve">employees, agents or officers </w:t>
      </w:r>
      <w:r w:rsidRPr="007C472C">
        <w:t>acting within the actual or apparent scope of their employment or authority</w:t>
      </w:r>
      <w:r w:rsidR="00092F7C" w:rsidRPr="007C472C">
        <w:t xml:space="preserve">. </w:t>
      </w:r>
    </w:p>
    <w:p w14:paraId="2CA203B6" w14:textId="530C4263" w:rsidR="00590B58" w:rsidRPr="00394CE3" w:rsidRDefault="00C307C3" w:rsidP="00937739">
      <w:r w:rsidRPr="007C472C">
        <w:t>The fault elements of the offences will be attributed to a body corporate where it expressly, tacitly or impliedly authorised or permitted the commission of the offence</w:t>
      </w:r>
      <w:r w:rsidR="00036F4A" w:rsidRPr="007C472C">
        <w:t>s.</w:t>
      </w:r>
      <w:r w:rsidR="00036F4A">
        <w:t xml:space="preserve"> </w:t>
      </w:r>
      <w:r>
        <w:t xml:space="preserve"> </w:t>
      </w:r>
    </w:p>
    <w:p w14:paraId="591FFF6A" w14:textId="666F61D1" w:rsidR="001E665B" w:rsidRDefault="001E665B" w:rsidP="00937739">
      <w:pPr>
        <w:pStyle w:val="Heading3"/>
      </w:pPr>
      <w:bookmarkStart w:id="16" w:name="_Toc132119632"/>
      <w:r>
        <w:t>Liability of officers of bodies corporate</w:t>
      </w:r>
      <w:bookmarkEnd w:id="16"/>
      <w:r>
        <w:t xml:space="preserve"> </w:t>
      </w:r>
    </w:p>
    <w:p w14:paraId="701089D2" w14:textId="77777777" w:rsidR="00465757" w:rsidRDefault="00465757" w:rsidP="00465757">
      <w:pPr>
        <w:pStyle w:val="Question"/>
      </w:pPr>
      <w:r>
        <w:rPr>
          <w:b/>
          <w:bCs/>
        </w:rPr>
        <w:t>Question 8:</w:t>
      </w:r>
      <w:r>
        <w:t xml:space="preserve"> </w:t>
      </w:r>
    </w:p>
    <w:p w14:paraId="4584388C" w14:textId="77777777" w:rsidR="00465757" w:rsidRDefault="00465757" w:rsidP="00465757">
      <w:pPr>
        <w:pStyle w:val="Question"/>
      </w:pPr>
      <w:r>
        <w:t xml:space="preserve">Is it appropriate to extend the bar to proving ancillary liability of officers of bodies corporate for the wage underpayments offence beyond the default provisions in the Commonwealth Criminal Code? </w:t>
      </w:r>
    </w:p>
    <w:p w14:paraId="18F97BEE" w14:textId="3E488A40" w:rsidR="00085203" w:rsidRDefault="00DD74D2" w:rsidP="00E3078F">
      <w:pPr>
        <w:spacing w:before="240"/>
      </w:pPr>
      <w:r>
        <w:t>O</w:t>
      </w:r>
      <w:r w:rsidR="00085203">
        <w:t xml:space="preserve">fficers of bodies corporate (including directors) will be liable for a wage underpayment </w:t>
      </w:r>
      <w:r w:rsidR="00234028">
        <w:t xml:space="preserve">or </w:t>
      </w:r>
      <w:r w:rsidR="00F14ACB">
        <w:t>any</w:t>
      </w:r>
      <w:r w:rsidR="008071AF">
        <w:t xml:space="preserve"> </w:t>
      </w:r>
      <w:r w:rsidR="00234028">
        <w:t>record</w:t>
      </w:r>
      <w:r w:rsidR="00985796">
        <w:noBreakHyphen/>
      </w:r>
      <w:r w:rsidR="00234028">
        <w:t xml:space="preserve">keeping </w:t>
      </w:r>
      <w:r w:rsidR="00085203">
        <w:t>offence</w:t>
      </w:r>
      <w:r w:rsidR="00F14ACB">
        <w:t>s</w:t>
      </w:r>
      <w:r w:rsidR="00085203">
        <w:t xml:space="preserve"> if caught by the ancillary liability provisions </w:t>
      </w:r>
      <w:r w:rsidR="00A368E7">
        <w:t xml:space="preserve">in Division 11 </w:t>
      </w:r>
      <w:r w:rsidR="00085203">
        <w:t>of the Commonwealth Criminal Code.</w:t>
      </w:r>
    </w:p>
    <w:p w14:paraId="36140C6A" w14:textId="40312D46" w:rsidR="00085203" w:rsidRDefault="00085203" w:rsidP="0097050E">
      <w:pPr>
        <w:spacing w:before="240"/>
      </w:pPr>
      <w:r>
        <w:lastRenderedPageBreak/>
        <w:t xml:space="preserve">The policy intent is to ensure there is a clear pathway to establishing liability of officers of bodies corporate for the wage underpayment offence, where there is sufficient culpability. The general Commonwealth criminal policy means that standard provisions </w:t>
      </w:r>
      <w:r w:rsidR="00A368E7">
        <w:t xml:space="preserve">for ancillary liability in Division 11 of </w:t>
      </w:r>
      <w:r>
        <w:t>the Commonwealth Criminal Code should apply in the present context, unless there is good reason to provide otherwise.</w:t>
      </w:r>
    </w:p>
    <w:p w14:paraId="4F879188" w14:textId="70FF0EBB" w:rsidR="00382069" w:rsidRPr="00734F85" w:rsidRDefault="00085203" w:rsidP="00FC7BDF">
      <w:pPr>
        <w:spacing w:before="240"/>
      </w:pPr>
      <w:r>
        <w:t>The department is open to reviewing options to extend the bar to proving ancillary liability of officers of bodies corporate for the wage underpayments offence, for example to provide that officers of bodies corporate may also be held liable for an offence by the body corporate unless they can demonstrate they exercised due diligence to prevent the offence.</w:t>
      </w:r>
    </w:p>
    <w:p w14:paraId="419F00A8" w14:textId="25B65B6E" w:rsidR="00136847" w:rsidRDefault="00136847" w:rsidP="00937739">
      <w:pPr>
        <w:pStyle w:val="Heading2"/>
      </w:pPr>
      <w:bookmarkStart w:id="17" w:name="_Toc132119633"/>
      <w:r w:rsidRPr="006179E9">
        <w:t>Criminalising record-keeping misconduct</w:t>
      </w:r>
      <w:bookmarkEnd w:id="17"/>
    </w:p>
    <w:p w14:paraId="724267AE" w14:textId="7A14EE26" w:rsidR="007C7285" w:rsidRDefault="00B74C92" w:rsidP="00937739">
      <w:pPr>
        <w:pStyle w:val="Heading3"/>
      </w:pPr>
      <w:bookmarkStart w:id="18" w:name="_Toc132119634"/>
      <w:r w:rsidRPr="0082245C">
        <w:t>Record</w:t>
      </w:r>
      <w:r w:rsidR="00985796" w:rsidRPr="0082245C">
        <w:noBreakHyphen/>
      </w:r>
      <w:r w:rsidRPr="0082245C">
        <w:t>keeping offences</w:t>
      </w:r>
      <w:bookmarkEnd w:id="18"/>
      <w:r>
        <w:t xml:space="preserve"> </w:t>
      </w:r>
    </w:p>
    <w:p w14:paraId="6978DC23" w14:textId="77777777" w:rsidR="00465757" w:rsidRPr="008E7882" w:rsidRDefault="00465757" w:rsidP="00465757">
      <w:pPr>
        <w:pStyle w:val="Question"/>
        <w:rPr>
          <w:b/>
          <w:bCs/>
        </w:rPr>
      </w:pPr>
      <w:r w:rsidRPr="008E7882">
        <w:rPr>
          <w:b/>
          <w:bCs/>
        </w:rPr>
        <w:t xml:space="preserve">Question </w:t>
      </w:r>
      <w:r>
        <w:rPr>
          <w:b/>
          <w:bCs/>
        </w:rPr>
        <w:t>9</w:t>
      </w:r>
      <w:r w:rsidRPr="008E7882">
        <w:rPr>
          <w:b/>
          <w:bCs/>
        </w:rPr>
        <w:t>:</w:t>
      </w:r>
    </w:p>
    <w:p w14:paraId="5CA2297E" w14:textId="77777777" w:rsidR="00465757" w:rsidRDefault="00465757" w:rsidP="00465757">
      <w:pPr>
        <w:pStyle w:val="Question"/>
      </w:pPr>
      <w:r>
        <w:t xml:space="preserve">Should criminal offences for record-keeping misconduct be introduced to complement a criminal offence for wage underpayment? </w:t>
      </w:r>
    </w:p>
    <w:p w14:paraId="70B0AA00" w14:textId="77777777" w:rsidR="00006ABE" w:rsidRDefault="00D16ECD" w:rsidP="00D16ECD">
      <w:pPr>
        <w:spacing w:before="240"/>
      </w:pPr>
      <w:r>
        <w:t>Underpayment is often accompanied by, or facilitated by, a failure to keep accurat</w:t>
      </w:r>
      <w:r w:rsidR="00F75A50">
        <w:t xml:space="preserve">e records </w:t>
      </w:r>
      <w:r w:rsidR="00F34344">
        <w:t>or</w:t>
      </w:r>
      <w:r w:rsidR="00F75A50">
        <w:t xml:space="preserve"> give accurate pay slips.</w:t>
      </w:r>
      <w:r w:rsidR="00387E58">
        <w:t xml:space="preserve"> </w:t>
      </w:r>
      <w:r w:rsidR="00C5762B">
        <w:t xml:space="preserve">Underpayments are </w:t>
      </w:r>
      <w:r w:rsidR="00006ABE">
        <w:t xml:space="preserve">often only </w:t>
      </w:r>
      <w:r w:rsidR="00C5762B">
        <w:t xml:space="preserve">able to be identified and </w:t>
      </w:r>
      <w:r w:rsidR="00D7572B">
        <w:t xml:space="preserve">addressed through compliance action if </w:t>
      </w:r>
      <w:r w:rsidR="00006ABE">
        <w:t xml:space="preserve">adequate records are kept. </w:t>
      </w:r>
    </w:p>
    <w:p w14:paraId="5076A5B0" w14:textId="03084E4E" w:rsidR="0036555E" w:rsidRDefault="00AF310F" w:rsidP="00D16ECD">
      <w:pPr>
        <w:spacing w:before="240"/>
      </w:pPr>
      <w:r>
        <w:t xml:space="preserve">The Fair Work Act currently </w:t>
      </w:r>
      <w:r w:rsidR="0036555E">
        <w:t xml:space="preserve">has civil remedy provisions which: </w:t>
      </w:r>
    </w:p>
    <w:p w14:paraId="519E2EEB" w14:textId="065C866B" w:rsidR="00AF310F" w:rsidRDefault="0036555E" w:rsidP="0036555E">
      <w:pPr>
        <w:pStyle w:val="ListParagraph"/>
        <w:numPr>
          <w:ilvl w:val="0"/>
          <w:numId w:val="33"/>
        </w:numPr>
        <w:spacing w:before="240" w:line="276" w:lineRule="auto"/>
      </w:pPr>
      <w:r>
        <w:t xml:space="preserve">require employers to make, keep and give records and pay slips which are compliant with the requirements in the </w:t>
      </w:r>
      <w:r w:rsidRPr="00752D55">
        <w:rPr>
          <w:i/>
          <w:iCs/>
        </w:rPr>
        <w:t>Fair Work Regulations</w:t>
      </w:r>
      <w:r w:rsidR="00752D55">
        <w:t xml:space="preserve"> </w:t>
      </w:r>
      <w:r w:rsidR="00752D55">
        <w:rPr>
          <w:i/>
          <w:iCs/>
        </w:rPr>
        <w:t>2009</w:t>
      </w:r>
      <w:r w:rsidR="00CF4E18">
        <w:t>, and</w:t>
      </w:r>
    </w:p>
    <w:p w14:paraId="240F81C8" w14:textId="5B47A6EE" w:rsidR="0036555E" w:rsidRDefault="0036555E" w:rsidP="0036555E">
      <w:pPr>
        <w:pStyle w:val="ListParagraph"/>
        <w:numPr>
          <w:ilvl w:val="0"/>
          <w:numId w:val="33"/>
        </w:numPr>
        <w:spacing w:before="240" w:line="276" w:lineRule="auto"/>
      </w:pPr>
      <w:r>
        <w:t xml:space="preserve">prohibit the making, keeping or giving of records or payslips which the employer knows to be false or misleading. </w:t>
      </w:r>
    </w:p>
    <w:p w14:paraId="102DE59F" w14:textId="5CA2A809" w:rsidR="00386A9C" w:rsidRDefault="00F75A50" w:rsidP="00D16ECD">
      <w:pPr>
        <w:spacing w:before="240"/>
      </w:pPr>
      <w:r>
        <w:t xml:space="preserve">Criminalising record-keeping misconduct under the Fair Work Act </w:t>
      </w:r>
      <w:r w:rsidR="00CF4E18">
        <w:t>would</w:t>
      </w:r>
      <w:r>
        <w:t xml:space="preserve"> ensure that misconduct which directly enables </w:t>
      </w:r>
      <w:r w:rsidR="00387E58">
        <w:t xml:space="preserve">and conceals </w:t>
      </w:r>
      <w:r w:rsidR="005D7AF5">
        <w:t>under</w:t>
      </w:r>
      <w:r>
        <w:t xml:space="preserve">payment is treated as seriously as the underpayment itself. It will also allow charges to be laid for criminal record-keeping misconduct </w:t>
      </w:r>
      <w:r w:rsidR="00584D9F">
        <w:t>alongside criminal wage underpayment if a case involves both types of non-compliance.</w:t>
      </w:r>
      <w:r w:rsidR="00734126">
        <w:t xml:space="preserve"> The alleged offences </w:t>
      </w:r>
      <w:r w:rsidR="005D7AF5">
        <w:t>could</w:t>
      </w:r>
      <w:r w:rsidR="00734126">
        <w:t xml:space="preserve"> then be heard together.</w:t>
      </w:r>
    </w:p>
    <w:p w14:paraId="2E8923F4" w14:textId="53DAC2E6" w:rsidR="00C73D42" w:rsidRDefault="00C67F06" w:rsidP="00FB603E">
      <w:pPr>
        <w:spacing w:before="240"/>
      </w:pPr>
      <w:r>
        <w:t>The</w:t>
      </w:r>
      <w:r w:rsidR="00402304">
        <w:t xml:space="preserve"> </w:t>
      </w:r>
      <w:r w:rsidR="00F475BF">
        <w:t xml:space="preserve">department considers that the </w:t>
      </w:r>
      <w:r>
        <w:t>structure and coverage</w:t>
      </w:r>
      <w:r w:rsidR="00A825E8">
        <w:t xml:space="preserve"> of </w:t>
      </w:r>
      <w:r w:rsidR="00C73D42">
        <w:t>any</w:t>
      </w:r>
      <w:r w:rsidR="00A825E8">
        <w:t xml:space="preserve"> record-keeping offences </w:t>
      </w:r>
      <w:r w:rsidR="00F475BF">
        <w:t>would</w:t>
      </w:r>
      <w:r w:rsidR="00A825E8">
        <w:t xml:space="preserve"> </w:t>
      </w:r>
      <w:r>
        <w:t>need to account for</w:t>
      </w:r>
      <w:r w:rsidR="00C73D42">
        <w:t xml:space="preserve">: </w:t>
      </w:r>
    </w:p>
    <w:p w14:paraId="5A934290" w14:textId="2D080443" w:rsidR="00C73D42" w:rsidRDefault="00A825E8" w:rsidP="00C73D42">
      <w:pPr>
        <w:pStyle w:val="ListParagraph"/>
        <w:numPr>
          <w:ilvl w:val="0"/>
          <w:numId w:val="34"/>
        </w:numPr>
        <w:spacing w:before="240" w:line="276" w:lineRule="auto"/>
      </w:pPr>
      <w:r>
        <w:t xml:space="preserve">the </w:t>
      </w:r>
      <w:r w:rsidR="00F475BF">
        <w:t>relationship between</w:t>
      </w:r>
      <w:r>
        <w:t xml:space="preserve"> the wage underpayment offence</w:t>
      </w:r>
      <w:r w:rsidR="00F475BF">
        <w:t xml:space="preserve"> and the record-keeping misconduct</w:t>
      </w:r>
      <w:r w:rsidR="00C67F06">
        <w:t xml:space="preserve"> (</w:t>
      </w:r>
      <w:r w:rsidR="00A120F8">
        <w:t xml:space="preserve">for example, </w:t>
      </w:r>
      <w:r w:rsidR="00A120F8" w:rsidRPr="0055631B">
        <w:rPr>
          <w:b/>
          <w:bCs/>
          <w:color w:val="B6006A" w:themeColor="accent4"/>
        </w:rPr>
        <w:t>d</w:t>
      </w:r>
      <w:r w:rsidR="0031455D" w:rsidRPr="0055631B">
        <w:rPr>
          <w:b/>
          <w:bCs/>
          <w:color w:val="B6006A" w:themeColor="accent4"/>
        </w:rPr>
        <w:t>eliberate</w:t>
      </w:r>
      <w:r w:rsidR="0031455D" w:rsidRPr="0055631B">
        <w:rPr>
          <w:color w:val="B6006A" w:themeColor="accent4"/>
        </w:rPr>
        <w:t xml:space="preserve"> </w:t>
      </w:r>
      <w:r w:rsidR="0031455D">
        <w:t xml:space="preserve">underpayment </w:t>
      </w:r>
      <w:r w:rsidR="00CE04B0">
        <w:t>is</w:t>
      </w:r>
      <w:r w:rsidR="00320EB4">
        <w:t xml:space="preserve"> often</w:t>
      </w:r>
      <w:r w:rsidR="0031455D">
        <w:t xml:space="preserve"> facilitated by</w:t>
      </w:r>
      <w:r w:rsidR="00320EB4">
        <w:t xml:space="preserve"> a </w:t>
      </w:r>
      <w:r w:rsidR="00320EB4" w:rsidRPr="0055631B">
        <w:rPr>
          <w:b/>
          <w:bCs/>
          <w:color w:val="B6006A" w:themeColor="accent4"/>
        </w:rPr>
        <w:t>deliberate</w:t>
      </w:r>
      <w:r w:rsidR="00320EB4" w:rsidRPr="0055631B">
        <w:rPr>
          <w:color w:val="B6006A" w:themeColor="accent4"/>
        </w:rPr>
        <w:t xml:space="preserve"> </w:t>
      </w:r>
      <w:r w:rsidR="00320EB4">
        <w:t>failure to keep records or the deliberate falsification of records</w:t>
      </w:r>
      <w:r w:rsidR="00C67F06">
        <w:t>)</w:t>
      </w:r>
      <w:r w:rsidR="00C73D42">
        <w:t xml:space="preserve">, and </w:t>
      </w:r>
    </w:p>
    <w:p w14:paraId="2F4DE74E" w14:textId="5CC0F0BC" w:rsidR="0055631B" w:rsidRDefault="00402304" w:rsidP="00C73D42">
      <w:pPr>
        <w:pStyle w:val="ListParagraph"/>
        <w:numPr>
          <w:ilvl w:val="0"/>
          <w:numId w:val="34"/>
        </w:numPr>
        <w:spacing w:before="240" w:line="276" w:lineRule="auto"/>
      </w:pPr>
      <w:r>
        <w:t>the existing civil remedy provisions in sections 535 and 536 of the Fair Work Act</w:t>
      </w:r>
      <w:r w:rsidR="00663B6C">
        <w:t xml:space="preserve">, </w:t>
      </w:r>
      <w:r w:rsidR="00134633">
        <w:t xml:space="preserve">which are frequently and effectively used to address misconduct. </w:t>
      </w:r>
    </w:p>
    <w:p w14:paraId="24258C4E" w14:textId="77777777" w:rsidR="00B75869" w:rsidRDefault="00B75869" w:rsidP="00B75869">
      <w:pPr>
        <w:pStyle w:val="Heading3"/>
      </w:pPr>
      <w:bookmarkStart w:id="19" w:name="_Toc132119635"/>
      <w:r w:rsidRPr="00C67F06">
        <w:lastRenderedPageBreak/>
        <w:t>Penalties</w:t>
      </w:r>
      <w:bookmarkEnd w:id="19"/>
      <w:r>
        <w:t xml:space="preserve"> </w:t>
      </w:r>
    </w:p>
    <w:p w14:paraId="4B23DD7B" w14:textId="029C3CBF" w:rsidR="00EF0026" w:rsidRDefault="00D73843" w:rsidP="00C67F06">
      <w:pPr>
        <w:spacing w:before="120"/>
      </w:pPr>
      <w:r w:rsidRPr="00D73843">
        <w:t>T</w:t>
      </w:r>
      <w:r w:rsidR="00B75869" w:rsidRPr="00D73843">
        <w:t xml:space="preserve">he policy intent </w:t>
      </w:r>
      <w:r w:rsidRPr="00D73843">
        <w:t xml:space="preserve">is </w:t>
      </w:r>
      <w:r w:rsidR="00B75869" w:rsidRPr="00D73843">
        <w:t>that record</w:t>
      </w:r>
      <w:r w:rsidR="00B75869" w:rsidRPr="00D73843">
        <w:noBreakHyphen/>
        <w:t>keeping misconduct that facilitates criminal underpayment should be treated as seriously as the underpayment itself.</w:t>
      </w:r>
      <w:r w:rsidR="00B75869">
        <w:t xml:space="preserve"> </w:t>
      </w:r>
    </w:p>
    <w:p w14:paraId="4F84626E" w14:textId="6C0F5DC6" w:rsidR="00B75869" w:rsidRDefault="00D73843" w:rsidP="00C67F06">
      <w:pPr>
        <w:spacing w:before="120"/>
      </w:pPr>
      <w:r>
        <w:t>P</w:t>
      </w:r>
      <w:r w:rsidR="00B75869">
        <w:t>enalties for underpayment and record</w:t>
      </w:r>
      <w:r w:rsidR="00B75869">
        <w:noBreakHyphen/>
        <w:t xml:space="preserve">keeping misconduct </w:t>
      </w:r>
      <w:r>
        <w:t xml:space="preserve">should be comparable to </w:t>
      </w:r>
      <w:r w:rsidR="00B75869">
        <w:t xml:space="preserve">ensure it is not ‘cost effective’ for employers to fail to keep records entirely in order to obscure evidence of underpayments.  </w:t>
      </w:r>
    </w:p>
    <w:p w14:paraId="7C93C40C" w14:textId="0D1CB0FE" w:rsidR="009345BB" w:rsidRDefault="78E82752" w:rsidP="00937739">
      <w:pPr>
        <w:pStyle w:val="Heading3"/>
      </w:pPr>
      <w:bookmarkStart w:id="20" w:name="_Toc132119636"/>
      <w:r>
        <w:t>State and territory offences</w:t>
      </w:r>
      <w:bookmarkEnd w:id="20"/>
      <w:r>
        <w:t xml:space="preserve"> </w:t>
      </w:r>
    </w:p>
    <w:p w14:paraId="739445D0" w14:textId="2D51D7F6" w:rsidR="002667F6" w:rsidRPr="009E316A" w:rsidRDefault="002667F6" w:rsidP="005D350F">
      <w:r w:rsidRPr="009E316A">
        <w:t xml:space="preserve">As noted with respect to </w:t>
      </w:r>
      <w:r w:rsidRPr="009E316A">
        <w:rPr>
          <w:b/>
          <w:bCs/>
          <w:i/>
          <w:iCs/>
        </w:rPr>
        <w:t>Criminalising wage underpayments</w:t>
      </w:r>
      <w:r w:rsidRPr="009E316A">
        <w:t>, the Victorian Wage Theft Act contains criminal offences for the falsification of</w:t>
      </w:r>
      <w:r w:rsidR="009C7EEC" w:rsidRPr="009E316A">
        <w:t>,</w:t>
      </w:r>
      <w:r w:rsidRPr="009E316A">
        <w:t xml:space="preserve"> or failure to keep</w:t>
      </w:r>
      <w:r w:rsidR="009C7EEC" w:rsidRPr="009E316A">
        <w:t>,</w:t>
      </w:r>
      <w:r w:rsidRPr="009E316A">
        <w:t xml:space="preserve"> employee entitlement records to dishonestly gain a financial advantage (or prevent the exposure of such an advantage). </w:t>
      </w:r>
    </w:p>
    <w:p w14:paraId="19090C74" w14:textId="7112D442" w:rsidR="00B31DC9" w:rsidRDefault="00EA4BD7" w:rsidP="00937739">
      <w:pPr>
        <w:pStyle w:val="Heading2"/>
      </w:pPr>
      <w:bookmarkStart w:id="21" w:name="_Toc132119637"/>
      <w:r>
        <w:t>Changes to</w:t>
      </w:r>
      <w:r w:rsidR="00B31DC9">
        <w:t xml:space="preserve"> the serious civil contraventions regime</w:t>
      </w:r>
      <w:bookmarkEnd w:id="21"/>
      <w:r w:rsidR="00B31DC9">
        <w:t xml:space="preserve"> </w:t>
      </w:r>
    </w:p>
    <w:p w14:paraId="1D2AE0EB" w14:textId="6AB6ECBB" w:rsidR="00EC77E4" w:rsidRDefault="321873DC" w:rsidP="00937739">
      <w:pPr>
        <w:pStyle w:val="Heading3"/>
      </w:pPr>
      <w:bookmarkStart w:id="22" w:name="_Toc124771806"/>
      <w:bookmarkStart w:id="23" w:name="_Toc132119638"/>
      <w:r w:rsidRPr="002C62E8">
        <w:t xml:space="preserve">Ensuring the </w:t>
      </w:r>
      <w:r w:rsidR="1447570C" w:rsidRPr="002C62E8">
        <w:t xml:space="preserve">serious civil contraventions regime </w:t>
      </w:r>
      <w:r w:rsidR="0D685670" w:rsidRPr="002C62E8">
        <w:t>sits logically</w:t>
      </w:r>
      <w:r w:rsidR="1F0C0545" w:rsidRPr="002C62E8">
        <w:t xml:space="preserve"> alongside</w:t>
      </w:r>
      <w:r w:rsidR="1447570C" w:rsidRPr="002C62E8">
        <w:t xml:space="preserve"> new </w:t>
      </w:r>
      <w:r w:rsidR="1F0C0545" w:rsidRPr="002C62E8">
        <w:t xml:space="preserve">criminal </w:t>
      </w:r>
      <w:r w:rsidR="1447570C" w:rsidRPr="002C62E8">
        <w:t>offences</w:t>
      </w:r>
      <w:bookmarkEnd w:id="22"/>
      <w:bookmarkEnd w:id="23"/>
      <w:r w:rsidR="1447570C">
        <w:t xml:space="preserve"> </w:t>
      </w:r>
    </w:p>
    <w:p w14:paraId="38FD9A5C" w14:textId="7C0463A3" w:rsidR="002A2B7A" w:rsidRPr="008E2A53" w:rsidRDefault="002A2B7A" w:rsidP="002A2B7A">
      <w:pPr>
        <w:pStyle w:val="Question"/>
        <w:rPr>
          <w:b/>
          <w:bCs/>
        </w:rPr>
      </w:pPr>
      <w:r w:rsidRPr="008E2A53">
        <w:rPr>
          <w:b/>
          <w:bCs/>
        </w:rPr>
        <w:t xml:space="preserve">Question </w:t>
      </w:r>
      <w:r w:rsidR="00E3301B">
        <w:rPr>
          <w:b/>
          <w:bCs/>
        </w:rPr>
        <w:t>1</w:t>
      </w:r>
      <w:r w:rsidR="009E316A">
        <w:rPr>
          <w:b/>
          <w:bCs/>
        </w:rPr>
        <w:t>0</w:t>
      </w:r>
      <w:r w:rsidRPr="008E2A53">
        <w:rPr>
          <w:b/>
          <w:bCs/>
        </w:rPr>
        <w:t xml:space="preserve">: </w:t>
      </w:r>
    </w:p>
    <w:p w14:paraId="741789F2" w14:textId="77777777" w:rsidR="002A2B7A" w:rsidRDefault="002A2B7A" w:rsidP="002A2B7A">
      <w:pPr>
        <w:pStyle w:val="Question"/>
      </w:pPr>
      <w:r>
        <w:t>How should the serious civil contraventions regime be adjusted to align with the wage underpayment and any record-keeping offences?</w:t>
      </w:r>
    </w:p>
    <w:p w14:paraId="5EC4FC42" w14:textId="5AFBE574" w:rsidR="0040046D" w:rsidRDefault="009765CB" w:rsidP="0040046D">
      <w:pPr>
        <w:spacing w:before="120" w:after="120"/>
      </w:pPr>
      <w:r>
        <w:t>A core principle underpinning the proposed reforms is that the</w:t>
      </w:r>
      <w:r w:rsidR="0040046D">
        <w:t xml:space="preserve"> Fair Work Act should offer a </w:t>
      </w:r>
      <w:r>
        <w:rPr>
          <w:rFonts w:ascii="Calibri" w:eastAsia="Calibri" w:hAnsi="Calibri" w:cs="Calibri"/>
        </w:rPr>
        <w:t>sensibly graduated scale of penalties and enforcement tools which responsively address the full spectrum of non-compliance with workplace obligations</w:t>
      </w:r>
      <w:r w:rsidR="0040046D">
        <w:t>.</w:t>
      </w:r>
    </w:p>
    <w:p w14:paraId="75743B87" w14:textId="64AB4FC8" w:rsidR="007C472C" w:rsidRDefault="006030D8" w:rsidP="007C472C">
      <w:pPr>
        <w:spacing w:before="120" w:after="120"/>
      </w:pPr>
      <w:r>
        <w:t>T</w:t>
      </w:r>
      <w:r w:rsidR="00803B9C">
        <w:t xml:space="preserve">he department is considering </w:t>
      </w:r>
      <w:r w:rsidR="004F3C72">
        <w:t>how</w:t>
      </w:r>
      <w:r w:rsidR="002E251C">
        <w:t xml:space="preserve"> (</w:t>
      </w:r>
      <w:r>
        <w:t>and whether</w:t>
      </w:r>
      <w:r w:rsidR="002E251C">
        <w:t>)</w:t>
      </w:r>
      <w:r w:rsidR="004F3C72">
        <w:t xml:space="preserve"> </w:t>
      </w:r>
      <w:r w:rsidR="00704CE8">
        <w:t xml:space="preserve">the existing serious civil contraventions regime under section 557A of the Fair Work Act will align with and complement </w:t>
      </w:r>
      <w:r w:rsidR="005F5434">
        <w:t>any new offences</w:t>
      </w:r>
      <w:r w:rsidR="00DA087F">
        <w:t xml:space="preserve">. The policy intention is for the proposed offences to capture conduct which is more culpable than the most serious conduct covered by the civil framework. </w:t>
      </w:r>
    </w:p>
    <w:p w14:paraId="1E1E1FAA" w14:textId="77777777" w:rsidR="00506B4E" w:rsidRPr="0068787E" w:rsidRDefault="00506B4E" w:rsidP="008E2A53">
      <w:pPr>
        <w:pStyle w:val="offenceoption1"/>
        <w:ind w:left="0"/>
        <w:rPr>
          <w:b/>
          <w:bCs/>
          <w:color w:val="B6006A" w:themeColor="accent4"/>
        </w:rPr>
      </w:pPr>
      <w:r w:rsidRPr="0068787E">
        <w:rPr>
          <w:b/>
          <w:bCs/>
          <w:color w:val="B6006A" w:themeColor="accent4"/>
        </w:rPr>
        <w:t>Knowledge-based wage underpayment offence</w:t>
      </w:r>
      <w:r>
        <w:rPr>
          <w:b/>
          <w:bCs/>
          <w:color w:val="B6006A" w:themeColor="accent4"/>
        </w:rPr>
        <w:t xml:space="preserve"> </w:t>
      </w:r>
      <w:r w:rsidRPr="00506B4E">
        <w:rPr>
          <w:b/>
          <w:bCs/>
          <w:color w:val="B6006A" w:themeColor="accent4"/>
          <w:u w:val="single"/>
        </w:rPr>
        <w:t>only</w:t>
      </w:r>
    </w:p>
    <w:p w14:paraId="04B18990" w14:textId="2B6F9FC7" w:rsidR="00506B4E" w:rsidRDefault="00506B4E" w:rsidP="008E2A53">
      <w:pPr>
        <w:pStyle w:val="offenceoption1"/>
        <w:ind w:left="0"/>
      </w:pPr>
      <w:r w:rsidRPr="003307E0">
        <w:t>If the wage underpayment offence is knowledge-based, the</w:t>
      </w:r>
      <w:r w:rsidR="00375C5E">
        <w:t xml:space="preserve"> department proposes to </w:t>
      </w:r>
      <w:r w:rsidR="00CD3FBD" w:rsidRPr="007C472C">
        <w:t xml:space="preserve">replace the </w:t>
      </w:r>
      <w:r w:rsidR="00CD3FBD">
        <w:t>current</w:t>
      </w:r>
      <w:r w:rsidR="00CD3FBD" w:rsidRPr="007C472C">
        <w:t xml:space="preserve"> standard of </w:t>
      </w:r>
      <w:r w:rsidR="00CD3FBD" w:rsidRPr="00CD3FBD">
        <w:rPr>
          <w:b/>
          <w:bCs/>
        </w:rPr>
        <w:t>'knowing'</w:t>
      </w:r>
      <w:r w:rsidR="00CD3FBD" w:rsidRPr="007C472C">
        <w:t xml:space="preserve"> </w:t>
      </w:r>
      <w:r w:rsidR="00CD3FBD">
        <w:t xml:space="preserve">and systematic </w:t>
      </w:r>
      <w:r w:rsidR="00CD3FBD" w:rsidRPr="007C472C">
        <w:t>conduct with ‘</w:t>
      </w:r>
      <w:r w:rsidR="00CD3FBD" w:rsidRPr="00CD3FBD">
        <w:rPr>
          <w:b/>
          <w:bCs/>
        </w:rPr>
        <w:t>reckless’</w:t>
      </w:r>
      <w:r w:rsidR="00CD3FBD" w:rsidRPr="007C472C">
        <w:t xml:space="preserve"> </w:t>
      </w:r>
      <w:r w:rsidR="00CD3FBD">
        <w:t xml:space="preserve">and systematic </w:t>
      </w:r>
      <w:r w:rsidR="00CD3FBD" w:rsidRPr="007C472C">
        <w:t>conduct</w:t>
      </w:r>
      <w:r w:rsidR="00CD3FBD" w:rsidRPr="003307E0">
        <w:t xml:space="preserve"> </w:t>
      </w:r>
      <w:r w:rsidRPr="003307E0">
        <w:t xml:space="preserve">such that it applies to a broader range of misconduct and has less direct overlap with the criminal offence. </w:t>
      </w:r>
    </w:p>
    <w:p w14:paraId="29F713C2" w14:textId="2518048B" w:rsidR="00506B4E" w:rsidRDefault="00506B4E" w:rsidP="008E2A53">
      <w:pPr>
        <w:pStyle w:val="offenceoption1"/>
        <w:ind w:left="0"/>
      </w:pPr>
      <w:r w:rsidRPr="007C472C">
        <w:t xml:space="preserve">A </w:t>
      </w:r>
      <w:r w:rsidR="00A35305">
        <w:t xml:space="preserve">person’s </w:t>
      </w:r>
      <w:r w:rsidRPr="007C472C">
        <w:t xml:space="preserve">contravention of an eligible civil remedy provision would be a serious contravention under section 557A(1) of the Fair Work Act if the person </w:t>
      </w:r>
      <w:r w:rsidRPr="00CD3FBD">
        <w:rPr>
          <w:b/>
          <w:bCs/>
        </w:rPr>
        <w:t>recklessly</w:t>
      </w:r>
      <w:r w:rsidRPr="007C472C">
        <w:t xml:space="preserve"> contravened the provision and the person’s conduct was part of a systematic pattern of conduct.  </w:t>
      </w:r>
    </w:p>
    <w:p w14:paraId="7F2BAA85" w14:textId="77777777" w:rsidR="00CC5737" w:rsidRPr="003D69EC" w:rsidRDefault="00CC5737" w:rsidP="008E2A53">
      <w:pPr>
        <w:pStyle w:val="Offenceoption2"/>
        <w:ind w:left="0"/>
        <w:rPr>
          <w:b/>
          <w:bCs/>
          <w:color w:val="F26322" w:themeColor="accent2"/>
        </w:rPr>
      </w:pPr>
      <w:bookmarkStart w:id="24" w:name="_Toc124771807"/>
      <w:r w:rsidRPr="003D69EC">
        <w:rPr>
          <w:b/>
          <w:bCs/>
          <w:color w:val="F26322" w:themeColor="accent2"/>
        </w:rPr>
        <w:t xml:space="preserve">Recklessness-based wage underpayment offence </w:t>
      </w:r>
      <w:r w:rsidRPr="008E2A53">
        <w:rPr>
          <w:b/>
          <w:bCs/>
          <w:color w:val="F26322" w:themeColor="accent2"/>
          <w:u w:val="single"/>
        </w:rPr>
        <w:t>only</w:t>
      </w:r>
    </w:p>
    <w:p w14:paraId="4939A222" w14:textId="0ADD9601" w:rsidR="00CC5737" w:rsidRPr="00BC71C2" w:rsidRDefault="00CC5737" w:rsidP="008E2A53">
      <w:pPr>
        <w:pStyle w:val="Offenceoption2"/>
        <w:ind w:left="0"/>
      </w:pPr>
      <w:r>
        <w:t xml:space="preserve">If the wage underpayment offence is recklessness-based, the serious civil contraventions regime will either need to be amended to a significantly lower threshold, or potentially removed entirely. </w:t>
      </w:r>
    </w:p>
    <w:p w14:paraId="6F846106" w14:textId="77777777" w:rsidR="003267E0" w:rsidRPr="003267E0" w:rsidRDefault="003267E0" w:rsidP="008757BC">
      <w:pPr>
        <w:pStyle w:val="tieredapproach"/>
        <w:keepNext/>
        <w:keepLines/>
        <w:ind w:left="0"/>
        <w:rPr>
          <w:b/>
          <w:bCs/>
          <w:color w:val="E9A913" w:themeColor="accent5"/>
        </w:rPr>
      </w:pPr>
      <w:r w:rsidRPr="003267E0">
        <w:rPr>
          <w:b/>
          <w:bCs/>
          <w:color w:val="E9A913" w:themeColor="accent5"/>
        </w:rPr>
        <w:lastRenderedPageBreak/>
        <w:t>Tiered approach</w:t>
      </w:r>
    </w:p>
    <w:p w14:paraId="448B0CC1" w14:textId="77777777" w:rsidR="003267E0" w:rsidRPr="003D69EC" w:rsidRDefault="003267E0" w:rsidP="008757BC">
      <w:pPr>
        <w:pStyle w:val="tieredapproach"/>
        <w:keepNext/>
        <w:keepLines/>
        <w:ind w:left="0"/>
      </w:pPr>
      <w:r>
        <w:t xml:space="preserve">Under a tiered approach, a </w:t>
      </w:r>
      <w:r w:rsidRPr="003D69EC">
        <w:rPr>
          <w:b/>
          <w:bCs/>
          <w:color w:val="F26322" w:themeColor="accent2"/>
        </w:rPr>
        <w:t>recklessness-based offence</w:t>
      </w:r>
      <w:r w:rsidRPr="003D69EC">
        <w:rPr>
          <w:color w:val="F26322" w:themeColor="accent2"/>
        </w:rPr>
        <w:t xml:space="preserve"> </w:t>
      </w:r>
      <w:r>
        <w:t xml:space="preserve">will be the minimum threshold for criminal penalties under the Fair Work Act. Any adjustments to the serious civil contraventions regime will need to reflect this threshold. </w:t>
      </w:r>
    </w:p>
    <w:p w14:paraId="7B102BAF" w14:textId="0FC39FB8" w:rsidR="00BA0144" w:rsidRDefault="00BA0144" w:rsidP="00BA0144">
      <w:pPr>
        <w:spacing w:before="120" w:after="120"/>
      </w:pPr>
      <w:r>
        <w:t xml:space="preserve">There will be </w:t>
      </w:r>
      <w:r w:rsidRPr="00BA0144">
        <w:rPr>
          <w:b/>
          <w:bCs/>
        </w:rPr>
        <w:t>no change</w:t>
      </w:r>
      <w:r>
        <w:t xml:space="preserve"> to the list of civil remedy provisions which are eligible to be treated as serious civil contraventions. </w:t>
      </w:r>
    </w:p>
    <w:p w14:paraId="70077483" w14:textId="3446BE8E" w:rsidR="00A242A3" w:rsidRDefault="00B31DC9" w:rsidP="00937739">
      <w:pPr>
        <w:pStyle w:val="Heading2"/>
        <w:spacing w:before="120" w:after="120"/>
      </w:pPr>
      <w:bookmarkStart w:id="25" w:name="_Toc124771808"/>
      <w:bookmarkStart w:id="26" w:name="_Toc132119639"/>
      <w:bookmarkEnd w:id="24"/>
      <w:r>
        <w:t>Increasing maximum civil penalties</w:t>
      </w:r>
      <w:bookmarkEnd w:id="25"/>
      <w:bookmarkEnd w:id="26"/>
      <w:r>
        <w:t xml:space="preserve"> </w:t>
      </w:r>
    </w:p>
    <w:p w14:paraId="15C8DC3F" w14:textId="77777777" w:rsidR="00465757" w:rsidRPr="008E2A53" w:rsidRDefault="00465757" w:rsidP="00465757">
      <w:pPr>
        <w:pStyle w:val="Question"/>
        <w:rPr>
          <w:b/>
          <w:bCs/>
        </w:rPr>
      </w:pPr>
      <w:r w:rsidRPr="008E2A53">
        <w:rPr>
          <w:b/>
          <w:bCs/>
        </w:rPr>
        <w:t xml:space="preserve">Question </w:t>
      </w:r>
      <w:r>
        <w:rPr>
          <w:b/>
          <w:bCs/>
        </w:rPr>
        <w:t>11</w:t>
      </w:r>
      <w:r w:rsidRPr="008E2A53">
        <w:rPr>
          <w:b/>
          <w:bCs/>
        </w:rPr>
        <w:t>:</w:t>
      </w:r>
    </w:p>
    <w:p w14:paraId="55B60C17" w14:textId="77777777" w:rsidR="00465757" w:rsidRPr="00802E81" w:rsidRDefault="00465757" w:rsidP="00465757">
      <w:pPr>
        <w:pStyle w:val="Question"/>
      </w:pPr>
      <w:r>
        <w:t xml:space="preserve">Which of the following options would most effectively implement recommendation 5 of the Migrant Workers’ Taskforce? </w:t>
      </w:r>
    </w:p>
    <w:p w14:paraId="6E783993" w14:textId="4F43BA34" w:rsidR="009E5577" w:rsidRDefault="009E5577" w:rsidP="00937739">
      <w:pPr>
        <w:spacing w:before="120" w:after="120"/>
      </w:pPr>
      <w:r>
        <w:t>The ongoing prevalence of underpayment demonstrates that current civil penalties are not effectively deterring non-compliance with workplace obligations.</w:t>
      </w:r>
    </w:p>
    <w:p w14:paraId="7593F6ED" w14:textId="5763F823" w:rsidR="006106C6" w:rsidRDefault="00802E81" w:rsidP="008E2A53">
      <w:pPr>
        <w:pStyle w:val="Policyoptionbox"/>
        <w:pBdr>
          <w:top w:val="single" w:sz="12" w:space="1" w:color="008276" w:themeColor="accent3"/>
          <w:left w:val="single" w:sz="12" w:space="4" w:color="008276" w:themeColor="accent3"/>
          <w:bottom w:val="single" w:sz="12" w:space="1" w:color="008276" w:themeColor="accent3"/>
          <w:right w:val="single" w:sz="12" w:space="4" w:color="008276" w:themeColor="accent3"/>
        </w:pBdr>
        <w:shd w:val="clear" w:color="auto" w:fill="auto"/>
        <w:ind w:left="0"/>
      </w:pPr>
      <w:r w:rsidRPr="00B504D3">
        <w:rPr>
          <w:b/>
          <w:bCs/>
          <w:color w:val="008276" w:themeColor="accent3"/>
        </w:rPr>
        <w:t xml:space="preserve">Option </w:t>
      </w:r>
      <w:r w:rsidR="00B504D3">
        <w:rPr>
          <w:b/>
          <w:bCs/>
          <w:color w:val="008276" w:themeColor="accent3"/>
        </w:rPr>
        <w:t>A</w:t>
      </w:r>
      <w:r w:rsidRPr="00B504D3">
        <w:rPr>
          <w:b/>
          <w:bCs/>
          <w:color w:val="008276" w:themeColor="accent3"/>
        </w:rPr>
        <w:t xml:space="preserve">: </w:t>
      </w:r>
      <w:r>
        <w:br/>
      </w:r>
      <w:r w:rsidR="00793779">
        <w:t>Maximum penalties for the</w:t>
      </w:r>
      <w:r w:rsidR="007D70E9">
        <w:t xml:space="preserve"> </w:t>
      </w:r>
      <w:r w:rsidR="0002487F">
        <w:t>following</w:t>
      </w:r>
      <w:r w:rsidR="00CB6D93">
        <w:t xml:space="preserve"> civil remedy provisions</w:t>
      </w:r>
      <w:r w:rsidR="00E01EE1">
        <w:t xml:space="preserve"> w</w:t>
      </w:r>
      <w:r w:rsidR="4B6BBEC6">
        <w:t xml:space="preserve">ould </w:t>
      </w:r>
      <w:r w:rsidR="00E01EE1">
        <w:t xml:space="preserve">be increased: </w:t>
      </w:r>
    </w:p>
    <w:p w14:paraId="2B3E009A" w14:textId="75EA0B42" w:rsidR="006106C6"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44(1)</w:t>
      </w:r>
      <w:r w:rsidR="00C44661" w:rsidRPr="00F84A2F">
        <w:t xml:space="preserve"> </w:t>
      </w:r>
      <w:r w:rsidR="00C44661" w:rsidRPr="008D787A">
        <w:t>(Contravening a provision of the National Employment Standards)</w:t>
      </w:r>
    </w:p>
    <w:p w14:paraId="54705D52" w14:textId="752D31CA" w:rsidR="006106C6" w:rsidRPr="008D787A"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45</w:t>
      </w:r>
      <w:r w:rsidR="00C44661" w:rsidRPr="00F84A2F">
        <w:t xml:space="preserve"> </w:t>
      </w:r>
      <w:r w:rsidR="00C44661" w:rsidRPr="008D787A">
        <w:t>(Contravening a term of a modern award)</w:t>
      </w:r>
    </w:p>
    <w:p w14:paraId="155AC917" w14:textId="6CC6FB1B" w:rsidR="006106C6"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50</w:t>
      </w:r>
      <w:r w:rsidR="00C44661" w:rsidRPr="00F84A2F">
        <w:t xml:space="preserve"> </w:t>
      </w:r>
      <w:r w:rsidR="00C44661" w:rsidRPr="008D787A">
        <w:t>(</w:t>
      </w:r>
      <w:r w:rsidR="00046F41" w:rsidRPr="008D787A">
        <w:t>Contravening a term of an enterprise agreement)</w:t>
      </w:r>
      <w:r w:rsidR="00046F41" w:rsidRPr="00F84A2F">
        <w:t xml:space="preserve"> </w:t>
      </w:r>
    </w:p>
    <w:p w14:paraId="2D26C923" w14:textId="2CC9EB08" w:rsidR="006106C6"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280</w:t>
      </w:r>
      <w:r w:rsidR="00046F41" w:rsidRPr="00F84A2F">
        <w:t xml:space="preserve"> </w:t>
      </w:r>
      <w:r w:rsidR="00046F41" w:rsidRPr="008D787A">
        <w:t>(Contravening a term of a workplace determination)</w:t>
      </w:r>
    </w:p>
    <w:p w14:paraId="731B082E" w14:textId="7E791D62" w:rsidR="006106C6"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293</w:t>
      </w:r>
      <w:r w:rsidR="00046F41" w:rsidRPr="00F84A2F">
        <w:t xml:space="preserve"> </w:t>
      </w:r>
      <w:r w:rsidR="00046F41" w:rsidRPr="008D787A">
        <w:t>(Contravening a national minimum wage order)</w:t>
      </w:r>
    </w:p>
    <w:p w14:paraId="06F140E3" w14:textId="6F68FB39" w:rsidR="006106C6" w:rsidRPr="008D787A"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305</w:t>
      </w:r>
      <w:r w:rsidR="00046F41" w:rsidRPr="00F84A2F">
        <w:t xml:space="preserve"> </w:t>
      </w:r>
      <w:r w:rsidR="00046F41" w:rsidRPr="008D787A">
        <w:t>(Contravening an equal remuneration order)</w:t>
      </w:r>
    </w:p>
    <w:p w14:paraId="38C56F40" w14:textId="3613FA1A" w:rsidR="006106C6"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323(1) and (3)</w:t>
      </w:r>
      <w:r w:rsidR="00046F41" w:rsidRPr="00F84A2F">
        <w:t xml:space="preserve"> </w:t>
      </w:r>
      <w:r w:rsidR="00046F41" w:rsidRPr="008D787A">
        <w:t xml:space="preserve">(Method and frequency of payment) </w:t>
      </w:r>
    </w:p>
    <w:p w14:paraId="6A23D109" w14:textId="5E0F7880" w:rsidR="006E17AA"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325(1) and (1A)</w:t>
      </w:r>
      <w:r w:rsidR="00046F41" w:rsidRPr="00F84A2F">
        <w:t xml:space="preserve"> </w:t>
      </w:r>
      <w:r w:rsidR="00046F41" w:rsidRPr="008D787A">
        <w:t>(Unreasonable requirements for an employee to spend or pay amount)</w:t>
      </w:r>
    </w:p>
    <w:p w14:paraId="5175063F" w14:textId="307433BE" w:rsidR="006E17AA"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328(1), (2) and (3)</w:t>
      </w:r>
      <w:r w:rsidR="00046F41" w:rsidRPr="00F84A2F">
        <w:t xml:space="preserve"> </w:t>
      </w:r>
      <w:r w:rsidR="00046F41" w:rsidRPr="008D787A">
        <w:t xml:space="preserve">(Compliance with a guarantee of annual earnings) </w:t>
      </w:r>
    </w:p>
    <w:p w14:paraId="74F1CF85" w14:textId="077E605B" w:rsidR="00B97881" w:rsidRDefault="00B97881"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t>357(1) (Misrepresenting employment as independent contracting arrangement)</w:t>
      </w:r>
    </w:p>
    <w:p w14:paraId="1643393C" w14:textId="7567904D" w:rsidR="00B97881" w:rsidRDefault="00B97881"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t xml:space="preserve">358 (Dismissing to engage as independent contractor) </w:t>
      </w:r>
    </w:p>
    <w:p w14:paraId="2117D7EE" w14:textId="1E369872" w:rsidR="00B97881" w:rsidRPr="00F84A2F" w:rsidRDefault="00B97881"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t>359 (Misrepresentation to engage as independent contractor)</w:t>
      </w:r>
    </w:p>
    <w:p w14:paraId="62644D63" w14:textId="2283AB64" w:rsidR="006E17AA"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535(1), (2) and (4)</w:t>
      </w:r>
      <w:r w:rsidR="00046F41" w:rsidRPr="00F84A2F">
        <w:t xml:space="preserve"> </w:t>
      </w:r>
      <w:r w:rsidR="00046F41" w:rsidRPr="008D787A">
        <w:t xml:space="preserve">(Employer obligations in relation to employee records) </w:t>
      </w:r>
    </w:p>
    <w:p w14:paraId="1620A39F" w14:textId="7449E518" w:rsidR="007D70E9" w:rsidRPr="00F84A2F"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536(1), (2) and (3</w:t>
      </w:r>
      <w:r w:rsidR="00DD0ABE" w:rsidRPr="00F84A2F">
        <w:t>)</w:t>
      </w:r>
      <w:r w:rsidRPr="00F84A2F">
        <w:t xml:space="preserve"> </w:t>
      </w:r>
      <w:r w:rsidR="00046F41" w:rsidRPr="008D787A">
        <w:t>(Employer obligations in relation to pay slips)</w:t>
      </w:r>
    </w:p>
    <w:p w14:paraId="55D57E92" w14:textId="39550949" w:rsidR="006E17AA" w:rsidRPr="00F84A2F" w:rsidRDefault="006E17AA"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712(3)</w:t>
      </w:r>
      <w:r w:rsidR="00046F41" w:rsidRPr="00F84A2F">
        <w:t xml:space="preserve"> </w:t>
      </w:r>
      <w:r w:rsidR="00046F41" w:rsidRPr="008D787A">
        <w:t xml:space="preserve">(Failure to comply with a notice to produce) </w:t>
      </w:r>
    </w:p>
    <w:p w14:paraId="7070D414" w14:textId="332F06C6" w:rsidR="006E17AA" w:rsidRPr="00F84A2F" w:rsidRDefault="00FF643E"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716(5)</w:t>
      </w:r>
      <w:r w:rsidR="00046F41" w:rsidRPr="00F84A2F">
        <w:t xml:space="preserve"> </w:t>
      </w:r>
      <w:r w:rsidR="00046F41" w:rsidRPr="008D787A">
        <w:t>(Failure to comply with a compliance notice)</w:t>
      </w:r>
      <w:r w:rsidR="00BA17D9">
        <w:t>*</w:t>
      </w:r>
    </w:p>
    <w:p w14:paraId="65F25068" w14:textId="5F82284D" w:rsidR="00FF643E" w:rsidRPr="00F84A2F" w:rsidRDefault="00FF643E"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718A(1)</w:t>
      </w:r>
      <w:r w:rsidR="00046F41" w:rsidRPr="00F84A2F">
        <w:t xml:space="preserve"> </w:t>
      </w:r>
      <w:r w:rsidR="00046F41" w:rsidRPr="008D787A">
        <w:t xml:space="preserve">(Providing false or misleading information or documents to the FWO) </w:t>
      </w:r>
    </w:p>
    <w:p w14:paraId="04AF632E" w14:textId="1DDD07B6" w:rsidR="00FF643E" w:rsidRPr="00F84A2F" w:rsidRDefault="00FF643E"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745(1)</w:t>
      </w:r>
      <w:r w:rsidR="00046F41" w:rsidRPr="00F84A2F">
        <w:t xml:space="preserve"> </w:t>
      </w:r>
      <w:r w:rsidR="00046F41" w:rsidRPr="008D787A">
        <w:t>(Contravening extended parental leave provisions)</w:t>
      </w:r>
    </w:p>
    <w:p w14:paraId="7F2565CA" w14:textId="02FA1FE8" w:rsidR="00FF643E" w:rsidRPr="00F84A2F" w:rsidRDefault="00FF643E"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760</w:t>
      </w:r>
      <w:r w:rsidR="00046F41" w:rsidRPr="00F84A2F">
        <w:t xml:space="preserve"> </w:t>
      </w:r>
      <w:r w:rsidR="00046F41" w:rsidRPr="008D787A">
        <w:t xml:space="preserve">(Contravening extended notice of termination provisions) </w:t>
      </w:r>
    </w:p>
    <w:p w14:paraId="164A8C0A" w14:textId="4FDAAD01" w:rsidR="00C44661" w:rsidRPr="00F84A2F" w:rsidRDefault="008D1E0C"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spacing w:line="240" w:lineRule="auto"/>
        <w:ind w:left="360"/>
      </w:pPr>
      <w:r w:rsidRPr="00F84A2F">
        <w:t xml:space="preserve">757BA </w:t>
      </w:r>
      <w:r w:rsidRPr="008D787A">
        <w:t>(</w:t>
      </w:r>
      <w:r w:rsidR="00793779" w:rsidRPr="008D787A">
        <w:t>Contravening extended paid family and domestic violence leave provisions)</w:t>
      </w:r>
    </w:p>
    <w:p w14:paraId="76C00F67" w14:textId="2AE53C0B" w:rsidR="00793779" w:rsidRPr="008025AB" w:rsidRDefault="00793779" w:rsidP="008E2A53">
      <w:pPr>
        <w:pStyle w:val="Insetbox"/>
        <w:pBdr>
          <w:top w:val="single" w:sz="12" w:space="1" w:color="008276" w:themeColor="accent3"/>
          <w:left w:val="single" w:sz="12" w:space="4" w:color="008276" w:themeColor="accent3"/>
          <w:bottom w:val="single" w:sz="12" w:space="1" w:color="008276" w:themeColor="accent3"/>
          <w:right w:val="single" w:sz="12" w:space="4" w:color="008276" w:themeColor="accent3"/>
        </w:pBdr>
        <w:ind w:left="0"/>
        <w:rPr>
          <w:b/>
          <w:bCs/>
        </w:rPr>
      </w:pPr>
      <w:r>
        <w:lastRenderedPageBreak/>
        <w:t>For each of the above provisions</w:t>
      </w:r>
      <w:r w:rsidR="008025AB">
        <w:t xml:space="preserve"> (with the exception of subsection 716(5)</w:t>
      </w:r>
      <w:r w:rsidR="00BA17D9">
        <w:t>*</w:t>
      </w:r>
      <w:r w:rsidR="008025AB">
        <w:t>), the maximum penalty specified in column 4 of the table at subsection 539(2) of the Fair Work Act w</w:t>
      </w:r>
      <w:r w:rsidR="44A43CF8">
        <w:t xml:space="preserve">ould </w:t>
      </w:r>
      <w:r w:rsidR="008025AB">
        <w:t xml:space="preserve">be increased by </w:t>
      </w:r>
      <w:r w:rsidR="008025AB" w:rsidRPr="532BAE1C">
        <w:rPr>
          <w:b/>
          <w:bCs/>
        </w:rPr>
        <w:t>5 times</w:t>
      </w:r>
      <w:r w:rsidR="000F4F96" w:rsidRPr="532BAE1C">
        <w:rPr>
          <w:b/>
          <w:bCs/>
        </w:rPr>
        <w:t>.</w:t>
      </w:r>
    </w:p>
    <w:p w14:paraId="7D31BB89" w14:textId="3F7B6669" w:rsidR="007D70E9"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ind w:left="360"/>
      </w:pPr>
      <w:r>
        <w:t xml:space="preserve">For an </w:t>
      </w:r>
      <w:r w:rsidRPr="000F4F96">
        <w:rPr>
          <w:b/>
          <w:bCs/>
        </w:rPr>
        <w:t>individual</w:t>
      </w:r>
      <w:r>
        <w:t xml:space="preserve"> </w:t>
      </w:r>
      <w:r w:rsidR="008025AB">
        <w:t xml:space="preserve">the new maximum penalty will be </w:t>
      </w:r>
      <w:r>
        <w:t>300 penalty units</w:t>
      </w:r>
      <w:r w:rsidR="003A2A73">
        <w:t xml:space="preserve"> ($</w:t>
      </w:r>
      <w:r w:rsidR="0043014B">
        <w:t>82,500)</w:t>
      </w:r>
      <w:r>
        <w:t xml:space="preserve"> (serious contravention: 3000 penalty units</w:t>
      </w:r>
      <w:r w:rsidR="0043014B">
        <w:t xml:space="preserve"> ($825,000)</w:t>
      </w:r>
      <w:r>
        <w:t>)</w:t>
      </w:r>
    </w:p>
    <w:p w14:paraId="42FD9A98" w14:textId="7C14954B" w:rsidR="007D70E9" w:rsidRDefault="007D70E9" w:rsidP="008E2A53">
      <w:pPr>
        <w:pStyle w:val="Insetbox"/>
        <w:numPr>
          <w:ilvl w:val="0"/>
          <w:numId w:val="25"/>
        </w:numPr>
        <w:pBdr>
          <w:top w:val="single" w:sz="12" w:space="1" w:color="008276" w:themeColor="accent3"/>
          <w:left w:val="single" w:sz="12" w:space="4" w:color="008276" w:themeColor="accent3"/>
          <w:bottom w:val="single" w:sz="12" w:space="1" w:color="008276" w:themeColor="accent3"/>
          <w:right w:val="single" w:sz="12" w:space="4" w:color="008276" w:themeColor="accent3"/>
        </w:pBdr>
        <w:ind w:left="360"/>
      </w:pPr>
      <w:r>
        <w:t xml:space="preserve">For a </w:t>
      </w:r>
      <w:r w:rsidRPr="000F4F96">
        <w:rPr>
          <w:b/>
          <w:bCs/>
        </w:rPr>
        <w:t>body corporate</w:t>
      </w:r>
      <w:r>
        <w:t xml:space="preserve"> </w:t>
      </w:r>
      <w:r w:rsidR="008025AB">
        <w:t xml:space="preserve">the new maximum penalty will be </w:t>
      </w:r>
      <w:r>
        <w:t>1500 penalty units</w:t>
      </w:r>
      <w:r w:rsidR="0043014B">
        <w:t xml:space="preserve"> ($</w:t>
      </w:r>
      <w:r w:rsidR="00EF15DF">
        <w:t>412,500)</w:t>
      </w:r>
      <w:r>
        <w:t xml:space="preserve"> (serious contravention: 15,000 penalty units</w:t>
      </w:r>
      <w:r w:rsidR="00EF15DF">
        <w:t xml:space="preserve"> ($4,125,000)</w:t>
      </w:r>
      <w:r>
        <w:t>)</w:t>
      </w:r>
    </w:p>
    <w:p w14:paraId="370005CD" w14:textId="373D2BB1" w:rsidR="008025AB" w:rsidRPr="00BF28B4" w:rsidRDefault="00BA17D9" w:rsidP="008E2A53">
      <w:pPr>
        <w:pStyle w:val="Insetbox"/>
        <w:pBdr>
          <w:top w:val="single" w:sz="12" w:space="1" w:color="008276" w:themeColor="accent3"/>
          <w:left w:val="single" w:sz="12" w:space="4" w:color="008276" w:themeColor="accent3"/>
          <w:bottom w:val="single" w:sz="12" w:space="1" w:color="008276" w:themeColor="accent3"/>
          <w:right w:val="single" w:sz="12" w:space="4" w:color="008276" w:themeColor="accent3"/>
        </w:pBdr>
        <w:ind w:left="0"/>
      </w:pPr>
      <w:r>
        <w:t>*</w:t>
      </w:r>
      <w:r w:rsidR="009042EB">
        <w:t>The maximum penalty for contravening subsection 716(5) w</w:t>
      </w:r>
      <w:r w:rsidR="2FC94BE9">
        <w:t xml:space="preserve">ould </w:t>
      </w:r>
      <w:r w:rsidR="009042EB">
        <w:t xml:space="preserve">be increased </w:t>
      </w:r>
      <w:r w:rsidR="00BF28B4">
        <w:t xml:space="preserve">by </w:t>
      </w:r>
      <w:r w:rsidR="00BF28B4" w:rsidRPr="532BAE1C">
        <w:rPr>
          <w:b/>
          <w:bCs/>
        </w:rPr>
        <w:t>10</w:t>
      </w:r>
      <w:r w:rsidR="00D95347" w:rsidRPr="532BAE1C">
        <w:rPr>
          <w:b/>
          <w:bCs/>
        </w:rPr>
        <w:t xml:space="preserve"> times</w:t>
      </w:r>
      <w:r w:rsidR="00BF28B4">
        <w:t xml:space="preserve"> </w:t>
      </w:r>
      <w:r w:rsidR="00D95347">
        <w:t>to ensure</w:t>
      </w:r>
      <w:r w:rsidR="004459A8">
        <w:t xml:space="preserve"> it is </w:t>
      </w:r>
      <w:r w:rsidR="004459A8" w:rsidRPr="532BAE1C">
        <w:rPr>
          <w:b/>
          <w:bCs/>
        </w:rPr>
        <w:t>equal</w:t>
      </w:r>
      <w:r w:rsidR="004459A8">
        <w:t xml:space="preserve"> to the </w:t>
      </w:r>
      <w:r w:rsidR="00D95347">
        <w:t xml:space="preserve">new </w:t>
      </w:r>
      <w:r w:rsidR="004459A8">
        <w:t xml:space="preserve">maximum penalty for the other identified provisions (300 penalty units for an individual, 1500 for a body corporate). </w:t>
      </w:r>
    </w:p>
    <w:p w14:paraId="57328892" w14:textId="017CB1C6" w:rsidR="007D70E9" w:rsidRDefault="001B251A" w:rsidP="008E2A53">
      <w:pPr>
        <w:spacing w:before="240"/>
      </w:pPr>
      <w:r>
        <w:t>The</w:t>
      </w:r>
      <w:r w:rsidR="00DB486F">
        <w:t xml:space="preserve">se provisions have been identified </w:t>
      </w:r>
      <w:r w:rsidR="00F822F6">
        <w:t>a</w:t>
      </w:r>
      <w:r w:rsidR="009738CC">
        <w:t xml:space="preserve">s </w:t>
      </w:r>
      <w:r w:rsidR="00757FE0">
        <w:t>addressing misconduct which</w:t>
      </w:r>
      <w:r w:rsidR="00492531">
        <w:t xml:space="preserve"> either</w:t>
      </w:r>
      <w:r w:rsidR="00CF55BC">
        <w:t xml:space="preserve"> </w:t>
      </w:r>
      <w:r w:rsidR="00757FE0">
        <w:t>involve</w:t>
      </w:r>
      <w:r w:rsidR="004C6BAA">
        <w:t>s</w:t>
      </w:r>
      <w:r w:rsidR="00316D26">
        <w:t xml:space="preserve"> underpayment of entitlements</w:t>
      </w:r>
      <w:r w:rsidR="0080795A">
        <w:t xml:space="preserve"> (</w:t>
      </w:r>
      <w:r w:rsidR="00316D26">
        <w:t xml:space="preserve">for example, contraventions of sections 45 or </w:t>
      </w:r>
      <w:r w:rsidR="004C6BAA">
        <w:t xml:space="preserve">323 </w:t>
      </w:r>
      <w:r w:rsidR="00492531">
        <w:t xml:space="preserve">which result in a pecuniary penalty </w:t>
      </w:r>
      <w:r w:rsidR="004C6BAA">
        <w:t>often involve underpayment</w:t>
      </w:r>
      <w:r w:rsidR="0080795A">
        <w:t>)</w:t>
      </w:r>
      <w:r w:rsidR="00757FE0">
        <w:t xml:space="preserve"> or</w:t>
      </w:r>
      <w:r w:rsidR="00CF55BC">
        <w:t xml:space="preserve"> </w:t>
      </w:r>
      <w:r w:rsidR="00663579">
        <w:t xml:space="preserve">is </w:t>
      </w:r>
      <w:r w:rsidR="00757FE0">
        <w:t>instrumental to underpayment of entitlements</w:t>
      </w:r>
      <w:r w:rsidR="0080795A">
        <w:t xml:space="preserve"> (</w:t>
      </w:r>
      <w:r w:rsidR="004C6BAA">
        <w:t xml:space="preserve">for example, </w:t>
      </w:r>
      <w:r w:rsidR="001E03DC">
        <w:t xml:space="preserve">underpayments are often connected to </w:t>
      </w:r>
      <w:r w:rsidR="00B97881">
        <w:t xml:space="preserve">sham arrangements or </w:t>
      </w:r>
      <w:r w:rsidR="0080795A">
        <w:t>a failure to keep records</w:t>
      </w:r>
      <w:r w:rsidR="001E03DC">
        <w:t xml:space="preserve">). </w:t>
      </w:r>
      <w:r w:rsidR="005C5055">
        <w:t>This approach</w:t>
      </w:r>
      <w:r w:rsidR="00DA26C4">
        <w:t xml:space="preserve"> ensures that </w:t>
      </w:r>
      <w:r w:rsidR="005C5055" w:rsidRPr="005C5055">
        <w:t>misconduct which directly enables</w:t>
      </w:r>
      <w:r w:rsidR="00DA100F">
        <w:t>,</w:t>
      </w:r>
      <w:r w:rsidR="005C5055" w:rsidRPr="005C5055">
        <w:t xml:space="preserve"> or disguises</w:t>
      </w:r>
      <w:r w:rsidR="00DA100F">
        <w:t>,</w:t>
      </w:r>
      <w:r w:rsidR="005C5055" w:rsidRPr="005C5055">
        <w:t xml:space="preserve"> an underpayment is able to be treated as seriously as the underpayment itself.</w:t>
      </w:r>
    </w:p>
    <w:p w14:paraId="106DD6C1" w14:textId="79683C46" w:rsidR="00733319" w:rsidRDefault="001E03DC" w:rsidP="00937739">
      <w:r w:rsidRPr="00B504D3">
        <w:rPr>
          <w:b/>
          <w:bCs/>
          <w:color w:val="008276" w:themeColor="accent3"/>
        </w:rPr>
        <w:t xml:space="preserve">Option </w:t>
      </w:r>
      <w:r w:rsidR="00B504D3">
        <w:rPr>
          <w:b/>
          <w:bCs/>
          <w:color w:val="008276" w:themeColor="accent3"/>
        </w:rPr>
        <w:t xml:space="preserve">A </w:t>
      </w:r>
      <w:r w:rsidR="00B028CE">
        <w:t>is intended to</w:t>
      </w:r>
      <w:r w:rsidR="00843CD7">
        <w:t xml:space="preserve"> balance enhancing the deterrent impact of maximum penalties</w:t>
      </w:r>
      <w:r w:rsidR="00A93ECA">
        <w:t xml:space="preserve"> with</w:t>
      </w:r>
      <w:r w:rsidR="00843CD7">
        <w:t xml:space="preserve"> preserving</w:t>
      </w:r>
      <w:r w:rsidR="00F54732">
        <w:t xml:space="preserve"> clarity for applicants, respondents and the court when calculating the maximum applicable penalty in each case</w:t>
      </w:r>
      <w:r w:rsidR="00173850">
        <w:t xml:space="preserve">. </w:t>
      </w:r>
      <w:r w:rsidR="000727E5">
        <w:t xml:space="preserve">This option </w:t>
      </w:r>
      <w:r w:rsidR="00723A7A">
        <w:t xml:space="preserve">would have the effect of increasing </w:t>
      </w:r>
      <w:r w:rsidR="00723A7A" w:rsidRPr="00D5684D">
        <w:t>maximum</w:t>
      </w:r>
      <w:r w:rsidR="00723A7A">
        <w:t xml:space="preserve"> penalties </w:t>
      </w:r>
      <w:r w:rsidR="00210CB8">
        <w:t xml:space="preserve">available </w:t>
      </w:r>
      <w:r w:rsidR="00723A7A">
        <w:t>for contraventions of</w:t>
      </w:r>
      <w:r w:rsidR="00D5684D">
        <w:t xml:space="preserve"> the listed civil remedy provisions </w:t>
      </w:r>
      <w:r w:rsidR="00334B73">
        <w:t>that do</w:t>
      </w:r>
      <w:r w:rsidR="00D5684D">
        <w:t xml:space="preserve"> not involve </w:t>
      </w:r>
      <w:r w:rsidR="00D01217">
        <w:t>underpayment</w:t>
      </w:r>
      <w:r w:rsidR="00210CB8">
        <w:t xml:space="preserve">, in the event that they are litigated. </w:t>
      </w:r>
    </w:p>
    <w:p w14:paraId="127114C2" w14:textId="39019822" w:rsidR="00E7787C" w:rsidRDefault="00C44E81" w:rsidP="008E2A53">
      <w:pPr>
        <w:pStyle w:val="Policyoptionbox"/>
        <w:pBdr>
          <w:top w:val="single" w:sz="12" w:space="1" w:color="33CC33"/>
          <w:left w:val="single" w:sz="12" w:space="4" w:color="33CC33"/>
          <w:bottom w:val="single" w:sz="12" w:space="1" w:color="33CC33"/>
          <w:right w:val="single" w:sz="12" w:space="4" w:color="33CC33"/>
        </w:pBdr>
        <w:shd w:val="clear" w:color="auto" w:fill="auto"/>
        <w:ind w:left="0"/>
      </w:pPr>
      <w:r w:rsidRPr="0002741C">
        <w:rPr>
          <w:b/>
          <w:bCs/>
          <w:color w:val="33CC33"/>
        </w:rPr>
        <w:t xml:space="preserve">Option </w:t>
      </w:r>
      <w:r w:rsidR="00B504D3" w:rsidRPr="0002741C">
        <w:rPr>
          <w:b/>
          <w:bCs/>
          <w:color w:val="33CC33"/>
        </w:rPr>
        <w:t>B</w:t>
      </w:r>
      <w:r w:rsidRPr="0002741C">
        <w:rPr>
          <w:b/>
          <w:bCs/>
          <w:color w:val="33CC33"/>
        </w:rPr>
        <w:t>:</w:t>
      </w:r>
      <w:r w:rsidR="00802E81" w:rsidRPr="0002741C">
        <w:rPr>
          <w:b/>
          <w:bCs/>
          <w:color w:val="33CC33"/>
        </w:rPr>
        <w:t xml:space="preserve"> </w:t>
      </w:r>
      <w:r w:rsidRPr="0002741C">
        <w:rPr>
          <w:color w:val="33CC33"/>
        </w:rPr>
        <w:br/>
      </w:r>
      <w:r w:rsidR="0013694A">
        <w:t>A new provision w</w:t>
      </w:r>
      <w:r w:rsidR="5736B8A6">
        <w:t xml:space="preserve">ould </w:t>
      </w:r>
      <w:r w:rsidR="0013694A">
        <w:t xml:space="preserve">be inserted into the Fair Work Act which </w:t>
      </w:r>
      <w:r w:rsidR="00EF1353">
        <w:t xml:space="preserve">will increase the maximum penalty available </w:t>
      </w:r>
      <w:r w:rsidR="000A14CA">
        <w:t>for</w:t>
      </w:r>
      <w:r w:rsidR="00EF1353">
        <w:t xml:space="preserve"> </w:t>
      </w:r>
      <w:r w:rsidR="00E7787C">
        <w:t>a</w:t>
      </w:r>
      <w:r w:rsidR="00EF1353">
        <w:t xml:space="preserve"> contravention </w:t>
      </w:r>
      <w:r w:rsidR="00C5617D">
        <w:t>of a</w:t>
      </w:r>
      <w:r w:rsidR="00E7787C">
        <w:t>ny</w:t>
      </w:r>
      <w:r w:rsidR="00C5617D">
        <w:t xml:space="preserve"> civil remedy provision</w:t>
      </w:r>
      <w:r w:rsidR="000A14CA">
        <w:t xml:space="preserve"> that</w:t>
      </w:r>
      <w:r w:rsidR="00C5617D">
        <w:t xml:space="preserve"> </w:t>
      </w:r>
      <w:r w:rsidR="00C5617D" w:rsidRPr="532BAE1C">
        <w:rPr>
          <w:b/>
          <w:bCs/>
        </w:rPr>
        <w:t>involves underpayment</w:t>
      </w:r>
      <w:r w:rsidR="00C5617D">
        <w:t xml:space="preserve">. </w:t>
      </w:r>
      <w:r w:rsidR="00F631E7">
        <w:t>The intent</w:t>
      </w:r>
      <w:r w:rsidR="00DC631D">
        <w:t>ion</w:t>
      </w:r>
      <w:r w:rsidR="00F631E7">
        <w:t xml:space="preserve"> is that the exact quantum of the underpayment would not need to be proved</w:t>
      </w:r>
      <w:r w:rsidR="00DC631D">
        <w:t>, only that an underpayment occurred</w:t>
      </w:r>
      <w:r w:rsidR="00F631E7">
        <w:t>.</w:t>
      </w:r>
    </w:p>
    <w:p w14:paraId="15959CA7" w14:textId="2CACDB6C" w:rsidR="008E7882" w:rsidRDefault="00E7787C" w:rsidP="008E2A53">
      <w:pPr>
        <w:pStyle w:val="Policyoptionbox"/>
        <w:pBdr>
          <w:top w:val="single" w:sz="12" w:space="1" w:color="33CC33"/>
          <w:left w:val="single" w:sz="12" w:space="4" w:color="33CC33"/>
          <w:bottom w:val="single" w:sz="12" w:space="1" w:color="33CC33"/>
          <w:right w:val="single" w:sz="12" w:space="4" w:color="33CC33"/>
        </w:pBdr>
        <w:shd w:val="clear" w:color="auto" w:fill="auto"/>
        <w:ind w:left="0"/>
      </w:pPr>
      <w:r>
        <w:t xml:space="preserve">If a contravention </w:t>
      </w:r>
      <w:r w:rsidRPr="532BAE1C">
        <w:rPr>
          <w:b/>
          <w:bCs/>
        </w:rPr>
        <w:t>involves underpayment</w:t>
      </w:r>
      <w:r>
        <w:t>, the maximum penalty available w</w:t>
      </w:r>
      <w:r w:rsidR="3F4A68C9">
        <w:t xml:space="preserve">ould </w:t>
      </w:r>
      <w:r w:rsidR="006B5568">
        <w:t xml:space="preserve">be </w:t>
      </w:r>
      <w:r w:rsidR="006B5568" w:rsidRPr="532BAE1C">
        <w:rPr>
          <w:b/>
          <w:bCs/>
        </w:rPr>
        <w:t>5 times</w:t>
      </w:r>
      <w:r w:rsidR="006B5568">
        <w:t xml:space="preserve"> the maximum penalty amount specified in column 4 of the table at subsection 539(2) of the Fair Work Act. </w:t>
      </w:r>
    </w:p>
    <w:p w14:paraId="52ACB5F8" w14:textId="77777777" w:rsidR="00AD6943" w:rsidRDefault="00F54732" w:rsidP="003C0EB3">
      <w:pPr>
        <w:spacing w:before="240"/>
      </w:pPr>
      <w:r w:rsidRPr="0002741C">
        <w:rPr>
          <w:b/>
          <w:bCs/>
          <w:color w:val="33CC33"/>
        </w:rPr>
        <w:t xml:space="preserve">Option </w:t>
      </w:r>
      <w:r w:rsidR="00B504D3" w:rsidRPr="0002741C">
        <w:rPr>
          <w:b/>
          <w:bCs/>
          <w:color w:val="33CC33"/>
        </w:rPr>
        <w:t>B</w:t>
      </w:r>
      <w:r w:rsidRPr="0002741C">
        <w:rPr>
          <w:color w:val="00B050"/>
        </w:rPr>
        <w:t xml:space="preserve"> </w:t>
      </w:r>
      <w:r>
        <w:t xml:space="preserve">ensures </w:t>
      </w:r>
      <w:r w:rsidR="00602BD9">
        <w:t>a consistent</w:t>
      </w:r>
      <w:r w:rsidR="00171D5C">
        <w:t xml:space="preserve"> and comprehensive</w:t>
      </w:r>
      <w:r w:rsidR="00602BD9">
        <w:t xml:space="preserve"> approach to </w:t>
      </w:r>
      <w:r w:rsidR="007A0286">
        <w:t xml:space="preserve">penalising and deterring underpayments by </w:t>
      </w:r>
      <w:r w:rsidR="00EB31EF">
        <w:t>making higher penalties available</w:t>
      </w:r>
      <w:r w:rsidR="00F552AB">
        <w:t xml:space="preserve"> if there has been an underpayment,</w:t>
      </w:r>
      <w:r w:rsidR="00EB31EF">
        <w:t xml:space="preserve"> </w:t>
      </w:r>
      <w:r w:rsidR="00F552AB">
        <w:t xml:space="preserve">regardless of the specific contravention being alleged in that particular case. </w:t>
      </w:r>
    </w:p>
    <w:p w14:paraId="671DF42A" w14:textId="77777777" w:rsidR="003C0EB3" w:rsidRDefault="00EA6914" w:rsidP="00937739">
      <w:r>
        <w:t xml:space="preserve">This option </w:t>
      </w:r>
      <w:r w:rsidR="00171D5C">
        <w:t>would</w:t>
      </w:r>
      <w:r w:rsidR="009B5423">
        <w:t xml:space="preserve"> add</w:t>
      </w:r>
      <w:r>
        <w:t xml:space="preserve"> an extra step for applicants and courts when determining the applicable </w:t>
      </w:r>
      <w:r w:rsidR="005237A0">
        <w:t>maximum penalty</w:t>
      </w:r>
      <w:r w:rsidR="00F070F0">
        <w:t xml:space="preserve"> in a given case</w:t>
      </w:r>
      <w:r w:rsidR="005237A0">
        <w:t xml:space="preserve">, </w:t>
      </w:r>
      <w:r w:rsidR="000727E5">
        <w:t xml:space="preserve">including requiring parties to </w:t>
      </w:r>
      <w:r w:rsidR="00C76272">
        <w:t>adduce</w:t>
      </w:r>
      <w:r w:rsidR="000727E5">
        <w:t xml:space="preserve"> evidence </w:t>
      </w:r>
      <w:r w:rsidR="002E5B46">
        <w:t xml:space="preserve">during litigation to assist the court in determining </w:t>
      </w:r>
      <w:r w:rsidR="000727E5">
        <w:t xml:space="preserve">whether the higher </w:t>
      </w:r>
      <w:r w:rsidR="00D6314B">
        <w:t>penalty applies</w:t>
      </w:r>
      <w:r w:rsidR="000727E5">
        <w:t xml:space="preserve">. </w:t>
      </w:r>
    </w:p>
    <w:p w14:paraId="3AD3D751" w14:textId="4FF77DCB" w:rsidR="00AD6943" w:rsidRDefault="003C0EB3" w:rsidP="00937739">
      <w:r w:rsidRPr="003C0EB3">
        <w:rPr>
          <w:b/>
          <w:bCs/>
          <w:color w:val="33CC33"/>
        </w:rPr>
        <w:t>Option B</w:t>
      </w:r>
      <w:r w:rsidR="00FF67D6" w:rsidRPr="003C0EB3">
        <w:rPr>
          <w:color w:val="33CC33"/>
        </w:rPr>
        <w:t xml:space="preserve"> </w:t>
      </w:r>
      <w:r w:rsidR="00FF67D6">
        <w:t>also would not increase penalties</w:t>
      </w:r>
      <w:r w:rsidR="00F631E7">
        <w:t xml:space="preserve"> </w:t>
      </w:r>
      <w:r w:rsidR="009A7096">
        <w:t>in cases where</w:t>
      </w:r>
      <w:r w:rsidR="00F631E7">
        <w:t xml:space="preserve"> </w:t>
      </w:r>
      <w:r w:rsidR="0065756C">
        <w:t xml:space="preserve">an underpayment may have occurred, but </w:t>
      </w:r>
      <w:r w:rsidR="00F631E7">
        <w:t xml:space="preserve">the misconduct in question resulted in </w:t>
      </w:r>
      <w:r w:rsidR="009A7096">
        <w:t>those</w:t>
      </w:r>
      <w:r w:rsidR="0065756C">
        <w:t xml:space="preserve"> </w:t>
      </w:r>
      <w:r w:rsidR="00F631E7">
        <w:t>underpayments being concealed and unable to be proved, for example record-keeping misconduct or failures to comply with notices to produce.</w:t>
      </w:r>
    </w:p>
    <w:p w14:paraId="71F8B462" w14:textId="77777777" w:rsidR="003C0EB3" w:rsidRPr="003C0EB3" w:rsidRDefault="003C0EB3" w:rsidP="003C0EB3">
      <w:pPr>
        <w:pStyle w:val="Examplebox"/>
      </w:pPr>
      <w:r w:rsidRPr="003C0EB3">
        <w:lastRenderedPageBreak/>
        <w:t xml:space="preserve">Example: </w:t>
      </w:r>
    </w:p>
    <w:p w14:paraId="6D2D0B8F" w14:textId="77777777" w:rsidR="003C0EB3" w:rsidRPr="003C0EB3" w:rsidRDefault="003C0EB3" w:rsidP="003C0EB3">
      <w:pPr>
        <w:pStyle w:val="Examplebox"/>
        <w:rPr>
          <w:b w:val="0"/>
          <w:bCs w:val="0"/>
        </w:rPr>
      </w:pPr>
      <w:r w:rsidRPr="003C0EB3">
        <w:rPr>
          <w:b w:val="0"/>
          <w:bCs w:val="0"/>
        </w:rPr>
        <w:t xml:space="preserve">Scott is the owner of the Island Bar and Restaurant and employs his staff under the Hospitality Industry (General) Award 2020. </w:t>
      </w:r>
    </w:p>
    <w:p w14:paraId="742165CE" w14:textId="77777777" w:rsidR="003C0EB3" w:rsidRPr="003C0EB3" w:rsidRDefault="003C0EB3" w:rsidP="003C0EB3">
      <w:pPr>
        <w:pStyle w:val="Examplebox"/>
        <w:rPr>
          <w:b w:val="0"/>
          <w:bCs w:val="0"/>
        </w:rPr>
      </w:pPr>
      <w:r w:rsidRPr="003C0EB3">
        <w:rPr>
          <w:b w:val="0"/>
          <w:bCs w:val="0"/>
        </w:rPr>
        <w:t xml:space="preserve">Scott decides to change the roster for his four part-time employees such that they are alternating day and night shifts. Scott does not consult with his employees about the change before making it. The employees work the new shifts and Scott pays them correctly for their hours worked. </w:t>
      </w:r>
    </w:p>
    <w:p w14:paraId="404B8F97" w14:textId="77777777" w:rsidR="003C0EB3" w:rsidRPr="003C0EB3" w:rsidRDefault="003C0EB3" w:rsidP="003C0EB3">
      <w:pPr>
        <w:pStyle w:val="Examplebox"/>
        <w:rPr>
          <w:b w:val="0"/>
          <w:bCs w:val="0"/>
        </w:rPr>
      </w:pPr>
      <w:r w:rsidRPr="003C0EB3">
        <w:rPr>
          <w:b w:val="0"/>
          <w:bCs w:val="0"/>
        </w:rPr>
        <w:t xml:space="preserve">Scott may have contravened section 45 of the Fair Work Act by failing to comply with the consultation clauses in the Award. Under </w:t>
      </w:r>
      <w:r w:rsidRPr="003C0EB3">
        <w:rPr>
          <w:color w:val="008276" w:themeColor="accent3"/>
        </w:rPr>
        <w:t>Option A</w:t>
      </w:r>
      <w:r w:rsidRPr="003C0EB3">
        <w:rPr>
          <w:b w:val="0"/>
          <w:bCs w:val="0"/>
        </w:rPr>
        <w:t xml:space="preserve">, the maximum penalty would be increased to 300 penalty units (in the event that this is litigated). Under </w:t>
      </w:r>
      <w:r w:rsidRPr="003C0EB3">
        <w:rPr>
          <w:color w:val="33CC33"/>
        </w:rPr>
        <w:t>Option B</w:t>
      </w:r>
      <w:r w:rsidRPr="003C0EB3">
        <w:rPr>
          <w:b w:val="0"/>
          <w:bCs w:val="0"/>
        </w:rPr>
        <w:t xml:space="preserve">, this contravention did not involve an underpayment, and as such the maximum penalty would be 60 penalty units for each contravention. </w:t>
      </w:r>
    </w:p>
    <w:p w14:paraId="2145130E" w14:textId="2DD06228" w:rsidR="003C0EB3" w:rsidRPr="003C0EB3" w:rsidRDefault="003C0EB3" w:rsidP="003C0EB3">
      <w:pPr>
        <w:pStyle w:val="Examplebox"/>
        <w:rPr>
          <w:b w:val="0"/>
          <w:bCs w:val="0"/>
        </w:rPr>
      </w:pPr>
      <w:r w:rsidRPr="003C0EB3">
        <w:rPr>
          <w:b w:val="0"/>
          <w:bCs w:val="0"/>
        </w:rPr>
        <w:t xml:space="preserve">If Scott paid his four part-time employees a flat rate of $20 an hour, he may have contravened section 45 of the Fair Work Act by failing to pay his employees the correct hourly rate in breach of the Award. This contravention </w:t>
      </w:r>
      <w:r w:rsidRPr="003C0EB3">
        <w:rPr>
          <w:b w:val="0"/>
          <w:bCs w:val="0"/>
          <w:i/>
          <w:iCs/>
        </w:rPr>
        <w:t>did</w:t>
      </w:r>
      <w:r w:rsidRPr="003C0EB3">
        <w:rPr>
          <w:b w:val="0"/>
          <w:bCs w:val="0"/>
        </w:rPr>
        <w:t xml:space="preserve"> involve an underpayment, and as such the maximum penalty would be increased to 300 penalty units for each contravention under </w:t>
      </w:r>
      <w:r w:rsidRPr="003C0EB3">
        <w:t>both options</w:t>
      </w:r>
      <w:r w:rsidRPr="003C0EB3">
        <w:rPr>
          <w:b w:val="0"/>
          <w:bCs w:val="0"/>
        </w:rPr>
        <w:t>.</w:t>
      </w:r>
      <w:r w:rsidRPr="003C0EB3">
        <w:rPr>
          <w:b w:val="0"/>
          <w:bCs w:val="0"/>
          <w:color w:val="00B050"/>
        </w:rPr>
        <w:t xml:space="preserve">  </w:t>
      </w:r>
    </w:p>
    <w:p w14:paraId="2786141F" w14:textId="77777777" w:rsidR="007B0172" w:rsidRDefault="007B0172" w:rsidP="007B0172">
      <w:pPr>
        <w:pStyle w:val="Heading3"/>
      </w:pPr>
      <w:bookmarkStart w:id="27" w:name="_Toc132119640"/>
      <w:r>
        <w:t>Penalties calculated with reference to amount of the underpayment</w:t>
      </w:r>
      <w:bookmarkEnd w:id="27"/>
    </w:p>
    <w:p w14:paraId="43FAE4BC" w14:textId="2F303451" w:rsidR="00B35AE4" w:rsidRPr="00B35AE4" w:rsidRDefault="00B35AE4" w:rsidP="00B35AE4">
      <w:pPr>
        <w:pStyle w:val="Question"/>
      </w:pPr>
      <w:r>
        <w:rPr>
          <w:b/>
          <w:bCs/>
        </w:rPr>
        <w:t xml:space="preserve">Question </w:t>
      </w:r>
      <w:r w:rsidR="00D14ACF">
        <w:rPr>
          <w:b/>
          <w:bCs/>
        </w:rPr>
        <w:t>1</w:t>
      </w:r>
      <w:r w:rsidR="009E316A">
        <w:rPr>
          <w:b/>
          <w:bCs/>
        </w:rPr>
        <w:t>2</w:t>
      </w:r>
      <w:r w:rsidR="00D14ACF">
        <w:rPr>
          <w:b/>
          <w:bCs/>
        </w:rPr>
        <w:t>:</w:t>
      </w:r>
      <w:r>
        <w:t xml:space="preserve"> </w:t>
      </w:r>
    </w:p>
    <w:p w14:paraId="244942B1" w14:textId="31311B8E" w:rsidR="00B35AE4" w:rsidRDefault="00B35AE4" w:rsidP="00B35AE4">
      <w:pPr>
        <w:pStyle w:val="Question"/>
      </w:pPr>
      <w:r>
        <w:t xml:space="preserve">The department proposes that </w:t>
      </w:r>
      <w:r>
        <w:rPr>
          <w:b/>
          <w:bCs/>
        </w:rPr>
        <w:t>f</w:t>
      </w:r>
      <w:r w:rsidRPr="00A8113F">
        <w:rPr>
          <w:b/>
          <w:bCs/>
        </w:rPr>
        <w:t>or all civil contraventions</w:t>
      </w:r>
      <w:r>
        <w:t xml:space="preserve">, </w:t>
      </w:r>
      <w:r w:rsidRPr="00D87DA2">
        <w:t xml:space="preserve">courts would be empowered to order (at the election of the applicant) either the maximum penalty available or </w:t>
      </w:r>
      <w:r w:rsidRPr="00D87DA2">
        <w:rPr>
          <w:b/>
          <w:bCs/>
        </w:rPr>
        <w:t xml:space="preserve">three times </w:t>
      </w:r>
      <w:r w:rsidRPr="00D87DA2">
        <w:t>the amount of the underpayment arising in the particular matter if that amount can be calculated.</w:t>
      </w:r>
    </w:p>
    <w:p w14:paraId="0091C59C" w14:textId="77777777" w:rsidR="00A836BB" w:rsidRDefault="00B35AE4" w:rsidP="00B35AE4">
      <w:pPr>
        <w:pStyle w:val="Question"/>
      </w:pPr>
      <w:r>
        <w:t xml:space="preserve">Would it be appropriate to include such a penalty </w:t>
      </w:r>
      <w:r w:rsidR="00A836BB">
        <w:t>for all civil contraventions</w:t>
      </w:r>
      <w:r>
        <w:t xml:space="preserve">? </w:t>
      </w:r>
    </w:p>
    <w:p w14:paraId="4B0B4F73" w14:textId="1497046F" w:rsidR="00B35AE4" w:rsidRPr="00667261" w:rsidRDefault="00A836BB" w:rsidP="00B35AE4">
      <w:pPr>
        <w:pStyle w:val="Question"/>
      </w:pPr>
      <w:r>
        <w:t>Should this penalty option be limited to certain types of civil remedy provisions?</w:t>
      </w:r>
    </w:p>
    <w:p w14:paraId="759B244D" w14:textId="77777777" w:rsidR="007B0172" w:rsidRDefault="007B0172" w:rsidP="007B0172">
      <w:pPr>
        <w:spacing w:before="120" w:after="120"/>
      </w:pPr>
      <w:r>
        <w:t>As with the new criminal offences, empowering the court to use the amount of the underpayment to calculate a penalty will ensure that penalties can operate as an appropriate deterrent against non</w:t>
      </w:r>
      <w:r>
        <w:noBreakHyphen/>
        <w:t xml:space="preserve">compliance. </w:t>
      </w:r>
    </w:p>
    <w:p w14:paraId="5BCC9E19" w14:textId="4A5EFE37" w:rsidR="00BF6A93" w:rsidRDefault="007B0172" w:rsidP="007B0172">
      <w:pPr>
        <w:spacing w:before="120" w:after="120"/>
      </w:pPr>
      <w:r>
        <w:t>In certain circumstances, a penalty calculated with reference to the amount of the underpayment by the employer as a result of the contravention may also better reflect the systemic nature of the misconduct. A benefit may have been obtained by the employer as a result of the misconduct being sustained over a period of time or relating to a high number of affected employees.</w:t>
      </w:r>
    </w:p>
    <w:p w14:paraId="394B6790" w14:textId="77777777" w:rsidR="00BF6A93" w:rsidRDefault="00BF6A93">
      <w:pPr>
        <w:spacing w:after="160" w:line="259" w:lineRule="auto"/>
      </w:pPr>
      <w:r>
        <w:br w:type="page"/>
      </w:r>
    </w:p>
    <w:p w14:paraId="43AEF620" w14:textId="76EE5463" w:rsidR="00136847" w:rsidRDefault="004A625F" w:rsidP="00937739">
      <w:pPr>
        <w:pStyle w:val="Heading2"/>
      </w:pPr>
      <w:bookmarkStart w:id="28" w:name="_Toc132119641"/>
      <w:bookmarkStart w:id="29" w:name="_Toc124771809"/>
      <w:r>
        <w:lastRenderedPageBreak/>
        <w:t>S</w:t>
      </w:r>
      <w:r w:rsidR="35518CB7">
        <w:t xml:space="preserve">ham </w:t>
      </w:r>
      <w:r>
        <w:t>arrangements</w:t>
      </w:r>
      <w:bookmarkEnd w:id="28"/>
      <w:r>
        <w:t xml:space="preserve"> </w:t>
      </w:r>
      <w:bookmarkEnd w:id="29"/>
    </w:p>
    <w:p w14:paraId="51E3D86C" w14:textId="33722757" w:rsidR="00A4072B" w:rsidRPr="00A4072B" w:rsidRDefault="00A4072B" w:rsidP="00937739">
      <w:pPr>
        <w:pStyle w:val="Heading3"/>
      </w:pPr>
      <w:bookmarkStart w:id="30" w:name="_Toc132119642"/>
      <w:r>
        <w:t>Reforming the defence to sham contracting</w:t>
      </w:r>
      <w:bookmarkEnd w:id="30"/>
      <w:r>
        <w:t xml:space="preserve"> </w:t>
      </w:r>
    </w:p>
    <w:p w14:paraId="16DA6637" w14:textId="188858C8" w:rsidR="0002741C" w:rsidRPr="008E2A53" w:rsidRDefault="0002741C" w:rsidP="00330A9C">
      <w:pPr>
        <w:pStyle w:val="Question"/>
        <w:rPr>
          <w:b/>
          <w:bCs/>
        </w:rPr>
      </w:pPr>
      <w:r w:rsidRPr="008E2A53">
        <w:rPr>
          <w:b/>
          <w:bCs/>
        </w:rPr>
        <w:t xml:space="preserve">Question </w:t>
      </w:r>
      <w:r w:rsidR="00D14ACF">
        <w:rPr>
          <w:b/>
          <w:bCs/>
        </w:rPr>
        <w:t>1</w:t>
      </w:r>
      <w:r w:rsidR="009E316A">
        <w:rPr>
          <w:b/>
          <w:bCs/>
        </w:rPr>
        <w:t>3</w:t>
      </w:r>
      <w:r w:rsidRPr="008E2A53">
        <w:rPr>
          <w:b/>
          <w:bCs/>
        </w:rPr>
        <w:t xml:space="preserve">: </w:t>
      </w:r>
    </w:p>
    <w:p w14:paraId="23906DC0" w14:textId="67002CAD" w:rsidR="00264D0F" w:rsidRDefault="00264D0F" w:rsidP="00264D0F">
      <w:pPr>
        <w:pStyle w:val="Question"/>
      </w:pPr>
      <w:r>
        <w:t xml:space="preserve">The department proposes to amend the defence to a claim of sham contracting in subsection 357(2) of the Fair Work Act to provide that an employer will not be liable for a sham arrangement if, when the employer misrepresented the relationship as a contract for services rather than a contract for employment, the employer </w:t>
      </w:r>
      <w:r w:rsidRPr="532BAE1C">
        <w:rPr>
          <w:b/>
          <w:bCs/>
        </w:rPr>
        <w:t>reasonably believed</w:t>
      </w:r>
      <w:r>
        <w:t xml:space="preserve"> that the contract was for services and not for employment. </w:t>
      </w:r>
    </w:p>
    <w:p w14:paraId="0CBECE4E" w14:textId="67E4001F" w:rsidR="00264D0F" w:rsidRDefault="00264D0F" w:rsidP="00F73BF7">
      <w:pPr>
        <w:pStyle w:val="Question"/>
      </w:pPr>
      <w:r>
        <w:t xml:space="preserve">Should the department consider </w:t>
      </w:r>
      <w:r w:rsidR="00A77C48">
        <w:t xml:space="preserve">adopting a different test or additional features </w:t>
      </w:r>
      <w:r w:rsidR="001F7969">
        <w:t>for the defence to sham contracting?</w:t>
      </w:r>
    </w:p>
    <w:p w14:paraId="7634DCD4" w14:textId="71FC8585" w:rsidR="0039010F" w:rsidRDefault="539223AF" w:rsidP="00937739">
      <w:pPr>
        <w:spacing w:before="120" w:after="120"/>
      </w:pPr>
      <w:r>
        <w:t>Several</w:t>
      </w:r>
      <w:r w:rsidR="2E27EB64">
        <w:t xml:space="preserve"> independent reports (Black Economy Taskforce 2017 Final Report, Productivity Commission Workplace Relations Framework: Inquiry Report Volume 2 No 76</w:t>
      </w:r>
      <w:r w:rsidR="00B97881">
        <w:t xml:space="preserve"> </w:t>
      </w:r>
      <w:r w:rsidR="007A586F">
        <w:t xml:space="preserve">and the </w:t>
      </w:r>
      <w:r w:rsidR="00B97881">
        <w:t>Post-Implementation Review of the Fair Work Legislation</w:t>
      </w:r>
      <w:r w:rsidR="2E27EB64">
        <w:t xml:space="preserve">) </w:t>
      </w:r>
      <w:r w:rsidR="00B97881">
        <w:t>have recommended amendments to the defence</w:t>
      </w:r>
      <w:r w:rsidR="00537447">
        <w:t>;</w:t>
      </w:r>
      <w:r w:rsidR="00B97881">
        <w:t xml:space="preserve"> finding</w:t>
      </w:r>
      <w:r w:rsidR="6B8E3ED3">
        <w:t xml:space="preserve"> that the current defence </w:t>
      </w:r>
      <w:r w:rsidR="00B97881">
        <w:t>relies on an ambiguous test of ‘recklessness’ and is</w:t>
      </w:r>
      <w:r w:rsidR="6B8E3ED3">
        <w:t xml:space="preserve"> not effective at deterring sham contracting</w:t>
      </w:r>
      <w:r w:rsidR="00B97881">
        <w:t>.</w:t>
      </w:r>
    </w:p>
    <w:p w14:paraId="6B4DC597" w14:textId="1E56DD55" w:rsidR="00613234" w:rsidRDefault="00613234" w:rsidP="00613234">
      <w:pPr>
        <w:spacing w:before="120" w:after="120"/>
      </w:pPr>
      <w:r>
        <w:t xml:space="preserve">Amending the defence would ensure that a court </w:t>
      </w:r>
      <w:r w:rsidR="00565306">
        <w:t>can</w:t>
      </w:r>
      <w:r>
        <w:t xml:space="preserve"> assess an employer’s behaviour in an instance of alleged sham contracting according to what the employer reasonably believed, rather than assessing whether an employer acted recklessly, which involves a more subjective test. </w:t>
      </w:r>
    </w:p>
    <w:p w14:paraId="7A30C72D" w14:textId="6C1E6297" w:rsidR="0039010F" w:rsidRDefault="00613234" w:rsidP="00937739">
      <w:pPr>
        <w:spacing w:before="120" w:after="120"/>
      </w:pPr>
      <w:r>
        <w:t>The department acknowledges that d</w:t>
      </w:r>
      <w:r w:rsidR="0039010F">
        <w:t xml:space="preserve">ifferent employers have access to different resources and experience when determining whether a person is an employee or a contractor, and what is reasonable for one employer to </w:t>
      </w:r>
      <w:r w:rsidR="00211BD1">
        <w:t>believe</w:t>
      </w:r>
      <w:r w:rsidR="0039010F">
        <w:t xml:space="preserve"> may not be reasonable for another.</w:t>
      </w:r>
      <w:r w:rsidR="00A54D39">
        <w:t xml:space="preserve"> This would be a matter for the court</w:t>
      </w:r>
      <w:r w:rsidR="00225040">
        <w:t xml:space="preserve"> </w:t>
      </w:r>
      <w:r w:rsidR="008025E4">
        <w:t xml:space="preserve">to determine </w:t>
      </w:r>
      <w:r w:rsidR="00EC6969">
        <w:t>on the evidence available when assessing whether an employer’s belief was reasonable</w:t>
      </w:r>
      <w:r w:rsidR="00225040">
        <w:t>.</w:t>
      </w:r>
    </w:p>
    <w:p w14:paraId="133B17F2" w14:textId="09E434CC" w:rsidR="00A56FC7" w:rsidRPr="00A56FC7" w:rsidRDefault="00954C65" w:rsidP="00937739">
      <w:pPr>
        <w:spacing w:before="120" w:after="120"/>
      </w:pPr>
      <w:r>
        <w:t xml:space="preserve">The amendments to the defence will not change existing laws about what does or does not qualify as a sham contract </w:t>
      </w:r>
      <w:r w:rsidR="00F468E5">
        <w:t xml:space="preserve">under the Fair Work Act. The reforms also will not change the existing rules about when a worker should be classified as an employee or a contractor. </w:t>
      </w:r>
    </w:p>
    <w:sectPr w:rsidR="00A56FC7" w:rsidRPr="00A56FC7" w:rsidSect="009836AF">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0C70" w14:textId="77777777" w:rsidR="006C735E" w:rsidRDefault="006C735E" w:rsidP="0051352E">
      <w:pPr>
        <w:spacing w:after="0" w:line="240" w:lineRule="auto"/>
      </w:pPr>
      <w:r>
        <w:separator/>
      </w:r>
    </w:p>
  </w:endnote>
  <w:endnote w:type="continuationSeparator" w:id="0">
    <w:p w14:paraId="67FB2544" w14:textId="77777777" w:rsidR="006C735E" w:rsidRDefault="006C735E" w:rsidP="0051352E">
      <w:pPr>
        <w:spacing w:after="0" w:line="240" w:lineRule="auto"/>
      </w:pPr>
      <w:r>
        <w:continuationSeparator/>
      </w:r>
    </w:p>
  </w:endnote>
  <w:endnote w:type="continuationNotice" w:id="1">
    <w:p w14:paraId="098B5D81" w14:textId="77777777" w:rsidR="006C735E" w:rsidRDefault="006C7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37A0" w14:textId="77777777" w:rsidR="008F78DF" w:rsidRDefault="008F7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B103" w14:textId="0873ABFB" w:rsidR="00574C4D" w:rsidRPr="000E75E0" w:rsidRDefault="00574C4D" w:rsidP="00574C4D">
    <w:pPr>
      <w:pStyle w:val="Footer"/>
      <w:jc w:val="right"/>
      <w:rPr>
        <w:bCs/>
      </w:rPr>
    </w:pPr>
    <w:r w:rsidRPr="000E75E0">
      <w:rPr>
        <w:bCs/>
      </w:rPr>
      <w:t xml:space="preserve">Criminalising wage underpayments and reforming civil penalties in the </w:t>
    </w:r>
    <w:r w:rsidRPr="000E75E0">
      <w:rPr>
        <w:bCs/>
        <w:i/>
        <w:iCs/>
      </w:rPr>
      <w:t>Fair Work Act 2009</w:t>
    </w:r>
    <w:r>
      <w:t xml:space="preserve">| </w:t>
    </w:r>
    <w:sdt>
      <w:sdtPr>
        <w:id w:val="-859049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5</w:t>
        </w:r>
        <w:r>
          <w:rPr>
            <w:noProof/>
          </w:rPr>
          <w:fldChar w:fldCharType="end"/>
        </w:r>
      </w:sdtContent>
    </w:sdt>
  </w:p>
  <w:p w14:paraId="2863B774" w14:textId="1BFFE7FA" w:rsidR="00574C4D" w:rsidRDefault="00574C4D" w:rsidP="00574C4D">
    <w:pPr>
      <w:pStyle w:val="Footer"/>
    </w:pPr>
  </w:p>
  <w:p w14:paraId="4E1D335E" w14:textId="77777777" w:rsidR="002667F6" w:rsidRDefault="00266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2539" w14:textId="77777777" w:rsidR="008F78DF" w:rsidRDefault="008F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A519" w14:textId="77777777" w:rsidR="006C735E" w:rsidRDefault="006C735E" w:rsidP="0051352E">
      <w:pPr>
        <w:spacing w:after="0" w:line="240" w:lineRule="auto"/>
      </w:pPr>
      <w:r>
        <w:separator/>
      </w:r>
    </w:p>
  </w:footnote>
  <w:footnote w:type="continuationSeparator" w:id="0">
    <w:p w14:paraId="1D871584" w14:textId="77777777" w:rsidR="006C735E" w:rsidRDefault="006C735E" w:rsidP="0051352E">
      <w:pPr>
        <w:spacing w:after="0" w:line="240" w:lineRule="auto"/>
      </w:pPr>
      <w:r>
        <w:continuationSeparator/>
      </w:r>
    </w:p>
  </w:footnote>
  <w:footnote w:type="continuationNotice" w:id="1">
    <w:p w14:paraId="5F8B194D" w14:textId="77777777" w:rsidR="006C735E" w:rsidRDefault="006C735E">
      <w:pPr>
        <w:spacing w:after="0" w:line="240" w:lineRule="auto"/>
      </w:pPr>
    </w:p>
  </w:footnote>
  <w:footnote w:id="2">
    <w:p w14:paraId="4E88576C" w14:textId="77777777" w:rsidR="00E61340" w:rsidRPr="00FE6C48" w:rsidRDefault="00E61340" w:rsidP="00E61340">
      <w:pPr>
        <w:pStyle w:val="FootnoteText"/>
      </w:pPr>
      <w:r>
        <w:rPr>
          <w:rStyle w:val="FootnoteReference"/>
        </w:rPr>
        <w:footnoteRef/>
      </w:r>
      <w:r>
        <w:t xml:space="preserve"> </w:t>
      </w:r>
      <w:r>
        <w:rPr>
          <w:i/>
          <w:iCs/>
        </w:rPr>
        <w:t>Wage Theft Act 2020</w:t>
      </w:r>
      <w:r>
        <w:t xml:space="preserve"> (Vic) ss 6(1), 7(1) and 8(1). </w:t>
      </w:r>
    </w:p>
  </w:footnote>
  <w:footnote w:id="3">
    <w:p w14:paraId="5F8E9DA1" w14:textId="77777777" w:rsidR="00E61340" w:rsidRDefault="00E61340" w:rsidP="00E61340">
      <w:pPr>
        <w:pStyle w:val="FootnoteText"/>
      </w:pPr>
      <w:r>
        <w:rPr>
          <w:rStyle w:val="FootnoteReference"/>
        </w:rPr>
        <w:footnoteRef/>
      </w:r>
      <w:r>
        <w:t xml:space="preserve"> </w:t>
      </w:r>
      <w:r>
        <w:rPr>
          <w:i/>
          <w:iCs/>
        </w:rPr>
        <w:t>Wage Theft Act 2020</w:t>
      </w:r>
      <w:r>
        <w:t xml:space="preserve"> (Vic) ss 6(1) and (7), 7(1) and (2), 8(1) and (2). </w:t>
      </w:r>
    </w:p>
  </w:footnote>
  <w:footnote w:id="4">
    <w:p w14:paraId="7D4209B1" w14:textId="77777777" w:rsidR="00E61340" w:rsidRDefault="00E61340" w:rsidP="00E61340">
      <w:pPr>
        <w:pStyle w:val="FootnoteText"/>
      </w:pPr>
      <w:r>
        <w:rPr>
          <w:rStyle w:val="FootnoteReference"/>
        </w:rPr>
        <w:footnoteRef/>
      </w:r>
      <w:r>
        <w:t xml:space="preserve"> </w:t>
      </w:r>
      <w:r>
        <w:rPr>
          <w:i/>
          <w:iCs/>
        </w:rPr>
        <w:t>Wage Theft Act 2020</w:t>
      </w:r>
      <w:r>
        <w:t xml:space="preserve"> (Vic) ss 6(5) and (10), 7(5), 8(5). </w:t>
      </w:r>
    </w:p>
  </w:footnote>
  <w:footnote w:id="5">
    <w:p w14:paraId="697AD431" w14:textId="77777777" w:rsidR="00E61340" w:rsidRDefault="00E61340" w:rsidP="00E61340">
      <w:pPr>
        <w:pStyle w:val="FootnoteText"/>
      </w:pPr>
      <w:r>
        <w:rPr>
          <w:rStyle w:val="FootnoteReference"/>
        </w:rPr>
        <w:footnoteRef/>
      </w:r>
      <w:r>
        <w:t xml:space="preserve"> </w:t>
      </w:r>
      <w:r>
        <w:rPr>
          <w:i/>
          <w:iCs/>
        </w:rPr>
        <w:t>Wage Theft Act 2020</w:t>
      </w:r>
      <w:r>
        <w:t xml:space="preserve"> (Vic) s 6(11), 7(7), 8(7). </w:t>
      </w:r>
    </w:p>
  </w:footnote>
  <w:footnote w:id="6">
    <w:p w14:paraId="282B569C" w14:textId="77777777" w:rsidR="00E61340" w:rsidRDefault="00E61340" w:rsidP="00E61340">
      <w:pPr>
        <w:pStyle w:val="FootnoteText"/>
      </w:pPr>
      <w:r>
        <w:rPr>
          <w:rStyle w:val="FootnoteReference"/>
        </w:rPr>
        <w:footnoteRef/>
      </w:r>
      <w:r>
        <w:t xml:space="preserve"> Explanatory Memorandum to the Wage Theft Bill 2020 (Vic), p 8 (</w:t>
      </w:r>
      <w:hyperlink r:id="rId1" w:history="1">
        <w:r w:rsidRPr="004244CB">
          <w:rPr>
            <w:rStyle w:val="Hyperlink"/>
          </w:rPr>
          <w:t>https://content.legislation.vic.gov.au/sites/default/files/bills/591084exi1.pdf</w:t>
        </w:r>
      </w:hyperlink>
      <w:r>
        <w:t xml:space="preserve">) </w:t>
      </w:r>
    </w:p>
  </w:footnote>
  <w:footnote w:id="7">
    <w:p w14:paraId="21A66D59" w14:textId="77777777" w:rsidR="00E61340" w:rsidRDefault="00E61340" w:rsidP="00E61340">
      <w:pPr>
        <w:pStyle w:val="FootnoteText"/>
      </w:pPr>
      <w:r>
        <w:rPr>
          <w:rStyle w:val="FootnoteReference"/>
        </w:rPr>
        <w:footnoteRef/>
      </w:r>
      <w:r>
        <w:t xml:space="preserve"> </w:t>
      </w:r>
      <w:r>
        <w:rPr>
          <w:i/>
          <w:iCs/>
        </w:rPr>
        <w:t>Wage Theft Act 2020</w:t>
      </w:r>
      <w:r>
        <w:t xml:space="preserve"> (Vic) s 3(1). </w:t>
      </w:r>
    </w:p>
  </w:footnote>
  <w:footnote w:id="8">
    <w:p w14:paraId="08BDBE89" w14:textId="77777777" w:rsidR="00E61340" w:rsidRDefault="00E61340" w:rsidP="00E61340">
      <w:pPr>
        <w:pStyle w:val="FootnoteText"/>
      </w:pPr>
      <w:r>
        <w:rPr>
          <w:rStyle w:val="FootnoteReference"/>
        </w:rPr>
        <w:footnoteRef/>
      </w:r>
      <w:r>
        <w:t xml:space="preserve"> </w:t>
      </w:r>
      <w:r>
        <w:rPr>
          <w:i/>
          <w:iCs/>
        </w:rPr>
        <w:t>Wage Theft Act 2020</w:t>
      </w:r>
      <w:r>
        <w:t xml:space="preserve"> (Vic) ss 6(1), 7(1) and 8(1); Explanatory Memorandum to the Wage Theft Bill 2020 (Vic), p 6. </w:t>
      </w:r>
    </w:p>
  </w:footnote>
  <w:footnote w:id="9">
    <w:p w14:paraId="72434105" w14:textId="77777777" w:rsidR="00E61340" w:rsidRDefault="00E61340" w:rsidP="00E61340">
      <w:pPr>
        <w:pStyle w:val="FootnoteText"/>
      </w:pPr>
      <w:r>
        <w:rPr>
          <w:rStyle w:val="FootnoteReference"/>
        </w:rPr>
        <w:footnoteRef/>
      </w:r>
      <w:r>
        <w:t xml:space="preserve"> </w:t>
      </w:r>
      <w:r w:rsidRPr="00E94C77">
        <w:t xml:space="preserve">Schedule 1 of the </w:t>
      </w:r>
      <w:r w:rsidRPr="00E94C77">
        <w:rPr>
          <w:i/>
          <w:iCs/>
        </w:rPr>
        <w:t>Criminal Code Act 1899</w:t>
      </w:r>
      <w:r w:rsidRPr="00E94C77">
        <w:t xml:space="preserve"> (Qld) (Queensland Criminal Code)</w:t>
      </w:r>
      <w:r>
        <w:t xml:space="preserve"> s 391(6A). </w:t>
      </w:r>
    </w:p>
  </w:footnote>
  <w:footnote w:id="10">
    <w:p w14:paraId="19223FF3" w14:textId="77777777" w:rsidR="00E61340" w:rsidRDefault="00E61340" w:rsidP="00E61340">
      <w:pPr>
        <w:pStyle w:val="FootnoteText"/>
      </w:pPr>
      <w:r>
        <w:rPr>
          <w:rStyle w:val="FootnoteReference"/>
        </w:rPr>
        <w:footnoteRef/>
      </w:r>
      <w:r>
        <w:t xml:space="preserve"> </w:t>
      </w:r>
      <w:hyperlink r:id="rId2" w:history="1">
        <w:r w:rsidRPr="004244CB">
          <w:rPr>
            <w:rStyle w:val="Hyperlink"/>
          </w:rPr>
          <w:t>https://www.oir.qld.gov.au/industrial-relations/wage-theft</w:t>
        </w:r>
      </w:hyperlink>
      <w:r>
        <w:t xml:space="preserve"> </w:t>
      </w:r>
    </w:p>
  </w:footnote>
  <w:footnote w:id="11">
    <w:p w14:paraId="51FC0CBE" w14:textId="77777777" w:rsidR="00E61340" w:rsidRDefault="00E61340" w:rsidP="00E61340">
      <w:pPr>
        <w:pStyle w:val="FootnoteText"/>
      </w:pPr>
      <w:r>
        <w:rPr>
          <w:rStyle w:val="FootnoteReference"/>
        </w:rPr>
        <w:footnoteRef/>
      </w:r>
      <w:r>
        <w:t xml:space="preserve"> </w:t>
      </w:r>
      <w:r w:rsidRPr="00B8201B">
        <w:t>Explanatory Note to the Criminal Code and Other Legislation (Wage Theft) Amendment Bill 2020</w:t>
      </w:r>
      <w:r>
        <w:t xml:space="preserve"> (Qld) p 5 (</w:t>
      </w:r>
      <w:hyperlink r:id="rId3" w:history="1">
        <w:r w:rsidRPr="004244CB">
          <w:rPr>
            <w:rStyle w:val="Hyperlink"/>
          </w:rPr>
          <w:t>https://www.legislation.qld.gov.au/view/pdf/bill.first.exp/bill-2019-087</w:t>
        </w:r>
      </w:hyperlink>
      <w:r>
        <w:t xml:space="preserve">) </w:t>
      </w:r>
    </w:p>
  </w:footnote>
  <w:footnote w:id="12">
    <w:p w14:paraId="4D81A918" w14:textId="77777777" w:rsidR="00E61340" w:rsidRDefault="00E61340" w:rsidP="00E61340">
      <w:pPr>
        <w:pStyle w:val="FootnoteText"/>
      </w:pPr>
      <w:r>
        <w:rPr>
          <w:rStyle w:val="FootnoteReference"/>
        </w:rPr>
        <w:footnoteRef/>
      </w:r>
      <w:r>
        <w:t xml:space="preserve"> Queensland Criminal Code, s 398 item 16; </w:t>
      </w:r>
      <w:r w:rsidRPr="00B8201B">
        <w:t>Explanatory Note to the Criminal Code and Other Legislation (Wage Theft) Amendment Bill 2020</w:t>
      </w:r>
      <w:r>
        <w:t xml:space="preserve"> (Qld) p 6; </w:t>
      </w:r>
      <w:hyperlink r:id="rId4" w:history="1">
        <w:r w:rsidRPr="004244CB">
          <w:rPr>
            <w:rStyle w:val="Hyperlink"/>
          </w:rPr>
          <w:t>https://www.oir.qld.gov.au/industrial-relations/wage-theft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6E75" w14:textId="77777777" w:rsidR="008F78DF" w:rsidRDefault="008F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F9B" w14:textId="77777777" w:rsidR="008F78DF" w:rsidRDefault="008F7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FA18" w14:textId="77777777" w:rsidR="008F78DF" w:rsidRDefault="008F7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02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620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566BB"/>
    <w:multiLevelType w:val="hybridMultilevel"/>
    <w:tmpl w:val="CA4AEF8E"/>
    <w:lvl w:ilvl="0" w:tplc="D974E2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E0F29B"/>
    <w:multiLevelType w:val="hybridMultilevel"/>
    <w:tmpl w:val="A67EE058"/>
    <w:lvl w:ilvl="0" w:tplc="30A82A66">
      <w:start w:val="1"/>
      <w:numFmt w:val="bullet"/>
      <w:lvlText w:val=""/>
      <w:lvlJc w:val="left"/>
      <w:pPr>
        <w:ind w:left="927" w:hanging="360"/>
      </w:pPr>
      <w:rPr>
        <w:rFonts w:ascii="Symbol" w:hAnsi="Symbol" w:hint="default"/>
      </w:rPr>
    </w:lvl>
    <w:lvl w:ilvl="1" w:tplc="F2B48366">
      <w:start w:val="1"/>
      <w:numFmt w:val="bullet"/>
      <w:lvlText w:val="o"/>
      <w:lvlJc w:val="left"/>
      <w:pPr>
        <w:ind w:left="1647" w:hanging="360"/>
      </w:pPr>
      <w:rPr>
        <w:rFonts w:ascii="Courier New" w:hAnsi="Courier New" w:hint="default"/>
      </w:rPr>
    </w:lvl>
    <w:lvl w:ilvl="2" w:tplc="56D6B13A">
      <w:start w:val="1"/>
      <w:numFmt w:val="bullet"/>
      <w:lvlText w:val=""/>
      <w:lvlJc w:val="left"/>
      <w:pPr>
        <w:ind w:left="2367" w:hanging="360"/>
      </w:pPr>
      <w:rPr>
        <w:rFonts w:ascii="Wingdings" w:hAnsi="Wingdings" w:hint="default"/>
      </w:rPr>
    </w:lvl>
    <w:lvl w:ilvl="3" w:tplc="B092793E">
      <w:start w:val="1"/>
      <w:numFmt w:val="bullet"/>
      <w:lvlText w:val=""/>
      <w:lvlJc w:val="left"/>
      <w:pPr>
        <w:ind w:left="3087" w:hanging="360"/>
      </w:pPr>
      <w:rPr>
        <w:rFonts w:ascii="Symbol" w:hAnsi="Symbol" w:hint="default"/>
      </w:rPr>
    </w:lvl>
    <w:lvl w:ilvl="4" w:tplc="D7403F0C">
      <w:start w:val="1"/>
      <w:numFmt w:val="bullet"/>
      <w:lvlText w:val="o"/>
      <w:lvlJc w:val="left"/>
      <w:pPr>
        <w:ind w:left="3807" w:hanging="360"/>
      </w:pPr>
      <w:rPr>
        <w:rFonts w:ascii="Courier New" w:hAnsi="Courier New" w:hint="default"/>
      </w:rPr>
    </w:lvl>
    <w:lvl w:ilvl="5" w:tplc="156AF62E">
      <w:start w:val="1"/>
      <w:numFmt w:val="bullet"/>
      <w:lvlText w:val=""/>
      <w:lvlJc w:val="left"/>
      <w:pPr>
        <w:ind w:left="4527" w:hanging="360"/>
      </w:pPr>
      <w:rPr>
        <w:rFonts w:ascii="Wingdings" w:hAnsi="Wingdings" w:hint="default"/>
      </w:rPr>
    </w:lvl>
    <w:lvl w:ilvl="6" w:tplc="F2DC7FA2">
      <w:start w:val="1"/>
      <w:numFmt w:val="bullet"/>
      <w:lvlText w:val=""/>
      <w:lvlJc w:val="left"/>
      <w:pPr>
        <w:ind w:left="5247" w:hanging="360"/>
      </w:pPr>
      <w:rPr>
        <w:rFonts w:ascii="Symbol" w:hAnsi="Symbol" w:hint="default"/>
      </w:rPr>
    </w:lvl>
    <w:lvl w:ilvl="7" w:tplc="EF3C7494">
      <w:start w:val="1"/>
      <w:numFmt w:val="bullet"/>
      <w:lvlText w:val="o"/>
      <w:lvlJc w:val="left"/>
      <w:pPr>
        <w:ind w:left="5967" w:hanging="360"/>
      </w:pPr>
      <w:rPr>
        <w:rFonts w:ascii="Courier New" w:hAnsi="Courier New" w:hint="default"/>
      </w:rPr>
    </w:lvl>
    <w:lvl w:ilvl="8" w:tplc="D4322D10">
      <w:start w:val="1"/>
      <w:numFmt w:val="bullet"/>
      <w:lvlText w:val=""/>
      <w:lvlJc w:val="left"/>
      <w:pPr>
        <w:ind w:left="6687"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7583A05"/>
    <w:multiLevelType w:val="hybridMultilevel"/>
    <w:tmpl w:val="2A263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411B55"/>
    <w:multiLevelType w:val="hybridMultilevel"/>
    <w:tmpl w:val="6ABC2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DF382C"/>
    <w:multiLevelType w:val="hybridMultilevel"/>
    <w:tmpl w:val="39189D8C"/>
    <w:lvl w:ilvl="0" w:tplc="F796B6B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35AD0"/>
    <w:multiLevelType w:val="hybridMultilevel"/>
    <w:tmpl w:val="6B38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B1F2D"/>
    <w:multiLevelType w:val="hybridMultilevel"/>
    <w:tmpl w:val="4CF4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5373C4"/>
    <w:multiLevelType w:val="hybridMultilevel"/>
    <w:tmpl w:val="F87C40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A30422"/>
    <w:multiLevelType w:val="hybridMultilevel"/>
    <w:tmpl w:val="9532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DC4AD4"/>
    <w:multiLevelType w:val="hybridMultilevel"/>
    <w:tmpl w:val="F6E8C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81536F"/>
    <w:multiLevelType w:val="hybridMultilevel"/>
    <w:tmpl w:val="269C7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A19B5"/>
    <w:multiLevelType w:val="hybridMultilevel"/>
    <w:tmpl w:val="DCDA43C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599B545B"/>
    <w:multiLevelType w:val="hybridMultilevel"/>
    <w:tmpl w:val="DA9C1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B24AE8"/>
    <w:multiLevelType w:val="hybridMultilevel"/>
    <w:tmpl w:val="CF78CD7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5CFD1DE8"/>
    <w:multiLevelType w:val="hybridMultilevel"/>
    <w:tmpl w:val="28F6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3432FB"/>
    <w:multiLevelType w:val="hybridMultilevel"/>
    <w:tmpl w:val="0E98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B54C20"/>
    <w:multiLevelType w:val="hybridMultilevel"/>
    <w:tmpl w:val="4D64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A75FAB"/>
    <w:multiLevelType w:val="hybridMultilevel"/>
    <w:tmpl w:val="010A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BE2962"/>
    <w:multiLevelType w:val="hybridMultilevel"/>
    <w:tmpl w:val="BC70A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555BD3"/>
    <w:multiLevelType w:val="hybridMultilevel"/>
    <w:tmpl w:val="EBE4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5697D"/>
    <w:multiLevelType w:val="hybridMultilevel"/>
    <w:tmpl w:val="8014E40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769D3826"/>
    <w:multiLevelType w:val="hybridMultilevel"/>
    <w:tmpl w:val="74DA67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90F7C81"/>
    <w:multiLevelType w:val="hybridMultilevel"/>
    <w:tmpl w:val="790AF8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7D6C7C35"/>
    <w:multiLevelType w:val="hybridMultilevel"/>
    <w:tmpl w:val="8D00AA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29110455">
    <w:abstractNumId w:val="12"/>
  </w:num>
  <w:num w:numId="2" w16cid:durableId="2031757978">
    <w:abstractNumId w:val="9"/>
  </w:num>
  <w:num w:numId="3" w16cid:durableId="927542453">
    <w:abstractNumId w:val="7"/>
  </w:num>
  <w:num w:numId="4" w16cid:durableId="245502116">
    <w:abstractNumId w:val="6"/>
  </w:num>
  <w:num w:numId="5" w16cid:durableId="1326589302">
    <w:abstractNumId w:val="5"/>
  </w:num>
  <w:num w:numId="6" w16cid:durableId="27530290">
    <w:abstractNumId w:val="4"/>
  </w:num>
  <w:num w:numId="7" w16cid:durableId="1472744743">
    <w:abstractNumId w:val="8"/>
  </w:num>
  <w:num w:numId="8" w16cid:durableId="688410077">
    <w:abstractNumId w:val="3"/>
  </w:num>
  <w:num w:numId="9" w16cid:durableId="1376588684">
    <w:abstractNumId w:val="2"/>
  </w:num>
  <w:num w:numId="10" w16cid:durableId="1904292155">
    <w:abstractNumId w:val="1"/>
  </w:num>
  <w:num w:numId="11" w16cid:durableId="315186776">
    <w:abstractNumId w:val="0"/>
  </w:num>
  <w:num w:numId="12" w16cid:durableId="79527625">
    <w:abstractNumId w:val="11"/>
  </w:num>
  <w:num w:numId="13" w16cid:durableId="2111852389">
    <w:abstractNumId w:val="20"/>
  </w:num>
  <w:num w:numId="14" w16cid:durableId="53086820">
    <w:abstractNumId w:val="21"/>
  </w:num>
  <w:num w:numId="15" w16cid:durableId="698698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251123">
    <w:abstractNumId w:val="13"/>
  </w:num>
  <w:num w:numId="17" w16cid:durableId="339427823">
    <w:abstractNumId w:val="15"/>
  </w:num>
  <w:num w:numId="18" w16cid:durableId="183834391">
    <w:abstractNumId w:val="10"/>
  </w:num>
  <w:num w:numId="19" w16cid:durableId="1837764899">
    <w:abstractNumId w:val="31"/>
  </w:num>
  <w:num w:numId="20" w16cid:durableId="1180048980">
    <w:abstractNumId w:val="26"/>
  </w:num>
  <w:num w:numId="21" w16cid:durableId="683242700">
    <w:abstractNumId w:val="14"/>
  </w:num>
  <w:num w:numId="22" w16cid:durableId="1317104123">
    <w:abstractNumId w:val="30"/>
  </w:num>
  <w:num w:numId="23" w16cid:durableId="1546991156">
    <w:abstractNumId w:val="19"/>
  </w:num>
  <w:num w:numId="24" w16cid:durableId="1633562215">
    <w:abstractNumId w:val="35"/>
  </w:num>
  <w:num w:numId="25" w16cid:durableId="1401443127">
    <w:abstractNumId w:val="25"/>
  </w:num>
  <w:num w:numId="26" w16cid:durableId="504169865">
    <w:abstractNumId w:val="36"/>
  </w:num>
  <w:num w:numId="27" w16cid:durableId="921570726">
    <w:abstractNumId w:val="18"/>
  </w:num>
  <w:num w:numId="28" w16cid:durableId="190067753">
    <w:abstractNumId w:val="16"/>
  </w:num>
  <w:num w:numId="29" w16cid:durableId="2123184679">
    <w:abstractNumId w:val="25"/>
  </w:num>
  <w:num w:numId="30" w16cid:durableId="2061439938">
    <w:abstractNumId w:val="27"/>
  </w:num>
  <w:num w:numId="31" w16cid:durableId="10229517">
    <w:abstractNumId w:val="37"/>
  </w:num>
  <w:num w:numId="32" w16cid:durableId="1705403714">
    <w:abstractNumId w:val="34"/>
  </w:num>
  <w:num w:numId="33" w16cid:durableId="82725385">
    <w:abstractNumId w:val="32"/>
  </w:num>
  <w:num w:numId="34" w16cid:durableId="680621009">
    <w:abstractNumId w:val="29"/>
  </w:num>
  <w:num w:numId="35" w16cid:durableId="1421491073">
    <w:abstractNumId w:val="28"/>
  </w:num>
  <w:num w:numId="36" w16cid:durableId="2121948414">
    <w:abstractNumId w:val="22"/>
  </w:num>
  <w:num w:numId="37" w16cid:durableId="1340154501">
    <w:abstractNumId w:val="17"/>
  </w:num>
  <w:num w:numId="38" w16cid:durableId="880022906">
    <w:abstractNumId w:val="24"/>
  </w:num>
  <w:num w:numId="39" w16cid:durableId="1727411235">
    <w:abstractNumId w:val="33"/>
  </w:num>
  <w:num w:numId="40" w16cid:durableId="7039877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873"/>
    <w:rsid w:val="000021CA"/>
    <w:rsid w:val="00002539"/>
    <w:rsid w:val="00004A9A"/>
    <w:rsid w:val="00005044"/>
    <w:rsid w:val="00006ABE"/>
    <w:rsid w:val="0001055B"/>
    <w:rsid w:val="00010BBA"/>
    <w:rsid w:val="000117D6"/>
    <w:rsid w:val="00011B01"/>
    <w:rsid w:val="00011DCA"/>
    <w:rsid w:val="0001302A"/>
    <w:rsid w:val="00014810"/>
    <w:rsid w:val="000152B5"/>
    <w:rsid w:val="00020CE7"/>
    <w:rsid w:val="00021B77"/>
    <w:rsid w:val="00022174"/>
    <w:rsid w:val="0002487F"/>
    <w:rsid w:val="00024D6F"/>
    <w:rsid w:val="000258A8"/>
    <w:rsid w:val="0002594C"/>
    <w:rsid w:val="00025D02"/>
    <w:rsid w:val="0002741C"/>
    <w:rsid w:val="00027CDA"/>
    <w:rsid w:val="00030D26"/>
    <w:rsid w:val="000317EB"/>
    <w:rsid w:val="00031A9B"/>
    <w:rsid w:val="0003211A"/>
    <w:rsid w:val="00032179"/>
    <w:rsid w:val="00032F40"/>
    <w:rsid w:val="000349A0"/>
    <w:rsid w:val="00035195"/>
    <w:rsid w:val="00036247"/>
    <w:rsid w:val="00036F4A"/>
    <w:rsid w:val="00037CBF"/>
    <w:rsid w:val="000409E0"/>
    <w:rsid w:val="000441C8"/>
    <w:rsid w:val="00045368"/>
    <w:rsid w:val="00046F41"/>
    <w:rsid w:val="00047451"/>
    <w:rsid w:val="0005084C"/>
    <w:rsid w:val="00051206"/>
    <w:rsid w:val="00052AF2"/>
    <w:rsid w:val="00052BBC"/>
    <w:rsid w:val="00053554"/>
    <w:rsid w:val="00056499"/>
    <w:rsid w:val="00057D8C"/>
    <w:rsid w:val="000603A4"/>
    <w:rsid w:val="000620A9"/>
    <w:rsid w:val="00063857"/>
    <w:rsid w:val="00063D8B"/>
    <w:rsid w:val="00063E0D"/>
    <w:rsid w:val="00064120"/>
    <w:rsid w:val="00065194"/>
    <w:rsid w:val="000669B8"/>
    <w:rsid w:val="00066A67"/>
    <w:rsid w:val="00066A9E"/>
    <w:rsid w:val="000679B9"/>
    <w:rsid w:val="00071563"/>
    <w:rsid w:val="000720C9"/>
    <w:rsid w:val="000722CD"/>
    <w:rsid w:val="000727E5"/>
    <w:rsid w:val="00072E76"/>
    <w:rsid w:val="00072EFB"/>
    <w:rsid w:val="000731C1"/>
    <w:rsid w:val="00074089"/>
    <w:rsid w:val="00074DF4"/>
    <w:rsid w:val="00075B9D"/>
    <w:rsid w:val="00076D1A"/>
    <w:rsid w:val="0007781F"/>
    <w:rsid w:val="00077AF5"/>
    <w:rsid w:val="0008127A"/>
    <w:rsid w:val="00081E8A"/>
    <w:rsid w:val="0008295A"/>
    <w:rsid w:val="00083269"/>
    <w:rsid w:val="00084E02"/>
    <w:rsid w:val="00085203"/>
    <w:rsid w:val="0008547C"/>
    <w:rsid w:val="00086241"/>
    <w:rsid w:val="00086619"/>
    <w:rsid w:val="00087819"/>
    <w:rsid w:val="000906EB"/>
    <w:rsid w:val="00091045"/>
    <w:rsid w:val="000927A8"/>
    <w:rsid w:val="00092F7C"/>
    <w:rsid w:val="00094B41"/>
    <w:rsid w:val="00096988"/>
    <w:rsid w:val="00097366"/>
    <w:rsid w:val="000A0C33"/>
    <w:rsid w:val="000A14CA"/>
    <w:rsid w:val="000A164D"/>
    <w:rsid w:val="000A2321"/>
    <w:rsid w:val="000A2540"/>
    <w:rsid w:val="000A370D"/>
    <w:rsid w:val="000A453D"/>
    <w:rsid w:val="000A53D7"/>
    <w:rsid w:val="000A6EA9"/>
    <w:rsid w:val="000A73BB"/>
    <w:rsid w:val="000B0295"/>
    <w:rsid w:val="000B1C3B"/>
    <w:rsid w:val="000B3726"/>
    <w:rsid w:val="000B494C"/>
    <w:rsid w:val="000B4CD3"/>
    <w:rsid w:val="000B53E2"/>
    <w:rsid w:val="000B5C8E"/>
    <w:rsid w:val="000C0AE4"/>
    <w:rsid w:val="000C2B73"/>
    <w:rsid w:val="000C3B4B"/>
    <w:rsid w:val="000C46C8"/>
    <w:rsid w:val="000C5229"/>
    <w:rsid w:val="000C5AA1"/>
    <w:rsid w:val="000C6385"/>
    <w:rsid w:val="000C6D9D"/>
    <w:rsid w:val="000D0238"/>
    <w:rsid w:val="000D25A2"/>
    <w:rsid w:val="000D39B7"/>
    <w:rsid w:val="000D3E5D"/>
    <w:rsid w:val="000D4497"/>
    <w:rsid w:val="000D617B"/>
    <w:rsid w:val="000D6D7E"/>
    <w:rsid w:val="000D7C31"/>
    <w:rsid w:val="000E0513"/>
    <w:rsid w:val="000E07CB"/>
    <w:rsid w:val="000E0F59"/>
    <w:rsid w:val="000E1437"/>
    <w:rsid w:val="000E1A8E"/>
    <w:rsid w:val="000E2D4F"/>
    <w:rsid w:val="000E3D80"/>
    <w:rsid w:val="000E3EC1"/>
    <w:rsid w:val="000E47E7"/>
    <w:rsid w:val="000E50AA"/>
    <w:rsid w:val="000E6E36"/>
    <w:rsid w:val="000E75E0"/>
    <w:rsid w:val="000F0A3F"/>
    <w:rsid w:val="000F2727"/>
    <w:rsid w:val="000F4F96"/>
    <w:rsid w:val="000F54BE"/>
    <w:rsid w:val="000F5B2C"/>
    <w:rsid w:val="000F614B"/>
    <w:rsid w:val="000F7607"/>
    <w:rsid w:val="0010001B"/>
    <w:rsid w:val="00102B3F"/>
    <w:rsid w:val="00105259"/>
    <w:rsid w:val="00105666"/>
    <w:rsid w:val="00105B96"/>
    <w:rsid w:val="001062D7"/>
    <w:rsid w:val="00106EB8"/>
    <w:rsid w:val="0010726E"/>
    <w:rsid w:val="00112510"/>
    <w:rsid w:val="0011251C"/>
    <w:rsid w:val="00112A40"/>
    <w:rsid w:val="0011539F"/>
    <w:rsid w:val="00116D57"/>
    <w:rsid w:val="001173F5"/>
    <w:rsid w:val="001203BE"/>
    <w:rsid w:val="00121F16"/>
    <w:rsid w:val="00121F26"/>
    <w:rsid w:val="00122591"/>
    <w:rsid w:val="0012307B"/>
    <w:rsid w:val="001234DF"/>
    <w:rsid w:val="001260BF"/>
    <w:rsid w:val="00126248"/>
    <w:rsid w:val="00126EB3"/>
    <w:rsid w:val="00127C71"/>
    <w:rsid w:val="00132976"/>
    <w:rsid w:val="001331F2"/>
    <w:rsid w:val="00134633"/>
    <w:rsid w:val="00134E14"/>
    <w:rsid w:val="00135E95"/>
    <w:rsid w:val="00136847"/>
    <w:rsid w:val="0013694A"/>
    <w:rsid w:val="00136ECB"/>
    <w:rsid w:val="0013E540"/>
    <w:rsid w:val="00140260"/>
    <w:rsid w:val="00140268"/>
    <w:rsid w:val="001410C6"/>
    <w:rsid w:val="00141436"/>
    <w:rsid w:val="00141E62"/>
    <w:rsid w:val="00142341"/>
    <w:rsid w:val="0014302E"/>
    <w:rsid w:val="00143A72"/>
    <w:rsid w:val="00144498"/>
    <w:rsid w:val="001444F7"/>
    <w:rsid w:val="0014583D"/>
    <w:rsid w:val="00147BCE"/>
    <w:rsid w:val="00150977"/>
    <w:rsid w:val="001513CD"/>
    <w:rsid w:val="00151A4B"/>
    <w:rsid w:val="00151E75"/>
    <w:rsid w:val="00152279"/>
    <w:rsid w:val="00152A77"/>
    <w:rsid w:val="00152E1A"/>
    <w:rsid w:val="00153CDD"/>
    <w:rsid w:val="001544FA"/>
    <w:rsid w:val="00154776"/>
    <w:rsid w:val="00155309"/>
    <w:rsid w:val="00156B9E"/>
    <w:rsid w:val="00157F35"/>
    <w:rsid w:val="001604BC"/>
    <w:rsid w:val="001626B4"/>
    <w:rsid w:val="001630BB"/>
    <w:rsid w:val="00164260"/>
    <w:rsid w:val="001645C2"/>
    <w:rsid w:val="00167CA8"/>
    <w:rsid w:val="00171D5C"/>
    <w:rsid w:val="00172CF1"/>
    <w:rsid w:val="00173850"/>
    <w:rsid w:val="0017431B"/>
    <w:rsid w:val="00175061"/>
    <w:rsid w:val="0017608E"/>
    <w:rsid w:val="001773A3"/>
    <w:rsid w:val="00182637"/>
    <w:rsid w:val="0018294C"/>
    <w:rsid w:val="00182CBF"/>
    <w:rsid w:val="001834E0"/>
    <w:rsid w:val="0019210A"/>
    <w:rsid w:val="00192B3F"/>
    <w:rsid w:val="001935A2"/>
    <w:rsid w:val="00194E73"/>
    <w:rsid w:val="00195C89"/>
    <w:rsid w:val="00197168"/>
    <w:rsid w:val="00197F4C"/>
    <w:rsid w:val="001A26AE"/>
    <w:rsid w:val="001A5906"/>
    <w:rsid w:val="001B0041"/>
    <w:rsid w:val="001B03D6"/>
    <w:rsid w:val="001B198C"/>
    <w:rsid w:val="001B1E45"/>
    <w:rsid w:val="001B251A"/>
    <w:rsid w:val="001B39F6"/>
    <w:rsid w:val="001B3CB2"/>
    <w:rsid w:val="001B53FD"/>
    <w:rsid w:val="001B701D"/>
    <w:rsid w:val="001B717E"/>
    <w:rsid w:val="001C0412"/>
    <w:rsid w:val="001C0E4A"/>
    <w:rsid w:val="001C18DC"/>
    <w:rsid w:val="001C1E5C"/>
    <w:rsid w:val="001C1F60"/>
    <w:rsid w:val="001C4AA0"/>
    <w:rsid w:val="001C6FBB"/>
    <w:rsid w:val="001D05DF"/>
    <w:rsid w:val="001D42C2"/>
    <w:rsid w:val="001D58C8"/>
    <w:rsid w:val="001D5AC6"/>
    <w:rsid w:val="001D5DD2"/>
    <w:rsid w:val="001D7901"/>
    <w:rsid w:val="001D7FCA"/>
    <w:rsid w:val="001E030B"/>
    <w:rsid w:val="001E03DC"/>
    <w:rsid w:val="001E08AE"/>
    <w:rsid w:val="001E1994"/>
    <w:rsid w:val="001E1C57"/>
    <w:rsid w:val="001E665B"/>
    <w:rsid w:val="001E7C09"/>
    <w:rsid w:val="001E7CD3"/>
    <w:rsid w:val="001F13A4"/>
    <w:rsid w:val="001F1537"/>
    <w:rsid w:val="001F1C03"/>
    <w:rsid w:val="001F1D2E"/>
    <w:rsid w:val="001F24E1"/>
    <w:rsid w:val="001F4CEA"/>
    <w:rsid w:val="001F55BB"/>
    <w:rsid w:val="001F5E58"/>
    <w:rsid w:val="001F688E"/>
    <w:rsid w:val="001F6C0F"/>
    <w:rsid w:val="001F6EFC"/>
    <w:rsid w:val="001F76E0"/>
    <w:rsid w:val="001F7969"/>
    <w:rsid w:val="00200ED7"/>
    <w:rsid w:val="002037A9"/>
    <w:rsid w:val="00203A89"/>
    <w:rsid w:val="00203B72"/>
    <w:rsid w:val="00203F32"/>
    <w:rsid w:val="00204817"/>
    <w:rsid w:val="00207496"/>
    <w:rsid w:val="002074DD"/>
    <w:rsid w:val="002076F5"/>
    <w:rsid w:val="002106A3"/>
    <w:rsid w:val="00210CB8"/>
    <w:rsid w:val="0021144C"/>
    <w:rsid w:val="002114F6"/>
    <w:rsid w:val="00211BD1"/>
    <w:rsid w:val="00212572"/>
    <w:rsid w:val="00214B69"/>
    <w:rsid w:val="0021617D"/>
    <w:rsid w:val="00216C1C"/>
    <w:rsid w:val="00217EAB"/>
    <w:rsid w:val="00220853"/>
    <w:rsid w:val="0022192A"/>
    <w:rsid w:val="00222556"/>
    <w:rsid w:val="002230DC"/>
    <w:rsid w:val="0022498C"/>
    <w:rsid w:val="00225040"/>
    <w:rsid w:val="002255C0"/>
    <w:rsid w:val="00225FA9"/>
    <w:rsid w:val="00226338"/>
    <w:rsid w:val="00226536"/>
    <w:rsid w:val="00226A60"/>
    <w:rsid w:val="00226EBF"/>
    <w:rsid w:val="00227121"/>
    <w:rsid w:val="0022796D"/>
    <w:rsid w:val="002304B1"/>
    <w:rsid w:val="00232773"/>
    <w:rsid w:val="002327A1"/>
    <w:rsid w:val="00234028"/>
    <w:rsid w:val="002363D1"/>
    <w:rsid w:val="002366B2"/>
    <w:rsid w:val="00237217"/>
    <w:rsid w:val="00242092"/>
    <w:rsid w:val="002437C2"/>
    <w:rsid w:val="00245ADE"/>
    <w:rsid w:val="002477FC"/>
    <w:rsid w:val="0025227B"/>
    <w:rsid w:val="0025232E"/>
    <w:rsid w:val="00253102"/>
    <w:rsid w:val="0025391E"/>
    <w:rsid w:val="00253A07"/>
    <w:rsid w:val="00254600"/>
    <w:rsid w:val="00255407"/>
    <w:rsid w:val="00255512"/>
    <w:rsid w:val="0025567B"/>
    <w:rsid w:val="002568D7"/>
    <w:rsid w:val="002607F9"/>
    <w:rsid w:val="00262FD7"/>
    <w:rsid w:val="00264D0F"/>
    <w:rsid w:val="00266410"/>
    <w:rsid w:val="002667F6"/>
    <w:rsid w:val="00267B4B"/>
    <w:rsid w:val="00267EAD"/>
    <w:rsid w:val="00270AD8"/>
    <w:rsid w:val="002710F0"/>
    <w:rsid w:val="00271BEC"/>
    <w:rsid w:val="002724D0"/>
    <w:rsid w:val="00272E10"/>
    <w:rsid w:val="002736F1"/>
    <w:rsid w:val="0027425E"/>
    <w:rsid w:val="00274914"/>
    <w:rsid w:val="00275482"/>
    <w:rsid w:val="002804CD"/>
    <w:rsid w:val="002820D0"/>
    <w:rsid w:val="00283473"/>
    <w:rsid w:val="00284CF0"/>
    <w:rsid w:val="00285047"/>
    <w:rsid w:val="00290BF0"/>
    <w:rsid w:val="00290FDB"/>
    <w:rsid w:val="00292713"/>
    <w:rsid w:val="00295074"/>
    <w:rsid w:val="00295858"/>
    <w:rsid w:val="00295B8B"/>
    <w:rsid w:val="00295E10"/>
    <w:rsid w:val="002A0582"/>
    <w:rsid w:val="002A2B7A"/>
    <w:rsid w:val="002A2B98"/>
    <w:rsid w:val="002A326E"/>
    <w:rsid w:val="002A71BF"/>
    <w:rsid w:val="002B080E"/>
    <w:rsid w:val="002B10EA"/>
    <w:rsid w:val="002B1CE5"/>
    <w:rsid w:val="002B1E0E"/>
    <w:rsid w:val="002B37EC"/>
    <w:rsid w:val="002B78D2"/>
    <w:rsid w:val="002C3F43"/>
    <w:rsid w:val="002C45DA"/>
    <w:rsid w:val="002C4CC4"/>
    <w:rsid w:val="002C4D60"/>
    <w:rsid w:val="002C62E8"/>
    <w:rsid w:val="002C67D5"/>
    <w:rsid w:val="002D085E"/>
    <w:rsid w:val="002D1663"/>
    <w:rsid w:val="002D182F"/>
    <w:rsid w:val="002D19FF"/>
    <w:rsid w:val="002D1BB0"/>
    <w:rsid w:val="002D46A5"/>
    <w:rsid w:val="002D7BFE"/>
    <w:rsid w:val="002E251C"/>
    <w:rsid w:val="002E46EB"/>
    <w:rsid w:val="002E5B46"/>
    <w:rsid w:val="002E5EAF"/>
    <w:rsid w:val="002E6229"/>
    <w:rsid w:val="002E62AE"/>
    <w:rsid w:val="002F132D"/>
    <w:rsid w:val="002F203E"/>
    <w:rsid w:val="002F21F9"/>
    <w:rsid w:val="002F29C0"/>
    <w:rsid w:val="002F37FB"/>
    <w:rsid w:val="002F4637"/>
    <w:rsid w:val="002F48EA"/>
    <w:rsid w:val="002F4D0A"/>
    <w:rsid w:val="002F4DB3"/>
    <w:rsid w:val="002F5E10"/>
    <w:rsid w:val="002F7775"/>
    <w:rsid w:val="0030058F"/>
    <w:rsid w:val="003010C2"/>
    <w:rsid w:val="00301696"/>
    <w:rsid w:val="00303364"/>
    <w:rsid w:val="003035F7"/>
    <w:rsid w:val="00304711"/>
    <w:rsid w:val="00304830"/>
    <w:rsid w:val="00305BA4"/>
    <w:rsid w:val="00306E53"/>
    <w:rsid w:val="0030779C"/>
    <w:rsid w:val="00310428"/>
    <w:rsid w:val="0031107A"/>
    <w:rsid w:val="00311EC2"/>
    <w:rsid w:val="00313E09"/>
    <w:rsid w:val="00313EDA"/>
    <w:rsid w:val="003140D9"/>
    <w:rsid w:val="0031455D"/>
    <w:rsid w:val="003146B8"/>
    <w:rsid w:val="0031640D"/>
    <w:rsid w:val="0031696C"/>
    <w:rsid w:val="00316D26"/>
    <w:rsid w:val="00317101"/>
    <w:rsid w:val="003204B5"/>
    <w:rsid w:val="00320D9F"/>
    <w:rsid w:val="00320EB4"/>
    <w:rsid w:val="0032137B"/>
    <w:rsid w:val="003267E0"/>
    <w:rsid w:val="00327347"/>
    <w:rsid w:val="003309B8"/>
    <w:rsid w:val="00330A9C"/>
    <w:rsid w:val="00332ABE"/>
    <w:rsid w:val="00334B73"/>
    <w:rsid w:val="0033713A"/>
    <w:rsid w:val="003379B4"/>
    <w:rsid w:val="00337C81"/>
    <w:rsid w:val="00337D19"/>
    <w:rsid w:val="00340F26"/>
    <w:rsid w:val="003444FE"/>
    <w:rsid w:val="003446FD"/>
    <w:rsid w:val="00345096"/>
    <w:rsid w:val="00345161"/>
    <w:rsid w:val="00346E04"/>
    <w:rsid w:val="0034786F"/>
    <w:rsid w:val="0034799E"/>
    <w:rsid w:val="00350FFA"/>
    <w:rsid w:val="003513C1"/>
    <w:rsid w:val="003550CF"/>
    <w:rsid w:val="00355A4E"/>
    <w:rsid w:val="00355F2B"/>
    <w:rsid w:val="00356432"/>
    <w:rsid w:val="00356814"/>
    <w:rsid w:val="00357492"/>
    <w:rsid w:val="00360F36"/>
    <w:rsid w:val="00361D48"/>
    <w:rsid w:val="0036555E"/>
    <w:rsid w:val="00366A02"/>
    <w:rsid w:val="00366A51"/>
    <w:rsid w:val="0037011D"/>
    <w:rsid w:val="003731C3"/>
    <w:rsid w:val="00374857"/>
    <w:rsid w:val="00375C5E"/>
    <w:rsid w:val="00376B1F"/>
    <w:rsid w:val="00377308"/>
    <w:rsid w:val="003777FD"/>
    <w:rsid w:val="00377A02"/>
    <w:rsid w:val="003806F8"/>
    <w:rsid w:val="00380CCB"/>
    <w:rsid w:val="00381218"/>
    <w:rsid w:val="00381DFC"/>
    <w:rsid w:val="00382069"/>
    <w:rsid w:val="003828BF"/>
    <w:rsid w:val="00382E1C"/>
    <w:rsid w:val="00382F07"/>
    <w:rsid w:val="003840CC"/>
    <w:rsid w:val="00384EFA"/>
    <w:rsid w:val="00385A45"/>
    <w:rsid w:val="00386A9C"/>
    <w:rsid w:val="00387E58"/>
    <w:rsid w:val="0039010F"/>
    <w:rsid w:val="003910AF"/>
    <w:rsid w:val="00391ECD"/>
    <w:rsid w:val="0039266D"/>
    <w:rsid w:val="00392CFE"/>
    <w:rsid w:val="0039377B"/>
    <w:rsid w:val="00393A6B"/>
    <w:rsid w:val="0039408D"/>
    <w:rsid w:val="003940CA"/>
    <w:rsid w:val="00394CE3"/>
    <w:rsid w:val="003961E4"/>
    <w:rsid w:val="003A036D"/>
    <w:rsid w:val="003A2748"/>
    <w:rsid w:val="003A2A73"/>
    <w:rsid w:val="003A3034"/>
    <w:rsid w:val="003A6DBD"/>
    <w:rsid w:val="003B1040"/>
    <w:rsid w:val="003B2F29"/>
    <w:rsid w:val="003B37F4"/>
    <w:rsid w:val="003B3ACA"/>
    <w:rsid w:val="003B43F1"/>
    <w:rsid w:val="003B4F57"/>
    <w:rsid w:val="003B5676"/>
    <w:rsid w:val="003C0EB3"/>
    <w:rsid w:val="003C132F"/>
    <w:rsid w:val="003C1624"/>
    <w:rsid w:val="003C5936"/>
    <w:rsid w:val="003C6C99"/>
    <w:rsid w:val="003C6EE7"/>
    <w:rsid w:val="003D14B4"/>
    <w:rsid w:val="003D1F5E"/>
    <w:rsid w:val="003D28B6"/>
    <w:rsid w:val="003D3AF1"/>
    <w:rsid w:val="003D43AA"/>
    <w:rsid w:val="003D4CD7"/>
    <w:rsid w:val="003D5D28"/>
    <w:rsid w:val="003D6CB2"/>
    <w:rsid w:val="003D7F8C"/>
    <w:rsid w:val="003E15A8"/>
    <w:rsid w:val="003E1B28"/>
    <w:rsid w:val="003E44F5"/>
    <w:rsid w:val="003E5ED0"/>
    <w:rsid w:val="003E7B40"/>
    <w:rsid w:val="003F1ED8"/>
    <w:rsid w:val="003F393F"/>
    <w:rsid w:val="003F450F"/>
    <w:rsid w:val="003F58BA"/>
    <w:rsid w:val="003F6B07"/>
    <w:rsid w:val="0040046D"/>
    <w:rsid w:val="0040118A"/>
    <w:rsid w:val="00401E40"/>
    <w:rsid w:val="00402304"/>
    <w:rsid w:val="004026D6"/>
    <w:rsid w:val="0040295E"/>
    <w:rsid w:val="00402DEA"/>
    <w:rsid w:val="00403C61"/>
    <w:rsid w:val="0040523C"/>
    <w:rsid w:val="00407B14"/>
    <w:rsid w:val="00410616"/>
    <w:rsid w:val="00411029"/>
    <w:rsid w:val="0041228F"/>
    <w:rsid w:val="00412ABF"/>
    <w:rsid w:val="00412BA7"/>
    <w:rsid w:val="00413534"/>
    <w:rsid w:val="00413997"/>
    <w:rsid w:val="00414F66"/>
    <w:rsid w:val="00415465"/>
    <w:rsid w:val="00415614"/>
    <w:rsid w:val="00415CB9"/>
    <w:rsid w:val="00416DF0"/>
    <w:rsid w:val="00417657"/>
    <w:rsid w:val="00417B56"/>
    <w:rsid w:val="00420457"/>
    <w:rsid w:val="00421685"/>
    <w:rsid w:val="00421A37"/>
    <w:rsid w:val="00421CC5"/>
    <w:rsid w:val="004247AC"/>
    <w:rsid w:val="00424FD6"/>
    <w:rsid w:val="004250A2"/>
    <w:rsid w:val="0042523C"/>
    <w:rsid w:val="00425A00"/>
    <w:rsid w:val="00426EDA"/>
    <w:rsid w:val="00427ED1"/>
    <w:rsid w:val="0043014B"/>
    <w:rsid w:val="00430F98"/>
    <w:rsid w:val="0043190D"/>
    <w:rsid w:val="004329D7"/>
    <w:rsid w:val="00434E5B"/>
    <w:rsid w:val="00436F26"/>
    <w:rsid w:val="00437B1D"/>
    <w:rsid w:val="00441753"/>
    <w:rsid w:val="00442BE3"/>
    <w:rsid w:val="004448FA"/>
    <w:rsid w:val="00445969"/>
    <w:rsid w:val="004459A8"/>
    <w:rsid w:val="00445F5F"/>
    <w:rsid w:val="004501B9"/>
    <w:rsid w:val="00452A7F"/>
    <w:rsid w:val="00453C04"/>
    <w:rsid w:val="0045416A"/>
    <w:rsid w:val="00455322"/>
    <w:rsid w:val="00455FE5"/>
    <w:rsid w:val="00456B3E"/>
    <w:rsid w:val="00460108"/>
    <w:rsid w:val="00460EF2"/>
    <w:rsid w:val="00461DD5"/>
    <w:rsid w:val="0046228E"/>
    <w:rsid w:val="004626F6"/>
    <w:rsid w:val="00462D9E"/>
    <w:rsid w:val="0046418C"/>
    <w:rsid w:val="00465213"/>
    <w:rsid w:val="00465757"/>
    <w:rsid w:val="00465E71"/>
    <w:rsid w:val="00467D98"/>
    <w:rsid w:val="00471BB7"/>
    <w:rsid w:val="00472432"/>
    <w:rsid w:val="00473722"/>
    <w:rsid w:val="00475BA9"/>
    <w:rsid w:val="0048105C"/>
    <w:rsid w:val="004817DC"/>
    <w:rsid w:val="00482CF1"/>
    <w:rsid w:val="00483A77"/>
    <w:rsid w:val="00485DD8"/>
    <w:rsid w:val="00486049"/>
    <w:rsid w:val="0048762F"/>
    <w:rsid w:val="00490E73"/>
    <w:rsid w:val="0049221E"/>
    <w:rsid w:val="00492531"/>
    <w:rsid w:val="004931F9"/>
    <w:rsid w:val="00494EDB"/>
    <w:rsid w:val="00495348"/>
    <w:rsid w:val="00495FF0"/>
    <w:rsid w:val="00497764"/>
    <w:rsid w:val="004A0437"/>
    <w:rsid w:val="004A1C83"/>
    <w:rsid w:val="004A3254"/>
    <w:rsid w:val="004A359B"/>
    <w:rsid w:val="004A373C"/>
    <w:rsid w:val="004A3756"/>
    <w:rsid w:val="004A4FC2"/>
    <w:rsid w:val="004A5E78"/>
    <w:rsid w:val="004A625F"/>
    <w:rsid w:val="004A7231"/>
    <w:rsid w:val="004A72F4"/>
    <w:rsid w:val="004B0354"/>
    <w:rsid w:val="004B0B39"/>
    <w:rsid w:val="004B0BC6"/>
    <w:rsid w:val="004B143A"/>
    <w:rsid w:val="004B1589"/>
    <w:rsid w:val="004B22DF"/>
    <w:rsid w:val="004B261D"/>
    <w:rsid w:val="004B264B"/>
    <w:rsid w:val="004B3AF4"/>
    <w:rsid w:val="004B3F45"/>
    <w:rsid w:val="004B4F5E"/>
    <w:rsid w:val="004B7649"/>
    <w:rsid w:val="004C1A19"/>
    <w:rsid w:val="004C2BEC"/>
    <w:rsid w:val="004C6080"/>
    <w:rsid w:val="004C6BAA"/>
    <w:rsid w:val="004C6C76"/>
    <w:rsid w:val="004D021D"/>
    <w:rsid w:val="004D13D7"/>
    <w:rsid w:val="004D1B4D"/>
    <w:rsid w:val="004D2C12"/>
    <w:rsid w:val="004D3051"/>
    <w:rsid w:val="004D4E80"/>
    <w:rsid w:val="004D558C"/>
    <w:rsid w:val="004E38D8"/>
    <w:rsid w:val="004E4AFD"/>
    <w:rsid w:val="004E63CB"/>
    <w:rsid w:val="004E6ECC"/>
    <w:rsid w:val="004E7C75"/>
    <w:rsid w:val="004F0E27"/>
    <w:rsid w:val="004F1147"/>
    <w:rsid w:val="004F1396"/>
    <w:rsid w:val="004F204E"/>
    <w:rsid w:val="004F249B"/>
    <w:rsid w:val="004F34F8"/>
    <w:rsid w:val="004F3C72"/>
    <w:rsid w:val="004F42DC"/>
    <w:rsid w:val="004F5D7F"/>
    <w:rsid w:val="004F61C2"/>
    <w:rsid w:val="00501FFD"/>
    <w:rsid w:val="00504ED1"/>
    <w:rsid w:val="00506383"/>
    <w:rsid w:val="00506B4E"/>
    <w:rsid w:val="00507D8E"/>
    <w:rsid w:val="0051160D"/>
    <w:rsid w:val="00512260"/>
    <w:rsid w:val="005134A2"/>
    <w:rsid w:val="0051352E"/>
    <w:rsid w:val="00513803"/>
    <w:rsid w:val="00514254"/>
    <w:rsid w:val="005152B2"/>
    <w:rsid w:val="00516464"/>
    <w:rsid w:val="005164CA"/>
    <w:rsid w:val="00516949"/>
    <w:rsid w:val="00517DA7"/>
    <w:rsid w:val="005205D1"/>
    <w:rsid w:val="00520A33"/>
    <w:rsid w:val="0052139F"/>
    <w:rsid w:val="005237A0"/>
    <w:rsid w:val="005242E0"/>
    <w:rsid w:val="005246FF"/>
    <w:rsid w:val="00524FFA"/>
    <w:rsid w:val="00525818"/>
    <w:rsid w:val="00525D23"/>
    <w:rsid w:val="00525EFD"/>
    <w:rsid w:val="00526BE7"/>
    <w:rsid w:val="00527749"/>
    <w:rsid w:val="00527AE4"/>
    <w:rsid w:val="0053070C"/>
    <w:rsid w:val="005363DD"/>
    <w:rsid w:val="00537447"/>
    <w:rsid w:val="0053782A"/>
    <w:rsid w:val="00540CFE"/>
    <w:rsid w:val="00541534"/>
    <w:rsid w:val="00543077"/>
    <w:rsid w:val="00544250"/>
    <w:rsid w:val="005450C1"/>
    <w:rsid w:val="005455FF"/>
    <w:rsid w:val="00545753"/>
    <w:rsid w:val="0055097E"/>
    <w:rsid w:val="00551084"/>
    <w:rsid w:val="005526E8"/>
    <w:rsid w:val="005530CD"/>
    <w:rsid w:val="005537DF"/>
    <w:rsid w:val="00555EE0"/>
    <w:rsid w:val="0055631B"/>
    <w:rsid w:val="0056106A"/>
    <w:rsid w:val="0056145A"/>
    <w:rsid w:val="0056157B"/>
    <w:rsid w:val="00561805"/>
    <w:rsid w:val="00561833"/>
    <w:rsid w:val="00561D8B"/>
    <w:rsid w:val="0056262B"/>
    <w:rsid w:val="005646EE"/>
    <w:rsid w:val="00565306"/>
    <w:rsid w:val="005676D9"/>
    <w:rsid w:val="00570515"/>
    <w:rsid w:val="00574208"/>
    <w:rsid w:val="00574C4D"/>
    <w:rsid w:val="00575095"/>
    <w:rsid w:val="00580DFD"/>
    <w:rsid w:val="005824AE"/>
    <w:rsid w:val="005828B8"/>
    <w:rsid w:val="00583FF5"/>
    <w:rsid w:val="00584D9F"/>
    <w:rsid w:val="0058535E"/>
    <w:rsid w:val="00585455"/>
    <w:rsid w:val="00585753"/>
    <w:rsid w:val="00586AF9"/>
    <w:rsid w:val="00590B58"/>
    <w:rsid w:val="00590DCF"/>
    <w:rsid w:val="00591DBA"/>
    <w:rsid w:val="00592C2E"/>
    <w:rsid w:val="00592FB9"/>
    <w:rsid w:val="00593736"/>
    <w:rsid w:val="005950B8"/>
    <w:rsid w:val="0059662A"/>
    <w:rsid w:val="005A00F7"/>
    <w:rsid w:val="005A0FA3"/>
    <w:rsid w:val="005A146E"/>
    <w:rsid w:val="005A1B06"/>
    <w:rsid w:val="005A4B8C"/>
    <w:rsid w:val="005A4BA8"/>
    <w:rsid w:val="005B0562"/>
    <w:rsid w:val="005B28D8"/>
    <w:rsid w:val="005B57E7"/>
    <w:rsid w:val="005B6432"/>
    <w:rsid w:val="005B7A08"/>
    <w:rsid w:val="005C12A0"/>
    <w:rsid w:val="005C1C05"/>
    <w:rsid w:val="005C4C7B"/>
    <w:rsid w:val="005C5055"/>
    <w:rsid w:val="005C5056"/>
    <w:rsid w:val="005C6DDF"/>
    <w:rsid w:val="005C735F"/>
    <w:rsid w:val="005C7D16"/>
    <w:rsid w:val="005D1F2D"/>
    <w:rsid w:val="005D2871"/>
    <w:rsid w:val="005D350F"/>
    <w:rsid w:val="005D65DD"/>
    <w:rsid w:val="005D7AF5"/>
    <w:rsid w:val="005E03B6"/>
    <w:rsid w:val="005E3F32"/>
    <w:rsid w:val="005E46B6"/>
    <w:rsid w:val="005F1019"/>
    <w:rsid w:val="005F16BE"/>
    <w:rsid w:val="005F1D51"/>
    <w:rsid w:val="005F1EAA"/>
    <w:rsid w:val="005F1FAA"/>
    <w:rsid w:val="005F3E8D"/>
    <w:rsid w:val="005F5434"/>
    <w:rsid w:val="00600040"/>
    <w:rsid w:val="0060262C"/>
    <w:rsid w:val="00602BD9"/>
    <w:rsid w:val="006030D8"/>
    <w:rsid w:val="00604D39"/>
    <w:rsid w:val="00605458"/>
    <w:rsid w:val="00606EF8"/>
    <w:rsid w:val="00607C6B"/>
    <w:rsid w:val="006106C6"/>
    <w:rsid w:val="00611444"/>
    <w:rsid w:val="0061240A"/>
    <w:rsid w:val="00613234"/>
    <w:rsid w:val="00616FBC"/>
    <w:rsid w:val="00616FC2"/>
    <w:rsid w:val="006170A1"/>
    <w:rsid w:val="006174C3"/>
    <w:rsid w:val="006179E9"/>
    <w:rsid w:val="00617BF3"/>
    <w:rsid w:val="00620165"/>
    <w:rsid w:val="00621417"/>
    <w:rsid w:val="00622AFB"/>
    <w:rsid w:val="00622F18"/>
    <w:rsid w:val="00623841"/>
    <w:rsid w:val="006246D5"/>
    <w:rsid w:val="006266A0"/>
    <w:rsid w:val="00630DDF"/>
    <w:rsid w:val="006328D6"/>
    <w:rsid w:val="00633532"/>
    <w:rsid w:val="0063358C"/>
    <w:rsid w:val="00633AEB"/>
    <w:rsid w:val="00634825"/>
    <w:rsid w:val="00640594"/>
    <w:rsid w:val="0064312D"/>
    <w:rsid w:val="00644AC7"/>
    <w:rsid w:val="00647325"/>
    <w:rsid w:val="006473D4"/>
    <w:rsid w:val="006504A3"/>
    <w:rsid w:val="0065334A"/>
    <w:rsid w:val="0065387D"/>
    <w:rsid w:val="00653DCE"/>
    <w:rsid w:val="00656F26"/>
    <w:rsid w:val="00657370"/>
    <w:rsid w:val="0065756C"/>
    <w:rsid w:val="0065781A"/>
    <w:rsid w:val="00660994"/>
    <w:rsid w:val="0066177E"/>
    <w:rsid w:val="00663579"/>
    <w:rsid w:val="00663B6C"/>
    <w:rsid w:val="0066427F"/>
    <w:rsid w:val="0066463E"/>
    <w:rsid w:val="00667261"/>
    <w:rsid w:val="0067253E"/>
    <w:rsid w:val="00673BB5"/>
    <w:rsid w:val="00673E5F"/>
    <w:rsid w:val="00674B98"/>
    <w:rsid w:val="0067587C"/>
    <w:rsid w:val="00675AAE"/>
    <w:rsid w:val="00676B57"/>
    <w:rsid w:val="00682B66"/>
    <w:rsid w:val="00683171"/>
    <w:rsid w:val="006845DB"/>
    <w:rsid w:val="0068567E"/>
    <w:rsid w:val="00685B60"/>
    <w:rsid w:val="00686B3F"/>
    <w:rsid w:val="0068733D"/>
    <w:rsid w:val="00687ACF"/>
    <w:rsid w:val="00687BFC"/>
    <w:rsid w:val="00690C93"/>
    <w:rsid w:val="00690CB3"/>
    <w:rsid w:val="00691F43"/>
    <w:rsid w:val="00692303"/>
    <w:rsid w:val="00693AD7"/>
    <w:rsid w:val="00694993"/>
    <w:rsid w:val="0069561C"/>
    <w:rsid w:val="00695A32"/>
    <w:rsid w:val="00695B57"/>
    <w:rsid w:val="00697729"/>
    <w:rsid w:val="006A1334"/>
    <w:rsid w:val="006A1792"/>
    <w:rsid w:val="006A3713"/>
    <w:rsid w:val="006A3C5B"/>
    <w:rsid w:val="006A446B"/>
    <w:rsid w:val="006A49D0"/>
    <w:rsid w:val="006A5477"/>
    <w:rsid w:val="006A5501"/>
    <w:rsid w:val="006A6839"/>
    <w:rsid w:val="006A722B"/>
    <w:rsid w:val="006B21C4"/>
    <w:rsid w:val="006B2868"/>
    <w:rsid w:val="006B2897"/>
    <w:rsid w:val="006B37AA"/>
    <w:rsid w:val="006B3886"/>
    <w:rsid w:val="006B5568"/>
    <w:rsid w:val="006B59DF"/>
    <w:rsid w:val="006B624D"/>
    <w:rsid w:val="006B654E"/>
    <w:rsid w:val="006C029B"/>
    <w:rsid w:val="006C04D7"/>
    <w:rsid w:val="006C068C"/>
    <w:rsid w:val="006C0840"/>
    <w:rsid w:val="006C0909"/>
    <w:rsid w:val="006C36AE"/>
    <w:rsid w:val="006C40EF"/>
    <w:rsid w:val="006C417A"/>
    <w:rsid w:val="006C4803"/>
    <w:rsid w:val="006C5CAF"/>
    <w:rsid w:val="006C6584"/>
    <w:rsid w:val="006C735E"/>
    <w:rsid w:val="006D0365"/>
    <w:rsid w:val="006D3A7C"/>
    <w:rsid w:val="006D4AF2"/>
    <w:rsid w:val="006D4E09"/>
    <w:rsid w:val="006D54DE"/>
    <w:rsid w:val="006D7B43"/>
    <w:rsid w:val="006D7DB4"/>
    <w:rsid w:val="006E00F8"/>
    <w:rsid w:val="006E0945"/>
    <w:rsid w:val="006E17AA"/>
    <w:rsid w:val="006E1FAA"/>
    <w:rsid w:val="006E2C8B"/>
    <w:rsid w:val="006E2F5B"/>
    <w:rsid w:val="006E4237"/>
    <w:rsid w:val="006E4987"/>
    <w:rsid w:val="006E5D58"/>
    <w:rsid w:val="006E5D6E"/>
    <w:rsid w:val="006E7927"/>
    <w:rsid w:val="006F0228"/>
    <w:rsid w:val="006F0C47"/>
    <w:rsid w:val="006F1034"/>
    <w:rsid w:val="006F1D0E"/>
    <w:rsid w:val="006F2225"/>
    <w:rsid w:val="006F372D"/>
    <w:rsid w:val="006F3908"/>
    <w:rsid w:val="006F4856"/>
    <w:rsid w:val="006F75BD"/>
    <w:rsid w:val="006F7A6B"/>
    <w:rsid w:val="006F7BA6"/>
    <w:rsid w:val="00700847"/>
    <w:rsid w:val="0070099C"/>
    <w:rsid w:val="00701D81"/>
    <w:rsid w:val="00702025"/>
    <w:rsid w:val="00702693"/>
    <w:rsid w:val="00704CE8"/>
    <w:rsid w:val="00704EAA"/>
    <w:rsid w:val="00706326"/>
    <w:rsid w:val="007066CF"/>
    <w:rsid w:val="0070677D"/>
    <w:rsid w:val="00710523"/>
    <w:rsid w:val="00710D8C"/>
    <w:rsid w:val="00711C6D"/>
    <w:rsid w:val="00713246"/>
    <w:rsid w:val="00715F6B"/>
    <w:rsid w:val="00716AF4"/>
    <w:rsid w:val="00717CA4"/>
    <w:rsid w:val="0072045E"/>
    <w:rsid w:val="00720B34"/>
    <w:rsid w:val="00721B03"/>
    <w:rsid w:val="00721D91"/>
    <w:rsid w:val="00721F01"/>
    <w:rsid w:val="00722625"/>
    <w:rsid w:val="00722BC9"/>
    <w:rsid w:val="00723A7A"/>
    <w:rsid w:val="00723B41"/>
    <w:rsid w:val="00723C33"/>
    <w:rsid w:val="007251BB"/>
    <w:rsid w:val="0073009D"/>
    <w:rsid w:val="0073080E"/>
    <w:rsid w:val="0073136F"/>
    <w:rsid w:val="007319D9"/>
    <w:rsid w:val="00733319"/>
    <w:rsid w:val="00733CBE"/>
    <w:rsid w:val="00734126"/>
    <w:rsid w:val="00734F85"/>
    <w:rsid w:val="00736A05"/>
    <w:rsid w:val="0074010E"/>
    <w:rsid w:val="007401FF"/>
    <w:rsid w:val="00744054"/>
    <w:rsid w:val="0074582D"/>
    <w:rsid w:val="0074619C"/>
    <w:rsid w:val="0074662F"/>
    <w:rsid w:val="00746CB9"/>
    <w:rsid w:val="00747F41"/>
    <w:rsid w:val="0075175C"/>
    <w:rsid w:val="007522FC"/>
    <w:rsid w:val="007525E7"/>
    <w:rsid w:val="00752D55"/>
    <w:rsid w:val="00753DBE"/>
    <w:rsid w:val="00754316"/>
    <w:rsid w:val="00757C94"/>
    <w:rsid w:val="00757FE0"/>
    <w:rsid w:val="00760047"/>
    <w:rsid w:val="00765ED8"/>
    <w:rsid w:val="0076604F"/>
    <w:rsid w:val="00770BDB"/>
    <w:rsid w:val="00774307"/>
    <w:rsid w:val="00775F86"/>
    <w:rsid w:val="00776F20"/>
    <w:rsid w:val="00777DC4"/>
    <w:rsid w:val="0078053E"/>
    <w:rsid w:val="00780E0E"/>
    <w:rsid w:val="00782B49"/>
    <w:rsid w:val="00783934"/>
    <w:rsid w:val="007855CC"/>
    <w:rsid w:val="007877FE"/>
    <w:rsid w:val="007908D1"/>
    <w:rsid w:val="007914BB"/>
    <w:rsid w:val="007920EE"/>
    <w:rsid w:val="00793779"/>
    <w:rsid w:val="00793935"/>
    <w:rsid w:val="007955E9"/>
    <w:rsid w:val="007A0286"/>
    <w:rsid w:val="007A067A"/>
    <w:rsid w:val="007A0D0F"/>
    <w:rsid w:val="007A1710"/>
    <w:rsid w:val="007A3A73"/>
    <w:rsid w:val="007A586F"/>
    <w:rsid w:val="007A6BAD"/>
    <w:rsid w:val="007A6BF7"/>
    <w:rsid w:val="007A6F01"/>
    <w:rsid w:val="007B0172"/>
    <w:rsid w:val="007B0683"/>
    <w:rsid w:val="007B14D1"/>
    <w:rsid w:val="007B1ABA"/>
    <w:rsid w:val="007B2712"/>
    <w:rsid w:val="007B3B4B"/>
    <w:rsid w:val="007B71FE"/>
    <w:rsid w:val="007B74C5"/>
    <w:rsid w:val="007C0411"/>
    <w:rsid w:val="007C054E"/>
    <w:rsid w:val="007C10A5"/>
    <w:rsid w:val="007C423B"/>
    <w:rsid w:val="007C472C"/>
    <w:rsid w:val="007C6487"/>
    <w:rsid w:val="007C6BE8"/>
    <w:rsid w:val="007C7285"/>
    <w:rsid w:val="007C7F6A"/>
    <w:rsid w:val="007D154E"/>
    <w:rsid w:val="007D1C04"/>
    <w:rsid w:val="007D2226"/>
    <w:rsid w:val="007D5A3A"/>
    <w:rsid w:val="007D5C3A"/>
    <w:rsid w:val="007D70E9"/>
    <w:rsid w:val="007E051C"/>
    <w:rsid w:val="007E07D1"/>
    <w:rsid w:val="007E166D"/>
    <w:rsid w:val="007E1CA9"/>
    <w:rsid w:val="007E28C3"/>
    <w:rsid w:val="007E4743"/>
    <w:rsid w:val="007E55FC"/>
    <w:rsid w:val="007E7835"/>
    <w:rsid w:val="007F022E"/>
    <w:rsid w:val="007F02C9"/>
    <w:rsid w:val="007F2542"/>
    <w:rsid w:val="007F2C0D"/>
    <w:rsid w:val="007F339B"/>
    <w:rsid w:val="007F34AB"/>
    <w:rsid w:val="007F5630"/>
    <w:rsid w:val="007F6373"/>
    <w:rsid w:val="007F72C5"/>
    <w:rsid w:val="00800515"/>
    <w:rsid w:val="0080086C"/>
    <w:rsid w:val="008014A0"/>
    <w:rsid w:val="008025AB"/>
    <w:rsid w:val="008025E4"/>
    <w:rsid w:val="00802E81"/>
    <w:rsid w:val="00803B9C"/>
    <w:rsid w:val="008046FD"/>
    <w:rsid w:val="008071AF"/>
    <w:rsid w:val="0080795A"/>
    <w:rsid w:val="008162A4"/>
    <w:rsid w:val="00816719"/>
    <w:rsid w:val="00816FC4"/>
    <w:rsid w:val="0082245C"/>
    <w:rsid w:val="00825C46"/>
    <w:rsid w:val="00826DA4"/>
    <w:rsid w:val="00827810"/>
    <w:rsid w:val="00827E7C"/>
    <w:rsid w:val="0083030E"/>
    <w:rsid w:val="00831C7F"/>
    <w:rsid w:val="00832F0B"/>
    <w:rsid w:val="008332A5"/>
    <w:rsid w:val="00833BC2"/>
    <w:rsid w:val="0083579A"/>
    <w:rsid w:val="00836E74"/>
    <w:rsid w:val="00837B73"/>
    <w:rsid w:val="00841DC9"/>
    <w:rsid w:val="00843AB0"/>
    <w:rsid w:val="00843CD7"/>
    <w:rsid w:val="008463F1"/>
    <w:rsid w:val="0084641D"/>
    <w:rsid w:val="0084788B"/>
    <w:rsid w:val="00847B77"/>
    <w:rsid w:val="008507C1"/>
    <w:rsid w:val="00850938"/>
    <w:rsid w:val="00850B4E"/>
    <w:rsid w:val="00851865"/>
    <w:rsid w:val="008532E7"/>
    <w:rsid w:val="008532E8"/>
    <w:rsid w:val="0085349E"/>
    <w:rsid w:val="00854A09"/>
    <w:rsid w:val="0085668F"/>
    <w:rsid w:val="008606A3"/>
    <w:rsid w:val="00860D9F"/>
    <w:rsid w:val="00861934"/>
    <w:rsid w:val="00861E02"/>
    <w:rsid w:val="00864366"/>
    <w:rsid w:val="008648BA"/>
    <w:rsid w:val="00865FA4"/>
    <w:rsid w:val="00866846"/>
    <w:rsid w:val="008673E0"/>
    <w:rsid w:val="0086774D"/>
    <w:rsid w:val="00867917"/>
    <w:rsid w:val="00871008"/>
    <w:rsid w:val="0087456F"/>
    <w:rsid w:val="008745CA"/>
    <w:rsid w:val="008748B5"/>
    <w:rsid w:val="008757BC"/>
    <w:rsid w:val="00877F66"/>
    <w:rsid w:val="00880AB5"/>
    <w:rsid w:val="008815A1"/>
    <w:rsid w:val="00882782"/>
    <w:rsid w:val="00884126"/>
    <w:rsid w:val="0088669D"/>
    <w:rsid w:val="00886D66"/>
    <w:rsid w:val="00890CF1"/>
    <w:rsid w:val="008919CA"/>
    <w:rsid w:val="00892FB8"/>
    <w:rsid w:val="0089641A"/>
    <w:rsid w:val="00896B60"/>
    <w:rsid w:val="00897924"/>
    <w:rsid w:val="00897B9F"/>
    <w:rsid w:val="008A133D"/>
    <w:rsid w:val="008A1B9A"/>
    <w:rsid w:val="008A24F0"/>
    <w:rsid w:val="008A4BA5"/>
    <w:rsid w:val="008A4DCF"/>
    <w:rsid w:val="008A5802"/>
    <w:rsid w:val="008B0678"/>
    <w:rsid w:val="008B09CF"/>
    <w:rsid w:val="008B10D3"/>
    <w:rsid w:val="008B2208"/>
    <w:rsid w:val="008B4F01"/>
    <w:rsid w:val="008B660A"/>
    <w:rsid w:val="008C27AB"/>
    <w:rsid w:val="008C51D4"/>
    <w:rsid w:val="008C712E"/>
    <w:rsid w:val="008C7524"/>
    <w:rsid w:val="008D1188"/>
    <w:rsid w:val="008D1DDE"/>
    <w:rsid w:val="008D1E0C"/>
    <w:rsid w:val="008D1E47"/>
    <w:rsid w:val="008D2534"/>
    <w:rsid w:val="008D787A"/>
    <w:rsid w:val="008E0827"/>
    <w:rsid w:val="008E0E6E"/>
    <w:rsid w:val="008E2854"/>
    <w:rsid w:val="008E2A53"/>
    <w:rsid w:val="008E2D30"/>
    <w:rsid w:val="008E5008"/>
    <w:rsid w:val="008E6312"/>
    <w:rsid w:val="008E6A97"/>
    <w:rsid w:val="008E7882"/>
    <w:rsid w:val="008F0AC9"/>
    <w:rsid w:val="008F1F88"/>
    <w:rsid w:val="008F2E9D"/>
    <w:rsid w:val="008F350F"/>
    <w:rsid w:val="008F67BD"/>
    <w:rsid w:val="008F6DCD"/>
    <w:rsid w:val="008F78DF"/>
    <w:rsid w:val="0090033B"/>
    <w:rsid w:val="0090034F"/>
    <w:rsid w:val="00902AFC"/>
    <w:rsid w:val="009042EB"/>
    <w:rsid w:val="00905B42"/>
    <w:rsid w:val="00906327"/>
    <w:rsid w:val="0090721E"/>
    <w:rsid w:val="009074F9"/>
    <w:rsid w:val="00910C9C"/>
    <w:rsid w:val="00911E34"/>
    <w:rsid w:val="00916C18"/>
    <w:rsid w:val="00920C8F"/>
    <w:rsid w:val="00921BD8"/>
    <w:rsid w:val="00921C88"/>
    <w:rsid w:val="00923A0F"/>
    <w:rsid w:val="009241A0"/>
    <w:rsid w:val="009246DE"/>
    <w:rsid w:val="009267C6"/>
    <w:rsid w:val="00926989"/>
    <w:rsid w:val="00926F03"/>
    <w:rsid w:val="00927707"/>
    <w:rsid w:val="00930CDA"/>
    <w:rsid w:val="009319F7"/>
    <w:rsid w:val="00932812"/>
    <w:rsid w:val="00932D79"/>
    <w:rsid w:val="009345BB"/>
    <w:rsid w:val="0093473D"/>
    <w:rsid w:val="00935481"/>
    <w:rsid w:val="00935E70"/>
    <w:rsid w:val="00936B0B"/>
    <w:rsid w:val="00937739"/>
    <w:rsid w:val="00937C96"/>
    <w:rsid w:val="00937D83"/>
    <w:rsid w:val="00940B2C"/>
    <w:rsid w:val="0094127A"/>
    <w:rsid w:val="00941CB9"/>
    <w:rsid w:val="009426A0"/>
    <w:rsid w:val="009436A3"/>
    <w:rsid w:val="00943882"/>
    <w:rsid w:val="00950391"/>
    <w:rsid w:val="009506F6"/>
    <w:rsid w:val="00950F0D"/>
    <w:rsid w:val="009525C8"/>
    <w:rsid w:val="0095312E"/>
    <w:rsid w:val="00953532"/>
    <w:rsid w:val="00954C65"/>
    <w:rsid w:val="00955A13"/>
    <w:rsid w:val="0095636C"/>
    <w:rsid w:val="0096054F"/>
    <w:rsid w:val="009624CF"/>
    <w:rsid w:val="00963587"/>
    <w:rsid w:val="00963E61"/>
    <w:rsid w:val="009655DD"/>
    <w:rsid w:val="0097050E"/>
    <w:rsid w:val="009728C9"/>
    <w:rsid w:val="00972F57"/>
    <w:rsid w:val="009736B7"/>
    <w:rsid w:val="009738CC"/>
    <w:rsid w:val="0097468E"/>
    <w:rsid w:val="00974925"/>
    <w:rsid w:val="00974B45"/>
    <w:rsid w:val="0097590E"/>
    <w:rsid w:val="009765CB"/>
    <w:rsid w:val="009767CB"/>
    <w:rsid w:val="009774D4"/>
    <w:rsid w:val="009804D7"/>
    <w:rsid w:val="009814A5"/>
    <w:rsid w:val="00981DBE"/>
    <w:rsid w:val="00982D35"/>
    <w:rsid w:val="009836AF"/>
    <w:rsid w:val="00984FB8"/>
    <w:rsid w:val="00985796"/>
    <w:rsid w:val="00985C5C"/>
    <w:rsid w:val="009876E0"/>
    <w:rsid w:val="00987C3A"/>
    <w:rsid w:val="009900E9"/>
    <w:rsid w:val="00990DF6"/>
    <w:rsid w:val="0099181A"/>
    <w:rsid w:val="009940AA"/>
    <w:rsid w:val="00994689"/>
    <w:rsid w:val="00995157"/>
    <w:rsid w:val="00995280"/>
    <w:rsid w:val="00995F58"/>
    <w:rsid w:val="009961C8"/>
    <w:rsid w:val="009A22CF"/>
    <w:rsid w:val="009A2928"/>
    <w:rsid w:val="009A2FC4"/>
    <w:rsid w:val="009A3177"/>
    <w:rsid w:val="009A3D8C"/>
    <w:rsid w:val="009A448D"/>
    <w:rsid w:val="009A63A4"/>
    <w:rsid w:val="009A67D1"/>
    <w:rsid w:val="009A6C72"/>
    <w:rsid w:val="009A7096"/>
    <w:rsid w:val="009A7C70"/>
    <w:rsid w:val="009B031A"/>
    <w:rsid w:val="009B1EA5"/>
    <w:rsid w:val="009B2F5E"/>
    <w:rsid w:val="009B3DA4"/>
    <w:rsid w:val="009B4B01"/>
    <w:rsid w:val="009B5423"/>
    <w:rsid w:val="009B5D23"/>
    <w:rsid w:val="009C107E"/>
    <w:rsid w:val="009C32A2"/>
    <w:rsid w:val="009C39AB"/>
    <w:rsid w:val="009C4105"/>
    <w:rsid w:val="009C4FA9"/>
    <w:rsid w:val="009C55CB"/>
    <w:rsid w:val="009C6C0C"/>
    <w:rsid w:val="009C71D3"/>
    <w:rsid w:val="009C79D1"/>
    <w:rsid w:val="009C7EEC"/>
    <w:rsid w:val="009D4D3C"/>
    <w:rsid w:val="009D67C4"/>
    <w:rsid w:val="009D6CCB"/>
    <w:rsid w:val="009E19A4"/>
    <w:rsid w:val="009E213C"/>
    <w:rsid w:val="009E27C7"/>
    <w:rsid w:val="009E316A"/>
    <w:rsid w:val="009E4720"/>
    <w:rsid w:val="009E4CB3"/>
    <w:rsid w:val="009E5577"/>
    <w:rsid w:val="009E5F33"/>
    <w:rsid w:val="009E69D2"/>
    <w:rsid w:val="009E6E0C"/>
    <w:rsid w:val="009E7FEB"/>
    <w:rsid w:val="009F0D3B"/>
    <w:rsid w:val="009F7AA2"/>
    <w:rsid w:val="00A00047"/>
    <w:rsid w:val="00A0087C"/>
    <w:rsid w:val="00A0089C"/>
    <w:rsid w:val="00A00B74"/>
    <w:rsid w:val="00A00C78"/>
    <w:rsid w:val="00A01016"/>
    <w:rsid w:val="00A0175F"/>
    <w:rsid w:val="00A022B6"/>
    <w:rsid w:val="00A02447"/>
    <w:rsid w:val="00A02B33"/>
    <w:rsid w:val="00A0394A"/>
    <w:rsid w:val="00A04E7B"/>
    <w:rsid w:val="00A05C5B"/>
    <w:rsid w:val="00A06FB0"/>
    <w:rsid w:val="00A120F8"/>
    <w:rsid w:val="00A1257F"/>
    <w:rsid w:val="00A1458E"/>
    <w:rsid w:val="00A14C5F"/>
    <w:rsid w:val="00A14D27"/>
    <w:rsid w:val="00A151B8"/>
    <w:rsid w:val="00A169FF"/>
    <w:rsid w:val="00A20E52"/>
    <w:rsid w:val="00A21B54"/>
    <w:rsid w:val="00A21D5F"/>
    <w:rsid w:val="00A22849"/>
    <w:rsid w:val="00A242A3"/>
    <w:rsid w:val="00A246B3"/>
    <w:rsid w:val="00A24E6E"/>
    <w:rsid w:val="00A252A4"/>
    <w:rsid w:val="00A264BE"/>
    <w:rsid w:val="00A2693A"/>
    <w:rsid w:val="00A2743D"/>
    <w:rsid w:val="00A303FC"/>
    <w:rsid w:val="00A318B3"/>
    <w:rsid w:val="00A32287"/>
    <w:rsid w:val="00A32751"/>
    <w:rsid w:val="00A32E1B"/>
    <w:rsid w:val="00A33753"/>
    <w:rsid w:val="00A35305"/>
    <w:rsid w:val="00A367A0"/>
    <w:rsid w:val="00A368E7"/>
    <w:rsid w:val="00A4072B"/>
    <w:rsid w:val="00A41218"/>
    <w:rsid w:val="00A4155F"/>
    <w:rsid w:val="00A4312D"/>
    <w:rsid w:val="00A43694"/>
    <w:rsid w:val="00A4374D"/>
    <w:rsid w:val="00A44EB1"/>
    <w:rsid w:val="00A46320"/>
    <w:rsid w:val="00A474A4"/>
    <w:rsid w:val="00A50EA9"/>
    <w:rsid w:val="00A5201F"/>
    <w:rsid w:val="00A535F1"/>
    <w:rsid w:val="00A5420F"/>
    <w:rsid w:val="00A54D39"/>
    <w:rsid w:val="00A552D0"/>
    <w:rsid w:val="00A55CAD"/>
    <w:rsid w:val="00A56FC7"/>
    <w:rsid w:val="00A57EE6"/>
    <w:rsid w:val="00A616B9"/>
    <w:rsid w:val="00A61FE9"/>
    <w:rsid w:val="00A63CEC"/>
    <w:rsid w:val="00A65E8C"/>
    <w:rsid w:val="00A6752E"/>
    <w:rsid w:val="00A71E44"/>
    <w:rsid w:val="00A72575"/>
    <w:rsid w:val="00A7351F"/>
    <w:rsid w:val="00A74071"/>
    <w:rsid w:val="00A743FA"/>
    <w:rsid w:val="00A74785"/>
    <w:rsid w:val="00A749FB"/>
    <w:rsid w:val="00A756D6"/>
    <w:rsid w:val="00A76DF4"/>
    <w:rsid w:val="00A771B8"/>
    <w:rsid w:val="00A7754A"/>
    <w:rsid w:val="00A77C48"/>
    <w:rsid w:val="00A8113F"/>
    <w:rsid w:val="00A825E8"/>
    <w:rsid w:val="00A828EF"/>
    <w:rsid w:val="00A8339E"/>
    <w:rsid w:val="00A836BB"/>
    <w:rsid w:val="00A83CF0"/>
    <w:rsid w:val="00A849EB"/>
    <w:rsid w:val="00A85635"/>
    <w:rsid w:val="00A937EE"/>
    <w:rsid w:val="00A93D59"/>
    <w:rsid w:val="00A93ECA"/>
    <w:rsid w:val="00A9474F"/>
    <w:rsid w:val="00A96BA9"/>
    <w:rsid w:val="00AA0524"/>
    <w:rsid w:val="00AA124A"/>
    <w:rsid w:val="00AA181C"/>
    <w:rsid w:val="00AA2375"/>
    <w:rsid w:val="00AA2A96"/>
    <w:rsid w:val="00AA4B9B"/>
    <w:rsid w:val="00AA4F98"/>
    <w:rsid w:val="00AB04A0"/>
    <w:rsid w:val="00AB17A9"/>
    <w:rsid w:val="00AB1917"/>
    <w:rsid w:val="00AB36E9"/>
    <w:rsid w:val="00AB48F1"/>
    <w:rsid w:val="00AB4CBC"/>
    <w:rsid w:val="00AB5262"/>
    <w:rsid w:val="00AB56A7"/>
    <w:rsid w:val="00AC0C27"/>
    <w:rsid w:val="00AC2541"/>
    <w:rsid w:val="00AC2DB8"/>
    <w:rsid w:val="00AC30E7"/>
    <w:rsid w:val="00AC3176"/>
    <w:rsid w:val="00AC3546"/>
    <w:rsid w:val="00AC3BF1"/>
    <w:rsid w:val="00AC4659"/>
    <w:rsid w:val="00AC4C2B"/>
    <w:rsid w:val="00AC6788"/>
    <w:rsid w:val="00AC7CE3"/>
    <w:rsid w:val="00AD04A3"/>
    <w:rsid w:val="00AD10C4"/>
    <w:rsid w:val="00AD1DB0"/>
    <w:rsid w:val="00AD250B"/>
    <w:rsid w:val="00AD3811"/>
    <w:rsid w:val="00AD3C55"/>
    <w:rsid w:val="00AD48BD"/>
    <w:rsid w:val="00AD560A"/>
    <w:rsid w:val="00AD6282"/>
    <w:rsid w:val="00AD6943"/>
    <w:rsid w:val="00AD6EEB"/>
    <w:rsid w:val="00AD7D10"/>
    <w:rsid w:val="00AE0999"/>
    <w:rsid w:val="00AE19C0"/>
    <w:rsid w:val="00AE2269"/>
    <w:rsid w:val="00AE3562"/>
    <w:rsid w:val="00AE3771"/>
    <w:rsid w:val="00AE3980"/>
    <w:rsid w:val="00AE3FD9"/>
    <w:rsid w:val="00AE4AE3"/>
    <w:rsid w:val="00AE4C96"/>
    <w:rsid w:val="00AE589B"/>
    <w:rsid w:val="00AE7033"/>
    <w:rsid w:val="00AF0644"/>
    <w:rsid w:val="00AF1889"/>
    <w:rsid w:val="00AF1B58"/>
    <w:rsid w:val="00AF238A"/>
    <w:rsid w:val="00AF310F"/>
    <w:rsid w:val="00AF3CBA"/>
    <w:rsid w:val="00AF4BC0"/>
    <w:rsid w:val="00AF6169"/>
    <w:rsid w:val="00AF6D1B"/>
    <w:rsid w:val="00B01A74"/>
    <w:rsid w:val="00B028CE"/>
    <w:rsid w:val="00B0363C"/>
    <w:rsid w:val="00B0488D"/>
    <w:rsid w:val="00B0526B"/>
    <w:rsid w:val="00B06051"/>
    <w:rsid w:val="00B100CC"/>
    <w:rsid w:val="00B10E78"/>
    <w:rsid w:val="00B110EC"/>
    <w:rsid w:val="00B14B2B"/>
    <w:rsid w:val="00B15939"/>
    <w:rsid w:val="00B22159"/>
    <w:rsid w:val="00B22178"/>
    <w:rsid w:val="00B23B8E"/>
    <w:rsid w:val="00B23C7D"/>
    <w:rsid w:val="00B23E99"/>
    <w:rsid w:val="00B245DA"/>
    <w:rsid w:val="00B252CC"/>
    <w:rsid w:val="00B25869"/>
    <w:rsid w:val="00B25911"/>
    <w:rsid w:val="00B25FB8"/>
    <w:rsid w:val="00B2603D"/>
    <w:rsid w:val="00B268C0"/>
    <w:rsid w:val="00B30F6F"/>
    <w:rsid w:val="00B31DC9"/>
    <w:rsid w:val="00B32299"/>
    <w:rsid w:val="00B33CFE"/>
    <w:rsid w:val="00B349A5"/>
    <w:rsid w:val="00B3513F"/>
    <w:rsid w:val="00B35AE4"/>
    <w:rsid w:val="00B36440"/>
    <w:rsid w:val="00B36B3C"/>
    <w:rsid w:val="00B40A15"/>
    <w:rsid w:val="00B431C6"/>
    <w:rsid w:val="00B4350B"/>
    <w:rsid w:val="00B436C4"/>
    <w:rsid w:val="00B43D2A"/>
    <w:rsid w:val="00B445DE"/>
    <w:rsid w:val="00B44AE0"/>
    <w:rsid w:val="00B44CEA"/>
    <w:rsid w:val="00B45018"/>
    <w:rsid w:val="00B4768A"/>
    <w:rsid w:val="00B478F4"/>
    <w:rsid w:val="00B504D3"/>
    <w:rsid w:val="00B504DE"/>
    <w:rsid w:val="00B521CD"/>
    <w:rsid w:val="00B52F11"/>
    <w:rsid w:val="00B53018"/>
    <w:rsid w:val="00B54536"/>
    <w:rsid w:val="00B54967"/>
    <w:rsid w:val="00B54E3D"/>
    <w:rsid w:val="00B557F5"/>
    <w:rsid w:val="00B559D5"/>
    <w:rsid w:val="00B574EF"/>
    <w:rsid w:val="00B60B09"/>
    <w:rsid w:val="00B66619"/>
    <w:rsid w:val="00B6689D"/>
    <w:rsid w:val="00B672F1"/>
    <w:rsid w:val="00B67D98"/>
    <w:rsid w:val="00B7098E"/>
    <w:rsid w:val="00B70D37"/>
    <w:rsid w:val="00B7148C"/>
    <w:rsid w:val="00B71C01"/>
    <w:rsid w:val="00B71C8C"/>
    <w:rsid w:val="00B721F3"/>
    <w:rsid w:val="00B72368"/>
    <w:rsid w:val="00B74C92"/>
    <w:rsid w:val="00B7507A"/>
    <w:rsid w:val="00B75869"/>
    <w:rsid w:val="00B75AF2"/>
    <w:rsid w:val="00B75C7C"/>
    <w:rsid w:val="00B777C2"/>
    <w:rsid w:val="00B81884"/>
    <w:rsid w:val="00B818F8"/>
    <w:rsid w:val="00B81FCD"/>
    <w:rsid w:val="00B8201B"/>
    <w:rsid w:val="00B8277E"/>
    <w:rsid w:val="00B8468A"/>
    <w:rsid w:val="00B85CCF"/>
    <w:rsid w:val="00B87A29"/>
    <w:rsid w:val="00B90D27"/>
    <w:rsid w:val="00B92777"/>
    <w:rsid w:val="00B92B0D"/>
    <w:rsid w:val="00B93EE2"/>
    <w:rsid w:val="00B96F97"/>
    <w:rsid w:val="00B97353"/>
    <w:rsid w:val="00B97881"/>
    <w:rsid w:val="00B97E97"/>
    <w:rsid w:val="00BA0144"/>
    <w:rsid w:val="00BA0EBE"/>
    <w:rsid w:val="00BA17D9"/>
    <w:rsid w:val="00BA31E8"/>
    <w:rsid w:val="00BA3A42"/>
    <w:rsid w:val="00BA6413"/>
    <w:rsid w:val="00BA6F9F"/>
    <w:rsid w:val="00BA764A"/>
    <w:rsid w:val="00BB0422"/>
    <w:rsid w:val="00BB1051"/>
    <w:rsid w:val="00BB3BB6"/>
    <w:rsid w:val="00BB3C8F"/>
    <w:rsid w:val="00BB3D43"/>
    <w:rsid w:val="00BB6184"/>
    <w:rsid w:val="00BB7695"/>
    <w:rsid w:val="00BB7FD6"/>
    <w:rsid w:val="00BC198B"/>
    <w:rsid w:val="00BC2E7B"/>
    <w:rsid w:val="00BC3506"/>
    <w:rsid w:val="00BC62A0"/>
    <w:rsid w:val="00BC71C2"/>
    <w:rsid w:val="00BD057A"/>
    <w:rsid w:val="00BD1540"/>
    <w:rsid w:val="00BD1A08"/>
    <w:rsid w:val="00BD1CE7"/>
    <w:rsid w:val="00BD2BEB"/>
    <w:rsid w:val="00BD4007"/>
    <w:rsid w:val="00BD4376"/>
    <w:rsid w:val="00BD44B4"/>
    <w:rsid w:val="00BD561D"/>
    <w:rsid w:val="00BD6514"/>
    <w:rsid w:val="00BE00AB"/>
    <w:rsid w:val="00BE01BA"/>
    <w:rsid w:val="00BE230F"/>
    <w:rsid w:val="00BE353E"/>
    <w:rsid w:val="00BE4833"/>
    <w:rsid w:val="00BE527C"/>
    <w:rsid w:val="00BE60EB"/>
    <w:rsid w:val="00BE6473"/>
    <w:rsid w:val="00BE664C"/>
    <w:rsid w:val="00BE737E"/>
    <w:rsid w:val="00BF0E25"/>
    <w:rsid w:val="00BF17F6"/>
    <w:rsid w:val="00BF28B4"/>
    <w:rsid w:val="00BF5E4A"/>
    <w:rsid w:val="00BF6A93"/>
    <w:rsid w:val="00BF763F"/>
    <w:rsid w:val="00C052B3"/>
    <w:rsid w:val="00C05429"/>
    <w:rsid w:val="00C0635F"/>
    <w:rsid w:val="00C0693F"/>
    <w:rsid w:val="00C06D25"/>
    <w:rsid w:val="00C071AF"/>
    <w:rsid w:val="00C11C9D"/>
    <w:rsid w:val="00C14FFC"/>
    <w:rsid w:val="00C1505F"/>
    <w:rsid w:val="00C167FA"/>
    <w:rsid w:val="00C16C7A"/>
    <w:rsid w:val="00C171B8"/>
    <w:rsid w:val="00C22130"/>
    <w:rsid w:val="00C24C31"/>
    <w:rsid w:val="00C307C3"/>
    <w:rsid w:val="00C30DD9"/>
    <w:rsid w:val="00C33001"/>
    <w:rsid w:val="00C36C2D"/>
    <w:rsid w:val="00C37D99"/>
    <w:rsid w:val="00C40B68"/>
    <w:rsid w:val="00C40FC4"/>
    <w:rsid w:val="00C41CAA"/>
    <w:rsid w:val="00C41E7B"/>
    <w:rsid w:val="00C42DC3"/>
    <w:rsid w:val="00C42DD6"/>
    <w:rsid w:val="00C44304"/>
    <w:rsid w:val="00C44661"/>
    <w:rsid w:val="00C44E81"/>
    <w:rsid w:val="00C468C7"/>
    <w:rsid w:val="00C50487"/>
    <w:rsid w:val="00C51910"/>
    <w:rsid w:val="00C52611"/>
    <w:rsid w:val="00C528C9"/>
    <w:rsid w:val="00C54D58"/>
    <w:rsid w:val="00C56133"/>
    <w:rsid w:val="00C5617D"/>
    <w:rsid w:val="00C573E1"/>
    <w:rsid w:val="00C5762B"/>
    <w:rsid w:val="00C57B6B"/>
    <w:rsid w:val="00C57DCA"/>
    <w:rsid w:val="00C61953"/>
    <w:rsid w:val="00C638CF"/>
    <w:rsid w:val="00C63C67"/>
    <w:rsid w:val="00C65316"/>
    <w:rsid w:val="00C65D9E"/>
    <w:rsid w:val="00C6610D"/>
    <w:rsid w:val="00C666B0"/>
    <w:rsid w:val="00C670C4"/>
    <w:rsid w:val="00C6775E"/>
    <w:rsid w:val="00C67C6F"/>
    <w:rsid w:val="00C67F06"/>
    <w:rsid w:val="00C70A01"/>
    <w:rsid w:val="00C71091"/>
    <w:rsid w:val="00C72745"/>
    <w:rsid w:val="00C73D42"/>
    <w:rsid w:val="00C745DC"/>
    <w:rsid w:val="00C74B2F"/>
    <w:rsid w:val="00C74E9C"/>
    <w:rsid w:val="00C75380"/>
    <w:rsid w:val="00C7555B"/>
    <w:rsid w:val="00C76272"/>
    <w:rsid w:val="00C76DBD"/>
    <w:rsid w:val="00C77AED"/>
    <w:rsid w:val="00C808B1"/>
    <w:rsid w:val="00C815D7"/>
    <w:rsid w:val="00C838EB"/>
    <w:rsid w:val="00C8418C"/>
    <w:rsid w:val="00C90260"/>
    <w:rsid w:val="00C91C64"/>
    <w:rsid w:val="00C93212"/>
    <w:rsid w:val="00C93958"/>
    <w:rsid w:val="00C95160"/>
    <w:rsid w:val="00C95284"/>
    <w:rsid w:val="00C95DF6"/>
    <w:rsid w:val="00CA0558"/>
    <w:rsid w:val="00CA06DA"/>
    <w:rsid w:val="00CA2E16"/>
    <w:rsid w:val="00CA325B"/>
    <w:rsid w:val="00CA48DA"/>
    <w:rsid w:val="00CA5F50"/>
    <w:rsid w:val="00CA6099"/>
    <w:rsid w:val="00CA6C98"/>
    <w:rsid w:val="00CA76ED"/>
    <w:rsid w:val="00CA7A17"/>
    <w:rsid w:val="00CB36C5"/>
    <w:rsid w:val="00CB47D5"/>
    <w:rsid w:val="00CB6134"/>
    <w:rsid w:val="00CB6D93"/>
    <w:rsid w:val="00CC07D8"/>
    <w:rsid w:val="00CC0C67"/>
    <w:rsid w:val="00CC1ACC"/>
    <w:rsid w:val="00CC217C"/>
    <w:rsid w:val="00CC5737"/>
    <w:rsid w:val="00CC5C9A"/>
    <w:rsid w:val="00CC67D6"/>
    <w:rsid w:val="00CC7054"/>
    <w:rsid w:val="00CD0459"/>
    <w:rsid w:val="00CD08D9"/>
    <w:rsid w:val="00CD1B78"/>
    <w:rsid w:val="00CD2211"/>
    <w:rsid w:val="00CD287E"/>
    <w:rsid w:val="00CD3FBD"/>
    <w:rsid w:val="00CD4110"/>
    <w:rsid w:val="00CD4270"/>
    <w:rsid w:val="00CD4387"/>
    <w:rsid w:val="00CD6CAF"/>
    <w:rsid w:val="00CD783E"/>
    <w:rsid w:val="00CE04B0"/>
    <w:rsid w:val="00CE21C9"/>
    <w:rsid w:val="00CE4180"/>
    <w:rsid w:val="00CE6542"/>
    <w:rsid w:val="00CF1F18"/>
    <w:rsid w:val="00CF3476"/>
    <w:rsid w:val="00CF3E91"/>
    <w:rsid w:val="00CF4E18"/>
    <w:rsid w:val="00CF5309"/>
    <w:rsid w:val="00CF55BC"/>
    <w:rsid w:val="00CF6ED7"/>
    <w:rsid w:val="00CF77C3"/>
    <w:rsid w:val="00D01217"/>
    <w:rsid w:val="00D0175A"/>
    <w:rsid w:val="00D04181"/>
    <w:rsid w:val="00D06BD7"/>
    <w:rsid w:val="00D07112"/>
    <w:rsid w:val="00D0734A"/>
    <w:rsid w:val="00D07817"/>
    <w:rsid w:val="00D12D54"/>
    <w:rsid w:val="00D12E8E"/>
    <w:rsid w:val="00D13D0D"/>
    <w:rsid w:val="00D14ACF"/>
    <w:rsid w:val="00D16ECD"/>
    <w:rsid w:val="00D17812"/>
    <w:rsid w:val="00D212D5"/>
    <w:rsid w:val="00D2227B"/>
    <w:rsid w:val="00D23435"/>
    <w:rsid w:val="00D23931"/>
    <w:rsid w:val="00D23A0C"/>
    <w:rsid w:val="00D23EB1"/>
    <w:rsid w:val="00D242BE"/>
    <w:rsid w:val="00D253CB"/>
    <w:rsid w:val="00D268D3"/>
    <w:rsid w:val="00D30111"/>
    <w:rsid w:val="00D3075D"/>
    <w:rsid w:val="00D30AC1"/>
    <w:rsid w:val="00D31373"/>
    <w:rsid w:val="00D317AB"/>
    <w:rsid w:val="00D31EC8"/>
    <w:rsid w:val="00D338CC"/>
    <w:rsid w:val="00D34BF6"/>
    <w:rsid w:val="00D35C77"/>
    <w:rsid w:val="00D36666"/>
    <w:rsid w:val="00D37D5B"/>
    <w:rsid w:val="00D4107C"/>
    <w:rsid w:val="00D41D08"/>
    <w:rsid w:val="00D43671"/>
    <w:rsid w:val="00D436A8"/>
    <w:rsid w:val="00D43D86"/>
    <w:rsid w:val="00D45D8B"/>
    <w:rsid w:val="00D47CAF"/>
    <w:rsid w:val="00D47D14"/>
    <w:rsid w:val="00D50157"/>
    <w:rsid w:val="00D5023E"/>
    <w:rsid w:val="00D503BA"/>
    <w:rsid w:val="00D51CB6"/>
    <w:rsid w:val="00D51EB9"/>
    <w:rsid w:val="00D52059"/>
    <w:rsid w:val="00D529D7"/>
    <w:rsid w:val="00D536CC"/>
    <w:rsid w:val="00D56215"/>
    <w:rsid w:val="00D5684D"/>
    <w:rsid w:val="00D57CA4"/>
    <w:rsid w:val="00D60E66"/>
    <w:rsid w:val="00D62905"/>
    <w:rsid w:val="00D6314B"/>
    <w:rsid w:val="00D66164"/>
    <w:rsid w:val="00D67F5C"/>
    <w:rsid w:val="00D7002F"/>
    <w:rsid w:val="00D73843"/>
    <w:rsid w:val="00D7447D"/>
    <w:rsid w:val="00D7572B"/>
    <w:rsid w:val="00D75FBF"/>
    <w:rsid w:val="00D761DE"/>
    <w:rsid w:val="00D768D0"/>
    <w:rsid w:val="00D807DA"/>
    <w:rsid w:val="00D81288"/>
    <w:rsid w:val="00D81564"/>
    <w:rsid w:val="00D81BD0"/>
    <w:rsid w:val="00D8346E"/>
    <w:rsid w:val="00D834CA"/>
    <w:rsid w:val="00D850D9"/>
    <w:rsid w:val="00D85563"/>
    <w:rsid w:val="00D855AE"/>
    <w:rsid w:val="00D85677"/>
    <w:rsid w:val="00D86375"/>
    <w:rsid w:val="00D86948"/>
    <w:rsid w:val="00D87502"/>
    <w:rsid w:val="00D87985"/>
    <w:rsid w:val="00D87DA2"/>
    <w:rsid w:val="00D914E7"/>
    <w:rsid w:val="00D91BF2"/>
    <w:rsid w:val="00D92384"/>
    <w:rsid w:val="00D92399"/>
    <w:rsid w:val="00D92DFE"/>
    <w:rsid w:val="00D93223"/>
    <w:rsid w:val="00D93C2B"/>
    <w:rsid w:val="00D95347"/>
    <w:rsid w:val="00D95BA0"/>
    <w:rsid w:val="00D96490"/>
    <w:rsid w:val="00D9762C"/>
    <w:rsid w:val="00D97F51"/>
    <w:rsid w:val="00DA087F"/>
    <w:rsid w:val="00DA100F"/>
    <w:rsid w:val="00DA1477"/>
    <w:rsid w:val="00DA1B7B"/>
    <w:rsid w:val="00DA1F3D"/>
    <w:rsid w:val="00DA26B9"/>
    <w:rsid w:val="00DA26C4"/>
    <w:rsid w:val="00DA31DD"/>
    <w:rsid w:val="00DA46C6"/>
    <w:rsid w:val="00DB008D"/>
    <w:rsid w:val="00DB08E9"/>
    <w:rsid w:val="00DB0900"/>
    <w:rsid w:val="00DB25E6"/>
    <w:rsid w:val="00DB2F7B"/>
    <w:rsid w:val="00DB3AB5"/>
    <w:rsid w:val="00DB3E83"/>
    <w:rsid w:val="00DB486F"/>
    <w:rsid w:val="00DB5CE1"/>
    <w:rsid w:val="00DB6F2B"/>
    <w:rsid w:val="00DB79DF"/>
    <w:rsid w:val="00DB7BD2"/>
    <w:rsid w:val="00DC1264"/>
    <w:rsid w:val="00DC276D"/>
    <w:rsid w:val="00DC3908"/>
    <w:rsid w:val="00DC3A26"/>
    <w:rsid w:val="00DC3EB7"/>
    <w:rsid w:val="00DC4EAF"/>
    <w:rsid w:val="00DC5410"/>
    <w:rsid w:val="00DC631D"/>
    <w:rsid w:val="00DC6E94"/>
    <w:rsid w:val="00DD0303"/>
    <w:rsid w:val="00DD043E"/>
    <w:rsid w:val="00DD0ABE"/>
    <w:rsid w:val="00DD0C9E"/>
    <w:rsid w:val="00DD14A2"/>
    <w:rsid w:val="00DD20C5"/>
    <w:rsid w:val="00DD31EB"/>
    <w:rsid w:val="00DD54CB"/>
    <w:rsid w:val="00DD55CD"/>
    <w:rsid w:val="00DD582B"/>
    <w:rsid w:val="00DD74D2"/>
    <w:rsid w:val="00DD7A2B"/>
    <w:rsid w:val="00DD7EBC"/>
    <w:rsid w:val="00DE18E2"/>
    <w:rsid w:val="00DE1E98"/>
    <w:rsid w:val="00DE2D81"/>
    <w:rsid w:val="00DE4697"/>
    <w:rsid w:val="00DE6B24"/>
    <w:rsid w:val="00DF153F"/>
    <w:rsid w:val="00DF193F"/>
    <w:rsid w:val="00DF2A93"/>
    <w:rsid w:val="00DF3F99"/>
    <w:rsid w:val="00DF4376"/>
    <w:rsid w:val="00DF4AC6"/>
    <w:rsid w:val="00DF6500"/>
    <w:rsid w:val="00DF6B01"/>
    <w:rsid w:val="00E014A5"/>
    <w:rsid w:val="00E018FB"/>
    <w:rsid w:val="00E01EE1"/>
    <w:rsid w:val="00E024C7"/>
    <w:rsid w:val="00E0305E"/>
    <w:rsid w:val="00E0408A"/>
    <w:rsid w:val="00E043BA"/>
    <w:rsid w:val="00E043C4"/>
    <w:rsid w:val="00E05F04"/>
    <w:rsid w:val="00E07082"/>
    <w:rsid w:val="00E10C5E"/>
    <w:rsid w:val="00E16554"/>
    <w:rsid w:val="00E17A55"/>
    <w:rsid w:val="00E20D03"/>
    <w:rsid w:val="00E2294E"/>
    <w:rsid w:val="00E23778"/>
    <w:rsid w:val="00E27267"/>
    <w:rsid w:val="00E3078F"/>
    <w:rsid w:val="00E3301B"/>
    <w:rsid w:val="00E334EE"/>
    <w:rsid w:val="00E3631C"/>
    <w:rsid w:val="00E368CD"/>
    <w:rsid w:val="00E417DA"/>
    <w:rsid w:val="00E4304B"/>
    <w:rsid w:val="00E444D2"/>
    <w:rsid w:val="00E44630"/>
    <w:rsid w:val="00E4465A"/>
    <w:rsid w:val="00E463C3"/>
    <w:rsid w:val="00E469BA"/>
    <w:rsid w:val="00E4791A"/>
    <w:rsid w:val="00E50C02"/>
    <w:rsid w:val="00E51594"/>
    <w:rsid w:val="00E518E2"/>
    <w:rsid w:val="00E528FF"/>
    <w:rsid w:val="00E5389A"/>
    <w:rsid w:val="00E53B67"/>
    <w:rsid w:val="00E550AE"/>
    <w:rsid w:val="00E556F7"/>
    <w:rsid w:val="00E61043"/>
    <w:rsid w:val="00E61340"/>
    <w:rsid w:val="00E61714"/>
    <w:rsid w:val="00E62300"/>
    <w:rsid w:val="00E63437"/>
    <w:rsid w:val="00E6375E"/>
    <w:rsid w:val="00E637BF"/>
    <w:rsid w:val="00E657FC"/>
    <w:rsid w:val="00E6640D"/>
    <w:rsid w:val="00E67B0D"/>
    <w:rsid w:val="00E71FAB"/>
    <w:rsid w:val="00E72EAC"/>
    <w:rsid w:val="00E734A5"/>
    <w:rsid w:val="00E75FFC"/>
    <w:rsid w:val="00E765AF"/>
    <w:rsid w:val="00E765B7"/>
    <w:rsid w:val="00E77482"/>
    <w:rsid w:val="00E7787C"/>
    <w:rsid w:val="00E8157B"/>
    <w:rsid w:val="00E81F07"/>
    <w:rsid w:val="00E82949"/>
    <w:rsid w:val="00E866AC"/>
    <w:rsid w:val="00E86A69"/>
    <w:rsid w:val="00E87A91"/>
    <w:rsid w:val="00E90E49"/>
    <w:rsid w:val="00E912D3"/>
    <w:rsid w:val="00E9230E"/>
    <w:rsid w:val="00E92379"/>
    <w:rsid w:val="00E92B5E"/>
    <w:rsid w:val="00E93FEF"/>
    <w:rsid w:val="00E94001"/>
    <w:rsid w:val="00E94C77"/>
    <w:rsid w:val="00E9590E"/>
    <w:rsid w:val="00E97B02"/>
    <w:rsid w:val="00EA0FE9"/>
    <w:rsid w:val="00EA32F7"/>
    <w:rsid w:val="00EA4BD7"/>
    <w:rsid w:val="00EA4D4E"/>
    <w:rsid w:val="00EA67FC"/>
    <w:rsid w:val="00EA6914"/>
    <w:rsid w:val="00EA7FD9"/>
    <w:rsid w:val="00EB15BF"/>
    <w:rsid w:val="00EB2A2A"/>
    <w:rsid w:val="00EB31EF"/>
    <w:rsid w:val="00EB386A"/>
    <w:rsid w:val="00EB6934"/>
    <w:rsid w:val="00EC0DB5"/>
    <w:rsid w:val="00EC3468"/>
    <w:rsid w:val="00EC48D5"/>
    <w:rsid w:val="00EC6969"/>
    <w:rsid w:val="00EC72D1"/>
    <w:rsid w:val="00EC77E4"/>
    <w:rsid w:val="00ED09B9"/>
    <w:rsid w:val="00ED18D9"/>
    <w:rsid w:val="00ED218C"/>
    <w:rsid w:val="00ED3309"/>
    <w:rsid w:val="00ED5964"/>
    <w:rsid w:val="00ED61EC"/>
    <w:rsid w:val="00ED6227"/>
    <w:rsid w:val="00ED6D3F"/>
    <w:rsid w:val="00ED6ECC"/>
    <w:rsid w:val="00EE07ED"/>
    <w:rsid w:val="00EE18DE"/>
    <w:rsid w:val="00EE1E58"/>
    <w:rsid w:val="00EE246E"/>
    <w:rsid w:val="00EE2687"/>
    <w:rsid w:val="00EE412F"/>
    <w:rsid w:val="00EE4ADB"/>
    <w:rsid w:val="00EE4E0A"/>
    <w:rsid w:val="00EE5B82"/>
    <w:rsid w:val="00EE7FDC"/>
    <w:rsid w:val="00EF0026"/>
    <w:rsid w:val="00EF1353"/>
    <w:rsid w:val="00EF15DF"/>
    <w:rsid w:val="00EF5440"/>
    <w:rsid w:val="00F01D4D"/>
    <w:rsid w:val="00F029A2"/>
    <w:rsid w:val="00F029AE"/>
    <w:rsid w:val="00F02D31"/>
    <w:rsid w:val="00F051EE"/>
    <w:rsid w:val="00F06969"/>
    <w:rsid w:val="00F06A06"/>
    <w:rsid w:val="00F06E01"/>
    <w:rsid w:val="00F070F0"/>
    <w:rsid w:val="00F1109B"/>
    <w:rsid w:val="00F14ACB"/>
    <w:rsid w:val="00F158CE"/>
    <w:rsid w:val="00F1669F"/>
    <w:rsid w:val="00F208D3"/>
    <w:rsid w:val="00F209A2"/>
    <w:rsid w:val="00F21649"/>
    <w:rsid w:val="00F21EA0"/>
    <w:rsid w:val="00F21F43"/>
    <w:rsid w:val="00F222E1"/>
    <w:rsid w:val="00F22307"/>
    <w:rsid w:val="00F22623"/>
    <w:rsid w:val="00F23014"/>
    <w:rsid w:val="00F230CD"/>
    <w:rsid w:val="00F24230"/>
    <w:rsid w:val="00F25AE0"/>
    <w:rsid w:val="00F25C5E"/>
    <w:rsid w:val="00F2619B"/>
    <w:rsid w:val="00F27593"/>
    <w:rsid w:val="00F3057C"/>
    <w:rsid w:val="00F3138F"/>
    <w:rsid w:val="00F31DD6"/>
    <w:rsid w:val="00F32A3F"/>
    <w:rsid w:val="00F32CC0"/>
    <w:rsid w:val="00F32E76"/>
    <w:rsid w:val="00F332BC"/>
    <w:rsid w:val="00F3373A"/>
    <w:rsid w:val="00F34344"/>
    <w:rsid w:val="00F34D93"/>
    <w:rsid w:val="00F36D9E"/>
    <w:rsid w:val="00F3760C"/>
    <w:rsid w:val="00F40CF0"/>
    <w:rsid w:val="00F45156"/>
    <w:rsid w:val="00F4537D"/>
    <w:rsid w:val="00F455C9"/>
    <w:rsid w:val="00F45868"/>
    <w:rsid w:val="00F45A83"/>
    <w:rsid w:val="00F468E5"/>
    <w:rsid w:val="00F4693C"/>
    <w:rsid w:val="00F46A24"/>
    <w:rsid w:val="00F475BF"/>
    <w:rsid w:val="00F511B4"/>
    <w:rsid w:val="00F51C18"/>
    <w:rsid w:val="00F5282B"/>
    <w:rsid w:val="00F53616"/>
    <w:rsid w:val="00F53823"/>
    <w:rsid w:val="00F54732"/>
    <w:rsid w:val="00F552AB"/>
    <w:rsid w:val="00F56529"/>
    <w:rsid w:val="00F56590"/>
    <w:rsid w:val="00F56F72"/>
    <w:rsid w:val="00F601AF"/>
    <w:rsid w:val="00F60ACB"/>
    <w:rsid w:val="00F62BB3"/>
    <w:rsid w:val="00F631E7"/>
    <w:rsid w:val="00F6463E"/>
    <w:rsid w:val="00F66A6F"/>
    <w:rsid w:val="00F66B05"/>
    <w:rsid w:val="00F67A8E"/>
    <w:rsid w:val="00F70F1F"/>
    <w:rsid w:val="00F72507"/>
    <w:rsid w:val="00F72AB1"/>
    <w:rsid w:val="00F72D83"/>
    <w:rsid w:val="00F73BF7"/>
    <w:rsid w:val="00F75A50"/>
    <w:rsid w:val="00F822F6"/>
    <w:rsid w:val="00F84A2F"/>
    <w:rsid w:val="00F865D8"/>
    <w:rsid w:val="00F930FC"/>
    <w:rsid w:val="00F93361"/>
    <w:rsid w:val="00F95BE0"/>
    <w:rsid w:val="00F95F6F"/>
    <w:rsid w:val="00F9761F"/>
    <w:rsid w:val="00FA040A"/>
    <w:rsid w:val="00FA31E2"/>
    <w:rsid w:val="00FA4749"/>
    <w:rsid w:val="00FA4DB7"/>
    <w:rsid w:val="00FA5322"/>
    <w:rsid w:val="00FB06A1"/>
    <w:rsid w:val="00FB0DDA"/>
    <w:rsid w:val="00FB130A"/>
    <w:rsid w:val="00FB3103"/>
    <w:rsid w:val="00FB3F23"/>
    <w:rsid w:val="00FB4D70"/>
    <w:rsid w:val="00FB52F0"/>
    <w:rsid w:val="00FB603E"/>
    <w:rsid w:val="00FB64B6"/>
    <w:rsid w:val="00FC0950"/>
    <w:rsid w:val="00FC0963"/>
    <w:rsid w:val="00FC1AE0"/>
    <w:rsid w:val="00FC4391"/>
    <w:rsid w:val="00FC461C"/>
    <w:rsid w:val="00FC4780"/>
    <w:rsid w:val="00FC4997"/>
    <w:rsid w:val="00FC695E"/>
    <w:rsid w:val="00FC7BDF"/>
    <w:rsid w:val="00FC7FDC"/>
    <w:rsid w:val="00FD012F"/>
    <w:rsid w:val="00FD1B17"/>
    <w:rsid w:val="00FD4352"/>
    <w:rsid w:val="00FD43E7"/>
    <w:rsid w:val="00FD4427"/>
    <w:rsid w:val="00FD45EC"/>
    <w:rsid w:val="00FD7795"/>
    <w:rsid w:val="00FD795D"/>
    <w:rsid w:val="00FE2D5B"/>
    <w:rsid w:val="00FE3D55"/>
    <w:rsid w:val="00FE490A"/>
    <w:rsid w:val="00FE5BEC"/>
    <w:rsid w:val="00FE5E7B"/>
    <w:rsid w:val="00FE6112"/>
    <w:rsid w:val="00FE675C"/>
    <w:rsid w:val="00FE6C48"/>
    <w:rsid w:val="00FF0D84"/>
    <w:rsid w:val="00FF19C1"/>
    <w:rsid w:val="00FF1D87"/>
    <w:rsid w:val="00FF25F8"/>
    <w:rsid w:val="00FF2AC9"/>
    <w:rsid w:val="00FF2D37"/>
    <w:rsid w:val="00FF31A5"/>
    <w:rsid w:val="00FF3580"/>
    <w:rsid w:val="00FF3AC6"/>
    <w:rsid w:val="00FF3B41"/>
    <w:rsid w:val="00FF4B84"/>
    <w:rsid w:val="00FF5B70"/>
    <w:rsid w:val="00FF5BB9"/>
    <w:rsid w:val="00FF5EF5"/>
    <w:rsid w:val="00FF61BE"/>
    <w:rsid w:val="00FF643E"/>
    <w:rsid w:val="00FF67D6"/>
    <w:rsid w:val="00FF7386"/>
    <w:rsid w:val="00FF7D9A"/>
    <w:rsid w:val="0110C8C3"/>
    <w:rsid w:val="01112D6A"/>
    <w:rsid w:val="011302DA"/>
    <w:rsid w:val="0121C4A3"/>
    <w:rsid w:val="0141B6C1"/>
    <w:rsid w:val="01533E08"/>
    <w:rsid w:val="017F12D5"/>
    <w:rsid w:val="019432E0"/>
    <w:rsid w:val="019818A2"/>
    <w:rsid w:val="01A1284B"/>
    <w:rsid w:val="01EB449B"/>
    <w:rsid w:val="021E2D82"/>
    <w:rsid w:val="02ACFDCB"/>
    <w:rsid w:val="02B800CD"/>
    <w:rsid w:val="02C60FFD"/>
    <w:rsid w:val="02CE905D"/>
    <w:rsid w:val="02E2231F"/>
    <w:rsid w:val="02EA294E"/>
    <w:rsid w:val="034B1D52"/>
    <w:rsid w:val="0358E496"/>
    <w:rsid w:val="03D6280E"/>
    <w:rsid w:val="043BD521"/>
    <w:rsid w:val="0448CE2C"/>
    <w:rsid w:val="04812D5D"/>
    <w:rsid w:val="04CD4FC3"/>
    <w:rsid w:val="04E335F4"/>
    <w:rsid w:val="05581113"/>
    <w:rsid w:val="05A622AC"/>
    <w:rsid w:val="05A967DD"/>
    <w:rsid w:val="0672490F"/>
    <w:rsid w:val="0674996E"/>
    <w:rsid w:val="0677FA5C"/>
    <w:rsid w:val="06AC28E9"/>
    <w:rsid w:val="08266F65"/>
    <w:rsid w:val="0867892F"/>
    <w:rsid w:val="086B16B5"/>
    <w:rsid w:val="0886FFF5"/>
    <w:rsid w:val="08A5EDAB"/>
    <w:rsid w:val="08B5B4B6"/>
    <w:rsid w:val="08DDC36E"/>
    <w:rsid w:val="08E96AAB"/>
    <w:rsid w:val="0961F4F4"/>
    <w:rsid w:val="09A79288"/>
    <w:rsid w:val="09D6A593"/>
    <w:rsid w:val="0A716EB9"/>
    <w:rsid w:val="0A894437"/>
    <w:rsid w:val="0AF86A36"/>
    <w:rsid w:val="0BBD655B"/>
    <w:rsid w:val="0CA3CD0C"/>
    <w:rsid w:val="0D685670"/>
    <w:rsid w:val="0D9870E2"/>
    <w:rsid w:val="0DF1F827"/>
    <w:rsid w:val="0E789958"/>
    <w:rsid w:val="0F43FA72"/>
    <w:rsid w:val="0F8DC888"/>
    <w:rsid w:val="0FFD34CF"/>
    <w:rsid w:val="1053D2FB"/>
    <w:rsid w:val="1081D604"/>
    <w:rsid w:val="10F43C20"/>
    <w:rsid w:val="11B6EEB0"/>
    <w:rsid w:val="11FCCFD6"/>
    <w:rsid w:val="1253E0BC"/>
    <w:rsid w:val="12BD7DC9"/>
    <w:rsid w:val="1321CA0C"/>
    <w:rsid w:val="136C719C"/>
    <w:rsid w:val="13A32CDB"/>
    <w:rsid w:val="142987ED"/>
    <w:rsid w:val="1447570C"/>
    <w:rsid w:val="14750814"/>
    <w:rsid w:val="14819921"/>
    <w:rsid w:val="149768D3"/>
    <w:rsid w:val="156A88A9"/>
    <w:rsid w:val="156F6E9E"/>
    <w:rsid w:val="15B9E41D"/>
    <w:rsid w:val="15BED62C"/>
    <w:rsid w:val="15C7A11A"/>
    <w:rsid w:val="15E6E618"/>
    <w:rsid w:val="1667ADE3"/>
    <w:rsid w:val="167E18DD"/>
    <w:rsid w:val="169A083A"/>
    <w:rsid w:val="16C5F904"/>
    <w:rsid w:val="1705E644"/>
    <w:rsid w:val="1732F1B5"/>
    <w:rsid w:val="177FB210"/>
    <w:rsid w:val="17CF0995"/>
    <w:rsid w:val="185FA4D6"/>
    <w:rsid w:val="18711723"/>
    <w:rsid w:val="18712D4E"/>
    <w:rsid w:val="18AE58D1"/>
    <w:rsid w:val="19CF24C5"/>
    <w:rsid w:val="1A1AA476"/>
    <w:rsid w:val="1A4A2932"/>
    <w:rsid w:val="1A7C2F99"/>
    <w:rsid w:val="1B4854BF"/>
    <w:rsid w:val="1BA8CA01"/>
    <w:rsid w:val="1C8D7EA8"/>
    <w:rsid w:val="1D1DCD6B"/>
    <w:rsid w:val="1D448846"/>
    <w:rsid w:val="1E186B3B"/>
    <w:rsid w:val="1E5EBD4B"/>
    <w:rsid w:val="1EB65FFC"/>
    <w:rsid w:val="1EE06ED2"/>
    <w:rsid w:val="1F0C0545"/>
    <w:rsid w:val="1F310DCB"/>
    <w:rsid w:val="1F956A8E"/>
    <w:rsid w:val="201FEBC1"/>
    <w:rsid w:val="203DC352"/>
    <w:rsid w:val="2097A09D"/>
    <w:rsid w:val="20CB12C2"/>
    <w:rsid w:val="210874C6"/>
    <w:rsid w:val="214D80E5"/>
    <w:rsid w:val="21DE159C"/>
    <w:rsid w:val="21EC81F5"/>
    <w:rsid w:val="2217F969"/>
    <w:rsid w:val="221FE6EF"/>
    <w:rsid w:val="2255DF2C"/>
    <w:rsid w:val="22E95146"/>
    <w:rsid w:val="23F25BA9"/>
    <w:rsid w:val="24350648"/>
    <w:rsid w:val="258C17AF"/>
    <w:rsid w:val="25B6DF8A"/>
    <w:rsid w:val="26B7B1FF"/>
    <w:rsid w:val="26F35812"/>
    <w:rsid w:val="27739B0D"/>
    <w:rsid w:val="27D20073"/>
    <w:rsid w:val="288F2873"/>
    <w:rsid w:val="28AAFAA2"/>
    <w:rsid w:val="28B397CD"/>
    <w:rsid w:val="28BCE6FA"/>
    <w:rsid w:val="28F5E4AD"/>
    <w:rsid w:val="297A2E73"/>
    <w:rsid w:val="2A1A70C7"/>
    <w:rsid w:val="2A9AC9FE"/>
    <w:rsid w:val="2B282B6F"/>
    <w:rsid w:val="2B540FEF"/>
    <w:rsid w:val="2C02C5BF"/>
    <w:rsid w:val="2CCCD2A2"/>
    <w:rsid w:val="2D19E401"/>
    <w:rsid w:val="2D379985"/>
    <w:rsid w:val="2D4FB187"/>
    <w:rsid w:val="2D6D3923"/>
    <w:rsid w:val="2D7466FC"/>
    <w:rsid w:val="2E27EB64"/>
    <w:rsid w:val="2EA54391"/>
    <w:rsid w:val="2EB93B56"/>
    <w:rsid w:val="2EFE69F7"/>
    <w:rsid w:val="2F2E26C0"/>
    <w:rsid w:val="2F76867E"/>
    <w:rsid w:val="2FC94BE9"/>
    <w:rsid w:val="301DD215"/>
    <w:rsid w:val="305184C3"/>
    <w:rsid w:val="309A3A58"/>
    <w:rsid w:val="3187CBB3"/>
    <w:rsid w:val="318ACC8B"/>
    <w:rsid w:val="321873DC"/>
    <w:rsid w:val="32512FCD"/>
    <w:rsid w:val="3252DA99"/>
    <w:rsid w:val="332CF953"/>
    <w:rsid w:val="3384A40F"/>
    <w:rsid w:val="33EEAAFA"/>
    <w:rsid w:val="34927D7B"/>
    <w:rsid w:val="350DC59A"/>
    <w:rsid w:val="35518CB7"/>
    <w:rsid w:val="356DAB7B"/>
    <w:rsid w:val="360E9122"/>
    <w:rsid w:val="36E94E79"/>
    <w:rsid w:val="373E813B"/>
    <w:rsid w:val="38674D02"/>
    <w:rsid w:val="39D37D3F"/>
    <w:rsid w:val="3A2D9D69"/>
    <w:rsid w:val="3ABB5A57"/>
    <w:rsid w:val="3B2013D0"/>
    <w:rsid w:val="3B25239A"/>
    <w:rsid w:val="3B79501E"/>
    <w:rsid w:val="3C1C5CAE"/>
    <w:rsid w:val="3C382674"/>
    <w:rsid w:val="3C68D520"/>
    <w:rsid w:val="3D0A3016"/>
    <w:rsid w:val="3D3530EE"/>
    <w:rsid w:val="3D5C3681"/>
    <w:rsid w:val="3D6AAE30"/>
    <w:rsid w:val="3D77FC1C"/>
    <w:rsid w:val="3E194FE6"/>
    <w:rsid w:val="3F4A68C9"/>
    <w:rsid w:val="3F51E18D"/>
    <w:rsid w:val="4023F806"/>
    <w:rsid w:val="40CE6DCA"/>
    <w:rsid w:val="40E45160"/>
    <w:rsid w:val="41894A25"/>
    <w:rsid w:val="43009262"/>
    <w:rsid w:val="4326C919"/>
    <w:rsid w:val="4333FA25"/>
    <w:rsid w:val="433DAF54"/>
    <w:rsid w:val="4462ECDF"/>
    <w:rsid w:val="44A43CF8"/>
    <w:rsid w:val="44DCDAEC"/>
    <w:rsid w:val="4549755A"/>
    <w:rsid w:val="45F21840"/>
    <w:rsid w:val="463343D7"/>
    <w:rsid w:val="4727E2CD"/>
    <w:rsid w:val="479374FA"/>
    <w:rsid w:val="47DF2806"/>
    <w:rsid w:val="48170A1C"/>
    <w:rsid w:val="48185AB5"/>
    <w:rsid w:val="484A5CEF"/>
    <w:rsid w:val="491F80C5"/>
    <w:rsid w:val="491FE6D6"/>
    <w:rsid w:val="498406B5"/>
    <w:rsid w:val="498BECE4"/>
    <w:rsid w:val="4B264C0E"/>
    <w:rsid w:val="4B6BBEC6"/>
    <w:rsid w:val="4BD2FD74"/>
    <w:rsid w:val="4CCDAB5F"/>
    <w:rsid w:val="4D00EDF2"/>
    <w:rsid w:val="4DA11433"/>
    <w:rsid w:val="4DED61AA"/>
    <w:rsid w:val="4E84A0D4"/>
    <w:rsid w:val="4EA899F6"/>
    <w:rsid w:val="4F1BE367"/>
    <w:rsid w:val="4F55E38A"/>
    <w:rsid w:val="4F867655"/>
    <w:rsid w:val="4FCC39DC"/>
    <w:rsid w:val="50165DD6"/>
    <w:rsid w:val="50293598"/>
    <w:rsid w:val="50C319DB"/>
    <w:rsid w:val="513D7FA1"/>
    <w:rsid w:val="52147B3A"/>
    <w:rsid w:val="52F68C69"/>
    <w:rsid w:val="52F89E82"/>
    <w:rsid w:val="532BAE1C"/>
    <w:rsid w:val="539223AF"/>
    <w:rsid w:val="53F72034"/>
    <w:rsid w:val="541D862F"/>
    <w:rsid w:val="550F29D5"/>
    <w:rsid w:val="55687721"/>
    <w:rsid w:val="558B4B67"/>
    <w:rsid w:val="55BE2285"/>
    <w:rsid w:val="5736B8A6"/>
    <w:rsid w:val="57CC83F9"/>
    <w:rsid w:val="5802384F"/>
    <w:rsid w:val="584FA4FD"/>
    <w:rsid w:val="592848D4"/>
    <w:rsid w:val="59980E9D"/>
    <w:rsid w:val="59D773D7"/>
    <w:rsid w:val="5A3444C0"/>
    <w:rsid w:val="5A60DBA2"/>
    <w:rsid w:val="5A7C0469"/>
    <w:rsid w:val="5AFEF5D6"/>
    <w:rsid w:val="5B096AA3"/>
    <w:rsid w:val="5B5CCE91"/>
    <w:rsid w:val="5B7FA723"/>
    <w:rsid w:val="5B8642B4"/>
    <w:rsid w:val="5C6D902D"/>
    <w:rsid w:val="5C99F3D6"/>
    <w:rsid w:val="5CAC2687"/>
    <w:rsid w:val="5D9BFEA9"/>
    <w:rsid w:val="5DCE7CE2"/>
    <w:rsid w:val="5DE89976"/>
    <w:rsid w:val="5E09608E"/>
    <w:rsid w:val="5E163C10"/>
    <w:rsid w:val="5E1DB0CC"/>
    <w:rsid w:val="5E5EAC01"/>
    <w:rsid w:val="5EA71790"/>
    <w:rsid w:val="5EBB4EEC"/>
    <w:rsid w:val="5F177AB4"/>
    <w:rsid w:val="5F3BB333"/>
    <w:rsid w:val="5F753207"/>
    <w:rsid w:val="5F9F8E98"/>
    <w:rsid w:val="5FF2D86C"/>
    <w:rsid w:val="6061A54E"/>
    <w:rsid w:val="60AB95FD"/>
    <w:rsid w:val="60CC2B7E"/>
    <w:rsid w:val="61015309"/>
    <w:rsid w:val="615F7AEF"/>
    <w:rsid w:val="6186E0BF"/>
    <w:rsid w:val="62631C6C"/>
    <w:rsid w:val="62B43F7D"/>
    <w:rsid w:val="660EA5FA"/>
    <w:rsid w:val="66D8FB23"/>
    <w:rsid w:val="67005278"/>
    <w:rsid w:val="6725C65B"/>
    <w:rsid w:val="68EA5F7E"/>
    <w:rsid w:val="691CB227"/>
    <w:rsid w:val="694300D3"/>
    <w:rsid w:val="6A8BAE00"/>
    <w:rsid w:val="6AA805F4"/>
    <w:rsid w:val="6AB88288"/>
    <w:rsid w:val="6B043226"/>
    <w:rsid w:val="6B13D576"/>
    <w:rsid w:val="6B8E3ED3"/>
    <w:rsid w:val="6B948CEB"/>
    <w:rsid w:val="6C5178C9"/>
    <w:rsid w:val="6CF3D149"/>
    <w:rsid w:val="6D1684AC"/>
    <w:rsid w:val="6DBB16B0"/>
    <w:rsid w:val="6DD3C8B4"/>
    <w:rsid w:val="6E206FC0"/>
    <w:rsid w:val="6E4B7638"/>
    <w:rsid w:val="6E849EA8"/>
    <w:rsid w:val="6E8FA1AA"/>
    <w:rsid w:val="6ECA544D"/>
    <w:rsid w:val="6F0A2672"/>
    <w:rsid w:val="6F906FF8"/>
    <w:rsid w:val="702B5B84"/>
    <w:rsid w:val="714BD2FD"/>
    <w:rsid w:val="7201F50F"/>
    <w:rsid w:val="720D3337"/>
    <w:rsid w:val="721248F7"/>
    <w:rsid w:val="72DB8D4A"/>
    <w:rsid w:val="72FD0085"/>
    <w:rsid w:val="740B01AC"/>
    <w:rsid w:val="747DF796"/>
    <w:rsid w:val="74885E15"/>
    <w:rsid w:val="75910E51"/>
    <w:rsid w:val="75BDD4EC"/>
    <w:rsid w:val="75CE6497"/>
    <w:rsid w:val="776A34F8"/>
    <w:rsid w:val="77A02D35"/>
    <w:rsid w:val="77BEC33E"/>
    <w:rsid w:val="7826A9DF"/>
    <w:rsid w:val="78A74CD5"/>
    <w:rsid w:val="78E82752"/>
    <w:rsid w:val="79B9156D"/>
    <w:rsid w:val="79C9F5DE"/>
    <w:rsid w:val="7A813143"/>
    <w:rsid w:val="7A9ED531"/>
    <w:rsid w:val="7AD6232B"/>
    <w:rsid w:val="7AF2391F"/>
    <w:rsid w:val="7BA10B40"/>
    <w:rsid w:val="7C2ECD9D"/>
    <w:rsid w:val="7CD49EFE"/>
    <w:rsid w:val="7CD72DB8"/>
    <w:rsid w:val="7D1B9A11"/>
    <w:rsid w:val="7D32D886"/>
    <w:rsid w:val="7DAD0EC4"/>
    <w:rsid w:val="7DD9767C"/>
    <w:rsid w:val="7DFDB806"/>
    <w:rsid w:val="7E38FB07"/>
    <w:rsid w:val="7F476B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503EC750-DFDF-4115-8CC9-0C799AE7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AB"/>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2"/>
      </w:numPr>
    </w:pPr>
  </w:style>
  <w:style w:type="paragraph" w:styleId="ListBullet">
    <w:name w:val="List Bullet"/>
    <w:basedOn w:val="ListParagraph"/>
    <w:uiPriority w:val="99"/>
    <w:unhideWhenUsed/>
    <w:qFormat/>
    <w:rsid w:val="00A56FC7"/>
    <w:pPr>
      <w:numPr>
        <w:numId w:val="13"/>
      </w:numPr>
    </w:pPr>
  </w:style>
  <w:style w:type="paragraph" w:styleId="List">
    <w:name w:val="List"/>
    <w:basedOn w:val="ListBullet"/>
    <w:uiPriority w:val="99"/>
    <w:unhideWhenUsed/>
    <w:qFormat/>
    <w:rsid w:val="00A56FC7"/>
    <w:pPr>
      <w:numPr>
        <w:numId w:val="1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A0175F"/>
    <w:pPr>
      <w:spacing w:after="100"/>
    </w:pPr>
    <w:rPr>
      <w:b/>
      <w:i/>
    </w:rPr>
  </w:style>
  <w:style w:type="paragraph" w:styleId="TOC2">
    <w:name w:val="toc 2"/>
    <w:basedOn w:val="Normal"/>
    <w:next w:val="Normal"/>
    <w:autoRedefine/>
    <w:uiPriority w:val="39"/>
    <w:unhideWhenUsed/>
    <w:rsid w:val="00A0175F"/>
    <w:pPr>
      <w:spacing w:after="100"/>
      <w:ind w:left="220"/>
    </w:pPr>
    <w:rPr>
      <w:b/>
    </w:r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5"/>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CommentReference">
    <w:name w:val="annotation reference"/>
    <w:basedOn w:val="DefaultParagraphFont"/>
    <w:uiPriority w:val="99"/>
    <w:semiHidden/>
    <w:unhideWhenUsed/>
    <w:rsid w:val="00D37D5B"/>
    <w:rPr>
      <w:sz w:val="16"/>
      <w:szCs w:val="16"/>
    </w:rPr>
  </w:style>
  <w:style w:type="paragraph" w:styleId="CommentText">
    <w:name w:val="annotation text"/>
    <w:basedOn w:val="Normal"/>
    <w:link w:val="CommentTextChar"/>
    <w:uiPriority w:val="99"/>
    <w:unhideWhenUsed/>
    <w:rsid w:val="00D37D5B"/>
    <w:pPr>
      <w:spacing w:line="240" w:lineRule="auto"/>
    </w:pPr>
    <w:rPr>
      <w:sz w:val="20"/>
      <w:szCs w:val="20"/>
    </w:rPr>
  </w:style>
  <w:style w:type="character" w:customStyle="1" w:styleId="CommentTextChar">
    <w:name w:val="Comment Text Char"/>
    <w:basedOn w:val="DefaultParagraphFont"/>
    <w:link w:val="CommentText"/>
    <w:uiPriority w:val="99"/>
    <w:rsid w:val="00D37D5B"/>
    <w:rPr>
      <w:sz w:val="20"/>
      <w:szCs w:val="20"/>
    </w:rPr>
  </w:style>
  <w:style w:type="paragraph" w:styleId="CommentSubject">
    <w:name w:val="annotation subject"/>
    <w:basedOn w:val="CommentText"/>
    <w:next w:val="CommentText"/>
    <w:link w:val="CommentSubjectChar"/>
    <w:uiPriority w:val="99"/>
    <w:semiHidden/>
    <w:unhideWhenUsed/>
    <w:rsid w:val="00D37D5B"/>
    <w:rPr>
      <w:b/>
      <w:bCs/>
    </w:rPr>
  </w:style>
  <w:style w:type="character" w:customStyle="1" w:styleId="CommentSubjectChar">
    <w:name w:val="Comment Subject Char"/>
    <w:basedOn w:val="CommentTextChar"/>
    <w:link w:val="CommentSubject"/>
    <w:uiPriority w:val="99"/>
    <w:semiHidden/>
    <w:rsid w:val="00D37D5B"/>
    <w:rPr>
      <w:b/>
      <w:bCs/>
      <w:sz w:val="20"/>
      <w:szCs w:val="20"/>
    </w:rPr>
  </w:style>
  <w:style w:type="paragraph" w:styleId="TOC4">
    <w:name w:val="toc 4"/>
    <w:basedOn w:val="Normal"/>
    <w:next w:val="Normal"/>
    <w:autoRedefine/>
    <w:uiPriority w:val="39"/>
    <w:unhideWhenUsed/>
    <w:rsid w:val="00981DBE"/>
    <w:pPr>
      <w:spacing w:after="100"/>
      <w:ind w:left="660"/>
    </w:pPr>
  </w:style>
  <w:style w:type="character" w:customStyle="1" w:styleId="normaltextrun">
    <w:name w:val="normaltextrun"/>
    <w:basedOn w:val="DefaultParagraphFont"/>
    <w:rsid w:val="00982D35"/>
  </w:style>
  <w:style w:type="character" w:customStyle="1" w:styleId="eop">
    <w:name w:val="eop"/>
    <w:basedOn w:val="DefaultParagraphFont"/>
    <w:rsid w:val="00982D35"/>
  </w:style>
  <w:style w:type="paragraph" w:customStyle="1" w:styleId="paragraph">
    <w:name w:val="paragraph"/>
    <w:basedOn w:val="Normal"/>
    <w:rsid w:val="002D18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886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69D"/>
    <w:rPr>
      <w:sz w:val="20"/>
      <w:szCs w:val="20"/>
    </w:rPr>
  </w:style>
  <w:style w:type="character" w:styleId="FootnoteReference">
    <w:name w:val="footnote reference"/>
    <w:basedOn w:val="DefaultParagraphFont"/>
    <w:uiPriority w:val="99"/>
    <w:semiHidden/>
    <w:unhideWhenUsed/>
    <w:rsid w:val="0088669D"/>
    <w:rPr>
      <w:vertAlign w:val="superscript"/>
    </w:rPr>
  </w:style>
  <w:style w:type="paragraph" w:customStyle="1" w:styleId="Insetbox">
    <w:name w:val="Inset box"/>
    <w:basedOn w:val="Normal"/>
    <w:link w:val="InsetboxChar"/>
    <w:qFormat/>
    <w:rsid w:val="0099181A"/>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spacing w:before="120" w:after="0"/>
      <w:ind w:left="567" w:right="340"/>
    </w:pPr>
  </w:style>
  <w:style w:type="paragraph" w:customStyle="1" w:styleId="Examplebox">
    <w:name w:val="Example box"/>
    <w:basedOn w:val="Normal"/>
    <w:autoRedefine/>
    <w:qFormat/>
    <w:rsid w:val="003C0EB3"/>
    <w:pPr>
      <w:pBdr>
        <w:top w:val="single" w:sz="12" w:space="1" w:color="287DB2" w:themeColor="accent6"/>
        <w:left w:val="single" w:sz="12" w:space="4" w:color="287DB2" w:themeColor="accent6"/>
        <w:bottom w:val="single" w:sz="12" w:space="1" w:color="287DB2" w:themeColor="accent6"/>
        <w:right w:val="single" w:sz="12" w:space="4" w:color="287DB2" w:themeColor="accent6"/>
      </w:pBdr>
      <w:spacing w:before="120" w:after="120"/>
      <w:ind w:right="340"/>
    </w:pPr>
    <w:rPr>
      <w:b/>
      <w:bCs/>
    </w:rPr>
  </w:style>
  <w:style w:type="paragraph" w:customStyle="1" w:styleId="notedraft">
    <w:name w:val="note(draft)"/>
    <w:aliases w:val="nd"/>
    <w:basedOn w:val="Normal"/>
    <w:rsid w:val="005A1B06"/>
    <w:pPr>
      <w:spacing w:before="240" w:after="0" w:line="240" w:lineRule="auto"/>
      <w:ind w:left="284" w:hanging="284"/>
    </w:pPr>
    <w:rPr>
      <w:rFonts w:ascii="Times New Roman" w:eastAsia="Times New Roman" w:hAnsi="Times New Roman" w:cs="Times New Roman"/>
      <w:i/>
      <w:sz w:val="24"/>
      <w:szCs w:val="20"/>
      <w:lang w:eastAsia="en-AU"/>
    </w:rPr>
  </w:style>
  <w:style w:type="paragraph" w:styleId="Revision">
    <w:name w:val="Revision"/>
    <w:hidden/>
    <w:uiPriority w:val="99"/>
    <w:semiHidden/>
    <w:rsid w:val="00401E40"/>
    <w:pPr>
      <w:spacing w:after="0" w:line="240" w:lineRule="auto"/>
    </w:pPr>
  </w:style>
  <w:style w:type="paragraph" w:customStyle="1" w:styleId="Policyoptionbox">
    <w:name w:val="Policy option box"/>
    <w:basedOn w:val="Insetbox"/>
    <w:link w:val="PolicyoptionboxChar"/>
    <w:qFormat/>
    <w:rsid w:val="005A146E"/>
    <w:pPr>
      <w:shd w:val="clear" w:color="auto" w:fill="FCDFD2" w:themeFill="accent2" w:themeFillTint="33"/>
    </w:pPr>
  </w:style>
  <w:style w:type="paragraph" w:customStyle="1" w:styleId="offenceoption1">
    <w:name w:val="offence option 1"/>
    <w:basedOn w:val="Policyoptionbox"/>
    <w:link w:val="offenceoption1Char"/>
    <w:qFormat/>
    <w:rsid w:val="008D1E47"/>
    <w:pPr>
      <w:pBdr>
        <w:top w:val="single" w:sz="12" w:space="0" w:color="B6006A" w:themeColor="accent4"/>
        <w:left w:val="single" w:sz="12" w:space="4" w:color="B6006A" w:themeColor="accent4"/>
        <w:bottom w:val="single" w:sz="12" w:space="1" w:color="B6006A" w:themeColor="accent4"/>
        <w:right w:val="single" w:sz="12" w:space="4" w:color="B6006A" w:themeColor="accent4"/>
      </w:pBdr>
      <w:shd w:val="clear" w:color="auto" w:fill="auto"/>
    </w:pPr>
  </w:style>
  <w:style w:type="paragraph" w:customStyle="1" w:styleId="Offenceoption2">
    <w:name w:val="Offence option 2"/>
    <w:basedOn w:val="Policyoptionbox"/>
    <w:link w:val="Offenceoption2Char"/>
    <w:qFormat/>
    <w:rsid w:val="008D1E47"/>
    <w:pPr>
      <w:pBdr>
        <w:top w:val="single" w:sz="12" w:space="1" w:color="F26322" w:themeColor="accent2"/>
        <w:left w:val="single" w:sz="12" w:space="4" w:color="F26322" w:themeColor="accent2"/>
        <w:bottom w:val="single" w:sz="12" w:space="1" w:color="F26322" w:themeColor="accent2"/>
        <w:right w:val="single" w:sz="12" w:space="4" w:color="F26322" w:themeColor="accent2"/>
      </w:pBdr>
      <w:shd w:val="clear" w:color="auto" w:fill="auto"/>
    </w:pPr>
  </w:style>
  <w:style w:type="character" w:customStyle="1" w:styleId="InsetboxChar">
    <w:name w:val="Inset box Char"/>
    <w:basedOn w:val="DefaultParagraphFont"/>
    <w:link w:val="Insetbox"/>
    <w:rsid w:val="0099181A"/>
  </w:style>
  <w:style w:type="character" w:customStyle="1" w:styleId="PolicyoptionboxChar">
    <w:name w:val="Policy option box Char"/>
    <w:basedOn w:val="InsetboxChar"/>
    <w:link w:val="Policyoptionbox"/>
    <w:rsid w:val="00122591"/>
    <w:rPr>
      <w:shd w:val="clear" w:color="auto" w:fill="FCDFD2" w:themeFill="accent2" w:themeFillTint="33"/>
    </w:rPr>
  </w:style>
  <w:style w:type="character" w:customStyle="1" w:styleId="offenceoption1Char">
    <w:name w:val="offence option 1 Char"/>
    <w:basedOn w:val="PolicyoptionboxChar"/>
    <w:link w:val="offenceoption1"/>
    <w:rsid w:val="008D1E47"/>
    <w:rPr>
      <w:shd w:val="clear" w:color="auto" w:fill="FCDFD2" w:themeFill="accent2" w:themeFillTint="33"/>
    </w:rPr>
  </w:style>
  <w:style w:type="character" w:customStyle="1" w:styleId="Offenceoption2Char">
    <w:name w:val="Offence option 2 Char"/>
    <w:basedOn w:val="PolicyoptionboxChar"/>
    <w:link w:val="Offenceoption2"/>
    <w:rsid w:val="008D1E47"/>
    <w:rPr>
      <w:shd w:val="clear" w:color="auto" w:fill="FCDFD2" w:themeFill="accent2" w:themeFillTint="33"/>
    </w:rPr>
  </w:style>
  <w:style w:type="character" w:styleId="UnresolvedMention">
    <w:name w:val="Unresolved Mention"/>
    <w:basedOn w:val="DefaultParagraphFont"/>
    <w:uiPriority w:val="99"/>
    <w:semiHidden/>
    <w:unhideWhenUsed/>
    <w:rsid w:val="00716AF4"/>
    <w:rPr>
      <w:color w:val="605E5C"/>
      <w:shd w:val="clear" w:color="auto" w:fill="E1DFDD"/>
    </w:rPr>
  </w:style>
  <w:style w:type="paragraph" w:customStyle="1" w:styleId="Option3">
    <w:name w:val="Option 3"/>
    <w:basedOn w:val="Normal"/>
    <w:link w:val="Option3Char"/>
    <w:qFormat/>
    <w:rsid w:val="00382E1C"/>
    <w:pPr>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spacing w:before="120" w:after="0"/>
      <w:ind w:left="567" w:right="340"/>
    </w:pPr>
  </w:style>
  <w:style w:type="character" w:customStyle="1" w:styleId="Option3Char">
    <w:name w:val="Option 3 Char"/>
    <w:basedOn w:val="DefaultParagraphFont"/>
    <w:link w:val="Option3"/>
    <w:rsid w:val="00382E1C"/>
  </w:style>
  <w:style w:type="paragraph" w:customStyle="1" w:styleId="tieredapproach">
    <w:name w:val="tiered approach"/>
    <w:basedOn w:val="Option3"/>
    <w:link w:val="tieredapproachChar"/>
    <w:qFormat/>
    <w:rsid w:val="007A6BAD"/>
    <w:pPr>
      <w:pBdr>
        <w:top w:val="single" w:sz="12" w:space="1" w:color="E9A913" w:themeColor="accent5"/>
        <w:left w:val="single" w:sz="12" w:space="4" w:color="E9A913" w:themeColor="accent5"/>
        <w:bottom w:val="single" w:sz="12" w:space="1" w:color="E9A913" w:themeColor="accent5"/>
        <w:right w:val="single" w:sz="12" w:space="4" w:color="E9A913" w:themeColor="accent5"/>
      </w:pBdr>
    </w:pPr>
  </w:style>
  <w:style w:type="paragraph" w:customStyle="1" w:styleId="Question">
    <w:name w:val="Question"/>
    <w:basedOn w:val="Insetbox"/>
    <w:link w:val="QuestionChar"/>
    <w:qFormat/>
    <w:rsid w:val="008E2A53"/>
    <w:pPr>
      <w:shd w:val="clear" w:color="auto" w:fill="E7E6E6" w:themeFill="background2"/>
      <w:ind w:left="0"/>
    </w:pPr>
  </w:style>
  <w:style w:type="character" w:customStyle="1" w:styleId="tieredapproachChar">
    <w:name w:val="tiered approach Char"/>
    <w:basedOn w:val="Option3Char"/>
    <w:link w:val="tieredapproach"/>
    <w:rsid w:val="007A6BAD"/>
  </w:style>
  <w:style w:type="character" w:customStyle="1" w:styleId="QuestionChar">
    <w:name w:val="Question Char"/>
    <w:basedOn w:val="InsetboxChar"/>
    <w:link w:val="Question"/>
    <w:rsid w:val="008E2A53"/>
    <w:rPr>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4393">
      <w:bodyDiv w:val="1"/>
      <w:marLeft w:val="0"/>
      <w:marRight w:val="0"/>
      <w:marTop w:val="0"/>
      <w:marBottom w:val="0"/>
      <w:divBdr>
        <w:top w:val="none" w:sz="0" w:space="0" w:color="auto"/>
        <w:left w:val="none" w:sz="0" w:space="0" w:color="auto"/>
        <w:bottom w:val="none" w:sz="0" w:space="0" w:color="auto"/>
        <w:right w:val="none" w:sz="0" w:space="0" w:color="auto"/>
      </w:divBdr>
      <w:divsChild>
        <w:div w:id="493182273">
          <w:marLeft w:val="0"/>
          <w:marRight w:val="0"/>
          <w:marTop w:val="0"/>
          <w:marBottom w:val="0"/>
          <w:divBdr>
            <w:top w:val="none" w:sz="0" w:space="0" w:color="auto"/>
            <w:left w:val="none" w:sz="0" w:space="0" w:color="auto"/>
            <w:bottom w:val="none" w:sz="0" w:space="0" w:color="auto"/>
            <w:right w:val="none" w:sz="0" w:space="0" w:color="auto"/>
          </w:divBdr>
          <w:divsChild>
            <w:div w:id="392779683">
              <w:marLeft w:val="0"/>
              <w:marRight w:val="0"/>
              <w:marTop w:val="0"/>
              <w:marBottom w:val="0"/>
              <w:divBdr>
                <w:top w:val="none" w:sz="0" w:space="0" w:color="auto"/>
                <w:left w:val="none" w:sz="0" w:space="0" w:color="auto"/>
                <w:bottom w:val="none" w:sz="0" w:space="0" w:color="auto"/>
                <w:right w:val="none" w:sz="0" w:space="0" w:color="auto"/>
              </w:divBdr>
            </w:div>
          </w:divsChild>
        </w:div>
        <w:div w:id="553925545">
          <w:marLeft w:val="0"/>
          <w:marRight w:val="0"/>
          <w:marTop w:val="0"/>
          <w:marBottom w:val="0"/>
          <w:divBdr>
            <w:top w:val="none" w:sz="0" w:space="0" w:color="auto"/>
            <w:left w:val="none" w:sz="0" w:space="0" w:color="auto"/>
            <w:bottom w:val="none" w:sz="0" w:space="0" w:color="auto"/>
            <w:right w:val="none" w:sz="0" w:space="0" w:color="auto"/>
          </w:divBdr>
          <w:divsChild>
            <w:div w:id="739206215">
              <w:marLeft w:val="0"/>
              <w:marRight w:val="0"/>
              <w:marTop w:val="0"/>
              <w:marBottom w:val="0"/>
              <w:divBdr>
                <w:top w:val="none" w:sz="0" w:space="0" w:color="auto"/>
                <w:left w:val="none" w:sz="0" w:space="0" w:color="auto"/>
                <w:bottom w:val="none" w:sz="0" w:space="0" w:color="auto"/>
                <w:right w:val="none" w:sz="0" w:space="0" w:color="auto"/>
              </w:divBdr>
            </w:div>
          </w:divsChild>
        </w:div>
        <w:div w:id="768820673">
          <w:marLeft w:val="0"/>
          <w:marRight w:val="0"/>
          <w:marTop w:val="0"/>
          <w:marBottom w:val="0"/>
          <w:divBdr>
            <w:top w:val="none" w:sz="0" w:space="0" w:color="auto"/>
            <w:left w:val="none" w:sz="0" w:space="0" w:color="auto"/>
            <w:bottom w:val="none" w:sz="0" w:space="0" w:color="auto"/>
            <w:right w:val="none" w:sz="0" w:space="0" w:color="auto"/>
          </w:divBdr>
          <w:divsChild>
            <w:div w:id="541866593">
              <w:marLeft w:val="0"/>
              <w:marRight w:val="0"/>
              <w:marTop w:val="0"/>
              <w:marBottom w:val="0"/>
              <w:divBdr>
                <w:top w:val="none" w:sz="0" w:space="0" w:color="auto"/>
                <w:left w:val="none" w:sz="0" w:space="0" w:color="auto"/>
                <w:bottom w:val="none" w:sz="0" w:space="0" w:color="auto"/>
                <w:right w:val="none" w:sz="0" w:space="0" w:color="auto"/>
              </w:divBdr>
            </w:div>
          </w:divsChild>
        </w:div>
        <w:div w:id="930817197">
          <w:marLeft w:val="0"/>
          <w:marRight w:val="0"/>
          <w:marTop w:val="0"/>
          <w:marBottom w:val="0"/>
          <w:divBdr>
            <w:top w:val="none" w:sz="0" w:space="0" w:color="auto"/>
            <w:left w:val="none" w:sz="0" w:space="0" w:color="auto"/>
            <w:bottom w:val="none" w:sz="0" w:space="0" w:color="auto"/>
            <w:right w:val="none" w:sz="0" w:space="0" w:color="auto"/>
          </w:divBdr>
          <w:divsChild>
            <w:div w:id="1967005019">
              <w:marLeft w:val="0"/>
              <w:marRight w:val="0"/>
              <w:marTop w:val="0"/>
              <w:marBottom w:val="0"/>
              <w:divBdr>
                <w:top w:val="none" w:sz="0" w:space="0" w:color="auto"/>
                <w:left w:val="none" w:sz="0" w:space="0" w:color="auto"/>
                <w:bottom w:val="none" w:sz="0" w:space="0" w:color="auto"/>
                <w:right w:val="none" w:sz="0" w:space="0" w:color="auto"/>
              </w:divBdr>
            </w:div>
          </w:divsChild>
        </w:div>
        <w:div w:id="1230308122">
          <w:marLeft w:val="0"/>
          <w:marRight w:val="0"/>
          <w:marTop w:val="0"/>
          <w:marBottom w:val="0"/>
          <w:divBdr>
            <w:top w:val="none" w:sz="0" w:space="0" w:color="auto"/>
            <w:left w:val="none" w:sz="0" w:space="0" w:color="auto"/>
            <w:bottom w:val="none" w:sz="0" w:space="0" w:color="auto"/>
            <w:right w:val="none" w:sz="0" w:space="0" w:color="auto"/>
          </w:divBdr>
          <w:divsChild>
            <w:div w:id="516625505">
              <w:marLeft w:val="0"/>
              <w:marRight w:val="0"/>
              <w:marTop w:val="0"/>
              <w:marBottom w:val="0"/>
              <w:divBdr>
                <w:top w:val="none" w:sz="0" w:space="0" w:color="auto"/>
                <w:left w:val="none" w:sz="0" w:space="0" w:color="auto"/>
                <w:bottom w:val="none" w:sz="0" w:space="0" w:color="auto"/>
                <w:right w:val="none" w:sz="0" w:space="0" w:color="auto"/>
              </w:divBdr>
            </w:div>
          </w:divsChild>
        </w:div>
        <w:div w:id="1610576354">
          <w:marLeft w:val="0"/>
          <w:marRight w:val="0"/>
          <w:marTop w:val="0"/>
          <w:marBottom w:val="0"/>
          <w:divBdr>
            <w:top w:val="none" w:sz="0" w:space="0" w:color="auto"/>
            <w:left w:val="none" w:sz="0" w:space="0" w:color="auto"/>
            <w:bottom w:val="none" w:sz="0" w:space="0" w:color="auto"/>
            <w:right w:val="none" w:sz="0" w:space="0" w:color="auto"/>
          </w:divBdr>
          <w:divsChild>
            <w:div w:id="1338852352">
              <w:marLeft w:val="0"/>
              <w:marRight w:val="0"/>
              <w:marTop w:val="0"/>
              <w:marBottom w:val="0"/>
              <w:divBdr>
                <w:top w:val="none" w:sz="0" w:space="0" w:color="auto"/>
                <w:left w:val="none" w:sz="0" w:space="0" w:color="auto"/>
                <w:bottom w:val="none" w:sz="0" w:space="0" w:color="auto"/>
                <w:right w:val="none" w:sz="0" w:space="0" w:color="auto"/>
              </w:divBdr>
            </w:div>
          </w:divsChild>
        </w:div>
        <w:div w:id="1978601552">
          <w:marLeft w:val="0"/>
          <w:marRight w:val="0"/>
          <w:marTop w:val="0"/>
          <w:marBottom w:val="0"/>
          <w:divBdr>
            <w:top w:val="none" w:sz="0" w:space="0" w:color="auto"/>
            <w:left w:val="none" w:sz="0" w:space="0" w:color="auto"/>
            <w:bottom w:val="none" w:sz="0" w:space="0" w:color="auto"/>
            <w:right w:val="none" w:sz="0" w:space="0" w:color="auto"/>
          </w:divBdr>
          <w:divsChild>
            <w:div w:id="1725327841">
              <w:marLeft w:val="0"/>
              <w:marRight w:val="0"/>
              <w:marTop w:val="0"/>
              <w:marBottom w:val="0"/>
              <w:divBdr>
                <w:top w:val="none" w:sz="0" w:space="0" w:color="auto"/>
                <w:left w:val="none" w:sz="0" w:space="0" w:color="auto"/>
                <w:bottom w:val="none" w:sz="0" w:space="0" w:color="auto"/>
                <w:right w:val="none" w:sz="0" w:space="0" w:color="auto"/>
              </w:divBdr>
            </w:div>
          </w:divsChild>
        </w:div>
        <w:div w:id="2036270277">
          <w:marLeft w:val="0"/>
          <w:marRight w:val="0"/>
          <w:marTop w:val="0"/>
          <w:marBottom w:val="0"/>
          <w:divBdr>
            <w:top w:val="none" w:sz="0" w:space="0" w:color="auto"/>
            <w:left w:val="none" w:sz="0" w:space="0" w:color="auto"/>
            <w:bottom w:val="none" w:sz="0" w:space="0" w:color="auto"/>
            <w:right w:val="none" w:sz="0" w:space="0" w:color="auto"/>
          </w:divBdr>
          <w:divsChild>
            <w:div w:id="198856596">
              <w:marLeft w:val="0"/>
              <w:marRight w:val="0"/>
              <w:marTop w:val="0"/>
              <w:marBottom w:val="0"/>
              <w:divBdr>
                <w:top w:val="none" w:sz="0" w:space="0" w:color="auto"/>
                <w:left w:val="none" w:sz="0" w:space="0" w:color="auto"/>
                <w:bottom w:val="none" w:sz="0" w:space="0" w:color="auto"/>
                <w:right w:val="none" w:sz="0" w:space="0" w:color="auto"/>
              </w:divBdr>
            </w:div>
          </w:divsChild>
        </w:div>
        <w:div w:id="2136175875">
          <w:marLeft w:val="0"/>
          <w:marRight w:val="0"/>
          <w:marTop w:val="0"/>
          <w:marBottom w:val="0"/>
          <w:divBdr>
            <w:top w:val="none" w:sz="0" w:space="0" w:color="auto"/>
            <w:left w:val="none" w:sz="0" w:space="0" w:color="auto"/>
            <w:bottom w:val="none" w:sz="0" w:space="0" w:color="auto"/>
            <w:right w:val="none" w:sz="0" w:space="0" w:color="auto"/>
          </w:divBdr>
          <w:divsChild>
            <w:div w:id="21377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277">
      <w:bodyDiv w:val="1"/>
      <w:marLeft w:val="0"/>
      <w:marRight w:val="0"/>
      <w:marTop w:val="0"/>
      <w:marBottom w:val="0"/>
      <w:divBdr>
        <w:top w:val="none" w:sz="0" w:space="0" w:color="auto"/>
        <w:left w:val="none" w:sz="0" w:space="0" w:color="auto"/>
        <w:bottom w:val="none" w:sz="0" w:space="0" w:color="auto"/>
        <w:right w:val="none" w:sz="0" w:space="0" w:color="auto"/>
      </w:divBdr>
    </w:div>
    <w:div w:id="466553674">
      <w:bodyDiv w:val="1"/>
      <w:marLeft w:val="0"/>
      <w:marRight w:val="0"/>
      <w:marTop w:val="0"/>
      <w:marBottom w:val="0"/>
      <w:divBdr>
        <w:top w:val="none" w:sz="0" w:space="0" w:color="auto"/>
        <w:left w:val="none" w:sz="0" w:space="0" w:color="auto"/>
        <w:bottom w:val="none" w:sz="0" w:space="0" w:color="auto"/>
        <w:right w:val="none" w:sz="0" w:space="0" w:color="auto"/>
      </w:divBdr>
    </w:div>
    <w:div w:id="473958723">
      <w:bodyDiv w:val="1"/>
      <w:marLeft w:val="0"/>
      <w:marRight w:val="0"/>
      <w:marTop w:val="0"/>
      <w:marBottom w:val="0"/>
      <w:divBdr>
        <w:top w:val="none" w:sz="0" w:space="0" w:color="auto"/>
        <w:left w:val="none" w:sz="0" w:space="0" w:color="auto"/>
        <w:bottom w:val="none" w:sz="0" w:space="0" w:color="auto"/>
        <w:right w:val="none" w:sz="0" w:space="0" w:color="auto"/>
      </w:divBdr>
    </w:div>
    <w:div w:id="615527457">
      <w:bodyDiv w:val="1"/>
      <w:marLeft w:val="0"/>
      <w:marRight w:val="0"/>
      <w:marTop w:val="0"/>
      <w:marBottom w:val="0"/>
      <w:divBdr>
        <w:top w:val="none" w:sz="0" w:space="0" w:color="auto"/>
        <w:left w:val="none" w:sz="0" w:space="0" w:color="auto"/>
        <w:bottom w:val="none" w:sz="0" w:space="0" w:color="auto"/>
        <w:right w:val="none" w:sz="0" w:space="0" w:color="auto"/>
      </w:divBdr>
    </w:div>
    <w:div w:id="651298866">
      <w:bodyDiv w:val="1"/>
      <w:marLeft w:val="0"/>
      <w:marRight w:val="0"/>
      <w:marTop w:val="0"/>
      <w:marBottom w:val="0"/>
      <w:divBdr>
        <w:top w:val="none" w:sz="0" w:space="0" w:color="auto"/>
        <w:left w:val="none" w:sz="0" w:space="0" w:color="auto"/>
        <w:bottom w:val="none" w:sz="0" w:space="0" w:color="auto"/>
        <w:right w:val="none" w:sz="0" w:space="0" w:color="auto"/>
      </w:divBdr>
    </w:div>
    <w:div w:id="750350124">
      <w:bodyDiv w:val="1"/>
      <w:marLeft w:val="0"/>
      <w:marRight w:val="0"/>
      <w:marTop w:val="0"/>
      <w:marBottom w:val="0"/>
      <w:divBdr>
        <w:top w:val="none" w:sz="0" w:space="0" w:color="auto"/>
        <w:left w:val="none" w:sz="0" w:space="0" w:color="auto"/>
        <w:bottom w:val="none" w:sz="0" w:space="0" w:color="auto"/>
        <w:right w:val="none" w:sz="0" w:space="0" w:color="auto"/>
      </w:divBdr>
    </w:div>
    <w:div w:id="865677935">
      <w:bodyDiv w:val="1"/>
      <w:marLeft w:val="0"/>
      <w:marRight w:val="0"/>
      <w:marTop w:val="0"/>
      <w:marBottom w:val="0"/>
      <w:divBdr>
        <w:top w:val="none" w:sz="0" w:space="0" w:color="auto"/>
        <w:left w:val="none" w:sz="0" w:space="0" w:color="auto"/>
        <w:bottom w:val="none" w:sz="0" w:space="0" w:color="auto"/>
        <w:right w:val="none" w:sz="0" w:space="0" w:color="auto"/>
      </w:divBdr>
    </w:div>
    <w:div w:id="949628393">
      <w:bodyDiv w:val="1"/>
      <w:marLeft w:val="0"/>
      <w:marRight w:val="0"/>
      <w:marTop w:val="0"/>
      <w:marBottom w:val="0"/>
      <w:divBdr>
        <w:top w:val="none" w:sz="0" w:space="0" w:color="auto"/>
        <w:left w:val="none" w:sz="0" w:space="0" w:color="auto"/>
        <w:bottom w:val="none" w:sz="0" w:space="0" w:color="auto"/>
        <w:right w:val="none" w:sz="0" w:space="0" w:color="auto"/>
      </w:divBdr>
    </w:div>
    <w:div w:id="996226257">
      <w:bodyDiv w:val="1"/>
      <w:marLeft w:val="0"/>
      <w:marRight w:val="0"/>
      <w:marTop w:val="0"/>
      <w:marBottom w:val="0"/>
      <w:divBdr>
        <w:top w:val="none" w:sz="0" w:space="0" w:color="auto"/>
        <w:left w:val="none" w:sz="0" w:space="0" w:color="auto"/>
        <w:bottom w:val="none" w:sz="0" w:space="0" w:color="auto"/>
        <w:right w:val="none" w:sz="0" w:space="0" w:color="auto"/>
      </w:divBdr>
    </w:div>
    <w:div w:id="1232617925">
      <w:bodyDiv w:val="1"/>
      <w:marLeft w:val="0"/>
      <w:marRight w:val="0"/>
      <w:marTop w:val="0"/>
      <w:marBottom w:val="0"/>
      <w:divBdr>
        <w:top w:val="none" w:sz="0" w:space="0" w:color="auto"/>
        <w:left w:val="none" w:sz="0" w:space="0" w:color="auto"/>
        <w:bottom w:val="none" w:sz="0" w:space="0" w:color="auto"/>
        <w:right w:val="none" w:sz="0" w:space="0" w:color="auto"/>
      </w:divBdr>
      <w:divsChild>
        <w:div w:id="83453633">
          <w:marLeft w:val="0"/>
          <w:marRight w:val="0"/>
          <w:marTop w:val="0"/>
          <w:marBottom w:val="0"/>
          <w:divBdr>
            <w:top w:val="none" w:sz="0" w:space="0" w:color="auto"/>
            <w:left w:val="none" w:sz="0" w:space="0" w:color="auto"/>
            <w:bottom w:val="none" w:sz="0" w:space="0" w:color="auto"/>
            <w:right w:val="none" w:sz="0" w:space="0" w:color="auto"/>
          </w:divBdr>
          <w:divsChild>
            <w:div w:id="1159612972">
              <w:marLeft w:val="0"/>
              <w:marRight w:val="0"/>
              <w:marTop w:val="0"/>
              <w:marBottom w:val="0"/>
              <w:divBdr>
                <w:top w:val="none" w:sz="0" w:space="0" w:color="auto"/>
                <w:left w:val="none" w:sz="0" w:space="0" w:color="auto"/>
                <w:bottom w:val="none" w:sz="0" w:space="0" w:color="auto"/>
                <w:right w:val="none" w:sz="0" w:space="0" w:color="auto"/>
              </w:divBdr>
            </w:div>
          </w:divsChild>
        </w:div>
        <w:div w:id="232276094">
          <w:marLeft w:val="0"/>
          <w:marRight w:val="0"/>
          <w:marTop w:val="0"/>
          <w:marBottom w:val="0"/>
          <w:divBdr>
            <w:top w:val="none" w:sz="0" w:space="0" w:color="auto"/>
            <w:left w:val="none" w:sz="0" w:space="0" w:color="auto"/>
            <w:bottom w:val="none" w:sz="0" w:space="0" w:color="auto"/>
            <w:right w:val="none" w:sz="0" w:space="0" w:color="auto"/>
          </w:divBdr>
          <w:divsChild>
            <w:div w:id="228421450">
              <w:marLeft w:val="0"/>
              <w:marRight w:val="0"/>
              <w:marTop w:val="0"/>
              <w:marBottom w:val="0"/>
              <w:divBdr>
                <w:top w:val="none" w:sz="0" w:space="0" w:color="auto"/>
                <w:left w:val="none" w:sz="0" w:space="0" w:color="auto"/>
                <w:bottom w:val="none" w:sz="0" w:space="0" w:color="auto"/>
                <w:right w:val="none" w:sz="0" w:space="0" w:color="auto"/>
              </w:divBdr>
            </w:div>
          </w:divsChild>
        </w:div>
        <w:div w:id="534347142">
          <w:marLeft w:val="0"/>
          <w:marRight w:val="0"/>
          <w:marTop w:val="0"/>
          <w:marBottom w:val="0"/>
          <w:divBdr>
            <w:top w:val="none" w:sz="0" w:space="0" w:color="auto"/>
            <w:left w:val="none" w:sz="0" w:space="0" w:color="auto"/>
            <w:bottom w:val="none" w:sz="0" w:space="0" w:color="auto"/>
            <w:right w:val="none" w:sz="0" w:space="0" w:color="auto"/>
          </w:divBdr>
          <w:divsChild>
            <w:div w:id="1999570952">
              <w:marLeft w:val="0"/>
              <w:marRight w:val="0"/>
              <w:marTop w:val="0"/>
              <w:marBottom w:val="0"/>
              <w:divBdr>
                <w:top w:val="none" w:sz="0" w:space="0" w:color="auto"/>
                <w:left w:val="none" w:sz="0" w:space="0" w:color="auto"/>
                <w:bottom w:val="none" w:sz="0" w:space="0" w:color="auto"/>
                <w:right w:val="none" w:sz="0" w:space="0" w:color="auto"/>
              </w:divBdr>
            </w:div>
          </w:divsChild>
        </w:div>
        <w:div w:id="746221486">
          <w:marLeft w:val="0"/>
          <w:marRight w:val="0"/>
          <w:marTop w:val="0"/>
          <w:marBottom w:val="0"/>
          <w:divBdr>
            <w:top w:val="none" w:sz="0" w:space="0" w:color="auto"/>
            <w:left w:val="none" w:sz="0" w:space="0" w:color="auto"/>
            <w:bottom w:val="none" w:sz="0" w:space="0" w:color="auto"/>
            <w:right w:val="none" w:sz="0" w:space="0" w:color="auto"/>
          </w:divBdr>
          <w:divsChild>
            <w:div w:id="445656949">
              <w:marLeft w:val="0"/>
              <w:marRight w:val="0"/>
              <w:marTop w:val="0"/>
              <w:marBottom w:val="0"/>
              <w:divBdr>
                <w:top w:val="none" w:sz="0" w:space="0" w:color="auto"/>
                <w:left w:val="none" w:sz="0" w:space="0" w:color="auto"/>
                <w:bottom w:val="none" w:sz="0" w:space="0" w:color="auto"/>
                <w:right w:val="none" w:sz="0" w:space="0" w:color="auto"/>
              </w:divBdr>
            </w:div>
          </w:divsChild>
        </w:div>
        <w:div w:id="928734401">
          <w:marLeft w:val="0"/>
          <w:marRight w:val="0"/>
          <w:marTop w:val="0"/>
          <w:marBottom w:val="0"/>
          <w:divBdr>
            <w:top w:val="none" w:sz="0" w:space="0" w:color="auto"/>
            <w:left w:val="none" w:sz="0" w:space="0" w:color="auto"/>
            <w:bottom w:val="none" w:sz="0" w:space="0" w:color="auto"/>
            <w:right w:val="none" w:sz="0" w:space="0" w:color="auto"/>
          </w:divBdr>
          <w:divsChild>
            <w:div w:id="772361363">
              <w:marLeft w:val="0"/>
              <w:marRight w:val="0"/>
              <w:marTop w:val="0"/>
              <w:marBottom w:val="0"/>
              <w:divBdr>
                <w:top w:val="none" w:sz="0" w:space="0" w:color="auto"/>
                <w:left w:val="none" w:sz="0" w:space="0" w:color="auto"/>
                <w:bottom w:val="none" w:sz="0" w:space="0" w:color="auto"/>
                <w:right w:val="none" w:sz="0" w:space="0" w:color="auto"/>
              </w:divBdr>
            </w:div>
          </w:divsChild>
        </w:div>
        <w:div w:id="953707662">
          <w:marLeft w:val="0"/>
          <w:marRight w:val="0"/>
          <w:marTop w:val="0"/>
          <w:marBottom w:val="0"/>
          <w:divBdr>
            <w:top w:val="none" w:sz="0" w:space="0" w:color="auto"/>
            <w:left w:val="none" w:sz="0" w:space="0" w:color="auto"/>
            <w:bottom w:val="none" w:sz="0" w:space="0" w:color="auto"/>
            <w:right w:val="none" w:sz="0" w:space="0" w:color="auto"/>
          </w:divBdr>
          <w:divsChild>
            <w:div w:id="463739170">
              <w:marLeft w:val="0"/>
              <w:marRight w:val="0"/>
              <w:marTop w:val="0"/>
              <w:marBottom w:val="0"/>
              <w:divBdr>
                <w:top w:val="none" w:sz="0" w:space="0" w:color="auto"/>
                <w:left w:val="none" w:sz="0" w:space="0" w:color="auto"/>
                <w:bottom w:val="none" w:sz="0" w:space="0" w:color="auto"/>
                <w:right w:val="none" w:sz="0" w:space="0" w:color="auto"/>
              </w:divBdr>
            </w:div>
          </w:divsChild>
        </w:div>
        <w:div w:id="1494026674">
          <w:marLeft w:val="0"/>
          <w:marRight w:val="0"/>
          <w:marTop w:val="0"/>
          <w:marBottom w:val="0"/>
          <w:divBdr>
            <w:top w:val="none" w:sz="0" w:space="0" w:color="auto"/>
            <w:left w:val="none" w:sz="0" w:space="0" w:color="auto"/>
            <w:bottom w:val="none" w:sz="0" w:space="0" w:color="auto"/>
            <w:right w:val="none" w:sz="0" w:space="0" w:color="auto"/>
          </w:divBdr>
          <w:divsChild>
            <w:div w:id="697967260">
              <w:marLeft w:val="0"/>
              <w:marRight w:val="0"/>
              <w:marTop w:val="0"/>
              <w:marBottom w:val="0"/>
              <w:divBdr>
                <w:top w:val="none" w:sz="0" w:space="0" w:color="auto"/>
                <w:left w:val="none" w:sz="0" w:space="0" w:color="auto"/>
                <w:bottom w:val="none" w:sz="0" w:space="0" w:color="auto"/>
                <w:right w:val="none" w:sz="0" w:space="0" w:color="auto"/>
              </w:divBdr>
            </w:div>
          </w:divsChild>
        </w:div>
        <w:div w:id="1679575923">
          <w:marLeft w:val="0"/>
          <w:marRight w:val="0"/>
          <w:marTop w:val="0"/>
          <w:marBottom w:val="0"/>
          <w:divBdr>
            <w:top w:val="none" w:sz="0" w:space="0" w:color="auto"/>
            <w:left w:val="none" w:sz="0" w:space="0" w:color="auto"/>
            <w:bottom w:val="none" w:sz="0" w:space="0" w:color="auto"/>
            <w:right w:val="none" w:sz="0" w:space="0" w:color="auto"/>
          </w:divBdr>
          <w:divsChild>
            <w:div w:id="245388253">
              <w:marLeft w:val="0"/>
              <w:marRight w:val="0"/>
              <w:marTop w:val="0"/>
              <w:marBottom w:val="0"/>
              <w:divBdr>
                <w:top w:val="none" w:sz="0" w:space="0" w:color="auto"/>
                <w:left w:val="none" w:sz="0" w:space="0" w:color="auto"/>
                <w:bottom w:val="none" w:sz="0" w:space="0" w:color="auto"/>
                <w:right w:val="none" w:sz="0" w:space="0" w:color="auto"/>
              </w:divBdr>
            </w:div>
          </w:divsChild>
        </w:div>
        <w:div w:id="1855873612">
          <w:marLeft w:val="0"/>
          <w:marRight w:val="0"/>
          <w:marTop w:val="0"/>
          <w:marBottom w:val="0"/>
          <w:divBdr>
            <w:top w:val="none" w:sz="0" w:space="0" w:color="auto"/>
            <w:left w:val="none" w:sz="0" w:space="0" w:color="auto"/>
            <w:bottom w:val="none" w:sz="0" w:space="0" w:color="auto"/>
            <w:right w:val="none" w:sz="0" w:space="0" w:color="auto"/>
          </w:divBdr>
          <w:divsChild>
            <w:div w:id="19434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039">
      <w:bodyDiv w:val="1"/>
      <w:marLeft w:val="0"/>
      <w:marRight w:val="0"/>
      <w:marTop w:val="0"/>
      <w:marBottom w:val="0"/>
      <w:divBdr>
        <w:top w:val="none" w:sz="0" w:space="0" w:color="auto"/>
        <w:left w:val="none" w:sz="0" w:space="0" w:color="auto"/>
        <w:bottom w:val="none" w:sz="0" w:space="0" w:color="auto"/>
        <w:right w:val="none" w:sz="0" w:space="0" w:color="auto"/>
      </w:divBdr>
    </w:div>
    <w:div w:id="1490824873">
      <w:bodyDiv w:val="1"/>
      <w:marLeft w:val="0"/>
      <w:marRight w:val="0"/>
      <w:marTop w:val="0"/>
      <w:marBottom w:val="0"/>
      <w:divBdr>
        <w:top w:val="none" w:sz="0" w:space="0" w:color="auto"/>
        <w:left w:val="none" w:sz="0" w:space="0" w:color="auto"/>
        <w:bottom w:val="none" w:sz="0" w:space="0" w:color="auto"/>
        <w:right w:val="none" w:sz="0" w:space="0" w:color="auto"/>
      </w:divBdr>
    </w:div>
    <w:div w:id="1588344091">
      <w:bodyDiv w:val="1"/>
      <w:marLeft w:val="0"/>
      <w:marRight w:val="0"/>
      <w:marTop w:val="0"/>
      <w:marBottom w:val="0"/>
      <w:divBdr>
        <w:top w:val="none" w:sz="0" w:space="0" w:color="auto"/>
        <w:left w:val="none" w:sz="0" w:space="0" w:color="auto"/>
        <w:bottom w:val="none" w:sz="0" w:space="0" w:color="auto"/>
        <w:right w:val="none" w:sz="0" w:space="0" w:color="auto"/>
      </w:divBdr>
    </w:div>
    <w:div w:id="1658457663">
      <w:bodyDiv w:val="1"/>
      <w:marLeft w:val="0"/>
      <w:marRight w:val="0"/>
      <w:marTop w:val="0"/>
      <w:marBottom w:val="0"/>
      <w:divBdr>
        <w:top w:val="none" w:sz="0" w:space="0" w:color="auto"/>
        <w:left w:val="none" w:sz="0" w:space="0" w:color="auto"/>
        <w:bottom w:val="none" w:sz="0" w:space="0" w:color="auto"/>
        <w:right w:val="none" w:sz="0" w:space="0" w:color="auto"/>
      </w:divBdr>
    </w:div>
    <w:div w:id="17308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wr.gov.au" TargetMode="Externa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qld.gov.au/view/pdf/bill.first.exp/bill-2019-087" TargetMode="External"/><Relationship Id="rId2" Type="http://schemas.openxmlformats.org/officeDocument/2006/relationships/hyperlink" Target="https://www.oir.qld.gov.au/industrial-relations/wage-theft" TargetMode="External"/><Relationship Id="rId1" Type="http://schemas.openxmlformats.org/officeDocument/2006/relationships/hyperlink" Target="https://content.legislation.vic.gov.au/sites/default/files/bills/591084exi1.pdf" TargetMode="External"/><Relationship Id="rId4" Type="http://schemas.openxmlformats.org/officeDocument/2006/relationships/hyperlink" Target="https://www.oir.qld.gov.au/industrial-relations/wage-theft"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A7713C3-89F7-4231-9359-B207B2DC80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5A9533D8D304141A0A1C5B918788D7A" ma:contentTypeVersion="" ma:contentTypeDescription="PDMS Document Site Content Type" ma:contentTypeScope="" ma:versionID="edfdf6410c60488c2005f3518dd3a45f">
  <xsd:schema xmlns:xsd="http://www.w3.org/2001/XMLSchema" xmlns:xs="http://www.w3.org/2001/XMLSchema" xmlns:p="http://schemas.microsoft.com/office/2006/metadata/properties" xmlns:ns2="AA7713C3-89F7-4231-9359-B207B2DC8019" targetNamespace="http://schemas.microsoft.com/office/2006/metadata/properties" ma:root="true" ma:fieldsID="db600bbf77aa45339be284801bec8cf3" ns2:_="">
    <xsd:import namespace="AA7713C3-89F7-4231-9359-B207B2DC80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713C3-89F7-4231-9359-B207B2DC80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AA7713C3-89F7-4231-9359-B207B2DC8019"/>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AAC32E86-2322-4E82-A6D5-3917EEFFB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713C3-89F7-4231-9359-B207B2DC8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5061</Words>
  <Characters>28849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DEWR A4 Report Template - Portrait (white cover)</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(white cover)</dc:title>
  <dc:subject/>
  <dc:creator>COLEIRO,Lauren</dc:creator>
  <cp:keywords>DEWR A4 Report Template - Portrait (white cover)</cp:keywords>
  <dc:description/>
  <cp:lastModifiedBy>COLEIRO,Lauren</cp:lastModifiedBy>
  <cp:revision>2</cp:revision>
  <dcterms:created xsi:type="dcterms:W3CDTF">2023-04-13T00:22:00Z</dcterms:created>
  <dcterms:modified xsi:type="dcterms:W3CDTF">2023-04-13T00:22:00Z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0x010100266966F133664895A6EE3632470D45F50085A9533D8D304141A0A1C5B918788D7A</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2023-04-11T05:32:17Z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521cfd81-e947-4c6b-adec-c989f5dc017e</vt:lpwstr>
  </property>
  <property fmtid="{D5CDD505-2E9C-101B-9397-08002B2CF9AE}" pid="12" name="MSIP_Label_5f877481-9e35-4b68-b667-876a73c6db41_ContentBits">
    <vt:lpwstr>0</vt:lpwstr>
  </property>
</Properties>
</file>