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3" w:rsidRPr="008B2270" w:rsidRDefault="00CE3F03" w:rsidP="00911318">
      <w:pPr>
        <w:pStyle w:val="PartHeading"/>
        <w:spacing w:before="1200"/>
      </w:pPr>
      <w:bookmarkStart w:id="0" w:name="ASQA"/>
      <w:r w:rsidRPr="008B2270">
        <w:t>Australian Skills Quality Authority</w:t>
      </w:r>
      <w:bookmarkEnd w:id="0"/>
    </w:p>
    <w:p w:rsidR="00CE3F03" w:rsidRPr="008B2270" w:rsidRDefault="00CE3F03" w:rsidP="005A7C0B">
      <w:pPr>
        <w:pStyle w:val="PartHeading"/>
      </w:pPr>
    </w:p>
    <w:p w:rsidR="00CE3F03" w:rsidRPr="008B2270" w:rsidRDefault="00CE3F03" w:rsidP="005A7C0B">
      <w:pPr>
        <w:pStyle w:val="PartHeading"/>
      </w:pPr>
    </w:p>
    <w:p w:rsidR="00CE3F03" w:rsidRPr="008B2270" w:rsidRDefault="00CE3F03" w:rsidP="006B7542">
      <w:pPr>
        <w:pStyle w:val="PartHeading-TOC"/>
      </w:pPr>
      <w:r w:rsidRPr="008B2270">
        <w:t>Entity resources and planned performance</w:t>
      </w:r>
    </w:p>
    <w:p w:rsidR="00CE3F03" w:rsidRPr="008B2270" w:rsidRDefault="00CE3F03" w:rsidP="005A7C0B">
      <w:pPr>
        <w:pStyle w:val="PartHeading"/>
        <w:sectPr w:rsidR="00CE3F03" w:rsidRPr="008B2270" w:rsidSect="0093172C">
          <w:type w:val="oddPage"/>
          <w:pgSz w:w="11906" w:h="16838" w:code="9"/>
          <w:pgMar w:top="2466" w:right="2098" w:bottom="2466" w:left="2098" w:header="1899" w:footer="1899" w:gutter="0"/>
          <w:cols w:space="708"/>
          <w:docGrid w:linePitch="360"/>
        </w:sectPr>
      </w:pPr>
    </w:p>
    <w:p w:rsidR="00CE3F03" w:rsidRPr="008B2270" w:rsidRDefault="00CE3F03" w:rsidP="002A32FD">
      <w:pPr>
        <w:pStyle w:val="ContentsHeading"/>
      </w:pPr>
      <w:r w:rsidRPr="008B2270">
        <w:lastRenderedPageBreak/>
        <w:t>Australian Skills Quality Authority</w:t>
      </w:r>
    </w:p>
    <w:p w:rsidR="00CE3F03" w:rsidRPr="008B2270" w:rsidRDefault="001813B5" w:rsidP="0066473B">
      <w:pPr>
        <w:pStyle w:val="TOC1"/>
      </w:pPr>
      <w:r w:rsidRPr="008B2270">
        <w:t>Section 1: Entity overview and resources</w:t>
      </w:r>
      <w:r w:rsidR="00CE3F03" w:rsidRPr="008B2270">
        <w:tab/>
      </w:r>
      <w:r w:rsidR="00CE3F03" w:rsidRPr="008B2270">
        <w:fldChar w:fldCharType="begin"/>
      </w:r>
      <w:r w:rsidR="00CE3F03" w:rsidRPr="008B2270">
        <w:instrText xml:space="preserve"> PAGEREF ASQA_1_0 \h </w:instrText>
      </w:r>
      <w:r w:rsidR="00CE3F03" w:rsidRPr="008B2270">
        <w:fldChar w:fldCharType="separate"/>
      </w:r>
      <w:r w:rsidR="00E775E3">
        <w:rPr>
          <w:noProof/>
        </w:rPr>
        <w:t>138</w:t>
      </w:r>
      <w:r w:rsidR="00CE3F03" w:rsidRPr="008B2270">
        <w:fldChar w:fldCharType="end"/>
      </w:r>
    </w:p>
    <w:p w:rsidR="00CE3F03" w:rsidRPr="008B2270" w:rsidRDefault="001813B5" w:rsidP="00786C0B">
      <w:pPr>
        <w:pStyle w:val="TOC2"/>
      </w:pPr>
      <w:r w:rsidRPr="008B2270">
        <w:t>1.1</w:t>
      </w:r>
      <w:r w:rsidRPr="008B2270">
        <w:tab/>
        <w:t>Strategic direction statement</w:t>
      </w:r>
      <w:r w:rsidR="00CE3F03" w:rsidRPr="008B2270">
        <w:tab/>
      </w:r>
      <w:r w:rsidR="00CE3F03" w:rsidRPr="008B2270">
        <w:fldChar w:fldCharType="begin"/>
      </w:r>
      <w:r w:rsidR="00CE3F03" w:rsidRPr="008B2270">
        <w:instrText xml:space="preserve"> PAGEREF ASQA_1_1 \h </w:instrText>
      </w:r>
      <w:r w:rsidR="00CE3F03" w:rsidRPr="008B2270">
        <w:fldChar w:fldCharType="separate"/>
      </w:r>
      <w:r w:rsidR="00E775E3">
        <w:rPr>
          <w:noProof/>
        </w:rPr>
        <w:t>138</w:t>
      </w:r>
      <w:r w:rsidR="00CE3F03" w:rsidRPr="008B2270">
        <w:fldChar w:fldCharType="end"/>
      </w:r>
    </w:p>
    <w:p w:rsidR="00CE3F03" w:rsidRPr="008B2270" w:rsidRDefault="001813B5" w:rsidP="0066473B">
      <w:pPr>
        <w:pStyle w:val="TOC2"/>
      </w:pPr>
      <w:r w:rsidRPr="008B2270">
        <w:t>1.2</w:t>
      </w:r>
      <w:r w:rsidRPr="008B2270">
        <w:tab/>
        <w:t>Entity resource statement</w:t>
      </w:r>
      <w:r w:rsidR="00CE3F03" w:rsidRPr="008B2270">
        <w:tab/>
      </w:r>
      <w:r w:rsidR="00CE3F03" w:rsidRPr="008B2270">
        <w:fldChar w:fldCharType="begin"/>
      </w:r>
      <w:r w:rsidR="00CE3F03" w:rsidRPr="008B2270">
        <w:instrText xml:space="preserve"> PAGEREF ASQA_1_2 \h </w:instrText>
      </w:r>
      <w:r w:rsidR="00CE3F03" w:rsidRPr="008B2270">
        <w:fldChar w:fldCharType="separate"/>
      </w:r>
      <w:r w:rsidR="00E775E3">
        <w:rPr>
          <w:noProof/>
        </w:rPr>
        <w:t>140</w:t>
      </w:r>
      <w:r w:rsidR="00CE3F03" w:rsidRPr="008B2270">
        <w:fldChar w:fldCharType="end"/>
      </w:r>
    </w:p>
    <w:p w:rsidR="00CE3F03" w:rsidRPr="008B2270" w:rsidRDefault="001813B5" w:rsidP="0066473B">
      <w:pPr>
        <w:pStyle w:val="TOC1"/>
      </w:pPr>
      <w:r w:rsidRPr="008B2270">
        <w:t>Section 2: Outcomes and planned performance</w:t>
      </w:r>
      <w:r w:rsidR="00CE3F03" w:rsidRPr="008B2270">
        <w:tab/>
      </w:r>
      <w:r w:rsidR="00CE3F03" w:rsidRPr="008B2270">
        <w:fldChar w:fldCharType="begin"/>
      </w:r>
      <w:r w:rsidR="00CE3F03" w:rsidRPr="008B2270">
        <w:instrText xml:space="preserve"> PAGEREF ASQA_2_0 \h </w:instrText>
      </w:r>
      <w:r w:rsidR="00CE3F03" w:rsidRPr="008B2270">
        <w:fldChar w:fldCharType="separate"/>
      </w:r>
      <w:r w:rsidR="00E775E3">
        <w:rPr>
          <w:noProof/>
        </w:rPr>
        <w:t>141</w:t>
      </w:r>
      <w:r w:rsidR="00CE3F03" w:rsidRPr="008B2270">
        <w:fldChar w:fldCharType="end"/>
      </w:r>
    </w:p>
    <w:p w:rsidR="00CE3F03" w:rsidRPr="008B2270" w:rsidRDefault="001813B5" w:rsidP="0066473B">
      <w:pPr>
        <w:pStyle w:val="TOC2"/>
      </w:pPr>
      <w:r w:rsidRPr="008B2270">
        <w:t xml:space="preserve">2.1 </w:t>
      </w:r>
      <w:r w:rsidRPr="008B2270">
        <w:tab/>
        <w:t>Budgeted expenses and performance for Outcome 1</w:t>
      </w:r>
      <w:r w:rsidR="00CE3F03" w:rsidRPr="008B2270">
        <w:tab/>
      </w:r>
      <w:r w:rsidR="00CE3F03" w:rsidRPr="008B2270">
        <w:fldChar w:fldCharType="begin"/>
      </w:r>
      <w:r w:rsidR="00CE3F03" w:rsidRPr="008B2270">
        <w:instrText xml:space="preserve"> PAGEREF ASQA_2_1 \h </w:instrText>
      </w:r>
      <w:r w:rsidR="00CE3F03" w:rsidRPr="008B2270">
        <w:fldChar w:fldCharType="separate"/>
      </w:r>
      <w:r w:rsidR="00E775E3">
        <w:rPr>
          <w:noProof/>
        </w:rPr>
        <w:t>142</w:t>
      </w:r>
      <w:r w:rsidR="00CE3F03" w:rsidRPr="008B2270">
        <w:fldChar w:fldCharType="end"/>
      </w:r>
    </w:p>
    <w:p w:rsidR="00CE3F03" w:rsidRPr="008B2270" w:rsidRDefault="001813B5" w:rsidP="0066473B">
      <w:pPr>
        <w:pStyle w:val="TOC1"/>
      </w:pPr>
      <w:r w:rsidRPr="008B2270">
        <w:t>Section 3: Budgeted financial statements</w:t>
      </w:r>
      <w:r w:rsidR="00CE3F03" w:rsidRPr="008B2270">
        <w:tab/>
      </w:r>
      <w:r w:rsidR="00CE3F03" w:rsidRPr="008B2270">
        <w:fldChar w:fldCharType="begin"/>
      </w:r>
      <w:r w:rsidR="00CE3F03" w:rsidRPr="008B2270">
        <w:instrText xml:space="preserve"> PAGEREF ASQA_3_0 \h </w:instrText>
      </w:r>
      <w:r w:rsidR="00CE3F03" w:rsidRPr="008B2270">
        <w:fldChar w:fldCharType="separate"/>
      </w:r>
      <w:r w:rsidR="00E775E3">
        <w:rPr>
          <w:noProof/>
        </w:rPr>
        <w:t>145</w:t>
      </w:r>
      <w:r w:rsidR="00CE3F03" w:rsidRPr="008B2270">
        <w:fldChar w:fldCharType="end"/>
      </w:r>
    </w:p>
    <w:p w:rsidR="00CE3F03" w:rsidRPr="008B2270" w:rsidRDefault="001813B5" w:rsidP="0066473B">
      <w:pPr>
        <w:pStyle w:val="TOC2"/>
      </w:pPr>
      <w:r w:rsidRPr="008B2270">
        <w:t>3.1</w:t>
      </w:r>
      <w:r w:rsidRPr="008B2270">
        <w:tab/>
        <w:t>Budgeted financial statements</w:t>
      </w:r>
      <w:r w:rsidR="00CE3F03" w:rsidRPr="008B2270">
        <w:tab/>
      </w:r>
      <w:r w:rsidR="00CE3F03" w:rsidRPr="008B2270">
        <w:fldChar w:fldCharType="begin"/>
      </w:r>
      <w:r w:rsidR="00CE3F03" w:rsidRPr="008B2270">
        <w:instrText xml:space="preserve"> PAGEREF ASQA_3_1 \h </w:instrText>
      </w:r>
      <w:r w:rsidR="00CE3F03" w:rsidRPr="008B2270">
        <w:fldChar w:fldCharType="separate"/>
      </w:r>
      <w:r w:rsidR="00E775E3">
        <w:rPr>
          <w:noProof/>
        </w:rPr>
        <w:t>145</w:t>
      </w:r>
      <w:r w:rsidR="00CE3F03" w:rsidRPr="008B2270">
        <w:fldChar w:fldCharType="end"/>
      </w:r>
    </w:p>
    <w:p w:rsidR="00CE3F03" w:rsidRPr="008B2270" w:rsidRDefault="001813B5" w:rsidP="0066473B">
      <w:pPr>
        <w:pStyle w:val="TOC2"/>
      </w:pPr>
      <w:r w:rsidRPr="008B2270">
        <w:t>3.2</w:t>
      </w:r>
      <w:r w:rsidRPr="008B2270">
        <w:tab/>
        <w:t>Budgeted financial statements tables</w:t>
      </w:r>
      <w:r w:rsidR="00CE3F03" w:rsidRPr="008B2270">
        <w:tab/>
      </w:r>
      <w:r w:rsidR="00CE3F03" w:rsidRPr="008B2270">
        <w:fldChar w:fldCharType="begin"/>
      </w:r>
      <w:r w:rsidR="00CE3F03" w:rsidRPr="008B2270">
        <w:instrText xml:space="preserve"> PAGEREF ASQA_3_2 \h </w:instrText>
      </w:r>
      <w:r w:rsidR="00CE3F03" w:rsidRPr="008B2270">
        <w:fldChar w:fldCharType="separate"/>
      </w:r>
      <w:r w:rsidR="00E775E3">
        <w:rPr>
          <w:noProof/>
        </w:rPr>
        <w:t>146</w:t>
      </w:r>
      <w:r w:rsidR="00CE3F03" w:rsidRPr="008B2270">
        <w:fldChar w:fldCharType="end"/>
      </w:r>
    </w:p>
    <w:p w:rsidR="00CE3F03" w:rsidRPr="008B2270" w:rsidRDefault="00CE3F03" w:rsidP="0066473B"/>
    <w:p w:rsidR="00CE3F03" w:rsidRPr="008B2270" w:rsidRDefault="00CE3F03" w:rsidP="008B5AFD"/>
    <w:p w:rsidR="00CE3F03" w:rsidRPr="008B2270" w:rsidRDefault="00CE3F03" w:rsidP="00257FF4">
      <w:pPr>
        <w:sectPr w:rsidR="00CE3F03" w:rsidRPr="008B2270" w:rsidSect="004E176A">
          <w:headerReference w:type="first" r:id="rId14"/>
          <w:footerReference w:type="first" r:id="rId15"/>
          <w:type w:val="oddPage"/>
          <w:pgSz w:w="11906" w:h="16838" w:code="9"/>
          <w:pgMar w:top="2466" w:right="2098" w:bottom="2466" w:left="2098" w:header="1899" w:footer="1899" w:gutter="0"/>
          <w:pgNumType w:start="137"/>
          <w:cols w:space="708"/>
          <w:titlePg/>
          <w:docGrid w:linePitch="360"/>
        </w:sectPr>
      </w:pPr>
    </w:p>
    <w:p w:rsidR="00CE3F03" w:rsidRPr="008B2270" w:rsidRDefault="00CE3F03" w:rsidP="00CE3F03">
      <w:pPr>
        <w:pStyle w:val="Heading1"/>
      </w:pPr>
      <w:r w:rsidRPr="008B2270">
        <w:lastRenderedPageBreak/>
        <w:t>Australian Skills Quality Authority</w:t>
      </w:r>
    </w:p>
    <w:p w:rsidR="00CE3F03" w:rsidRPr="008B2270" w:rsidRDefault="00CE3F03" w:rsidP="00CE3F03">
      <w:pPr>
        <w:pStyle w:val="Heading2"/>
      </w:pPr>
      <w:bookmarkStart w:id="1" w:name="ASQA_1_0"/>
      <w:r w:rsidRPr="008B2270">
        <w:t>Section 1: Entity overview and resources</w:t>
      </w:r>
      <w:bookmarkEnd w:id="1"/>
    </w:p>
    <w:p w:rsidR="00CE3F03" w:rsidRPr="008B2270" w:rsidRDefault="00CE3F03" w:rsidP="00CE3F03">
      <w:pPr>
        <w:pStyle w:val="Heading3"/>
      </w:pPr>
      <w:bookmarkStart w:id="2" w:name="ASQA_1_1"/>
      <w:bookmarkStart w:id="3" w:name="_Toc2761035"/>
      <w:r w:rsidRPr="008B2270">
        <w:t>1.1</w:t>
      </w:r>
      <w:r w:rsidRPr="008B2270">
        <w:tab/>
        <w:t>Strategic direction statement</w:t>
      </w:r>
      <w:bookmarkEnd w:id="2"/>
      <w:bookmarkEnd w:id="3"/>
    </w:p>
    <w:p w:rsidR="00CE3F03" w:rsidRPr="008B2270" w:rsidRDefault="00CE3F03" w:rsidP="00CE3F03">
      <w:r w:rsidRPr="008B2270">
        <w:t xml:space="preserve">The Australian Skills Quality Authority (ASQA) was established on 1 July 2011 by the enactment of the </w:t>
      </w:r>
      <w:r w:rsidRPr="008B2270">
        <w:rPr>
          <w:i/>
        </w:rPr>
        <w:t>National Vocational Education and Training Regulator Act 2011</w:t>
      </w:r>
      <w:r w:rsidRPr="008B2270">
        <w:t xml:space="preserve"> (NVR Act) and supplementary legislation.</w:t>
      </w:r>
    </w:p>
    <w:p w:rsidR="00CE3F03" w:rsidRPr="008B2270" w:rsidRDefault="00CE3F03" w:rsidP="00CE3F03">
      <w:r w:rsidRPr="008B2270">
        <w:t xml:space="preserve">ASQA’s focus is on maintaining a nationally consistent regulatory system that gives confidence to stakeholders that vocational education and training providers, and providers of English language courses to overseas students, offer quality training and assessment services. ASQA works to ensure that this training is appropriate to meet Australia’s social and economic needs for a highly educated and skilled population. </w:t>
      </w:r>
    </w:p>
    <w:p w:rsidR="00CE3F03" w:rsidRPr="008B2270" w:rsidRDefault="00CE3F03" w:rsidP="00CE3F03">
      <w:pPr>
        <w:rPr>
          <w:rFonts w:cs="BookAntiqua"/>
        </w:rPr>
      </w:pPr>
      <w:r w:rsidRPr="008B2270">
        <w:rPr>
          <w:rFonts w:cs="BookAntiqua"/>
        </w:rPr>
        <w:t xml:space="preserve">Key facets of ASQA’s regulatory approach include: </w:t>
      </w:r>
    </w:p>
    <w:p w:rsidR="00CE3F03" w:rsidRPr="008B2270" w:rsidRDefault="00CE3F03" w:rsidP="007A3830">
      <w:pPr>
        <w:pStyle w:val="PBS16BulletList"/>
      </w:pPr>
      <w:r w:rsidRPr="008B2270">
        <w:t xml:space="preserve">proportionate, risk-based regulation </w:t>
      </w:r>
    </w:p>
    <w:p w:rsidR="00CE3F03" w:rsidRPr="008B2270" w:rsidRDefault="00CE3F03" w:rsidP="007A3830">
      <w:pPr>
        <w:pStyle w:val="PBS16BulletList"/>
      </w:pPr>
      <w:r w:rsidRPr="008B2270">
        <w:t>decisive action in cases of serious risk to the vocational education and training (VET) sector</w:t>
      </w:r>
    </w:p>
    <w:p w:rsidR="00CE3F03" w:rsidRPr="008B2270" w:rsidRDefault="00CE3F03" w:rsidP="007A3830">
      <w:pPr>
        <w:pStyle w:val="PBS16BulletList"/>
      </w:pPr>
      <w:r w:rsidRPr="008B2270">
        <w:t>facilitating access to accurate information about VET.</w:t>
      </w:r>
    </w:p>
    <w:p w:rsidR="00CE3F03" w:rsidRPr="008B2270" w:rsidRDefault="00CE3F03" w:rsidP="00CE3F03">
      <w:r w:rsidRPr="008B2270">
        <w:t>ASQA’s objectives (as described in the NVR Act) are:</w:t>
      </w:r>
    </w:p>
    <w:p w:rsidR="00CE3F03" w:rsidRPr="008B2270" w:rsidRDefault="00CE3F03" w:rsidP="00CE3F03">
      <w:pPr>
        <w:pStyle w:val="PBS16BulletList"/>
      </w:pPr>
      <w:r w:rsidRPr="008B2270">
        <w:t>to provide for national consistency in the regulation of VET</w:t>
      </w:r>
    </w:p>
    <w:p w:rsidR="00CE3F03" w:rsidRPr="008B2270" w:rsidRDefault="00CE3F03" w:rsidP="00CE3F03">
      <w:pPr>
        <w:pStyle w:val="PBS16BulletList"/>
      </w:pPr>
      <w:r w:rsidRPr="008B2270">
        <w:t>to regulate VET using:</w:t>
      </w:r>
    </w:p>
    <w:p w:rsidR="00CE3F03" w:rsidRPr="008B2270" w:rsidRDefault="00CE3F03" w:rsidP="00CE3F03">
      <w:pPr>
        <w:pStyle w:val="PBS16BulletList2"/>
      </w:pPr>
      <w:r w:rsidRPr="008B2270">
        <w:t>a standards-based quality framework</w:t>
      </w:r>
    </w:p>
    <w:p w:rsidR="00CE3F03" w:rsidRPr="008B2270" w:rsidRDefault="00CE3F03" w:rsidP="00CE3F03">
      <w:pPr>
        <w:pStyle w:val="PBS16BulletList2"/>
      </w:pPr>
      <w:r w:rsidRPr="008B2270">
        <w:t>risk assessments, where appropriate</w:t>
      </w:r>
    </w:p>
    <w:p w:rsidR="00CE3F03" w:rsidRPr="008B2270" w:rsidRDefault="00CE3F03" w:rsidP="00CE3F03">
      <w:pPr>
        <w:pStyle w:val="PBS16BulletList"/>
      </w:pPr>
      <w:r w:rsidRPr="008B2270">
        <w:t>to protect and enhance:</w:t>
      </w:r>
    </w:p>
    <w:p w:rsidR="00CE3F03" w:rsidRPr="008B2270" w:rsidRDefault="00CE3F03" w:rsidP="00CE3F03">
      <w:pPr>
        <w:pStyle w:val="PBS16BulletList2"/>
      </w:pPr>
      <w:r w:rsidRPr="008B2270">
        <w:t>quality, flexibility and innovation in VET</w:t>
      </w:r>
    </w:p>
    <w:p w:rsidR="00CE3F03" w:rsidRPr="008B2270" w:rsidRDefault="00CE3F03" w:rsidP="00CE3F03">
      <w:pPr>
        <w:pStyle w:val="PBS16BulletList2"/>
      </w:pPr>
      <w:r w:rsidRPr="008B2270">
        <w:t>Australia’s reputation for VET nationally and internationally</w:t>
      </w:r>
    </w:p>
    <w:p w:rsidR="00CE3F03" w:rsidRPr="008B2270" w:rsidRDefault="00CE3F03" w:rsidP="00CE3F03">
      <w:pPr>
        <w:pStyle w:val="PBS16BulletList"/>
      </w:pPr>
      <w:r w:rsidRPr="008B2270">
        <w:t>to provide a regulatory framework that encourages and promotes a VET system that is appropriate to meet Australia’s social and economic needs for a highly educated and skilled population</w:t>
      </w:r>
    </w:p>
    <w:p w:rsidR="00CE3F03" w:rsidRPr="008B2270" w:rsidRDefault="00CE3F03" w:rsidP="00CE3F03">
      <w:pPr>
        <w:pStyle w:val="PBS16BulletList"/>
      </w:pPr>
      <w:r w:rsidRPr="008B2270">
        <w:t>to protect students undertaking, or proposing to undertake, Australian VET by ensuring the provision of quality vocational education and training</w:t>
      </w:r>
    </w:p>
    <w:p w:rsidR="00CE3F03" w:rsidRPr="008B2270" w:rsidRDefault="00CE3F03" w:rsidP="00CE3F03">
      <w:pPr>
        <w:pStyle w:val="PBS16BulletList"/>
      </w:pPr>
      <w:r w:rsidRPr="008B2270">
        <w:t>to facilitate access to accurate information relating to the quality of VET.</w:t>
      </w:r>
    </w:p>
    <w:p w:rsidR="00CE3F03" w:rsidRPr="008B2270" w:rsidRDefault="00CE3F03" w:rsidP="007A3830">
      <w:pPr>
        <w:pStyle w:val="Heading4"/>
      </w:pPr>
      <w:r w:rsidRPr="008B2270">
        <w:lastRenderedPageBreak/>
        <w:t>ASQA’s priorities for the year ahead</w:t>
      </w:r>
    </w:p>
    <w:p w:rsidR="00CE3F03" w:rsidRPr="008B2270" w:rsidRDefault="00CE3F03" w:rsidP="00CE3F03">
      <w:pPr>
        <w:rPr>
          <w:rFonts w:eastAsiaTheme="minorHAnsi"/>
        </w:rPr>
      </w:pPr>
      <w:r w:rsidRPr="008B2270">
        <w:rPr>
          <w:rFonts w:eastAsiaTheme="minorHAnsi"/>
        </w:rPr>
        <w:t>In 2019–20 ASQA will focus on:</w:t>
      </w:r>
    </w:p>
    <w:p w:rsidR="00CE3F03" w:rsidRPr="008B2270" w:rsidRDefault="00CE3F03" w:rsidP="00CE3F03">
      <w:pPr>
        <w:pStyle w:val="PBS16BulletList"/>
      </w:pPr>
      <w:r w:rsidRPr="008B2270">
        <w:t xml:space="preserve">Addressing the target areas, and progressing the strategic initiatives, detailed in the Authority’s </w:t>
      </w:r>
      <w:r w:rsidRPr="008B2270">
        <w:rPr>
          <w:i/>
        </w:rPr>
        <w:t>Regulatory Strategy 2018–20</w:t>
      </w:r>
      <w:r w:rsidRPr="008B2270">
        <w:t xml:space="preserve">: </w:t>
      </w:r>
    </w:p>
    <w:p w:rsidR="00CE3F03" w:rsidRPr="008B2270" w:rsidRDefault="00CE3F03" w:rsidP="00CE3F03">
      <w:pPr>
        <w:pStyle w:val="PBS16BulletList2"/>
      </w:pPr>
      <w:r w:rsidRPr="008B2270">
        <w:t>Target areas:</w:t>
      </w:r>
    </w:p>
    <w:p w:rsidR="00CE3F03" w:rsidRPr="008B2270" w:rsidRDefault="00CE3F03" w:rsidP="00CE3F03">
      <w:pPr>
        <w:pStyle w:val="PBS16BulletList3"/>
      </w:pPr>
      <w:r w:rsidRPr="008B2270">
        <w:t>Australia’s international education sector (this will include the finalisation of ASQA’s strategic review into international education)</w:t>
      </w:r>
    </w:p>
    <w:p w:rsidR="00CE3F03" w:rsidRPr="008B2270" w:rsidRDefault="00CE3F03" w:rsidP="00CE3F03">
      <w:pPr>
        <w:pStyle w:val="PBS16BulletList3"/>
      </w:pPr>
      <w:r w:rsidRPr="008B2270">
        <w:t>Trainer and assessor capability</w:t>
      </w:r>
    </w:p>
    <w:p w:rsidR="00CE3F03" w:rsidRPr="008B2270" w:rsidRDefault="00CE3F03" w:rsidP="00CE3F03">
      <w:pPr>
        <w:pStyle w:val="PBS16BulletList2"/>
      </w:pPr>
      <w:r w:rsidRPr="008B2270">
        <w:t>Strategic initiatives:</w:t>
      </w:r>
    </w:p>
    <w:p w:rsidR="00CE3F03" w:rsidRPr="008B2270" w:rsidRDefault="00CE3F03" w:rsidP="00CE3F03">
      <w:pPr>
        <w:pStyle w:val="PBS16BulletList3"/>
      </w:pPr>
      <w:r w:rsidRPr="008B2270">
        <w:t>Recognising and supporting quality in the VET sector</w:t>
      </w:r>
    </w:p>
    <w:p w:rsidR="00CE3F03" w:rsidRPr="008B2270" w:rsidRDefault="00CE3F03" w:rsidP="00CE3F03">
      <w:pPr>
        <w:pStyle w:val="PBS16BulletList3"/>
      </w:pPr>
      <w:r w:rsidRPr="008B2270">
        <w:t>Strengthening registration requirements</w:t>
      </w:r>
    </w:p>
    <w:p w:rsidR="00CE3F03" w:rsidRPr="008B2270" w:rsidRDefault="00CE3F03" w:rsidP="00CE3F03">
      <w:pPr>
        <w:pStyle w:val="PBS16BulletList3"/>
      </w:pPr>
      <w:r w:rsidRPr="008B2270">
        <w:t>Training products of concern</w:t>
      </w:r>
    </w:p>
    <w:p w:rsidR="00CE3F03" w:rsidRPr="008B2270" w:rsidRDefault="00CE3F03" w:rsidP="00CE3F03">
      <w:pPr>
        <w:pStyle w:val="PBS16BulletList4"/>
      </w:pPr>
      <w:r w:rsidRPr="008B2270">
        <w:t xml:space="preserve">CHC30113 Certificate III in Early Childhood Education and Care </w:t>
      </w:r>
    </w:p>
    <w:p w:rsidR="00CE3F03" w:rsidRPr="008B2270" w:rsidRDefault="00CE3F03" w:rsidP="00CE3F03">
      <w:pPr>
        <w:pStyle w:val="PBS16BulletList4"/>
      </w:pPr>
      <w:r w:rsidRPr="008B2270">
        <w:t xml:space="preserve">TAE40116 Certificate IV in Training and Assessment </w:t>
      </w:r>
    </w:p>
    <w:p w:rsidR="00CE3F03" w:rsidRPr="008B2270" w:rsidRDefault="00CE3F03" w:rsidP="00CE3F03">
      <w:pPr>
        <w:pStyle w:val="PBS16BulletList4"/>
      </w:pPr>
      <w:r w:rsidRPr="008B2270">
        <w:t>CHC33015 Certificate III in Individual Support</w:t>
      </w:r>
    </w:p>
    <w:p w:rsidR="00CE3F03" w:rsidRPr="008B2270" w:rsidRDefault="00CE3F03" w:rsidP="00CE3F03">
      <w:pPr>
        <w:pStyle w:val="PBS16BulletList4"/>
      </w:pPr>
      <w:r w:rsidRPr="008B2270">
        <w:t>CHC50113 Diploma of Early Childhood Education and Care</w:t>
      </w:r>
    </w:p>
    <w:p w:rsidR="00CE3F03" w:rsidRPr="008B2270" w:rsidRDefault="00CE3F03" w:rsidP="00CE3F03">
      <w:pPr>
        <w:pStyle w:val="PBS16BulletList"/>
      </w:pPr>
      <w:r w:rsidRPr="008B2270">
        <w:t>progressing ASQA’s move to full cost recovery by 1 July 2020</w:t>
      </w:r>
    </w:p>
    <w:p w:rsidR="00CE3F03" w:rsidRPr="008B2270" w:rsidRDefault="00CE3F03" w:rsidP="00CE3F03">
      <w:pPr>
        <w:pStyle w:val="PBS16BulletList"/>
      </w:pPr>
      <w:r w:rsidRPr="008B2270">
        <w:t>addressing recommendations emanating from the review of the</w:t>
      </w:r>
      <w:r w:rsidRPr="008B2270">
        <w:rPr>
          <w:i/>
        </w:rPr>
        <w:t xml:space="preserve"> National Vocational Education and Training Regulator Act 2011</w:t>
      </w:r>
      <w:r w:rsidRPr="008B2270">
        <w:t xml:space="preserve"> that relate to ASQA.</w:t>
      </w:r>
    </w:p>
    <w:p w:rsidR="00CE3F03" w:rsidRPr="008B2270" w:rsidRDefault="00CE3F03" w:rsidP="00CE3F03">
      <w:pPr>
        <w:pStyle w:val="Heading3"/>
      </w:pPr>
      <w:r w:rsidRPr="008B2270">
        <w:br w:type="page"/>
      </w:r>
      <w:bookmarkStart w:id="4" w:name="ASQA_1_2"/>
      <w:r w:rsidRPr="008B2270">
        <w:lastRenderedPageBreak/>
        <w:t>1.2</w:t>
      </w:r>
      <w:r w:rsidRPr="008B2270">
        <w:tab/>
        <w:t>Entity resource statement</w:t>
      </w:r>
      <w:bookmarkEnd w:id="4"/>
    </w:p>
    <w:p w:rsidR="00CE3F03" w:rsidRPr="008B2270" w:rsidRDefault="00CE3F03" w:rsidP="00257FF4">
      <w:r w:rsidRPr="008B2270">
        <w:t>Table 1.1 shows the total funding from all sources available to ASQA for its operations and to deliver programs and services on behalf of the Government.</w:t>
      </w:r>
    </w:p>
    <w:p w:rsidR="00CE3F03" w:rsidRPr="008B2270" w:rsidRDefault="00CE3F03" w:rsidP="00257FF4">
      <w:r w:rsidRPr="008B2270">
        <w:t>The table summarises how resources will be applied by outcome (government strategic policy objectives) and by administered (on behalf of the Government or the public) and departmental (for ASQA’s operations) classification.</w:t>
      </w:r>
    </w:p>
    <w:p w:rsidR="00CE3F03" w:rsidRPr="008B2270" w:rsidRDefault="00CE3F03" w:rsidP="00257FF4">
      <w:r w:rsidRPr="008B2270">
        <w:t xml:space="preserve">For more detailed information on special appropriations, please refer to </w:t>
      </w:r>
      <w:r w:rsidRPr="008B2270">
        <w:rPr>
          <w:i/>
        </w:rPr>
        <w:t>Budget Paper No. 4 – Agency Resourcing</w:t>
      </w:r>
      <w:r w:rsidRPr="008B2270">
        <w:t>.</w:t>
      </w:r>
    </w:p>
    <w:p w:rsidR="00CE3F03" w:rsidRPr="008B2270" w:rsidRDefault="00CE3F03" w:rsidP="00257FF4">
      <w:r w:rsidRPr="008B2270">
        <w:t>Information in this table is presented on a resourcing (that is, appropriations/cash available) basis, while the ‘Budgeted expenses by Outcome’ tables in Section 2 and the financial statements in Section 3 are presented on an accrual basis.</w:t>
      </w:r>
    </w:p>
    <w:p w:rsidR="00CE3F03" w:rsidRPr="008B2270" w:rsidRDefault="00CE3F03" w:rsidP="005731D3">
      <w:pPr>
        <w:pStyle w:val="TableHeading"/>
        <w:rPr>
          <w:lang w:val="en-AU"/>
        </w:rPr>
      </w:pPr>
      <w:r w:rsidRPr="008B2270">
        <w:rPr>
          <w:lang w:val="en-AU"/>
        </w:rPr>
        <w:t>Table 1.1: ASQA resource statement — Budget estimates for 2019–20 as at Budget April 2019</w:t>
      </w:r>
    </w:p>
    <w:p w:rsidR="00CE3F03" w:rsidRPr="008B2270" w:rsidRDefault="00CE3F03" w:rsidP="00CE3F03">
      <w:pPr>
        <w:pStyle w:val="ChartGraphic"/>
      </w:pPr>
      <w:r w:rsidRPr="008B2270">
        <w:drawing>
          <wp:inline distT="0" distB="0" distL="0" distR="0">
            <wp:extent cx="4895850" cy="2668755"/>
            <wp:effectExtent l="0" t="0" r="0" b="0"/>
            <wp:docPr id="84" name="Picture 84"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5850" cy="2668755"/>
                    </a:xfrm>
                    <a:prstGeom prst="rect">
                      <a:avLst/>
                    </a:prstGeom>
                    <a:noFill/>
                    <a:ln>
                      <a:noFill/>
                    </a:ln>
                  </pic:spPr>
                </pic:pic>
              </a:graphicData>
            </a:graphic>
          </wp:inline>
        </w:drawing>
      </w:r>
    </w:p>
    <w:p w:rsidR="00CE3F03" w:rsidRPr="008B2270" w:rsidRDefault="00CE3F03" w:rsidP="00CE3F03">
      <w:pPr>
        <w:pStyle w:val="ChartandTableFootnote"/>
      </w:pPr>
      <w:r w:rsidRPr="008B2270">
        <w:t>All figures shown above are GST exclusive - these may not match figures in the cash flow statement.</w:t>
      </w:r>
      <w:r w:rsidRPr="008B2270">
        <w:tab/>
      </w:r>
      <w:r w:rsidRPr="008B2270">
        <w:tab/>
      </w:r>
    </w:p>
    <w:p w:rsidR="00CE3F03" w:rsidRPr="008B2270" w:rsidRDefault="00CE3F03" w:rsidP="00CE3F03">
      <w:pPr>
        <w:pStyle w:val="ChartandTableFootnote"/>
      </w:pPr>
      <w:r w:rsidRPr="008B2270">
        <w:t>Prepared on a resourcing (i.e. appropriations available) basis.</w:t>
      </w:r>
      <w:r w:rsidRPr="008B2270">
        <w:tab/>
      </w:r>
      <w:r w:rsidRPr="008B2270">
        <w:tab/>
      </w:r>
    </w:p>
    <w:p w:rsidR="00CE3F03" w:rsidRPr="008B2270" w:rsidRDefault="00CE3F03" w:rsidP="00CE3F03">
      <w:pPr>
        <w:pStyle w:val="ChartandTableFootnote"/>
      </w:pPr>
      <w:r w:rsidRPr="008B2270">
        <w:t xml:space="preserve">(a) </w:t>
      </w:r>
      <w:r w:rsidRPr="008B2270">
        <w:tab/>
        <w:t>Appropriation Bill (No. 1) 2019–20.</w:t>
      </w:r>
    </w:p>
    <w:p w:rsidR="00CE3F03" w:rsidRPr="008B2270" w:rsidRDefault="00CE3F03" w:rsidP="00CE3F03">
      <w:pPr>
        <w:pStyle w:val="ChartandTableFootnote"/>
      </w:pPr>
      <w:r w:rsidRPr="008B2270">
        <w:t xml:space="preserve">(b) </w:t>
      </w:r>
      <w:r w:rsidRPr="008B2270">
        <w:tab/>
        <w:t>Excludes departmental capital budget (DCB).</w:t>
      </w:r>
      <w:r w:rsidRPr="008B2270">
        <w:tab/>
      </w:r>
      <w:r w:rsidRPr="008B2270">
        <w:tab/>
      </w:r>
    </w:p>
    <w:p w:rsidR="00CE3F03" w:rsidRPr="008B2270" w:rsidRDefault="00CE3F03" w:rsidP="00CE3F03">
      <w:pPr>
        <w:pStyle w:val="ChartandTableFootnote"/>
      </w:pPr>
      <w:r w:rsidRPr="008B2270">
        <w:t xml:space="preserve">(c) </w:t>
      </w:r>
      <w:r w:rsidRPr="008B2270">
        <w:tab/>
        <w:t>Estimated External Revenue receipts under section 74 of the Public Governance, Performance and Accountability Act 2013 (PGPA Act).</w:t>
      </w:r>
      <w:r w:rsidRPr="008B2270">
        <w:tab/>
      </w:r>
      <w:r w:rsidRPr="008B2270">
        <w:tab/>
      </w:r>
    </w:p>
    <w:p w:rsidR="00CE3F03" w:rsidRPr="008B2270" w:rsidRDefault="00CE3F03" w:rsidP="00CE3F03">
      <w:pPr>
        <w:pStyle w:val="ChartandTableFootnote"/>
      </w:pPr>
      <w:r w:rsidRPr="008B2270">
        <w:t xml:space="preserve">(d) </w:t>
      </w:r>
      <w:r w:rsidRPr="008B2270">
        <w:tab/>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8B2270">
        <w:tab/>
      </w:r>
      <w:r w:rsidRPr="008B2270">
        <w:tab/>
      </w:r>
    </w:p>
    <w:p w:rsidR="00CE3F03" w:rsidRPr="008B2270" w:rsidRDefault="00CE3F03" w:rsidP="00CE3F03">
      <w:pPr>
        <w:pStyle w:val="ChartandTableFootnote"/>
      </w:pPr>
      <w:r w:rsidRPr="008B2270">
        <w:t xml:space="preserve">(e) </w:t>
      </w:r>
      <w:r w:rsidRPr="008B2270">
        <w:tab/>
        <w:t>Appropriation Bill (No. 2) 2019–20.</w:t>
      </w:r>
      <w:r w:rsidRPr="008B2270">
        <w:tab/>
      </w:r>
      <w:r w:rsidRPr="008B2270">
        <w:tab/>
      </w:r>
    </w:p>
    <w:p w:rsidR="00CE3F03" w:rsidRPr="008B2270" w:rsidRDefault="00CE3F03" w:rsidP="00CE3F03">
      <w:pPr>
        <w:pStyle w:val="ChartandTableFootnote"/>
      </w:pPr>
      <w:r w:rsidRPr="008B2270">
        <w:t xml:space="preserve">(f) </w:t>
      </w:r>
      <w:r w:rsidRPr="008B2270">
        <w:tab/>
        <w:t>This is Special Appropriation - PGPA Act - s77 Repayments NVETR.</w:t>
      </w:r>
    </w:p>
    <w:p w:rsidR="00CE3F03" w:rsidRPr="008B2270" w:rsidRDefault="00CE3F03" w:rsidP="00CE3F03">
      <w:pPr>
        <w:rPr>
          <w:rFonts w:ascii="Arial" w:hAnsi="Arial"/>
          <w:color w:val="000000"/>
          <w:sz w:val="16"/>
          <w:lang w:eastAsia="x-none"/>
        </w:rPr>
      </w:pPr>
      <w:r w:rsidRPr="008B2270">
        <w:br w:type="page"/>
      </w:r>
    </w:p>
    <w:p w:rsidR="00CE3F03" w:rsidRPr="008B2270" w:rsidRDefault="00CE3F03" w:rsidP="00810C6A">
      <w:pPr>
        <w:pStyle w:val="Heading2"/>
      </w:pPr>
      <w:bookmarkStart w:id="5" w:name="ASQA_2_0"/>
      <w:r w:rsidRPr="008B2270">
        <w:lastRenderedPageBreak/>
        <w:t>Section 2: Outcomes and planned performance</w:t>
      </w:r>
      <w:bookmarkEnd w:id="5"/>
    </w:p>
    <w:p w:rsidR="00CE3F03" w:rsidRPr="008B2270" w:rsidRDefault="00CE3F03" w:rsidP="00BE7D58">
      <w:r w:rsidRPr="008B227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CE3F03" w:rsidRPr="008B2270" w:rsidRDefault="00CE3F03" w:rsidP="00BE7D58">
      <w:r w:rsidRPr="008B2270">
        <w:t xml:space="preserve">ASQA’s outcome is described below together with its related programs. The following provides detailed information on ASQA’s expenses, further broken down by funding source. </w:t>
      </w:r>
    </w:p>
    <w:p w:rsidR="00CE3F03" w:rsidRPr="008B2270" w:rsidRDefault="00CE3F03" w:rsidP="00810C6A">
      <w:pPr>
        <w:pBdr>
          <w:top w:val="single" w:sz="2" w:space="6" w:color="auto"/>
          <w:left w:val="single" w:sz="2" w:space="4" w:color="auto"/>
          <w:bottom w:val="single" w:sz="2" w:space="6" w:color="auto"/>
          <w:right w:val="single" w:sz="2" w:space="4" w:color="auto"/>
        </w:pBdr>
        <w:spacing w:after="120" w:line="240" w:lineRule="auto"/>
        <w:rPr>
          <w:b/>
        </w:rPr>
      </w:pPr>
      <w:r w:rsidRPr="008B2270">
        <w:rPr>
          <w:b/>
        </w:rPr>
        <w:t>Note:</w:t>
      </w:r>
    </w:p>
    <w:p w:rsidR="00CE3F03" w:rsidRPr="008B2270" w:rsidRDefault="00CE3F03" w:rsidP="00810C6A">
      <w:pPr>
        <w:pBdr>
          <w:top w:val="single" w:sz="2" w:space="6" w:color="auto"/>
          <w:left w:val="single" w:sz="2" w:space="4" w:color="auto"/>
          <w:bottom w:val="single" w:sz="2" w:space="6" w:color="auto"/>
          <w:right w:val="single" w:sz="2" w:space="4" w:color="auto"/>
        </w:pBdr>
      </w:pPr>
      <w:r w:rsidRPr="008B2270">
        <w:t xml:space="preserve">Performance reporting requirements in the Portfolio Budget Statements are part of the enhanced Commonwealth performance framework established by the </w:t>
      </w:r>
      <w:r w:rsidRPr="008B2270">
        <w:rPr>
          <w:i/>
        </w:rPr>
        <w:t>Public Governance, Performance and Accountability Act 2013</w:t>
      </w:r>
      <w:r w:rsidRPr="008B2270">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CE3F03" w:rsidRPr="008B2270" w:rsidRDefault="004E176A" w:rsidP="00594C84">
      <w:pPr>
        <w:pBdr>
          <w:top w:val="single" w:sz="2" w:space="6" w:color="auto"/>
          <w:left w:val="single" w:sz="2" w:space="4" w:color="auto"/>
          <w:bottom w:val="single" w:sz="2" w:space="6" w:color="auto"/>
          <w:right w:val="single" w:sz="2" w:space="4" w:color="auto"/>
        </w:pBdr>
      </w:pPr>
      <w:hyperlink r:id="rId17" w:history="1">
        <w:r w:rsidR="00CE3F03" w:rsidRPr="008B2270">
          <w:t>The most recent corporate plan for ASQA can be found at: www.asqa.gov.au</w:t>
        </w:r>
      </w:hyperlink>
      <w:r w:rsidR="00CE3F03" w:rsidRPr="008B2270">
        <w:t xml:space="preserve"> </w:t>
      </w:r>
    </w:p>
    <w:p w:rsidR="00CE3F03" w:rsidRPr="008B2270" w:rsidRDefault="004E176A" w:rsidP="00594C84">
      <w:pPr>
        <w:pBdr>
          <w:top w:val="single" w:sz="2" w:space="6" w:color="auto"/>
          <w:left w:val="single" w:sz="2" w:space="4" w:color="auto"/>
          <w:bottom w:val="single" w:sz="2" w:space="6" w:color="auto"/>
          <w:right w:val="single" w:sz="2" w:space="4" w:color="auto"/>
        </w:pBdr>
      </w:pPr>
      <w:hyperlink r:id="rId18" w:history="1">
        <w:r w:rsidR="00CE3F03" w:rsidRPr="008B2270">
          <w:t>The most recent annual performance statement can be found in the Annual Report at: www.asqa.gov.au</w:t>
        </w:r>
      </w:hyperlink>
    </w:p>
    <w:p w:rsidR="00CE3F03" w:rsidRPr="008B2270" w:rsidRDefault="00CE3F03" w:rsidP="00BE7D58"/>
    <w:p w:rsidR="00CE3F03" w:rsidRPr="008B2270" w:rsidRDefault="00CE3F03">
      <w:pPr>
        <w:spacing w:after="0" w:line="240" w:lineRule="auto"/>
        <w:jc w:val="left"/>
        <w:rPr>
          <w:rFonts w:ascii="Arial" w:hAnsi="Arial"/>
          <w:b/>
          <w:smallCaps/>
          <w:sz w:val="26"/>
        </w:rPr>
      </w:pPr>
      <w:r w:rsidRPr="008B2270">
        <w:br w:type="page"/>
      </w:r>
    </w:p>
    <w:p w:rsidR="00CE3F03" w:rsidRPr="008B2270" w:rsidRDefault="00CE3F03" w:rsidP="003876AB">
      <w:pPr>
        <w:pStyle w:val="Heading3"/>
      </w:pPr>
      <w:bookmarkStart w:id="6" w:name="ASQA_2_1"/>
      <w:r w:rsidRPr="008B2270">
        <w:lastRenderedPageBreak/>
        <w:t xml:space="preserve">2.1 </w:t>
      </w:r>
      <w:r w:rsidRPr="008B2270">
        <w:tab/>
        <w:t>Budgeted expenses and performance for Outcome 1</w:t>
      </w:r>
      <w:bookmarkEnd w:id="6"/>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CE3F03" w:rsidRPr="008B2270" w:rsidTr="00CE3F03">
        <w:trPr>
          <w:cantSplit/>
          <w:trHeight w:val="23"/>
        </w:trPr>
        <w:tc>
          <w:tcPr>
            <w:tcW w:w="7767" w:type="dxa"/>
            <w:shd w:val="clear" w:color="auto" w:fill="E6E6E6"/>
          </w:tcPr>
          <w:p w:rsidR="00CE3F03" w:rsidRPr="008B2270" w:rsidRDefault="00CE3F03" w:rsidP="003876AB">
            <w:pPr>
              <w:pStyle w:val="TableColumnHeadingLeft"/>
            </w:pPr>
            <w:r w:rsidRPr="008B2270">
              <w:t>Outcome 1: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r>
    </w:tbl>
    <w:p w:rsidR="00CE3F03" w:rsidRPr="008B2270" w:rsidRDefault="00CE3F03" w:rsidP="00AC0B5A">
      <w:pPr>
        <w:pStyle w:val="Heading4"/>
      </w:pPr>
      <w:r w:rsidRPr="008B2270">
        <w:t>Budgeted expenses for Outcome 1</w:t>
      </w:r>
    </w:p>
    <w:p w:rsidR="00CE3F03" w:rsidRPr="008B2270" w:rsidRDefault="00CE3F03" w:rsidP="00594C84">
      <w:r w:rsidRPr="008B2270">
        <w:t xml:space="preserve">This table shows how much ASQA intends to spend (on an accrual basis) on achieving the outcome, broken down by program, as well as by administered and departmental funding sources. </w:t>
      </w:r>
    </w:p>
    <w:p w:rsidR="00CE3F03" w:rsidRPr="008B2270" w:rsidRDefault="00CE3F03" w:rsidP="00DF2C5D">
      <w:pPr>
        <w:pStyle w:val="TableHeading"/>
        <w:rPr>
          <w:lang w:val="en-AU"/>
        </w:rPr>
      </w:pPr>
      <w:r w:rsidRPr="008B2270">
        <w:rPr>
          <w:lang w:val="en-AU"/>
        </w:rPr>
        <w:t>Table 2.1.1: Budgeted expenses for Outcome 1</w:t>
      </w:r>
    </w:p>
    <w:p w:rsidR="00CE3F03" w:rsidRPr="008B2270" w:rsidRDefault="00C409B1" w:rsidP="00CE3F03">
      <w:pPr>
        <w:pStyle w:val="ChartGraphic"/>
      </w:pPr>
      <w:r w:rsidRPr="008B2270">
        <w:drawing>
          <wp:inline distT="0" distB="0" distL="0" distR="0">
            <wp:extent cx="4895850" cy="3897613"/>
            <wp:effectExtent l="0" t="0" r="0" b="8255"/>
            <wp:docPr id="4" name="Picture 4"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850" cy="3897613"/>
                    </a:xfrm>
                    <a:prstGeom prst="rect">
                      <a:avLst/>
                    </a:prstGeom>
                    <a:noFill/>
                    <a:ln>
                      <a:noFill/>
                    </a:ln>
                  </pic:spPr>
                </pic:pic>
              </a:graphicData>
            </a:graphic>
          </wp:inline>
        </w:drawing>
      </w:r>
    </w:p>
    <w:p w:rsidR="00CE3F03" w:rsidRPr="008B2270" w:rsidRDefault="00CE3F03" w:rsidP="00CE3F03">
      <w:pPr>
        <w:pStyle w:val="ChartandTableFootnote"/>
      </w:pPr>
      <w:r w:rsidRPr="008B2270">
        <w:t xml:space="preserve">(a) </w:t>
      </w:r>
      <w:r w:rsidRPr="008B2270">
        <w:tab/>
        <w:t xml:space="preserve">Estimated expenses incurred in relation to receipts retained under section 74 of the </w:t>
      </w:r>
      <w:r w:rsidRPr="008B2270">
        <w:rPr>
          <w:i/>
          <w:iCs/>
        </w:rPr>
        <w:t>PGPA Act 2013.</w:t>
      </w:r>
    </w:p>
    <w:p w:rsidR="00CE3F03" w:rsidRPr="008B2270" w:rsidRDefault="00CE3F03" w:rsidP="00CE3F03">
      <w:pPr>
        <w:pStyle w:val="ChartandTableFootnote"/>
      </w:pPr>
      <w:r w:rsidRPr="008B2270">
        <w:t xml:space="preserve">(b) </w:t>
      </w:r>
      <w:r w:rsidRPr="008B2270">
        <w:tab/>
        <w:t>Departmental expenses not requiring appropriation are depreciation expenses and amortisation expenses.</w:t>
      </w:r>
    </w:p>
    <w:p w:rsidR="00CE3F03" w:rsidRPr="008B2270" w:rsidRDefault="00CE3F03" w:rsidP="00CE3F03">
      <w:pPr>
        <w:pStyle w:val="ChartandTableFootnote"/>
      </w:pPr>
      <w:r w:rsidRPr="008B2270">
        <w:t>Note:</w:t>
      </w:r>
      <w:r w:rsidRPr="008B2270">
        <w:tab/>
        <w:t>Departmental appropriation splits and totals are indicative estimates and may change in the course of the budget year as government priorities change.</w:t>
      </w:r>
    </w:p>
    <w:p w:rsidR="006C799D" w:rsidRPr="008B2270" w:rsidRDefault="006C799D">
      <w:pPr>
        <w:spacing w:after="0" w:line="240" w:lineRule="auto"/>
        <w:jc w:val="left"/>
        <w:rPr>
          <w:rFonts w:ascii="Arial" w:hAnsi="Arial"/>
          <w:b/>
          <w:sz w:val="22"/>
        </w:rPr>
      </w:pPr>
      <w:r w:rsidRPr="008B2270">
        <w:br w:type="page"/>
      </w:r>
    </w:p>
    <w:p w:rsidR="00CE3F03" w:rsidRPr="008B2270" w:rsidRDefault="00CE3F03" w:rsidP="00CE3F03">
      <w:pPr>
        <w:pStyle w:val="Heading4"/>
      </w:pPr>
      <w:r w:rsidRPr="008B2270">
        <w:lastRenderedPageBreak/>
        <w:t>Performance criteria for Outcome 1</w:t>
      </w:r>
    </w:p>
    <w:p w:rsidR="00CE3F03" w:rsidRPr="008B2270" w:rsidRDefault="00CE3F03" w:rsidP="00CE3F03">
      <w:pPr>
        <w:rPr>
          <w:i/>
        </w:rPr>
      </w:pPr>
      <w:r w:rsidRPr="008B2270">
        <w:t>This section below details the performance criteria for each program associated with Outcome 1. It summarises how each program is delivered.</w:t>
      </w:r>
      <w:r w:rsidRPr="008B2270">
        <w:rPr>
          <w:i/>
        </w:rPr>
        <w:t xml:space="preserve"> </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tblGrid>
      <w:tr w:rsidR="00CE3F03" w:rsidRPr="008B2270" w:rsidTr="00CE3F03">
        <w:trPr>
          <w:cantSplit/>
          <w:trHeight w:val="23"/>
          <w:tblHeader/>
        </w:trPr>
        <w:tc>
          <w:tcPr>
            <w:tcW w:w="7767" w:type="dxa"/>
            <w:shd w:val="clear" w:color="auto" w:fill="F2F2F2"/>
          </w:tcPr>
          <w:p w:rsidR="00CE3F03" w:rsidRPr="008B2270" w:rsidRDefault="00CE3F03" w:rsidP="00CE3F03">
            <w:pPr>
              <w:pStyle w:val="TableColumnHeadingLeft"/>
            </w:pPr>
            <w:r w:rsidRPr="008B2270">
              <w:t>Outcome 1: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r>
    </w:tbl>
    <w:p w:rsidR="00CE3F03" w:rsidRPr="008B2270" w:rsidRDefault="00CE3F03" w:rsidP="00CE3F03">
      <w:pPr>
        <w:pStyle w:val="Heading5"/>
      </w:pPr>
      <w:r w:rsidRPr="008B2270">
        <w:t>Program 1.1: Regulation and Advice</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CE3F03" w:rsidRPr="008B2270" w:rsidTr="00CE3F03">
        <w:trPr>
          <w:cantSplit/>
          <w:trHeight w:val="23"/>
          <w:tblHeader/>
        </w:trPr>
        <w:tc>
          <w:tcPr>
            <w:tcW w:w="1049" w:type="dxa"/>
            <w:shd w:val="clear" w:color="auto" w:fill="auto"/>
          </w:tcPr>
          <w:p w:rsidR="00CE3F03" w:rsidRPr="008B2270" w:rsidRDefault="00CE3F03" w:rsidP="00CE3F03">
            <w:pPr>
              <w:pStyle w:val="PBS16TableNormalHeading"/>
            </w:pPr>
            <w:r w:rsidRPr="008B2270">
              <w:t>Objective</w:t>
            </w:r>
          </w:p>
        </w:tc>
        <w:tc>
          <w:tcPr>
            <w:tcW w:w="6718" w:type="dxa"/>
            <w:shd w:val="clear" w:color="auto" w:fill="auto"/>
          </w:tcPr>
          <w:p w:rsidR="00CE3F03" w:rsidRPr="008B2270" w:rsidRDefault="00CE3F03" w:rsidP="00CE3F03">
            <w:pPr>
              <w:pStyle w:val="PBS16TableNormal"/>
            </w:pPr>
            <w:r w:rsidRPr="008B2270">
              <w:t>To assure the quality of VET outcomes through national regulation and the communication of advice on vocational education and training.</w:t>
            </w:r>
          </w:p>
        </w:tc>
      </w:tr>
      <w:tr w:rsidR="00CE3F03" w:rsidRPr="008B2270" w:rsidTr="00CE3F03">
        <w:trPr>
          <w:cantSplit/>
          <w:trHeight w:val="23"/>
        </w:trPr>
        <w:tc>
          <w:tcPr>
            <w:tcW w:w="1049" w:type="dxa"/>
            <w:shd w:val="clear" w:color="auto" w:fill="auto"/>
          </w:tcPr>
          <w:p w:rsidR="00CE3F03" w:rsidRPr="008B2270" w:rsidRDefault="00CE3F03" w:rsidP="00CE3F03">
            <w:pPr>
              <w:pStyle w:val="PBS16TableNormalHeading"/>
            </w:pPr>
            <w:r w:rsidRPr="008B2270">
              <w:t>Delivery</w:t>
            </w:r>
          </w:p>
        </w:tc>
        <w:tc>
          <w:tcPr>
            <w:tcW w:w="6718" w:type="dxa"/>
            <w:shd w:val="clear" w:color="auto" w:fill="auto"/>
          </w:tcPr>
          <w:p w:rsidR="00CE3F03" w:rsidRPr="008B2270" w:rsidRDefault="00CE3F03" w:rsidP="00CE3F03">
            <w:pPr>
              <w:pStyle w:val="PBS16TableNormal"/>
            </w:pPr>
            <w:r w:rsidRPr="008B2270">
              <w:t>The mechanisms through which Program 1.1 is delivered are:</w:t>
            </w:r>
          </w:p>
          <w:p w:rsidR="00CE3F03" w:rsidRPr="008B2270" w:rsidRDefault="00CE3F03" w:rsidP="00CE3F03">
            <w:pPr>
              <w:pStyle w:val="PBS16TableListBullet"/>
            </w:pPr>
            <w:r w:rsidRPr="008B2270">
              <w:t>identifying the risks to quality VET in Australia and taking regulatory action to reduce the most serious risks</w:t>
            </w:r>
          </w:p>
          <w:p w:rsidR="00CE3F03" w:rsidRPr="008B2270" w:rsidRDefault="00CE3F03" w:rsidP="00CE3F03">
            <w:pPr>
              <w:pStyle w:val="PBS16TableListBullet"/>
            </w:pPr>
            <w:r w:rsidRPr="008B2270">
              <w:t>undertaking risk-based regulation to support quality VET delivery</w:t>
            </w:r>
          </w:p>
          <w:p w:rsidR="00CE3F03" w:rsidRPr="008B2270" w:rsidRDefault="00CE3F03" w:rsidP="00CE3F03">
            <w:pPr>
              <w:pStyle w:val="PBS16TableListBullet"/>
            </w:pPr>
            <w:r w:rsidRPr="008B2270">
              <w:t>undertaking risk based regulation to respond to non-compliance and remove poor quality providers from the sector</w:t>
            </w:r>
          </w:p>
          <w:p w:rsidR="00CE3F03" w:rsidRPr="008B2270" w:rsidRDefault="00CE3F03" w:rsidP="00CE3F03">
            <w:pPr>
              <w:pStyle w:val="PBS16TableListBullet"/>
            </w:pPr>
            <w:r w:rsidRPr="008B2270">
              <w:t>engaging with stakeholders to inform our understanding of the risks to the VET sector</w:t>
            </w:r>
          </w:p>
          <w:p w:rsidR="00CE3F03" w:rsidRPr="008B2270" w:rsidRDefault="00CE3F03" w:rsidP="00CE3F03">
            <w:pPr>
              <w:pStyle w:val="PBS16TableListBullet"/>
            </w:pPr>
            <w:r w:rsidRPr="008B2270">
              <w:t>supporting the VET sector by providing accurate information to support stakeholder understanding of VET sector compliance</w:t>
            </w:r>
          </w:p>
          <w:p w:rsidR="00CE3F03" w:rsidRPr="008B2270" w:rsidRDefault="00CE3F03" w:rsidP="00CE3F03">
            <w:pPr>
              <w:pStyle w:val="PBS16TableListBullet"/>
            </w:pPr>
            <w:r w:rsidRPr="008B2270">
              <w:t>providing input and advice on strategies to improve VET regulation and the VET sector.</w:t>
            </w:r>
          </w:p>
        </w:tc>
      </w:tr>
      <w:tr w:rsidR="00CE3F03" w:rsidRPr="008B2270" w:rsidTr="00CE3F03">
        <w:trPr>
          <w:cantSplit/>
          <w:trHeight w:val="23"/>
        </w:trPr>
        <w:tc>
          <w:tcPr>
            <w:tcW w:w="1049" w:type="dxa"/>
            <w:shd w:val="clear" w:color="auto" w:fill="auto"/>
          </w:tcPr>
          <w:p w:rsidR="00CE3F03" w:rsidRPr="008B2270" w:rsidRDefault="00CE3F03" w:rsidP="00CE3F03">
            <w:pPr>
              <w:pStyle w:val="PBS16TableNormalHeading"/>
            </w:pPr>
            <w:r w:rsidRPr="008B2270">
              <w:t>Purpose</w:t>
            </w:r>
            <w:r w:rsidRPr="008B2270">
              <w:rPr>
                <w:vertAlign w:val="superscript"/>
              </w:rPr>
              <w:t xml:space="preserve"> </w:t>
            </w:r>
          </w:p>
        </w:tc>
        <w:tc>
          <w:tcPr>
            <w:tcW w:w="6718" w:type="dxa"/>
            <w:shd w:val="clear" w:color="auto" w:fill="auto"/>
          </w:tcPr>
          <w:p w:rsidR="00CE3F03" w:rsidRPr="008B2270" w:rsidRDefault="00CE3F03" w:rsidP="00CE3F03">
            <w:pPr>
              <w:pStyle w:val="PBS16TableNormal"/>
            </w:pPr>
            <w:r w:rsidRPr="008B2270">
              <w:t>Program 1.1 contributes to ASQA’s purposes which are to:</w:t>
            </w:r>
          </w:p>
          <w:p w:rsidR="00CE3F03" w:rsidRPr="008B2270" w:rsidRDefault="00CE3F03" w:rsidP="00CE3F03">
            <w:pPr>
              <w:pStyle w:val="PBS16TableListBullet"/>
            </w:pPr>
            <w:r w:rsidRPr="008B2270">
              <w:t>provide consistent risk based regulation of vocational education training (VET) that contributes to a VET system that meets Australia’s needs and provides quality VET to students.</w:t>
            </w:r>
          </w:p>
        </w:tc>
      </w:tr>
    </w:tbl>
    <w:p w:rsidR="00CE3F03" w:rsidRPr="008B2270" w:rsidRDefault="00CE3F03" w:rsidP="00CE3F03">
      <w:pPr>
        <w:pStyle w:val="Heading6"/>
      </w:pPr>
      <w:r w:rsidRPr="008B2270">
        <w:t>Performance information 1.1 Regulation and Advice</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7"/>
        <w:gridCol w:w="3402"/>
      </w:tblGrid>
      <w:tr w:rsidR="00CE3F03" w:rsidRPr="008B2270" w:rsidTr="00CE3F03">
        <w:trPr>
          <w:cantSplit/>
          <w:trHeight w:val="23"/>
          <w:tblHeader/>
        </w:trPr>
        <w:tc>
          <w:tcPr>
            <w:tcW w:w="1049" w:type="dxa"/>
          </w:tcPr>
          <w:p w:rsidR="00CE3F03" w:rsidRPr="008B2270" w:rsidRDefault="00CE3F03" w:rsidP="00CE3F03">
            <w:pPr>
              <w:keepNext/>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Year</w:t>
            </w:r>
          </w:p>
        </w:tc>
        <w:tc>
          <w:tcPr>
            <w:tcW w:w="3317" w:type="dxa"/>
          </w:tcPr>
          <w:p w:rsidR="00CE3F03" w:rsidRPr="008B2270" w:rsidRDefault="00CE3F03" w:rsidP="00CE3F03">
            <w:pPr>
              <w:keepNext/>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Performance criteria</w:t>
            </w:r>
          </w:p>
        </w:tc>
        <w:tc>
          <w:tcPr>
            <w:tcW w:w="3402" w:type="dxa"/>
          </w:tcPr>
          <w:p w:rsidR="00CE3F03" w:rsidRPr="008B2270" w:rsidRDefault="00CE3F03" w:rsidP="00CE3F03">
            <w:pPr>
              <w:keepNext/>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 xml:space="preserve">Expected achievement </w:t>
            </w:r>
          </w:p>
        </w:tc>
      </w:tr>
      <w:tr w:rsidR="00CE3F03" w:rsidRPr="008B2270" w:rsidTr="00CE3F03">
        <w:trPr>
          <w:cantSplit/>
          <w:trHeight w:val="23"/>
        </w:trPr>
        <w:tc>
          <w:tcPr>
            <w:tcW w:w="1049" w:type="dxa"/>
          </w:tcPr>
          <w:p w:rsidR="00CE3F03" w:rsidRPr="008B2270" w:rsidRDefault="00CE3F03" w:rsidP="00CE3F03">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2018–19</w:t>
            </w:r>
          </w:p>
        </w:tc>
        <w:tc>
          <w:tcPr>
            <w:tcW w:w="3317" w:type="dxa"/>
          </w:tcPr>
          <w:p w:rsidR="00CE3F03" w:rsidRPr="008B2270" w:rsidRDefault="00CE3F03" w:rsidP="00CE3F03">
            <w:pPr>
              <w:pStyle w:val="PBS16TableNormalHeading"/>
            </w:pPr>
            <w:r w:rsidRPr="008B2270">
              <w:rPr>
                <w:b w:val="0"/>
              </w:rPr>
              <w:t>Stakeholders indicate they believe ASQA is improving the quality of VET outcomes in Australia.</w:t>
            </w:r>
          </w:p>
        </w:tc>
        <w:tc>
          <w:tcPr>
            <w:tcW w:w="3402" w:type="dxa"/>
          </w:tcPr>
          <w:p w:rsidR="00CE3F03" w:rsidRPr="008B2270" w:rsidRDefault="00CE3F03" w:rsidP="00CE3F03">
            <w:pPr>
              <w:pStyle w:val="PBS16TableNormal"/>
            </w:pPr>
            <w:r w:rsidRPr="008B2270">
              <w:t>Application of risk based regulation demonstrated by percentage of non</w:t>
            </w:r>
            <w:r w:rsidRPr="008B2270">
              <w:noBreakHyphen/>
              <w:t>application based audits to application based audits.</w:t>
            </w:r>
          </w:p>
          <w:p w:rsidR="00CE3F03" w:rsidRPr="008B2270" w:rsidRDefault="00CE3F03" w:rsidP="00CE3F03">
            <w:pPr>
              <w:pStyle w:val="PBS16TableNormal"/>
              <w:rPr>
                <w:b/>
              </w:rPr>
            </w:pPr>
            <w:r w:rsidRPr="008B2270">
              <w:rPr>
                <w:b/>
              </w:rPr>
              <w:t xml:space="preserve">As at 31 December 2018: </w:t>
            </w:r>
          </w:p>
          <w:p w:rsidR="00CE3F03" w:rsidRPr="008B2270" w:rsidRDefault="00CE3F03" w:rsidP="00CE3F03">
            <w:pPr>
              <w:pStyle w:val="PBS16TableNormal"/>
              <w:rPr>
                <w:b/>
              </w:rPr>
            </w:pPr>
            <w:r w:rsidRPr="008B2270">
              <w:t>72.1% of completed audits are non-application based audits.</w:t>
            </w:r>
          </w:p>
          <w:p w:rsidR="00CE3F03" w:rsidRPr="008B2270" w:rsidRDefault="00CE3F03" w:rsidP="00CE3F03">
            <w:pPr>
              <w:pStyle w:val="PBS16TableNormal"/>
              <w:rPr>
                <w:rFonts w:ascii="NeoSansStd-Light" w:hAnsi="NeoSansStd-Light" w:cs="NeoSansStd-Light"/>
                <w:sz w:val="17"/>
                <w:szCs w:val="17"/>
              </w:rPr>
            </w:pPr>
            <w:r w:rsidRPr="008B2270">
              <w:t>Providers and stakeholders indicate they are satisfied with ASQA’s engagement with the regulated community.</w:t>
            </w:r>
          </w:p>
          <w:p w:rsidR="00CE3F03" w:rsidRPr="008B2270" w:rsidRDefault="00CE3F03" w:rsidP="00CE3F03">
            <w:pPr>
              <w:pStyle w:val="PBS16TableNormal"/>
            </w:pPr>
            <w:r w:rsidRPr="008B2270">
              <w:rPr>
                <w:b/>
              </w:rPr>
              <w:t>Most recent survey results indicated:</w:t>
            </w:r>
            <w:r w:rsidRPr="008B2270">
              <w:rPr>
                <w:rStyle w:val="FootnoteReference"/>
                <w:b/>
              </w:rPr>
              <w:footnoteReference w:id="1"/>
            </w:r>
            <w:r w:rsidRPr="008B2270">
              <w:t xml:space="preserve"> </w:t>
            </w:r>
          </w:p>
          <w:p w:rsidR="00CE3F03" w:rsidRPr="008B2270" w:rsidRDefault="00CE3F03" w:rsidP="00CE3F03">
            <w:pPr>
              <w:pStyle w:val="PBS16TableNormal"/>
            </w:pPr>
            <w:r w:rsidRPr="008B2270">
              <w:t xml:space="preserve">73.2.0% provider satisfaction </w:t>
            </w:r>
          </w:p>
          <w:p w:rsidR="00CE3F03" w:rsidRPr="008B2270" w:rsidRDefault="00CE3F03" w:rsidP="00CE3F03">
            <w:pPr>
              <w:pStyle w:val="PBS16TableNormal"/>
              <w:rPr>
                <w:i/>
              </w:rPr>
            </w:pPr>
            <w:r w:rsidRPr="008B2270">
              <w:t>60.9% stakeholder satisfaction.</w:t>
            </w:r>
          </w:p>
        </w:tc>
      </w:tr>
    </w:tbl>
    <w:p w:rsidR="00CE3F03" w:rsidRPr="008B2270" w:rsidRDefault="00CE3F03" w:rsidP="00CE3F03">
      <w:pPr>
        <w:pStyle w:val="PBSPerformancetablespace"/>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7"/>
        <w:gridCol w:w="3402"/>
      </w:tblGrid>
      <w:tr w:rsidR="00CE3F03" w:rsidRPr="008B2270" w:rsidTr="00CE3F03">
        <w:trPr>
          <w:cantSplit/>
          <w:trHeight w:val="23"/>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keepNext/>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lastRenderedPageBreak/>
              <w:t>Year</w:t>
            </w:r>
          </w:p>
        </w:tc>
        <w:tc>
          <w:tcPr>
            <w:tcW w:w="3317"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keepNext/>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keepNext/>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Planned measurement</w:t>
            </w:r>
          </w:p>
        </w:tc>
      </w:tr>
      <w:tr w:rsidR="00CE3F03" w:rsidRPr="008B2270" w:rsidTr="00CE3F03">
        <w:trPr>
          <w:cantSplit/>
          <w:trHeight w:val="23"/>
        </w:trPr>
        <w:tc>
          <w:tcPr>
            <w:tcW w:w="1049" w:type="dxa"/>
          </w:tcPr>
          <w:p w:rsidR="00CE3F03" w:rsidRPr="008B2270" w:rsidRDefault="00CE3F03" w:rsidP="00CE3F03">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2019–20</w:t>
            </w:r>
          </w:p>
        </w:tc>
        <w:tc>
          <w:tcPr>
            <w:tcW w:w="3317" w:type="dxa"/>
          </w:tcPr>
          <w:p w:rsidR="00CE3F03" w:rsidRPr="008B2270" w:rsidRDefault="00CE3F03" w:rsidP="00CE3F03">
            <w:pPr>
              <w:pStyle w:val="PBS16TableNormalHeading"/>
              <w:rPr>
                <w:b w:val="0"/>
              </w:rPr>
            </w:pPr>
            <w:r w:rsidRPr="008B2270">
              <w:rPr>
                <w:b w:val="0"/>
              </w:rPr>
              <w:t>Identify and develop understanding of the risks to VET and take regulatory action to address the most serious identified risks.</w:t>
            </w:r>
          </w:p>
          <w:p w:rsidR="00CE3F03" w:rsidRPr="008B2270" w:rsidRDefault="00CE3F03" w:rsidP="00CE3F03">
            <w:pPr>
              <w:pStyle w:val="PBS16TableNormalHeading"/>
              <w:rPr>
                <w:b w:val="0"/>
              </w:rPr>
            </w:pPr>
            <w:r w:rsidRPr="008B2270">
              <w:rPr>
                <w:b w:val="0"/>
              </w:rPr>
              <w:t>Effectively manage risk based registration of quality RTOs and accreditation of courses that meet Australia’s vocation education needs.</w:t>
            </w:r>
          </w:p>
          <w:p w:rsidR="00CE3F03" w:rsidRPr="008B2270" w:rsidRDefault="00CE3F03" w:rsidP="00CE3F03">
            <w:pPr>
              <w:pStyle w:val="PBS16TableNormalHeading"/>
              <w:rPr>
                <w:b w:val="0"/>
              </w:rPr>
            </w:pPr>
            <w:r w:rsidRPr="008B2270">
              <w:rPr>
                <w:b w:val="0"/>
              </w:rPr>
              <w:t>Delivery of standards-based auditing based on risk and appropriate and proportionate regulatory decisions.</w:t>
            </w:r>
          </w:p>
          <w:p w:rsidR="00CE3F03" w:rsidRPr="008B2270" w:rsidRDefault="00CE3F03" w:rsidP="00CE3F03">
            <w:pPr>
              <w:pStyle w:val="PBS16TableNormalHeading"/>
              <w:rPr>
                <w:b w:val="0"/>
              </w:rPr>
            </w:pPr>
            <w:r w:rsidRPr="008B2270">
              <w:rPr>
                <w:b w:val="0"/>
              </w:rPr>
              <w:t>Effectively seek information to inform understanding of risks in the VET sector.</w:t>
            </w:r>
          </w:p>
          <w:p w:rsidR="00CE3F03" w:rsidRPr="008B2270" w:rsidRDefault="00CE3F03" w:rsidP="00CE3F03">
            <w:pPr>
              <w:pStyle w:val="PBS16TableNormalHeading"/>
              <w:rPr>
                <w:b w:val="0"/>
              </w:rPr>
            </w:pPr>
            <w:r w:rsidRPr="008B2270">
              <w:rPr>
                <w:b w:val="0"/>
              </w:rPr>
              <w:t>Provide clear, targeted and effective provision of information and support to stakeholders about the VET sector and compliance with standards.</w:t>
            </w:r>
          </w:p>
          <w:p w:rsidR="00CE3F03" w:rsidRPr="008B2270" w:rsidRDefault="00CE3F03" w:rsidP="00CE3F03">
            <w:pPr>
              <w:pStyle w:val="PBS16TableNormalHeading"/>
            </w:pPr>
            <w:r w:rsidRPr="008B2270">
              <w:rPr>
                <w:b w:val="0"/>
              </w:rPr>
              <w:t>Provide input and advice on strategies to improve VET regulation and the VET sector.</w:t>
            </w:r>
          </w:p>
        </w:tc>
        <w:tc>
          <w:tcPr>
            <w:tcW w:w="3402" w:type="dxa"/>
          </w:tcPr>
          <w:p w:rsidR="00CE3F03" w:rsidRPr="008B2270" w:rsidRDefault="00CE3F03" w:rsidP="00CE3F03">
            <w:pPr>
              <w:pStyle w:val="PBS16TableNormal"/>
            </w:pPr>
            <w:r w:rsidRPr="008B2270">
              <w:t>ASQA collects qualitative and quantitative performance data to form an overall assessment against the performance criteria. ASQA monitors and analyses trends in quantitative data against relevant performance criteria, where appropriate, which includes:</w:t>
            </w:r>
          </w:p>
          <w:p w:rsidR="00CE3F03" w:rsidRPr="008B2270" w:rsidRDefault="00CE3F03" w:rsidP="0073503C">
            <w:pPr>
              <w:pStyle w:val="PBS16TableNormal"/>
              <w:numPr>
                <w:ilvl w:val="0"/>
                <w:numId w:val="17"/>
              </w:numPr>
              <w:ind w:left="336"/>
            </w:pPr>
            <w:r w:rsidRPr="008B2270">
              <w:t>Demonstrated performance in identifying and taking action on serious risks to VET</w:t>
            </w:r>
          </w:p>
          <w:p w:rsidR="00CE3F03" w:rsidRPr="008B2270" w:rsidRDefault="00CE3F03" w:rsidP="0073503C">
            <w:pPr>
              <w:pStyle w:val="PBS16TableNormal"/>
              <w:numPr>
                <w:ilvl w:val="0"/>
                <w:numId w:val="17"/>
              </w:numPr>
              <w:ind w:left="336"/>
            </w:pPr>
            <w:r w:rsidRPr="008B2270">
              <w:t>Comparative statistics on management of applications, regulatory processes and applied sanctions and conditions</w:t>
            </w:r>
          </w:p>
          <w:p w:rsidR="00CE3F03" w:rsidRPr="008B2270" w:rsidRDefault="00CE3F03" w:rsidP="0073503C">
            <w:pPr>
              <w:pStyle w:val="PBS16TableNormal"/>
              <w:numPr>
                <w:ilvl w:val="0"/>
                <w:numId w:val="17"/>
              </w:numPr>
              <w:ind w:left="336"/>
            </w:pPr>
            <w:r w:rsidRPr="008B2270">
              <w:t>Levels and types of activities to effectively communicate with and support the sector</w:t>
            </w:r>
          </w:p>
          <w:p w:rsidR="00CE3F03" w:rsidRPr="008B2270" w:rsidRDefault="00CE3F03" w:rsidP="0073503C">
            <w:pPr>
              <w:pStyle w:val="PBS16TableNormal"/>
              <w:numPr>
                <w:ilvl w:val="0"/>
                <w:numId w:val="17"/>
              </w:numPr>
              <w:ind w:left="336"/>
            </w:pPr>
            <w:r w:rsidRPr="008B2270">
              <w:t>Performance against published service standards across multiple activities</w:t>
            </w:r>
          </w:p>
          <w:p w:rsidR="00CE3F03" w:rsidRPr="008B2270" w:rsidRDefault="00CE3F03" w:rsidP="0073503C">
            <w:pPr>
              <w:pStyle w:val="PBS16TableNormal"/>
              <w:numPr>
                <w:ilvl w:val="0"/>
                <w:numId w:val="17"/>
              </w:numPr>
              <w:ind w:left="336"/>
            </w:pPr>
            <w:r w:rsidRPr="008B2270">
              <w:t>Annual stakeholder/provider survey results relevant to specific performance criteria (&lt;70% satisfaction).</w:t>
            </w:r>
          </w:p>
        </w:tc>
      </w:tr>
      <w:tr w:rsidR="00CE3F03" w:rsidRPr="008B2270" w:rsidTr="00CE3F03">
        <w:trPr>
          <w:cantSplit/>
          <w:trHeight w:val="23"/>
        </w:trPr>
        <w:tc>
          <w:tcPr>
            <w:tcW w:w="1049" w:type="dxa"/>
          </w:tcPr>
          <w:p w:rsidR="00CE3F03" w:rsidRPr="008B2270" w:rsidRDefault="00CE3F03" w:rsidP="00CE3F03">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2020–21 and beyond</w:t>
            </w:r>
          </w:p>
        </w:tc>
        <w:tc>
          <w:tcPr>
            <w:tcW w:w="3317" w:type="dxa"/>
          </w:tcPr>
          <w:p w:rsidR="00CE3F03" w:rsidRPr="008B2270" w:rsidRDefault="00CE3F03" w:rsidP="00CE3F03">
            <w:pPr>
              <w:tabs>
                <w:tab w:val="left" w:pos="709"/>
              </w:tabs>
              <w:spacing w:before="60" w:after="60" w:line="240" w:lineRule="auto"/>
              <w:jc w:val="left"/>
              <w:rPr>
                <w:rFonts w:ascii="Arial" w:hAnsi="Arial" w:cs="Arial"/>
                <w:i/>
                <w:sz w:val="16"/>
                <w:szCs w:val="16"/>
              </w:rPr>
            </w:pPr>
            <w:r w:rsidRPr="008B2270">
              <w:rPr>
                <w:rFonts w:ascii="Arial" w:hAnsi="Arial" w:cs="Arial"/>
                <w:sz w:val="16"/>
                <w:szCs w:val="16"/>
              </w:rPr>
              <w:t>As per 2019–20.</w:t>
            </w:r>
          </w:p>
        </w:tc>
        <w:tc>
          <w:tcPr>
            <w:tcW w:w="3402" w:type="dxa"/>
          </w:tcPr>
          <w:p w:rsidR="00CE3F03" w:rsidRPr="008B2270" w:rsidRDefault="00CE3F03" w:rsidP="00CE3F03">
            <w:pPr>
              <w:tabs>
                <w:tab w:val="left" w:pos="709"/>
              </w:tabs>
              <w:spacing w:before="60" w:after="60" w:line="240" w:lineRule="auto"/>
              <w:jc w:val="left"/>
              <w:rPr>
                <w:rFonts w:ascii="Arial" w:hAnsi="Arial" w:cs="Arial"/>
                <w:i/>
                <w:sz w:val="16"/>
                <w:szCs w:val="16"/>
              </w:rPr>
            </w:pPr>
            <w:r w:rsidRPr="008B2270">
              <w:rPr>
                <w:rFonts w:ascii="Arial" w:hAnsi="Arial" w:cs="Arial"/>
                <w:sz w:val="16"/>
                <w:szCs w:val="16"/>
              </w:rPr>
              <w:t>As per 2019–20.</w:t>
            </w:r>
          </w:p>
        </w:tc>
      </w:tr>
    </w:tbl>
    <w:p w:rsidR="00CE3F03" w:rsidRPr="008B2270" w:rsidRDefault="00CE3F03" w:rsidP="00CE3F03">
      <w:pPr>
        <w:pStyle w:val="ChartandTableFootnote"/>
        <w:rPr>
          <w:color w:val="auto"/>
        </w:rPr>
      </w:pPr>
    </w:p>
    <w:p w:rsidR="00CE3F03" w:rsidRPr="008B2270" w:rsidRDefault="00CE3F03" w:rsidP="00CE3F03">
      <w:pPr>
        <w:pStyle w:val="Heading2"/>
        <w:sectPr w:rsidR="00CE3F03" w:rsidRPr="008B2270" w:rsidSect="00594C8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2466" w:right="2098" w:bottom="2466" w:left="2098" w:header="1899" w:footer="1899" w:gutter="0"/>
          <w:cols w:space="708"/>
          <w:titlePg/>
          <w:docGrid w:linePitch="360"/>
        </w:sectPr>
      </w:pPr>
    </w:p>
    <w:p w:rsidR="00CE3F03" w:rsidRPr="008B2270" w:rsidRDefault="00CE3F03" w:rsidP="00CE3F03">
      <w:pPr>
        <w:pStyle w:val="Heading2"/>
      </w:pPr>
      <w:bookmarkStart w:id="7" w:name="ASQA_3_0"/>
      <w:r w:rsidRPr="008B2270">
        <w:lastRenderedPageBreak/>
        <w:t>Section 3: Budgeted financial statements</w:t>
      </w:r>
      <w:bookmarkEnd w:id="7"/>
    </w:p>
    <w:p w:rsidR="00CE3F03" w:rsidRPr="008B2270" w:rsidRDefault="00CE3F03" w:rsidP="00CE3F03">
      <w:r w:rsidRPr="008B2270">
        <w:t>Section 3 presents budgeted financial statements which provide a comprehensive snapshot of ASQA’s finances for the 2019–20</w:t>
      </w:r>
      <w:r w:rsidRPr="008B2270">
        <w:rPr>
          <w:color w:val="00B050"/>
        </w:rPr>
        <w:t xml:space="preserve"> </w:t>
      </w:r>
      <w:r w:rsidRPr="008B2270">
        <w:t>Budget year, including the impact of Budget measures and resourcing on financial statements.</w:t>
      </w:r>
    </w:p>
    <w:p w:rsidR="00CE3F03" w:rsidRPr="008B2270" w:rsidRDefault="00CE3F03" w:rsidP="00CE3F03">
      <w:pPr>
        <w:pStyle w:val="Heading3"/>
      </w:pPr>
      <w:bookmarkStart w:id="8" w:name="ASQA_3_1"/>
      <w:r w:rsidRPr="008B2270">
        <w:t>3.1</w:t>
      </w:r>
      <w:r w:rsidRPr="008B2270">
        <w:tab/>
        <w:t>Budgeted financial statements</w:t>
      </w:r>
      <w:bookmarkEnd w:id="8"/>
    </w:p>
    <w:p w:rsidR="00CE3F03" w:rsidRPr="008B2270" w:rsidRDefault="00CE3F03" w:rsidP="00CE3F03">
      <w:pPr>
        <w:pStyle w:val="Heading4"/>
      </w:pPr>
      <w:r w:rsidRPr="008B2270">
        <w:t>3.1.1</w:t>
      </w:r>
      <w:r w:rsidRPr="008B2270">
        <w:tab/>
        <w:t>Differences between entity resourcing and financial statements</w:t>
      </w:r>
    </w:p>
    <w:p w:rsidR="00CE3F03" w:rsidRPr="008B2270" w:rsidRDefault="00CE3F03" w:rsidP="00CE3F03">
      <w:r w:rsidRPr="008B2270">
        <w:t>There are no differences between entity resourcing and financial statements.</w:t>
      </w:r>
    </w:p>
    <w:p w:rsidR="00CE3F03" w:rsidRPr="008B2270" w:rsidRDefault="00CE3F03" w:rsidP="00CE3F03">
      <w:pPr>
        <w:pStyle w:val="Heading4"/>
      </w:pPr>
      <w:r w:rsidRPr="008B2270">
        <w:t>3.1.2</w:t>
      </w:r>
      <w:r w:rsidRPr="008B2270">
        <w:tab/>
        <w:t>Explanatory notes and analysis of budgeted financial statements</w:t>
      </w:r>
    </w:p>
    <w:p w:rsidR="00CE3F03" w:rsidRPr="008B2270" w:rsidRDefault="00CE3F03" w:rsidP="00CE3F03">
      <w:pPr>
        <w:pStyle w:val="Heading5"/>
      </w:pPr>
      <w:r w:rsidRPr="008B2270">
        <w:t>Budgeted departmental comprehensive income statement</w:t>
      </w:r>
    </w:p>
    <w:p w:rsidR="00CE3F03" w:rsidRPr="008B2270" w:rsidRDefault="00CE3F03" w:rsidP="00CE3F03">
      <w:r w:rsidRPr="008B2270">
        <w:t>Expenses for 2019–20 are estimated to be $40.2</w:t>
      </w:r>
      <w:r w:rsidR="00FA3AB4" w:rsidRPr="008B2270">
        <w:t> million</w:t>
      </w:r>
      <w:r w:rsidRPr="008B2270">
        <w:t>. This reflects an increase from 2018–19 of $1.4</w:t>
      </w:r>
      <w:r w:rsidR="00FA3AB4" w:rsidRPr="008B2270">
        <w:t> million</w:t>
      </w:r>
      <w:r w:rsidRPr="008B2270">
        <w:t>. ASQA is budgeting for a technical operating loss in 2019–20 reflecting the value of unfunded depreciation and amortisation expense of $3.5</w:t>
      </w:r>
      <w:r w:rsidR="00D03E6B" w:rsidRPr="008B2270">
        <w:t> million</w:t>
      </w:r>
      <w:r w:rsidRPr="008B2270">
        <w:t>.</w:t>
      </w:r>
    </w:p>
    <w:p w:rsidR="00CE3F03" w:rsidRPr="008B2270" w:rsidRDefault="00CE3F03" w:rsidP="00CE3F03">
      <w:pPr>
        <w:pStyle w:val="Heading5"/>
      </w:pPr>
      <w:r w:rsidRPr="008B2270">
        <w:t>Budgeted departmental balance sheet</w:t>
      </w:r>
    </w:p>
    <w:p w:rsidR="00CE3F03" w:rsidRPr="008B2270" w:rsidRDefault="00CE3F03" w:rsidP="00CE3F03">
      <w:r w:rsidRPr="008B2270">
        <w:t xml:space="preserve">ASQA’s asset and liability forecasts are mostly in line with amounts advised in the </w:t>
      </w:r>
      <w:r w:rsidRPr="008B2270">
        <w:br/>
        <w:t xml:space="preserve">2018–19 Budget. An exception is the increase in non-financial assets based on estimated capital purchases. </w:t>
      </w:r>
    </w:p>
    <w:p w:rsidR="00CE3F03" w:rsidRPr="008B2270" w:rsidRDefault="00CE3F03" w:rsidP="00CE3F03">
      <w:r w:rsidRPr="008B2270">
        <w:t>Capital acquisitions in 2019–20 (as shown in Tables 3.4 and 3.5) are planned to be $2.7 million for enhancement of IT systems and $1.3</w:t>
      </w:r>
      <w:r w:rsidR="00D03E6B" w:rsidRPr="008B2270">
        <w:t> million</w:t>
      </w:r>
      <w:r w:rsidRPr="008B2270">
        <w:t xml:space="preserve"> in leasehold improvements.</w:t>
      </w:r>
    </w:p>
    <w:p w:rsidR="00CE3F03" w:rsidRPr="008B2270" w:rsidRDefault="00CE3F03" w:rsidP="00CE3F03">
      <w:pPr>
        <w:pStyle w:val="Heading5"/>
      </w:pPr>
      <w:r w:rsidRPr="008B2270">
        <w:t>Administered</w:t>
      </w:r>
    </w:p>
    <w:p w:rsidR="00CE3F03" w:rsidRPr="008B2270" w:rsidRDefault="00CE3F03" w:rsidP="00CE3F03">
      <w:r w:rsidRPr="008B2270">
        <w:t>Revenue estimates for 2019–20 are $24.1</w:t>
      </w:r>
      <w:r w:rsidR="00D03E6B" w:rsidRPr="008B2270">
        <w:t> million</w:t>
      </w:r>
      <w:r w:rsidRPr="008B2270">
        <w:t>. This is an increase from 2018–19 of $0.8 million. ASQA continues partial cost recovery arrangements for 2019–20.</w:t>
      </w:r>
    </w:p>
    <w:p w:rsidR="00CE3F03" w:rsidRPr="008B2270" w:rsidRDefault="00CE3F03" w:rsidP="00CE3F03">
      <w:r w:rsidRPr="008B2270">
        <w:t>Budgeted assets and liabilities represent net receivables and provisions for refunds of administered receipts.</w:t>
      </w:r>
    </w:p>
    <w:p w:rsidR="00CE3F03" w:rsidRPr="008B2270" w:rsidRDefault="00CE3F03" w:rsidP="000D7E54">
      <w:pPr>
        <w:pStyle w:val="Heading3"/>
      </w:pPr>
      <w:r w:rsidRPr="008B2270">
        <w:br w:type="page"/>
      </w:r>
      <w:bookmarkStart w:id="9" w:name="ASQA_3_2"/>
      <w:r w:rsidRPr="008B2270">
        <w:lastRenderedPageBreak/>
        <w:t>3.2</w:t>
      </w:r>
      <w:r w:rsidRPr="008B2270">
        <w:tab/>
        <w:t>Budgeted financial statements tables</w:t>
      </w:r>
      <w:bookmarkEnd w:id="9"/>
    </w:p>
    <w:p w:rsidR="00CE3F03" w:rsidRPr="008B2270" w:rsidRDefault="00CE3F03" w:rsidP="00146B5E">
      <w:pPr>
        <w:pStyle w:val="TableHeading"/>
        <w:rPr>
          <w:snapToGrid w:val="0"/>
          <w:lang w:val="en-AU"/>
        </w:rPr>
      </w:pPr>
      <w:r w:rsidRPr="008B2270">
        <w:rPr>
          <w:lang w:val="en-AU"/>
        </w:rPr>
        <w:t xml:space="preserve">Table 3.1: Comprehensive income statement (showing net cost of services) </w:t>
      </w:r>
      <w:r w:rsidRPr="008B2270">
        <w:rPr>
          <w:snapToGrid w:val="0"/>
          <w:lang w:val="en-AU"/>
        </w:rPr>
        <w:t>for the period ended 30 June</w:t>
      </w:r>
    </w:p>
    <w:p w:rsidR="00CE3F03" w:rsidRPr="008B2270" w:rsidRDefault="00D9060B" w:rsidP="00CE3F03">
      <w:pPr>
        <w:pStyle w:val="ChartGraphic"/>
      </w:pPr>
      <w:r w:rsidRPr="008B2270">
        <w:drawing>
          <wp:inline distT="0" distB="0" distL="0" distR="0">
            <wp:extent cx="4895850" cy="5460660"/>
            <wp:effectExtent l="0" t="0" r="0" b="6985"/>
            <wp:docPr id="3" name="Picture 3"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5460660"/>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(a)</w:t>
      </w:r>
      <w:r w:rsidRPr="008B2270">
        <w:tab/>
        <w:t>From 2010–11,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3.2: Budgeted departmental balance sheet (as at 30 June)</w:t>
      </w:r>
    </w:p>
    <w:p w:rsidR="00CE3F03" w:rsidRPr="008B2270" w:rsidRDefault="00D9060B" w:rsidP="00CE3F03">
      <w:pPr>
        <w:pStyle w:val="ChartGraphic"/>
      </w:pPr>
      <w:r w:rsidRPr="008B2270">
        <w:drawing>
          <wp:inline distT="0" distB="0" distL="0" distR="0">
            <wp:extent cx="4895850" cy="4717032"/>
            <wp:effectExtent l="0" t="0" r="0" b="7620"/>
            <wp:docPr id="5" name="Picture 5"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4717032"/>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w:t>
      </w:r>
      <w:r w:rsidRPr="008B2270">
        <w:tab/>
        <w:t>Equity is the residual interest in assets after the deduction of liabilities.</w:t>
      </w:r>
    </w:p>
    <w:p w:rsidR="00CE3F03" w:rsidRPr="008B2270" w:rsidRDefault="00CE3F03" w:rsidP="00CE3F03">
      <w:pPr>
        <w:rPr>
          <w:rFonts w:ascii="Arial" w:hAnsi="Arial"/>
          <w:color w:val="000000"/>
          <w:sz w:val="16"/>
          <w:lang w:eastAsia="x-none"/>
        </w:rPr>
      </w:pPr>
      <w:r w:rsidRPr="008B2270">
        <w:br w:type="page"/>
      </w:r>
    </w:p>
    <w:p w:rsidR="00CE3F03" w:rsidRPr="008B2270" w:rsidRDefault="00CE3F03" w:rsidP="00146B5E">
      <w:pPr>
        <w:pStyle w:val="TableHeading"/>
        <w:rPr>
          <w:lang w:val="en-AU"/>
        </w:rPr>
      </w:pPr>
      <w:r w:rsidRPr="008B2270">
        <w:rPr>
          <w:lang w:val="en-AU"/>
        </w:rPr>
        <w:lastRenderedPageBreak/>
        <w:t>Table 3.3: Departmental statement of changes in equity — summary of movement (Budget year 2019–20)</w:t>
      </w:r>
    </w:p>
    <w:p w:rsidR="00CE3F03" w:rsidRPr="008B2270" w:rsidRDefault="00D9060B" w:rsidP="00CE3F03">
      <w:pPr>
        <w:pStyle w:val="ChartGraphic"/>
      </w:pPr>
      <w:r w:rsidRPr="008B2270">
        <w:drawing>
          <wp:inline distT="0" distB="0" distL="0" distR="0">
            <wp:extent cx="4895850" cy="3022756"/>
            <wp:effectExtent l="0" t="0" r="0" b="6350"/>
            <wp:docPr id="6" name="Picture 6"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022756"/>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3.4: Budgeted departmental statement of cash flows (for the period ended 30 June)</w:t>
      </w:r>
    </w:p>
    <w:p w:rsidR="00CE3F03" w:rsidRPr="008B2270" w:rsidRDefault="00D9060B" w:rsidP="00CE3F03">
      <w:pPr>
        <w:pStyle w:val="ChartGraphic"/>
      </w:pPr>
      <w:r w:rsidRPr="008B2270">
        <w:drawing>
          <wp:inline distT="0" distB="0" distL="0" distR="0">
            <wp:extent cx="4895850" cy="4580251"/>
            <wp:effectExtent l="0" t="0" r="0" b="0"/>
            <wp:docPr id="7" name="Picture 7"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4580251"/>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3.5: Departmental capital budget statement (for the period ended 30 June)</w:t>
      </w:r>
    </w:p>
    <w:p w:rsidR="00CE3F03" w:rsidRPr="008B2270" w:rsidRDefault="00111B19" w:rsidP="00CE3F03">
      <w:pPr>
        <w:pStyle w:val="ChartGraphic"/>
      </w:pPr>
      <w:r w:rsidRPr="008B2270">
        <w:drawing>
          <wp:inline distT="0" distB="0" distL="0" distR="0">
            <wp:extent cx="4895850" cy="3125356"/>
            <wp:effectExtent l="0" t="0" r="0" b="0"/>
            <wp:docPr id="12" name="Picture 12"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3125356"/>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(a)</w:t>
      </w:r>
      <w:r w:rsidRPr="008B2270">
        <w:tab/>
        <w:t>Includes both current Bill 2 and prior Act 2/4/6 appropriations and special capital appropriations.</w:t>
      </w:r>
    </w:p>
    <w:p w:rsidR="00CE3F03" w:rsidRPr="008B2270" w:rsidRDefault="00CE3F03" w:rsidP="00CE3F03">
      <w:pPr>
        <w:pStyle w:val="ChartandTableFootnote"/>
      </w:pPr>
      <w:r w:rsidRPr="008B2270">
        <w:t>(b)</w:t>
      </w:r>
      <w:r w:rsidRPr="008B2270">
        <w:tab/>
        <w:t>Does not include annual finance lease costs. Include purchases from current and previous years' Departmental Capital Budgets (DCBs).</w:t>
      </w:r>
    </w:p>
    <w:p w:rsidR="00CE3F03" w:rsidRPr="008B2270" w:rsidRDefault="00CE3F03">
      <w:pPr>
        <w:spacing w:after="0" w:line="240" w:lineRule="auto"/>
        <w:jc w:val="left"/>
        <w:rPr>
          <w:rFonts w:ascii="Arial" w:hAnsi="Arial"/>
          <w:b/>
          <w:color w:val="000000"/>
          <w:lang w:eastAsia="x-none"/>
        </w:rPr>
      </w:pPr>
      <w:r w:rsidRPr="008B2270">
        <w:br w:type="page"/>
      </w:r>
    </w:p>
    <w:p w:rsidR="00CE3F03" w:rsidRPr="008B2270" w:rsidRDefault="00CE3F03" w:rsidP="00146B5E">
      <w:pPr>
        <w:pStyle w:val="TableHeading"/>
        <w:rPr>
          <w:lang w:val="en-AU"/>
        </w:rPr>
      </w:pPr>
      <w:r w:rsidRPr="008B2270">
        <w:rPr>
          <w:lang w:val="en-AU"/>
        </w:rPr>
        <w:lastRenderedPageBreak/>
        <w:t>Table 3.6: Statement of asset movements (Budget year 2019–20)</w:t>
      </w:r>
    </w:p>
    <w:p w:rsidR="00CE3F03" w:rsidRPr="008B2270" w:rsidRDefault="00CE3F03" w:rsidP="00CE3F03">
      <w:pPr>
        <w:pStyle w:val="ChartGraphic"/>
      </w:pPr>
      <w:r w:rsidRPr="008B2270">
        <w:drawing>
          <wp:inline distT="0" distB="0" distL="0" distR="0">
            <wp:extent cx="4558665" cy="3459480"/>
            <wp:effectExtent l="0" t="0" r="0" b="7620"/>
            <wp:docPr id="91" name="Picture 91"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58665" cy="3459480"/>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(a)</w:t>
      </w:r>
      <w:r w:rsidRPr="008B2270">
        <w:tab/>
        <w:t xml:space="preserve">'Appropriation equity' refers to equity injections appropriations provided through </w:t>
      </w:r>
      <w:r w:rsidR="00111B19" w:rsidRPr="008B2270">
        <w:t>Appropriation Bill (No. 2)</w:t>
      </w:r>
      <w:r w:rsidRPr="008B2270">
        <w:t>, including CDABs.</w:t>
      </w:r>
    </w:p>
    <w:p w:rsidR="00CE3F03" w:rsidRPr="008B2270" w:rsidRDefault="00CE3F03" w:rsidP="00CA6102">
      <w:pPr>
        <w:pStyle w:val="ChartandTableFootnote"/>
      </w:pPr>
      <w:r w:rsidRPr="008B2270">
        <w:t>(b)</w:t>
      </w:r>
      <w:r w:rsidRPr="008B2270">
        <w:tab/>
        <w:t>'Appropriation ordinary annual services' refers to funding provided through Appropriation Bill (No. 1) for depreciation/amortisation expenses, DCBs or other operational expenses.</w:t>
      </w:r>
    </w:p>
    <w:p w:rsidR="00CE3F03" w:rsidRPr="008B2270" w:rsidRDefault="00CE3F03">
      <w:pPr>
        <w:spacing w:after="0" w:line="240" w:lineRule="auto"/>
        <w:jc w:val="left"/>
        <w:rPr>
          <w:rFonts w:ascii="Arial" w:hAnsi="Arial"/>
          <w:b/>
          <w:color w:val="000000"/>
          <w:lang w:eastAsia="x-none"/>
        </w:rPr>
      </w:pPr>
      <w:r w:rsidRPr="008B2270">
        <w:br w:type="page"/>
      </w:r>
    </w:p>
    <w:p w:rsidR="00CE3F03" w:rsidRPr="008B2270" w:rsidRDefault="00CE3F03" w:rsidP="00146B5E">
      <w:pPr>
        <w:pStyle w:val="TableHeading"/>
        <w:rPr>
          <w:lang w:val="en-AU"/>
        </w:rPr>
      </w:pPr>
      <w:r w:rsidRPr="008B2270">
        <w:rPr>
          <w:lang w:val="en-AU"/>
        </w:rPr>
        <w:lastRenderedPageBreak/>
        <w:t>Table 3.7: Schedule of budgeted income and expenses administered on behalf of Government (for the period ended 30 June)</w:t>
      </w:r>
    </w:p>
    <w:p w:rsidR="00CE3F03" w:rsidRPr="008B2270" w:rsidRDefault="00111B19" w:rsidP="00CE3F03">
      <w:pPr>
        <w:pStyle w:val="ChartGraphic"/>
      </w:pPr>
      <w:r w:rsidRPr="008B2270">
        <w:drawing>
          <wp:inline distT="0" distB="0" distL="0" distR="0">
            <wp:extent cx="4895850" cy="2619161"/>
            <wp:effectExtent l="0" t="0" r="0" b="0"/>
            <wp:docPr id="13" name="Picture 13"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2619161"/>
                    </a:xfrm>
                    <a:prstGeom prst="rect">
                      <a:avLst/>
                    </a:prstGeom>
                    <a:noFill/>
                    <a:ln>
                      <a:noFill/>
                    </a:ln>
                  </pic:spPr>
                </pic:pic>
              </a:graphicData>
            </a:graphic>
          </wp:inline>
        </w:drawing>
      </w:r>
    </w:p>
    <w:p w:rsidR="00CE3F03" w:rsidRPr="008B2270" w:rsidRDefault="00CE3F03" w:rsidP="00CA6102">
      <w:pPr>
        <w:pStyle w:val="ChartandTableFootnote"/>
        <w:rPr>
          <w:b/>
        </w:rPr>
      </w:pPr>
      <w:r w:rsidRPr="008B2270">
        <w:t>Prepared on Australian Accounting Standards basis.</w:t>
      </w:r>
    </w:p>
    <w:p w:rsidR="00CE3F03" w:rsidRPr="008B2270" w:rsidRDefault="00CE3F03" w:rsidP="00146B5E">
      <w:pPr>
        <w:pStyle w:val="TableHeading"/>
        <w:rPr>
          <w:lang w:val="en-AU"/>
        </w:rPr>
      </w:pPr>
      <w:r w:rsidRPr="008B2270">
        <w:rPr>
          <w:lang w:val="en-AU"/>
        </w:rPr>
        <w:t>Table 3.8: Schedule of budgeted assets and liabilities administered on behalf of Government (as at 30 June)</w:t>
      </w:r>
    </w:p>
    <w:p w:rsidR="00CE3F03" w:rsidRPr="008B2270" w:rsidRDefault="00111B19" w:rsidP="00CE3F03">
      <w:pPr>
        <w:pStyle w:val="ChartGraphic"/>
      </w:pPr>
      <w:r w:rsidRPr="008B2270">
        <w:drawing>
          <wp:inline distT="0" distB="0" distL="0" distR="0">
            <wp:extent cx="4895850" cy="2189921"/>
            <wp:effectExtent l="0" t="0" r="0" b="1270"/>
            <wp:docPr id="15" name="Picture 15"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2189921"/>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rPr>
          <w:lang w:eastAsia="x-none"/>
        </w:rPr>
      </w:pPr>
    </w:p>
    <w:p w:rsidR="00CE3F03" w:rsidRPr="008B2270" w:rsidRDefault="00CE3F03">
      <w:pPr>
        <w:spacing w:after="0" w:line="240" w:lineRule="auto"/>
        <w:jc w:val="left"/>
        <w:rPr>
          <w:rFonts w:ascii="Arial" w:hAnsi="Arial"/>
          <w:b/>
          <w:color w:val="000000"/>
          <w:lang w:eastAsia="x-none"/>
        </w:rPr>
      </w:pPr>
      <w:r w:rsidRPr="008B2270">
        <w:br w:type="page"/>
      </w:r>
    </w:p>
    <w:p w:rsidR="00CE3F03" w:rsidRPr="008B2270" w:rsidRDefault="00CE3F03" w:rsidP="00146B5E">
      <w:pPr>
        <w:pStyle w:val="TableHeading"/>
        <w:rPr>
          <w:lang w:val="en-AU"/>
        </w:rPr>
      </w:pPr>
      <w:r w:rsidRPr="008B2270">
        <w:rPr>
          <w:lang w:val="en-AU"/>
        </w:rPr>
        <w:lastRenderedPageBreak/>
        <w:t>Table 3.9: Schedule of budgeted administered cash flows (for the period ended 30 June)</w:t>
      </w:r>
    </w:p>
    <w:p w:rsidR="00CE3F03" w:rsidRPr="008B2270" w:rsidRDefault="00CE3F03" w:rsidP="00CE3F03">
      <w:pPr>
        <w:pStyle w:val="ChartGraphic"/>
      </w:pPr>
      <w:r w:rsidRPr="008B2270">
        <w:drawing>
          <wp:inline distT="0" distB="0" distL="0" distR="0">
            <wp:extent cx="4895850" cy="3241257"/>
            <wp:effectExtent l="0" t="0" r="0" b="0"/>
            <wp:docPr id="94" name="Picture 94"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95850" cy="3241257"/>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6C799D">
      <w:pPr>
        <w:pStyle w:val="TableHeadingNoTable"/>
      </w:pPr>
      <w:r w:rsidRPr="008B2270">
        <w:t>Table 3.10: Administered capital budget statement (for the period ended 30 June)</w:t>
      </w:r>
    </w:p>
    <w:p w:rsidR="00CE3F03" w:rsidRPr="008B2270" w:rsidRDefault="00CE3F03" w:rsidP="00594C84">
      <w:r w:rsidRPr="008B2270">
        <w:t>ASQA does not have any administered capital budget, therefore Table 3.10 is not presented.</w:t>
      </w:r>
    </w:p>
    <w:p w:rsidR="00CE3F03" w:rsidRPr="008B2270" w:rsidRDefault="00CE3F03" w:rsidP="006C799D">
      <w:pPr>
        <w:pStyle w:val="TableHeadingNoTable"/>
      </w:pPr>
      <w:r w:rsidRPr="008B2270">
        <w:t xml:space="preserve">Table 3.11: Statement of administered asset movements (Budget year 2019–20) </w:t>
      </w:r>
    </w:p>
    <w:p w:rsidR="00CE3F03" w:rsidRPr="008B2270" w:rsidRDefault="00CE3F03" w:rsidP="00594C84">
      <w:r w:rsidRPr="008B2270">
        <w:t>ASQA does not have any administered assets, therefore Table 3.11 is not presented.</w:t>
      </w:r>
    </w:p>
    <w:p w:rsidR="00CE3F03" w:rsidRPr="008B2270" w:rsidRDefault="00CE3F03" w:rsidP="00594C84"/>
    <w:p w:rsidR="00CE3F03" w:rsidRPr="008B2270" w:rsidRDefault="00CE3F03" w:rsidP="00594C84">
      <w:pPr>
        <w:sectPr w:rsidR="00CE3F03" w:rsidRPr="008B2270" w:rsidSect="00CE3F03">
          <w:headerReference w:type="even" r:id="rId35"/>
          <w:headerReference w:type="first" r:id="rId36"/>
          <w:type w:val="oddPage"/>
          <w:pgSz w:w="11906" w:h="16838" w:code="9"/>
          <w:pgMar w:top="2466" w:right="2098" w:bottom="2466" w:left="2098" w:header="1899" w:footer="1899" w:gutter="0"/>
          <w:cols w:space="708"/>
          <w:docGrid w:linePitch="360"/>
        </w:sectPr>
      </w:pPr>
    </w:p>
    <w:p w:rsidR="00CE3F03" w:rsidRPr="008B2270" w:rsidRDefault="00CE3F03" w:rsidP="00CE3F03">
      <w:bookmarkStart w:id="10" w:name="_GoBack"/>
      <w:bookmarkEnd w:id="10"/>
    </w:p>
    <w:sectPr w:rsidR="00CE3F03" w:rsidRPr="008B2270" w:rsidSect="004E176A">
      <w:headerReference w:type="even" r:id="rId37"/>
      <w:headerReference w:type="default" r:id="rId38"/>
      <w:footerReference w:type="even" r:id="rId39"/>
      <w:footerReference w:type="default" r:id="rId40"/>
      <w:headerReference w:type="first" r:id="rId41"/>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02" w:rsidRDefault="00CA6102" w:rsidP="00C07DEC">
      <w:r>
        <w:separator/>
      </w:r>
    </w:p>
  </w:endnote>
  <w:endnote w:type="continuationSeparator" w:id="0">
    <w:p w:rsidR="00CA6102" w:rsidRDefault="00CA610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NeoSans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1808A4" w:rsidRDefault="00CA6102" w:rsidP="001808A4">
    <w:pPr>
      <w:pStyle w:val="Footer"/>
    </w:pPr>
    <w:r>
      <w:rPr>
        <w:rStyle w:val="PageNumber"/>
      </w:rPr>
      <w:fldChar w:fldCharType="begin"/>
    </w:r>
    <w:r>
      <w:rPr>
        <w:rStyle w:val="PageNumber"/>
      </w:rPr>
      <w:instrText xml:space="preserve"> PAGE  \* Arabic </w:instrText>
    </w:r>
    <w:r>
      <w:rPr>
        <w:rStyle w:val="PageNumber"/>
      </w:rPr>
      <w:fldChar w:fldCharType="separate"/>
    </w:r>
    <w:r w:rsidR="004E176A">
      <w:rPr>
        <w:rStyle w:val="PageNumber"/>
        <w:noProof/>
      </w:rPr>
      <w:t>137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6756CD" w:rsidRDefault="00CA6102" w:rsidP="006756CD">
    <w:pPr>
      <w:pStyle w:val="Footer"/>
    </w:pPr>
    <w:r>
      <w:rPr>
        <w:rStyle w:val="PageNumber"/>
      </w:rPr>
      <w:fldChar w:fldCharType="begin"/>
    </w:r>
    <w:r>
      <w:rPr>
        <w:rStyle w:val="PageNumber"/>
      </w:rPr>
      <w:instrText xml:space="preserve"> PAGE  \* Arabic </w:instrText>
    </w:r>
    <w:r>
      <w:rPr>
        <w:rStyle w:val="PageNumber"/>
      </w:rPr>
      <w:fldChar w:fldCharType="separate"/>
    </w:r>
    <w:r w:rsidR="004E176A">
      <w:rPr>
        <w:rStyle w:val="PageNumber"/>
        <w:noProof/>
      </w:rPr>
      <w:t>152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rPr>
        <w:rStyle w:val="PageNumber"/>
      </w:rPr>
      <w:fldChar w:fldCharType="begin"/>
    </w:r>
    <w:r>
      <w:rPr>
        <w:rStyle w:val="PageNumber"/>
      </w:rPr>
      <w:instrText xml:space="preserve"> PAGE  \* Arabic </w:instrText>
    </w:r>
    <w:r>
      <w:rPr>
        <w:rStyle w:val="PageNumber"/>
      </w:rPr>
      <w:fldChar w:fldCharType="separate"/>
    </w:r>
    <w:r w:rsidR="004E176A">
      <w:rPr>
        <w:rStyle w:val="PageNumber"/>
        <w:noProof/>
      </w:rPr>
      <w:t>153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7E0749" w:rsidRDefault="00CA6102" w:rsidP="007E0749">
    <w:pPr>
      <w:pStyle w:val="Footer"/>
    </w:pPr>
    <w:r>
      <w:rPr>
        <w:rStyle w:val="PageNumber"/>
      </w:rPr>
      <w:fldChar w:fldCharType="begin"/>
    </w:r>
    <w:r>
      <w:rPr>
        <w:rStyle w:val="PageNumber"/>
      </w:rPr>
      <w:instrText xml:space="preserve"> PAGE  \* Arabic </w:instrText>
    </w:r>
    <w:r>
      <w:rPr>
        <w:rStyle w:val="PageNumber"/>
      </w:rPr>
      <w:fldChar w:fldCharType="separate"/>
    </w:r>
    <w:r w:rsidR="004E176A">
      <w:rPr>
        <w:rStyle w:val="PageNumber"/>
        <w:noProof/>
      </w:rPr>
      <w:t>138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4E176A">
      <w:rPr>
        <w:noProof/>
      </w:rPr>
      <w:t>154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4E176A">
      <w:rPr>
        <w:noProof/>
      </w:rPr>
      <w:t>155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02" w:rsidRDefault="00CA6102" w:rsidP="00C07DEC">
      <w:r>
        <w:separator/>
      </w:r>
    </w:p>
  </w:footnote>
  <w:footnote w:type="continuationSeparator" w:id="0">
    <w:p w:rsidR="00CA6102" w:rsidRDefault="00CA6102" w:rsidP="00C07DEC">
      <w:r>
        <w:continuationSeparator/>
      </w:r>
    </w:p>
  </w:footnote>
  <w:footnote w:id="1">
    <w:p w:rsidR="00CA6102" w:rsidRDefault="00CA6102" w:rsidP="00CE3F03">
      <w:pPr>
        <w:pStyle w:val="FootnoteText"/>
      </w:pPr>
      <w:r>
        <w:rPr>
          <w:rStyle w:val="FootnoteReference"/>
        </w:rPr>
        <w:footnoteRef/>
      </w:r>
      <w:r>
        <w:t xml:space="preserve"> </w:t>
      </w:r>
      <w:r>
        <w:tab/>
        <w:t>2017</w:t>
      </w:r>
      <w:r w:rsidRPr="00025215">
        <w:t>–1</w:t>
      </w:r>
      <w:r>
        <w:t>8</w:t>
      </w:r>
      <w:r w:rsidRPr="00025215">
        <w:t>. Results for 201</w:t>
      </w:r>
      <w:r>
        <w:t>8–</w:t>
      </w:r>
      <w:r w:rsidRPr="00025215">
        <w:t>1</w:t>
      </w:r>
      <w:r>
        <w:t>9</w:t>
      </w:r>
      <w:r w:rsidRPr="00025215">
        <w:t xml:space="preserve"> w</w:t>
      </w:r>
      <w:r>
        <w:t>ill not</w:t>
      </w:r>
      <w:r w:rsidRPr="00025215">
        <w:t xml:space="preserve"> be available until early 201</w:t>
      </w:r>
      <w:r>
        <w:t>9–20.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CE3F03" w:rsidRDefault="00CA6102" w:rsidP="00F537BF">
    <w:pPr>
      <w:pStyle w:val="HeaderEven"/>
    </w:pPr>
    <w:r w:rsidRPr="00F537BF">
      <w:t>ASQA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823C9B" w:rsidRDefault="00CA6102" w:rsidP="00CE3F03">
    <w:pPr>
      <w:pStyle w:val="HeaderOdd"/>
    </w:pPr>
    <w:r w:rsidRPr="00823C9B">
      <w:t>ASQA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CC4E51" w:rsidRDefault="00CA6102" w:rsidP="00CC4E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AE57BF" w:rsidRDefault="00CA6102" w:rsidP="00CE3F03">
    <w:pPr>
      <w:pStyle w:val="HeaderEven"/>
    </w:pPr>
    <w:r w:rsidRPr="00AE57BF">
      <w:t>ASQA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7C592E" w:rsidRDefault="00CA6102" w:rsidP="00CE3F03">
    <w:pPr>
      <w:pStyle w:val="HeaderEven"/>
    </w:pPr>
    <w:r w:rsidRPr="00AA3697">
      <w:t>Portfolio Glossary and Acronyms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4E176A" w:rsidRDefault="00CA6102" w:rsidP="004E17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7E0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A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82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261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DA3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7C5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A2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A8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2BA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183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2DD609C"/>
    <w:multiLevelType w:val="hybridMultilevel"/>
    <w:tmpl w:val="7BA6F5AC"/>
    <w:lvl w:ilvl="0" w:tplc="2F40089A">
      <w:numFmt w:val="bullet"/>
      <w:lvlText w:val="-"/>
      <w:lvlJc w:val="left"/>
      <w:pPr>
        <w:ind w:left="362" w:hanging="360"/>
      </w:pPr>
      <w:rPr>
        <w:rFonts w:ascii="Arial" w:eastAsia="Times New Roman" w:hAnsi="Arial" w:cs="Aria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3"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A8E62E7"/>
    <w:multiLevelType w:val="hybridMultilevel"/>
    <w:tmpl w:val="7388A984"/>
    <w:lvl w:ilvl="0" w:tplc="CD1426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594A4011"/>
    <w:multiLevelType w:val="hybridMultilevel"/>
    <w:tmpl w:val="0642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6CAD7A4A"/>
    <w:multiLevelType w:val="hybridMultilevel"/>
    <w:tmpl w:val="1F9AD18A"/>
    <w:lvl w:ilvl="0" w:tplc="384C0464">
      <w:start w:val="1"/>
      <w:numFmt w:val="decimal"/>
      <w:pStyle w:val="PBSTableLis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14B5C"/>
    <w:multiLevelType w:val="hybridMultilevel"/>
    <w:tmpl w:val="574E9E8E"/>
    <w:lvl w:ilvl="0" w:tplc="0C090001">
      <w:start w:val="1"/>
      <w:numFmt w:val="bullet"/>
      <w:lvlText w:val=""/>
      <w:lvlJc w:val="left"/>
      <w:pPr>
        <w:ind w:left="720" w:hanging="360"/>
      </w:pPr>
      <w:rPr>
        <w:rFonts w:ascii="Symbol" w:hAnsi="Symbol" w:hint="default"/>
      </w:rPr>
    </w:lvl>
    <w:lvl w:ilvl="1" w:tplc="2D3CAD68">
      <w:start w:val="1"/>
      <w:numFmt w:val="bullet"/>
      <w:pStyle w:val="PBS16BulletList4"/>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FB83F62"/>
    <w:multiLevelType w:val="hybridMultilevel"/>
    <w:tmpl w:val="79FE8E5E"/>
    <w:lvl w:ilvl="0" w:tplc="0C090001">
      <w:start w:val="1"/>
      <w:numFmt w:val="bullet"/>
      <w:lvlText w:val=""/>
      <w:lvlJc w:val="left"/>
      <w:pPr>
        <w:ind w:left="720" w:hanging="360"/>
      </w:pPr>
      <w:rPr>
        <w:rFonts w:ascii="Symbol" w:hAnsi="Symbol" w:hint="default"/>
      </w:rPr>
    </w:lvl>
    <w:lvl w:ilvl="1" w:tplc="4A728566">
      <w:start w:val="3"/>
      <w:numFmt w:val="bullet"/>
      <w:pStyle w:val="PBS16BulletList3"/>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9"/>
  </w:num>
  <w:num w:numId="2">
    <w:abstractNumId w:val="10"/>
  </w:num>
  <w:num w:numId="3">
    <w:abstractNumId w:val="25"/>
  </w:num>
  <w:num w:numId="4">
    <w:abstractNumId w:val="30"/>
  </w:num>
  <w:num w:numId="5">
    <w:abstractNumId w:val="13"/>
  </w:num>
  <w:num w:numId="6">
    <w:abstractNumId w:val="22"/>
  </w:num>
  <w:num w:numId="7">
    <w:abstractNumId w:val="17"/>
    <w:lvlOverride w:ilvl="0">
      <w:startOverride w:val="1"/>
    </w:lvlOverride>
  </w:num>
  <w:num w:numId="8">
    <w:abstractNumId w:val="18"/>
  </w:num>
  <w:num w:numId="9">
    <w:abstractNumId w:val="24"/>
  </w:num>
  <w:num w:numId="10">
    <w:abstractNumId w:val="28"/>
    <w:lvlOverride w:ilvl="0">
      <w:startOverride w:val="1"/>
    </w:lvlOverride>
  </w:num>
  <w:num w:numId="11">
    <w:abstractNumId w:val="15"/>
  </w:num>
  <w:num w:numId="12">
    <w:abstractNumId w:val="14"/>
  </w:num>
  <w:num w:numId="13">
    <w:abstractNumId w:val="21"/>
  </w:num>
  <w:num w:numId="14">
    <w:abstractNumId w:val="12"/>
  </w:num>
  <w:num w:numId="15">
    <w:abstractNumId w:val="20"/>
  </w:num>
  <w:num w:numId="16">
    <w:abstractNumId w:val="29"/>
  </w:num>
  <w:num w:numId="17">
    <w:abstractNumId w:val="23"/>
  </w:num>
  <w:num w:numId="18">
    <w:abstractNumId w:val="27"/>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1177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1301"/>
    <w:rsid w:val="00011ACE"/>
    <w:rsid w:val="0001294C"/>
    <w:rsid w:val="00012BB0"/>
    <w:rsid w:val="00013D25"/>
    <w:rsid w:val="0001438C"/>
    <w:rsid w:val="00014AD5"/>
    <w:rsid w:val="00016628"/>
    <w:rsid w:val="00016D95"/>
    <w:rsid w:val="00017619"/>
    <w:rsid w:val="00020573"/>
    <w:rsid w:val="000216BF"/>
    <w:rsid w:val="00021DA6"/>
    <w:rsid w:val="000220B0"/>
    <w:rsid w:val="000300D7"/>
    <w:rsid w:val="000304FC"/>
    <w:rsid w:val="00030FDA"/>
    <w:rsid w:val="0003384E"/>
    <w:rsid w:val="0003503B"/>
    <w:rsid w:val="00036055"/>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6DC7"/>
    <w:rsid w:val="0005722F"/>
    <w:rsid w:val="000606CB"/>
    <w:rsid w:val="00060890"/>
    <w:rsid w:val="00061454"/>
    <w:rsid w:val="00061FD8"/>
    <w:rsid w:val="00063C44"/>
    <w:rsid w:val="00063CE1"/>
    <w:rsid w:val="000641DA"/>
    <w:rsid w:val="00065053"/>
    <w:rsid w:val="000655E4"/>
    <w:rsid w:val="000656AD"/>
    <w:rsid w:val="00065C71"/>
    <w:rsid w:val="00066BBA"/>
    <w:rsid w:val="000671B7"/>
    <w:rsid w:val="00067B6F"/>
    <w:rsid w:val="00067E1D"/>
    <w:rsid w:val="0007064C"/>
    <w:rsid w:val="000710CC"/>
    <w:rsid w:val="000712EE"/>
    <w:rsid w:val="000716BA"/>
    <w:rsid w:val="00071E47"/>
    <w:rsid w:val="000725C0"/>
    <w:rsid w:val="00073DD4"/>
    <w:rsid w:val="00074CE6"/>
    <w:rsid w:val="000768A5"/>
    <w:rsid w:val="00077277"/>
    <w:rsid w:val="0007743A"/>
    <w:rsid w:val="00080069"/>
    <w:rsid w:val="00080F4F"/>
    <w:rsid w:val="00082159"/>
    <w:rsid w:val="0008449F"/>
    <w:rsid w:val="00091B5C"/>
    <w:rsid w:val="000924A7"/>
    <w:rsid w:val="00094B28"/>
    <w:rsid w:val="00094B9A"/>
    <w:rsid w:val="000954FC"/>
    <w:rsid w:val="00096568"/>
    <w:rsid w:val="00096DEE"/>
    <w:rsid w:val="00096E76"/>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B30"/>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6D3"/>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1B19"/>
    <w:rsid w:val="00112D0F"/>
    <w:rsid w:val="001133E0"/>
    <w:rsid w:val="001151F7"/>
    <w:rsid w:val="00115DE5"/>
    <w:rsid w:val="001163D6"/>
    <w:rsid w:val="0011726A"/>
    <w:rsid w:val="0012022D"/>
    <w:rsid w:val="00120B5E"/>
    <w:rsid w:val="0012108F"/>
    <w:rsid w:val="00121EB0"/>
    <w:rsid w:val="0012228D"/>
    <w:rsid w:val="00123218"/>
    <w:rsid w:val="001237BA"/>
    <w:rsid w:val="00123925"/>
    <w:rsid w:val="00124F1A"/>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16B"/>
    <w:rsid w:val="00177A9A"/>
    <w:rsid w:val="001808A4"/>
    <w:rsid w:val="00180FF3"/>
    <w:rsid w:val="001813B5"/>
    <w:rsid w:val="001815A5"/>
    <w:rsid w:val="00181F30"/>
    <w:rsid w:val="00182740"/>
    <w:rsid w:val="00184071"/>
    <w:rsid w:val="001850FE"/>
    <w:rsid w:val="00185A3B"/>
    <w:rsid w:val="00186850"/>
    <w:rsid w:val="001904A5"/>
    <w:rsid w:val="001923C8"/>
    <w:rsid w:val="001925AD"/>
    <w:rsid w:val="001939FF"/>
    <w:rsid w:val="00194DE8"/>
    <w:rsid w:val="00197990"/>
    <w:rsid w:val="001A0106"/>
    <w:rsid w:val="001A02CB"/>
    <w:rsid w:val="001A11DB"/>
    <w:rsid w:val="001A260A"/>
    <w:rsid w:val="001A33F4"/>
    <w:rsid w:val="001A34F2"/>
    <w:rsid w:val="001A6256"/>
    <w:rsid w:val="001A6F29"/>
    <w:rsid w:val="001A77DF"/>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D7110"/>
    <w:rsid w:val="001E0156"/>
    <w:rsid w:val="001E12A5"/>
    <w:rsid w:val="001E1BF9"/>
    <w:rsid w:val="001E1EDB"/>
    <w:rsid w:val="001E1EF3"/>
    <w:rsid w:val="001E3964"/>
    <w:rsid w:val="001E3A18"/>
    <w:rsid w:val="001E3CE5"/>
    <w:rsid w:val="001E7093"/>
    <w:rsid w:val="001E717D"/>
    <w:rsid w:val="001E71F5"/>
    <w:rsid w:val="001E7D86"/>
    <w:rsid w:val="001F377B"/>
    <w:rsid w:val="001F3CF9"/>
    <w:rsid w:val="001F530F"/>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2D1"/>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8796D"/>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07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324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1724F"/>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39AD"/>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0FC9"/>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3E1A"/>
    <w:rsid w:val="0047481E"/>
    <w:rsid w:val="00474918"/>
    <w:rsid w:val="00475EAF"/>
    <w:rsid w:val="0047647B"/>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64B"/>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176A"/>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37979"/>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6EA"/>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7BA"/>
    <w:rsid w:val="00646ACE"/>
    <w:rsid w:val="00646B71"/>
    <w:rsid w:val="006474C0"/>
    <w:rsid w:val="00647927"/>
    <w:rsid w:val="00652B9B"/>
    <w:rsid w:val="00652F78"/>
    <w:rsid w:val="00653743"/>
    <w:rsid w:val="00653DD9"/>
    <w:rsid w:val="00654E6A"/>
    <w:rsid w:val="006551FC"/>
    <w:rsid w:val="006575F3"/>
    <w:rsid w:val="00660871"/>
    <w:rsid w:val="00661494"/>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044"/>
    <w:rsid w:val="006854CE"/>
    <w:rsid w:val="00686B47"/>
    <w:rsid w:val="006878FB"/>
    <w:rsid w:val="0068790B"/>
    <w:rsid w:val="006906E4"/>
    <w:rsid w:val="00691C54"/>
    <w:rsid w:val="00691E49"/>
    <w:rsid w:val="006922DC"/>
    <w:rsid w:val="006941DD"/>
    <w:rsid w:val="0069466B"/>
    <w:rsid w:val="00694795"/>
    <w:rsid w:val="006958CC"/>
    <w:rsid w:val="006A257C"/>
    <w:rsid w:val="006A2615"/>
    <w:rsid w:val="006A4158"/>
    <w:rsid w:val="006A4AA7"/>
    <w:rsid w:val="006A4E15"/>
    <w:rsid w:val="006A5866"/>
    <w:rsid w:val="006A5E4F"/>
    <w:rsid w:val="006A643C"/>
    <w:rsid w:val="006A772D"/>
    <w:rsid w:val="006B0F54"/>
    <w:rsid w:val="006B415B"/>
    <w:rsid w:val="006B45AD"/>
    <w:rsid w:val="006B4C95"/>
    <w:rsid w:val="006B4CBA"/>
    <w:rsid w:val="006B591A"/>
    <w:rsid w:val="006B7542"/>
    <w:rsid w:val="006C0182"/>
    <w:rsid w:val="006C0A59"/>
    <w:rsid w:val="006C19EE"/>
    <w:rsid w:val="006C2E46"/>
    <w:rsid w:val="006C3B05"/>
    <w:rsid w:val="006C4E45"/>
    <w:rsid w:val="006C5EE1"/>
    <w:rsid w:val="006C61B1"/>
    <w:rsid w:val="006C6DB8"/>
    <w:rsid w:val="006C799D"/>
    <w:rsid w:val="006D0643"/>
    <w:rsid w:val="006D0669"/>
    <w:rsid w:val="006D1D4E"/>
    <w:rsid w:val="006D3771"/>
    <w:rsid w:val="006D440A"/>
    <w:rsid w:val="006D514A"/>
    <w:rsid w:val="006D53A5"/>
    <w:rsid w:val="006D5599"/>
    <w:rsid w:val="006D592F"/>
    <w:rsid w:val="006D62BE"/>
    <w:rsid w:val="006D7B71"/>
    <w:rsid w:val="006E0006"/>
    <w:rsid w:val="006E01BB"/>
    <w:rsid w:val="006E0DF6"/>
    <w:rsid w:val="006E18B9"/>
    <w:rsid w:val="006E1BDE"/>
    <w:rsid w:val="006E336C"/>
    <w:rsid w:val="006E35A9"/>
    <w:rsid w:val="006E3B9E"/>
    <w:rsid w:val="006E4A27"/>
    <w:rsid w:val="006E5828"/>
    <w:rsid w:val="006E6BB9"/>
    <w:rsid w:val="006E784F"/>
    <w:rsid w:val="006F0913"/>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3E7"/>
    <w:rsid w:val="0070746B"/>
    <w:rsid w:val="007075CA"/>
    <w:rsid w:val="00710C02"/>
    <w:rsid w:val="0071151E"/>
    <w:rsid w:val="007118AC"/>
    <w:rsid w:val="00711FC7"/>
    <w:rsid w:val="0071482B"/>
    <w:rsid w:val="00714C8F"/>
    <w:rsid w:val="00715A32"/>
    <w:rsid w:val="00716F57"/>
    <w:rsid w:val="00717A74"/>
    <w:rsid w:val="00720EA2"/>
    <w:rsid w:val="00721409"/>
    <w:rsid w:val="00721BFF"/>
    <w:rsid w:val="00721CE0"/>
    <w:rsid w:val="007221A2"/>
    <w:rsid w:val="00722935"/>
    <w:rsid w:val="00727815"/>
    <w:rsid w:val="007301A7"/>
    <w:rsid w:val="00730E31"/>
    <w:rsid w:val="00732432"/>
    <w:rsid w:val="007346F8"/>
    <w:rsid w:val="00734D66"/>
    <w:rsid w:val="00734E06"/>
    <w:rsid w:val="0073503C"/>
    <w:rsid w:val="00736E9D"/>
    <w:rsid w:val="007373FA"/>
    <w:rsid w:val="00737718"/>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65BF"/>
    <w:rsid w:val="0079797F"/>
    <w:rsid w:val="007A05F4"/>
    <w:rsid w:val="007A0BB9"/>
    <w:rsid w:val="007A14E8"/>
    <w:rsid w:val="007A1D73"/>
    <w:rsid w:val="007A3830"/>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59CC"/>
    <w:rsid w:val="007C6A99"/>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138F"/>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16AB7"/>
    <w:rsid w:val="00821789"/>
    <w:rsid w:val="0082180B"/>
    <w:rsid w:val="00821BC9"/>
    <w:rsid w:val="00821E61"/>
    <w:rsid w:val="00823809"/>
    <w:rsid w:val="00825147"/>
    <w:rsid w:val="00825D4F"/>
    <w:rsid w:val="00826388"/>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2B4D"/>
    <w:rsid w:val="008653B5"/>
    <w:rsid w:val="00865A76"/>
    <w:rsid w:val="008663D7"/>
    <w:rsid w:val="0086730B"/>
    <w:rsid w:val="008679E6"/>
    <w:rsid w:val="00867A0F"/>
    <w:rsid w:val="00871811"/>
    <w:rsid w:val="00872E1F"/>
    <w:rsid w:val="00873942"/>
    <w:rsid w:val="00873D70"/>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0FAD"/>
    <w:rsid w:val="008B11D0"/>
    <w:rsid w:val="008B12B5"/>
    <w:rsid w:val="008B227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0CAA"/>
    <w:rsid w:val="008D1B0D"/>
    <w:rsid w:val="008D20E6"/>
    <w:rsid w:val="008D2F52"/>
    <w:rsid w:val="008D3E19"/>
    <w:rsid w:val="008D4BFC"/>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108"/>
    <w:rsid w:val="008F0EA9"/>
    <w:rsid w:val="008F11E6"/>
    <w:rsid w:val="008F1B1E"/>
    <w:rsid w:val="008F2B7E"/>
    <w:rsid w:val="008F31DF"/>
    <w:rsid w:val="008F38F6"/>
    <w:rsid w:val="008F411D"/>
    <w:rsid w:val="008F4D31"/>
    <w:rsid w:val="008F53F5"/>
    <w:rsid w:val="008F56A2"/>
    <w:rsid w:val="008F5FF0"/>
    <w:rsid w:val="008F61F2"/>
    <w:rsid w:val="008F63BB"/>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1667D"/>
    <w:rsid w:val="00921412"/>
    <w:rsid w:val="00921AE3"/>
    <w:rsid w:val="0092273F"/>
    <w:rsid w:val="009238F1"/>
    <w:rsid w:val="009249B4"/>
    <w:rsid w:val="00926716"/>
    <w:rsid w:val="009270DB"/>
    <w:rsid w:val="00930896"/>
    <w:rsid w:val="00930BEB"/>
    <w:rsid w:val="0093163A"/>
    <w:rsid w:val="0093172C"/>
    <w:rsid w:val="009323DF"/>
    <w:rsid w:val="00932AFC"/>
    <w:rsid w:val="0093389C"/>
    <w:rsid w:val="00933A7D"/>
    <w:rsid w:val="00933DA9"/>
    <w:rsid w:val="0093491F"/>
    <w:rsid w:val="00935E14"/>
    <w:rsid w:val="00941E4F"/>
    <w:rsid w:val="00942454"/>
    <w:rsid w:val="0094366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53AE"/>
    <w:rsid w:val="009A72B5"/>
    <w:rsid w:val="009A7BC2"/>
    <w:rsid w:val="009B011E"/>
    <w:rsid w:val="009B0FC0"/>
    <w:rsid w:val="009B1897"/>
    <w:rsid w:val="009B1BB7"/>
    <w:rsid w:val="009B1C51"/>
    <w:rsid w:val="009B48D4"/>
    <w:rsid w:val="009B751B"/>
    <w:rsid w:val="009C0992"/>
    <w:rsid w:val="009C0C48"/>
    <w:rsid w:val="009C1830"/>
    <w:rsid w:val="009C23DA"/>
    <w:rsid w:val="009C24B3"/>
    <w:rsid w:val="009C29F4"/>
    <w:rsid w:val="009C2C09"/>
    <w:rsid w:val="009C2E5A"/>
    <w:rsid w:val="009C6174"/>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898"/>
    <w:rsid w:val="00A239CC"/>
    <w:rsid w:val="00A23BC2"/>
    <w:rsid w:val="00A248C9"/>
    <w:rsid w:val="00A279AC"/>
    <w:rsid w:val="00A30C5D"/>
    <w:rsid w:val="00A310F1"/>
    <w:rsid w:val="00A31C68"/>
    <w:rsid w:val="00A3201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56C"/>
    <w:rsid w:val="00A6388E"/>
    <w:rsid w:val="00A64FD7"/>
    <w:rsid w:val="00A70398"/>
    <w:rsid w:val="00A709AD"/>
    <w:rsid w:val="00A70E0E"/>
    <w:rsid w:val="00A727E7"/>
    <w:rsid w:val="00A72DA9"/>
    <w:rsid w:val="00A733CB"/>
    <w:rsid w:val="00A7382D"/>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97A77"/>
    <w:rsid w:val="00AA1BEC"/>
    <w:rsid w:val="00AA27AA"/>
    <w:rsid w:val="00AA2DF3"/>
    <w:rsid w:val="00AA3697"/>
    <w:rsid w:val="00AA4761"/>
    <w:rsid w:val="00AA50BC"/>
    <w:rsid w:val="00AA53C9"/>
    <w:rsid w:val="00AA6AE4"/>
    <w:rsid w:val="00AA7462"/>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359"/>
    <w:rsid w:val="00AE2459"/>
    <w:rsid w:val="00AE29C2"/>
    <w:rsid w:val="00AE3D23"/>
    <w:rsid w:val="00AE4EC8"/>
    <w:rsid w:val="00AE517C"/>
    <w:rsid w:val="00AE599E"/>
    <w:rsid w:val="00AE5D9F"/>
    <w:rsid w:val="00AE5F15"/>
    <w:rsid w:val="00AE61C0"/>
    <w:rsid w:val="00AE66D1"/>
    <w:rsid w:val="00AE76C9"/>
    <w:rsid w:val="00AE7742"/>
    <w:rsid w:val="00AF06B4"/>
    <w:rsid w:val="00AF07CF"/>
    <w:rsid w:val="00AF0C7E"/>
    <w:rsid w:val="00AF0EB2"/>
    <w:rsid w:val="00AF2791"/>
    <w:rsid w:val="00AF29E5"/>
    <w:rsid w:val="00AF2EF5"/>
    <w:rsid w:val="00AF3117"/>
    <w:rsid w:val="00AF326B"/>
    <w:rsid w:val="00AF32B8"/>
    <w:rsid w:val="00AF32F0"/>
    <w:rsid w:val="00AF3811"/>
    <w:rsid w:val="00AF40C6"/>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46FB"/>
    <w:rsid w:val="00B36CFC"/>
    <w:rsid w:val="00B37148"/>
    <w:rsid w:val="00B37AFC"/>
    <w:rsid w:val="00B4084B"/>
    <w:rsid w:val="00B42B56"/>
    <w:rsid w:val="00B4466D"/>
    <w:rsid w:val="00B45864"/>
    <w:rsid w:val="00B460B5"/>
    <w:rsid w:val="00B461BD"/>
    <w:rsid w:val="00B47F4C"/>
    <w:rsid w:val="00B50958"/>
    <w:rsid w:val="00B51526"/>
    <w:rsid w:val="00B52AC8"/>
    <w:rsid w:val="00B567D8"/>
    <w:rsid w:val="00B60F6F"/>
    <w:rsid w:val="00B61A52"/>
    <w:rsid w:val="00B6230B"/>
    <w:rsid w:val="00B63C3C"/>
    <w:rsid w:val="00B64DE4"/>
    <w:rsid w:val="00B65561"/>
    <w:rsid w:val="00B676B8"/>
    <w:rsid w:val="00B70250"/>
    <w:rsid w:val="00B70C9E"/>
    <w:rsid w:val="00B71222"/>
    <w:rsid w:val="00B712E7"/>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5FC2"/>
    <w:rsid w:val="00BB6D23"/>
    <w:rsid w:val="00BB721D"/>
    <w:rsid w:val="00BB7455"/>
    <w:rsid w:val="00BB75F4"/>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5472"/>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09B1"/>
    <w:rsid w:val="00C41D55"/>
    <w:rsid w:val="00C428E6"/>
    <w:rsid w:val="00C42D37"/>
    <w:rsid w:val="00C431A3"/>
    <w:rsid w:val="00C44195"/>
    <w:rsid w:val="00C44BE3"/>
    <w:rsid w:val="00C44C1D"/>
    <w:rsid w:val="00C450A9"/>
    <w:rsid w:val="00C45903"/>
    <w:rsid w:val="00C46D0E"/>
    <w:rsid w:val="00C47056"/>
    <w:rsid w:val="00C52498"/>
    <w:rsid w:val="00C53EF2"/>
    <w:rsid w:val="00C55846"/>
    <w:rsid w:val="00C55E9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66D6"/>
    <w:rsid w:val="00C978F2"/>
    <w:rsid w:val="00C97F24"/>
    <w:rsid w:val="00C97F3F"/>
    <w:rsid w:val="00CA0B5E"/>
    <w:rsid w:val="00CA0F4F"/>
    <w:rsid w:val="00CA15D7"/>
    <w:rsid w:val="00CA2F21"/>
    <w:rsid w:val="00CA3214"/>
    <w:rsid w:val="00CA450E"/>
    <w:rsid w:val="00CA475B"/>
    <w:rsid w:val="00CA4819"/>
    <w:rsid w:val="00CA49A3"/>
    <w:rsid w:val="00CA600B"/>
    <w:rsid w:val="00CA6102"/>
    <w:rsid w:val="00CA709C"/>
    <w:rsid w:val="00CB1F59"/>
    <w:rsid w:val="00CB4589"/>
    <w:rsid w:val="00CB54F0"/>
    <w:rsid w:val="00CB60C9"/>
    <w:rsid w:val="00CB62C0"/>
    <w:rsid w:val="00CB631C"/>
    <w:rsid w:val="00CB6D24"/>
    <w:rsid w:val="00CB795F"/>
    <w:rsid w:val="00CC0486"/>
    <w:rsid w:val="00CC0B67"/>
    <w:rsid w:val="00CC4867"/>
    <w:rsid w:val="00CC4E51"/>
    <w:rsid w:val="00CC5AB0"/>
    <w:rsid w:val="00CC6AFF"/>
    <w:rsid w:val="00CC7ED8"/>
    <w:rsid w:val="00CC7F08"/>
    <w:rsid w:val="00CD1BF3"/>
    <w:rsid w:val="00CD3382"/>
    <w:rsid w:val="00CD68AA"/>
    <w:rsid w:val="00CE0085"/>
    <w:rsid w:val="00CE0472"/>
    <w:rsid w:val="00CE179F"/>
    <w:rsid w:val="00CE2B6C"/>
    <w:rsid w:val="00CE2C1A"/>
    <w:rsid w:val="00CE3F03"/>
    <w:rsid w:val="00CE3F53"/>
    <w:rsid w:val="00CE4134"/>
    <w:rsid w:val="00CE558E"/>
    <w:rsid w:val="00CE5774"/>
    <w:rsid w:val="00CE7933"/>
    <w:rsid w:val="00CF164C"/>
    <w:rsid w:val="00CF2C6F"/>
    <w:rsid w:val="00CF4131"/>
    <w:rsid w:val="00CF5085"/>
    <w:rsid w:val="00CF5FDC"/>
    <w:rsid w:val="00D00382"/>
    <w:rsid w:val="00D0086A"/>
    <w:rsid w:val="00D02EF1"/>
    <w:rsid w:val="00D03E6B"/>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AF7"/>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3AE6"/>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0B7"/>
    <w:rsid w:val="00D77C45"/>
    <w:rsid w:val="00D81071"/>
    <w:rsid w:val="00D82879"/>
    <w:rsid w:val="00D83B82"/>
    <w:rsid w:val="00D85500"/>
    <w:rsid w:val="00D85D3F"/>
    <w:rsid w:val="00D87479"/>
    <w:rsid w:val="00D9060B"/>
    <w:rsid w:val="00D9150D"/>
    <w:rsid w:val="00D92371"/>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5CF9"/>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00F"/>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6AE9"/>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5E3"/>
    <w:rsid w:val="00E77C06"/>
    <w:rsid w:val="00E831F7"/>
    <w:rsid w:val="00E835D7"/>
    <w:rsid w:val="00E8395F"/>
    <w:rsid w:val="00E855AE"/>
    <w:rsid w:val="00E855E0"/>
    <w:rsid w:val="00E85EBA"/>
    <w:rsid w:val="00E860B7"/>
    <w:rsid w:val="00E8780D"/>
    <w:rsid w:val="00E91AC8"/>
    <w:rsid w:val="00E9221F"/>
    <w:rsid w:val="00E94499"/>
    <w:rsid w:val="00E95DB8"/>
    <w:rsid w:val="00E95E3B"/>
    <w:rsid w:val="00E97527"/>
    <w:rsid w:val="00EA186C"/>
    <w:rsid w:val="00EA46A8"/>
    <w:rsid w:val="00EA5A9E"/>
    <w:rsid w:val="00EA6556"/>
    <w:rsid w:val="00EA6842"/>
    <w:rsid w:val="00EA6D25"/>
    <w:rsid w:val="00EA7456"/>
    <w:rsid w:val="00EB1B80"/>
    <w:rsid w:val="00EB334C"/>
    <w:rsid w:val="00EB4384"/>
    <w:rsid w:val="00EB4C26"/>
    <w:rsid w:val="00EB4EDB"/>
    <w:rsid w:val="00EB5127"/>
    <w:rsid w:val="00EB53F2"/>
    <w:rsid w:val="00EB7803"/>
    <w:rsid w:val="00EC0295"/>
    <w:rsid w:val="00EC0454"/>
    <w:rsid w:val="00EC19FA"/>
    <w:rsid w:val="00EC2948"/>
    <w:rsid w:val="00EC5F86"/>
    <w:rsid w:val="00ED0509"/>
    <w:rsid w:val="00ED0940"/>
    <w:rsid w:val="00ED238C"/>
    <w:rsid w:val="00ED25CE"/>
    <w:rsid w:val="00ED3A55"/>
    <w:rsid w:val="00ED402C"/>
    <w:rsid w:val="00ED511B"/>
    <w:rsid w:val="00EE0ACF"/>
    <w:rsid w:val="00EE22E3"/>
    <w:rsid w:val="00EE2ED0"/>
    <w:rsid w:val="00EE37DE"/>
    <w:rsid w:val="00EE67C5"/>
    <w:rsid w:val="00EF008D"/>
    <w:rsid w:val="00EF18EF"/>
    <w:rsid w:val="00EF3F31"/>
    <w:rsid w:val="00EF4031"/>
    <w:rsid w:val="00EF45CE"/>
    <w:rsid w:val="00EF695C"/>
    <w:rsid w:val="00F00984"/>
    <w:rsid w:val="00F01188"/>
    <w:rsid w:val="00F01FF7"/>
    <w:rsid w:val="00F03B63"/>
    <w:rsid w:val="00F05908"/>
    <w:rsid w:val="00F06D06"/>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0F07"/>
    <w:rsid w:val="00F51346"/>
    <w:rsid w:val="00F5235B"/>
    <w:rsid w:val="00F537BF"/>
    <w:rsid w:val="00F54947"/>
    <w:rsid w:val="00F54F7B"/>
    <w:rsid w:val="00F55CD7"/>
    <w:rsid w:val="00F560DC"/>
    <w:rsid w:val="00F56916"/>
    <w:rsid w:val="00F56AD0"/>
    <w:rsid w:val="00F56CB1"/>
    <w:rsid w:val="00F60063"/>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5CCA"/>
    <w:rsid w:val="00F964B0"/>
    <w:rsid w:val="00F97D2D"/>
    <w:rsid w:val="00FA05A4"/>
    <w:rsid w:val="00FA1EB1"/>
    <w:rsid w:val="00FA2F87"/>
    <w:rsid w:val="00FA30C2"/>
    <w:rsid w:val="00FA3AB4"/>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0813"/>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3C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5"/>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F9"/>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7"/>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6"/>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4"/>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6C799D"/>
    <w:pPr>
      <w:spacing w:before="120" w:after="240"/>
    </w:pPr>
    <w:rPr>
      <w:lang w:val="en-AU"/>
    </w:r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5"/>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5"/>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6"/>
      </w:numPr>
    </w:pPr>
    <w:rPr>
      <w:color w:val="000000"/>
    </w:rPr>
  </w:style>
  <w:style w:type="paragraph" w:customStyle="1" w:styleId="BoxDoubleDot">
    <w:name w:val="Box Double Dot"/>
    <w:basedOn w:val="BoxTextBase"/>
    <w:rsid w:val="00AF07CF"/>
    <w:pPr>
      <w:numPr>
        <w:ilvl w:val="2"/>
        <w:numId w:val="6"/>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9"/>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10"/>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11"/>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12"/>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13"/>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47647B"/>
    <w:pPr>
      <w:spacing w:after="0"/>
      <w:ind w:left="0" w:firstLine="0"/>
    </w:pPr>
  </w:style>
  <w:style w:type="paragraph" w:customStyle="1" w:styleId="MediumGrid21">
    <w:name w:val="Medium Grid 21"/>
    <w:uiPriority w:val="1"/>
    <w:qFormat/>
    <w:rsid w:val="00FA1EB1"/>
    <w:pPr>
      <w:jc w:val="both"/>
    </w:pPr>
    <w:rPr>
      <w:rFonts w:ascii="Book Antiqua" w:hAnsi="Book Antiqua"/>
    </w:rPr>
  </w:style>
  <w:style w:type="paragraph" w:customStyle="1" w:styleId="Normal2">
    <w:name w:val="Normal2"/>
    <w:basedOn w:val="Normal"/>
    <w:rsid w:val="00CE3F03"/>
    <w:rPr>
      <w:rFonts w:eastAsiaTheme="minorHAnsi"/>
    </w:rPr>
  </w:style>
  <w:style w:type="character" w:customStyle="1" w:styleId="eop">
    <w:name w:val="eop"/>
    <w:basedOn w:val="DefaultParagraphFont"/>
    <w:rsid w:val="00CE3F03"/>
  </w:style>
  <w:style w:type="paragraph" w:customStyle="1" w:styleId="PBS16BulletList3">
    <w:name w:val="PBS16 Bullet List 3"/>
    <w:basedOn w:val="Normal"/>
    <w:rsid w:val="00CE3F03"/>
    <w:pPr>
      <w:numPr>
        <w:ilvl w:val="1"/>
        <w:numId w:val="16"/>
      </w:numPr>
      <w:spacing w:before="120" w:after="120" w:line="259" w:lineRule="auto"/>
      <w:ind w:left="993"/>
      <w:jc w:val="left"/>
    </w:pPr>
  </w:style>
  <w:style w:type="paragraph" w:customStyle="1" w:styleId="PBS16BulletList4">
    <w:name w:val="PBS16 Bullet List 4"/>
    <w:basedOn w:val="Normal"/>
    <w:rsid w:val="00CE3F03"/>
    <w:pPr>
      <w:numPr>
        <w:ilvl w:val="1"/>
        <w:numId w:val="18"/>
      </w:numPr>
      <w:spacing w:before="120" w:after="120" w:line="259" w:lineRule="auto"/>
      <w:jc w:val="left"/>
    </w:pPr>
  </w:style>
  <w:style w:type="paragraph" w:customStyle="1" w:styleId="PBSTableListNumbers">
    <w:name w:val="PBS Table List Numbers"/>
    <w:basedOn w:val="PBS16TableNormal"/>
    <w:rsid w:val="00CE3F03"/>
    <w:pPr>
      <w:numPr>
        <w:numId w:val="19"/>
      </w:numPr>
      <w:ind w:left="4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50477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660901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sqa.gov.au/news-publications/publications/annual-reports2" TargetMode="External"/><Relationship Id="rId26" Type="http://schemas.openxmlformats.org/officeDocument/2006/relationships/image" Target="media/image3.emf"/><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1.e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sqa.gov.au/news-publications/publications/asqa-corporate-plan-2018-19" TargetMode="External"/><Relationship Id="rId25" Type="http://schemas.openxmlformats.org/officeDocument/2006/relationships/footer" Target="footer4.xml"/><Relationship Id="rId33" Type="http://schemas.openxmlformats.org/officeDocument/2006/relationships/image" Target="media/image10.emf"/><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29" Type="http://schemas.openxmlformats.org/officeDocument/2006/relationships/image" Target="media/image6.emf"/><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9.emf"/><Relationship Id="rId37" Type="http://schemas.openxmlformats.org/officeDocument/2006/relationships/header" Target="header7.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image" Target="media/image5.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D964E8D8-6041-44AC-91FB-C0440C5B0DDE}"/>
</file>

<file path=customXml/itemProps3.xml><?xml version="1.0" encoding="utf-8"?>
<ds:datastoreItem xmlns:ds="http://schemas.openxmlformats.org/officeDocument/2006/customXml" ds:itemID="{AC377276-3E59-4A23-9383-C269F4925617}"/>
</file>

<file path=customXml/itemProps4.xml><?xml version="1.0" encoding="utf-8"?>
<ds:datastoreItem xmlns:ds="http://schemas.openxmlformats.org/officeDocument/2006/customXml" ds:itemID="{F3F5838B-9058-46E1-A341-9D9BF3B9EB86}"/>
</file>

<file path=customXml/itemProps5.xml><?xml version="1.0" encoding="utf-8"?>
<ds:datastoreItem xmlns:ds="http://schemas.openxmlformats.org/officeDocument/2006/customXml" ds:itemID="{FDB26A9D-3E56-4969-B8C1-16BA09C4C4B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55E1E92C-89DE-4955-A3F9-85B79C1FDF0E}"/>
</file>

<file path=docProps/app.xml><?xml version="1.0" encoding="utf-8"?>
<Properties xmlns="http://schemas.openxmlformats.org/officeDocument/2006/extended-properties" xmlns:vt="http://schemas.openxmlformats.org/officeDocument/2006/docPropsVTypes">
  <Template>DA7632F4.dotm</Template>
  <TotalTime>1683</TotalTime>
  <Pages>21</Pages>
  <Words>2136</Words>
  <Characters>13286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Portfolio Budget Statements 2019-20</vt:lpstr>
    </vt:vector>
  </TitlesOfParts>
  <Manager>Kevin.Wong@education.gov.au</Manager>
  <Company>Australian Government - Department of Education and Training</Company>
  <LinksUpToDate>false</LinksUpToDate>
  <CharactersWithSpaces>15392</CharactersWithSpaces>
  <SharedDoc>false</SharedDoc>
  <HyperlinkBase>www.education.gov.au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2019-20</dc:title>
  <dc:subject>Portfolio Budget Statements 2019-20</dc:subject>
  <dc:creator>Education and Training Portfolio</dc:creator>
  <cp:keywords>PBS;Budget;Education;Training</cp:keywords>
  <cp:lastModifiedBy>VINE,Colin</cp:lastModifiedBy>
  <cp:revision>220</cp:revision>
  <cp:lastPrinted>2019-03-31T02:40:00Z</cp:lastPrinted>
  <dcterms:created xsi:type="dcterms:W3CDTF">2018-03-13T05:02:00Z</dcterms:created>
  <dcterms:modified xsi:type="dcterms:W3CDTF">2019-04-01T06:23:00Z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