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F03" w:rsidRPr="008B2270" w:rsidRDefault="00CE3F03" w:rsidP="00911318">
      <w:pPr>
        <w:pStyle w:val="PartHeading"/>
        <w:spacing w:before="1200"/>
      </w:pPr>
      <w:bookmarkStart w:id="0" w:name="TEQSA"/>
      <w:r w:rsidRPr="008B2270">
        <w:t>Tertiary Education Quality and Standards Agency</w:t>
      </w:r>
      <w:bookmarkEnd w:id="0"/>
    </w:p>
    <w:p w:rsidR="00CE3F03" w:rsidRPr="008B2270" w:rsidRDefault="00CE3F03" w:rsidP="005A7C0B">
      <w:pPr>
        <w:pStyle w:val="PartHeading"/>
      </w:pPr>
    </w:p>
    <w:p w:rsidR="00CE3F03" w:rsidRPr="008B2270" w:rsidRDefault="00CE3F03" w:rsidP="005A7C0B">
      <w:pPr>
        <w:pStyle w:val="PartHeading"/>
      </w:pPr>
    </w:p>
    <w:p w:rsidR="00CE3F03" w:rsidRPr="008B2270" w:rsidRDefault="00CE3F03" w:rsidP="006B7542">
      <w:pPr>
        <w:pStyle w:val="PartHeading-TOC"/>
      </w:pPr>
      <w:r w:rsidRPr="008B2270">
        <w:t>Entity resources and planned performance</w:t>
      </w:r>
    </w:p>
    <w:p w:rsidR="00CE3F03" w:rsidRPr="008B2270" w:rsidRDefault="00CE3F03" w:rsidP="005A7C0B">
      <w:pPr>
        <w:pStyle w:val="PartHeading"/>
        <w:sectPr w:rsidR="00CE3F03" w:rsidRPr="008B2270" w:rsidSect="0093172C">
          <w:footerReference w:type="even" r:id="rId14"/>
          <w:footerReference w:type="first" r:id="rId15"/>
          <w:type w:val="oddPage"/>
          <w:pgSz w:w="11906" w:h="16838" w:code="9"/>
          <w:pgMar w:top="2466" w:right="2098" w:bottom="2466" w:left="2098" w:header="1899" w:footer="1899" w:gutter="0"/>
          <w:cols w:space="708"/>
          <w:docGrid w:linePitch="360"/>
        </w:sectPr>
      </w:pPr>
    </w:p>
    <w:p w:rsidR="00CE3F03" w:rsidRPr="008B2270" w:rsidRDefault="00CE3F03" w:rsidP="002A32FD">
      <w:pPr>
        <w:pStyle w:val="ContentsHeading"/>
      </w:pPr>
      <w:r w:rsidRPr="008B2270">
        <w:lastRenderedPageBreak/>
        <w:t>Tertiary Education Quality and Standards Agency</w:t>
      </w:r>
    </w:p>
    <w:p w:rsidR="00CE3F03" w:rsidRPr="008B2270" w:rsidRDefault="001813B5" w:rsidP="0066473B">
      <w:pPr>
        <w:pStyle w:val="TOC1"/>
      </w:pPr>
      <w:r w:rsidRPr="008B2270">
        <w:t>Section 1: Entity overview and resources</w:t>
      </w:r>
      <w:r w:rsidR="00CE3F03" w:rsidRPr="008B2270">
        <w:tab/>
      </w:r>
      <w:r w:rsidR="00CE3F03" w:rsidRPr="008B2270">
        <w:fldChar w:fldCharType="begin"/>
      </w:r>
      <w:r w:rsidR="00CE3F03" w:rsidRPr="008B2270">
        <w:instrText xml:space="preserve"> PAGEREF TEQSA_1_0 \h </w:instrText>
      </w:r>
      <w:r w:rsidR="00CE3F03" w:rsidRPr="008B2270">
        <w:fldChar w:fldCharType="separate"/>
      </w:r>
      <w:r w:rsidR="00E775E3">
        <w:rPr>
          <w:noProof/>
        </w:rPr>
        <w:t>158</w:t>
      </w:r>
      <w:r w:rsidR="00CE3F03" w:rsidRPr="008B2270">
        <w:fldChar w:fldCharType="end"/>
      </w:r>
    </w:p>
    <w:p w:rsidR="00CE3F03" w:rsidRPr="008B2270" w:rsidRDefault="001813B5" w:rsidP="00786C0B">
      <w:pPr>
        <w:pStyle w:val="TOC2"/>
      </w:pPr>
      <w:r w:rsidRPr="008B2270">
        <w:t>1.1</w:t>
      </w:r>
      <w:r w:rsidRPr="008B2270">
        <w:tab/>
        <w:t>Strategic direction statement</w:t>
      </w:r>
      <w:r w:rsidR="00CE3F03" w:rsidRPr="008B2270">
        <w:tab/>
      </w:r>
      <w:r w:rsidR="00CE3F03" w:rsidRPr="008B2270">
        <w:fldChar w:fldCharType="begin"/>
      </w:r>
      <w:r w:rsidR="00CE3F03" w:rsidRPr="008B2270">
        <w:instrText xml:space="preserve"> PAGEREF TEQSA_1_1 \h </w:instrText>
      </w:r>
      <w:r w:rsidR="00CE3F03" w:rsidRPr="008B2270">
        <w:fldChar w:fldCharType="separate"/>
      </w:r>
      <w:r w:rsidR="00E775E3">
        <w:rPr>
          <w:noProof/>
        </w:rPr>
        <w:t>158</w:t>
      </w:r>
      <w:r w:rsidR="00CE3F03" w:rsidRPr="008B2270">
        <w:fldChar w:fldCharType="end"/>
      </w:r>
    </w:p>
    <w:p w:rsidR="00CE3F03" w:rsidRPr="008B2270" w:rsidRDefault="001813B5" w:rsidP="0066473B">
      <w:pPr>
        <w:pStyle w:val="TOC2"/>
      </w:pPr>
      <w:r w:rsidRPr="008B2270">
        <w:t>1.2</w:t>
      </w:r>
      <w:r w:rsidRPr="008B2270">
        <w:tab/>
        <w:t>Entity resource statement</w:t>
      </w:r>
      <w:r w:rsidR="00CE3F03" w:rsidRPr="008B2270">
        <w:tab/>
      </w:r>
      <w:r w:rsidR="00CE3F03" w:rsidRPr="008B2270">
        <w:fldChar w:fldCharType="begin"/>
      </w:r>
      <w:r w:rsidR="00CE3F03" w:rsidRPr="008B2270">
        <w:instrText xml:space="preserve"> PAGEREF TEQSA_1_2 \h </w:instrText>
      </w:r>
      <w:r w:rsidR="00CE3F03" w:rsidRPr="008B2270">
        <w:fldChar w:fldCharType="separate"/>
      </w:r>
      <w:r w:rsidR="00E775E3">
        <w:rPr>
          <w:noProof/>
        </w:rPr>
        <w:t>159</w:t>
      </w:r>
      <w:r w:rsidR="00CE3F03" w:rsidRPr="008B2270">
        <w:fldChar w:fldCharType="end"/>
      </w:r>
    </w:p>
    <w:p w:rsidR="00CE3F03" w:rsidRPr="008B2270" w:rsidRDefault="001813B5" w:rsidP="00CE3F03">
      <w:pPr>
        <w:pStyle w:val="TOC2"/>
      </w:pPr>
      <w:r w:rsidRPr="008B2270">
        <w:t>1.3</w:t>
      </w:r>
      <w:r w:rsidRPr="008B2270">
        <w:tab/>
        <w:t>Budget measures</w:t>
      </w:r>
      <w:r w:rsidR="00CE3F03" w:rsidRPr="008B2270">
        <w:tab/>
      </w:r>
      <w:r w:rsidR="00CE3F03" w:rsidRPr="008B2270">
        <w:fldChar w:fldCharType="begin"/>
      </w:r>
      <w:r w:rsidR="00CE3F03" w:rsidRPr="008B2270">
        <w:instrText xml:space="preserve"> PAGEREF TEQSA_1_3 \h </w:instrText>
      </w:r>
      <w:r w:rsidR="00CE3F03" w:rsidRPr="008B2270">
        <w:fldChar w:fldCharType="separate"/>
      </w:r>
      <w:r w:rsidR="00E775E3">
        <w:rPr>
          <w:noProof/>
        </w:rPr>
        <w:t>160</w:t>
      </w:r>
      <w:r w:rsidR="00CE3F03" w:rsidRPr="008B2270">
        <w:fldChar w:fldCharType="end"/>
      </w:r>
    </w:p>
    <w:p w:rsidR="00CE3F03" w:rsidRPr="008B2270" w:rsidRDefault="001813B5" w:rsidP="0066473B">
      <w:pPr>
        <w:pStyle w:val="TOC1"/>
      </w:pPr>
      <w:r w:rsidRPr="008B2270">
        <w:t>Section 2: Outcomes and planned performance</w:t>
      </w:r>
      <w:r w:rsidR="00CE3F03" w:rsidRPr="008B2270">
        <w:tab/>
      </w:r>
      <w:r w:rsidR="00CE3F03" w:rsidRPr="008B2270">
        <w:fldChar w:fldCharType="begin"/>
      </w:r>
      <w:r w:rsidR="00CE3F03" w:rsidRPr="008B2270">
        <w:instrText xml:space="preserve"> PAGEREF TEQSA_2_0 \h </w:instrText>
      </w:r>
      <w:r w:rsidR="00CE3F03" w:rsidRPr="008B2270">
        <w:fldChar w:fldCharType="separate"/>
      </w:r>
      <w:r w:rsidR="00E775E3">
        <w:rPr>
          <w:noProof/>
        </w:rPr>
        <w:t>161</w:t>
      </w:r>
      <w:r w:rsidR="00CE3F03" w:rsidRPr="008B2270">
        <w:fldChar w:fldCharType="end"/>
      </w:r>
    </w:p>
    <w:p w:rsidR="00CE3F03" w:rsidRPr="008B2270" w:rsidRDefault="001813B5" w:rsidP="0066473B">
      <w:pPr>
        <w:pStyle w:val="TOC2"/>
      </w:pPr>
      <w:r w:rsidRPr="008B2270">
        <w:t xml:space="preserve">2.1 </w:t>
      </w:r>
      <w:r w:rsidRPr="008B2270">
        <w:tab/>
        <w:t>Budgeted expenses and performance for Outcome 1</w:t>
      </w:r>
      <w:r w:rsidR="00CE3F03" w:rsidRPr="008B2270">
        <w:tab/>
      </w:r>
      <w:r w:rsidR="00CE3F03" w:rsidRPr="008B2270">
        <w:fldChar w:fldCharType="begin"/>
      </w:r>
      <w:r w:rsidR="00CE3F03" w:rsidRPr="008B2270">
        <w:instrText xml:space="preserve"> PAGEREF TEQSA_2_1 \h </w:instrText>
      </w:r>
      <w:r w:rsidR="00CE3F03" w:rsidRPr="008B2270">
        <w:fldChar w:fldCharType="separate"/>
      </w:r>
      <w:r w:rsidR="00E775E3">
        <w:rPr>
          <w:noProof/>
        </w:rPr>
        <w:t>162</w:t>
      </w:r>
      <w:r w:rsidR="00CE3F03" w:rsidRPr="008B2270">
        <w:fldChar w:fldCharType="end"/>
      </w:r>
    </w:p>
    <w:p w:rsidR="00CE3F03" w:rsidRPr="008B2270" w:rsidRDefault="001813B5" w:rsidP="0066473B">
      <w:pPr>
        <w:pStyle w:val="TOC1"/>
      </w:pPr>
      <w:r w:rsidRPr="008B2270">
        <w:t>Section 3: Budgeted financial statements</w:t>
      </w:r>
      <w:r w:rsidR="00CE3F03" w:rsidRPr="008B2270">
        <w:tab/>
      </w:r>
      <w:r w:rsidR="00CE3F03" w:rsidRPr="008B2270">
        <w:fldChar w:fldCharType="begin"/>
      </w:r>
      <w:r w:rsidR="00CE3F03" w:rsidRPr="008B2270">
        <w:instrText xml:space="preserve"> PAGEREF TEQSA_3_0 \h </w:instrText>
      </w:r>
      <w:r w:rsidR="00CE3F03" w:rsidRPr="008B2270">
        <w:fldChar w:fldCharType="separate"/>
      </w:r>
      <w:r w:rsidR="00E775E3">
        <w:rPr>
          <w:noProof/>
        </w:rPr>
        <w:t>167</w:t>
      </w:r>
      <w:r w:rsidR="00CE3F03" w:rsidRPr="008B2270">
        <w:fldChar w:fldCharType="end"/>
      </w:r>
    </w:p>
    <w:p w:rsidR="00CE3F03" w:rsidRPr="008B2270" w:rsidRDefault="001813B5" w:rsidP="0066473B">
      <w:pPr>
        <w:pStyle w:val="TOC2"/>
      </w:pPr>
      <w:r w:rsidRPr="008B2270">
        <w:t>3.1</w:t>
      </w:r>
      <w:r w:rsidRPr="008B2270">
        <w:tab/>
        <w:t>Budgeted financial statements</w:t>
      </w:r>
      <w:r w:rsidR="00CE3F03" w:rsidRPr="008B2270">
        <w:tab/>
      </w:r>
      <w:r w:rsidR="00CE3F03" w:rsidRPr="008B2270">
        <w:fldChar w:fldCharType="begin"/>
      </w:r>
      <w:r w:rsidR="00CE3F03" w:rsidRPr="008B2270">
        <w:instrText xml:space="preserve"> PAGEREF TEQSA_3_1 \h </w:instrText>
      </w:r>
      <w:r w:rsidR="00CE3F03" w:rsidRPr="008B2270">
        <w:fldChar w:fldCharType="separate"/>
      </w:r>
      <w:r w:rsidR="00E775E3">
        <w:rPr>
          <w:noProof/>
        </w:rPr>
        <w:t>167</w:t>
      </w:r>
      <w:r w:rsidR="00CE3F03" w:rsidRPr="008B2270">
        <w:fldChar w:fldCharType="end"/>
      </w:r>
    </w:p>
    <w:p w:rsidR="00CE3F03" w:rsidRPr="008B2270" w:rsidRDefault="001813B5" w:rsidP="0066473B">
      <w:pPr>
        <w:pStyle w:val="TOC2"/>
      </w:pPr>
      <w:r w:rsidRPr="008B2270">
        <w:t>3.2</w:t>
      </w:r>
      <w:r w:rsidRPr="008B2270">
        <w:tab/>
        <w:t>Budgeted financial statements tables</w:t>
      </w:r>
      <w:r w:rsidR="00CE3F03" w:rsidRPr="008B2270">
        <w:tab/>
      </w:r>
      <w:r w:rsidR="00CE3F03" w:rsidRPr="008B2270">
        <w:fldChar w:fldCharType="begin"/>
      </w:r>
      <w:r w:rsidR="00CE3F03" w:rsidRPr="008B2270">
        <w:instrText xml:space="preserve"> PAGEREF TEQSA_3_2 \h </w:instrText>
      </w:r>
      <w:r w:rsidR="00CE3F03" w:rsidRPr="008B2270">
        <w:fldChar w:fldCharType="separate"/>
      </w:r>
      <w:r w:rsidR="00E775E3">
        <w:rPr>
          <w:noProof/>
        </w:rPr>
        <w:t>168</w:t>
      </w:r>
      <w:r w:rsidR="00CE3F03" w:rsidRPr="008B2270">
        <w:fldChar w:fldCharType="end"/>
      </w:r>
    </w:p>
    <w:p w:rsidR="00CE3F03" w:rsidRPr="008B2270" w:rsidRDefault="00CE3F03" w:rsidP="0066473B"/>
    <w:p w:rsidR="00CE3F03" w:rsidRPr="008B2270" w:rsidRDefault="00CE3F03" w:rsidP="008B5AFD"/>
    <w:p w:rsidR="00CE3F03" w:rsidRPr="008B2270" w:rsidRDefault="00CE3F03" w:rsidP="00257FF4">
      <w:pPr>
        <w:sectPr w:rsidR="00CE3F03" w:rsidRPr="008B2270" w:rsidSect="00A5370B">
          <w:headerReference w:type="first" r:id="rId16"/>
          <w:footerReference w:type="first" r:id="rId17"/>
          <w:type w:val="oddPage"/>
          <w:pgSz w:w="11906" w:h="16838" w:code="9"/>
          <w:pgMar w:top="2466" w:right="2098" w:bottom="2466" w:left="2098" w:header="1899" w:footer="1899" w:gutter="0"/>
          <w:pgNumType w:start="157"/>
          <w:cols w:space="708"/>
          <w:titlePg/>
          <w:docGrid w:linePitch="360"/>
        </w:sectPr>
      </w:pPr>
    </w:p>
    <w:p w:rsidR="00CE3F03" w:rsidRPr="008B2270" w:rsidRDefault="00CE3F03" w:rsidP="00834F9A">
      <w:pPr>
        <w:pStyle w:val="Heading1"/>
      </w:pPr>
      <w:r w:rsidRPr="008B2270">
        <w:lastRenderedPageBreak/>
        <w:t>Tertiary Education Quality and Standards Agency</w:t>
      </w:r>
    </w:p>
    <w:p w:rsidR="00CE3F03" w:rsidRPr="008B2270" w:rsidRDefault="00CE3F03" w:rsidP="00257FF4">
      <w:pPr>
        <w:pStyle w:val="Heading2"/>
      </w:pPr>
      <w:bookmarkStart w:id="1" w:name="TEQSA_1_0"/>
      <w:r w:rsidRPr="008B2270">
        <w:t>Section 1: Entity overview and resources</w:t>
      </w:r>
      <w:bookmarkEnd w:id="1"/>
    </w:p>
    <w:p w:rsidR="00CE3F03" w:rsidRPr="008B2270" w:rsidRDefault="00CE3F03" w:rsidP="00257FF4">
      <w:pPr>
        <w:pStyle w:val="Heading3"/>
      </w:pPr>
      <w:bookmarkStart w:id="2" w:name="TEQSA_1_1"/>
      <w:r w:rsidRPr="008B2270">
        <w:t>1.1</w:t>
      </w:r>
      <w:r w:rsidRPr="008B2270">
        <w:tab/>
        <w:t>Strategic direction statement</w:t>
      </w:r>
      <w:bookmarkEnd w:id="2"/>
    </w:p>
    <w:p w:rsidR="00CE3F03" w:rsidRPr="008B2270" w:rsidRDefault="00CE3F03" w:rsidP="00CE3F03">
      <w:r w:rsidRPr="008B2270">
        <w:t>The Tertiary Education Quality and Standards Agency (TEQSA) is Australia’s independent national quality assurance and regulatory agency for higher education. All providers that offer higher education qualifications in or from Australia must be registered by TEQSA. Providers that have not been granted self-accrediting authority must also have their courses accredited by TEQSA.</w:t>
      </w:r>
    </w:p>
    <w:p w:rsidR="00CE3F03" w:rsidRPr="008B2270" w:rsidRDefault="00CE3F03" w:rsidP="00CE3F03">
      <w:r w:rsidRPr="008B2270">
        <w:t xml:space="preserve">TEQSA’s guiding legislation is the </w:t>
      </w:r>
      <w:r w:rsidRPr="008B2270">
        <w:rPr>
          <w:i/>
        </w:rPr>
        <w:t>Tertiary Education Quality and Standards Agency Act 2011</w:t>
      </w:r>
      <w:r w:rsidRPr="008B2270">
        <w:t xml:space="preserve"> (the Act). TEQSA commenced regulatory functions on 29 January 2012.</w:t>
      </w:r>
    </w:p>
    <w:p w:rsidR="00CE3F03" w:rsidRPr="008B2270" w:rsidRDefault="00CE3F03" w:rsidP="00CE3F03">
      <w:r w:rsidRPr="008B2270">
        <w:t>The Act confers powers and functions on TEQSA, among other things, to:</w:t>
      </w:r>
    </w:p>
    <w:p w:rsidR="00CE3F03" w:rsidRPr="008B2270" w:rsidRDefault="00CE3F03" w:rsidP="00111B19">
      <w:pPr>
        <w:pStyle w:val="PBS16BulletList"/>
      </w:pPr>
      <w:r w:rsidRPr="008B2270">
        <w:t>register regulated entities as registered higher education providers and accredit courses of study</w:t>
      </w:r>
    </w:p>
    <w:p w:rsidR="00CE3F03" w:rsidRPr="008B2270" w:rsidRDefault="00CE3F03" w:rsidP="00111B19">
      <w:pPr>
        <w:pStyle w:val="PBS16BulletList"/>
      </w:pPr>
      <w:r w:rsidRPr="008B2270">
        <w:t>conduct compliance assessments and quality assessments</w:t>
      </w:r>
    </w:p>
    <w:p w:rsidR="00CE3F03" w:rsidRPr="008B2270" w:rsidRDefault="00CE3F03" w:rsidP="00111B19">
      <w:pPr>
        <w:pStyle w:val="PBS16BulletList"/>
      </w:pPr>
      <w:r w:rsidRPr="008B2270">
        <w:t>conduct accreditation assessments of accredited courses developed by providers without self-accrediting authority</w:t>
      </w:r>
    </w:p>
    <w:p w:rsidR="00CE3F03" w:rsidRPr="008B2270" w:rsidRDefault="00CE3F03" w:rsidP="00111B19">
      <w:pPr>
        <w:pStyle w:val="PBS16BulletList"/>
      </w:pPr>
      <w:r w:rsidRPr="008B2270">
        <w:t>provide advice and make recommendations to the Commonwealth Minister responsible for higher education on matters relating to the quality or regulation of higher education providers</w:t>
      </w:r>
    </w:p>
    <w:p w:rsidR="00CE3F03" w:rsidRPr="008B2270" w:rsidRDefault="00CE3F03" w:rsidP="00111B19">
      <w:pPr>
        <w:pStyle w:val="PBS16BulletList"/>
      </w:pPr>
      <w:r w:rsidRPr="008B2270">
        <w:t>cooperate with similar agencies in other countries</w:t>
      </w:r>
    </w:p>
    <w:p w:rsidR="00CE3F03" w:rsidRPr="008B2270" w:rsidRDefault="00CE3F03" w:rsidP="00111B19">
      <w:pPr>
        <w:pStyle w:val="PBS16BulletList"/>
      </w:pPr>
      <w:r w:rsidRPr="008B2270">
        <w:t>collect, analyse, interpret and disseminate information relating to quality assurance practice and quality improvement in higher education.</w:t>
      </w:r>
    </w:p>
    <w:p w:rsidR="00CE3F03" w:rsidRPr="008B2270" w:rsidRDefault="00CE3F03" w:rsidP="00CE3F03">
      <w:r w:rsidRPr="008B2270">
        <w:t xml:space="preserve">TEQSA also has responsibility, as an ESOS agency under the </w:t>
      </w:r>
      <w:r w:rsidRPr="008B2270">
        <w:rPr>
          <w:i/>
        </w:rPr>
        <w:t>Education Services for Overseas Students Act 2000</w:t>
      </w:r>
      <w:r w:rsidRPr="008B2270">
        <w:t>, for regulating all providers delivering higher education to overseas students studying in Australia, providers delivering Foundation programs, and also providers delivering English Language Intensive Courses for Overseas Students (ELICOS) (where they have an entry arrangement with a registered higher education provider). Providers in all categories that wish to offer higher education courses to overseas students must be registered on the Commonwealth Register of Institutions and Courses for Overseas Students (CRICOS).</w:t>
      </w:r>
    </w:p>
    <w:p w:rsidR="00CE3F03" w:rsidRPr="008B2270" w:rsidRDefault="00CE3F03" w:rsidP="00CE3F03">
      <w:pPr>
        <w:pStyle w:val="Heading3"/>
      </w:pPr>
      <w:r w:rsidRPr="008B2270">
        <w:br w:type="page"/>
      </w:r>
      <w:bookmarkStart w:id="3" w:name="TEQSA_1_2"/>
      <w:r w:rsidRPr="008B2270">
        <w:lastRenderedPageBreak/>
        <w:t>1.2</w:t>
      </w:r>
      <w:r w:rsidRPr="008B2270">
        <w:tab/>
        <w:t>Entity resource statement</w:t>
      </w:r>
      <w:bookmarkEnd w:id="3"/>
    </w:p>
    <w:p w:rsidR="00CE3F03" w:rsidRPr="008B2270" w:rsidRDefault="00CE3F03" w:rsidP="00CE3F03">
      <w:r w:rsidRPr="008B2270">
        <w:t>Table 1.1 shows the total funding from all sources available to the entity for its operations and to deliver programs and services on behalf of the Government.</w:t>
      </w:r>
    </w:p>
    <w:p w:rsidR="00CE3F03" w:rsidRPr="008B2270" w:rsidRDefault="00CE3F03" w:rsidP="00CE3F03">
      <w:r w:rsidRPr="008B2270">
        <w:t>The table summarises how resources will be applied by outcome (government strategic policy objectives) and by administered (on behalf of the Government or the public) and departmental (for the entity’s operations) classification.</w:t>
      </w:r>
    </w:p>
    <w:p w:rsidR="00CE3F03" w:rsidRPr="008B2270" w:rsidRDefault="00CE3F03" w:rsidP="00594C84">
      <w:r w:rsidRPr="008B2270">
        <w:t xml:space="preserve">For more detailed information on special accounts and special appropriations, please refer to </w:t>
      </w:r>
      <w:r w:rsidRPr="008B2270">
        <w:rPr>
          <w:i/>
        </w:rPr>
        <w:t>Budget Paper No. 4 – Agency Resourcing</w:t>
      </w:r>
      <w:r w:rsidRPr="008B2270">
        <w:t>.</w:t>
      </w:r>
    </w:p>
    <w:p w:rsidR="00CE3F03" w:rsidRPr="008B2270" w:rsidRDefault="00CE3F03" w:rsidP="00CE3F03">
      <w:r w:rsidRPr="008B2270">
        <w:t>Information in this table is presented on a resourcing (that is, appropriations/cash available) basis, whilst the ‘Budgeted expenses by Outcome 1’ tables in Section 2 and the financial statements in Section 3 are presented on an accrual basis.</w:t>
      </w:r>
    </w:p>
    <w:p w:rsidR="00CE3F03" w:rsidRPr="008B2270" w:rsidRDefault="00CE3F03" w:rsidP="005731D3">
      <w:pPr>
        <w:pStyle w:val="TableHeading"/>
        <w:rPr>
          <w:lang w:val="en-AU"/>
        </w:rPr>
      </w:pPr>
      <w:r w:rsidRPr="008B2270">
        <w:rPr>
          <w:lang w:val="en-AU"/>
        </w:rPr>
        <w:t>Table 1.1: TEQSA resource statement — Budget estimates for 2019–20 as at Budget April 2019</w:t>
      </w:r>
    </w:p>
    <w:p w:rsidR="00CE3F03" w:rsidRPr="008B2270" w:rsidRDefault="0047647B" w:rsidP="00CE3F03">
      <w:pPr>
        <w:pStyle w:val="ChartGraphic"/>
      </w:pPr>
      <w:r w:rsidRPr="008B2270">
        <w:drawing>
          <wp:inline distT="0" distB="0" distL="0" distR="0">
            <wp:extent cx="4895850" cy="2761505"/>
            <wp:effectExtent l="0" t="0" r="0" b="1270"/>
            <wp:docPr id="31" name="Picture 31" descr="Data underpinning the financial tables is available from 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95850" cy="2761505"/>
                    </a:xfrm>
                    <a:prstGeom prst="rect">
                      <a:avLst/>
                    </a:prstGeom>
                    <a:noFill/>
                    <a:ln>
                      <a:noFill/>
                    </a:ln>
                  </pic:spPr>
                </pic:pic>
              </a:graphicData>
            </a:graphic>
          </wp:inline>
        </w:drawing>
      </w:r>
    </w:p>
    <w:p w:rsidR="00CE3F03" w:rsidRPr="008B2270" w:rsidRDefault="00CE3F03" w:rsidP="0047647B">
      <w:pPr>
        <w:pStyle w:val="ChartandTableFootnotenotab"/>
      </w:pPr>
      <w:r w:rsidRPr="008B2270">
        <w:t>All figures shown above are GST exclusive - these may not match figures in the cash flow statement.</w:t>
      </w:r>
    </w:p>
    <w:p w:rsidR="00CE3F03" w:rsidRPr="008B2270" w:rsidRDefault="00CE3F03" w:rsidP="0047647B">
      <w:pPr>
        <w:pStyle w:val="ChartandTableFootnotenotab"/>
      </w:pPr>
      <w:r w:rsidRPr="008B2270">
        <w:t>Prepared on a resourcing (i.e. appropriations available) basis.</w:t>
      </w:r>
    </w:p>
    <w:p w:rsidR="00CE3F03" w:rsidRPr="008B2270" w:rsidRDefault="00CE3F03" w:rsidP="00CE3F03">
      <w:pPr>
        <w:pStyle w:val="ChartandTableFootnote"/>
      </w:pPr>
      <w:r w:rsidRPr="008B2270">
        <w:t xml:space="preserve">(a) </w:t>
      </w:r>
      <w:r w:rsidRPr="008B2270">
        <w:tab/>
        <w:t xml:space="preserve">Appropriation Bill (No. 1) 2019–20. </w:t>
      </w:r>
    </w:p>
    <w:p w:rsidR="00CE3F03" w:rsidRPr="008B2270" w:rsidRDefault="00CE3F03" w:rsidP="00CE3F03">
      <w:pPr>
        <w:pStyle w:val="ChartandTableFootnote"/>
      </w:pPr>
      <w:r w:rsidRPr="008B2270">
        <w:t xml:space="preserve">(b) </w:t>
      </w:r>
      <w:r w:rsidRPr="008B2270">
        <w:tab/>
        <w:t xml:space="preserve">Excludes $0m subject to administrative quarantine by Finance or withheld under section 51 of the </w:t>
      </w:r>
      <w:r w:rsidRPr="008B2270">
        <w:rPr>
          <w:i/>
          <w:iCs/>
        </w:rPr>
        <w:t>Public Governance, Performance and Accountability Act 2013 (PGPA Act).</w:t>
      </w:r>
    </w:p>
    <w:p w:rsidR="00CE3F03" w:rsidRPr="008B2270" w:rsidRDefault="00CE3F03" w:rsidP="00CE3F03">
      <w:pPr>
        <w:pStyle w:val="ChartandTableFootnote"/>
      </w:pPr>
      <w:r w:rsidRPr="008B2270">
        <w:t xml:space="preserve">(c) </w:t>
      </w:r>
      <w:r w:rsidRPr="008B2270">
        <w:tab/>
        <w:t>Excludes departmental capital budget (DCB).</w:t>
      </w:r>
    </w:p>
    <w:p w:rsidR="00CE3F03" w:rsidRPr="008B2270" w:rsidRDefault="00CE3F03" w:rsidP="00CE3F03">
      <w:pPr>
        <w:pStyle w:val="ChartandTableFootnote"/>
      </w:pPr>
      <w:r w:rsidRPr="008B2270">
        <w:t xml:space="preserve">(d) </w:t>
      </w:r>
      <w:r w:rsidRPr="008B2270">
        <w:tab/>
        <w:t>Estimated External Revenue receipts under section 74 of the PGPA Act.</w:t>
      </w:r>
    </w:p>
    <w:p w:rsidR="00CE3F03" w:rsidRPr="008B2270" w:rsidRDefault="00CE3F03" w:rsidP="00CE3F03">
      <w:pPr>
        <w:pStyle w:val="ChartandTableFootnote"/>
      </w:pPr>
      <w:r w:rsidRPr="008B2270">
        <w:t xml:space="preserve">(e) </w:t>
      </w:r>
      <w:r w:rsidRPr="008B2270">
        <w:tab/>
        <w:t>Departmental capital budgets are not separately identified in Appropriation Bill (No.1) and form part of ordinary annual services items. Please refer to Table 3.5 for further details. For accounting purposes, this amount has been designated as a 'contribution by owner'.</w:t>
      </w:r>
    </w:p>
    <w:p w:rsidR="00CE3F03" w:rsidRPr="008B2270" w:rsidRDefault="00CE3F03" w:rsidP="00CE3F03">
      <w:pPr>
        <w:pStyle w:val="ChartandTableFootnote"/>
      </w:pPr>
      <w:r w:rsidRPr="008B2270">
        <w:t xml:space="preserve">(f) </w:t>
      </w:r>
      <w:r w:rsidRPr="008B2270">
        <w:tab/>
        <w:t>Appropriation Bill (No. 2) 2019–20.</w:t>
      </w:r>
    </w:p>
    <w:p w:rsidR="00CE3F03" w:rsidRPr="008B2270" w:rsidRDefault="00CE3F03" w:rsidP="00CE3F03">
      <w:pPr>
        <w:pStyle w:val="Heading3"/>
        <w:spacing w:before="0"/>
      </w:pPr>
      <w:bookmarkStart w:id="4" w:name="_Toc520088"/>
      <w:bookmarkStart w:id="5" w:name="TEQSA_1_3"/>
      <w:r w:rsidRPr="008B2270">
        <w:lastRenderedPageBreak/>
        <w:t>1.3</w:t>
      </w:r>
      <w:r w:rsidRPr="008B2270">
        <w:tab/>
        <w:t>Budget measures</w:t>
      </w:r>
      <w:bookmarkEnd w:id="4"/>
      <w:bookmarkEnd w:id="5"/>
    </w:p>
    <w:p w:rsidR="00CE3F03" w:rsidRPr="008B2270" w:rsidRDefault="00CE3F03" w:rsidP="00CE3F03">
      <w:r w:rsidRPr="008B2270">
        <w:t>Budget measures in Part 2 relating to entity TEQSA are detailed in Budget Paper No. 2 and are summarised below.</w:t>
      </w:r>
    </w:p>
    <w:p w:rsidR="00CE3F03" w:rsidRPr="008B2270" w:rsidRDefault="00CE3F03" w:rsidP="00CE3F03">
      <w:pPr>
        <w:pStyle w:val="TableHeading"/>
      </w:pPr>
      <w:r w:rsidRPr="008B2270">
        <w:t>Table 1.2: Entity 201</w:t>
      </w:r>
      <w:r w:rsidRPr="008B2270">
        <w:rPr>
          <w:lang w:val="en-AU"/>
        </w:rPr>
        <w:t>9</w:t>
      </w:r>
      <w:r w:rsidRPr="008B2270">
        <w:t>–</w:t>
      </w:r>
      <w:r w:rsidRPr="008B2270">
        <w:rPr>
          <w:lang w:val="en-AU"/>
        </w:rPr>
        <w:t xml:space="preserve">20 </w:t>
      </w:r>
      <w:r w:rsidRPr="008B2270">
        <w:t>Budget measures</w:t>
      </w:r>
    </w:p>
    <w:p w:rsidR="00CE3F03" w:rsidRPr="008B2270" w:rsidRDefault="00CE3F03" w:rsidP="00CE3F03">
      <w:pPr>
        <w:pStyle w:val="TableGraphic"/>
        <w:rPr>
          <w:rFonts w:ascii="Arial" w:hAnsi="Arial" w:cs="Arial"/>
          <w:b/>
          <w:lang w:val="x-none" w:eastAsia="x-none"/>
        </w:rPr>
      </w:pPr>
      <w:r w:rsidRPr="008B2270">
        <w:rPr>
          <w:rFonts w:ascii="Arial" w:hAnsi="Arial" w:cs="Arial"/>
          <w:b/>
        </w:rPr>
        <w:t>Part 2: Other measures not previously reported in a portfolio statement</w:t>
      </w:r>
    </w:p>
    <w:p w:rsidR="00CE3F03" w:rsidRPr="008B2270" w:rsidRDefault="00CE3F03" w:rsidP="00CE3F03">
      <w:pPr>
        <w:pStyle w:val="ChartGraphic"/>
      </w:pPr>
      <w:r w:rsidRPr="008B2270">
        <w:drawing>
          <wp:inline distT="0" distB="0" distL="0" distR="0" wp14:anchorId="7276EBFC" wp14:editId="19DE8241">
            <wp:extent cx="4895850" cy="1563302"/>
            <wp:effectExtent l="0" t="0" r="0" b="0"/>
            <wp:docPr id="96" name="Picture 96" descr="Data underpinning the financial tables is available from 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95850" cy="1563302"/>
                    </a:xfrm>
                    <a:prstGeom prst="rect">
                      <a:avLst/>
                    </a:prstGeom>
                    <a:noFill/>
                    <a:ln>
                      <a:noFill/>
                    </a:ln>
                  </pic:spPr>
                </pic:pic>
              </a:graphicData>
            </a:graphic>
          </wp:inline>
        </w:drawing>
      </w:r>
    </w:p>
    <w:p w:rsidR="00CE3F03" w:rsidRPr="008B2270" w:rsidRDefault="00CE3F03" w:rsidP="0047647B">
      <w:pPr>
        <w:pStyle w:val="ChartandTableFootnotenotab"/>
      </w:pPr>
      <w:r w:rsidRPr="008B2270">
        <w:t>Prepared on a Government Finance Statistics (fiscal) basis. Figures displayed as a negative (-) represent a decrease in funds and a positive (+) represent an increase in funds.</w:t>
      </w:r>
    </w:p>
    <w:p w:rsidR="00CE3F03" w:rsidRPr="008B2270" w:rsidRDefault="00CE3F03" w:rsidP="00CE3F03">
      <w:pPr>
        <w:pStyle w:val="ChartandTableFootnote"/>
      </w:pPr>
      <w:r w:rsidRPr="008B2270">
        <w:t xml:space="preserve">(a) </w:t>
      </w:r>
      <w:r w:rsidRPr="008B2270">
        <w:tab/>
        <w:t>The lead entity for measure titled ‘Delayed transition to full cost recovery’ is Department of Education and Training. The full measure description and package details appear</w:t>
      </w:r>
      <w:r w:rsidR="00111B19" w:rsidRPr="008B2270">
        <w:t>ed</w:t>
      </w:r>
      <w:r w:rsidRPr="008B2270">
        <w:t xml:space="preserve"> in </w:t>
      </w:r>
      <w:r w:rsidR="00111B19" w:rsidRPr="008B2270">
        <w:t xml:space="preserve">the 2018–19 Mid-Year Economic and Fiscal Outlook (page 114) </w:t>
      </w:r>
      <w:r w:rsidRPr="008B2270">
        <w:t>under the Education and Training portfolio.</w:t>
      </w:r>
    </w:p>
    <w:p w:rsidR="00CE3F03" w:rsidRPr="008B2270" w:rsidRDefault="00CE3F03">
      <w:pPr>
        <w:spacing w:after="0" w:line="240" w:lineRule="auto"/>
        <w:jc w:val="left"/>
        <w:rPr>
          <w:rFonts w:ascii="Arial" w:hAnsi="Arial"/>
          <w:sz w:val="30"/>
        </w:rPr>
      </w:pPr>
      <w:r w:rsidRPr="008B2270">
        <w:br w:type="page"/>
      </w:r>
    </w:p>
    <w:p w:rsidR="00CE3F03" w:rsidRPr="008B2270" w:rsidRDefault="00CE3F03" w:rsidP="00810C6A">
      <w:pPr>
        <w:pStyle w:val="Heading2"/>
      </w:pPr>
      <w:bookmarkStart w:id="6" w:name="TEQSA_2_0"/>
      <w:r w:rsidRPr="008B2270">
        <w:lastRenderedPageBreak/>
        <w:t>Section 2: Outcomes and planned performance</w:t>
      </w:r>
      <w:bookmarkEnd w:id="6"/>
    </w:p>
    <w:p w:rsidR="00CE3F03" w:rsidRPr="008B2270" w:rsidRDefault="00CE3F03" w:rsidP="00BE7D58">
      <w:r w:rsidRPr="008B2270">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CE3F03" w:rsidRPr="008B2270" w:rsidRDefault="00CE3F03" w:rsidP="00BE7D58">
      <w:r w:rsidRPr="008B2270">
        <w:t xml:space="preserve">Each outcome is described below together with its related programs. The following provides detailed information on expenses for each outcome and program, further broken down by funding source. </w:t>
      </w:r>
    </w:p>
    <w:p w:rsidR="00CE3F03" w:rsidRPr="008B2270" w:rsidRDefault="00CE3F03" w:rsidP="00810C6A">
      <w:pPr>
        <w:pBdr>
          <w:top w:val="single" w:sz="2" w:space="6" w:color="auto"/>
          <w:left w:val="single" w:sz="2" w:space="4" w:color="auto"/>
          <w:bottom w:val="single" w:sz="2" w:space="6" w:color="auto"/>
          <w:right w:val="single" w:sz="2" w:space="4" w:color="auto"/>
        </w:pBdr>
        <w:spacing w:after="120" w:line="240" w:lineRule="auto"/>
        <w:rPr>
          <w:b/>
        </w:rPr>
      </w:pPr>
      <w:r w:rsidRPr="008B2270">
        <w:rPr>
          <w:b/>
        </w:rPr>
        <w:t>Note:</w:t>
      </w:r>
    </w:p>
    <w:p w:rsidR="00CE3F03" w:rsidRPr="008B2270" w:rsidRDefault="00CE3F03" w:rsidP="00810C6A">
      <w:pPr>
        <w:pBdr>
          <w:top w:val="single" w:sz="2" w:space="6" w:color="auto"/>
          <w:left w:val="single" w:sz="2" w:space="4" w:color="auto"/>
          <w:bottom w:val="single" w:sz="2" w:space="6" w:color="auto"/>
          <w:right w:val="single" w:sz="2" w:space="4" w:color="auto"/>
        </w:pBdr>
      </w:pPr>
      <w:r w:rsidRPr="008B2270">
        <w:t xml:space="preserve">Performance reporting requirements in the Portfolio Budget Statements are part of the enhanced Commonwealth performance framework established by the </w:t>
      </w:r>
      <w:r w:rsidRPr="008B2270">
        <w:rPr>
          <w:i/>
        </w:rPr>
        <w:t>Public Governance, Performance and Accountability Act 2013</w:t>
      </w:r>
      <w:r w:rsidRPr="008B2270">
        <w:t>. It is anticipated that the performance criteria described in Portfolio Budget Statements will be read with broader information provided in an entity’s corporate plans and annual performance statements – included in Annual Reports - to provide an entity’s complete performance story.</w:t>
      </w:r>
    </w:p>
    <w:p w:rsidR="00CE3F03" w:rsidRPr="008B2270" w:rsidRDefault="00A5370B" w:rsidP="00801EF6">
      <w:pPr>
        <w:pBdr>
          <w:top w:val="single" w:sz="2" w:space="6" w:color="auto"/>
          <w:left w:val="single" w:sz="2" w:space="4" w:color="auto"/>
          <w:bottom w:val="single" w:sz="2" w:space="6" w:color="auto"/>
          <w:right w:val="single" w:sz="2" w:space="4" w:color="auto"/>
        </w:pBdr>
      </w:pPr>
      <w:hyperlink r:id="rId20" w:history="1">
        <w:r w:rsidR="00CE3F03" w:rsidRPr="008B2270">
          <w:rPr>
            <w:rStyle w:val="Hyperlink"/>
          </w:rPr>
          <w:t>The most recent corporate plan for TEQSA can be found at: www.teqsa.gov.au</w:t>
        </w:r>
      </w:hyperlink>
      <w:r w:rsidR="00CE3F03" w:rsidRPr="008B2270">
        <w:t xml:space="preserve"> </w:t>
      </w:r>
    </w:p>
    <w:p w:rsidR="00CE3F03" w:rsidRPr="008B2270" w:rsidRDefault="00A5370B" w:rsidP="00810C6A">
      <w:pPr>
        <w:pBdr>
          <w:top w:val="single" w:sz="2" w:space="6" w:color="auto"/>
          <w:left w:val="single" w:sz="2" w:space="4" w:color="auto"/>
          <w:bottom w:val="single" w:sz="2" w:space="6" w:color="auto"/>
          <w:right w:val="single" w:sz="2" w:space="4" w:color="auto"/>
        </w:pBdr>
      </w:pPr>
      <w:hyperlink r:id="rId21" w:history="1">
        <w:r w:rsidR="00CE3F03" w:rsidRPr="008B2270">
          <w:rPr>
            <w:rStyle w:val="Hyperlink"/>
          </w:rPr>
          <w:t>The most recent annual performance statement can be found in the Annual Report at: www.teqsa.gov.au.</w:t>
        </w:r>
      </w:hyperlink>
    </w:p>
    <w:p w:rsidR="00CE3F03" w:rsidRPr="008B2270" w:rsidRDefault="00CE3F03">
      <w:pPr>
        <w:spacing w:after="0" w:line="240" w:lineRule="auto"/>
        <w:jc w:val="left"/>
      </w:pPr>
      <w:r w:rsidRPr="008B2270">
        <w:br w:type="page"/>
      </w:r>
    </w:p>
    <w:p w:rsidR="00CE3F03" w:rsidRPr="008B2270" w:rsidRDefault="00CE3F03" w:rsidP="003876AB">
      <w:pPr>
        <w:pStyle w:val="Heading3"/>
      </w:pPr>
      <w:bookmarkStart w:id="7" w:name="TEQSA_2_1"/>
      <w:r w:rsidRPr="008B2270">
        <w:lastRenderedPageBreak/>
        <w:t xml:space="preserve">2.1 </w:t>
      </w:r>
      <w:r w:rsidRPr="008B2270">
        <w:tab/>
        <w:t>Budgeted expenses and performance for Outcome 1</w:t>
      </w:r>
      <w:bookmarkEnd w:id="7"/>
    </w:p>
    <w:tbl>
      <w:tblPr>
        <w:tblW w:w="7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767"/>
      </w:tblGrid>
      <w:tr w:rsidR="00CE3F03" w:rsidRPr="008B2270" w:rsidTr="00DB2A84">
        <w:trPr>
          <w:cantSplit/>
          <w:trHeight w:val="23"/>
        </w:trPr>
        <w:tc>
          <w:tcPr>
            <w:tcW w:w="7767" w:type="dxa"/>
            <w:shd w:val="clear" w:color="auto" w:fill="E6E6E6"/>
          </w:tcPr>
          <w:p w:rsidR="00CE3F03" w:rsidRPr="008B2270" w:rsidRDefault="00CE3F03" w:rsidP="003876AB">
            <w:pPr>
              <w:pStyle w:val="TableColumnHeadingLeft"/>
            </w:pPr>
            <w:r w:rsidRPr="008B2270">
              <w:t>Outcome 1: Contribute to a high quality higher education sector through streamlined and nationally consistent higher education regulatory arrangements; registration of higher education providers; accreditation of higher education courses; and investigation, quality assurance and dissemination of higher education standards and performance.</w:t>
            </w:r>
          </w:p>
        </w:tc>
      </w:tr>
    </w:tbl>
    <w:p w:rsidR="00CE3F03" w:rsidRPr="008B2270" w:rsidRDefault="00CE3F03" w:rsidP="00CE3F03"/>
    <w:p w:rsidR="00CE3F03" w:rsidRPr="008B2270" w:rsidRDefault="00CE3F03" w:rsidP="00AC0B5A">
      <w:pPr>
        <w:pStyle w:val="Heading4"/>
      </w:pPr>
      <w:r w:rsidRPr="008B2270">
        <w:t>Budgeted expenses for Outcome 1</w:t>
      </w:r>
    </w:p>
    <w:p w:rsidR="00CE3F03" w:rsidRPr="008B2270" w:rsidRDefault="00CE3F03" w:rsidP="0051207B">
      <w:r w:rsidRPr="008B2270">
        <w:t>This table shows how much the entity intends to spend (on an accrual basis) on achieving the outcome, broken down by program, as well as by administered and departmental funding sources.</w:t>
      </w:r>
    </w:p>
    <w:p w:rsidR="00CE3F03" w:rsidRPr="008B2270" w:rsidRDefault="00CE3F03" w:rsidP="00DF2C5D">
      <w:pPr>
        <w:pStyle w:val="TableHeading"/>
        <w:rPr>
          <w:lang w:val="en-AU"/>
        </w:rPr>
      </w:pPr>
      <w:r w:rsidRPr="008B2270">
        <w:rPr>
          <w:lang w:val="en-AU"/>
        </w:rPr>
        <w:t>Table 2.1.1: Budgeted expenses for Outcome 1</w:t>
      </w:r>
    </w:p>
    <w:p w:rsidR="00CE3F03" w:rsidRPr="008B2270" w:rsidRDefault="0047647B" w:rsidP="00CE3F03">
      <w:pPr>
        <w:pStyle w:val="ChartGraphic"/>
      </w:pPr>
      <w:r w:rsidRPr="008B2270">
        <w:drawing>
          <wp:inline distT="0" distB="0" distL="0" distR="0">
            <wp:extent cx="4895850" cy="4055885"/>
            <wp:effectExtent l="0" t="0" r="0" b="1905"/>
            <wp:docPr id="85" name="Picture 85" descr="Data underpinning the financial tables is available from 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95850" cy="4055885"/>
                    </a:xfrm>
                    <a:prstGeom prst="rect">
                      <a:avLst/>
                    </a:prstGeom>
                    <a:noFill/>
                    <a:ln>
                      <a:noFill/>
                    </a:ln>
                  </pic:spPr>
                </pic:pic>
              </a:graphicData>
            </a:graphic>
          </wp:inline>
        </w:drawing>
      </w:r>
    </w:p>
    <w:p w:rsidR="00CE3F03" w:rsidRPr="008B2270" w:rsidRDefault="00CE3F03" w:rsidP="00CE3F03">
      <w:pPr>
        <w:pStyle w:val="ChartandTableFootnote"/>
      </w:pPr>
      <w:r w:rsidRPr="008B2270">
        <w:t xml:space="preserve">(a) </w:t>
      </w:r>
      <w:r w:rsidRPr="008B2270">
        <w:tab/>
        <w:t xml:space="preserve">Estimated expenses incurred in relation to receipts retained under section 74 of the </w:t>
      </w:r>
      <w:r w:rsidRPr="008B2270">
        <w:rPr>
          <w:i/>
          <w:iCs/>
        </w:rPr>
        <w:t>PGPA Act 2013.</w:t>
      </w:r>
    </w:p>
    <w:p w:rsidR="00CE3F03" w:rsidRPr="008B2270" w:rsidRDefault="00CE3F03" w:rsidP="00CE3F03">
      <w:pPr>
        <w:pStyle w:val="ChartandTableFootnote"/>
      </w:pPr>
      <w:r w:rsidRPr="008B2270">
        <w:t xml:space="preserve">(b) </w:t>
      </w:r>
      <w:r w:rsidRPr="008B2270">
        <w:tab/>
        <w:t>Expenses not requiring appropriation in the Budget year are made up of depreciation expenses, amortisation expenses, make good expenses and audit fees.</w:t>
      </w:r>
    </w:p>
    <w:p w:rsidR="00CE3F03" w:rsidRPr="008B2270" w:rsidRDefault="00CE3F03" w:rsidP="00CE3F03">
      <w:pPr>
        <w:pStyle w:val="ChartandTableFootnote"/>
      </w:pPr>
      <w:r w:rsidRPr="008B2270">
        <w:t>Note:</w:t>
      </w:r>
      <w:r w:rsidRPr="008B2270">
        <w:tab/>
        <w:t>Departmental appropriation splits and totals are indicative estimates and may change in the course of the budget year as government priorities change.</w:t>
      </w:r>
    </w:p>
    <w:p w:rsidR="00CE3F03" w:rsidRPr="008B2270" w:rsidRDefault="00CE3F03" w:rsidP="00594C84">
      <w:pPr>
        <w:pStyle w:val="Heading4"/>
      </w:pPr>
      <w:r w:rsidRPr="008B2270">
        <w:lastRenderedPageBreak/>
        <w:t>Performance criteria for Outcome 1</w:t>
      </w:r>
    </w:p>
    <w:p w:rsidR="00CE3F03" w:rsidRPr="008B2270" w:rsidRDefault="00CE3F03" w:rsidP="00594C84">
      <w:r w:rsidRPr="008B2270">
        <w:t>This section details the performance criteria for each program associated with Outcome 1. It also summarises how each program is delivered and where 2019–20 Budget measures have created new programs or materially changed existing programs.</w:t>
      </w:r>
    </w:p>
    <w:tbl>
      <w:tblPr>
        <w:tblW w:w="7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8"/>
      </w:tblGrid>
      <w:tr w:rsidR="00CE3F03" w:rsidRPr="008B2270" w:rsidTr="00594C84">
        <w:trPr>
          <w:cantSplit/>
          <w:trHeight w:val="23"/>
          <w:tblHeader/>
        </w:trPr>
        <w:tc>
          <w:tcPr>
            <w:tcW w:w="7768" w:type="dxa"/>
            <w:shd w:val="clear" w:color="auto" w:fill="F2F2F2"/>
          </w:tcPr>
          <w:p w:rsidR="00CE3F03" w:rsidRPr="008B2270" w:rsidRDefault="00CE3F03" w:rsidP="00594C84">
            <w:pPr>
              <w:pStyle w:val="TableColumnHeadingLeft"/>
            </w:pPr>
            <w:r w:rsidRPr="008B2270">
              <w:t>Outcome 1: Contribute to a high quality higher education sector through streamlined and nationally consistent higher education regulatory arrangements; registration of higher education providers; accreditation of higher education courses; and investigation, quality assurance and dissemination of higher education standards and performance.</w:t>
            </w:r>
          </w:p>
        </w:tc>
      </w:tr>
    </w:tbl>
    <w:p w:rsidR="00CE3F03" w:rsidRPr="008B2270" w:rsidRDefault="00CE3F03" w:rsidP="00CE3F03">
      <w:pPr>
        <w:pStyle w:val="Heading5"/>
        <w:rPr>
          <w:rFonts w:cs="Arial"/>
          <w:bCs w:val="0"/>
        </w:rPr>
      </w:pPr>
      <w:r w:rsidRPr="008B2270">
        <w:rPr>
          <w:rFonts w:cs="Arial"/>
          <w:bCs w:val="0"/>
        </w:rPr>
        <w:t>Program 1.1: Regulation and Quality Assurance</w:t>
      </w: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6718"/>
      </w:tblGrid>
      <w:tr w:rsidR="00CE3F03" w:rsidRPr="008B2270" w:rsidTr="00CE3F03">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CE3F03" w:rsidRPr="008B2270" w:rsidRDefault="00CE3F03" w:rsidP="00CE3F03">
            <w:pPr>
              <w:pStyle w:val="PBS16TableNormalHeading"/>
            </w:pPr>
            <w:r w:rsidRPr="008B2270">
              <w:t>Objective</w:t>
            </w:r>
          </w:p>
        </w:tc>
        <w:tc>
          <w:tcPr>
            <w:tcW w:w="6718" w:type="dxa"/>
            <w:tcBorders>
              <w:top w:val="single" w:sz="4" w:space="0" w:color="auto"/>
              <w:left w:val="single" w:sz="4" w:space="0" w:color="auto"/>
              <w:bottom w:val="single" w:sz="4" w:space="0" w:color="auto"/>
              <w:right w:val="single" w:sz="4" w:space="0" w:color="auto"/>
            </w:tcBorders>
          </w:tcPr>
          <w:p w:rsidR="00CE3F03" w:rsidRPr="008B2270" w:rsidRDefault="00CE3F03" w:rsidP="00CE3F03">
            <w:pPr>
              <w:pStyle w:val="PBS16TableNormal"/>
            </w:pPr>
            <w:r w:rsidRPr="008B2270">
              <w:t xml:space="preserve">Regulation and quality assurance ensure that quality standards are being met by all higher education providers so that the interests of students and the reputation of Australia’s higher education sector are promoted and protected. This occurs by reference to the Higher Education Threshold Standards, which are determined by the Minister for Education and Training on advice from an independent Higher Education Standards Panel. A risk-based approach is used for planning and implementing assessments of provider compliance with those Standards. </w:t>
            </w:r>
          </w:p>
        </w:tc>
      </w:tr>
      <w:tr w:rsidR="00CE3F03" w:rsidRPr="008B2270" w:rsidTr="00CE3F03">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CE3F03" w:rsidRPr="008B2270" w:rsidRDefault="00CE3F03" w:rsidP="00CE3F03">
            <w:pPr>
              <w:pStyle w:val="PBS16TableNormalHeading"/>
            </w:pPr>
            <w:r w:rsidRPr="008B2270">
              <w:t>Delivery</w:t>
            </w:r>
          </w:p>
        </w:tc>
        <w:tc>
          <w:tcPr>
            <w:tcW w:w="6718" w:type="dxa"/>
            <w:tcBorders>
              <w:top w:val="single" w:sz="4" w:space="0" w:color="auto"/>
              <w:left w:val="single" w:sz="4" w:space="0" w:color="auto"/>
              <w:bottom w:val="single" w:sz="4" w:space="0" w:color="auto"/>
              <w:right w:val="single" w:sz="4" w:space="0" w:color="auto"/>
            </w:tcBorders>
          </w:tcPr>
          <w:p w:rsidR="00CE3F03" w:rsidRPr="008B2270" w:rsidRDefault="00CE3F03" w:rsidP="00CE3F03">
            <w:pPr>
              <w:pStyle w:val="PBS16TableNormal"/>
            </w:pPr>
            <w:r w:rsidRPr="008B2270">
              <w:t>The mechanisms through which Program 1.1 will be delivered are:</w:t>
            </w:r>
          </w:p>
          <w:p w:rsidR="00CE3F03" w:rsidRPr="008B2270" w:rsidRDefault="00CE3F03" w:rsidP="00CE3F03">
            <w:pPr>
              <w:pStyle w:val="PBS16TableListBullet"/>
            </w:pPr>
            <w:r w:rsidRPr="008B2270">
              <w:t>register regulated entities as registered higher education providers and accredit courses of study</w:t>
            </w:r>
          </w:p>
          <w:p w:rsidR="00CE3F03" w:rsidRPr="008B2270" w:rsidRDefault="00CE3F03" w:rsidP="00CE3F03">
            <w:pPr>
              <w:pStyle w:val="PBS16TableListBullet"/>
            </w:pPr>
            <w:r w:rsidRPr="008B2270">
              <w:t>conduct compliance assessments and quality assessments</w:t>
            </w:r>
          </w:p>
          <w:p w:rsidR="00CE3F03" w:rsidRPr="008B2270" w:rsidRDefault="00CE3F03" w:rsidP="00CE3F03">
            <w:pPr>
              <w:pStyle w:val="PBS16TableListBullet"/>
            </w:pPr>
            <w:r w:rsidRPr="008B2270">
              <w:t>conduct accreditation assessments of courses developed by providers without self-accrediting authority</w:t>
            </w:r>
          </w:p>
          <w:p w:rsidR="00CE3F03" w:rsidRPr="008B2270" w:rsidRDefault="00CE3F03" w:rsidP="00CE3F03">
            <w:pPr>
              <w:pStyle w:val="PBS16TableListBullet"/>
            </w:pPr>
            <w:r w:rsidRPr="008B2270">
              <w:t>provide advice and make recommendations to the Commonwealth Minister responsible for Education on matters relating to the quality and regulation of higher education providers</w:t>
            </w:r>
          </w:p>
          <w:p w:rsidR="00CE3F03" w:rsidRPr="008B2270" w:rsidRDefault="00CE3F03" w:rsidP="00CE3F03">
            <w:pPr>
              <w:pStyle w:val="PBS16TableListBullet"/>
            </w:pPr>
            <w:r w:rsidRPr="008B2270">
              <w:t>cooperate with similar agencies in other countries</w:t>
            </w:r>
          </w:p>
          <w:p w:rsidR="00CE3F03" w:rsidRPr="008B2270" w:rsidRDefault="00CE3F03" w:rsidP="00CE3F03">
            <w:pPr>
              <w:pStyle w:val="PBS16TableListBullet"/>
            </w:pPr>
            <w:r w:rsidRPr="008B2270">
              <w:t>collect, analyse, interpret and disseminate information relating to quality assurance practice and quality improvement in higher education.</w:t>
            </w:r>
          </w:p>
        </w:tc>
      </w:tr>
      <w:tr w:rsidR="00CE3F03" w:rsidRPr="008B2270" w:rsidTr="00CE3F03">
        <w:trPr>
          <w:cantSplit/>
          <w:trHeight w:val="23"/>
        </w:trPr>
        <w:tc>
          <w:tcPr>
            <w:tcW w:w="1049" w:type="dxa"/>
            <w:tcBorders>
              <w:top w:val="single" w:sz="4" w:space="0" w:color="auto"/>
              <w:left w:val="single" w:sz="4" w:space="0" w:color="auto"/>
              <w:bottom w:val="single" w:sz="4" w:space="0" w:color="auto"/>
              <w:right w:val="single" w:sz="4" w:space="0" w:color="auto"/>
            </w:tcBorders>
            <w:hideMark/>
          </w:tcPr>
          <w:p w:rsidR="00CE3F03" w:rsidRPr="008B2270" w:rsidRDefault="00CE3F03" w:rsidP="00CE3F03">
            <w:pPr>
              <w:pStyle w:val="PBS16TableNormalHeading"/>
            </w:pPr>
            <w:r w:rsidRPr="008B2270">
              <w:t>Purpose</w:t>
            </w:r>
          </w:p>
        </w:tc>
        <w:tc>
          <w:tcPr>
            <w:tcW w:w="6718" w:type="dxa"/>
            <w:tcBorders>
              <w:top w:val="single" w:sz="4" w:space="0" w:color="auto"/>
              <w:left w:val="single" w:sz="4" w:space="0" w:color="auto"/>
              <w:bottom w:val="single" w:sz="4" w:space="0" w:color="auto"/>
              <w:right w:val="single" w:sz="4" w:space="0" w:color="auto"/>
            </w:tcBorders>
            <w:shd w:val="clear" w:color="auto" w:fill="auto"/>
          </w:tcPr>
          <w:p w:rsidR="00CE3F03" w:rsidRPr="008B2270" w:rsidRDefault="00CE3F03" w:rsidP="00CE3F03">
            <w:pPr>
              <w:pStyle w:val="PBS16TableNormal"/>
            </w:pPr>
            <w:r w:rsidRPr="008B2270">
              <w:t xml:space="preserve">To protect student interests and the reputation of Australia’s higher education sector through a proportionate, risk reflective approach to quality assurance that supports diversity, innovation and excellence. </w:t>
            </w:r>
          </w:p>
          <w:p w:rsidR="00CE3F03" w:rsidRPr="008B2270" w:rsidRDefault="00CE3F03" w:rsidP="00CE3F03">
            <w:pPr>
              <w:pStyle w:val="PBS16TableNormal"/>
            </w:pPr>
            <w:r w:rsidRPr="008B2270">
              <w:t>We have four key objectives in delivering our purpose. We will:</w:t>
            </w:r>
          </w:p>
          <w:p w:rsidR="00CE3F03" w:rsidRPr="008B2270" w:rsidRDefault="00CE3F03" w:rsidP="00CE3F03">
            <w:pPr>
              <w:pStyle w:val="PBSTableListNumbers"/>
            </w:pPr>
            <w:r w:rsidRPr="008B2270">
              <w:t>quality assure and regulate the sector in a timely, transparent and risk reﬂective manner</w:t>
            </w:r>
          </w:p>
          <w:p w:rsidR="00CE3F03" w:rsidRPr="008B2270" w:rsidRDefault="00CE3F03" w:rsidP="00CE3F03">
            <w:pPr>
              <w:pStyle w:val="PBSTableListNumbers"/>
            </w:pPr>
            <w:r w:rsidRPr="008B2270">
              <w:t>support providers to deliver high quality higher education, protect student interests and enhance the reputation and competitiveness of Australia’s higher education sector</w:t>
            </w:r>
          </w:p>
          <w:p w:rsidR="00CE3F03" w:rsidRPr="008B2270" w:rsidRDefault="00CE3F03" w:rsidP="00CE3F03">
            <w:pPr>
              <w:pStyle w:val="PBSTableListNumbers"/>
            </w:pPr>
            <w:r w:rsidRPr="008B2270">
              <w:t>provide advice and information to inform decisions about the appropriateness and quality of higher education</w:t>
            </w:r>
          </w:p>
          <w:p w:rsidR="00CE3F03" w:rsidRPr="008B2270" w:rsidRDefault="00CE3F03" w:rsidP="00CE3F03">
            <w:pPr>
              <w:pStyle w:val="PBSTableListNumbers"/>
            </w:pPr>
            <w:r w:rsidRPr="008B2270">
              <w:t>take prompt and eﬀective action to address substantial risks to students or the sector’s reputation.</w:t>
            </w:r>
          </w:p>
        </w:tc>
      </w:tr>
    </w:tbl>
    <w:p w:rsidR="00CE3F03" w:rsidRPr="008B2270" w:rsidRDefault="00CE3F03" w:rsidP="00594C84">
      <w:pPr>
        <w:pStyle w:val="Heading6"/>
      </w:pPr>
      <w:r w:rsidRPr="008B2270">
        <w:lastRenderedPageBreak/>
        <w:t xml:space="preserve">Performance information 1.1: </w:t>
      </w:r>
      <w:r w:rsidRPr="008B2270">
        <w:rPr>
          <w:rFonts w:cs="Arial"/>
          <w:bCs w:val="0"/>
        </w:rPr>
        <w:t>Regulation and Quality Assurance</w:t>
      </w:r>
    </w:p>
    <w:tbl>
      <w:tblPr>
        <w:tblStyle w:val="TableGrid"/>
        <w:tblW w:w="7768" w:type="dxa"/>
        <w:tblLayout w:type="fixed"/>
        <w:tblLook w:val="04A0" w:firstRow="1" w:lastRow="0" w:firstColumn="1" w:lastColumn="0" w:noHBand="0" w:noVBand="1"/>
        <w:tblCaption w:val="Target"/>
        <w:tblDescription w:val="Performance criteria table"/>
      </w:tblPr>
      <w:tblGrid>
        <w:gridCol w:w="1049"/>
        <w:gridCol w:w="3317"/>
        <w:gridCol w:w="3402"/>
      </w:tblGrid>
      <w:tr w:rsidR="00CE3F03" w:rsidRPr="008B2270" w:rsidTr="00F50F07">
        <w:trPr>
          <w:cantSplit/>
          <w:trHeight w:val="20"/>
          <w:tblHeader/>
        </w:trPr>
        <w:tc>
          <w:tcPr>
            <w:tcW w:w="1049" w:type="dxa"/>
            <w:tcBorders>
              <w:top w:val="single" w:sz="4" w:space="0" w:color="auto"/>
              <w:left w:val="single" w:sz="4" w:space="0" w:color="auto"/>
              <w:bottom w:val="single" w:sz="4" w:space="0" w:color="auto"/>
              <w:right w:val="single" w:sz="4" w:space="0" w:color="auto"/>
            </w:tcBorders>
            <w:hideMark/>
          </w:tcPr>
          <w:p w:rsidR="00CE3F03" w:rsidRPr="008B2270" w:rsidRDefault="00CE3F03" w:rsidP="00CE3F03">
            <w:pPr>
              <w:pStyle w:val="PBS16TableNormalHeading"/>
              <w:keepNext/>
            </w:pPr>
            <w:r w:rsidRPr="008B2270">
              <w:t>Year</w:t>
            </w:r>
          </w:p>
        </w:tc>
        <w:tc>
          <w:tcPr>
            <w:tcW w:w="3317" w:type="dxa"/>
            <w:tcBorders>
              <w:top w:val="single" w:sz="4" w:space="0" w:color="auto"/>
              <w:left w:val="single" w:sz="4" w:space="0" w:color="auto"/>
              <w:bottom w:val="single" w:sz="4" w:space="0" w:color="auto"/>
              <w:right w:val="single" w:sz="4" w:space="0" w:color="auto"/>
            </w:tcBorders>
            <w:hideMark/>
          </w:tcPr>
          <w:p w:rsidR="00CE3F03" w:rsidRPr="008B2270" w:rsidRDefault="00CE3F03" w:rsidP="00CE3F03">
            <w:pPr>
              <w:pStyle w:val="PBS16TableNormalHeading"/>
              <w:keepNext/>
            </w:pPr>
            <w:r w:rsidRPr="008B2270">
              <w:t>Performance criteria</w:t>
            </w:r>
          </w:p>
        </w:tc>
        <w:tc>
          <w:tcPr>
            <w:tcW w:w="3402" w:type="dxa"/>
            <w:tcBorders>
              <w:top w:val="single" w:sz="4" w:space="0" w:color="auto"/>
              <w:left w:val="single" w:sz="4" w:space="0" w:color="auto"/>
              <w:bottom w:val="single" w:sz="4" w:space="0" w:color="auto"/>
              <w:right w:val="single" w:sz="4" w:space="0" w:color="auto"/>
            </w:tcBorders>
            <w:hideMark/>
          </w:tcPr>
          <w:p w:rsidR="00CE3F03" w:rsidRPr="008B2270" w:rsidRDefault="00CE3F03" w:rsidP="00CE3F03">
            <w:pPr>
              <w:pStyle w:val="PBS16TableNormalHeading"/>
              <w:keepNext/>
            </w:pPr>
            <w:r w:rsidRPr="008B2270">
              <w:t xml:space="preserve">Expected achievement </w:t>
            </w:r>
          </w:p>
        </w:tc>
      </w:tr>
      <w:tr w:rsidR="00F50F07" w:rsidRPr="008B2270" w:rsidTr="00F50F07">
        <w:trPr>
          <w:cantSplit/>
          <w:trHeight w:val="20"/>
        </w:trPr>
        <w:tc>
          <w:tcPr>
            <w:tcW w:w="1049" w:type="dxa"/>
            <w:tcBorders>
              <w:top w:val="single" w:sz="4" w:space="0" w:color="auto"/>
              <w:left w:val="single" w:sz="4" w:space="0" w:color="auto"/>
              <w:bottom w:val="nil"/>
              <w:right w:val="single" w:sz="4" w:space="0" w:color="auto"/>
            </w:tcBorders>
          </w:tcPr>
          <w:p w:rsidR="00F50F07" w:rsidRPr="008B2270" w:rsidRDefault="00F50F07" w:rsidP="00CE3F03">
            <w:pPr>
              <w:pStyle w:val="PBS16TableNormal"/>
              <w:rPr>
                <w:b/>
              </w:rPr>
            </w:pPr>
            <w:r w:rsidRPr="008B2270">
              <w:t xml:space="preserve">2018–19 </w:t>
            </w:r>
          </w:p>
        </w:tc>
        <w:tc>
          <w:tcPr>
            <w:tcW w:w="3317" w:type="dxa"/>
            <w:tcBorders>
              <w:top w:val="single" w:sz="4" w:space="0" w:color="auto"/>
              <w:left w:val="single" w:sz="4" w:space="0" w:color="auto"/>
              <w:bottom w:val="single" w:sz="4" w:space="0" w:color="auto"/>
              <w:right w:val="single" w:sz="4" w:space="0" w:color="auto"/>
            </w:tcBorders>
          </w:tcPr>
          <w:p w:rsidR="00F50F07" w:rsidRPr="008B2270" w:rsidRDefault="00F50F07" w:rsidP="00CE3F03">
            <w:pPr>
              <w:pStyle w:val="PBS16TableNormal"/>
            </w:pPr>
            <w:r w:rsidRPr="008B2270">
              <w:t>TEQSA’s decisions are provided in a timely manner, clearly articulating the reasons for decisions, and TEQSA gives all higher education providers a reasonable opportunity to address matters relevant to a decision by TEQSA before making a decision that affects the provider.</w:t>
            </w:r>
          </w:p>
        </w:tc>
        <w:tc>
          <w:tcPr>
            <w:tcW w:w="3402" w:type="dxa"/>
            <w:tcBorders>
              <w:top w:val="single" w:sz="4" w:space="0" w:color="auto"/>
              <w:left w:val="single" w:sz="4" w:space="0" w:color="auto"/>
              <w:bottom w:val="single" w:sz="4" w:space="0" w:color="auto"/>
              <w:right w:val="single" w:sz="4" w:space="0" w:color="auto"/>
            </w:tcBorders>
          </w:tcPr>
          <w:p w:rsidR="00F50F07" w:rsidRPr="008B2270" w:rsidRDefault="00F50F07">
            <w:pPr>
              <w:pStyle w:val="PBS16TableNormal"/>
            </w:pPr>
            <w:r w:rsidRPr="008B2270">
              <w:t>By late 2018–19, TEQSA expects to see the benefits of recent staffing, training and process improvements reflected in increased throughput of assessments, reductions in processing times and reduced carry-over into 2019–20. This timing reflects the process improvements made in late 2018, as well as the significant increase in assessment capacity from late 2018, when new staff commenced after a rigorous recruitment process.</w:t>
            </w:r>
          </w:p>
          <w:p w:rsidR="00F50F07" w:rsidRPr="008B2270" w:rsidRDefault="00F50F07" w:rsidP="00CE3F03">
            <w:pPr>
              <w:pStyle w:val="PBS16TableNormal"/>
            </w:pPr>
            <w:r w:rsidRPr="008B2270">
              <w:t>In 2018–19, providers continued to be informed in accordance with legislative timeframes. Where an adverse decision was proposed, a draft summary of findings was sent to providers to allow them a reasonable opportunity to respond.</w:t>
            </w:r>
          </w:p>
        </w:tc>
      </w:tr>
      <w:tr w:rsidR="00F50F07" w:rsidRPr="008B2270" w:rsidTr="00F50F07">
        <w:trPr>
          <w:cantSplit/>
          <w:trHeight w:val="20"/>
        </w:trPr>
        <w:tc>
          <w:tcPr>
            <w:tcW w:w="1049" w:type="dxa"/>
            <w:tcBorders>
              <w:top w:val="nil"/>
              <w:left w:val="single" w:sz="4" w:space="0" w:color="auto"/>
              <w:bottom w:val="nil"/>
              <w:right w:val="single" w:sz="4" w:space="0" w:color="auto"/>
            </w:tcBorders>
          </w:tcPr>
          <w:p w:rsidR="00F50F07" w:rsidRPr="008B2270" w:rsidRDefault="00F50F07" w:rsidP="00CE3F03">
            <w:pPr>
              <w:pStyle w:val="PBS16TableNormal"/>
            </w:pPr>
          </w:p>
        </w:tc>
        <w:tc>
          <w:tcPr>
            <w:tcW w:w="3317" w:type="dxa"/>
            <w:tcBorders>
              <w:top w:val="single" w:sz="4" w:space="0" w:color="auto"/>
              <w:left w:val="single" w:sz="4" w:space="0" w:color="auto"/>
              <w:bottom w:val="single" w:sz="4" w:space="0" w:color="auto"/>
              <w:right w:val="single" w:sz="4" w:space="0" w:color="auto"/>
            </w:tcBorders>
          </w:tcPr>
          <w:p w:rsidR="00F50F07" w:rsidRPr="008B2270" w:rsidRDefault="00F50F07" w:rsidP="00CE3F03">
            <w:pPr>
              <w:pStyle w:val="PBS16TableNormal"/>
            </w:pPr>
            <w:r w:rsidRPr="008B2270">
              <w:t>TEQSA has effective mechanisms to identify, monitor and respond to risks to the quality and standards of higher education across the sector.</w:t>
            </w:r>
          </w:p>
        </w:tc>
        <w:tc>
          <w:tcPr>
            <w:tcW w:w="3402" w:type="dxa"/>
            <w:tcBorders>
              <w:top w:val="single" w:sz="4" w:space="0" w:color="auto"/>
              <w:left w:val="single" w:sz="4" w:space="0" w:color="auto"/>
              <w:bottom w:val="single" w:sz="4" w:space="0" w:color="auto"/>
              <w:right w:val="single" w:sz="4" w:space="0" w:color="auto"/>
            </w:tcBorders>
          </w:tcPr>
          <w:p w:rsidR="00F50F07" w:rsidRPr="008B2270" w:rsidRDefault="00F50F07" w:rsidP="00CE3F03">
            <w:pPr>
              <w:pStyle w:val="PBS16TableNormal"/>
            </w:pPr>
            <w:r w:rsidRPr="008B2270">
              <w:t>TEQSA’s use of risk factors continued to be informed by the demonstrated correlation between risk rating of providers and assessment outcomes.</w:t>
            </w:r>
          </w:p>
          <w:p w:rsidR="00F50F07" w:rsidRPr="008B2270" w:rsidRDefault="00F50F07" w:rsidP="00CE3F03">
            <w:pPr>
              <w:pStyle w:val="PBS16TableNormal"/>
            </w:pPr>
            <w:r w:rsidRPr="008B2270">
              <w:t xml:space="preserve">In the last 12 months TEQSA further reduced the regulatory burden on low risk providers through the development and implementation of the </w:t>
            </w:r>
            <w:r w:rsidRPr="008B2270">
              <w:rPr>
                <w:i/>
              </w:rPr>
              <w:t xml:space="preserve">Extensions to the period of provider registration or course accreditation </w:t>
            </w:r>
            <w:r w:rsidRPr="008B2270">
              <w:t xml:space="preserve">policy, which has resulted in the extension of registration and accreditation periods for eligible providers. </w:t>
            </w:r>
          </w:p>
          <w:p w:rsidR="00F50F07" w:rsidRPr="008B2270" w:rsidRDefault="00F50F07" w:rsidP="00CE3F03">
            <w:pPr>
              <w:pStyle w:val="PBS16TableNormal"/>
            </w:pPr>
            <w:r w:rsidRPr="008B2270">
              <w:t xml:space="preserve">In accordance with </w:t>
            </w:r>
            <w:r w:rsidRPr="008B2270">
              <w:rPr>
                <w:i/>
              </w:rPr>
              <w:t>TEQSA High Risk provider</w:t>
            </w:r>
            <w:r w:rsidRPr="008B2270">
              <w:t xml:space="preserve"> policy, TEQSA met with high risk providers to be assured that they have implemented effective strategies to mitigate their risk. </w:t>
            </w:r>
          </w:p>
        </w:tc>
      </w:tr>
      <w:tr w:rsidR="00F50F07" w:rsidRPr="008B2270" w:rsidTr="00F50F07">
        <w:trPr>
          <w:cantSplit/>
          <w:trHeight w:val="20"/>
        </w:trPr>
        <w:tc>
          <w:tcPr>
            <w:tcW w:w="1049" w:type="dxa"/>
            <w:tcBorders>
              <w:top w:val="nil"/>
              <w:left w:val="single" w:sz="4" w:space="0" w:color="auto"/>
              <w:bottom w:val="single" w:sz="4" w:space="0" w:color="auto"/>
              <w:right w:val="single" w:sz="4" w:space="0" w:color="auto"/>
            </w:tcBorders>
          </w:tcPr>
          <w:p w:rsidR="00F50F07" w:rsidRPr="008B2270" w:rsidRDefault="00F50F07" w:rsidP="00CE3F03">
            <w:pPr>
              <w:pStyle w:val="PBS16TableNormal"/>
            </w:pPr>
          </w:p>
        </w:tc>
        <w:tc>
          <w:tcPr>
            <w:tcW w:w="3317" w:type="dxa"/>
            <w:tcBorders>
              <w:top w:val="single" w:sz="4" w:space="0" w:color="auto"/>
              <w:left w:val="single" w:sz="4" w:space="0" w:color="auto"/>
              <w:bottom w:val="single" w:sz="4" w:space="0" w:color="auto"/>
              <w:right w:val="single" w:sz="4" w:space="0" w:color="auto"/>
            </w:tcBorders>
          </w:tcPr>
          <w:p w:rsidR="00F50F07" w:rsidRPr="008B2270" w:rsidRDefault="00F50F07" w:rsidP="00CE3F03">
            <w:pPr>
              <w:pStyle w:val="PBS16TableNormal"/>
            </w:pPr>
            <w:r w:rsidRPr="008B2270">
              <w:t>TEQSA communication with higher education providers is clear, targeted and effective.</w:t>
            </w:r>
          </w:p>
        </w:tc>
        <w:tc>
          <w:tcPr>
            <w:tcW w:w="3402" w:type="dxa"/>
            <w:tcBorders>
              <w:top w:val="single" w:sz="4" w:space="0" w:color="auto"/>
              <w:left w:val="single" w:sz="4" w:space="0" w:color="auto"/>
              <w:bottom w:val="single" w:sz="4" w:space="0" w:color="auto"/>
              <w:right w:val="single" w:sz="4" w:space="0" w:color="auto"/>
            </w:tcBorders>
          </w:tcPr>
          <w:p w:rsidR="00F50F07" w:rsidRPr="008B2270" w:rsidRDefault="00F50F07">
            <w:pPr>
              <w:pStyle w:val="PBS16TableNormal"/>
            </w:pPr>
            <w:r w:rsidRPr="008B2270">
              <w:t>The majority of providers rated TEQSA’s communication as good or excellent, and continued to utilise the TEQSA website, including the National Register of Higher Education Providers, which was recently enhanced for greater usability.</w:t>
            </w:r>
          </w:p>
          <w:p w:rsidR="00F50F07" w:rsidRPr="008B2270" w:rsidRDefault="00F50F07" w:rsidP="00CE3F03">
            <w:pPr>
              <w:pStyle w:val="PBS16TableNormal"/>
            </w:pPr>
            <w:r w:rsidRPr="008B2270">
              <w:t>TEQSA continued to engage proactively with providers and the sector more broadly through forums and events such as the annual TEQSA conference and the Quality Enhancement Forum Series. Additionally, TEQSA held roundtables with higher education providers and their peak bodies to receive direct feedback. TEQSA continued to build its engagement with its external experts, through the creation of an Experts Advisory Board and the development and roll out of an engagement program for TEQSA Experts.</w:t>
            </w:r>
          </w:p>
        </w:tc>
      </w:tr>
      <w:tr w:rsidR="00F50F07" w:rsidRPr="008B2270" w:rsidTr="00F50F07">
        <w:trPr>
          <w:cantSplit/>
          <w:trHeight w:val="20"/>
        </w:trPr>
        <w:tc>
          <w:tcPr>
            <w:tcW w:w="1049" w:type="dxa"/>
            <w:tcBorders>
              <w:top w:val="single" w:sz="4" w:space="0" w:color="auto"/>
              <w:left w:val="single" w:sz="4" w:space="0" w:color="auto"/>
              <w:bottom w:val="single" w:sz="4" w:space="0" w:color="auto"/>
              <w:right w:val="single" w:sz="4" w:space="0" w:color="auto"/>
            </w:tcBorders>
          </w:tcPr>
          <w:p w:rsidR="00F50F07" w:rsidRPr="008B2270" w:rsidRDefault="00F50F07" w:rsidP="00F50F07">
            <w:pPr>
              <w:pStyle w:val="PBS16TableNormal"/>
              <w:rPr>
                <w:b/>
              </w:rPr>
            </w:pPr>
            <w:r w:rsidRPr="008B2270">
              <w:lastRenderedPageBreak/>
              <w:t xml:space="preserve">2018–19 </w:t>
            </w:r>
          </w:p>
        </w:tc>
        <w:tc>
          <w:tcPr>
            <w:tcW w:w="3317" w:type="dxa"/>
            <w:tcBorders>
              <w:top w:val="single" w:sz="4" w:space="0" w:color="auto"/>
              <w:left w:val="single" w:sz="4" w:space="0" w:color="auto"/>
              <w:bottom w:val="single" w:sz="4" w:space="0" w:color="auto"/>
              <w:right w:val="single" w:sz="4" w:space="0" w:color="auto"/>
            </w:tcBorders>
          </w:tcPr>
          <w:p w:rsidR="00F50F07" w:rsidRPr="008B2270" w:rsidRDefault="00F50F07" w:rsidP="00F50F07">
            <w:pPr>
              <w:pStyle w:val="PBS16TableNormal"/>
            </w:pPr>
            <w:r w:rsidRPr="008B2270">
              <w:t>TEQSA engages in regular, constructive dialogue with international quality assurance agencies to contribute to the development of effective transnational quality assurance.</w:t>
            </w:r>
          </w:p>
        </w:tc>
        <w:tc>
          <w:tcPr>
            <w:tcW w:w="3402" w:type="dxa"/>
            <w:tcBorders>
              <w:top w:val="single" w:sz="4" w:space="0" w:color="auto"/>
              <w:left w:val="single" w:sz="4" w:space="0" w:color="auto"/>
              <w:bottom w:val="single" w:sz="4" w:space="0" w:color="auto"/>
              <w:right w:val="single" w:sz="4" w:space="0" w:color="auto"/>
            </w:tcBorders>
          </w:tcPr>
          <w:p w:rsidR="00F50F07" w:rsidRPr="008B2270" w:rsidRDefault="00F50F07" w:rsidP="00F50F07">
            <w:pPr>
              <w:pStyle w:val="PBS16TableNormal"/>
            </w:pPr>
            <w:r w:rsidRPr="008B2270">
              <w:t>Cross border regulatory activity continued to be enhanced through engagement with international quality agencies. TEQSA’s understanding of and effectiveness in international higher education, and contribution to development of transnational policy was facilitated through information sharing and staff exchange programs with international quality agencies enabled by Memoranda of Cooperation. TEQSA continued to be an active member of international quality assurance groups and also continued to welcome a range of international delegations to its Melbourne office to enhance their understanding of TEQSA’s work.</w:t>
            </w:r>
          </w:p>
        </w:tc>
      </w:tr>
    </w:tbl>
    <w:p w:rsidR="00CE3F03" w:rsidRPr="008B2270" w:rsidRDefault="00CE3F03" w:rsidP="00CE3F03">
      <w:pPr>
        <w:spacing w:after="120"/>
      </w:pPr>
    </w:p>
    <w:tbl>
      <w:tblPr>
        <w:tblStyle w:val="TableGrid"/>
        <w:tblW w:w="7768" w:type="dxa"/>
        <w:tblLayout w:type="fixed"/>
        <w:tblLook w:val="04A0" w:firstRow="1" w:lastRow="0" w:firstColumn="1" w:lastColumn="0" w:noHBand="0" w:noVBand="1"/>
        <w:tblCaption w:val="Target"/>
        <w:tblDescription w:val="Performance criteria table"/>
      </w:tblPr>
      <w:tblGrid>
        <w:gridCol w:w="1049"/>
        <w:gridCol w:w="3317"/>
        <w:gridCol w:w="3402"/>
      </w:tblGrid>
      <w:tr w:rsidR="00CE3F03" w:rsidRPr="008B2270" w:rsidTr="00CE3F03">
        <w:trPr>
          <w:cantSplit/>
          <w:trHeight w:val="20"/>
          <w:tblHeader/>
        </w:trPr>
        <w:tc>
          <w:tcPr>
            <w:tcW w:w="1049" w:type="dxa"/>
            <w:tcBorders>
              <w:top w:val="single" w:sz="4" w:space="0" w:color="auto"/>
              <w:left w:val="single" w:sz="4" w:space="0" w:color="auto"/>
              <w:bottom w:val="single" w:sz="4" w:space="0" w:color="auto"/>
              <w:right w:val="single" w:sz="4" w:space="0" w:color="auto"/>
            </w:tcBorders>
          </w:tcPr>
          <w:p w:rsidR="00CE3F03" w:rsidRPr="008B2270" w:rsidRDefault="00CE3F03" w:rsidP="00CE3F03">
            <w:pPr>
              <w:pStyle w:val="PBS16TableNormalHeading"/>
              <w:keepNext/>
            </w:pPr>
            <w:r w:rsidRPr="008B2270">
              <w:t>Year</w:t>
            </w:r>
          </w:p>
        </w:tc>
        <w:tc>
          <w:tcPr>
            <w:tcW w:w="3317" w:type="dxa"/>
          </w:tcPr>
          <w:p w:rsidR="00CE3F03" w:rsidRPr="008B2270" w:rsidRDefault="00CE3F03" w:rsidP="00CE3F03">
            <w:pPr>
              <w:pStyle w:val="PBS16TableNormalHeading"/>
              <w:keepNext/>
            </w:pPr>
            <w:r w:rsidRPr="008B2270">
              <w:t>Performance criteria</w:t>
            </w:r>
          </w:p>
        </w:tc>
        <w:tc>
          <w:tcPr>
            <w:tcW w:w="3402" w:type="dxa"/>
          </w:tcPr>
          <w:p w:rsidR="00CE3F03" w:rsidRPr="008B2270" w:rsidRDefault="00CE3F03" w:rsidP="00CE3F03">
            <w:pPr>
              <w:pStyle w:val="PBS16TableNormalHeading"/>
              <w:keepNext/>
            </w:pPr>
            <w:r w:rsidRPr="008B2270">
              <w:t>Targets</w:t>
            </w:r>
          </w:p>
        </w:tc>
      </w:tr>
      <w:tr w:rsidR="00CE3F03" w:rsidRPr="008B2270" w:rsidTr="00CE3F03">
        <w:trPr>
          <w:cantSplit/>
          <w:trHeight w:val="20"/>
        </w:trPr>
        <w:tc>
          <w:tcPr>
            <w:tcW w:w="1049" w:type="dxa"/>
            <w:tcBorders>
              <w:top w:val="single" w:sz="4" w:space="0" w:color="auto"/>
              <w:left w:val="single" w:sz="4" w:space="0" w:color="auto"/>
              <w:bottom w:val="single" w:sz="4" w:space="0" w:color="auto"/>
              <w:right w:val="single" w:sz="4" w:space="0" w:color="auto"/>
            </w:tcBorders>
          </w:tcPr>
          <w:p w:rsidR="00CE3F03" w:rsidRPr="008B2270" w:rsidRDefault="00CE3F03" w:rsidP="00CE3F03">
            <w:pPr>
              <w:pStyle w:val="PBS16TableNormal"/>
            </w:pPr>
            <w:r w:rsidRPr="008B2270">
              <w:t xml:space="preserve">2019–20 </w:t>
            </w:r>
          </w:p>
        </w:tc>
        <w:tc>
          <w:tcPr>
            <w:tcW w:w="3317" w:type="dxa"/>
          </w:tcPr>
          <w:p w:rsidR="00CE3F03" w:rsidRPr="008B2270" w:rsidRDefault="00CE3F03" w:rsidP="00CE3F03">
            <w:pPr>
              <w:spacing w:after="0" w:line="240" w:lineRule="auto"/>
              <w:jc w:val="left"/>
              <w:rPr>
                <w:rFonts w:ascii="Arial" w:hAnsi="Arial" w:cs="Arial"/>
                <w:sz w:val="16"/>
                <w:szCs w:val="16"/>
              </w:rPr>
            </w:pPr>
            <w:r w:rsidRPr="008B2270">
              <w:rPr>
                <w:rFonts w:ascii="Arial" w:hAnsi="Arial" w:cs="Arial"/>
                <w:sz w:val="16"/>
                <w:szCs w:val="16"/>
              </w:rPr>
              <w:t>Quality assure and regulate the sector in a</w:t>
            </w:r>
          </w:p>
          <w:p w:rsidR="00CE3F03" w:rsidRPr="008B2270" w:rsidRDefault="00CE3F03" w:rsidP="00CE3F03">
            <w:pPr>
              <w:tabs>
                <w:tab w:val="left" w:pos="709"/>
              </w:tabs>
              <w:spacing w:after="0" w:line="240" w:lineRule="auto"/>
              <w:jc w:val="left"/>
              <w:rPr>
                <w:rFonts w:ascii="Arial" w:hAnsi="Arial" w:cs="Arial"/>
                <w:sz w:val="16"/>
                <w:szCs w:val="16"/>
              </w:rPr>
            </w:pPr>
            <w:r w:rsidRPr="008B2270">
              <w:rPr>
                <w:rFonts w:ascii="Arial" w:hAnsi="Arial" w:cs="Arial"/>
                <w:sz w:val="16"/>
                <w:szCs w:val="16"/>
              </w:rPr>
              <w:t>timely, transparent and risk-reﬂective manner.</w:t>
            </w:r>
          </w:p>
        </w:tc>
        <w:tc>
          <w:tcPr>
            <w:tcW w:w="3402" w:type="dxa"/>
          </w:tcPr>
          <w:p w:rsidR="00CE3F03" w:rsidRPr="008B2270" w:rsidRDefault="00CE3F03" w:rsidP="00CE3F03">
            <w:pPr>
              <w:tabs>
                <w:tab w:val="left" w:pos="709"/>
              </w:tabs>
              <w:spacing w:before="60" w:after="60" w:line="240" w:lineRule="auto"/>
              <w:jc w:val="left"/>
              <w:rPr>
                <w:rFonts w:ascii="Arial" w:hAnsi="Arial" w:cs="Arial"/>
                <w:sz w:val="16"/>
                <w:szCs w:val="16"/>
              </w:rPr>
            </w:pPr>
            <w:r w:rsidRPr="008B2270">
              <w:rPr>
                <w:rFonts w:ascii="Arial" w:hAnsi="Arial" w:cs="Arial"/>
                <w:sz w:val="16"/>
                <w:szCs w:val="16"/>
              </w:rPr>
              <w:t>Decision-making is timely and transparent, and supported by an improved case management approach. Regulation of the sector is risk-reflective, with further streamlining of evidence requirements for providers that demonstrate sustained low risk of non-compliance.</w:t>
            </w:r>
          </w:p>
          <w:p w:rsidR="00CE3F03" w:rsidRPr="008B2270" w:rsidRDefault="00CE3F03" w:rsidP="00CE3F03">
            <w:pPr>
              <w:tabs>
                <w:tab w:val="left" w:pos="709"/>
              </w:tabs>
              <w:spacing w:before="60" w:after="60" w:line="240" w:lineRule="auto"/>
              <w:jc w:val="left"/>
              <w:rPr>
                <w:rFonts w:ascii="Arial" w:hAnsi="Arial" w:cs="Arial"/>
                <w:b/>
                <w:sz w:val="16"/>
                <w:szCs w:val="16"/>
              </w:rPr>
            </w:pPr>
            <w:r w:rsidRPr="008B2270">
              <w:rPr>
                <w:rFonts w:ascii="Arial" w:hAnsi="Arial" w:cs="Arial"/>
                <w:b/>
                <w:sz w:val="16"/>
                <w:szCs w:val="16"/>
              </w:rPr>
              <w:t>Targets:</w:t>
            </w:r>
          </w:p>
          <w:p w:rsidR="00CE3F03" w:rsidRPr="008B2270" w:rsidRDefault="00CE3F03" w:rsidP="00CE3F03">
            <w:pPr>
              <w:pStyle w:val="PBS16TableListBullet"/>
            </w:pPr>
            <w:r w:rsidRPr="008B2270">
              <w:t>90% or more of decisions about applications for re-registration from low risk providers are made within six months</w:t>
            </w:r>
          </w:p>
          <w:p w:rsidR="00CE3F03" w:rsidRPr="008B2270" w:rsidRDefault="00CE3F03" w:rsidP="00CE3F03">
            <w:pPr>
              <w:pStyle w:val="PBS16TableListBullet"/>
            </w:pPr>
            <w:r w:rsidRPr="008B2270">
              <w:t>90% or more of decisions about applications for accreditation from low risk providers are made within three months</w:t>
            </w:r>
          </w:p>
          <w:p w:rsidR="00CE3F03" w:rsidRPr="008B2270" w:rsidRDefault="00CE3F03" w:rsidP="00CE3F03">
            <w:pPr>
              <w:pStyle w:val="PBS16TableListBullet"/>
            </w:pPr>
            <w:r w:rsidRPr="008B2270">
              <w:t>80% of assessment reports and expert reports where adverse findings are reported are sent to applicants for consideration and response within four months of the application date</w:t>
            </w:r>
          </w:p>
          <w:p w:rsidR="00CE3F03" w:rsidRPr="008B2270" w:rsidRDefault="00CE3F03" w:rsidP="00CE3F03">
            <w:pPr>
              <w:pStyle w:val="PBS16TableListBullet"/>
            </w:pPr>
            <w:r w:rsidRPr="008B2270">
              <w:t>The majority of providers rate the case management approach as good or excellent.</w:t>
            </w:r>
          </w:p>
        </w:tc>
      </w:tr>
      <w:tr w:rsidR="00F50F07" w:rsidRPr="008B2270" w:rsidTr="00CE3F03">
        <w:trPr>
          <w:cantSplit/>
          <w:trHeight w:val="20"/>
        </w:trPr>
        <w:tc>
          <w:tcPr>
            <w:tcW w:w="1049" w:type="dxa"/>
            <w:vMerge w:val="restart"/>
            <w:tcBorders>
              <w:top w:val="single" w:sz="4" w:space="0" w:color="auto"/>
              <w:left w:val="single" w:sz="4" w:space="0" w:color="auto"/>
              <w:right w:val="single" w:sz="4" w:space="0" w:color="auto"/>
            </w:tcBorders>
          </w:tcPr>
          <w:p w:rsidR="00F50F07" w:rsidRPr="008B2270" w:rsidRDefault="00F50F07" w:rsidP="00F50F07">
            <w:pPr>
              <w:pStyle w:val="PBS16TableNormal"/>
            </w:pPr>
            <w:r w:rsidRPr="008B2270">
              <w:lastRenderedPageBreak/>
              <w:t xml:space="preserve">2019–20 </w:t>
            </w:r>
          </w:p>
        </w:tc>
        <w:tc>
          <w:tcPr>
            <w:tcW w:w="3317" w:type="dxa"/>
          </w:tcPr>
          <w:p w:rsidR="00F50F07" w:rsidRPr="008B2270" w:rsidRDefault="00F50F07" w:rsidP="00F50F07">
            <w:pPr>
              <w:spacing w:after="0" w:line="240" w:lineRule="auto"/>
              <w:jc w:val="left"/>
              <w:rPr>
                <w:rFonts w:ascii="Arial" w:hAnsi="Arial" w:cs="Arial"/>
                <w:sz w:val="16"/>
                <w:szCs w:val="16"/>
              </w:rPr>
            </w:pPr>
            <w:r w:rsidRPr="008B2270">
              <w:rPr>
                <w:rFonts w:ascii="Arial" w:hAnsi="Arial" w:cs="Arial"/>
                <w:sz w:val="16"/>
                <w:szCs w:val="16"/>
              </w:rPr>
              <w:t>Support providers to deliver high quality higher education, protect student interests</w:t>
            </w:r>
          </w:p>
          <w:p w:rsidR="00F50F07" w:rsidRPr="008B2270" w:rsidRDefault="00F50F07" w:rsidP="00F50F07">
            <w:pPr>
              <w:spacing w:after="0" w:line="240" w:lineRule="auto"/>
              <w:jc w:val="left"/>
              <w:rPr>
                <w:rFonts w:ascii="Arial" w:hAnsi="Arial" w:cs="Arial"/>
                <w:sz w:val="16"/>
                <w:szCs w:val="16"/>
              </w:rPr>
            </w:pPr>
            <w:r w:rsidRPr="008B2270">
              <w:rPr>
                <w:rFonts w:ascii="Arial" w:hAnsi="Arial" w:cs="Arial"/>
                <w:sz w:val="16"/>
                <w:szCs w:val="16"/>
              </w:rPr>
              <w:t>and enhance the reputation and competitiveness of Australia’s higher</w:t>
            </w:r>
          </w:p>
          <w:p w:rsidR="00F50F07" w:rsidRPr="008B2270" w:rsidRDefault="00F50F07" w:rsidP="00F50F07">
            <w:pPr>
              <w:spacing w:after="0" w:line="240" w:lineRule="auto"/>
              <w:jc w:val="left"/>
              <w:rPr>
                <w:rFonts w:ascii="Arial" w:hAnsi="Arial" w:cs="Arial"/>
                <w:sz w:val="16"/>
                <w:szCs w:val="16"/>
              </w:rPr>
            </w:pPr>
            <w:r w:rsidRPr="008B2270">
              <w:rPr>
                <w:rFonts w:ascii="Arial" w:hAnsi="Arial" w:cs="Arial"/>
                <w:sz w:val="16"/>
                <w:szCs w:val="16"/>
              </w:rPr>
              <w:t>education sector.</w:t>
            </w:r>
          </w:p>
        </w:tc>
        <w:tc>
          <w:tcPr>
            <w:tcW w:w="3402" w:type="dxa"/>
          </w:tcPr>
          <w:p w:rsidR="00F50F07" w:rsidRPr="008B2270" w:rsidRDefault="00F50F07" w:rsidP="00F50F07">
            <w:pPr>
              <w:tabs>
                <w:tab w:val="left" w:pos="709"/>
              </w:tabs>
              <w:spacing w:before="60" w:after="60" w:line="240" w:lineRule="auto"/>
              <w:jc w:val="left"/>
              <w:rPr>
                <w:rFonts w:ascii="Arial" w:hAnsi="Arial" w:cs="Arial"/>
                <w:sz w:val="16"/>
                <w:szCs w:val="16"/>
              </w:rPr>
            </w:pPr>
            <w:r w:rsidRPr="008B2270">
              <w:rPr>
                <w:rFonts w:ascii="Arial" w:hAnsi="Arial" w:cs="Arial"/>
                <w:sz w:val="16"/>
                <w:szCs w:val="16"/>
              </w:rPr>
              <w:t>Deliver a program of support, including guidance notes and workshops, for the sector on regulatory and quality assurance matters.</w:t>
            </w:r>
          </w:p>
          <w:p w:rsidR="00F50F07" w:rsidRPr="008B2270" w:rsidRDefault="00F50F07" w:rsidP="00F50F07">
            <w:pPr>
              <w:tabs>
                <w:tab w:val="left" w:pos="709"/>
              </w:tabs>
              <w:spacing w:before="60" w:after="60" w:line="240" w:lineRule="auto"/>
              <w:jc w:val="left"/>
              <w:rPr>
                <w:rFonts w:ascii="Arial" w:hAnsi="Arial" w:cs="Arial"/>
                <w:b/>
                <w:sz w:val="16"/>
                <w:szCs w:val="16"/>
              </w:rPr>
            </w:pPr>
            <w:r w:rsidRPr="008B2270">
              <w:rPr>
                <w:rFonts w:ascii="Arial" w:hAnsi="Arial" w:cs="Arial"/>
                <w:b/>
                <w:sz w:val="16"/>
                <w:szCs w:val="16"/>
              </w:rPr>
              <w:t>Targets:</w:t>
            </w:r>
          </w:p>
          <w:p w:rsidR="00F50F07" w:rsidRPr="008B2270" w:rsidRDefault="00F50F07" w:rsidP="00F50F07">
            <w:pPr>
              <w:pStyle w:val="PBS16TableListBullet"/>
            </w:pPr>
            <w:r w:rsidRPr="008B2270">
              <w:t>Establish a program for delivery of information about quality enhancement based on identified needs and evidence of good practice</w:t>
            </w:r>
          </w:p>
          <w:p w:rsidR="00F50F07" w:rsidRPr="008B2270" w:rsidRDefault="00F50F07" w:rsidP="00F50F07">
            <w:pPr>
              <w:pStyle w:val="PBS16TableListBullet"/>
            </w:pPr>
            <w:r w:rsidRPr="008B2270">
              <w:t>Develop additional guidance notes and communicate to providers to support compliance with the Higher Education Standards Framework</w:t>
            </w:r>
          </w:p>
          <w:p w:rsidR="00F50F07" w:rsidRPr="008B2270" w:rsidRDefault="00F50F07" w:rsidP="00F50F07">
            <w:pPr>
              <w:pStyle w:val="PBS16TableListBullet"/>
            </w:pPr>
            <w:r w:rsidRPr="008B2270">
              <w:t>Develop and publish good practice material in relation to admissions transparency and sexual harassment and sexual assault</w:t>
            </w:r>
          </w:p>
          <w:p w:rsidR="00F50F07" w:rsidRPr="008B2270" w:rsidRDefault="00F50F07" w:rsidP="00F50F07">
            <w:pPr>
              <w:pStyle w:val="PBS16TableListBullet"/>
            </w:pPr>
            <w:r w:rsidRPr="008B2270">
              <w:t>Deliver workshops with providers and students to address the risks of contract cheating.</w:t>
            </w:r>
          </w:p>
        </w:tc>
      </w:tr>
      <w:tr w:rsidR="00F50F07" w:rsidRPr="008B2270" w:rsidTr="00CE3F03">
        <w:trPr>
          <w:cantSplit/>
          <w:trHeight w:val="20"/>
        </w:trPr>
        <w:tc>
          <w:tcPr>
            <w:tcW w:w="1049" w:type="dxa"/>
            <w:vMerge/>
            <w:tcBorders>
              <w:left w:val="single" w:sz="4" w:space="0" w:color="auto"/>
              <w:right w:val="single" w:sz="4" w:space="0" w:color="auto"/>
            </w:tcBorders>
          </w:tcPr>
          <w:p w:rsidR="00F50F07" w:rsidRPr="008B2270" w:rsidRDefault="00F50F07" w:rsidP="00F50F07">
            <w:pPr>
              <w:pStyle w:val="PBS16TableNormal"/>
            </w:pPr>
          </w:p>
        </w:tc>
        <w:tc>
          <w:tcPr>
            <w:tcW w:w="3317" w:type="dxa"/>
          </w:tcPr>
          <w:p w:rsidR="00F50F07" w:rsidRPr="008B2270" w:rsidRDefault="00F50F07" w:rsidP="00F50F07">
            <w:pPr>
              <w:spacing w:after="0" w:line="240" w:lineRule="auto"/>
              <w:jc w:val="left"/>
              <w:rPr>
                <w:rFonts w:ascii="Arial" w:hAnsi="Arial" w:cs="Arial"/>
                <w:sz w:val="16"/>
                <w:szCs w:val="16"/>
              </w:rPr>
            </w:pPr>
            <w:r w:rsidRPr="008B2270">
              <w:rPr>
                <w:rFonts w:ascii="Arial" w:hAnsi="Arial" w:cs="Arial"/>
                <w:sz w:val="16"/>
                <w:szCs w:val="16"/>
              </w:rPr>
              <w:t>Provide advice and information to inform decisions about the appropriateness and quality of higher education.</w:t>
            </w:r>
          </w:p>
        </w:tc>
        <w:tc>
          <w:tcPr>
            <w:tcW w:w="3402" w:type="dxa"/>
          </w:tcPr>
          <w:p w:rsidR="00F50F07" w:rsidRPr="008B2270" w:rsidRDefault="00F50F07" w:rsidP="00F50F07">
            <w:pPr>
              <w:tabs>
                <w:tab w:val="left" w:pos="709"/>
              </w:tabs>
              <w:spacing w:before="60" w:after="60" w:line="240" w:lineRule="auto"/>
              <w:jc w:val="left"/>
              <w:rPr>
                <w:rFonts w:ascii="Arial" w:hAnsi="Arial" w:cs="Arial"/>
                <w:sz w:val="16"/>
                <w:szCs w:val="16"/>
              </w:rPr>
            </w:pPr>
            <w:r w:rsidRPr="008B2270">
              <w:rPr>
                <w:rFonts w:ascii="Arial" w:hAnsi="Arial" w:cs="Arial"/>
                <w:sz w:val="16"/>
                <w:szCs w:val="16"/>
              </w:rPr>
              <w:t>Enhance engagement with students, particularly on key areas of concern for students, and increase accessibility of TEQSA’s regulatory work.</w:t>
            </w:r>
          </w:p>
          <w:p w:rsidR="00F50F07" w:rsidRPr="008B2270" w:rsidRDefault="00F50F07" w:rsidP="00F50F07">
            <w:pPr>
              <w:tabs>
                <w:tab w:val="left" w:pos="709"/>
              </w:tabs>
              <w:spacing w:before="60" w:after="60" w:line="240" w:lineRule="auto"/>
              <w:jc w:val="left"/>
              <w:rPr>
                <w:rFonts w:ascii="Arial" w:hAnsi="Arial" w:cs="Arial"/>
                <w:b/>
                <w:sz w:val="16"/>
                <w:szCs w:val="16"/>
              </w:rPr>
            </w:pPr>
            <w:r w:rsidRPr="008B2270">
              <w:rPr>
                <w:rFonts w:ascii="Arial" w:hAnsi="Arial" w:cs="Arial"/>
                <w:b/>
                <w:sz w:val="16"/>
                <w:szCs w:val="16"/>
              </w:rPr>
              <w:t>Targets:</w:t>
            </w:r>
          </w:p>
          <w:p w:rsidR="00F50F07" w:rsidRPr="008B2270" w:rsidRDefault="00F50F07" w:rsidP="00F50F07">
            <w:pPr>
              <w:pStyle w:val="PBS16TableListBullet"/>
            </w:pPr>
            <w:r w:rsidRPr="008B2270">
              <w:t>Hold three meetings of the Student Expert Advisory group to discuss and identify sector wide issues for students and to develop strategies for deeper integration of students with TEQSA’s regulatory work</w:t>
            </w:r>
          </w:p>
          <w:p w:rsidR="00F50F07" w:rsidRPr="008B2270" w:rsidRDefault="00F50F07" w:rsidP="00F50F07">
            <w:pPr>
              <w:pStyle w:val="PBS16TableListBullet"/>
            </w:pPr>
            <w:r w:rsidRPr="008B2270">
              <w:t>Develop material for students to address key areas of concern to students</w:t>
            </w:r>
          </w:p>
          <w:p w:rsidR="00F50F07" w:rsidRPr="008B2270" w:rsidRDefault="00F50F07" w:rsidP="00F50F07">
            <w:pPr>
              <w:pStyle w:val="PBS16TableListBullet"/>
            </w:pPr>
            <w:r w:rsidRPr="008B2270">
              <w:t>Publish key data used or collected by the agency</w:t>
            </w:r>
          </w:p>
          <w:p w:rsidR="00F50F07" w:rsidRPr="008B2270" w:rsidRDefault="00F50F07" w:rsidP="00F50F07">
            <w:pPr>
              <w:pStyle w:val="PBS16TableListBullet"/>
            </w:pPr>
            <w:r w:rsidRPr="008B2270">
              <w:t>Enhance search facilities on the National Register to meet stakeholder needs.</w:t>
            </w:r>
          </w:p>
        </w:tc>
      </w:tr>
      <w:tr w:rsidR="00F50F07" w:rsidRPr="008B2270" w:rsidTr="00CE3F03">
        <w:trPr>
          <w:cantSplit/>
          <w:trHeight w:val="20"/>
        </w:trPr>
        <w:tc>
          <w:tcPr>
            <w:tcW w:w="1049" w:type="dxa"/>
            <w:vMerge/>
            <w:tcBorders>
              <w:left w:val="single" w:sz="4" w:space="0" w:color="auto"/>
              <w:bottom w:val="single" w:sz="4" w:space="0" w:color="auto"/>
              <w:right w:val="single" w:sz="4" w:space="0" w:color="auto"/>
            </w:tcBorders>
          </w:tcPr>
          <w:p w:rsidR="00F50F07" w:rsidRPr="008B2270" w:rsidRDefault="00F50F07" w:rsidP="00F50F07">
            <w:pPr>
              <w:pStyle w:val="PBS16TableNormal"/>
            </w:pPr>
          </w:p>
        </w:tc>
        <w:tc>
          <w:tcPr>
            <w:tcW w:w="3317" w:type="dxa"/>
          </w:tcPr>
          <w:p w:rsidR="00F50F07" w:rsidRPr="008B2270" w:rsidRDefault="00F50F07" w:rsidP="00F50F07">
            <w:pPr>
              <w:spacing w:after="0" w:line="240" w:lineRule="auto"/>
              <w:jc w:val="left"/>
              <w:rPr>
                <w:rFonts w:ascii="Arial" w:hAnsi="Arial" w:cs="Arial"/>
                <w:sz w:val="16"/>
                <w:szCs w:val="16"/>
              </w:rPr>
            </w:pPr>
            <w:r w:rsidRPr="008B2270">
              <w:rPr>
                <w:rFonts w:ascii="Arial" w:hAnsi="Arial" w:cs="Arial"/>
                <w:sz w:val="16"/>
                <w:szCs w:val="16"/>
              </w:rPr>
              <w:t>Take prompt and eﬀective action to address substantial risks to students or the reputation of the sector.</w:t>
            </w:r>
          </w:p>
        </w:tc>
        <w:tc>
          <w:tcPr>
            <w:tcW w:w="3402" w:type="dxa"/>
          </w:tcPr>
          <w:p w:rsidR="00F50F07" w:rsidRPr="008B2270" w:rsidRDefault="00F50F07" w:rsidP="00F50F07">
            <w:pPr>
              <w:tabs>
                <w:tab w:val="left" w:pos="709"/>
              </w:tabs>
              <w:spacing w:before="60" w:after="60" w:line="240" w:lineRule="auto"/>
              <w:jc w:val="left"/>
              <w:rPr>
                <w:rFonts w:ascii="Arial" w:hAnsi="Arial" w:cs="Arial"/>
                <w:sz w:val="16"/>
                <w:szCs w:val="16"/>
              </w:rPr>
            </w:pPr>
            <w:r w:rsidRPr="008B2270">
              <w:rPr>
                <w:rFonts w:ascii="Arial" w:hAnsi="Arial" w:cs="Arial"/>
                <w:sz w:val="16"/>
                <w:szCs w:val="16"/>
              </w:rPr>
              <w:t>Undertake compliance assessments of those providers that continue to present substantial risks to students and take enforcement action against entities in cases involving extensive non-compliance with the legislation administered by TEQSA.</w:t>
            </w:r>
          </w:p>
          <w:p w:rsidR="00F50F07" w:rsidRPr="008B2270" w:rsidRDefault="00F50F07" w:rsidP="00F50F07">
            <w:pPr>
              <w:tabs>
                <w:tab w:val="left" w:pos="709"/>
              </w:tabs>
              <w:spacing w:before="60" w:after="60" w:line="240" w:lineRule="auto"/>
              <w:jc w:val="left"/>
              <w:rPr>
                <w:rFonts w:ascii="Arial" w:hAnsi="Arial" w:cs="Arial"/>
                <w:b/>
                <w:sz w:val="16"/>
                <w:szCs w:val="16"/>
              </w:rPr>
            </w:pPr>
            <w:r w:rsidRPr="008B2270">
              <w:rPr>
                <w:rFonts w:ascii="Arial" w:hAnsi="Arial" w:cs="Arial"/>
                <w:b/>
                <w:sz w:val="16"/>
                <w:szCs w:val="16"/>
              </w:rPr>
              <w:t>Targets:</w:t>
            </w:r>
          </w:p>
          <w:p w:rsidR="00F50F07" w:rsidRPr="008B2270" w:rsidRDefault="00F50F07" w:rsidP="00F50F07">
            <w:pPr>
              <w:pStyle w:val="PBS16TableListBullet"/>
            </w:pPr>
            <w:r w:rsidRPr="008B2270">
              <w:t>Ensure compliance assessments involve prompt, targeted action about substantial risks to students or the reputation of the sector</w:t>
            </w:r>
          </w:p>
          <w:p w:rsidR="00F50F07" w:rsidRPr="008B2270" w:rsidRDefault="00F50F07" w:rsidP="00F50F07">
            <w:pPr>
              <w:pStyle w:val="PBS16TableListBullet"/>
            </w:pPr>
            <w:r w:rsidRPr="008B2270">
              <w:t>Report on enforcement action taken as a result of investigations and compliance assessments.</w:t>
            </w:r>
          </w:p>
        </w:tc>
      </w:tr>
      <w:tr w:rsidR="00F50F07" w:rsidRPr="008B2270" w:rsidTr="00CE3F03">
        <w:trPr>
          <w:cantSplit/>
          <w:trHeight w:val="20"/>
        </w:trPr>
        <w:tc>
          <w:tcPr>
            <w:tcW w:w="1049" w:type="dxa"/>
          </w:tcPr>
          <w:p w:rsidR="00F50F07" w:rsidRPr="008B2270" w:rsidRDefault="00F50F07" w:rsidP="00F50F07">
            <w:pPr>
              <w:pStyle w:val="PBS16TableNormal"/>
            </w:pPr>
            <w:r w:rsidRPr="008B2270">
              <w:t>2020–21 and beyond</w:t>
            </w:r>
          </w:p>
        </w:tc>
        <w:tc>
          <w:tcPr>
            <w:tcW w:w="3317" w:type="dxa"/>
          </w:tcPr>
          <w:p w:rsidR="00F50F07" w:rsidRPr="008B2270" w:rsidRDefault="00F50F07" w:rsidP="00F50F07">
            <w:pPr>
              <w:tabs>
                <w:tab w:val="left" w:pos="709"/>
              </w:tabs>
              <w:spacing w:before="60" w:after="60" w:line="240" w:lineRule="auto"/>
              <w:jc w:val="left"/>
              <w:rPr>
                <w:rFonts w:ascii="Arial" w:hAnsi="Arial" w:cs="Arial"/>
                <w:sz w:val="16"/>
                <w:szCs w:val="16"/>
              </w:rPr>
            </w:pPr>
            <w:r w:rsidRPr="008B2270">
              <w:rPr>
                <w:rFonts w:ascii="Arial" w:hAnsi="Arial" w:cs="Arial"/>
                <w:sz w:val="16"/>
                <w:szCs w:val="16"/>
              </w:rPr>
              <w:t>As per 2019–20.</w:t>
            </w:r>
          </w:p>
        </w:tc>
        <w:tc>
          <w:tcPr>
            <w:tcW w:w="3402" w:type="dxa"/>
          </w:tcPr>
          <w:p w:rsidR="00F50F07" w:rsidRPr="008B2270" w:rsidRDefault="00F50F07" w:rsidP="00F50F07">
            <w:pPr>
              <w:tabs>
                <w:tab w:val="left" w:pos="709"/>
              </w:tabs>
              <w:spacing w:before="60" w:after="60" w:line="240" w:lineRule="auto"/>
              <w:jc w:val="left"/>
              <w:rPr>
                <w:rFonts w:ascii="Arial" w:hAnsi="Arial" w:cs="Arial"/>
                <w:sz w:val="16"/>
                <w:szCs w:val="16"/>
              </w:rPr>
            </w:pPr>
            <w:r w:rsidRPr="008B2270">
              <w:rPr>
                <w:rFonts w:ascii="Arial" w:hAnsi="Arial" w:cs="Arial"/>
                <w:sz w:val="16"/>
                <w:szCs w:val="16"/>
              </w:rPr>
              <w:t>As per 2019–20.</w:t>
            </w:r>
          </w:p>
        </w:tc>
      </w:tr>
    </w:tbl>
    <w:p w:rsidR="00CE3F03" w:rsidRPr="008B2270" w:rsidRDefault="00CE3F03" w:rsidP="00AD42E2">
      <w:pPr>
        <w:pStyle w:val="Heading2"/>
      </w:pPr>
      <w:bookmarkStart w:id="8" w:name="TEQSA_3_0"/>
      <w:r w:rsidRPr="008B2270">
        <w:lastRenderedPageBreak/>
        <w:t>Section 3: Budgeted financial statements</w:t>
      </w:r>
      <w:bookmarkEnd w:id="8"/>
    </w:p>
    <w:p w:rsidR="00CE3F03" w:rsidRPr="008B2270" w:rsidRDefault="00CE3F03" w:rsidP="007118AC">
      <w:r w:rsidRPr="008B2270">
        <w:t>Section 3 presents budgeted financial statements which provide a comprehensive snapshot of TEQSA’s finances for the 2019–20</w:t>
      </w:r>
      <w:r w:rsidRPr="008B2270">
        <w:rPr>
          <w:color w:val="00B050"/>
        </w:rPr>
        <w:t xml:space="preserve"> </w:t>
      </w:r>
      <w:r w:rsidRPr="008B2270">
        <w:t>budget year, including the impact of budget measures and resourcing on financial statements.</w:t>
      </w:r>
    </w:p>
    <w:p w:rsidR="00CE3F03" w:rsidRPr="008B2270" w:rsidRDefault="00CE3F03" w:rsidP="00EA5A9E">
      <w:pPr>
        <w:pStyle w:val="Heading3"/>
      </w:pPr>
      <w:bookmarkStart w:id="9" w:name="TEQSA_3_1"/>
      <w:r w:rsidRPr="008B2270">
        <w:t>3.1</w:t>
      </w:r>
      <w:r w:rsidRPr="008B2270">
        <w:tab/>
        <w:t>Budgeted financial statements</w:t>
      </w:r>
      <w:bookmarkEnd w:id="9"/>
    </w:p>
    <w:p w:rsidR="00CE3F03" w:rsidRPr="008B2270" w:rsidRDefault="00CE3F03" w:rsidP="00E4582E">
      <w:pPr>
        <w:pStyle w:val="Heading4"/>
      </w:pPr>
      <w:r w:rsidRPr="008B2270">
        <w:t>3.1.1</w:t>
      </w:r>
      <w:r w:rsidRPr="008B2270">
        <w:tab/>
        <w:t>Differences between entity resourcing and financial statements</w:t>
      </w:r>
    </w:p>
    <w:p w:rsidR="00CE3F03" w:rsidRPr="008B2270" w:rsidRDefault="00CE3F03" w:rsidP="00594C84">
      <w:r w:rsidRPr="008B2270">
        <w:t>There are no material differences between the resources table and the budget financial statements.</w:t>
      </w:r>
    </w:p>
    <w:p w:rsidR="00CE3F03" w:rsidRPr="008B2270" w:rsidRDefault="00CE3F03" w:rsidP="00E4582E">
      <w:pPr>
        <w:pStyle w:val="Heading4"/>
      </w:pPr>
      <w:r w:rsidRPr="008B2270">
        <w:t>3.1.2</w:t>
      </w:r>
      <w:r w:rsidRPr="008B2270">
        <w:tab/>
        <w:t>Explanatory notes and analysis of budgeted financial statements</w:t>
      </w:r>
    </w:p>
    <w:p w:rsidR="00CE3F03" w:rsidRPr="008B2270" w:rsidRDefault="00CE3F03" w:rsidP="00CE3F03">
      <w:r w:rsidRPr="008B2270">
        <w:t>The budgeted financial statements have been updated to reflect changes and other variations since the 2018–19 Portfolio Budget Statements.</w:t>
      </w:r>
    </w:p>
    <w:p w:rsidR="00CE3F03" w:rsidRPr="008B2270" w:rsidRDefault="00CE3F03" w:rsidP="00CE3F03">
      <w:r w:rsidRPr="008B2270">
        <w:t>An analysis of TEQSA’s budgeted financial statement for 2019–20</w:t>
      </w:r>
      <w:r w:rsidR="00111B19" w:rsidRPr="008B2270">
        <w:t xml:space="preserve"> is provided below.</w:t>
      </w:r>
    </w:p>
    <w:p w:rsidR="00CE3F03" w:rsidRPr="008B2270" w:rsidRDefault="00CE3F03" w:rsidP="00CE3F03">
      <w:pPr>
        <w:pStyle w:val="Heading5"/>
      </w:pPr>
      <w:r w:rsidRPr="008B2270">
        <w:t>Budgeted departmental comprehensive income statement</w:t>
      </w:r>
    </w:p>
    <w:p w:rsidR="00CE3F03" w:rsidRPr="008B2270" w:rsidRDefault="00CE3F03" w:rsidP="00CE3F03">
      <w:r w:rsidRPr="008B2270">
        <w:t>TEQSA is budgeting for a balanced operating result in 2019–20 and remainder of the forward estimates, after adding back non-appropriated depreciation and amortisation expenses.</w:t>
      </w:r>
    </w:p>
    <w:p w:rsidR="00CE3F03" w:rsidRPr="008B2270" w:rsidRDefault="00CE3F03" w:rsidP="00CE3F03">
      <w:r w:rsidRPr="008B2270">
        <w:t xml:space="preserve">Total expenses excluding depreciation and amortisation expenses are estimated to be $17.856 million in 2019–20. This is an increase of $0.527 million from the 2018–19 estimated actual. The increase in expenditure reflects the full </w:t>
      </w:r>
      <w:r w:rsidR="00721BFF">
        <w:t>average staffing level (ASL)</w:t>
      </w:r>
      <w:r w:rsidRPr="008B2270">
        <w:t xml:space="preserve"> required to allow TEQSA to effectively undertake its regulatory and quality assurance functions as the agency transitions from partial cost recovery to full cost recovery in 2019–20. </w:t>
      </w:r>
    </w:p>
    <w:p w:rsidR="00CE3F03" w:rsidRPr="008B2270" w:rsidRDefault="00CE3F03" w:rsidP="00CE3F03">
      <w:pPr>
        <w:pStyle w:val="Heading5"/>
      </w:pPr>
      <w:r w:rsidRPr="008B2270">
        <w:t>Budgeted departmental balance sheet</w:t>
      </w:r>
    </w:p>
    <w:p w:rsidR="00CE3F03" w:rsidRPr="008B2270" w:rsidRDefault="00CE3F03" w:rsidP="00CE3F03">
      <w:r w:rsidRPr="008B2270">
        <w:t>The budgeted net position at the end of 2019–20 is estimated to be $7.055</w:t>
      </w:r>
      <w:r w:rsidR="00D03E6B" w:rsidRPr="008B2270">
        <w:t> million</w:t>
      </w:r>
      <w:r w:rsidRPr="008B2270">
        <w:t>. Net position has increased slightly since 2018–19 mainly due to the increase in employee provisions.</w:t>
      </w:r>
    </w:p>
    <w:p w:rsidR="00CE3F03" w:rsidRPr="008B2270" w:rsidRDefault="00CE3F03" w:rsidP="00CE3F03">
      <w:pPr>
        <w:pStyle w:val="Heading5"/>
      </w:pPr>
      <w:r w:rsidRPr="008B2270">
        <w:t>Schedule of budgeted income and expenses administered on behalf of Government</w:t>
      </w:r>
    </w:p>
    <w:p w:rsidR="00CE3F03" w:rsidRPr="008B2270" w:rsidRDefault="00CE3F03" w:rsidP="00CE3F03">
      <w:r w:rsidRPr="008B2270">
        <w:t>The schedule of budgeted income and expenses reflects the fees and levies collected from regulatory services by TEQSA on behalf of Government.</w:t>
      </w:r>
    </w:p>
    <w:p w:rsidR="00CE3F03" w:rsidRPr="008B2270" w:rsidRDefault="00CE3F03" w:rsidP="00CE3F03">
      <w:r w:rsidRPr="008B2270">
        <w:t>Revenue estimated for 2019–20 is $7.427 million, which is $4.908 million higher than the estimated actual revenue for 2018–19. The increase is a result of a new fee structure, which is to commence in 2020 and anticipated increase in volume of applications.</w:t>
      </w:r>
    </w:p>
    <w:p w:rsidR="00CE3F03" w:rsidRPr="008B2270" w:rsidRDefault="00CE3F03" w:rsidP="000D7E54">
      <w:pPr>
        <w:pStyle w:val="Heading3"/>
      </w:pPr>
      <w:bookmarkStart w:id="10" w:name="TEQSA_3_2"/>
      <w:r w:rsidRPr="008B2270">
        <w:lastRenderedPageBreak/>
        <w:t>3.2</w:t>
      </w:r>
      <w:r w:rsidRPr="008B2270">
        <w:tab/>
        <w:t>Budgeted financial statements tables</w:t>
      </w:r>
      <w:bookmarkEnd w:id="10"/>
    </w:p>
    <w:p w:rsidR="00CE3F03" w:rsidRPr="008B2270" w:rsidRDefault="00CE3F03" w:rsidP="00146B5E">
      <w:pPr>
        <w:pStyle w:val="TableHeading"/>
        <w:rPr>
          <w:snapToGrid w:val="0"/>
          <w:lang w:val="en-AU"/>
        </w:rPr>
      </w:pPr>
      <w:r w:rsidRPr="008B2270">
        <w:rPr>
          <w:lang w:val="en-AU"/>
        </w:rPr>
        <w:t xml:space="preserve">Table 3.1: Comprehensive income statement (showing net cost of services) </w:t>
      </w:r>
      <w:r w:rsidRPr="008B2270">
        <w:rPr>
          <w:snapToGrid w:val="0"/>
          <w:lang w:val="en-AU"/>
        </w:rPr>
        <w:t>for the period ended 30 June</w:t>
      </w:r>
    </w:p>
    <w:p w:rsidR="00CE3F03" w:rsidRPr="008B2270" w:rsidRDefault="00111B19" w:rsidP="00CE3F03">
      <w:pPr>
        <w:pStyle w:val="ChartGraphic"/>
      </w:pPr>
      <w:r w:rsidRPr="008B2270">
        <w:drawing>
          <wp:inline distT="0" distB="0" distL="0" distR="0">
            <wp:extent cx="4895850" cy="6165121"/>
            <wp:effectExtent l="0" t="0" r="0" b="7620"/>
            <wp:docPr id="16" name="Picture 16" descr="Data underpinning the financial tables is available from 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95850" cy="6165121"/>
                    </a:xfrm>
                    <a:prstGeom prst="rect">
                      <a:avLst/>
                    </a:prstGeom>
                    <a:noFill/>
                    <a:ln>
                      <a:noFill/>
                    </a:ln>
                  </pic:spPr>
                </pic:pic>
              </a:graphicData>
            </a:graphic>
          </wp:inline>
        </w:drawing>
      </w:r>
    </w:p>
    <w:p w:rsidR="00CE3F03" w:rsidRPr="008B2270" w:rsidRDefault="00CE3F03" w:rsidP="00CE3F03">
      <w:pPr>
        <w:pStyle w:val="ChartandTableFootnote"/>
      </w:pPr>
      <w:r w:rsidRPr="008B2270">
        <w:t xml:space="preserve">Prepared on Australian Accounting Standards basis. </w:t>
      </w:r>
    </w:p>
    <w:p w:rsidR="00CE3F03" w:rsidRPr="008B2270" w:rsidRDefault="00CE3F03" w:rsidP="00CE3F03">
      <w:pPr>
        <w:pStyle w:val="ChartandTableFootnote"/>
      </w:pPr>
      <w:r w:rsidRPr="008B2270">
        <w:t xml:space="preserve">(a) </w:t>
      </w:r>
      <w:r w:rsidRPr="008B2270">
        <w:tab/>
        <w:t>From 2010–11, the Government introduced net cash appropriation arrangements. This involved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r w:rsidRPr="008B2270">
        <w:br w:type="page"/>
      </w:r>
    </w:p>
    <w:p w:rsidR="00CE3F03" w:rsidRPr="008B2270" w:rsidRDefault="00CE3F03" w:rsidP="00594C84">
      <w:pPr>
        <w:pStyle w:val="TableHeading"/>
        <w:rPr>
          <w:lang w:val="en-AU"/>
        </w:rPr>
      </w:pPr>
      <w:r w:rsidRPr="008B2270">
        <w:rPr>
          <w:lang w:val="en-AU"/>
        </w:rPr>
        <w:lastRenderedPageBreak/>
        <w:t>Table 3.2: Budgeted departmental balance sheet (as at 30 June)</w:t>
      </w:r>
    </w:p>
    <w:p w:rsidR="00CE3F03" w:rsidRPr="008B2270" w:rsidRDefault="00111B19" w:rsidP="00CE3F03">
      <w:pPr>
        <w:pStyle w:val="ChartGraphic"/>
      </w:pPr>
      <w:r w:rsidRPr="008B2270">
        <w:drawing>
          <wp:inline distT="0" distB="0" distL="0" distR="0">
            <wp:extent cx="4895850" cy="4578776"/>
            <wp:effectExtent l="0" t="0" r="0" b="0"/>
            <wp:docPr id="17" name="Picture 17" descr="Data underpinning the financial tables is available from 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95850" cy="4578776"/>
                    </a:xfrm>
                    <a:prstGeom prst="rect">
                      <a:avLst/>
                    </a:prstGeom>
                    <a:noFill/>
                    <a:ln>
                      <a:noFill/>
                    </a:ln>
                  </pic:spPr>
                </pic:pic>
              </a:graphicData>
            </a:graphic>
          </wp:inline>
        </w:drawing>
      </w:r>
    </w:p>
    <w:p w:rsidR="00CE3F03" w:rsidRPr="008B2270" w:rsidRDefault="00CE3F03" w:rsidP="00CE3F03">
      <w:pPr>
        <w:pStyle w:val="ChartandTableFootnote"/>
      </w:pPr>
      <w:r w:rsidRPr="008B2270">
        <w:t xml:space="preserve">* </w:t>
      </w:r>
      <w:r w:rsidRPr="008B2270">
        <w:tab/>
        <w:t>‘Equity’ is the residual interest in assets after deduction of liabilities.</w:t>
      </w:r>
    </w:p>
    <w:p w:rsidR="00CE3F03" w:rsidRPr="008B2270" w:rsidRDefault="00CE3F03" w:rsidP="00CE3F03">
      <w:pPr>
        <w:pStyle w:val="ChartandTableFootnote"/>
      </w:pPr>
      <w:r w:rsidRPr="008B2270">
        <w:t>Prepared on Australian Accounting Standards basis.</w:t>
      </w:r>
    </w:p>
    <w:p w:rsidR="00CE3F03" w:rsidRPr="008B2270" w:rsidRDefault="00CE3F03" w:rsidP="00146B5E">
      <w:pPr>
        <w:pStyle w:val="TableHeading"/>
        <w:rPr>
          <w:lang w:val="en-AU"/>
        </w:rPr>
      </w:pPr>
      <w:r w:rsidRPr="008B2270">
        <w:rPr>
          <w:lang w:val="en-AU"/>
        </w:rPr>
        <w:br w:type="page"/>
      </w:r>
      <w:r w:rsidRPr="008B2270">
        <w:rPr>
          <w:lang w:val="en-AU"/>
        </w:rPr>
        <w:lastRenderedPageBreak/>
        <w:t>Table 3.3: Departmental statement of changes in equity — summary of movement (Budget year 2019–20)</w:t>
      </w:r>
    </w:p>
    <w:p w:rsidR="00CE3F03" w:rsidRPr="008B2270" w:rsidRDefault="00111B19" w:rsidP="00CE3F03">
      <w:pPr>
        <w:pStyle w:val="ChartGraphic"/>
      </w:pPr>
      <w:r w:rsidRPr="008B2270">
        <w:drawing>
          <wp:inline distT="0" distB="0" distL="0" distR="0">
            <wp:extent cx="4803775" cy="3002280"/>
            <wp:effectExtent l="0" t="0" r="0" b="7620"/>
            <wp:docPr id="25" name="Picture 25" descr="Data underpinning the financial tables is available from 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03775" cy="3002280"/>
                    </a:xfrm>
                    <a:prstGeom prst="rect">
                      <a:avLst/>
                    </a:prstGeom>
                    <a:noFill/>
                    <a:ln>
                      <a:noFill/>
                    </a:ln>
                  </pic:spPr>
                </pic:pic>
              </a:graphicData>
            </a:graphic>
          </wp:inline>
        </w:drawing>
      </w:r>
    </w:p>
    <w:p w:rsidR="00CE3F03" w:rsidRPr="008B2270" w:rsidRDefault="00CE3F03" w:rsidP="00CE3F03">
      <w:pPr>
        <w:pStyle w:val="ChartandTableFootnote"/>
      </w:pPr>
      <w:r w:rsidRPr="008B2270">
        <w:t>Prepared on Australian Accounting Standards basis.</w:t>
      </w:r>
    </w:p>
    <w:p w:rsidR="00CE3F03" w:rsidRPr="008B2270" w:rsidRDefault="00CE3F03" w:rsidP="00146B5E">
      <w:pPr>
        <w:pStyle w:val="TableHeading"/>
        <w:rPr>
          <w:lang w:val="en-AU"/>
        </w:rPr>
      </w:pPr>
      <w:r w:rsidRPr="008B2270">
        <w:rPr>
          <w:lang w:val="en-AU"/>
        </w:rPr>
        <w:br w:type="page"/>
      </w:r>
      <w:r w:rsidRPr="008B2270">
        <w:rPr>
          <w:lang w:val="en-AU"/>
        </w:rPr>
        <w:lastRenderedPageBreak/>
        <w:t>Table 3.4: Budgeted departmental statement of cash flows (for the period ended 30 June)</w:t>
      </w:r>
    </w:p>
    <w:p w:rsidR="00CE3F03" w:rsidRPr="008B2270" w:rsidRDefault="00111B19" w:rsidP="00CE3F03">
      <w:pPr>
        <w:pStyle w:val="ChartGraphic"/>
      </w:pPr>
      <w:r w:rsidRPr="008B2270">
        <w:drawing>
          <wp:inline distT="0" distB="0" distL="0" distR="0">
            <wp:extent cx="4895850" cy="5245196"/>
            <wp:effectExtent l="0" t="0" r="0" b="0"/>
            <wp:docPr id="27" name="Picture 27" descr="Data underpinning the financial tables is available from 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95850" cy="5245196"/>
                    </a:xfrm>
                    <a:prstGeom prst="rect">
                      <a:avLst/>
                    </a:prstGeom>
                    <a:noFill/>
                    <a:ln>
                      <a:noFill/>
                    </a:ln>
                  </pic:spPr>
                </pic:pic>
              </a:graphicData>
            </a:graphic>
          </wp:inline>
        </w:drawing>
      </w:r>
    </w:p>
    <w:p w:rsidR="00CE3F03" w:rsidRPr="008B2270" w:rsidRDefault="00CE3F03" w:rsidP="00CE3F03">
      <w:pPr>
        <w:pStyle w:val="ChartandTableFootnote"/>
      </w:pPr>
      <w:r w:rsidRPr="008B2270">
        <w:t>Prepared on Australian Accounting Standards basis.</w:t>
      </w:r>
    </w:p>
    <w:p w:rsidR="00CE3F03" w:rsidRPr="008B2270" w:rsidRDefault="00CE3F03" w:rsidP="00146B5E">
      <w:pPr>
        <w:pStyle w:val="TableHeading"/>
        <w:rPr>
          <w:lang w:val="en-AU"/>
        </w:rPr>
      </w:pPr>
      <w:r w:rsidRPr="008B2270">
        <w:rPr>
          <w:lang w:val="en-AU"/>
        </w:rPr>
        <w:br w:type="page"/>
      </w:r>
      <w:r w:rsidRPr="008B2270">
        <w:rPr>
          <w:lang w:val="en-AU"/>
        </w:rPr>
        <w:lastRenderedPageBreak/>
        <w:t>Table 3.5: Departmental capital budget statement (for the period ended 30 June)</w:t>
      </w:r>
    </w:p>
    <w:p w:rsidR="00CE3F03" w:rsidRPr="008B2270" w:rsidRDefault="00111B19" w:rsidP="00CE3F03">
      <w:pPr>
        <w:pStyle w:val="ChartGraphic"/>
      </w:pPr>
      <w:r w:rsidRPr="008B2270">
        <w:drawing>
          <wp:inline distT="0" distB="0" distL="0" distR="0">
            <wp:extent cx="4895850" cy="2850140"/>
            <wp:effectExtent l="0" t="0" r="0" b="7620"/>
            <wp:docPr id="29" name="Picture 29" descr="Data underpinning the financial tables is available from 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895850" cy="2850140"/>
                    </a:xfrm>
                    <a:prstGeom prst="rect">
                      <a:avLst/>
                    </a:prstGeom>
                    <a:noFill/>
                    <a:ln>
                      <a:noFill/>
                    </a:ln>
                  </pic:spPr>
                </pic:pic>
              </a:graphicData>
            </a:graphic>
          </wp:inline>
        </w:drawing>
      </w:r>
    </w:p>
    <w:p w:rsidR="00CE3F03" w:rsidRPr="008B2270" w:rsidRDefault="00CE3F03" w:rsidP="00CE3F03">
      <w:pPr>
        <w:pStyle w:val="ChartandTableFootnote"/>
      </w:pPr>
      <w:r w:rsidRPr="008B2270">
        <w:t>Prepared on Australian Accounting Standards basis.</w:t>
      </w:r>
    </w:p>
    <w:p w:rsidR="00CE3F03" w:rsidRPr="008B2270" w:rsidRDefault="00CE3F03" w:rsidP="00CE3F03">
      <w:pPr>
        <w:pStyle w:val="ChartandTableFootnote"/>
      </w:pPr>
      <w:r w:rsidRPr="008B2270">
        <w:t xml:space="preserve">(a) </w:t>
      </w:r>
      <w:r w:rsidRPr="008B2270">
        <w:tab/>
        <w:t>Does not include annual finance lease costs. Include purchases from current and previous years' Departmental Capital Budgets (DCBs).</w:t>
      </w:r>
    </w:p>
    <w:p w:rsidR="00CE3F03" w:rsidRPr="008B2270" w:rsidRDefault="00CE3F03" w:rsidP="00CE3F03">
      <w:pPr>
        <w:rPr>
          <w:lang w:eastAsia="x-none"/>
        </w:rPr>
      </w:pPr>
    </w:p>
    <w:p w:rsidR="00CE3F03" w:rsidRPr="008B2270" w:rsidRDefault="00CE3F03" w:rsidP="00CE3F03">
      <w:pPr>
        <w:spacing w:after="0" w:line="240" w:lineRule="auto"/>
        <w:ind w:left="142" w:hanging="142"/>
        <w:jc w:val="left"/>
        <w:rPr>
          <w:rFonts w:ascii="Arial" w:hAnsi="Arial"/>
          <w:b/>
          <w:color w:val="000000"/>
          <w:lang w:eastAsia="x-none"/>
        </w:rPr>
      </w:pPr>
      <w:r w:rsidRPr="008B2270">
        <w:br w:type="page"/>
      </w:r>
    </w:p>
    <w:p w:rsidR="00CE3F03" w:rsidRPr="008B2270" w:rsidRDefault="00CE3F03" w:rsidP="00146B5E">
      <w:pPr>
        <w:pStyle w:val="TableHeading"/>
        <w:rPr>
          <w:lang w:val="en-AU"/>
        </w:rPr>
      </w:pPr>
      <w:r w:rsidRPr="008B2270">
        <w:rPr>
          <w:lang w:val="en-AU"/>
        </w:rPr>
        <w:lastRenderedPageBreak/>
        <w:t>Table 3.6: Statement of asset movements (Budget year 2019–20)</w:t>
      </w:r>
    </w:p>
    <w:p w:rsidR="00CE3F03" w:rsidRPr="008B2270" w:rsidRDefault="00111B19" w:rsidP="00CE3F03">
      <w:pPr>
        <w:pStyle w:val="ChartGraphic"/>
      </w:pPr>
      <w:r w:rsidRPr="008B2270">
        <w:drawing>
          <wp:inline distT="0" distB="0" distL="0" distR="0">
            <wp:extent cx="4895850" cy="3327004"/>
            <wp:effectExtent l="0" t="0" r="0" b="6985"/>
            <wp:docPr id="32" name="Picture 32" descr="Data underpinning the financial tables is available from 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95850" cy="3327004"/>
                    </a:xfrm>
                    <a:prstGeom prst="rect">
                      <a:avLst/>
                    </a:prstGeom>
                    <a:noFill/>
                    <a:ln>
                      <a:noFill/>
                    </a:ln>
                  </pic:spPr>
                </pic:pic>
              </a:graphicData>
            </a:graphic>
          </wp:inline>
        </w:drawing>
      </w:r>
    </w:p>
    <w:p w:rsidR="00CE3F03" w:rsidRPr="008B2270" w:rsidRDefault="00CE3F03" w:rsidP="00CE3F03">
      <w:pPr>
        <w:pStyle w:val="ChartandTableFootnote"/>
      </w:pPr>
      <w:r w:rsidRPr="008B2270">
        <w:t>Prepared on Australian Accounting Standards basis.</w:t>
      </w:r>
    </w:p>
    <w:p w:rsidR="00CE3F03" w:rsidRPr="008B2270" w:rsidRDefault="00CE3F03" w:rsidP="00CE3F03">
      <w:pPr>
        <w:pStyle w:val="ChartandTableFootnote"/>
      </w:pPr>
      <w:r w:rsidRPr="008B2270">
        <w:t xml:space="preserve">(a) </w:t>
      </w:r>
      <w:r w:rsidRPr="008B2270">
        <w:tab/>
        <w:t>‘Appropriation equity' refers to equity injections appropriations provided through Appropriation Bill (No. 2) 2019–20, including CDABs.</w:t>
      </w:r>
    </w:p>
    <w:p w:rsidR="00CE3F03" w:rsidRPr="008B2270" w:rsidRDefault="00CE3F03" w:rsidP="00CE3F03">
      <w:pPr>
        <w:pStyle w:val="ChartandTableFootnote"/>
      </w:pPr>
      <w:r w:rsidRPr="008B2270">
        <w:t xml:space="preserve">(b) </w:t>
      </w:r>
      <w:r w:rsidRPr="008B2270">
        <w:tab/>
        <w:t>'Appropriation ordinary annual services' refers to funding provided through Appropriation Bill (No. 1) 2019–20 for depreciation/amortisation expenses, DCBs or other operational expenses.</w:t>
      </w:r>
    </w:p>
    <w:p w:rsidR="00CE3F03" w:rsidRPr="008B2270" w:rsidRDefault="00CE3F03" w:rsidP="00AC0B5A">
      <w:pPr>
        <w:pStyle w:val="ChartandTableFootnote"/>
      </w:pPr>
      <w:r w:rsidRPr="008B2270">
        <w:br w:type="page"/>
      </w:r>
    </w:p>
    <w:p w:rsidR="00CE3F03" w:rsidRPr="008B2270" w:rsidRDefault="00CE3F03" w:rsidP="00146B5E">
      <w:pPr>
        <w:pStyle w:val="TableHeading"/>
        <w:rPr>
          <w:lang w:val="en-AU"/>
        </w:rPr>
      </w:pPr>
      <w:r w:rsidRPr="008B2270">
        <w:rPr>
          <w:lang w:val="en-AU"/>
        </w:rPr>
        <w:lastRenderedPageBreak/>
        <w:t>Table 3.7: Schedule of budgeted income and expenses administered on behalf of Government (for the period ended 30 June)</w:t>
      </w:r>
    </w:p>
    <w:p w:rsidR="00CE3F03" w:rsidRPr="008B2270" w:rsidRDefault="00CE3F03" w:rsidP="00CE3F03">
      <w:pPr>
        <w:pStyle w:val="ChartGraphic"/>
      </w:pPr>
      <w:r w:rsidRPr="008B2270">
        <w:drawing>
          <wp:inline distT="0" distB="0" distL="0" distR="0" wp14:anchorId="77B8F7E5" wp14:editId="7C0EFEB9">
            <wp:extent cx="4895850" cy="3020711"/>
            <wp:effectExtent l="0" t="0" r="0" b="8255"/>
            <wp:docPr id="104" name="Picture 104" descr="Data underpinning the financial tables is available from 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95850" cy="3020711"/>
                    </a:xfrm>
                    <a:prstGeom prst="rect">
                      <a:avLst/>
                    </a:prstGeom>
                    <a:noFill/>
                    <a:ln>
                      <a:noFill/>
                    </a:ln>
                  </pic:spPr>
                </pic:pic>
              </a:graphicData>
            </a:graphic>
          </wp:inline>
        </w:drawing>
      </w:r>
    </w:p>
    <w:p w:rsidR="00CE3F03" w:rsidRPr="008B2270" w:rsidRDefault="00CE3F03" w:rsidP="00CE3F03">
      <w:pPr>
        <w:pStyle w:val="ChartandTableFootnote"/>
      </w:pPr>
      <w:r w:rsidRPr="008B2270">
        <w:t>Prepared on Australian Accounting Standards basis.</w:t>
      </w:r>
    </w:p>
    <w:p w:rsidR="00CE3F03" w:rsidRPr="008B2270" w:rsidRDefault="00CE3F03" w:rsidP="00CE3F03">
      <w:pPr>
        <w:pStyle w:val="ChartandTableFootnote"/>
      </w:pPr>
    </w:p>
    <w:p w:rsidR="00CE3F03" w:rsidRPr="008B2270" w:rsidRDefault="00CE3F03" w:rsidP="006C799D">
      <w:pPr>
        <w:pStyle w:val="TableHeadingNoTable"/>
      </w:pPr>
      <w:r w:rsidRPr="008B2270">
        <w:t>Table 3.8: Schedule of budgeted assets and liabilities administered on behalf of Government (as at 30 June)</w:t>
      </w:r>
    </w:p>
    <w:p w:rsidR="00CE3F03" w:rsidRPr="008B2270" w:rsidRDefault="00CE3F03" w:rsidP="00CE3F03">
      <w:pPr>
        <w:spacing w:after="0"/>
      </w:pPr>
      <w:r w:rsidRPr="008B2270">
        <w:t>TEQSA returns all administered revenue to the Consolidated Revenue Fund and does not have administered assets or liabilities. Therefore, Table 3.8 is not presented.</w:t>
      </w:r>
    </w:p>
    <w:p w:rsidR="00CE3F03" w:rsidRPr="008B2270" w:rsidRDefault="00CE3F03" w:rsidP="00CE3F03">
      <w:pPr>
        <w:spacing w:after="0"/>
      </w:pPr>
      <w:r w:rsidRPr="008B2270">
        <w:br w:type="page"/>
      </w:r>
      <w:r w:rsidRPr="008B2270">
        <w:rPr>
          <w:rFonts w:ascii="Arial" w:hAnsi="Arial"/>
          <w:b/>
          <w:color w:val="000000"/>
          <w:lang w:eastAsia="x-none"/>
        </w:rPr>
        <w:lastRenderedPageBreak/>
        <w:t>Table 3.9: Schedule of budgeted administered cash flows (for the period ended 30 June)</w:t>
      </w:r>
    </w:p>
    <w:p w:rsidR="00CE3F03" w:rsidRPr="008B2270" w:rsidRDefault="00943664" w:rsidP="00CE3F03">
      <w:pPr>
        <w:pStyle w:val="ChartGraphic"/>
      </w:pPr>
      <w:r w:rsidRPr="008B2270">
        <w:drawing>
          <wp:inline distT="0" distB="0" distL="0" distR="0">
            <wp:extent cx="4895850" cy="2946484"/>
            <wp:effectExtent l="0" t="0" r="0" b="6350"/>
            <wp:docPr id="33" name="Picture 33" descr="Data underpinning the financial tables is available from 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895850" cy="2946484"/>
                    </a:xfrm>
                    <a:prstGeom prst="rect">
                      <a:avLst/>
                    </a:prstGeom>
                    <a:noFill/>
                    <a:ln>
                      <a:noFill/>
                    </a:ln>
                  </pic:spPr>
                </pic:pic>
              </a:graphicData>
            </a:graphic>
          </wp:inline>
        </w:drawing>
      </w:r>
    </w:p>
    <w:p w:rsidR="00CE3F03" w:rsidRPr="008B2270" w:rsidRDefault="00CE3F03" w:rsidP="00CE3F03">
      <w:pPr>
        <w:pStyle w:val="ChartandTableFootnote"/>
      </w:pPr>
      <w:r w:rsidRPr="008B2270">
        <w:t>Prepared on Australian Accounting Standards basis.</w:t>
      </w:r>
    </w:p>
    <w:p w:rsidR="00CE3F03" w:rsidRPr="008B2270" w:rsidRDefault="00CE3F03" w:rsidP="006C799D">
      <w:pPr>
        <w:pStyle w:val="TableHeadingNoTable"/>
      </w:pPr>
      <w:r w:rsidRPr="008B2270">
        <w:t>Table 3.10: Administered capital budget statement (for the period ended 30 June)</w:t>
      </w:r>
    </w:p>
    <w:p w:rsidR="00CE3F03" w:rsidRPr="008B2270" w:rsidRDefault="00CE3F03" w:rsidP="00594C84">
      <w:r w:rsidRPr="008B2270">
        <w:t>TEQSA does not have any administered capital budget; therefore, Table 3.10 is not presented.</w:t>
      </w:r>
    </w:p>
    <w:p w:rsidR="00CE3F03" w:rsidRPr="008B2270" w:rsidRDefault="00CE3F03" w:rsidP="006C799D">
      <w:pPr>
        <w:pStyle w:val="TableHeadingNoTable"/>
      </w:pPr>
      <w:r w:rsidRPr="008B2270">
        <w:t>Table 3.11: Statement of administered asset movements (Budget year 2019–20)</w:t>
      </w:r>
    </w:p>
    <w:p w:rsidR="00CE3F03" w:rsidRPr="008B2270" w:rsidRDefault="00CE3F03" w:rsidP="00594C84">
      <w:r w:rsidRPr="008B2270">
        <w:t>TEQSA does not have any administered assets; therefore, Table 3.11 is not presented.</w:t>
      </w:r>
    </w:p>
    <w:p w:rsidR="00CE3F03" w:rsidRPr="008B2270" w:rsidRDefault="00CE3F03" w:rsidP="00CE3F03"/>
    <w:p w:rsidR="00CE3F03" w:rsidRPr="008B2270" w:rsidRDefault="00CE3F03" w:rsidP="00CE3F03">
      <w:pPr>
        <w:sectPr w:rsidR="00CE3F03" w:rsidRPr="008B2270" w:rsidSect="005A05D1">
          <w:headerReference w:type="even" r:id="rId31"/>
          <w:headerReference w:type="default" r:id="rId32"/>
          <w:footerReference w:type="default" r:id="rId33"/>
          <w:headerReference w:type="first" r:id="rId34"/>
          <w:pgSz w:w="11906" w:h="16838" w:code="9"/>
          <w:pgMar w:top="2466" w:right="2098" w:bottom="2466" w:left="2098" w:header="1899" w:footer="1899" w:gutter="0"/>
          <w:cols w:space="708"/>
          <w:titlePg/>
          <w:docGrid w:linePitch="360"/>
        </w:sectPr>
      </w:pPr>
    </w:p>
    <w:p w:rsidR="000C3B86" w:rsidRPr="008F11E6" w:rsidRDefault="000C3B86" w:rsidP="00A5370B">
      <w:pPr>
        <w:pStyle w:val="Heading1"/>
      </w:pPr>
      <w:bookmarkStart w:id="11" w:name="_GoBack"/>
      <w:bookmarkEnd w:id="11"/>
    </w:p>
    <w:sectPr w:rsidR="000C3B86" w:rsidRPr="008F11E6" w:rsidSect="00A5370B">
      <w:headerReference w:type="even" r:id="rId35"/>
      <w:headerReference w:type="default" r:id="rId36"/>
      <w:footerReference w:type="even" r:id="rId37"/>
      <w:footerReference w:type="default" r:id="rId38"/>
      <w:headerReference w:type="first" r:id="rId39"/>
      <w:type w:val="oddPage"/>
      <w:pgSz w:w="11906" w:h="16838" w:code="9"/>
      <w:pgMar w:top="2466" w:right="2098" w:bottom="2466" w:left="209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102" w:rsidRDefault="00CA6102" w:rsidP="00C07DEC">
      <w:r>
        <w:separator/>
      </w:r>
    </w:p>
  </w:endnote>
  <w:endnote w:type="continuationSeparator" w:id="0">
    <w:p w:rsidR="00CA6102" w:rsidRDefault="00CA6102"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News Gothic Com Light">
    <w:altName w:val="News Gothic Com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Default="00CA6102">
    <w:pPr>
      <w:pStyle w:val="Footer"/>
    </w:pPr>
    <w:r>
      <w:rPr>
        <w:rStyle w:val="PageNumber"/>
      </w:rPr>
      <w:fldChar w:fldCharType="begin"/>
    </w:r>
    <w:r>
      <w:rPr>
        <w:rStyle w:val="PageNumber"/>
      </w:rPr>
      <w:instrText xml:space="preserve"> PAGE  \* Arabic </w:instrText>
    </w:r>
    <w:r>
      <w:rPr>
        <w:rStyle w:val="PageNumber"/>
      </w:rPr>
      <w:fldChar w:fldCharType="separate"/>
    </w:r>
    <w:r w:rsidR="00A5370B">
      <w:rPr>
        <w:rStyle w:val="PageNumber"/>
        <w:noProof/>
      </w:rPr>
      <w:t>174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Default="00CA6102">
    <w:pPr>
      <w:pStyle w:val="Footer"/>
    </w:pPr>
    <w:r>
      <w:rPr>
        <w:rStyle w:val="PageNumber"/>
      </w:rPr>
      <w:fldChar w:fldCharType="begin"/>
    </w:r>
    <w:r>
      <w:rPr>
        <w:rStyle w:val="PageNumber"/>
      </w:rPr>
      <w:instrText xml:space="preserve"> PAGE  \* Arabic </w:instrText>
    </w:r>
    <w:r>
      <w:rPr>
        <w:rStyle w:val="PageNumber"/>
      </w:rPr>
      <w:fldChar w:fldCharType="separate"/>
    </w:r>
    <w:r>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Pr="001808A4" w:rsidRDefault="00CA6102" w:rsidP="001808A4">
    <w:pPr>
      <w:pStyle w:val="Footer"/>
    </w:pPr>
    <w:r>
      <w:rPr>
        <w:rStyle w:val="PageNumber"/>
      </w:rPr>
      <w:fldChar w:fldCharType="begin"/>
    </w:r>
    <w:r>
      <w:rPr>
        <w:rStyle w:val="PageNumber"/>
      </w:rPr>
      <w:instrText xml:space="preserve"> PAGE  \* Arabic </w:instrText>
    </w:r>
    <w:r>
      <w:rPr>
        <w:rStyle w:val="PageNumber"/>
      </w:rPr>
      <w:fldChar w:fldCharType="separate"/>
    </w:r>
    <w:r w:rsidR="00A5370B">
      <w:rPr>
        <w:rStyle w:val="PageNumber"/>
        <w:noProof/>
      </w:rPr>
      <w:t>158</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Pr="00D770B7" w:rsidRDefault="00CA6102" w:rsidP="00D770B7">
    <w:pPr>
      <w:pStyle w:val="Footer"/>
    </w:pPr>
    <w:r>
      <w:rPr>
        <w:rStyle w:val="PageNumber"/>
      </w:rPr>
      <w:fldChar w:fldCharType="begin"/>
    </w:r>
    <w:r>
      <w:rPr>
        <w:rStyle w:val="PageNumber"/>
      </w:rPr>
      <w:instrText xml:space="preserve"> PAGE  \* Arabic </w:instrText>
    </w:r>
    <w:r>
      <w:rPr>
        <w:rStyle w:val="PageNumber"/>
      </w:rPr>
      <w:fldChar w:fldCharType="separate"/>
    </w:r>
    <w:r w:rsidR="00A5370B">
      <w:rPr>
        <w:rStyle w:val="PageNumber"/>
        <w:noProof/>
      </w:rPr>
      <w:t>173</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Default="00CA6102">
    <w:pPr>
      <w:pStyle w:val="Footer"/>
    </w:pPr>
    <w:r>
      <w:fldChar w:fldCharType="begin"/>
    </w:r>
    <w:r>
      <w:instrText xml:space="preserve"> PAGE   \* MERGEFORMAT </w:instrText>
    </w:r>
    <w:r>
      <w:fldChar w:fldCharType="separate"/>
    </w:r>
    <w:r w:rsidR="00A5370B">
      <w:rPr>
        <w:noProof/>
      </w:rPr>
      <w:t>176</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Default="00CA6102">
    <w:pPr>
      <w:pStyle w:val="Footer"/>
    </w:pPr>
    <w:r>
      <w:fldChar w:fldCharType="begin"/>
    </w:r>
    <w:r>
      <w:instrText xml:space="preserve"> PAGE   \* MERGEFORMAT </w:instrText>
    </w:r>
    <w:r>
      <w:fldChar w:fldCharType="separate"/>
    </w:r>
    <w:r w:rsidR="00A5370B">
      <w:rPr>
        <w:noProof/>
      </w:rPr>
      <w:t>177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102" w:rsidRDefault="00CA6102" w:rsidP="00C07DEC">
      <w:r>
        <w:separator/>
      </w:r>
    </w:p>
  </w:footnote>
  <w:footnote w:type="continuationSeparator" w:id="0">
    <w:p w:rsidR="00CA6102" w:rsidRDefault="00CA6102"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Default="00CA61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Pr="006C034D" w:rsidRDefault="00CA6102" w:rsidP="00CE3F03">
    <w:pPr>
      <w:pStyle w:val="HeaderEven"/>
    </w:pPr>
    <w:r w:rsidRPr="006C034D">
      <w:t>TEQSA Budget Statements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Pr="006C034D" w:rsidRDefault="00CA6102" w:rsidP="00CE3F03">
    <w:pPr>
      <w:pStyle w:val="HeaderOdd"/>
    </w:pPr>
    <w:r w:rsidRPr="006C034D">
      <w:t>TEQSA Budget Statements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Pr="000355D7" w:rsidRDefault="00CA6102" w:rsidP="00CE3F03">
    <w:pPr>
      <w:pStyle w:val="Header"/>
      <w:jc w:val="right"/>
      <w:rPr>
        <w:lang w:val="en-AU"/>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Pr="007C592E" w:rsidRDefault="00CA6102" w:rsidP="00CE3F03">
    <w:pPr>
      <w:pStyle w:val="HeaderEven"/>
    </w:pPr>
    <w:r w:rsidRPr="00AA3697">
      <w:t>Portfolio Glossary and Acronyms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Pr="00A5370B" w:rsidRDefault="00CA6102" w:rsidP="00A5370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Pr="00970E65" w:rsidRDefault="00CA6102" w:rsidP="00970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07E07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7AA0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182F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9261E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DA30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7C5A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7A26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7A8C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A2BA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61832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753AC1FE"/>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2DD609C"/>
    <w:multiLevelType w:val="hybridMultilevel"/>
    <w:tmpl w:val="7BA6F5AC"/>
    <w:lvl w:ilvl="0" w:tplc="2F40089A">
      <w:numFmt w:val="bullet"/>
      <w:lvlText w:val="-"/>
      <w:lvlJc w:val="left"/>
      <w:pPr>
        <w:ind w:left="362" w:hanging="360"/>
      </w:pPr>
      <w:rPr>
        <w:rFonts w:ascii="Arial" w:eastAsia="Times New Roman" w:hAnsi="Arial" w:cs="Arial" w:hint="default"/>
      </w:rPr>
    </w:lvl>
    <w:lvl w:ilvl="1" w:tplc="0C090003" w:tentative="1">
      <w:start w:val="1"/>
      <w:numFmt w:val="bullet"/>
      <w:lvlText w:val="o"/>
      <w:lvlJc w:val="left"/>
      <w:pPr>
        <w:ind w:left="1082" w:hanging="360"/>
      </w:pPr>
      <w:rPr>
        <w:rFonts w:ascii="Courier New" w:hAnsi="Courier New" w:cs="Courier New" w:hint="default"/>
      </w:rPr>
    </w:lvl>
    <w:lvl w:ilvl="2" w:tplc="0C090005" w:tentative="1">
      <w:start w:val="1"/>
      <w:numFmt w:val="bullet"/>
      <w:lvlText w:val=""/>
      <w:lvlJc w:val="left"/>
      <w:pPr>
        <w:ind w:left="1802" w:hanging="360"/>
      </w:pPr>
      <w:rPr>
        <w:rFonts w:ascii="Wingdings" w:hAnsi="Wingdings" w:hint="default"/>
      </w:rPr>
    </w:lvl>
    <w:lvl w:ilvl="3" w:tplc="0C090001" w:tentative="1">
      <w:start w:val="1"/>
      <w:numFmt w:val="bullet"/>
      <w:lvlText w:val=""/>
      <w:lvlJc w:val="left"/>
      <w:pPr>
        <w:ind w:left="2522" w:hanging="360"/>
      </w:pPr>
      <w:rPr>
        <w:rFonts w:ascii="Symbol" w:hAnsi="Symbol" w:hint="default"/>
      </w:rPr>
    </w:lvl>
    <w:lvl w:ilvl="4" w:tplc="0C090003" w:tentative="1">
      <w:start w:val="1"/>
      <w:numFmt w:val="bullet"/>
      <w:lvlText w:val="o"/>
      <w:lvlJc w:val="left"/>
      <w:pPr>
        <w:ind w:left="3242" w:hanging="360"/>
      </w:pPr>
      <w:rPr>
        <w:rFonts w:ascii="Courier New" w:hAnsi="Courier New" w:cs="Courier New" w:hint="default"/>
      </w:rPr>
    </w:lvl>
    <w:lvl w:ilvl="5" w:tplc="0C090005" w:tentative="1">
      <w:start w:val="1"/>
      <w:numFmt w:val="bullet"/>
      <w:lvlText w:val=""/>
      <w:lvlJc w:val="left"/>
      <w:pPr>
        <w:ind w:left="3962" w:hanging="360"/>
      </w:pPr>
      <w:rPr>
        <w:rFonts w:ascii="Wingdings" w:hAnsi="Wingdings" w:hint="default"/>
      </w:rPr>
    </w:lvl>
    <w:lvl w:ilvl="6" w:tplc="0C090001" w:tentative="1">
      <w:start w:val="1"/>
      <w:numFmt w:val="bullet"/>
      <w:lvlText w:val=""/>
      <w:lvlJc w:val="left"/>
      <w:pPr>
        <w:ind w:left="4682" w:hanging="360"/>
      </w:pPr>
      <w:rPr>
        <w:rFonts w:ascii="Symbol" w:hAnsi="Symbol" w:hint="default"/>
      </w:rPr>
    </w:lvl>
    <w:lvl w:ilvl="7" w:tplc="0C090003" w:tentative="1">
      <w:start w:val="1"/>
      <w:numFmt w:val="bullet"/>
      <w:lvlText w:val="o"/>
      <w:lvlJc w:val="left"/>
      <w:pPr>
        <w:ind w:left="5402" w:hanging="360"/>
      </w:pPr>
      <w:rPr>
        <w:rFonts w:ascii="Courier New" w:hAnsi="Courier New" w:cs="Courier New" w:hint="default"/>
      </w:rPr>
    </w:lvl>
    <w:lvl w:ilvl="8" w:tplc="0C090005" w:tentative="1">
      <w:start w:val="1"/>
      <w:numFmt w:val="bullet"/>
      <w:lvlText w:val=""/>
      <w:lvlJc w:val="left"/>
      <w:pPr>
        <w:ind w:left="6122" w:hanging="360"/>
      </w:pPr>
      <w:rPr>
        <w:rFonts w:ascii="Wingdings" w:hAnsi="Wingdings" w:hint="default"/>
      </w:rPr>
    </w:lvl>
  </w:abstractNum>
  <w:abstractNum w:abstractNumId="13" w15:restartNumberingAfterBreak="0">
    <w:nsid w:val="2CEA4481"/>
    <w:multiLevelType w:val="multilevel"/>
    <w:tmpl w:val="0DFE1A6A"/>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15:restartNumberingAfterBreak="0">
    <w:nsid w:val="2D000217"/>
    <w:multiLevelType w:val="hybridMultilevel"/>
    <w:tmpl w:val="D2DE47BA"/>
    <w:lvl w:ilvl="0" w:tplc="0E52B488">
      <w:start w:val="1"/>
      <w:numFmt w:val="lowerLetter"/>
      <w:pStyle w:val="PBS16TableLetterBullets"/>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6921A2"/>
    <w:multiLevelType w:val="hybridMultilevel"/>
    <w:tmpl w:val="987C4D8C"/>
    <w:lvl w:ilvl="0" w:tplc="5CC4365C">
      <w:start w:val="1"/>
      <w:numFmt w:val="bullet"/>
      <w:pStyle w:val="PBS16BulletList2"/>
      <w:lvlText w:val="-"/>
      <w:lvlJc w:val="left"/>
      <w:pPr>
        <w:ind w:left="360" w:hanging="360"/>
      </w:pPr>
      <w:rPr>
        <w:rFonts w:ascii="Courier New" w:hAnsi="Courier New" w:hint="default"/>
        <w:color w:val="auto"/>
      </w:rPr>
    </w:lvl>
    <w:lvl w:ilvl="1" w:tplc="04A44A26">
      <w:start w:val="3"/>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18" w15:restartNumberingAfterBreak="0">
    <w:nsid w:val="3D176184"/>
    <w:multiLevelType w:val="hybridMultilevel"/>
    <w:tmpl w:val="C3D8D8F0"/>
    <w:lvl w:ilvl="0" w:tplc="26F606DC">
      <w:start w:val="1"/>
      <w:numFmt w:val="bullet"/>
      <w:pStyle w:val="PBS16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FB49B7"/>
    <w:multiLevelType w:val="singleLevel"/>
    <w:tmpl w:val="9EDE5682"/>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0" w15:restartNumberingAfterBreak="0">
    <w:nsid w:val="4A8E62E7"/>
    <w:multiLevelType w:val="hybridMultilevel"/>
    <w:tmpl w:val="7388A984"/>
    <w:lvl w:ilvl="0" w:tplc="CD1426F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0075A4D"/>
    <w:multiLevelType w:val="hybridMultilevel"/>
    <w:tmpl w:val="189ED7F4"/>
    <w:lvl w:ilvl="0" w:tplc="53CC3F68">
      <w:start w:val="1"/>
      <w:numFmt w:val="bullet"/>
      <w:pStyle w:val="PAESMeasureindentedtex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594A4011"/>
    <w:multiLevelType w:val="hybridMultilevel"/>
    <w:tmpl w:val="06424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9E533C"/>
    <w:multiLevelType w:val="hybridMultilevel"/>
    <w:tmpl w:val="47AE3B9C"/>
    <w:lvl w:ilvl="0" w:tplc="383A7684">
      <w:start w:val="1"/>
      <w:numFmt w:val="bullet"/>
      <w:pStyle w:val="PBS18TableBullet"/>
      <w:lvlText w:val=""/>
      <w:lvlJc w:val="left"/>
      <w:pPr>
        <w:ind w:left="390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EA3959"/>
    <w:multiLevelType w:val="multilevel"/>
    <w:tmpl w:val="5C2C9654"/>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6" w15:restartNumberingAfterBreak="0">
    <w:nsid w:val="6CAD7A4A"/>
    <w:multiLevelType w:val="hybridMultilevel"/>
    <w:tmpl w:val="1F9AD18A"/>
    <w:lvl w:ilvl="0" w:tplc="384C0464">
      <w:start w:val="1"/>
      <w:numFmt w:val="decimal"/>
      <w:pStyle w:val="PBSTableListNumber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F014B5C"/>
    <w:multiLevelType w:val="hybridMultilevel"/>
    <w:tmpl w:val="574E9E8E"/>
    <w:lvl w:ilvl="0" w:tplc="0C090001">
      <w:start w:val="1"/>
      <w:numFmt w:val="bullet"/>
      <w:lvlText w:val=""/>
      <w:lvlJc w:val="left"/>
      <w:pPr>
        <w:ind w:left="720" w:hanging="360"/>
      </w:pPr>
      <w:rPr>
        <w:rFonts w:ascii="Symbol" w:hAnsi="Symbol" w:hint="default"/>
      </w:rPr>
    </w:lvl>
    <w:lvl w:ilvl="1" w:tplc="2D3CAD68">
      <w:start w:val="1"/>
      <w:numFmt w:val="bullet"/>
      <w:pStyle w:val="PBS16BulletList4"/>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8C2A46"/>
    <w:multiLevelType w:val="hybridMultilevel"/>
    <w:tmpl w:val="0AFCD49C"/>
    <w:lvl w:ilvl="0" w:tplc="0C090001">
      <w:start w:val="1"/>
      <w:numFmt w:val="bullet"/>
      <w:lvlText w:val=""/>
      <w:lvlJc w:val="left"/>
      <w:pPr>
        <w:ind w:left="360" w:hanging="360"/>
      </w:pPr>
      <w:rPr>
        <w:rFonts w:ascii="Symbol" w:hAnsi="Symbol" w:hint="default"/>
      </w:rPr>
    </w:lvl>
    <w:lvl w:ilvl="1" w:tplc="13C82B88">
      <w:start w:val="1"/>
      <w:numFmt w:val="bullet"/>
      <w:pStyle w:val="PBS16TableListBullet2"/>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6FB83F62"/>
    <w:multiLevelType w:val="hybridMultilevel"/>
    <w:tmpl w:val="79FE8E5E"/>
    <w:lvl w:ilvl="0" w:tplc="0C090001">
      <w:start w:val="1"/>
      <w:numFmt w:val="bullet"/>
      <w:lvlText w:val=""/>
      <w:lvlJc w:val="left"/>
      <w:pPr>
        <w:ind w:left="720" w:hanging="360"/>
      </w:pPr>
      <w:rPr>
        <w:rFonts w:ascii="Symbol" w:hAnsi="Symbol" w:hint="default"/>
      </w:rPr>
    </w:lvl>
    <w:lvl w:ilvl="1" w:tplc="4A728566">
      <w:start w:val="3"/>
      <w:numFmt w:val="bullet"/>
      <w:pStyle w:val="PBS16BulletList3"/>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CD2EB1"/>
    <w:multiLevelType w:val="multilevel"/>
    <w:tmpl w:val="34589BAE"/>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abstractNumId w:val="19"/>
  </w:num>
  <w:num w:numId="2">
    <w:abstractNumId w:val="10"/>
  </w:num>
  <w:num w:numId="3">
    <w:abstractNumId w:val="25"/>
  </w:num>
  <w:num w:numId="4">
    <w:abstractNumId w:val="30"/>
  </w:num>
  <w:num w:numId="5">
    <w:abstractNumId w:val="13"/>
  </w:num>
  <w:num w:numId="6">
    <w:abstractNumId w:val="22"/>
  </w:num>
  <w:num w:numId="7">
    <w:abstractNumId w:val="17"/>
    <w:lvlOverride w:ilvl="0">
      <w:startOverride w:val="1"/>
    </w:lvlOverride>
  </w:num>
  <w:num w:numId="8">
    <w:abstractNumId w:val="18"/>
  </w:num>
  <w:num w:numId="9">
    <w:abstractNumId w:val="24"/>
  </w:num>
  <w:num w:numId="10">
    <w:abstractNumId w:val="28"/>
    <w:lvlOverride w:ilvl="0">
      <w:startOverride w:val="1"/>
    </w:lvlOverride>
  </w:num>
  <w:num w:numId="11">
    <w:abstractNumId w:val="15"/>
  </w:num>
  <w:num w:numId="12">
    <w:abstractNumId w:val="14"/>
  </w:num>
  <w:num w:numId="13">
    <w:abstractNumId w:val="21"/>
  </w:num>
  <w:num w:numId="14">
    <w:abstractNumId w:val="12"/>
  </w:num>
  <w:num w:numId="15">
    <w:abstractNumId w:val="20"/>
  </w:num>
  <w:num w:numId="16">
    <w:abstractNumId w:val="29"/>
  </w:num>
  <w:num w:numId="17">
    <w:abstractNumId w:val="23"/>
  </w:num>
  <w:num w:numId="18">
    <w:abstractNumId w:val="27"/>
  </w:num>
  <w:num w:numId="19">
    <w:abstractNumId w:val="26"/>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A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0"/>
  <w:evenAndOddHeaders/>
  <w:drawingGridHorizontalSpacing w:val="100"/>
  <w:displayHorizontalDrawingGridEvery w:val="2"/>
  <w:noPunctuationKerning/>
  <w:characterSpacingControl w:val="doNotCompress"/>
  <w:hdrShapeDefaults>
    <o:shapedefaults v:ext="edit" spidmax="1177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57F"/>
    <w:rsid w:val="000000C3"/>
    <w:rsid w:val="0000358C"/>
    <w:rsid w:val="00003AC4"/>
    <w:rsid w:val="00006AE4"/>
    <w:rsid w:val="0000711B"/>
    <w:rsid w:val="00011301"/>
    <w:rsid w:val="00011ACE"/>
    <w:rsid w:val="0001294C"/>
    <w:rsid w:val="00012BB0"/>
    <w:rsid w:val="00013D25"/>
    <w:rsid w:val="0001438C"/>
    <w:rsid w:val="00014AD5"/>
    <w:rsid w:val="00016628"/>
    <w:rsid w:val="00016D95"/>
    <w:rsid w:val="00017619"/>
    <w:rsid w:val="00020573"/>
    <w:rsid w:val="000216BF"/>
    <w:rsid w:val="00021DA6"/>
    <w:rsid w:val="000220B0"/>
    <w:rsid w:val="000300D7"/>
    <w:rsid w:val="000304FC"/>
    <w:rsid w:val="00030FDA"/>
    <w:rsid w:val="0003384E"/>
    <w:rsid w:val="0003503B"/>
    <w:rsid w:val="00036055"/>
    <w:rsid w:val="00036095"/>
    <w:rsid w:val="000364F3"/>
    <w:rsid w:val="000366AE"/>
    <w:rsid w:val="000369AC"/>
    <w:rsid w:val="0003724F"/>
    <w:rsid w:val="00037BA1"/>
    <w:rsid w:val="000413D4"/>
    <w:rsid w:val="00042FDD"/>
    <w:rsid w:val="00044CF1"/>
    <w:rsid w:val="0004509D"/>
    <w:rsid w:val="00045667"/>
    <w:rsid w:val="00054A04"/>
    <w:rsid w:val="00054CC3"/>
    <w:rsid w:val="0005600E"/>
    <w:rsid w:val="00056260"/>
    <w:rsid w:val="00056DC7"/>
    <w:rsid w:val="0005722F"/>
    <w:rsid w:val="000606CB"/>
    <w:rsid w:val="00060890"/>
    <w:rsid w:val="00061454"/>
    <w:rsid w:val="00061FD8"/>
    <w:rsid w:val="00063C44"/>
    <w:rsid w:val="00063CE1"/>
    <w:rsid w:val="000641DA"/>
    <w:rsid w:val="00065053"/>
    <w:rsid w:val="000655E4"/>
    <w:rsid w:val="000656AD"/>
    <w:rsid w:val="00065C71"/>
    <w:rsid w:val="00066BBA"/>
    <w:rsid w:val="000671B7"/>
    <w:rsid w:val="00067B6F"/>
    <w:rsid w:val="00067E1D"/>
    <w:rsid w:val="0007064C"/>
    <w:rsid w:val="000710CC"/>
    <w:rsid w:val="000712EE"/>
    <w:rsid w:val="000716BA"/>
    <w:rsid w:val="00071E47"/>
    <w:rsid w:val="000725C0"/>
    <w:rsid w:val="00073DD4"/>
    <w:rsid w:val="00074CE6"/>
    <w:rsid w:val="000768A5"/>
    <w:rsid w:val="00077277"/>
    <w:rsid w:val="0007743A"/>
    <w:rsid w:val="00080069"/>
    <w:rsid w:val="00080F4F"/>
    <w:rsid w:val="00082159"/>
    <w:rsid w:val="0008449F"/>
    <w:rsid w:val="00091B5C"/>
    <w:rsid w:val="000924A7"/>
    <w:rsid w:val="00094B28"/>
    <w:rsid w:val="00094B9A"/>
    <w:rsid w:val="000954FC"/>
    <w:rsid w:val="00096568"/>
    <w:rsid w:val="00096DEE"/>
    <w:rsid w:val="00096E76"/>
    <w:rsid w:val="00097063"/>
    <w:rsid w:val="0009711C"/>
    <w:rsid w:val="00097336"/>
    <w:rsid w:val="000975DA"/>
    <w:rsid w:val="000A1920"/>
    <w:rsid w:val="000A1A89"/>
    <w:rsid w:val="000A1C91"/>
    <w:rsid w:val="000A24C4"/>
    <w:rsid w:val="000A345B"/>
    <w:rsid w:val="000A372A"/>
    <w:rsid w:val="000A395D"/>
    <w:rsid w:val="000A532C"/>
    <w:rsid w:val="000A56A5"/>
    <w:rsid w:val="000A5C86"/>
    <w:rsid w:val="000A6897"/>
    <w:rsid w:val="000A6DBE"/>
    <w:rsid w:val="000A7B30"/>
    <w:rsid w:val="000A7E1F"/>
    <w:rsid w:val="000B0DC7"/>
    <w:rsid w:val="000B1FC4"/>
    <w:rsid w:val="000B21D6"/>
    <w:rsid w:val="000B2404"/>
    <w:rsid w:val="000B36D8"/>
    <w:rsid w:val="000B3B7D"/>
    <w:rsid w:val="000B6E38"/>
    <w:rsid w:val="000C056F"/>
    <w:rsid w:val="000C1442"/>
    <w:rsid w:val="000C1928"/>
    <w:rsid w:val="000C19B3"/>
    <w:rsid w:val="000C19EF"/>
    <w:rsid w:val="000C2D7D"/>
    <w:rsid w:val="000C3B86"/>
    <w:rsid w:val="000C3EF3"/>
    <w:rsid w:val="000C4A46"/>
    <w:rsid w:val="000C55A6"/>
    <w:rsid w:val="000C66D3"/>
    <w:rsid w:val="000C6A39"/>
    <w:rsid w:val="000C6FB8"/>
    <w:rsid w:val="000D13E5"/>
    <w:rsid w:val="000D4262"/>
    <w:rsid w:val="000D43DE"/>
    <w:rsid w:val="000D58A1"/>
    <w:rsid w:val="000D7E54"/>
    <w:rsid w:val="000E04C6"/>
    <w:rsid w:val="000E0A85"/>
    <w:rsid w:val="000E2F5F"/>
    <w:rsid w:val="000E6666"/>
    <w:rsid w:val="000E68E3"/>
    <w:rsid w:val="000E6DDB"/>
    <w:rsid w:val="000E74A6"/>
    <w:rsid w:val="000F03B1"/>
    <w:rsid w:val="000F08AE"/>
    <w:rsid w:val="000F2D33"/>
    <w:rsid w:val="000F43F4"/>
    <w:rsid w:val="000F440E"/>
    <w:rsid w:val="000F6647"/>
    <w:rsid w:val="000F73B7"/>
    <w:rsid w:val="000F794F"/>
    <w:rsid w:val="000F7E7B"/>
    <w:rsid w:val="001002F8"/>
    <w:rsid w:val="00102654"/>
    <w:rsid w:val="001028CC"/>
    <w:rsid w:val="001045F9"/>
    <w:rsid w:val="0010472B"/>
    <w:rsid w:val="0010657F"/>
    <w:rsid w:val="00111159"/>
    <w:rsid w:val="00111B19"/>
    <w:rsid w:val="00112D0F"/>
    <w:rsid w:val="001133E0"/>
    <w:rsid w:val="001151F7"/>
    <w:rsid w:val="00115DE5"/>
    <w:rsid w:val="001163D6"/>
    <w:rsid w:val="0011726A"/>
    <w:rsid w:val="0012022D"/>
    <w:rsid w:val="00120B5E"/>
    <w:rsid w:val="0012108F"/>
    <w:rsid w:val="00121EB0"/>
    <w:rsid w:val="0012228D"/>
    <w:rsid w:val="00123218"/>
    <w:rsid w:val="001237BA"/>
    <w:rsid w:val="00123925"/>
    <w:rsid w:val="00124F1A"/>
    <w:rsid w:val="00126641"/>
    <w:rsid w:val="00132F9E"/>
    <w:rsid w:val="00133D3A"/>
    <w:rsid w:val="001352EE"/>
    <w:rsid w:val="00135505"/>
    <w:rsid w:val="001364A7"/>
    <w:rsid w:val="00136827"/>
    <w:rsid w:val="001375D4"/>
    <w:rsid w:val="00143E88"/>
    <w:rsid w:val="001455D8"/>
    <w:rsid w:val="00146B5E"/>
    <w:rsid w:val="0014790A"/>
    <w:rsid w:val="00151ABB"/>
    <w:rsid w:val="00154447"/>
    <w:rsid w:val="001549BE"/>
    <w:rsid w:val="00154CDE"/>
    <w:rsid w:val="00154F5B"/>
    <w:rsid w:val="00155A6A"/>
    <w:rsid w:val="00161DAC"/>
    <w:rsid w:val="00162B55"/>
    <w:rsid w:val="00162D8B"/>
    <w:rsid w:val="00163101"/>
    <w:rsid w:val="00163198"/>
    <w:rsid w:val="001638E9"/>
    <w:rsid w:val="00165824"/>
    <w:rsid w:val="001666EA"/>
    <w:rsid w:val="0017111A"/>
    <w:rsid w:val="00171A85"/>
    <w:rsid w:val="00173F5C"/>
    <w:rsid w:val="00174186"/>
    <w:rsid w:val="00174565"/>
    <w:rsid w:val="001754D6"/>
    <w:rsid w:val="00175BB3"/>
    <w:rsid w:val="0017716B"/>
    <w:rsid w:val="00177A9A"/>
    <w:rsid w:val="001808A4"/>
    <w:rsid w:val="00180FF3"/>
    <w:rsid w:val="001813B5"/>
    <w:rsid w:val="001815A5"/>
    <w:rsid w:val="00181F30"/>
    <w:rsid w:val="00182740"/>
    <w:rsid w:val="00184071"/>
    <w:rsid w:val="001850FE"/>
    <w:rsid w:val="00185A3B"/>
    <w:rsid w:val="00186850"/>
    <w:rsid w:val="001904A5"/>
    <w:rsid w:val="001923C8"/>
    <w:rsid w:val="001925AD"/>
    <w:rsid w:val="001939FF"/>
    <w:rsid w:val="00194DE8"/>
    <w:rsid w:val="00197990"/>
    <w:rsid w:val="001A0106"/>
    <w:rsid w:val="001A02CB"/>
    <w:rsid w:val="001A11DB"/>
    <w:rsid w:val="001A260A"/>
    <w:rsid w:val="001A33F4"/>
    <w:rsid w:val="001A34F2"/>
    <w:rsid w:val="001A6256"/>
    <w:rsid w:val="001A6F29"/>
    <w:rsid w:val="001A77DF"/>
    <w:rsid w:val="001A789B"/>
    <w:rsid w:val="001B03CC"/>
    <w:rsid w:val="001B0C75"/>
    <w:rsid w:val="001B2A29"/>
    <w:rsid w:val="001B368E"/>
    <w:rsid w:val="001B44C2"/>
    <w:rsid w:val="001B4EC1"/>
    <w:rsid w:val="001B659F"/>
    <w:rsid w:val="001B7399"/>
    <w:rsid w:val="001B7655"/>
    <w:rsid w:val="001B7BAD"/>
    <w:rsid w:val="001B7F09"/>
    <w:rsid w:val="001C1166"/>
    <w:rsid w:val="001C261E"/>
    <w:rsid w:val="001C3AC7"/>
    <w:rsid w:val="001C7B78"/>
    <w:rsid w:val="001C7FB4"/>
    <w:rsid w:val="001D0BA6"/>
    <w:rsid w:val="001D1903"/>
    <w:rsid w:val="001D1942"/>
    <w:rsid w:val="001D1DDB"/>
    <w:rsid w:val="001D53EA"/>
    <w:rsid w:val="001D6F7C"/>
    <w:rsid w:val="001D7110"/>
    <w:rsid w:val="001E0156"/>
    <w:rsid w:val="001E12A5"/>
    <w:rsid w:val="001E1BF9"/>
    <w:rsid w:val="001E1EDB"/>
    <w:rsid w:val="001E1EF3"/>
    <w:rsid w:val="001E3964"/>
    <w:rsid w:val="001E3A18"/>
    <w:rsid w:val="001E3CE5"/>
    <w:rsid w:val="001E7093"/>
    <w:rsid w:val="001E717D"/>
    <w:rsid w:val="001E71F5"/>
    <w:rsid w:val="001E7D86"/>
    <w:rsid w:val="001F377B"/>
    <w:rsid w:val="001F3CF9"/>
    <w:rsid w:val="001F530F"/>
    <w:rsid w:val="001F55E5"/>
    <w:rsid w:val="001F5CB9"/>
    <w:rsid w:val="00200DC3"/>
    <w:rsid w:val="002011E2"/>
    <w:rsid w:val="00201BB9"/>
    <w:rsid w:val="00202925"/>
    <w:rsid w:val="00202C70"/>
    <w:rsid w:val="002050B0"/>
    <w:rsid w:val="00205D80"/>
    <w:rsid w:val="00210874"/>
    <w:rsid w:val="0021093F"/>
    <w:rsid w:val="00212073"/>
    <w:rsid w:val="002133CA"/>
    <w:rsid w:val="002146B5"/>
    <w:rsid w:val="00215783"/>
    <w:rsid w:val="0021644B"/>
    <w:rsid w:val="00216DC9"/>
    <w:rsid w:val="00217CA0"/>
    <w:rsid w:val="002202EB"/>
    <w:rsid w:val="00220FCF"/>
    <w:rsid w:val="00221705"/>
    <w:rsid w:val="00221972"/>
    <w:rsid w:val="002231C8"/>
    <w:rsid w:val="00224154"/>
    <w:rsid w:val="00230194"/>
    <w:rsid w:val="00231923"/>
    <w:rsid w:val="002329C3"/>
    <w:rsid w:val="002332AE"/>
    <w:rsid w:val="002333C2"/>
    <w:rsid w:val="00234040"/>
    <w:rsid w:val="00235D67"/>
    <w:rsid w:val="0023626B"/>
    <w:rsid w:val="002421B7"/>
    <w:rsid w:val="00242F07"/>
    <w:rsid w:val="00243020"/>
    <w:rsid w:val="00244D22"/>
    <w:rsid w:val="00246C09"/>
    <w:rsid w:val="002470E4"/>
    <w:rsid w:val="00247262"/>
    <w:rsid w:val="00251FB9"/>
    <w:rsid w:val="0025616B"/>
    <w:rsid w:val="00257285"/>
    <w:rsid w:val="00257FF4"/>
    <w:rsid w:val="002602D1"/>
    <w:rsid w:val="002608CE"/>
    <w:rsid w:val="00261660"/>
    <w:rsid w:val="0026279C"/>
    <w:rsid w:val="00262CD3"/>
    <w:rsid w:val="00265289"/>
    <w:rsid w:val="00266613"/>
    <w:rsid w:val="00266FE9"/>
    <w:rsid w:val="00267EA3"/>
    <w:rsid w:val="00272396"/>
    <w:rsid w:val="00273D98"/>
    <w:rsid w:val="0027614D"/>
    <w:rsid w:val="0027651A"/>
    <w:rsid w:val="0028001E"/>
    <w:rsid w:val="00281CF6"/>
    <w:rsid w:val="0028359B"/>
    <w:rsid w:val="00284441"/>
    <w:rsid w:val="002857FE"/>
    <w:rsid w:val="0028796D"/>
    <w:rsid w:val="00290468"/>
    <w:rsid w:val="00290933"/>
    <w:rsid w:val="00291E57"/>
    <w:rsid w:val="00292D6A"/>
    <w:rsid w:val="0029312A"/>
    <w:rsid w:val="0029325C"/>
    <w:rsid w:val="00293B2D"/>
    <w:rsid w:val="00293B46"/>
    <w:rsid w:val="002960B7"/>
    <w:rsid w:val="00297643"/>
    <w:rsid w:val="002976A0"/>
    <w:rsid w:val="00297824"/>
    <w:rsid w:val="002A063B"/>
    <w:rsid w:val="002A153F"/>
    <w:rsid w:val="002A32FD"/>
    <w:rsid w:val="002A40DC"/>
    <w:rsid w:val="002A5329"/>
    <w:rsid w:val="002A5C2D"/>
    <w:rsid w:val="002A61E5"/>
    <w:rsid w:val="002A74DD"/>
    <w:rsid w:val="002A7FC8"/>
    <w:rsid w:val="002B0A81"/>
    <w:rsid w:val="002B1CE7"/>
    <w:rsid w:val="002B2F0F"/>
    <w:rsid w:val="002B595D"/>
    <w:rsid w:val="002B5F6A"/>
    <w:rsid w:val="002B779E"/>
    <w:rsid w:val="002B7D6F"/>
    <w:rsid w:val="002B7D78"/>
    <w:rsid w:val="002C0552"/>
    <w:rsid w:val="002C0961"/>
    <w:rsid w:val="002C1CF7"/>
    <w:rsid w:val="002C1D11"/>
    <w:rsid w:val="002C2071"/>
    <w:rsid w:val="002C25D0"/>
    <w:rsid w:val="002C280B"/>
    <w:rsid w:val="002C2DB0"/>
    <w:rsid w:val="002C4D41"/>
    <w:rsid w:val="002C75B0"/>
    <w:rsid w:val="002C7703"/>
    <w:rsid w:val="002C7A63"/>
    <w:rsid w:val="002D0153"/>
    <w:rsid w:val="002D403A"/>
    <w:rsid w:val="002D4262"/>
    <w:rsid w:val="002D46B7"/>
    <w:rsid w:val="002E0859"/>
    <w:rsid w:val="002E1064"/>
    <w:rsid w:val="002E2551"/>
    <w:rsid w:val="002E323F"/>
    <w:rsid w:val="002E324F"/>
    <w:rsid w:val="002E5554"/>
    <w:rsid w:val="002F1B12"/>
    <w:rsid w:val="002F530C"/>
    <w:rsid w:val="002F591B"/>
    <w:rsid w:val="002F7B47"/>
    <w:rsid w:val="00300013"/>
    <w:rsid w:val="0030032D"/>
    <w:rsid w:val="003006F8"/>
    <w:rsid w:val="00300BF2"/>
    <w:rsid w:val="003027C1"/>
    <w:rsid w:val="00302A25"/>
    <w:rsid w:val="00304C13"/>
    <w:rsid w:val="00305718"/>
    <w:rsid w:val="00305EC5"/>
    <w:rsid w:val="00306107"/>
    <w:rsid w:val="003077B8"/>
    <w:rsid w:val="003111F8"/>
    <w:rsid w:val="0031204A"/>
    <w:rsid w:val="0031272B"/>
    <w:rsid w:val="00315435"/>
    <w:rsid w:val="0031724F"/>
    <w:rsid w:val="0032038C"/>
    <w:rsid w:val="00321889"/>
    <w:rsid w:val="003242F2"/>
    <w:rsid w:val="00325C5E"/>
    <w:rsid w:val="0032738E"/>
    <w:rsid w:val="00331B40"/>
    <w:rsid w:val="00331C5F"/>
    <w:rsid w:val="00333074"/>
    <w:rsid w:val="00333223"/>
    <w:rsid w:val="00333A43"/>
    <w:rsid w:val="00334F7E"/>
    <w:rsid w:val="003364C1"/>
    <w:rsid w:val="003377A9"/>
    <w:rsid w:val="00337F82"/>
    <w:rsid w:val="00340640"/>
    <w:rsid w:val="003435D6"/>
    <w:rsid w:val="003458E0"/>
    <w:rsid w:val="00345CCD"/>
    <w:rsid w:val="00346756"/>
    <w:rsid w:val="003511CE"/>
    <w:rsid w:val="00351909"/>
    <w:rsid w:val="00352BE0"/>
    <w:rsid w:val="0035333E"/>
    <w:rsid w:val="003538F0"/>
    <w:rsid w:val="003540F9"/>
    <w:rsid w:val="00357DAE"/>
    <w:rsid w:val="003602A5"/>
    <w:rsid w:val="00361259"/>
    <w:rsid w:val="00361429"/>
    <w:rsid w:val="00362AA7"/>
    <w:rsid w:val="00363B11"/>
    <w:rsid w:val="003672D6"/>
    <w:rsid w:val="003705BF"/>
    <w:rsid w:val="00370935"/>
    <w:rsid w:val="00370B3E"/>
    <w:rsid w:val="00371C1A"/>
    <w:rsid w:val="003739AD"/>
    <w:rsid w:val="00375E52"/>
    <w:rsid w:val="00377ABB"/>
    <w:rsid w:val="00380888"/>
    <w:rsid w:val="00380D9F"/>
    <w:rsid w:val="003819E1"/>
    <w:rsid w:val="00382234"/>
    <w:rsid w:val="00383112"/>
    <w:rsid w:val="0038672F"/>
    <w:rsid w:val="00386BC9"/>
    <w:rsid w:val="00386F24"/>
    <w:rsid w:val="003876AB"/>
    <w:rsid w:val="00387957"/>
    <w:rsid w:val="0039053D"/>
    <w:rsid w:val="0039449C"/>
    <w:rsid w:val="003961EB"/>
    <w:rsid w:val="0039684C"/>
    <w:rsid w:val="003A0290"/>
    <w:rsid w:val="003A105E"/>
    <w:rsid w:val="003A25BB"/>
    <w:rsid w:val="003A300D"/>
    <w:rsid w:val="003A3E7B"/>
    <w:rsid w:val="003A7067"/>
    <w:rsid w:val="003B09F6"/>
    <w:rsid w:val="003B0D03"/>
    <w:rsid w:val="003B1F0A"/>
    <w:rsid w:val="003B2C1F"/>
    <w:rsid w:val="003B329D"/>
    <w:rsid w:val="003B5533"/>
    <w:rsid w:val="003B5A85"/>
    <w:rsid w:val="003B71EE"/>
    <w:rsid w:val="003B7621"/>
    <w:rsid w:val="003B7C64"/>
    <w:rsid w:val="003C0593"/>
    <w:rsid w:val="003C13A6"/>
    <w:rsid w:val="003C1EB4"/>
    <w:rsid w:val="003C4E3A"/>
    <w:rsid w:val="003C5854"/>
    <w:rsid w:val="003D0E1C"/>
    <w:rsid w:val="003D0FC9"/>
    <w:rsid w:val="003D1E47"/>
    <w:rsid w:val="003D3662"/>
    <w:rsid w:val="003D3C14"/>
    <w:rsid w:val="003D4188"/>
    <w:rsid w:val="003D4557"/>
    <w:rsid w:val="003D543D"/>
    <w:rsid w:val="003D59FD"/>
    <w:rsid w:val="003E10B8"/>
    <w:rsid w:val="003E122D"/>
    <w:rsid w:val="003E13F5"/>
    <w:rsid w:val="003E1978"/>
    <w:rsid w:val="003E2B5E"/>
    <w:rsid w:val="003E2D08"/>
    <w:rsid w:val="003E3FF4"/>
    <w:rsid w:val="003E4CB2"/>
    <w:rsid w:val="003E4E15"/>
    <w:rsid w:val="003E5AE8"/>
    <w:rsid w:val="003F07EE"/>
    <w:rsid w:val="003F29F2"/>
    <w:rsid w:val="003F3ABA"/>
    <w:rsid w:val="003F3C77"/>
    <w:rsid w:val="003F4133"/>
    <w:rsid w:val="003F47DF"/>
    <w:rsid w:val="003F6209"/>
    <w:rsid w:val="003F7AC9"/>
    <w:rsid w:val="0040314A"/>
    <w:rsid w:val="00405DAB"/>
    <w:rsid w:val="00405E90"/>
    <w:rsid w:val="004065CE"/>
    <w:rsid w:val="00406802"/>
    <w:rsid w:val="004105DD"/>
    <w:rsid w:val="00410DCE"/>
    <w:rsid w:val="00412C0B"/>
    <w:rsid w:val="0041404E"/>
    <w:rsid w:val="0041429D"/>
    <w:rsid w:val="004147D0"/>
    <w:rsid w:val="00414E1F"/>
    <w:rsid w:val="0041581E"/>
    <w:rsid w:val="004173A4"/>
    <w:rsid w:val="0041765C"/>
    <w:rsid w:val="00420837"/>
    <w:rsid w:val="00421EEC"/>
    <w:rsid w:val="00422933"/>
    <w:rsid w:val="00422F4B"/>
    <w:rsid w:val="00423003"/>
    <w:rsid w:val="004248B4"/>
    <w:rsid w:val="00424C66"/>
    <w:rsid w:val="0042526D"/>
    <w:rsid w:val="004254A2"/>
    <w:rsid w:val="00426D71"/>
    <w:rsid w:val="00430256"/>
    <w:rsid w:val="00430E3D"/>
    <w:rsid w:val="0043194D"/>
    <w:rsid w:val="00431BF1"/>
    <w:rsid w:val="00433D22"/>
    <w:rsid w:val="004342F8"/>
    <w:rsid w:val="00434A2F"/>
    <w:rsid w:val="004366BB"/>
    <w:rsid w:val="0044083A"/>
    <w:rsid w:val="004408FA"/>
    <w:rsid w:val="00442A3B"/>
    <w:rsid w:val="0044552A"/>
    <w:rsid w:val="00445663"/>
    <w:rsid w:val="00446612"/>
    <w:rsid w:val="00450E44"/>
    <w:rsid w:val="00451501"/>
    <w:rsid w:val="004528D0"/>
    <w:rsid w:val="00453C86"/>
    <w:rsid w:val="00454564"/>
    <w:rsid w:val="004562E5"/>
    <w:rsid w:val="00457BC3"/>
    <w:rsid w:val="0046034D"/>
    <w:rsid w:val="00461801"/>
    <w:rsid w:val="00462272"/>
    <w:rsid w:val="0046390C"/>
    <w:rsid w:val="00464569"/>
    <w:rsid w:val="00465D4E"/>
    <w:rsid w:val="00466381"/>
    <w:rsid w:val="00467393"/>
    <w:rsid w:val="00467BDD"/>
    <w:rsid w:val="00470CC0"/>
    <w:rsid w:val="00470E25"/>
    <w:rsid w:val="004717F6"/>
    <w:rsid w:val="0047364D"/>
    <w:rsid w:val="00473E1A"/>
    <w:rsid w:val="0047481E"/>
    <w:rsid w:val="00474918"/>
    <w:rsid w:val="00475EAF"/>
    <w:rsid w:val="0047647B"/>
    <w:rsid w:val="0047681C"/>
    <w:rsid w:val="004815F8"/>
    <w:rsid w:val="00481E32"/>
    <w:rsid w:val="004831ED"/>
    <w:rsid w:val="004831FC"/>
    <w:rsid w:val="004836A7"/>
    <w:rsid w:val="004847B4"/>
    <w:rsid w:val="00484921"/>
    <w:rsid w:val="00486614"/>
    <w:rsid w:val="00487E11"/>
    <w:rsid w:val="00487FB8"/>
    <w:rsid w:val="004900FE"/>
    <w:rsid w:val="004919D4"/>
    <w:rsid w:val="00491FB2"/>
    <w:rsid w:val="0049212C"/>
    <w:rsid w:val="00495C39"/>
    <w:rsid w:val="004A1224"/>
    <w:rsid w:val="004A247B"/>
    <w:rsid w:val="004A28C5"/>
    <w:rsid w:val="004A2F59"/>
    <w:rsid w:val="004A64B4"/>
    <w:rsid w:val="004A660C"/>
    <w:rsid w:val="004A6B44"/>
    <w:rsid w:val="004A6E0E"/>
    <w:rsid w:val="004B0B19"/>
    <w:rsid w:val="004B1E81"/>
    <w:rsid w:val="004B35F0"/>
    <w:rsid w:val="004B37A7"/>
    <w:rsid w:val="004B4426"/>
    <w:rsid w:val="004B44E1"/>
    <w:rsid w:val="004B5F2A"/>
    <w:rsid w:val="004B7453"/>
    <w:rsid w:val="004B74B2"/>
    <w:rsid w:val="004C103D"/>
    <w:rsid w:val="004C1303"/>
    <w:rsid w:val="004C1399"/>
    <w:rsid w:val="004C1C09"/>
    <w:rsid w:val="004C264B"/>
    <w:rsid w:val="004C2A17"/>
    <w:rsid w:val="004C2B0E"/>
    <w:rsid w:val="004C5507"/>
    <w:rsid w:val="004D0B8F"/>
    <w:rsid w:val="004D1E1A"/>
    <w:rsid w:val="004D1EFF"/>
    <w:rsid w:val="004D1FBB"/>
    <w:rsid w:val="004D23A9"/>
    <w:rsid w:val="004D2683"/>
    <w:rsid w:val="004D29F5"/>
    <w:rsid w:val="004D2F90"/>
    <w:rsid w:val="004D41C1"/>
    <w:rsid w:val="004D7804"/>
    <w:rsid w:val="004E0308"/>
    <w:rsid w:val="004E13C6"/>
    <w:rsid w:val="004E2825"/>
    <w:rsid w:val="004E3079"/>
    <w:rsid w:val="004E3276"/>
    <w:rsid w:val="004E3836"/>
    <w:rsid w:val="004E62E4"/>
    <w:rsid w:val="004E7C41"/>
    <w:rsid w:val="004F0E90"/>
    <w:rsid w:val="004F0F5B"/>
    <w:rsid w:val="004F22B8"/>
    <w:rsid w:val="004F2437"/>
    <w:rsid w:val="004F4624"/>
    <w:rsid w:val="004F5573"/>
    <w:rsid w:val="004F5D8B"/>
    <w:rsid w:val="004F634F"/>
    <w:rsid w:val="004F7556"/>
    <w:rsid w:val="00500700"/>
    <w:rsid w:val="0050141B"/>
    <w:rsid w:val="00502638"/>
    <w:rsid w:val="005029BC"/>
    <w:rsid w:val="00502B87"/>
    <w:rsid w:val="0050346A"/>
    <w:rsid w:val="00504472"/>
    <w:rsid w:val="005048E3"/>
    <w:rsid w:val="00505A77"/>
    <w:rsid w:val="00505CB3"/>
    <w:rsid w:val="005067C7"/>
    <w:rsid w:val="00506EB0"/>
    <w:rsid w:val="0050798C"/>
    <w:rsid w:val="0051207B"/>
    <w:rsid w:val="005136CD"/>
    <w:rsid w:val="00514B1A"/>
    <w:rsid w:val="005150C5"/>
    <w:rsid w:val="00517351"/>
    <w:rsid w:val="00521860"/>
    <w:rsid w:val="00521D74"/>
    <w:rsid w:val="005222CC"/>
    <w:rsid w:val="00522622"/>
    <w:rsid w:val="00523B5E"/>
    <w:rsid w:val="005250EE"/>
    <w:rsid w:val="00525AB1"/>
    <w:rsid w:val="00526B01"/>
    <w:rsid w:val="00526C61"/>
    <w:rsid w:val="00527492"/>
    <w:rsid w:val="005277F5"/>
    <w:rsid w:val="005310C1"/>
    <w:rsid w:val="00531934"/>
    <w:rsid w:val="00532994"/>
    <w:rsid w:val="005329BE"/>
    <w:rsid w:val="00533515"/>
    <w:rsid w:val="005342DE"/>
    <w:rsid w:val="00534AC0"/>
    <w:rsid w:val="00535557"/>
    <w:rsid w:val="0053606A"/>
    <w:rsid w:val="005369C0"/>
    <w:rsid w:val="00536B92"/>
    <w:rsid w:val="00537979"/>
    <w:rsid w:val="00540B25"/>
    <w:rsid w:val="00540D82"/>
    <w:rsid w:val="00541254"/>
    <w:rsid w:val="005421CC"/>
    <w:rsid w:val="00542BA5"/>
    <w:rsid w:val="00544841"/>
    <w:rsid w:val="00547CD4"/>
    <w:rsid w:val="00547EB8"/>
    <w:rsid w:val="00552FC2"/>
    <w:rsid w:val="00553DA2"/>
    <w:rsid w:val="005543FB"/>
    <w:rsid w:val="00555623"/>
    <w:rsid w:val="005562DC"/>
    <w:rsid w:val="00556725"/>
    <w:rsid w:val="00557A85"/>
    <w:rsid w:val="005606B5"/>
    <w:rsid w:val="00560E2D"/>
    <w:rsid w:val="00562BAD"/>
    <w:rsid w:val="0056365E"/>
    <w:rsid w:val="00565A93"/>
    <w:rsid w:val="00565C77"/>
    <w:rsid w:val="00566181"/>
    <w:rsid w:val="005708BD"/>
    <w:rsid w:val="0057317E"/>
    <w:rsid w:val="005731D3"/>
    <w:rsid w:val="00573C7D"/>
    <w:rsid w:val="00574906"/>
    <w:rsid w:val="00574E9E"/>
    <w:rsid w:val="005752BC"/>
    <w:rsid w:val="0057622F"/>
    <w:rsid w:val="00577977"/>
    <w:rsid w:val="00581719"/>
    <w:rsid w:val="00581D30"/>
    <w:rsid w:val="00583362"/>
    <w:rsid w:val="00584245"/>
    <w:rsid w:val="00584C2D"/>
    <w:rsid w:val="00584D80"/>
    <w:rsid w:val="00585B0F"/>
    <w:rsid w:val="00586007"/>
    <w:rsid w:val="00586535"/>
    <w:rsid w:val="00586BB5"/>
    <w:rsid w:val="00586DFB"/>
    <w:rsid w:val="00587C83"/>
    <w:rsid w:val="005905BC"/>
    <w:rsid w:val="00590B75"/>
    <w:rsid w:val="00590DAA"/>
    <w:rsid w:val="0059205C"/>
    <w:rsid w:val="00592349"/>
    <w:rsid w:val="00594C84"/>
    <w:rsid w:val="00596F3F"/>
    <w:rsid w:val="00597EEF"/>
    <w:rsid w:val="005A05D1"/>
    <w:rsid w:val="005A1C4E"/>
    <w:rsid w:val="005A3678"/>
    <w:rsid w:val="005A4A1A"/>
    <w:rsid w:val="005A61D3"/>
    <w:rsid w:val="005A7C0B"/>
    <w:rsid w:val="005A7E70"/>
    <w:rsid w:val="005B1A53"/>
    <w:rsid w:val="005B22B0"/>
    <w:rsid w:val="005B2AF7"/>
    <w:rsid w:val="005B40E8"/>
    <w:rsid w:val="005B4253"/>
    <w:rsid w:val="005B6DAA"/>
    <w:rsid w:val="005B7314"/>
    <w:rsid w:val="005B7C27"/>
    <w:rsid w:val="005B7D8B"/>
    <w:rsid w:val="005C03F6"/>
    <w:rsid w:val="005C0475"/>
    <w:rsid w:val="005C1569"/>
    <w:rsid w:val="005C3C1A"/>
    <w:rsid w:val="005C4604"/>
    <w:rsid w:val="005C46D8"/>
    <w:rsid w:val="005C4BEE"/>
    <w:rsid w:val="005C6E74"/>
    <w:rsid w:val="005C732E"/>
    <w:rsid w:val="005C781C"/>
    <w:rsid w:val="005D13ED"/>
    <w:rsid w:val="005D181E"/>
    <w:rsid w:val="005D330E"/>
    <w:rsid w:val="005D7A35"/>
    <w:rsid w:val="005E034F"/>
    <w:rsid w:val="005E09A7"/>
    <w:rsid w:val="005E198B"/>
    <w:rsid w:val="005E19D9"/>
    <w:rsid w:val="005E1D35"/>
    <w:rsid w:val="005E2A31"/>
    <w:rsid w:val="005E3D2F"/>
    <w:rsid w:val="005E442F"/>
    <w:rsid w:val="005E54A3"/>
    <w:rsid w:val="005E5625"/>
    <w:rsid w:val="005E61D8"/>
    <w:rsid w:val="005E6F2B"/>
    <w:rsid w:val="005E6F73"/>
    <w:rsid w:val="005E7E2C"/>
    <w:rsid w:val="005F1ADE"/>
    <w:rsid w:val="005F29CD"/>
    <w:rsid w:val="005F3175"/>
    <w:rsid w:val="005F3436"/>
    <w:rsid w:val="005F3506"/>
    <w:rsid w:val="005F41D8"/>
    <w:rsid w:val="005F4739"/>
    <w:rsid w:val="005F55B7"/>
    <w:rsid w:val="005F6228"/>
    <w:rsid w:val="005F642B"/>
    <w:rsid w:val="005F67FC"/>
    <w:rsid w:val="0060105F"/>
    <w:rsid w:val="00601630"/>
    <w:rsid w:val="006026E1"/>
    <w:rsid w:val="00603A90"/>
    <w:rsid w:val="00605163"/>
    <w:rsid w:val="006065BF"/>
    <w:rsid w:val="006070EA"/>
    <w:rsid w:val="00607ABE"/>
    <w:rsid w:val="00607F53"/>
    <w:rsid w:val="006103D0"/>
    <w:rsid w:val="0061103A"/>
    <w:rsid w:val="00611EAE"/>
    <w:rsid w:val="0061364A"/>
    <w:rsid w:val="00613BEA"/>
    <w:rsid w:val="0061402C"/>
    <w:rsid w:val="0061595F"/>
    <w:rsid w:val="00615A79"/>
    <w:rsid w:val="00616179"/>
    <w:rsid w:val="006166EA"/>
    <w:rsid w:val="0061675B"/>
    <w:rsid w:val="0062052B"/>
    <w:rsid w:val="00621A86"/>
    <w:rsid w:val="00623401"/>
    <w:rsid w:val="00624C2E"/>
    <w:rsid w:val="00625C40"/>
    <w:rsid w:val="00627E7C"/>
    <w:rsid w:val="00630CFF"/>
    <w:rsid w:val="00631369"/>
    <w:rsid w:val="00632481"/>
    <w:rsid w:val="0063262D"/>
    <w:rsid w:val="0063268B"/>
    <w:rsid w:val="00634673"/>
    <w:rsid w:val="00637BBD"/>
    <w:rsid w:val="00640D17"/>
    <w:rsid w:val="00641A99"/>
    <w:rsid w:val="00642768"/>
    <w:rsid w:val="00642A84"/>
    <w:rsid w:val="00645E69"/>
    <w:rsid w:val="00646130"/>
    <w:rsid w:val="006467BA"/>
    <w:rsid w:val="00646ACE"/>
    <w:rsid w:val="00646B71"/>
    <w:rsid w:val="006474C0"/>
    <w:rsid w:val="00647927"/>
    <w:rsid w:val="00652B9B"/>
    <w:rsid w:val="00652F78"/>
    <w:rsid w:val="00653743"/>
    <w:rsid w:val="00653DD9"/>
    <w:rsid w:val="00654E6A"/>
    <w:rsid w:val="006551FC"/>
    <w:rsid w:val="006575F3"/>
    <w:rsid w:val="00660871"/>
    <w:rsid w:val="00661494"/>
    <w:rsid w:val="00662809"/>
    <w:rsid w:val="00663823"/>
    <w:rsid w:val="0066473B"/>
    <w:rsid w:val="00664E08"/>
    <w:rsid w:val="006650D0"/>
    <w:rsid w:val="0066774D"/>
    <w:rsid w:val="00667F42"/>
    <w:rsid w:val="00671284"/>
    <w:rsid w:val="006727FC"/>
    <w:rsid w:val="00673906"/>
    <w:rsid w:val="006756CD"/>
    <w:rsid w:val="00676E5B"/>
    <w:rsid w:val="00677D6B"/>
    <w:rsid w:val="00680795"/>
    <w:rsid w:val="00682713"/>
    <w:rsid w:val="00683451"/>
    <w:rsid w:val="00683579"/>
    <w:rsid w:val="00684044"/>
    <w:rsid w:val="006854CE"/>
    <w:rsid w:val="00686B47"/>
    <w:rsid w:val="006878FB"/>
    <w:rsid w:val="0068790B"/>
    <w:rsid w:val="006906E4"/>
    <w:rsid w:val="00691C54"/>
    <w:rsid w:val="00691E49"/>
    <w:rsid w:val="006922DC"/>
    <w:rsid w:val="006941DD"/>
    <w:rsid w:val="0069466B"/>
    <w:rsid w:val="00694795"/>
    <w:rsid w:val="006958CC"/>
    <w:rsid w:val="006A257C"/>
    <w:rsid w:val="006A2615"/>
    <w:rsid w:val="006A4158"/>
    <w:rsid w:val="006A4AA7"/>
    <w:rsid w:val="006A4E15"/>
    <w:rsid w:val="006A5866"/>
    <w:rsid w:val="006A5E4F"/>
    <w:rsid w:val="006A643C"/>
    <w:rsid w:val="006A772D"/>
    <w:rsid w:val="006B0F54"/>
    <w:rsid w:val="006B415B"/>
    <w:rsid w:val="006B45AD"/>
    <w:rsid w:val="006B4C95"/>
    <w:rsid w:val="006B4CBA"/>
    <w:rsid w:val="006B591A"/>
    <w:rsid w:val="006B7542"/>
    <w:rsid w:val="006C0182"/>
    <w:rsid w:val="006C0A59"/>
    <w:rsid w:val="006C19EE"/>
    <w:rsid w:val="006C2E46"/>
    <w:rsid w:val="006C3B05"/>
    <w:rsid w:val="006C4E45"/>
    <w:rsid w:val="006C5EE1"/>
    <w:rsid w:val="006C61B1"/>
    <w:rsid w:val="006C6DB8"/>
    <w:rsid w:val="006C799D"/>
    <w:rsid w:val="006D0643"/>
    <w:rsid w:val="006D0669"/>
    <w:rsid w:val="006D1D4E"/>
    <w:rsid w:val="006D3771"/>
    <w:rsid w:val="006D440A"/>
    <w:rsid w:val="006D514A"/>
    <w:rsid w:val="006D53A5"/>
    <w:rsid w:val="006D5599"/>
    <w:rsid w:val="006D592F"/>
    <w:rsid w:val="006D62BE"/>
    <w:rsid w:val="006D7B71"/>
    <w:rsid w:val="006E0006"/>
    <w:rsid w:val="006E01BB"/>
    <w:rsid w:val="006E0DF6"/>
    <w:rsid w:val="006E18B9"/>
    <w:rsid w:val="006E1BDE"/>
    <w:rsid w:val="006E336C"/>
    <w:rsid w:val="006E35A9"/>
    <w:rsid w:val="006E3B9E"/>
    <w:rsid w:val="006E4A27"/>
    <w:rsid w:val="006E5828"/>
    <w:rsid w:val="006E6BB9"/>
    <w:rsid w:val="006E784F"/>
    <w:rsid w:val="006F0913"/>
    <w:rsid w:val="006F0B4F"/>
    <w:rsid w:val="006F0E97"/>
    <w:rsid w:val="006F2DF3"/>
    <w:rsid w:val="006F2DF9"/>
    <w:rsid w:val="006F3C6F"/>
    <w:rsid w:val="006F41C6"/>
    <w:rsid w:val="006F5DD9"/>
    <w:rsid w:val="006F6FA2"/>
    <w:rsid w:val="007001D0"/>
    <w:rsid w:val="00700CE3"/>
    <w:rsid w:val="00701498"/>
    <w:rsid w:val="00701E70"/>
    <w:rsid w:val="00704F47"/>
    <w:rsid w:val="0070512B"/>
    <w:rsid w:val="00705BC0"/>
    <w:rsid w:val="007072BA"/>
    <w:rsid w:val="007072C2"/>
    <w:rsid w:val="007073E7"/>
    <w:rsid w:val="0070746B"/>
    <w:rsid w:val="007075CA"/>
    <w:rsid w:val="00710C02"/>
    <w:rsid w:val="0071151E"/>
    <w:rsid w:val="007118AC"/>
    <w:rsid w:val="00711FC7"/>
    <w:rsid w:val="0071482B"/>
    <w:rsid w:val="00714C8F"/>
    <w:rsid w:val="00715A32"/>
    <w:rsid w:val="00716F57"/>
    <w:rsid w:val="00717A74"/>
    <w:rsid w:val="00720EA2"/>
    <w:rsid w:val="00721409"/>
    <w:rsid w:val="00721BFF"/>
    <w:rsid w:val="00721CE0"/>
    <w:rsid w:val="007221A2"/>
    <w:rsid w:val="00722935"/>
    <w:rsid w:val="00727815"/>
    <w:rsid w:val="007301A7"/>
    <w:rsid w:val="00730E31"/>
    <w:rsid w:val="00732432"/>
    <w:rsid w:val="007346F8"/>
    <w:rsid w:val="00734D66"/>
    <w:rsid w:val="00734E06"/>
    <w:rsid w:val="0073503C"/>
    <w:rsid w:val="00736E9D"/>
    <w:rsid w:val="007373FA"/>
    <w:rsid w:val="00737718"/>
    <w:rsid w:val="00737E7D"/>
    <w:rsid w:val="0074063F"/>
    <w:rsid w:val="00740EF1"/>
    <w:rsid w:val="007416F9"/>
    <w:rsid w:val="0074250E"/>
    <w:rsid w:val="007437BA"/>
    <w:rsid w:val="007444E7"/>
    <w:rsid w:val="00744DBD"/>
    <w:rsid w:val="00745398"/>
    <w:rsid w:val="00747B90"/>
    <w:rsid w:val="00754870"/>
    <w:rsid w:val="007561F0"/>
    <w:rsid w:val="00756632"/>
    <w:rsid w:val="0075754A"/>
    <w:rsid w:val="00760554"/>
    <w:rsid w:val="0076083D"/>
    <w:rsid w:val="00761DC2"/>
    <w:rsid w:val="00762B1E"/>
    <w:rsid w:val="00764B94"/>
    <w:rsid w:val="007652E2"/>
    <w:rsid w:val="00765A82"/>
    <w:rsid w:val="00766434"/>
    <w:rsid w:val="00770485"/>
    <w:rsid w:val="00770E10"/>
    <w:rsid w:val="00771E5C"/>
    <w:rsid w:val="00772107"/>
    <w:rsid w:val="00773C46"/>
    <w:rsid w:val="00773E30"/>
    <w:rsid w:val="007742FF"/>
    <w:rsid w:val="00774A83"/>
    <w:rsid w:val="00775146"/>
    <w:rsid w:val="0077566D"/>
    <w:rsid w:val="00776097"/>
    <w:rsid w:val="007766A5"/>
    <w:rsid w:val="00776E39"/>
    <w:rsid w:val="0078016D"/>
    <w:rsid w:val="00781778"/>
    <w:rsid w:val="00782098"/>
    <w:rsid w:val="00786231"/>
    <w:rsid w:val="00786C0B"/>
    <w:rsid w:val="007900CB"/>
    <w:rsid w:val="007905B2"/>
    <w:rsid w:val="00790D2F"/>
    <w:rsid w:val="00790E9B"/>
    <w:rsid w:val="00791492"/>
    <w:rsid w:val="007917E7"/>
    <w:rsid w:val="007927C6"/>
    <w:rsid w:val="0079348E"/>
    <w:rsid w:val="00793EEB"/>
    <w:rsid w:val="0079405B"/>
    <w:rsid w:val="00795679"/>
    <w:rsid w:val="007965BF"/>
    <w:rsid w:val="0079797F"/>
    <w:rsid w:val="007A05F4"/>
    <w:rsid w:val="007A0BB9"/>
    <w:rsid w:val="007A14E8"/>
    <w:rsid w:val="007A1D73"/>
    <w:rsid w:val="007A3830"/>
    <w:rsid w:val="007A4023"/>
    <w:rsid w:val="007A5445"/>
    <w:rsid w:val="007A5A94"/>
    <w:rsid w:val="007A5E11"/>
    <w:rsid w:val="007A6C47"/>
    <w:rsid w:val="007B28CF"/>
    <w:rsid w:val="007B31F7"/>
    <w:rsid w:val="007B347F"/>
    <w:rsid w:val="007B39F6"/>
    <w:rsid w:val="007B5A98"/>
    <w:rsid w:val="007B5E30"/>
    <w:rsid w:val="007C1DB0"/>
    <w:rsid w:val="007C2270"/>
    <w:rsid w:val="007C27D4"/>
    <w:rsid w:val="007C4CCE"/>
    <w:rsid w:val="007C570A"/>
    <w:rsid w:val="007C59CC"/>
    <w:rsid w:val="007C6A99"/>
    <w:rsid w:val="007C6BA1"/>
    <w:rsid w:val="007C7D49"/>
    <w:rsid w:val="007C7DE5"/>
    <w:rsid w:val="007D003D"/>
    <w:rsid w:val="007D0EEB"/>
    <w:rsid w:val="007D1D99"/>
    <w:rsid w:val="007D27B5"/>
    <w:rsid w:val="007D4D2A"/>
    <w:rsid w:val="007D763D"/>
    <w:rsid w:val="007E00B1"/>
    <w:rsid w:val="007E0749"/>
    <w:rsid w:val="007E2F87"/>
    <w:rsid w:val="007E334F"/>
    <w:rsid w:val="007E4155"/>
    <w:rsid w:val="007E57B5"/>
    <w:rsid w:val="007E5D39"/>
    <w:rsid w:val="007E66C8"/>
    <w:rsid w:val="007E67BD"/>
    <w:rsid w:val="007E6BBD"/>
    <w:rsid w:val="007F06E1"/>
    <w:rsid w:val="007F0C09"/>
    <w:rsid w:val="007F138F"/>
    <w:rsid w:val="007F3E75"/>
    <w:rsid w:val="007F517F"/>
    <w:rsid w:val="007F6391"/>
    <w:rsid w:val="007F6FB8"/>
    <w:rsid w:val="007F7481"/>
    <w:rsid w:val="007F76FF"/>
    <w:rsid w:val="00801491"/>
    <w:rsid w:val="008015A7"/>
    <w:rsid w:val="00801EF6"/>
    <w:rsid w:val="00802AEC"/>
    <w:rsid w:val="00803099"/>
    <w:rsid w:val="0080406C"/>
    <w:rsid w:val="0080562C"/>
    <w:rsid w:val="008071D0"/>
    <w:rsid w:val="0081066B"/>
    <w:rsid w:val="00810809"/>
    <w:rsid w:val="00810C6A"/>
    <w:rsid w:val="00810C86"/>
    <w:rsid w:val="00812350"/>
    <w:rsid w:val="00812369"/>
    <w:rsid w:val="00812741"/>
    <w:rsid w:val="008128E3"/>
    <w:rsid w:val="00815871"/>
    <w:rsid w:val="00816AB7"/>
    <w:rsid w:val="00821789"/>
    <w:rsid w:val="0082180B"/>
    <w:rsid w:val="00821BC9"/>
    <w:rsid w:val="00821E61"/>
    <w:rsid w:val="00823809"/>
    <w:rsid w:val="00825147"/>
    <w:rsid w:val="00825D4F"/>
    <w:rsid w:val="00826388"/>
    <w:rsid w:val="00830017"/>
    <w:rsid w:val="00830787"/>
    <w:rsid w:val="00830DC9"/>
    <w:rsid w:val="00831489"/>
    <w:rsid w:val="00833A6A"/>
    <w:rsid w:val="00833E2F"/>
    <w:rsid w:val="00834B76"/>
    <w:rsid w:val="00834F9A"/>
    <w:rsid w:val="008368F3"/>
    <w:rsid w:val="008400A8"/>
    <w:rsid w:val="0084156A"/>
    <w:rsid w:val="008427B1"/>
    <w:rsid w:val="008449FF"/>
    <w:rsid w:val="0084601D"/>
    <w:rsid w:val="008462FB"/>
    <w:rsid w:val="00846C73"/>
    <w:rsid w:val="00850462"/>
    <w:rsid w:val="0085161D"/>
    <w:rsid w:val="008526B0"/>
    <w:rsid w:val="00855597"/>
    <w:rsid w:val="00855780"/>
    <w:rsid w:val="00856178"/>
    <w:rsid w:val="00856C69"/>
    <w:rsid w:val="008570AB"/>
    <w:rsid w:val="00862545"/>
    <w:rsid w:val="00862B4D"/>
    <w:rsid w:val="008653B5"/>
    <w:rsid w:val="00865A76"/>
    <w:rsid w:val="008663D7"/>
    <w:rsid w:val="0086730B"/>
    <w:rsid w:val="008679E6"/>
    <w:rsid w:val="00867A0F"/>
    <w:rsid w:val="00871811"/>
    <w:rsid w:val="00872E1F"/>
    <w:rsid w:val="00873942"/>
    <w:rsid w:val="00873D70"/>
    <w:rsid w:val="0087400E"/>
    <w:rsid w:val="00874D00"/>
    <w:rsid w:val="00880558"/>
    <w:rsid w:val="00883894"/>
    <w:rsid w:val="00885DA2"/>
    <w:rsid w:val="00885E17"/>
    <w:rsid w:val="00886342"/>
    <w:rsid w:val="008875DE"/>
    <w:rsid w:val="00887759"/>
    <w:rsid w:val="0089092F"/>
    <w:rsid w:val="00893594"/>
    <w:rsid w:val="008947EA"/>
    <w:rsid w:val="00894ABF"/>
    <w:rsid w:val="00896FF4"/>
    <w:rsid w:val="008A0E85"/>
    <w:rsid w:val="008A15CB"/>
    <w:rsid w:val="008A1DDE"/>
    <w:rsid w:val="008A371D"/>
    <w:rsid w:val="008A5443"/>
    <w:rsid w:val="008A55A8"/>
    <w:rsid w:val="008A5F01"/>
    <w:rsid w:val="008A6B66"/>
    <w:rsid w:val="008A7078"/>
    <w:rsid w:val="008B0969"/>
    <w:rsid w:val="008B0FAD"/>
    <w:rsid w:val="008B11D0"/>
    <w:rsid w:val="008B12B5"/>
    <w:rsid w:val="008B2270"/>
    <w:rsid w:val="008B32B6"/>
    <w:rsid w:val="008B4464"/>
    <w:rsid w:val="008B4BF2"/>
    <w:rsid w:val="008B56E5"/>
    <w:rsid w:val="008B5AFD"/>
    <w:rsid w:val="008B6650"/>
    <w:rsid w:val="008B729C"/>
    <w:rsid w:val="008B7A4E"/>
    <w:rsid w:val="008C1506"/>
    <w:rsid w:val="008C2D30"/>
    <w:rsid w:val="008C33F2"/>
    <w:rsid w:val="008C6C92"/>
    <w:rsid w:val="008C77F7"/>
    <w:rsid w:val="008D0AE4"/>
    <w:rsid w:val="008D0CAA"/>
    <w:rsid w:val="008D1B0D"/>
    <w:rsid w:val="008D20E6"/>
    <w:rsid w:val="008D2F52"/>
    <w:rsid w:val="008D3E19"/>
    <w:rsid w:val="008D4BFC"/>
    <w:rsid w:val="008D57A4"/>
    <w:rsid w:val="008D5F06"/>
    <w:rsid w:val="008D6B57"/>
    <w:rsid w:val="008D74C3"/>
    <w:rsid w:val="008D7DFC"/>
    <w:rsid w:val="008E00FD"/>
    <w:rsid w:val="008E07C6"/>
    <w:rsid w:val="008E33EA"/>
    <w:rsid w:val="008E36DA"/>
    <w:rsid w:val="008E4180"/>
    <w:rsid w:val="008E5BB7"/>
    <w:rsid w:val="008E5F84"/>
    <w:rsid w:val="008E6A1B"/>
    <w:rsid w:val="008E6FF6"/>
    <w:rsid w:val="008E72E5"/>
    <w:rsid w:val="008E79F9"/>
    <w:rsid w:val="008E7DCC"/>
    <w:rsid w:val="008F0108"/>
    <w:rsid w:val="008F0EA9"/>
    <w:rsid w:val="008F11E6"/>
    <w:rsid w:val="008F1B1E"/>
    <w:rsid w:val="008F2B7E"/>
    <w:rsid w:val="008F31DF"/>
    <w:rsid w:val="008F38F6"/>
    <w:rsid w:val="008F411D"/>
    <w:rsid w:val="008F4D31"/>
    <w:rsid w:val="008F53F5"/>
    <w:rsid w:val="008F56A2"/>
    <w:rsid w:val="008F5FF0"/>
    <w:rsid w:val="008F61F2"/>
    <w:rsid w:val="008F63BB"/>
    <w:rsid w:val="008F63BC"/>
    <w:rsid w:val="008F6485"/>
    <w:rsid w:val="008F710C"/>
    <w:rsid w:val="008F7B17"/>
    <w:rsid w:val="008F7F78"/>
    <w:rsid w:val="00900316"/>
    <w:rsid w:val="0090122A"/>
    <w:rsid w:val="00901F73"/>
    <w:rsid w:val="0090394F"/>
    <w:rsid w:val="009054D3"/>
    <w:rsid w:val="00905587"/>
    <w:rsid w:val="00907B9D"/>
    <w:rsid w:val="00910CFA"/>
    <w:rsid w:val="00911318"/>
    <w:rsid w:val="009125D2"/>
    <w:rsid w:val="00915E3F"/>
    <w:rsid w:val="00915F49"/>
    <w:rsid w:val="00915F97"/>
    <w:rsid w:val="0091667D"/>
    <w:rsid w:val="00921412"/>
    <w:rsid w:val="00921AE3"/>
    <w:rsid w:val="0092273F"/>
    <w:rsid w:val="009238F1"/>
    <w:rsid w:val="009249B4"/>
    <w:rsid w:val="00926716"/>
    <w:rsid w:val="009270DB"/>
    <w:rsid w:val="00930896"/>
    <w:rsid w:val="00930BEB"/>
    <w:rsid w:val="0093163A"/>
    <w:rsid w:val="0093172C"/>
    <w:rsid w:val="009323DF"/>
    <w:rsid w:val="00932AFC"/>
    <w:rsid w:val="0093389C"/>
    <w:rsid w:val="00933A7D"/>
    <w:rsid w:val="00933DA9"/>
    <w:rsid w:val="0093491F"/>
    <w:rsid w:val="00935E14"/>
    <w:rsid w:val="00941E4F"/>
    <w:rsid w:val="00942454"/>
    <w:rsid w:val="00943664"/>
    <w:rsid w:val="00943E97"/>
    <w:rsid w:val="0094480E"/>
    <w:rsid w:val="00947B5B"/>
    <w:rsid w:val="00950281"/>
    <w:rsid w:val="00951BD3"/>
    <w:rsid w:val="009529FD"/>
    <w:rsid w:val="00952B8F"/>
    <w:rsid w:val="0095569B"/>
    <w:rsid w:val="009559F2"/>
    <w:rsid w:val="009562CC"/>
    <w:rsid w:val="00957310"/>
    <w:rsid w:val="0095750D"/>
    <w:rsid w:val="00962B8F"/>
    <w:rsid w:val="009637E4"/>
    <w:rsid w:val="00964464"/>
    <w:rsid w:val="00965665"/>
    <w:rsid w:val="0096632E"/>
    <w:rsid w:val="00966D4F"/>
    <w:rsid w:val="00970E65"/>
    <w:rsid w:val="0097102C"/>
    <w:rsid w:val="00971CBF"/>
    <w:rsid w:val="00971F52"/>
    <w:rsid w:val="0097202E"/>
    <w:rsid w:val="00972E0B"/>
    <w:rsid w:val="0097462D"/>
    <w:rsid w:val="009748F0"/>
    <w:rsid w:val="00974A7C"/>
    <w:rsid w:val="0097587B"/>
    <w:rsid w:val="009766FE"/>
    <w:rsid w:val="00977715"/>
    <w:rsid w:val="00980439"/>
    <w:rsid w:val="00982444"/>
    <w:rsid w:val="00982BA7"/>
    <w:rsid w:val="00982D92"/>
    <w:rsid w:val="00982F10"/>
    <w:rsid w:val="009834A0"/>
    <w:rsid w:val="009843A8"/>
    <w:rsid w:val="00984993"/>
    <w:rsid w:val="00984CA2"/>
    <w:rsid w:val="009854F1"/>
    <w:rsid w:val="0098714A"/>
    <w:rsid w:val="00993EA1"/>
    <w:rsid w:val="00994654"/>
    <w:rsid w:val="0099496C"/>
    <w:rsid w:val="00996569"/>
    <w:rsid w:val="009A057B"/>
    <w:rsid w:val="009A06F0"/>
    <w:rsid w:val="009A14DE"/>
    <w:rsid w:val="009A40DD"/>
    <w:rsid w:val="009A43AE"/>
    <w:rsid w:val="009A53AE"/>
    <w:rsid w:val="009A72B5"/>
    <w:rsid w:val="009A7BC2"/>
    <w:rsid w:val="009B011E"/>
    <w:rsid w:val="009B0FC0"/>
    <w:rsid w:val="009B1897"/>
    <w:rsid w:val="009B1BB7"/>
    <w:rsid w:val="009B1C51"/>
    <w:rsid w:val="009B48D4"/>
    <w:rsid w:val="009B751B"/>
    <w:rsid w:val="009C0992"/>
    <w:rsid w:val="009C0C48"/>
    <w:rsid w:val="009C1830"/>
    <w:rsid w:val="009C23DA"/>
    <w:rsid w:val="009C24B3"/>
    <w:rsid w:val="009C29F4"/>
    <w:rsid w:val="009C2C09"/>
    <w:rsid w:val="009C2E5A"/>
    <w:rsid w:val="009C6174"/>
    <w:rsid w:val="009C6214"/>
    <w:rsid w:val="009C672A"/>
    <w:rsid w:val="009C7B18"/>
    <w:rsid w:val="009C7D55"/>
    <w:rsid w:val="009C7F52"/>
    <w:rsid w:val="009D07F2"/>
    <w:rsid w:val="009D1884"/>
    <w:rsid w:val="009D24A3"/>
    <w:rsid w:val="009D2FD6"/>
    <w:rsid w:val="009D3295"/>
    <w:rsid w:val="009D3665"/>
    <w:rsid w:val="009D3C84"/>
    <w:rsid w:val="009D40C6"/>
    <w:rsid w:val="009D54F3"/>
    <w:rsid w:val="009D6969"/>
    <w:rsid w:val="009D7470"/>
    <w:rsid w:val="009D7A58"/>
    <w:rsid w:val="009E0828"/>
    <w:rsid w:val="009E0CED"/>
    <w:rsid w:val="009E17A2"/>
    <w:rsid w:val="009E2D23"/>
    <w:rsid w:val="009E4043"/>
    <w:rsid w:val="009E43C1"/>
    <w:rsid w:val="009E6DF1"/>
    <w:rsid w:val="009F3BA0"/>
    <w:rsid w:val="009F3F5D"/>
    <w:rsid w:val="009F43CB"/>
    <w:rsid w:val="009F4CB9"/>
    <w:rsid w:val="00A01C02"/>
    <w:rsid w:val="00A02D24"/>
    <w:rsid w:val="00A05113"/>
    <w:rsid w:val="00A054DC"/>
    <w:rsid w:val="00A069AE"/>
    <w:rsid w:val="00A10389"/>
    <w:rsid w:val="00A1133E"/>
    <w:rsid w:val="00A11888"/>
    <w:rsid w:val="00A11E62"/>
    <w:rsid w:val="00A11E8F"/>
    <w:rsid w:val="00A12369"/>
    <w:rsid w:val="00A13522"/>
    <w:rsid w:val="00A14357"/>
    <w:rsid w:val="00A1524F"/>
    <w:rsid w:val="00A15E63"/>
    <w:rsid w:val="00A167D9"/>
    <w:rsid w:val="00A17672"/>
    <w:rsid w:val="00A20A6B"/>
    <w:rsid w:val="00A20C5D"/>
    <w:rsid w:val="00A222CA"/>
    <w:rsid w:val="00A225E3"/>
    <w:rsid w:val="00A23898"/>
    <w:rsid w:val="00A239CC"/>
    <w:rsid w:val="00A23BC2"/>
    <w:rsid w:val="00A248C9"/>
    <w:rsid w:val="00A279AC"/>
    <w:rsid w:val="00A30C5D"/>
    <w:rsid w:val="00A310F1"/>
    <w:rsid w:val="00A31C68"/>
    <w:rsid w:val="00A32018"/>
    <w:rsid w:val="00A325AE"/>
    <w:rsid w:val="00A326A6"/>
    <w:rsid w:val="00A35FAA"/>
    <w:rsid w:val="00A40163"/>
    <w:rsid w:val="00A409BC"/>
    <w:rsid w:val="00A42F6D"/>
    <w:rsid w:val="00A44612"/>
    <w:rsid w:val="00A44720"/>
    <w:rsid w:val="00A46164"/>
    <w:rsid w:val="00A46A8E"/>
    <w:rsid w:val="00A51337"/>
    <w:rsid w:val="00A5370B"/>
    <w:rsid w:val="00A537E5"/>
    <w:rsid w:val="00A540A5"/>
    <w:rsid w:val="00A54248"/>
    <w:rsid w:val="00A55B6F"/>
    <w:rsid w:val="00A61BD0"/>
    <w:rsid w:val="00A6356C"/>
    <w:rsid w:val="00A6388E"/>
    <w:rsid w:val="00A64FD7"/>
    <w:rsid w:val="00A70398"/>
    <w:rsid w:val="00A709AD"/>
    <w:rsid w:val="00A70E0E"/>
    <w:rsid w:val="00A727E7"/>
    <w:rsid w:val="00A72DA9"/>
    <w:rsid w:val="00A733CB"/>
    <w:rsid w:val="00A7382D"/>
    <w:rsid w:val="00A739DF"/>
    <w:rsid w:val="00A740A0"/>
    <w:rsid w:val="00A751AD"/>
    <w:rsid w:val="00A773CD"/>
    <w:rsid w:val="00A775CF"/>
    <w:rsid w:val="00A77853"/>
    <w:rsid w:val="00A77FAF"/>
    <w:rsid w:val="00A805EB"/>
    <w:rsid w:val="00A80C87"/>
    <w:rsid w:val="00A81EED"/>
    <w:rsid w:val="00A84503"/>
    <w:rsid w:val="00A867DA"/>
    <w:rsid w:val="00A8782F"/>
    <w:rsid w:val="00A8787D"/>
    <w:rsid w:val="00A9167D"/>
    <w:rsid w:val="00A92D25"/>
    <w:rsid w:val="00A9401F"/>
    <w:rsid w:val="00A94689"/>
    <w:rsid w:val="00A94DDB"/>
    <w:rsid w:val="00A94F82"/>
    <w:rsid w:val="00A95D12"/>
    <w:rsid w:val="00A965CD"/>
    <w:rsid w:val="00A97A77"/>
    <w:rsid w:val="00AA1BEC"/>
    <w:rsid w:val="00AA27AA"/>
    <w:rsid w:val="00AA2DF3"/>
    <w:rsid w:val="00AA3697"/>
    <w:rsid w:val="00AA4761"/>
    <w:rsid w:val="00AA50BC"/>
    <w:rsid w:val="00AA53C9"/>
    <w:rsid w:val="00AA6AE4"/>
    <w:rsid w:val="00AA7462"/>
    <w:rsid w:val="00AB24E7"/>
    <w:rsid w:val="00AB3237"/>
    <w:rsid w:val="00AB3917"/>
    <w:rsid w:val="00AB3A2D"/>
    <w:rsid w:val="00AB4AC8"/>
    <w:rsid w:val="00AB5E21"/>
    <w:rsid w:val="00AB75AE"/>
    <w:rsid w:val="00AB76EC"/>
    <w:rsid w:val="00AB7933"/>
    <w:rsid w:val="00AC0B5A"/>
    <w:rsid w:val="00AC13C9"/>
    <w:rsid w:val="00AC3071"/>
    <w:rsid w:val="00AC3A08"/>
    <w:rsid w:val="00AC3D18"/>
    <w:rsid w:val="00AC6332"/>
    <w:rsid w:val="00AD10CF"/>
    <w:rsid w:val="00AD2FC0"/>
    <w:rsid w:val="00AD35EA"/>
    <w:rsid w:val="00AD3BC7"/>
    <w:rsid w:val="00AD3DE4"/>
    <w:rsid w:val="00AD42E2"/>
    <w:rsid w:val="00AD4967"/>
    <w:rsid w:val="00AD562E"/>
    <w:rsid w:val="00AD5B1B"/>
    <w:rsid w:val="00AD66BE"/>
    <w:rsid w:val="00AD6CDC"/>
    <w:rsid w:val="00AD6DB9"/>
    <w:rsid w:val="00AE2359"/>
    <w:rsid w:val="00AE2459"/>
    <w:rsid w:val="00AE29C2"/>
    <w:rsid w:val="00AE3D23"/>
    <w:rsid w:val="00AE4EC8"/>
    <w:rsid w:val="00AE517C"/>
    <w:rsid w:val="00AE599E"/>
    <w:rsid w:val="00AE5D9F"/>
    <w:rsid w:val="00AE5F15"/>
    <w:rsid w:val="00AE61C0"/>
    <w:rsid w:val="00AE66D1"/>
    <w:rsid w:val="00AE76C9"/>
    <w:rsid w:val="00AE7742"/>
    <w:rsid w:val="00AF06B4"/>
    <w:rsid w:val="00AF07CF"/>
    <w:rsid w:val="00AF0C7E"/>
    <w:rsid w:val="00AF0EB2"/>
    <w:rsid w:val="00AF2791"/>
    <w:rsid w:val="00AF29E5"/>
    <w:rsid w:val="00AF2EF5"/>
    <w:rsid w:val="00AF3117"/>
    <w:rsid w:val="00AF326B"/>
    <w:rsid w:val="00AF32B8"/>
    <w:rsid w:val="00AF32F0"/>
    <w:rsid w:val="00AF3811"/>
    <w:rsid w:val="00AF40C6"/>
    <w:rsid w:val="00AF418D"/>
    <w:rsid w:val="00AF4FEB"/>
    <w:rsid w:val="00AF560E"/>
    <w:rsid w:val="00AF6220"/>
    <w:rsid w:val="00AF70EE"/>
    <w:rsid w:val="00AF7618"/>
    <w:rsid w:val="00B00B01"/>
    <w:rsid w:val="00B01B95"/>
    <w:rsid w:val="00B04550"/>
    <w:rsid w:val="00B04964"/>
    <w:rsid w:val="00B04CBD"/>
    <w:rsid w:val="00B07F43"/>
    <w:rsid w:val="00B10605"/>
    <w:rsid w:val="00B10F95"/>
    <w:rsid w:val="00B11B0A"/>
    <w:rsid w:val="00B12331"/>
    <w:rsid w:val="00B15B71"/>
    <w:rsid w:val="00B166C6"/>
    <w:rsid w:val="00B21941"/>
    <w:rsid w:val="00B21EB4"/>
    <w:rsid w:val="00B22A5B"/>
    <w:rsid w:val="00B2691D"/>
    <w:rsid w:val="00B26C44"/>
    <w:rsid w:val="00B27820"/>
    <w:rsid w:val="00B30944"/>
    <w:rsid w:val="00B3104B"/>
    <w:rsid w:val="00B32AAC"/>
    <w:rsid w:val="00B33F4D"/>
    <w:rsid w:val="00B346FB"/>
    <w:rsid w:val="00B36CFC"/>
    <w:rsid w:val="00B37148"/>
    <w:rsid w:val="00B37AFC"/>
    <w:rsid w:val="00B4084B"/>
    <w:rsid w:val="00B42B56"/>
    <w:rsid w:val="00B4466D"/>
    <w:rsid w:val="00B45864"/>
    <w:rsid w:val="00B460B5"/>
    <w:rsid w:val="00B461BD"/>
    <w:rsid w:val="00B47F4C"/>
    <w:rsid w:val="00B50958"/>
    <w:rsid w:val="00B51526"/>
    <w:rsid w:val="00B52AC8"/>
    <w:rsid w:val="00B567D8"/>
    <w:rsid w:val="00B60F6F"/>
    <w:rsid w:val="00B61A52"/>
    <w:rsid w:val="00B6230B"/>
    <w:rsid w:val="00B63C3C"/>
    <w:rsid w:val="00B64DE4"/>
    <w:rsid w:val="00B65561"/>
    <w:rsid w:val="00B676B8"/>
    <w:rsid w:val="00B70250"/>
    <w:rsid w:val="00B70C9E"/>
    <w:rsid w:val="00B71222"/>
    <w:rsid w:val="00B712E7"/>
    <w:rsid w:val="00B7358B"/>
    <w:rsid w:val="00B7388C"/>
    <w:rsid w:val="00B73E0D"/>
    <w:rsid w:val="00B7521F"/>
    <w:rsid w:val="00B8227E"/>
    <w:rsid w:val="00B830A1"/>
    <w:rsid w:val="00B83160"/>
    <w:rsid w:val="00B8365B"/>
    <w:rsid w:val="00B83705"/>
    <w:rsid w:val="00B83CA0"/>
    <w:rsid w:val="00B84243"/>
    <w:rsid w:val="00B85C34"/>
    <w:rsid w:val="00B86CCD"/>
    <w:rsid w:val="00B876C0"/>
    <w:rsid w:val="00B87806"/>
    <w:rsid w:val="00B93884"/>
    <w:rsid w:val="00B94405"/>
    <w:rsid w:val="00B94A65"/>
    <w:rsid w:val="00B94ADF"/>
    <w:rsid w:val="00B94FB4"/>
    <w:rsid w:val="00B95D2D"/>
    <w:rsid w:val="00B9607C"/>
    <w:rsid w:val="00B9676C"/>
    <w:rsid w:val="00BA0966"/>
    <w:rsid w:val="00BA0F2F"/>
    <w:rsid w:val="00BA2051"/>
    <w:rsid w:val="00BA379F"/>
    <w:rsid w:val="00BA6777"/>
    <w:rsid w:val="00BB0E3A"/>
    <w:rsid w:val="00BB2A98"/>
    <w:rsid w:val="00BB3AB5"/>
    <w:rsid w:val="00BB3DA8"/>
    <w:rsid w:val="00BB498B"/>
    <w:rsid w:val="00BB5FC2"/>
    <w:rsid w:val="00BB6D23"/>
    <w:rsid w:val="00BB721D"/>
    <w:rsid w:val="00BB7455"/>
    <w:rsid w:val="00BB75F4"/>
    <w:rsid w:val="00BC2C65"/>
    <w:rsid w:val="00BC3CAB"/>
    <w:rsid w:val="00BC42CE"/>
    <w:rsid w:val="00BC6702"/>
    <w:rsid w:val="00BD210E"/>
    <w:rsid w:val="00BD40CB"/>
    <w:rsid w:val="00BD4954"/>
    <w:rsid w:val="00BD78D5"/>
    <w:rsid w:val="00BE0A68"/>
    <w:rsid w:val="00BE537C"/>
    <w:rsid w:val="00BE6D85"/>
    <w:rsid w:val="00BE70B3"/>
    <w:rsid w:val="00BE7D58"/>
    <w:rsid w:val="00BF0270"/>
    <w:rsid w:val="00BF0E14"/>
    <w:rsid w:val="00BF14CB"/>
    <w:rsid w:val="00BF164E"/>
    <w:rsid w:val="00BF1A33"/>
    <w:rsid w:val="00BF23C3"/>
    <w:rsid w:val="00BF3D35"/>
    <w:rsid w:val="00BF5B9E"/>
    <w:rsid w:val="00BF6D42"/>
    <w:rsid w:val="00BF7ED9"/>
    <w:rsid w:val="00C00AA5"/>
    <w:rsid w:val="00C02450"/>
    <w:rsid w:val="00C05472"/>
    <w:rsid w:val="00C066AF"/>
    <w:rsid w:val="00C07DEC"/>
    <w:rsid w:val="00C1005F"/>
    <w:rsid w:val="00C107D2"/>
    <w:rsid w:val="00C11F05"/>
    <w:rsid w:val="00C11F2F"/>
    <w:rsid w:val="00C12D0A"/>
    <w:rsid w:val="00C13681"/>
    <w:rsid w:val="00C13DA0"/>
    <w:rsid w:val="00C15DEF"/>
    <w:rsid w:val="00C20E76"/>
    <w:rsid w:val="00C23647"/>
    <w:rsid w:val="00C2476F"/>
    <w:rsid w:val="00C2641F"/>
    <w:rsid w:val="00C26B7D"/>
    <w:rsid w:val="00C2729B"/>
    <w:rsid w:val="00C276B1"/>
    <w:rsid w:val="00C3009E"/>
    <w:rsid w:val="00C31E81"/>
    <w:rsid w:val="00C3239B"/>
    <w:rsid w:val="00C3249E"/>
    <w:rsid w:val="00C3303C"/>
    <w:rsid w:val="00C3324A"/>
    <w:rsid w:val="00C342CD"/>
    <w:rsid w:val="00C34390"/>
    <w:rsid w:val="00C34C59"/>
    <w:rsid w:val="00C359BA"/>
    <w:rsid w:val="00C36775"/>
    <w:rsid w:val="00C40689"/>
    <w:rsid w:val="00C409B1"/>
    <w:rsid w:val="00C41D55"/>
    <w:rsid w:val="00C428E6"/>
    <w:rsid w:val="00C42D37"/>
    <w:rsid w:val="00C431A3"/>
    <w:rsid w:val="00C44195"/>
    <w:rsid w:val="00C44BE3"/>
    <w:rsid w:val="00C44C1D"/>
    <w:rsid w:val="00C450A9"/>
    <w:rsid w:val="00C45903"/>
    <w:rsid w:val="00C46D0E"/>
    <w:rsid w:val="00C47056"/>
    <w:rsid w:val="00C52498"/>
    <w:rsid w:val="00C53EF2"/>
    <w:rsid w:val="00C55846"/>
    <w:rsid w:val="00C55E96"/>
    <w:rsid w:val="00C60753"/>
    <w:rsid w:val="00C6305B"/>
    <w:rsid w:val="00C63109"/>
    <w:rsid w:val="00C63C1F"/>
    <w:rsid w:val="00C63ED7"/>
    <w:rsid w:val="00C671E0"/>
    <w:rsid w:val="00C705DA"/>
    <w:rsid w:val="00C7356F"/>
    <w:rsid w:val="00C73F3A"/>
    <w:rsid w:val="00C74126"/>
    <w:rsid w:val="00C74B80"/>
    <w:rsid w:val="00C74C39"/>
    <w:rsid w:val="00C74DA9"/>
    <w:rsid w:val="00C753BA"/>
    <w:rsid w:val="00C7638D"/>
    <w:rsid w:val="00C763EA"/>
    <w:rsid w:val="00C77417"/>
    <w:rsid w:val="00C8049D"/>
    <w:rsid w:val="00C854F5"/>
    <w:rsid w:val="00C85E77"/>
    <w:rsid w:val="00C86D90"/>
    <w:rsid w:val="00C872C5"/>
    <w:rsid w:val="00C8748F"/>
    <w:rsid w:val="00C87FB8"/>
    <w:rsid w:val="00C91347"/>
    <w:rsid w:val="00C91CF4"/>
    <w:rsid w:val="00C92123"/>
    <w:rsid w:val="00C95596"/>
    <w:rsid w:val="00C95850"/>
    <w:rsid w:val="00C95B85"/>
    <w:rsid w:val="00C966D6"/>
    <w:rsid w:val="00C978F2"/>
    <w:rsid w:val="00C97F24"/>
    <w:rsid w:val="00C97F3F"/>
    <w:rsid w:val="00CA0B5E"/>
    <w:rsid w:val="00CA0F4F"/>
    <w:rsid w:val="00CA15D7"/>
    <w:rsid w:val="00CA2F21"/>
    <w:rsid w:val="00CA3214"/>
    <w:rsid w:val="00CA450E"/>
    <w:rsid w:val="00CA475B"/>
    <w:rsid w:val="00CA4819"/>
    <w:rsid w:val="00CA49A3"/>
    <w:rsid w:val="00CA600B"/>
    <w:rsid w:val="00CA6102"/>
    <w:rsid w:val="00CA709C"/>
    <w:rsid w:val="00CB1F59"/>
    <w:rsid w:val="00CB4589"/>
    <w:rsid w:val="00CB54F0"/>
    <w:rsid w:val="00CB60C9"/>
    <w:rsid w:val="00CB62C0"/>
    <w:rsid w:val="00CB631C"/>
    <w:rsid w:val="00CB6D24"/>
    <w:rsid w:val="00CB795F"/>
    <w:rsid w:val="00CC0486"/>
    <w:rsid w:val="00CC0B67"/>
    <w:rsid w:val="00CC4867"/>
    <w:rsid w:val="00CC4E51"/>
    <w:rsid w:val="00CC5AB0"/>
    <w:rsid w:val="00CC6AFF"/>
    <w:rsid w:val="00CC7ED8"/>
    <w:rsid w:val="00CC7F08"/>
    <w:rsid w:val="00CD1BF3"/>
    <w:rsid w:val="00CD3382"/>
    <w:rsid w:val="00CD68AA"/>
    <w:rsid w:val="00CE0085"/>
    <w:rsid w:val="00CE0472"/>
    <w:rsid w:val="00CE179F"/>
    <w:rsid w:val="00CE2B6C"/>
    <w:rsid w:val="00CE2C1A"/>
    <w:rsid w:val="00CE3F03"/>
    <w:rsid w:val="00CE3F53"/>
    <w:rsid w:val="00CE4134"/>
    <w:rsid w:val="00CE558E"/>
    <w:rsid w:val="00CE5774"/>
    <w:rsid w:val="00CE7933"/>
    <w:rsid w:val="00CF164C"/>
    <w:rsid w:val="00CF2C6F"/>
    <w:rsid w:val="00CF4131"/>
    <w:rsid w:val="00CF5085"/>
    <w:rsid w:val="00CF5FDC"/>
    <w:rsid w:val="00D00382"/>
    <w:rsid w:val="00D0086A"/>
    <w:rsid w:val="00D02EF1"/>
    <w:rsid w:val="00D03E6B"/>
    <w:rsid w:val="00D05719"/>
    <w:rsid w:val="00D07A8D"/>
    <w:rsid w:val="00D1024D"/>
    <w:rsid w:val="00D11F5B"/>
    <w:rsid w:val="00D120BF"/>
    <w:rsid w:val="00D143EC"/>
    <w:rsid w:val="00D1469B"/>
    <w:rsid w:val="00D15792"/>
    <w:rsid w:val="00D1741D"/>
    <w:rsid w:val="00D174C3"/>
    <w:rsid w:val="00D17D15"/>
    <w:rsid w:val="00D17E55"/>
    <w:rsid w:val="00D2179B"/>
    <w:rsid w:val="00D22699"/>
    <w:rsid w:val="00D2316C"/>
    <w:rsid w:val="00D23531"/>
    <w:rsid w:val="00D24AF7"/>
    <w:rsid w:val="00D24D0C"/>
    <w:rsid w:val="00D24FF4"/>
    <w:rsid w:val="00D30A84"/>
    <w:rsid w:val="00D30CBA"/>
    <w:rsid w:val="00D323B5"/>
    <w:rsid w:val="00D327B7"/>
    <w:rsid w:val="00D3564F"/>
    <w:rsid w:val="00D36333"/>
    <w:rsid w:val="00D37C36"/>
    <w:rsid w:val="00D4187B"/>
    <w:rsid w:val="00D428B3"/>
    <w:rsid w:val="00D43E58"/>
    <w:rsid w:val="00D44D21"/>
    <w:rsid w:val="00D456C4"/>
    <w:rsid w:val="00D459CF"/>
    <w:rsid w:val="00D46A7B"/>
    <w:rsid w:val="00D47A14"/>
    <w:rsid w:val="00D50C9B"/>
    <w:rsid w:val="00D53AE6"/>
    <w:rsid w:val="00D549BF"/>
    <w:rsid w:val="00D551E1"/>
    <w:rsid w:val="00D55763"/>
    <w:rsid w:val="00D5708A"/>
    <w:rsid w:val="00D576B5"/>
    <w:rsid w:val="00D57849"/>
    <w:rsid w:val="00D579C5"/>
    <w:rsid w:val="00D60439"/>
    <w:rsid w:val="00D6199A"/>
    <w:rsid w:val="00D62AB4"/>
    <w:rsid w:val="00D634BA"/>
    <w:rsid w:val="00D638A2"/>
    <w:rsid w:val="00D6661E"/>
    <w:rsid w:val="00D6714F"/>
    <w:rsid w:val="00D70BF5"/>
    <w:rsid w:val="00D70EB2"/>
    <w:rsid w:val="00D715EF"/>
    <w:rsid w:val="00D720BB"/>
    <w:rsid w:val="00D729FE"/>
    <w:rsid w:val="00D75924"/>
    <w:rsid w:val="00D75DD0"/>
    <w:rsid w:val="00D7602E"/>
    <w:rsid w:val="00D76996"/>
    <w:rsid w:val="00D770B7"/>
    <w:rsid w:val="00D77C45"/>
    <w:rsid w:val="00D81071"/>
    <w:rsid w:val="00D82879"/>
    <w:rsid w:val="00D83B82"/>
    <w:rsid w:val="00D85500"/>
    <w:rsid w:val="00D85D3F"/>
    <w:rsid w:val="00D87479"/>
    <w:rsid w:val="00D9060B"/>
    <w:rsid w:val="00D9150D"/>
    <w:rsid w:val="00D92371"/>
    <w:rsid w:val="00D92B42"/>
    <w:rsid w:val="00D961F2"/>
    <w:rsid w:val="00D97687"/>
    <w:rsid w:val="00D9775E"/>
    <w:rsid w:val="00DA1610"/>
    <w:rsid w:val="00DA1A11"/>
    <w:rsid w:val="00DA1BEF"/>
    <w:rsid w:val="00DA28A8"/>
    <w:rsid w:val="00DA3143"/>
    <w:rsid w:val="00DA4EAE"/>
    <w:rsid w:val="00DA6854"/>
    <w:rsid w:val="00DA6D4F"/>
    <w:rsid w:val="00DA6FB4"/>
    <w:rsid w:val="00DA7AC3"/>
    <w:rsid w:val="00DA7B65"/>
    <w:rsid w:val="00DB10A8"/>
    <w:rsid w:val="00DB22B0"/>
    <w:rsid w:val="00DB2A84"/>
    <w:rsid w:val="00DB4C98"/>
    <w:rsid w:val="00DB584E"/>
    <w:rsid w:val="00DB69D9"/>
    <w:rsid w:val="00DC16AF"/>
    <w:rsid w:val="00DC32EC"/>
    <w:rsid w:val="00DC4099"/>
    <w:rsid w:val="00DC4790"/>
    <w:rsid w:val="00DC6737"/>
    <w:rsid w:val="00DD051E"/>
    <w:rsid w:val="00DD05B3"/>
    <w:rsid w:val="00DD0BA0"/>
    <w:rsid w:val="00DD1046"/>
    <w:rsid w:val="00DD34D1"/>
    <w:rsid w:val="00DD5CF1"/>
    <w:rsid w:val="00DD7B40"/>
    <w:rsid w:val="00DE117E"/>
    <w:rsid w:val="00DE1987"/>
    <w:rsid w:val="00DE1EF9"/>
    <w:rsid w:val="00DE2A71"/>
    <w:rsid w:val="00DE36CF"/>
    <w:rsid w:val="00DE42BA"/>
    <w:rsid w:val="00DE50C2"/>
    <w:rsid w:val="00DE566F"/>
    <w:rsid w:val="00DE5DF9"/>
    <w:rsid w:val="00DE5E0C"/>
    <w:rsid w:val="00DF0728"/>
    <w:rsid w:val="00DF1ADC"/>
    <w:rsid w:val="00DF2249"/>
    <w:rsid w:val="00DF2347"/>
    <w:rsid w:val="00DF2C5D"/>
    <w:rsid w:val="00DF30D5"/>
    <w:rsid w:val="00DF363A"/>
    <w:rsid w:val="00DF4173"/>
    <w:rsid w:val="00DF53AE"/>
    <w:rsid w:val="00DF53E8"/>
    <w:rsid w:val="00DF5CF9"/>
    <w:rsid w:val="00DF61C8"/>
    <w:rsid w:val="00DF6323"/>
    <w:rsid w:val="00DF6B26"/>
    <w:rsid w:val="00DF744E"/>
    <w:rsid w:val="00E00258"/>
    <w:rsid w:val="00E0068F"/>
    <w:rsid w:val="00E01B7C"/>
    <w:rsid w:val="00E054BA"/>
    <w:rsid w:val="00E05967"/>
    <w:rsid w:val="00E06F9F"/>
    <w:rsid w:val="00E106F6"/>
    <w:rsid w:val="00E1099E"/>
    <w:rsid w:val="00E10D3F"/>
    <w:rsid w:val="00E1129E"/>
    <w:rsid w:val="00E120DB"/>
    <w:rsid w:val="00E121DD"/>
    <w:rsid w:val="00E15A7E"/>
    <w:rsid w:val="00E160CA"/>
    <w:rsid w:val="00E1675C"/>
    <w:rsid w:val="00E16977"/>
    <w:rsid w:val="00E16BE1"/>
    <w:rsid w:val="00E17B32"/>
    <w:rsid w:val="00E17DAB"/>
    <w:rsid w:val="00E20209"/>
    <w:rsid w:val="00E20628"/>
    <w:rsid w:val="00E2103B"/>
    <w:rsid w:val="00E22A07"/>
    <w:rsid w:val="00E235C3"/>
    <w:rsid w:val="00E23C47"/>
    <w:rsid w:val="00E253F7"/>
    <w:rsid w:val="00E26003"/>
    <w:rsid w:val="00E2700F"/>
    <w:rsid w:val="00E273FF"/>
    <w:rsid w:val="00E27B91"/>
    <w:rsid w:val="00E306E7"/>
    <w:rsid w:val="00E30E1D"/>
    <w:rsid w:val="00E30FE2"/>
    <w:rsid w:val="00E335C8"/>
    <w:rsid w:val="00E37BA9"/>
    <w:rsid w:val="00E37F9B"/>
    <w:rsid w:val="00E41668"/>
    <w:rsid w:val="00E42411"/>
    <w:rsid w:val="00E42C8A"/>
    <w:rsid w:val="00E436F2"/>
    <w:rsid w:val="00E43965"/>
    <w:rsid w:val="00E43E3B"/>
    <w:rsid w:val="00E4452C"/>
    <w:rsid w:val="00E4582E"/>
    <w:rsid w:val="00E46611"/>
    <w:rsid w:val="00E46AB8"/>
    <w:rsid w:val="00E46AE9"/>
    <w:rsid w:val="00E473B3"/>
    <w:rsid w:val="00E50E8D"/>
    <w:rsid w:val="00E51F1C"/>
    <w:rsid w:val="00E53F1A"/>
    <w:rsid w:val="00E54185"/>
    <w:rsid w:val="00E5444F"/>
    <w:rsid w:val="00E55ABA"/>
    <w:rsid w:val="00E57CA7"/>
    <w:rsid w:val="00E61C5E"/>
    <w:rsid w:val="00E61EC0"/>
    <w:rsid w:val="00E62415"/>
    <w:rsid w:val="00E62457"/>
    <w:rsid w:val="00E62B36"/>
    <w:rsid w:val="00E62DF5"/>
    <w:rsid w:val="00E63BDC"/>
    <w:rsid w:val="00E647C8"/>
    <w:rsid w:val="00E67C82"/>
    <w:rsid w:val="00E702CE"/>
    <w:rsid w:val="00E70F0A"/>
    <w:rsid w:val="00E71844"/>
    <w:rsid w:val="00E731D7"/>
    <w:rsid w:val="00E7371B"/>
    <w:rsid w:val="00E73765"/>
    <w:rsid w:val="00E74ACE"/>
    <w:rsid w:val="00E775E3"/>
    <w:rsid w:val="00E77C06"/>
    <w:rsid w:val="00E831F7"/>
    <w:rsid w:val="00E835D7"/>
    <w:rsid w:val="00E8395F"/>
    <w:rsid w:val="00E855AE"/>
    <w:rsid w:val="00E855E0"/>
    <w:rsid w:val="00E85EBA"/>
    <w:rsid w:val="00E860B7"/>
    <w:rsid w:val="00E8780D"/>
    <w:rsid w:val="00E91AC8"/>
    <w:rsid w:val="00E9221F"/>
    <w:rsid w:val="00E94499"/>
    <w:rsid w:val="00E95DB8"/>
    <w:rsid w:val="00E95E3B"/>
    <w:rsid w:val="00E97527"/>
    <w:rsid w:val="00EA186C"/>
    <w:rsid w:val="00EA46A8"/>
    <w:rsid w:val="00EA5A9E"/>
    <w:rsid w:val="00EA6556"/>
    <w:rsid w:val="00EA6842"/>
    <w:rsid w:val="00EA6D25"/>
    <w:rsid w:val="00EA7456"/>
    <w:rsid w:val="00EB1B80"/>
    <w:rsid w:val="00EB334C"/>
    <w:rsid w:val="00EB4384"/>
    <w:rsid w:val="00EB4C26"/>
    <w:rsid w:val="00EB4EDB"/>
    <w:rsid w:val="00EB5127"/>
    <w:rsid w:val="00EB53F2"/>
    <w:rsid w:val="00EB7803"/>
    <w:rsid w:val="00EC0295"/>
    <w:rsid w:val="00EC0454"/>
    <w:rsid w:val="00EC19FA"/>
    <w:rsid w:val="00EC2948"/>
    <w:rsid w:val="00EC5F86"/>
    <w:rsid w:val="00ED0509"/>
    <w:rsid w:val="00ED0940"/>
    <w:rsid w:val="00ED238C"/>
    <w:rsid w:val="00ED25CE"/>
    <w:rsid w:val="00ED3A55"/>
    <w:rsid w:val="00ED402C"/>
    <w:rsid w:val="00ED511B"/>
    <w:rsid w:val="00EE0ACF"/>
    <w:rsid w:val="00EE22E3"/>
    <w:rsid w:val="00EE2ED0"/>
    <w:rsid w:val="00EE37DE"/>
    <w:rsid w:val="00EE67C5"/>
    <w:rsid w:val="00EF008D"/>
    <w:rsid w:val="00EF18EF"/>
    <w:rsid w:val="00EF3F31"/>
    <w:rsid w:val="00EF4031"/>
    <w:rsid w:val="00EF45CE"/>
    <w:rsid w:val="00EF695C"/>
    <w:rsid w:val="00F00984"/>
    <w:rsid w:val="00F01188"/>
    <w:rsid w:val="00F01FF7"/>
    <w:rsid w:val="00F03B63"/>
    <w:rsid w:val="00F05908"/>
    <w:rsid w:val="00F06D06"/>
    <w:rsid w:val="00F10305"/>
    <w:rsid w:val="00F1076B"/>
    <w:rsid w:val="00F10D71"/>
    <w:rsid w:val="00F11B9B"/>
    <w:rsid w:val="00F11D20"/>
    <w:rsid w:val="00F120D0"/>
    <w:rsid w:val="00F12322"/>
    <w:rsid w:val="00F13E0D"/>
    <w:rsid w:val="00F15DFF"/>
    <w:rsid w:val="00F20B6E"/>
    <w:rsid w:val="00F20FF5"/>
    <w:rsid w:val="00F248EC"/>
    <w:rsid w:val="00F24BCF"/>
    <w:rsid w:val="00F24C64"/>
    <w:rsid w:val="00F2639B"/>
    <w:rsid w:val="00F271F4"/>
    <w:rsid w:val="00F276EE"/>
    <w:rsid w:val="00F3255F"/>
    <w:rsid w:val="00F33271"/>
    <w:rsid w:val="00F3510E"/>
    <w:rsid w:val="00F35B8D"/>
    <w:rsid w:val="00F373DC"/>
    <w:rsid w:val="00F37EF3"/>
    <w:rsid w:val="00F403D6"/>
    <w:rsid w:val="00F40782"/>
    <w:rsid w:val="00F422EF"/>
    <w:rsid w:val="00F42894"/>
    <w:rsid w:val="00F43E26"/>
    <w:rsid w:val="00F45CF2"/>
    <w:rsid w:val="00F470EA"/>
    <w:rsid w:val="00F47B25"/>
    <w:rsid w:val="00F506AE"/>
    <w:rsid w:val="00F50F07"/>
    <w:rsid w:val="00F51346"/>
    <w:rsid w:val="00F5235B"/>
    <w:rsid w:val="00F537BF"/>
    <w:rsid w:val="00F54947"/>
    <w:rsid w:val="00F54F7B"/>
    <w:rsid w:val="00F55CD7"/>
    <w:rsid w:val="00F560DC"/>
    <w:rsid w:val="00F56916"/>
    <w:rsid w:val="00F56AD0"/>
    <w:rsid w:val="00F56CB1"/>
    <w:rsid w:val="00F60063"/>
    <w:rsid w:val="00F626C2"/>
    <w:rsid w:val="00F630EF"/>
    <w:rsid w:val="00F63F85"/>
    <w:rsid w:val="00F65819"/>
    <w:rsid w:val="00F67A6B"/>
    <w:rsid w:val="00F71634"/>
    <w:rsid w:val="00F7244F"/>
    <w:rsid w:val="00F72962"/>
    <w:rsid w:val="00F72D23"/>
    <w:rsid w:val="00F743D8"/>
    <w:rsid w:val="00F74CB0"/>
    <w:rsid w:val="00F75495"/>
    <w:rsid w:val="00F7639C"/>
    <w:rsid w:val="00F765EB"/>
    <w:rsid w:val="00F773A0"/>
    <w:rsid w:val="00F81CE4"/>
    <w:rsid w:val="00F832E5"/>
    <w:rsid w:val="00F8673B"/>
    <w:rsid w:val="00F908F8"/>
    <w:rsid w:val="00F90D41"/>
    <w:rsid w:val="00F92442"/>
    <w:rsid w:val="00F926C8"/>
    <w:rsid w:val="00F939DB"/>
    <w:rsid w:val="00F95CCA"/>
    <w:rsid w:val="00F964B0"/>
    <w:rsid w:val="00F97D2D"/>
    <w:rsid w:val="00FA05A4"/>
    <w:rsid w:val="00FA1EB1"/>
    <w:rsid w:val="00FA2F87"/>
    <w:rsid w:val="00FA30C2"/>
    <w:rsid w:val="00FA3AB4"/>
    <w:rsid w:val="00FA63B6"/>
    <w:rsid w:val="00FA6958"/>
    <w:rsid w:val="00FA7135"/>
    <w:rsid w:val="00FA784C"/>
    <w:rsid w:val="00FB06E1"/>
    <w:rsid w:val="00FB0CA2"/>
    <w:rsid w:val="00FB1A25"/>
    <w:rsid w:val="00FB6434"/>
    <w:rsid w:val="00FB6912"/>
    <w:rsid w:val="00FC00DD"/>
    <w:rsid w:val="00FC0A72"/>
    <w:rsid w:val="00FC1247"/>
    <w:rsid w:val="00FC13E2"/>
    <w:rsid w:val="00FC14D9"/>
    <w:rsid w:val="00FC1C66"/>
    <w:rsid w:val="00FC27D4"/>
    <w:rsid w:val="00FC3CD4"/>
    <w:rsid w:val="00FC4E2A"/>
    <w:rsid w:val="00FC6F4F"/>
    <w:rsid w:val="00FD0813"/>
    <w:rsid w:val="00FD1B30"/>
    <w:rsid w:val="00FD3D3E"/>
    <w:rsid w:val="00FD4975"/>
    <w:rsid w:val="00FD5051"/>
    <w:rsid w:val="00FD5958"/>
    <w:rsid w:val="00FD5A0F"/>
    <w:rsid w:val="00FD756D"/>
    <w:rsid w:val="00FD7972"/>
    <w:rsid w:val="00FD79EA"/>
    <w:rsid w:val="00FE059A"/>
    <w:rsid w:val="00FE0781"/>
    <w:rsid w:val="00FE29AF"/>
    <w:rsid w:val="00FE395C"/>
    <w:rsid w:val="00FE3DE9"/>
    <w:rsid w:val="00FE54AE"/>
    <w:rsid w:val="00FF1E56"/>
    <w:rsid w:val="00FF2122"/>
    <w:rsid w:val="00FF2339"/>
    <w:rsid w:val="00FF2430"/>
    <w:rsid w:val="00FF26B9"/>
    <w:rsid w:val="00FF33AA"/>
    <w:rsid w:val="00FF371D"/>
    <w:rsid w:val="00FF3C7A"/>
    <w:rsid w:val="00FF4B33"/>
    <w:rsid w:val="00FF637D"/>
    <w:rsid w:val="00FF64CF"/>
    <w:rsid w:val="00FF6B5D"/>
    <w:rsid w:val="00FF73C5"/>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5"/>
    <o:shapelayout v:ext="edit">
      <o:idmap v:ext="edit" data="1"/>
    </o:shapelayout>
  </w:shapeDefaults>
  <w:decimalSymbol w:val="."/>
  <w:listSeparator w:val=","/>
  <w15:chartTrackingRefBased/>
  <w15:docId w15:val="{00057C62-4352-40CA-9ED4-7B8DE08A2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footnote text" w:uiPriority="99"/>
    <w:lsdException w:name="annotation text" w:uiPriority="99"/>
    <w:lsdException w:name="caption" w:qFormat="1"/>
    <w:lsdException w:name="envelope address" w:semiHidden="1"/>
    <w:lsdException w:name="envelope return" w:semiHidden="1"/>
    <w:lsdException w:name="footnote reference" w:uiPriority="99"/>
    <w:lsdException w:name="annotation reference" w:uiPriority="99"/>
    <w:lsdException w:name="line number"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Default Paragraph Font" w:uiPriority="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qFormat="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Hyperlink" w:uiPriority="99"/>
    <w:lsdException w:name="FollowedHyperlink" w:uiPriority="99"/>
    <w:lsdException w:name="Strong" w:uiPriority="22" w:qFormat="1"/>
    <w:lsdException w:name="Emphasis" w:semiHidden="1" w:qFormat="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CF9"/>
    <w:pPr>
      <w:spacing w:after="240" w:line="260" w:lineRule="exact"/>
      <w:jc w:val="both"/>
    </w:pPr>
    <w:rPr>
      <w:rFonts w:ascii="Book Antiqua" w:hAnsi="Book Antiqua"/>
    </w:rPr>
  </w:style>
  <w:style w:type="paragraph" w:styleId="Heading1">
    <w:name w:val="heading 1"/>
    <w:basedOn w:val="HeadingBase"/>
    <w:next w:val="Normal"/>
    <w:link w:val="Heading1Char"/>
    <w:qFormat/>
    <w:rsid w:val="00AF07CF"/>
    <w:pPr>
      <w:spacing w:after="360"/>
      <w:jc w:val="center"/>
      <w:outlineLvl w:val="0"/>
    </w:pPr>
    <w:rPr>
      <w:b/>
      <w:smallCaps/>
      <w:kern w:val="28"/>
      <w:sz w:val="34"/>
    </w:rPr>
  </w:style>
  <w:style w:type="paragraph" w:styleId="Heading2">
    <w:name w:val="heading 2"/>
    <w:basedOn w:val="HeadingBase"/>
    <w:next w:val="Normal"/>
    <w:link w:val="Heading2Char"/>
    <w:qFormat/>
    <w:rsid w:val="00AF07CF"/>
    <w:pPr>
      <w:spacing w:after="480"/>
      <w:outlineLvl w:val="1"/>
    </w:pPr>
    <w:rPr>
      <w:sz w:val="30"/>
    </w:rPr>
  </w:style>
  <w:style w:type="paragraph" w:styleId="Heading3">
    <w:name w:val="heading 3"/>
    <w:basedOn w:val="HeadingBase"/>
    <w:next w:val="Normal"/>
    <w:link w:val="Heading3Char"/>
    <w:qFormat/>
    <w:rsid w:val="00AF07CF"/>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AF07CF"/>
    <w:pPr>
      <w:tabs>
        <w:tab w:val="left" w:pos="709"/>
      </w:tabs>
      <w:spacing w:before="120" w:after="60" w:line="240" w:lineRule="atLeast"/>
      <w:outlineLvl w:val="3"/>
    </w:pPr>
    <w:rPr>
      <w:b/>
      <w:sz w:val="22"/>
    </w:rPr>
  </w:style>
  <w:style w:type="paragraph" w:styleId="Heading5">
    <w:name w:val="heading 5"/>
    <w:basedOn w:val="HeadingBase"/>
    <w:next w:val="Normal"/>
    <w:link w:val="Heading5Char"/>
    <w:qFormat/>
    <w:rsid w:val="00AF07CF"/>
    <w:pPr>
      <w:spacing w:before="120" w:after="60" w:line="240" w:lineRule="atLeast"/>
      <w:outlineLvl w:val="4"/>
    </w:pPr>
    <w:rPr>
      <w:b/>
      <w:bCs/>
      <w:iCs/>
      <w:sz w:val="20"/>
      <w:szCs w:val="26"/>
    </w:rPr>
  </w:style>
  <w:style w:type="paragraph" w:styleId="Heading6">
    <w:name w:val="heading 6"/>
    <w:basedOn w:val="HeadingBase"/>
    <w:next w:val="Normal"/>
    <w:link w:val="Heading6Char"/>
    <w:qFormat/>
    <w:rsid w:val="00AF07CF"/>
    <w:pPr>
      <w:spacing w:before="120" w:after="60" w:line="240" w:lineRule="atLeast"/>
      <w:outlineLvl w:val="5"/>
    </w:pPr>
    <w:rPr>
      <w:b/>
      <w:bCs/>
      <w:sz w:val="20"/>
      <w:szCs w:val="22"/>
    </w:rPr>
  </w:style>
  <w:style w:type="paragraph" w:styleId="Heading7">
    <w:name w:val="heading 7"/>
    <w:basedOn w:val="Heading6"/>
    <w:next w:val="Normal"/>
    <w:link w:val="Heading7Char"/>
    <w:unhideWhenUsed/>
    <w:qFormat/>
    <w:rsid w:val="00AF07CF"/>
    <w:pPr>
      <w:outlineLvl w:val="6"/>
    </w:pPr>
  </w:style>
  <w:style w:type="paragraph" w:styleId="Heading8">
    <w:name w:val="heading 8"/>
    <w:basedOn w:val="HeadingBase"/>
    <w:next w:val="Normal"/>
    <w:link w:val="Heading8Char"/>
    <w:unhideWhenUsed/>
    <w:qFormat/>
    <w:rsid w:val="00AF07CF"/>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AF07CF"/>
    <w:pPr>
      <w:spacing w:after="0"/>
    </w:pPr>
  </w:style>
  <w:style w:type="paragraph" w:customStyle="1" w:styleId="Exampletext">
    <w:name w:val="Example text"/>
    <w:basedOn w:val="Normal"/>
    <w:link w:val="ExampletextCharChar"/>
    <w:rsid w:val="00AF07CF"/>
    <w:rPr>
      <w:i/>
      <w:color w:val="FF0000"/>
      <w:lang w:val="x-none" w:eastAsia="x-none"/>
    </w:rPr>
  </w:style>
  <w:style w:type="paragraph" w:customStyle="1" w:styleId="ChartSecondHeading">
    <w:name w:val="Chart Second Heading"/>
    <w:basedOn w:val="HeadingBase"/>
    <w:next w:val="ChartGraphic"/>
    <w:rsid w:val="00AF07CF"/>
    <w:pPr>
      <w:spacing w:before="60"/>
      <w:jc w:val="center"/>
    </w:pPr>
    <w:rPr>
      <w:sz w:val="20"/>
    </w:rPr>
  </w:style>
  <w:style w:type="paragraph" w:customStyle="1" w:styleId="TableHeading">
    <w:name w:val="Table Heading"/>
    <w:basedOn w:val="HeadingBase"/>
    <w:next w:val="TableGraphic"/>
    <w:link w:val="TableHeadingChar"/>
    <w:rsid w:val="00AF07CF"/>
    <w:pPr>
      <w:spacing w:after="20"/>
    </w:pPr>
    <w:rPr>
      <w:b/>
      <w:color w:val="000000"/>
      <w:sz w:val="20"/>
      <w:lang w:val="x-none" w:eastAsia="x-none"/>
    </w:rPr>
  </w:style>
  <w:style w:type="paragraph" w:customStyle="1" w:styleId="HeadingBase">
    <w:name w:val="Heading Base"/>
    <w:link w:val="HeadingBaseChar"/>
    <w:rsid w:val="00AF07CF"/>
    <w:pPr>
      <w:keepNext/>
    </w:pPr>
    <w:rPr>
      <w:rFonts w:ascii="Arial" w:hAnsi="Arial"/>
      <w:sz w:val="24"/>
    </w:rPr>
  </w:style>
  <w:style w:type="paragraph" w:customStyle="1" w:styleId="AlphaParagraph">
    <w:name w:val="Alpha Paragraph"/>
    <w:basedOn w:val="Normal"/>
    <w:rsid w:val="00AF07CF"/>
    <w:pPr>
      <w:numPr>
        <w:numId w:val="1"/>
      </w:numPr>
    </w:pPr>
  </w:style>
  <w:style w:type="paragraph" w:customStyle="1" w:styleId="Bullet">
    <w:name w:val="Bullet"/>
    <w:basedOn w:val="Normal"/>
    <w:link w:val="BulletChar"/>
    <w:rsid w:val="00AF07CF"/>
    <w:pPr>
      <w:numPr>
        <w:numId w:val="2"/>
      </w:numPr>
    </w:pPr>
    <w:rPr>
      <w:lang w:val="x-none" w:eastAsia="x-none"/>
    </w:rPr>
  </w:style>
  <w:style w:type="paragraph" w:customStyle="1" w:styleId="Dash">
    <w:name w:val="Dash"/>
    <w:basedOn w:val="Normal"/>
    <w:link w:val="DashChar"/>
    <w:rsid w:val="00AF07CF"/>
    <w:pPr>
      <w:numPr>
        <w:ilvl w:val="1"/>
        <w:numId w:val="2"/>
      </w:numPr>
    </w:pPr>
  </w:style>
  <w:style w:type="paragraph" w:customStyle="1" w:styleId="DoubleDot">
    <w:name w:val="Double Dot"/>
    <w:basedOn w:val="Normal"/>
    <w:link w:val="DoubleDotChar"/>
    <w:rsid w:val="00AF07CF"/>
    <w:pPr>
      <w:numPr>
        <w:ilvl w:val="2"/>
        <w:numId w:val="2"/>
      </w:numPr>
    </w:pPr>
  </w:style>
  <w:style w:type="paragraph" w:customStyle="1" w:styleId="AppendixHeading">
    <w:name w:val="Appendix Heading"/>
    <w:basedOn w:val="HeadingBase"/>
    <w:semiHidden/>
    <w:rsid w:val="00AF07CF"/>
    <w:pPr>
      <w:spacing w:after="240"/>
      <w:jc w:val="center"/>
      <w:outlineLvl w:val="3"/>
    </w:pPr>
    <w:rPr>
      <w:b/>
      <w:smallCaps/>
      <w:sz w:val="30"/>
    </w:rPr>
  </w:style>
  <w:style w:type="paragraph" w:customStyle="1" w:styleId="BoxText">
    <w:name w:val="Box Text"/>
    <w:basedOn w:val="BoxTextBase"/>
    <w:rsid w:val="00AF07CF"/>
    <w:pPr>
      <w:spacing w:line="240" w:lineRule="auto"/>
    </w:pPr>
  </w:style>
  <w:style w:type="paragraph" w:customStyle="1" w:styleId="BoxHeading">
    <w:name w:val="Box Heading"/>
    <w:basedOn w:val="HeadingBase"/>
    <w:next w:val="BoxText"/>
    <w:rsid w:val="00AF07CF"/>
    <w:pPr>
      <w:spacing w:before="120" w:after="120"/>
    </w:pPr>
    <w:rPr>
      <w:b/>
      <w:sz w:val="20"/>
    </w:rPr>
  </w:style>
  <w:style w:type="paragraph" w:customStyle="1" w:styleId="ChartandTableFootnoteAlpha">
    <w:name w:val="Chart and Table Footnote Alpha"/>
    <w:basedOn w:val="HeadingBase"/>
    <w:next w:val="Normal"/>
    <w:rsid w:val="00AF07CF"/>
    <w:pPr>
      <w:keepNext w:val="0"/>
      <w:numPr>
        <w:numId w:val="7"/>
      </w:numPr>
      <w:jc w:val="both"/>
    </w:pPr>
    <w:rPr>
      <w:sz w:val="16"/>
    </w:rPr>
  </w:style>
  <w:style w:type="paragraph" w:customStyle="1" w:styleId="ChartandTableFootnoteAlphaSmall">
    <w:name w:val="Chart and Table Footnote Alpha Small"/>
    <w:basedOn w:val="HeadingBase"/>
    <w:next w:val="Normal"/>
    <w:rsid w:val="00AF07CF"/>
    <w:pPr>
      <w:numPr>
        <w:numId w:val="3"/>
      </w:numPr>
      <w:jc w:val="both"/>
    </w:pPr>
    <w:rPr>
      <w:sz w:val="15"/>
    </w:rPr>
  </w:style>
  <w:style w:type="paragraph" w:customStyle="1" w:styleId="ChartandTableFootnote">
    <w:name w:val="Chart and Table Footnote"/>
    <w:basedOn w:val="HeadingBase"/>
    <w:next w:val="Normal"/>
    <w:link w:val="ChartandTableFootnoteChar"/>
    <w:rsid w:val="00AF07CF"/>
    <w:pPr>
      <w:keepNext w:val="0"/>
      <w:spacing w:after="240"/>
      <w:ind w:left="425" w:hanging="425"/>
      <w:contextualSpacing/>
      <w:jc w:val="both"/>
    </w:pPr>
    <w:rPr>
      <w:color w:val="000000"/>
      <w:sz w:val="16"/>
      <w:lang w:eastAsia="x-none"/>
    </w:rPr>
  </w:style>
  <w:style w:type="paragraph" w:customStyle="1" w:styleId="ChartandTableFootnoteSmall">
    <w:name w:val="Chart and Table Footnote Small"/>
    <w:basedOn w:val="HeadingBase"/>
    <w:next w:val="Normal"/>
    <w:rsid w:val="00AF07CF"/>
    <w:pPr>
      <w:tabs>
        <w:tab w:val="left" w:pos="284"/>
      </w:tabs>
      <w:jc w:val="both"/>
    </w:pPr>
    <w:rPr>
      <w:sz w:val="15"/>
    </w:rPr>
  </w:style>
  <w:style w:type="paragraph" w:customStyle="1" w:styleId="BoxBullet">
    <w:name w:val="Box Bullet"/>
    <w:basedOn w:val="BoxText"/>
    <w:rsid w:val="00AF07CF"/>
    <w:pPr>
      <w:numPr>
        <w:numId w:val="6"/>
      </w:numPr>
    </w:pPr>
  </w:style>
  <w:style w:type="paragraph" w:customStyle="1" w:styleId="ChartGraphic">
    <w:name w:val="Chart Graphic"/>
    <w:basedOn w:val="HeadingBase"/>
    <w:rsid w:val="00AF07CF"/>
    <w:rPr>
      <w:noProof/>
      <w:sz w:val="20"/>
    </w:rPr>
  </w:style>
  <w:style w:type="paragraph" w:customStyle="1" w:styleId="ContentsHeading">
    <w:name w:val="Contents Heading"/>
    <w:basedOn w:val="HeadingBase"/>
    <w:next w:val="Normal"/>
    <w:rsid w:val="00AF07CF"/>
    <w:pPr>
      <w:spacing w:after="600"/>
      <w:jc w:val="center"/>
    </w:pPr>
    <w:rPr>
      <w:b/>
      <w:smallCaps/>
      <w:sz w:val="34"/>
    </w:rPr>
  </w:style>
  <w:style w:type="paragraph" w:customStyle="1" w:styleId="FigureHeading">
    <w:name w:val="Figure Heading"/>
    <w:basedOn w:val="HeadingBase"/>
    <w:next w:val="ChartGraphic"/>
    <w:rsid w:val="00AF07CF"/>
    <w:pPr>
      <w:spacing w:after="120"/>
      <w:jc w:val="center"/>
    </w:pPr>
    <w:rPr>
      <w:b/>
      <w:sz w:val="20"/>
    </w:rPr>
  </w:style>
  <w:style w:type="paragraph" w:customStyle="1" w:styleId="Classification">
    <w:name w:val="Classification"/>
    <w:basedOn w:val="HeadingBase"/>
    <w:rsid w:val="00AF07CF"/>
    <w:pPr>
      <w:jc w:val="center"/>
    </w:pPr>
    <w:rPr>
      <w:b/>
      <w:smallCaps/>
    </w:rPr>
  </w:style>
  <w:style w:type="character" w:customStyle="1" w:styleId="HiddenSequenceCode">
    <w:name w:val="Hidden Sequence Code"/>
    <w:semiHidden/>
    <w:rsid w:val="00AF07CF"/>
    <w:rPr>
      <w:rFonts w:ascii="Times New Roman" w:hAnsi="Times New Roman"/>
      <w:vanish/>
      <w:sz w:val="16"/>
    </w:rPr>
  </w:style>
  <w:style w:type="paragraph" w:customStyle="1" w:styleId="OverviewParagraph">
    <w:name w:val="Overview Paragraph"/>
    <w:basedOn w:val="Normal"/>
    <w:link w:val="OverviewParagraphChar"/>
    <w:semiHidden/>
    <w:rsid w:val="00AF07CF"/>
    <w:pPr>
      <w:spacing w:before="120" w:after="120" w:line="240" w:lineRule="auto"/>
    </w:pPr>
  </w:style>
  <w:style w:type="paragraph" w:customStyle="1" w:styleId="TableGraphic">
    <w:name w:val="Table Graphic"/>
    <w:basedOn w:val="Normal"/>
    <w:next w:val="Normal"/>
    <w:rsid w:val="00AF07CF"/>
    <w:pPr>
      <w:spacing w:after="0" w:line="240" w:lineRule="auto"/>
      <w:ind w:right="-113"/>
    </w:pPr>
  </w:style>
  <w:style w:type="paragraph" w:customStyle="1" w:styleId="NoteTableHeading">
    <w:name w:val="Note Table Heading"/>
    <w:basedOn w:val="HeadingBase"/>
    <w:next w:val="TableGraphic"/>
    <w:semiHidden/>
    <w:rsid w:val="00AF07CF"/>
    <w:pPr>
      <w:spacing w:before="240"/>
    </w:pPr>
    <w:rPr>
      <w:b/>
      <w:sz w:val="20"/>
    </w:rPr>
  </w:style>
  <w:style w:type="paragraph" w:customStyle="1" w:styleId="Source">
    <w:name w:val="Source"/>
    <w:basedOn w:val="Normal"/>
    <w:rsid w:val="00AF07CF"/>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AF07CF"/>
    <w:pPr>
      <w:spacing w:before="60" w:after="60" w:line="240" w:lineRule="auto"/>
      <w:jc w:val="left"/>
    </w:pPr>
    <w:rPr>
      <w:rFonts w:ascii="Arial" w:hAnsi="Arial"/>
      <w:sz w:val="18"/>
    </w:rPr>
  </w:style>
  <w:style w:type="paragraph" w:customStyle="1" w:styleId="TableColumnHeadingBase">
    <w:name w:val="Table Column Heading Base"/>
    <w:basedOn w:val="Normal"/>
    <w:rsid w:val="00AF07CF"/>
    <w:pPr>
      <w:spacing w:before="60" w:after="60" w:line="240" w:lineRule="auto"/>
      <w:jc w:val="left"/>
    </w:pPr>
    <w:rPr>
      <w:rFonts w:ascii="Arial" w:hAnsi="Arial"/>
      <w:b/>
    </w:rPr>
  </w:style>
  <w:style w:type="paragraph" w:customStyle="1" w:styleId="TableTextLeft">
    <w:name w:val="Table Text Left"/>
    <w:basedOn w:val="TableTextBase"/>
    <w:link w:val="TableTextLeftChar"/>
    <w:rsid w:val="00AF07CF"/>
  </w:style>
  <w:style w:type="paragraph" w:customStyle="1" w:styleId="TableTextRight">
    <w:name w:val="Table Text Right"/>
    <w:basedOn w:val="TableTextBase"/>
    <w:rsid w:val="00AF07CF"/>
    <w:pPr>
      <w:jc w:val="right"/>
    </w:pPr>
  </w:style>
  <w:style w:type="paragraph" w:customStyle="1" w:styleId="TableTextCentred">
    <w:name w:val="Table Text Centred"/>
    <w:basedOn w:val="TableTextBase"/>
    <w:rsid w:val="00AF07CF"/>
    <w:pPr>
      <w:jc w:val="center"/>
    </w:pPr>
  </w:style>
  <w:style w:type="paragraph" w:customStyle="1" w:styleId="TableTextIndented">
    <w:name w:val="Table Text Indented"/>
    <w:basedOn w:val="TableTextBase"/>
    <w:rsid w:val="00AF07CF"/>
    <w:pPr>
      <w:ind w:left="284"/>
    </w:pPr>
  </w:style>
  <w:style w:type="paragraph" w:customStyle="1" w:styleId="TableColumnHeadingLeft">
    <w:name w:val="Table Column Heading Left"/>
    <w:basedOn w:val="TableColumnHeadingBase"/>
    <w:next w:val="TableTextLeft"/>
    <w:rsid w:val="00AF07CF"/>
  </w:style>
  <w:style w:type="paragraph" w:customStyle="1" w:styleId="TableColumnHeadingRight">
    <w:name w:val="Table Column Heading Right"/>
    <w:basedOn w:val="TableColumnHeadingBase"/>
    <w:next w:val="TableTextRight"/>
    <w:link w:val="TableColumnHeadingRightChar"/>
    <w:rsid w:val="00AF07CF"/>
    <w:pPr>
      <w:jc w:val="right"/>
    </w:pPr>
  </w:style>
  <w:style w:type="paragraph" w:customStyle="1" w:styleId="TableColumnHeadingCentred">
    <w:name w:val="Table Column Heading Centred"/>
    <w:basedOn w:val="TableColumnHeadingBase"/>
    <w:next w:val="TableTextLeft"/>
    <w:rsid w:val="00AF07CF"/>
    <w:pPr>
      <w:jc w:val="center"/>
    </w:pPr>
  </w:style>
  <w:style w:type="paragraph" w:customStyle="1" w:styleId="Exampletextbullet">
    <w:name w:val="Example text bullet"/>
    <w:basedOn w:val="Exampletext"/>
    <w:rsid w:val="00AF07CF"/>
    <w:pPr>
      <w:numPr>
        <w:numId w:val="4"/>
      </w:numPr>
    </w:pPr>
  </w:style>
  <w:style w:type="paragraph" w:styleId="Title">
    <w:name w:val="Title"/>
    <w:basedOn w:val="Normal"/>
    <w:link w:val="TitleChar"/>
    <w:qFormat/>
    <w:rsid w:val="00AF07CF"/>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AF07CF"/>
    <w:pPr>
      <w:spacing w:before="120" w:after="20"/>
    </w:pPr>
    <w:rPr>
      <w:rFonts w:ascii="Arial Bold" w:hAnsi="Arial Bold"/>
      <w:b/>
      <w:sz w:val="20"/>
    </w:rPr>
  </w:style>
  <w:style w:type="paragraph" w:customStyle="1" w:styleId="TPHeading1">
    <w:name w:val="TP Heading 1"/>
    <w:basedOn w:val="HeadingBase"/>
    <w:rsid w:val="00AF07CF"/>
    <w:rPr>
      <w:b/>
      <w:caps/>
      <w:sz w:val="52"/>
    </w:rPr>
  </w:style>
  <w:style w:type="paragraph" w:customStyle="1" w:styleId="TPHeading2">
    <w:name w:val="TP Heading 2"/>
    <w:basedOn w:val="HeadingBase"/>
    <w:rsid w:val="00AF07CF"/>
    <w:pPr>
      <w:jc w:val="center"/>
    </w:pPr>
    <w:rPr>
      <w:rFonts w:ascii="Georgia" w:hAnsi="Georgia"/>
      <w:caps/>
    </w:rPr>
  </w:style>
  <w:style w:type="paragraph" w:customStyle="1" w:styleId="TPHeading3">
    <w:name w:val="TP Heading 3"/>
    <w:basedOn w:val="HeadingBase"/>
    <w:rsid w:val="00AF07CF"/>
    <w:rPr>
      <w:rFonts w:ascii="Georgia" w:hAnsi="Georgia"/>
      <w:caps/>
    </w:rPr>
  </w:style>
  <w:style w:type="paragraph" w:customStyle="1" w:styleId="HeaderBase">
    <w:name w:val="Header Base"/>
    <w:rsid w:val="00AF07CF"/>
    <w:rPr>
      <w:rFonts w:ascii="Book Antiqua" w:hAnsi="Book Antiqua"/>
      <w:i/>
    </w:rPr>
  </w:style>
  <w:style w:type="paragraph" w:customStyle="1" w:styleId="HeaderEven">
    <w:name w:val="Header Even"/>
    <w:basedOn w:val="HeaderBase"/>
    <w:rsid w:val="00AF07CF"/>
  </w:style>
  <w:style w:type="paragraph" w:customStyle="1" w:styleId="HeaderOdd">
    <w:name w:val="Header Odd"/>
    <w:basedOn w:val="HeaderBase"/>
    <w:link w:val="HeaderOddChar"/>
    <w:rsid w:val="00AF07CF"/>
    <w:pPr>
      <w:jc w:val="right"/>
    </w:pPr>
  </w:style>
  <w:style w:type="paragraph" w:styleId="Header">
    <w:name w:val="header"/>
    <w:basedOn w:val="HeaderBase"/>
    <w:link w:val="HeaderChar"/>
    <w:rsid w:val="00AF07CF"/>
    <w:pPr>
      <w:tabs>
        <w:tab w:val="center" w:pos="4153"/>
        <w:tab w:val="right" w:pos="8306"/>
      </w:tabs>
    </w:pPr>
    <w:rPr>
      <w:lang w:val="x-none" w:eastAsia="x-none"/>
    </w:rPr>
  </w:style>
  <w:style w:type="paragraph" w:customStyle="1" w:styleId="FooterBase">
    <w:name w:val="Footer Base"/>
    <w:rsid w:val="00AF07CF"/>
    <w:pPr>
      <w:jc w:val="center"/>
    </w:pPr>
    <w:rPr>
      <w:rFonts w:ascii="Arial" w:hAnsi="Arial"/>
    </w:rPr>
  </w:style>
  <w:style w:type="paragraph" w:styleId="Footer">
    <w:name w:val="footer"/>
    <w:basedOn w:val="FooterBase"/>
    <w:link w:val="FooterChar"/>
    <w:rsid w:val="00AF07CF"/>
    <w:pPr>
      <w:tabs>
        <w:tab w:val="center" w:pos="4153"/>
        <w:tab w:val="right" w:pos="8306"/>
      </w:tabs>
    </w:pPr>
    <w:rPr>
      <w:lang w:val="x-none" w:eastAsia="x-none"/>
    </w:rPr>
  </w:style>
  <w:style w:type="paragraph" w:styleId="BalloonText">
    <w:name w:val="Balloon Text"/>
    <w:basedOn w:val="Normal"/>
    <w:link w:val="BalloonTextChar"/>
    <w:uiPriority w:val="99"/>
    <w:semiHidden/>
    <w:rsid w:val="00AF07CF"/>
    <w:rPr>
      <w:rFonts w:ascii="Tahoma" w:hAnsi="Tahoma" w:cs="Tahoma"/>
      <w:sz w:val="16"/>
      <w:szCs w:val="16"/>
    </w:rPr>
  </w:style>
  <w:style w:type="paragraph" w:styleId="Caption">
    <w:name w:val="caption"/>
    <w:basedOn w:val="Normal"/>
    <w:next w:val="Normal"/>
    <w:qFormat/>
    <w:rsid w:val="00AF07CF"/>
    <w:rPr>
      <w:b/>
      <w:bCs/>
    </w:rPr>
  </w:style>
  <w:style w:type="character" w:styleId="CommentReference">
    <w:name w:val="annotation reference"/>
    <w:uiPriority w:val="99"/>
    <w:semiHidden/>
    <w:rsid w:val="00AF07CF"/>
    <w:rPr>
      <w:sz w:val="16"/>
      <w:szCs w:val="16"/>
    </w:rPr>
  </w:style>
  <w:style w:type="paragraph" w:styleId="CommentText">
    <w:name w:val="annotation text"/>
    <w:basedOn w:val="Normal"/>
    <w:link w:val="CommentTextChar"/>
    <w:uiPriority w:val="99"/>
    <w:rsid w:val="00AF07CF"/>
    <w:rPr>
      <w:lang w:val="x-none" w:eastAsia="x-none"/>
    </w:rPr>
  </w:style>
  <w:style w:type="paragraph" w:styleId="CommentSubject">
    <w:name w:val="annotation subject"/>
    <w:basedOn w:val="CommentText"/>
    <w:next w:val="CommentText"/>
    <w:link w:val="CommentSubjectChar"/>
    <w:uiPriority w:val="99"/>
    <w:semiHidden/>
    <w:rsid w:val="00AF07CF"/>
    <w:rPr>
      <w:b/>
      <w:bCs/>
    </w:rPr>
  </w:style>
  <w:style w:type="paragraph" w:styleId="DocumentMap">
    <w:name w:val="Document Map"/>
    <w:basedOn w:val="Normal"/>
    <w:link w:val="DocumentMapChar"/>
    <w:semiHidden/>
    <w:rsid w:val="00AF07CF"/>
    <w:pPr>
      <w:shd w:val="clear" w:color="auto" w:fill="000080"/>
    </w:pPr>
    <w:rPr>
      <w:rFonts w:ascii="Tahoma" w:hAnsi="Tahoma" w:cs="Tahoma"/>
    </w:rPr>
  </w:style>
  <w:style w:type="character" w:styleId="EndnoteReference">
    <w:name w:val="endnote reference"/>
    <w:semiHidden/>
    <w:rsid w:val="00AF07CF"/>
    <w:rPr>
      <w:vertAlign w:val="superscript"/>
    </w:rPr>
  </w:style>
  <w:style w:type="paragraph" w:styleId="EndnoteText">
    <w:name w:val="endnote text"/>
    <w:basedOn w:val="Normal"/>
    <w:link w:val="EndnoteTextChar"/>
    <w:semiHidden/>
    <w:rsid w:val="00AF07CF"/>
  </w:style>
  <w:style w:type="character" w:styleId="FootnoteReference">
    <w:name w:val="footnote reference"/>
    <w:uiPriority w:val="99"/>
    <w:rsid w:val="00AF07CF"/>
    <w:rPr>
      <w:vertAlign w:val="superscript"/>
    </w:rPr>
  </w:style>
  <w:style w:type="paragraph" w:styleId="FootnoteText">
    <w:name w:val="footnote text"/>
    <w:basedOn w:val="Normal"/>
    <w:link w:val="FootnoteTextChar"/>
    <w:uiPriority w:val="99"/>
    <w:rsid w:val="00AF07CF"/>
    <w:pPr>
      <w:tabs>
        <w:tab w:val="left" w:pos="284"/>
      </w:tabs>
      <w:spacing w:after="0" w:line="240" w:lineRule="auto"/>
      <w:ind w:left="284" w:hanging="284"/>
    </w:pPr>
    <w:rPr>
      <w:sz w:val="18"/>
    </w:rPr>
  </w:style>
  <w:style w:type="paragraph" w:styleId="Index1">
    <w:name w:val="index 1"/>
    <w:basedOn w:val="Normal"/>
    <w:next w:val="Normal"/>
    <w:autoRedefine/>
    <w:semiHidden/>
    <w:rsid w:val="00AF07CF"/>
    <w:pPr>
      <w:ind w:left="200" w:hanging="200"/>
    </w:pPr>
  </w:style>
  <w:style w:type="paragraph" w:styleId="Index2">
    <w:name w:val="index 2"/>
    <w:basedOn w:val="Normal"/>
    <w:next w:val="Normal"/>
    <w:autoRedefine/>
    <w:semiHidden/>
    <w:rsid w:val="00AF07CF"/>
    <w:pPr>
      <w:ind w:left="400" w:hanging="200"/>
    </w:pPr>
  </w:style>
  <w:style w:type="paragraph" w:styleId="Index3">
    <w:name w:val="index 3"/>
    <w:basedOn w:val="Normal"/>
    <w:next w:val="Normal"/>
    <w:autoRedefine/>
    <w:semiHidden/>
    <w:rsid w:val="00AF07CF"/>
    <w:pPr>
      <w:ind w:left="600" w:hanging="200"/>
    </w:pPr>
  </w:style>
  <w:style w:type="paragraph" w:styleId="Index4">
    <w:name w:val="index 4"/>
    <w:basedOn w:val="Normal"/>
    <w:next w:val="Normal"/>
    <w:autoRedefine/>
    <w:semiHidden/>
    <w:rsid w:val="00AF07CF"/>
    <w:pPr>
      <w:ind w:left="800" w:hanging="200"/>
    </w:pPr>
  </w:style>
  <w:style w:type="paragraph" w:styleId="Index5">
    <w:name w:val="index 5"/>
    <w:basedOn w:val="Normal"/>
    <w:next w:val="Normal"/>
    <w:autoRedefine/>
    <w:semiHidden/>
    <w:rsid w:val="00AF07CF"/>
    <w:pPr>
      <w:ind w:left="1000" w:hanging="200"/>
    </w:pPr>
  </w:style>
  <w:style w:type="paragraph" w:styleId="Index6">
    <w:name w:val="index 6"/>
    <w:basedOn w:val="Normal"/>
    <w:next w:val="Normal"/>
    <w:autoRedefine/>
    <w:semiHidden/>
    <w:rsid w:val="00AF07CF"/>
    <w:pPr>
      <w:ind w:left="1200" w:hanging="200"/>
    </w:pPr>
  </w:style>
  <w:style w:type="paragraph" w:styleId="Index7">
    <w:name w:val="index 7"/>
    <w:basedOn w:val="Normal"/>
    <w:next w:val="Normal"/>
    <w:autoRedefine/>
    <w:semiHidden/>
    <w:rsid w:val="00AF07CF"/>
    <w:pPr>
      <w:ind w:left="1400" w:hanging="200"/>
    </w:pPr>
  </w:style>
  <w:style w:type="paragraph" w:styleId="Index8">
    <w:name w:val="index 8"/>
    <w:basedOn w:val="Normal"/>
    <w:next w:val="Normal"/>
    <w:autoRedefine/>
    <w:semiHidden/>
    <w:rsid w:val="00AF07CF"/>
    <w:pPr>
      <w:ind w:left="1600" w:hanging="200"/>
    </w:pPr>
  </w:style>
  <w:style w:type="paragraph" w:styleId="Index9">
    <w:name w:val="index 9"/>
    <w:basedOn w:val="Normal"/>
    <w:next w:val="Normal"/>
    <w:autoRedefine/>
    <w:semiHidden/>
    <w:rsid w:val="00AF07CF"/>
    <w:pPr>
      <w:ind w:left="1800" w:hanging="200"/>
    </w:pPr>
  </w:style>
  <w:style w:type="paragraph" w:styleId="IndexHeading">
    <w:name w:val="index heading"/>
    <w:basedOn w:val="Normal"/>
    <w:next w:val="Index1"/>
    <w:semiHidden/>
    <w:rsid w:val="00AF07CF"/>
    <w:rPr>
      <w:rFonts w:ascii="Arial" w:hAnsi="Arial" w:cs="Arial"/>
      <w:b/>
      <w:bCs/>
    </w:rPr>
  </w:style>
  <w:style w:type="paragraph" w:styleId="MacroText">
    <w:name w:val="macro"/>
    <w:link w:val="MacroTextChar"/>
    <w:semiHidden/>
    <w:rsid w:val="00AF07CF"/>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AF07CF"/>
    <w:pPr>
      <w:ind w:left="200" w:hanging="200"/>
    </w:pPr>
  </w:style>
  <w:style w:type="paragraph" w:styleId="TableofFigures">
    <w:name w:val="table of figures"/>
    <w:basedOn w:val="Normal"/>
    <w:next w:val="Normal"/>
    <w:semiHidden/>
    <w:rsid w:val="00AF07CF"/>
  </w:style>
  <w:style w:type="paragraph" w:styleId="TOAHeading">
    <w:name w:val="toa heading"/>
    <w:basedOn w:val="Normal"/>
    <w:next w:val="Normal"/>
    <w:semiHidden/>
    <w:rsid w:val="00AF07CF"/>
    <w:pPr>
      <w:spacing w:before="120"/>
    </w:pPr>
    <w:rPr>
      <w:rFonts w:ascii="Arial" w:hAnsi="Arial" w:cs="Arial"/>
      <w:b/>
      <w:bCs/>
      <w:sz w:val="24"/>
      <w:szCs w:val="24"/>
    </w:rPr>
  </w:style>
  <w:style w:type="paragraph" w:styleId="TOC1">
    <w:name w:val="toc 1"/>
    <w:basedOn w:val="HeaderBase"/>
    <w:next w:val="Normal"/>
    <w:uiPriority w:val="39"/>
    <w:rsid w:val="00AF07CF"/>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AF07CF"/>
    <w:pPr>
      <w:tabs>
        <w:tab w:val="left" w:pos="709"/>
        <w:tab w:val="right" w:leader="dot" w:pos="7700"/>
      </w:tabs>
      <w:spacing w:before="80"/>
      <w:ind w:right="851"/>
    </w:pPr>
    <w:rPr>
      <w:sz w:val="20"/>
    </w:rPr>
  </w:style>
  <w:style w:type="paragraph" w:styleId="TOC3">
    <w:name w:val="toc 3"/>
    <w:basedOn w:val="HeadingBase"/>
    <w:next w:val="Normal"/>
    <w:uiPriority w:val="39"/>
    <w:rsid w:val="00AF07CF"/>
    <w:pPr>
      <w:tabs>
        <w:tab w:val="right" w:leader="dot" w:pos="7700"/>
      </w:tabs>
      <w:spacing w:before="120"/>
      <w:ind w:right="851"/>
    </w:pPr>
    <w:rPr>
      <w:b/>
      <w:sz w:val="20"/>
    </w:rPr>
  </w:style>
  <w:style w:type="paragraph" w:styleId="TOC4">
    <w:name w:val="toc 4"/>
    <w:basedOn w:val="HeadingBase"/>
    <w:next w:val="Normal"/>
    <w:uiPriority w:val="39"/>
    <w:rsid w:val="00AF07CF"/>
    <w:pPr>
      <w:tabs>
        <w:tab w:val="right" w:leader="dot" w:pos="7700"/>
      </w:tabs>
      <w:spacing w:before="40"/>
      <w:ind w:right="851"/>
    </w:pPr>
    <w:rPr>
      <w:sz w:val="20"/>
    </w:rPr>
  </w:style>
  <w:style w:type="paragraph" w:styleId="TOC5">
    <w:name w:val="toc 5"/>
    <w:basedOn w:val="Normal"/>
    <w:next w:val="Normal"/>
    <w:autoRedefine/>
    <w:uiPriority w:val="39"/>
    <w:rsid w:val="00AF07CF"/>
    <w:pPr>
      <w:ind w:left="800"/>
    </w:pPr>
  </w:style>
  <w:style w:type="paragraph" w:styleId="TOC6">
    <w:name w:val="toc 6"/>
    <w:basedOn w:val="Normal"/>
    <w:next w:val="Normal"/>
    <w:autoRedefine/>
    <w:semiHidden/>
    <w:rsid w:val="00AF07CF"/>
    <w:pPr>
      <w:ind w:left="1000"/>
    </w:pPr>
  </w:style>
  <w:style w:type="paragraph" w:styleId="TOC7">
    <w:name w:val="toc 7"/>
    <w:basedOn w:val="Normal"/>
    <w:next w:val="Normal"/>
    <w:autoRedefine/>
    <w:semiHidden/>
    <w:rsid w:val="00AF07CF"/>
    <w:pPr>
      <w:ind w:left="1200"/>
    </w:pPr>
  </w:style>
  <w:style w:type="paragraph" w:styleId="TOC8">
    <w:name w:val="toc 8"/>
    <w:basedOn w:val="Normal"/>
    <w:next w:val="Normal"/>
    <w:autoRedefine/>
    <w:semiHidden/>
    <w:rsid w:val="00AF07CF"/>
    <w:pPr>
      <w:ind w:left="1400"/>
    </w:pPr>
  </w:style>
  <w:style w:type="paragraph" w:styleId="TOC9">
    <w:name w:val="toc 9"/>
    <w:basedOn w:val="Normal"/>
    <w:next w:val="Normal"/>
    <w:autoRedefine/>
    <w:semiHidden/>
    <w:rsid w:val="00AF07CF"/>
    <w:pPr>
      <w:ind w:left="1600"/>
    </w:pPr>
  </w:style>
  <w:style w:type="paragraph" w:customStyle="1" w:styleId="FileProperties">
    <w:name w:val="File Properties"/>
    <w:basedOn w:val="Normal"/>
    <w:rsid w:val="00AF07CF"/>
    <w:rPr>
      <w:i/>
    </w:rPr>
  </w:style>
  <w:style w:type="character" w:styleId="PageNumber">
    <w:name w:val="page number"/>
    <w:rsid w:val="00AF07CF"/>
    <w:rPr>
      <w:rFonts w:ascii="Arial" w:hAnsi="Arial" w:cs="Arial"/>
    </w:rPr>
  </w:style>
  <w:style w:type="character" w:customStyle="1" w:styleId="FramedHeader">
    <w:name w:val="Framed Header"/>
    <w:rsid w:val="00AF07CF"/>
    <w:rPr>
      <w:rFonts w:ascii="Book Antiqua" w:hAnsi="Book Antiqua"/>
      <w:i/>
      <w:dstrike w:val="0"/>
      <w:color w:val="auto"/>
      <w:sz w:val="18"/>
      <w:vertAlign w:val="baseline"/>
    </w:rPr>
  </w:style>
  <w:style w:type="paragraph" w:styleId="NormalIndent">
    <w:name w:val="Normal Indent"/>
    <w:basedOn w:val="Normal"/>
    <w:rsid w:val="00AF07CF"/>
    <w:pPr>
      <w:ind w:left="567"/>
    </w:pPr>
  </w:style>
  <w:style w:type="paragraph" w:customStyle="1" w:styleId="BlockedQuotation">
    <w:name w:val="Blocked Quotation"/>
    <w:basedOn w:val="Normal"/>
    <w:semiHidden/>
    <w:rsid w:val="00AF07CF"/>
    <w:pPr>
      <w:ind w:left="567"/>
    </w:pPr>
  </w:style>
  <w:style w:type="paragraph" w:customStyle="1" w:styleId="ChartMainHeading">
    <w:name w:val="Chart Main Heading"/>
    <w:basedOn w:val="Normal"/>
    <w:next w:val="ChartGraphic"/>
    <w:rsid w:val="00AF07CF"/>
    <w:pPr>
      <w:keepNext/>
      <w:spacing w:before="120" w:after="20" w:line="240" w:lineRule="auto"/>
      <w:jc w:val="center"/>
    </w:pPr>
    <w:rPr>
      <w:rFonts w:ascii="Arial" w:hAnsi="Arial"/>
      <w:b/>
    </w:rPr>
  </w:style>
  <w:style w:type="table" w:styleId="TableGrid">
    <w:name w:val="Table Grid"/>
    <w:basedOn w:val="TableNormal"/>
    <w:rsid w:val="00AF07CF"/>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AF07CF"/>
    <w:rPr>
      <w:sz w:val="24"/>
    </w:rPr>
  </w:style>
  <w:style w:type="paragraph" w:customStyle="1" w:styleId="Title3rdLevel">
    <w:name w:val="Title 3rd Level"/>
    <w:basedOn w:val="Normal"/>
    <w:next w:val="Title"/>
    <w:rsid w:val="00AF07CF"/>
    <w:pPr>
      <w:jc w:val="center"/>
    </w:pPr>
    <w:rPr>
      <w:rFonts w:ascii="Arial" w:hAnsi="Arial"/>
      <w:caps/>
    </w:rPr>
  </w:style>
  <w:style w:type="paragraph" w:customStyle="1" w:styleId="Part">
    <w:name w:val="Part"/>
    <w:basedOn w:val="Title"/>
    <w:next w:val="Normal"/>
    <w:rsid w:val="00AF07CF"/>
    <w:rPr>
      <w:caps/>
      <w:smallCaps w:val="0"/>
    </w:rPr>
  </w:style>
  <w:style w:type="paragraph" w:customStyle="1" w:styleId="TableHeadingNoTable">
    <w:name w:val="Table Heading No Table"/>
    <w:basedOn w:val="TableHeading"/>
    <w:next w:val="Normal"/>
    <w:rsid w:val="006C799D"/>
    <w:pPr>
      <w:spacing w:before="120" w:after="240"/>
    </w:pPr>
    <w:rPr>
      <w:lang w:val="en-AU"/>
    </w:rPr>
  </w:style>
  <w:style w:type="paragraph" w:customStyle="1" w:styleId="TransmittalAddressee">
    <w:name w:val="Transmittal Addressee"/>
    <w:basedOn w:val="Normal"/>
    <w:rsid w:val="00AF07CF"/>
    <w:pPr>
      <w:spacing w:after="0"/>
    </w:pPr>
  </w:style>
  <w:style w:type="paragraph" w:customStyle="1" w:styleId="TransmittalStyle1">
    <w:name w:val="Transmittal Style 1"/>
    <w:basedOn w:val="HeadingBase"/>
    <w:rsid w:val="00AF07CF"/>
    <w:pPr>
      <w:spacing w:after="60"/>
      <w:jc w:val="right"/>
    </w:pPr>
    <w:rPr>
      <w:b/>
      <w:smallCaps/>
    </w:rPr>
  </w:style>
  <w:style w:type="paragraph" w:customStyle="1" w:styleId="TransmittalStyle2">
    <w:name w:val="Transmittal Style 2"/>
    <w:basedOn w:val="HeadingBase"/>
    <w:rsid w:val="00AF07CF"/>
    <w:pPr>
      <w:spacing w:before="60" w:after="60"/>
      <w:jc w:val="right"/>
    </w:pPr>
    <w:rPr>
      <w:rFonts w:ascii="Helvetica" w:hAnsi="Helvetica"/>
      <w:b/>
      <w:caps/>
      <w:sz w:val="16"/>
    </w:rPr>
  </w:style>
  <w:style w:type="paragraph" w:customStyle="1" w:styleId="UserGuidelevelTOC">
    <w:name w:val="UserGuide level TOC"/>
    <w:basedOn w:val="HeadingBase"/>
    <w:next w:val="Normal"/>
    <w:rsid w:val="00AF07CF"/>
    <w:pPr>
      <w:spacing w:before="360" w:after="360"/>
    </w:pPr>
    <w:rPr>
      <w:sz w:val="30"/>
    </w:rPr>
  </w:style>
  <w:style w:type="paragraph" w:customStyle="1" w:styleId="TableTextJustified">
    <w:name w:val="Table Text Justified"/>
    <w:basedOn w:val="TableTextBase"/>
    <w:rsid w:val="00AF07CF"/>
    <w:pPr>
      <w:jc w:val="both"/>
    </w:pPr>
  </w:style>
  <w:style w:type="paragraph" w:customStyle="1" w:styleId="Department">
    <w:name w:val="Department"/>
    <w:basedOn w:val="Normal"/>
    <w:rsid w:val="00AF07CF"/>
    <w:pPr>
      <w:spacing w:after="0" w:line="240" w:lineRule="auto"/>
      <w:jc w:val="center"/>
    </w:pPr>
    <w:rPr>
      <w:rFonts w:ascii="Arial" w:hAnsi="Arial"/>
      <w:b/>
      <w:sz w:val="52"/>
    </w:rPr>
  </w:style>
  <w:style w:type="paragraph" w:customStyle="1" w:styleId="DepartmentSubtitle">
    <w:name w:val="Department Subtitle"/>
    <w:basedOn w:val="Department"/>
    <w:rsid w:val="00AF07CF"/>
    <w:rPr>
      <w:sz w:val="44"/>
    </w:rPr>
  </w:style>
  <w:style w:type="character" w:customStyle="1" w:styleId="ExampletextCharChar">
    <w:name w:val="Example text Char Char"/>
    <w:link w:val="Exampletext"/>
    <w:rsid w:val="00AF07CF"/>
    <w:rPr>
      <w:rFonts w:ascii="Book Antiqua" w:hAnsi="Book Antiqua"/>
      <w:i/>
      <w:color w:val="FF0000"/>
      <w:lang w:val="x-none" w:eastAsia="x-none"/>
    </w:rPr>
  </w:style>
  <w:style w:type="paragraph" w:customStyle="1" w:styleId="Crest">
    <w:name w:val="Crest"/>
    <w:basedOn w:val="Normal"/>
    <w:next w:val="TransmittalStyle1"/>
    <w:semiHidden/>
    <w:rsid w:val="00AF07CF"/>
    <w:pPr>
      <w:spacing w:after="0" w:line="240" w:lineRule="auto"/>
      <w:jc w:val="center"/>
    </w:pPr>
  </w:style>
  <w:style w:type="character" w:styleId="Hyperlink">
    <w:name w:val="Hyperlink"/>
    <w:uiPriority w:val="99"/>
    <w:rsid w:val="00AF07CF"/>
    <w:rPr>
      <w:color w:val="000000"/>
      <w:u w:val="none"/>
    </w:rPr>
  </w:style>
  <w:style w:type="paragraph" w:customStyle="1" w:styleId="Heading1noTOC">
    <w:name w:val="Heading 1 no TOC"/>
    <w:basedOn w:val="Heading1"/>
    <w:rsid w:val="00AF07CF"/>
  </w:style>
  <w:style w:type="paragraph" w:customStyle="1" w:styleId="TableColumnOutgroupHeading">
    <w:name w:val="Table Column Outgroup Heading"/>
    <w:basedOn w:val="Normal"/>
    <w:rsid w:val="00AF07CF"/>
    <w:pPr>
      <w:spacing w:before="60" w:after="120" w:line="240" w:lineRule="auto"/>
      <w:jc w:val="left"/>
    </w:pPr>
    <w:rPr>
      <w:b/>
      <w:sz w:val="22"/>
    </w:rPr>
  </w:style>
  <w:style w:type="paragraph" w:customStyle="1" w:styleId="TableColumnOutgroupSubheading">
    <w:name w:val="Table Column Outgroup Subheading"/>
    <w:basedOn w:val="Normal"/>
    <w:rsid w:val="00AF07CF"/>
    <w:pPr>
      <w:spacing w:before="60" w:after="120" w:line="240" w:lineRule="auto"/>
      <w:jc w:val="center"/>
    </w:pPr>
  </w:style>
  <w:style w:type="paragraph" w:customStyle="1" w:styleId="TableTextBullet">
    <w:name w:val="Table Text Bullet"/>
    <w:basedOn w:val="TableTextBase"/>
    <w:rsid w:val="00AF07CF"/>
    <w:pPr>
      <w:numPr>
        <w:numId w:val="5"/>
      </w:numPr>
    </w:pPr>
  </w:style>
  <w:style w:type="paragraph" w:customStyle="1" w:styleId="Exampletextdash">
    <w:name w:val="Example text dash"/>
    <w:basedOn w:val="Exampletextbullet"/>
    <w:rsid w:val="00AF07CF"/>
    <w:pPr>
      <w:numPr>
        <w:ilvl w:val="1"/>
      </w:numPr>
    </w:pPr>
  </w:style>
  <w:style w:type="character" w:customStyle="1" w:styleId="HeadingBaseChar">
    <w:name w:val="Heading Base Char"/>
    <w:link w:val="HeadingBase"/>
    <w:rsid w:val="00AF07CF"/>
    <w:rPr>
      <w:rFonts w:ascii="Arial" w:hAnsi="Arial"/>
      <w:sz w:val="24"/>
    </w:rPr>
  </w:style>
  <w:style w:type="character" w:customStyle="1" w:styleId="TableHeadingChar">
    <w:name w:val="Table Heading Char"/>
    <w:link w:val="TableHeading"/>
    <w:rsid w:val="00AF07CF"/>
    <w:rPr>
      <w:rFonts w:ascii="Arial" w:hAnsi="Arial"/>
      <w:b/>
      <w:color w:val="000000"/>
      <w:lang w:val="x-none" w:eastAsia="x-none"/>
    </w:rPr>
  </w:style>
  <w:style w:type="character" w:customStyle="1" w:styleId="TableTextBaseChar">
    <w:name w:val="Table Text Base Char"/>
    <w:link w:val="TableTextBase"/>
    <w:rsid w:val="00AF07CF"/>
    <w:rPr>
      <w:rFonts w:ascii="Arial" w:hAnsi="Arial"/>
      <w:sz w:val="18"/>
    </w:rPr>
  </w:style>
  <w:style w:type="character" w:customStyle="1" w:styleId="TableTextLeftChar">
    <w:name w:val="Table Text Left Char"/>
    <w:link w:val="TableTextLeft"/>
    <w:rsid w:val="00AF07CF"/>
    <w:rPr>
      <w:rFonts w:ascii="Arial" w:hAnsi="Arial"/>
      <w:sz w:val="18"/>
    </w:rPr>
  </w:style>
  <w:style w:type="paragraph" w:styleId="ListParagraph">
    <w:name w:val="List Paragraph"/>
    <w:aliases w:val="List Paragraph1,Recommendation,List Paragraph11,L,bullet point list,Bullet point,List Paragraph Number,Bulletr List Paragraph,FooterText,List Paragraph2,List Paragraph21,Listeafsnit1,NFP GP Bulleted List,Paragraphe de liste1,numbered,列出段落"/>
    <w:basedOn w:val="Normal"/>
    <w:link w:val="ListParagraphChar"/>
    <w:uiPriority w:val="34"/>
    <w:qFormat/>
    <w:rsid w:val="00AF07CF"/>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AF07CF"/>
    <w:pPr>
      <w:numPr>
        <w:ilvl w:val="1"/>
        <w:numId w:val="5"/>
      </w:numPr>
    </w:pPr>
  </w:style>
  <w:style w:type="character" w:customStyle="1" w:styleId="ChartandTableFootnoteChar">
    <w:name w:val="Chart and Table Footnote Char"/>
    <w:link w:val="ChartandTableFootnote"/>
    <w:rsid w:val="00AF07CF"/>
    <w:rPr>
      <w:rFonts w:ascii="Arial" w:hAnsi="Arial"/>
      <w:color w:val="000000"/>
      <w:sz w:val="16"/>
      <w:lang w:eastAsia="x-none"/>
    </w:rPr>
  </w:style>
  <w:style w:type="paragraph" w:customStyle="1" w:styleId="PartHeading">
    <w:name w:val="Part Heading"/>
    <w:basedOn w:val="Title"/>
    <w:next w:val="Normal"/>
    <w:rsid w:val="00AF07CF"/>
    <w:pPr>
      <w:spacing w:after="480"/>
      <w:outlineLvl w:val="9"/>
    </w:pPr>
  </w:style>
  <w:style w:type="character" w:customStyle="1" w:styleId="BulletChar">
    <w:name w:val="Bullet Char"/>
    <w:link w:val="Bullet"/>
    <w:rsid w:val="00AF07CF"/>
    <w:rPr>
      <w:rFonts w:ascii="Book Antiqua" w:hAnsi="Book Antiqua"/>
      <w:lang w:val="x-none" w:eastAsia="x-none"/>
    </w:rPr>
  </w:style>
  <w:style w:type="paragraph" w:customStyle="1" w:styleId="BoxTextBase">
    <w:name w:val="Box Text Base"/>
    <w:basedOn w:val="Normal"/>
    <w:rsid w:val="00AF07CF"/>
    <w:pPr>
      <w:spacing w:after="120"/>
    </w:pPr>
    <w:rPr>
      <w:color w:val="000000"/>
    </w:rPr>
  </w:style>
  <w:style w:type="paragraph" w:customStyle="1" w:styleId="BoxDash">
    <w:name w:val="Box Dash"/>
    <w:basedOn w:val="Normal"/>
    <w:rsid w:val="00AF07CF"/>
    <w:pPr>
      <w:numPr>
        <w:ilvl w:val="1"/>
        <w:numId w:val="6"/>
      </w:numPr>
    </w:pPr>
    <w:rPr>
      <w:color w:val="000000"/>
    </w:rPr>
  </w:style>
  <w:style w:type="paragraph" w:customStyle="1" w:styleId="BoxDoubleDot">
    <w:name w:val="Box Double Dot"/>
    <w:basedOn w:val="BoxTextBase"/>
    <w:rsid w:val="00AF07CF"/>
    <w:pPr>
      <w:numPr>
        <w:ilvl w:val="2"/>
        <w:numId w:val="6"/>
      </w:numPr>
    </w:pPr>
  </w:style>
  <w:style w:type="paragraph" w:customStyle="1" w:styleId="BoxHeadinglevel2">
    <w:name w:val="Box Heading level 2"/>
    <w:basedOn w:val="BoxHeading"/>
    <w:rsid w:val="00AF07CF"/>
    <w:pPr>
      <w:spacing w:before="0"/>
    </w:pPr>
    <w:rPr>
      <w:sz w:val="18"/>
    </w:rPr>
  </w:style>
  <w:style w:type="paragraph" w:customStyle="1" w:styleId="Outcome">
    <w:name w:val="Outcome"/>
    <w:basedOn w:val="Normal"/>
    <w:rsid w:val="00AF07CF"/>
    <w:pPr>
      <w:spacing w:before="120" w:after="120" w:line="280" w:lineRule="exact"/>
    </w:pPr>
    <w:rPr>
      <w:rFonts w:ascii="Arial" w:hAnsi="Arial" w:cs="Arial"/>
      <w:b/>
    </w:rPr>
  </w:style>
  <w:style w:type="paragraph" w:customStyle="1" w:styleId="ProgramHeading">
    <w:name w:val="Program Heading"/>
    <w:basedOn w:val="HeadingBase"/>
    <w:rsid w:val="00AF07CF"/>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AF07CF"/>
  </w:style>
  <w:style w:type="character" w:customStyle="1" w:styleId="Heading3Char">
    <w:name w:val="Heading 3 Char"/>
    <w:link w:val="Heading3"/>
    <w:rsid w:val="00AF07CF"/>
    <w:rPr>
      <w:rFonts w:ascii="Arial" w:hAnsi="Arial"/>
      <w:b/>
      <w:smallCaps/>
      <w:sz w:val="26"/>
    </w:rPr>
  </w:style>
  <w:style w:type="character" w:customStyle="1" w:styleId="CommentTextChar">
    <w:name w:val="Comment Text Char"/>
    <w:link w:val="CommentText"/>
    <w:uiPriority w:val="99"/>
    <w:rsid w:val="00AF07CF"/>
    <w:rPr>
      <w:rFonts w:ascii="Book Antiqua" w:hAnsi="Book Antiqua"/>
      <w:lang w:val="x-none" w:eastAsia="x-none"/>
    </w:rPr>
  </w:style>
  <w:style w:type="paragraph" w:customStyle="1" w:styleId="ExampleText0">
    <w:name w:val="Example Text"/>
    <w:basedOn w:val="Normal"/>
    <w:rsid w:val="00AF07CF"/>
    <w:pPr>
      <w:jc w:val="left"/>
    </w:pPr>
    <w:rPr>
      <w:i/>
      <w:color w:val="FF0000"/>
    </w:rPr>
  </w:style>
  <w:style w:type="paragraph" w:styleId="NoSpacing">
    <w:name w:val="No Spacing"/>
    <w:uiPriority w:val="1"/>
    <w:qFormat/>
    <w:rsid w:val="00AF07CF"/>
    <w:pPr>
      <w:jc w:val="both"/>
    </w:pPr>
    <w:rPr>
      <w:rFonts w:ascii="Book Antiqua" w:hAnsi="Book Antiqua"/>
    </w:rPr>
  </w:style>
  <w:style w:type="character" w:customStyle="1" w:styleId="A5">
    <w:name w:val="A5"/>
    <w:uiPriority w:val="99"/>
    <w:rsid w:val="00AF07CF"/>
    <w:rPr>
      <w:rFonts w:ascii="Swiss 721 BT" w:hAnsi="Swiss 721 BT" w:cs="Swiss 721 BT" w:hint="default"/>
      <w:color w:val="000000"/>
      <w:sz w:val="20"/>
      <w:szCs w:val="20"/>
    </w:rPr>
  </w:style>
  <w:style w:type="character" w:customStyle="1" w:styleId="HeaderChar">
    <w:name w:val="Header Char"/>
    <w:link w:val="Header"/>
    <w:rsid w:val="00AF07CF"/>
    <w:rPr>
      <w:rFonts w:ascii="Book Antiqua" w:hAnsi="Book Antiqua"/>
      <w:i/>
      <w:lang w:val="x-none" w:eastAsia="x-none"/>
    </w:rPr>
  </w:style>
  <w:style w:type="character" w:styleId="FollowedHyperlink">
    <w:name w:val="FollowedHyperlink"/>
    <w:uiPriority w:val="99"/>
    <w:rsid w:val="00AF07CF"/>
    <w:rPr>
      <w:color w:val="800080"/>
      <w:u w:val="single"/>
    </w:rPr>
  </w:style>
  <w:style w:type="character" w:customStyle="1" w:styleId="FooterChar">
    <w:name w:val="Footer Char"/>
    <w:link w:val="Footer"/>
    <w:rsid w:val="00AF07CF"/>
    <w:rPr>
      <w:rFonts w:ascii="Arial" w:hAnsi="Arial"/>
      <w:lang w:val="x-none" w:eastAsia="x-none"/>
    </w:rPr>
  </w:style>
  <w:style w:type="character" w:styleId="Strong">
    <w:name w:val="Strong"/>
    <w:uiPriority w:val="22"/>
    <w:qFormat/>
    <w:rsid w:val="00AF07CF"/>
    <w:rPr>
      <w:b/>
      <w:bCs/>
    </w:rPr>
  </w:style>
  <w:style w:type="paragraph" w:styleId="BodyText">
    <w:name w:val="Body Text"/>
    <w:basedOn w:val="Normal"/>
    <w:link w:val="BodyTextChar"/>
    <w:qFormat/>
    <w:rsid w:val="00AF07CF"/>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AF07CF"/>
    <w:rPr>
      <w:rFonts w:ascii="Cambria" w:eastAsia="Cambria" w:hAnsi="Cambria"/>
      <w:sz w:val="22"/>
      <w:szCs w:val="22"/>
      <w:lang w:val="x-none" w:eastAsia="en-US"/>
    </w:rPr>
  </w:style>
  <w:style w:type="paragraph" w:customStyle="1" w:styleId="Heading2NoTOC">
    <w:name w:val="Heading 2 No TOC"/>
    <w:basedOn w:val="Heading2"/>
    <w:qFormat/>
    <w:rsid w:val="00AF07CF"/>
    <w:pPr>
      <w:spacing w:after="360"/>
    </w:pPr>
  </w:style>
  <w:style w:type="paragraph" w:customStyle="1" w:styleId="Heading1-TOC">
    <w:name w:val="Heading 1 - TOC"/>
    <w:basedOn w:val="Heading1"/>
    <w:rsid w:val="00AF07CF"/>
  </w:style>
  <w:style w:type="paragraph" w:customStyle="1" w:styleId="PartHeading-TOC">
    <w:name w:val="Part Heading - TOC"/>
    <w:basedOn w:val="PartHeading"/>
    <w:rsid w:val="00AF07CF"/>
  </w:style>
  <w:style w:type="paragraph" w:customStyle="1" w:styleId="Heading4-NoTOC">
    <w:name w:val="Heading 4 - No TOC"/>
    <w:basedOn w:val="Heading4"/>
    <w:rsid w:val="00AF07CF"/>
    <w:pPr>
      <w:outlineLvl w:val="9"/>
    </w:pPr>
  </w:style>
  <w:style w:type="paragraph" w:customStyle="1" w:styleId="PBS16NormalLeft">
    <w:name w:val="PBS16 Normal Left"/>
    <w:basedOn w:val="Normal"/>
    <w:rsid w:val="00AF07CF"/>
    <w:pPr>
      <w:jc w:val="left"/>
    </w:pPr>
  </w:style>
  <w:style w:type="paragraph" w:customStyle="1" w:styleId="PBS16BulletList">
    <w:name w:val="PBS16 Bullet List"/>
    <w:basedOn w:val="Normal"/>
    <w:link w:val="PBS16BulletListChar"/>
    <w:qFormat/>
    <w:rsid w:val="00AF07CF"/>
    <w:pPr>
      <w:numPr>
        <w:numId w:val="8"/>
      </w:numPr>
      <w:spacing w:before="120" w:after="120"/>
      <w:ind w:left="426"/>
    </w:pPr>
  </w:style>
  <w:style w:type="character" w:customStyle="1" w:styleId="PBS16BulletListChar">
    <w:name w:val="PBS16 Bullet List Char"/>
    <w:basedOn w:val="DefaultParagraphFont"/>
    <w:link w:val="PBS16BulletList"/>
    <w:rsid w:val="00AF07CF"/>
    <w:rPr>
      <w:rFonts w:ascii="Book Antiqua" w:hAnsi="Book Antiqua"/>
    </w:rPr>
  </w:style>
  <w:style w:type="paragraph" w:customStyle="1" w:styleId="PBS16PortHeadingCentre">
    <w:name w:val="PBS16 Port Heading Centre"/>
    <w:basedOn w:val="PBS16Port"/>
    <w:next w:val="PBS16Port"/>
    <w:rsid w:val="00AF07CF"/>
    <w:pPr>
      <w:jc w:val="center"/>
    </w:pPr>
    <w:rPr>
      <w:b/>
    </w:rPr>
  </w:style>
  <w:style w:type="paragraph" w:customStyle="1" w:styleId="PBS16Port">
    <w:name w:val="PBS16 Port"/>
    <w:basedOn w:val="SingleParagraph"/>
    <w:rsid w:val="00AF07CF"/>
    <w:pPr>
      <w:pBdr>
        <w:top w:val="single" w:sz="4" w:space="4" w:color="auto"/>
        <w:left w:val="single" w:sz="4" w:space="4" w:color="auto"/>
        <w:bottom w:val="single" w:sz="4" w:space="4" w:color="auto"/>
        <w:right w:val="single" w:sz="4" w:space="4" w:color="auto"/>
      </w:pBdr>
      <w:spacing w:after="120" w:line="240" w:lineRule="auto"/>
      <w:jc w:val="left"/>
    </w:pPr>
    <w:rPr>
      <w:sz w:val="19"/>
      <w:szCs w:val="19"/>
    </w:rPr>
  </w:style>
  <w:style w:type="paragraph" w:customStyle="1" w:styleId="PBS16PortCentre">
    <w:name w:val="PBS16 Port Centre"/>
    <w:basedOn w:val="PBS16Port"/>
    <w:rsid w:val="00AF07CF"/>
    <w:pPr>
      <w:jc w:val="center"/>
    </w:pPr>
  </w:style>
  <w:style w:type="paragraph" w:customStyle="1" w:styleId="PBS16Agencies">
    <w:name w:val="PBS16 Agencies"/>
    <w:basedOn w:val="Normal"/>
    <w:rsid w:val="00AF07CF"/>
    <w:pPr>
      <w:spacing w:after="120" w:line="240" w:lineRule="auto"/>
      <w:jc w:val="left"/>
    </w:pPr>
    <w:rPr>
      <w:sz w:val="19"/>
      <w:szCs w:val="19"/>
    </w:rPr>
  </w:style>
  <w:style w:type="paragraph" w:customStyle="1" w:styleId="18PBSPortStrucspacer">
    <w:name w:val="18PBS Port Struc spacer"/>
    <w:basedOn w:val="Normal"/>
    <w:qFormat/>
    <w:rsid w:val="00AF07CF"/>
    <w:pPr>
      <w:spacing w:after="0"/>
    </w:pPr>
  </w:style>
  <w:style w:type="character" w:customStyle="1" w:styleId="PBS16Actsitalics">
    <w:name w:val="PBS16 Acts (italics)"/>
    <w:basedOn w:val="DefaultParagraphFont"/>
    <w:uiPriority w:val="1"/>
    <w:rsid w:val="00AF07CF"/>
    <w:rPr>
      <w:i/>
    </w:rPr>
  </w:style>
  <w:style w:type="paragraph" w:customStyle="1" w:styleId="PBS16Glossary">
    <w:name w:val="PBS16 Glossary"/>
    <w:basedOn w:val="Normal"/>
    <w:rsid w:val="00AF07CF"/>
    <w:pPr>
      <w:spacing w:before="40" w:after="40" w:line="240" w:lineRule="atLeast"/>
      <w:jc w:val="left"/>
    </w:pPr>
    <w:rPr>
      <w:sz w:val="18"/>
      <w:szCs w:val="18"/>
    </w:rPr>
  </w:style>
  <w:style w:type="character" w:customStyle="1" w:styleId="ListParagraphChar">
    <w:name w:val="List Paragraph Char"/>
    <w:aliases w:val="List Paragraph1 Char,Recommendation Char,List Paragraph11 Char,L Char,bullet point list Char,Bullet point Char,List Paragraph Number Char,Bulletr List Paragraph Char,FooterText Char,List Paragraph2 Char,List Paragraph21 Char"/>
    <w:link w:val="ListParagraph"/>
    <w:uiPriority w:val="34"/>
    <w:qFormat/>
    <w:locked/>
    <w:rsid w:val="00AF07CF"/>
    <w:rPr>
      <w:rFonts w:ascii="Calibri" w:eastAsia="Calibri" w:hAnsi="Calibri"/>
      <w:sz w:val="22"/>
      <w:szCs w:val="22"/>
      <w:lang w:val="en-US" w:eastAsia="en-US"/>
    </w:rPr>
  </w:style>
  <w:style w:type="paragraph" w:customStyle="1" w:styleId="PBS16TableNormal">
    <w:name w:val="PBS16 Table Normal"/>
    <w:basedOn w:val="Normal"/>
    <w:link w:val="PBS16TableNormalChar"/>
    <w:rsid w:val="00AF07CF"/>
    <w:pPr>
      <w:spacing w:before="60" w:after="60" w:line="240" w:lineRule="auto"/>
      <w:jc w:val="left"/>
    </w:pPr>
    <w:rPr>
      <w:rFonts w:ascii="Arial" w:hAnsi="Arial" w:cs="Arial"/>
      <w:sz w:val="16"/>
      <w:szCs w:val="16"/>
    </w:rPr>
  </w:style>
  <w:style w:type="paragraph" w:customStyle="1" w:styleId="PBS16TableNormalHeading">
    <w:name w:val="PBS16 Table Normal Heading"/>
    <w:basedOn w:val="PBS16TableNormal"/>
    <w:link w:val="PBS16TableNormalHeadingChar"/>
    <w:rsid w:val="00AF07CF"/>
    <w:rPr>
      <w:b/>
    </w:rPr>
  </w:style>
  <w:style w:type="character" w:customStyle="1" w:styleId="PBS16TableNormalChar">
    <w:name w:val="PBS16 Table Normal Char"/>
    <w:basedOn w:val="DefaultParagraphFont"/>
    <w:link w:val="PBS16TableNormal"/>
    <w:rsid w:val="00AF07CF"/>
    <w:rPr>
      <w:rFonts w:ascii="Arial" w:hAnsi="Arial" w:cs="Arial"/>
      <w:sz w:val="16"/>
      <w:szCs w:val="16"/>
    </w:rPr>
  </w:style>
  <w:style w:type="character" w:customStyle="1" w:styleId="PBS16TableNormalHeadingChar">
    <w:name w:val="PBS16 Table Normal Heading Char"/>
    <w:basedOn w:val="PBS16TableNormalChar"/>
    <w:link w:val="PBS16TableNormalHeading"/>
    <w:rsid w:val="00AF07CF"/>
    <w:rPr>
      <w:rFonts w:ascii="Arial" w:hAnsi="Arial" w:cs="Arial"/>
      <w:b/>
      <w:sz w:val="16"/>
      <w:szCs w:val="16"/>
    </w:rPr>
  </w:style>
  <w:style w:type="paragraph" w:customStyle="1" w:styleId="PBS16TableListBullet">
    <w:name w:val="PBS16 Table List Bullet"/>
    <w:basedOn w:val="PBS18TableBullet"/>
    <w:rsid w:val="00AF07CF"/>
    <w:pPr>
      <w:ind w:left="195"/>
    </w:pPr>
  </w:style>
  <w:style w:type="character" w:customStyle="1" w:styleId="FootnoteTextChar">
    <w:name w:val="Footnote Text Char"/>
    <w:basedOn w:val="DefaultParagraphFont"/>
    <w:link w:val="FootnoteText"/>
    <w:uiPriority w:val="99"/>
    <w:rsid w:val="00AF07CF"/>
    <w:rPr>
      <w:rFonts w:ascii="Book Antiqua" w:hAnsi="Book Antiqua"/>
      <w:sz w:val="18"/>
    </w:rPr>
  </w:style>
  <w:style w:type="paragraph" w:customStyle="1" w:styleId="PBS16TableNormalHeading2">
    <w:name w:val="PBS16 Table Normal Heading 2"/>
    <w:basedOn w:val="Normal"/>
    <w:rsid w:val="00AF07CF"/>
    <w:pPr>
      <w:spacing w:before="60" w:after="60" w:line="240" w:lineRule="auto"/>
      <w:jc w:val="left"/>
    </w:pPr>
    <w:rPr>
      <w:rFonts w:ascii="Arial" w:eastAsiaTheme="minorHAnsi" w:hAnsi="Arial" w:cs="Arial"/>
      <w:sz w:val="16"/>
      <w:szCs w:val="16"/>
      <w:u w:val="single"/>
    </w:rPr>
  </w:style>
  <w:style w:type="paragraph" w:customStyle="1" w:styleId="PBS18TableBullet">
    <w:name w:val="PBS18 Table Bullet"/>
    <w:basedOn w:val="PBS16TableNormal"/>
    <w:qFormat/>
    <w:rsid w:val="00AF07CF"/>
    <w:pPr>
      <w:numPr>
        <w:numId w:val="9"/>
      </w:numPr>
      <w:ind w:left="176" w:hanging="176"/>
    </w:pPr>
  </w:style>
  <w:style w:type="paragraph" w:customStyle="1" w:styleId="PBS16HeaderOdd">
    <w:name w:val="PBS16 Header Odd"/>
    <w:basedOn w:val="Header"/>
    <w:rsid w:val="00AF07CF"/>
    <w:pPr>
      <w:jc w:val="right"/>
    </w:pPr>
    <w:rPr>
      <w:lang w:val="en-AU"/>
    </w:rPr>
  </w:style>
  <w:style w:type="paragraph" w:customStyle="1" w:styleId="PBS16HeaderEven">
    <w:name w:val="PBS16 Header Even"/>
    <w:basedOn w:val="PBS16HeaderOdd"/>
    <w:rsid w:val="00AF07CF"/>
    <w:pPr>
      <w:jc w:val="left"/>
    </w:pPr>
  </w:style>
  <w:style w:type="character" w:customStyle="1" w:styleId="HeaderOddChar">
    <w:name w:val="Header Odd Char"/>
    <w:basedOn w:val="DefaultParagraphFont"/>
    <w:link w:val="HeaderOdd"/>
    <w:rsid w:val="00AF07CF"/>
    <w:rPr>
      <w:rFonts w:ascii="Book Antiqua" w:hAnsi="Book Antiqua"/>
      <w:i/>
    </w:rPr>
  </w:style>
  <w:style w:type="paragraph" w:customStyle="1" w:styleId="Default">
    <w:name w:val="Default"/>
    <w:basedOn w:val="Normal"/>
    <w:rsid w:val="00AF07CF"/>
    <w:pPr>
      <w:autoSpaceDE w:val="0"/>
      <w:autoSpaceDN w:val="0"/>
      <w:spacing w:after="0" w:line="240" w:lineRule="auto"/>
      <w:jc w:val="left"/>
    </w:pPr>
    <w:rPr>
      <w:rFonts w:ascii="Cambria" w:eastAsia="Calibri" w:hAnsi="Cambria"/>
      <w:color w:val="000000"/>
      <w:sz w:val="24"/>
      <w:szCs w:val="24"/>
      <w:lang w:eastAsia="en-US"/>
    </w:rPr>
  </w:style>
  <w:style w:type="character" w:customStyle="1" w:styleId="Heading4Char">
    <w:name w:val="Heading 4 Char"/>
    <w:link w:val="Heading4"/>
    <w:locked/>
    <w:rsid w:val="00AF07CF"/>
    <w:rPr>
      <w:rFonts w:ascii="Arial" w:hAnsi="Arial"/>
      <w:b/>
      <w:sz w:val="22"/>
    </w:rPr>
  </w:style>
  <w:style w:type="paragraph" w:customStyle="1" w:styleId="PBS16TableListBullet2">
    <w:name w:val="PBS16 Table List Bullet 2"/>
    <w:basedOn w:val="PBS16TableNormal"/>
    <w:rsid w:val="00AF07CF"/>
    <w:pPr>
      <w:numPr>
        <w:ilvl w:val="1"/>
        <w:numId w:val="10"/>
      </w:numPr>
      <w:spacing w:after="120"/>
      <w:ind w:left="456" w:hanging="284"/>
      <w:contextualSpacing/>
    </w:pPr>
    <w:rPr>
      <w:rFonts w:eastAsia="Cambria"/>
    </w:rPr>
  </w:style>
  <w:style w:type="paragraph" w:customStyle="1" w:styleId="PBS16BulletList2">
    <w:name w:val="PBS16 Bullet List 2"/>
    <w:basedOn w:val="PBS16BulletList"/>
    <w:rsid w:val="00AF07CF"/>
    <w:pPr>
      <w:numPr>
        <w:numId w:val="11"/>
      </w:numPr>
      <w:ind w:left="709" w:hanging="284"/>
    </w:pPr>
  </w:style>
  <w:style w:type="paragraph" w:customStyle="1" w:styleId="PBS16TableSpacer">
    <w:name w:val="PBS16 Table Spacer"/>
    <w:basedOn w:val="Normal"/>
    <w:rsid w:val="00AF07CF"/>
    <w:pPr>
      <w:shd w:val="clear" w:color="auto" w:fill="FFE599" w:themeFill="accent4" w:themeFillTint="66"/>
      <w:spacing w:after="0" w:line="240" w:lineRule="atLeast"/>
      <w:jc w:val="center"/>
    </w:pPr>
    <w:rPr>
      <w:b/>
      <w:vanish/>
    </w:rPr>
  </w:style>
  <w:style w:type="character" w:customStyle="1" w:styleId="TableColumnHeadingRightChar">
    <w:name w:val="Table Column Heading Right Char"/>
    <w:link w:val="TableColumnHeadingRight"/>
    <w:rsid w:val="00AF07CF"/>
    <w:rPr>
      <w:rFonts w:ascii="Arial" w:hAnsi="Arial"/>
      <w:b/>
    </w:rPr>
  </w:style>
  <w:style w:type="paragraph" w:customStyle="1" w:styleId="Heading3ptafter">
    <w:name w:val="Heading 3 pt after"/>
    <w:basedOn w:val="Heading6"/>
    <w:rsid w:val="00AF07CF"/>
    <w:pPr>
      <w:spacing w:line="260" w:lineRule="exact"/>
    </w:pPr>
    <w:rPr>
      <w:rFonts w:cs="Arial"/>
      <w:i/>
      <w:sz w:val="18"/>
      <w:lang w:val="x-none"/>
    </w:rPr>
  </w:style>
  <w:style w:type="character" w:customStyle="1" w:styleId="Heading6Char">
    <w:name w:val="Heading 6 Char"/>
    <w:link w:val="Heading6"/>
    <w:rsid w:val="00AF07CF"/>
    <w:rPr>
      <w:rFonts w:ascii="Arial" w:hAnsi="Arial"/>
      <w:b/>
      <w:bCs/>
      <w:szCs w:val="22"/>
    </w:rPr>
  </w:style>
  <w:style w:type="character" w:customStyle="1" w:styleId="TitleChar">
    <w:name w:val="Title Char"/>
    <w:link w:val="Title"/>
    <w:rsid w:val="00AF07CF"/>
    <w:rPr>
      <w:rFonts w:ascii="Arial" w:hAnsi="Arial" w:cs="Arial"/>
      <w:b/>
      <w:bCs/>
      <w:smallCaps/>
      <w:kern w:val="28"/>
      <w:sz w:val="52"/>
      <w:szCs w:val="32"/>
    </w:rPr>
  </w:style>
  <w:style w:type="character" w:customStyle="1" w:styleId="Heading1Char">
    <w:name w:val="Heading 1 Char"/>
    <w:link w:val="Heading1"/>
    <w:rsid w:val="00AF07CF"/>
    <w:rPr>
      <w:rFonts w:ascii="Arial" w:hAnsi="Arial"/>
      <w:b/>
      <w:smallCaps/>
      <w:kern w:val="28"/>
      <w:sz w:val="34"/>
    </w:rPr>
  </w:style>
  <w:style w:type="character" w:customStyle="1" w:styleId="Heading2Char">
    <w:name w:val="Heading 2 Char"/>
    <w:link w:val="Heading2"/>
    <w:rsid w:val="00AF07CF"/>
    <w:rPr>
      <w:rFonts w:ascii="Arial" w:hAnsi="Arial"/>
      <w:sz w:val="30"/>
    </w:rPr>
  </w:style>
  <w:style w:type="character" w:customStyle="1" w:styleId="Heading5Char">
    <w:name w:val="Heading 5 Char"/>
    <w:link w:val="Heading5"/>
    <w:rsid w:val="00AF07CF"/>
    <w:rPr>
      <w:rFonts w:ascii="Arial" w:hAnsi="Arial"/>
      <w:b/>
      <w:bCs/>
      <w:iCs/>
      <w:szCs w:val="26"/>
    </w:rPr>
  </w:style>
  <w:style w:type="paragraph" w:customStyle="1" w:styleId="SinglePara">
    <w:name w:val="Single Para"/>
    <w:basedOn w:val="Normal"/>
    <w:rsid w:val="00AF07CF"/>
    <w:pPr>
      <w:spacing w:after="0"/>
      <w:jc w:val="left"/>
    </w:pPr>
  </w:style>
  <w:style w:type="paragraph" w:customStyle="1" w:styleId="Tabletextjustified0">
    <w:name w:val="Table text justified"/>
    <w:basedOn w:val="Normal"/>
    <w:semiHidden/>
    <w:rsid w:val="00AF07CF"/>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F07CF"/>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AF07CF"/>
    <w:pPr>
      <w:spacing w:before="100" w:after="100" w:line="250" w:lineRule="exact"/>
    </w:pPr>
  </w:style>
  <w:style w:type="character" w:customStyle="1" w:styleId="OverviewParagraphChar">
    <w:name w:val="Overview Paragraph Char"/>
    <w:link w:val="OverviewParagraph"/>
    <w:semiHidden/>
    <w:rsid w:val="00AF07CF"/>
    <w:rPr>
      <w:rFonts w:ascii="Book Antiqua" w:hAnsi="Book Antiqua"/>
    </w:rPr>
  </w:style>
  <w:style w:type="paragraph" w:customStyle="1" w:styleId="Area">
    <w:name w:val="Area"/>
    <w:basedOn w:val="Normal"/>
    <w:rsid w:val="00AF07CF"/>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F07CF"/>
    <w:pPr>
      <w:tabs>
        <w:tab w:val="right" w:pos="9639"/>
      </w:tabs>
      <w:spacing w:before="240" w:after="120"/>
      <w:jc w:val="right"/>
    </w:pPr>
    <w:rPr>
      <w:rFonts w:ascii="Times" w:hAnsi="Times"/>
      <w:b/>
      <w:i w:val="0"/>
      <w:caps/>
      <w:sz w:val="16"/>
      <w:szCs w:val="16"/>
      <w:lang w:eastAsia="en-AU"/>
    </w:rPr>
  </w:style>
  <w:style w:type="character" w:customStyle="1" w:styleId="BalloonTextChar">
    <w:name w:val="Balloon Text Char"/>
    <w:link w:val="BalloonText"/>
    <w:uiPriority w:val="99"/>
    <w:semiHidden/>
    <w:rsid w:val="00AF07CF"/>
    <w:rPr>
      <w:rFonts w:ascii="Tahoma" w:hAnsi="Tahoma" w:cs="Tahoma"/>
      <w:sz w:val="16"/>
      <w:szCs w:val="16"/>
    </w:rPr>
  </w:style>
  <w:style w:type="paragraph" w:customStyle="1" w:styleId="Outcomeheading">
    <w:name w:val="Outcome heading"/>
    <w:basedOn w:val="Heading3"/>
    <w:qFormat/>
    <w:rsid w:val="00AF07CF"/>
    <w:rPr>
      <w:lang w:val="x-none"/>
    </w:rPr>
  </w:style>
  <w:style w:type="paragraph" w:customStyle="1" w:styleId="ChartandTableFootnotenumbered">
    <w:name w:val="Chart and Table Footnote numbered"/>
    <w:basedOn w:val="Normal"/>
    <w:next w:val="Normal"/>
    <w:rsid w:val="00AF07CF"/>
    <w:pPr>
      <w:keepNext/>
      <w:spacing w:after="0"/>
    </w:pPr>
    <w:rPr>
      <w:rFonts w:ascii="Arial" w:hAnsi="Arial"/>
      <w:sz w:val="16"/>
    </w:rPr>
  </w:style>
  <w:style w:type="character" w:customStyle="1" w:styleId="DashChar">
    <w:name w:val="Dash Char"/>
    <w:link w:val="Dash"/>
    <w:rsid w:val="00AF07CF"/>
    <w:rPr>
      <w:rFonts w:ascii="Book Antiqua" w:hAnsi="Book Antiqua"/>
    </w:rPr>
  </w:style>
  <w:style w:type="character" w:customStyle="1" w:styleId="DoubleDotChar">
    <w:name w:val="Double Dot Char"/>
    <w:link w:val="DoubleDot"/>
    <w:rsid w:val="00AF07CF"/>
    <w:rPr>
      <w:rFonts w:ascii="Book Antiqua" w:hAnsi="Book Antiqua"/>
    </w:rPr>
  </w:style>
  <w:style w:type="character" w:customStyle="1" w:styleId="CommentSubjectChar">
    <w:name w:val="Comment Subject Char"/>
    <w:link w:val="CommentSubject"/>
    <w:uiPriority w:val="99"/>
    <w:semiHidden/>
    <w:rsid w:val="00AF07CF"/>
    <w:rPr>
      <w:rFonts w:ascii="Book Antiqua" w:hAnsi="Book Antiqua"/>
      <w:b/>
      <w:bCs/>
      <w:lang w:val="x-none" w:eastAsia="x-none"/>
    </w:rPr>
  </w:style>
  <w:style w:type="paragraph" w:customStyle="1" w:styleId="Pa5">
    <w:name w:val="Pa5"/>
    <w:basedOn w:val="Default"/>
    <w:next w:val="Default"/>
    <w:uiPriority w:val="99"/>
    <w:rsid w:val="00AF07CF"/>
    <w:pPr>
      <w:adjustRightInd w:val="0"/>
      <w:spacing w:line="201" w:lineRule="atLeast"/>
    </w:pPr>
    <w:rPr>
      <w:rFonts w:ascii="News Gothic Com Light" w:eastAsia="Times New Roman" w:hAnsi="News Gothic Com Light"/>
      <w:color w:val="auto"/>
      <w:lang w:eastAsia="en-AU"/>
    </w:rPr>
  </w:style>
  <w:style w:type="character" w:customStyle="1" w:styleId="PBS16Measure">
    <w:name w:val="PBS16 Measure"/>
    <w:basedOn w:val="DefaultParagraphFont"/>
    <w:uiPriority w:val="1"/>
    <w:rsid w:val="00AF07CF"/>
    <w:rPr>
      <w:i/>
      <w:u w:val="single"/>
    </w:rPr>
  </w:style>
  <w:style w:type="paragraph" w:customStyle="1" w:styleId="PBS16TableOutcomeText">
    <w:name w:val="PBS16 Table Outcome Text"/>
    <w:basedOn w:val="Normal"/>
    <w:link w:val="PBS16TableOutcomeTextChar"/>
    <w:rsid w:val="00AF07CF"/>
    <w:pPr>
      <w:spacing w:before="60" w:after="60" w:line="240" w:lineRule="auto"/>
      <w:jc w:val="left"/>
    </w:pPr>
    <w:rPr>
      <w:rFonts w:ascii="Arial" w:hAnsi="Arial" w:cs="Arial"/>
    </w:rPr>
  </w:style>
  <w:style w:type="paragraph" w:customStyle="1" w:styleId="PBS16TableOutcomeHeading">
    <w:name w:val="PBS16 Table Outcome Heading"/>
    <w:basedOn w:val="PBS16TableOutcomeText"/>
    <w:link w:val="PBS16TableOutcomeHeadingChar"/>
    <w:rsid w:val="00AF07CF"/>
    <w:pPr>
      <w:keepNext/>
    </w:pPr>
    <w:rPr>
      <w:b/>
    </w:rPr>
  </w:style>
  <w:style w:type="character" w:customStyle="1" w:styleId="PBS16TableOutcomeTextChar">
    <w:name w:val="PBS16 Table Outcome Text Char"/>
    <w:basedOn w:val="DefaultParagraphFont"/>
    <w:link w:val="PBS16TableOutcomeText"/>
    <w:rsid w:val="00AF07CF"/>
    <w:rPr>
      <w:rFonts w:ascii="Arial" w:hAnsi="Arial" w:cs="Arial"/>
    </w:rPr>
  </w:style>
  <w:style w:type="character" w:customStyle="1" w:styleId="PBS16TableOutcomeHeadingChar">
    <w:name w:val="PBS16 Table Outcome Heading Char"/>
    <w:basedOn w:val="PBS16TableOutcomeTextChar"/>
    <w:link w:val="PBS16TableOutcomeHeading"/>
    <w:rsid w:val="00AF07CF"/>
    <w:rPr>
      <w:rFonts w:ascii="Arial" w:hAnsi="Arial" w:cs="Arial"/>
      <w:b/>
    </w:rPr>
  </w:style>
  <w:style w:type="paragraph" w:customStyle="1" w:styleId="PBS16indentedlist">
    <w:name w:val="PBS16 indented list"/>
    <w:rsid w:val="00AF07CF"/>
    <w:pPr>
      <w:tabs>
        <w:tab w:val="left" w:pos="2268"/>
      </w:tabs>
      <w:spacing w:after="240" w:line="260" w:lineRule="exact"/>
      <w:ind w:left="567"/>
    </w:pPr>
    <w:rPr>
      <w:rFonts w:ascii="Book Antiqua" w:hAnsi="Book Antiqua"/>
    </w:rPr>
  </w:style>
  <w:style w:type="character" w:customStyle="1" w:styleId="DocumentMapChar">
    <w:name w:val="Document Map Char"/>
    <w:basedOn w:val="DefaultParagraphFont"/>
    <w:link w:val="DocumentMap"/>
    <w:semiHidden/>
    <w:rsid w:val="00AF07CF"/>
    <w:rPr>
      <w:rFonts w:ascii="Tahoma" w:hAnsi="Tahoma" w:cs="Tahoma"/>
      <w:shd w:val="clear" w:color="auto" w:fill="000080"/>
    </w:rPr>
  </w:style>
  <w:style w:type="character" w:customStyle="1" w:styleId="EndnoteTextChar">
    <w:name w:val="Endnote Text Char"/>
    <w:basedOn w:val="DefaultParagraphFont"/>
    <w:link w:val="EndnoteText"/>
    <w:semiHidden/>
    <w:rsid w:val="00AF07CF"/>
    <w:rPr>
      <w:rFonts w:ascii="Book Antiqua" w:hAnsi="Book Antiqua"/>
    </w:rPr>
  </w:style>
  <w:style w:type="character" w:customStyle="1" w:styleId="Heading7Char">
    <w:name w:val="Heading 7 Char"/>
    <w:basedOn w:val="DefaultParagraphFont"/>
    <w:link w:val="Heading7"/>
    <w:rsid w:val="00AF07CF"/>
    <w:rPr>
      <w:rFonts w:ascii="Arial" w:hAnsi="Arial"/>
      <w:b/>
      <w:bCs/>
      <w:szCs w:val="22"/>
    </w:rPr>
  </w:style>
  <w:style w:type="character" w:customStyle="1" w:styleId="Heading8Char">
    <w:name w:val="Heading 8 Char"/>
    <w:basedOn w:val="DefaultParagraphFont"/>
    <w:link w:val="Heading8"/>
    <w:rsid w:val="00AF07CF"/>
    <w:rPr>
      <w:i/>
      <w:iCs/>
      <w:sz w:val="16"/>
      <w:szCs w:val="24"/>
    </w:rPr>
  </w:style>
  <w:style w:type="character" w:customStyle="1" w:styleId="MacroTextChar">
    <w:name w:val="Macro Text Char"/>
    <w:basedOn w:val="DefaultParagraphFont"/>
    <w:link w:val="MacroText"/>
    <w:semiHidden/>
    <w:rsid w:val="00AF07CF"/>
    <w:rPr>
      <w:rFonts w:ascii="Courier New" w:hAnsi="Courier New" w:cs="Courier New"/>
    </w:rPr>
  </w:style>
  <w:style w:type="paragraph" w:customStyle="1" w:styleId="PBS17LinkedProgbullet">
    <w:name w:val="PBS17 Linked Prog bullet"/>
    <w:basedOn w:val="PBS16TableListBullet"/>
    <w:qFormat/>
    <w:rsid w:val="00AF07CF"/>
  </w:style>
  <w:style w:type="paragraph" w:customStyle="1" w:styleId="PBS17LinkedProgHeading">
    <w:name w:val="PBS17 Linked Prog Heading"/>
    <w:basedOn w:val="Normal"/>
    <w:qFormat/>
    <w:rsid w:val="00AF07CF"/>
    <w:pPr>
      <w:keepNext/>
      <w:spacing w:before="60" w:after="60" w:line="240" w:lineRule="exact"/>
    </w:pPr>
    <w:rPr>
      <w:rFonts w:ascii="Arial" w:hAnsi="Arial" w:cs="Arial"/>
      <w:b/>
      <w:sz w:val="16"/>
      <w:szCs w:val="16"/>
    </w:rPr>
  </w:style>
  <w:style w:type="paragraph" w:customStyle="1" w:styleId="PBS17LinkedProgHeading2">
    <w:name w:val="PBS17 Linked Prog Heading 2"/>
    <w:basedOn w:val="PBS17LinkedProgHeading"/>
    <w:qFormat/>
    <w:rsid w:val="00AF07CF"/>
    <w:pPr>
      <w:keepNext w:val="0"/>
    </w:pPr>
  </w:style>
  <w:style w:type="paragraph" w:customStyle="1" w:styleId="PBS17LinkedProgNormal">
    <w:name w:val="PBS17 Linked Prog Normal"/>
    <w:basedOn w:val="Normal"/>
    <w:qFormat/>
    <w:rsid w:val="00AF07CF"/>
    <w:pPr>
      <w:spacing w:before="60" w:after="60" w:line="240" w:lineRule="exact"/>
    </w:pPr>
    <w:rPr>
      <w:rFonts w:ascii="Arial" w:hAnsi="Arial" w:cs="Arial"/>
      <w:sz w:val="16"/>
      <w:szCs w:val="16"/>
    </w:rPr>
  </w:style>
  <w:style w:type="paragraph" w:customStyle="1" w:styleId="PBS16TableNormalHeadingRight">
    <w:name w:val="PBS16 Table Normal Heading Right"/>
    <w:basedOn w:val="PBS16TableNormalHeading"/>
    <w:qFormat/>
    <w:rsid w:val="00AF07CF"/>
    <w:pPr>
      <w:jc w:val="right"/>
    </w:pPr>
  </w:style>
  <w:style w:type="paragraph" w:customStyle="1" w:styleId="PBS16TableNormalRight">
    <w:name w:val="PBS16 Table Normal Right"/>
    <w:basedOn w:val="PBS16TableNormal"/>
    <w:qFormat/>
    <w:rsid w:val="00AF07CF"/>
    <w:pPr>
      <w:jc w:val="right"/>
    </w:pPr>
  </w:style>
  <w:style w:type="paragraph" w:customStyle="1" w:styleId="PBS16TableLetterBullets">
    <w:name w:val="PBS16 Table Letter Bullets"/>
    <w:basedOn w:val="PBS16TableNormal"/>
    <w:qFormat/>
    <w:rsid w:val="00AF07CF"/>
    <w:pPr>
      <w:numPr>
        <w:numId w:val="12"/>
      </w:numPr>
      <w:ind w:left="245" w:hanging="284"/>
    </w:pPr>
  </w:style>
  <w:style w:type="character" w:customStyle="1" w:styleId="lexicon-term">
    <w:name w:val="lexicon-term"/>
    <w:basedOn w:val="DefaultParagraphFont"/>
    <w:rsid w:val="00AF07CF"/>
    <w:rPr>
      <w:strike w:val="0"/>
      <w:dstrike w:val="0"/>
      <w:u w:val="none"/>
      <w:effect w:val="none"/>
    </w:rPr>
  </w:style>
  <w:style w:type="paragraph" w:customStyle="1" w:styleId="CABNETParagraphAtt">
    <w:name w:val="CABNET Paragraph Att"/>
    <w:basedOn w:val="Normal"/>
    <w:link w:val="CABNETParagraphAttChar"/>
    <w:qFormat/>
    <w:rsid w:val="00AF07CF"/>
    <w:pPr>
      <w:spacing w:before="60" w:after="60" w:line="240" w:lineRule="auto"/>
      <w:jc w:val="left"/>
    </w:pPr>
    <w:rPr>
      <w:rFonts w:ascii="Arial" w:eastAsiaTheme="minorHAnsi" w:hAnsi="Arial" w:cstheme="minorHAnsi"/>
      <w:sz w:val="22"/>
      <w:szCs w:val="22"/>
      <w:lang w:eastAsia="en-US"/>
    </w:rPr>
  </w:style>
  <w:style w:type="character" w:customStyle="1" w:styleId="CABNETParagraphAttChar">
    <w:name w:val="CABNET Paragraph Att Char"/>
    <w:basedOn w:val="DefaultParagraphFont"/>
    <w:link w:val="CABNETParagraphAtt"/>
    <w:rsid w:val="00AF07CF"/>
    <w:rPr>
      <w:rFonts w:ascii="Arial" w:eastAsiaTheme="minorHAnsi" w:hAnsi="Arial" w:cstheme="minorHAnsi"/>
      <w:sz w:val="22"/>
      <w:szCs w:val="22"/>
      <w:lang w:eastAsia="en-US"/>
    </w:rPr>
  </w:style>
  <w:style w:type="character" w:customStyle="1" w:styleId="TextChar">
    <w:name w:val="Text Char"/>
    <w:basedOn w:val="DefaultParagraphFont"/>
    <w:link w:val="Text"/>
    <w:locked/>
    <w:rsid w:val="00AF07CF"/>
  </w:style>
  <w:style w:type="paragraph" w:customStyle="1" w:styleId="Text">
    <w:name w:val="Text"/>
    <w:basedOn w:val="Normal"/>
    <w:link w:val="TextChar"/>
    <w:rsid w:val="00AF07CF"/>
    <w:pPr>
      <w:spacing w:after="0" w:line="240" w:lineRule="auto"/>
      <w:jc w:val="left"/>
    </w:pPr>
    <w:rPr>
      <w:rFonts w:ascii="Times New Roman" w:hAnsi="Times New Roman"/>
    </w:rPr>
  </w:style>
  <w:style w:type="paragraph" w:customStyle="1" w:styleId="PAESMeasureindentedtext">
    <w:name w:val="PAES Measure indented text"/>
    <w:basedOn w:val="Normal"/>
    <w:qFormat/>
    <w:rsid w:val="00AF07CF"/>
    <w:pPr>
      <w:numPr>
        <w:numId w:val="13"/>
      </w:numPr>
    </w:pPr>
  </w:style>
  <w:style w:type="paragraph" w:customStyle="1" w:styleId="PBSPerformancetablespace">
    <w:name w:val="PBS Performance table space"/>
    <w:basedOn w:val="Normal"/>
    <w:qFormat/>
    <w:rsid w:val="00AF07CF"/>
    <w:pPr>
      <w:spacing w:after="0" w:line="200" w:lineRule="exact"/>
    </w:pPr>
    <w:rPr>
      <w:sz w:val="16"/>
    </w:rPr>
  </w:style>
  <w:style w:type="paragraph" w:customStyle="1" w:styleId="PBSbudgetlogo">
    <w:name w:val="PBS budget logo"/>
    <w:qFormat/>
    <w:rsid w:val="007C6BA1"/>
    <w:pPr>
      <w:jc w:val="center"/>
    </w:pPr>
    <w:rPr>
      <w:rFonts w:ascii="Arial" w:hAnsi="Arial"/>
      <w:noProof/>
    </w:rPr>
  </w:style>
  <w:style w:type="paragraph" w:customStyle="1" w:styleId="PBSTableNormalJustified">
    <w:name w:val="PBS Table Normal Justified"/>
    <w:basedOn w:val="PBS16TableNormal"/>
    <w:qFormat/>
    <w:rsid w:val="00FA1EB1"/>
    <w:pPr>
      <w:jc w:val="both"/>
    </w:pPr>
  </w:style>
  <w:style w:type="paragraph" w:customStyle="1" w:styleId="ChartandTableFootnotenotab">
    <w:name w:val="Chart and Table Footnote (no tab)"/>
    <w:basedOn w:val="ChartandTableFootnote"/>
    <w:qFormat/>
    <w:rsid w:val="0047647B"/>
    <w:pPr>
      <w:spacing w:after="0"/>
      <w:ind w:left="0" w:firstLine="0"/>
    </w:pPr>
  </w:style>
  <w:style w:type="paragraph" w:customStyle="1" w:styleId="MediumGrid21">
    <w:name w:val="Medium Grid 21"/>
    <w:uiPriority w:val="1"/>
    <w:qFormat/>
    <w:rsid w:val="00FA1EB1"/>
    <w:pPr>
      <w:jc w:val="both"/>
    </w:pPr>
    <w:rPr>
      <w:rFonts w:ascii="Book Antiqua" w:hAnsi="Book Antiqua"/>
    </w:rPr>
  </w:style>
  <w:style w:type="paragraph" w:customStyle="1" w:styleId="Normal2">
    <w:name w:val="Normal2"/>
    <w:basedOn w:val="Normal"/>
    <w:rsid w:val="00CE3F03"/>
    <w:rPr>
      <w:rFonts w:eastAsiaTheme="minorHAnsi"/>
    </w:rPr>
  </w:style>
  <w:style w:type="character" w:customStyle="1" w:styleId="eop">
    <w:name w:val="eop"/>
    <w:basedOn w:val="DefaultParagraphFont"/>
    <w:rsid w:val="00CE3F03"/>
  </w:style>
  <w:style w:type="paragraph" w:customStyle="1" w:styleId="PBS16BulletList3">
    <w:name w:val="PBS16 Bullet List 3"/>
    <w:basedOn w:val="Normal"/>
    <w:rsid w:val="00CE3F03"/>
    <w:pPr>
      <w:numPr>
        <w:ilvl w:val="1"/>
        <w:numId w:val="16"/>
      </w:numPr>
      <w:spacing w:before="120" w:after="120" w:line="259" w:lineRule="auto"/>
      <w:ind w:left="993"/>
      <w:jc w:val="left"/>
    </w:pPr>
  </w:style>
  <w:style w:type="paragraph" w:customStyle="1" w:styleId="PBS16BulletList4">
    <w:name w:val="PBS16 Bullet List 4"/>
    <w:basedOn w:val="Normal"/>
    <w:rsid w:val="00CE3F03"/>
    <w:pPr>
      <w:numPr>
        <w:ilvl w:val="1"/>
        <w:numId w:val="18"/>
      </w:numPr>
      <w:spacing w:before="120" w:after="120" w:line="259" w:lineRule="auto"/>
      <w:jc w:val="left"/>
    </w:pPr>
  </w:style>
  <w:style w:type="paragraph" w:customStyle="1" w:styleId="PBSTableListNumbers">
    <w:name w:val="PBS Table List Numbers"/>
    <w:basedOn w:val="PBS16TableNormal"/>
    <w:rsid w:val="00CE3F03"/>
    <w:pPr>
      <w:numPr>
        <w:numId w:val="19"/>
      </w:numPr>
      <w:ind w:left="43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2271019">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6504774">
      <w:bodyDiv w:val="1"/>
      <w:marLeft w:val="0"/>
      <w:marRight w:val="0"/>
      <w:marTop w:val="0"/>
      <w:marBottom w:val="0"/>
      <w:divBdr>
        <w:top w:val="none" w:sz="0" w:space="0" w:color="auto"/>
        <w:left w:val="none" w:sz="0" w:space="0" w:color="auto"/>
        <w:bottom w:val="none" w:sz="0" w:space="0" w:color="auto"/>
        <w:right w:val="none" w:sz="0" w:space="0" w:color="auto"/>
      </w:divBdr>
    </w:div>
    <w:div w:id="592711877">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801731028">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6609011">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497039456">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image" Target="media/image7.emf"/><Relationship Id="rId39"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www.teqsa.gov.au/" TargetMode="External"/><Relationship Id="rId34"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image" Target="media/image6.emf"/><Relationship Id="rId33" Type="http://schemas.openxmlformats.org/officeDocument/2006/relationships/footer" Target="footer4.xm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teqsa.gov.au" TargetMode="External"/><Relationship Id="rId29" Type="http://schemas.openxmlformats.org/officeDocument/2006/relationships/image" Target="media/image10.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emf"/><Relationship Id="rId32" Type="http://schemas.openxmlformats.org/officeDocument/2006/relationships/header" Target="header3.xm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image" Target="media/image2.emf"/><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D32F813FF339BB439A8099CD5BC8C9D4" ma:contentTypeVersion="9248" ma:contentTypeDescription="" ma:contentTypeScope="" ma:versionID="a80e9b67aa428b55b13566229794d4f7">
  <xsd:schema xmlns:xsd="http://www.w3.org/2001/XMLSchema" xmlns:xs="http://www.w3.org/2001/XMLSchema" xmlns:p="http://schemas.microsoft.com/office/2006/metadata/properties" xmlns:ns1="http://schemas.microsoft.com/sharepoint/v3" xmlns:ns2="eb47d8b7-fefc-4923-b53c-9685ba6b7210" targetNamespace="http://schemas.microsoft.com/office/2006/metadata/properties" ma:root="true" ma:fieldsID="4b19b25c1b3fe20020fd823529388636" ns1:_="" ns2:_="">
    <xsd:import namespace="http://schemas.microsoft.com/sharepoint/v3"/>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TaxCatchAll xmlns="eb47d8b7-fefc-4923-b53c-9685ba6b7210">
      <Value>75</Value>
    </TaxCatchAll>
    <_dlc_DocIdUrl xmlns="eb47d8b7-fefc-4923-b53c-9685ba6b7210">
      <Url>http://tweb/sites/cssg/ped/pu/pt/_layouts/15/DocIdRedir.aspx?ID=2018CSSG-528562461-194</Url>
      <Description>2018CSSG-528562461-194</Description>
    </_dlc_DocIdUrl>
    <_dlc_DocId xmlns="eb47d8b7-fefc-4923-b53c-9685ba6b7210">2018CSSG-528562461-194</_dlc_DocId>
  </documentManagement>
</p:properties>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5cc967dd-c912-4b3c-bade-a8b03f189c59">
      <p:Name>Auditing</p:Name>
      <p:Description>Audits user actions on documents and list items to the Audit Log.</p:Description>
      <p:CustomData>
        <Audit>
          <Update/>
          <DeleteRestore/>
        </Audit>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8E723-AF2D-4232-B5FF-594031DF8EFF}"/>
</file>

<file path=customXml/itemProps2.xml><?xml version="1.0" encoding="utf-8"?>
<ds:datastoreItem xmlns:ds="http://schemas.openxmlformats.org/officeDocument/2006/customXml" ds:itemID="{D964E8D8-6041-44AC-91FB-C0440C5B0DDE}"/>
</file>

<file path=customXml/itemProps3.xml><?xml version="1.0" encoding="utf-8"?>
<ds:datastoreItem xmlns:ds="http://schemas.openxmlformats.org/officeDocument/2006/customXml" ds:itemID="{AC377276-3E59-4A23-9383-C269F4925617}"/>
</file>

<file path=customXml/itemProps4.xml><?xml version="1.0" encoding="utf-8"?>
<ds:datastoreItem xmlns:ds="http://schemas.openxmlformats.org/officeDocument/2006/customXml" ds:itemID="{F3F5838B-9058-46E1-A341-9D9BF3B9EB86}"/>
</file>

<file path=customXml/itemProps5.xml><?xml version="1.0" encoding="utf-8"?>
<ds:datastoreItem xmlns:ds="http://schemas.openxmlformats.org/officeDocument/2006/customXml" ds:itemID="{FDB26A9D-3E56-4969-B8C1-16BA09C4C4BE}"/>
</file>

<file path=customXml/itemProps6.xml><?xml version="1.0" encoding="utf-8"?>
<ds:datastoreItem xmlns:ds="http://schemas.openxmlformats.org/officeDocument/2006/customXml" ds:itemID="{51020D68-5EAE-4E18-9F29-D13EAD099859}"/>
</file>

<file path=customXml/itemProps7.xml><?xml version="1.0" encoding="utf-8"?>
<ds:datastoreItem xmlns:ds="http://schemas.openxmlformats.org/officeDocument/2006/customXml" ds:itemID="{9A6E0B11-D130-40DB-A40D-0AF3DEDCF233}"/>
</file>

<file path=docProps/app.xml><?xml version="1.0" encoding="utf-8"?>
<Properties xmlns="http://schemas.openxmlformats.org/officeDocument/2006/extended-properties" xmlns:vt="http://schemas.openxmlformats.org/officeDocument/2006/docPropsVTypes">
  <Template>FA2C8F26.dotm</Template>
  <TotalTime>1682</TotalTime>
  <Pages>23</Pages>
  <Words>3045</Words>
  <Characters>18664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Portfolio Budget Statements 2019-20</vt:lpstr>
    </vt:vector>
  </TitlesOfParts>
  <Manager>Kevin.Wong@education.gov.au</Manager>
  <Company>Australian Government - Department of Education and Training</Company>
  <LinksUpToDate>false</LinksUpToDate>
  <CharactersWithSpaces>21666</CharactersWithSpaces>
  <SharedDoc>false</SharedDoc>
  <HyperlinkBase>www.education.gov.au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 2019-20</dc:title>
  <dc:subject>Portfolio Budget Statements 2019-20</dc:subject>
  <dc:creator>Education and Training Portfolio</dc:creator>
  <cp:keywords>PBS;Budget;Education;Training</cp:keywords>
  <cp:lastModifiedBy>VINE,Colin</cp:lastModifiedBy>
  <cp:revision>220</cp:revision>
  <cp:lastPrinted>2019-03-31T02:40:00Z</cp:lastPrinted>
  <dcterms:created xsi:type="dcterms:W3CDTF">2018-03-13T05:02:00Z</dcterms:created>
  <dcterms:modified xsi:type="dcterms:W3CDTF">2019-04-01T06:24:00Z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0x010100605AAC981168BE40A9BD548B81A50DF6006EB3B15072AC1D409928D75C61018CC2</vt:lpwstr>
  </property>
  <property fmtid="{D5CDD505-2E9C-101B-9397-08002B2CF9AE}" pid="5" name="TSYRecordClass">
    <vt:lpwstr>75;#AE-20337-Destroy 7 years after action completed|668ae28e-5138-4c7c-82db-1c8c6afc81a6</vt:lpwstr>
  </property>
  <property fmtid="{D5CDD505-2E9C-101B-9397-08002B2CF9AE}" pid="6" name="_dlc_DocIdItemGuid">
    <vt:lpwstr>80ce654a-8b7a-4b78-844a-49e3b16f0e37</vt:lpwstr>
  </property>
  <property fmtid="{D5CDD505-2E9C-101B-9397-08002B2CF9AE}" pid="7" name="_dlc_DocId">
    <vt:lpwstr>2018CSSG-528562461-194</vt:lpwstr>
  </property>
  <property fmtid="{D5CDD505-2E9C-101B-9397-08002B2CF9AE}" pid="8" name="_dlc_DocIdUrl">
    <vt:lpwstr>http://tweb/sites/cssg/ped/pu/pt/_layouts/15/DocIdRedir.aspx?ID=2018CSSG-528562461-194, 2018CSSG-528562461-194</vt:lpwstr>
  </property>
  <property fmtid="{D5CDD505-2E9C-101B-9397-08002B2CF9AE}" pid="9" name="Language">
    <vt:lpwstr>English</vt:lpwstr>
  </property>
  <property fmtid="{D5CDD505-2E9C-101B-9397-08002B2CF9AE}" pid="10" name="IconOverlay">
    <vt:lpwstr/>
  </property>
  <property fmtid="{D5CDD505-2E9C-101B-9397-08002B2CF9AE}" pid="11" name="RecordPoint_WorkflowType">
    <vt:lpwstr>ActiveSubmitStub</vt:lpwstr>
  </property>
  <property fmtid="{D5CDD505-2E9C-101B-9397-08002B2CF9AE}" pid="12" name="RecordPoint_ActiveItemSiteId">
    <vt:lpwstr>{de902461-0703-410e-906b-a2e3a4f5dd57}</vt:lpwstr>
  </property>
  <property fmtid="{D5CDD505-2E9C-101B-9397-08002B2CF9AE}" pid="13" name="RecordPoint_ActiveItemListId">
    <vt:lpwstr>{1a5197ea-2690-47fd-a085-19629528b6d0}</vt:lpwstr>
  </property>
  <property fmtid="{D5CDD505-2E9C-101B-9397-08002B2CF9AE}" pid="14" name="RecordPoint_ActiveItemUniqueId">
    <vt:lpwstr>{80ce654a-8b7a-4b78-844a-49e3b16f0e37}</vt:lpwstr>
  </property>
  <property fmtid="{D5CDD505-2E9C-101B-9397-08002B2CF9AE}" pid="15" name="RecordPoint_ActiveItemWebId">
    <vt:lpwstr>{e237d495-0881-4849-ae62-ddc8a8132df5}</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RecordPoint_SubmissionCompleted">
    <vt:lpwstr>2018-02-21T12:08:37.1490822+11:00</vt:lpwstr>
  </property>
  <property fmtid="{D5CDD505-2E9C-101B-9397-08002B2CF9AE}" pid="20" name="RecordPoint_RecordNumberSubmitted">
    <vt:lpwstr>R0001595973</vt:lpwstr>
  </property>
</Properties>
</file>