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ECA12" w14:textId="77777777" w:rsidR="00D16FCF" w:rsidRPr="00771DF6" w:rsidRDefault="00771DF6" w:rsidP="00771DF6">
      <w:pPr>
        <w:spacing w:line="360" w:lineRule="auto"/>
        <w:rPr>
          <w:rFonts w:ascii="Calibri" w:hAnsi="Calibri" w:cs="Calibri"/>
        </w:rPr>
      </w:pPr>
      <w:bookmarkStart w:id="0" w:name="_GoBack"/>
      <w:bookmarkEnd w:id="0"/>
      <w:r w:rsidRPr="00771DF6">
        <w:rPr>
          <w:rFonts w:ascii="Calibri" w:hAnsi="Calibri" w:cs="Calibri"/>
        </w:rPr>
        <w:t>Slide 1</w:t>
      </w:r>
    </w:p>
    <w:p w14:paraId="264ECA13" w14:textId="77777777" w:rsidR="00771DF6" w:rsidRPr="00771DF6" w:rsidRDefault="00771DF6" w:rsidP="00771DF6">
      <w:pPr>
        <w:spacing w:line="360" w:lineRule="auto"/>
        <w:rPr>
          <w:rFonts w:ascii="Calibri" w:hAnsi="Calibri" w:cs="Calibri"/>
        </w:rPr>
      </w:pPr>
    </w:p>
    <w:p w14:paraId="264ECA1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429702056" r:id="rId10"/>
        </w:object>
      </w:r>
    </w:p>
    <w:p w14:paraId="264ECA15" w14:textId="77777777" w:rsidR="00771DF6" w:rsidRPr="00771DF6" w:rsidRDefault="00771DF6" w:rsidP="00771DF6">
      <w:pPr>
        <w:spacing w:line="360" w:lineRule="auto"/>
        <w:jc w:val="center"/>
        <w:rPr>
          <w:rFonts w:ascii="Calibri" w:hAnsi="Calibri" w:cs="Calibri"/>
        </w:rPr>
      </w:pPr>
    </w:p>
    <w:p w14:paraId="264ECA16" w14:textId="77777777" w:rsidR="00771DF6" w:rsidRPr="00771DF6" w:rsidRDefault="00771DF6" w:rsidP="00771DF6">
      <w:pPr>
        <w:spacing w:line="360" w:lineRule="auto"/>
        <w:rPr>
          <w:rFonts w:ascii="Calibri" w:hAnsi="Calibri" w:cs="Calibri"/>
        </w:rPr>
      </w:pPr>
    </w:p>
    <w:p w14:paraId="264ECA17" w14:textId="77777777" w:rsidR="00771DF6" w:rsidRPr="00771DF6" w:rsidRDefault="00771DF6">
      <w:pPr>
        <w:rPr>
          <w:rFonts w:ascii="Calibri" w:hAnsi="Calibri" w:cs="Calibri"/>
        </w:rPr>
      </w:pPr>
      <w:r w:rsidRPr="00771DF6">
        <w:rPr>
          <w:rFonts w:ascii="Calibri" w:hAnsi="Calibri" w:cs="Calibri"/>
        </w:rPr>
        <w:br w:type="page"/>
      </w:r>
    </w:p>
    <w:p w14:paraId="264ECA18"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w:t>
      </w:r>
    </w:p>
    <w:p w14:paraId="264ECA19" w14:textId="77777777" w:rsidR="00771DF6" w:rsidRPr="00771DF6" w:rsidRDefault="00771DF6" w:rsidP="00771DF6">
      <w:pPr>
        <w:spacing w:line="360" w:lineRule="auto"/>
        <w:rPr>
          <w:rFonts w:ascii="Calibri" w:hAnsi="Calibri" w:cs="Calibri"/>
        </w:rPr>
      </w:pPr>
    </w:p>
    <w:p w14:paraId="264ECA1A"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2">
          <v:shape id="_x0000_i1026" type="#_x0000_t75" style="width:270.75pt;height:202.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429702057" r:id="rId12"/>
        </w:object>
      </w:r>
    </w:p>
    <w:p w14:paraId="264ECA1B" w14:textId="77777777" w:rsidR="00771DF6" w:rsidRPr="00771DF6" w:rsidRDefault="00771DF6" w:rsidP="00771DF6">
      <w:pPr>
        <w:spacing w:line="360" w:lineRule="auto"/>
        <w:jc w:val="center"/>
        <w:rPr>
          <w:rFonts w:ascii="Calibri" w:hAnsi="Calibri" w:cs="Calibri"/>
        </w:rPr>
      </w:pPr>
    </w:p>
    <w:p w14:paraId="264ECA1C" w14:textId="77777777" w:rsidR="00771DF6" w:rsidRPr="00771DF6" w:rsidRDefault="00771DF6" w:rsidP="00771DF6">
      <w:pPr>
        <w:autoSpaceDE w:val="0"/>
        <w:autoSpaceDN w:val="0"/>
        <w:adjustRightInd w:val="0"/>
        <w:rPr>
          <w:rFonts w:ascii="Calibri" w:hAnsi="Calibri" w:cs="Calibri"/>
          <w:b/>
          <w:bCs/>
          <w:kern w:val="24"/>
          <w:u w:val="single"/>
          <w:lang w:val="en-US"/>
        </w:rPr>
      </w:pPr>
      <w:r w:rsidRPr="00771DF6">
        <w:rPr>
          <w:rFonts w:ascii="Calibri" w:hAnsi="Calibri" w:cs="Calibri"/>
          <w:b/>
          <w:bCs/>
          <w:kern w:val="24"/>
          <w:u w:val="single"/>
          <w:lang w:val="en-US"/>
        </w:rPr>
        <w:t>Southern Wide Bay-Burnett Priority Employment Area</w:t>
      </w:r>
    </w:p>
    <w:p w14:paraId="264ECA1D" w14:textId="77777777" w:rsidR="00771DF6" w:rsidRPr="00771DF6" w:rsidRDefault="00771DF6" w:rsidP="00771DF6">
      <w:pPr>
        <w:autoSpaceDE w:val="0"/>
        <w:autoSpaceDN w:val="0"/>
        <w:adjustRightInd w:val="0"/>
        <w:rPr>
          <w:rFonts w:ascii="Calibri" w:hAnsi="Calibri" w:cs="Calibri"/>
          <w:kern w:val="24"/>
          <w:lang w:val="en-US"/>
        </w:rPr>
      </w:pPr>
    </w:p>
    <w:p w14:paraId="264ECA1E"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The Southern Wide Bay-Burnett (PEA) comprises the Statistical Local Areas (SLA) of:</w:t>
      </w:r>
    </w:p>
    <w:p w14:paraId="264ECA1F" w14:textId="77777777" w:rsidR="00771DF6" w:rsidRPr="00771DF6" w:rsidRDefault="00771DF6" w:rsidP="00771DF6">
      <w:pPr>
        <w:autoSpaceDE w:val="0"/>
        <w:autoSpaceDN w:val="0"/>
        <w:adjustRightInd w:val="0"/>
        <w:rPr>
          <w:rFonts w:ascii="Calibri" w:hAnsi="Calibri" w:cs="Calibri"/>
          <w:kern w:val="24"/>
          <w:lang w:val="en-US"/>
        </w:rPr>
      </w:pPr>
    </w:p>
    <w:p w14:paraId="264ECA20"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Cherbourg</w:t>
      </w:r>
    </w:p>
    <w:p w14:paraId="264ECA21"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 xml:space="preserve">Cooloola – Gympie only </w:t>
      </w:r>
    </w:p>
    <w:p w14:paraId="264ECA22"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Cooloola – excluding Gympie</w:t>
      </w:r>
    </w:p>
    <w:p w14:paraId="264ECA23"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Kilkivan</w:t>
      </w:r>
    </w:p>
    <w:p w14:paraId="264ECA24"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Murgon</w:t>
      </w:r>
    </w:p>
    <w:p w14:paraId="264ECA25"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 xml:space="preserve">Nanango </w:t>
      </w:r>
    </w:p>
    <w:p w14:paraId="264ECA26" w14:textId="77777777" w:rsidR="00771DF6" w:rsidRPr="00771DF6" w:rsidRDefault="00771DF6" w:rsidP="00771DF6">
      <w:pPr>
        <w:autoSpaceDE w:val="0"/>
        <w:autoSpaceDN w:val="0"/>
        <w:adjustRightInd w:val="0"/>
        <w:rPr>
          <w:rFonts w:ascii="Calibri" w:hAnsi="Calibri" w:cs="Calibri"/>
          <w:kern w:val="24"/>
          <w:lang w:val="en-US"/>
        </w:rPr>
      </w:pPr>
      <w:r w:rsidRPr="00771DF6">
        <w:rPr>
          <w:rFonts w:ascii="Calibri" w:hAnsi="Calibri" w:cs="Calibri"/>
          <w:kern w:val="24"/>
          <w:lang w:val="en-US"/>
        </w:rPr>
        <w:t>Tiaro</w:t>
      </w:r>
    </w:p>
    <w:p w14:paraId="264ECA27" w14:textId="77777777" w:rsidR="00771DF6" w:rsidRPr="00771DF6" w:rsidRDefault="00771DF6" w:rsidP="00771DF6">
      <w:pPr>
        <w:autoSpaceDE w:val="0"/>
        <w:autoSpaceDN w:val="0"/>
        <w:adjustRightInd w:val="0"/>
        <w:rPr>
          <w:rFonts w:ascii="Calibri" w:hAnsi="Calibri" w:cs="Calibri"/>
          <w:kern w:val="24"/>
          <w:lang w:val="en-US"/>
        </w:rPr>
      </w:pPr>
    </w:p>
    <w:p w14:paraId="264ECA2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lang w:val="en-US"/>
        </w:rPr>
        <w:t xml:space="preserve">The Southern Wide Bay-Burnett PEA was created prior to 2010 SLA/Local Government Area (LGA) boundary changes and amalgamations, which has reduced comparability. For accuracy, SLA/LGAs will be referred to as they existed prior to the recent changes. </w:t>
      </w:r>
    </w:p>
    <w:p w14:paraId="264ECA29" w14:textId="77777777" w:rsidR="00771DF6" w:rsidRPr="00771DF6" w:rsidRDefault="00771DF6" w:rsidP="00771DF6">
      <w:pPr>
        <w:autoSpaceDE w:val="0"/>
        <w:autoSpaceDN w:val="0"/>
        <w:adjustRightInd w:val="0"/>
        <w:rPr>
          <w:rFonts w:ascii="Calibri" w:hAnsi="Calibri" w:cs="Calibri"/>
          <w:kern w:val="24"/>
          <w:lang w:val="en-US"/>
        </w:rPr>
      </w:pPr>
    </w:p>
    <w:p w14:paraId="264ECA2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Southern Wide Bay-Burnett PEA accounts for 23 per cent of the Wide Bay-Burnett LFR. </w:t>
      </w:r>
      <w:r w:rsidRPr="00771DF6">
        <w:rPr>
          <w:rFonts w:ascii="Calibri" w:hAnsi="Calibri" w:cs="Calibri"/>
          <w:kern w:val="24"/>
        </w:rPr>
        <w:br/>
        <w:t>The PEA boundary falls entirely within with LFR boundary.</w:t>
      </w:r>
    </w:p>
    <w:p w14:paraId="264ECA2B" w14:textId="77777777" w:rsidR="00771DF6" w:rsidRPr="00771DF6" w:rsidRDefault="00771DF6" w:rsidP="00771DF6">
      <w:pPr>
        <w:autoSpaceDE w:val="0"/>
        <w:autoSpaceDN w:val="0"/>
        <w:adjustRightInd w:val="0"/>
        <w:rPr>
          <w:rFonts w:ascii="Calibri" w:hAnsi="Calibri" w:cs="Calibri"/>
          <w:kern w:val="24"/>
          <w:lang w:val="en-US"/>
        </w:rPr>
      </w:pPr>
    </w:p>
    <w:p w14:paraId="264ECA2C" w14:textId="77777777" w:rsidR="00771DF6" w:rsidRPr="00771DF6" w:rsidRDefault="00771DF6" w:rsidP="00771DF6">
      <w:pPr>
        <w:autoSpaceDE w:val="0"/>
        <w:autoSpaceDN w:val="0"/>
        <w:adjustRightInd w:val="0"/>
        <w:rPr>
          <w:rFonts w:ascii="Calibri" w:hAnsi="Calibri" w:cs="Calibri"/>
        </w:rPr>
      </w:pPr>
    </w:p>
    <w:p w14:paraId="264ECA2D" w14:textId="77777777" w:rsidR="00771DF6" w:rsidRPr="00771DF6" w:rsidRDefault="00771DF6" w:rsidP="00771DF6">
      <w:pPr>
        <w:spacing w:line="360" w:lineRule="auto"/>
        <w:rPr>
          <w:rFonts w:ascii="Calibri" w:hAnsi="Calibri" w:cs="Calibri"/>
        </w:rPr>
      </w:pPr>
    </w:p>
    <w:p w14:paraId="264ECA2E" w14:textId="77777777" w:rsidR="00771DF6" w:rsidRPr="00771DF6" w:rsidRDefault="00771DF6">
      <w:pPr>
        <w:rPr>
          <w:rFonts w:ascii="Calibri" w:hAnsi="Calibri" w:cs="Calibri"/>
        </w:rPr>
      </w:pPr>
      <w:r w:rsidRPr="00771DF6">
        <w:rPr>
          <w:rFonts w:ascii="Calibri" w:hAnsi="Calibri" w:cs="Calibri"/>
        </w:rPr>
        <w:br w:type="page"/>
      </w:r>
    </w:p>
    <w:p w14:paraId="264ECA2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w:t>
      </w:r>
    </w:p>
    <w:p w14:paraId="264ECA30" w14:textId="77777777" w:rsidR="00771DF6" w:rsidRPr="00771DF6" w:rsidRDefault="00771DF6" w:rsidP="00771DF6">
      <w:pPr>
        <w:spacing w:line="360" w:lineRule="auto"/>
        <w:rPr>
          <w:rFonts w:ascii="Calibri" w:hAnsi="Calibri" w:cs="Calibri"/>
        </w:rPr>
      </w:pPr>
    </w:p>
    <w:p w14:paraId="264ECA3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3">
          <v:shape id="_x0000_i1027" type="#_x0000_t75" style="width:270.75pt;height:20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429702058" r:id="rId14"/>
        </w:object>
      </w:r>
    </w:p>
    <w:p w14:paraId="264ECA32" w14:textId="77777777" w:rsidR="00771DF6" w:rsidRPr="00771DF6" w:rsidRDefault="00771DF6" w:rsidP="00771DF6">
      <w:pPr>
        <w:spacing w:line="360" w:lineRule="auto"/>
        <w:jc w:val="center"/>
        <w:rPr>
          <w:rFonts w:ascii="Calibri" w:hAnsi="Calibri" w:cs="Calibri"/>
        </w:rPr>
      </w:pPr>
    </w:p>
    <w:p w14:paraId="264ECA3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Population Profile</w:t>
      </w:r>
    </w:p>
    <w:p w14:paraId="264ECA3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r w:rsidRPr="00771DF6">
        <w:rPr>
          <w:rFonts w:ascii="Calibri" w:hAnsi="Calibri" w:cs="Calibri"/>
          <w:kern w:val="24"/>
        </w:rPr>
        <w:t xml:space="preserve"> </w:t>
      </w:r>
    </w:p>
    <w:p w14:paraId="264ECA35" w14:textId="77777777" w:rsidR="00771DF6" w:rsidRPr="00771DF6" w:rsidRDefault="00771DF6" w:rsidP="00771DF6">
      <w:pPr>
        <w:autoSpaceDE w:val="0"/>
        <w:autoSpaceDN w:val="0"/>
        <w:adjustRightInd w:val="0"/>
        <w:rPr>
          <w:rFonts w:ascii="Calibri" w:hAnsi="Calibri" w:cs="Calibri"/>
          <w:kern w:val="24"/>
        </w:rPr>
      </w:pPr>
    </w:p>
    <w:p w14:paraId="264ECA3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the time of the 2011 Census, the adult population (aged 15 and over) in the Southern Wide Bay-Burnett PEA was 50,430.</w:t>
      </w:r>
    </w:p>
    <w:p w14:paraId="264ECA37" w14:textId="77777777" w:rsidR="00771DF6" w:rsidRPr="00771DF6" w:rsidRDefault="00771DF6" w:rsidP="00771DF6">
      <w:pPr>
        <w:autoSpaceDE w:val="0"/>
        <w:autoSpaceDN w:val="0"/>
        <w:adjustRightInd w:val="0"/>
        <w:rPr>
          <w:rFonts w:ascii="Calibri" w:hAnsi="Calibri" w:cs="Calibri"/>
          <w:kern w:val="24"/>
        </w:rPr>
      </w:pPr>
    </w:p>
    <w:p w14:paraId="264ECA38" w14:textId="77777777" w:rsidR="00771DF6" w:rsidRPr="00771DF6" w:rsidRDefault="00A448B9" w:rsidP="00771DF6">
      <w:pPr>
        <w:autoSpaceDE w:val="0"/>
        <w:autoSpaceDN w:val="0"/>
        <w:adjustRightInd w:val="0"/>
        <w:rPr>
          <w:rFonts w:ascii="Calibri" w:hAnsi="Calibri" w:cs="Calibri"/>
          <w:kern w:val="24"/>
        </w:rPr>
      </w:pPr>
      <w:r>
        <w:rPr>
          <w:rFonts w:ascii="Calibri" w:hAnsi="Calibri" w:cs="Calibri"/>
          <w:kern w:val="24"/>
        </w:rPr>
        <w:t>The region experienced population growth of 10 per cent in the 5 years after</w:t>
      </w:r>
      <w:r w:rsidR="00771DF6" w:rsidRPr="00771DF6">
        <w:rPr>
          <w:rFonts w:ascii="Calibri" w:hAnsi="Calibri" w:cs="Calibri"/>
          <w:kern w:val="24"/>
        </w:rPr>
        <w:t xml:space="preserve"> the 2006 Census</w:t>
      </w:r>
      <w:r>
        <w:rPr>
          <w:rFonts w:ascii="Calibri" w:hAnsi="Calibri" w:cs="Calibri"/>
          <w:kern w:val="24"/>
        </w:rPr>
        <w:t>,</w:t>
      </w:r>
      <w:r w:rsidR="00771DF6" w:rsidRPr="00771DF6">
        <w:rPr>
          <w:rFonts w:ascii="Calibri" w:hAnsi="Calibri" w:cs="Calibri"/>
          <w:kern w:val="24"/>
        </w:rPr>
        <w:t xml:space="preserve"> similar to that for Queensland (12 per cent) and Australia (9 per cent)</w:t>
      </w:r>
    </w:p>
    <w:p w14:paraId="264ECA39" w14:textId="77777777" w:rsidR="00771DF6" w:rsidRPr="00771DF6" w:rsidRDefault="00771DF6" w:rsidP="00771DF6">
      <w:pPr>
        <w:autoSpaceDE w:val="0"/>
        <w:autoSpaceDN w:val="0"/>
        <w:adjustRightInd w:val="0"/>
        <w:rPr>
          <w:rFonts w:ascii="Calibri" w:hAnsi="Calibri" w:cs="Calibri"/>
          <w:kern w:val="24"/>
        </w:rPr>
      </w:pPr>
    </w:p>
    <w:p w14:paraId="264ECA3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region has a larger proportion of their population aged 65 and over (19 per cent) compared with Queensland (13 per cent) and Australia (14 per cent).</w:t>
      </w:r>
    </w:p>
    <w:p w14:paraId="264ECA3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br/>
        <w:t xml:space="preserve">At the time of the 2011 Census, the median age in the PEA was 43. </w:t>
      </w:r>
      <w:r w:rsidR="00A448B9">
        <w:rPr>
          <w:rFonts w:ascii="Calibri" w:hAnsi="Calibri" w:cs="Calibri"/>
          <w:kern w:val="24"/>
        </w:rPr>
        <w:t>This was m</w:t>
      </w:r>
      <w:r w:rsidRPr="00771DF6">
        <w:rPr>
          <w:rFonts w:ascii="Calibri" w:hAnsi="Calibri" w:cs="Calibri"/>
          <w:kern w:val="24"/>
        </w:rPr>
        <w:t xml:space="preserve">uch higher compared with Queensland </w:t>
      </w:r>
      <w:r w:rsidR="00A448B9">
        <w:rPr>
          <w:rFonts w:ascii="Calibri" w:hAnsi="Calibri" w:cs="Calibri"/>
          <w:kern w:val="24"/>
        </w:rPr>
        <w:t>(</w:t>
      </w:r>
      <w:r w:rsidRPr="00771DF6">
        <w:rPr>
          <w:rFonts w:ascii="Calibri" w:hAnsi="Calibri" w:cs="Calibri"/>
          <w:kern w:val="24"/>
        </w:rPr>
        <w:t>36 years</w:t>
      </w:r>
      <w:r w:rsidR="00A448B9">
        <w:rPr>
          <w:rFonts w:ascii="Calibri" w:hAnsi="Calibri" w:cs="Calibri"/>
          <w:kern w:val="24"/>
        </w:rPr>
        <w:t>)</w:t>
      </w:r>
      <w:r w:rsidRPr="00771DF6">
        <w:rPr>
          <w:rFonts w:ascii="Calibri" w:hAnsi="Calibri" w:cs="Calibri"/>
          <w:kern w:val="24"/>
        </w:rPr>
        <w:t xml:space="preserve">. </w:t>
      </w:r>
    </w:p>
    <w:p w14:paraId="264ECA3C" w14:textId="77777777" w:rsidR="00771DF6" w:rsidRPr="00771DF6" w:rsidRDefault="00771DF6" w:rsidP="00771DF6">
      <w:pPr>
        <w:autoSpaceDE w:val="0"/>
        <w:autoSpaceDN w:val="0"/>
        <w:adjustRightInd w:val="0"/>
        <w:rPr>
          <w:rFonts w:ascii="Calibri" w:hAnsi="Calibri" w:cs="Calibri"/>
        </w:rPr>
      </w:pPr>
    </w:p>
    <w:p w14:paraId="264ECA3D" w14:textId="77777777" w:rsidR="00771DF6" w:rsidRPr="00771DF6" w:rsidRDefault="00771DF6" w:rsidP="00771DF6">
      <w:pPr>
        <w:spacing w:line="360" w:lineRule="auto"/>
        <w:rPr>
          <w:rFonts w:ascii="Calibri" w:hAnsi="Calibri" w:cs="Calibri"/>
        </w:rPr>
      </w:pPr>
    </w:p>
    <w:p w14:paraId="264ECA3E" w14:textId="77777777" w:rsidR="00771DF6" w:rsidRPr="00771DF6" w:rsidRDefault="00771DF6">
      <w:pPr>
        <w:rPr>
          <w:rFonts w:ascii="Calibri" w:hAnsi="Calibri" w:cs="Calibri"/>
        </w:rPr>
      </w:pPr>
      <w:r w:rsidRPr="00771DF6">
        <w:rPr>
          <w:rFonts w:ascii="Calibri" w:hAnsi="Calibri" w:cs="Calibri"/>
        </w:rPr>
        <w:br w:type="page"/>
      </w:r>
    </w:p>
    <w:p w14:paraId="264ECA3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4</w:t>
      </w:r>
    </w:p>
    <w:p w14:paraId="264ECA40" w14:textId="77777777" w:rsidR="00771DF6" w:rsidRPr="00771DF6" w:rsidRDefault="00771DF6" w:rsidP="00771DF6">
      <w:pPr>
        <w:spacing w:line="360" w:lineRule="auto"/>
        <w:rPr>
          <w:rFonts w:ascii="Calibri" w:hAnsi="Calibri" w:cs="Calibri"/>
        </w:rPr>
      </w:pPr>
    </w:p>
    <w:p w14:paraId="264ECA4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4">
          <v:shape id="_x0000_i1028" type="#_x0000_t75" style="width:270.75pt;height:20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429702059" r:id="rId16"/>
        </w:object>
      </w:r>
    </w:p>
    <w:p w14:paraId="264ECA42" w14:textId="77777777" w:rsidR="00771DF6" w:rsidRPr="00771DF6" w:rsidRDefault="00771DF6" w:rsidP="00771DF6">
      <w:pPr>
        <w:spacing w:line="360" w:lineRule="auto"/>
        <w:jc w:val="center"/>
        <w:rPr>
          <w:rFonts w:ascii="Calibri" w:hAnsi="Calibri" w:cs="Calibri"/>
        </w:rPr>
      </w:pPr>
    </w:p>
    <w:p w14:paraId="264ECA43"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b/>
          <w:bCs/>
          <w:kern w:val="24"/>
          <w:u w:val="single"/>
        </w:rPr>
        <w:t>Age Distribution</w:t>
      </w:r>
    </w:p>
    <w:p w14:paraId="264ECA4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r w:rsidRPr="00771DF6">
        <w:rPr>
          <w:rFonts w:ascii="Calibri" w:hAnsi="Calibri" w:cs="Calibri"/>
          <w:kern w:val="24"/>
        </w:rPr>
        <w:t xml:space="preserve"> </w:t>
      </w:r>
    </w:p>
    <w:p w14:paraId="264ECA4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b/>
      </w:r>
    </w:p>
    <w:p w14:paraId="264ECA46"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This graph compares the age distributions of Gympie </w:t>
      </w:r>
      <w:r w:rsidR="00153C72">
        <w:rPr>
          <w:rFonts w:ascii="Calibri" w:hAnsi="Calibri" w:cs="Calibri"/>
          <w:kern w:val="24"/>
        </w:rPr>
        <w:t xml:space="preserve">(Cooloola SLA Gympie only) and </w:t>
      </w:r>
      <w:r w:rsidRPr="00771DF6">
        <w:rPr>
          <w:rFonts w:ascii="Calibri" w:hAnsi="Calibri" w:cs="Calibri"/>
          <w:kern w:val="24"/>
        </w:rPr>
        <w:t xml:space="preserve">the Southern Wide Bay-Burnett PEA with the age distribution for Queensland. </w:t>
      </w:r>
    </w:p>
    <w:p w14:paraId="264ECA47" w14:textId="77777777" w:rsidR="00153C72" w:rsidRPr="00771DF6" w:rsidRDefault="00153C72" w:rsidP="00771DF6">
      <w:pPr>
        <w:autoSpaceDE w:val="0"/>
        <w:autoSpaceDN w:val="0"/>
        <w:adjustRightInd w:val="0"/>
        <w:rPr>
          <w:rFonts w:ascii="Calibri" w:hAnsi="Calibri" w:cs="Calibri"/>
          <w:kern w:val="24"/>
        </w:rPr>
      </w:pPr>
    </w:p>
    <w:p w14:paraId="264ECA48"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age distribution of the PEA shows that a markedly smaller proportion of the population is made up of people aged between 20 and 44 years, when compared with the Queensland age distribution. </w:t>
      </w:r>
    </w:p>
    <w:p w14:paraId="264ECA49" w14:textId="77777777" w:rsidR="00153C72" w:rsidRPr="00771DF6" w:rsidRDefault="00153C72" w:rsidP="00771DF6">
      <w:pPr>
        <w:autoSpaceDE w:val="0"/>
        <w:autoSpaceDN w:val="0"/>
        <w:adjustRightInd w:val="0"/>
        <w:rPr>
          <w:rFonts w:ascii="Calibri" w:hAnsi="Calibri" w:cs="Calibri"/>
          <w:kern w:val="24"/>
        </w:rPr>
      </w:pPr>
    </w:p>
    <w:p w14:paraId="264ECA4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proportion of the population aged 55 and over in the PEA is significantly larger compared with Queensland.</w:t>
      </w:r>
    </w:p>
    <w:p w14:paraId="264ECA4B" w14:textId="77777777" w:rsidR="00771DF6" w:rsidRPr="00771DF6" w:rsidRDefault="00771DF6" w:rsidP="00771DF6">
      <w:pPr>
        <w:autoSpaceDE w:val="0"/>
        <w:autoSpaceDN w:val="0"/>
        <w:adjustRightInd w:val="0"/>
        <w:rPr>
          <w:rFonts w:ascii="Calibri" w:hAnsi="Calibri" w:cs="Calibri"/>
          <w:kern w:val="24"/>
        </w:rPr>
      </w:pPr>
    </w:p>
    <w:p w14:paraId="264ECA4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Similar demographic patterns exist for other regional areas and are due in part to young adults moving to major urban centres.</w:t>
      </w:r>
    </w:p>
    <w:p w14:paraId="264ECA4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A4E" w14:textId="77777777" w:rsidR="00771DF6" w:rsidRPr="00771DF6" w:rsidRDefault="00771DF6" w:rsidP="00771DF6">
      <w:pPr>
        <w:autoSpaceDE w:val="0"/>
        <w:autoSpaceDN w:val="0"/>
        <w:adjustRightInd w:val="0"/>
        <w:rPr>
          <w:rFonts w:ascii="Calibri" w:hAnsi="Calibri" w:cs="Calibri"/>
          <w:kern w:val="24"/>
        </w:rPr>
      </w:pPr>
    </w:p>
    <w:p w14:paraId="264ECA4F" w14:textId="77777777" w:rsidR="00771DF6" w:rsidRPr="00771DF6" w:rsidRDefault="00771DF6" w:rsidP="00771DF6">
      <w:pPr>
        <w:autoSpaceDE w:val="0"/>
        <w:autoSpaceDN w:val="0"/>
        <w:adjustRightInd w:val="0"/>
        <w:rPr>
          <w:rFonts w:ascii="Calibri" w:hAnsi="Calibri" w:cs="Calibri"/>
        </w:rPr>
      </w:pPr>
    </w:p>
    <w:p w14:paraId="264ECA50" w14:textId="77777777" w:rsidR="00771DF6" w:rsidRPr="00771DF6" w:rsidRDefault="00771DF6" w:rsidP="00771DF6">
      <w:pPr>
        <w:spacing w:line="360" w:lineRule="auto"/>
        <w:rPr>
          <w:rFonts w:ascii="Calibri" w:hAnsi="Calibri" w:cs="Calibri"/>
        </w:rPr>
      </w:pPr>
    </w:p>
    <w:p w14:paraId="264ECA51" w14:textId="77777777" w:rsidR="00771DF6" w:rsidRPr="00771DF6" w:rsidRDefault="00771DF6">
      <w:pPr>
        <w:rPr>
          <w:rFonts w:ascii="Calibri" w:hAnsi="Calibri" w:cs="Calibri"/>
        </w:rPr>
      </w:pPr>
      <w:r w:rsidRPr="00771DF6">
        <w:rPr>
          <w:rFonts w:ascii="Calibri" w:hAnsi="Calibri" w:cs="Calibri"/>
        </w:rPr>
        <w:br w:type="page"/>
      </w:r>
    </w:p>
    <w:p w14:paraId="264ECA5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5</w:t>
      </w:r>
    </w:p>
    <w:p w14:paraId="264ECA53" w14:textId="77777777" w:rsidR="00771DF6" w:rsidRPr="00771DF6" w:rsidRDefault="00771DF6" w:rsidP="00771DF6">
      <w:pPr>
        <w:spacing w:line="360" w:lineRule="auto"/>
        <w:rPr>
          <w:rFonts w:ascii="Calibri" w:hAnsi="Calibri" w:cs="Calibri"/>
        </w:rPr>
      </w:pPr>
    </w:p>
    <w:p w14:paraId="264ECA5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5">
          <v:shape id="_x0000_i1029" type="#_x0000_t75" style="width:270.75pt;height:20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429702060" r:id="rId18"/>
        </w:object>
      </w:r>
    </w:p>
    <w:p w14:paraId="264ECA55" w14:textId="77777777" w:rsidR="00771DF6" w:rsidRPr="00771DF6" w:rsidRDefault="00771DF6" w:rsidP="00771DF6">
      <w:pPr>
        <w:spacing w:line="360" w:lineRule="auto"/>
        <w:jc w:val="center"/>
        <w:rPr>
          <w:rFonts w:ascii="Calibri" w:hAnsi="Calibri" w:cs="Calibri"/>
        </w:rPr>
      </w:pPr>
    </w:p>
    <w:p w14:paraId="264ECA5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b/>
          <w:bCs/>
          <w:kern w:val="24"/>
          <w:u w:val="single"/>
        </w:rPr>
        <w:t xml:space="preserve">Ageing </w:t>
      </w:r>
      <w:r w:rsidR="00265EDA">
        <w:rPr>
          <w:rFonts w:ascii="Calibri" w:hAnsi="Calibri" w:cs="Calibri"/>
          <w:b/>
          <w:bCs/>
          <w:kern w:val="24"/>
          <w:u w:val="single"/>
        </w:rPr>
        <w:t>Population</w:t>
      </w:r>
    </w:p>
    <w:p w14:paraId="264ECA57"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2006 and 2011</w:t>
      </w:r>
      <w:r w:rsidRPr="00771DF6">
        <w:rPr>
          <w:rFonts w:ascii="Calibri" w:hAnsi="Calibri" w:cs="Calibri"/>
          <w:kern w:val="24"/>
        </w:rPr>
        <w:t xml:space="preserve"> </w:t>
      </w:r>
    </w:p>
    <w:p w14:paraId="264ECA5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A59" w14:textId="77777777" w:rsidR="00153C72" w:rsidRDefault="00771DF6" w:rsidP="00771DF6">
      <w:pPr>
        <w:autoSpaceDE w:val="0"/>
        <w:autoSpaceDN w:val="0"/>
        <w:adjustRightInd w:val="0"/>
        <w:rPr>
          <w:rFonts w:ascii="Calibri" w:hAnsi="Calibri" w:cs="Calibri"/>
          <w:kern w:val="24"/>
        </w:rPr>
      </w:pPr>
      <w:r w:rsidRPr="00771DF6">
        <w:rPr>
          <w:rFonts w:ascii="Calibri" w:hAnsi="Calibri" w:cs="Calibri"/>
          <w:kern w:val="24"/>
        </w:rPr>
        <w:t>Overall, the adult population in the So</w:t>
      </w:r>
      <w:r w:rsidR="00A448B9">
        <w:rPr>
          <w:rFonts w:ascii="Calibri" w:hAnsi="Calibri" w:cs="Calibri"/>
          <w:kern w:val="24"/>
        </w:rPr>
        <w:t xml:space="preserve">uthern Wide Bay-Burnett PEA </w:t>
      </w:r>
      <w:r w:rsidRPr="00771DF6">
        <w:rPr>
          <w:rFonts w:ascii="Calibri" w:hAnsi="Calibri" w:cs="Calibri"/>
          <w:kern w:val="24"/>
        </w:rPr>
        <w:t xml:space="preserve">increased by 10 per cent between 2006 and 2011. </w:t>
      </w:r>
    </w:p>
    <w:p w14:paraId="264ECA5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br/>
        <w:t>There was a significant increase of 19 per cent in the population over 50 years of age, however only growth of 2 per cent over the same period for those aged 15 to 49 years.</w:t>
      </w:r>
    </w:p>
    <w:p w14:paraId="264ECA5B" w14:textId="77777777" w:rsidR="00771DF6" w:rsidRPr="00771DF6" w:rsidRDefault="00771DF6" w:rsidP="00771DF6">
      <w:pPr>
        <w:autoSpaceDE w:val="0"/>
        <w:autoSpaceDN w:val="0"/>
        <w:adjustRightInd w:val="0"/>
        <w:rPr>
          <w:rFonts w:ascii="Calibri" w:hAnsi="Calibri" w:cs="Calibri"/>
          <w:i/>
          <w:iCs/>
          <w:kern w:val="24"/>
        </w:rPr>
      </w:pPr>
    </w:p>
    <w:p w14:paraId="264ECA5C" w14:textId="77777777" w:rsidR="00771DF6" w:rsidRPr="00771DF6" w:rsidRDefault="00771DF6" w:rsidP="00771DF6">
      <w:pPr>
        <w:autoSpaceDE w:val="0"/>
        <w:autoSpaceDN w:val="0"/>
        <w:adjustRightInd w:val="0"/>
        <w:rPr>
          <w:rFonts w:ascii="Calibri" w:hAnsi="Calibri" w:cs="Calibri"/>
        </w:rPr>
      </w:pPr>
    </w:p>
    <w:p w14:paraId="264ECA5D" w14:textId="77777777" w:rsidR="00771DF6" w:rsidRPr="00771DF6" w:rsidRDefault="00771DF6" w:rsidP="00771DF6">
      <w:pPr>
        <w:spacing w:line="360" w:lineRule="auto"/>
        <w:rPr>
          <w:rFonts w:ascii="Calibri" w:hAnsi="Calibri" w:cs="Calibri"/>
        </w:rPr>
      </w:pPr>
    </w:p>
    <w:p w14:paraId="264ECA5E" w14:textId="77777777" w:rsidR="00771DF6" w:rsidRPr="00771DF6" w:rsidRDefault="00771DF6">
      <w:pPr>
        <w:rPr>
          <w:rFonts w:ascii="Calibri" w:hAnsi="Calibri" w:cs="Calibri"/>
        </w:rPr>
      </w:pPr>
      <w:r w:rsidRPr="00771DF6">
        <w:rPr>
          <w:rFonts w:ascii="Calibri" w:hAnsi="Calibri" w:cs="Calibri"/>
        </w:rPr>
        <w:br w:type="page"/>
      </w:r>
    </w:p>
    <w:p w14:paraId="264ECA5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6</w:t>
      </w:r>
    </w:p>
    <w:p w14:paraId="264ECA60" w14:textId="77777777" w:rsidR="00771DF6" w:rsidRPr="00771DF6" w:rsidRDefault="00771DF6" w:rsidP="00771DF6">
      <w:pPr>
        <w:spacing w:line="360" w:lineRule="auto"/>
        <w:rPr>
          <w:rFonts w:ascii="Calibri" w:hAnsi="Calibri" w:cs="Calibri"/>
        </w:rPr>
      </w:pPr>
    </w:p>
    <w:p w14:paraId="264ECA6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6">
          <v:shape id="_x0000_i1030" type="#_x0000_t75" style="width:270.75pt;height:20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429702061" r:id="rId20"/>
        </w:object>
      </w:r>
    </w:p>
    <w:p w14:paraId="264ECA62" w14:textId="77777777" w:rsidR="00771DF6" w:rsidRPr="00771DF6" w:rsidRDefault="00771DF6" w:rsidP="00771DF6">
      <w:pPr>
        <w:spacing w:line="360" w:lineRule="auto"/>
        <w:jc w:val="center"/>
        <w:rPr>
          <w:rFonts w:ascii="Calibri" w:hAnsi="Calibri" w:cs="Calibri"/>
        </w:rPr>
      </w:pPr>
    </w:p>
    <w:p w14:paraId="264ECA6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Workforce Profile – Adult Population</w:t>
      </w:r>
    </w:p>
    <w:p w14:paraId="264ECA64"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ABS, Census of Population and Housing, Usual Residence, 2006 &amp; 2011</w:t>
      </w:r>
      <w:r w:rsidRPr="00771DF6">
        <w:rPr>
          <w:rFonts w:ascii="Calibri" w:hAnsi="Calibri" w:cs="Calibri"/>
          <w:kern w:val="24"/>
        </w:rPr>
        <w:t xml:space="preserve"> </w:t>
      </w:r>
    </w:p>
    <w:p w14:paraId="264ECA65" w14:textId="77777777" w:rsidR="00771DF6" w:rsidRPr="00771DF6" w:rsidRDefault="00771DF6" w:rsidP="00771DF6">
      <w:pPr>
        <w:autoSpaceDE w:val="0"/>
        <w:autoSpaceDN w:val="0"/>
        <w:adjustRightInd w:val="0"/>
        <w:rPr>
          <w:rFonts w:ascii="Calibri" w:hAnsi="Calibri" w:cs="Calibri"/>
          <w:kern w:val="24"/>
        </w:rPr>
      </w:pPr>
    </w:p>
    <w:p w14:paraId="264ECA66"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the time of the 2011 Census, there were almost 23,000 employed people (aged 15</w:t>
      </w:r>
      <w:r w:rsidR="00A448B9">
        <w:rPr>
          <w:rFonts w:ascii="Calibri" w:hAnsi="Calibri" w:cs="Calibri"/>
          <w:kern w:val="24"/>
        </w:rPr>
        <w:t xml:space="preserve"> and over) i</w:t>
      </w:r>
      <w:r w:rsidRPr="00771DF6">
        <w:rPr>
          <w:rFonts w:ascii="Calibri" w:hAnsi="Calibri" w:cs="Calibri"/>
          <w:kern w:val="24"/>
        </w:rPr>
        <w:t>n the Southern Wide Bay-Burnett PEA.</w:t>
      </w:r>
    </w:p>
    <w:p w14:paraId="264ECA67" w14:textId="77777777" w:rsidR="00153C72" w:rsidRPr="00771DF6" w:rsidRDefault="00153C72" w:rsidP="00771DF6">
      <w:pPr>
        <w:autoSpaceDE w:val="0"/>
        <w:autoSpaceDN w:val="0"/>
        <w:adjustRightInd w:val="0"/>
        <w:rPr>
          <w:rFonts w:ascii="Calibri" w:hAnsi="Calibri" w:cs="Calibri"/>
          <w:kern w:val="24"/>
        </w:rPr>
      </w:pPr>
    </w:p>
    <w:p w14:paraId="264ECA6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Between 2006 and 2011, there was employment growth of 6 per cent for the region, lower than the growth rate experienced for Queensland (12 per cent) and Australia (10 per cent).</w:t>
      </w:r>
    </w:p>
    <w:p w14:paraId="264ECA69" w14:textId="77777777" w:rsidR="00771DF6" w:rsidRPr="00771DF6" w:rsidRDefault="00771DF6" w:rsidP="00771DF6">
      <w:pPr>
        <w:autoSpaceDE w:val="0"/>
        <w:autoSpaceDN w:val="0"/>
        <w:adjustRightInd w:val="0"/>
        <w:rPr>
          <w:rFonts w:ascii="Calibri" w:hAnsi="Calibri" w:cs="Calibri"/>
          <w:kern w:val="24"/>
        </w:rPr>
      </w:pPr>
    </w:p>
    <w:p w14:paraId="264ECA6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Over the same period, the employment growth for adult females (10 per cent) was much larger than that for adult males (3 per cent) in the PEA.</w:t>
      </w:r>
    </w:p>
    <w:p w14:paraId="264ECA6B" w14:textId="77777777" w:rsidR="00771DF6" w:rsidRPr="00771DF6" w:rsidRDefault="00771DF6" w:rsidP="00771DF6">
      <w:pPr>
        <w:autoSpaceDE w:val="0"/>
        <w:autoSpaceDN w:val="0"/>
        <w:adjustRightInd w:val="0"/>
        <w:rPr>
          <w:rFonts w:ascii="Calibri" w:hAnsi="Calibri" w:cs="Calibri"/>
          <w:kern w:val="24"/>
        </w:rPr>
      </w:pPr>
    </w:p>
    <w:p w14:paraId="264ECA6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the time of the 2011 Census, the participation rate for adults in the PEA was 53.0 per cent, almost 14 percentage points below the rate for Queensland (66.9 per cent).</w:t>
      </w:r>
    </w:p>
    <w:p w14:paraId="264ECA6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    </w:t>
      </w:r>
    </w:p>
    <w:p w14:paraId="264ECA6E" w14:textId="77777777" w:rsidR="00771DF6" w:rsidRPr="00771DF6" w:rsidRDefault="00771DF6" w:rsidP="00771DF6">
      <w:pPr>
        <w:autoSpaceDE w:val="0"/>
        <w:autoSpaceDN w:val="0"/>
        <w:adjustRightInd w:val="0"/>
        <w:rPr>
          <w:rFonts w:ascii="Calibri" w:hAnsi="Calibri" w:cs="Calibri"/>
          <w:kern w:val="24"/>
        </w:rPr>
      </w:pPr>
    </w:p>
    <w:p w14:paraId="264ECA6F" w14:textId="77777777" w:rsidR="00771DF6" w:rsidRPr="00771DF6" w:rsidRDefault="00771DF6" w:rsidP="00771DF6">
      <w:pPr>
        <w:autoSpaceDE w:val="0"/>
        <w:autoSpaceDN w:val="0"/>
        <w:adjustRightInd w:val="0"/>
        <w:rPr>
          <w:rFonts w:ascii="Calibri" w:hAnsi="Calibri" w:cs="Calibri"/>
        </w:rPr>
      </w:pPr>
    </w:p>
    <w:p w14:paraId="264ECA70" w14:textId="77777777" w:rsidR="00771DF6" w:rsidRPr="00771DF6" w:rsidRDefault="00771DF6" w:rsidP="00771DF6">
      <w:pPr>
        <w:spacing w:line="360" w:lineRule="auto"/>
        <w:rPr>
          <w:rFonts w:ascii="Calibri" w:hAnsi="Calibri" w:cs="Calibri"/>
        </w:rPr>
      </w:pPr>
    </w:p>
    <w:p w14:paraId="264ECA71" w14:textId="77777777" w:rsidR="00771DF6" w:rsidRPr="00771DF6" w:rsidRDefault="00771DF6">
      <w:pPr>
        <w:rPr>
          <w:rFonts w:ascii="Calibri" w:hAnsi="Calibri" w:cs="Calibri"/>
        </w:rPr>
      </w:pPr>
      <w:r w:rsidRPr="00771DF6">
        <w:rPr>
          <w:rFonts w:ascii="Calibri" w:hAnsi="Calibri" w:cs="Calibri"/>
        </w:rPr>
        <w:br w:type="page"/>
      </w:r>
    </w:p>
    <w:p w14:paraId="264ECA7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7</w:t>
      </w:r>
    </w:p>
    <w:p w14:paraId="264ECA73" w14:textId="77777777" w:rsidR="00771DF6" w:rsidRPr="00771DF6" w:rsidRDefault="00771DF6" w:rsidP="00771DF6">
      <w:pPr>
        <w:spacing w:line="360" w:lineRule="auto"/>
        <w:rPr>
          <w:rFonts w:ascii="Calibri" w:hAnsi="Calibri" w:cs="Calibri"/>
        </w:rPr>
      </w:pPr>
    </w:p>
    <w:p w14:paraId="264ECA7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7">
          <v:shape id="_x0000_i1031" type="#_x0000_t75" style="width:270.75pt;height:20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429702062" r:id="rId22"/>
        </w:object>
      </w:r>
    </w:p>
    <w:p w14:paraId="264ECA75" w14:textId="77777777" w:rsidR="00771DF6" w:rsidRPr="00771DF6" w:rsidRDefault="00771DF6" w:rsidP="00771DF6">
      <w:pPr>
        <w:spacing w:line="360" w:lineRule="auto"/>
        <w:jc w:val="center"/>
        <w:rPr>
          <w:rFonts w:ascii="Calibri" w:hAnsi="Calibri" w:cs="Calibri"/>
        </w:rPr>
      </w:pPr>
    </w:p>
    <w:p w14:paraId="264ECA76"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b/>
          <w:bCs/>
          <w:kern w:val="24"/>
          <w:u w:val="single"/>
        </w:rPr>
        <w:t>Higher Unemployment Rate</w:t>
      </w:r>
      <w:r w:rsidRPr="00771DF6">
        <w:rPr>
          <w:rFonts w:ascii="Calibri" w:hAnsi="Calibri" w:cs="Calibri"/>
          <w:kern w:val="24"/>
        </w:rPr>
        <w:br/>
      </w:r>
      <w:r w:rsidRPr="00771DF6">
        <w:rPr>
          <w:rFonts w:ascii="Calibri" w:hAnsi="Calibri" w:cs="Calibri"/>
          <w:i/>
          <w:iCs/>
          <w:kern w:val="24"/>
        </w:rPr>
        <w:t>Source: DEEWR, Small Area Labour Markets, December Quarter 2012; ABS Labour Force Survey, 12 month averages of original Data, March 2013</w:t>
      </w:r>
    </w:p>
    <w:p w14:paraId="264ECA7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w:t>
      </w:r>
    </w:p>
    <w:p w14:paraId="264ECA7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unemployment rate for the Southern Wide Bay-Burnett PEA has remained consistently above the Queensland unemployment rate since December 2008. </w:t>
      </w:r>
    </w:p>
    <w:p w14:paraId="264ECA79" w14:textId="77777777" w:rsidR="00771DF6" w:rsidRPr="00771DF6" w:rsidRDefault="00771DF6" w:rsidP="00771DF6">
      <w:pPr>
        <w:autoSpaceDE w:val="0"/>
        <w:autoSpaceDN w:val="0"/>
        <w:adjustRightInd w:val="0"/>
        <w:rPr>
          <w:rFonts w:ascii="Calibri" w:hAnsi="Calibri" w:cs="Calibri"/>
          <w:kern w:val="24"/>
        </w:rPr>
      </w:pPr>
    </w:p>
    <w:p w14:paraId="264ECA7A" w14:textId="77777777" w:rsidR="00771DF6" w:rsidRPr="00771DF6" w:rsidRDefault="00771DF6" w:rsidP="00771DF6">
      <w:pPr>
        <w:autoSpaceDE w:val="0"/>
        <w:autoSpaceDN w:val="0"/>
        <w:adjustRightInd w:val="0"/>
        <w:rPr>
          <w:rFonts w:ascii="Calibri" w:hAnsi="Calibri" w:cs="Calibri"/>
          <w:kern w:val="24"/>
        </w:rPr>
      </w:pPr>
    </w:p>
    <w:p w14:paraId="264ECA7B" w14:textId="77777777" w:rsidR="00771DF6" w:rsidRPr="00771DF6" w:rsidRDefault="00771DF6" w:rsidP="00771DF6">
      <w:pPr>
        <w:autoSpaceDE w:val="0"/>
        <w:autoSpaceDN w:val="0"/>
        <w:adjustRightInd w:val="0"/>
        <w:rPr>
          <w:rFonts w:ascii="Calibri" w:hAnsi="Calibri" w:cs="Calibri"/>
        </w:rPr>
      </w:pPr>
    </w:p>
    <w:p w14:paraId="264ECA7C" w14:textId="77777777" w:rsidR="00771DF6" w:rsidRPr="00771DF6" w:rsidRDefault="00771DF6" w:rsidP="00771DF6">
      <w:pPr>
        <w:spacing w:line="360" w:lineRule="auto"/>
        <w:rPr>
          <w:rFonts w:ascii="Calibri" w:hAnsi="Calibri" w:cs="Calibri"/>
        </w:rPr>
      </w:pPr>
    </w:p>
    <w:p w14:paraId="264ECA7D" w14:textId="77777777" w:rsidR="00771DF6" w:rsidRPr="00771DF6" w:rsidRDefault="00771DF6">
      <w:pPr>
        <w:rPr>
          <w:rFonts w:ascii="Calibri" w:hAnsi="Calibri" w:cs="Calibri"/>
        </w:rPr>
      </w:pPr>
      <w:r w:rsidRPr="00771DF6">
        <w:rPr>
          <w:rFonts w:ascii="Calibri" w:hAnsi="Calibri" w:cs="Calibri"/>
        </w:rPr>
        <w:br w:type="page"/>
      </w:r>
    </w:p>
    <w:p w14:paraId="264ECA7E"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8</w:t>
      </w:r>
    </w:p>
    <w:p w14:paraId="264ECA7F" w14:textId="77777777" w:rsidR="00771DF6" w:rsidRPr="00771DF6" w:rsidRDefault="00771DF6" w:rsidP="00771DF6">
      <w:pPr>
        <w:spacing w:line="360" w:lineRule="auto"/>
        <w:rPr>
          <w:rFonts w:ascii="Calibri" w:hAnsi="Calibri" w:cs="Calibri"/>
        </w:rPr>
      </w:pPr>
    </w:p>
    <w:p w14:paraId="264ECA80"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8">
          <v:shape id="_x0000_i1032" type="#_x0000_t75" style="width:270.75pt;height:20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429702063" r:id="rId24"/>
        </w:object>
      </w:r>
    </w:p>
    <w:p w14:paraId="264ECA81" w14:textId="77777777" w:rsidR="00771DF6" w:rsidRPr="00771DF6" w:rsidRDefault="00771DF6" w:rsidP="00771DF6">
      <w:pPr>
        <w:spacing w:line="360" w:lineRule="auto"/>
        <w:jc w:val="center"/>
        <w:rPr>
          <w:rFonts w:ascii="Calibri" w:hAnsi="Calibri" w:cs="Calibri"/>
        </w:rPr>
      </w:pPr>
    </w:p>
    <w:p w14:paraId="264ECA82"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b/>
          <w:bCs/>
          <w:kern w:val="24"/>
          <w:u w:val="single"/>
        </w:rPr>
        <w:t>Unemployment Rate</w:t>
      </w:r>
      <w:r w:rsidRPr="00771DF6">
        <w:rPr>
          <w:rFonts w:ascii="Calibri" w:hAnsi="Calibri" w:cs="Calibri"/>
          <w:kern w:val="24"/>
        </w:rPr>
        <w:t xml:space="preserve"> </w:t>
      </w:r>
    </w:p>
    <w:p w14:paraId="264ECA83"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DEEWR, Small Area Labour Markets, December Quarter 2010 &amp; 2012, ABS Labour Force Survey, 12 month averages of original Data, March 2013</w:t>
      </w:r>
    </w:p>
    <w:p w14:paraId="264ECA84" w14:textId="77777777" w:rsidR="00771DF6" w:rsidRPr="00771DF6" w:rsidRDefault="00771DF6" w:rsidP="00771DF6">
      <w:pPr>
        <w:autoSpaceDE w:val="0"/>
        <w:autoSpaceDN w:val="0"/>
        <w:adjustRightInd w:val="0"/>
        <w:rPr>
          <w:rFonts w:ascii="Calibri" w:hAnsi="Calibri" w:cs="Calibri"/>
          <w:kern w:val="24"/>
        </w:rPr>
      </w:pPr>
    </w:p>
    <w:p w14:paraId="264ECA8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December 2012, the unemployment rate for the Southern Wide Bay-Burnett PEA was 7.7</w:t>
      </w:r>
      <w:r w:rsidR="0038306E">
        <w:rPr>
          <w:rFonts w:ascii="Calibri" w:hAnsi="Calibri" w:cs="Calibri"/>
          <w:kern w:val="24"/>
        </w:rPr>
        <w:t> </w:t>
      </w:r>
      <w:r w:rsidRPr="00771DF6">
        <w:rPr>
          <w:rFonts w:ascii="Calibri" w:hAnsi="Calibri" w:cs="Calibri"/>
          <w:kern w:val="24"/>
        </w:rPr>
        <w:t>per</w:t>
      </w:r>
      <w:r w:rsidR="0038306E">
        <w:rPr>
          <w:rFonts w:ascii="Calibri" w:hAnsi="Calibri" w:cs="Calibri"/>
          <w:kern w:val="24"/>
        </w:rPr>
        <w:t> </w:t>
      </w:r>
      <w:r w:rsidRPr="00771DF6">
        <w:rPr>
          <w:rFonts w:ascii="Calibri" w:hAnsi="Calibri" w:cs="Calibri"/>
          <w:kern w:val="24"/>
        </w:rPr>
        <w:t>cent, an increase of 0.9 percentage points since December 2010.</w:t>
      </w:r>
    </w:p>
    <w:p w14:paraId="264ECA86" w14:textId="77777777" w:rsidR="00771DF6" w:rsidRPr="00771DF6" w:rsidRDefault="00771DF6" w:rsidP="00771DF6">
      <w:pPr>
        <w:autoSpaceDE w:val="0"/>
        <w:autoSpaceDN w:val="0"/>
        <w:adjustRightInd w:val="0"/>
        <w:rPr>
          <w:rFonts w:ascii="Calibri" w:hAnsi="Calibri" w:cs="Calibri"/>
          <w:kern w:val="24"/>
        </w:rPr>
      </w:pPr>
    </w:p>
    <w:p w14:paraId="264ECA87" w14:textId="77777777" w:rsidR="00153C72" w:rsidRDefault="00771DF6" w:rsidP="00771DF6">
      <w:pPr>
        <w:autoSpaceDE w:val="0"/>
        <w:autoSpaceDN w:val="0"/>
        <w:adjustRightInd w:val="0"/>
        <w:rPr>
          <w:rFonts w:ascii="Calibri" w:hAnsi="Calibri" w:cs="Calibri"/>
          <w:kern w:val="24"/>
        </w:rPr>
      </w:pPr>
      <w:r w:rsidRPr="00771DF6">
        <w:rPr>
          <w:rFonts w:ascii="Calibri" w:hAnsi="Calibri" w:cs="Calibri"/>
          <w:kern w:val="24"/>
        </w:rPr>
        <w:t>There was substantial variance in the unemployment rates across the region, ranging from 5.9</w:t>
      </w:r>
      <w:r w:rsidR="0038306E">
        <w:rPr>
          <w:rFonts w:ascii="Calibri" w:hAnsi="Calibri" w:cs="Calibri"/>
          <w:kern w:val="24"/>
        </w:rPr>
        <w:t> </w:t>
      </w:r>
      <w:r w:rsidRPr="00771DF6">
        <w:rPr>
          <w:rFonts w:ascii="Calibri" w:hAnsi="Calibri" w:cs="Calibri"/>
          <w:kern w:val="24"/>
        </w:rPr>
        <w:t xml:space="preserve">per cent in the Kilkivan SLA to 12.5 per cent in the Murgon SLA. </w:t>
      </w:r>
    </w:p>
    <w:p w14:paraId="264ECA8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br/>
        <w:t>Despite this variance, all unemploym</w:t>
      </w:r>
      <w:r w:rsidR="00A448B9">
        <w:rPr>
          <w:rFonts w:ascii="Calibri" w:hAnsi="Calibri" w:cs="Calibri"/>
          <w:kern w:val="24"/>
        </w:rPr>
        <w:t xml:space="preserve">ent rates increased between </w:t>
      </w:r>
      <w:r w:rsidRPr="00771DF6">
        <w:rPr>
          <w:rFonts w:ascii="Calibri" w:hAnsi="Calibri" w:cs="Calibri"/>
          <w:kern w:val="24"/>
        </w:rPr>
        <w:t xml:space="preserve">December 2010 and </w:t>
      </w:r>
      <w:r w:rsidR="00A448B9">
        <w:rPr>
          <w:rFonts w:ascii="Calibri" w:hAnsi="Calibri" w:cs="Calibri"/>
          <w:kern w:val="24"/>
        </w:rPr>
        <w:t>December 2012, a</w:t>
      </w:r>
      <w:r w:rsidRPr="00771DF6">
        <w:rPr>
          <w:rFonts w:ascii="Calibri" w:hAnsi="Calibri" w:cs="Calibri"/>
          <w:kern w:val="24"/>
        </w:rPr>
        <w:t>nd remained above the state and national rates.</w:t>
      </w:r>
    </w:p>
    <w:p w14:paraId="264ECA89" w14:textId="77777777" w:rsidR="00771DF6" w:rsidRPr="00771DF6" w:rsidRDefault="00771DF6" w:rsidP="00771DF6">
      <w:pPr>
        <w:autoSpaceDE w:val="0"/>
        <w:autoSpaceDN w:val="0"/>
        <w:adjustRightInd w:val="0"/>
        <w:rPr>
          <w:rFonts w:ascii="Calibri" w:hAnsi="Calibri" w:cs="Calibri"/>
          <w:kern w:val="24"/>
        </w:rPr>
      </w:pPr>
    </w:p>
    <w:p w14:paraId="264ECA8A" w14:textId="77777777" w:rsidR="00771DF6" w:rsidRPr="00771DF6" w:rsidRDefault="00771DF6" w:rsidP="00771DF6">
      <w:pPr>
        <w:autoSpaceDE w:val="0"/>
        <w:autoSpaceDN w:val="0"/>
        <w:adjustRightInd w:val="0"/>
        <w:rPr>
          <w:rFonts w:ascii="Calibri" w:hAnsi="Calibri" w:cs="Calibri"/>
          <w:kern w:val="24"/>
        </w:rPr>
      </w:pPr>
    </w:p>
    <w:p w14:paraId="264ECA8B" w14:textId="77777777" w:rsidR="00771DF6" w:rsidRPr="00771DF6" w:rsidRDefault="00771DF6" w:rsidP="00771DF6">
      <w:pPr>
        <w:autoSpaceDE w:val="0"/>
        <w:autoSpaceDN w:val="0"/>
        <w:adjustRightInd w:val="0"/>
        <w:rPr>
          <w:rFonts w:ascii="Calibri" w:hAnsi="Calibri" w:cs="Calibri"/>
        </w:rPr>
      </w:pPr>
    </w:p>
    <w:p w14:paraId="264ECA8C" w14:textId="77777777" w:rsidR="00771DF6" w:rsidRPr="00771DF6" w:rsidRDefault="00771DF6" w:rsidP="00771DF6">
      <w:pPr>
        <w:spacing w:line="360" w:lineRule="auto"/>
        <w:rPr>
          <w:rFonts w:ascii="Calibri" w:hAnsi="Calibri" w:cs="Calibri"/>
        </w:rPr>
      </w:pPr>
    </w:p>
    <w:p w14:paraId="264ECA8D" w14:textId="77777777" w:rsidR="00771DF6" w:rsidRPr="00771DF6" w:rsidRDefault="00771DF6">
      <w:pPr>
        <w:rPr>
          <w:rFonts w:ascii="Calibri" w:hAnsi="Calibri" w:cs="Calibri"/>
        </w:rPr>
      </w:pPr>
      <w:r w:rsidRPr="00771DF6">
        <w:rPr>
          <w:rFonts w:ascii="Calibri" w:hAnsi="Calibri" w:cs="Calibri"/>
        </w:rPr>
        <w:br w:type="page"/>
      </w:r>
    </w:p>
    <w:p w14:paraId="264ECA8E"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9</w:t>
      </w:r>
    </w:p>
    <w:p w14:paraId="264ECA8F" w14:textId="77777777" w:rsidR="00771DF6" w:rsidRPr="00771DF6" w:rsidRDefault="00771DF6" w:rsidP="00771DF6">
      <w:pPr>
        <w:spacing w:line="360" w:lineRule="auto"/>
        <w:rPr>
          <w:rFonts w:ascii="Calibri" w:hAnsi="Calibri" w:cs="Calibri"/>
        </w:rPr>
      </w:pPr>
    </w:p>
    <w:p w14:paraId="264ECA90"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9">
          <v:shape id="_x0000_i1033" type="#_x0000_t75" style="width:270.75pt;height:20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429702064" r:id="rId26"/>
        </w:object>
      </w:r>
    </w:p>
    <w:p w14:paraId="264ECA91" w14:textId="77777777" w:rsidR="00771DF6" w:rsidRPr="00771DF6" w:rsidRDefault="00771DF6" w:rsidP="00771DF6">
      <w:pPr>
        <w:spacing w:line="360" w:lineRule="auto"/>
        <w:jc w:val="center"/>
        <w:rPr>
          <w:rFonts w:ascii="Calibri" w:hAnsi="Calibri" w:cs="Calibri"/>
        </w:rPr>
      </w:pPr>
    </w:p>
    <w:p w14:paraId="264ECA92"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Higher Rates of Income Support</w:t>
      </w:r>
    </w:p>
    <w:p w14:paraId="264ECA93"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DEEWR, administrative data, March 2013; ABS, Census of Population and Housing, Usual Residence, 2011</w:t>
      </w:r>
    </w:p>
    <w:p w14:paraId="264ECA94" w14:textId="77777777" w:rsidR="00771DF6" w:rsidRPr="00771DF6" w:rsidRDefault="00771DF6" w:rsidP="00771DF6">
      <w:pPr>
        <w:autoSpaceDE w:val="0"/>
        <w:autoSpaceDN w:val="0"/>
        <w:adjustRightInd w:val="0"/>
        <w:rPr>
          <w:rFonts w:ascii="Calibri" w:hAnsi="Calibri" w:cs="Calibri"/>
          <w:kern w:val="24"/>
        </w:rPr>
      </w:pPr>
    </w:p>
    <w:p w14:paraId="264ECA9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In March 2013, 33 per cent of the of the working age population in the Southern Wide Bay-Burnett PEA were in receipt of a Centrelink benefit. This was larger when compared with state and national levels (18 per cent and 17 per cent respectively).</w:t>
      </w:r>
    </w:p>
    <w:p w14:paraId="264ECA96" w14:textId="77777777" w:rsidR="00771DF6" w:rsidRPr="00771DF6" w:rsidRDefault="00771DF6" w:rsidP="00771DF6">
      <w:pPr>
        <w:autoSpaceDE w:val="0"/>
        <w:autoSpaceDN w:val="0"/>
        <w:adjustRightInd w:val="0"/>
        <w:rPr>
          <w:rFonts w:ascii="Calibri" w:hAnsi="Calibri" w:cs="Calibri"/>
          <w:kern w:val="24"/>
        </w:rPr>
      </w:pPr>
    </w:p>
    <w:p w14:paraId="264ECA9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10 per cent of the working age population in the PEA were in receipt of an unemployment benefit, well above both state and national levels (6 per cent and 5 per cent respectively). </w:t>
      </w:r>
    </w:p>
    <w:p w14:paraId="264ECA98" w14:textId="77777777" w:rsidR="00771DF6" w:rsidRPr="00771DF6" w:rsidRDefault="00771DF6" w:rsidP="00771DF6">
      <w:pPr>
        <w:autoSpaceDE w:val="0"/>
        <w:autoSpaceDN w:val="0"/>
        <w:adjustRightInd w:val="0"/>
        <w:rPr>
          <w:rFonts w:ascii="Calibri" w:hAnsi="Calibri" w:cs="Calibri"/>
          <w:kern w:val="24"/>
        </w:rPr>
      </w:pPr>
    </w:p>
    <w:p w14:paraId="264ECA99"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Close to half (44 per cent) of the working age population in Murgon were in receipt of a Centrelink benefit, the highest across the region. Murgon also had the highest proportion </w:t>
      </w:r>
      <w:r w:rsidR="00A448B9">
        <w:rPr>
          <w:rFonts w:ascii="Calibri" w:hAnsi="Calibri" w:cs="Calibri"/>
          <w:kern w:val="24"/>
        </w:rPr>
        <w:t xml:space="preserve">of its working age population </w:t>
      </w:r>
      <w:r w:rsidRPr="00771DF6">
        <w:rPr>
          <w:rFonts w:ascii="Calibri" w:hAnsi="Calibri" w:cs="Calibri"/>
          <w:kern w:val="24"/>
        </w:rPr>
        <w:t>in receipt of an unemployment benefit (17 per cent).</w:t>
      </w:r>
    </w:p>
    <w:p w14:paraId="264ECA9A" w14:textId="77777777" w:rsidR="00771DF6" w:rsidRPr="00771DF6" w:rsidRDefault="00771DF6" w:rsidP="00771DF6">
      <w:pPr>
        <w:autoSpaceDE w:val="0"/>
        <w:autoSpaceDN w:val="0"/>
        <w:adjustRightInd w:val="0"/>
        <w:rPr>
          <w:rFonts w:ascii="Calibri" w:hAnsi="Calibri" w:cs="Calibri"/>
          <w:kern w:val="24"/>
        </w:rPr>
      </w:pPr>
    </w:p>
    <w:p w14:paraId="264ECA9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Some 13 per cent of the working age population in the PEA were on a Disability Support Pension. This was more than double the proportion for Queensland and Australia (both 5</w:t>
      </w:r>
      <w:r w:rsidR="00A448B9">
        <w:rPr>
          <w:rFonts w:ascii="Calibri" w:hAnsi="Calibri" w:cs="Calibri"/>
          <w:kern w:val="24"/>
        </w:rPr>
        <w:t> </w:t>
      </w:r>
      <w:r w:rsidRPr="00771DF6">
        <w:rPr>
          <w:rFonts w:ascii="Calibri" w:hAnsi="Calibri" w:cs="Calibri"/>
          <w:kern w:val="24"/>
        </w:rPr>
        <w:t>per</w:t>
      </w:r>
      <w:r w:rsidR="00A448B9">
        <w:rPr>
          <w:rFonts w:ascii="Calibri" w:hAnsi="Calibri" w:cs="Calibri"/>
          <w:kern w:val="24"/>
        </w:rPr>
        <w:t> </w:t>
      </w:r>
      <w:r w:rsidRPr="00771DF6">
        <w:rPr>
          <w:rFonts w:ascii="Calibri" w:hAnsi="Calibri" w:cs="Calibri"/>
          <w:kern w:val="24"/>
        </w:rPr>
        <w:t xml:space="preserve">cent). </w:t>
      </w:r>
    </w:p>
    <w:p w14:paraId="264ECA9C" w14:textId="77777777" w:rsidR="00771DF6" w:rsidRPr="00771DF6" w:rsidRDefault="00771DF6" w:rsidP="00771DF6">
      <w:pPr>
        <w:autoSpaceDE w:val="0"/>
        <w:autoSpaceDN w:val="0"/>
        <w:adjustRightInd w:val="0"/>
        <w:rPr>
          <w:rFonts w:ascii="Calibri" w:hAnsi="Calibri" w:cs="Calibri"/>
        </w:rPr>
      </w:pPr>
    </w:p>
    <w:p w14:paraId="264ECA9D" w14:textId="77777777" w:rsidR="00771DF6" w:rsidRPr="00771DF6" w:rsidRDefault="00771DF6" w:rsidP="00771DF6">
      <w:pPr>
        <w:spacing w:line="360" w:lineRule="auto"/>
        <w:rPr>
          <w:rFonts w:ascii="Calibri" w:hAnsi="Calibri" w:cs="Calibri"/>
        </w:rPr>
      </w:pPr>
    </w:p>
    <w:p w14:paraId="264ECA9E" w14:textId="77777777" w:rsidR="00771DF6" w:rsidRPr="00771DF6" w:rsidRDefault="00771DF6">
      <w:pPr>
        <w:rPr>
          <w:rFonts w:ascii="Calibri" w:hAnsi="Calibri" w:cs="Calibri"/>
        </w:rPr>
      </w:pPr>
      <w:r w:rsidRPr="00771DF6">
        <w:rPr>
          <w:rFonts w:ascii="Calibri" w:hAnsi="Calibri" w:cs="Calibri"/>
        </w:rPr>
        <w:br w:type="page"/>
      </w:r>
    </w:p>
    <w:p w14:paraId="264ECA9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10</w:t>
      </w:r>
    </w:p>
    <w:p w14:paraId="264ECAA0" w14:textId="77777777" w:rsidR="00771DF6" w:rsidRPr="00771DF6" w:rsidRDefault="00771DF6" w:rsidP="00771DF6">
      <w:pPr>
        <w:spacing w:line="360" w:lineRule="auto"/>
        <w:rPr>
          <w:rFonts w:ascii="Calibri" w:hAnsi="Calibri" w:cs="Calibri"/>
        </w:rPr>
      </w:pPr>
    </w:p>
    <w:p w14:paraId="264ECAA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A">
          <v:shape id="_x0000_i1034" type="#_x0000_t75" style="width:270.75pt;height:20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429702065" r:id="rId28"/>
        </w:object>
      </w:r>
    </w:p>
    <w:p w14:paraId="264ECAA2" w14:textId="77777777" w:rsidR="00771DF6" w:rsidRPr="00771DF6" w:rsidRDefault="00771DF6" w:rsidP="00771DF6">
      <w:pPr>
        <w:spacing w:line="360" w:lineRule="auto"/>
        <w:jc w:val="center"/>
        <w:rPr>
          <w:rFonts w:ascii="Calibri" w:hAnsi="Calibri" w:cs="Calibri"/>
        </w:rPr>
      </w:pPr>
    </w:p>
    <w:p w14:paraId="264ECAA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Teenage Unemployment – Persons aged 15-19 years</w:t>
      </w:r>
    </w:p>
    <w:p w14:paraId="264ECAA4"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ABS, Labour Force Survey, February 2013.</w:t>
      </w:r>
    </w:p>
    <w:p w14:paraId="264ECAA5" w14:textId="77777777" w:rsidR="00771DF6" w:rsidRPr="00771DF6" w:rsidRDefault="00771DF6" w:rsidP="00771DF6">
      <w:pPr>
        <w:autoSpaceDE w:val="0"/>
        <w:autoSpaceDN w:val="0"/>
        <w:adjustRightInd w:val="0"/>
        <w:rPr>
          <w:rFonts w:ascii="Calibri" w:hAnsi="Calibri" w:cs="Calibri"/>
          <w:kern w:val="24"/>
        </w:rPr>
      </w:pPr>
    </w:p>
    <w:p w14:paraId="264ECAA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Due to their lack of skills and experience, teenagers in the full-time labour market can be particularly vulnerable during a labour market downturn. </w:t>
      </w:r>
    </w:p>
    <w:p w14:paraId="264ECAA7" w14:textId="77777777" w:rsidR="00771DF6" w:rsidRPr="00771DF6" w:rsidRDefault="00771DF6" w:rsidP="00771DF6">
      <w:pPr>
        <w:autoSpaceDE w:val="0"/>
        <w:autoSpaceDN w:val="0"/>
        <w:adjustRightInd w:val="0"/>
        <w:rPr>
          <w:rFonts w:ascii="Calibri" w:hAnsi="Calibri" w:cs="Calibri"/>
          <w:kern w:val="24"/>
        </w:rPr>
      </w:pPr>
    </w:p>
    <w:p w14:paraId="264ECAA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teenage full-time unemployment rate for the Wide Bay-Burnett LFR was 29.</w:t>
      </w:r>
      <w:r w:rsidR="00C61259">
        <w:rPr>
          <w:rFonts w:ascii="Calibri" w:hAnsi="Calibri" w:cs="Calibri"/>
          <w:kern w:val="24"/>
        </w:rPr>
        <w:t>9 per cent in February 2013, an</w:t>
      </w:r>
      <w:r w:rsidRPr="00771DF6">
        <w:rPr>
          <w:rFonts w:ascii="Calibri" w:hAnsi="Calibri" w:cs="Calibri"/>
          <w:kern w:val="24"/>
        </w:rPr>
        <w:t xml:space="preserve"> increase of almost 2 percentage points over the preceding 12 months. The teenage full-time unemployment rate in the LFR was higher compared with Queensland (25.2</w:t>
      </w:r>
      <w:r w:rsidR="00C61259">
        <w:rPr>
          <w:rFonts w:ascii="Calibri" w:hAnsi="Calibri" w:cs="Calibri"/>
          <w:kern w:val="24"/>
        </w:rPr>
        <w:t> </w:t>
      </w:r>
      <w:r w:rsidRPr="00771DF6">
        <w:rPr>
          <w:rFonts w:ascii="Calibri" w:hAnsi="Calibri" w:cs="Calibri"/>
          <w:kern w:val="24"/>
        </w:rPr>
        <w:t>per cent) and Australia (24.2 per cent).</w:t>
      </w:r>
    </w:p>
    <w:p w14:paraId="264ECAA9" w14:textId="77777777" w:rsidR="00771DF6" w:rsidRPr="00771DF6" w:rsidRDefault="00771DF6" w:rsidP="00771DF6">
      <w:pPr>
        <w:autoSpaceDE w:val="0"/>
        <w:autoSpaceDN w:val="0"/>
        <w:adjustRightInd w:val="0"/>
        <w:rPr>
          <w:rFonts w:ascii="Calibri" w:hAnsi="Calibri" w:cs="Calibri"/>
          <w:kern w:val="24"/>
        </w:rPr>
      </w:pPr>
    </w:p>
    <w:p w14:paraId="264ECAA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teenage full-time unemployment to population ratio was also higher in the LFR (7.9</w:t>
      </w:r>
      <w:r w:rsidR="00C61259">
        <w:rPr>
          <w:rFonts w:ascii="Calibri" w:hAnsi="Calibri" w:cs="Calibri"/>
          <w:kern w:val="24"/>
        </w:rPr>
        <w:t> </w:t>
      </w:r>
      <w:r w:rsidRPr="00771DF6">
        <w:rPr>
          <w:rFonts w:ascii="Calibri" w:hAnsi="Calibri" w:cs="Calibri"/>
          <w:kern w:val="24"/>
        </w:rPr>
        <w:t>per</w:t>
      </w:r>
      <w:r w:rsidR="00C61259">
        <w:rPr>
          <w:rFonts w:ascii="Calibri" w:hAnsi="Calibri" w:cs="Calibri"/>
          <w:kern w:val="24"/>
        </w:rPr>
        <w:t> </w:t>
      </w:r>
      <w:r w:rsidRPr="00771DF6">
        <w:rPr>
          <w:rFonts w:ascii="Calibri" w:hAnsi="Calibri" w:cs="Calibri"/>
          <w:kern w:val="24"/>
        </w:rPr>
        <w:t>cent) compared with Queensland (5.7 cent) and Australia (4.2 per cent).</w:t>
      </w:r>
    </w:p>
    <w:p w14:paraId="264ECAAB" w14:textId="77777777" w:rsidR="00771DF6" w:rsidRPr="00771DF6" w:rsidRDefault="00771DF6" w:rsidP="00771DF6">
      <w:pPr>
        <w:autoSpaceDE w:val="0"/>
        <w:autoSpaceDN w:val="0"/>
        <w:adjustRightInd w:val="0"/>
        <w:rPr>
          <w:rFonts w:ascii="Calibri" w:hAnsi="Calibri" w:cs="Calibri"/>
          <w:kern w:val="24"/>
        </w:rPr>
      </w:pPr>
    </w:p>
    <w:p w14:paraId="264ECAA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Southern Wide Bay-Burnett PEA accounts for 23 per cent of the Wide Bay-Burnett LFR. </w:t>
      </w:r>
      <w:r w:rsidRPr="00771DF6">
        <w:rPr>
          <w:rFonts w:ascii="Calibri" w:hAnsi="Calibri" w:cs="Calibri"/>
          <w:kern w:val="24"/>
        </w:rPr>
        <w:br/>
      </w:r>
    </w:p>
    <w:p w14:paraId="264ECAAD" w14:textId="77777777" w:rsidR="00771DF6" w:rsidRPr="00771DF6" w:rsidRDefault="00771DF6" w:rsidP="00771DF6">
      <w:pPr>
        <w:autoSpaceDE w:val="0"/>
        <w:autoSpaceDN w:val="0"/>
        <w:adjustRightInd w:val="0"/>
        <w:rPr>
          <w:rFonts w:ascii="Calibri" w:hAnsi="Calibri" w:cs="Calibri"/>
          <w:kern w:val="24"/>
        </w:rPr>
      </w:pPr>
    </w:p>
    <w:p w14:paraId="264ECAAE" w14:textId="77777777" w:rsidR="00771DF6" w:rsidRPr="00771DF6" w:rsidRDefault="00771DF6" w:rsidP="00771DF6">
      <w:pPr>
        <w:autoSpaceDE w:val="0"/>
        <w:autoSpaceDN w:val="0"/>
        <w:adjustRightInd w:val="0"/>
        <w:rPr>
          <w:rFonts w:ascii="Calibri" w:hAnsi="Calibri" w:cs="Calibri"/>
        </w:rPr>
      </w:pPr>
    </w:p>
    <w:p w14:paraId="264ECAAF" w14:textId="77777777" w:rsidR="00771DF6" w:rsidRPr="00771DF6" w:rsidRDefault="00771DF6" w:rsidP="00771DF6">
      <w:pPr>
        <w:spacing w:line="360" w:lineRule="auto"/>
        <w:rPr>
          <w:rFonts w:ascii="Calibri" w:hAnsi="Calibri" w:cs="Calibri"/>
        </w:rPr>
      </w:pPr>
    </w:p>
    <w:p w14:paraId="264ECAB0" w14:textId="77777777" w:rsidR="00771DF6" w:rsidRPr="00771DF6" w:rsidRDefault="00771DF6">
      <w:pPr>
        <w:rPr>
          <w:rFonts w:ascii="Calibri" w:hAnsi="Calibri" w:cs="Calibri"/>
        </w:rPr>
      </w:pPr>
      <w:r w:rsidRPr="00771DF6">
        <w:rPr>
          <w:rFonts w:ascii="Calibri" w:hAnsi="Calibri" w:cs="Calibri"/>
        </w:rPr>
        <w:br w:type="page"/>
      </w:r>
    </w:p>
    <w:p w14:paraId="264ECAB1"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11</w:t>
      </w:r>
    </w:p>
    <w:p w14:paraId="264ECAB2" w14:textId="77777777" w:rsidR="00771DF6" w:rsidRPr="00771DF6" w:rsidRDefault="00771DF6" w:rsidP="00771DF6">
      <w:pPr>
        <w:spacing w:line="360" w:lineRule="auto"/>
        <w:rPr>
          <w:rFonts w:ascii="Calibri" w:hAnsi="Calibri" w:cs="Calibri"/>
        </w:rPr>
      </w:pPr>
    </w:p>
    <w:p w14:paraId="264ECAB3"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B">
          <v:shape id="_x0000_i1035" type="#_x0000_t75" style="width:270.75pt;height:20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429702066" r:id="rId30"/>
        </w:object>
      </w:r>
    </w:p>
    <w:p w14:paraId="264ECAB4" w14:textId="77777777" w:rsidR="00771DF6" w:rsidRPr="00771DF6" w:rsidRDefault="00771DF6" w:rsidP="00771DF6">
      <w:pPr>
        <w:spacing w:line="360" w:lineRule="auto"/>
        <w:jc w:val="center"/>
        <w:rPr>
          <w:rFonts w:ascii="Calibri" w:hAnsi="Calibri" w:cs="Calibri"/>
        </w:rPr>
      </w:pPr>
    </w:p>
    <w:p w14:paraId="264ECAB5"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Long-term Unemployment</w:t>
      </w:r>
    </w:p>
    <w:p w14:paraId="264ECAB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xml:space="preserve">Source: ABS, Labour Force Survey, February 2013. </w:t>
      </w:r>
    </w:p>
    <w:p w14:paraId="264ECAB7" w14:textId="77777777" w:rsidR="00771DF6" w:rsidRPr="00771DF6" w:rsidRDefault="00771DF6" w:rsidP="00771DF6">
      <w:pPr>
        <w:autoSpaceDE w:val="0"/>
        <w:autoSpaceDN w:val="0"/>
        <w:adjustRightInd w:val="0"/>
        <w:rPr>
          <w:rFonts w:ascii="Calibri" w:hAnsi="Calibri" w:cs="Calibri"/>
          <w:kern w:val="24"/>
        </w:rPr>
      </w:pPr>
    </w:p>
    <w:p w14:paraId="264ECAB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Long-term unemployed are those who have been unemployed for 52 weeks or more.</w:t>
      </w:r>
    </w:p>
    <w:p w14:paraId="264ECAB9"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 </w:t>
      </w:r>
    </w:p>
    <w:p w14:paraId="264ECAB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proportion of unemployed persons who were long-term unemployed in the Wide Bay-Burnett Force Region (LFR) (25 per cent) was higher compared with Queensland (18 per cent) and Australia (19 per cent). </w:t>
      </w:r>
    </w:p>
    <w:p w14:paraId="264ECABB" w14:textId="77777777" w:rsidR="00771DF6" w:rsidRPr="00771DF6" w:rsidRDefault="00771DF6" w:rsidP="00771DF6">
      <w:pPr>
        <w:autoSpaceDE w:val="0"/>
        <w:autoSpaceDN w:val="0"/>
        <w:adjustRightInd w:val="0"/>
        <w:rPr>
          <w:rFonts w:ascii="Calibri" w:hAnsi="Calibri" w:cs="Calibri"/>
          <w:kern w:val="24"/>
        </w:rPr>
      </w:pPr>
    </w:p>
    <w:p w14:paraId="264ECAB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average duration of unemployment in the Wide Bay-Burnett LFR was 44 weeks, higher than the average for Queensland (34 weeks) and Australia (37 weeks). </w:t>
      </w:r>
    </w:p>
    <w:p w14:paraId="264ECABD" w14:textId="77777777" w:rsidR="00771DF6" w:rsidRPr="00771DF6" w:rsidRDefault="00771DF6" w:rsidP="00771DF6">
      <w:pPr>
        <w:autoSpaceDE w:val="0"/>
        <w:autoSpaceDN w:val="0"/>
        <w:adjustRightInd w:val="0"/>
        <w:rPr>
          <w:rFonts w:ascii="Calibri" w:hAnsi="Calibri" w:cs="Calibri"/>
          <w:kern w:val="24"/>
          <w:lang w:val="en-US"/>
        </w:rPr>
      </w:pPr>
    </w:p>
    <w:p w14:paraId="264ECABE"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Southern Wide Bay-Burnett PEA accounts for 23 per cent of the Wide Bay-Burnett LFR. </w:t>
      </w:r>
      <w:r w:rsidRPr="00771DF6">
        <w:rPr>
          <w:rFonts w:ascii="Calibri" w:hAnsi="Calibri" w:cs="Calibri"/>
          <w:kern w:val="24"/>
        </w:rPr>
        <w:br/>
      </w:r>
    </w:p>
    <w:p w14:paraId="264ECABF" w14:textId="77777777" w:rsidR="00771DF6" w:rsidRPr="00771DF6" w:rsidRDefault="00771DF6" w:rsidP="00771DF6">
      <w:pPr>
        <w:autoSpaceDE w:val="0"/>
        <w:autoSpaceDN w:val="0"/>
        <w:adjustRightInd w:val="0"/>
        <w:rPr>
          <w:rFonts w:ascii="Calibri" w:hAnsi="Calibri" w:cs="Calibri"/>
        </w:rPr>
      </w:pPr>
    </w:p>
    <w:p w14:paraId="264ECAC0" w14:textId="77777777" w:rsidR="00771DF6" w:rsidRPr="00771DF6" w:rsidRDefault="00771DF6" w:rsidP="00771DF6">
      <w:pPr>
        <w:spacing w:line="360" w:lineRule="auto"/>
        <w:rPr>
          <w:rFonts w:ascii="Calibri" w:hAnsi="Calibri" w:cs="Calibri"/>
        </w:rPr>
      </w:pPr>
    </w:p>
    <w:p w14:paraId="264ECAC1" w14:textId="77777777" w:rsidR="00771DF6" w:rsidRPr="00771DF6" w:rsidRDefault="00771DF6">
      <w:pPr>
        <w:rPr>
          <w:rFonts w:ascii="Calibri" w:hAnsi="Calibri" w:cs="Calibri"/>
        </w:rPr>
      </w:pPr>
      <w:r w:rsidRPr="00771DF6">
        <w:rPr>
          <w:rFonts w:ascii="Calibri" w:hAnsi="Calibri" w:cs="Calibri"/>
        </w:rPr>
        <w:br w:type="page"/>
      </w:r>
    </w:p>
    <w:p w14:paraId="264ECAC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12</w:t>
      </w:r>
    </w:p>
    <w:p w14:paraId="264ECAC3" w14:textId="77777777" w:rsidR="00771DF6" w:rsidRPr="00771DF6" w:rsidRDefault="00771DF6" w:rsidP="00771DF6">
      <w:pPr>
        <w:spacing w:line="360" w:lineRule="auto"/>
        <w:rPr>
          <w:rFonts w:ascii="Calibri" w:hAnsi="Calibri" w:cs="Calibri"/>
        </w:rPr>
      </w:pPr>
    </w:p>
    <w:p w14:paraId="264ECAC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C">
          <v:shape id="_x0000_i1036" type="#_x0000_t75" style="width:270.75pt;height:20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429702067" r:id="rId32"/>
        </w:object>
      </w:r>
    </w:p>
    <w:p w14:paraId="264ECAC5" w14:textId="77777777" w:rsidR="00771DF6" w:rsidRPr="00771DF6" w:rsidRDefault="00771DF6" w:rsidP="00771DF6">
      <w:pPr>
        <w:spacing w:line="360" w:lineRule="auto"/>
        <w:jc w:val="center"/>
        <w:rPr>
          <w:rFonts w:ascii="Calibri" w:hAnsi="Calibri" w:cs="Calibri"/>
        </w:rPr>
      </w:pPr>
    </w:p>
    <w:p w14:paraId="264ECAC6"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Employment by Industry</w:t>
      </w:r>
    </w:p>
    <w:p w14:paraId="264ECAC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xml:space="preserve">Source: ABS, Census of Population and Housing, Usual Residence, 2011. </w:t>
      </w:r>
    </w:p>
    <w:p w14:paraId="264ECAC8" w14:textId="77777777" w:rsidR="00771DF6" w:rsidRPr="00771DF6" w:rsidRDefault="00771DF6" w:rsidP="00771DF6">
      <w:pPr>
        <w:autoSpaceDE w:val="0"/>
        <w:autoSpaceDN w:val="0"/>
        <w:adjustRightInd w:val="0"/>
        <w:rPr>
          <w:rFonts w:ascii="Calibri" w:hAnsi="Calibri" w:cs="Calibri"/>
          <w:kern w:val="24"/>
        </w:rPr>
      </w:pPr>
    </w:p>
    <w:p w14:paraId="264ECAC9" w14:textId="77777777" w:rsidR="00771DF6" w:rsidRPr="00771DF6" w:rsidRDefault="00AF45DA" w:rsidP="00771DF6">
      <w:pPr>
        <w:autoSpaceDE w:val="0"/>
        <w:autoSpaceDN w:val="0"/>
        <w:adjustRightInd w:val="0"/>
        <w:rPr>
          <w:rFonts w:ascii="Calibri" w:hAnsi="Calibri" w:cs="Calibri"/>
          <w:kern w:val="24"/>
        </w:rPr>
      </w:pPr>
      <w:r>
        <w:rPr>
          <w:rFonts w:ascii="Calibri" w:hAnsi="Calibri" w:cs="Calibri"/>
          <w:kern w:val="24"/>
        </w:rPr>
        <w:t xml:space="preserve">At the time of the 2011 Census, </w:t>
      </w:r>
      <w:r w:rsidR="00771DF6" w:rsidRPr="00771DF6">
        <w:rPr>
          <w:rFonts w:ascii="Calibri" w:hAnsi="Calibri" w:cs="Calibri"/>
          <w:kern w:val="24"/>
        </w:rPr>
        <w:t>Retail Trade, Health Care and Social Assistance and Manufacturing were the main employing industries</w:t>
      </w:r>
      <w:r>
        <w:rPr>
          <w:rFonts w:ascii="Calibri" w:hAnsi="Calibri" w:cs="Calibri"/>
          <w:kern w:val="24"/>
        </w:rPr>
        <w:t xml:space="preserve"> in the Southern Wide Bay-Burnett PEA</w:t>
      </w:r>
      <w:r w:rsidR="00771DF6" w:rsidRPr="00771DF6">
        <w:rPr>
          <w:rFonts w:ascii="Calibri" w:hAnsi="Calibri" w:cs="Calibri"/>
          <w:kern w:val="24"/>
        </w:rPr>
        <w:t xml:space="preserve">. </w:t>
      </w:r>
    </w:p>
    <w:p w14:paraId="264ECACA" w14:textId="77777777" w:rsidR="00771DF6" w:rsidRPr="00771DF6" w:rsidRDefault="00771DF6" w:rsidP="00771DF6">
      <w:pPr>
        <w:autoSpaceDE w:val="0"/>
        <w:autoSpaceDN w:val="0"/>
        <w:adjustRightInd w:val="0"/>
        <w:rPr>
          <w:rFonts w:ascii="Calibri" w:hAnsi="Calibri" w:cs="Calibri"/>
          <w:kern w:val="24"/>
        </w:rPr>
      </w:pPr>
    </w:p>
    <w:p w14:paraId="264ECAC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Agriculture, </w:t>
      </w:r>
      <w:r w:rsidR="00AF45DA">
        <w:rPr>
          <w:rFonts w:ascii="Calibri" w:hAnsi="Calibri" w:cs="Calibri"/>
          <w:kern w:val="24"/>
        </w:rPr>
        <w:t>Forestry and Fishing industry was</w:t>
      </w:r>
      <w:r w:rsidRPr="00771DF6">
        <w:rPr>
          <w:rFonts w:ascii="Calibri" w:hAnsi="Calibri" w:cs="Calibri"/>
          <w:kern w:val="24"/>
        </w:rPr>
        <w:t xml:space="preserve"> also an</w:t>
      </w:r>
      <w:r w:rsidR="00AF45DA">
        <w:rPr>
          <w:rFonts w:ascii="Calibri" w:hAnsi="Calibri" w:cs="Calibri"/>
          <w:kern w:val="24"/>
        </w:rPr>
        <w:t xml:space="preserve"> important industry and accounted</w:t>
      </w:r>
      <w:r w:rsidRPr="00771DF6">
        <w:rPr>
          <w:rFonts w:ascii="Calibri" w:hAnsi="Calibri" w:cs="Calibri"/>
          <w:kern w:val="24"/>
        </w:rPr>
        <w:t xml:space="preserve"> for a far greater proportion of employment within the region compared with Queensland overall. </w:t>
      </w:r>
    </w:p>
    <w:p w14:paraId="264ECACC" w14:textId="77777777" w:rsidR="00771DF6" w:rsidRPr="00771DF6" w:rsidRDefault="00771DF6" w:rsidP="00771DF6">
      <w:pPr>
        <w:autoSpaceDE w:val="0"/>
        <w:autoSpaceDN w:val="0"/>
        <w:adjustRightInd w:val="0"/>
        <w:rPr>
          <w:rFonts w:ascii="Calibri" w:hAnsi="Calibri" w:cs="Calibri"/>
        </w:rPr>
      </w:pPr>
    </w:p>
    <w:p w14:paraId="264ECACD" w14:textId="77777777" w:rsidR="00771DF6" w:rsidRPr="00771DF6" w:rsidRDefault="00771DF6" w:rsidP="00771DF6">
      <w:pPr>
        <w:spacing w:line="360" w:lineRule="auto"/>
        <w:rPr>
          <w:rFonts w:ascii="Calibri" w:hAnsi="Calibri" w:cs="Calibri"/>
        </w:rPr>
      </w:pPr>
    </w:p>
    <w:p w14:paraId="264ECACE" w14:textId="77777777" w:rsidR="00771DF6" w:rsidRPr="00771DF6" w:rsidRDefault="00771DF6">
      <w:pPr>
        <w:rPr>
          <w:rFonts w:ascii="Calibri" w:hAnsi="Calibri" w:cs="Calibri"/>
        </w:rPr>
      </w:pPr>
      <w:r w:rsidRPr="00771DF6">
        <w:rPr>
          <w:rFonts w:ascii="Calibri" w:hAnsi="Calibri" w:cs="Calibri"/>
        </w:rPr>
        <w:br w:type="page"/>
      </w:r>
    </w:p>
    <w:p w14:paraId="264ECAC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13</w:t>
      </w:r>
    </w:p>
    <w:p w14:paraId="264ECAD0" w14:textId="77777777" w:rsidR="00771DF6" w:rsidRPr="00771DF6" w:rsidRDefault="00771DF6" w:rsidP="00771DF6">
      <w:pPr>
        <w:spacing w:line="360" w:lineRule="auto"/>
        <w:rPr>
          <w:rFonts w:ascii="Calibri" w:hAnsi="Calibri" w:cs="Calibri"/>
        </w:rPr>
      </w:pPr>
    </w:p>
    <w:p w14:paraId="264ECAD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D">
          <v:shape id="_x0000_i1037" type="#_x0000_t75" style="width:270.75pt;height:20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429702068" r:id="rId34"/>
        </w:object>
      </w:r>
    </w:p>
    <w:p w14:paraId="264ECAD2" w14:textId="77777777" w:rsidR="00771DF6" w:rsidRPr="00771DF6" w:rsidRDefault="00771DF6" w:rsidP="00771DF6">
      <w:pPr>
        <w:spacing w:line="360" w:lineRule="auto"/>
        <w:jc w:val="center"/>
        <w:rPr>
          <w:rFonts w:ascii="Calibri" w:hAnsi="Calibri" w:cs="Calibri"/>
        </w:rPr>
      </w:pPr>
    </w:p>
    <w:p w14:paraId="264ECAD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Industry Employment Growth</w:t>
      </w:r>
    </w:p>
    <w:p w14:paraId="264ECAD4"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xml:space="preserve">Source: ABS, Census of Population and Housing, Usual Residence, 2011. </w:t>
      </w:r>
    </w:p>
    <w:p w14:paraId="264ECAD5" w14:textId="77777777" w:rsidR="00771DF6" w:rsidRPr="00771DF6" w:rsidRDefault="00771DF6" w:rsidP="00771DF6">
      <w:pPr>
        <w:autoSpaceDE w:val="0"/>
        <w:autoSpaceDN w:val="0"/>
        <w:adjustRightInd w:val="0"/>
        <w:rPr>
          <w:rFonts w:ascii="Calibri" w:hAnsi="Calibri" w:cs="Calibri"/>
          <w:kern w:val="24"/>
        </w:rPr>
      </w:pPr>
    </w:p>
    <w:p w14:paraId="264ECAD6"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This graph shows the change in the number of people employed in some key industries in the Southern Wide Bay-Burnett PEA between 2006 and 2011. </w:t>
      </w:r>
    </w:p>
    <w:p w14:paraId="264ECAD7" w14:textId="77777777" w:rsidR="00153C72" w:rsidRPr="00771DF6" w:rsidRDefault="00153C72" w:rsidP="00771DF6">
      <w:pPr>
        <w:autoSpaceDE w:val="0"/>
        <w:autoSpaceDN w:val="0"/>
        <w:adjustRightInd w:val="0"/>
        <w:rPr>
          <w:rFonts w:ascii="Calibri" w:hAnsi="Calibri" w:cs="Calibri"/>
          <w:kern w:val="24"/>
        </w:rPr>
      </w:pPr>
    </w:p>
    <w:p w14:paraId="264ECAD8"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Much of the growth in employment in the region was concentrated in the Health Care and Social Assistance industry. </w:t>
      </w:r>
    </w:p>
    <w:p w14:paraId="264ECAD9" w14:textId="77777777" w:rsidR="00153C72" w:rsidRPr="00771DF6" w:rsidRDefault="00153C72" w:rsidP="00771DF6">
      <w:pPr>
        <w:autoSpaceDE w:val="0"/>
        <w:autoSpaceDN w:val="0"/>
        <w:adjustRightInd w:val="0"/>
        <w:rPr>
          <w:rFonts w:ascii="Calibri" w:hAnsi="Calibri" w:cs="Calibri"/>
          <w:kern w:val="24"/>
        </w:rPr>
      </w:pPr>
    </w:p>
    <w:p w14:paraId="264ECAD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By contrast, employment in the Agriculture, Forestry and Fishing and Manufacturing industries reduced substantially. </w:t>
      </w:r>
    </w:p>
    <w:p w14:paraId="264ECADB" w14:textId="77777777" w:rsidR="00771DF6" w:rsidRPr="00771DF6" w:rsidRDefault="00771DF6" w:rsidP="00771DF6">
      <w:pPr>
        <w:autoSpaceDE w:val="0"/>
        <w:autoSpaceDN w:val="0"/>
        <w:adjustRightInd w:val="0"/>
        <w:rPr>
          <w:rFonts w:ascii="Calibri" w:hAnsi="Calibri" w:cs="Calibri"/>
        </w:rPr>
      </w:pPr>
    </w:p>
    <w:p w14:paraId="264ECADC" w14:textId="77777777" w:rsidR="00771DF6" w:rsidRPr="00771DF6" w:rsidRDefault="00771DF6" w:rsidP="00771DF6">
      <w:pPr>
        <w:spacing w:line="360" w:lineRule="auto"/>
        <w:rPr>
          <w:rFonts w:ascii="Calibri" w:hAnsi="Calibri" w:cs="Calibri"/>
        </w:rPr>
      </w:pPr>
    </w:p>
    <w:p w14:paraId="264ECADD" w14:textId="77777777" w:rsidR="00771DF6" w:rsidRPr="00771DF6" w:rsidRDefault="00771DF6">
      <w:pPr>
        <w:rPr>
          <w:rFonts w:ascii="Calibri" w:hAnsi="Calibri" w:cs="Calibri"/>
        </w:rPr>
      </w:pPr>
      <w:r w:rsidRPr="00771DF6">
        <w:rPr>
          <w:rFonts w:ascii="Calibri" w:hAnsi="Calibri" w:cs="Calibri"/>
        </w:rPr>
        <w:br w:type="page"/>
      </w:r>
    </w:p>
    <w:p w14:paraId="264ECADE"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14</w:t>
      </w:r>
    </w:p>
    <w:p w14:paraId="264ECADF" w14:textId="77777777" w:rsidR="00771DF6" w:rsidRPr="00771DF6" w:rsidRDefault="00771DF6" w:rsidP="00771DF6">
      <w:pPr>
        <w:spacing w:line="360" w:lineRule="auto"/>
        <w:rPr>
          <w:rFonts w:ascii="Calibri" w:hAnsi="Calibri" w:cs="Calibri"/>
        </w:rPr>
      </w:pPr>
    </w:p>
    <w:p w14:paraId="264ECAE0"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E">
          <v:shape id="_x0000_i1038" type="#_x0000_t75" style="width:270.75pt;height:20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429702069" r:id="rId36"/>
        </w:object>
      </w:r>
    </w:p>
    <w:p w14:paraId="264ECAE1" w14:textId="77777777" w:rsidR="00771DF6" w:rsidRPr="00771DF6" w:rsidRDefault="00771DF6" w:rsidP="00771DF6">
      <w:pPr>
        <w:spacing w:line="360" w:lineRule="auto"/>
        <w:jc w:val="center"/>
        <w:rPr>
          <w:rFonts w:ascii="Calibri" w:hAnsi="Calibri" w:cs="Calibri"/>
        </w:rPr>
      </w:pPr>
    </w:p>
    <w:p w14:paraId="264ECAE2"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Fewer Males Working Full-Time (2006 – 2011)</w:t>
      </w:r>
    </w:p>
    <w:p w14:paraId="264ECAE3"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ABS, Census of Population and Housing, Usual Residence, 2006 &amp; 2011</w:t>
      </w:r>
      <w:r w:rsidRPr="00771DF6">
        <w:rPr>
          <w:rFonts w:ascii="Calibri" w:hAnsi="Calibri" w:cs="Calibri"/>
          <w:kern w:val="24"/>
        </w:rPr>
        <w:t xml:space="preserve"> </w:t>
      </w:r>
    </w:p>
    <w:p w14:paraId="264ECAE4" w14:textId="77777777" w:rsidR="00771DF6" w:rsidRPr="00771DF6" w:rsidRDefault="00771DF6" w:rsidP="00771DF6">
      <w:pPr>
        <w:autoSpaceDE w:val="0"/>
        <w:autoSpaceDN w:val="0"/>
        <w:adjustRightInd w:val="0"/>
        <w:rPr>
          <w:rFonts w:ascii="Calibri" w:hAnsi="Calibri" w:cs="Calibri"/>
          <w:i/>
          <w:iCs/>
          <w:kern w:val="24"/>
        </w:rPr>
      </w:pPr>
    </w:p>
    <w:p w14:paraId="264ECAE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Between 2006 and 2011 in the Southern Wide Bay-Burnett PEA the increase in total employment was far greater for females than for males.* There was a large decline in the number of males employed full time and an large increase in those working part time.</w:t>
      </w:r>
    </w:p>
    <w:p w14:paraId="264ECAE6" w14:textId="77777777" w:rsidR="00771DF6" w:rsidRPr="00771DF6" w:rsidRDefault="00771DF6" w:rsidP="00771DF6">
      <w:pPr>
        <w:autoSpaceDE w:val="0"/>
        <w:autoSpaceDN w:val="0"/>
        <w:adjustRightInd w:val="0"/>
        <w:rPr>
          <w:rFonts w:ascii="Calibri" w:hAnsi="Calibri" w:cs="Calibri"/>
          <w:i/>
          <w:iCs/>
          <w:kern w:val="24"/>
        </w:rPr>
      </w:pPr>
    </w:p>
    <w:p w14:paraId="264ECAE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In terms of industry, the largest declines in male full-time employment took place in Agriculture, Forestry and Fishing (270 persons) and Manufacturing (130 persons)</w:t>
      </w:r>
      <w:r w:rsidR="00AF45DA">
        <w:rPr>
          <w:rFonts w:ascii="Calibri" w:hAnsi="Calibri" w:cs="Calibri"/>
          <w:kern w:val="24"/>
        </w:rPr>
        <w:t>. T</w:t>
      </w:r>
      <w:r w:rsidRPr="00771DF6">
        <w:rPr>
          <w:rFonts w:ascii="Calibri" w:hAnsi="Calibri" w:cs="Calibri"/>
          <w:kern w:val="24"/>
        </w:rPr>
        <w:t>he largest increases in male full-time employment were in Mining (160 persons) and Construction (90 persons).</w:t>
      </w:r>
    </w:p>
    <w:p w14:paraId="264ECAE8" w14:textId="77777777" w:rsidR="00771DF6" w:rsidRPr="00771DF6" w:rsidRDefault="00771DF6" w:rsidP="00771DF6">
      <w:pPr>
        <w:autoSpaceDE w:val="0"/>
        <w:autoSpaceDN w:val="0"/>
        <w:adjustRightInd w:val="0"/>
        <w:rPr>
          <w:rFonts w:ascii="Calibri" w:hAnsi="Calibri" w:cs="Calibri"/>
          <w:kern w:val="24"/>
        </w:rPr>
      </w:pPr>
    </w:p>
    <w:p w14:paraId="264ECAE9"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largest increase in female part-time employment was in Health Care and Social Assistance industry (300 persons).</w:t>
      </w:r>
    </w:p>
    <w:p w14:paraId="264ECAEA" w14:textId="77777777" w:rsidR="00771DF6" w:rsidRPr="00771DF6" w:rsidRDefault="00771DF6" w:rsidP="00771DF6">
      <w:pPr>
        <w:autoSpaceDE w:val="0"/>
        <w:autoSpaceDN w:val="0"/>
        <w:adjustRightInd w:val="0"/>
        <w:rPr>
          <w:rFonts w:ascii="Calibri" w:hAnsi="Calibri" w:cs="Calibri"/>
          <w:i/>
          <w:iCs/>
          <w:kern w:val="24"/>
        </w:rPr>
      </w:pPr>
    </w:p>
    <w:p w14:paraId="264ECAE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 NOTE: Figures for </w:t>
      </w:r>
      <w:r w:rsidRPr="00771DF6">
        <w:rPr>
          <w:rFonts w:ascii="Calibri" w:hAnsi="Calibri" w:cs="Calibri"/>
          <w:i/>
          <w:iCs/>
          <w:kern w:val="24"/>
        </w:rPr>
        <w:t xml:space="preserve">total employment </w:t>
      </w:r>
      <w:r w:rsidRPr="00771DF6">
        <w:rPr>
          <w:rFonts w:ascii="Calibri" w:hAnsi="Calibri" w:cs="Calibri"/>
          <w:kern w:val="24"/>
        </w:rPr>
        <w:t xml:space="preserve">include only those who stated their part-time/full-time employment status. </w:t>
      </w:r>
    </w:p>
    <w:p w14:paraId="264ECAEC" w14:textId="77777777" w:rsidR="00771DF6" w:rsidRPr="00771DF6" w:rsidRDefault="00771DF6" w:rsidP="00771DF6">
      <w:pPr>
        <w:autoSpaceDE w:val="0"/>
        <w:autoSpaceDN w:val="0"/>
        <w:adjustRightInd w:val="0"/>
        <w:rPr>
          <w:rFonts w:ascii="Calibri" w:hAnsi="Calibri" w:cs="Calibri"/>
          <w:b/>
          <w:bCs/>
          <w:kern w:val="24"/>
          <w:u w:val="single"/>
        </w:rPr>
      </w:pPr>
    </w:p>
    <w:p w14:paraId="264ECAED" w14:textId="77777777" w:rsidR="00771DF6" w:rsidRPr="00771DF6" w:rsidRDefault="00771DF6" w:rsidP="00771DF6">
      <w:pPr>
        <w:autoSpaceDE w:val="0"/>
        <w:autoSpaceDN w:val="0"/>
        <w:adjustRightInd w:val="0"/>
        <w:rPr>
          <w:rFonts w:ascii="Calibri" w:hAnsi="Calibri" w:cs="Calibri"/>
          <w:i/>
          <w:iCs/>
          <w:kern w:val="24"/>
        </w:rPr>
      </w:pPr>
    </w:p>
    <w:p w14:paraId="264ECAEE" w14:textId="77777777" w:rsidR="00771DF6" w:rsidRPr="00771DF6" w:rsidRDefault="00771DF6" w:rsidP="00771DF6">
      <w:pPr>
        <w:autoSpaceDE w:val="0"/>
        <w:autoSpaceDN w:val="0"/>
        <w:adjustRightInd w:val="0"/>
        <w:rPr>
          <w:rFonts w:ascii="Calibri" w:hAnsi="Calibri" w:cs="Calibri"/>
          <w:kern w:val="24"/>
        </w:rPr>
      </w:pPr>
    </w:p>
    <w:p w14:paraId="264ECAEF" w14:textId="77777777" w:rsidR="00771DF6" w:rsidRPr="00771DF6" w:rsidRDefault="00771DF6" w:rsidP="00771DF6">
      <w:pPr>
        <w:autoSpaceDE w:val="0"/>
        <w:autoSpaceDN w:val="0"/>
        <w:adjustRightInd w:val="0"/>
        <w:rPr>
          <w:rFonts w:ascii="Calibri" w:hAnsi="Calibri" w:cs="Calibri"/>
        </w:rPr>
      </w:pPr>
    </w:p>
    <w:p w14:paraId="264ECAF0" w14:textId="77777777" w:rsidR="00771DF6" w:rsidRPr="00771DF6" w:rsidRDefault="00771DF6" w:rsidP="00771DF6">
      <w:pPr>
        <w:spacing w:line="360" w:lineRule="auto"/>
        <w:rPr>
          <w:rFonts w:ascii="Calibri" w:hAnsi="Calibri" w:cs="Calibri"/>
        </w:rPr>
      </w:pPr>
    </w:p>
    <w:p w14:paraId="264ECAF1" w14:textId="77777777" w:rsidR="00771DF6" w:rsidRPr="00771DF6" w:rsidRDefault="00771DF6">
      <w:pPr>
        <w:rPr>
          <w:rFonts w:ascii="Calibri" w:hAnsi="Calibri" w:cs="Calibri"/>
        </w:rPr>
      </w:pPr>
      <w:r w:rsidRPr="00771DF6">
        <w:rPr>
          <w:rFonts w:ascii="Calibri" w:hAnsi="Calibri" w:cs="Calibri"/>
        </w:rPr>
        <w:br w:type="page"/>
      </w:r>
    </w:p>
    <w:p w14:paraId="264ECAF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15</w:t>
      </w:r>
    </w:p>
    <w:p w14:paraId="264ECAF3" w14:textId="77777777" w:rsidR="00771DF6" w:rsidRPr="00771DF6" w:rsidRDefault="00771DF6" w:rsidP="00771DF6">
      <w:pPr>
        <w:spacing w:line="360" w:lineRule="auto"/>
        <w:rPr>
          <w:rFonts w:ascii="Calibri" w:hAnsi="Calibri" w:cs="Calibri"/>
        </w:rPr>
      </w:pPr>
    </w:p>
    <w:p w14:paraId="264ECAF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4F">
          <v:shape id="_x0000_i1039" type="#_x0000_t75" style="width:270.75pt;height:20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429702070" r:id="rId38"/>
        </w:object>
      </w:r>
    </w:p>
    <w:p w14:paraId="264ECAF5" w14:textId="77777777" w:rsidR="00771DF6" w:rsidRPr="00771DF6" w:rsidRDefault="00771DF6" w:rsidP="00771DF6">
      <w:pPr>
        <w:spacing w:line="360" w:lineRule="auto"/>
        <w:jc w:val="center"/>
        <w:rPr>
          <w:rFonts w:ascii="Calibri" w:hAnsi="Calibri" w:cs="Calibri"/>
        </w:rPr>
      </w:pPr>
    </w:p>
    <w:p w14:paraId="264ECAF6"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Growth in Female Employment is in Health Care and Social Assistance</w:t>
      </w:r>
    </w:p>
    <w:p w14:paraId="264ECAF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ABS, Census of Population and Housing, Usual Residence, 2006 &amp; 2011</w:t>
      </w:r>
      <w:r w:rsidRPr="00771DF6">
        <w:rPr>
          <w:rFonts w:ascii="Calibri" w:hAnsi="Calibri" w:cs="Calibri"/>
          <w:kern w:val="24"/>
        </w:rPr>
        <w:t xml:space="preserve"> </w:t>
      </w:r>
    </w:p>
    <w:p w14:paraId="264ECAF8" w14:textId="77777777" w:rsidR="00771DF6" w:rsidRPr="00771DF6" w:rsidRDefault="00771DF6" w:rsidP="00771DF6">
      <w:pPr>
        <w:autoSpaceDE w:val="0"/>
        <w:autoSpaceDN w:val="0"/>
        <w:adjustRightInd w:val="0"/>
        <w:rPr>
          <w:rFonts w:ascii="Calibri" w:hAnsi="Calibri" w:cs="Calibri"/>
          <w:kern w:val="24"/>
        </w:rPr>
      </w:pPr>
    </w:p>
    <w:p w14:paraId="264ECAF9"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Be</w:t>
      </w:r>
      <w:r w:rsidR="00AF45DA">
        <w:rPr>
          <w:rFonts w:ascii="Calibri" w:hAnsi="Calibri" w:cs="Calibri"/>
          <w:kern w:val="24"/>
        </w:rPr>
        <w:t xml:space="preserve">tween the 2006 and 2011 </w:t>
      </w:r>
      <w:r w:rsidRPr="00771DF6">
        <w:rPr>
          <w:rFonts w:ascii="Calibri" w:hAnsi="Calibri" w:cs="Calibri"/>
          <w:kern w:val="24"/>
        </w:rPr>
        <w:t>the largest increase in female employment was in the Health Care and Social Assistance Industry.</w:t>
      </w:r>
    </w:p>
    <w:p w14:paraId="264ECAFA" w14:textId="77777777" w:rsidR="00153C72" w:rsidRPr="00771DF6" w:rsidRDefault="00153C72" w:rsidP="00771DF6">
      <w:pPr>
        <w:autoSpaceDE w:val="0"/>
        <w:autoSpaceDN w:val="0"/>
        <w:adjustRightInd w:val="0"/>
        <w:rPr>
          <w:rFonts w:ascii="Calibri" w:hAnsi="Calibri" w:cs="Calibri"/>
          <w:kern w:val="24"/>
        </w:rPr>
      </w:pPr>
    </w:p>
    <w:p w14:paraId="264ECAF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Registered nurses were the largest employing occupation for females in the PEA, however Aged and Disabled Carers experienced the highest growth over the 5 year period.</w:t>
      </w:r>
    </w:p>
    <w:p w14:paraId="264ECAFC" w14:textId="77777777" w:rsidR="00771DF6" w:rsidRPr="00771DF6" w:rsidRDefault="00771DF6" w:rsidP="00771DF6">
      <w:pPr>
        <w:autoSpaceDE w:val="0"/>
        <w:autoSpaceDN w:val="0"/>
        <w:adjustRightInd w:val="0"/>
        <w:rPr>
          <w:rFonts w:ascii="Calibri" w:hAnsi="Calibri" w:cs="Calibri"/>
          <w:kern w:val="24"/>
        </w:rPr>
      </w:pPr>
    </w:p>
    <w:p w14:paraId="264ECAFD" w14:textId="77777777" w:rsidR="00771DF6" w:rsidRPr="00771DF6" w:rsidRDefault="00771DF6" w:rsidP="00771DF6">
      <w:pPr>
        <w:autoSpaceDE w:val="0"/>
        <w:autoSpaceDN w:val="0"/>
        <w:adjustRightInd w:val="0"/>
        <w:rPr>
          <w:rFonts w:ascii="Calibri" w:hAnsi="Calibri" w:cs="Calibri"/>
          <w:i/>
          <w:iCs/>
          <w:kern w:val="24"/>
        </w:rPr>
      </w:pPr>
    </w:p>
    <w:p w14:paraId="264ECAFE" w14:textId="77777777" w:rsidR="00771DF6" w:rsidRPr="00771DF6" w:rsidRDefault="00771DF6" w:rsidP="00771DF6">
      <w:pPr>
        <w:autoSpaceDE w:val="0"/>
        <w:autoSpaceDN w:val="0"/>
        <w:adjustRightInd w:val="0"/>
        <w:rPr>
          <w:rFonts w:ascii="Calibri" w:hAnsi="Calibri" w:cs="Calibri"/>
          <w:kern w:val="24"/>
        </w:rPr>
      </w:pPr>
    </w:p>
    <w:p w14:paraId="264ECAFF" w14:textId="77777777" w:rsidR="00771DF6" w:rsidRPr="00771DF6" w:rsidRDefault="00771DF6" w:rsidP="00771DF6">
      <w:pPr>
        <w:autoSpaceDE w:val="0"/>
        <w:autoSpaceDN w:val="0"/>
        <w:adjustRightInd w:val="0"/>
        <w:rPr>
          <w:rFonts w:ascii="Calibri" w:hAnsi="Calibri" w:cs="Calibri"/>
        </w:rPr>
      </w:pPr>
    </w:p>
    <w:p w14:paraId="264ECB00" w14:textId="77777777" w:rsidR="00771DF6" w:rsidRPr="00771DF6" w:rsidRDefault="00771DF6" w:rsidP="00771DF6">
      <w:pPr>
        <w:spacing w:line="360" w:lineRule="auto"/>
        <w:rPr>
          <w:rFonts w:ascii="Calibri" w:hAnsi="Calibri" w:cs="Calibri"/>
        </w:rPr>
      </w:pPr>
    </w:p>
    <w:p w14:paraId="264ECB01" w14:textId="77777777" w:rsidR="00771DF6" w:rsidRPr="00771DF6" w:rsidRDefault="00771DF6">
      <w:pPr>
        <w:rPr>
          <w:rFonts w:ascii="Calibri" w:hAnsi="Calibri" w:cs="Calibri"/>
        </w:rPr>
      </w:pPr>
      <w:r w:rsidRPr="00771DF6">
        <w:rPr>
          <w:rFonts w:ascii="Calibri" w:hAnsi="Calibri" w:cs="Calibri"/>
        </w:rPr>
        <w:br w:type="page"/>
      </w:r>
    </w:p>
    <w:p w14:paraId="264ECB0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16</w:t>
      </w:r>
    </w:p>
    <w:p w14:paraId="264ECB03" w14:textId="77777777" w:rsidR="00771DF6" w:rsidRPr="00771DF6" w:rsidRDefault="00771DF6" w:rsidP="00771DF6">
      <w:pPr>
        <w:spacing w:line="360" w:lineRule="auto"/>
        <w:rPr>
          <w:rFonts w:ascii="Calibri" w:hAnsi="Calibri" w:cs="Calibri"/>
        </w:rPr>
      </w:pPr>
    </w:p>
    <w:p w14:paraId="264ECB0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0">
          <v:shape id="_x0000_i1040" type="#_x0000_t75" style="width:270.75pt;height:20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0" DrawAspect="Content" ObjectID="_1429702071" r:id="rId40"/>
        </w:object>
      </w:r>
    </w:p>
    <w:p w14:paraId="264ECB05" w14:textId="77777777" w:rsidR="00771DF6" w:rsidRPr="00771DF6" w:rsidRDefault="00771DF6" w:rsidP="00771DF6">
      <w:pPr>
        <w:spacing w:line="360" w:lineRule="auto"/>
        <w:jc w:val="center"/>
        <w:rPr>
          <w:rFonts w:ascii="Calibri" w:hAnsi="Calibri" w:cs="Calibri"/>
        </w:rPr>
      </w:pPr>
    </w:p>
    <w:p w14:paraId="264ECB06"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Weaker Labour Market Outcomes for Indigenous Working Age Population</w:t>
      </w:r>
    </w:p>
    <w:p w14:paraId="264ECB0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xml:space="preserve">Source: ABS, Census of Population and Housing, Usual Residence, 2011 </w:t>
      </w:r>
    </w:p>
    <w:p w14:paraId="264ECB08" w14:textId="77777777" w:rsidR="00771DF6" w:rsidRPr="00771DF6" w:rsidRDefault="00771DF6" w:rsidP="00771DF6">
      <w:pPr>
        <w:autoSpaceDE w:val="0"/>
        <w:autoSpaceDN w:val="0"/>
        <w:adjustRightInd w:val="0"/>
        <w:rPr>
          <w:rFonts w:ascii="Calibri" w:hAnsi="Calibri" w:cs="Calibri"/>
          <w:kern w:val="24"/>
        </w:rPr>
      </w:pPr>
    </w:p>
    <w:p w14:paraId="264ECB09"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the time of the 2011 Census, the Cherbourg SLA had the largest Indigenous population in the Region (98 per cent of the working age population) and had an unemployment rate of 35.4</w:t>
      </w:r>
      <w:r w:rsidR="00AF45DA">
        <w:rPr>
          <w:rFonts w:ascii="Calibri" w:hAnsi="Calibri" w:cs="Calibri"/>
          <w:kern w:val="24"/>
        </w:rPr>
        <w:t> </w:t>
      </w:r>
      <w:r w:rsidRPr="00771DF6">
        <w:rPr>
          <w:rFonts w:ascii="Calibri" w:hAnsi="Calibri" w:cs="Calibri"/>
          <w:kern w:val="24"/>
        </w:rPr>
        <w:t>per</w:t>
      </w:r>
      <w:r w:rsidR="00AF45DA">
        <w:rPr>
          <w:rFonts w:ascii="Calibri" w:hAnsi="Calibri" w:cs="Calibri"/>
          <w:kern w:val="24"/>
        </w:rPr>
        <w:t> </w:t>
      </w:r>
      <w:r w:rsidRPr="00771DF6">
        <w:rPr>
          <w:rFonts w:ascii="Calibri" w:hAnsi="Calibri" w:cs="Calibri"/>
          <w:kern w:val="24"/>
        </w:rPr>
        <w:t>cent.</w:t>
      </w:r>
    </w:p>
    <w:p w14:paraId="264ECB0A" w14:textId="77777777" w:rsidR="00771DF6" w:rsidRPr="00771DF6" w:rsidRDefault="00771DF6" w:rsidP="00771DF6">
      <w:pPr>
        <w:autoSpaceDE w:val="0"/>
        <w:autoSpaceDN w:val="0"/>
        <w:adjustRightInd w:val="0"/>
        <w:rPr>
          <w:rFonts w:ascii="Calibri" w:hAnsi="Calibri" w:cs="Calibri"/>
          <w:kern w:val="24"/>
        </w:rPr>
      </w:pPr>
    </w:p>
    <w:p w14:paraId="264ECB0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In the Southern Wide Bay-Burnett PEA, the unemployment rate for Indigenous residents was 26.2 per cent, over 3 times the unemployment rate for non-Indigenous residents (8.0 per cent). </w:t>
      </w:r>
    </w:p>
    <w:p w14:paraId="264ECB0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B0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proportion of the working age population participating in the labour market was much lower for Indigenous residents in the PEA (47.5 per cent</w:t>
      </w:r>
      <w:r w:rsidR="00AF45DA">
        <w:rPr>
          <w:rFonts w:ascii="Calibri" w:hAnsi="Calibri" w:cs="Calibri"/>
          <w:kern w:val="24"/>
        </w:rPr>
        <w:t>)</w:t>
      </w:r>
      <w:r w:rsidRPr="00771DF6">
        <w:rPr>
          <w:rFonts w:ascii="Calibri" w:hAnsi="Calibri" w:cs="Calibri"/>
          <w:kern w:val="24"/>
        </w:rPr>
        <w:t xml:space="preserve"> compared with 66.1 per ce</w:t>
      </w:r>
      <w:r w:rsidR="00AF45DA">
        <w:rPr>
          <w:rFonts w:ascii="Calibri" w:hAnsi="Calibri" w:cs="Calibri"/>
          <w:kern w:val="24"/>
        </w:rPr>
        <w:t>nt for non-Indigenous residents</w:t>
      </w:r>
      <w:r w:rsidRPr="00771DF6">
        <w:rPr>
          <w:rFonts w:ascii="Calibri" w:hAnsi="Calibri" w:cs="Calibri"/>
          <w:kern w:val="24"/>
        </w:rPr>
        <w:t xml:space="preserve">. </w:t>
      </w:r>
    </w:p>
    <w:p w14:paraId="264ECB0E" w14:textId="77777777" w:rsidR="00771DF6" w:rsidRPr="00771DF6" w:rsidRDefault="00771DF6" w:rsidP="00771DF6">
      <w:pPr>
        <w:autoSpaceDE w:val="0"/>
        <w:autoSpaceDN w:val="0"/>
        <w:adjustRightInd w:val="0"/>
        <w:rPr>
          <w:rFonts w:ascii="Calibri" w:hAnsi="Calibri" w:cs="Calibri"/>
          <w:kern w:val="24"/>
        </w:rPr>
      </w:pPr>
    </w:p>
    <w:p w14:paraId="264ECB0F" w14:textId="77777777" w:rsidR="00771DF6" w:rsidRPr="00771DF6" w:rsidRDefault="00771DF6" w:rsidP="00771DF6">
      <w:pPr>
        <w:autoSpaceDE w:val="0"/>
        <w:autoSpaceDN w:val="0"/>
        <w:adjustRightInd w:val="0"/>
        <w:rPr>
          <w:rFonts w:ascii="Calibri" w:hAnsi="Calibri" w:cs="Calibri"/>
          <w:kern w:val="24"/>
        </w:rPr>
      </w:pPr>
    </w:p>
    <w:p w14:paraId="264ECB10" w14:textId="77777777" w:rsidR="00771DF6" w:rsidRPr="00771DF6" w:rsidRDefault="00771DF6" w:rsidP="00771DF6">
      <w:pPr>
        <w:autoSpaceDE w:val="0"/>
        <w:autoSpaceDN w:val="0"/>
        <w:adjustRightInd w:val="0"/>
        <w:rPr>
          <w:rFonts w:ascii="Calibri" w:hAnsi="Calibri" w:cs="Calibri"/>
        </w:rPr>
      </w:pPr>
    </w:p>
    <w:p w14:paraId="264ECB11" w14:textId="77777777" w:rsidR="00771DF6" w:rsidRPr="00771DF6" w:rsidRDefault="00771DF6" w:rsidP="00771DF6">
      <w:pPr>
        <w:spacing w:line="360" w:lineRule="auto"/>
        <w:rPr>
          <w:rFonts w:ascii="Calibri" w:hAnsi="Calibri" w:cs="Calibri"/>
        </w:rPr>
      </w:pPr>
    </w:p>
    <w:p w14:paraId="264ECB12" w14:textId="77777777" w:rsidR="00771DF6" w:rsidRPr="00771DF6" w:rsidRDefault="00771DF6">
      <w:pPr>
        <w:rPr>
          <w:rFonts w:ascii="Calibri" w:hAnsi="Calibri" w:cs="Calibri"/>
        </w:rPr>
      </w:pPr>
      <w:r w:rsidRPr="00771DF6">
        <w:rPr>
          <w:rFonts w:ascii="Calibri" w:hAnsi="Calibri" w:cs="Calibri"/>
        </w:rPr>
        <w:br w:type="page"/>
      </w:r>
    </w:p>
    <w:p w14:paraId="264ECB13"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17</w:t>
      </w:r>
    </w:p>
    <w:p w14:paraId="264ECB14" w14:textId="77777777" w:rsidR="00771DF6" w:rsidRPr="00771DF6" w:rsidRDefault="00771DF6" w:rsidP="00771DF6">
      <w:pPr>
        <w:spacing w:line="360" w:lineRule="auto"/>
        <w:rPr>
          <w:rFonts w:ascii="Calibri" w:hAnsi="Calibri" w:cs="Calibri"/>
        </w:rPr>
      </w:pPr>
    </w:p>
    <w:p w14:paraId="264ECB15"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1">
          <v:shape id="_x0000_i1041" type="#_x0000_t75" style="width:270.75pt;height:202.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1" DrawAspect="Content" ObjectID="_1429702072" r:id="rId42"/>
        </w:object>
      </w:r>
    </w:p>
    <w:p w14:paraId="264ECB16" w14:textId="77777777" w:rsidR="00771DF6" w:rsidRPr="00771DF6" w:rsidRDefault="00771DF6" w:rsidP="00771DF6">
      <w:pPr>
        <w:spacing w:line="360" w:lineRule="auto"/>
        <w:jc w:val="center"/>
        <w:rPr>
          <w:rFonts w:ascii="Calibri" w:hAnsi="Calibri" w:cs="Calibri"/>
        </w:rPr>
      </w:pPr>
    </w:p>
    <w:p w14:paraId="264ECB17"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Jobless Families (with children aged less than 15 years)</w:t>
      </w:r>
    </w:p>
    <w:p w14:paraId="264ECB18"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p>
    <w:p w14:paraId="264ECB19" w14:textId="77777777" w:rsidR="00771DF6" w:rsidRPr="00771DF6" w:rsidRDefault="00771DF6" w:rsidP="00771DF6">
      <w:pPr>
        <w:autoSpaceDE w:val="0"/>
        <w:autoSpaceDN w:val="0"/>
        <w:adjustRightInd w:val="0"/>
        <w:rPr>
          <w:rFonts w:ascii="Calibri" w:hAnsi="Calibri" w:cs="Calibri"/>
          <w:kern w:val="24"/>
          <w:u w:val="single"/>
        </w:rPr>
      </w:pPr>
    </w:p>
    <w:p w14:paraId="264ECB1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Jobless families are families (with children under 15 years of age) where no parent is employed. Some 27 per cent of families in the Southern Wide Bay-Burnett PEA did not have an emplo</w:t>
      </w:r>
      <w:r w:rsidR="005A63D1">
        <w:rPr>
          <w:rFonts w:ascii="Calibri" w:hAnsi="Calibri" w:cs="Calibri"/>
          <w:kern w:val="24"/>
        </w:rPr>
        <w:t>yed parent, a figure much higher</w:t>
      </w:r>
      <w:r w:rsidRPr="00771DF6">
        <w:rPr>
          <w:rFonts w:ascii="Calibri" w:hAnsi="Calibri" w:cs="Calibri"/>
          <w:kern w:val="24"/>
        </w:rPr>
        <w:t xml:space="preserve"> than the figures for Queensland and Australia (both 14 per cent). </w:t>
      </w:r>
    </w:p>
    <w:p w14:paraId="264ECB1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High proportions of jobles</w:t>
      </w:r>
      <w:r w:rsidR="005A63D1">
        <w:rPr>
          <w:rFonts w:ascii="Calibri" w:hAnsi="Calibri" w:cs="Calibri"/>
          <w:kern w:val="24"/>
        </w:rPr>
        <w:t>s families with children were seen</w:t>
      </w:r>
      <w:r w:rsidR="00153C72">
        <w:rPr>
          <w:rFonts w:ascii="Calibri" w:hAnsi="Calibri" w:cs="Calibri"/>
          <w:kern w:val="24"/>
        </w:rPr>
        <w:t xml:space="preserve"> in the Tiaro and Nanango SLAs (</w:t>
      </w:r>
      <w:r w:rsidRPr="00771DF6">
        <w:rPr>
          <w:rFonts w:ascii="Calibri" w:hAnsi="Calibri" w:cs="Calibri"/>
          <w:kern w:val="24"/>
        </w:rPr>
        <w:t>34</w:t>
      </w:r>
      <w:r w:rsidR="00153C72">
        <w:rPr>
          <w:rFonts w:ascii="Calibri" w:hAnsi="Calibri" w:cs="Calibri"/>
          <w:kern w:val="24"/>
        </w:rPr>
        <w:t> </w:t>
      </w:r>
      <w:r w:rsidRPr="00771DF6">
        <w:rPr>
          <w:rFonts w:ascii="Calibri" w:hAnsi="Calibri" w:cs="Calibri"/>
          <w:kern w:val="24"/>
        </w:rPr>
        <w:t>and 33 per cent respectively</w:t>
      </w:r>
      <w:r w:rsidR="00153C72">
        <w:rPr>
          <w:rFonts w:ascii="Calibri" w:hAnsi="Calibri" w:cs="Calibri"/>
          <w:kern w:val="24"/>
        </w:rPr>
        <w:t>)</w:t>
      </w:r>
      <w:r w:rsidRPr="00771DF6">
        <w:rPr>
          <w:rFonts w:ascii="Calibri" w:hAnsi="Calibri" w:cs="Calibri"/>
          <w:kern w:val="24"/>
        </w:rPr>
        <w:t xml:space="preserve">. </w:t>
      </w:r>
    </w:p>
    <w:p w14:paraId="264ECB1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B1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proportion of jobless couple families was also higher in the PEA (13 per cent) compared with Queensland and Australia (both 5 per cent). In the PEA, 3 out of 5 lon</w:t>
      </w:r>
      <w:r w:rsidR="005A63D1">
        <w:rPr>
          <w:rFonts w:ascii="Calibri" w:hAnsi="Calibri" w:cs="Calibri"/>
          <w:kern w:val="24"/>
        </w:rPr>
        <w:t>e parent families were jobless.</w:t>
      </w:r>
    </w:p>
    <w:p w14:paraId="264ECB1E" w14:textId="77777777" w:rsidR="00771DF6" w:rsidRPr="00771DF6" w:rsidRDefault="00771DF6" w:rsidP="00771DF6">
      <w:pPr>
        <w:autoSpaceDE w:val="0"/>
        <w:autoSpaceDN w:val="0"/>
        <w:adjustRightInd w:val="0"/>
        <w:rPr>
          <w:rFonts w:ascii="Calibri" w:hAnsi="Calibri" w:cs="Calibri"/>
          <w:kern w:val="24"/>
        </w:rPr>
      </w:pPr>
    </w:p>
    <w:p w14:paraId="264ECB1F"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Nationally, 40 per cent (or 259,200) of all families with dependent children under 16 on income support payments are persistently jobless (16 March 2012). 85 per cent of these persistently jobless families are single parent jobless families.</w:t>
      </w:r>
    </w:p>
    <w:p w14:paraId="264ECB20"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B21"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Of all persistently jobless families, 55 per cent (142,100) are very persistently jobless for three years (16 March 2009 -16 March 2012). </w:t>
      </w:r>
    </w:p>
    <w:p w14:paraId="264ECB22"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w:t>
      </w:r>
    </w:p>
    <w:p w14:paraId="264ECB23" w14:textId="77777777" w:rsid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A ‘persistently jobless family’ is defined by the Department of Education, Employment and Workplace Relations (DEEWR) as a family with at least one dependent child under the age of 16 where all parents (partnered or single) are on income support and have no reported earnings in the previous year.</w:t>
      </w:r>
    </w:p>
    <w:p w14:paraId="264ECB24" w14:textId="77777777" w:rsidR="00153C72" w:rsidRPr="00771DF6" w:rsidRDefault="00153C72" w:rsidP="00771DF6">
      <w:pPr>
        <w:autoSpaceDE w:val="0"/>
        <w:autoSpaceDN w:val="0"/>
        <w:adjustRightInd w:val="0"/>
        <w:rPr>
          <w:rFonts w:ascii="Calibri" w:hAnsi="Calibri" w:cs="Calibri"/>
          <w:kern w:val="24"/>
        </w:rPr>
      </w:pPr>
    </w:p>
    <w:p w14:paraId="264ECB2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 xml:space="preserve">A ‘very persistently jobless family’ is defined by DEEWR as a family with at least one dependent child under the age of 16 where all parents (partnered or single) are on income support and have no reported earnings in the previous 3 years. </w:t>
      </w:r>
    </w:p>
    <w:p w14:paraId="264ECB26" w14:textId="77777777" w:rsidR="00771DF6" w:rsidRPr="00771DF6" w:rsidRDefault="00771DF6" w:rsidP="00153C72">
      <w:pPr>
        <w:autoSpaceDE w:val="0"/>
        <w:autoSpaceDN w:val="0"/>
        <w:adjustRightInd w:val="0"/>
        <w:rPr>
          <w:rFonts w:ascii="Calibri" w:hAnsi="Calibri" w:cs="Calibri"/>
        </w:rPr>
      </w:pPr>
      <w:r w:rsidRPr="00771DF6">
        <w:rPr>
          <w:rFonts w:ascii="Calibri" w:hAnsi="Calibri" w:cs="Calibri"/>
          <w:kern w:val="24"/>
        </w:rPr>
        <w:lastRenderedPageBreak/>
        <w:t> </w:t>
      </w:r>
      <w:r w:rsidRPr="00771DF6">
        <w:rPr>
          <w:rFonts w:ascii="Calibri" w:hAnsi="Calibri" w:cs="Calibri"/>
        </w:rPr>
        <w:t>Slide 18</w:t>
      </w:r>
    </w:p>
    <w:p w14:paraId="264ECB27" w14:textId="77777777" w:rsidR="00771DF6" w:rsidRPr="00771DF6" w:rsidRDefault="00771DF6" w:rsidP="00771DF6">
      <w:pPr>
        <w:spacing w:line="360" w:lineRule="auto"/>
        <w:rPr>
          <w:rFonts w:ascii="Calibri" w:hAnsi="Calibri" w:cs="Calibri"/>
        </w:rPr>
      </w:pPr>
    </w:p>
    <w:p w14:paraId="264ECB28"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2">
          <v:shape id="_x0000_i1042" type="#_x0000_t75" style="width:270.75pt;height:20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2" DrawAspect="Content" ObjectID="_1429702073" r:id="rId44"/>
        </w:object>
      </w:r>
    </w:p>
    <w:p w14:paraId="264ECB29" w14:textId="77777777" w:rsidR="00771DF6" w:rsidRPr="00771DF6" w:rsidRDefault="00771DF6" w:rsidP="00771DF6">
      <w:pPr>
        <w:spacing w:line="360" w:lineRule="auto"/>
        <w:jc w:val="center"/>
        <w:rPr>
          <w:rFonts w:ascii="Calibri" w:hAnsi="Calibri" w:cs="Calibri"/>
        </w:rPr>
      </w:pPr>
    </w:p>
    <w:p w14:paraId="264ECB2A"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High Levels of Disengagement Amongst Young Adults (20-24 year olds)</w:t>
      </w:r>
    </w:p>
    <w:p w14:paraId="264ECB2B"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p>
    <w:p w14:paraId="264ECB2C" w14:textId="77777777" w:rsidR="00771DF6" w:rsidRPr="00771DF6" w:rsidRDefault="00771DF6" w:rsidP="00771DF6">
      <w:pPr>
        <w:autoSpaceDE w:val="0"/>
        <w:autoSpaceDN w:val="0"/>
        <w:adjustRightInd w:val="0"/>
        <w:rPr>
          <w:rFonts w:ascii="Calibri" w:hAnsi="Calibri" w:cs="Calibri"/>
          <w:kern w:val="24"/>
        </w:rPr>
      </w:pPr>
    </w:p>
    <w:p w14:paraId="264ECB2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At the time of the 2011 Census, 30 per cent of young adults (persons aged 20 to 24 years) in the Southern Wide Bay-Burnett PEA were neither working nor studying. This figure was notably higher when compared with Queensland (15 per cent). </w:t>
      </w:r>
    </w:p>
    <w:p w14:paraId="264ECB2E" w14:textId="77777777" w:rsidR="00771DF6" w:rsidRPr="00771DF6" w:rsidRDefault="00771DF6" w:rsidP="00771DF6">
      <w:pPr>
        <w:autoSpaceDE w:val="0"/>
        <w:autoSpaceDN w:val="0"/>
        <w:adjustRightInd w:val="0"/>
        <w:rPr>
          <w:rFonts w:ascii="Calibri" w:hAnsi="Calibri" w:cs="Calibri"/>
          <w:kern w:val="24"/>
        </w:rPr>
      </w:pPr>
    </w:p>
    <w:p w14:paraId="264ECB2F"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For young adult males in the PEA, 13 per cent were not in the labour force and not studying</w:t>
      </w:r>
      <w:r w:rsidR="005A63D1">
        <w:rPr>
          <w:rFonts w:ascii="Calibri" w:hAnsi="Calibri" w:cs="Calibri"/>
          <w:kern w:val="24"/>
        </w:rPr>
        <w:t>. A</w:t>
      </w:r>
      <w:r w:rsidRPr="00771DF6">
        <w:rPr>
          <w:rFonts w:ascii="Calibri" w:hAnsi="Calibri" w:cs="Calibri"/>
          <w:kern w:val="24"/>
        </w:rPr>
        <w:t xml:space="preserve"> further 11 per cent were unemployed and not studying. </w:t>
      </w:r>
    </w:p>
    <w:p w14:paraId="264ECB30" w14:textId="77777777" w:rsidR="00771DF6" w:rsidRPr="00771DF6" w:rsidRDefault="00771DF6" w:rsidP="00771DF6">
      <w:pPr>
        <w:autoSpaceDE w:val="0"/>
        <w:autoSpaceDN w:val="0"/>
        <w:adjustRightInd w:val="0"/>
        <w:rPr>
          <w:rFonts w:ascii="Calibri" w:hAnsi="Calibri" w:cs="Calibri"/>
          <w:kern w:val="24"/>
        </w:rPr>
      </w:pPr>
    </w:p>
    <w:p w14:paraId="264ECB31"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For young adult females in the PEA, 28 per cent were not in the la</w:t>
      </w:r>
      <w:r w:rsidR="005A63D1">
        <w:rPr>
          <w:rFonts w:ascii="Calibri" w:hAnsi="Calibri" w:cs="Calibri"/>
          <w:kern w:val="24"/>
        </w:rPr>
        <w:t>bour force and not studying. A</w:t>
      </w:r>
      <w:r w:rsidRPr="00771DF6">
        <w:rPr>
          <w:rFonts w:ascii="Calibri" w:hAnsi="Calibri" w:cs="Calibri"/>
          <w:kern w:val="24"/>
        </w:rPr>
        <w:t xml:space="preserve"> further 8 per cent were unemployed and not studying. </w:t>
      </w:r>
    </w:p>
    <w:p w14:paraId="264ECB32" w14:textId="77777777" w:rsidR="00771DF6" w:rsidRPr="00771DF6" w:rsidRDefault="00771DF6" w:rsidP="00771DF6">
      <w:pPr>
        <w:autoSpaceDE w:val="0"/>
        <w:autoSpaceDN w:val="0"/>
        <w:adjustRightInd w:val="0"/>
        <w:rPr>
          <w:rFonts w:ascii="Calibri" w:hAnsi="Calibri" w:cs="Calibri"/>
        </w:rPr>
      </w:pPr>
    </w:p>
    <w:p w14:paraId="264ECB33" w14:textId="77777777" w:rsidR="00771DF6" w:rsidRPr="00771DF6" w:rsidRDefault="00771DF6" w:rsidP="00771DF6">
      <w:pPr>
        <w:spacing w:line="360" w:lineRule="auto"/>
        <w:rPr>
          <w:rFonts w:ascii="Calibri" w:hAnsi="Calibri" w:cs="Calibri"/>
        </w:rPr>
      </w:pPr>
    </w:p>
    <w:p w14:paraId="264ECB34" w14:textId="77777777" w:rsidR="00771DF6" w:rsidRPr="00771DF6" w:rsidRDefault="00771DF6">
      <w:pPr>
        <w:rPr>
          <w:rFonts w:ascii="Calibri" w:hAnsi="Calibri" w:cs="Calibri"/>
        </w:rPr>
      </w:pPr>
      <w:r w:rsidRPr="00771DF6">
        <w:rPr>
          <w:rFonts w:ascii="Calibri" w:hAnsi="Calibri" w:cs="Calibri"/>
        </w:rPr>
        <w:br w:type="page"/>
      </w:r>
    </w:p>
    <w:p w14:paraId="264ECB35"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19</w:t>
      </w:r>
    </w:p>
    <w:p w14:paraId="264ECB36" w14:textId="77777777" w:rsidR="00771DF6" w:rsidRPr="00771DF6" w:rsidRDefault="00771DF6" w:rsidP="00771DF6">
      <w:pPr>
        <w:spacing w:line="360" w:lineRule="auto"/>
        <w:rPr>
          <w:rFonts w:ascii="Calibri" w:hAnsi="Calibri" w:cs="Calibri"/>
        </w:rPr>
      </w:pPr>
    </w:p>
    <w:p w14:paraId="264ECB37"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3">
          <v:shape id="_x0000_i1043" type="#_x0000_t75" style="width:270.75pt;height:202.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3" DrawAspect="Content" ObjectID="_1429702074" r:id="rId46"/>
        </w:object>
      </w:r>
    </w:p>
    <w:p w14:paraId="264ECB38" w14:textId="77777777" w:rsidR="00771DF6" w:rsidRPr="00771DF6" w:rsidRDefault="00771DF6" w:rsidP="00771DF6">
      <w:pPr>
        <w:spacing w:line="360" w:lineRule="auto"/>
        <w:jc w:val="center"/>
        <w:rPr>
          <w:rFonts w:ascii="Calibri" w:hAnsi="Calibri" w:cs="Calibri"/>
        </w:rPr>
      </w:pPr>
    </w:p>
    <w:p w14:paraId="264ECB39"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Educational Attainment</w:t>
      </w:r>
      <w:r w:rsidR="00265EDA">
        <w:rPr>
          <w:rFonts w:ascii="Calibri" w:hAnsi="Calibri" w:cs="Calibri"/>
          <w:b/>
          <w:bCs/>
          <w:kern w:val="24"/>
          <w:u w:val="single"/>
        </w:rPr>
        <w:t xml:space="preserve"> (persons aged 25-34 years)</w:t>
      </w:r>
    </w:p>
    <w:p w14:paraId="264ECB3A"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p>
    <w:p w14:paraId="264ECB3B" w14:textId="77777777" w:rsidR="00771DF6" w:rsidRPr="00771DF6" w:rsidRDefault="00771DF6" w:rsidP="00771DF6">
      <w:pPr>
        <w:autoSpaceDE w:val="0"/>
        <w:autoSpaceDN w:val="0"/>
        <w:adjustRightInd w:val="0"/>
        <w:rPr>
          <w:rFonts w:ascii="Calibri" w:hAnsi="Calibri" w:cs="Calibri"/>
          <w:i/>
          <w:iCs/>
          <w:kern w:val="24"/>
        </w:rPr>
      </w:pPr>
    </w:p>
    <w:p w14:paraId="264ECB3C" w14:textId="77777777" w:rsidR="0038306E" w:rsidRPr="00771DF6" w:rsidRDefault="0038306E" w:rsidP="0038306E">
      <w:pPr>
        <w:autoSpaceDE w:val="0"/>
        <w:autoSpaceDN w:val="0"/>
        <w:adjustRightInd w:val="0"/>
        <w:rPr>
          <w:rFonts w:ascii="Calibri" w:hAnsi="Calibri" w:cs="Calibri"/>
          <w:kern w:val="24"/>
        </w:rPr>
      </w:pPr>
      <w:r w:rsidRPr="00771DF6">
        <w:rPr>
          <w:rFonts w:ascii="Calibri" w:hAnsi="Calibri" w:cs="Calibri"/>
          <w:kern w:val="24"/>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14:paraId="264ECB3D" w14:textId="77777777" w:rsidR="0038306E" w:rsidRDefault="0038306E" w:rsidP="00771DF6">
      <w:pPr>
        <w:autoSpaceDE w:val="0"/>
        <w:autoSpaceDN w:val="0"/>
        <w:adjustRightInd w:val="0"/>
        <w:rPr>
          <w:rFonts w:ascii="Calibri" w:hAnsi="Calibri" w:cs="Calibri"/>
          <w:kern w:val="24"/>
        </w:rPr>
      </w:pPr>
    </w:p>
    <w:p w14:paraId="264ECB3E"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At the time of the 2011 Census, the proportion of 25 to 34 year olds in the Southern Wide Bay-Burnett PEA who had completed Year 12 or equivalent was 54 per cent. This was considerably lower than for Queensland (74 per cent) and Australia (75 per cent).</w:t>
      </w:r>
    </w:p>
    <w:p w14:paraId="264ECB3F" w14:textId="77777777" w:rsidR="00771DF6" w:rsidRPr="00771DF6" w:rsidRDefault="00771DF6" w:rsidP="00771DF6">
      <w:pPr>
        <w:autoSpaceDE w:val="0"/>
        <w:autoSpaceDN w:val="0"/>
        <w:adjustRightInd w:val="0"/>
        <w:rPr>
          <w:rFonts w:ascii="Calibri" w:hAnsi="Calibri" w:cs="Calibri"/>
          <w:i/>
          <w:iCs/>
          <w:kern w:val="24"/>
        </w:rPr>
      </w:pPr>
    </w:p>
    <w:p w14:paraId="264ECB40"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kern w:val="24"/>
        </w:rPr>
        <w:t>At the time of the 2011 Census, the proportion of 25 to 34 year olds who had attained an Advanced Diploma, Diploma or Certificate level III or IV in the PEA (34 per cent) was higher than the state and national averages (32 per cent and 30 per cent re</w:t>
      </w:r>
      <w:r w:rsidR="0038306E">
        <w:rPr>
          <w:rFonts w:ascii="Calibri" w:hAnsi="Calibri" w:cs="Calibri"/>
          <w:kern w:val="24"/>
        </w:rPr>
        <w:t>spectively). T</w:t>
      </w:r>
      <w:r w:rsidRPr="00771DF6">
        <w:rPr>
          <w:rFonts w:ascii="Calibri" w:hAnsi="Calibri" w:cs="Calibri"/>
          <w:kern w:val="24"/>
        </w:rPr>
        <w:t>he proportion who</w:t>
      </w:r>
      <w:r w:rsidR="0038306E">
        <w:rPr>
          <w:rFonts w:ascii="Calibri" w:hAnsi="Calibri" w:cs="Calibri"/>
          <w:kern w:val="24"/>
        </w:rPr>
        <w:t xml:space="preserve"> </w:t>
      </w:r>
      <w:r w:rsidRPr="00771DF6">
        <w:rPr>
          <w:rFonts w:ascii="Calibri" w:hAnsi="Calibri" w:cs="Calibri"/>
          <w:kern w:val="24"/>
        </w:rPr>
        <w:t xml:space="preserve">had attained a Bachelor Degree or higher (11 per cent) was far lower than the state and national averages (29 per cent and 35 per cent respectively). </w:t>
      </w:r>
    </w:p>
    <w:p w14:paraId="264ECB41" w14:textId="77777777" w:rsidR="00771DF6" w:rsidRPr="00771DF6" w:rsidRDefault="00771DF6" w:rsidP="00771DF6">
      <w:pPr>
        <w:autoSpaceDE w:val="0"/>
        <w:autoSpaceDN w:val="0"/>
        <w:adjustRightInd w:val="0"/>
        <w:rPr>
          <w:rFonts w:ascii="Calibri" w:hAnsi="Calibri" w:cs="Calibri"/>
        </w:rPr>
      </w:pPr>
    </w:p>
    <w:p w14:paraId="264ECB42" w14:textId="77777777" w:rsidR="00771DF6" w:rsidRPr="00771DF6" w:rsidRDefault="00771DF6" w:rsidP="00771DF6">
      <w:pPr>
        <w:spacing w:line="360" w:lineRule="auto"/>
        <w:rPr>
          <w:rFonts w:ascii="Calibri" w:hAnsi="Calibri" w:cs="Calibri"/>
        </w:rPr>
      </w:pPr>
    </w:p>
    <w:p w14:paraId="264ECB43" w14:textId="77777777" w:rsidR="00771DF6" w:rsidRPr="00771DF6" w:rsidRDefault="00771DF6">
      <w:pPr>
        <w:rPr>
          <w:rFonts w:ascii="Calibri" w:hAnsi="Calibri" w:cs="Calibri"/>
        </w:rPr>
      </w:pPr>
      <w:r w:rsidRPr="00771DF6">
        <w:rPr>
          <w:rFonts w:ascii="Calibri" w:hAnsi="Calibri" w:cs="Calibri"/>
        </w:rPr>
        <w:br w:type="page"/>
      </w:r>
    </w:p>
    <w:p w14:paraId="264ECB44"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20</w:t>
      </w:r>
    </w:p>
    <w:p w14:paraId="264ECB45" w14:textId="77777777" w:rsidR="00771DF6" w:rsidRPr="00771DF6" w:rsidRDefault="00771DF6" w:rsidP="00771DF6">
      <w:pPr>
        <w:spacing w:line="360" w:lineRule="auto"/>
        <w:rPr>
          <w:rFonts w:ascii="Calibri" w:hAnsi="Calibri" w:cs="Calibri"/>
        </w:rPr>
      </w:pPr>
    </w:p>
    <w:p w14:paraId="264ECB46"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4">
          <v:shape id="_x0000_i1044" type="#_x0000_t75" style="width:270.75pt;height:202.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4" DrawAspect="Content" ObjectID="_1429702075" r:id="rId48"/>
        </w:object>
      </w:r>
    </w:p>
    <w:p w14:paraId="264ECB47" w14:textId="77777777" w:rsidR="00771DF6" w:rsidRPr="00771DF6" w:rsidRDefault="00771DF6" w:rsidP="00771DF6">
      <w:pPr>
        <w:spacing w:line="360" w:lineRule="auto"/>
        <w:jc w:val="center"/>
        <w:rPr>
          <w:rFonts w:ascii="Calibri" w:hAnsi="Calibri" w:cs="Calibri"/>
        </w:rPr>
      </w:pPr>
    </w:p>
    <w:p w14:paraId="264ECB48"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Educational Attainment and Labour Market Outcomes</w:t>
      </w:r>
      <w:r w:rsidR="00265EDA">
        <w:rPr>
          <w:rFonts w:ascii="Calibri" w:hAnsi="Calibri" w:cs="Calibri"/>
          <w:b/>
          <w:bCs/>
          <w:kern w:val="24"/>
          <w:u w:val="single"/>
        </w:rPr>
        <w:t xml:space="preserve"> (persons aged 25-34 years)</w:t>
      </w:r>
    </w:p>
    <w:p w14:paraId="264ECB49"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ABS, Census of Population and Housing, Usual Residence, 2011</w:t>
      </w:r>
    </w:p>
    <w:p w14:paraId="264ECB4A" w14:textId="77777777" w:rsidR="00771DF6" w:rsidRPr="00771DF6" w:rsidRDefault="00771DF6" w:rsidP="00771DF6">
      <w:pPr>
        <w:autoSpaceDE w:val="0"/>
        <w:autoSpaceDN w:val="0"/>
        <w:adjustRightInd w:val="0"/>
        <w:rPr>
          <w:rFonts w:ascii="Calibri" w:hAnsi="Calibri" w:cs="Calibri"/>
          <w:i/>
          <w:iCs/>
          <w:kern w:val="24"/>
        </w:rPr>
      </w:pPr>
    </w:p>
    <w:p w14:paraId="264ECB4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There is a strong relationship between educational attainment and employment outcomes. For those aged 25 to 34 years in the Southern Wide Bay-Burnett PEA, there were high unemployment rates for those who had completed Certificate I &amp; II but had not completed Year 12 (35.5 per cent) and those who had not completed Year 12 or a post school qualification (19.1</w:t>
      </w:r>
      <w:r w:rsidR="0038306E">
        <w:rPr>
          <w:rFonts w:ascii="Calibri" w:hAnsi="Calibri" w:cs="Calibri"/>
          <w:kern w:val="24"/>
        </w:rPr>
        <w:t> </w:t>
      </w:r>
      <w:r w:rsidRPr="00771DF6">
        <w:rPr>
          <w:rFonts w:ascii="Calibri" w:hAnsi="Calibri" w:cs="Calibri"/>
          <w:kern w:val="24"/>
        </w:rPr>
        <w:t xml:space="preserve">per cent). </w:t>
      </w:r>
    </w:p>
    <w:p w14:paraId="264ECB4C" w14:textId="77777777" w:rsidR="00771DF6" w:rsidRPr="00771DF6" w:rsidRDefault="00771DF6" w:rsidP="00771DF6">
      <w:pPr>
        <w:autoSpaceDE w:val="0"/>
        <w:autoSpaceDN w:val="0"/>
        <w:adjustRightInd w:val="0"/>
        <w:rPr>
          <w:rFonts w:ascii="Calibri" w:hAnsi="Calibri" w:cs="Calibri"/>
          <w:kern w:val="24"/>
        </w:rPr>
      </w:pPr>
    </w:p>
    <w:p w14:paraId="264ECB4D"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Unemployment rates are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gaining employment. </w:t>
      </w:r>
    </w:p>
    <w:p w14:paraId="264ECB4E" w14:textId="77777777" w:rsidR="00771DF6" w:rsidRPr="00771DF6" w:rsidRDefault="00771DF6" w:rsidP="00771DF6">
      <w:pPr>
        <w:autoSpaceDE w:val="0"/>
        <w:autoSpaceDN w:val="0"/>
        <w:adjustRightInd w:val="0"/>
        <w:rPr>
          <w:rFonts w:ascii="Calibri" w:hAnsi="Calibri" w:cs="Calibri"/>
        </w:rPr>
      </w:pPr>
    </w:p>
    <w:p w14:paraId="264ECB4F" w14:textId="77777777" w:rsidR="00771DF6" w:rsidRPr="00771DF6" w:rsidRDefault="00771DF6" w:rsidP="00771DF6">
      <w:pPr>
        <w:spacing w:line="360" w:lineRule="auto"/>
        <w:rPr>
          <w:rFonts w:ascii="Calibri" w:hAnsi="Calibri" w:cs="Calibri"/>
        </w:rPr>
      </w:pPr>
    </w:p>
    <w:p w14:paraId="264ECB50" w14:textId="77777777" w:rsidR="00771DF6" w:rsidRPr="00771DF6" w:rsidRDefault="00771DF6">
      <w:pPr>
        <w:rPr>
          <w:rFonts w:ascii="Calibri" w:hAnsi="Calibri" w:cs="Calibri"/>
        </w:rPr>
      </w:pPr>
      <w:r w:rsidRPr="00771DF6">
        <w:rPr>
          <w:rFonts w:ascii="Calibri" w:hAnsi="Calibri" w:cs="Calibri"/>
        </w:rPr>
        <w:br w:type="page"/>
      </w:r>
    </w:p>
    <w:p w14:paraId="264ECB51"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21</w:t>
      </w:r>
    </w:p>
    <w:p w14:paraId="264ECB52" w14:textId="77777777" w:rsidR="00771DF6" w:rsidRPr="00771DF6" w:rsidRDefault="00771DF6" w:rsidP="00771DF6">
      <w:pPr>
        <w:spacing w:line="360" w:lineRule="auto"/>
        <w:rPr>
          <w:rFonts w:ascii="Calibri" w:hAnsi="Calibri" w:cs="Calibri"/>
        </w:rPr>
      </w:pPr>
    </w:p>
    <w:p w14:paraId="264ECB53"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5">
          <v:shape id="_x0000_i1045" type="#_x0000_t75" style="width:270.75pt;height:202.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5" DrawAspect="Content" ObjectID="_1429702076" r:id="rId50"/>
        </w:object>
      </w:r>
    </w:p>
    <w:p w14:paraId="264ECB54" w14:textId="77777777" w:rsidR="00771DF6" w:rsidRPr="00771DF6" w:rsidRDefault="00771DF6" w:rsidP="00771DF6">
      <w:pPr>
        <w:spacing w:line="360" w:lineRule="auto"/>
        <w:jc w:val="center"/>
        <w:rPr>
          <w:rFonts w:ascii="Calibri" w:hAnsi="Calibri" w:cs="Calibri"/>
        </w:rPr>
      </w:pPr>
    </w:p>
    <w:p w14:paraId="264ECB55"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What are employers saying?</w:t>
      </w:r>
    </w:p>
    <w:p w14:paraId="264ECB56"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B57" w14:textId="77777777" w:rsidR="00771DF6" w:rsidRPr="00771DF6" w:rsidRDefault="00771DF6" w:rsidP="00771DF6">
      <w:pPr>
        <w:autoSpaceDE w:val="0"/>
        <w:autoSpaceDN w:val="0"/>
        <w:adjustRightInd w:val="0"/>
        <w:rPr>
          <w:rFonts w:ascii="Calibri" w:hAnsi="Calibri" w:cs="Calibri"/>
          <w:kern w:val="24"/>
        </w:rPr>
      </w:pPr>
    </w:p>
    <w:p w14:paraId="264ECB58" w14:textId="77777777" w:rsidR="00771DF6" w:rsidRPr="00771DF6" w:rsidRDefault="00771DF6" w:rsidP="00265EDA">
      <w:pPr>
        <w:numPr>
          <w:ilvl w:val="0"/>
          <w:numId w:val="1"/>
        </w:numPr>
        <w:autoSpaceDE w:val="0"/>
        <w:autoSpaceDN w:val="0"/>
        <w:adjustRightInd w:val="0"/>
        <w:ind w:left="426" w:hanging="426"/>
        <w:rPr>
          <w:rFonts w:ascii="Calibri" w:hAnsi="Calibri" w:cs="Calibri"/>
          <w:kern w:val="24"/>
        </w:rPr>
      </w:pPr>
      <w:r w:rsidRPr="00771DF6">
        <w:rPr>
          <w:rFonts w:ascii="Calibri" w:hAnsi="Calibri" w:cs="Calibri"/>
          <w:kern w:val="24"/>
        </w:rPr>
        <w:t xml:space="preserve">Recruitment activity remains subdued </w:t>
      </w:r>
    </w:p>
    <w:p w14:paraId="264ECB59" w14:textId="77777777" w:rsidR="00771DF6" w:rsidRPr="00771DF6" w:rsidRDefault="00771DF6" w:rsidP="00265EDA">
      <w:pPr>
        <w:numPr>
          <w:ilvl w:val="0"/>
          <w:numId w:val="1"/>
        </w:numPr>
        <w:autoSpaceDE w:val="0"/>
        <w:autoSpaceDN w:val="0"/>
        <w:adjustRightInd w:val="0"/>
        <w:ind w:left="426" w:hanging="426"/>
        <w:rPr>
          <w:rFonts w:ascii="Calibri" w:hAnsi="Calibri" w:cs="Calibri"/>
          <w:kern w:val="24"/>
        </w:rPr>
      </w:pPr>
      <w:r w:rsidRPr="00771DF6">
        <w:rPr>
          <w:rFonts w:ascii="Calibri" w:hAnsi="Calibri" w:cs="Calibri"/>
          <w:kern w:val="24"/>
        </w:rPr>
        <w:t xml:space="preserve">High applicant numbers, yet few are suitable  </w:t>
      </w:r>
    </w:p>
    <w:p w14:paraId="264ECB5A" w14:textId="77777777" w:rsidR="00771DF6" w:rsidRPr="00265EDA" w:rsidRDefault="00771DF6" w:rsidP="00265EDA">
      <w:pPr>
        <w:pStyle w:val="ListParagraph"/>
        <w:numPr>
          <w:ilvl w:val="0"/>
          <w:numId w:val="10"/>
        </w:numPr>
        <w:autoSpaceDE w:val="0"/>
        <w:autoSpaceDN w:val="0"/>
        <w:adjustRightInd w:val="0"/>
        <w:rPr>
          <w:rFonts w:ascii="Calibri" w:hAnsi="Calibri" w:cs="Calibri"/>
          <w:kern w:val="24"/>
        </w:rPr>
      </w:pPr>
      <w:r w:rsidRPr="00265EDA">
        <w:rPr>
          <w:rFonts w:ascii="Calibri" w:hAnsi="Calibri" w:cs="Calibri"/>
          <w:kern w:val="24"/>
        </w:rPr>
        <w:t>Many job seekers don’t have the skills, experience and qualifications that employers are looking for</w:t>
      </w:r>
    </w:p>
    <w:p w14:paraId="264ECB5B" w14:textId="77777777" w:rsidR="00771DF6" w:rsidRPr="00771DF6" w:rsidRDefault="00771DF6" w:rsidP="00771DF6">
      <w:pPr>
        <w:numPr>
          <w:ilvl w:val="0"/>
          <w:numId w:val="1"/>
        </w:numPr>
        <w:autoSpaceDE w:val="0"/>
        <w:autoSpaceDN w:val="0"/>
        <w:adjustRightInd w:val="0"/>
        <w:ind w:left="450" w:hanging="450"/>
        <w:rPr>
          <w:rFonts w:ascii="Calibri" w:hAnsi="Calibri" w:cs="Calibri"/>
          <w:kern w:val="24"/>
        </w:rPr>
      </w:pPr>
      <w:r w:rsidRPr="00771DF6">
        <w:rPr>
          <w:rFonts w:ascii="Calibri" w:hAnsi="Calibri" w:cs="Calibri"/>
          <w:kern w:val="24"/>
        </w:rPr>
        <w:t>Pockets of recruitment difficulty</w:t>
      </w:r>
    </w:p>
    <w:p w14:paraId="264ECB5C" w14:textId="77777777" w:rsidR="00771DF6" w:rsidRPr="00771DF6" w:rsidRDefault="00771DF6" w:rsidP="00771DF6">
      <w:pPr>
        <w:numPr>
          <w:ilvl w:val="0"/>
          <w:numId w:val="1"/>
        </w:numPr>
        <w:autoSpaceDE w:val="0"/>
        <w:autoSpaceDN w:val="0"/>
        <w:adjustRightInd w:val="0"/>
        <w:ind w:left="450" w:hanging="450"/>
        <w:rPr>
          <w:rFonts w:ascii="Calibri" w:hAnsi="Calibri" w:cs="Calibri"/>
          <w:kern w:val="24"/>
        </w:rPr>
      </w:pPr>
      <w:r w:rsidRPr="00771DF6">
        <w:rPr>
          <w:rFonts w:ascii="Calibri" w:hAnsi="Calibri" w:cs="Calibri"/>
          <w:kern w:val="24"/>
        </w:rPr>
        <w:t>Some unmet demand across industries and occupation groups</w:t>
      </w:r>
    </w:p>
    <w:p w14:paraId="264ECB5D" w14:textId="77777777" w:rsidR="00771DF6" w:rsidRPr="00771DF6" w:rsidRDefault="00771DF6" w:rsidP="00771DF6">
      <w:pPr>
        <w:autoSpaceDE w:val="0"/>
        <w:autoSpaceDN w:val="0"/>
        <w:adjustRightInd w:val="0"/>
        <w:rPr>
          <w:rFonts w:ascii="Calibri" w:hAnsi="Calibri" w:cs="Calibri"/>
          <w:kern w:val="24"/>
        </w:rPr>
      </w:pPr>
    </w:p>
    <w:p w14:paraId="264ECB5E" w14:textId="77777777" w:rsidR="00771DF6" w:rsidRPr="00771DF6" w:rsidRDefault="00771DF6" w:rsidP="00771DF6">
      <w:pPr>
        <w:autoSpaceDE w:val="0"/>
        <w:autoSpaceDN w:val="0"/>
        <w:adjustRightInd w:val="0"/>
        <w:rPr>
          <w:rFonts w:ascii="Calibri" w:hAnsi="Calibri" w:cs="Calibri"/>
          <w:kern w:val="24"/>
        </w:rPr>
      </w:pPr>
    </w:p>
    <w:p w14:paraId="264ECB5F" w14:textId="77777777" w:rsidR="00771DF6" w:rsidRPr="00771DF6" w:rsidRDefault="00771DF6" w:rsidP="00771DF6">
      <w:pPr>
        <w:autoSpaceDE w:val="0"/>
        <w:autoSpaceDN w:val="0"/>
        <w:adjustRightInd w:val="0"/>
        <w:rPr>
          <w:rFonts w:ascii="Calibri" w:hAnsi="Calibri" w:cs="Calibri"/>
        </w:rPr>
      </w:pPr>
    </w:p>
    <w:p w14:paraId="264ECB60" w14:textId="77777777" w:rsidR="00771DF6" w:rsidRPr="00771DF6" w:rsidRDefault="00771DF6" w:rsidP="00771DF6">
      <w:pPr>
        <w:spacing w:line="360" w:lineRule="auto"/>
        <w:rPr>
          <w:rFonts w:ascii="Calibri" w:hAnsi="Calibri" w:cs="Calibri"/>
        </w:rPr>
      </w:pPr>
    </w:p>
    <w:p w14:paraId="264ECB61" w14:textId="77777777" w:rsidR="00771DF6" w:rsidRPr="00771DF6" w:rsidRDefault="00771DF6">
      <w:pPr>
        <w:rPr>
          <w:rFonts w:ascii="Calibri" w:hAnsi="Calibri" w:cs="Calibri"/>
        </w:rPr>
      </w:pPr>
      <w:r w:rsidRPr="00771DF6">
        <w:rPr>
          <w:rFonts w:ascii="Calibri" w:hAnsi="Calibri" w:cs="Calibri"/>
        </w:rPr>
        <w:br w:type="page"/>
      </w:r>
    </w:p>
    <w:p w14:paraId="264ECB62"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22</w:t>
      </w:r>
    </w:p>
    <w:p w14:paraId="264ECB63" w14:textId="77777777" w:rsidR="00771DF6" w:rsidRPr="00771DF6" w:rsidRDefault="00771DF6" w:rsidP="00771DF6">
      <w:pPr>
        <w:spacing w:line="360" w:lineRule="auto"/>
        <w:rPr>
          <w:rFonts w:ascii="Calibri" w:hAnsi="Calibri" w:cs="Calibri"/>
        </w:rPr>
      </w:pPr>
    </w:p>
    <w:p w14:paraId="264ECB64"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6">
          <v:shape id="_x0000_i1046" type="#_x0000_t75" style="width:270.75pt;height:202.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6" DrawAspect="Content" ObjectID="_1429702077" r:id="rId52"/>
        </w:object>
      </w:r>
    </w:p>
    <w:p w14:paraId="264ECB65" w14:textId="77777777" w:rsidR="00771DF6" w:rsidRPr="00771DF6" w:rsidRDefault="00771DF6" w:rsidP="00771DF6">
      <w:pPr>
        <w:spacing w:line="360" w:lineRule="auto"/>
        <w:jc w:val="center"/>
        <w:rPr>
          <w:rFonts w:ascii="Calibri" w:hAnsi="Calibri" w:cs="Calibri"/>
        </w:rPr>
      </w:pPr>
    </w:p>
    <w:p w14:paraId="264ECB66"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Vacancies remain unfilled (most recent recruitment round by occupation)</w:t>
      </w:r>
    </w:p>
    <w:p w14:paraId="264ECB67"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DEEWR, Survey of Employers’ Recruitment Experiences, September 2011 and November 2012, Southern Wide Bay-Burnett Priority Employment Area, All regions surveyed in the 12 months to September 2012</w:t>
      </w:r>
    </w:p>
    <w:p w14:paraId="264ECB68" w14:textId="77777777" w:rsidR="00771DF6" w:rsidRPr="00771DF6" w:rsidRDefault="00771DF6" w:rsidP="00771DF6">
      <w:pPr>
        <w:autoSpaceDE w:val="0"/>
        <w:autoSpaceDN w:val="0"/>
        <w:adjustRightInd w:val="0"/>
        <w:rPr>
          <w:rFonts w:ascii="Calibri" w:hAnsi="Calibri" w:cs="Calibri"/>
          <w:kern w:val="24"/>
        </w:rPr>
      </w:pPr>
    </w:p>
    <w:p w14:paraId="264ECB69" w14:textId="77777777" w:rsidR="00771DF6" w:rsidRDefault="00771DF6" w:rsidP="00771DF6">
      <w:pPr>
        <w:autoSpaceDE w:val="0"/>
        <w:autoSpaceDN w:val="0"/>
        <w:adjustRightInd w:val="0"/>
        <w:rPr>
          <w:rFonts w:ascii="Calibri" w:hAnsi="Calibri" w:cs="Calibri"/>
          <w:kern w:val="24"/>
        </w:rPr>
      </w:pPr>
      <w:r w:rsidRPr="00771DF6">
        <w:rPr>
          <w:rFonts w:ascii="Calibri" w:hAnsi="Calibri" w:cs="Calibri"/>
          <w:kern w:val="24"/>
        </w:rPr>
        <w:t>In employers</w:t>
      </w:r>
      <w:r w:rsidR="00153C72">
        <w:rPr>
          <w:rFonts w:ascii="Calibri" w:hAnsi="Calibri" w:cs="Calibri"/>
          <w:kern w:val="24"/>
        </w:rPr>
        <w:t>’</w:t>
      </w:r>
      <w:r w:rsidRPr="00771DF6">
        <w:rPr>
          <w:rFonts w:ascii="Calibri" w:hAnsi="Calibri" w:cs="Calibri"/>
          <w:kern w:val="24"/>
        </w:rPr>
        <w:t xml:space="preserve"> most recent recruitment round, 6.2 per cent of vacancies remained unfilled in the Southern Wide Bay-</w:t>
      </w:r>
      <w:r w:rsidR="0038306E">
        <w:rPr>
          <w:rFonts w:ascii="Calibri" w:hAnsi="Calibri" w:cs="Calibri"/>
          <w:kern w:val="24"/>
        </w:rPr>
        <w:t>Burnett PEA. This proportion had</w:t>
      </w:r>
      <w:r w:rsidRPr="00771DF6">
        <w:rPr>
          <w:rFonts w:ascii="Calibri" w:hAnsi="Calibri" w:cs="Calibri"/>
          <w:kern w:val="24"/>
        </w:rPr>
        <w:t xml:space="preserve"> decreased since the region was previously surveyed in 2011.</w:t>
      </w:r>
    </w:p>
    <w:p w14:paraId="264ECB6A" w14:textId="77777777" w:rsidR="00153C72" w:rsidRPr="00771DF6" w:rsidRDefault="00153C72" w:rsidP="00771DF6">
      <w:pPr>
        <w:autoSpaceDE w:val="0"/>
        <w:autoSpaceDN w:val="0"/>
        <w:adjustRightInd w:val="0"/>
        <w:rPr>
          <w:rFonts w:ascii="Calibri" w:hAnsi="Calibri" w:cs="Calibri"/>
          <w:kern w:val="24"/>
        </w:rPr>
      </w:pPr>
    </w:p>
    <w:p w14:paraId="264ECB6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Employers recruiting for Managers and Professionals had one in five vacancies go unfilled.</w:t>
      </w:r>
    </w:p>
    <w:p w14:paraId="264ECB6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Vacancies also went unfilled for Community and Personal Service Workers, Sales Workers and Technicians and Trades Workers.</w:t>
      </w:r>
    </w:p>
    <w:p w14:paraId="264ECB6D" w14:textId="77777777" w:rsidR="00771DF6" w:rsidRPr="00771DF6" w:rsidRDefault="00771DF6" w:rsidP="00771DF6">
      <w:pPr>
        <w:autoSpaceDE w:val="0"/>
        <w:autoSpaceDN w:val="0"/>
        <w:adjustRightInd w:val="0"/>
        <w:rPr>
          <w:rFonts w:ascii="Calibri" w:hAnsi="Calibri" w:cs="Calibri"/>
        </w:rPr>
      </w:pPr>
    </w:p>
    <w:p w14:paraId="264ECB6E" w14:textId="77777777" w:rsidR="00771DF6" w:rsidRPr="00771DF6" w:rsidRDefault="00771DF6" w:rsidP="00771DF6">
      <w:pPr>
        <w:spacing w:line="360" w:lineRule="auto"/>
        <w:rPr>
          <w:rFonts w:ascii="Calibri" w:hAnsi="Calibri" w:cs="Calibri"/>
        </w:rPr>
      </w:pPr>
    </w:p>
    <w:p w14:paraId="264ECB6F" w14:textId="77777777" w:rsidR="00771DF6" w:rsidRPr="00771DF6" w:rsidRDefault="00771DF6">
      <w:pPr>
        <w:rPr>
          <w:rFonts w:ascii="Calibri" w:hAnsi="Calibri" w:cs="Calibri"/>
        </w:rPr>
      </w:pPr>
      <w:r w:rsidRPr="00771DF6">
        <w:rPr>
          <w:rFonts w:ascii="Calibri" w:hAnsi="Calibri" w:cs="Calibri"/>
        </w:rPr>
        <w:br w:type="page"/>
      </w:r>
    </w:p>
    <w:p w14:paraId="264ECB70"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23</w:t>
      </w:r>
    </w:p>
    <w:p w14:paraId="264ECB71" w14:textId="77777777" w:rsidR="00771DF6" w:rsidRPr="00771DF6" w:rsidRDefault="00771DF6" w:rsidP="00771DF6">
      <w:pPr>
        <w:spacing w:line="360" w:lineRule="auto"/>
        <w:rPr>
          <w:rFonts w:ascii="Calibri" w:hAnsi="Calibri" w:cs="Calibri"/>
        </w:rPr>
      </w:pPr>
    </w:p>
    <w:p w14:paraId="264ECB72"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7">
          <v:shape id="_x0000_i1047" type="#_x0000_t75" style="width:270.75pt;height:202.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7" DrawAspect="Content" ObjectID="_1429702078" r:id="rId54"/>
        </w:object>
      </w:r>
    </w:p>
    <w:p w14:paraId="264ECB73" w14:textId="77777777" w:rsidR="00771DF6" w:rsidRPr="00771DF6" w:rsidRDefault="00771DF6" w:rsidP="00771DF6">
      <w:pPr>
        <w:spacing w:line="360" w:lineRule="auto"/>
        <w:jc w:val="center"/>
        <w:rPr>
          <w:rFonts w:ascii="Calibri" w:hAnsi="Calibri" w:cs="Calibri"/>
        </w:rPr>
      </w:pPr>
    </w:p>
    <w:p w14:paraId="264ECB74"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Competition for vacancies is high, yet few suitable applicants</w:t>
      </w:r>
    </w:p>
    <w:p w14:paraId="264ECB7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i/>
          <w:iCs/>
          <w:kern w:val="24"/>
        </w:rPr>
        <w:t>Source: DEEWR, Survey of Employers’ Recruitment Experiences, September 2011 and November 2012, Southern Wide Bay-Burnett Priority Employment Area, All regions surveyed in the 12 months to September 2012</w:t>
      </w:r>
    </w:p>
    <w:p w14:paraId="264ECB76" w14:textId="77777777" w:rsidR="00771DF6" w:rsidRPr="00771DF6" w:rsidRDefault="00771DF6" w:rsidP="00771DF6">
      <w:pPr>
        <w:autoSpaceDE w:val="0"/>
        <w:autoSpaceDN w:val="0"/>
        <w:adjustRightInd w:val="0"/>
        <w:rPr>
          <w:rFonts w:ascii="Calibri" w:hAnsi="Calibri" w:cs="Calibri"/>
          <w:i/>
          <w:iCs/>
          <w:kern w:val="24"/>
        </w:rPr>
      </w:pPr>
    </w:p>
    <w:p w14:paraId="264ECB7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There was, on average, more competition for vacancies in the Southern Wide Bay-Burnett PEA (8.5 applicants per vacancy) compared with the last time the PEA was surveyed (6.4 applicants per vacancy). However, the average number of suitable applicants per vacancy still remained low (1.9).</w:t>
      </w:r>
    </w:p>
    <w:p w14:paraId="264ECB78" w14:textId="77777777" w:rsidR="00771DF6" w:rsidRPr="00771DF6" w:rsidRDefault="00771DF6" w:rsidP="00771DF6">
      <w:pPr>
        <w:autoSpaceDE w:val="0"/>
        <w:autoSpaceDN w:val="0"/>
        <w:adjustRightInd w:val="0"/>
        <w:rPr>
          <w:rFonts w:ascii="Calibri" w:hAnsi="Calibri" w:cs="Calibri"/>
          <w:kern w:val="24"/>
        </w:rPr>
      </w:pPr>
    </w:p>
    <w:p w14:paraId="264ECB79"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There was a high level of competition for Clerical and Administrative Workers vacancies, with an average of 21.9 applicants per vacancy.</w:t>
      </w:r>
    </w:p>
    <w:p w14:paraId="264ECB7A" w14:textId="77777777" w:rsidR="00771DF6" w:rsidRPr="00771DF6" w:rsidRDefault="00771DF6" w:rsidP="00771DF6">
      <w:pPr>
        <w:autoSpaceDE w:val="0"/>
        <w:autoSpaceDN w:val="0"/>
        <w:adjustRightInd w:val="0"/>
        <w:rPr>
          <w:rFonts w:ascii="Calibri" w:hAnsi="Calibri" w:cs="Calibri"/>
          <w:kern w:val="24"/>
        </w:rPr>
      </w:pPr>
    </w:p>
    <w:p w14:paraId="264ECB7B"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Employers recruiting for Technicians and Trade Workers had little choice of applicants with an average of 2.1 applicants of which only 1.2 were considered suitable. </w:t>
      </w:r>
    </w:p>
    <w:p w14:paraId="264ECB7C" w14:textId="77777777" w:rsidR="00771DF6" w:rsidRPr="00771DF6" w:rsidRDefault="00771DF6" w:rsidP="00771DF6">
      <w:pPr>
        <w:autoSpaceDE w:val="0"/>
        <w:autoSpaceDN w:val="0"/>
        <w:adjustRightInd w:val="0"/>
        <w:rPr>
          <w:rFonts w:ascii="Calibri" w:hAnsi="Calibri" w:cs="Calibri"/>
        </w:rPr>
      </w:pPr>
    </w:p>
    <w:p w14:paraId="264ECB7D" w14:textId="77777777" w:rsidR="00771DF6" w:rsidRPr="00771DF6" w:rsidRDefault="00771DF6" w:rsidP="00771DF6">
      <w:pPr>
        <w:spacing w:line="360" w:lineRule="auto"/>
        <w:rPr>
          <w:rFonts w:ascii="Calibri" w:hAnsi="Calibri" w:cs="Calibri"/>
        </w:rPr>
      </w:pPr>
    </w:p>
    <w:p w14:paraId="264ECB7E" w14:textId="77777777" w:rsidR="00771DF6" w:rsidRPr="00771DF6" w:rsidRDefault="00771DF6">
      <w:pPr>
        <w:rPr>
          <w:rFonts w:ascii="Calibri" w:hAnsi="Calibri" w:cs="Calibri"/>
        </w:rPr>
      </w:pPr>
      <w:r w:rsidRPr="00771DF6">
        <w:rPr>
          <w:rFonts w:ascii="Calibri" w:hAnsi="Calibri" w:cs="Calibri"/>
        </w:rPr>
        <w:br w:type="page"/>
      </w:r>
    </w:p>
    <w:p w14:paraId="264ECB7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24</w:t>
      </w:r>
    </w:p>
    <w:p w14:paraId="264ECB80" w14:textId="77777777" w:rsidR="00771DF6" w:rsidRPr="00771DF6" w:rsidRDefault="00771DF6" w:rsidP="00771DF6">
      <w:pPr>
        <w:spacing w:line="360" w:lineRule="auto"/>
        <w:rPr>
          <w:rFonts w:ascii="Calibri" w:hAnsi="Calibri" w:cs="Calibri"/>
        </w:rPr>
      </w:pPr>
    </w:p>
    <w:p w14:paraId="264ECB8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8">
          <v:shape id="_x0000_i1048" type="#_x0000_t75" style="width:270.75pt;height:202.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8" DrawAspect="Content" ObjectID="_1429702079" r:id="rId56"/>
        </w:object>
      </w:r>
    </w:p>
    <w:p w14:paraId="264ECB82" w14:textId="77777777" w:rsidR="00771DF6" w:rsidRPr="00771DF6" w:rsidRDefault="00771DF6" w:rsidP="00771DF6">
      <w:pPr>
        <w:spacing w:line="360" w:lineRule="auto"/>
        <w:jc w:val="center"/>
        <w:rPr>
          <w:rFonts w:ascii="Calibri" w:hAnsi="Calibri" w:cs="Calibri"/>
        </w:rPr>
      </w:pPr>
    </w:p>
    <w:p w14:paraId="264ECB83" w14:textId="77777777" w:rsidR="00771DF6" w:rsidRPr="00771DF6" w:rsidRDefault="00265EDA" w:rsidP="00771DF6">
      <w:pPr>
        <w:autoSpaceDE w:val="0"/>
        <w:autoSpaceDN w:val="0"/>
        <w:adjustRightInd w:val="0"/>
        <w:rPr>
          <w:rFonts w:ascii="Calibri" w:hAnsi="Calibri" w:cs="Calibri"/>
          <w:b/>
          <w:bCs/>
          <w:kern w:val="24"/>
          <w:u w:val="single"/>
        </w:rPr>
      </w:pPr>
      <w:r>
        <w:rPr>
          <w:rFonts w:ascii="Calibri" w:hAnsi="Calibri" w:cs="Calibri"/>
          <w:b/>
          <w:bCs/>
          <w:kern w:val="24"/>
          <w:u w:val="single"/>
        </w:rPr>
        <w:t>Recruitment difficulty by industry</w:t>
      </w:r>
    </w:p>
    <w:p w14:paraId="264ECB8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DEEWR, Survey of Employers’ Recruitment Experiences, November 2012, Southern Wide Bay-Burnett Priority Employment Area, All regions surveyed in the 12 months to September 2012</w:t>
      </w:r>
    </w:p>
    <w:p w14:paraId="264ECB85" w14:textId="77777777" w:rsidR="00771DF6" w:rsidRPr="00771DF6" w:rsidRDefault="00771DF6" w:rsidP="00771DF6">
      <w:pPr>
        <w:autoSpaceDE w:val="0"/>
        <w:autoSpaceDN w:val="0"/>
        <w:adjustRightInd w:val="0"/>
        <w:rPr>
          <w:rFonts w:ascii="Calibri" w:hAnsi="Calibri" w:cs="Calibri"/>
          <w:kern w:val="24"/>
        </w:rPr>
      </w:pPr>
    </w:p>
    <w:p w14:paraId="264ECB86" w14:textId="77777777" w:rsidR="00771DF6" w:rsidRPr="00771DF6" w:rsidRDefault="00771DF6" w:rsidP="00771DF6">
      <w:pPr>
        <w:numPr>
          <w:ilvl w:val="0"/>
          <w:numId w:val="3"/>
        </w:numPr>
        <w:autoSpaceDE w:val="0"/>
        <w:autoSpaceDN w:val="0"/>
        <w:adjustRightInd w:val="0"/>
        <w:ind w:left="450" w:hanging="450"/>
        <w:rPr>
          <w:rFonts w:ascii="Calibri" w:hAnsi="Calibri" w:cs="Calibri"/>
          <w:kern w:val="24"/>
        </w:rPr>
      </w:pPr>
      <w:r w:rsidRPr="00771DF6">
        <w:rPr>
          <w:rFonts w:ascii="Calibri" w:hAnsi="Calibri" w:cs="Calibri"/>
          <w:kern w:val="24"/>
        </w:rPr>
        <w:t>High proportion of vacancies remained unfilled in Accommodation and Food Services industry</w:t>
      </w:r>
    </w:p>
    <w:p w14:paraId="264ECB87" w14:textId="77777777" w:rsidR="00771DF6" w:rsidRPr="00771DF6" w:rsidRDefault="00771DF6" w:rsidP="00771DF6">
      <w:pPr>
        <w:numPr>
          <w:ilvl w:val="0"/>
          <w:numId w:val="3"/>
        </w:numPr>
        <w:autoSpaceDE w:val="0"/>
        <w:autoSpaceDN w:val="0"/>
        <w:adjustRightInd w:val="0"/>
        <w:ind w:left="450" w:hanging="450"/>
        <w:rPr>
          <w:rFonts w:ascii="Calibri" w:hAnsi="Calibri" w:cs="Calibri"/>
          <w:kern w:val="24"/>
        </w:rPr>
      </w:pPr>
      <w:r w:rsidRPr="00771DF6">
        <w:rPr>
          <w:rFonts w:ascii="Calibri" w:hAnsi="Calibri" w:cs="Calibri"/>
          <w:kern w:val="24"/>
        </w:rPr>
        <w:t>Recruitment difficulty also high and average number of suitable applicants very low in Accommodation and Food Services industry</w:t>
      </w:r>
    </w:p>
    <w:p w14:paraId="264ECB88" w14:textId="77777777" w:rsidR="00771DF6" w:rsidRPr="00771DF6" w:rsidRDefault="00771DF6" w:rsidP="00771DF6">
      <w:pPr>
        <w:numPr>
          <w:ilvl w:val="0"/>
          <w:numId w:val="3"/>
        </w:numPr>
        <w:autoSpaceDE w:val="0"/>
        <w:autoSpaceDN w:val="0"/>
        <w:adjustRightInd w:val="0"/>
        <w:ind w:left="450" w:hanging="450"/>
        <w:rPr>
          <w:rFonts w:ascii="Calibri" w:hAnsi="Calibri" w:cs="Calibri"/>
          <w:kern w:val="24"/>
        </w:rPr>
      </w:pPr>
      <w:r w:rsidRPr="00771DF6">
        <w:rPr>
          <w:rFonts w:ascii="Calibri" w:hAnsi="Calibri" w:cs="Calibri"/>
          <w:kern w:val="24"/>
        </w:rPr>
        <w:t>High proportion of vacancies remained unfilled in the Manufacturing industry</w:t>
      </w:r>
    </w:p>
    <w:p w14:paraId="264ECB89" w14:textId="77777777" w:rsidR="00771DF6" w:rsidRPr="00771DF6" w:rsidRDefault="00771DF6" w:rsidP="00771DF6">
      <w:pPr>
        <w:autoSpaceDE w:val="0"/>
        <w:autoSpaceDN w:val="0"/>
        <w:adjustRightInd w:val="0"/>
        <w:ind w:left="450" w:hanging="450"/>
        <w:rPr>
          <w:rFonts w:ascii="Calibri" w:hAnsi="Calibri" w:cs="Calibri"/>
          <w:kern w:val="24"/>
        </w:rPr>
      </w:pPr>
    </w:p>
    <w:p w14:paraId="264ECB8A" w14:textId="77777777" w:rsidR="00771DF6" w:rsidRPr="00771DF6" w:rsidRDefault="00771DF6" w:rsidP="00771DF6">
      <w:pPr>
        <w:autoSpaceDE w:val="0"/>
        <w:autoSpaceDN w:val="0"/>
        <w:adjustRightInd w:val="0"/>
        <w:ind w:left="450" w:hanging="450"/>
        <w:rPr>
          <w:rFonts w:ascii="Calibri" w:hAnsi="Calibri" w:cs="Calibri"/>
          <w:kern w:val="24"/>
        </w:rPr>
      </w:pPr>
    </w:p>
    <w:p w14:paraId="264ECB8B" w14:textId="77777777" w:rsidR="00771DF6" w:rsidRPr="00771DF6" w:rsidRDefault="00771DF6" w:rsidP="00771DF6">
      <w:pPr>
        <w:autoSpaceDE w:val="0"/>
        <w:autoSpaceDN w:val="0"/>
        <w:adjustRightInd w:val="0"/>
        <w:rPr>
          <w:rFonts w:ascii="Calibri" w:hAnsi="Calibri" w:cs="Calibri"/>
          <w:kern w:val="24"/>
        </w:rPr>
      </w:pPr>
    </w:p>
    <w:p w14:paraId="264ECB8C" w14:textId="77777777" w:rsidR="00771DF6" w:rsidRPr="00771DF6" w:rsidRDefault="00771DF6" w:rsidP="00771DF6">
      <w:pPr>
        <w:autoSpaceDE w:val="0"/>
        <w:autoSpaceDN w:val="0"/>
        <w:adjustRightInd w:val="0"/>
        <w:rPr>
          <w:rFonts w:ascii="Calibri" w:hAnsi="Calibri" w:cs="Calibri"/>
        </w:rPr>
      </w:pPr>
    </w:p>
    <w:p w14:paraId="264ECB8D" w14:textId="77777777" w:rsidR="00771DF6" w:rsidRPr="00771DF6" w:rsidRDefault="00771DF6" w:rsidP="00771DF6">
      <w:pPr>
        <w:spacing w:line="360" w:lineRule="auto"/>
        <w:rPr>
          <w:rFonts w:ascii="Calibri" w:hAnsi="Calibri" w:cs="Calibri"/>
        </w:rPr>
      </w:pPr>
    </w:p>
    <w:p w14:paraId="264ECB8E" w14:textId="77777777" w:rsidR="00771DF6" w:rsidRPr="00771DF6" w:rsidRDefault="00771DF6">
      <w:pPr>
        <w:rPr>
          <w:rFonts w:ascii="Calibri" w:hAnsi="Calibri" w:cs="Calibri"/>
        </w:rPr>
      </w:pPr>
      <w:r w:rsidRPr="00771DF6">
        <w:rPr>
          <w:rFonts w:ascii="Calibri" w:hAnsi="Calibri" w:cs="Calibri"/>
        </w:rPr>
        <w:br w:type="page"/>
      </w:r>
    </w:p>
    <w:p w14:paraId="264ECB8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25</w:t>
      </w:r>
    </w:p>
    <w:p w14:paraId="264ECB90" w14:textId="77777777" w:rsidR="00771DF6" w:rsidRPr="00771DF6" w:rsidRDefault="00771DF6" w:rsidP="00771DF6">
      <w:pPr>
        <w:spacing w:line="360" w:lineRule="auto"/>
        <w:rPr>
          <w:rFonts w:ascii="Calibri" w:hAnsi="Calibri" w:cs="Calibri"/>
        </w:rPr>
      </w:pPr>
    </w:p>
    <w:p w14:paraId="264ECB9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9">
          <v:shape id="_x0000_i1049" type="#_x0000_t75" style="width:270.75pt;height:202.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9" DrawAspect="Content" ObjectID="_1429702080" r:id="rId58"/>
        </w:object>
      </w:r>
    </w:p>
    <w:p w14:paraId="264ECB92" w14:textId="77777777" w:rsidR="00771DF6" w:rsidRPr="00771DF6" w:rsidRDefault="00771DF6" w:rsidP="00771DF6">
      <w:pPr>
        <w:spacing w:line="360" w:lineRule="auto"/>
        <w:jc w:val="center"/>
        <w:rPr>
          <w:rFonts w:ascii="Calibri" w:hAnsi="Calibri" w:cs="Calibri"/>
        </w:rPr>
      </w:pPr>
    </w:p>
    <w:p w14:paraId="264ECB9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Many applicants were considered unsuitable</w:t>
      </w:r>
    </w:p>
    <w:p w14:paraId="264ECB9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B95" w14:textId="77777777" w:rsidR="00771DF6" w:rsidRPr="00771DF6" w:rsidRDefault="00771DF6" w:rsidP="00771DF6">
      <w:pPr>
        <w:autoSpaceDE w:val="0"/>
        <w:autoSpaceDN w:val="0"/>
        <w:adjustRightInd w:val="0"/>
        <w:rPr>
          <w:rFonts w:ascii="Calibri" w:hAnsi="Calibri" w:cs="Calibri"/>
        </w:rPr>
      </w:pPr>
    </w:p>
    <w:p w14:paraId="264ECB96" w14:textId="77777777" w:rsidR="00771DF6" w:rsidRPr="00771DF6" w:rsidRDefault="00771DF6" w:rsidP="00265EDA">
      <w:pPr>
        <w:numPr>
          <w:ilvl w:val="0"/>
          <w:numId w:val="4"/>
        </w:numPr>
        <w:autoSpaceDE w:val="0"/>
        <w:autoSpaceDN w:val="0"/>
        <w:adjustRightInd w:val="0"/>
        <w:ind w:left="426" w:hanging="426"/>
        <w:rPr>
          <w:rFonts w:ascii="Calibri" w:hAnsi="Calibri" w:cs="Calibri"/>
        </w:rPr>
      </w:pPr>
      <w:r w:rsidRPr="00771DF6">
        <w:rPr>
          <w:rFonts w:ascii="Calibri" w:hAnsi="Calibri" w:cs="Calibri"/>
        </w:rPr>
        <w:t xml:space="preserve">More than </w:t>
      </w:r>
      <w:r w:rsidRPr="00771DF6">
        <w:rPr>
          <w:rFonts w:ascii="Calibri" w:hAnsi="Calibri" w:cs="Calibri"/>
          <w:b/>
          <w:bCs/>
        </w:rPr>
        <w:t xml:space="preserve">three quarters </w:t>
      </w:r>
      <w:r w:rsidRPr="00771DF6">
        <w:rPr>
          <w:rFonts w:ascii="Calibri" w:hAnsi="Calibri" w:cs="Calibri"/>
        </w:rPr>
        <w:t>of all applicants were considered to be unsuitable for the job.</w:t>
      </w:r>
    </w:p>
    <w:p w14:paraId="264ECB97" w14:textId="77777777" w:rsidR="00771DF6" w:rsidRPr="00771DF6" w:rsidRDefault="00771DF6" w:rsidP="00771DF6">
      <w:pPr>
        <w:autoSpaceDE w:val="0"/>
        <w:autoSpaceDN w:val="0"/>
        <w:adjustRightInd w:val="0"/>
        <w:rPr>
          <w:rFonts w:ascii="Calibri" w:hAnsi="Calibri" w:cs="Calibri"/>
        </w:rPr>
      </w:pPr>
      <w:r w:rsidRPr="00771DF6">
        <w:rPr>
          <w:rFonts w:ascii="Calibri" w:hAnsi="Calibri" w:cs="Calibri"/>
        </w:rPr>
        <w:tab/>
        <w:t>Common reasons job applicants were unsuitable were:</w:t>
      </w:r>
    </w:p>
    <w:p w14:paraId="264ECB98" w14:textId="77777777" w:rsidR="00771DF6" w:rsidRPr="00771DF6" w:rsidRDefault="00771DF6" w:rsidP="00771DF6">
      <w:pPr>
        <w:autoSpaceDE w:val="0"/>
        <w:autoSpaceDN w:val="0"/>
        <w:adjustRightInd w:val="0"/>
        <w:rPr>
          <w:rFonts w:ascii="Calibri" w:hAnsi="Calibri" w:cs="Calibri"/>
        </w:rPr>
      </w:pPr>
      <w:r w:rsidRPr="00771DF6">
        <w:rPr>
          <w:rFonts w:ascii="Calibri" w:hAnsi="Calibri" w:cs="Calibri"/>
        </w:rPr>
        <w:tab/>
        <w:t xml:space="preserve"> - Insufficient technical skills or experience (65%)</w:t>
      </w:r>
    </w:p>
    <w:p w14:paraId="264ECB99" w14:textId="77777777" w:rsidR="00771DF6" w:rsidRPr="00771DF6" w:rsidRDefault="00771DF6" w:rsidP="00771DF6">
      <w:pPr>
        <w:autoSpaceDE w:val="0"/>
        <w:autoSpaceDN w:val="0"/>
        <w:adjustRightInd w:val="0"/>
        <w:rPr>
          <w:rFonts w:ascii="Calibri" w:hAnsi="Calibri" w:cs="Calibri"/>
        </w:rPr>
      </w:pPr>
      <w:r w:rsidRPr="00771DF6">
        <w:rPr>
          <w:rFonts w:ascii="Calibri" w:hAnsi="Calibri" w:cs="Calibri"/>
        </w:rPr>
        <w:tab/>
        <w:t xml:space="preserve"> - Insufficient qualifications or training (27%)</w:t>
      </w:r>
    </w:p>
    <w:p w14:paraId="264ECB9A" w14:textId="77777777" w:rsidR="00771DF6" w:rsidRPr="00771DF6" w:rsidRDefault="00771DF6" w:rsidP="00771DF6">
      <w:pPr>
        <w:autoSpaceDE w:val="0"/>
        <w:autoSpaceDN w:val="0"/>
        <w:adjustRightInd w:val="0"/>
        <w:rPr>
          <w:rFonts w:ascii="Calibri" w:hAnsi="Calibri" w:cs="Calibri"/>
        </w:rPr>
      </w:pPr>
      <w:r w:rsidRPr="00771DF6">
        <w:rPr>
          <w:rFonts w:ascii="Calibri" w:hAnsi="Calibri" w:cs="Calibri"/>
        </w:rPr>
        <w:tab/>
        <w:t xml:space="preserve"> - Lack of employability skills and personal characteristics (47%)</w:t>
      </w:r>
    </w:p>
    <w:p w14:paraId="264ECB9B" w14:textId="77777777" w:rsidR="00771DF6" w:rsidRPr="00771DF6" w:rsidRDefault="00771DF6" w:rsidP="00771DF6">
      <w:pPr>
        <w:autoSpaceDE w:val="0"/>
        <w:autoSpaceDN w:val="0"/>
        <w:adjustRightInd w:val="0"/>
        <w:rPr>
          <w:rFonts w:ascii="Calibri" w:hAnsi="Calibri" w:cs="Calibri"/>
        </w:rPr>
      </w:pPr>
    </w:p>
    <w:p w14:paraId="264ECB9C" w14:textId="77777777" w:rsidR="00771DF6" w:rsidRPr="00771DF6" w:rsidRDefault="00771DF6" w:rsidP="00771DF6">
      <w:pPr>
        <w:autoSpaceDE w:val="0"/>
        <w:autoSpaceDN w:val="0"/>
        <w:adjustRightInd w:val="0"/>
        <w:rPr>
          <w:rFonts w:ascii="Calibri" w:hAnsi="Calibri" w:cs="Calibri"/>
        </w:rPr>
      </w:pPr>
    </w:p>
    <w:p w14:paraId="264ECB9D" w14:textId="77777777" w:rsidR="00771DF6" w:rsidRPr="00771DF6" w:rsidRDefault="00771DF6" w:rsidP="00771DF6">
      <w:pPr>
        <w:spacing w:line="360" w:lineRule="auto"/>
        <w:rPr>
          <w:rFonts w:ascii="Calibri" w:hAnsi="Calibri" w:cs="Calibri"/>
        </w:rPr>
      </w:pPr>
    </w:p>
    <w:p w14:paraId="264ECB9E" w14:textId="77777777" w:rsidR="00771DF6" w:rsidRPr="00771DF6" w:rsidRDefault="00771DF6">
      <w:pPr>
        <w:rPr>
          <w:rFonts w:ascii="Calibri" w:hAnsi="Calibri" w:cs="Calibri"/>
        </w:rPr>
      </w:pPr>
      <w:r w:rsidRPr="00771DF6">
        <w:rPr>
          <w:rFonts w:ascii="Calibri" w:hAnsi="Calibri" w:cs="Calibri"/>
        </w:rPr>
        <w:br w:type="page"/>
      </w:r>
    </w:p>
    <w:p w14:paraId="264ECB9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26</w:t>
      </w:r>
    </w:p>
    <w:p w14:paraId="264ECBA0" w14:textId="77777777" w:rsidR="00771DF6" w:rsidRPr="00771DF6" w:rsidRDefault="00771DF6" w:rsidP="00771DF6">
      <w:pPr>
        <w:spacing w:line="360" w:lineRule="auto"/>
        <w:rPr>
          <w:rFonts w:ascii="Calibri" w:hAnsi="Calibri" w:cs="Calibri"/>
        </w:rPr>
      </w:pPr>
    </w:p>
    <w:p w14:paraId="264ECBA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A">
          <v:shape id="_x0000_i1050" type="#_x0000_t75" style="width:270.75pt;height:202.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50" DrawAspect="Content" ObjectID="_1429702081" r:id="rId60"/>
        </w:object>
      </w:r>
    </w:p>
    <w:p w14:paraId="264ECBA2" w14:textId="77777777" w:rsidR="00771DF6" w:rsidRPr="00771DF6" w:rsidRDefault="00771DF6" w:rsidP="00771DF6">
      <w:pPr>
        <w:spacing w:line="360" w:lineRule="auto"/>
        <w:jc w:val="center"/>
        <w:rPr>
          <w:rFonts w:ascii="Calibri" w:hAnsi="Calibri" w:cs="Calibri"/>
        </w:rPr>
      </w:pPr>
    </w:p>
    <w:p w14:paraId="264ECBA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Basic Employability Skills</w:t>
      </w:r>
    </w:p>
    <w:p w14:paraId="264ECBA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DEEWR, Survey of Employers’ Recruitment Experiences, All regions surveyed in the 12 months to December 2010</w:t>
      </w:r>
    </w:p>
    <w:p w14:paraId="264ECBA5" w14:textId="77777777" w:rsidR="00771DF6" w:rsidRPr="00771DF6" w:rsidRDefault="00771DF6" w:rsidP="00771DF6">
      <w:pPr>
        <w:autoSpaceDE w:val="0"/>
        <w:autoSpaceDN w:val="0"/>
        <w:adjustRightInd w:val="0"/>
        <w:rPr>
          <w:rFonts w:ascii="Calibri" w:hAnsi="Calibri" w:cs="Calibri"/>
          <w:kern w:val="24"/>
        </w:rPr>
      </w:pPr>
    </w:p>
    <w:p w14:paraId="264ECBA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Most importance placed on:</w:t>
      </w:r>
    </w:p>
    <w:p w14:paraId="264ECBA7"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30 per cent personal traits and qualities only</w:t>
      </w:r>
    </w:p>
    <w:p w14:paraId="264ECBA8"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28 per cent technical skills only</w:t>
      </w:r>
    </w:p>
    <w:p w14:paraId="264ECBA9"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41 per cent both equally important</w:t>
      </w:r>
    </w:p>
    <w:p w14:paraId="264ECBAA" w14:textId="77777777" w:rsidR="00771DF6" w:rsidRPr="00771DF6" w:rsidRDefault="00771DF6" w:rsidP="00265EDA">
      <w:pPr>
        <w:autoSpaceDE w:val="0"/>
        <w:autoSpaceDN w:val="0"/>
        <w:adjustRightInd w:val="0"/>
        <w:ind w:left="426" w:hanging="426"/>
        <w:rPr>
          <w:rFonts w:ascii="Calibri" w:hAnsi="Calibri" w:cs="Calibri"/>
          <w:kern w:val="24"/>
        </w:rPr>
      </w:pPr>
      <w:r w:rsidRPr="00771DF6">
        <w:rPr>
          <w:rFonts w:ascii="Calibri" w:hAnsi="Calibri" w:cs="Calibri"/>
          <w:kern w:val="24"/>
        </w:rPr>
        <w:t> </w:t>
      </w:r>
    </w:p>
    <w:p w14:paraId="264ECBAB" w14:textId="77777777" w:rsidR="00771DF6" w:rsidRPr="00771DF6" w:rsidRDefault="00771DF6" w:rsidP="00265EDA">
      <w:pPr>
        <w:autoSpaceDE w:val="0"/>
        <w:autoSpaceDN w:val="0"/>
        <w:adjustRightInd w:val="0"/>
        <w:ind w:left="426" w:hanging="426"/>
        <w:rPr>
          <w:rFonts w:ascii="Calibri" w:hAnsi="Calibri" w:cs="Calibri"/>
          <w:kern w:val="24"/>
        </w:rPr>
      </w:pPr>
      <w:r w:rsidRPr="00771DF6">
        <w:rPr>
          <w:rFonts w:ascii="Calibri" w:hAnsi="Calibri" w:cs="Calibri"/>
          <w:kern w:val="24"/>
        </w:rPr>
        <w:t>Personal traits and qualities applicants lacked:</w:t>
      </w:r>
    </w:p>
    <w:p w14:paraId="264ECBAC"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Enthusiasm</w:t>
      </w:r>
    </w:p>
    <w:p w14:paraId="264ECBAD"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Motivation</w:t>
      </w:r>
    </w:p>
    <w:p w14:paraId="264ECBAE"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Communication</w:t>
      </w:r>
    </w:p>
    <w:p w14:paraId="264ECBAF"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Confidence</w:t>
      </w:r>
    </w:p>
    <w:p w14:paraId="264ECBB0" w14:textId="77777777" w:rsidR="00771DF6" w:rsidRPr="00771DF6" w:rsidRDefault="00771DF6" w:rsidP="00265EDA">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 xml:space="preserve"> Teamwork</w:t>
      </w:r>
    </w:p>
    <w:p w14:paraId="264ECBB1" w14:textId="77777777" w:rsidR="00771DF6" w:rsidRPr="00771DF6" w:rsidRDefault="00771DF6" w:rsidP="00771DF6">
      <w:pPr>
        <w:autoSpaceDE w:val="0"/>
        <w:autoSpaceDN w:val="0"/>
        <w:adjustRightInd w:val="0"/>
        <w:rPr>
          <w:rFonts w:ascii="Calibri" w:hAnsi="Calibri" w:cs="Calibri"/>
          <w:kern w:val="24"/>
        </w:rPr>
      </w:pPr>
    </w:p>
    <w:p w14:paraId="264ECBB2" w14:textId="77777777" w:rsidR="00771DF6" w:rsidRPr="00771DF6" w:rsidRDefault="00771DF6" w:rsidP="00771DF6">
      <w:pPr>
        <w:autoSpaceDE w:val="0"/>
        <w:autoSpaceDN w:val="0"/>
        <w:adjustRightInd w:val="0"/>
        <w:rPr>
          <w:rFonts w:ascii="Calibri" w:hAnsi="Calibri" w:cs="Calibri"/>
        </w:rPr>
      </w:pPr>
    </w:p>
    <w:p w14:paraId="264ECBB3" w14:textId="77777777" w:rsidR="00771DF6" w:rsidRPr="00771DF6" w:rsidRDefault="00771DF6" w:rsidP="00771DF6">
      <w:pPr>
        <w:spacing w:line="360" w:lineRule="auto"/>
        <w:rPr>
          <w:rFonts w:ascii="Calibri" w:hAnsi="Calibri" w:cs="Calibri"/>
        </w:rPr>
      </w:pPr>
    </w:p>
    <w:p w14:paraId="264ECBB4" w14:textId="77777777" w:rsidR="00771DF6" w:rsidRPr="00771DF6" w:rsidRDefault="00771DF6">
      <w:pPr>
        <w:rPr>
          <w:rFonts w:ascii="Calibri" w:hAnsi="Calibri" w:cs="Calibri"/>
        </w:rPr>
      </w:pPr>
      <w:r w:rsidRPr="00771DF6">
        <w:rPr>
          <w:rFonts w:ascii="Calibri" w:hAnsi="Calibri" w:cs="Calibri"/>
        </w:rPr>
        <w:br w:type="page"/>
      </w:r>
    </w:p>
    <w:p w14:paraId="264ECBB5"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27</w:t>
      </w:r>
    </w:p>
    <w:p w14:paraId="264ECBB6" w14:textId="77777777" w:rsidR="00771DF6" w:rsidRPr="00771DF6" w:rsidRDefault="00771DF6" w:rsidP="00771DF6">
      <w:pPr>
        <w:spacing w:line="360" w:lineRule="auto"/>
        <w:rPr>
          <w:rFonts w:ascii="Calibri" w:hAnsi="Calibri" w:cs="Calibri"/>
        </w:rPr>
      </w:pPr>
    </w:p>
    <w:p w14:paraId="264ECBB7"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B">
          <v:shape id="_x0000_i1051" type="#_x0000_t75" style="width:270.75pt;height:202.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1" DrawAspect="Content" ObjectID="_1429702082" r:id="rId62"/>
        </w:object>
      </w:r>
    </w:p>
    <w:p w14:paraId="264ECBB8" w14:textId="77777777" w:rsidR="00771DF6" w:rsidRPr="00771DF6" w:rsidRDefault="00771DF6" w:rsidP="00771DF6">
      <w:pPr>
        <w:spacing w:line="360" w:lineRule="auto"/>
        <w:jc w:val="center"/>
        <w:rPr>
          <w:rFonts w:ascii="Calibri" w:hAnsi="Calibri" w:cs="Calibri"/>
        </w:rPr>
      </w:pPr>
    </w:p>
    <w:p w14:paraId="264ECBB9"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Occupations difficult to fill</w:t>
      </w:r>
    </w:p>
    <w:p w14:paraId="264ECBBA"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BBB" w14:textId="77777777" w:rsidR="00771DF6" w:rsidRPr="00771DF6" w:rsidRDefault="00771DF6" w:rsidP="00771DF6">
      <w:pPr>
        <w:autoSpaceDE w:val="0"/>
        <w:autoSpaceDN w:val="0"/>
        <w:adjustRightInd w:val="0"/>
        <w:rPr>
          <w:rFonts w:ascii="Calibri" w:hAnsi="Calibri" w:cs="Calibri"/>
          <w:b/>
          <w:bCs/>
          <w:kern w:val="24"/>
          <w:u w:val="single"/>
        </w:rPr>
      </w:pPr>
    </w:p>
    <w:p w14:paraId="264ECBBC"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The following occupations were commonly reported as being difficult to fill:</w:t>
      </w:r>
    </w:p>
    <w:p w14:paraId="264ECBBD" w14:textId="77777777" w:rsidR="00771DF6" w:rsidRPr="00771DF6" w:rsidRDefault="00771DF6" w:rsidP="00771DF6">
      <w:pPr>
        <w:autoSpaceDE w:val="0"/>
        <w:autoSpaceDN w:val="0"/>
        <w:adjustRightInd w:val="0"/>
        <w:rPr>
          <w:rFonts w:ascii="Calibri" w:hAnsi="Calibri" w:cs="Calibri"/>
          <w:b/>
          <w:bCs/>
          <w:kern w:val="24"/>
          <w:u w:val="single"/>
        </w:rPr>
      </w:pPr>
    </w:p>
    <w:p w14:paraId="264ECBBE"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b/>
          <w:bCs/>
          <w:kern w:val="24"/>
        </w:rPr>
        <w:t>Bachelor Degree or Higher VET Qualifications</w:t>
      </w:r>
    </w:p>
    <w:p w14:paraId="264ECBBF"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Registered Nurses</w:t>
      </w:r>
    </w:p>
    <w:p w14:paraId="264ECBC0"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Generalist Medical Practitioners</w:t>
      </w:r>
    </w:p>
    <w:p w14:paraId="264ECBC1"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Chefs</w:t>
      </w:r>
    </w:p>
    <w:p w14:paraId="264ECBC2"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Motor Mechanics</w:t>
      </w:r>
    </w:p>
    <w:p w14:paraId="264ECBC3" w14:textId="77777777" w:rsidR="00771DF6" w:rsidRPr="00771DF6" w:rsidRDefault="00771DF6" w:rsidP="00771DF6">
      <w:pPr>
        <w:autoSpaceDE w:val="0"/>
        <w:autoSpaceDN w:val="0"/>
        <w:adjustRightInd w:val="0"/>
        <w:rPr>
          <w:rFonts w:ascii="Calibri" w:hAnsi="Calibri" w:cs="Calibri"/>
          <w:b/>
          <w:bCs/>
          <w:kern w:val="24"/>
          <w:u w:val="single"/>
        </w:rPr>
      </w:pPr>
    </w:p>
    <w:p w14:paraId="264ECBC4"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b/>
          <w:bCs/>
          <w:kern w:val="24"/>
        </w:rPr>
        <w:t>Other occupations</w:t>
      </w:r>
    </w:p>
    <w:p w14:paraId="264ECBC5"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Receptionists</w:t>
      </w:r>
    </w:p>
    <w:p w14:paraId="264ECBC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Kitchenhands</w:t>
      </w:r>
    </w:p>
    <w:p w14:paraId="264ECBC7"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Bar Attendants and Baristas</w:t>
      </w:r>
    </w:p>
    <w:p w14:paraId="264ECBC8" w14:textId="77777777" w:rsidR="00771DF6" w:rsidRPr="00771DF6" w:rsidRDefault="00771DF6" w:rsidP="00771DF6">
      <w:pPr>
        <w:autoSpaceDE w:val="0"/>
        <w:autoSpaceDN w:val="0"/>
        <w:adjustRightInd w:val="0"/>
        <w:rPr>
          <w:rFonts w:ascii="Calibri" w:hAnsi="Calibri" w:cs="Calibri"/>
          <w:kern w:val="24"/>
        </w:rPr>
      </w:pPr>
    </w:p>
    <w:p w14:paraId="264ECBC9" w14:textId="77777777" w:rsidR="00771DF6" w:rsidRPr="00771DF6" w:rsidRDefault="00771DF6" w:rsidP="00771DF6">
      <w:pPr>
        <w:autoSpaceDE w:val="0"/>
        <w:autoSpaceDN w:val="0"/>
        <w:adjustRightInd w:val="0"/>
        <w:rPr>
          <w:rFonts w:ascii="Calibri" w:hAnsi="Calibri" w:cs="Calibri"/>
          <w:b/>
          <w:bCs/>
          <w:kern w:val="24"/>
          <w:u w:val="single"/>
        </w:rPr>
      </w:pPr>
    </w:p>
    <w:p w14:paraId="264ECBCA" w14:textId="77777777" w:rsidR="00771DF6" w:rsidRPr="00771DF6" w:rsidRDefault="00771DF6" w:rsidP="00771DF6">
      <w:pPr>
        <w:autoSpaceDE w:val="0"/>
        <w:autoSpaceDN w:val="0"/>
        <w:adjustRightInd w:val="0"/>
        <w:rPr>
          <w:rFonts w:ascii="Calibri" w:hAnsi="Calibri" w:cs="Calibri"/>
        </w:rPr>
      </w:pPr>
    </w:p>
    <w:p w14:paraId="264ECBCB" w14:textId="77777777" w:rsidR="00771DF6" w:rsidRPr="00771DF6" w:rsidRDefault="00771DF6" w:rsidP="00771DF6">
      <w:pPr>
        <w:spacing w:line="360" w:lineRule="auto"/>
        <w:rPr>
          <w:rFonts w:ascii="Calibri" w:hAnsi="Calibri" w:cs="Calibri"/>
        </w:rPr>
      </w:pPr>
    </w:p>
    <w:p w14:paraId="264ECBCC" w14:textId="77777777" w:rsidR="00771DF6" w:rsidRPr="00771DF6" w:rsidRDefault="00771DF6">
      <w:pPr>
        <w:rPr>
          <w:rFonts w:ascii="Calibri" w:hAnsi="Calibri" w:cs="Calibri"/>
        </w:rPr>
      </w:pPr>
      <w:r w:rsidRPr="00771DF6">
        <w:rPr>
          <w:rFonts w:ascii="Calibri" w:hAnsi="Calibri" w:cs="Calibri"/>
        </w:rPr>
        <w:br w:type="page"/>
      </w:r>
    </w:p>
    <w:p w14:paraId="264ECBCD"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28</w:t>
      </w:r>
    </w:p>
    <w:p w14:paraId="264ECBCE" w14:textId="77777777" w:rsidR="00771DF6" w:rsidRPr="00771DF6" w:rsidRDefault="00771DF6" w:rsidP="00771DF6">
      <w:pPr>
        <w:spacing w:line="360" w:lineRule="auto"/>
        <w:rPr>
          <w:rFonts w:ascii="Calibri" w:hAnsi="Calibri" w:cs="Calibri"/>
        </w:rPr>
      </w:pPr>
    </w:p>
    <w:p w14:paraId="264ECBCF"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C">
          <v:shape id="_x0000_i1052" type="#_x0000_t75" style="width:270.75pt;height:202.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2" DrawAspect="Content" ObjectID="_1429702083" r:id="rId64"/>
        </w:object>
      </w:r>
    </w:p>
    <w:p w14:paraId="264ECBD0" w14:textId="77777777" w:rsidR="00771DF6" w:rsidRPr="00771DF6" w:rsidRDefault="00771DF6" w:rsidP="00771DF6">
      <w:pPr>
        <w:spacing w:line="360" w:lineRule="auto"/>
        <w:jc w:val="center"/>
        <w:rPr>
          <w:rFonts w:ascii="Calibri" w:hAnsi="Calibri" w:cs="Calibri"/>
        </w:rPr>
      </w:pPr>
    </w:p>
    <w:p w14:paraId="264ECBD1"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Apprentices and Trainees</w:t>
      </w:r>
    </w:p>
    <w:p w14:paraId="264ECBD2"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Source: DEEWR, Survey of Employers’ Recruitment Experiences, Southern Wide Bay-Burnett PEA, November 2012 and All regions surveyed in the 12 months to September 2012</w:t>
      </w:r>
    </w:p>
    <w:p w14:paraId="264ECBD3" w14:textId="77777777" w:rsidR="00771DF6" w:rsidRPr="00771DF6" w:rsidRDefault="00771DF6" w:rsidP="00771DF6">
      <w:pPr>
        <w:autoSpaceDE w:val="0"/>
        <w:autoSpaceDN w:val="0"/>
        <w:adjustRightInd w:val="0"/>
        <w:rPr>
          <w:rFonts w:ascii="Calibri" w:hAnsi="Calibri" w:cs="Calibri"/>
          <w:kern w:val="24"/>
        </w:rPr>
      </w:pPr>
    </w:p>
    <w:p w14:paraId="264ECBD4" w14:textId="77777777" w:rsidR="00771DF6" w:rsidRPr="00771DF6" w:rsidRDefault="00771DF6" w:rsidP="00265EDA">
      <w:pPr>
        <w:numPr>
          <w:ilvl w:val="0"/>
          <w:numId w:val="5"/>
        </w:numPr>
        <w:autoSpaceDE w:val="0"/>
        <w:autoSpaceDN w:val="0"/>
        <w:adjustRightInd w:val="0"/>
        <w:ind w:left="426" w:hanging="426"/>
        <w:rPr>
          <w:rFonts w:ascii="Calibri" w:hAnsi="Calibri" w:cs="Calibri"/>
          <w:kern w:val="24"/>
        </w:rPr>
      </w:pPr>
      <w:r w:rsidRPr="00771DF6">
        <w:rPr>
          <w:rFonts w:ascii="Calibri" w:hAnsi="Calibri" w:cs="Calibri"/>
          <w:kern w:val="24"/>
        </w:rPr>
        <w:t>Almost one in four employers had an apprentice or trainee when the survey was undertaken (32% for all regions)</w:t>
      </w:r>
    </w:p>
    <w:p w14:paraId="264ECBD5" w14:textId="77777777" w:rsidR="00771DF6" w:rsidRPr="00771DF6" w:rsidRDefault="00771DF6" w:rsidP="00265EDA">
      <w:pPr>
        <w:numPr>
          <w:ilvl w:val="0"/>
          <w:numId w:val="5"/>
        </w:numPr>
        <w:autoSpaceDE w:val="0"/>
        <w:autoSpaceDN w:val="0"/>
        <w:adjustRightInd w:val="0"/>
        <w:ind w:left="426" w:hanging="426"/>
        <w:rPr>
          <w:rFonts w:ascii="Calibri" w:hAnsi="Calibri" w:cs="Calibri"/>
          <w:kern w:val="24"/>
        </w:rPr>
      </w:pPr>
      <w:r w:rsidRPr="00771DF6">
        <w:rPr>
          <w:rFonts w:ascii="Calibri" w:hAnsi="Calibri" w:cs="Calibri"/>
          <w:kern w:val="24"/>
        </w:rPr>
        <w:t>26% of these employers reported they had experienced challenges</w:t>
      </w:r>
    </w:p>
    <w:p w14:paraId="264ECBD6" w14:textId="77777777" w:rsidR="00771DF6" w:rsidRPr="00771DF6" w:rsidRDefault="00771DF6" w:rsidP="00265EDA">
      <w:pPr>
        <w:numPr>
          <w:ilvl w:val="0"/>
          <w:numId w:val="5"/>
        </w:numPr>
        <w:autoSpaceDE w:val="0"/>
        <w:autoSpaceDN w:val="0"/>
        <w:adjustRightInd w:val="0"/>
        <w:ind w:left="426" w:hanging="426"/>
        <w:rPr>
          <w:rFonts w:ascii="Calibri" w:hAnsi="Calibri" w:cs="Calibri"/>
          <w:kern w:val="24"/>
        </w:rPr>
      </w:pPr>
      <w:r w:rsidRPr="00771DF6">
        <w:rPr>
          <w:rFonts w:ascii="Calibri" w:hAnsi="Calibri" w:cs="Calibri"/>
          <w:kern w:val="24"/>
        </w:rPr>
        <w:t>Challenges commonly reported:</w:t>
      </w:r>
    </w:p>
    <w:p w14:paraId="264ECBD7" w14:textId="77777777" w:rsidR="00265EDA" w:rsidRDefault="00771DF6" w:rsidP="00265EDA">
      <w:pPr>
        <w:pStyle w:val="ListParagraph"/>
        <w:numPr>
          <w:ilvl w:val="0"/>
          <w:numId w:val="10"/>
        </w:numPr>
        <w:autoSpaceDE w:val="0"/>
        <w:autoSpaceDN w:val="0"/>
        <w:adjustRightInd w:val="0"/>
        <w:rPr>
          <w:rFonts w:ascii="Calibri" w:hAnsi="Calibri" w:cs="Calibri"/>
          <w:kern w:val="24"/>
        </w:rPr>
      </w:pPr>
      <w:r w:rsidRPr="00265EDA">
        <w:rPr>
          <w:rFonts w:ascii="Calibri" w:hAnsi="Calibri" w:cs="Calibri"/>
          <w:kern w:val="24"/>
        </w:rPr>
        <w:t>apprentices and trainees lacked work readiness (38%)</w:t>
      </w:r>
    </w:p>
    <w:p w14:paraId="264ECBD8" w14:textId="77777777" w:rsidR="00771DF6" w:rsidRPr="00265EDA" w:rsidRDefault="00771DF6" w:rsidP="00265EDA">
      <w:pPr>
        <w:pStyle w:val="ListParagraph"/>
        <w:numPr>
          <w:ilvl w:val="0"/>
          <w:numId w:val="10"/>
        </w:numPr>
        <w:autoSpaceDE w:val="0"/>
        <w:autoSpaceDN w:val="0"/>
        <w:adjustRightInd w:val="0"/>
        <w:rPr>
          <w:rFonts w:ascii="Calibri" w:hAnsi="Calibri" w:cs="Calibri"/>
          <w:kern w:val="24"/>
        </w:rPr>
      </w:pPr>
      <w:r w:rsidRPr="00265EDA">
        <w:rPr>
          <w:rFonts w:ascii="Calibri" w:hAnsi="Calibri" w:cs="Calibri"/>
          <w:kern w:val="24"/>
        </w:rPr>
        <w:t>Quality/service of the mandatory training organisation/s (21%)</w:t>
      </w:r>
    </w:p>
    <w:p w14:paraId="264ECBD9" w14:textId="77777777" w:rsidR="00771DF6" w:rsidRPr="00771DF6" w:rsidRDefault="00771DF6" w:rsidP="00265EDA">
      <w:pPr>
        <w:numPr>
          <w:ilvl w:val="0"/>
          <w:numId w:val="5"/>
        </w:numPr>
        <w:autoSpaceDE w:val="0"/>
        <w:autoSpaceDN w:val="0"/>
        <w:adjustRightInd w:val="0"/>
        <w:ind w:left="426" w:hanging="426"/>
        <w:rPr>
          <w:rFonts w:ascii="Calibri" w:hAnsi="Calibri" w:cs="Calibri"/>
          <w:kern w:val="24"/>
        </w:rPr>
      </w:pPr>
      <w:r w:rsidRPr="00771DF6">
        <w:rPr>
          <w:rFonts w:ascii="Calibri" w:hAnsi="Calibri" w:cs="Calibri"/>
          <w:kern w:val="24"/>
        </w:rPr>
        <w:t xml:space="preserve">Only </w:t>
      </w:r>
      <w:r w:rsidRPr="00771DF6">
        <w:rPr>
          <w:rFonts w:ascii="Calibri" w:hAnsi="Calibri" w:cs="Calibri"/>
          <w:kern w:val="24"/>
          <w:u w:val="single"/>
        </w:rPr>
        <w:t xml:space="preserve">13% of businesses </w:t>
      </w:r>
      <w:r w:rsidRPr="00771DF6">
        <w:rPr>
          <w:rFonts w:ascii="Calibri" w:hAnsi="Calibri" w:cs="Calibri"/>
          <w:kern w:val="24"/>
        </w:rPr>
        <w:t>in the PEA expected to recruit at least one apprentice or trainee in the 12 months following the survey (21% in all regions)</w:t>
      </w:r>
    </w:p>
    <w:p w14:paraId="264ECBDA" w14:textId="77777777" w:rsidR="00771DF6" w:rsidRPr="00771DF6" w:rsidRDefault="00771DF6" w:rsidP="00771DF6">
      <w:pPr>
        <w:autoSpaceDE w:val="0"/>
        <w:autoSpaceDN w:val="0"/>
        <w:adjustRightInd w:val="0"/>
        <w:rPr>
          <w:rFonts w:ascii="Calibri" w:hAnsi="Calibri" w:cs="Calibri"/>
          <w:kern w:val="24"/>
        </w:rPr>
      </w:pPr>
    </w:p>
    <w:p w14:paraId="264ECBDB" w14:textId="77777777" w:rsidR="00771DF6" w:rsidRPr="00771DF6" w:rsidRDefault="00771DF6" w:rsidP="00771DF6">
      <w:pPr>
        <w:autoSpaceDE w:val="0"/>
        <w:autoSpaceDN w:val="0"/>
        <w:adjustRightInd w:val="0"/>
        <w:rPr>
          <w:rFonts w:ascii="Calibri" w:hAnsi="Calibri" w:cs="Calibri"/>
          <w:kern w:val="24"/>
        </w:rPr>
      </w:pPr>
    </w:p>
    <w:p w14:paraId="264ECBDC" w14:textId="77777777" w:rsidR="00771DF6" w:rsidRPr="00771DF6" w:rsidRDefault="00771DF6" w:rsidP="00771DF6">
      <w:pPr>
        <w:autoSpaceDE w:val="0"/>
        <w:autoSpaceDN w:val="0"/>
        <w:adjustRightInd w:val="0"/>
        <w:rPr>
          <w:rFonts w:ascii="Calibri" w:hAnsi="Calibri" w:cs="Calibri"/>
        </w:rPr>
      </w:pPr>
    </w:p>
    <w:p w14:paraId="264ECBDD" w14:textId="77777777" w:rsidR="00771DF6" w:rsidRPr="00771DF6" w:rsidRDefault="00771DF6" w:rsidP="00771DF6">
      <w:pPr>
        <w:spacing w:line="360" w:lineRule="auto"/>
        <w:rPr>
          <w:rFonts w:ascii="Calibri" w:hAnsi="Calibri" w:cs="Calibri"/>
        </w:rPr>
      </w:pPr>
    </w:p>
    <w:p w14:paraId="264ECBDE" w14:textId="77777777" w:rsidR="00771DF6" w:rsidRPr="00771DF6" w:rsidRDefault="00771DF6">
      <w:pPr>
        <w:rPr>
          <w:rFonts w:ascii="Calibri" w:hAnsi="Calibri" w:cs="Calibri"/>
        </w:rPr>
      </w:pPr>
      <w:r w:rsidRPr="00771DF6">
        <w:rPr>
          <w:rFonts w:ascii="Calibri" w:hAnsi="Calibri" w:cs="Calibri"/>
        </w:rPr>
        <w:br w:type="page"/>
      </w:r>
    </w:p>
    <w:p w14:paraId="264ECBDF"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29</w:t>
      </w:r>
    </w:p>
    <w:p w14:paraId="264ECBE0" w14:textId="77777777" w:rsidR="00771DF6" w:rsidRPr="00771DF6" w:rsidRDefault="00771DF6" w:rsidP="00771DF6">
      <w:pPr>
        <w:spacing w:line="360" w:lineRule="auto"/>
        <w:rPr>
          <w:rFonts w:ascii="Calibri" w:hAnsi="Calibri" w:cs="Calibri"/>
        </w:rPr>
      </w:pPr>
    </w:p>
    <w:p w14:paraId="264ECBE1"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D">
          <v:shape id="_x0000_i1053" type="#_x0000_t75" style="width:270.75pt;height:202.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3" DrawAspect="Content" ObjectID="_1429702084" r:id="rId66"/>
        </w:object>
      </w:r>
    </w:p>
    <w:p w14:paraId="264ECBE2" w14:textId="77777777" w:rsidR="00771DF6" w:rsidRPr="00771DF6" w:rsidRDefault="00771DF6" w:rsidP="00771DF6">
      <w:pPr>
        <w:spacing w:line="360" w:lineRule="auto"/>
        <w:jc w:val="center"/>
        <w:rPr>
          <w:rFonts w:ascii="Calibri" w:hAnsi="Calibri" w:cs="Calibri"/>
        </w:rPr>
      </w:pPr>
    </w:p>
    <w:p w14:paraId="264ECBE3"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High use of informal recruitment methods</w:t>
      </w:r>
    </w:p>
    <w:p w14:paraId="264ECBE4"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BE5" w14:textId="77777777" w:rsidR="00771DF6" w:rsidRPr="00771DF6" w:rsidRDefault="00771DF6" w:rsidP="00771DF6">
      <w:pPr>
        <w:autoSpaceDE w:val="0"/>
        <w:autoSpaceDN w:val="0"/>
        <w:adjustRightInd w:val="0"/>
        <w:rPr>
          <w:rFonts w:ascii="Calibri" w:hAnsi="Calibri" w:cs="Calibri"/>
          <w:i/>
          <w:iCs/>
          <w:kern w:val="24"/>
        </w:rPr>
      </w:pPr>
    </w:p>
    <w:p w14:paraId="264ECBE6"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Almost half of employers (49 per cent) in the Southern Wide Bay-Burnett PEA used informal methods </w:t>
      </w:r>
      <w:r w:rsidRPr="00771DF6">
        <w:rPr>
          <w:rFonts w:ascii="Calibri" w:hAnsi="Calibri" w:cs="Calibri"/>
          <w:i/>
          <w:iCs/>
          <w:kern w:val="24"/>
        </w:rPr>
        <w:t xml:space="preserve">only </w:t>
      </w:r>
      <w:r w:rsidRPr="00771DF6">
        <w:rPr>
          <w:rFonts w:ascii="Calibri" w:hAnsi="Calibri" w:cs="Calibri"/>
          <w:kern w:val="24"/>
        </w:rPr>
        <w:t xml:space="preserve">in their most recent recruitment round. </w:t>
      </w:r>
    </w:p>
    <w:p w14:paraId="264ECBE7" w14:textId="77777777" w:rsidR="00771DF6" w:rsidRPr="00771DF6" w:rsidRDefault="00771DF6" w:rsidP="00771DF6">
      <w:pPr>
        <w:autoSpaceDE w:val="0"/>
        <w:autoSpaceDN w:val="0"/>
        <w:adjustRightInd w:val="0"/>
        <w:rPr>
          <w:rFonts w:ascii="Calibri" w:hAnsi="Calibri" w:cs="Calibri"/>
          <w:kern w:val="24"/>
        </w:rPr>
      </w:pPr>
    </w:p>
    <w:p w14:paraId="264ECBE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 xml:space="preserve">The informal recruitment methods most commonly used were: </w:t>
      </w:r>
    </w:p>
    <w:p w14:paraId="264ECBE9" w14:textId="77777777" w:rsidR="00771DF6" w:rsidRPr="00771DF6" w:rsidRDefault="00771DF6" w:rsidP="00771DF6">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Word of mouth/approached the jobseeker</w:t>
      </w:r>
    </w:p>
    <w:p w14:paraId="264ECBEA" w14:textId="77777777" w:rsidR="00771DF6" w:rsidRPr="00771DF6" w:rsidRDefault="00771DF6" w:rsidP="00771DF6">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Employer was approached by the jobseeker</w:t>
      </w:r>
    </w:p>
    <w:p w14:paraId="264ECBEB" w14:textId="77777777" w:rsidR="00771DF6" w:rsidRPr="00771DF6" w:rsidRDefault="00771DF6" w:rsidP="00771DF6">
      <w:pPr>
        <w:numPr>
          <w:ilvl w:val="0"/>
          <w:numId w:val="3"/>
        </w:numPr>
        <w:autoSpaceDE w:val="0"/>
        <w:autoSpaceDN w:val="0"/>
        <w:adjustRightInd w:val="0"/>
        <w:ind w:left="426" w:hanging="426"/>
        <w:rPr>
          <w:rFonts w:ascii="Calibri" w:hAnsi="Calibri" w:cs="Calibri"/>
          <w:kern w:val="24"/>
        </w:rPr>
      </w:pPr>
      <w:r w:rsidRPr="00771DF6">
        <w:rPr>
          <w:rFonts w:ascii="Calibri" w:hAnsi="Calibri" w:cs="Calibri"/>
          <w:kern w:val="24"/>
        </w:rPr>
        <w:t>Sign in the window/billboard</w:t>
      </w:r>
    </w:p>
    <w:p w14:paraId="264ECBEC" w14:textId="77777777" w:rsidR="00771DF6" w:rsidRPr="00771DF6" w:rsidRDefault="00771DF6" w:rsidP="00771DF6">
      <w:pPr>
        <w:autoSpaceDE w:val="0"/>
        <w:autoSpaceDN w:val="0"/>
        <w:adjustRightInd w:val="0"/>
        <w:rPr>
          <w:rFonts w:ascii="Calibri" w:hAnsi="Calibri" w:cs="Calibri"/>
          <w:kern w:val="24"/>
        </w:rPr>
      </w:pPr>
    </w:p>
    <w:p w14:paraId="264ECBED" w14:textId="77777777" w:rsidR="00771DF6" w:rsidRPr="00771DF6" w:rsidRDefault="00771DF6" w:rsidP="00771DF6">
      <w:pPr>
        <w:autoSpaceDE w:val="0"/>
        <w:autoSpaceDN w:val="0"/>
        <w:adjustRightInd w:val="0"/>
        <w:rPr>
          <w:rFonts w:ascii="Calibri" w:hAnsi="Calibri" w:cs="Calibri"/>
          <w:kern w:val="24"/>
        </w:rPr>
      </w:pPr>
    </w:p>
    <w:p w14:paraId="264ECBEE" w14:textId="77777777" w:rsidR="00771DF6" w:rsidRPr="00771DF6" w:rsidRDefault="00771DF6" w:rsidP="00771DF6">
      <w:pPr>
        <w:autoSpaceDE w:val="0"/>
        <w:autoSpaceDN w:val="0"/>
        <w:adjustRightInd w:val="0"/>
        <w:rPr>
          <w:rFonts w:ascii="Calibri" w:hAnsi="Calibri" w:cs="Calibri"/>
        </w:rPr>
      </w:pPr>
    </w:p>
    <w:p w14:paraId="264ECBEF" w14:textId="77777777" w:rsidR="00771DF6" w:rsidRPr="00771DF6" w:rsidRDefault="00771DF6" w:rsidP="00771DF6">
      <w:pPr>
        <w:spacing w:line="360" w:lineRule="auto"/>
        <w:rPr>
          <w:rFonts w:ascii="Calibri" w:hAnsi="Calibri" w:cs="Calibri"/>
        </w:rPr>
      </w:pPr>
    </w:p>
    <w:p w14:paraId="264ECBF0" w14:textId="77777777" w:rsidR="00771DF6" w:rsidRPr="00771DF6" w:rsidRDefault="00771DF6">
      <w:pPr>
        <w:rPr>
          <w:rFonts w:ascii="Calibri" w:hAnsi="Calibri" w:cs="Calibri"/>
        </w:rPr>
      </w:pPr>
      <w:r w:rsidRPr="00771DF6">
        <w:rPr>
          <w:rFonts w:ascii="Calibri" w:hAnsi="Calibri" w:cs="Calibri"/>
        </w:rPr>
        <w:br w:type="page"/>
      </w:r>
    </w:p>
    <w:p w14:paraId="264ECBF1"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30</w:t>
      </w:r>
    </w:p>
    <w:p w14:paraId="264ECBF2" w14:textId="77777777" w:rsidR="00771DF6" w:rsidRPr="00771DF6" w:rsidRDefault="00771DF6" w:rsidP="00771DF6">
      <w:pPr>
        <w:spacing w:line="360" w:lineRule="auto"/>
        <w:rPr>
          <w:rFonts w:ascii="Calibri" w:hAnsi="Calibri" w:cs="Calibri"/>
        </w:rPr>
      </w:pPr>
    </w:p>
    <w:p w14:paraId="264ECBF3"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E">
          <v:shape id="_x0000_i1054" type="#_x0000_t75" style="width:270.75pt;height:202.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4" DrawAspect="Content" ObjectID="_1429702085" r:id="rId68"/>
        </w:object>
      </w:r>
    </w:p>
    <w:p w14:paraId="264ECBF4" w14:textId="77777777" w:rsidR="00771DF6" w:rsidRPr="00771DF6" w:rsidRDefault="00771DF6" w:rsidP="00771DF6">
      <w:pPr>
        <w:spacing w:line="360" w:lineRule="auto"/>
        <w:jc w:val="center"/>
        <w:rPr>
          <w:rFonts w:ascii="Calibri" w:hAnsi="Calibri" w:cs="Calibri"/>
        </w:rPr>
      </w:pPr>
    </w:p>
    <w:p w14:paraId="264ECBF5"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Future recruitment expectations for the 12 months following the survey</w:t>
      </w:r>
    </w:p>
    <w:p w14:paraId="264ECBF6"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BF7" w14:textId="77777777" w:rsidR="00771DF6" w:rsidRPr="00771DF6" w:rsidRDefault="00771DF6" w:rsidP="00771DF6">
      <w:pPr>
        <w:autoSpaceDE w:val="0"/>
        <w:autoSpaceDN w:val="0"/>
        <w:adjustRightInd w:val="0"/>
        <w:rPr>
          <w:rFonts w:ascii="Calibri" w:hAnsi="Calibri" w:cs="Calibri"/>
          <w:kern w:val="24"/>
        </w:rPr>
      </w:pPr>
    </w:p>
    <w:p w14:paraId="264ECBF8" w14:textId="77777777" w:rsidR="00265EDA" w:rsidRDefault="00771DF6" w:rsidP="00265EDA">
      <w:pPr>
        <w:numPr>
          <w:ilvl w:val="0"/>
          <w:numId w:val="7"/>
        </w:numPr>
        <w:autoSpaceDE w:val="0"/>
        <w:autoSpaceDN w:val="0"/>
        <w:adjustRightInd w:val="0"/>
        <w:ind w:left="426" w:hanging="426"/>
        <w:rPr>
          <w:rFonts w:ascii="Calibri" w:hAnsi="Calibri" w:cs="Calibri"/>
          <w:kern w:val="24"/>
        </w:rPr>
      </w:pPr>
      <w:r w:rsidRPr="00771DF6">
        <w:rPr>
          <w:rFonts w:ascii="Calibri" w:hAnsi="Calibri" w:cs="Calibri"/>
          <w:kern w:val="24"/>
        </w:rPr>
        <w:t>Fewer employers expect to recruit in the future (32 per cent) compared with all regions surveyed (47 per cent)</w:t>
      </w:r>
    </w:p>
    <w:p w14:paraId="264ECBF9" w14:textId="77777777" w:rsidR="00771DF6" w:rsidRPr="00265EDA" w:rsidRDefault="00771DF6" w:rsidP="00265EDA">
      <w:pPr>
        <w:pStyle w:val="ListParagraph"/>
        <w:numPr>
          <w:ilvl w:val="0"/>
          <w:numId w:val="10"/>
        </w:numPr>
        <w:autoSpaceDE w:val="0"/>
        <w:autoSpaceDN w:val="0"/>
        <w:adjustRightInd w:val="0"/>
        <w:rPr>
          <w:rFonts w:ascii="Calibri" w:hAnsi="Calibri" w:cs="Calibri"/>
          <w:kern w:val="24"/>
        </w:rPr>
      </w:pPr>
      <w:r w:rsidRPr="00265EDA">
        <w:rPr>
          <w:rFonts w:ascii="Calibri" w:hAnsi="Calibri" w:cs="Calibri"/>
          <w:kern w:val="24"/>
        </w:rPr>
        <w:t xml:space="preserve">Plans to recruit to increase staff numbers was highest in the Manufacturing and Accommodation and Food Services industries </w:t>
      </w:r>
    </w:p>
    <w:p w14:paraId="264ECBFA" w14:textId="77777777" w:rsidR="00771DF6" w:rsidRPr="00771DF6" w:rsidRDefault="0038306E" w:rsidP="00265EDA">
      <w:pPr>
        <w:numPr>
          <w:ilvl w:val="0"/>
          <w:numId w:val="7"/>
        </w:numPr>
        <w:autoSpaceDE w:val="0"/>
        <w:autoSpaceDN w:val="0"/>
        <w:adjustRightInd w:val="0"/>
        <w:ind w:left="426" w:hanging="426"/>
        <w:rPr>
          <w:rFonts w:ascii="Calibri" w:hAnsi="Calibri" w:cs="Calibri"/>
          <w:kern w:val="24"/>
        </w:rPr>
      </w:pPr>
      <w:r>
        <w:rPr>
          <w:rFonts w:ascii="Calibri" w:hAnsi="Calibri" w:cs="Calibri"/>
          <w:kern w:val="24"/>
        </w:rPr>
        <w:t>Those employers</w:t>
      </w:r>
      <w:r w:rsidR="00771DF6" w:rsidRPr="00771DF6">
        <w:rPr>
          <w:rFonts w:ascii="Calibri" w:hAnsi="Calibri" w:cs="Calibri"/>
          <w:kern w:val="24"/>
        </w:rPr>
        <w:t xml:space="preserve"> recruiting are expecting more difficulty (44 per cent) compared with </w:t>
      </w:r>
      <w:r>
        <w:rPr>
          <w:rFonts w:ascii="Calibri" w:hAnsi="Calibri" w:cs="Calibri"/>
          <w:kern w:val="24"/>
        </w:rPr>
        <w:t xml:space="preserve">the </w:t>
      </w:r>
      <w:r w:rsidR="00771DF6" w:rsidRPr="00771DF6">
        <w:rPr>
          <w:rFonts w:ascii="Calibri" w:hAnsi="Calibri" w:cs="Calibri"/>
          <w:kern w:val="24"/>
        </w:rPr>
        <w:t>2010 survey (36 per cent)</w:t>
      </w:r>
    </w:p>
    <w:p w14:paraId="264ECBFB" w14:textId="77777777" w:rsidR="00265EDA" w:rsidRDefault="00771DF6" w:rsidP="00265EDA">
      <w:pPr>
        <w:numPr>
          <w:ilvl w:val="0"/>
          <w:numId w:val="7"/>
        </w:numPr>
        <w:autoSpaceDE w:val="0"/>
        <w:autoSpaceDN w:val="0"/>
        <w:adjustRightInd w:val="0"/>
        <w:ind w:left="426" w:hanging="426"/>
        <w:rPr>
          <w:rFonts w:ascii="Calibri" w:hAnsi="Calibri" w:cs="Calibri"/>
          <w:kern w:val="24"/>
        </w:rPr>
      </w:pPr>
      <w:r w:rsidRPr="00771DF6">
        <w:rPr>
          <w:rFonts w:ascii="Calibri" w:hAnsi="Calibri" w:cs="Calibri"/>
          <w:kern w:val="24"/>
        </w:rPr>
        <w:t>Over half of employers (57 per cent) anticipate challenges in the next year</w:t>
      </w:r>
    </w:p>
    <w:p w14:paraId="264ECBFC" w14:textId="77777777" w:rsidR="00771DF6" w:rsidRPr="00265EDA" w:rsidRDefault="00771DF6" w:rsidP="00265EDA">
      <w:pPr>
        <w:pStyle w:val="ListParagraph"/>
        <w:numPr>
          <w:ilvl w:val="0"/>
          <w:numId w:val="10"/>
        </w:numPr>
        <w:autoSpaceDE w:val="0"/>
        <w:autoSpaceDN w:val="0"/>
        <w:adjustRightInd w:val="0"/>
        <w:rPr>
          <w:rFonts w:ascii="Calibri" w:hAnsi="Calibri" w:cs="Calibri"/>
          <w:kern w:val="24"/>
        </w:rPr>
      </w:pPr>
      <w:r w:rsidRPr="00265EDA">
        <w:rPr>
          <w:rFonts w:ascii="Calibri" w:hAnsi="Calibri" w:cs="Calibri"/>
          <w:kern w:val="24"/>
        </w:rPr>
        <w:t>Of these employers half said that reduced business activity/customers was their biggest concern</w:t>
      </w:r>
    </w:p>
    <w:p w14:paraId="264ECBFD" w14:textId="77777777" w:rsidR="00771DF6" w:rsidRPr="00771DF6" w:rsidRDefault="00771DF6" w:rsidP="00771DF6">
      <w:pPr>
        <w:autoSpaceDE w:val="0"/>
        <w:autoSpaceDN w:val="0"/>
        <w:adjustRightInd w:val="0"/>
        <w:rPr>
          <w:rFonts w:ascii="Calibri" w:hAnsi="Calibri" w:cs="Calibri"/>
          <w:kern w:val="24"/>
        </w:rPr>
      </w:pPr>
    </w:p>
    <w:p w14:paraId="264ECBFE" w14:textId="77777777" w:rsidR="00771DF6" w:rsidRPr="00771DF6" w:rsidRDefault="00771DF6" w:rsidP="00771DF6">
      <w:pPr>
        <w:autoSpaceDE w:val="0"/>
        <w:autoSpaceDN w:val="0"/>
        <w:adjustRightInd w:val="0"/>
        <w:rPr>
          <w:rFonts w:ascii="Calibri" w:hAnsi="Calibri" w:cs="Calibri"/>
        </w:rPr>
      </w:pPr>
    </w:p>
    <w:p w14:paraId="264ECBFF" w14:textId="77777777" w:rsidR="00771DF6" w:rsidRPr="00771DF6" w:rsidRDefault="00771DF6" w:rsidP="00771DF6">
      <w:pPr>
        <w:spacing w:line="360" w:lineRule="auto"/>
        <w:rPr>
          <w:rFonts w:ascii="Calibri" w:hAnsi="Calibri" w:cs="Calibri"/>
        </w:rPr>
      </w:pPr>
    </w:p>
    <w:p w14:paraId="264ECC00" w14:textId="77777777" w:rsidR="00771DF6" w:rsidRPr="00771DF6" w:rsidRDefault="00771DF6">
      <w:pPr>
        <w:rPr>
          <w:rFonts w:ascii="Calibri" w:hAnsi="Calibri" w:cs="Calibri"/>
        </w:rPr>
      </w:pPr>
      <w:r w:rsidRPr="00771DF6">
        <w:rPr>
          <w:rFonts w:ascii="Calibri" w:hAnsi="Calibri" w:cs="Calibri"/>
        </w:rPr>
        <w:br w:type="page"/>
      </w:r>
    </w:p>
    <w:p w14:paraId="264ECC01"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31</w:t>
      </w:r>
    </w:p>
    <w:p w14:paraId="264ECC02" w14:textId="77777777" w:rsidR="00771DF6" w:rsidRPr="00771DF6" w:rsidRDefault="00771DF6" w:rsidP="00771DF6">
      <w:pPr>
        <w:spacing w:line="360" w:lineRule="auto"/>
        <w:rPr>
          <w:rFonts w:ascii="Calibri" w:hAnsi="Calibri" w:cs="Calibri"/>
        </w:rPr>
      </w:pPr>
    </w:p>
    <w:p w14:paraId="264ECC03"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5F">
          <v:shape id="_x0000_i1055" type="#_x0000_t75" style="width:270.75pt;height:202.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5" DrawAspect="Content" ObjectID="_1429702086" r:id="rId70"/>
        </w:object>
      </w:r>
    </w:p>
    <w:p w14:paraId="264ECC04" w14:textId="77777777" w:rsidR="00771DF6" w:rsidRPr="00771DF6" w:rsidRDefault="00771DF6" w:rsidP="00771DF6">
      <w:pPr>
        <w:spacing w:line="360" w:lineRule="auto"/>
        <w:jc w:val="center"/>
        <w:rPr>
          <w:rFonts w:ascii="Calibri" w:hAnsi="Calibri" w:cs="Calibri"/>
        </w:rPr>
      </w:pPr>
    </w:p>
    <w:p w14:paraId="264ECC05" w14:textId="77777777" w:rsidR="00771DF6" w:rsidRPr="00771DF6" w:rsidRDefault="00771DF6" w:rsidP="00771DF6">
      <w:pPr>
        <w:autoSpaceDE w:val="0"/>
        <w:autoSpaceDN w:val="0"/>
        <w:adjustRightInd w:val="0"/>
        <w:rPr>
          <w:rFonts w:ascii="Calibri" w:hAnsi="Calibri" w:cs="Calibri"/>
          <w:b/>
          <w:bCs/>
          <w:kern w:val="24"/>
          <w:u w:val="single"/>
        </w:rPr>
      </w:pPr>
      <w:r w:rsidRPr="00771DF6">
        <w:rPr>
          <w:rFonts w:ascii="Calibri" w:hAnsi="Calibri" w:cs="Calibri"/>
          <w:b/>
          <w:bCs/>
          <w:kern w:val="24"/>
          <w:u w:val="single"/>
        </w:rPr>
        <w:t>Future Recruitment Expectations</w:t>
      </w:r>
      <w:r w:rsidR="00265EDA">
        <w:rPr>
          <w:rFonts w:ascii="Calibri" w:hAnsi="Calibri" w:cs="Calibri"/>
          <w:b/>
          <w:bCs/>
          <w:kern w:val="24"/>
          <w:u w:val="single"/>
        </w:rPr>
        <w:t xml:space="preserve"> – Anticipated staff change for the 12 months following the survey</w:t>
      </w:r>
    </w:p>
    <w:p w14:paraId="264ECC06" w14:textId="77777777" w:rsidR="00771DF6" w:rsidRPr="00771DF6" w:rsidRDefault="00771DF6" w:rsidP="00771DF6">
      <w:pPr>
        <w:autoSpaceDE w:val="0"/>
        <w:autoSpaceDN w:val="0"/>
        <w:adjustRightInd w:val="0"/>
        <w:rPr>
          <w:rFonts w:ascii="Calibri" w:hAnsi="Calibri" w:cs="Calibri"/>
          <w:i/>
          <w:iCs/>
          <w:kern w:val="24"/>
        </w:rPr>
      </w:pPr>
      <w:r w:rsidRPr="00771DF6">
        <w:rPr>
          <w:rFonts w:ascii="Calibri" w:hAnsi="Calibri" w:cs="Calibri"/>
          <w:i/>
          <w:iCs/>
          <w:kern w:val="24"/>
        </w:rPr>
        <w:t xml:space="preserve">Source: DEEWR, Survey of Employers’ Recruitment Experiences, Southern Wide Bay-Burnett PEA, November 2012. </w:t>
      </w:r>
    </w:p>
    <w:p w14:paraId="264ECC07" w14:textId="77777777" w:rsidR="00771DF6" w:rsidRPr="00771DF6" w:rsidRDefault="00771DF6" w:rsidP="00771DF6">
      <w:pPr>
        <w:autoSpaceDE w:val="0"/>
        <w:autoSpaceDN w:val="0"/>
        <w:adjustRightInd w:val="0"/>
        <w:rPr>
          <w:rFonts w:ascii="Calibri" w:hAnsi="Calibri" w:cs="Calibri"/>
          <w:kern w:val="24"/>
        </w:rPr>
      </w:pPr>
    </w:p>
    <w:p w14:paraId="264ECC08"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A smaller proportion of employers (15 per cent) expected to increase staff numbers in the 12 months following the survey compared with the previous survey in 2011 (25 per cent).</w:t>
      </w:r>
    </w:p>
    <w:p w14:paraId="264ECC09" w14:textId="77777777" w:rsidR="00771DF6" w:rsidRPr="00771DF6" w:rsidRDefault="00771DF6" w:rsidP="00771DF6">
      <w:pPr>
        <w:autoSpaceDE w:val="0"/>
        <w:autoSpaceDN w:val="0"/>
        <w:adjustRightInd w:val="0"/>
        <w:rPr>
          <w:rFonts w:ascii="Calibri" w:hAnsi="Calibri" w:cs="Calibri"/>
          <w:kern w:val="24"/>
        </w:rPr>
      </w:pPr>
    </w:p>
    <w:p w14:paraId="264ECC0A" w14:textId="77777777" w:rsidR="00771DF6" w:rsidRPr="00771DF6" w:rsidRDefault="00771DF6" w:rsidP="00771DF6">
      <w:pPr>
        <w:autoSpaceDE w:val="0"/>
        <w:autoSpaceDN w:val="0"/>
        <w:adjustRightInd w:val="0"/>
        <w:rPr>
          <w:rFonts w:ascii="Calibri" w:hAnsi="Calibri" w:cs="Calibri"/>
          <w:kern w:val="24"/>
        </w:rPr>
      </w:pPr>
      <w:r w:rsidRPr="00771DF6">
        <w:rPr>
          <w:rFonts w:ascii="Calibri" w:hAnsi="Calibri" w:cs="Calibri"/>
          <w:kern w:val="24"/>
        </w:rPr>
        <w:t>Employers in the Manufacturing industry were most likely to recruit to increase staff numbers (26 per cent) followed by employers in Accommodation and Food Services (22 per cent) and Health Care and Social Assistance (19 per cent).</w:t>
      </w:r>
    </w:p>
    <w:p w14:paraId="264ECC0B" w14:textId="77777777" w:rsidR="00771DF6" w:rsidRPr="00771DF6" w:rsidRDefault="00771DF6" w:rsidP="00771DF6">
      <w:pPr>
        <w:autoSpaceDE w:val="0"/>
        <w:autoSpaceDN w:val="0"/>
        <w:adjustRightInd w:val="0"/>
        <w:rPr>
          <w:rFonts w:ascii="Calibri" w:hAnsi="Calibri" w:cs="Calibri"/>
        </w:rPr>
      </w:pPr>
    </w:p>
    <w:p w14:paraId="264ECC0C" w14:textId="77777777" w:rsidR="00771DF6" w:rsidRPr="00771DF6" w:rsidRDefault="00771DF6" w:rsidP="00771DF6">
      <w:pPr>
        <w:spacing w:line="360" w:lineRule="auto"/>
        <w:rPr>
          <w:rFonts w:ascii="Calibri" w:hAnsi="Calibri" w:cs="Calibri"/>
        </w:rPr>
      </w:pPr>
    </w:p>
    <w:p w14:paraId="264ECC0D" w14:textId="77777777" w:rsidR="00771DF6" w:rsidRPr="00771DF6" w:rsidRDefault="00771DF6">
      <w:pPr>
        <w:rPr>
          <w:rFonts w:ascii="Calibri" w:hAnsi="Calibri" w:cs="Calibri"/>
        </w:rPr>
      </w:pPr>
      <w:r w:rsidRPr="00771DF6">
        <w:rPr>
          <w:rFonts w:ascii="Calibri" w:hAnsi="Calibri" w:cs="Calibri"/>
        </w:rPr>
        <w:br w:type="page"/>
      </w:r>
    </w:p>
    <w:p w14:paraId="264ECC0E"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32</w:t>
      </w:r>
    </w:p>
    <w:p w14:paraId="264ECC0F" w14:textId="77777777" w:rsidR="00771DF6" w:rsidRPr="00771DF6" w:rsidRDefault="00771DF6" w:rsidP="00771DF6">
      <w:pPr>
        <w:spacing w:line="360" w:lineRule="auto"/>
        <w:rPr>
          <w:rFonts w:ascii="Calibri" w:hAnsi="Calibri" w:cs="Calibri"/>
        </w:rPr>
      </w:pPr>
    </w:p>
    <w:p w14:paraId="264ECC10"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60">
          <v:shape id="_x0000_i1056" type="#_x0000_t75" style="width:270.75pt;height:202.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6" DrawAspect="Content" ObjectID="_1429702087" r:id="rId72"/>
        </w:object>
      </w:r>
    </w:p>
    <w:p w14:paraId="264ECC11" w14:textId="77777777" w:rsidR="00771DF6" w:rsidRPr="00771DF6" w:rsidRDefault="00771DF6" w:rsidP="00771DF6">
      <w:pPr>
        <w:spacing w:line="360" w:lineRule="auto"/>
        <w:jc w:val="center"/>
        <w:rPr>
          <w:rFonts w:ascii="Calibri" w:hAnsi="Calibri" w:cs="Calibri"/>
        </w:rPr>
      </w:pPr>
    </w:p>
    <w:p w14:paraId="264ECC12" w14:textId="77777777" w:rsidR="00771DF6" w:rsidRPr="00771DF6" w:rsidRDefault="00771DF6" w:rsidP="00771DF6">
      <w:pPr>
        <w:autoSpaceDE w:val="0"/>
        <w:autoSpaceDN w:val="0"/>
        <w:adjustRightInd w:val="0"/>
        <w:rPr>
          <w:rFonts w:ascii="Calibri" w:hAnsi="Calibri" w:cs="Calibri"/>
          <w:b/>
          <w:bCs/>
          <w:kern w:val="24"/>
          <w:u w:val="single"/>
          <w:lang w:val="en-US"/>
        </w:rPr>
      </w:pPr>
      <w:r w:rsidRPr="00771DF6">
        <w:rPr>
          <w:rFonts w:ascii="Calibri" w:hAnsi="Calibri" w:cs="Calibri"/>
          <w:b/>
          <w:bCs/>
          <w:kern w:val="24"/>
          <w:u w:val="single"/>
          <w:lang w:val="en-US"/>
        </w:rPr>
        <w:t>Conclusion</w:t>
      </w:r>
    </w:p>
    <w:p w14:paraId="264ECC13" w14:textId="77777777" w:rsidR="00771DF6" w:rsidRPr="00771DF6" w:rsidRDefault="00771DF6" w:rsidP="00771DF6">
      <w:pPr>
        <w:autoSpaceDE w:val="0"/>
        <w:autoSpaceDN w:val="0"/>
        <w:adjustRightInd w:val="0"/>
        <w:ind w:left="113" w:hanging="540"/>
        <w:rPr>
          <w:rFonts w:ascii="Calibri" w:hAnsi="Calibri" w:cs="Calibri"/>
          <w:kern w:val="24"/>
          <w:lang w:val="en-US"/>
        </w:rPr>
      </w:pPr>
    </w:p>
    <w:p w14:paraId="264ECC14" w14:textId="77777777" w:rsidR="00771DF6" w:rsidRPr="00771DF6" w:rsidRDefault="00771DF6" w:rsidP="00265EDA">
      <w:pPr>
        <w:numPr>
          <w:ilvl w:val="0"/>
          <w:numId w:val="9"/>
        </w:numPr>
        <w:autoSpaceDE w:val="0"/>
        <w:autoSpaceDN w:val="0"/>
        <w:adjustRightInd w:val="0"/>
        <w:ind w:left="426" w:hanging="426"/>
        <w:rPr>
          <w:rFonts w:ascii="Calibri" w:hAnsi="Calibri" w:cs="Calibri"/>
          <w:kern w:val="24"/>
        </w:rPr>
      </w:pPr>
      <w:r w:rsidRPr="00771DF6">
        <w:rPr>
          <w:rFonts w:ascii="Calibri" w:hAnsi="Calibri" w:cs="Calibri"/>
          <w:kern w:val="24"/>
          <w:lang w:val="en-US"/>
        </w:rPr>
        <w:t>Consistently higher than average unemployment rate and lower levels of participation</w:t>
      </w:r>
    </w:p>
    <w:p w14:paraId="264ECC15" w14:textId="77777777" w:rsidR="00771DF6" w:rsidRPr="00771DF6" w:rsidRDefault="00771DF6" w:rsidP="00265EDA">
      <w:pPr>
        <w:numPr>
          <w:ilvl w:val="0"/>
          <w:numId w:val="9"/>
        </w:numPr>
        <w:autoSpaceDE w:val="0"/>
        <w:autoSpaceDN w:val="0"/>
        <w:adjustRightInd w:val="0"/>
        <w:ind w:left="426" w:hanging="426"/>
        <w:rPr>
          <w:rFonts w:ascii="Calibri" w:hAnsi="Calibri" w:cs="Calibri"/>
          <w:kern w:val="24"/>
        </w:rPr>
      </w:pPr>
      <w:r w:rsidRPr="00771DF6">
        <w:rPr>
          <w:rFonts w:ascii="Calibri" w:hAnsi="Calibri" w:cs="Calibri"/>
          <w:kern w:val="24"/>
        </w:rPr>
        <w:t xml:space="preserve">Recruitment activity remains subdued </w:t>
      </w:r>
    </w:p>
    <w:p w14:paraId="264ECC16" w14:textId="77777777" w:rsidR="00771DF6" w:rsidRDefault="00771DF6" w:rsidP="00265EDA">
      <w:pPr>
        <w:numPr>
          <w:ilvl w:val="0"/>
          <w:numId w:val="9"/>
        </w:numPr>
        <w:autoSpaceDE w:val="0"/>
        <w:autoSpaceDN w:val="0"/>
        <w:adjustRightInd w:val="0"/>
        <w:ind w:left="426" w:hanging="426"/>
        <w:rPr>
          <w:rFonts w:ascii="Calibri" w:hAnsi="Calibri" w:cs="Calibri"/>
          <w:kern w:val="24"/>
        </w:rPr>
      </w:pPr>
      <w:r w:rsidRPr="00771DF6">
        <w:rPr>
          <w:rFonts w:ascii="Calibri" w:hAnsi="Calibri" w:cs="Calibri"/>
          <w:kern w:val="24"/>
        </w:rPr>
        <w:t>Ageing population/workforce</w:t>
      </w:r>
    </w:p>
    <w:p w14:paraId="264ECC17" w14:textId="77777777" w:rsidR="00265EDA" w:rsidRPr="00771DF6" w:rsidRDefault="00265EDA" w:rsidP="00265EDA">
      <w:pPr>
        <w:autoSpaceDE w:val="0"/>
        <w:autoSpaceDN w:val="0"/>
        <w:adjustRightInd w:val="0"/>
        <w:ind w:left="113"/>
        <w:rPr>
          <w:rFonts w:ascii="Calibri" w:hAnsi="Calibri" w:cs="Calibri"/>
          <w:kern w:val="24"/>
        </w:rPr>
      </w:pPr>
    </w:p>
    <w:p w14:paraId="264ECC18" w14:textId="77777777" w:rsidR="00771DF6" w:rsidRPr="00771DF6" w:rsidRDefault="00771DF6" w:rsidP="00771DF6">
      <w:pPr>
        <w:autoSpaceDE w:val="0"/>
        <w:autoSpaceDN w:val="0"/>
        <w:adjustRightInd w:val="0"/>
        <w:rPr>
          <w:rFonts w:ascii="Calibri" w:hAnsi="Calibri" w:cs="Calibri"/>
          <w:b/>
          <w:bCs/>
          <w:kern w:val="24"/>
        </w:rPr>
      </w:pPr>
      <w:r w:rsidRPr="00771DF6">
        <w:rPr>
          <w:rFonts w:ascii="Calibri" w:hAnsi="Calibri" w:cs="Calibri"/>
          <w:b/>
          <w:bCs/>
          <w:kern w:val="24"/>
        </w:rPr>
        <w:t xml:space="preserve">Opportunities: </w:t>
      </w:r>
    </w:p>
    <w:p w14:paraId="264ECC19"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lang w:val="en-US"/>
        </w:rPr>
      </w:pPr>
      <w:r w:rsidRPr="00771DF6">
        <w:rPr>
          <w:rFonts w:ascii="Calibri" w:hAnsi="Calibri" w:cs="Calibri"/>
          <w:kern w:val="24"/>
          <w:lang w:val="en-US"/>
        </w:rPr>
        <w:t xml:space="preserve">Health Care and Social Assistance industry seeing large growth </w:t>
      </w:r>
    </w:p>
    <w:p w14:paraId="264ECC1A"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rPr>
      </w:pPr>
      <w:r w:rsidRPr="00771DF6">
        <w:rPr>
          <w:rFonts w:ascii="Calibri" w:hAnsi="Calibri" w:cs="Calibri"/>
          <w:kern w:val="24"/>
          <w:lang w:val="en-US"/>
        </w:rPr>
        <w:t xml:space="preserve">Some unmet demand with low suitable applicants and unfilled vacancies, particularly in the Accommodation and Food Services industry </w:t>
      </w:r>
    </w:p>
    <w:p w14:paraId="264ECC1B" w14:textId="77777777" w:rsidR="00771DF6" w:rsidRPr="00771DF6" w:rsidRDefault="00771DF6" w:rsidP="00771DF6">
      <w:pPr>
        <w:autoSpaceDE w:val="0"/>
        <w:autoSpaceDN w:val="0"/>
        <w:adjustRightInd w:val="0"/>
        <w:rPr>
          <w:rFonts w:ascii="Calibri" w:hAnsi="Calibri" w:cs="Calibri"/>
          <w:b/>
          <w:bCs/>
          <w:kern w:val="24"/>
        </w:rPr>
      </w:pPr>
      <w:r w:rsidRPr="00771DF6">
        <w:rPr>
          <w:rFonts w:ascii="Calibri" w:hAnsi="Calibri" w:cs="Calibri"/>
          <w:b/>
          <w:bCs/>
          <w:kern w:val="24"/>
        </w:rPr>
        <w:t xml:space="preserve">Challenges: </w:t>
      </w:r>
    </w:p>
    <w:p w14:paraId="264ECC1C"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lang w:val="en-US"/>
        </w:rPr>
      </w:pPr>
      <w:r w:rsidRPr="00771DF6">
        <w:rPr>
          <w:rFonts w:ascii="Calibri" w:hAnsi="Calibri" w:cs="Calibri"/>
          <w:kern w:val="24"/>
          <w:lang w:val="en-US"/>
        </w:rPr>
        <w:t>Lower education levels, Indigenous unemployment, disengaged youth, jobless families</w:t>
      </w:r>
    </w:p>
    <w:p w14:paraId="264ECC1D"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lang w:val="en-US"/>
        </w:rPr>
      </w:pPr>
      <w:r w:rsidRPr="00771DF6">
        <w:rPr>
          <w:rFonts w:ascii="Calibri" w:hAnsi="Calibri" w:cs="Calibri"/>
          <w:kern w:val="24"/>
          <w:lang w:val="en-US"/>
        </w:rPr>
        <w:t>Fewer employers expect to recruit and increase their staff numbers in the near future</w:t>
      </w:r>
    </w:p>
    <w:p w14:paraId="264ECC1E"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lang w:val="en-US"/>
        </w:rPr>
      </w:pPr>
      <w:r w:rsidRPr="00771DF6">
        <w:rPr>
          <w:rFonts w:ascii="Calibri" w:hAnsi="Calibri" w:cs="Calibri"/>
          <w:kern w:val="24"/>
          <w:lang w:val="en-US"/>
        </w:rPr>
        <w:t>Future labour supply</w:t>
      </w:r>
    </w:p>
    <w:p w14:paraId="264ECC1F" w14:textId="77777777" w:rsidR="00771DF6" w:rsidRPr="00771DF6" w:rsidRDefault="00771DF6" w:rsidP="00771DF6">
      <w:pPr>
        <w:autoSpaceDE w:val="0"/>
        <w:autoSpaceDN w:val="0"/>
        <w:adjustRightInd w:val="0"/>
        <w:rPr>
          <w:rFonts w:ascii="Calibri" w:hAnsi="Calibri" w:cs="Calibri"/>
          <w:b/>
          <w:bCs/>
          <w:kern w:val="24"/>
          <w:lang w:val="en-US"/>
        </w:rPr>
      </w:pPr>
      <w:r w:rsidRPr="00771DF6">
        <w:rPr>
          <w:rFonts w:ascii="Calibri" w:hAnsi="Calibri" w:cs="Calibri"/>
          <w:b/>
          <w:bCs/>
          <w:kern w:val="24"/>
          <w:lang w:val="en-US"/>
        </w:rPr>
        <w:t>Key Issues:</w:t>
      </w:r>
    </w:p>
    <w:p w14:paraId="264ECC20"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rPr>
      </w:pPr>
      <w:r w:rsidRPr="00771DF6">
        <w:rPr>
          <w:rFonts w:ascii="Calibri" w:hAnsi="Calibri" w:cs="Calibri"/>
          <w:kern w:val="24"/>
        </w:rPr>
        <w:t>Job seekers need skills and experience: education and training, re-training, employability skills</w:t>
      </w:r>
    </w:p>
    <w:p w14:paraId="264ECC21"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rPr>
      </w:pPr>
      <w:r w:rsidRPr="00771DF6">
        <w:rPr>
          <w:rFonts w:ascii="Calibri" w:hAnsi="Calibri" w:cs="Calibri"/>
          <w:kern w:val="24"/>
        </w:rPr>
        <w:t>Further engagement with employers regarding opportunities for work experience and apprenticeships, unfilled vacancies and how they fill them</w:t>
      </w:r>
    </w:p>
    <w:p w14:paraId="264ECC22" w14:textId="77777777" w:rsidR="00771DF6" w:rsidRPr="00771DF6" w:rsidRDefault="00771DF6" w:rsidP="00265EDA">
      <w:pPr>
        <w:numPr>
          <w:ilvl w:val="0"/>
          <w:numId w:val="9"/>
        </w:numPr>
        <w:autoSpaceDE w:val="0"/>
        <w:autoSpaceDN w:val="0"/>
        <w:adjustRightInd w:val="0"/>
        <w:ind w:left="993" w:hanging="426"/>
        <w:rPr>
          <w:rFonts w:ascii="Calibri" w:hAnsi="Calibri" w:cs="Calibri"/>
          <w:kern w:val="24"/>
        </w:rPr>
      </w:pPr>
      <w:r w:rsidRPr="00771DF6">
        <w:rPr>
          <w:rFonts w:ascii="Calibri" w:hAnsi="Calibri" w:cs="Calibri"/>
          <w:kern w:val="24"/>
        </w:rPr>
        <w:t>Collaboration with employers, Local Employment Coordinator and key stakeholders</w:t>
      </w:r>
    </w:p>
    <w:p w14:paraId="264ECC23" w14:textId="77777777" w:rsidR="00771DF6" w:rsidRPr="00771DF6" w:rsidRDefault="00771DF6" w:rsidP="00771DF6">
      <w:pPr>
        <w:autoSpaceDE w:val="0"/>
        <w:autoSpaceDN w:val="0"/>
        <w:adjustRightInd w:val="0"/>
        <w:rPr>
          <w:rFonts w:ascii="Calibri" w:hAnsi="Calibri" w:cs="Calibri"/>
          <w:kern w:val="24"/>
        </w:rPr>
      </w:pPr>
    </w:p>
    <w:p w14:paraId="264ECC24" w14:textId="77777777" w:rsidR="00771DF6" w:rsidRPr="00771DF6" w:rsidRDefault="00771DF6" w:rsidP="00771DF6">
      <w:pPr>
        <w:autoSpaceDE w:val="0"/>
        <w:autoSpaceDN w:val="0"/>
        <w:adjustRightInd w:val="0"/>
        <w:rPr>
          <w:rFonts w:ascii="Calibri" w:hAnsi="Calibri" w:cs="Calibri"/>
        </w:rPr>
      </w:pPr>
    </w:p>
    <w:p w14:paraId="264ECC25" w14:textId="77777777" w:rsidR="00771DF6" w:rsidRPr="00771DF6" w:rsidRDefault="00771DF6" w:rsidP="00771DF6">
      <w:pPr>
        <w:spacing w:line="360" w:lineRule="auto"/>
        <w:rPr>
          <w:rFonts w:ascii="Calibri" w:hAnsi="Calibri" w:cs="Calibri"/>
        </w:rPr>
      </w:pPr>
    </w:p>
    <w:p w14:paraId="264ECC26" w14:textId="77777777" w:rsidR="00771DF6" w:rsidRPr="00771DF6" w:rsidRDefault="00771DF6">
      <w:pPr>
        <w:rPr>
          <w:rFonts w:ascii="Calibri" w:hAnsi="Calibri" w:cs="Calibri"/>
        </w:rPr>
      </w:pPr>
      <w:r w:rsidRPr="00771DF6">
        <w:rPr>
          <w:rFonts w:ascii="Calibri" w:hAnsi="Calibri" w:cs="Calibri"/>
        </w:rPr>
        <w:br w:type="page"/>
      </w:r>
    </w:p>
    <w:p w14:paraId="264ECC27"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33</w:t>
      </w:r>
    </w:p>
    <w:p w14:paraId="264ECC28" w14:textId="77777777" w:rsidR="00771DF6" w:rsidRPr="00771DF6" w:rsidRDefault="00771DF6" w:rsidP="00771DF6">
      <w:pPr>
        <w:spacing w:line="360" w:lineRule="auto"/>
        <w:rPr>
          <w:rFonts w:ascii="Calibri" w:hAnsi="Calibri" w:cs="Calibri"/>
        </w:rPr>
      </w:pPr>
    </w:p>
    <w:p w14:paraId="264ECC29" w14:textId="77777777" w:rsidR="00771DF6" w:rsidRPr="00771DF6" w:rsidRDefault="00333425" w:rsidP="00771DF6">
      <w:pPr>
        <w:spacing w:line="360" w:lineRule="auto"/>
        <w:jc w:val="center"/>
        <w:rPr>
          <w:rFonts w:ascii="Calibri" w:hAnsi="Calibri" w:cs="Calibri"/>
        </w:rPr>
      </w:pPr>
      <w:r>
        <w:object w:dxaOrig="5415" w:dyaOrig="4050" w14:anchorId="264ECC61">
          <v:shape id="_x0000_i1057" type="#_x0000_t75" style="width:270.75pt;height:202.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7" DrawAspect="Content" ObjectID="_1429702088" r:id="rId74"/>
        </w:object>
      </w:r>
    </w:p>
    <w:p w14:paraId="264ECC2A" w14:textId="77777777" w:rsidR="00771DF6" w:rsidRPr="00771DF6" w:rsidRDefault="00771DF6" w:rsidP="00771DF6">
      <w:pPr>
        <w:spacing w:line="360" w:lineRule="auto"/>
        <w:jc w:val="center"/>
        <w:rPr>
          <w:rFonts w:ascii="Calibri" w:hAnsi="Calibri" w:cs="Calibri"/>
        </w:rPr>
      </w:pPr>
    </w:p>
    <w:p w14:paraId="264ECC2B" w14:textId="77777777" w:rsidR="00333425" w:rsidRDefault="00333425" w:rsidP="00333425">
      <w:pPr>
        <w:autoSpaceDE w:val="0"/>
        <w:autoSpaceDN w:val="0"/>
        <w:adjustRightInd w:val="0"/>
        <w:rPr>
          <w:rFonts w:asciiTheme="minorHAnsi" w:hAnsiTheme="minorHAnsi" w:cstheme="minorHAnsi"/>
          <w:b/>
          <w:bCs/>
          <w:kern w:val="24"/>
          <w:u w:val="single"/>
        </w:rPr>
      </w:pPr>
      <w:r>
        <w:rPr>
          <w:rFonts w:asciiTheme="minorHAnsi" w:hAnsiTheme="minorHAnsi" w:cstheme="minorHAnsi"/>
          <w:b/>
          <w:bCs/>
          <w:kern w:val="24"/>
          <w:u w:val="single"/>
        </w:rPr>
        <w:t>Further Information</w:t>
      </w:r>
    </w:p>
    <w:p w14:paraId="264ECC2C" w14:textId="77777777" w:rsidR="00333425" w:rsidRDefault="00333425" w:rsidP="00333425">
      <w:pPr>
        <w:autoSpaceDE w:val="0"/>
        <w:autoSpaceDN w:val="0"/>
        <w:adjustRightInd w:val="0"/>
        <w:rPr>
          <w:rFonts w:asciiTheme="minorHAnsi" w:hAnsiTheme="minorHAnsi" w:cstheme="minorHAnsi"/>
          <w:b/>
          <w:bCs/>
          <w:kern w:val="24"/>
          <w:u w:val="single"/>
        </w:rPr>
      </w:pPr>
    </w:p>
    <w:p w14:paraId="264ECC2D" w14:textId="77777777" w:rsidR="00333425" w:rsidRDefault="00333425" w:rsidP="00333425">
      <w:pPr>
        <w:autoSpaceDE w:val="0"/>
        <w:autoSpaceDN w:val="0"/>
        <w:adjustRightInd w:val="0"/>
        <w:rPr>
          <w:rFonts w:asciiTheme="minorHAnsi" w:hAnsiTheme="minorHAnsi" w:cstheme="minorHAnsi"/>
          <w:kern w:val="24"/>
        </w:rPr>
      </w:pPr>
      <w:r>
        <w:rPr>
          <w:rFonts w:asciiTheme="minorHAnsi" w:hAnsiTheme="minorHAnsi" w:cstheme="minorHAnsi"/>
          <w:kern w:val="24"/>
        </w:rPr>
        <w:t>More information on labour market conditions and other research on small areas can be found on these websites:</w:t>
      </w:r>
    </w:p>
    <w:p w14:paraId="264ECC2E" w14:textId="77777777" w:rsidR="00333425" w:rsidRDefault="00333425" w:rsidP="00333425">
      <w:pPr>
        <w:autoSpaceDE w:val="0"/>
        <w:autoSpaceDN w:val="0"/>
        <w:adjustRightInd w:val="0"/>
        <w:rPr>
          <w:rFonts w:asciiTheme="minorHAnsi" w:hAnsiTheme="minorHAnsi" w:cstheme="minorHAnsi"/>
          <w:kern w:val="24"/>
        </w:rPr>
      </w:pPr>
    </w:p>
    <w:p w14:paraId="264ECC2F"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www.deewr.gov.au/lmip</w:t>
      </w:r>
    </w:p>
    <w:p w14:paraId="264ECC30"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www.deewr.gov.au/SkillShortages</w:t>
      </w:r>
    </w:p>
    <w:p w14:paraId="264ECC31"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www.deewr.gov.au/regionalreports</w:t>
      </w:r>
    </w:p>
    <w:p w14:paraId="264ECC32"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www.deewr.gov.au/australianjobs</w:t>
      </w:r>
    </w:p>
    <w:p w14:paraId="264ECC33"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www.skillsinfo.gov.au</w:t>
      </w:r>
    </w:p>
    <w:p w14:paraId="264ECC34"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www.joboutlook.gov.au</w:t>
      </w:r>
    </w:p>
    <w:p w14:paraId="264ECC35" w14:textId="77777777" w:rsidR="00333425" w:rsidRDefault="00333425" w:rsidP="00333425">
      <w:pPr>
        <w:autoSpaceDE w:val="0"/>
        <w:autoSpaceDN w:val="0"/>
        <w:adjustRightInd w:val="0"/>
        <w:ind w:left="720"/>
        <w:rPr>
          <w:rFonts w:asciiTheme="minorHAnsi" w:hAnsiTheme="minorHAnsi" w:cstheme="minorHAnsi"/>
          <w:kern w:val="24"/>
        </w:rPr>
      </w:pPr>
      <w:r>
        <w:rPr>
          <w:rFonts w:asciiTheme="minorHAnsi" w:hAnsiTheme="minorHAnsi" w:cstheme="minorHAnsi"/>
          <w:kern w:val="24"/>
          <w:u w:val="single"/>
        </w:rPr>
        <w:t>www.deewr.gov.au/news/aussie-jobs-publication-highlights-employment-growth</w:t>
      </w:r>
    </w:p>
    <w:p w14:paraId="264ECC36" w14:textId="77777777" w:rsidR="00333425" w:rsidRDefault="00333425" w:rsidP="00333425">
      <w:pPr>
        <w:autoSpaceDE w:val="0"/>
        <w:autoSpaceDN w:val="0"/>
        <w:adjustRightInd w:val="0"/>
        <w:rPr>
          <w:rFonts w:asciiTheme="minorHAnsi" w:hAnsiTheme="minorHAnsi" w:cstheme="minorHAnsi"/>
          <w:kern w:val="24"/>
        </w:rPr>
      </w:pPr>
    </w:p>
    <w:p w14:paraId="264ECC37" w14:textId="77777777" w:rsidR="00333425" w:rsidRDefault="00333425" w:rsidP="00333425">
      <w:pPr>
        <w:autoSpaceDE w:val="0"/>
        <w:autoSpaceDN w:val="0"/>
        <w:adjustRightInd w:val="0"/>
        <w:rPr>
          <w:rFonts w:asciiTheme="minorHAnsi" w:hAnsiTheme="minorHAnsi" w:cstheme="minorHAnsi"/>
          <w:kern w:val="24"/>
        </w:rPr>
      </w:pPr>
      <w:r>
        <w:rPr>
          <w:rFonts w:asciiTheme="minorHAnsi" w:hAnsiTheme="minorHAnsi" w:cstheme="minorHAnsi"/>
          <w:kern w:val="24"/>
        </w:rPr>
        <w:t>A report on the survey findings for the Southern Wide Bay-Burnett Priority Employment Area will be placed on the regional reports section of the DEEWR&gt;Regional Reports website.</w:t>
      </w:r>
    </w:p>
    <w:p w14:paraId="264ECC38" w14:textId="77777777" w:rsidR="00771DF6" w:rsidRPr="00771DF6" w:rsidRDefault="00771DF6" w:rsidP="00771DF6">
      <w:pPr>
        <w:autoSpaceDE w:val="0"/>
        <w:autoSpaceDN w:val="0"/>
        <w:adjustRightInd w:val="0"/>
        <w:rPr>
          <w:rFonts w:ascii="Calibri" w:hAnsi="Calibri" w:cs="Calibri"/>
        </w:rPr>
      </w:pPr>
    </w:p>
    <w:p w14:paraId="264ECC39" w14:textId="77777777" w:rsidR="00771DF6" w:rsidRPr="00771DF6" w:rsidRDefault="00771DF6" w:rsidP="00771DF6">
      <w:pPr>
        <w:spacing w:line="360" w:lineRule="auto"/>
        <w:rPr>
          <w:rFonts w:ascii="Calibri" w:hAnsi="Calibri" w:cs="Calibri"/>
        </w:rPr>
      </w:pPr>
    </w:p>
    <w:p w14:paraId="264ECC3A" w14:textId="77777777" w:rsidR="00771DF6" w:rsidRPr="00771DF6" w:rsidRDefault="00771DF6">
      <w:pPr>
        <w:rPr>
          <w:rFonts w:ascii="Calibri" w:hAnsi="Calibri" w:cs="Calibri"/>
        </w:rPr>
      </w:pPr>
      <w:r w:rsidRPr="00771DF6">
        <w:rPr>
          <w:rFonts w:ascii="Calibri" w:hAnsi="Calibri" w:cs="Calibri"/>
        </w:rPr>
        <w:br w:type="page"/>
      </w:r>
    </w:p>
    <w:p w14:paraId="264ECC3B" w14:textId="77777777" w:rsidR="00771DF6" w:rsidRPr="00771DF6" w:rsidRDefault="00771DF6" w:rsidP="00771DF6">
      <w:pPr>
        <w:spacing w:line="360" w:lineRule="auto"/>
        <w:rPr>
          <w:rFonts w:ascii="Calibri" w:hAnsi="Calibri" w:cs="Calibri"/>
        </w:rPr>
      </w:pPr>
      <w:r w:rsidRPr="00771DF6">
        <w:rPr>
          <w:rFonts w:ascii="Calibri" w:hAnsi="Calibri" w:cs="Calibri"/>
        </w:rPr>
        <w:lastRenderedPageBreak/>
        <w:t>Slide 34</w:t>
      </w:r>
    </w:p>
    <w:p w14:paraId="264ECC3C" w14:textId="77777777" w:rsidR="00771DF6" w:rsidRPr="00771DF6" w:rsidRDefault="00771DF6" w:rsidP="00771DF6">
      <w:pPr>
        <w:spacing w:line="360" w:lineRule="auto"/>
        <w:rPr>
          <w:rFonts w:ascii="Calibri" w:hAnsi="Calibri" w:cs="Calibri"/>
        </w:rPr>
      </w:pPr>
    </w:p>
    <w:p w14:paraId="264ECC3D" w14:textId="77777777" w:rsidR="00771DF6" w:rsidRPr="00771DF6" w:rsidRDefault="00771DF6" w:rsidP="00771DF6">
      <w:pPr>
        <w:spacing w:line="360" w:lineRule="auto"/>
        <w:jc w:val="center"/>
        <w:rPr>
          <w:rFonts w:ascii="Calibri" w:hAnsi="Calibri" w:cs="Calibri"/>
        </w:rPr>
      </w:pPr>
      <w:r w:rsidRPr="00771DF6">
        <w:rPr>
          <w:rFonts w:ascii="Calibri" w:hAnsi="Calibri" w:cs="Calibri"/>
        </w:rPr>
        <w:object w:dxaOrig="7216" w:dyaOrig="5409" w14:anchorId="264ECC62">
          <v:shape id="_x0000_i1058" type="#_x0000_t75" style="width:270.75pt;height:202.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8" DrawAspect="Content" ObjectID="_1429702089" r:id="rId76"/>
        </w:object>
      </w:r>
    </w:p>
    <w:p w14:paraId="264ECC3E" w14:textId="77777777" w:rsidR="00771DF6" w:rsidRPr="00771DF6" w:rsidRDefault="00771DF6" w:rsidP="00771DF6">
      <w:pPr>
        <w:spacing w:line="360" w:lineRule="auto"/>
        <w:jc w:val="center"/>
        <w:rPr>
          <w:rFonts w:ascii="Calibri" w:hAnsi="Calibri" w:cs="Calibri"/>
        </w:rPr>
      </w:pPr>
    </w:p>
    <w:p w14:paraId="264ECC3F" w14:textId="77777777" w:rsidR="00771DF6" w:rsidRPr="00771DF6" w:rsidRDefault="00771DF6" w:rsidP="00771DF6">
      <w:pPr>
        <w:spacing w:line="360" w:lineRule="auto"/>
        <w:rPr>
          <w:rFonts w:ascii="Calibri" w:hAnsi="Calibri" w:cs="Calibri"/>
        </w:rPr>
      </w:pPr>
    </w:p>
    <w:p w14:paraId="264ECC40" w14:textId="77777777" w:rsidR="00771DF6" w:rsidRPr="00771DF6" w:rsidRDefault="00771DF6" w:rsidP="00771DF6">
      <w:pPr>
        <w:spacing w:line="360" w:lineRule="auto"/>
        <w:rPr>
          <w:rFonts w:ascii="Calibri" w:hAnsi="Calibri" w:cs="Calibri"/>
        </w:rPr>
      </w:pPr>
    </w:p>
    <w:sectPr w:rsidR="00771DF6" w:rsidRPr="00771DF6" w:rsidSect="0044203F">
      <w:pgSz w:w="11906" w:h="16838" w:code="9"/>
      <w:pgMar w:top="1418" w:right="1134" w:bottom="1418"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BF8DF5E"/>
    <w:lvl w:ilvl="0">
      <w:numFmt w:val="bullet"/>
      <w:lvlText w:val="*"/>
      <w:lvlJc w:val="left"/>
    </w:lvl>
  </w:abstractNum>
  <w:abstractNum w:abstractNumId="1">
    <w:nsid w:val="454A6B8A"/>
    <w:multiLevelType w:val="hybridMultilevel"/>
    <w:tmpl w:val="4AB45B6A"/>
    <w:lvl w:ilvl="0" w:tplc="E65E5E4E">
      <w:numFmt w:val="bullet"/>
      <w:lvlText w:val="-"/>
      <w:lvlJc w:val="left"/>
      <w:pPr>
        <w:ind w:left="900" w:hanging="360"/>
      </w:pPr>
      <w:rPr>
        <w:rFonts w:ascii="Calibri" w:eastAsia="Times New Roman" w:hAnsi="Calibri" w:cs="Calibri" w:hint="default"/>
      </w:rPr>
    </w:lvl>
    <w:lvl w:ilvl="1" w:tplc="0C090003">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Theme="minorHAnsi" w:hAnsiTheme="minorHAnsi" w:cstheme="minorHAnsi" w:hint="default"/>
          <w:sz w:val="24"/>
          <w:szCs w:val="24"/>
        </w:rPr>
      </w:lvl>
    </w:lvlOverride>
  </w:num>
  <w:num w:numId="2">
    <w:abstractNumId w:val="0"/>
    <w:lvlOverride w:ilvl="0">
      <w:lvl w:ilvl="0">
        <w:numFmt w:val="bullet"/>
        <w:lvlText w:val="-"/>
        <w:legacy w:legacy="1" w:legacySpace="0" w:legacyIndent="0"/>
        <w:lvlJc w:val="left"/>
        <w:rPr>
          <w:rFonts w:ascii="Calibri" w:hAnsi="Calibri" w:cs="Calibri" w:hint="default"/>
          <w:sz w:val="48"/>
        </w:rPr>
      </w:lvl>
    </w:lvlOverride>
  </w:num>
  <w:num w:numId="3">
    <w:abstractNumId w:val="0"/>
    <w:lvlOverride w:ilvl="0">
      <w:lvl w:ilvl="0">
        <w:numFmt w:val="bullet"/>
        <w:lvlText w:val="•"/>
        <w:legacy w:legacy="1" w:legacySpace="0" w:legacyIndent="0"/>
        <w:lvlJc w:val="left"/>
        <w:rPr>
          <w:rFonts w:asciiTheme="minorHAnsi" w:hAnsiTheme="minorHAnsi" w:cstheme="minorHAnsi" w:hint="default"/>
          <w:sz w:val="24"/>
        </w:rPr>
      </w:lvl>
    </w:lvlOverride>
  </w:num>
  <w:num w:numId="4">
    <w:abstractNumId w:val="0"/>
    <w:lvlOverride w:ilvl="0">
      <w:lvl w:ilvl="0">
        <w:numFmt w:val="bullet"/>
        <w:lvlText w:val="•"/>
        <w:legacy w:legacy="1" w:legacySpace="0" w:legacyIndent="0"/>
        <w:lvlJc w:val="left"/>
        <w:rPr>
          <w:rFonts w:ascii="Calibri" w:hAnsi="Calibri" w:cs="Calibri" w:hint="default"/>
          <w:sz w:val="24"/>
          <w:szCs w:val="24"/>
        </w:rPr>
      </w:lvl>
    </w:lvlOverride>
  </w:num>
  <w:num w:numId="5">
    <w:abstractNumId w:val="0"/>
    <w:lvlOverride w:ilvl="0">
      <w:lvl w:ilvl="0">
        <w:numFmt w:val="bullet"/>
        <w:lvlText w:val="•"/>
        <w:legacy w:legacy="1" w:legacySpace="0" w:legacyIndent="0"/>
        <w:lvlJc w:val="left"/>
        <w:rPr>
          <w:rFonts w:ascii="Calibri" w:hAnsi="Calibri" w:cs="Calibri" w:hint="default"/>
          <w:sz w:val="24"/>
          <w:szCs w:val="24"/>
        </w:rPr>
      </w:lvl>
    </w:lvlOverride>
  </w:num>
  <w:num w:numId="6">
    <w:abstractNumId w:val="0"/>
    <w:lvlOverride w:ilvl="0">
      <w:lvl w:ilvl="0">
        <w:numFmt w:val="bullet"/>
        <w:lvlText w:val="–"/>
        <w:legacy w:legacy="1" w:legacySpace="0" w:legacyIndent="0"/>
        <w:lvlJc w:val="left"/>
        <w:rPr>
          <w:rFonts w:ascii="Calibri" w:hAnsi="Calibri" w:cs="Calibri" w:hint="default"/>
          <w:sz w:val="48"/>
        </w:rPr>
      </w:lvl>
    </w:lvlOverride>
  </w:num>
  <w:num w:numId="7">
    <w:abstractNumId w:val="0"/>
    <w:lvlOverride w:ilvl="0">
      <w:lvl w:ilvl="0">
        <w:numFmt w:val="bullet"/>
        <w:lvlText w:val="•"/>
        <w:legacy w:legacy="1" w:legacySpace="0" w:legacyIndent="0"/>
        <w:lvlJc w:val="left"/>
        <w:rPr>
          <w:rFonts w:asciiTheme="minorHAnsi" w:hAnsiTheme="minorHAnsi" w:cstheme="minorHAnsi" w:hint="default"/>
          <w:sz w:val="24"/>
          <w:szCs w:val="24"/>
        </w:rPr>
      </w:lvl>
    </w:lvlOverride>
  </w:num>
  <w:num w:numId="8">
    <w:abstractNumId w:val="0"/>
    <w:lvlOverride w:ilvl="0">
      <w:lvl w:ilvl="0">
        <w:numFmt w:val="bullet"/>
        <w:lvlText w:val="-"/>
        <w:legacy w:legacy="1" w:legacySpace="0" w:legacyIndent="0"/>
        <w:lvlJc w:val="left"/>
        <w:rPr>
          <w:rFonts w:ascii="Calibri" w:hAnsi="Calibri" w:cs="Calibri" w:hint="default"/>
          <w:sz w:val="40"/>
        </w:rPr>
      </w:lvl>
    </w:lvlOverride>
  </w:num>
  <w:num w:numId="9">
    <w:abstractNumId w:val="0"/>
    <w:lvlOverride w:ilvl="0">
      <w:lvl w:ilvl="0">
        <w:numFmt w:val="bullet"/>
        <w:lvlText w:val="•"/>
        <w:legacy w:legacy="1" w:legacySpace="0" w:legacyIndent="0"/>
        <w:lvlJc w:val="left"/>
        <w:rPr>
          <w:rFonts w:ascii="Arial" w:hAnsi="Arial" w:cs="Arial" w:hint="default"/>
          <w:sz w:val="28"/>
        </w:rPr>
      </w:lvl>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DF6"/>
    <w:rsid w:val="00153C72"/>
    <w:rsid w:val="00265EDA"/>
    <w:rsid w:val="00333425"/>
    <w:rsid w:val="0038306E"/>
    <w:rsid w:val="0044203F"/>
    <w:rsid w:val="005A63D1"/>
    <w:rsid w:val="00771DF6"/>
    <w:rsid w:val="0095690D"/>
    <w:rsid w:val="00A448B9"/>
    <w:rsid w:val="00AF45DA"/>
    <w:rsid w:val="00C61259"/>
    <w:rsid w:val="00D16F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4:docId w14:val="264E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E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E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package" Target="embeddings/Microsoft_PowerPoint_Slide9.sl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PowerPoint_Slide13.sldx"/><Relationship Id="rId42" Type="http://schemas.openxmlformats.org/officeDocument/2006/relationships/package" Target="embeddings/Microsoft_PowerPoint_Slide17.sldx"/><Relationship Id="rId47" Type="http://schemas.openxmlformats.org/officeDocument/2006/relationships/image" Target="media/image20.emf"/><Relationship Id="rId50" Type="http://schemas.openxmlformats.org/officeDocument/2006/relationships/package" Target="embeddings/Microsoft_PowerPoint_Slide21.sl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Microsoft_PowerPoint_Slide30.sldx"/><Relationship Id="rId76" Type="http://schemas.openxmlformats.org/officeDocument/2006/relationships/package" Target="embeddings/Microsoft_PowerPoint_Slide34.sldx"/><Relationship Id="rId7" Type="http://schemas.openxmlformats.org/officeDocument/2006/relationships/settings" Target="settings.xml"/><Relationship Id="rId71"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package" Target="embeddings/Microsoft_PowerPoint_Slide4.sl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PowerPoint_Slide8.sldx"/><Relationship Id="rId32" Type="http://schemas.openxmlformats.org/officeDocument/2006/relationships/package" Target="embeddings/Microsoft_PowerPoint_Slide12.sldx"/><Relationship Id="rId37" Type="http://schemas.openxmlformats.org/officeDocument/2006/relationships/image" Target="media/image15.emf"/><Relationship Id="rId40" Type="http://schemas.openxmlformats.org/officeDocument/2006/relationships/package" Target="embeddings/Microsoft_PowerPoint_Slide16.sl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PowerPoint_Slide25.sldx"/><Relationship Id="rId66" Type="http://schemas.openxmlformats.org/officeDocument/2006/relationships/package" Target="embeddings/Microsoft_PowerPoint_Slide29.sldx"/><Relationship Id="rId74" Type="http://schemas.openxmlformats.org/officeDocument/2006/relationships/package" Target="embeddings/Microsoft_PowerPoint_Slide33.sldx"/><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10.sldx"/><Relationship Id="rId36" Type="http://schemas.openxmlformats.org/officeDocument/2006/relationships/package" Target="embeddings/Microsoft_PowerPoint_Slide14.sl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package" Target="embeddings/Microsoft_PowerPoint_Slide1.sld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PowerPoint_Slide18.sldx"/><Relationship Id="rId52" Type="http://schemas.openxmlformats.org/officeDocument/2006/relationships/package" Target="embeddings/Microsoft_PowerPoint_Slide22.sldx"/><Relationship Id="rId60" Type="http://schemas.openxmlformats.org/officeDocument/2006/relationships/package" Target="embeddings/Microsoft_PowerPoint_Slide26.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0.emf"/><Relationship Id="rId30" Type="http://schemas.openxmlformats.org/officeDocument/2006/relationships/package" Target="embeddings/Microsoft_PowerPoint_Slide11.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20.sldx"/><Relationship Id="rId56" Type="http://schemas.openxmlformats.org/officeDocument/2006/relationships/package" Target="embeddings/Microsoft_PowerPoint_Slide24.sldx"/><Relationship Id="rId64" Type="http://schemas.openxmlformats.org/officeDocument/2006/relationships/package" Target="embeddings/Microsoft_PowerPoint_Slide28.sldx"/><Relationship Id="rId69" Type="http://schemas.openxmlformats.org/officeDocument/2006/relationships/image" Target="media/image31.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package" Target="embeddings/Microsoft_PowerPoint_Slide32.sldx"/><Relationship Id="rId3" Type="http://schemas.openxmlformats.org/officeDocument/2006/relationships/customXml" Target="../customXml/item3.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5.sldx"/><Relationship Id="rId46" Type="http://schemas.openxmlformats.org/officeDocument/2006/relationships/package" Target="embeddings/Microsoft_PowerPoint_Slide19.sl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PowerPoint_Slide6.sldx"/><Relationship Id="rId41" Type="http://schemas.openxmlformats.org/officeDocument/2006/relationships/image" Target="media/image17.emf"/><Relationship Id="rId54" Type="http://schemas.openxmlformats.org/officeDocument/2006/relationships/package" Target="embeddings/Microsoft_PowerPoint_Slide23.sldx"/><Relationship Id="rId62" Type="http://schemas.openxmlformats.org/officeDocument/2006/relationships/package" Target="embeddings/Microsoft_PowerPoint_Slide27.sldx"/><Relationship Id="rId70" Type="http://schemas.openxmlformats.org/officeDocument/2006/relationships/package" Target="embeddings/Microsoft_PowerPoint_Slide31.sldx"/><Relationship Id="rId75" Type="http://schemas.openxmlformats.org/officeDocument/2006/relationships/image" Target="media/image34.emf"/><Relationship Id="rId1" Type="http://schemas.openxmlformats.org/officeDocument/2006/relationships/customXml" Target="../customXml/item1.xml"/><Relationship Id="rId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E4AAA-AEF4-4769-8C37-CB06F3834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8A1566-A4DB-4AF0-9A40-5FC099341F61}">
  <ds:schemaRefs>
    <ds:schemaRef ds:uri="http://schemas.microsoft.com/office/2006/documentManagement/types"/>
    <ds:schemaRef ds:uri="http://purl.org/dc/dcmitype/"/>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F32B473-E968-48C0-B84D-CA038670E2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42650729.dotm</Template>
  <TotalTime>1</TotalTime>
  <Pages>34</Pages>
  <Words>3445</Words>
  <Characters>19638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Hewlett</dc:creator>
  <cp:lastModifiedBy>Matthew McLay</cp:lastModifiedBy>
  <cp:revision>2</cp:revision>
  <dcterms:created xsi:type="dcterms:W3CDTF">2013-05-10T04:41:00Z</dcterms:created>
  <dcterms:modified xsi:type="dcterms:W3CDTF">2013-05-10T04:41:00Z</dcterms:modified>
</cp:coreProperties>
</file>