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CF" w:rsidRDefault="00E707CF" w:rsidP="00F440E7">
      <w:pPr>
        <w:ind w:hanging="284"/>
        <w:rPr>
          <w:rFonts w:cstheme="minorHAnsi"/>
        </w:rPr>
      </w:pPr>
      <w:bookmarkStart w:id="0" w:name="_Toc302486423"/>
    </w:p>
    <w:sdt>
      <w:sdtPr>
        <w:rPr>
          <w:rFonts w:cstheme="minorHAnsi"/>
        </w:rPr>
        <w:id w:val="685869552"/>
        <w:docPartObj>
          <w:docPartGallery w:val="Cover Pages"/>
          <w:docPartUnique/>
        </w:docPartObj>
      </w:sdtPr>
      <w:sdtEndPr/>
      <w:sdtContent>
        <w:p w:rsidR="00B17D9B" w:rsidRPr="00367670" w:rsidRDefault="00B17D9B" w:rsidP="00F440E7">
          <w:pPr>
            <w:ind w:hanging="284"/>
            <w:rPr>
              <w:rFonts w:cstheme="minorHAnsi"/>
              <w:noProof/>
            </w:rPr>
          </w:pPr>
        </w:p>
        <w:p w:rsidR="008B316E" w:rsidRPr="00367670" w:rsidRDefault="008B316E" w:rsidP="00F440E7">
          <w:pPr>
            <w:ind w:hanging="284"/>
            <w:rPr>
              <w:rFonts w:cstheme="minorHAnsi"/>
            </w:rPr>
          </w:pPr>
          <w:r w:rsidRPr="00367670">
            <w:rPr>
              <w:rFonts w:cstheme="minorHAnsi"/>
              <w:noProof/>
            </w:rPr>
            <w:drawing>
              <wp:inline distT="0" distB="0" distL="0" distR="0" wp14:anchorId="69099715" wp14:editId="2FF5E33C">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Pr="00367670" w:rsidRDefault="008B316E" w:rsidP="008B316E">
          <w:pPr>
            <w:rPr>
              <w:rFonts w:cstheme="minorHAnsi"/>
              <w:sz w:val="48"/>
              <w:szCs w:val="48"/>
              <w:lang w:bidi="en-US"/>
            </w:rPr>
          </w:pPr>
        </w:p>
        <w:p w:rsidR="00D05827" w:rsidRPr="00367670" w:rsidRDefault="00D05827" w:rsidP="008B316E">
          <w:pPr>
            <w:rPr>
              <w:rFonts w:cstheme="minorHAnsi"/>
              <w:sz w:val="48"/>
              <w:szCs w:val="48"/>
              <w:lang w:bidi="en-US"/>
            </w:rPr>
          </w:pPr>
        </w:p>
        <w:sdt>
          <w:sdtPr>
            <w:rPr>
              <w:rFonts w:asciiTheme="minorHAnsi" w:hAnsiTheme="minorHAnsi" w:cstheme="minorHAnsi"/>
              <w:color w:val="auto"/>
              <w:sz w:val="56"/>
              <w:szCs w:val="56"/>
            </w:rPr>
            <w:alias w:val="Title"/>
            <w:tag w:val=""/>
            <w:id w:val="-1218355058"/>
            <w:dataBinding w:prefixMappings="xmlns:ns0='http://purl.org/dc/elements/1.1/' xmlns:ns1='http://schemas.openxmlformats.org/package/2006/metadata/core-properties' " w:xpath="/ns1:coreProperties[1]/ns0:title[1]" w:storeItemID="{6C3C8BC8-F283-45AE-878A-BAB7291924A1}"/>
            <w:text/>
          </w:sdtPr>
          <w:sdtEndPr/>
          <w:sdtContent>
            <w:p w:rsidR="008B316E" w:rsidRPr="00367670" w:rsidRDefault="0055121C" w:rsidP="003B43E9">
              <w:pPr>
                <w:pStyle w:val="Title"/>
                <w:spacing w:before="480" w:after="120"/>
                <w:ind w:left="992"/>
                <w:jc w:val="left"/>
                <w:rPr>
                  <w:rFonts w:asciiTheme="minorHAnsi" w:hAnsiTheme="minorHAnsi" w:cstheme="minorHAnsi"/>
                </w:rPr>
              </w:pPr>
              <w:r>
                <w:rPr>
                  <w:rFonts w:asciiTheme="minorHAnsi" w:hAnsiTheme="minorHAnsi" w:cstheme="minorHAnsi"/>
                  <w:color w:val="auto"/>
                  <w:sz w:val="56"/>
                  <w:szCs w:val="56"/>
                </w:rPr>
                <w:t>Southern Wide Bay-Burnett               Priority Employment Area</w:t>
              </w:r>
            </w:p>
          </w:sdtContent>
        </w:sdt>
        <w:p w:rsidR="004B1A2D" w:rsidRPr="00367670" w:rsidRDefault="006F2676" w:rsidP="004F62FF">
          <w:pPr>
            <w:pStyle w:val="Heading1"/>
            <w:pBdr>
              <w:bottom w:val="single" w:sz="8" w:space="2" w:color="165788"/>
            </w:pBdr>
            <w:ind w:left="993"/>
            <w:rPr>
              <w:rFonts w:asciiTheme="minorHAnsi" w:hAnsiTheme="minorHAnsi" w:cstheme="minorHAnsi"/>
            </w:rPr>
          </w:pPr>
          <w:bookmarkStart w:id="1" w:name="_Toc338940315"/>
          <w:bookmarkStart w:id="2" w:name="_Toc339275835"/>
          <w:bookmarkStart w:id="3" w:name="_Toc339367556"/>
          <w:bookmarkStart w:id="4" w:name="_Toc339554326"/>
          <w:bookmarkStart w:id="5" w:name="_Toc339554363"/>
          <w:bookmarkStart w:id="6" w:name="_Toc340153440"/>
          <w:bookmarkStart w:id="7" w:name="_Toc340490911"/>
          <w:bookmarkStart w:id="8" w:name="_Toc340499857"/>
          <w:bookmarkStart w:id="9" w:name="_Toc341361656"/>
          <w:bookmarkStart w:id="10" w:name="_Toc342050337"/>
          <w:bookmarkStart w:id="11" w:name="_Toc342900518"/>
          <w:bookmarkStart w:id="12" w:name="_Toc356376472"/>
          <w:bookmarkStart w:id="13" w:name="_Toc356389308"/>
          <w:bookmarkStart w:id="14" w:name="_Toc357082148"/>
          <w:bookmarkStart w:id="15" w:name="_Toc357166893"/>
          <w:bookmarkStart w:id="16" w:name="_Toc357409689"/>
          <w:bookmarkStart w:id="17" w:name="_Toc358550423"/>
          <w:bookmarkStart w:id="18" w:name="_Toc358550518"/>
          <w:bookmarkStart w:id="19" w:name="_Toc358630772"/>
          <w:bookmarkStart w:id="20" w:name="_Toc359234145"/>
          <w:r>
            <w:rPr>
              <w:rFonts w:asciiTheme="minorHAnsi" w:hAnsiTheme="minorHAnsi" w:cstheme="minorHAnsi"/>
            </w:rPr>
            <w:t>Survey of Employers’ Recruitment Experiences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F440E7" w:rsidRPr="00367670" w:rsidRDefault="00EA43A8" w:rsidP="00F440E7">
          <w:pPr>
            <w:pStyle w:val="Heading2"/>
            <w:ind w:left="993"/>
            <w:rPr>
              <w:rStyle w:val="Heading2Char"/>
              <w:rFonts w:asciiTheme="minorHAnsi" w:hAnsiTheme="minorHAnsi" w:cstheme="minorHAnsi"/>
            </w:rPr>
          </w:pPr>
          <w:bookmarkStart w:id="21" w:name="_Toc338850210"/>
          <w:bookmarkStart w:id="22" w:name="_Toc338852467"/>
          <w:bookmarkStart w:id="23" w:name="_Toc338940316"/>
          <w:bookmarkStart w:id="24" w:name="_Toc339275836"/>
          <w:bookmarkStart w:id="25" w:name="_Toc339367557"/>
          <w:bookmarkStart w:id="26" w:name="_Toc339554327"/>
          <w:bookmarkStart w:id="27" w:name="_Toc339554364"/>
          <w:bookmarkStart w:id="28" w:name="_Toc340153441"/>
          <w:bookmarkStart w:id="29" w:name="_Toc340490912"/>
          <w:bookmarkStart w:id="30" w:name="_Toc340499858"/>
          <w:bookmarkStart w:id="31" w:name="_Toc341361657"/>
          <w:bookmarkStart w:id="32" w:name="_Toc342050338"/>
          <w:bookmarkStart w:id="33" w:name="_Toc342900519"/>
          <w:bookmarkStart w:id="34" w:name="_Toc343771297"/>
          <w:bookmarkStart w:id="35" w:name="_Toc356376473"/>
          <w:bookmarkStart w:id="36" w:name="_Toc356389309"/>
          <w:bookmarkStart w:id="37" w:name="_Toc357082149"/>
          <w:bookmarkStart w:id="38" w:name="_Toc357166894"/>
          <w:bookmarkStart w:id="39" w:name="_Toc357409690"/>
          <w:bookmarkStart w:id="40" w:name="_Toc358550424"/>
          <w:bookmarkStart w:id="41" w:name="_Toc358550519"/>
          <w:bookmarkStart w:id="42" w:name="_Toc358630773"/>
          <w:bookmarkStart w:id="43" w:name="_Toc359234146"/>
          <w:r>
            <w:rPr>
              <w:rFonts w:asciiTheme="minorHAnsi" w:hAnsiTheme="minorHAnsi" w:cstheme="minorHAnsi"/>
            </w:rPr>
            <w:t>Novembe</w:t>
          </w:r>
          <w:r w:rsidR="00A05D1E">
            <w:rPr>
              <w:rFonts w:asciiTheme="minorHAnsi" w:hAnsiTheme="minorHAnsi" w:cstheme="minorHAnsi"/>
            </w:rPr>
            <w:t>r</w:t>
          </w:r>
          <w:r w:rsidR="003B43E9" w:rsidRPr="00367670">
            <w:rPr>
              <w:rFonts w:asciiTheme="minorHAnsi" w:hAnsiTheme="minorHAnsi" w:cstheme="minorHAnsi"/>
            </w:rPr>
            <w:t xml:space="preserve"> 2012</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B1A2D" w:rsidRPr="00367670" w:rsidRDefault="004B1A2D" w:rsidP="00F440E7">
          <w:pPr>
            <w:spacing w:before="0" w:after="0" w:line="240" w:lineRule="auto"/>
            <w:ind w:left="993"/>
            <w:rPr>
              <w:rStyle w:val="Heading2Char"/>
              <w:rFonts w:asciiTheme="minorHAnsi" w:hAnsiTheme="minorHAnsi" w:cstheme="minorHAnsi"/>
            </w:rPr>
          </w:pPr>
          <w:r w:rsidRPr="00367670">
            <w:rPr>
              <w:rFonts w:eastAsiaTheme="majorEastAsia" w:cstheme="minorHAnsi"/>
              <w:b/>
              <w:bCs/>
              <w:noProof/>
              <w:color w:val="165788"/>
              <w:sz w:val="32"/>
              <w:szCs w:val="26"/>
            </w:rPr>
            <w:drawing>
              <wp:anchor distT="0" distB="0" distL="114300" distR="114300" simplePos="0" relativeHeight="251659264" behindDoc="1" locked="0" layoutInCell="1" allowOverlap="1" wp14:anchorId="071B5023" wp14:editId="3DDE124D">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sidRPr="00367670">
            <w:rPr>
              <w:rFonts w:eastAsiaTheme="majorEastAsia" w:cstheme="minorHAnsi"/>
              <w:b/>
              <w:bCs/>
              <w:noProof/>
              <w:color w:val="165788"/>
              <w:sz w:val="32"/>
              <w:szCs w:val="26"/>
            </w:rPr>
            <w:drawing>
              <wp:anchor distT="0" distB="0" distL="114300" distR="114300" simplePos="0" relativeHeight="251660288" behindDoc="1" locked="0" layoutInCell="1" allowOverlap="1" wp14:anchorId="0B70E7AC" wp14:editId="057460D8">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sidRPr="00367670">
            <w:rPr>
              <w:rStyle w:val="Heading2Char"/>
              <w:rFonts w:asciiTheme="minorHAnsi" w:hAnsiTheme="minorHAnsi" w:cstheme="minorHAnsi"/>
            </w:rPr>
            <w:br w:type="page"/>
          </w:r>
        </w:p>
        <w:p w:rsidR="00BD69AE" w:rsidRPr="00367670" w:rsidRDefault="00BD69AE" w:rsidP="004B1A2D">
          <w:pPr>
            <w:spacing w:before="0" w:after="0" w:line="240" w:lineRule="auto"/>
            <w:rPr>
              <w:rFonts w:eastAsiaTheme="majorEastAsia" w:cstheme="minorHAnsi"/>
              <w:b/>
              <w:bCs/>
              <w:color w:val="165788"/>
              <w:sz w:val="40"/>
              <w:szCs w:val="28"/>
            </w:rPr>
            <w:sectPr w:rsidR="00BD69AE" w:rsidRPr="00367670" w:rsidSect="00DB0902">
              <w:headerReference w:type="default" r:id="rId18"/>
              <w:footerReference w:type="default" r:id="rId19"/>
              <w:headerReference w:type="first" r:id="rId20"/>
              <w:footerReference w:type="first" r:id="rId21"/>
              <w:type w:val="continuous"/>
              <w:pgSz w:w="11907" w:h="16839" w:code="9"/>
              <w:pgMar w:top="1440" w:right="1559" w:bottom="1440" w:left="1440" w:header="709" w:footer="709" w:gutter="0"/>
              <w:cols w:space="708"/>
              <w:titlePg/>
              <w:docGrid w:linePitch="360"/>
            </w:sectPr>
          </w:pPr>
        </w:p>
        <w:p w:rsidR="004B1A2D" w:rsidRPr="00367670" w:rsidRDefault="00DE1A68" w:rsidP="004B1A2D">
          <w:pPr>
            <w:spacing w:before="0" w:after="0" w:line="240" w:lineRule="auto"/>
            <w:rPr>
              <w:rFonts w:eastAsiaTheme="majorEastAsia" w:cstheme="minorHAnsi"/>
              <w:b/>
              <w:bCs/>
              <w:color w:val="165788"/>
              <w:sz w:val="40"/>
              <w:szCs w:val="28"/>
            </w:rPr>
          </w:pPr>
        </w:p>
      </w:sdtContent>
    </w:sdt>
    <w:bookmarkEnd w:id="0" w:displacedByCustomXml="prev"/>
    <w:p w:rsidR="009F1AE2" w:rsidRPr="00367670" w:rsidRDefault="009F1AE2" w:rsidP="0019736B">
      <w:pPr>
        <w:pStyle w:val="numberedpara"/>
        <w:numPr>
          <w:ilvl w:val="0"/>
          <w:numId w:val="0"/>
        </w:numPr>
        <w:tabs>
          <w:tab w:val="left" w:pos="720"/>
        </w:tabs>
        <w:ind w:left="142"/>
        <w:rPr>
          <w:rFonts w:asciiTheme="minorHAnsi" w:hAnsiTheme="minorHAnsi" w:cstheme="minorHAnsi"/>
          <w:sz w:val="560"/>
          <w:szCs w:val="560"/>
        </w:rPr>
      </w:pPr>
    </w:p>
    <w:p w:rsidR="009F1AE2" w:rsidRPr="00367670" w:rsidRDefault="009F1AE2" w:rsidP="009F1AE2">
      <w:pPr>
        <w:pStyle w:val="BodyText"/>
        <w:rPr>
          <w:rFonts w:cstheme="minorHAnsi"/>
        </w:rPr>
      </w:pPr>
    </w:p>
    <w:p w:rsidR="0019736B" w:rsidRPr="00367670" w:rsidRDefault="0019736B" w:rsidP="0019736B">
      <w:pPr>
        <w:pStyle w:val="numberedpara"/>
        <w:numPr>
          <w:ilvl w:val="0"/>
          <w:numId w:val="0"/>
        </w:numPr>
        <w:tabs>
          <w:tab w:val="left" w:pos="720"/>
        </w:tabs>
        <w:rPr>
          <w:rFonts w:asciiTheme="minorHAnsi" w:hAnsiTheme="minorHAnsi" w:cstheme="minorHAnsi"/>
          <w:sz w:val="20"/>
          <w:szCs w:val="20"/>
        </w:rPr>
      </w:pPr>
      <w:r w:rsidRPr="00367670">
        <w:rPr>
          <w:rFonts w:asciiTheme="minorHAnsi" w:hAnsiTheme="minorHAnsi" w:cstheme="minorHAnsi"/>
          <w:noProof/>
          <w:sz w:val="20"/>
          <w:szCs w:val="20"/>
        </w:rPr>
        <w:drawing>
          <wp:inline distT="0" distB="0" distL="0" distR="0" wp14:anchorId="5CB3EA27" wp14:editId="7D2AB008">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367670" w:rsidRDefault="0019736B" w:rsidP="0019736B">
      <w:pPr>
        <w:pStyle w:val="Default"/>
        <w:spacing w:before="120" w:after="120"/>
        <w:rPr>
          <w:rFonts w:asciiTheme="minorHAnsi" w:hAnsiTheme="minorHAnsi" w:cstheme="minorHAnsi"/>
          <w:sz w:val="20"/>
          <w:szCs w:val="20"/>
        </w:rPr>
      </w:pPr>
      <w:r w:rsidRPr="00367670">
        <w:rPr>
          <w:rFonts w:asciiTheme="minorHAnsi" w:hAnsiTheme="minorHAnsi" w:cstheme="minorHAnsi"/>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4" w:history="1">
        <w:r w:rsidRPr="00367670">
          <w:rPr>
            <w:rStyle w:val="Hyperlink"/>
            <w:rFonts w:asciiTheme="minorHAnsi" w:hAnsiTheme="minorHAnsi" w:cstheme="minorHAnsi"/>
          </w:rPr>
          <w:t>http://creativecommons.org/licenses/by/3.0/au/</w:t>
        </w:r>
      </w:hyperlink>
      <w:r w:rsidRPr="00367670">
        <w:rPr>
          <w:rFonts w:asciiTheme="minorHAnsi" w:hAnsiTheme="minorHAnsi" w:cstheme="minorHAnsi"/>
          <w:sz w:val="20"/>
          <w:szCs w:val="20"/>
        </w:rPr>
        <w:t xml:space="preserve">) licence. </w:t>
      </w:r>
    </w:p>
    <w:p w:rsidR="0019736B" w:rsidRPr="00367670" w:rsidRDefault="0019736B" w:rsidP="0019736B">
      <w:pPr>
        <w:pStyle w:val="Default"/>
        <w:spacing w:before="120" w:after="120"/>
        <w:rPr>
          <w:rFonts w:asciiTheme="minorHAnsi" w:hAnsiTheme="minorHAnsi" w:cstheme="minorHAnsi"/>
          <w:sz w:val="20"/>
          <w:szCs w:val="20"/>
        </w:rPr>
      </w:pPr>
      <w:r w:rsidRPr="00367670">
        <w:rPr>
          <w:rFonts w:asciiTheme="minorHAnsi" w:hAnsiTheme="minorHAnsi" w:cstheme="minorHAnsi"/>
          <w:sz w:val="20"/>
          <w:szCs w:val="20"/>
        </w:rPr>
        <w:t>The details of the relevant licence conditions are available on the Creative Commons website (accessible using the links provided) as is the full legal code for the CC BY 3.0 AU licence (</w:t>
      </w:r>
      <w:hyperlink r:id="rId25" w:history="1">
        <w:r w:rsidRPr="00367670">
          <w:rPr>
            <w:rStyle w:val="Hyperlink"/>
            <w:rFonts w:asciiTheme="minorHAnsi" w:hAnsiTheme="minorHAnsi" w:cstheme="minorHAnsi"/>
          </w:rPr>
          <w:t>http://creativecommons.org/licenses/by/3.0/au/legalcode</w:t>
        </w:r>
      </w:hyperlink>
      <w:r w:rsidRPr="00367670">
        <w:rPr>
          <w:rFonts w:asciiTheme="minorHAnsi" w:hAnsiTheme="minorHAnsi" w:cstheme="minorHAnsi"/>
          <w:sz w:val="20"/>
          <w:szCs w:val="20"/>
        </w:rPr>
        <w:t xml:space="preserve">). </w:t>
      </w:r>
    </w:p>
    <w:p w:rsidR="0019736B" w:rsidRDefault="0019736B" w:rsidP="0019736B">
      <w:pPr>
        <w:pStyle w:val="numberedpara"/>
        <w:numPr>
          <w:ilvl w:val="0"/>
          <w:numId w:val="0"/>
        </w:numPr>
        <w:tabs>
          <w:tab w:val="left" w:pos="720"/>
        </w:tabs>
        <w:spacing w:before="120" w:after="120"/>
        <w:rPr>
          <w:rFonts w:asciiTheme="minorHAnsi" w:hAnsiTheme="minorHAnsi" w:cstheme="minorHAnsi"/>
          <w:sz w:val="20"/>
          <w:szCs w:val="20"/>
        </w:rPr>
      </w:pPr>
      <w:r w:rsidRPr="00367670">
        <w:rPr>
          <w:rFonts w:asciiTheme="minorHAnsi" w:hAnsiTheme="minorHAnsi" w:cstheme="minorHAnsi"/>
          <w:sz w:val="20"/>
          <w:szCs w:val="20"/>
        </w:rPr>
        <w:t>The document must be attributed as the</w:t>
      </w:r>
      <w:r w:rsidR="00B52422" w:rsidRPr="00367670">
        <w:rPr>
          <w:rFonts w:asciiTheme="minorHAnsi" w:hAnsiTheme="minorHAnsi" w:cstheme="minorHAnsi"/>
          <w:sz w:val="20"/>
          <w:szCs w:val="20"/>
        </w:rPr>
        <w:t xml:space="preserve"> </w:t>
      </w:r>
      <w:r w:rsidR="0060157A" w:rsidRPr="00367670">
        <w:rPr>
          <w:rFonts w:asciiTheme="minorHAnsi" w:hAnsiTheme="minorHAnsi" w:cstheme="minorHAnsi"/>
          <w:sz w:val="20"/>
          <w:szCs w:val="20"/>
        </w:rPr>
        <w:t>‘Department of Education, Employment and Workplace Relations Survey of Employers</w:t>
      </w:r>
      <w:r w:rsidR="00954670">
        <w:rPr>
          <w:rFonts w:asciiTheme="minorHAnsi" w:hAnsiTheme="minorHAnsi" w:cstheme="minorHAnsi"/>
          <w:sz w:val="20"/>
          <w:szCs w:val="20"/>
        </w:rPr>
        <w:t xml:space="preserve">’ Recruitment Experiences – </w:t>
      </w:r>
      <w:r w:rsidR="00EA43A8">
        <w:rPr>
          <w:rFonts w:asciiTheme="minorHAnsi" w:hAnsiTheme="minorHAnsi" w:cstheme="minorHAnsi"/>
          <w:sz w:val="20"/>
          <w:szCs w:val="20"/>
        </w:rPr>
        <w:t>Southern Wide Bay-Burnett P</w:t>
      </w:r>
      <w:r w:rsidR="00A05D1E">
        <w:rPr>
          <w:rFonts w:asciiTheme="minorHAnsi" w:hAnsiTheme="minorHAnsi" w:cstheme="minorHAnsi"/>
          <w:sz w:val="20"/>
          <w:szCs w:val="20"/>
        </w:rPr>
        <w:t xml:space="preserve">riority </w:t>
      </w:r>
      <w:r w:rsidR="0060157A" w:rsidRPr="00367670">
        <w:rPr>
          <w:rFonts w:asciiTheme="minorHAnsi" w:hAnsiTheme="minorHAnsi" w:cstheme="minorHAnsi"/>
          <w:sz w:val="20"/>
          <w:szCs w:val="20"/>
        </w:rPr>
        <w:t xml:space="preserve">Employment Area – </w:t>
      </w:r>
      <w:r w:rsidR="00EA43A8">
        <w:rPr>
          <w:rFonts w:asciiTheme="minorHAnsi" w:hAnsiTheme="minorHAnsi" w:cstheme="minorHAnsi"/>
          <w:sz w:val="20"/>
          <w:szCs w:val="20"/>
        </w:rPr>
        <w:t>November</w:t>
      </w:r>
      <w:r w:rsidR="00A05D1E">
        <w:rPr>
          <w:rFonts w:asciiTheme="minorHAnsi" w:hAnsiTheme="minorHAnsi" w:cstheme="minorHAnsi"/>
          <w:sz w:val="20"/>
          <w:szCs w:val="20"/>
        </w:rPr>
        <w:t xml:space="preserve"> </w:t>
      </w:r>
      <w:r w:rsidR="0060157A" w:rsidRPr="00367670">
        <w:rPr>
          <w:rFonts w:asciiTheme="minorHAnsi" w:hAnsiTheme="minorHAnsi" w:cstheme="minorHAnsi"/>
          <w:sz w:val="20"/>
          <w:szCs w:val="20"/>
        </w:rPr>
        <w:t>2012’.</w:t>
      </w:r>
    </w:p>
    <w:p w:rsidR="00383AC5" w:rsidRPr="00383AC5" w:rsidRDefault="00383AC5" w:rsidP="00383AC5">
      <w:pPr>
        <w:pStyle w:val="numberedpara"/>
        <w:numPr>
          <w:ilvl w:val="0"/>
          <w:numId w:val="0"/>
        </w:numPr>
        <w:tabs>
          <w:tab w:val="left" w:pos="720"/>
        </w:tabs>
        <w:spacing w:before="120" w:after="120"/>
        <w:rPr>
          <w:rFonts w:cstheme="minorHAnsi"/>
          <w:sz w:val="20"/>
          <w:szCs w:val="20"/>
        </w:rPr>
      </w:pPr>
      <w:r w:rsidRPr="00383AC5">
        <w:rPr>
          <w:rFonts w:cstheme="minorHAnsi"/>
          <w:sz w:val="20"/>
          <w:szCs w:val="20"/>
        </w:rPr>
        <w:t>This report was prepared by the Labour Market Research and Analysis Branch and is based on research conducted by the Branch.</w:t>
      </w:r>
    </w:p>
    <w:p w:rsidR="00383AC5" w:rsidRPr="00383AC5" w:rsidRDefault="00383AC5" w:rsidP="00383AC5">
      <w:pPr>
        <w:pStyle w:val="numberedpara"/>
        <w:numPr>
          <w:ilvl w:val="0"/>
          <w:numId w:val="0"/>
        </w:numPr>
        <w:tabs>
          <w:tab w:val="left" w:pos="720"/>
        </w:tabs>
        <w:spacing w:before="120" w:after="120"/>
        <w:rPr>
          <w:rFonts w:cstheme="minorHAnsi"/>
          <w:sz w:val="20"/>
          <w:szCs w:val="20"/>
        </w:rPr>
      </w:pPr>
      <w:r w:rsidRPr="00383AC5">
        <w:rPr>
          <w:rFonts w:cstheme="minorHAnsi"/>
          <w:sz w:val="20"/>
          <w:szCs w:val="20"/>
        </w:rPr>
        <w:t>For further information:</w:t>
      </w:r>
      <w:r w:rsidRPr="00383AC5">
        <w:rPr>
          <w:rFonts w:cstheme="minorHAnsi"/>
          <w:sz w:val="20"/>
          <w:szCs w:val="20"/>
        </w:rPr>
        <w:tab/>
      </w:r>
      <w:r w:rsidRPr="00383AC5">
        <w:rPr>
          <w:rFonts w:cstheme="minorHAnsi"/>
          <w:sz w:val="20"/>
          <w:szCs w:val="20"/>
        </w:rPr>
        <w:tab/>
      </w:r>
      <w:r>
        <w:rPr>
          <w:rFonts w:cstheme="minorHAnsi"/>
          <w:sz w:val="20"/>
          <w:szCs w:val="20"/>
        </w:rPr>
        <w:t xml:space="preserve">                                            </w:t>
      </w:r>
      <w:r w:rsidRPr="00383AC5">
        <w:rPr>
          <w:rFonts w:cstheme="minorHAnsi"/>
          <w:sz w:val="20"/>
          <w:szCs w:val="20"/>
        </w:rPr>
        <w:t>www.deewr.gov.au</w:t>
      </w:r>
      <w:r w:rsidRPr="00383AC5">
        <w:rPr>
          <w:rFonts w:cstheme="minorHAnsi"/>
          <w:sz w:val="20"/>
          <w:szCs w:val="20"/>
        </w:rPr>
        <w:br/>
        <w:t xml:space="preserve">Ph: 1800 059 439 | </w:t>
      </w:r>
      <w:hyperlink r:id="rId26" w:history="1">
        <w:r w:rsidRPr="00383AC5">
          <w:rPr>
            <w:rStyle w:val="Hyperlink"/>
            <w:rFonts w:cstheme="minorHAnsi"/>
            <w:sz w:val="20"/>
            <w:szCs w:val="20"/>
          </w:rPr>
          <w:t>recruitmentsurveys@deewr.gov.au</w:t>
        </w:r>
      </w:hyperlink>
      <w:r w:rsidRPr="00383AC5">
        <w:rPr>
          <w:rFonts w:cstheme="minorHAnsi"/>
          <w:sz w:val="20"/>
          <w:szCs w:val="20"/>
        </w:rPr>
        <w:tab/>
      </w:r>
      <w:r>
        <w:rPr>
          <w:rFonts w:cstheme="minorHAnsi"/>
          <w:sz w:val="20"/>
          <w:szCs w:val="20"/>
        </w:rPr>
        <w:t xml:space="preserve">                                          </w:t>
      </w:r>
      <w:r w:rsidRPr="00383AC5">
        <w:rPr>
          <w:rFonts w:cstheme="minorHAnsi"/>
          <w:sz w:val="20"/>
          <w:szCs w:val="20"/>
        </w:rPr>
        <w:t>ABN: 63 578 775 294</w:t>
      </w:r>
    </w:p>
    <w:p w:rsidR="00383AC5" w:rsidRPr="00367670" w:rsidRDefault="00383AC5" w:rsidP="0019736B">
      <w:pPr>
        <w:pStyle w:val="numberedpara"/>
        <w:numPr>
          <w:ilvl w:val="0"/>
          <w:numId w:val="0"/>
        </w:numPr>
        <w:tabs>
          <w:tab w:val="left" w:pos="720"/>
        </w:tabs>
        <w:spacing w:before="120" w:after="120"/>
        <w:rPr>
          <w:rFonts w:asciiTheme="minorHAnsi" w:hAnsiTheme="minorHAnsi" w:cstheme="minorHAnsi"/>
          <w:sz w:val="20"/>
          <w:szCs w:val="20"/>
        </w:rPr>
      </w:pPr>
    </w:p>
    <w:p w:rsidR="0019736B" w:rsidRPr="00367670" w:rsidRDefault="0019736B">
      <w:pPr>
        <w:spacing w:before="0" w:after="0" w:line="240" w:lineRule="auto"/>
        <w:rPr>
          <w:rFonts w:eastAsiaTheme="majorEastAsia" w:cstheme="minorHAnsi"/>
          <w:b/>
          <w:bCs/>
          <w:color w:val="165788"/>
          <w:sz w:val="40"/>
          <w:szCs w:val="28"/>
        </w:rPr>
      </w:pPr>
      <w:r w:rsidRPr="00367670">
        <w:rPr>
          <w:rFonts w:cstheme="minorHAnsi"/>
        </w:rPr>
        <w:br w:type="page"/>
      </w:r>
    </w:p>
    <w:bookmarkStart w:id="44" w:name="_Toc358630774" w:displacedByCustomXml="next"/>
    <w:bookmarkStart w:id="45" w:name="_Toc357166895" w:displacedByCustomXml="next"/>
    <w:bookmarkStart w:id="46" w:name="_Toc357082150" w:displacedByCustomXml="next"/>
    <w:bookmarkStart w:id="47" w:name="_Toc341361658" w:displacedByCustomXml="next"/>
    <w:bookmarkStart w:id="48" w:name="_Toc340153442" w:displacedByCustomXml="next"/>
    <w:bookmarkStart w:id="49" w:name="_Toc340499859" w:displacedByCustomXml="next"/>
    <w:bookmarkStart w:id="50" w:name="_Toc342050339" w:displacedByCustomXml="next"/>
    <w:bookmarkStart w:id="51" w:name="_Toc342900520" w:displacedByCustomXml="next"/>
    <w:bookmarkStart w:id="52" w:name="_Toc343771298" w:displacedByCustomXml="next"/>
    <w:bookmarkStart w:id="53" w:name="_Toc356376474" w:displacedByCustomXml="next"/>
    <w:bookmarkStart w:id="54" w:name="_Toc356389310" w:displacedByCustomXml="next"/>
    <w:bookmarkStart w:id="55" w:name="_Toc357409691" w:displacedByCustomXml="next"/>
    <w:bookmarkStart w:id="56" w:name="_Toc358550425" w:displacedByCustomXml="next"/>
    <w:bookmarkStart w:id="57" w:name="_Toc358550520" w:displacedByCustomXml="next"/>
    <w:bookmarkStart w:id="58" w:name="_Toc359234147" w:displacedByCustomXml="next"/>
    <w:sdt>
      <w:sdtPr>
        <w:rPr>
          <w:rFonts w:asciiTheme="minorHAnsi" w:eastAsia="Times New Roman" w:hAnsiTheme="minorHAnsi" w:cstheme="minorHAnsi"/>
          <w:b w:val="0"/>
          <w:bCs w:val="0"/>
          <w:smallCaps/>
          <w:color w:val="auto"/>
          <w:sz w:val="22"/>
          <w:szCs w:val="24"/>
        </w:rPr>
        <w:id w:val="86572131"/>
        <w:docPartObj>
          <w:docPartGallery w:val="Table of Contents"/>
          <w:docPartUnique/>
        </w:docPartObj>
      </w:sdtPr>
      <w:sdtEndPr>
        <w:rPr>
          <w:smallCaps w:val="0"/>
        </w:rPr>
      </w:sdtEndPr>
      <w:sdtContent>
        <w:bookmarkStart w:id="59" w:name="_Toc339275837" w:displacedByCustomXml="prev"/>
        <w:bookmarkStart w:id="60" w:name="_Toc338940317" w:displacedByCustomXml="prev"/>
        <w:bookmarkStart w:id="61" w:name="_Toc338850211" w:displacedByCustomXml="prev"/>
        <w:bookmarkStart w:id="62" w:name="_Toc338852468" w:displacedByCustomXml="prev"/>
        <w:bookmarkStart w:id="63" w:name="_Toc339367558" w:displacedByCustomXml="prev"/>
        <w:p w:rsidR="0097493D" w:rsidRPr="00367670" w:rsidRDefault="0097493D" w:rsidP="007519A5">
          <w:pPr>
            <w:pStyle w:val="Heading1"/>
            <w:ind w:left="284"/>
            <w:rPr>
              <w:rFonts w:asciiTheme="minorHAnsi" w:hAnsiTheme="minorHAnsi" w:cstheme="minorHAnsi"/>
            </w:rPr>
          </w:pPr>
          <w:r w:rsidRPr="00367670">
            <w:rPr>
              <w:rFonts w:asciiTheme="minorHAnsi" w:hAnsiTheme="minorHAnsi" w:cstheme="minorHAnsi"/>
            </w:rPr>
            <w:t>Contents</w:t>
          </w:r>
          <w:bookmarkEnd w:id="63"/>
          <w:bookmarkEnd w:id="62"/>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bookmarkEnd w:id="46"/>
          <w:bookmarkEnd w:id="45"/>
          <w:bookmarkEnd w:id="44"/>
        </w:p>
        <w:p w:rsidR="002B0E8C" w:rsidRDefault="00226F63">
          <w:pPr>
            <w:pStyle w:val="TOC1"/>
            <w:rPr>
              <w:rFonts w:asciiTheme="minorHAnsi" w:eastAsiaTheme="minorEastAsia" w:hAnsiTheme="minorHAnsi" w:cstheme="minorBidi"/>
              <w:b w:val="0"/>
              <w:noProof/>
              <w:color w:val="auto"/>
              <w:szCs w:val="22"/>
            </w:rPr>
          </w:pPr>
          <w:r w:rsidRPr="00367670">
            <w:rPr>
              <w:rFonts w:asciiTheme="minorHAnsi" w:hAnsiTheme="minorHAnsi" w:cstheme="minorHAnsi"/>
            </w:rPr>
            <w:fldChar w:fldCharType="begin"/>
          </w:r>
          <w:r w:rsidR="0097493D" w:rsidRPr="00367670">
            <w:rPr>
              <w:rFonts w:asciiTheme="minorHAnsi" w:hAnsiTheme="minorHAnsi" w:cstheme="minorHAnsi"/>
            </w:rPr>
            <w:instrText xml:space="preserve"> TOC \o "1-3" \h \z \u </w:instrText>
          </w:r>
          <w:r w:rsidRPr="00367670">
            <w:rPr>
              <w:rFonts w:asciiTheme="minorHAnsi" w:hAnsiTheme="minorHAnsi" w:cstheme="minorHAnsi"/>
            </w:rPr>
            <w:fldChar w:fldCharType="separate"/>
          </w:r>
          <w:hyperlink w:anchor="_Toc359234148" w:history="1">
            <w:r w:rsidR="002B0E8C" w:rsidRPr="00BE659C">
              <w:rPr>
                <w:rStyle w:val="Hyperlink"/>
                <w:rFonts w:eastAsiaTheme="majorEastAsia" w:cstheme="minorHAnsi"/>
                <w:bCs/>
                <w:noProof/>
                <w:lang w:eastAsia="en-US"/>
              </w:rPr>
              <w:t>Key Findings</w:t>
            </w:r>
            <w:r w:rsidR="002B0E8C">
              <w:rPr>
                <w:noProof/>
                <w:webHidden/>
              </w:rPr>
              <w:tab/>
            </w:r>
            <w:r w:rsidR="002B0E8C">
              <w:rPr>
                <w:noProof/>
                <w:webHidden/>
              </w:rPr>
              <w:fldChar w:fldCharType="begin"/>
            </w:r>
            <w:r w:rsidR="002B0E8C">
              <w:rPr>
                <w:noProof/>
                <w:webHidden/>
              </w:rPr>
              <w:instrText xml:space="preserve"> PAGEREF _Toc359234148 \h </w:instrText>
            </w:r>
            <w:r w:rsidR="002B0E8C">
              <w:rPr>
                <w:noProof/>
                <w:webHidden/>
              </w:rPr>
            </w:r>
            <w:r w:rsidR="002B0E8C">
              <w:rPr>
                <w:noProof/>
                <w:webHidden/>
              </w:rPr>
              <w:fldChar w:fldCharType="separate"/>
            </w:r>
            <w:r w:rsidR="002B0E8C">
              <w:rPr>
                <w:noProof/>
                <w:webHidden/>
              </w:rPr>
              <w:t>1</w:t>
            </w:r>
            <w:r w:rsidR="002B0E8C">
              <w:rPr>
                <w:noProof/>
                <w:webHidden/>
              </w:rPr>
              <w:fldChar w:fldCharType="end"/>
            </w:r>
          </w:hyperlink>
        </w:p>
        <w:p w:rsidR="002B0E8C" w:rsidRDefault="00DE1A68">
          <w:pPr>
            <w:pStyle w:val="TOC1"/>
            <w:rPr>
              <w:rFonts w:asciiTheme="minorHAnsi" w:eastAsiaTheme="minorEastAsia" w:hAnsiTheme="minorHAnsi" w:cstheme="minorBidi"/>
              <w:b w:val="0"/>
              <w:noProof/>
              <w:color w:val="auto"/>
              <w:szCs w:val="22"/>
            </w:rPr>
          </w:pPr>
          <w:hyperlink w:anchor="_Toc359234149" w:history="1">
            <w:r w:rsidR="002B0E8C" w:rsidRPr="00BE659C">
              <w:rPr>
                <w:rStyle w:val="Hyperlink"/>
                <w:rFonts w:eastAsiaTheme="majorEastAsia"/>
                <w:noProof/>
              </w:rPr>
              <w:t>The Southern Wide Bay-Burnett Priority Employment Area</w:t>
            </w:r>
            <w:r w:rsidR="002B0E8C">
              <w:rPr>
                <w:noProof/>
                <w:webHidden/>
              </w:rPr>
              <w:tab/>
            </w:r>
            <w:r w:rsidR="002B0E8C">
              <w:rPr>
                <w:noProof/>
                <w:webHidden/>
              </w:rPr>
              <w:fldChar w:fldCharType="begin"/>
            </w:r>
            <w:r w:rsidR="002B0E8C">
              <w:rPr>
                <w:noProof/>
                <w:webHidden/>
              </w:rPr>
              <w:instrText xml:space="preserve"> PAGEREF _Toc359234149 \h </w:instrText>
            </w:r>
            <w:r w:rsidR="002B0E8C">
              <w:rPr>
                <w:noProof/>
                <w:webHidden/>
              </w:rPr>
            </w:r>
            <w:r w:rsidR="002B0E8C">
              <w:rPr>
                <w:noProof/>
                <w:webHidden/>
              </w:rPr>
              <w:fldChar w:fldCharType="separate"/>
            </w:r>
            <w:r w:rsidR="002B0E8C">
              <w:rPr>
                <w:noProof/>
                <w:webHidden/>
              </w:rPr>
              <w:t>1</w:t>
            </w:r>
            <w:r w:rsidR="002B0E8C">
              <w:rPr>
                <w:noProof/>
                <w:webHidden/>
              </w:rPr>
              <w:fldChar w:fldCharType="end"/>
            </w:r>
          </w:hyperlink>
        </w:p>
        <w:p w:rsidR="002B0E8C" w:rsidRDefault="00DE1A68">
          <w:pPr>
            <w:pStyle w:val="TOC1"/>
            <w:rPr>
              <w:rFonts w:asciiTheme="minorHAnsi" w:eastAsiaTheme="minorEastAsia" w:hAnsiTheme="minorHAnsi" w:cstheme="minorBidi"/>
              <w:b w:val="0"/>
              <w:noProof/>
              <w:color w:val="auto"/>
              <w:szCs w:val="22"/>
            </w:rPr>
          </w:pPr>
          <w:hyperlink w:anchor="_Toc359234150" w:history="1">
            <w:r w:rsidR="002B0E8C" w:rsidRPr="00BE659C">
              <w:rPr>
                <w:rStyle w:val="Hyperlink"/>
                <w:rFonts w:eastAsiaTheme="majorEastAsia"/>
                <w:noProof/>
              </w:rPr>
              <w:t>Labour Market Challenges</w:t>
            </w:r>
            <w:r w:rsidR="002B0E8C">
              <w:rPr>
                <w:noProof/>
                <w:webHidden/>
              </w:rPr>
              <w:tab/>
            </w:r>
            <w:r w:rsidR="002B0E8C">
              <w:rPr>
                <w:noProof/>
                <w:webHidden/>
              </w:rPr>
              <w:fldChar w:fldCharType="begin"/>
            </w:r>
            <w:r w:rsidR="002B0E8C">
              <w:rPr>
                <w:noProof/>
                <w:webHidden/>
              </w:rPr>
              <w:instrText xml:space="preserve"> PAGEREF _Toc359234150 \h </w:instrText>
            </w:r>
            <w:r w:rsidR="002B0E8C">
              <w:rPr>
                <w:noProof/>
                <w:webHidden/>
              </w:rPr>
            </w:r>
            <w:r w:rsidR="002B0E8C">
              <w:rPr>
                <w:noProof/>
                <w:webHidden/>
              </w:rPr>
              <w:fldChar w:fldCharType="separate"/>
            </w:r>
            <w:r w:rsidR="002B0E8C">
              <w:rPr>
                <w:noProof/>
                <w:webHidden/>
              </w:rPr>
              <w:t>1</w:t>
            </w:r>
            <w:r w:rsidR="002B0E8C">
              <w:rPr>
                <w:noProof/>
                <w:webHidden/>
              </w:rPr>
              <w:fldChar w:fldCharType="end"/>
            </w:r>
          </w:hyperlink>
        </w:p>
        <w:p w:rsidR="002B0E8C" w:rsidRDefault="00DE1A68">
          <w:pPr>
            <w:pStyle w:val="TOC1"/>
            <w:rPr>
              <w:rFonts w:asciiTheme="minorHAnsi" w:eastAsiaTheme="minorEastAsia" w:hAnsiTheme="minorHAnsi" w:cstheme="minorBidi"/>
              <w:b w:val="0"/>
              <w:noProof/>
              <w:color w:val="auto"/>
              <w:szCs w:val="22"/>
            </w:rPr>
          </w:pPr>
          <w:hyperlink w:anchor="_Toc359234151" w:history="1">
            <w:r w:rsidR="002B0E8C" w:rsidRPr="00BE659C">
              <w:rPr>
                <w:rStyle w:val="Hyperlink"/>
                <w:rFonts w:eastAsiaTheme="majorEastAsia"/>
                <w:noProof/>
              </w:rPr>
              <w:t>Recruitment Activity Low and Slowing</w:t>
            </w:r>
            <w:r w:rsidR="002B0E8C">
              <w:rPr>
                <w:noProof/>
                <w:webHidden/>
              </w:rPr>
              <w:tab/>
            </w:r>
            <w:r w:rsidR="002B0E8C">
              <w:rPr>
                <w:noProof/>
                <w:webHidden/>
              </w:rPr>
              <w:fldChar w:fldCharType="begin"/>
            </w:r>
            <w:r w:rsidR="002B0E8C">
              <w:rPr>
                <w:noProof/>
                <w:webHidden/>
              </w:rPr>
              <w:instrText xml:space="preserve"> PAGEREF _Toc359234151 \h </w:instrText>
            </w:r>
            <w:r w:rsidR="002B0E8C">
              <w:rPr>
                <w:noProof/>
                <w:webHidden/>
              </w:rPr>
            </w:r>
            <w:r w:rsidR="002B0E8C">
              <w:rPr>
                <w:noProof/>
                <w:webHidden/>
              </w:rPr>
              <w:fldChar w:fldCharType="separate"/>
            </w:r>
            <w:r w:rsidR="002B0E8C">
              <w:rPr>
                <w:noProof/>
                <w:webHidden/>
              </w:rPr>
              <w:t>2</w:t>
            </w:r>
            <w:r w:rsidR="002B0E8C">
              <w:rPr>
                <w:noProof/>
                <w:webHidden/>
              </w:rPr>
              <w:fldChar w:fldCharType="end"/>
            </w:r>
          </w:hyperlink>
        </w:p>
        <w:p w:rsidR="002B0E8C" w:rsidRDefault="00DE1A68">
          <w:pPr>
            <w:pStyle w:val="TOC1"/>
            <w:rPr>
              <w:rFonts w:asciiTheme="minorHAnsi" w:eastAsiaTheme="minorEastAsia" w:hAnsiTheme="minorHAnsi" w:cstheme="minorBidi"/>
              <w:b w:val="0"/>
              <w:noProof/>
              <w:color w:val="auto"/>
              <w:szCs w:val="22"/>
            </w:rPr>
          </w:pPr>
          <w:hyperlink w:anchor="_Toc359234152" w:history="1">
            <w:r w:rsidR="002B0E8C" w:rsidRPr="00BE659C">
              <w:rPr>
                <w:rStyle w:val="Hyperlink"/>
                <w:rFonts w:eastAsiaTheme="majorEastAsia"/>
                <w:noProof/>
              </w:rPr>
              <w:t>Most job applicants unsuitable</w:t>
            </w:r>
            <w:r w:rsidR="002B0E8C">
              <w:rPr>
                <w:noProof/>
                <w:webHidden/>
              </w:rPr>
              <w:tab/>
            </w:r>
            <w:r w:rsidR="002B0E8C">
              <w:rPr>
                <w:noProof/>
                <w:webHidden/>
              </w:rPr>
              <w:fldChar w:fldCharType="begin"/>
            </w:r>
            <w:r w:rsidR="002B0E8C">
              <w:rPr>
                <w:noProof/>
                <w:webHidden/>
              </w:rPr>
              <w:instrText xml:space="preserve"> PAGEREF _Toc359234152 \h </w:instrText>
            </w:r>
            <w:r w:rsidR="002B0E8C">
              <w:rPr>
                <w:noProof/>
                <w:webHidden/>
              </w:rPr>
            </w:r>
            <w:r w:rsidR="002B0E8C">
              <w:rPr>
                <w:noProof/>
                <w:webHidden/>
              </w:rPr>
              <w:fldChar w:fldCharType="separate"/>
            </w:r>
            <w:r w:rsidR="002B0E8C">
              <w:rPr>
                <w:noProof/>
                <w:webHidden/>
              </w:rPr>
              <w:t>3</w:t>
            </w:r>
            <w:r w:rsidR="002B0E8C">
              <w:rPr>
                <w:noProof/>
                <w:webHidden/>
              </w:rPr>
              <w:fldChar w:fldCharType="end"/>
            </w:r>
          </w:hyperlink>
        </w:p>
        <w:p w:rsidR="002B0E8C" w:rsidRDefault="00DE1A68">
          <w:pPr>
            <w:pStyle w:val="TOC1"/>
            <w:rPr>
              <w:rFonts w:asciiTheme="minorHAnsi" w:eastAsiaTheme="minorEastAsia" w:hAnsiTheme="minorHAnsi" w:cstheme="minorBidi"/>
              <w:b w:val="0"/>
              <w:noProof/>
              <w:color w:val="auto"/>
              <w:szCs w:val="22"/>
            </w:rPr>
          </w:pPr>
          <w:hyperlink w:anchor="_Toc359234153" w:history="1">
            <w:r w:rsidR="002B0E8C" w:rsidRPr="00BE659C">
              <w:rPr>
                <w:rStyle w:val="Hyperlink"/>
                <w:rFonts w:eastAsiaTheme="majorEastAsia"/>
                <w:noProof/>
              </w:rPr>
              <w:t>Future Recruitment Expectations Subdued</w:t>
            </w:r>
            <w:r w:rsidR="002B0E8C">
              <w:rPr>
                <w:noProof/>
                <w:webHidden/>
              </w:rPr>
              <w:tab/>
            </w:r>
            <w:r w:rsidR="002B0E8C">
              <w:rPr>
                <w:noProof/>
                <w:webHidden/>
              </w:rPr>
              <w:fldChar w:fldCharType="begin"/>
            </w:r>
            <w:r w:rsidR="002B0E8C">
              <w:rPr>
                <w:noProof/>
                <w:webHidden/>
              </w:rPr>
              <w:instrText xml:space="preserve"> PAGEREF _Toc359234153 \h </w:instrText>
            </w:r>
            <w:r w:rsidR="002B0E8C">
              <w:rPr>
                <w:noProof/>
                <w:webHidden/>
              </w:rPr>
            </w:r>
            <w:r w:rsidR="002B0E8C">
              <w:rPr>
                <w:noProof/>
                <w:webHidden/>
              </w:rPr>
              <w:fldChar w:fldCharType="separate"/>
            </w:r>
            <w:r w:rsidR="002B0E8C">
              <w:rPr>
                <w:noProof/>
                <w:webHidden/>
              </w:rPr>
              <w:t>4</w:t>
            </w:r>
            <w:r w:rsidR="002B0E8C">
              <w:rPr>
                <w:noProof/>
                <w:webHidden/>
              </w:rPr>
              <w:fldChar w:fldCharType="end"/>
            </w:r>
          </w:hyperlink>
        </w:p>
        <w:p w:rsidR="002B0E8C" w:rsidRDefault="00DE1A68">
          <w:pPr>
            <w:pStyle w:val="TOC1"/>
            <w:rPr>
              <w:rFonts w:asciiTheme="minorHAnsi" w:eastAsiaTheme="minorEastAsia" w:hAnsiTheme="minorHAnsi" w:cstheme="minorBidi"/>
              <w:b w:val="0"/>
              <w:noProof/>
              <w:color w:val="auto"/>
              <w:szCs w:val="22"/>
            </w:rPr>
          </w:pPr>
          <w:hyperlink w:anchor="_Toc359234154" w:history="1">
            <w:r w:rsidR="002B0E8C" w:rsidRPr="00BE659C">
              <w:rPr>
                <w:rStyle w:val="Hyperlink"/>
                <w:rFonts w:eastAsiaTheme="majorEastAsia"/>
                <w:noProof/>
              </w:rPr>
              <w:t>Opportunities</w:t>
            </w:r>
            <w:r w:rsidR="002B0E8C">
              <w:rPr>
                <w:noProof/>
                <w:webHidden/>
              </w:rPr>
              <w:tab/>
            </w:r>
            <w:r w:rsidR="002B0E8C">
              <w:rPr>
                <w:noProof/>
                <w:webHidden/>
              </w:rPr>
              <w:fldChar w:fldCharType="begin"/>
            </w:r>
            <w:r w:rsidR="002B0E8C">
              <w:rPr>
                <w:noProof/>
                <w:webHidden/>
              </w:rPr>
              <w:instrText xml:space="preserve"> PAGEREF _Toc359234154 \h </w:instrText>
            </w:r>
            <w:r w:rsidR="002B0E8C">
              <w:rPr>
                <w:noProof/>
                <w:webHidden/>
              </w:rPr>
            </w:r>
            <w:r w:rsidR="002B0E8C">
              <w:rPr>
                <w:noProof/>
                <w:webHidden/>
              </w:rPr>
              <w:fldChar w:fldCharType="separate"/>
            </w:r>
            <w:r w:rsidR="002B0E8C">
              <w:rPr>
                <w:noProof/>
                <w:webHidden/>
              </w:rPr>
              <w:t>4</w:t>
            </w:r>
            <w:r w:rsidR="002B0E8C">
              <w:rPr>
                <w:noProof/>
                <w:webHidden/>
              </w:rPr>
              <w:fldChar w:fldCharType="end"/>
            </w:r>
          </w:hyperlink>
        </w:p>
        <w:p w:rsidR="002B0E8C" w:rsidRDefault="00DE1A68">
          <w:pPr>
            <w:pStyle w:val="TOC1"/>
            <w:rPr>
              <w:rFonts w:asciiTheme="minorHAnsi" w:eastAsiaTheme="minorEastAsia" w:hAnsiTheme="minorHAnsi" w:cstheme="minorBidi"/>
              <w:b w:val="0"/>
              <w:noProof/>
              <w:color w:val="auto"/>
              <w:szCs w:val="22"/>
            </w:rPr>
          </w:pPr>
          <w:hyperlink w:anchor="_Toc359234155" w:history="1">
            <w:r w:rsidR="002B0E8C" w:rsidRPr="00BE659C">
              <w:rPr>
                <w:rStyle w:val="Hyperlink"/>
                <w:rFonts w:eastAsiaTheme="majorEastAsia"/>
                <w:noProof/>
              </w:rPr>
              <w:t>More Information</w:t>
            </w:r>
            <w:r w:rsidR="002B0E8C">
              <w:rPr>
                <w:noProof/>
                <w:webHidden/>
              </w:rPr>
              <w:tab/>
            </w:r>
            <w:r w:rsidR="002B0E8C">
              <w:rPr>
                <w:noProof/>
                <w:webHidden/>
              </w:rPr>
              <w:fldChar w:fldCharType="begin"/>
            </w:r>
            <w:r w:rsidR="002B0E8C">
              <w:rPr>
                <w:noProof/>
                <w:webHidden/>
              </w:rPr>
              <w:instrText xml:space="preserve"> PAGEREF _Toc359234155 \h </w:instrText>
            </w:r>
            <w:r w:rsidR="002B0E8C">
              <w:rPr>
                <w:noProof/>
                <w:webHidden/>
              </w:rPr>
            </w:r>
            <w:r w:rsidR="002B0E8C">
              <w:rPr>
                <w:noProof/>
                <w:webHidden/>
              </w:rPr>
              <w:fldChar w:fldCharType="separate"/>
            </w:r>
            <w:r w:rsidR="002B0E8C">
              <w:rPr>
                <w:noProof/>
                <w:webHidden/>
              </w:rPr>
              <w:t>5</w:t>
            </w:r>
            <w:r w:rsidR="002B0E8C">
              <w:rPr>
                <w:noProof/>
                <w:webHidden/>
              </w:rPr>
              <w:fldChar w:fldCharType="end"/>
            </w:r>
          </w:hyperlink>
        </w:p>
        <w:p w:rsidR="0097493D" w:rsidRPr="00367670" w:rsidRDefault="00226F63">
          <w:pPr>
            <w:rPr>
              <w:rFonts w:cstheme="minorHAnsi"/>
            </w:rPr>
          </w:pPr>
          <w:r w:rsidRPr="00367670">
            <w:rPr>
              <w:rFonts w:cstheme="minorHAnsi"/>
            </w:rPr>
            <w:fldChar w:fldCharType="end"/>
          </w:r>
        </w:p>
      </w:sdtContent>
    </w:sdt>
    <w:p w:rsidR="004B1A2D" w:rsidRPr="00367670" w:rsidRDefault="004B1A2D" w:rsidP="004B1A2D">
      <w:pPr>
        <w:rPr>
          <w:rFonts w:cstheme="minorHAnsi"/>
        </w:rPr>
      </w:pPr>
    </w:p>
    <w:p w:rsidR="004B1A2D" w:rsidRPr="00367670" w:rsidRDefault="004B1A2D" w:rsidP="00EC514F">
      <w:pPr>
        <w:pStyle w:val="Heading1"/>
        <w:rPr>
          <w:rFonts w:asciiTheme="minorHAnsi" w:hAnsiTheme="minorHAnsi" w:cstheme="minorHAnsi"/>
          <w:b w:val="0"/>
        </w:rPr>
      </w:pPr>
      <w:r w:rsidRPr="00367670">
        <w:rPr>
          <w:rFonts w:asciiTheme="minorHAnsi" w:hAnsiTheme="minorHAnsi" w:cstheme="minorHAnsi"/>
        </w:rPr>
        <w:br w:type="page"/>
      </w:r>
    </w:p>
    <w:p w:rsidR="00D252F4" w:rsidRDefault="00D252F4" w:rsidP="007B6B42">
      <w:pPr>
        <w:pStyle w:val="RIESbriefreports"/>
        <w:spacing w:before="240"/>
        <w:rPr>
          <w:szCs w:val="24"/>
        </w:rPr>
        <w:sectPr w:rsidR="00D252F4" w:rsidSect="00D252F4">
          <w:headerReference w:type="default" r:id="rId27"/>
          <w:footerReference w:type="default" r:id="rId28"/>
          <w:headerReference w:type="first" r:id="rId29"/>
          <w:footerReference w:type="first" r:id="rId30"/>
          <w:pgSz w:w="11906" w:h="16838"/>
          <w:pgMar w:top="709" w:right="1418" w:bottom="1440" w:left="1418" w:header="709" w:footer="709" w:gutter="0"/>
          <w:pgNumType w:fmt="lowerRoman" w:start="1"/>
          <w:cols w:space="708"/>
          <w:titlePg/>
          <w:docGrid w:linePitch="360"/>
        </w:sectPr>
      </w:pPr>
    </w:p>
    <w:p w:rsidR="006D44B5" w:rsidRPr="00FF3D92" w:rsidRDefault="006D44B5" w:rsidP="006D44B5">
      <w:pPr>
        <w:keepNext/>
        <w:keepLines/>
        <w:pBdr>
          <w:bottom w:val="single" w:sz="4" w:space="1" w:color="auto"/>
        </w:pBdr>
        <w:spacing w:before="0" w:line="276" w:lineRule="auto"/>
        <w:outlineLvl w:val="0"/>
        <w:rPr>
          <w:rFonts w:eastAsiaTheme="majorEastAsia" w:cstheme="minorHAnsi"/>
          <w:b/>
          <w:bCs/>
          <w:color w:val="365F91" w:themeColor="accent1" w:themeShade="BF"/>
          <w:sz w:val="24"/>
          <w:lang w:eastAsia="en-US"/>
        </w:rPr>
      </w:pPr>
      <w:bookmarkStart w:id="64" w:name="_Toc351128440"/>
      <w:bookmarkStart w:id="65" w:name="_Toc359234148"/>
      <w:bookmarkStart w:id="66" w:name="_Toc329769407"/>
      <w:r w:rsidRPr="00FF3D92">
        <w:rPr>
          <w:rFonts w:eastAsiaTheme="majorEastAsia" w:cstheme="minorHAnsi"/>
          <w:b/>
          <w:bCs/>
          <w:color w:val="365F91" w:themeColor="accent1" w:themeShade="BF"/>
          <w:sz w:val="24"/>
          <w:lang w:eastAsia="en-US"/>
        </w:rPr>
        <w:lastRenderedPageBreak/>
        <w:t>Key Findings</w:t>
      </w:r>
      <w:bookmarkEnd w:id="64"/>
      <w:bookmarkEnd w:id="65"/>
    </w:p>
    <w:p w:rsidR="006D44B5" w:rsidRPr="00FF3D92" w:rsidRDefault="006D44B5" w:rsidP="006D44B5">
      <w:pPr>
        <w:spacing w:before="0" w:line="240" w:lineRule="auto"/>
        <w:jc w:val="both"/>
        <w:rPr>
          <w:rFonts w:eastAsiaTheme="minorHAnsi" w:cstheme="minorBidi"/>
          <w:sz w:val="24"/>
          <w:lang w:eastAsia="en-US"/>
        </w:rPr>
      </w:pPr>
      <w:r w:rsidRPr="00FF3D92">
        <w:rPr>
          <w:rFonts w:eastAsiaTheme="minorHAnsi" w:cstheme="minorBidi"/>
          <w:sz w:val="24"/>
          <w:lang w:eastAsia="en-US"/>
        </w:rPr>
        <w:t>Labour market conditions in the Southern Wide Bay-Burnett Priority Employment Area (PEA) remain subdued</w:t>
      </w:r>
      <w:r w:rsidR="0016445B">
        <w:rPr>
          <w:rFonts w:eastAsiaTheme="minorHAnsi" w:cstheme="minorBidi"/>
          <w:sz w:val="24"/>
          <w:lang w:eastAsia="en-US"/>
        </w:rPr>
        <w:t xml:space="preserve">. </w:t>
      </w:r>
      <w:r w:rsidR="00A7079F" w:rsidRPr="00FF3D92">
        <w:rPr>
          <w:rFonts w:eastAsiaTheme="minorHAnsi" w:cstheme="minorBidi"/>
          <w:sz w:val="24"/>
          <w:lang w:eastAsia="en-US"/>
        </w:rPr>
        <w:t>Analysis of t</w:t>
      </w:r>
      <w:r w:rsidR="00B50470">
        <w:rPr>
          <w:rFonts w:eastAsiaTheme="minorHAnsi" w:cstheme="minorBidi"/>
          <w:sz w:val="24"/>
          <w:lang w:eastAsia="en-US"/>
        </w:rPr>
        <w:t>he PEA</w:t>
      </w:r>
      <w:r w:rsidR="000C0F12" w:rsidRPr="00FF3D92">
        <w:rPr>
          <w:rFonts w:eastAsiaTheme="minorHAnsi" w:cstheme="minorBidi"/>
          <w:sz w:val="24"/>
          <w:lang w:eastAsia="en-US"/>
        </w:rPr>
        <w:t xml:space="preserve"> </w:t>
      </w:r>
      <w:r w:rsidRPr="00FF3D92">
        <w:rPr>
          <w:rFonts w:eastAsiaTheme="minorHAnsi" w:cstheme="minorBidi"/>
          <w:sz w:val="24"/>
          <w:lang w:eastAsia="en-US"/>
        </w:rPr>
        <w:t>show</w:t>
      </w:r>
      <w:r w:rsidR="006B6EAB">
        <w:rPr>
          <w:rFonts w:eastAsiaTheme="minorHAnsi" w:cstheme="minorBidi"/>
          <w:sz w:val="24"/>
          <w:lang w:eastAsia="en-US"/>
        </w:rPr>
        <w:t>s</w:t>
      </w:r>
      <w:r w:rsidRPr="00FF3D92">
        <w:rPr>
          <w:rFonts w:eastAsiaTheme="minorHAnsi" w:cstheme="minorBidi"/>
          <w:sz w:val="24"/>
          <w:lang w:eastAsia="en-US"/>
        </w:rPr>
        <w:t xml:space="preserve"> that the region has:</w:t>
      </w:r>
    </w:p>
    <w:p w:rsidR="00531E4D" w:rsidRPr="00FF3D92" w:rsidRDefault="0016445B" w:rsidP="00556EC8">
      <w:pPr>
        <w:numPr>
          <w:ilvl w:val="0"/>
          <w:numId w:val="43"/>
        </w:numPr>
        <w:spacing w:before="0" w:after="200" w:line="240" w:lineRule="auto"/>
        <w:ind w:hanging="436"/>
        <w:contextualSpacing/>
        <w:jc w:val="both"/>
        <w:rPr>
          <w:rFonts w:eastAsiaTheme="minorHAnsi" w:cstheme="minorBidi"/>
          <w:sz w:val="24"/>
          <w:lang w:eastAsia="en-US"/>
        </w:rPr>
      </w:pPr>
      <w:r>
        <w:rPr>
          <w:rFonts w:eastAsiaTheme="minorHAnsi" w:cstheme="minorBidi"/>
          <w:sz w:val="24"/>
          <w:lang w:eastAsia="en-US"/>
        </w:rPr>
        <w:t xml:space="preserve">One of the highest </w:t>
      </w:r>
      <w:r w:rsidR="00531E4D" w:rsidRPr="00FF3D92">
        <w:rPr>
          <w:rFonts w:eastAsiaTheme="minorHAnsi" w:cstheme="minorBidi"/>
          <w:sz w:val="24"/>
          <w:lang w:eastAsia="en-US"/>
        </w:rPr>
        <w:t xml:space="preserve">unemployment </w:t>
      </w:r>
      <w:r>
        <w:rPr>
          <w:rFonts w:eastAsiaTheme="minorHAnsi" w:cstheme="minorBidi"/>
          <w:sz w:val="24"/>
          <w:lang w:eastAsia="en-US"/>
        </w:rPr>
        <w:t xml:space="preserve">rates </w:t>
      </w:r>
      <w:r>
        <w:rPr>
          <w:rFonts w:cstheme="minorHAnsi"/>
          <w:color w:val="000000"/>
          <w:sz w:val="24"/>
        </w:rPr>
        <w:t>of any PEA</w:t>
      </w:r>
      <w:r w:rsidR="002D59AC">
        <w:rPr>
          <w:rFonts w:cstheme="minorHAnsi"/>
          <w:color w:val="000000"/>
          <w:sz w:val="24"/>
        </w:rPr>
        <w:t>.</w:t>
      </w:r>
    </w:p>
    <w:p w:rsidR="00531E4D" w:rsidRPr="00FF3D92" w:rsidRDefault="00001C0B" w:rsidP="00556EC8">
      <w:pPr>
        <w:numPr>
          <w:ilvl w:val="0"/>
          <w:numId w:val="43"/>
        </w:numPr>
        <w:spacing w:before="0" w:after="200" w:line="240" w:lineRule="auto"/>
        <w:ind w:hanging="436"/>
        <w:contextualSpacing/>
        <w:jc w:val="both"/>
        <w:rPr>
          <w:rFonts w:eastAsiaTheme="minorHAnsi" w:cstheme="minorBidi"/>
          <w:sz w:val="24"/>
          <w:lang w:eastAsia="en-US"/>
        </w:rPr>
      </w:pPr>
      <w:r>
        <w:rPr>
          <w:rFonts w:cstheme="minorHAnsi"/>
          <w:sz w:val="24"/>
        </w:rPr>
        <w:t>A v</w:t>
      </w:r>
      <w:r w:rsidR="00587116" w:rsidRPr="00FF3D92">
        <w:rPr>
          <w:rFonts w:cstheme="minorHAnsi"/>
          <w:sz w:val="24"/>
        </w:rPr>
        <w:t>ery low</w:t>
      </w:r>
      <w:r>
        <w:rPr>
          <w:rFonts w:cstheme="minorHAnsi"/>
          <w:sz w:val="24"/>
        </w:rPr>
        <w:t xml:space="preserve"> rate</w:t>
      </w:r>
      <w:r w:rsidR="00531E4D" w:rsidRPr="00FF3D92">
        <w:rPr>
          <w:rFonts w:cstheme="minorHAnsi"/>
          <w:sz w:val="24"/>
        </w:rPr>
        <w:t xml:space="preserve"> of labour market participation </w:t>
      </w:r>
      <w:r w:rsidR="009A741D">
        <w:rPr>
          <w:rFonts w:eastAsiaTheme="minorHAnsi" w:cstheme="minorBidi"/>
          <w:sz w:val="24"/>
          <w:lang w:eastAsia="en-US"/>
        </w:rPr>
        <w:t>and a high proportion of the working age population on income support</w:t>
      </w:r>
      <w:r w:rsidR="002D59AC">
        <w:rPr>
          <w:rFonts w:eastAsiaTheme="minorHAnsi" w:cstheme="minorBidi"/>
          <w:sz w:val="24"/>
          <w:lang w:eastAsia="en-US"/>
        </w:rPr>
        <w:t>.</w:t>
      </w:r>
    </w:p>
    <w:p w:rsidR="00A7079F" w:rsidRPr="00FF3D92" w:rsidRDefault="00A7079F" w:rsidP="00556EC8">
      <w:pPr>
        <w:numPr>
          <w:ilvl w:val="0"/>
          <w:numId w:val="43"/>
        </w:numPr>
        <w:spacing w:before="0" w:after="200" w:line="240" w:lineRule="auto"/>
        <w:ind w:hanging="436"/>
        <w:contextualSpacing/>
        <w:jc w:val="both"/>
        <w:rPr>
          <w:rFonts w:eastAsiaTheme="minorHAnsi" w:cstheme="minorBidi"/>
          <w:sz w:val="24"/>
          <w:lang w:eastAsia="en-US"/>
        </w:rPr>
      </w:pPr>
      <w:r w:rsidRPr="00FF3D92">
        <w:rPr>
          <w:rFonts w:cstheme="minorHAnsi"/>
          <w:sz w:val="24"/>
        </w:rPr>
        <w:t xml:space="preserve">High applicant numbers </w:t>
      </w:r>
      <w:r w:rsidR="00531E4D" w:rsidRPr="00FF3D92">
        <w:rPr>
          <w:rFonts w:cstheme="minorHAnsi"/>
          <w:sz w:val="24"/>
        </w:rPr>
        <w:t>for vacancies</w:t>
      </w:r>
      <w:r w:rsidR="00FF3D92" w:rsidRPr="00FF3D92">
        <w:rPr>
          <w:rFonts w:cstheme="minorHAnsi"/>
          <w:sz w:val="24"/>
        </w:rPr>
        <w:t>,</w:t>
      </w:r>
      <w:r w:rsidR="00531E4D" w:rsidRPr="00FF3D92">
        <w:rPr>
          <w:rFonts w:cstheme="minorHAnsi"/>
          <w:sz w:val="24"/>
        </w:rPr>
        <w:t xml:space="preserve"> </w:t>
      </w:r>
      <w:r w:rsidR="009A741D">
        <w:rPr>
          <w:rFonts w:cstheme="minorHAnsi"/>
          <w:sz w:val="24"/>
        </w:rPr>
        <w:t>although</w:t>
      </w:r>
      <w:r w:rsidRPr="00FF3D92">
        <w:rPr>
          <w:rFonts w:cstheme="minorHAnsi"/>
          <w:sz w:val="24"/>
        </w:rPr>
        <w:t xml:space="preserve"> </w:t>
      </w:r>
      <w:r w:rsidR="00587116" w:rsidRPr="00FF3D92">
        <w:rPr>
          <w:rFonts w:cstheme="minorHAnsi"/>
          <w:sz w:val="24"/>
        </w:rPr>
        <w:t>few were considered suitable by employers</w:t>
      </w:r>
      <w:r w:rsidR="002D59AC">
        <w:rPr>
          <w:rFonts w:cstheme="minorHAnsi"/>
          <w:sz w:val="24"/>
        </w:rPr>
        <w:t>.</w:t>
      </w:r>
    </w:p>
    <w:p w:rsidR="00531E4D" w:rsidRPr="00FF3D92" w:rsidRDefault="00EF35A0" w:rsidP="00556EC8">
      <w:pPr>
        <w:numPr>
          <w:ilvl w:val="0"/>
          <w:numId w:val="43"/>
        </w:numPr>
        <w:spacing w:before="0" w:after="200" w:line="240" w:lineRule="auto"/>
        <w:ind w:hanging="436"/>
        <w:contextualSpacing/>
        <w:jc w:val="both"/>
        <w:rPr>
          <w:rFonts w:eastAsiaTheme="minorHAnsi" w:cstheme="minorBidi"/>
          <w:sz w:val="24"/>
          <w:lang w:eastAsia="en-US"/>
        </w:rPr>
      </w:pPr>
      <w:r>
        <w:rPr>
          <w:rFonts w:cstheme="minorHAnsi"/>
          <w:sz w:val="24"/>
        </w:rPr>
        <w:t>S</w:t>
      </w:r>
      <w:r w:rsidR="00A7079F" w:rsidRPr="00FF3D92">
        <w:rPr>
          <w:rFonts w:cstheme="minorHAnsi"/>
          <w:sz w:val="24"/>
        </w:rPr>
        <w:t>ubdued levels of recruitment</w:t>
      </w:r>
      <w:r>
        <w:rPr>
          <w:rFonts w:cstheme="minorHAnsi"/>
          <w:sz w:val="24"/>
        </w:rPr>
        <w:t>, with few vacancies left unfilled</w:t>
      </w:r>
      <w:r w:rsidR="002D59AC">
        <w:rPr>
          <w:rFonts w:cstheme="minorHAnsi"/>
          <w:sz w:val="24"/>
        </w:rPr>
        <w:t>.</w:t>
      </w:r>
    </w:p>
    <w:p w:rsidR="00DB15D0" w:rsidRPr="00FF3D92" w:rsidRDefault="0032250B" w:rsidP="00DB15D0">
      <w:pPr>
        <w:numPr>
          <w:ilvl w:val="0"/>
          <w:numId w:val="43"/>
        </w:numPr>
        <w:spacing w:before="0" w:after="200" w:line="240" w:lineRule="auto"/>
        <w:ind w:hanging="436"/>
        <w:contextualSpacing/>
        <w:jc w:val="both"/>
        <w:rPr>
          <w:rFonts w:eastAsiaTheme="minorHAnsi" w:cstheme="minorBidi"/>
          <w:sz w:val="24"/>
          <w:lang w:eastAsia="en-US"/>
        </w:rPr>
      </w:pPr>
      <w:r>
        <w:rPr>
          <w:rFonts w:cstheme="minorHAnsi"/>
          <w:sz w:val="24"/>
        </w:rPr>
        <w:t>Low f</w:t>
      </w:r>
      <w:r w:rsidR="00531E4D" w:rsidRPr="00FF3D92">
        <w:rPr>
          <w:rFonts w:cstheme="minorHAnsi"/>
          <w:sz w:val="24"/>
        </w:rPr>
        <w:t xml:space="preserve">uture recruitment </w:t>
      </w:r>
      <w:r>
        <w:rPr>
          <w:rFonts w:cstheme="minorHAnsi"/>
          <w:sz w:val="24"/>
        </w:rPr>
        <w:t>expectations</w:t>
      </w:r>
      <w:r w:rsidR="00587116" w:rsidRPr="00FF3D92">
        <w:rPr>
          <w:rFonts w:cstheme="minorHAnsi"/>
          <w:sz w:val="24"/>
        </w:rPr>
        <w:t>,</w:t>
      </w:r>
      <w:r w:rsidR="00531E4D" w:rsidRPr="00FF3D92">
        <w:rPr>
          <w:rFonts w:cstheme="minorHAnsi"/>
          <w:sz w:val="24"/>
        </w:rPr>
        <w:t xml:space="preserve"> </w:t>
      </w:r>
      <w:r>
        <w:rPr>
          <w:rFonts w:cstheme="minorHAnsi"/>
          <w:sz w:val="24"/>
        </w:rPr>
        <w:t xml:space="preserve">but with some </w:t>
      </w:r>
      <w:r w:rsidR="00A7079F" w:rsidRPr="00FF3D92">
        <w:rPr>
          <w:rFonts w:cstheme="minorHAnsi"/>
          <w:sz w:val="24"/>
        </w:rPr>
        <w:t>opportunities</w:t>
      </w:r>
      <w:r w:rsidR="006A67B3">
        <w:rPr>
          <w:rFonts w:cstheme="minorHAnsi"/>
          <w:sz w:val="24"/>
        </w:rPr>
        <w:t xml:space="preserve"> for job seekers</w:t>
      </w:r>
      <w:r w:rsidR="00531E4D" w:rsidRPr="00FF3D92">
        <w:rPr>
          <w:rFonts w:cstheme="minorHAnsi"/>
          <w:sz w:val="24"/>
        </w:rPr>
        <w:t xml:space="preserve"> </w:t>
      </w:r>
      <w:r w:rsidR="006A67B3">
        <w:rPr>
          <w:rFonts w:cstheme="minorHAnsi"/>
          <w:sz w:val="24"/>
        </w:rPr>
        <w:t xml:space="preserve">in most industries, particularly </w:t>
      </w:r>
      <w:r w:rsidR="00531E4D" w:rsidRPr="00FF3D92">
        <w:rPr>
          <w:rFonts w:cstheme="minorHAnsi"/>
          <w:sz w:val="24"/>
        </w:rPr>
        <w:t>the Health Care and Social Assistance</w:t>
      </w:r>
      <w:r w:rsidR="00A7079F" w:rsidRPr="00FF3D92">
        <w:rPr>
          <w:rFonts w:cstheme="minorHAnsi"/>
          <w:sz w:val="24"/>
        </w:rPr>
        <w:t>, Manufacturing and Accommodation and Food Services industries</w:t>
      </w:r>
      <w:bookmarkStart w:id="67" w:name="_Toc351128438"/>
      <w:r w:rsidR="00FF3D92" w:rsidRPr="00FF3D92">
        <w:rPr>
          <w:rFonts w:cstheme="minorHAnsi"/>
          <w:sz w:val="24"/>
        </w:rPr>
        <w:t>.</w:t>
      </w:r>
    </w:p>
    <w:bookmarkEnd w:id="67"/>
    <w:p w:rsidR="008E21EC" w:rsidRDefault="008E21EC" w:rsidP="008E21EC">
      <w:pPr>
        <w:spacing w:before="0" w:after="200" w:line="240" w:lineRule="auto"/>
        <w:jc w:val="both"/>
        <w:rPr>
          <w:rFonts w:eastAsiaTheme="minorHAnsi" w:cstheme="minorBidi"/>
          <w:sz w:val="24"/>
          <w:szCs w:val="22"/>
          <w:lang w:eastAsia="en-US"/>
        </w:rPr>
      </w:pPr>
    </w:p>
    <w:p w:rsidR="00870053" w:rsidRPr="00C92722" w:rsidRDefault="00870053" w:rsidP="00FF3D92">
      <w:pPr>
        <w:pStyle w:val="RIESbriefreports"/>
        <w:spacing w:before="120" w:line="240" w:lineRule="auto"/>
        <w:rPr>
          <w:szCs w:val="24"/>
        </w:rPr>
      </w:pPr>
      <w:bookmarkStart w:id="68" w:name="_Toc359234149"/>
      <w:r w:rsidRPr="00C92722">
        <w:rPr>
          <w:szCs w:val="24"/>
        </w:rPr>
        <w:t xml:space="preserve">The </w:t>
      </w:r>
      <w:r>
        <w:rPr>
          <w:szCs w:val="24"/>
        </w:rPr>
        <w:t xml:space="preserve">Southern Wide Bay-Burnett Priority </w:t>
      </w:r>
      <w:r w:rsidRPr="00C92722">
        <w:rPr>
          <w:szCs w:val="24"/>
        </w:rPr>
        <w:t>Employment</w:t>
      </w:r>
      <w:r>
        <w:rPr>
          <w:szCs w:val="24"/>
        </w:rPr>
        <w:t xml:space="preserve"> </w:t>
      </w:r>
      <w:r w:rsidRPr="00C92722">
        <w:rPr>
          <w:szCs w:val="24"/>
        </w:rPr>
        <w:t>Area</w:t>
      </w:r>
      <w:bookmarkEnd w:id="68"/>
    </w:p>
    <w:p w:rsidR="008C38F4" w:rsidRPr="008E21EC" w:rsidRDefault="008C38F4" w:rsidP="008C38F4">
      <w:pPr>
        <w:spacing w:before="0" w:line="240" w:lineRule="auto"/>
        <w:jc w:val="both"/>
        <w:rPr>
          <w:rFonts w:eastAsiaTheme="minorHAnsi" w:cstheme="minorBidi"/>
          <w:sz w:val="24"/>
          <w:szCs w:val="22"/>
          <w:lang w:eastAsia="en-US"/>
        </w:rPr>
      </w:pPr>
      <w:bookmarkStart w:id="69" w:name="_Toc329769406"/>
      <w:r>
        <w:rPr>
          <w:rFonts w:eastAsiaTheme="minorHAnsi" w:cstheme="minorBidi"/>
          <w:sz w:val="24"/>
          <w:szCs w:val="22"/>
          <w:lang w:eastAsia="en-US"/>
        </w:rPr>
        <w:t>The department conducted</w:t>
      </w:r>
      <w:r w:rsidRPr="00E07757">
        <w:rPr>
          <w:rFonts w:eastAsiaTheme="minorHAnsi" w:cstheme="minorBidi"/>
          <w:sz w:val="24"/>
          <w:szCs w:val="22"/>
          <w:lang w:eastAsia="en-US"/>
        </w:rPr>
        <w:t xml:space="preserve"> </w:t>
      </w:r>
      <w:r>
        <w:rPr>
          <w:rFonts w:eastAsiaTheme="minorHAnsi" w:cstheme="minorBidi"/>
          <w:sz w:val="24"/>
          <w:szCs w:val="22"/>
          <w:lang w:eastAsia="en-US"/>
        </w:rPr>
        <w:t>a</w:t>
      </w:r>
      <w:r>
        <w:rPr>
          <w:rFonts w:cstheme="minorHAnsi"/>
          <w:sz w:val="24"/>
        </w:rPr>
        <w:t xml:space="preserve"> S</w:t>
      </w:r>
      <w:r w:rsidRPr="00467BA1">
        <w:rPr>
          <w:rFonts w:cstheme="minorHAnsi"/>
          <w:sz w:val="24"/>
        </w:rPr>
        <w:t>urvey</w:t>
      </w:r>
      <w:r>
        <w:rPr>
          <w:rFonts w:cstheme="minorHAnsi"/>
          <w:sz w:val="24"/>
        </w:rPr>
        <w:t xml:space="preserve"> </w:t>
      </w:r>
      <w:r>
        <w:rPr>
          <w:rFonts w:eastAsiaTheme="minorHAnsi" w:cstheme="minorBidi"/>
          <w:sz w:val="24"/>
          <w:szCs w:val="22"/>
          <w:lang w:eastAsia="en-US"/>
        </w:rPr>
        <w:t>of Employers’ Recruitment E</w:t>
      </w:r>
      <w:r w:rsidRPr="00E07757">
        <w:rPr>
          <w:rFonts w:eastAsiaTheme="minorHAnsi" w:cstheme="minorBidi"/>
          <w:sz w:val="24"/>
          <w:szCs w:val="22"/>
          <w:lang w:eastAsia="en-US"/>
        </w:rPr>
        <w:t>xperi</w:t>
      </w:r>
      <w:r>
        <w:rPr>
          <w:rFonts w:eastAsiaTheme="minorHAnsi" w:cstheme="minorBidi"/>
          <w:sz w:val="24"/>
          <w:szCs w:val="22"/>
          <w:lang w:eastAsia="en-US"/>
        </w:rPr>
        <w:t xml:space="preserve">ences in </w:t>
      </w:r>
      <w:r>
        <w:rPr>
          <w:rFonts w:cstheme="minorHAnsi"/>
          <w:sz w:val="24"/>
        </w:rPr>
        <w:t xml:space="preserve">the </w:t>
      </w:r>
      <w:r w:rsidRPr="00467BA1">
        <w:rPr>
          <w:rFonts w:cstheme="minorHAnsi"/>
          <w:sz w:val="24"/>
        </w:rPr>
        <w:t xml:space="preserve">Southern Wide Bay-Burnett </w:t>
      </w:r>
      <w:r>
        <w:rPr>
          <w:rFonts w:cstheme="minorHAnsi"/>
          <w:sz w:val="24"/>
        </w:rPr>
        <w:t xml:space="preserve">PEA </w:t>
      </w:r>
      <w:r w:rsidRPr="00467BA1">
        <w:rPr>
          <w:rFonts w:cstheme="minorHAnsi"/>
          <w:sz w:val="24"/>
        </w:rPr>
        <w:t>in November 2012</w:t>
      </w:r>
      <w:r>
        <w:rPr>
          <w:rFonts w:cstheme="minorHAnsi"/>
          <w:sz w:val="24"/>
        </w:rPr>
        <w:t xml:space="preserve"> and </w:t>
      </w:r>
      <w:r w:rsidRPr="00467BA1">
        <w:rPr>
          <w:rFonts w:cstheme="minorHAnsi"/>
          <w:sz w:val="24"/>
        </w:rPr>
        <w:t>collect</w:t>
      </w:r>
      <w:r>
        <w:rPr>
          <w:rFonts w:cstheme="minorHAnsi"/>
          <w:sz w:val="24"/>
        </w:rPr>
        <w:t xml:space="preserve">ed responses from 340 employers </w:t>
      </w:r>
      <w:r w:rsidRPr="00467BA1">
        <w:rPr>
          <w:rFonts w:cstheme="minorHAnsi"/>
          <w:sz w:val="24"/>
        </w:rPr>
        <w:t>in the</w:t>
      </w:r>
      <w:r>
        <w:rPr>
          <w:rFonts w:cstheme="minorHAnsi"/>
          <w:sz w:val="24"/>
        </w:rPr>
        <w:t xml:space="preserve"> region of </w:t>
      </w:r>
      <w:r w:rsidR="002B0E8C">
        <w:rPr>
          <w:rFonts w:cstheme="minorHAnsi"/>
          <w:sz w:val="24"/>
        </w:rPr>
        <w:t>whom</w:t>
      </w:r>
      <w:r w:rsidRPr="00467BA1">
        <w:rPr>
          <w:rFonts w:cstheme="minorHAnsi"/>
          <w:sz w:val="24"/>
        </w:rPr>
        <w:t xml:space="preserve"> almost one half were small businesses.</w:t>
      </w:r>
      <w:r w:rsidRPr="00467BA1">
        <w:rPr>
          <w:rStyle w:val="FootnoteReference"/>
          <w:rFonts w:cstheme="minorHAnsi"/>
          <w:sz w:val="24"/>
        </w:rPr>
        <w:footnoteReference w:id="1"/>
      </w:r>
      <w:r w:rsidRPr="00467BA1">
        <w:rPr>
          <w:rFonts w:cstheme="minorHAnsi"/>
          <w:sz w:val="24"/>
        </w:rPr>
        <w:t xml:space="preserve"> </w:t>
      </w:r>
      <w:r>
        <w:rPr>
          <w:rFonts w:cstheme="minorHAnsi"/>
          <w:sz w:val="24"/>
        </w:rPr>
        <w:t xml:space="preserve">The region was last surveyed in September 2011. </w:t>
      </w:r>
    </w:p>
    <w:p w:rsidR="00870053" w:rsidRPr="00467BA1" w:rsidRDefault="00E07757" w:rsidP="00870053">
      <w:pPr>
        <w:spacing w:line="240" w:lineRule="auto"/>
        <w:jc w:val="both"/>
        <w:rPr>
          <w:rFonts w:cstheme="minorHAnsi"/>
          <w:sz w:val="24"/>
        </w:rPr>
      </w:pPr>
      <w:r>
        <w:rPr>
          <w:rFonts w:cstheme="minorHAnsi"/>
          <w:sz w:val="24"/>
        </w:rPr>
        <w:t>The Southern Wide Bay-Burnett PEA</w:t>
      </w:r>
      <w:r w:rsidR="00870053" w:rsidRPr="00467BA1">
        <w:rPr>
          <w:rFonts w:cstheme="minorHAnsi"/>
          <w:sz w:val="24"/>
        </w:rPr>
        <w:t xml:space="preserve"> comprises the Statistical Local Areas (SLA) of Cherbourg, Cooloola</w:t>
      </w:r>
      <w:r w:rsidR="00167E27" w:rsidRPr="00467BA1">
        <w:rPr>
          <w:rFonts w:cstheme="minorHAnsi"/>
          <w:sz w:val="24"/>
        </w:rPr>
        <w:t xml:space="preserve"> (</w:t>
      </w:r>
      <w:r w:rsidR="00870053" w:rsidRPr="00467BA1">
        <w:rPr>
          <w:rFonts w:cstheme="minorHAnsi"/>
          <w:sz w:val="24"/>
        </w:rPr>
        <w:t>Gympie only</w:t>
      </w:r>
      <w:r w:rsidR="00167E27" w:rsidRPr="00467BA1">
        <w:rPr>
          <w:rFonts w:cstheme="minorHAnsi"/>
          <w:sz w:val="24"/>
        </w:rPr>
        <w:t>)</w:t>
      </w:r>
      <w:r w:rsidR="00870053" w:rsidRPr="00467BA1">
        <w:rPr>
          <w:rFonts w:cstheme="minorHAnsi"/>
          <w:sz w:val="24"/>
        </w:rPr>
        <w:t>, Cooloola</w:t>
      </w:r>
      <w:r w:rsidR="00167E27" w:rsidRPr="00467BA1">
        <w:rPr>
          <w:rFonts w:cstheme="minorHAnsi"/>
          <w:sz w:val="24"/>
        </w:rPr>
        <w:t xml:space="preserve"> (</w:t>
      </w:r>
      <w:r w:rsidR="00870053" w:rsidRPr="00467BA1">
        <w:rPr>
          <w:rFonts w:cstheme="minorHAnsi"/>
          <w:sz w:val="24"/>
        </w:rPr>
        <w:t>excluding Gympie</w:t>
      </w:r>
      <w:r w:rsidR="00167E27" w:rsidRPr="00467BA1">
        <w:rPr>
          <w:rFonts w:cstheme="minorHAnsi"/>
          <w:sz w:val="24"/>
        </w:rPr>
        <w:t>)</w:t>
      </w:r>
      <w:r w:rsidR="00870053" w:rsidRPr="00467BA1">
        <w:rPr>
          <w:rFonts w:cstheme="minorHAnsi"/>
          <w:sz w:val="24"/>
        </w:rPr>
        <w:t>, Kilkivan, Murgon, Nanango and Tiaro.</w:t>
      </w:r>
      <w:r w:rsidR="00870053" w:rsidRPr="00467BA1">
        <w:rPr>
          <w:rStyle w:val="FootnoteReference"/>
          <w:rFonts w:cstheme="minorHAnsi"/>
          <w:sz w:val="24"/>
        </w:rPr>
        <w:footnoteReference w:id="2"/>
      </w:r>
      <w:r w:rsidR="00870053" w:rsidRPr="00467BA1">
        <w:rPr>
          <w:rFonts w:cstheme="minorHAnsi"/>
          <w:sz w:val="24"/>
        </w:rPr>
        <w:t xml:space="preserve"> The largest population centre in the PEA is Gympie.</w:t>
      </w:r>
    </w:p>
    <w:p w:rsidR="00870053" w:rsidRDefault="00DF754D" w:rsidP="00870053">
      <w:pPr>
        <w:spacing w:line="240" w:lineRule="auto"/>
        <w:jc w:val="both"/>
        <w:rPr>
          <w:rFonts w:cstheme="minorHAnsi"/>
          <w:sz w:val="24"/>
        </w:rPr>
      </w:pPr>
      <w:r w:rsidRPr="00467BA1">
        <w:rPr>
          <w:rFonts w:cstheme="minorHAnsi"/>
          <w:sz w:val="24"/>
        </w:rPr>
        <w:t xml:space="preserve">At the time of the 2011 Census, the three main industries providing employment to people living in the PEA were Retail Trade, </w:t>
      </w:r>
      <w:r w:rsidR="00870053" w:rsidRPr="00467BA1">
        <w:rPr>
          <w:rFonts w:cstheme="minorHAnsi"/>
          <w:sz w:val="24"/>
        </w:rPr>
        <w:t>Health Care and Social Assistance and Manufacturing</w:t>
      </w:r>
      <w:r w:rsidRPr="00467BA1">
        <w:rPr>
          <w:rFonts w:cstheme="minorHAnsi"/>
          <w:sz w:val="24"/>
        </w:rPr>
        <w:t>.</w:t>
      </w:r>
      <w:r w:rsidR="00870053" w:rsidRPr="00467BA1">
        <w:rPr>
          <w:rFonts w:cstheme="minorHAnsi"/>
          <w:sz w:val="24"/>
        </w:rPr>
        <w:t xml:space="preserve"> </w:t>
      </w:r>
      <w:r w:rsidRPr="00467BA1">
        <w:rPr>
          <w:rFonts w:cstheme="minorHAnsi"/>
          <w:sz w:val="24"/>
        </w:rPr>
        <w:t>Agriculture was also an important industry in the region.</w:t>
      </w:r>
    </w:p>
    <w:p w:rsidR="0095557A" w:rsidRPr="00467BA1" w:rsidRDefault="0095557A" w:rsidP="0095557A">
      <w:pPr>
        <w:spacing w:line="240" w:lineRule="auto"/>
        <w:jc w:val="both"/>
        <w:rPr>
          <w:rFonts w:cstheme="minorHAnsi"/>
          <w:sz w:val="24"/>
        </w:rPr>
      </w:pPr>
      <w:r w:rsidRPr="00467BA1">
        <w:rPr>
          <w:rFonts w:cstheme="minorHAnsi"/>
          <w:sz w:val="24"/>
        </w:rPr>
        <w:t>The region has an older</w:t>
      </w:r>
      <w:r>
        <w:rPr>
          <w:rFonts w:cstheme="minorHAnsi"/>
          <w:sz w:val="24"/>
        </w:rPr>
        <w:t>,</w:t>
      </w:r>
      <w:r w:rsidRPr="00467BA1">
        <w:rPr>
          <w:rFonts w:cstheme="minorHAnsi"/>
          <w:sz w:val="24"/>
        </w:rPr>
        <w:t xml:space="preserve"> and ageing</w:t>
      </w:r>
      <w:r>
        <w:rPr>
          <w:rFonts w:cstheme="minorHAnsi"/>
          <w:sz w:val="24"/>
        </w:rPr>
        <w:t>,</w:t>
      </w:r>
      <w:r w:rsidRPr="00467BA1">
        <w:rPr>
          <w:rFonts w:cstheme="minorHAnsi"/>
          <w:sz w:val="24"/>
        </w:rPr>
        <w:t xml:space="preserve"> population with a median age of 43 years and almost 1</w:t>
      </w:r>
      <w:r>
        <w:rPr>
          <w:rFonts w:cstheme="minorHAnsi"/>
          <w:sz w:val="24"/>
        </w:rPr>
        <w:t> </w:t>
      </w:r>
      <w:r w:rsidRPr="00467BA1">
        <w:rPr>
          <w:rFonts w:cstheme="minorHAnsi"/>
          <w:sz w:val="24"/>
        </w:rPr>
        <w:t xml:space="preserve">in 5 residents </w:t>
      </w:r>
      <w:r w:rsidR="008E21EC">
        <w:rPr>
          <w:rFonts w:cstheme="minorHAnsi"/>
          <w:sz w:val="24"/>
        </w:rPr>
        <w:t xml:space="preserve">are </w:t>
      </w:r>
      <w:r w:rsidRPr="00467BA1">
        <w:rPr>
          <w:rFonts w:cstheme="minorHAnsi"/>
          <w:sz w:val="24"/>
        </w:rPr>
        <w:t>aged 65 and over. Between 2</w:t>
      </w:r>
      <w:r w:rsidR="008C38F4">
        <w:rPr>
          <w:rFonts w:cstheme="minorHAnsi"/>
          <w:sz w:val="24"/>
        </w:rPr>
        <w:t>006 and 2011 the population</w:t>
      </w:r>
      <w:r w:rsidRPr="00467BA1">
        <w:rPr>
          <w:rFonts w:cstheme="minorHAnsi"/>
          <w:sz w:val="24"/>
        </w:rPr>
        <w:t xml:space="preserve"> </w:t>
      </w:r>
      <w:r w:rsidR="008C38F4">
        <w:rPr>
          <w:rFonts w:cstheme="minorHAnsi"/>
          <w:sz w:val="24"/>
        </w:rPr>
        <w:t xml:space="preserve">aged </w:t>
      </w:r>
      <w:r w:rsidRPr="00467BA1">
        <w:rPr>
          <w:rFonts w:cstheme="minorHAnsi"/>
          <w:sz w:val="24"/>
        </w:rPr>
        <w:t xml:space="preserve">50 years </w:t>
      </w:r>
      <w:r w:rsidR="008C38F4">
        <w:rPr>
          <w:rFonts w:cstheme="minorHAnsi"/>
          <w:sz w:val="24"/>
        </w:rPr>
        <w:t>and over</w:t>
      </w:r>
      <w:r w:rsidRPr="00467BA1">
        <w:rPr>
          <w:rFonts w:cstheme="minorHAnsi"/>
          <w:sz w:val="24"/>
        </w:rPr>
        <w:t xml:space="preserve"> grew by 19 per cent, compared with growth of only 2 per cent for those aged 15 to 49 years</w:t>
      </w:r>
      <w:r>
        <w:rPr>
          <w:rFonts w:cstheme="minorHAnsi"/>
          <w:sz w:val="24"/>
        </w:rPr>
        <w:t>.</w:t>
      </w:r>
      <w:r>
        <w:rPr>
          <w:rStyle w:val="FootnoteReference"/>
          <w:rFonts w:cstheme="minorHAnsi"/>
          <w:sz w:val="24"/>
        </w:rPr>
        <w:footnoteReference w:id="3"/>
      </w:r>
    </w:p>
    <w:p w:rsidR="0095557A" w:rsidRDefault="0095557A" w:rsidP="00870053">
      <w:pPr>
        <w:spacing w:line="240" w:lineRule="auto"/>
        <w:jc w:val="both"/>
        <w:rPr>
          <w:rFonts w:cstheme="minorHAnsi"/>
          <w:sz w:val="24"/>
        </w:rPr>
      </w:pPr>
    </w:p>
    <w:p w:rsidR="0095557A" w:rsidRPr="00092B66" w:rsidRDefault="0095557A" w:rsidP="00092B66">
      <w:pPr>
        <w:pStyle w:val="RIESbriefreports"/>
        <w:spacing w:before="120" w:line="240" w:lineRule="auto"/>
        <w:rPr>
          <w:szCs w:val="24"/>
        </w:rPr>
      </w:pPr>
      <w:bookmarkStart w:id="70" w:name="_Toc359234150"/>
      <w:r w:rsidRPr="00092B66">
        <w:rPr>
          <w:szCs w:val="24"/>
        </w:rPr>
        <w:t>Labour Market</w:t>
      </w:r>
      <w:r w:rsidR="004A40E2" w:rsidRPr="00092B66">
        <w:rPr>
          <w:szCs w:val="24"/>
        </w:rPr>
        <w:t xml:space="preserve"> Challenges</w:t>
      </w:r>
      <w:bookmarkEnd w:id="70"/>
    </w:p>
    <w:bookmarkEnd w:id="66"/>
    <w:bookmarkEnd w:id="69"/>
    <w:p w:rsidR="00870053" w:rsidRDefault="00870053" w:rsidP="00870053">
      <w:pPr>
        <w:spacing w:line="240" w:lineRule="auto"/>
        <w:jc w:val="both"/>
        <w:rPr>
          <w:rFonts w:cstheme="minorHAnsi"/>
          <w:sz w:val="24"/>
        </w:rPr>
      </w:pPr>
      <w:r w:rsidRPr="00467BA1">
        <w:rPr>
          <w:rFonts w:cstheme="minorHAnsi"/>
          <w:sz w:val="24"/>
        </w:rPr>
        <w:t xml:space="preserve">The unemployment rate for the Southern Wide Bay-Burnett PEA </w:t>
      </w:r>
      <w:r w:rsidR="004A40E2">
        <w:rPr>
          <w:rFonts w:cstheme="minorHAnsi"/>
          <w:sz w:val="24"/>
        </w:rPr>
        <w:t>in December 2012 (7.7 per cent</w:t>
      </w:r>
      <w:r w:rsidRPr="00467BA1">
        <w:rPr>
          <w:rFonts w:cstheme="minorHAnsi"/>
          <w:sz w:val="24"/>
        </w:rPr>
        <w:t>)</w:t>
      </w:r>
      <w:r w:rsidR="00907004">
        <w:rPr>
          <w:rStyle w:val="FootnoteReference"/>
          <w:rFonts w:cstheme="minorHAnsi"/>
          <w:sz w:val="24"/>
        </w:rPr>
        <w:footnoteReference w:id="4"/>
      </w:r>
      <w:r w:rsidRPr="00467BA1">
        <w:rPr>
          <w:rFonts w:cstheme="minorHAnsi"/>
          <w:sz w:val="24"/>
        </w:rPr>
        <w:t xml:space="preserve"> was well above that of both Queensland and Australia</w:t>
      </w:r>
      <w:r w:rsidR="004A40E2">
        <w:rPr>
          <w:rFonts w:cstheme="minorHAnsi"/>
          <w:sz w:val="24"/>
        </w:rPr>
        <w:t xml:space="preserve"> (5.6</w:t>
      </w:r>
      <w:r w:rsidRPr="00467BA1">
        <w:rPr>
          <w:rFonts w:cstheme="minorHAnsi"/>
          <w:sz w:val="24"/>
        </w:rPr>
        <w:t> per</w:t>
      </w:r>
      <w:r w:rsidR="004A40E2">
        <w:rPr>
          <w:rFonts w:cstheme="minorHAnsi"/>
          <w:sz w:val="24"/>
        </w:rPr>
        <w:t> cent and 5.5</w:t>
      </w:r>
      <w:r w:rsidRPr="00467BA1">
        <w:rPr>
          <w:rFonts w:cstheme="minorHAnsi"/>
          <w:sz w:val="24"/>
        </w:rPr>
        <w:t> per cent respectively).</w:t>
      </w:r>
      <w:r w:rsidRPr="00467BA1">
        <w:rPr>
          <w:rStyle w:val="FootnoteReference"/>
          <w:rFonts w:cstheme="minorHAnsi"/>
          <w:sz w:val="24"/>
        </w:rPr>
        <w:footnoteReference w:id="5"/>
      </w:r>
      <w:r w:rsidRPr="00467BA1">
        <w:rPr>
          <w:rFonts w:cstheme="minorHAnsi"/>
          <w:sz w:val="24"/>
        </w:rPr>
        <w:t xml:space="preserve"> This has been a consistent trend in recent years (Figure 1). </w:t>
      </w:r>
      <w:r w:rsidR="0055609C">
        <w:rPr>
          <w:rFonts w:cstheme="minorHAnsi"/>
          <w:sz w:val="24"/>
        </w:rPr>
        <w:t xml:space="preserve">The unemployment rates in </w:t>
      </w:r>
      <w:r w:rsidRPr="00467BA1">
        <w:rPr>
          <w:rFonts w:cstheme="minorHAnsi"/>
          <w:sz w:val="24"/>
        </w:rPr>
        <w:t xml:space="preserve">Murgon and Cherbourg </w:t>
      </w:r>
      <w:r w:rsidR="0055609C">
        <w:rPr>
          <w:rFonts w:cstheme="minorHAnsi"/>
          <w:sz w:val="24"/>
        </w:rPr>
        <w:t>SLAs</w:t>
      </w:r>
      <w:r w:rsidRPr="00467BA1">
        <w:rPr>
          <w:rFonts w:cstheme="minorHAnsi"/>
          <w:sz w:val="24"/>
        </w:rPr>
        <w:t xml:space="preserve"> </w:t>
      </w:r>
      <w:r w:rsidR="0055609C" w:rsidRPr="00467BA1">
        <w:rPr>
          <w:rFonts w:cstheme="minorHAnsi"/>
          <w:sz w:val="24"/>
        </w:rPr>
        <w:t>(12.5 per cent and 12.4 per cent respectively)</w:t>
      </w:r>
      <w:r w:rsidR="0055609C">
        <w:rPr>
          <w:rFonts w:cstheme="minorHAnsi"/>
          <w:sz w:val="24"/>
        </w:rPr>
        <w:t xml:space="preserve"> were more </w:t>
      </w:r>
      <w:r w:rsidRPr="00467BA1">
        <w:rPr>
          <w:rFonts w:cstheme="minorHAnsi"/>
          <w:sz w:val="24"/>
        </w:rPr>
        <w:t>than double the state a</w:t>
      </w:r>
      <w:r w:rsidR="0055609C">
        <w:rPr>
          <w:rFonts w:cstheme="minorHAnsi"/>
          <w:sz w:val="24"/>
        </w:rPr>
        <w:t>nd national rates</w:t>
      </w:r>
      <w:r w:rsidRPr="00467BA1">
        <w:rPr>
          <w:rFonts w:cstheme="minorHAnsi"/>
          <w:sz w:val="24"/>
        </w:rPr>
        <w:t>.</w:t>
      </w:r>
      <w:r w:rsidRPr="00467BA1">
        <w:rPr>
          <w:rStyle w:val="FootnoteReference"/>
          <w:rFonts w:cstheme="minorHAnsi"/>
          <w:sz w:val="24"/>
        </w:rPr>
        <w:footnoteReference w:id="6"/>
      </w:r>
    </w:p>
    <w:p w:rsidR="0016445B" w:rsidRDefault="0016445B" w:rsidP="00870053">
      <w:pPr>
        <w:spacing w:line="240" w:lineRule="auto"/>
        <w:jc w:val="both"/>
        <w:rPr>
          <w:b/>
          <w:i/>
          <w:sz w:val="24"/>
        </w:rPr>
      </w:pPr>
    </w:p>
    <w:p w:rsidR="00572825" w:rsidRPr="00FF3D92" w:rsidRDefault="00572825" w:rsidP="00FF3D92">
      <w:pPr>
        <w:spacing w:after="0" w:line="240" w:lineRule="auto"/>
        <w:jc w:val="both"/>
        <w:rPr>
          <w:b/>
          <w:i/>
          <w:sz w:val="24"/>
        </w:rPr>
      </w:pPr>
      <w:r w:rsidRPr="00FF3D92">
        <w:rPr>
          <w:b/>
          <w:i/>
          <w:sz w:val="24"/>
        </w:rPr>
        <w:lastRenderedPageBreak/>
        <w:t>Figure 1: Unemployment rate time series</w:t>
      </w:r>
      <w:r w:rsidR="00556EC8" w:rsidRPr="00FF3D92">
        <w:rPr>
          <w:b/>
          <w:i/>
          <w:sz w:val="24"/>
        </w:rPr>
        <w:t xml:space="preserve"> </w:t>
      </w:r>
    </w:p>
    <w:p w:rsidR="0082566E" w:rsidRDefault="00870053" w:rsidP="007532E0">
      <w:pPr>
        <w:spacing w:line="240" w:lineRule="auto"/>
        <w:jc w:val="both"/>
        <w:rPr>
          <w:rFonts w:cstheme="minorHAnsi"/>
          <w:sz w:val="24"/>
        </w:rPr>
      </w:pPr>
      <w:r>
        <w:rPr>
          <w:noProof/>
        </w:rPr>
        <w:drawing>
          <wp:inline distT="0" distB="0" distL="0" distR="0" wp14:anchorId="69B02940" wp14:editId="262B7051">
            <wp:extent cx="5657850" cy="26479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46D25" w:rsidRPr="00467BA1" w:rsidRDefault="006A7A35" w:rsidP="00CA277E">
      <w:pPr>
        <w:spacing w:before="240" w:line="240" w:lineRule="auto"/>
        <w:jc w:val="both"/>
        <w:rPr>
          <w:rFonts w:cstheme="minorHAnsi"/>
          <w:sz w:val="24"/>
        </w:rPr>
      </w:pPr>
      <w:r>
        <w:rPr>
          <w:rFonts w:cstheme="minorHAnsi"/>
          <w:sz w:val="24"/>
        </w:rPr>
        <w:t>The Southern Wide Bay-Burnett PEA</w:t>
      </w:r>
      <w:r w:rsidR="00572825" w:rsidRPr="00467BA1">
        <w:rPr>
          <w:rFonts w:cstheme="minorHAnsi"/>
          <w:sz w:val="24"/>
        </w:rPr>
        <w:t xml:space="preserve"> </w:t>
      </w:r>
      <w:r w:rsidR="000B0212">
        <w:rPr>
          <w:rFonts w:cstheme="minorHAnsi"/>
          <w:sz w:val="24"/>
        </w:rPr>
        <w:t xml:space="preserve">also </w:t>
      </w:r>
      <w:r w:rsidR="00572825" w:rsidRPr="00467BA1">
        <w:rPr>
          <w:rFonts w:cstheme="minorHAnsi"/>
          <w:sz w:val="24"/>
        </w:rPr>
        <w:t xml:space="preserve">experiences </w:t>
      </w:r>
      <w:r w:rsidR="00C53102">
        <w:rPr>
          <w:rFonts w:cstheme="minorHAnsi"/>
          <w:sz w:val="24"/>
        </w:rPr>
        <w:t>very low</w:t>
      </w:r>
      <w:r w:rsidR="000B0212">
        <w:rPr>
          <w:rFonts w:cstheme="minorHAnsi"/>
          <w:sz w:val="24"/>
        </w:rPr>
        <w:t xml:space="preserve"> rates</w:t>
      </w:r>
      <w:r w:rsidR="00B46D25" w:rsidRPr="00467BA1">
        <w:rPr>
          <w:rFonts w:cstheme="minorHAnsi"/>
          <w:sz w:val="24"/>
        </w:rPr>
        <w:t xml:space="preserve"> of labour market participation</w:t>
      </w:r>
      <w:r w:rsidR="00572825" w:rsidRPr="00467BA1">
        <w:rPr>
          <w:rFonts w:cstheme="minorHAnsi"/>
          <w:sz w:val="24"/>
        </w:rPr>
        <w:t>. At the time of the 2011 Census, t</w:t>
      </w:r>
      <w:r w:rsidR="0055609C">
        <w:rPr>
          <w:rFonts w:cstheme="minorHAnsi"/>
          <w:sz w:val="24"/>
        </w:rPr>
        <w:t>he participation rate for the adult population</w:t>
      </w:r>
      <w:r w:rsidR="00572825" w:rsidRPr="00467BA1">
        <w:rPr>
          <w:rFonts w:cstheme="minorHAnsi"/>
          <w:sz w:val="24"/>
        </w:rPr>
        <w:t xml:space="preserve"> in the PEA was 53.0 per cent, </w:t>
      </w:r>
      <w:r w:rsidR="00587116">
        <w:rPr>
          <w:rFonts w:cstheme="minorHAnsi"/>
          <w:sz w:val="24"/>
        </w:rPr>
        <w:t>significantly</w:t>
      </w:r>
      <w:r w:rsidR="00572825" w:rsidRPr="00467BA1">
        <w:rPr>
          <w:rFonts w:cstheme="minorHAnsi"/>
          <w:sz w:val="24"/>
        </w:rPr>
        <w:t xml:space="preserve"> below the rate for Queensland (66.9 per cent).</w:t>
      </w:r>
    </w:p>
    <w:p w:rsidR="000B0212" w:rsidRDefault="008C38F4" w:rsidP="000B0212">
      <w:pPr>
        <w:spacing w:line="240" w:lineRule="auto"/>
        <w:jc w:val="both"/>
        <w:rPr>
          <w:rFonts w:cstheme="minorHAnsi"/>
          <w:sz w:val="24"/>
        </w:rPr>
      </w:pPr>
      <w:r>
        <w:rPr>
          <w:rFonts w:cstheme="minorHAnsi"/>
          <w:sz w:val="24"/>
        </w:rPr>
        <w:t xml:space="preserve">Employment </w:t>
      </w:r>
      <w:r w:rsidR="000B0212" w:rsidRPr="00467BA1">
        <w:rPr>
          <w:rFonts w:cstheme="minorHAnsi"/>
          <w:sz w:val="24"/>
        </w:rPr>
        <w:t xml:space="preserve">growth </w:t>
      </w:r>
      <w:r>
        <w:rPr>
          <w:rFonts w:cstheme="minorHAnsi"/>
          <w:sz w:val="24"/>
        </w:rPr>
        <w:t>in the PEA between 2006 and 2011 was much slower than that for Queensland (</w:t>
      </w:r>
      <w:r w:rsidR="000B0212" w:rsidRPr="00467BA1">
        <w:rPr>
          <w:rFonts w:cstheme="minorHAnsi"/>
          <w:sz w:val="24"/>
        </w:rPr>
        <w:t xml:space="preserve">6 per cent </w:t>
      </w:r>
      <w:r>
        <w:rPr>
          <w:rFonts w:cstheme="minorHAnsi"/>
          <w:sz w:val="24"/>
        </w:rPr>
        <w:t>compared with 12 per cent</w:t>
      </w:r>
      <w:r w:rsidR="000B0212" w:rsidRPr="00467BA1">
        <w:rPr>
          <w:rFonts w:cstheme="minorHAnsi"/>
          <w:sz w:val="24"/>
        </w:rPr>
        <w:t>)</w:t>
      </w:r>
      <w:r w:rsidR="000B0212">
        <w:rPr>
          <w:rFonts w:cstheme="minorHAnsi"/>
          <w:sz w:val="24"/>
        </w:rPr>
        <w:t>. However, there was stronger</w:t>
      </w:r>
      <w:r w:rsidR="000B0212" w:rsidRPr="00467BA1">
        <w:rPr>
          <w:rFonts w:cstheme="minorHAnsi"/>
          <w:sz w:val="24"/>
        </w:rPr>
        <w:t xml:space="preserve"> growth in female </w:t>
      </w:r>
      <w:r w:rsidR="000B0212" w:rsidRPr="00FF3D92">
        <w:rPr>
          <w:rFonts w:cstheme="minorHAnsi"/>
          <w:sz w:val="24"/>
        </w:rPr>
        <w:t>employment (10 per cent) and in the Health Care and Social Assistance industry (</w:t>
      </w:r>
      <w:r w:rsidR="000B0212" w:rsidRPr="00FF3D92">
        <w:rPr>
          <w:sz w:val="24"/>
        </w:rPr>
        <w:t>34 per</w:t>
      </w:r>
      <w:r w:rsidR="000B0212" w:rsidRPr="00FF3D92">
        <w:rPr>
          <w:rFonts w:cstheme="minorHAnsi"/>
          <w:sz w:val="24"/>
        </w:rPr>
        <w:t> cent)</w:t>
      </w:r>
      <w:r w:rsidR="000B0212">
        <w:rPr>
          <w:rFonts w:cstheme="minorHAnsi"/>
          <w:sz w:val="24"/>
        </w:rPr>
        <w:t>.</w:t>
      </w:r>
      <w:r w:rsidR="000B0212">
        <w:rPr>
          <w:rStyle w:val="FootnoteReference"/>
          <w:rFonts w:cstheme="minorHAnsi"/>
          <w:sz w:val="24"/>
        </w:rPr>
        <w:footnoteReference w:id="7"/>
      </w:r>
    </w:p>
    <w:p w:rsidR="00C60C25" w:rsidRPr="00467BA1" w:rsidRDefault="00B562C2" w:rsidP="007532E0">
      <w:pPr>
        <w:spacing w:line="240" w:lineRule="auto"/>
        <w:jc w:val="both"/>
        <w:rPr>
          <w:rFonts w:cstheme="minorHAnsi"/>
          <w:sz w:val="24"/>
        </w:rPr>
      </w:pPr>
      <w:r>
        <w:rPr>
          <w:rFonts w:cstheme="minorHAnsi"/>
          <w:sz w:val="24"/>
        </w:rPr>
        <w:t>T</w:t>
      </w:r>
      <w:r w:rsidR="006A7A35">
        <w:rPr>
          <w:rFonts w:cstheme="minorHAnsi"/>
          <w:sz w:val="24"/>
        </w:rPr>
        <w:t>he region</w:t>
      </w:r>
      <w:r w:rsidR="00587116">
        <w:rPr>
          <w:rFonts w:cstheme="minorHAnsi"/>
          <w:sz w:val="24"/>
        </w:rPr>
        <w:t xml:space="preserve"> also faces </w:t>
      </w:r>
      <w:r w:rsidR="006B43DF">
        <w:rPr>
          <w:rFonts w:cstheme="minorHAnsi"/>
          <w:sz w:val="24"/>
        </w:rPr>
        <w:t xml:space="preserve">other challenges that are likely to have an impact on </w:t>
      </w:r>
      <w:r w:rsidR="009A10F1" w:rsidRPr="00467BA1">
        <w:rPr>
          <w:rFonts w:cstheme="minorHAnsi"/>
          <w:sz w:val="24"/>
        </w:rPr>
        <w:t>future labour supply</w:t>
      </w:r>
      <w:r w:rsidR="009A741D">
        <w:rPr>
          <w:rFonts w:cstheme="minorHAnsi"/>
          <w:sz w:val="24"/>
        </w:rPr>
        <w:t>.</w:t>
      </w:r>
      <w:r w:rsidR="003D7349" w:rsidRPr="00467BA1">
        <w:rPr>
          <w:rFonts w:cstheme="minorHAnsi"/>
          <w:sz w:val="24"/>
        </w:rPr>
        <w:t xml:space="preserve"> E</w:t>
      </w:r>
      <w:r w:rsidR="00CC1DEC" w:rsidRPr="00467BA1">
        <w:rPr>
          <w:rFonts w:cstheme="minorHAnsi"/>
          <w:sz w:val="24"/>
        </w:rPr>
        <w:t xml:space="preserve">ducational attainment </w:t>
      </w:r>
      <w:r w:rsidR="003D7349" w:rsidRPr="00467BA1">
        <w:rPr>
          <w:rFonts w:cstheme="minorHAnsi"/>
          <w:sz w:val="24"/>
        </w:rPr>
        <w:t xml:space="preserve">is </w:t>
      </w:r>
      <w:r w:rsidR="00CC1DEC" w:rsidRPr="00467BA1">
        <w:rPr>
          <w:rFonts w:cstheme="minorHAnsi"/>
          <w:sz w:val="24"/>
        </w:rPr>
        <w:t xml:space="preserve">well below average, 30 per cent of young adults </w:t>
      </w:r>
      <w:r w:rsidR="003D7349" w:rsidRPr="00467BA1">
        <w:rPr>
          <w:rFonts w:cstheme="minorHAnsi"/>
          <w:sz w:val="24"/>
        </w:rPr>
        <w:t xml:space="preserve">are </w:t>
      </w:r>
      <w:r w:rsidR="00CC1DEC" w:rsidRPr="00467BA1">
        <w:rPr>
          <w:rFonts w:cstheme="minorHAnsi"/>
          <w:sz w:val="24"/>
        </w:rPr>
        <w:t xml:space="preserve">neither working nor studying, one in three </w:t>
      </w:r>
      <w:r w:rsidR="000B0212">
        <w:rPr>
          <w:rFonts w:cstheme="minorHAnsi"/>
          <w:sz w:val="24"/>
        </w:rPr>
        <w:t xml:space="preserve">working age </w:t>
      </w:r>
      <w:r w:rsidR="00CC1DEC" w:rsidRPr="00467BA1">
        <w:rPr>
          <w:rFonts w:cstheme="minorHAnsi"/>
          <w:sz w:val="24"/>
        </w:rPr>
        <w:t>pe</w:t>
      </w:r>
      <w:r w:rsidR="00587116">
        <w:rPr>
          <w:rFonts w:cstheme="minorHAnsi"/>
          <w:sz w:val="24"/>
        </w:rPr>
        <w:t xml:space="preserve">ople </w:t>
      </w:r>
      <w:r w:rsidR="003D7349" w:rsidRPr="00467BA1">
        <w:rPr>
          <w:rFonts w:cstheme="minorHAnsi"/>
          <w:sz w:val="24"/>
        </w:rPr>
        <w:t xml:space="preserve">are </w:t>
      </w:r>
      <w:r w:rsidR="00CC1DEC" w:rsidRPr="00467BA1">
        <w:rPr>
          <w:rFonts w:cstheme="minorHAnsi"/>
          <w:sz w:val="24"/>
        </w:rPr>
        <w:t>in receipt of income support</w:t>
      </w:r>
      <w:r w:rsidR="003C4F5D">
        <w:rPr>
          <w:rFonts w:cstheme="minorHAnsi"/>
          <w:sz w:val="24"/>
        </w:rPr>
        <w:t>, and</w:t>
      </w:r>
      <w:r w:rsidR="00CC1DEC" w:rsidRPr="00467BA1">
        <w:rPr>
          <w:rFonts w:cstheme="minorHAnsi"/>
          <w:sz w:val="24"/>
        </w:rPr>
        <w:t xml:space="preserve"> </w:t>
      </w:r>
      <w:r w:rsidR="003C4F5D">
        <w:rPr>
          <w:rFonts w:cstheme="minorHAnsi"/>
          <w:sz w:val="24"/>
        </w:rPr>
        <w:t xml:space="preserve">some </w:t>
      </w:r>
      <w:r w:rsidR="00CC1DEC" w:rsidRPr="00467BA1">
        <w:rPr>
          <w:rFonts w:cstheme="minorHAnsi"/>
          <w:sz w:val="24"/>
        </w:rPr>
        <w:t xml:space="preserve">27 per cent of families </w:t>
      </w:r>
      <w:r w:rsidR="008C38F4">
        <w:rPr>
          <w:rFonts w:cstheme="minorHAnsi"/>
          <w:sz w:val="24"/>
        </w:rPr>
        <w:t>with children aged under 15 are jobless</w:t>
      </w:r>
      <w:r w:rsidR="009152EC">
        <w:rPr>
          <w:rFonts w:cstheme="minorHAnsi"/>
          <w:sz w:val="24"/>
        </w:rPr>
        <w:t>.</w:t>
      </w:r>
      <w:r w:rsidR="00202110">
        <w:rPr>
          <w:rStyle w:val="FootnoteReference"/>
          <w:rFonts w:cstheme="minorHAnsi"/>
          <w:sz w:val="24"/>
        </w:rPr>
        <w:footnoteReference w:id="8"/>
      </w:r>
      <w:r>
        <w:rPr>
          <w:rFonts w:cstheme="minorHAnsi"/>
          <w:sz w:val="24"/>
        </w:rPr>
        <w:t xml:space="preserve"> </w:t>
      </w:r>
      <w:r w:rsidR="008E21EC">
        <w:rPr>
          <w:rFonts w:cstheme="minorHAnsi"/>
          <w:sz w:val="24"/>
        </w:rPr>
        <w:t xml:space="preserve"> </w:t>
      </w:r>
    </w:p>
    <w:p w:rsidR="0095557A" w:rsidRDefault="0095557A" w:rsidP="00DB15D0">
      <w:pPr>
        <w:spacing w:line="240" w:lineRule="auto"/>
        <w:jc w:val="both"/>
        <w:rPr>
          <w:rFonts w:cstheme="minorHAnsi"/>
          <w:sz w:val="24"/>
        </w:rPr>
      </w:pPr>
      <w:bookmarkStart w:id="71" w:name="_Toc356306894"/>
      <w:bookmarkStart w:id="72" w:name="_Toc329769408"/>
    </w:p>
    <w:p w:rsidR="0082566E" w:rsidRPr="00BA1A5B" w:rsidRDefault="0082566E" w:rsidP="00FF3D92">
      <w:pPr>
        <w:pStyle w:val="RIESbriefreports"/>
        <w:spacing w:before="120" w:line="240" w:lineRule="auto"/>
        <w:rPr>
          <w:szCs w:val="24"/>
        </w:rPr>
      </w:pPr>
      <w:bookmarkStart w:id="73" w:name="_Toc359234151"/>
      <w:r>
        <w:rPr>
          <w:szCs w:val="24"/>
        </w:rPr>
        <w:t>Recruitment Activity Low and Slowing</w:t>
      </w:r>
      <w:bookmarkEnd w:id="71"/>
      <w:bookmarkEnd w:id="73"/>
    </w:p>
    <w:p w:rsidR="00DB4942" w:rsidRPr="00CA277E" w:rsidRDefault="00C71760" w:rsidP="00CA277E">
      <w:pPr>
        <w:spacing w:line="240" w:lineRule="auto"/>
        <w:jc w:val="both"/>
        <w:rPr>
          <w:rFonts w:cstheme="minorHAnsi"/>
          <w:sz w:val="24"/>
        </w:rPr>
      </w:pPr>
      <w:r w:rsidRPr="00CA277E">
        <w:rPr>
          <w:rFonts w:cstheme="minorHAnsi"/>
          <w:sz w:val="24"/>
        </w:rPr>
        <w:t>A</w:t>
      </w:r>
      <w:r w:rsidR="00501FB2" w:rsidRPr="00CA277E">
        <w:rPr>
          <w:rFonts w:cstheme="minorHAnsi"/>
          <w:sz w:val="24"/>
        </w:rPr>
        <w:t xml:space="preserve"> </w:t>
      </w:r>
      <w:r w:rsidR="00DB4942" w:rsidRPr="00CA277E">
        <w:rPr>
          <w:rFonts w:cstheme="minorHAnsi"/>
          <w:sz w:val="24"/>
        </w:rPr>
        <w:t>smaller proportion of employers (</w:t>
      </w:r>
      <w:r w:rsidRPr="00CA277E">
        <w:rPr>
          <w:rFonts w:cstheme="minorHAnsi"/>
          <w:sz w:val="24"/>
        </w:rPr>
        <w:t>50</w:t>
      </w:r>
      <w:r w:rsidR="00DB4942" w:rsidRPr="00CA277E">
        <w:rPr>
          <w:rFonts w:cstheme="minorHAnsi"/>
          <w:sz w:val="24"/>
        </w:rPr>
        <w:t xml:space="preserve"> per cent) surveyed in the </w:t>
      </w:r>
      <w:r w:rsidRPr="00CA277E">
        <w:rPr>
          <w:rFonts w:cstheme="minorHAnsi"/>
          <w:sz w:val="24"/>
        </w:rPr>
        <w:t>Southern Wide</w:t>
      </w:r>
      <w:r w:rsidR="00FB40AE" w:rsidRPr="00CA277E">
        <w:rPr>
          <w:rFonts w:cstheme="minorHAnsi"/>
          <w:sz w:val="24"/>
        </w:rPr>
        <w:t xml:space="preserve"> Bay-</w:t>
      </w:r>
      <w:r w:rsidRPr="00CA277E">
        <w:rPr>
          <w:rFonts w:cstheme="minorHAnsi"/>
          <w:sz w:val="24"/>
        </w:rPr>
        <w:t xml:space="preserve">Burnett </w:t>
      </w:r>
      <w:r w:rsidR="009C332A" w:rsidRPr="00CA277E">
        <w:rPr>
          <w:rFonts w:cstheme="minorHAnsi"/>
          <w:sz w:val="24"/>
        </w:rPr>
        <w:t>PEA</w:t>
      </w:r>
      <w:r w:rsidR="00DB4942" w:rsidRPr="00CA277E">
        <w:rPr>
          <w:rFonts w:cstheme="minorHAnsi"/>
          <w:sz w:val="24"/>
        </w:rPr>
        <w:t xml:space="preserve"> had recruited in the </w:t>
      </w:r>
      <w:r w:rsidR="008E1CE7">
        <w:rPr>
          <w:rFonts w:cstheme="minorHAnsi"/>
          <w:sz w:val="24"/>
        </w:rPr>
        <w:t>year</w:t>
      </w:r>
      <w:r w:rsidR="009B316C" w:rsidRPr="00CA277E">
        <w:rPr>
          <w:rFonts w:cstheme="minorHAnsi"/>
          <w:sz w:val="24"/>
        </w:rPr>
        <w:t xml:space="preserve"> p</w:t>
      </w:r>
      <w:r w:rsidR="00DB4942" w:rsidRPr="00CA277E">
        <w:rPr>
          <w:rFonts w:cstheme="minorHAnsi"/>
          <w:sz w:val="24"/>
        </w:rPr>
        <w:t xml:space="preserve">receding the survey compared with </w:t>
      </w:r>
      <w:r w:rsidR="00F44C38">
        <w:rPr>
          <w:rFonts w:cstheme="minorHAnsi"/>
          <w:sz w:val="24"/>
        </w:rPr>
        <w:t xml:space="preserve">63 per cent of employers in </w:t>
      </w:r>
      <w:r w:rsidR="00FF79D9" w:rsidRPr="00CA277E">
        <w:rPr>
          <w:rFonts w:cstheme="minorHAnsi"/>
          <w:sz w:val="24"/>
        </w:rPr>
        <w:t xml:space="preserve">all </w:t>
      </w:r>
      <w:r w:rsidR="00F44C38">
        <w:rPr>
          <w:rFonts w:cstheme="minorHAnsi"/>
          <w:sz w:val="24"/>
        </w:rPr>
        <w:t xml:space="preserve">the </w:t>
      </w:r>
      <w:r w:rsidR="00FF79D9" w:rsidRPr="00CA277E">
        <w:rPr>
          <w:rFonts w:cstheme="minorHAnsi"/>
          <w:sz w:val="24"/>
        </w:rPr>
        <w:t>r</w:t>
      </w:r>
      <w:r w:rsidR="008E1CE7">
        <w:rPr>
          <w:rFonts w:cstheme="minorHAnsi"/>
          <w:sz w:val="24"/>
        </w:rPr>
        <w:t>egions surveyed in the year</w:t>
      </w:r>
      <w:r w:rsidR="00FF79D9" w:rsidRPr="00CA277E">
        <w:rPr>
          <w:rFonts w:cstheme="minorHAnsi"/>
          <w:sz w:val="24"/>
        </w:rPr>
        <w:t xml:space="preserve"> to September 2012</w:t>
      </w:r>
      <w:r w:rsidR="00DB4942" w:rsidRPr="00CA277E">
        <w:rPr>
          <w:rFonts w:cstheme="minorHAnsi"/>
          <w:sz w:val="24"/>
        </w:rPr>
        <w:t>.</w:t>
      </w:r>
    </w:p>
    <w:p w:rsidR="00FA2E27" w:rsidRDefault="00DF754D" w:rsidP="00A72180">
      <w:pPr>
        <w:numPr>
          <w:ilvl w:val="0"/>
          <w:numId w:val="43"/>
        </w:numPr>
        <w:spacing w:before="0" w:after="200" w:line="240" w:lineRule="auto"/>
        <w:ind w:hanging="436"/>
        <w:contextualSpacing/>
        <w:jc w:val="both"/>
        <w:rPr>
          <w:rFonts w:eastAsiaTheme="minorHAnsi" w:cstheme="minorBidi"/>
          <w:sz w:val="24"/>
          <w:lang w:eastAsia="en-US"/>
        </w:rPr>
      </w:pPr>
      <w:r w:rsidRPr="00A72180">
        <w:rPr>
          <w:rFonts w:eastAsiaTheme="minorHAnsi" w:cstheme="minorBidi"/>
          <w:sz w:val="24"/>
          <w:lang w:eastAsia="en-US"/>
        </w:rPr>
        <w:t xml:space="preserve">Recruitment activity </w:t>
      </w:r>
      <w:r w:rsidR="00967B7A" w:rsidRPr="00A72180">
        <w:rPr>
          <w:rFonts w:eastAsiaTheme="minorHAnsi" w:cstheme="minorBidi"/>
          <w:sz w:val="24"/>
          <w:lang w:eastAsia="en-US"/>
        </w:rPr>
        <w:t>was strongest in the Health Care and Social Assistance (7</w:t>
      </w:r>
      <w:r w:rsidR="009168DC" w:rsidRPr="00A72180">
        <w:rPr>
          <w:rFonts w:eastAsiaTheme="minorHAnsi" w:cstheme="minorBidi"/>
          <w:sz w:val="24"/>
          <w:lang w:eastAsia="en-US"/>
        </w:rPr>
        <w:t>7</w:t>
      </w:r>
      <w:r w:rsidR="006E5A81" w:rsidRPr="00A72180">
        <w:rPr>
          <w:rFonts w:eastAsiaTheme="minorHAnsi" w:cstheme="minorBidi"/>
          <w:sz w:val="24"/>
          <w:lang w:eastAsia="en-US"/>
        </w:rPr>
        <w:t> </w:t>
      </w:r>
      <w:r w:rsidR="00967B7A" w:rsidRPr="00A72180">
        <w:rPr>
          <w:rFonts w:eastAsiaTheme="minorHAnsi" w:cstheme="minorBidi"/>
          <w:sz w:val="24"/>
          <w:lang w:eastAsia="en-US"/>
        </w:rPr>
        <w:t>per</w:t>
      </w:r>
      <w:r w:rsidR="006E5A81" w:rsidRPr="00A72180">
        <w:rPr>
          <w:rFonts w:eastAsiaTheme="minorHAnsi" w:cstheme="minorBidi"/>
          <w:sz w:val="24"/>
          <w:lang w:eastAsia="en-US"/>
        </w:rPr>
        <w:t> </w:t>
      </w:r>
      <w:r w:rsidR="00967B7A" w:rsidRPr="00A72180">
        <w:rPr>
          <w:rFonts w:eastAsiaTheme="minorHAnsi" w:cstheme="minorBidi"/>
          <w:sz w:val="24"/>
          <w:lang w:eastAsia="en-US"/>
        </w:rPr>
        <w:t>cent</w:t>
      </w:r>
      <w:r w:rsidR="00167E27" w:rsidRPr="00A72180">
        <w:rPr>
          <w:rFonts w:eastAsiaTheme="minorHAnsi" w:cstheme="minorBidi"/>
          <w:sz w:val="24"/>
          <w:lang w:eastAsia="en-US"/>
        </w:rPr>
        <w:t xml:space="preserve"> recruiting</w:t>
      </w:r>
      <w:r w:rsidR="00967B7A" w:rsidRPr="00A72180">
        <w:rPr>
          <w:rFonts w:eastAsiaTheme="minorHAnsi" w:cstheme="minorBidi"/>
          <w:sz w:val="24"/>
          <w:lang w:eastAsia="en-US"/>
        </w:rPr>
        <w:t>)</w:t>
      </w:r>
      <w:r w:rsidR="00167E27" w:rsidRPr="00A72180">
        <w:rPr>
          <w:rFonts w:eastAsiaTheme="minorHAnsi" w:cstheme="minorBidi"/>
          <w:sz w:val="24"/>
          <w:lang w:eastAsia="en-US"/>
        </w:rPr>
        <w:t xml:space="preserve"> and Accommodation and Food Services industries </w:t>
      </w:r>
      <w:r w:rsidR="00167E27" w:rsidRPr="00A72180">
        <w:rPr>
          <w:rFonts w:eastAsiaTheme="minorHAnsi" w:cstheme="minorBidi"/>
          <w:sz w:val="24"/>
          <w:lang w:eastAsia="en-US"/>
        </w:rPr>
        <w:br/>
        <w:t>(54 per cent recruiting)</w:t>
      </w:r>
      <w:r w:rsidR="00967B7A" w:rsidRPr="00A72180">
        <w:rPr>
          <w:rFonts w:eastAsiaTheme="minorHAnsi" w:cstheme="minorBidi"/>
          <w:sz w:val="24"/>
          <w:lang w:eastAsia="en-US"/>
        </w:rPr>
        <w:t>.</w:t>
      </w:r>
    </w:p>
    <w:p w:rsidR="008E21EC" w:rsidRDefault="008E21EC" w:rsidP="008E21EC">
      <w:pPr>
        <w:spacing w:before="0" w:after="200" w:line="240" w:lineRule="auto"/>
        <w:contextualSpacing/>
        <w:jc w:val="both"/>
        <w:rPr>
          <w:rFonts w:eastAsiaTheme="minorHAnsi" w:cstheme="minorBidi"/>
          <w:sz w:val="24"/>
          <w:lang w:eastAsia="en-US"/>
        </w:rPr>
      </w:pPr>
    </w:p>
    <w:p w:rsidR="008E21EC" w:rsidRDefault="008E21EC" w:rsidP="008E21EC">
      <w:pPr>
        <w:spacing w:before="0" w:after="200" w:line="240" w:lineRule="auto"/>
        <w:contextualSpacing/>
        <w:jc w:val="both"/>
        <w:rPr>
          <w:rFonts w:eastAsiaTheme="minorHAnsi" w:cstheme="minorBidi"/>
          <w:sz w:val="24"/>
          <w:lang w:eastAsia="en-US"/>
        </w:rPr>
      </w:pPr>
    </w:p>
    <w:p w:rsidR="008E21EC" w:rsidRDefault="008E21EC" w:rsidP="008E21EC">
      <w:pPr>
        <w:spacing w:before="0" w:after="200" w:line="240" w:lineRule="auto"/>
        <w:contextualSpacing/>
        <w:jc w:val="both"/>
        <w:rPr>
          <w:rFonts w:eastAsiaTheme="minorHAnsi" w:cstheme="minorBidi"/>
          <w:sz w:val="24"/>
          <w:lang w:eastAsia="en-US"/>
        </w:rPr>
      </w:pPr>
    </w:p>
    <w:p w:rsidR="008E21EC" w:rsidRDefault="008E21EC" w:rsidP="008E21EC">
      <w:pPr>
        <w:spacing w:before="0" w:after="200" w:line="240" w:lineRule="auto"/>
        <w:contextualSpacing/>
        <w:jc w:val="both"/>
        <w:rPr>
          <w:rFonts w:eastAsiaTheme="minorHAnsi" w:cstheme="minorBidi"/>
          <w:sz w:val="24"/>
          <w:lang w:eastAsia="en-US"/>
        </w:rPr>
      </w:pPr>
    </w:p>
    <w:p w:rsidR="008E21EC" w:rsidRDefault="008E21EC" w:rsidP="008E21EC">
      <w:pPr>
        <w:spacing w:before="0" w:after="200" w:line="240" w:lineRule="auto"/>
        <w:contextualSpacing/>
        <w:jc w:val="both"/>
        <w:rPr>
          <w:rFonts w:eastAsiaTheme="minorHAnsi" w:cstheme="minorBidi"/>
          <w:sz w:val="24"/>
          <w:lang w:eastAsia="en-US"/>
        </w:rPr>
      </w:pPr>
    </w:p>
    <w:p w:rsidR="008E21EC" w:rsidRDefault="008E21EC" w:rsidP="008E21EC">
      <w:pPr>
        <w:spacing w:before="0" w:after="200" w:line="240" w:lineRule="auto"/>
        <w:contextualSpacing/>
        <w:jc w:val="both"/>
        <w:rPr>
          <w:rFonts w:eastAsiaTheme="minorHAnsi" w:cstheme="minorBidi"/>
          <w:sz w:val="24"/>
          <w:lang w:eastAsia="en-US"/>
        </w:rPr>
      </w:pPr>
    </w:p>
    <w:p w:rsidR="008E21EC" w:rsidRPr="00A72180" w:rsidRDefault="008E21EC" w:rsidP="008E21EC">
      <w:pPr>
        <w:spacing w:before="0" w:after="200" w:line="240" w:lineRule="auto"/>
        <w:contextualSpacing/>
        <w:jc w:val="both"/>
        <w:rPr>
          <w:rFonts w:eastAsiaTheme="minorHAnsi" w:cstheme="minorBidi"/>
          <w:sz w:val="24"/>
          <w:lang w:eastAsia="en-US"/>
        </w:rPr>
      </w:pPr>
    </w:p>
    <w:p w:rsidR="00DB4942" w:rsidRPr="00FF3D92" w:rsidRDefault="00DB4942" w:rsidP="00AB07D9">
      <w:pPr>
        <w:pStyle w:val="Figure"/>
        <w:spacing w:before="120" w:after="120"/>
        <w:ind w:right="-79"/>
        <w:jc w:val="both"/>
        <w:rPr>
          <w:rFonts w:cstheme="minorHAnsi"/>
          <w:b/>
          <w:i/>
        </w:rPr>
      </w:pPr>
      <w:r w:rsidRPr="00FF3D92">
        <w:rPr>
          <w:rFonts w:cstheme="minorHAnsi"/>
          <w:b/>
          <w:i/>
        </w:rPr>
        <w:lastRenderedPageBreak/>
        <w:t xml:space="preserve">Table 1. </w:t>
      </w:r>
      <w:r w:rsidR="00081C82" w:rsidRPr="00FF3D92">
        <w:rPr>
          <w:rFonts w:cstheme="minorHAnsi"/>
          <w:b/>
          <w:i/>
        </w:rPr>
        <w:t>Comparison of recruitment experiences in the</w:t>
      </w:r>
      <w:r w:rsidR="00F968AD" w:rsidRPr="00FF3D92">
        <w:rPr>
          <w:rFonts w:cstheme="minorHAnsi"/>
          <w:b/>
          <w:i/>
        </w:rPr>
        <w:t xml:space="preserve"> </w:t>
      </w:r>
      <w:r w:rsidR="00081C82" w:rsidRPr="00FF3D92">
        <w:rPr>
          <w:rFonts w:cstheme="minorHAnsi"/>
          <w:b/>
          <w:i/>
        </w:rPr>
        <w:t>12 months preceding the survey</w:t>
      </w:r>
    </w:p>
    <w:tbl>
      <w:tblPr>
        <w:tblW w:w="5000" w:type="pct"/>
        <w:tblLook w:val="04A0" w:firstRow="1" w:lastRow="0" w:firstColumn="1" w:lastColumn="0" w:noHBand="0" w:noVBand="1"/>
      </w:tblPr>
      <w:tblGrid>
        <w:gridCol w:w="4219"/>
        <w:gridCol w:w="1276"/>
        <w:gridCol w:w="1278"/>
        <w:gridCol w:w="1135"/>
        <w:gridCol w:w="1378"/>
      </w:tblGrid>
      <w:tr w:rsidR="00D566F9" w:rsidRPr="00D566F9" w:rsidTr="009A741D">
        <w:trPr>
          <w:trHeight w:val="498"/>
        </w:trPr>
        <w:tc>
          <w:tcPr>
            <w:tcW w:w="2272"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F968AD" w:rsidRPr="00D566F9" w:rsidRDefault="00F968AD" w:rsidP="00F968AD">
            <w:pPr>
              <w:spacing w:before="0" w:after="0" w:line="240" w:lineRule="auto"/>
              <w:jc w:val="both"/>
              <w:rPr>
                <w:rFonts w:ascii="Calibri" w:hAnsi="Calibri" w:cs="Calibri"/>
                <w:b/>
                <w:bCs/>
                <w:szCs w:val="22"/>
              </w:rPr>
            </w:pPr>
            <w:r w:rsidRPr="00D566F9">
              <w:rPr>
                <w:rFonts w:ascii="Calibri" w:hAnsi="Calibri" w:cs="Calibri"/>
                <w:b/>
                <w:bCs/>
                <w:szCs w:val="22"/>
              </w:rPr>
              <w:t> </w:t>
            </w:r>
          </w:p>
        </w:tc>
        <w:tc>
          <w:tcPr>
            <w:tcW w:w="1986" w:type="pct"/>
            <w:gridSpan w:val="3"/>
            <w:tcBorders>
              <w:top w:val="single" w:sz="4" w:space="0" w:color="auto"/>
              <w:left w:val="nil"/>
              <w:bottom w:val="single" w:sz="4" w:space="0" w:color="auto"/>
              <w:right w:val="single" w:sz="4" w:space="0" w:color="auto"/>
            </w:tcBorders>
            <w:shd w:val="clear" w:color="000000" w:fill="548DD4" w:themeFill="text2" w:themeFillTint="99"/>
            <w:vAlign w:val="center"/>
            <w:hideMark/>
          </w:tcPr>
          <w:p w:rsidR="00F968AD" w:rsidRPr="00D566F9" w:rsidRDefault="00967B7A" w:rsidP="00F968AD">
            <w:pPr>
              <w:spacing w:before="0" w:after="0" w:line="240" w:lineRule="auto"/>
              <w:jc w:val="center"/>
              <w:rPr>
                <w:rFonts w:ascii="Calibri" w:hAnsi="Calibri" w:cs="Calibri"/>
                <w:b/>
                <w:bCs/>
                <w:szCs w:val="22"/>
              </w:rPr>
            </w:pPr>
            <w:r w:rsidRPr="00D566F9">
              <w:rPr>
                <w:rFonts w:ascii="Calibri" w:hAnsi="Calibri" w:cs="Calibri"/>
                <w:b/>
                <w:bCs/>
                <w:szCs w:val="22"/>
              </w:rPr>
              <w:t>Southern Wide Bay-Burnett</w:t>
            </w:r>
            <w:r w:rsidR="00F968AD" w:rsidRPr="00D566F9">
              <w:rPr>
                <w:rFonts w:ascii="Calibri" w:hAnsi="Calibri" w:cs="Calibri"/>
                <w:b/>
                <w:bCs/>
                <w:szCs w:val="22"/>
              </w:rPr>
              <w:t xml:space="preserve"> PEA</w:t>
            </w:r>
          </w:p>
        </w:tc>
        <w:tc>
          <w:tcPr>
            <w:tcW w:w="742"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968AD" w:rsidRPr="00D566F9" w:rsidRDefault="00F968AD" w:rsidP="00F968AD">
            <w:pPr>
              <w:spacing w:before="0" w:after="0" w:line="240" w:lineRule="auto"/>
              <w:jc w:val="center"/>
              <w:rPr>
                <w:rFonts w:ascii="Calibri" w:hAnsi="Calibri" w:cs="Calibri"/>
                <w:b/>
                <w:bCs/>
                <w:szCs w:val="22"/>
              </w:rPr>
            </w:pPr>
            <w:r w:rsidRPr="00D566F9">
              <w:rPr>
                <w:rFonts w:ascii="Calibri" w:hAnsi="Calibri" w:cs="Calibri"/>
                <w:b/>
                <w:bCs/>
                <w:szCs w:val="22"/>
              </w:rPr>
              <w:t>All regions surveyed to September 2012</w:t>
            </w:r>
          </w:p>
        </w:tc>
      </w:tr>
      <w:tr w:rsidR="00D566F9" w:rsidRPr="00D566F9" w:rsidTr="009A741D">
        <w:trPr>
          <w:trHeight w:val="548"/>
        </w:trPr>
        <w:tc>
          <w:tcPr>
            <w:tcW w:w="2272"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968AD" w:rsidRPr="00D566F9" w:rsidRDefault="00F968AD" w:rsidP="00F968AD">
            <w:pPr>
              <w:spacing w:before="0" w:after="0" w:line="240" w:lineRule="auto"/>
              <w:rPr>
                <w:rFonts w:ascii="Calibri" w:hAnsi="Calibri" w:cs="Calibri"/>
                <w:b/>
                <w:bCs/>
                <w:szCs w:val="22"/>
              </w:rPr>
            </w:pPr>
          </w:p>
        </w:tc>
        <w:tc>
          <w:tcPr>
            <w:tcW w:w="687" w:type="pct"/>
            <w:tcBorders>
              <w:top w:val="nil"/>
              <w:left w:val="nil"/>
              <w:bottom w:val="single" w:sz="4" w:space="0" w:color="auto"/>
              <w:right w:val="single" w:sz="4" w:space="0" w:color="auto"/>
            </w:tcBorders>
            <w:shd w:val="clear" w:color="000000" w:fill="548DD4" w:themeFill="text2" w:themeFillTint="99"/>
            <w:vAlign w:val="center"/>
            <w:hideMark/>
          </w:tcPr>
          <w:p w:rsidR="00F968AD" w:rsidRPr="00D566F9" w:rsidRDefault="0091533D" w:rsidP="00F968AD">
            <w:pPr>
              <w:spacing w:before="0" w:after="0" w:line="240" w:lineRule="auto"/>
              <w:jc w:val="center"/>
              <w:rPr>
                <w:rFonts w:ascii="Calibri" w:hAnsi="Calibri" w:cs="Calibri"/>
                <w:b/>
                <w:bCs/>
                <w:szCs w:val="22"/>
              </w:rPr>
            </w:pPr>
            <w:r>
              <w:rPr>
                <w:rFonts w:ascii="Calibri" w:hAnsi="Calibri" w:cs="Calibri"/>
                <w:b/>
                <w:bCs/>
                <w:szCs w:val="22"/>
              </w:rPr>
              <w:t>November</w:t>
            </w:r>
            <w:r w:rsidR="00F968AD" w:rsidRPr="00D566F9">
              <w:rPr>
                <w:rFonts w:ascii="Calibri" w:hAnsi="Calibri" w:cs="Calibri"/>
                <w:b/>
                <w:bCs/>
                <w:szCs w:val="22"/>
              </w:rPr>
              <w:t xml:space="preserve"> 2012</w:t>
            </w:r>
          </w:p>
        </w:tc>
        <w:tc>
          <w:tcPr>
            <w:tcW w:w="688" w:type="pct"/>
            <w:tcBorders>
              <w:top w:val="nil"/>
              <w:left w:val="nil"/>
              <w:bottom w:val="single" w:sz="4" w:space="0" w:color="auto"/>
              <w:right w:val="single" w:sz="4" w:space="0" w:color="auto"/>
            </w:tcBorders>
            <w:shd w:val="clear" w:color="000000" w:fill="548DD4" w:themeFill="text2" w:themeFillTint="99"/>
            <w:vAlign w:val="center"/>
            <w:hideMark/>
          </w:tcPr>
          <w:p w:rsidR="00F968AD" w:rsidRPr="00D566F9" w:rsidRDefault="00967B7A" w:rsidP="00F968AD">
            <w:pPr>
              <w:spacing w:before="0" w:after="0" w:line="240" w:lineRule="auto"/>
              <w:jc w:val="center"/>
              <w:rPr>
                <w:rFonts w:ascii="Calibri" w:hAnsi="Calibri" w:cs="Calibri"/>
                <w:b/>
                <w:bCs/>
                <w:szCs w:val="22"/>
              </w:rPr>
            </w:pPr>
            <w:r w:rsidRPr="00D566F9">
              <w:rPr>
                <w:rFonts w:ascii="Calibri" w:hAnsi="Calibri" w:cs="Calibri"/>
                <w:b/>
                <w:bCs/>
                <w:szCs w:val="22"/>
              </w:rPr>
              <w:t>September</w:t>
            </w:r>
            <w:r w:rsidR="00F968AD" w:rsidRPr="00D566F9">
              <w:rPr>
                <w:rFonts w:ascii="Calibri" w:hAnsi="Calibri" w:cs="Calibri"/>
                <w:b/>
                <w:bCs/>
                <w:szCs w:val="22"/>
              </w:rPr>
              <w:t xml:space="preserve"> 2011</w:t>
            </w:r>
          </w:p>
        </w:tc>
        <w:tc>
          <w:tcPr>
            <w:tcW w:w="611" w:type="pct"/>
            <w:tcBorders>
              <w:top w:val="nil"/>
              <w:left w:val="nil"/>
              <w:bottom w:val="single" w:sz="4" w:space="0" w:color="auto"/>
              <w:right w:val="single" w:sz="4" w:space="0" w:color="auto"/>
            </w:tcBorders>
            <w:shd w:val="clear" w:color="000000" w:fill="548DD4" w:themeFill="text2" w:themeFillTint="99"/>
            <w:vAlign w:val="center"/>
            <w:hideMark/>
          </w:tcPr>
          <w:p w:rsidR="00F968AD" w:rsidRPr="00D566F9" w:rsidRDefault="00967B7A" w:rsidP="00F968AD">
            <w:pPr>
              <w:spacing w:before="0" w:after="0" w:line="240" w:lineRule="auto"/>
              <w:jc w:val="center"/>
              <w:rPr>
                <w:rFonts w:ascii="Calibri" w:hAnsi="Calibri" w:cs="Calibri"/>
                <w:b/>
                <w:bCs/>
                <w:szCs w:val="22"/>
              </w:rPr>
            </w:pPr>
            <w:r w:rsidRPr="00D566F9">
              <w:rPr>
                <w:rFonts w:ascii="Calibri" w:hAnsi="Calibri" w:cs="Calibri"/>
                <w:b/>
                <w:bCs/>
                <w:szCs w:val="22"/>
              </w:rPr>
              <w:t>June</w:t>
            </w:r>
            <w:r w:rsidR="00F968AD" w:rsidRPr="00D566F9">
              <w:rPr>
                <w:rFonts w:ascii="Calibri" w:hAnsi="Calibri" w:cs="Calibri"/>
                <w:b/>
                <w:bCs/>
                <w:szCs w:val="22"/>
              </w:rPr>
              <w:t xml:space="preserve"> </w:t>
            </w:r>
            <w:r w:rsidR="00D566F9">
              <w:rPr>
                <w:rFonts w:ascii="Calibri" w:hAnsi="Calibri" w:cs="Calibri"/>
                <w:b/>
                <w:bCs/>
                <w:szCs w:val="22"/>
              </w:rPr>
              <w:br/>
            </w:r>
            <w:r w:rsidR="00F968AD" w:rsidRPr="00D566F9">
              <w:rPr>
                <w:rFonts w:ascii="Calibri" w:hAnsi="Calibri" w:cs="Calibri"/>
                <w:b/>
                <w:bCs/>
                <w:szCs w:val="22"/>
              </w:rPr>
              <w:t>2010</w:t>
            </w:r>
          </w:p>
        </w:tc>
        <w:tc>
          <w:tcPr>
            <w:tcW w:w="742" w:type="pct"/>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968AD" w:rsidRPr="00D566F9" w:rsidRDefault="00F968AD" w:rsidP="00F968AD">
            <w:pPr>
              <w:spacing w:before="0" w:after="0" w:line="240" w:lineRule="auto"/>
              <w:rPr>
                <w:rFonts w:ascii="Calibri" w:hAnsi="Calibri" w:cs="Calibri"/>
                <w:b/>
                <w:bCs/>
                <w:szCs w:val="22"/>
              </w:rPr>
            </w:pPr>
          </w:p>
        </w:tc>
      </w:tr>
      <w:tr w:rsidR="00D566F9" w:rsidRPr="00D566F9" w:rsidTr="0082566E">
        <w:trPr>
          <w:cantSplit/>
          <w:trHeight w:hRule="exact" w:val="34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F968AD" w:rsidRPr="00D566F9" w:rsidRDefault="00F968AD" w:rsidP="00D566F9">
            <w:pPr>
              <w:spacing w:before="0" w:after="0" w:line="240" w:lineRule="auto"/>
              <w:rPr>
                <w:rFonts w:ascii="Calibri" w:hAnsi="Calibri" w:cs="Calibri"/>
                <w:b/>
                <w:bCs/>
                <w:szCs w:val="22"/>
              </w:rPr>
            </w:pPr>
            <w:r w:rsidRPr="00D566F9">
              <w:rPr>
                <w:rFonts w:ascii="Calibri" w:hAnsi="Calibri" w:cs="Calibri"/>
                <w:b/>
                <w:bCs/>
                <w:szCs w:val="22"/>
              </w:rPr>
              <w:t>Proportion of employers who recruited</w:t>
            </w:r>
          </w:p>
        </w:tc>
        <w:tc>
          <w:tcPr>
            <w:tcW w:w="687"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50%</w:t>
            </w:r>
          </w:p>
        </w:tc>
        <w:tc>
          <w:tcPr>
            <w:tcW w:w="688"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55%</w:t>
            </w:r>
          </w:p>
        </w:tc>
        <w:tc>
          <w:tcPr>
            <w:tcW w:w="611"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57%</w:t>
            </w:r>
          </w:p>
        </w:tc>
        <w:tc>
          <w:tcPr>
            <w:tcW w:w="742" w:type="pct"/>
            <w:tcBorders>
              <w:top w:val="nil"/>
              <w:left w:val="nil"/>
              <w:bottom w:val="single" w:sz="4" w:space="0" w:color="auto"/>
              <w:right w:val="single" w:sz="4" w:space="0" w:color="auto"/>
            </w:tcBorders>
            <w:shd w:val="clear" w:color="auto" w:fill="auto"/>
            <w:noWrap/>
            <w:vAlign w:val="center"/>
            <w:hideMark/>
          </w:tcPr>
          <w:p w:rsidR="00F968AD" w:rsidRPr="00D566F9" w:rsidRDefault="00F968AD" w:rsidP="00D566F9">
            <w:pPr>
              <w:spacing w:before="0" w:after="0" w:line="240" w:lineRule="auto"/>
              <w:jc w:val="center"/>
              <w:rPr>
                <w:rFonts w:ascii="Calibri" w:hAnsi="Calibri" w:cs="Calibri"/>
                <w:szCs w:val="22"/>
              </w:rPr>
            </w:pPr>
            <w:r w:rsidRPr="00D566F9">
              <w:rPr>
                <w:rFonts w:ascii="Calibri" w:hAnsi="Calibri" w:cs="Calibri"/>
                <w:szCs w:val="22"/>
              </w:rPr>
              <w:t>63%</w:t>
            </w:r>
          </w:p>
        </w:tc>
      </w:tr>
      <w:tr w:rsidR="00D566F9" w:rsidRPr="00D566F9" w:rsidTr="0082566E">
        <w:trPr>
          <w:cantSplit/>
          <w:trHeight w:hRule="exact" w:val="34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F968AD" w:rsidRPr="00D566F9" w:rsidRDefault="00F968AD" w:rsidP="00D566F9">
            <w:pPr>
              <w:spacing w:before="0" w:after="0" w:line="240" w:lineRule="auto"/>
              <w:rPr>
                <w:rFonts w:ascii="Calibri" w:hAnsi="Calibri" w:cs="Calibri"/>
                <w:b/>
                <w:bCs/>
                <w:szCs w:val="22"/>
              </w:rPr>
            </w:pPr>
            <w:r w:rsidRPr="00D566F9">
              <w:rPr>
                <w:rFonts w:ascii="Calibri" w:hAnsi="Calibri" w:cs="Calibri"/>
                <w:b/>
                <w:bCs/>
                <w:szCs w:val="22"/>
              </w:rPr>
              <w:t xml:space="preserve">         - to increase staff</w:t>
            </w:r>
          </w:p>
        </w:tc>
        <w:tc>
          <w:tcPr>
            <w:tcW w:w="687"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43%</w:t>
            </w:r>
          </w:p>
        </w:tc>
        <w:tc>
          <w:tcPr>
            <w:tcW w:w="688"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51%</w:t>
            </w:r>
          </w:p>
        </w:tc>
        <w:tc>
          <w:tcPr>
            <w:tcW w:w="611"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51%</w:t>
            </w:r>
          </w:p>
        </w:tc>
        <w:tc>
          <w:tcPr>
            <w:tcW w:w="742" w:type="pct"/>
            <w:tcBorders>
              <w:top w:val="nil"/>
              <w:left w:val="nil"/>
              <w:bottom w:val="single" w:sz="4" w:space="0" w:color="auto"/>
              <w:right w:val="single" w:sz="4" w:space="0" w:color="auto"/>
            </w:tcBorders>
            <w:shd w:val="clear" w:color="auto" w:fill="auto"/>
            <w:noWrap/>
            <w:vAlign w:val="center"/>
            <w:hideMark/>
          </w:tcPr>
          <w:p w:rsidR="00F968AD" w:rsidRPr="00D566F9" w:rsidRDefault="00F968AD" w:rsidP="00D566F9">
            <w:pPr>
              <w:spacing w:before="0" w:after="0" w:line="240" w:lineRule="auto"/>
              <w:jc w:val="center"/>
              <w:rPr>
                <w:rFonts w:ascii="Calibri" w:hAnsi="Calibri" w:cs="Calibri"/>
                <w:szCs w:val="22"/>
              </w:rPr>
            </w:pPr>
            <w:r w:rsidRPr="00D566F9">
              <w:rPr>
                <w:rFonts w:ascii="Calibri" w:hAnsi="Calibri" w:cs="Calibri"/>
                <w:szCs w:val="22"/>
              </w:rPr>
              <w:t>46%</w:t>
            </w:r>
          </w:p>
        </w:tc>
      </w:tr>
      <w:tr w:rsidR="00D566F9" w:rsidRPr="00D566F9" w:rsidTr="009152EC">
        <w:trPr>
          <w:cantSplit/>
          <w:trHeight w:hRule="exact" w:val="340"/>
        </w:trPr>
        <w:tc>
          <w:tcPr>
            <w:tcW w:w="2272" w:type="pct"/>
            <w:tcBorders>
              <w:top w:val="nil"/>
              <w:left w:val="single" w:sz="4" w:space="0" w:color="auto"/>
              <w:bottom w:val="single" w:sz="4" w:space="0" w:color="auto"/>
              <w:right w:val="single" w:sz="4" w:space="0" w:color="auto"/>
            </w:tcBorders>
            <w:shd w:val="clear" w:color="auto" w:fill="auto"/>
            <w:noWrap/>
            <w:vAlign w:val="center"/>
            <w:hideMark/>
          </w:tcPr>
          <w:p w:rsidR="00F968AD" w:rsidRPr="00D566F9" w:rsidRDefault="00F968AD" w:rsidP="00D566F9">
            <w:pPr>
              <w:spacing w:before="0" w:after="0" w:line="240" w:lineRule="auto"/>
              <w:rPr>
                <w:rFonts w:ascii="Calibri" w:hAnsi="Calibri" w:cs="Calibri"/>
                <w:b/>
                <w:bCs/>
                <w:szCs w:val="22"/>
              </w:rPr>
            </w:pPr>
            <w:r w:rsidRPr="00D566F9">
              <w:rPr>
                <w:rFonts w:ascii="Calibri" w:hAnsi="Calibri" w:cs="Calibri"/>
                <w:b/>
                <w:bCs/>
                <w:szCs w:val="22"/>
              </w:rPr>
              <w:t xml:space="preserve">         - to replace staff</w:t>
            </w:r>
          </w:p>
        </w:tc>
        <w:tc>
          <w:tcPr>
            <w:tcW w:w="687"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79%</w:t>
            </w:r>
          </w:p>
        </w:tc>
        <w:tc>
          <w:tcPr>
            <w:tcW w:w="688"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83%</w:t>
            </w:r>
          </w:p>
        </w:tc>
        <w:tc>
          <w:tcPr>
            <w:tcW w:w="611" w:type="pct"/>
            <w:tcBorders>
              <w:top w:val="nil"/>
              <w:left w:val="nil"/>
              <w:bottom w:val="single" w:sz="4" w:space="0" w:color="auto"/>
              <w:right w:val="single" w:sz="4" w:space="0" w:color="auto"/>
            </w:tcBorders>
            <w:shd w:val="clear" w:color="auto" w:fill="auto"/>
            <w:noWrap/>
            <w:vAlign w:val="center"/>
          </w:tcPr>
          <w:p w:rsidR="00F968AD" w:rsidRPr="00D566F9" w:rsidRDefault="00967B7A" w:rsidP="00D566F9">
            <w:pPr>
              <w:spacing w:before="0" w:after="0" w:line="240" w:lineRule="auto"/>
              <w:jc w:val="center"/>
              <w:rPr>
                <w:rFonts w:ascii="Calibri" w:hAnsi="Calibri" w:cs="Calibri"/>
                <w:szCs w:val="22"/>
              </w:rPr>
            </w:pPr>
            <w:r w:rsidRPr="00D566F9">
              <w:rPr>
                <w:rFonts w:ascii="Calibri" w:hAnsi="Calibri" w:cs="Calibri"/>
                <w:szCs w:val="22"/>
              </w:rPr>
              <w:t>81%</w:t>
            </w:r>
          </w:p>
        </w:tc>
        <w:tc>
          <w:tcPr>
            <w:tcW w:w="742" w:type="pct"/>
            <w:tcBorders>
              <w:top w:val="nil"/>
              <w:left w:val="nil"/>
              <w:bottom w:val="single" w:sz="4" w:space="0" w:color="auto"/>
              <w:right w:val="single" w:sz="4" w:space="0" w:color="auto"/>
            </w:tcBorders>
            <w:shd w:val="clear" w:color="auto" w:fill="auto"/>
            <w:noWrap/>
            <w:vAlign w:val="center"/>
            <w:hideMark/>
          </w:tcPr>
          <w:p w:rsidR="00F968AD" w:rsidRPr="00D566F9" w:rsidRDefault="00F968AD" w:rsidP="00D566F9">
            <w:pPr>
              <w:spacing w:before="0" w:after="0" w:line="240" w:lineRule="auto"/>
              <w:jc w:val="center"/>
              <w:rPr>
                <w:rFonts w:ascii="Calibri" w:hAnsi="Calibri" w:cs="Calibri"/>
                <w:szCs w:val="22"/>
              </w:rPr>
            </w:pPr>
            <w:r w:rsidRPr="00D566F9">
              <w:rPr>
                <w:rFonts w:ascii="Calibri" w:hAnsi="Calibri" w:cs="Calibri"/>
                <w:szCs w:val="22"/>
              </w:rPr>
              <w:t>85%</w:t>
            </w:r>
          </w:p>
        </w:tc>
      </w:tr>
    </w:tbl>
    <w:p w:rsidR="00FF3D92" w:rsidRDefault="00FF3D92" w:rsidP="00FF3D92">
      <w:pPr>
        <w:pStyle w:val="Figure"/>
        <w:spacing w:before="0"/>
        <w:ind w:right="-79"/>
        <w:jc w:val="both"/>
        <w:rPr>
          <w:rFonts w:asciiTheme="minorHAnsi" w:hAnsiTheme="minorHAnsi" w:cstheme="minorHAnsi"/>
        </w:rPr>
      </w:pPr>
    </w:p>
    <w:p w:rsidR="00DB4942" w:rsidRPr="00CA277E" w:rsidRDefault="00DB4942" w:rsidP="00CA277E">
      <w:pPr>
        <w:spacing w:line="240" w:lineRule="auto"/>
        <w:jc w:val="both"/>
        <w:rPr>
          <w:rFonts w:cstheme="minorHAnsi"/>
          <w:sz w:val="24"/>
        </w:rPr>
      </w:pPr>
      <w:r w:rsidRPr="00CA277E">
        <w:rPr>
          <w:rFonts w:cstheme="minorHAnsi"/>
          <w:sz w:val="24"/>
        </w:rPr>
        <w:t xml:space="preserve">The proportion of </w:t>
      </w:r>
      <w:r w:rsidR="0082566E" w:rsidRPr="00CA277E">
        <w:rPr>
          <w:rFonts w:cstheme="minorHAnsi"/>
          <w:sz w:val="24"/>
        </w:rPr>
        <w:t>v</w:t>
      </w:r>
      <w:r w:rsidRPr="00CA277E">
        <w:rPr>
          <w:rFonts w:cstheme="minorHAnsi"/>
          <w:sz w:val="24"/>
        </w:rPr>
        <w:t>acancies</w:t>
      </w:r>
      <w:r w:rsidR="0082566E" w:rsidRPr="00CA277E">
        <w:rPr>
          <w:rFonts w:cstheme="minorHAnsi"/>
          <w:sz w:val="24"/>
        </w:rPr>
        <w:t xml:space="preserve"> </w:t>
      </w:r>
      <w:r w:rsidR="00535A26">
        <w:rPr>
          <w:rFonts w:cstheme="minorHAnsi"/>
          <w:sz w:val="24"/>
        </w:rPr>
        <w:t xml:space="preserve">from employers’ most recent recruitment round </w:t>
      </w:r>
      <w:r w:rsidRPr="00CA277E">
        <w:rPr>
          <w:rFonts w:cstheme="minorHAnsi"/>
          <w:sz w:val="24"/>
        </w:rPr>
        <w:t xml:space="preserve">that remained unfilled across the </w:t>
      </w:r>
      <w:r w:rsidR="009C332A" w:rsidRPr="00CA277E">
        <w:rPr>
          <w:rFonts w:cstheme="minorHAnsi"/>
          <w:sz w:val="24"/>
        </w:rPr>
        <w:t>PEA</w:t>
      </w:r>
      <w:r w:rsidR="00967B7A" w:rsidRPr="00CA277E">
        <w:rPr>
          <w:rFonts w:cstheme="minorHAnsi"/>
          <w:sz w:val="24"/>
        </w:rPr>
        <w:t xml:space="preserve"> (6.2</w:t>
      </w:r>
      <w:r w:rsidRPr="00CA277E">
        <w:rPr>
          <w:rFonts w:cstheme="minorHAnsi"/>
          <w:sz w:val="24"/>
        </w:rPr>
        <w:t> per</w:t>
      </w:r>
      <w:r w:rsidR="00653409" w:rsidRPr="00CA277E">
        <w:rPr>
          <w:rFonts w:cstheme="minorHAnsi"/>
          <w:sz w:val="24"/>
        </w:rPr>
        <w:t> </w:t>
      </w:r>
      <w:r w:rsidRPr="00CA277E">
        <w:rPr>
          <w:rFonts w:cstheme="minorHAnsi"/>
          <w:sz w:val="24"/>
        </w:rPr>
        <w:t xml:space="preserve">cent) was lower </w:t>
      </w:r>
      <w:r w:rsidR="00967B7A" w:rsidRPr="00CA277E">
        <w:rPr>
          <w:rFonts w:cstheme="minorHAnsi"/>
          <w:sz w:val="24"/>
        </w:rPr>
        <w:t>compared with the September 2011 survey (10.6 per cent</w:t>
      </w:r>
      <w:r w:rsidR="009B316C" w:rsidRPr="00CA277E">
        <w:rPr>
          <w:rFonts w:cstheme="minorHAnsi"/>
          <w:sz w:val="24"/>
        </w:rPr>
        <w:t>)</w:t>
      </w:r>
      <w:r w:rsidR="009A741D">
        <w:rPr>
          <w:rFonts w:cstheme="minorHAnsi"/>
          <w:sz w:val="24"/>
        </w:rPr>
        <w:t>.</w:t>
      </w:r>
    </w:p>
    <w:p w:rsidR="00980658" w:rsidRPr="00A72180" w:rsidRDefault="00501FB2" w:rsidP="00E901CA">
      <w:pPr>
        <w:numPr>
          <w:ilvl w:val="0"/>
          <w:numId w:val="43"/>
        </w:numPr>
        <w:spacing w:line="240" w:lineRule="auto"/>
        <w:ind w:left="721" w:hanging="437"/>
        <w:contextualSpacing/>
        <w:jc w:val="both"/>
        <w:rPr>
          <w:rFonts w:eastAsiaTheme="minorHAnsi" w:cstheme="minorBidi"/>
          <w:sz w:val="24"/>
          <w:lang w:eastAsia="en-US"/>
        </w:rPr>
      </w:pPr>
      <w:r w:rsidRPr="00A72180">
        <w:rPr>
          <w:rFonts w:eastAsiaTheme="minorHAnsi" w:cstheme="minorBidi"/>
          <w:sz w:val="24"/>
          <w:lang w:eastAsia="en-US"/>
        </w:rPr>
        <w:t xml:space="preserve">Employers recruiting </w:t>
      </w:r>
      <w:r w:rsidR="00980658" w:rsidRPr="00A72180">
        <w:rPr>
          <w:rFonts w:eastAsiaTheme="minorHAnsi" w:cstheme="minorBidi"/>
          <w:sz w:val="24"/>
          <w:lang w:eastAsia="en-US"/>
        </w:rPr>
        <w:t xml:space="preserve">for Managers and Professionals </w:t>
      </w:r>
      <w:r w:rsidRPr="00A72180">
        <w:rPr>
          <w:rFonts w:eastAsiaTheme="minorHAnsi" w:cstheme="minorBidi"/>
          <w:sz w:val="24"/>
          <w:lang w:eastAsia="en-US"/>
        </w:rPr>
        <w:t>reported the largest proportion of vacancies remaining unfilled (</w:t>
      </w:r>
      <w:r w:rsidR="00980658" w:rsidRPr="00A72180">
        <w:rPr>
          <w:rFonts w:eastAsiaTheme="minorHAnsi" w:cstheme="minorBidi"/>
          <w:sz w:val="24"/>
          <w:lang w:eastAsia="en-US"/>
        </w:rPr>
        <w:t>19.2</w:t>
      </w:r>
      <w:r w:rsidRPr="00A72180">
        <w:rPr>
          <w:rFonts w:eastAsiaTheme="minorHAnsi" w:cstheme="minorBidi"/>
          <w:sz w:val="24"/>
          <w:lang w:eastAsia="en-US"/>
        </w:rPr>
        <w:t xml:space="preserve"> per cent)</w:t>
      </w:r>
      <w:r w:rsidR="00980658" w:rsidRPr="00A72180">
        <w:rPr>
          <w:rFonts w:eastAsiaTheme="minorHAnsi" w:cstheme="minorBidi"/>
          <w:sz w:val="24"/>
          <w:lang w:eastAsia="en-US"/>
        </w:rPr>
        <w:t xml:space="preserve">, followed by </w:t>
      </w:r>
      <w:r w:rsidR="009B316C" w:rsidRPr="00A72180">
        <w:rPr>
          <w:rFonts w:eastAsiaTheme="minorHAnsi" w:cstheme="minorBidi"/>
          <w:sz w:val="24"/>
          <w:lang w:eastAsia="en-US"/>
        </w:rPr>
        <w:t xml:space="preserve">vacancies for </w:t>
      </w:r>
      <w:r w:rsidR="00980658" w:rsidRPr="00A72180">
        <w:rPr>
          <w:rFonts w:eastAsiaTheme="minorHAnsi" w:cstheme="minorBidi"/>
          <w:sz w:val="24"/>
          <w:lang w:eastAsia="en-US"/>
        </w:rPr>
        <w:t>Community and Personal Service Workers (7.1</w:t>
      </w:r>
      <w:r w:rsidRPr="00A72180">
        <w:rPr>
          <w:rFonts w:eastAsiaTheme="minorHAnsi" w:cstheme="minorBidi"/>
          <w:sz w:val="24"/>
          <w:lang w:eastAsia="en-US"/>
        </w:rPr>
        <w:t xml:space="preserve"> per cent).</w:t>
      </w:r>
      <w:r w:rsidR="00980658" w:rsidRPr="00A72180">
        <w:rPr>
          <w:rFonts w:eastAsiaTheme="minorHAnsi" w:cstheme="minorBidi"/>
          <w:sz w:val="24"/>
          <w:lang w:eastAsia="en-US"/>
        </w:rPr>
        <w:t xml:space="preserve"> </w:t>
      </w:r>
      <w:r w:rsidR="00535A26">
        <w:rPr>
          <w:rFonts w:eastAsiaTheme="minorHAnsi" w:cstheme="minorBidi"/>
          <w:sz w:val="24"/>
          <w:lang w:eastAsia="en-US"/>
        </w:rPr>
        <w:t xml:space="preserve">On the other hand, all vacancies </w:t>
      </w:r>
      <w:r w:rsidR="00980658" w:rsidRPr="00A72180">
        <w:rPr>
          <w:rFonts w:eastAsiaTheme="minorHAnsi" w:cstheme="minorBidi"/>
          <w:sz w:val="24"/>
          <w:lang w:eastAsia="en-US"/>
        </w:rPr>
        <w:t>for Clerical and Administrative Workers, Machinery Operators and Drivers</w:t>
      </w:r>
      <w:r w:rsidR="009A741D">
        <w:rPr>
          <w:rFonts w:eastAsiaTheme="minorHAnsi" w:cstheme="minorBidi"/>
          <w:sz w:val="24"/>
          <w:lang w:eastAsia="en-US"/>
        </w:rPr>
        <w:t>,</w:t>
      </w:r>
      <w:r w:rsidR="00980658" w:rsidRPr="00A72180">
        <w:rPr>
          <w:rFonts w:eastAsiaTheme="minorHAnsi" w:cstheme="minorBidi"/>
          <w:sz w:val="24"/>
          <w:lang w:eastAsia="en-US"/>
        </w:rPr>
        <w:t xml:space="preserve"> and Labourers</w:t>
      </w:r>
      <w:r w:rsidR="00535A26">
        <w:rPr>
          <w:rFonts w:eastAsiaTheme="minorHAnsi" w:cstheme="minorBidi"/>
          <w:sz w:val="24"/>
          <w:lang w:eastAsia="en-US"/>
        </w:rPr>
        <w:t xml:space="preserve"> were filled</w:t>
      </w:r>
      <w:r w:rsidR="00980658" w:rsidRPr="00A72180">
        <w:rPr>
          <w:rFonts w:eastAsiaTheme="minorHAnsi" w:cstheme="minorBidi"/>
          <w:sz w:val="24"/>
          <w:lang w:eastAsia="en-US"/>
        </w:rPr>
        <w:t>.</w:t>
      </w:r>
    </w:p>
    <w:p w:rsidR="0011289D" w:rsidRPr="00E901CA" w:rsidRDefault="00535A26" w:rsidP="00E901CA">
      <w:pPr>
        <w:spacing w:before="240" w:line="240" w:lineRule="auto"/>
        <w:jc w:val="both"/>
        <w:rPr>
          <w:rFonts w:cstheme="minorHAnsi"/>
          <w:sz w:val="24"/>
        </w:rPr>
      </w:pPr>
      <w:r>
        <w:rPr>
          <w:rFonts w:cstheme="minorHAnsi"/>
          <w:sz w:val="24"/>
        </w:rPr>
        <w:t>While most vacancies were filled</w:t>
      </w:r>
      <w:r w:rsidR="009152EC" w:rsidRPr="00E901CA">
        <w:rPr>
          <w:rFonts w:cstheme="minorHAnsi"/>
          <w:sz w:val="24"/>
        </w:rPr>
        <w:t xml:space="preserve">, </w:t>
      </w:r>
      <w:r w:rsidR="00C60C25" w:rsidRPr="00E901CA">
        <w:rPr>
          <w:rFonts w:cstheme="minorHAnsi"/>
          <w:sz w:val="24"/>
        </w:rPr>
        <w:t>employers commonly mentioned difficult</w:t>
      </w:r>
      <w:r w:rsidR="009152EC" w:rsidRPr="00E901CA">
        <w:rPr>
          <w:rFonts w:cstheme="minorHAnsi"/>
          <w:sz w:val="24"/>
        </w:rPr>
        <w:t xml:space="preserve">y </w:t>
      </w:r>
      <w:r w:rsidR="00C60C25" w:rsidRPr="00E901CA">
        <w:rPr>
          <w:rFonts w:cstheme="minorHAnsi"/>
          <w:sz w:val="24"/>
        </w:rPr>
        <w:t>fill</w:t>
      </w:r>
      <w:r w:rsidR="009152EC" w:rsidRPr="00E901CA">
        <w:rPr>
          <w:rFonts w:cstheme="minorHAnsi"/>
          <w:sz w:val="24"/>
        </w:rPr>
        <w:t xml:space="preserve">ing </w:t>
      </w:r>
      <w:r w:rsidR="009A741D">
        <w:rPr>
          <w:rFonts w:cstheme="minorHAnsi"/>
          <w:sz w:val="24"/>
        </w:rPr>
        <w:t xml:space="preserve">vacancies for </w:t>
      </w:r>
      <w:r w:rsidR="009152EC" w:rsidRPr="00E901CA">
        <w:rPr>
          <w:rFonts w:cstheme="minorHAnsi"/>
          <w:sz w:val="24"/>
        </w:rPr>
        <w:t>a range of occupations</w:t>
      </w:r>
      <w:r w:rsidR="002E6E07" w:rsidRPr="00E901CA">
        <w:rPr>
          <w:rFonts w:cstheme="minorHAnsi"/>
          <w:sz w:val="24"/>
        </w:rPr>
        <w:t>,</w:t>
      </w:r>
      <w:r w:rsidR="00C60C25" w:rsidRPr="00E901CA">
        <w:rPr>
          <w:rFonts w:cstheme="minorHAnsi"/>
          <w:sz w:val="24"/>
        </w:rPr>
        <w:t xml:space="preserve"> includ</w:t>
      </w:r>
      <w:r w:rsidR="009152EC" w:rsidRPr="00E901CA">
        <w:rPr>
          <w:rFonts w:cstheme="minorHAnsi"/>
          <w:sz w:val="24"/>
        </w:rPr>
        <w:t xml:space="preserve">ing </w:t>
      </w:r>
      <w:r w:rsidR="00C60C25" w:rsidRPr="00E901CA">
        <w:rPr>
          <w:rFonts w:cstheme="minorHAnsi"/>
          <w:sz w:val="24"/>
        </w:rPr>
        <w:t>Registered Nurses, Receptionists, Chefs, Motor Mechanics and Generalist Medical Practitioners.</w:t>
      </w:r>
      <w:bookmarkEnd w:id="72"/>
    </w:p>
    <w:p w:rsidR="00336E5B" w:rsidRPr="00467BA1" w:rsidRDefault="00336E5B" w:rsidP="00336E5B">
      <w:pPr>
        <w:spacing w:line="240" w:lineRule="auto"/>
        <w:jc w:val="both"/>
        <w:rPr>
          <w:rFonts w:cstheme="minorHAnsi"/>
          <w:sz w:val="24"/>
        </w:rPr>
      </w:pPr>
      <w:r w:rsidRPr="00467BA1">
        <w:rPr>
          <w:rFonts w:cstheme="minorHAnsi"/>
          <w:sz w:val="24"/>
        </w:rPr>
        <w:t xml:space="preserve">Almost half of employers (49 per cent) in the Southern Wide Bay-Burnett PEA used informal methods </w:t>
      </w:r>
      <w:r w:rsidRPr="00467BA1">
        <w:rPr>
          <w:rFonts w:cstheme="minorHAnsi"/>
          <w:i/>
          <w:iCs/>
          <w:sz w:val="24"/>
        </w:rPr>
        <w:t xml:space="preserve">only </w:t>
      </w:r>
      <w:r w:rsidRPr="00467BA1">
        <w:rPr>
          <w:rFonts w:cstheme="minorHAnsi"/>
          <w:sz w:val="24"/>
        </w:rPr>
        <w:t>in their most recent recruitment round.</w:t>
      </w:r>
    </w:p>
    <w:p w:rsidR="0011289D" w:rsidRDefault="0011289D" w:rsidP="00A72180">
      <w:pPr>
        <w:numPr>
          <w:ilvl w:val="0"/>
          <w:numId w:val="43"/>
        </w:numPr>
        <w:spacing w:before="0" w:after="200" w:line="240" w:lineRule="auto"/>
        <w:ind w:hanging="436"/>
        <w:contextualSpacing/>
        <w:jc w:val="both"/>
        <w:rPr>
          <w:rFonts w:eastAsiaTheme="minorHAnsi" w:cstheme="minorBidi"/>
          <w:sz w:val="24"/>
          <w:lang w:eastAsia="en-US"/>
        </w:rPr>
      </w:pPr>
      <w:r w:rsidRPr="00A72180">
        <w:rPr>
          <w:rFonts w:eastAsiaTheme="minorHAnsi" w:cstheme="minorBidi"/>
          <w:sz w:val="24"/>
          <w:lang w:eastAsia="en-US"/>
        </w:rPr>
        <w:t>The most c</w:t>
      </w:r>
      <w:r w:rsidR="008E1CE7">
        <w:rPr>
          <w:rFonts w:eastAsiaTheme="minorHAnsi" w:cstheme="minorBidi"/>
          <w:sz w:val="24"/>
          <w:lang w:eastAsia="en-US"/>
        </w:rPr>
        <w:t>ommonly used recruitment method was</w:t>
      </w:r>
      <w:r w:rsidRPr="00A72180">
        <w:rPr>
          <w:rFonts w:eastAsiaTheme="minorHAnsi" w:cstheme="minorBidi"/>
          <w:sz w:val="24"/>
          <w:lang w:eastAsia="en-US"/>
        </w:rPr>
        <w:t xml:space="preserve"> </w:t>
      </w:r>
      <w:r w:rsidR="008E1CE7">
        <w:rPr>
          <w:rFonts w:eastAsiaTheme="minorHAnsi" w:cstheme="minorBidi"/>
          <w:sz w:val="24"/>
          <w:lang w:eastAsia="en-US"/>
        </w:rPr>
        <w:t xml:space="preserve">word of mouth </w:t>
      </w:r>
      <w:r w:rsidR="00DB15D0" w:rsidRPr="00A72180">
        <w:rPr>
          <w:rFonts w:eastAsiaTheme="minorHAnsi" w:cstheme="minorBidi"/>
          <w:sz w:val="24"/>
          <w:lang w:eastAsia="en-US"/>
        </w:rPr>
        <w:t>or approaching</w:t>
      </w:r>
      <w:r w:rsidR="00E97202" w:rsidRPr="00A72180">
        <w:rPr>
          <w:rFonts w:eastAsiaTheme="minorHAnsi" w:cstheme="minorBidi"/>
          <w:sz w:val="24"/>
          <w:lang w:eastAsia="en-US"/>
        </w:rPr>
        <w:t xml:space="preserve"> </w:t>
      </w:r>
      <w:r w:rsidR="00336E5B" w:rsidRPr="00A72180">
        <w:rPr>
          <w:rFonts w:eastAsiaTheme="minorHAnsi" w:cstheme="minorBidi"/>
          <w:sz w:val="24"/>
          <w:lang w:eastAsia="en-US"/>
        </w:rPr>
        <w:t xml:space="preserve">the </w:t>
      </w:r>
      <w:r w:rsidR="00E97202" w:rsidRPr="00A72180">
        <w:rPr>
          <w:rFonts w:eastAsiaTheme="minorHAnsi" w:cstheme="minorBidi"/>
          <w:sz w:val="24"/>
          <w:lang w:eastAsia="en-US"/>
        </w:rPr>
        <w:t xml:space="preserve">job seeker </w:t>
      </w:r>
      <w:r w:rsidR="008E1CE7">
        <w:rPr>
          <w:rFonts w:eastAsiaTheme="minorHAnsi" w:cstheme="minorBidi"/>
          <w:sz w:val="24"/>
          <w:lang w:eastAsia="en-US"/>
        </w:rPr>
        <w:t>(34 per cent). This was</w:t>
      </w:r>
      <w:r w:rsidR="009168DC" w:rsidRPr="00A72180">
        <w:rPr>
          <w:rFonts w:eastAsiaTheme="minorHAnsi" w:cstheme="minorBidi"/>
          <w:sz w:val="24"/>
          <w:lang w:eastAsia="en-US"/>
        </w:rPr>
        <w:t xml:space="preserve"> </w:t>
      </w:r>
      <w:r w:rsidR="008E1CE7">
        <w:rPr>
          <w:rFonts w:eastAsiaTheme="minorHAnsi" w:cstheme="minorBidi"/>
          <w:sz w:val="24"/>
          <w:lang w:eastAsia="en-US"/>
        </w:rPr>
        <w:t xml:space="preserve">followed by formal recruitment methods including </w:t>
      </w:r>
      <w:r w:rsidR="009168DC" w:rsidRPr="00A72180">
        <w:rPr>
          <w:rFonts w:eastAsiaTheme="minorHAnsi" w:cstheme="minorBidi"/>
          <w:sz w:val="24"/>
          <w:lang w:eastAsia="en-US"/>
        </w:rPr>
        <w:t xml:space="preserve">the internet (24 per cent) </w:t>
      </w:r>
      <w:r w:rsidRPr="00A72180">
        <w:rPr>
          <w:rFonts w:eastAsiaTheme="minorHAnsi" w:cstheme="minorBidi"/>
          <w:sz w:val="24"/>
          <w:lang w:eastAsia="en-US"/>
        </w:rPr>
        <w:t xml:space="preserve">and </w:t>
      </w:r>
      <w:r w:rsidR="00E97202" w:rsidRPr="00A72180">
        <w:rPr>
          <w:rFonts w:eastAsiaTheme="minorHAnsi" w:cstheme="minorBidi"/>
          <w:sz w:val="24"/>
          <w:lang w:eastAsia="en-US"/>
        </w:rPr>
        <w:t xml:space="preserve">advertising in newspapers or magazines </w:t>
      </w:r>
      <w:r w:rsidR="009168DC" w:rsidRPr="00A72180">
        <w:rPr>
          <w:rFonts w:eastAsiaTheme="minorHAnsi" w:cstheme="minorBidi"/>
          <w:sz w:val="24"/>
          <w:lang w:eastAsia="en-US"/>
        </w:rPr>
        <w:t>(23</w:t>
      </w:r>
      <w:r w:rsidR="008E1CE7">
        <w:rPr>
          <w:rFonts w:eastAsiaTheme="minorHAnsi" w:cstheme="minorBidi"/>
          <w:sz w:val="24"/>
          <w:lang w:eastAsia="en-US"/>
        </w:rPr>
        <w:t> </w:t>
      </w:r>
      <w:r w:rsidR="009168DC" w:rsidRPr="00A72180">
        <w:rPr>
          <w:rFonts w:eastAsiaTheme="minorHAnsi" w:cstheme="minorBidi"/>
          <w:sz w:val="24"/>
          <w:lang w:eastAsia="en-US"/>
        </w:rPr>
        <w:t>per cent)</w:t>
      </w:r>
      <w:r w:rsidRPr="00A72180">
        <w:rPr>
          <w:rFonts w:eastAsiaTheme="minorHAnsi" w:cstheme="minorBidi"/>
          <w:sz w:val="24"/>
          <w:lang w:eastAsia="en-US"/>
        </w:rPr>
        <w:t>.</w:t>
      </w:r>
    </w:p>
    <w:p w:rsidR="00393658" w:rsidRDefault="00393658" w:rsidP="00393658">
      <w:pPr>
        <w:spacing w:before="0" w:after="200" w:line="240" w:lineRule="auto"/>
        <w:contextualSpacing/>
        <w:jc w:val="both"/>
        <w:rPr>
          <w:rFonts w:eastAsiaTheme="minorHAnsi" w:cstheme="minorBidi"/>
          <w:sz w:val="24"/>
          <w:lang w:eastAsia="en-US"/>
        </w:rPr>
      </w:pPr>
    </w:p>
    <w:p w:rsidR="007B6B42" w:rsidRPr="006447CF" w:rsidRDefault="002E6E07" w:rsidP="00FF3D92">
      <w:pPr>
        <w:pStyle w:val="RIESbriefreports"/>
        <w:spacing w:before="120" w:line="240" w:lineRule="auto"/>
        <w:rPr>
          <w:szCs w:val="24"/>
        </w:rPr>
      </w:pPr>
      <w:bookmarkStart w:id="74" w:name="_Toc359234152"/>
      <w:r>
        <w:rPr>
          <w:szCs w:val="24"/>
        </w:rPr>
        <w:t>Most job applicants unsuitable</w:t>
      </w:r>
      <w:bookmarkEnd w:id="74"/>
      <w:r w:rsidR="00556EC8">
        <w:rPr>
          <w:szCs w:val="24"/>
        </w:rPr>
        <w:t xml:space="preserve"> </w:t>
      </w:r>
    </w:p>
    <w:p w:rsidR="00CE7D8A" w:rsidRPr="00E901CA" w:rsidRDefault="00535A26" w:rsidP="00CE7D8A">
      <w:pPr>
        <w:spacing w:line="240" w:lineRule="auto"/>
        <w:jc w:val="both"/>
        <w:rPr>
          <w:rFonts w:cstheme="minorHAnsi"/>
          <w:sz w:val="24"/>
        </w:rPr>
      </w:pPr>
      <w:r>
        <w:rPr>
          <w:rFonts w:cstheme="minorHAnsi"/>
          <w:sz w:val="24"/>
        </w:rPr>
        <w:t>Some 78 per cent</w:t>
      </w:r>
      <w:r w:rsidR="00CE7D8A">
        <w:rPr>
          <w:rFonts w:cstheme="minorHAnsi"/>
          <w:sz w:val="24"/>
        </w:rPr>
        <w:t xml:space="preserve"> of all applicants </w:t>
      </w:r>
      <w:r>
        <w:rPr>
          <w:rFonts w:cstheme="minorHAnsi"/>
          <w:sz w:val="24"/>
        </w:rPr>
        <w:t xml:space="preserve">were considered </w:t>
      </w:r>
      <w:r w:rsidR="00CE7D8A" w:rsidRPr="00E901CA">
        <w:rPr>
          <w:rFonts w:cstheme="minorHAnsi"/>
          <w:sz w:val="24"/>
        </w:rPr>
        <w:t>to be uns</w:t>
      </w:r>
      <w:r>
        <w:rPr>
          <w:rFonts w:cstheme="minorHAnsi"/>
          <w:sz w:val="24"/>
        </w:rPr>
        <w:t xml:space="preserve">uitable for the vacancy for which they had applied. This </w:t>
      </w:r>
      <w:r w:rsidR="00AB07D9">
        <w:rPr>
          <w:rFonts w:cstheme="minorHAnsi"/>
          <w:sz w:val="24"/>
        </w:rPr>
        <w:t>was higher t</w:t>
      </w:r>
      <w:r w:rsidR="00EF35A0">
        <w:rPr>
          <w:rFonts w:cstheme="minorHAnsi"/>
          <w:sz w:val="24"/>
        </w:rPr>
        <w:t>han for all regions surveyed (72</w:t>
      </w:r>
      <w:r w:rsidR="00AB07D9">
        <w:rPr>
          <w:rFonts w:cstheme="minorHAnsi"/>
          <w:sz w:val="24"/>
        </w:rPr>
        <w:t xml:space="preserve"> per cent). </w:t>
      </w:r>
    </w:p>
    <w:p w:rsidR="00CE7D8A" w:rsidRPr="00A72180" w:rsidRDefault="00CE7D8A" w:rsidP="00CE7D8A">
      <w:pPr>
        <w:numPr>
          <w:ilvl w:val="0"/>
          <w:numId w:val="43"/>
        </w:numPr>
        <w:spacing w:line="240" w:lineRule="auto"/>
        <w:ind w:left="721" w:hanging="437"/>
        <w:contextualSpacing/>
        <w:jc w:val="both"/>
        <w:rPr>
          <w:rFonts w:eastAsiaTheme="minorHAnsi" w:cstheme="minorBidi"/>
          <w:sz w:val="24"/>
          <w:lang w:eastAsia="en-US"/>
        </w:rPr>
      </w:pPr>
      <w:r w:rsidRPr="00A72180">
        <w:rPr>
          <w:rFonts w:eastAsiaTheme="minorHAnsi" w:cstheme="minorBidi"/>
          <w:sz w:val="24"/>
          <w:lang w:eastAsia="en-US"/>
        </w:rPr>
        <w:t>The most common reasons were a lack of experience to perform the duties of the job (65 per cent</w:t>
      </w:r>
      <w:r w:rsidR="00535A26">
        <w:rPr>
          <w:rFonts w:eastAsiaTheme="minorHAnsi" w:cstheme="minorBidi"/>
          <w:sz w:val="24"/>
          <w:lang w:eastAsia="en-US"/>
        </w:rPr>
        <w:t xml:space="preserve"> of employers who reported unsuitable applicants</w:t>
      </w:r>
      <w:r w:rsidRPr="00A72180">
        <w:rPr>
          <w:rFonts w:eastAsiaTheme="minorHAnsi" w:cstheme="minorBidi"/>
          <w:sz w:val="24"/>
          <w:lang w:eastAsia="en-US"/>
        </w:rPr>
        <w:t>), lack of employability skills and personal characteristics (47 per cent) and insufficient qualifications or training (27 per cent).</w:t>
      </w:r>
    </w:p>
    <w:p w:rsidR="00336E5B" w:rsidRPr="00467BA1" w:rsidRDefault="00336E5B" w:rsidP="00CE7D8A">
      <w:pPr>
        <w:spacing w:before="240" w:line="240" w:lineRule="auto"/>
        <w:jc w:val="both"/>
        <w:rPr>
          <w:rFonts w:cstheme="minorHAnsi"/>
          <w:sz w:val="24"/>
        </w:rPr>
      </w:pPr>
      <w:r w:rsidRPr="00467BA1">
        <w:rPr>
          <w:rFonts w:cstheme="minorHAnsi"/>
          <w:sz w:val="24"/>
        </w:rPr>
        <w:t xml:space="preserve">In line with subdued recruitment activity, the average number of applicants </w:t>
      </w:r>
      <w:r w:rsidR="002E6E07">
        <w:rPr>
          <w:rFonts w:cstheme="minorHAnsi"/>
          <w:sz w:val="24"/>
        </w:rPr>
        <w:t xml:space="preserve">per vacancy </w:t>
      </w:r>
      <w:r w:rsidR="00535A26">
        <w:rPr>
          <w:rFonts w:cstheme="minorHAnsi"/>
          <w:sz w:val="24"/>
        </w:rPr>
        <w:t>was high in the</w:t>
      </w:r>
      <w:r w:rsidRPr="00467BA1">
        <w:rPr>
          <w:rFonts w:cstheme="minorHAnsi"/>
          <w:sz w:val="24"/>
        </w:rPr>
        <w:t xml:space="preserve"> most recent recruitment round (8.5 applicants per vacancy) and had increased since 2011 (6.4 applicants per vacancy). However, the average number of suitab</w:t>
      </w:r>
      <w:r w:rsidR="002E6E07">
        <w:rPr>
          <w:rFonts w:cstheme="minorHAnsi"/>
          <w:sz w:val="24"/>
        </w:rPr>
        <w:t xml:space="preserve">le applicants per vacancy </w:t>
      </w:r>
      <w:r w:rsidRPr="00467BA1">
        <w:rPr>
          <w:rFonts w:cstheme="minorHAnsi"/>
          <w:sz w:val="24"/>
        </w:rPr>
        <w:t>remained low (1.9).</w:t>
      </w:r>
    </w:p>
    <w:p w:rsidR="00DB4942" w:rsidRPr="00A72180" w:rsidRDefault="00336E5B" w:rsidP="00A72180">
      <w:pPr>
        <w:numPr>
          <w:ilvl w:val="0"/>
          <w:numId w:val="43"/>
        </w:numPr>
        <w:spacing w:before="0" w:line="240" w:lineRule="auto"/>
        <w:ind w:left="721" w:hanging="437"/>
        <w:contextualSpacing/>
        <w:jc w:val="both"/>
        <w:rPr>
          <w:rFonts w:eastAsiaTheme="minorHAnsi" w:cstheme="minorBidi"/>
          <w:sz w:val="24"/>
          <w:lang w:eastAsia="en-US"/>
        </w:rPr>
      </w:pPr>
      <w:bookmarkStart w:id="75" w:name="_Ref263941771"/>
      <w:r w:rsidRPr="00A72180">
        <w:rPr>
          <w:rFonts w:eastAsiaTheme="minorHAnsi" w:cstheme="minorBidi"/>
          <w:sz w:val="24"/>
          <w:lang w:eastAsia="en-US"/>
        </w:rPr>
        <w:t>Employers recruiting for Technicians and Trade Workers had little choice of applicants with an av</w:t>
      </w:r>
      <w:r w:rsidR="009A741D">
        <w:rPr>
          <w:rFonts w:eastAsiaTheme="minorHAnsi" w:cstheme="minorBidi"/>
          <w:sz w:val="24"/>
          <w:lang w:eastAsia="en-US"/>
        </w:rPr>
        <w:t xml:space="preserve">erage of 2.1 </w:t>
      </w:r>
      <w:r w:rsidR="008C38F4">
        <w:rPr>
          <w:rFonts w:eastAsiaTheme="minorHAnsi" w:cstheme="minorBidi"/>
          <w:sz w:val="24"/>
          <w:lang w:eastAsia="en-US"/>
        </w:rPr>
        <w:t>applicants of who</w:t>
      </w:r>
      <w:r w:rsidRPr="00A72180">
        <w:rPr>
          <w:rFonts w:eastAsiaTheme="minorHAnsi" w:cstheme="minorBidi"/>
          <w:sz w:val="24"/>
          <w:lang w:eastAsia="en-US"/>
        </w:rPr>
        <w:t xml:space="preserve"> only 1.2 were considered suitable.</w:t>
      </w:r>
      <w:r w:rsidR="00DB4942" w:rsidRPr="00A72180">
        <w:rPr>
          <w:rFonts w:eastAsiaTheme="minorHAnsi" w:cstheme="minorBidi"/>
          <w:sz w:val="24"/>
          <w:lang w:eastAsia="en-US"/>
        </w:rPr>
        <w:t xml:space="preserve"> </w:t>
      </w:r>
    </w:p>
    <w:p w:rsidR="007B6B42" w:rsidRPr="00AE787C" w:rsidRDefault="00BF5BBA" w:rsidP="000A0FB9">
      <w:pPr>
        <w:pStyle w:val="RIESbriefreports"/>
        <w:spacing w:before="120" w:line="240" w:lineRule="auto"/>
        <w:rPr>
          <w:szCs w:val="24"/>
        </w:rPr>
      </w:pPr>
      <w:bookmarkStart w:id="76" w:name="_Toc329769416"/>
      <w:bookmarkStart w:id="77" w:name="_Toc359234153"/>
      <w:bookmarkEnd w:id="75"/>
      <w:r>
        <w:rPr>
          <w:szCs w:val="24"/>
        </w:rPr>
        <w:lastRenderedPageBreak/>
        <w:t xml:space="preserve">Future </w:t>
      </w:r>
      <w:r w:rsidR="007B6B42" w:rsidRPr="00AE787C">
        <w:rPr>
          <w:szCs w:val="24"/>
        </w:rPr>
        <w:t xml:space="preserve">Recruitment </w:t>
      </w:r>
      <w:bookmarkEnd w:id="76"/>
      <w:r w:rsidR="007B6B42" w:rsidRPr="00AE787C">
        <w:rPr>
          <w:szCs w:val="24"/>
        </w:rPr>
        <w:t xml:space="preserve">Expectations </w:t>
      </w:r>
      <w:r w:rsidR="00556EC8">
        <w:rPr>
          <w:szCs w:val="24"/>
        </w:rPr>
        <w:t>Subdued</w:t>
      </w:r>
      <w:bookmarkEnd w:id="77"/>
    </w:p>
    <w:p w:rsidR="002900B5" w:rsidRPr="00467BA1" w:rsidRDefault="00DB15D0" w:rsidP="003B35E9">
      <w:pPr>
        <w:spacing w:before="240" w:line="240" w:lineRule="auto"/>
        <w:jc w:val="both"/>
        <w:rPr>
          <w:rFonts w:cstheme="minorHAnsi"/>
          <w:sz w:val="24"/>
        </w:rPr>
      </w:pPr>
      <w:r>
        <w:rPr>
          <w:rFonts w:cstheme="minorHAnsi"/>
          <w:sz w:val="24"/>
        </w:rPr>
        <w:t>E</w:t>
      </w:r>
      <w:r w:rsidR="002900B5" w:rsidRPr="00467BA1">
        <w:rPr>
          <w:rFonts w:cstheme="minorHAnsi"/>
          <w:sz w:val="24"/>
        </w:rPr>
        <w:t xml:space="preserve">xpectations for the year following the survey </w:t>
      </w:r>
      <w:r w:rsidR="002B0E8C">
        <w:rPr>
          <w:rFonts w:cstheme="minorHAnsi"/>
          <w:sz w:val="24"/>
        </w:rPr>
        <w:t xml:space="preserve">remain subdued, </w:t>
      </w:r>
      <w:r w:rsidR="002900B5" w:rsidRPr="00467BA1">
        <w:rPr>
          <w:rFonts w:cstheme="minorHAnsi"/>
          <w:sz w:val="24"/>
        </w:rPr>
        <w:t>suggest</w:t>
      </w:r>
      <w:r w:rsidR="002B0E8C">
        <w:rPr>
          <w:rFonts w:cstheme="minorHAnsi"/>
          <w:sz w:val="24"/>
        </w:rPr>
        <w:t>ing</w:t>
      </w:r>
      <w:r w:rsidR="002900B5" w:rsidRPr="00467BA1">
        <w:rPr>
          <w:rFonts w:cstheme="minorHAnsi"/>
          <w:sz w:val="24"/>
        </w:rPr>
        <w:t xml:space="preserve"> a continuing decline in recruitment </w:t>
      </w:r>
      <w:r w:rsidR="002E6E07">
        <w:rPr>
          <w:rFonts w:cstheme="minorHAnsi"/>
          <w:sz w:val="24"/>
        </w:rPr>
        <w:t>activity</w:t>
      </w:r>
      <w:r w:rsidR="003B35E9">
        <w:rPr>
          <w:rFonts w:cstheme="minorHAnsi"/>
          <w:sz w:val="24"/>
        </w:rPr>
        <w:t>. Less than one third of employers (32 per cent) expected to recruit</w:t>
      </w:r>
      <w:r w:rsidR="002900B5" w:rsidRPr="00467BA1">
        <w:rPr>
          <w:rFonts w:cstheme="minorHAnsi"/>
          <w:sz w:val="24"/>
        </w:rPr>
        <w:t xml:space="preserve"> staff</w:t>
      </w:r>
      <w:r w:rsidR="00EF35A0">
        <w:rPr>
          <w:rFonts w:cstheme="minorHAnsi"/>
          <w:sz w:val="24"/>
        </w:rPr>
        <w:t xml:space="preserve"> </w:t>
      </w:r>
      <w:r w:rsidR="003B35E9">
        <w:rPr>
          <w:rFonts w:cstheme="minorHAnsi"/>
          <w:sz w:val="24"/>
        </w:rPr>
        <w:t xml:space="preserve">in the next year, compared with </w:t>
      </w:r>
      <w:r w:rsidR="00EF35A0">
        <w:rPr>
          <w:rFonts w:cstheme="minorHAnsi"/>
          <w:sz w:val="24"/>
        </w:rPr>
        <w:t>37</w:t>
      </w:r>
      <w:r w:rsidR="003B35E9">
        <w:rPr>
          <w:rFonts w:cstheme="minorHAnsi"/>
          <w:sz w:val="24"/>
        </w:rPr>
        <w:t xml:space="preserve"> per cent in the 2011 survey. </w:t>
      </w:r>
      <w:r w:rsidR="002900B5" w:rsidRPr="00467BA1">
        <w:rPr>
          <w:rFonts w:cstheme="minorHAnsi"/>
          <w:sz w:val="24"/>
        </w:rPr>
        <w:t xml:space="preserve">The proportion of employers expecting to recruit to increase staff (15 per cent) had also declined considerably since the previous survey (25 per cent). </w:t>
      </w:r>
    </w:p>
    <w:p w:rsidR="002900B5" w:rsidRPr="00A72180" w:rsidRDefault="002900B5" w:rsidP="00A72180">
      <w:pPr>
        <w:numPr>
          <w:ilvl w:val="0"/>
          <w:numId w:val="43"/>
        </w:numPr>
        <w:spacing w:before="0" w:after="200" w:line="240" w:lineRule="auto"/>
        <w:ind w:hanging="436"/>
        <w:contextualSpacing/>
        <w:jc w:val="both"/>
        <w:rPr>
          <w:rFonts w:eastAsiaTheme="minorHAnsi" w:cstheme="minorBidi"/>
          <w:sz w:val="24"/>
          <w:lang w:eastAsia="en-US"/>
        </w:rPr>
      </w:pPr>
      <w:r w:rsidRPr="00A72180">
        <w:rPr>
          <w:rFonts w:eastAsiaTheme="minorHAnsi" w:cstheme="minorBidi"/>
          <w:sz w:val="24"/>
          <w:lang w:eastAsia="en-US"/>
        </w:rPr>
        <w:t>Future recruitment expectations were highest in the Health Care and Social Assistance industry</w:t>
      </w:r>
      <w:r w:rsidR="009A741D">
        <w:rPr>
          <w:rFonts w:eastAsiaTheme="minorHAnsi" w:cstheme="minorBidi"/>
          <w:sz w:val="24"/>
          <w:lang w:eastAsia="en-US"/>
        </w:rPr>
        <w:t>,</w:t>
      </w:r>
      <w:r w:rsidRPr="00A72180">
        <w:rPr>
          <w:rFonts w:eastAsiaTheme="minorHAnsi" w:cstheme="minorBidi"/>
          <w:sz w:val="24"/>
          <w:lang w:eastAsia="en-US"/>
        </w:rPr>
        <w:t xml:space="preserve"> with 49 per cent of surveyed employers expecting to recruit staff.</w:t>
      </w:r>
      <w:r w:rsidR="00A72180" w:rsidRPr="00A72180">
        <w:rPr>
          <w:rFonts w:eastAsiaTheme="minorHAnsi" w:cstheme="minorBidi"/>
          <w:sz w:val="24"/>
          <w:lang w:eastAsia="en-US"/>
        </w:rPr>
        <w:t xml:space="preserve"> Some 43 per cent of surveyed employers in the Accommodation and Food Services industry also anticipated recruiting.</w:t>
      </w:r>
    </w:p>
    <w:p w:rsidR="002900B5" w:rsidRPr="00A72180" w:rsidRDefault="002900B5" w:rsidP="00A72180">
      <w:pPr>
        <w:numPr>
          <w:ilvl w:val="0"/>
          <w:numId w:val="43"/>
        </w:numPr>
        <w:spacing w:before="0" w:after="200" w:line="240" w:lineRule="auto"/>
        <w:ind w:hanging="436"/>
        <w:contextualSpacing/>
        <w:jc w:val="both"/>
        <w:rPr>
          <w:rFonts w:eastAsiaTheme="minorHAnsi" w:cstheme="minorBidi"/>
          <w:sz w:val="24"/>
          <w:lang w:eastAsia="en-US"/>
        </w:rPr>
      </w:pPr>
      <w:r w:rsidRPr="00A72180">
        <w:rPr>
          <w:rFonts w:eastAsiaTheme="minorHAnsi" w:cstheme="minorBidi"/>
          <w:sz w:val="24"/>
          <w:lang w:eastAsia="en-US"/>
        </w:rPr>
        <w:t>Plans to recru</w:t>
      </w:r>
      <w:r w:rsidR="002E6E07" w:rsidRPr="00A72180">
        <w:rPr>
          <w:rFonts w:eastAsiaTheme="minorHAnsi" w:cstheme="minorBidi"/>
          <w:sz w:val="24"/>
          <w:lang w:eastAsia="en-US"/>
        </w:rPr>
        <w:t>it to increase staff numbers were</w:t>
      </w:r>
      <w:r w:rsidRPr="00A72180">
        <w:rPr>
          <w:rFonts w:eastAsiaTheme="minorHAnsi" w:cstheme="minorBidi"/>
          <w:sz w:val="24"/>
          <w:lang w:eastAsia="en-US"/>
        </w:rPr>
        <w:t xml:space="preserve"> highest in the Manufacturing and Accommodation and Foo</w:t>
      </w:r>
      <w:r w:rsidR="002E6E07" w:rsidRPr="00A72180">
        <w:rPr>
          <w:rFonts w:eastAsiaTheme="minorHAnsi" w:cstheme="minorBidi"/>
          <w:sz w:val="24"/>
          <w:lang w:eastAsia="en-US"/>
        </w:rPr>
        <w:t>d Services industries.</w:t>
      </w:r>
    </w:p>
    <w:p w:rsidR="009168DC" w:rsidRPr="00467BA1" w:rsidRDefault="009168DC" w:rsidP="006A67B3">
      <w:pPr>
        <w:spacing w:before="240" w:line="240" w:lineRule="auto"/>
        <w:jc w:val="both"/>
        <w:rPr>
          <w:rFonts w:cstheme="minorHAnsi"/>
          <w:sz w:val="24"/>
        </w:rPr>
      </w:pPr>
      <w:bookmarkStart w:id="78" w:name="_Ref263941891"/>
      <w:r w:rsidRPr="00467BA1">
        <w:rPr>
          <w:rFonts w:cstheme="minorHAnsi"/>
          <w:sz w:val="24"/>
        </w:rPr>
        <w:t xml:space="preserve">Fewer employers in </w:t>
      </w:r>
      <w:r w:rsidR="002E6E07">
        <w:rPr>
          <w:rFonts w:cstheme="minorHAnsi"/>
          <w:sz w:val="24"/>
        </w:rPr>
        <w:t>the region (13 per cent) intended</w:t>
      </w:r>
      <w:r w:rsidRPr="00467BA1">
        <w:rPr>
          <w:rFonts w:cstheme="minorHAnsi"/>
          <w:sz w:val="24"/>
        </w:rPr>
        <w:t xml:space="preserve"> to recruit an apprentice or trainee</w:t>
      </w:r>
      <w:r w:rsidR="002E6E07">
        <w:rPr>
          <w:rFonts w:cstheme="minorHAnsi"/>
          <w:sz w:val="24"/>
        </w:rPr>
        <w:t xml:space="preserve"> in the year</w:t>
      </w:r>
      <w:r w:rsidRPr="00467BA1">
        <w:rPr>
          <w:rFonts w:cstheme="minorHAnsi"/>
          <w:sz w:val="24"/>
        </w:rPr>
        <w:t xml:space="preserve"> following the survey, compared with 21 per cent for all regions surveyed. </w:t>
      </w:r>
    </w:p>
    <w:bookmarkEnd w:id="78"/>
    <w:p w:rsidR="00665E2B" w:rsidRPr="00467BA1" w:rsidRDefault="008116EF" w:rsidP="00202A71">
      <w:pPr>
        <w:spacing w:line="240" w:lineRule="auto"/>
        <w:jc w:val="both"/>
        <w:rPr>
          <w:rFonts w:cstheme="minorHAnsi"/>
          <w:sz w:val="24"/>
        </w:rPr>
      </w:pPr>
      <w:r>
        <w:rPr>
          <w:rFonts w:cstheme="minorHAnsi"/>
          <w:sz w:val="24"/>
        </w:rPr>
        <w:t>E</w:t>
      </w:r>
      <w:r w:rsidR="00B71C39" w:rsidRPr="00467BA1">
        <w:rPr>
          <w:rFonts w:cstheme="minorHAnsi"/>
          <w:sz w:val="24"/>
        </w:rPr>
        <w:t>mployers</w:t>
      </w:r>
      <w:r>
        <w:rPr>
          <w:rFonts w:cstheme="minorHAnsi"/>
          <w:sz w:val="24"/>
        </w:rPr>
        <w:t xml:space="preserve">, however, </w:t>
      </w:r>
      <w:r w:rsidR="000F7A58">
        <w:rPr>
          <w:rFonts w:cstheme="minorHAnsi"/>
          <w:sz w:val="24"/>
        </w:rPr>
        <w:t>still</w:t>
      </w:r>
      <w:r w:rsidR="00B71C39" w:rsidRPr="00467BA1">
        <w:rPr>
          <w:rFonts w:cstheme="minorHAnsi"/>
          <w:sz w:val="24"/>
        </w:rPr>
        <w:t xml:space="preserve"> expected to recruit for a range</w:t>
      </w:r>
      <w:r w:rsidR="00AB07D9">
        <w:rPr>
          <w:rFonts w:cstheme="minorHAnsi"/>
          <w:sz w:val="24"/>
        </w:rPr>
        <w:t xml:space="preserve"> of occupations in the year</w:t>
      </w:r>
      <w:r w:rsidR="00B71C39" w:rsidRPr="00467BA1">
        <w:rPr>
          <w:rFonts w:cstheme="minorHAnsi"/>
          <w:sz w:val="24"/>
        </w:rPr>
        <w:t xml:space="preserve"> following the survey</w:t>
      </w:r>
      <w:r w:rsidR="002E6E07">
        <w:rPr>
          <w:rFonts w:cstheme="minorHAnsi"/>
          <w:sz w:val="24"/>
        </w:rPr>
        <w:t>,</w:t>
      </w:r>
      <w:r w:rsidR="00B71C39" w:rsidRPr="00467BA1">
        <w:rPr>
          <w:rFonts w:cstheme="minorHAnsi"/>
          <w:sz w:val="24"/>
        </w:rPr>
        <w:t xml:space="preserve"> including </w:t>
      </w:r>
      <w:r w:rsidR="00986538" w:rsidRPr="00467BA1">
        <w:rPr>
          <w:rFonts w:cstheme="minorHAnsi"/>
          <w:sz w:val="24"/>
        </w:rPr>
        <w:t xml:space="preserve">Sales Assistants (General), </w:t>
      </w:r>
      <w:r w:rsidR="00B71C39" w:rsidRPr="00467BA1">
        <w:rPr>
          <w:rFonts w:cstheme="minorHAnsi"/>
          <w:sz w:val="24"/>
        </w:rPr>
        <w:t>General Clerks, Child Carers, Motor Mechanics, Accountants and Kitchenhands.</w:t>
      </w:r>
    </w:p>
    <w:p w:rsidR="002E6E07" w:rsidRDefault="002E6E07" w:rsidP="002E6E07">
      <w:pPr>
        <w:pStyle w:val="RIESbriefreports"/>
        <w:spacing w:before="120" w:line="240" w:lineRule="auto"/>
        <w:rPr>
          <w:szCs w:val="24"/>
        </w:rPr>
      </w:pPr>
    </w:p>
    <w:p w:rsidR="007B6B42" w:rsidRPr="00AE787C" w:rsidRDefault="007B6B42" w:rsidP="002E6E07">
      <w:pPr>
        <w:pStyle w:val="RIESbriefreports"/>
        <w:spacing w:before="120" w:line="240" w:lineRule="auto"/>
        <w:rPr>
          <w:szCs w:val="24"/>
        </w:rPr>
      </w:pPr>
      <w:bookmarkStart w:id="79" w:name="_Toc359234154"/>
      <w:r w:rsidRPr="00AE787C">
        <w:rPr>
          <w:szCs w:val="24"/>
        </w:rPr>
        <w:t>Opportunities</w:t>
      </w:r>
      <w:bookmarkEnd w:id="79"/>
    </w:p>
    <w:p w:rsidR="00ED58D3" w:rsidRDefault="005252F4" w:rsidP="00ED58D3">
      <w:pPr>
        <w:spacing w:line="240" w:lineRule="auto"/>
        <w:jc w:val="both"/>
        <w:rPr>
          <w:rFonts w:cstheme="minorHAnsi"/>
          <w:sz w:val="24"/>
        </w:rPr>
      </w:pPr>
      <w:r>
        <w:rPr>
          <w:rFonts w:cstheme="minorHAnsi"/>
          <w:sz w:val="24"/>
        </w:rPr>
        <w:t>Surveyed e</w:t>
      </w:r>
      <w:r w:rsidR="00ED58D3" w:rsidRPr="007C073B">
        <w:rPr>
          <w:rFonts w:cstheme="minorHAnsi"/>
          <w:sz w:val="24"/>
        </w:rPr>
        <w:t>mployers r</w:t>
      </w:r>
      <w:r w:rsidR="00ED58D3">
        <w:rPr>
          <w:rFonts w:cstheme="minorHAnsi"/>
          <w:sz w:val="24"/>
        </w:rPr>
        <w:t xml:space="preserve">eported that </w:t>
      </w:r>
      <w:r w:rsidR="00756CD1">
        <w:rPr>
          <w:rFonts w:cstheme="minorHAnsi"/>
          <w:sz w:val="24"/>
        </w:rPr>
        <w:t>more than three quarters of all applicants were unsuitable for the job. A</w:t>
      </w:r>
      <w:r w:rsidR="00ED58D3">
        <w:rPr>
          <w:rFonts w:cstheme="minorHAnsi"/>
          <w:sz w:val="24"/>
        </w:rPr>
        <w:t xml:space="preserve"> lack of experience and</w:t>
      </w:r>
      <w:r w:rsidR="00ED58D3" w:rsidRPr="007C073B">
        <w:rPr>
          <w:rFonts w:cstheme="minorHAnsi"/>
          <w:sz w:val="24"/>
        </w:rPr>
        <w:t xml:space="preserve"> skills for the job were the most common reasons for applicant unsuitab</w:t>
      </w:r>
      <w:r w:rsidR="00756CD1">
        <w:rPr>
          <w:rFonts w:cstheme="minorHAnsi"/>
          <w:sz w:val="24"/>
        </w:rPr>
        <w:t>ility. Increasing opportunities for ap</w:t>
      </w:r>
      <w:r w:rsidR="00756CD1" w:rsidRPr="007C073B">
        <w:rPr>
          <w:rFonts w:cstheme="minorHAnsi"/>
          <w:sz w:val="24"/>
        </w:rPr>
        <w:t>prentice</w:t>
      </w:r>
      <w:r w:rsidR="00756CD1">
        <w:rPr>
          <w:rFonts w:cstheme="minorHAnsi"/>
          <w:sz w:val="24"/>
        </w:rPr>
        <w:t>ships,</w:t>
      </w:r>
      <w:r w:rsidR="00756CD1" w:rsidRPr="007C073B">
        <w:rPr>
          <w:rFonts w:cstheme="minorHAnsi"/>
          <w:sz w:val="24"/>
        </w:rPr>
        <w:t xml:space="preserve"> trainee</w:t>
      </w:r>
      <w:r w:rsidR="00756CD1">
        <w:rPr>
          <w:rFonts w:cstheme="minorHAnsi"/>
          <w:sz w:val="24"/>
        </w:rPr>
        <w:t xml:space="preserve">ships and work experience </w:t>
      </w:r>
      <w:r w:rsidR="003F5B58">
        <w:rPr>
          <w:rFonts w:cstheme="minorHAnsi"/>
          <w:sz w:val="24"/>
        </w:rPr>
        <w:t xml:space="preserve">in the region </w:t>
      </w:r>
      <w:r w:rsidR="006A7A35">
        <w:rPr>
          <w:rFonts w:cstheme="minorHAnsi"/>
          <w:sz w:val="24"/>
        </w:rPr>
        <w:t>may help to address this concern</w:t>
      </w:r>
      <w:r w:rsidR="00305A17">
        <w:rPr>
          <w:rFonts w:cstheme="minorHAnsi"/>
          <w:sz w:val="24"/>
        </w:rPr>
        <w:t xml:space="preserve"> and assist with future skilled </w:t>
      </w:r>
      <w:r w:rsidR="003F5B58">
        <w:rPr>
          <w:rFonts w:cstheme="minorHAnsi"/>
          <w:sz w:val="24"/>
        </w:rPr>
        <w:t>labour supply</w:t>
      </w:r>
      <w:r w:rsidR="00305A17">
        <w:rPr>
          <w:rFonts w:cstheme="minorHAnsi"/>
          <w:sz w:val="24"/>
        </w:rPr>
        <w:t>.</w:t>
      </w:r>
    </w:p>
    <w:p w:rsidR="00756CD1" w:rsidRPr="00DB15D0" w:rsidRDefault="00756CD1" w:rsidP="00756CD1">
      <w:pPr>
        <w:spacing w:line="240" w:lineRule="auto"/>
        <w:jc w:val="both"/>
        <w:rPr>
          <w:rFonts w:cstheme="minorHAnsi"/>
          <w:sz w:val="24"/>
        </w:rPr>
      </w:pPr>
      <w:r>
        <w:rPr>
          <w:rFonts w:cstheme="minorHAnsi"/>
          <w:sz w:val="24"/>
        </w:rPr>
        <w:t>Most employers recruiting for Managers and Pro</w:t>
      </w:r>
      <w:r w:rsidR="006A7A35">
        <w:rPr>
          <w:rFonts w:cstheme="minorHAnsi"/>
          <w:sz w:val="24"/>
        </w:rPr>
        <w:t xml:space="preserve">fessionals reported </w:t>
      </w:r>
      <w:r w:rsidR="00C32B7D">
        <w:rPr>
          <w:rFonts w:cstheme="minorHAnsi"/>
          <w:sz w:val="24"/>
        </w:rPr>
        <w:t xml:space="preserve">recruitment </w:t>
      </w:r>
      <w:r>
        <w:rPr>
          <w:rFonts w:cstheme="minorHAnsi"/>
          <w:sz w:val="24"/>
        </w:rPr>
        <w:t xml:space="preserve">difficulty and </w:t>
      </w:r>
      <w:r w:rsidR="006A7A35">
        <w:rPr>
          <w:rFonts w:cstheme="minorHAnsi"/>
          <w:sz w:val="24"/>
        </w:rPr>
        <w:t xml:space="preserve">that </w:t>
      </w:r>
      <w:r>
        <w:rPr>
          <w:rFonts w:cstheme="minorHAnsi"/>
          <w:sz w:val="24"/>
        </w:rPr>
        <w:t>a high p</w:t>
      </w:r>
      <w:r w:rsidR="006A7A35">
        <w:rPr>
          <w:rFonts w:cstheme="minorHAnsi"/>
          <w:sz w:val="24"/>
        </w:rPr>
        <w:t>roportion of vacancies remained</w:t>
      </w:r>
      <w:r>
        <w:rPr>
          <w:rFonts w:cstheme="minorHAnsi"/>
          <w:sz w:val="24"/>
        </w:rPr>
        <w:t xml:space="preserve"> unfilled. </w:t>
      </w:r>
      <w:r w:rsidR="002F3F17">
        <w:rPr>
          <w:rFonts w:cstheme="minorHAnsi"/>
          <w:sz w:val="24"/>
        </w:rPr>
        <w:t xml:space="preserve">This indicates that higher skilled opportunities </w:t>
      </w:r>
      <w:r w:rsidR="00305A17">
        <w:rPr>
          <w:rFonts w:cstheme="minorHAnsi"/>
          <w:sz w:val="24"/>
        </w:rPr>
        <w:t>exist for j</w:t>
      </w:r>
      <w:r w:rsidR="002F3F17">
        <w:rPr>
          <w:rFonts w:cstheme="minorHAnsi"/>
          <w:sz w:val="24"/>
        </w:rPr>
        <w:t>ob seekers with the right qualifications</w:t>
      </w:r>
      <w:r w:rsidR="00305A17">
        <w:rPr>
          <w:rFonts w:cstheme="minorHAnsi"/>
          <w:sz w:val="24"/>
        </w:rPr>
        <w:t xml:space="preserve"> and experience. </w:t>
      </w:r>
      <w:r w:rsidR="00E84D99">
        <w:rPr>
          <w:rFonts w:cstheme="minorHAnsi"/>
          <w:sz w:val="24"/>
        </w:rPr>
        <w:t>To increase their chances of finding suitable applicants e</w:t>
      </w:r>
      <w:r>
        <w:rPr>
          <w:rFonts w:cstheme="minorHAnsi"/>
          <w:sz w:val="24"/>
        </w:rPr>
        <w:t xml:space="preserve">mployers </w:t>
      </w:r>
      <w:r w:rsidRPr="00467BA1">
        <w:rPr>
          <w:rFonts w:cstheme="minorHAnsi"/>
          <w:sz w:val="24"/>
        </w:rPr>
        <w:t>may need to consider wider reaching m</w:t>
      </w:r>
      <w:r w:rsidR="00E84D99">
        <w:rPr>
          <w:rFonts w:cstheme="minorHAnsi"/>
          <w:sz w:val="24"/>
        </w:rPr>
        <w:t>ethods of recruitment</w:t>
      </w:r>
      <w:r>
        <w:rPr>
          <w:rFonts w:cstheme="minorHAnsi"/>
          <w:sz w:val="24"/>
        </w:rPr>
        <w:t xml:space="preserve">. </w:t>
      </w:r>
    </w:p>
    <w:p w:rsidR="005252F4" w:rsidRPr="00467BA1" w:rsidRDefault="00E84D99" w:rsidP="00AD68A5">
      <w:pPr>
        <w:spacing w:line="240" w:lineRule="auto"/>
        <w:jc w:val="both"/>
        <w:rPr>
          <w:rFonts w:cstheme="minorHAnsi"/>
          <w:sz w:val="24"/>
        </w:rPr>
      </w:pPr>
      <w:r>
        <w:rPr>
          <w:rFonts w:cstheme="minorHAnsi"/>
          <w:sz w:val="24"/>
        </w:rPr>
        <w:t xml:space="preserve">Despite the subdued outlook, the </w:t>
      </w:r>
      <w:r w:rsidR="006A7A35">
        <w:rPr>
          <w:rFonts w:cstheme="minorHAnsi"/>
          <w:sz w:val="24"/>
        </w:rPr>
        <w:t xml:space="preserve">survey results </w:t>
      </w:r>
      <w:r>
        <w:rPr>
          <w:rFonts w:cstheme="minorHAnsi"/>
          <w:sz w:val="24"/>
        </w:rPr>
        <w:t xml:space="preserve">also </w:t>
      </w:r>
      <w:r w:rsidR="006A7A35">
        <w:rPr>
          <w:rFonts w:cstheme="minorHAnsi"/>
          <w:sz w:val="24"/>
        </w:rPr>
        <w:t xml:space="preserve">highlight that </w:t>
      </w:r>
      <w:r w:rsidR="00756CD1">
        <w:rPr>
          <w:rFonts w:cstheme="minorHAnsi"/>
          <w:sz w:val="24"/>
        </w:rPr>
        <w:t xml:space="preserve">a </w:t>
      </w:r>
      <w:r w:rsidR="00212354">
        <w:rPr>
          <w:rFonts w:cstheme="minorHAnsi"/>
          <w:sz w:val="24"/>
        </w:rPr>
        <w:t xml:space="preserve">wide </w:t>
      </w:r>
      <w:r w:rsidR="00756CD1">
        <w:rPr>
          <w:rFonts w:cstheme="minorHAnsi"/>
          <w:sz w:val="24"/>
        </w:rPr>
        <w:t xml:space="preserve">range of employment </w:t>
      </w:r>
      <w:r w:rsidR="005252F4">
        <w:rPr>
          <w:rFonts w:cstheme="minorHAnsi"/>
          <w:sz w:val="24"/>
        </w:rPr>
        <w:t>opportunities</w:t>
      </w:r>
      <w:r w:rsidR="00756CD1">
        <w:rPr>
          <w:rFonts w:cstheme="minorHAnsi"/>
          <w:sz w:val="24"/>
        </w:rPr>
        <w:t xml:space="preserve"> still exist</w:t>
      </w:r>
      <w:r w:rsidR="002B0E8C">
        <w:rPr>
          <w:rFonts w:cstheme="minorHAnsi"/>
          <w:sz w:val="24"/>
        </w:rPr>
        <w:t>s</w:t>
      </w:r>
      <w:r w:rsidR="00756CD1">
        <w:rPr>
          <w:rFonts w:cstheme="minorHAnsi"/>
          <w:sz w:val="24"/>
        </w:rPr>
        <w:t xml:space="preserve"> </w:t>
      </w:r>
      <w:r w:rsidR="005252F4">
        <w:rPr>
          <w:rFonts w:cstheme="minorHAnsi"/>
          <w:sz w:val="24"/>
        </w:rPr>
        <w:t>in the region.</w:t>
      </w:r>
      <w:r w:rsidR="00AD68A5">
        <w:rPr>
          <w:rFonts w:cstheme="minorHAnsi"/>
          <w:sz w:val="24"/>
        </w:rPr>
        <w:t xml:space="preserve"> </w:t>
      </w:r>
      <w:r w:rsidR="00212354">
        <w:rPr>
          <w:rFonts w:cstheme="minorHAnsi"/>
          <w:sz w:val="24"/>
        </w:rPr>
        <w:t>Employers in all industries reported that they intended to recruit in the next</w:t>
      </w:r>
      <w:r w:rsidR="00616293">
        <w:rPr>
          <w:rFonts w:cstheme="minorHAnsi"/>
          <w:sz w:val="24"/>
        </w:rPr>
        <w:t xml:space="preserve"> year, with recruitment expectations particularly strong </w:t>
      </w:r>
      <w:r w:rsidR="0056385F" w:rsidRPr="00467BA1">
        <w:rPr>
          <w:rFonts w:cstheme="minorHAnsi"/>
          <w:sz w:val="24"/>
        </w:rPr>
        <w:t>in the Health Care and Social Assistance</w:t>
      </w:r>
      <w:r w:rsidR="000A0FB9">
        <w:rPr>
          <w:rFonts w:cstheme="minorHAnsi"/>
          <w:sz w:val="24"/>
        </w:rPr>
        <w:t xml:space="preserve">, and </w:t>
      </w:r>
      <w:r w:rsidR="005252F4">
        <w:rPr>
          <w:rFonts w:cstheme="minorHAnsi"/>
          <w:sz w:val="24"/>
        </w:rPr>
        <w:t xml:space="preserve">the </w:t>
      </w:r>
      <w:r w:rsidR="000A0FB9">
        <w:rPr>
          <w:rFonts w:cstheme="minorHAnsi"/>
          <w:sz w:val="24"/>
        </w:rPr>
        <w:t>Accommodat</w:t>
      </w:r>
      <w:r w:rsidR="005252F4">
        <w:rPr>
          <w:rFonts w:cstheme="minorHAnsi"/>
          <w:sz w:val="24"/>
        </w:rPr>
        <w:t>ion and Food Services</w:t>
      </w:r>
      <w:r w:rsidR="00AD68A5">
        <w:rPr>
          <w:rFonts w:cstheme="minorHAnsi"/>
          <w:sz w:val="24"/>
        </w:rPr>
        <w:t xml:space="preserve"> </w:t>
      </w:r>
      <w:r w:rsidR="00212354">
        <w:rPr>
          <w:rFonts w:cstheme="minorHAnsi"/>
          <w:sz w:val="24"/>
        </w:rPr>
        <w:t>industries</w:t>
      </w:r>
      <w:r w:rsidR="00616293">
        <w:rPr>
          <w:rFonts w:cstheme="minorHAnsi"/>
          <w:sz w:val="24"/>
        </w:rPr>
        <w:t>.</w:t>
      </w:r>
      <w:r w:rsidR="00AD68A5">
        <w:rPr>
          <w:rFonts w:cstheme="minorHAnsi"/>
          <w:sz w:val="24"/>
        </w:rPr>
        <w:t xml:space="preserve"> </w:t>
      </w:r>
    </w:p>
    <w:p w:rsidR="005252F4" w:rsidRDefault="005252F4" w:rsidP="001104D7">
      <w:pPr>
        <w:spacing w:after="0" w:line="240" w:lineRule="auto"/>
        <w:jc w:val="both"/>
        <w:rPr>
          <w:rFonts w:cstheme="minorHAnsi"/>
          <w:sz w:val="24"/>
        </w:rPr>
      </w:pPr>
    </w:p>
    <w:p w:rsidR="00995C94" w:rsidRDefault="00FF69C9" w:rsidP="00DB15D0">
      <w:pPr>
        <w:pStyle w:val="RIESbriefreports"/>
        <w:spacing w:before="240"/>
        <w:rPr>
          <w:sz w:val="28"/>
        </w:rPr>
      </w:pPr>
      <w:r>
        <w:rPr>
          <w:sz w:val="28"/>
        </w:rPr>
        <w:br w:type="page"/>
      </w:r>
    </w:p>
    <w:p w:rsidR="00995C94" w:rsidRDefault="00995C94" w:rsidP="00DB15D0">
      <w:pPr>
        <w:pStyle w:val="RIESbriefreports"/>
        <w:spacing w:before="240"/>
        <w:rPr>
          <w:sz w:val="28"/>
        </w:rPr>
      </w:pPr>
    </w:p>
    <w:p w:rsidR="00DB15D0" w:rsidRPr="00076AA6" w:rsidRDefault="00DB15D0" w:rsidP="00DB15D0">
      <w:pPr>
        <w:pStyle w:val="RIESbriefreports"/>
        <w:spacing w:before="240"/>
        <w:rPr>
          <w:szCs w:val="24"/>
        </w:rPr>
      </w:pPr>
      <w:bookmarkStart w:id="80" w:name="_Toc359234155"/>
      <w:r w:rsidRPr="00076AA6">
        <w:rPr>
          <w:szCs w:val="24"/>
        </w:rPr>
        <w:t>More Information</w:t>
      </w:r>
      <w:bookmarkEnd w:id="80"/>
    </w:p>
    <w:p w:rsidR="00DB15D0" w:rsidRPr="003C608D" w:rsidRDefault="00DB15D0" w:rsidP="00DB15D0">
      <w:pPr>
        <w:spacing w:before="0" w:line="240" w:lineRule="auto"/>
        <w:rPr>
          <w:rStyle w:val="Hyperlink"/>
          <w:rFonts w:cstheme="minorHAnsi"/>
          <w:b/>
          <w:color w:val="00529C"/>
          <w:sz w:val="24"/>
          <w:u w:val="none"/>
        </w:rPr>
      </w:pPr>
      <w:r w:rsidRPr="003C608D">
        <w:rPr>
          <w:rFonts w:cstheme="minorHAnsi"/>
          <w:color w:val="000000" w:themeColor="text1"/>
          <w:sz w:val="24"/>
        </w:rPr>
        <w:t>Survey of Employers’ Recruitment Experiences:</w:t>
      </w:r>
      <w:r>
        <w:rPr>
          <w:rFonts w:cstheme="minorHAnsi"/>
          <w:b/>
          <w:color w:val="00529C"/>
          <w:sz w:val="24"/>
        </w:rPr>
        <w:t xml:space="preserve"> </w:t>
      </w:r>
      <w:hyperlink r:id="rId32" w:history="1">
        <w:r w:rsidRPr="003C608D">
          <w:rPr>
            <w:rStyle w:val="Hyperlink"/>
            <w:rFonts w:cstheme="minorHAnsi"/>
            <w:b/>
            <w:color w:val="00529C"/>
            <w:sz w:val="24"/>
          </w:rPr>
          <w:t>www.deewr.gov.au/regionalreports</w:t>
        </w:r>
      </w:hyperlink>
    </w:p>
    <w:p w:rsidR="00DB15D0" w:rsidRPr="003C608D" w:rsidRDefault="00DB15D0" w:rsidP="00DB15D0">
      <w:pPr>
        <w:spacing w:before="0" w:line="240" w:lineRule="auto"/>
        <w:rPr>
          <w:rFonts w:cstheme="minorHAnsi"/>
          <w:b/>
          <w:color w:val="00529C"/>
          <w:sz w:val="24"/>
        </w:rPr>
      </w:pPr>
      <w:r w:rsidRPr="003C608D">
        <w:rPr>
          <w:rFonts w:cstheme="minorHAnsi"/>
          <w:color w:val="000000" w:themeColor="text1"/>
          <w:sz w:val="24"/>
        </w:rPr>
        <w:t>Labour Market Information Portal:</w:t>
      </w:r>
      <w:r w:rsidRPr="003C608D">
        <w:rPr>
          <w:rFonts w:cstheme="minorHAnsi"/>
          <w:b/>
          <w:color w:val="00529C"/>
          <w:sz w:val="24"/>
        </w:rPr>
        <w:t xml:space="preserve"> </w:t>
      </w:r>
      <w:hyperlink r:id="rId33" w:history="1">
        <w:r w:rsidRPr="003C608D">
          <w:rPr>
            <w:rStyle w:val="Hyperlink"/>
            <w:rFonts w:cstheme="minorHAnsi"/>
            <w:b/>
            <w:color w:val="00529C"/>
            <w:sz w:val="24"/>
          </w:rPr>
          <w:t>www.deewr.gov.au/lmip</w:t>
        </w:r>
      </w:hyperlink>
    </w:p>
    <w:p w:rsidR="00DB15D0" w:rsidRPr="003C608D" w:rsidRDefault="00DB15D0" w:rsidP="00DB15D0">
      <w:pPr>
        <w:spacing w:before="0" w:line="240" w:lineRule="auto"/>
        <w:rPr>
          <w:rStyle w:val="Hyperlink"/>
          <w:rFonts w:cstheme="minorHAnsi"/>
          <w:b/>
          <w:color w:val="00529C"/>
          <w:sz w:val="24"/>
          <w:u w:val="none"/>
        </w:rPr>
      </w:pPr>
      <w:r w:rsidRPr="003C608D">
        <w:rPr>
          <w:rFonts w:cstheme="minorHAnsi"/>
          <w:color w:val="000000" w:themeColor="text1"/>
          <w:sz w:val="24"/>
        </w:rPr>
        <w:t>Skill Shortages:</w:t>
      </w:r>
      <w:r w:rsidRPr="003C608D">
        <w:rPr>
          <w:rFonts w:cstheme="minorHAnsi"/>
          <w:b/>
          <w:color w:val="00529C"/>
          <w:sz w:val="24"/>
        </w:rPr>
        <w:t xml:space="preserve"> </w:t>
      </w:r>
      <w:r w:rsidRPr="003C608D">
        <w:rPr>
          <w:rStyle w:val="Hyperlink"/>
          <w:rFonts w:cstheme="minorHAnsi"/>
          <w:b/>
          <w:color w:val="00529C"/>
          <w:sz w:val="24"/>
        </w:rPr>
        <w:t>www.deewr.gov.au/skillshortages</w:t>
      </w:r>
    </w:p>
    <w:p w:rsidR="00DB15D0" w:rsidRPr="003C608D" w:rsidRDefault="00DB15D0" w:rsidP="00DB15D0">
      <w:pPr>
        <w:spacing w:before="0" w:line="240" w:lineRule="auto"/>
        <w:rPr>
          <w:rStyle w:val="Hyperlink"/>
          <w:rFonts w:cstheme="minorHAnsi"/>
          <w:b/>
          <w:color w:val="00529C"/>
          <w:sz w:val="24"/>
          <w:u w:val="none"/>
        </w:rPr>
      </w:pPr>
      <w:r w:rsidRPr="003C608D">
        <w:rPr>
          <w:rFonts w:cstheme="minorHAnsi"/>
          <w:color w:val="000000" w:themeColor="text1"/>
          <w:sz w:val="24"/>
        </w:rPr>
        <w:t>Job Outlook:</w:t>
      </w:r>
      <w:r w:rsidRPr="003C608D">
        <w:rPr>
          <w:rFonts w:cstheme="minorHAnsi"/>
          <w:b/>
          <w:color w:val="00529C"/>
          <w:sz w:val="24"/>
        </w:rPr>
        <w:t xml:space="preserve"> </w:t>
      </w:r>
      <w:hyperlink r:id="rId34" w:history="1">
        <w:r w:rsidR="00DE1A68" w:rsidRPr="0001538E">
          <w:rPr>
            <w:rStyle w:val="Hyperlink"/>
            <w:rFonts w:cstheme="minorHAnsi"/>
            <w:b/>
            <w:sz w:val="24"/>
          </w:rPr>
          <w:t>www.joboutlook.gov.au</w:t>
        </w:r>
      </w:hyperlink>
    </w:p>
    <w:p w:rsidR="00DB15D0" w:rsidRPr="003C608D" w:rsidRDefault="00DB15D0" w:rsidP="00DB15D0">
      <w:pPr>
        <w:spacing w:before="0" w:line="240" w:lineRule="auto"/>
        <w:rPr>
          <w:rFonts w:cstheme="minorHAnsi"/>
          <w:b/>
          <w:color w:val="00529C"/>
          <w:sz w:val="24"/>
        </w:rPr>
      </w:pPr>
      <w:r w:rsidRPr="003C608D">
        <w:rPr>
          <w:rFonts w:cstheme="minorHAnsi"/>
          <w:color w:val="000000" w:themeColor="text1"/>
          <w:sz w:val="24"/>
        </w:rPr>
        <w:t>SkillsInfo:</w:t>
      </w:r>
      <w:r w:rsidRPr="003C608D">
        <w:rPr>
          <w:rFonts w:cstheme="minorHAnsi"/>
          <w:b/>
          <w:color w:val="00529C"/>
          <w:sz w:val="24"/>
        </w:rPr>
        <w:t xml:space="preserve"> </w:t>
      </w:r>
      <w:hyperlink r:id="rId35" w:history="1">
        <w:r w:rsidRPr="003C608D">
          <w:rPr>
            <w:rStyle w:val="Hyperlink"/>
            <w:rFonts w:cstheme="minorHAnsi"/>
            <w:b/>
            <w:color w:val="00529C"/>
            <w:sz w:val="24"/>
          </w:rPr>
          <w:t>www.skillsinfo.gov.au</w:t>
        </w:r>
      </w:hyperlink>
    </w:p>
    <w:p w:rsidR="00AF1D21" w:rsidRPr="00367670" w:rsidRDefault="00DB15D0" w:rsidP="00DB15D0">
      <w:pPr>
        <w:spacing w:before="0" w:line="240" w:lineRule="auto"/>
        <w:rPr>
          <w:rFonts w:cstheme="minorHAnsi"/>
          <w:sz w:val="28"/>
          <w:szCs w:val="28"/>
        </w:rPr>
      </w:pPr>
      <w:r w:rsidRPr="003C608D">
        <w:rPr>
          <w:rFonts w:cstheme="minorHAnsi"/>
          <w:color w:val="000000" w:themeColor="text1"/>
          <w:sz w:val="24"/>
        </w:rPr>
        <w:t>Australian Jobs:</w:t>
      </w:r>
      <w:r w:rsidRPr="003C608D">
        <w:rPr>
          <w:rFonts w:cstheme="minorHAnsi"/>
          <w:b/>
          <w:color w:val="00529C"/>
          <w:sz w:val="24"/>
        </w:rPr>
        <w:t xml:space="preserve"> </w:t>
      </w:r>
      <w:hyperlink r:id="rId36" w:history="1">
        <w:r w:rsidRPr="003C608D">
          <w:rPr>
            <w:rStyle w:val="Hyperlink"/>
            <w:rFonts w:cstheme="minorHAnsi"/>
            <w:b/>
            <w:color w:val="00529C"/>
            <w:sz w:val="24"/>
          </w:rPr>
          <w:t>www.deewr.gov.au/australianjobs</w:t>
        </w:r>
      </w:hyperlink>
      <w:bookmarkStart w:id="81" w:name="_GoBack"/>
      <w:bookmarkEnd w:id="81"/>
      <w:r w:rsidR="00AF01BD" w:rsidRPr="00367670">
        <w:rPr>
          <w:rFonts w:cstheme="minorHAnsi"/>
          <w:noProof/>
          <w:sz w:val="28"/>
          <w:szCs w:val="28"/>
        </w:rPr>
        <w:drawing>
          <wp:anchor distT="0" distB="0" distL="114300" distR="114300" simplePos="0" relativeHeight="251662336" behindDoc="1" locked="0" layoutInCell="1" allowOverlap="1" wp14:anchorId="6B8094C3" wp14:editId="3ED7E5AA">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367670">
        <w:rPr>
          <w:rFonts w:cstheme="minorHAnsi"/>
          <w:noProof/>
          <w:sz w:val="28"/>
          <w:szCs w:val="28"/>
        </w:rPr>
        <w:drawing>
          <wp:anchor distT="0" distB="0" distL="114300" distR="114300" simplePos="0" relativeHeight="251664384" behindDoc="1" locked="0" layoutInCell="1" allowOverlap="1" wp14:anchorId="7B928917" wp14:editId="3FA22B7F">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367670" w:rsidSect="00FF3D92">
      <w:type w:val="continuous"/>
      <w:pgSz w:w="11906" w:h="16838"/>
      <w:pgMar w:top="1276"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27" w:rsidRDefault="00746627" w:rsidP="006D0101">
      <w:pPr>
        <w:spacing w:before="0" w:after="0" w:line="240" w:lineRule="auto"/>
      </w:pPr>
      <w:r>
        <w:separator/>
      </w:r>
    </w:p>
  </w:endnote>
  <w:endnote w:type="continuationSeparator" w:id="0">
    <w:p w:rsidR="00746627" w:rsidRDefault="00746627"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C571AA" w:rsidRDefault="00746627" w:rsidP="00C571AA">
    <w:pPr>
      <w:pStyle w:val="Footer"/>
      <w:jc w:val="right"/>
    </w:pPr>
    <w:r>
      <w:fldChar w:fldCharType="begin"/>
    </w:r>
    <w:r>
      <w:instrText xml:space="preserve"> PAGE   \* MERGEFORMAT </w:instrText>
    </w:r>
    <w:r>
      <w:fldChar w:fldCharType="separate"/>
    </w:r>
    <w:r>
      <w:rPr>
        <w:noProof/>
      </w:rPr>
      <w:t>10</w:t>
    </w:r>
    <w:r>
      <w:rPr>
        <w:noProof/>
      </w:rPr>
      <w:fldChar w:fldCharType="end"/>
    </w:r>
  </w:p>
  <w:p w:rsidR="00746627" w:rsidRDefault="00746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Default="00DE1A68" w:rsidP="00C571AA">
    <w:pPr>
      <w:pStyle w:val="Footer"/>
      <w:jc w:val="right"/>
    </w:pPr>
    <w:sdt>
      <w:sdtPr>
        <w:id w:val="74868468"/>
        <w:docPartObj>
          <w:docPartGallery w:val="Page Numbers (Bottom of Page)"/>
          <w:docPartUnique/>
        </w:docPartObj>
      </w:sdtPr>
      <w:sdtEndPr/>
      <w:sdtContent>
        <w:r w:rsidR="00746627">
          <w:fldChar w:fldCharType="begin"/>
        </w:r>
        <w:r w:rsidR="00746627">
          <w:instrText xml:space="preserve"> PAGE   \* MERGEFORMAT </w:instrText>
        </w:r>
        <w:r w:rsidR="00746627">
          <w:fldChar w:fldCharType="separate"/>
        </w:r>
        <w:r>
          <w:rPr>
            <w:noProof/>
          </w:rPr>
          <w:t>1</w:t>
        </w:r>
        <w:r w:rsidR="00746627">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Default="00746627" w:rsidP="00BE70FC">
    <w:pPr>
      <w:pStyle w:val="Footer"/>
      <w:pBdr>
        <w:top w:val="single" w:sz="4" w:space="1" w:color="auto"/>
      </w:pBdr>
      <w:spacing w:before="0" w:after="0" w:line="240" w:lineRule="auto"/>
    </w:pPr>
    <w:r>
      <w:t>Labour Market Research and Analysis Branch</w:t>
    </w:r>
  </w:p>
  <w:p w:rsidR="00746627" w:rsidRPr="00B32455" w:rsidRDefault="00907004" w:rsidP="004157E2">
    <w:pPr>
      <w:pStyle w:val="Footer"/>
      <w:spacing w:before="0" w:after="0" w:line="240" w:lineRule="auto"/>
    </w:pPr>
    <w:r>
      <w:t>June</w:t>
    </w:r>
    <w:r w:rsidR="008E21EC">
      <w:t xml:space="preserve"> 2013</w:t>
    </w:r>
    <w:r w:rsidR="00746627">
      <w:ptab w:relativeTo="margin" w:alignment="right" w:leader="none"/>
    </w:r>
    <w:r w:rsidR="00746627">
      <w:t xml:space="preserve"> </w:t>
    </w:r>
    <w:r w:rsidR="00746627">
      <w:fldChar w:fldCharType="begin"/>
    </w:r>
    <w:r w:rsidR="00746627">
      <w:instrText xml:space="preserve"> PAGE </w:instrText>
    </w:r>
    <w:r w:rsidR="00746627">
      <w:fldChar w:fldCharType="separate"/>
    </w:r>
    <w:r w:rsidR="00DE1A68">
      <w:rPr>
        <w:noProof/>
      </w:rPr>
      <w:t>5</w:t>
    </w:r>
    <w:r w:rsidR="0074662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24368"/>
      <w:docPartObj>
        <w:docPartGallery w:val="Page Numbers (Bottom of Page)"/>
        <w:docPartUnique/>
      </w:docPartObj>
    </w:sdtPr>
    <w:sdtEndPr/>
    <w:sdtContent>
      <w:p w:rsidR="00746627" w:rsidRDefault="00746627" w:rsidP="00972397">
        <w:pPr>
          <w:pStyle w:val="Footer"/>
          <w:pBdr>
            <w:top w:val="single" w:sz="4" w:space="1" w:color="auto"/>
          </w:pBdr>
          <w:spacing w:before="0" w:after="0" w:line="240" w:lineRule="auto"/>
        </w:pPr>
        <w:r>
          <w:t>Labour Market Research and Analysis Branch</w:t>
        </w:r>
      </w:p>
      <w:p w:rsidR="00746627" w:rsidRDefault="00907004" w:rsidP="00972397">
        <w:pPr>
          <w:pStyle w:val="Footer"/>
          <w:spacing w:before="0" w:after="0" w:line="240" w:lineRule="auto"/>
        </w:pPr>
        <w:r>
          <w:t>June</w:t>
        </w:r>
        <w:r w:rsidR="008E21EC">
          <w:t xml:space="preserve"> 2013</w:t>
        </w:r>
        <w:r w:rsidR="00746627">
          <w:ptab w:relativeTo="margin" w:alignment="right" w:leader="none"/>
        </w:r>
        <w:r w:rsidR="00746627">
          <w:t xml:space="preserve"> </w:t>
        </w:r>
        <w:r w:rsidR="00746627">
          <w:fldChar w:fldCharType="begin"/>
        </w:r>
        <w:r w:rsidR="00746627">
          <w:instrText xml:space="preserve"> PAGE </w:instrText>
        </w:r>
        <w:r w:rsidR="00746627">
          <w:fldChar w:fldCharType="separate"/>
        </w:r>
        <w:r w:rsidR="00DE1A68">
          <w:rPr>
            <w:noProof/>
          </w:rPr>
          <w:t>1</w:t>
        </w:r>
        <w:r w:rsidR="0074662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27" w:rsidRDefault="00746627" w:rsidP="006D0101">
      <w:pPr>
        <w:spacing w:before="0" w:after="0" w:line="240" w:lineRule="auto"/>
      </w:pPr>
      <w:r>
        <w:separator/>
      </w:r>
    </w:p>
  </w:footnote>
  <w:footnote w:type="continuationSeparator" w:id="0">
    <w:p w:rsidR="00746627" w:rsidRDefault="00746627" w:rsidP="006D0101">
      <w:pPr>
        <w:spacing w:before="0" w:after="0" w:line="240" w:lineRule="auto"/>
      </w:pPr>
      <w:r>
        <w:continuationSeparator/>
      </w:r>
    </w:p>
  </w:footnote>
  <w:footnote w:id="1">
    <w:p w:rsidR="008C38F4" w:rsidRPr="00202110" w:rsidRDefault="008C38F4" w:rsidP="008C38F4">
      <w:pPr>
        <w:pStyle w:val="FootnoteText"/>
        <w:spacing w:after="0" w:line="240" w:lineRule="auto"/>
        <w:rPr>
          <w:rFonts w:asciiTheme="minorHAnsi" w:hAnsiTheme="minorHAnsi" w:cstheme="minorHAnsi"/>
          <w:i/>
          <w:color w:val="auto"/>
          <w:sz w:val="16"/>
          <w:szCs w:val="16"/>
        </w:rPr>
      </w:pPr>
      <w:r w:rsidRPr="00202110">
        <w:rPr>
          <w:rStyle w:val="FootnoteReference"/>
          <w:rFonts w:asciiTheme="minorHAnsi" w:hAnsiTheme="minorHAnsi" w:cstheme="minorHAnsi"/>
          <w:i/>
          <w:color w:val="auto"/>
          <w:sz w:val="16"/>
          <w:szCs w:val="16"/>
        </w:rPr>
        <w:footnoteRef/>
      </w:r>
      <w:r w:rsidRPr="00202110">
        <w:rPr>
          <w:rFonts w:asciiTheme="minorHAnsi" w:hAnsiTheme="minorHAnsi" w:cstheme="minorHAnsi"/>
          <w:i/>
          <w:color w:val="auto"/>
          <w:sz w:val="16"/>
          <w:szCs w:val="16"/>
        </w:rPr>
        <w:t xml:space="preserve"> </w:t>
      </w:r>
      <w:r w:rsidRPr="00202110">
        <w:rPr>
          <w:rFonts w:asciiTheme="minorHAnsi" w:hAnsiTheme="minorHAnsi" w:cstheme="minorHAnsi"/>
          <w:color w:val="auto"/>
          <w:sz w:val="16"/>
          <w:szCs w:val="16"/>
        </w:rPr>
        <w:t>Small business is defined as a business employing 2 to 4 people.</w:t>
      </w:r>
    </w:p>
  </w:footnote>
  <w:footnote w:id="2">
    <w:p w:rsidR="00870053" w:rsidRPr="00202110" w:rsidRDefault="00870053" w:rsidP="00870053">
      <w:pPr>
        <w:pStyle w:val="FootnoteText"/>
        <w:spacing w:after="0" w:line="240" w:lineRule="auto"/>
        <w:rPr>
          <w:rFonts w:asciiTheme="minorHAnsi" w:hAnsiTheme="minorHAnsi" w:cstheme="minorHAnsi"/>
          <w:color w:val="auto"/>
          <w:sz w:val="16"/>
          <w:szCs w:val="16"/>
        </w:rPr>
      </w:pPr>
      <w:r w:rsidRPr="00202110">
        <w:rPr>
          <w:rStyle w:val="FootnoteReference"/>
          <w:rFonts w:asciiTheme="minorHAnsi" w:hAnsiTheme="minorHAnsi" w:cstheme="minorHAnsi"/>
          <w:color w:val="auto"/>
          <w:sz w:val="16"/>
          <w:szCs w:val="16"/>
        </w:rPr>
        <w:footnoteRef/>
      </w:r>
      <w:r w:rsidRPr="00202110">
        <w:rPr>
          <w:rFonts w:asciiTheme="minorHAnsi" w:hAnsiTheme="minorHAnsi" w:cstheme="minorHAnsi"/>
          <w:color w:val="auto"/>
          <w:sz w:val="16"/>
          <w:szCs w:val="16"/>
        </w:rPr>
        <w:t xml:space="preserve"> The Southern Wide Bay-Burnett PEA was created prior to 2010 SLA/Local Government Area (LGA) boundary changes and amalgamations, which has reduced comparability. For accuracy, SLA/LGAs will be referred to as they existed prior to the recent changes. </w:t>
      </w:r>
    </w:p>
  </w:footnote>
  <w:footnote w:id="3">
    <w:p w:rsidR="0095557A" w:rsidRPr="00202110" w:rsidRDefault="0095557A" w:rsidP="0095557A">
      <w:pPr>
        <w:pStyle w:val="FootnoteText"/>
        <w:spacing w:after="0" w:line="240" w:lineRule="auto"/>
        <w:rPr>
          <w:rFonts w:asciiTheme="minorHAnsi" w:hAnsiTheme="minorHAnsi" w:cstheme="minorHAnsi"/>
          <w:sz w:val="16"/>
          <w:szCs w:val="16"/>
          <w:lang w:val="en-AU"/>
        </w:rPr>
      </w:pPr>
      <w:r w:rsidRPr="00202110">
        <w:rPr>
          <w:rStyle w:val="FootnoteReference"/>
          <w:rFonts w:asciiTheme="minorHAnsi" w:hAnsiTheme="minorHAnsi" w:cstheme="minorHAnsi"/>
          <w:sz w:val="16"/>
          <w:szCs w:val="16"/>
        </w:rPr>
        <w:footnoteRef/>
      </w:r>
      <w:r w:rsidRPr="00202110">
        <w:rPr>
          <w:rFonts w:asciiTheme="minorHAnsi" w:hAnsiTheme="minorHAnsi" w:cstheme="minorHAnsi"/>
          <w:sz w:val="16"/>
          <w:szCs w:val="16"/>
        </w:rPr>
        <w:t xml:space="preserve"> </w:t>
      </w:r>
      <w:r w:rsidRPr="00202110">
        <w:rPr>
          <w:rFonts w:asciiTheme="minorHAnsi" w:hAnsiTheme="minorHAnsi" w:cstheme="minorHAnsi"/>
          <w:color w:val="auto"/>
          <w:sz w:val="16"/>
          <w:szCs w:val="16"/>
        </w:rPr>
        <w:t>ABS,</w:t>
      </w:r>
      <w:r w:rsidRPr="00202110">
        <w:rPr>
          <w:rFonts w:asciiTheme="minorHAnsi" w:hAnsiTheme="minorHAnsi" w:cstheme="minorHAnsi"/>
          <w:i/>
          <w:color w:val="auto"/>
          <w:sz w:val="16"/>
          <w:szCs w:val="16"/>
        </w:rPr>
        <w:t xml:space="preserve"> Census of Population and Housing, </w:t>
      </w:r>
      <w:r w:rsidRPr="00202110">
        <w:rPr>
          <w:rFonts w:asciiTheme="minorHAnsi" w:hAnsiTheme="minorHAnsi" w:cstheme="minorHAnsi"/>
          <w:color w:val="auto"/>
          <w:sz w:val="16"/>
          <w:szCs w:val="16"/>
        </w:rPr>
        <w:t>2011</w:t>
      </w:r>
      <w:r w:rsidR="00907004">
        <w:rPr>
          <w:rFonts w:asciiTheme="minorHAnsi" w:hAnsiTheme="minorHAnsi" w:cstheme="minorHAnsi"/>
          <w:color w:val="auto"/>
          <w:sz w:val="16"/>
          <w:szCs w:val="16"/>
        </w:rPr>
        <w:t>.</w:t>
      </w:r>
    </w:p>
  </w:footnote>
  <w:footnote w:id="4">
    <w:p w:rsidR="00907004" w:rsidRPr="00907004" w:rsidRDefault="00907004" w:rsidP="00907004">
      <w:pPr>
        <w:pStyle w:val="FootnoteText"/>
        <w:spacing w:after="0" w:line="240" w:lineRule="auto"/>
        <w:rPr>
          <w:lang w:val="en-AU"/>
        </w:rPr>
      </w:pPr>
      <w:r>
        <w:rPr>
          <w:rStyle w:val="FootnoteReference"/>
        </w:rPr>
        <w:footnoteRef/>
      </w:r>
      <w:r>
        <w:rPr>
          <w:rFonts w:asciiTheme="minorHAnsi" w:hAnsiTheme="minorHAnsi" w:cstheme="minorHAnsi"/>
          <w:color w:val="auto"/>
          <w:sz w:val="16"/>
          <w:szCs w:val="16"/>
        </w:rPr>
        <w:t xml:space="preserve"> </w:t>
      </w:r>
      <w:r w:rsidRPr="00202110">
        <w:rPr>
          <w:rFonts w:asciiTheme="minorHAnsi" w:hAnsiTheme="minorHAnsi" w:cstheme="minorHAnsi"/>
          <w:color w:val="auto"/>
          <w:sz w:val="16"/>
          <w:szCs w:val="16"/>
        </w:rPr>
        <w:t>DEEWR</w:t>
      </w:r>
      <w:r w:rsidRPr="00202110">
        <w:rPr>
          <w:rFonts w:asciiTheme="minorHAnsi" w:hAnsiTheme="minorHAnsi" w:cstheme="minorHAnsi"/>
          <w:i/>
          <w:color w:val="auto"/>
          <w:sz w:val="16"/>
          <w:szCs w:val="16"/>
        </w:rPr>
        <w:t xml:space="preserve">, Small Area Labour Markets, </w:t>
      </w:r>
      <w:r w:rsidRPr="00202110">
        <w:rPr>
          <w:rFonts w:asciiTheme="minorHAnsi" w:hAnsiTheme="minorHAnsi" w:cstheme="minorHAnsi"/>
          <w:color w:val="auto"/>
          <w:sz w:val="16"/>
          <w:szCs w:val="16"/>
        </w:rPr>
        <w:t>December quarter 2012</w:t>
      </w:r>
      <w:r>
        <w:rPr>
          <w:rFonts w:asciiTheme="minorHAnsi" w:hAnsiTheme="minorHAnsi" w:cstheme="minorHAnsi"/>
          <w:color w:val="auto"/>
          <w:sz w:val="16"/>
          <w:szCs w:val="16"/>
        </w:rPr>
        <w:t>.</w:t>
      </w:r>
    </w:p>
  </w:footnote>
  <w:footnote w:id="5">
    <w:p w:rsidR="00870053" w:rsidRPr="00202110" w:rsidRDefault="00870053" w:rsidP="00907004">
      <w:pPr>
        <w:pStyle w:val="FootnoteText"/>
        <w:spacing w:after="0" w:line="240" w:lineRule="auto"/>
        <w:rPr>
          <w:rFonts w:asciiTheme="minorHAnsi" w:hAnsiTheme="minorHAnsi" w:cstheme="minorHAnsi"/>
          <w:sz w:val="16"/>
          <w:szCs w:val="16"/>
          <w:lang w:val="en-AU"/>
        </w:rPr>
      </w:pPr>
      <w:r w:rsidRPr="00202110">
        <w:rPr>
          <w:rStyle w:val="FootnoteReference"/>
          <w:rFonts w:asciiTheme="minorHAnsi" w:hAnsiTheme="minorHAnsi" w:cstheme="minorHAnsi"/>
          <w:color w:val="auto"/>
          <w:sz w:val="16"/>
          <w:szCs w:val="16"/>
        </w:rPr>
        <w:footnoteRef/>
      </w:r>
      <w:r w:rsidRPr="00202110">
        <w:rPr>
          <w:rFonts w:asciiTheme="minorHAnsi" w:hAnsiTheme="minorHAnsi" w:cstheme="minorHAnsi"/>
          <w:color w:val="auto"/>
          <w:sz w:val="16"/>
          <w:szCs w:val="16"/>
        </w:rPr>
        <w:t xml:space="preserve"> </w:t>
      </w:r>
      <w:r w:rsidRPr="00202110">
        <w:rPr>
          <w:rFonts w:asciiTheme="minorHAnsi" w:hAnsiTheme="minorHAnsi" w:cstheme="minorHAnsi"/>
          <w:color w:val="auto"/>
          <w:sz w:val="16"/>
          <w:szCs w:val="16"/>
          <w:lang w:val="en-AU"/>
        </w:rPr>
        <w:t xml:space="preserve">ABS, </w:t>
      </w:r>
      <w:r w:rsidRPr="00202110">
        <w:rPr>
          <w:rFonts w:asciiTheme="minorHAnsi" w:hAnsiTheme="minorHAnsi" w:cstheme="minorHAnsi"/>
          <w:i/>
          <w:color w:val="auto"/>
          <w:sz w:val="16"/>
          <w:szCs w:val="16"/>
          <w:lang w:val="en-AU"/>
        </w:rPr>
        <w:t>Labour Force Survey</w:t>
      </w:r>
      <w:r w:rsidRPr="00202110">
        <w:rPr>
          <w:rFonts w:asciiTheme="minorHAnsi" w:hAnsiTheme="minorHAnsi" w:cstheme="minorHAnsi"/>
          <w:color w:val="auto"/>
          <w:sz w:val="16"/>
          <w:szCs w:val="16"/>
          <w:lang w:val="en-AU"/>
        </w:rPr>
        <w:t>, Seasonally adjusted data, April 2013.</w:t>
      </w:r>
    </w:p>
  </w:footnote>
  <w:footnote w:id="6">
    <w:p w:rsidR="00870053" w:rsidRPr="003C2C63" w:rsidRDefault="00870053" w:rsidP="00907004">
      <w:pPr>
        <w:pStyle w:val="FootnoteText"/>
        <w:spacing w:after="0" w:line="240" w:lineRule="auto"/>
        <w:rPr>
          <w:rFonts w:asciiTheme="minorHAnsi" w:hAnsiTheme="minorHAnsi" w:cstheme="minorHAnsi"/>
          <w:color w:val="auto"/>
          <w:sz w:val="18"/>
          <w:szCs w:val="18"/>
          <w:lang w:val="en-AU"/>
        </w:rPr>
      </w:pPr>
      <w:r w:rsidRPr="00202110">
        <w:rPr>
          <w:rStyle w:val="FootnoteReference"/>
          <w:rFonts w:asciiTheme="minorHAnsi" w:hAnsiTheme="minorHAnsi" w:cstheme="minorHAnsi"/>
          <w:color w:val="auto"/>
          <w:sz w:val="16"/>
          <w:szCs w:val="16"/>
        </w:rPr>
        <w:footnoteRef/>
      </w:r>
      <w:r w:rsidRPr="00202110">
        <w:rPr>
          <w:rFonts w:asciiTheme="minorHAnsi" w:hAnsiTheme="minorHAnsi" w:cstheme="minorHAnsi"/>
          <w:color w:val="auto"/>
          <w:sz w:val="16"/>
          <w:szCs w:val="16"/>
        </w:rPr>
        <w:t xml:space="preserve"> DEEWR</w:t>
      </w:r>
      <w:r w:rsidRPr="00202110">
        <w:rPr>
          <w:rFonts w:asciiTheme="minorHAnsi" w:hAnsiTheme="minorHAnsi" w:cstheme="minorHAnsi"/>
          <w:i/>
          <w:color w:val="auto"/>
          <w:sz w:val="16"/>
          <w:szCs w:val="16"/>
        </w:rPr>
        <w:t xml:space="preserve">, Small Area Labour Markets, </w:t>
      </w:r>
      <w:r w:rsidRPr="00202110">
        <w:rPr>
          <w:rFonts w:asciiTheme="minorHAnsi" w:hAnsiTheme="minorHAnsi" w:cstheme="minorHAnsi"/>
          <w:color w:val="auto"/>
          <w:sz w:val="16"/>
          <w:szCs w:val="16"/>
        </w:rPr>
        <w:t>December quarter 2012</w:t>
      </w:r>
      <w:r w:rsidR="00907004">
        <w:rPr>
          <w:rFonts w:asciiTheme="minorHAnsi" w:hAnsiTheme="minorHAnsi" w:cstheme="minorHAnsi"/>
          <w:color w:val="auto"/>
          <w:sz w:val="16"/>
          <w:szCs w:val="16"/>
        </w:rPr>
        <w:t>.</w:t>
      </w:r>
    </w:p>
  </w:footnote>
  <w:footnote w:id="7">
    <w:p w:rsidR="000B0212" w:rsidRPr="00202110" w:rsidRDefault="000B0212" w:rsidP="000B0212">
      <w:pPr>
        <w:pStyle w:val="FootnoteText"/>
        <w:spacing w:after="0" w:line="240" w:lineRule="auto"/>
        <w:rPr>
          <w:lang w:val="en-AU"/>
        </w:rPr>
      </w:pPr>
      <w:r w:rsidRPr="00202110">
        <w:rPr>
          <w:rStyle w:val="FootnoteReference"/>
          <w:rFonts w:asciiTheme="minorHAnsi" w:hAnsiTheme="minorHAnsi" w:cstheme="minorHAnsi"/>
          <w:sz w:val="16"/>
          <w:szCs w:val="16"/>
        </w:rPr>
        <w:footnoteRef/>
      </w:r>
      <w:r w:rsidRPr="00202110">
        <w:rPr>
          <w:rFonts w:asciiTheme="minorHAnsi" w:hAnsiTheme="minorHAnsi" w:cstheme="minorHAnsi"/>
          <w:sz w:val="16"/>
          <w:szCs w:val="16"/>
        </w:rPr>
        <w:t xml:space="preserve"> </w:t>
      </w:r>
      <w:r w:rsidRPr="00202110">
        <w:rPr>
          <w:rFonts w:asciiTheme="minorHAnsi" w:hAnsiTheme="minorHAnsi" w:cstheme="minorHAnsi"/>
          <w:color w:val="auto"/>
          <w:sz w:val="16"/>
          <w:szCs w:val="16"/>
        </w:rPr>
        <w:t>ABS,</w:t>
      </w:r>
      <w:r w:rsidRPr="00202110">
        <w:rPr>
          <w:rFonts w:asciiTheme="minorHAnsi" w:hAnsiTheme="minorHAnsi" w:cstheme="minorHAnsi"/>
          <w:i/>
          <w:color w:val="auto"/>
          <w:sz w:val="16"/>
          <w:szCs w:val="16"/>
        </w:rPr>
        <w:t xml:space="preserve"> Census of Population and Housing, </w:t>
      </w:r>
      <w:r w:rsidRPr="00202110">
        <w:rPr>
          <w:rFonts w:asciiTheme="minorHAnsi" w:hAnsiTheme="minorHAnsi" w:cstheme="minorHAnsi"/>
          <w:color w:val="auto"/>
          <w:sz w:val="16"/>
          <w:szCs w:val="16"/>
        </w:rPr>
        <w:t>2011</w:t>
      </w:r>
      <w:r>
        <w:rPr>
          <w:rFonts w:asciiTheme="minorHAnsi" w:hAnsiTheme="minorHAnsi" w:cstheme="minorHAnsi"/>
          <w:color w:val="auto"/>
          <w:sz w:val="16"/>
          <w:szCs w:val="16"/>
        </w:rPr>
        <w:t>.</w:t>
      </w:r>
    </w:p>
  </w:footnote>
  <w:footnote w:id="8">
    <w:p w:rsidR="00202110" w:rsidRPr="00202110" w:rsidRDefault="00202110" w:rsidP="00907004">
      <w:pPr>
        <w:pStyle w:val="FootnoteText"/>
        <w:spacing w:after="0" w:line="240" w:lineRule="auto"/>
        <w:rPr>
          <w:rFonts w:asciiTheme="minorHAnsi" w:hAnsiTheme="minorHAnsi" w:cstheme="minorHAnsi"/>
          <w:sz w:val="16"/>
          <w:szCs w:val="16"/>
          <w:lang w:val="en-AU"/>
        </w:rPr>
      </w:pPr>
      <w:r w:rsidRPr="00202110">
        <w:rPr>
          <w:rStyle w:val="FootnoteReference"/>
          <w:rFonts w:asciiTheme="minorHAnsi" w:hAnsiTheme="minorHAnsi" w:cstheme="minorHAnsi"/>
          <w:sz w:val="16"/>
          <w:szCs w:val="16"/>
        </w:rPr>
        <w:footnoteRef/>
      </w:r>
      <w:r w:rsidRPr="00202110">
        <w:rPr>
          <w:rFonts w:asciiTheme="minorHAnsi" w:hAnsiTheme="minorHAnsi" w:cstheme="minorHAnsi"/>
          <w:sz w:val="16"/>
          <w:szCs w:val="16"/>
        </w:rPr>
        <w:t xml:space="preserve"> </w:t>
      </w:r>
      <w:r w:rsidRPr="00202110">
        <w:rPr>
          <w:rFonts w:asciiTheme="minorHAnsi" w:hAnsiTheme="minorHAnsi" w:cstheme="minorHAnsi"/>
          <w:i/>
          <w:iCs/>
          <w:color w:val="auto"/>
          <w:sz w:val="16"/>
          <w:szCs w:val="16"/>
        </w:rPr>
        <w:t xml:space="preserve">DEEWR, administrative data, March 2013; ABS, Census of Population and Housing, Usual Residence, </w:t>
      </w:r>
      <w:r w:rsidRPr="00995C94">
        <w:rPr>
          <w:rFonts w:asciiTheme="minorHAnsi" w:hAnsiTheme="minorHAnsi" w:cstheme="minorHAnsi"/>
          <w:iCs/>
          <w:color w:val="auto"/>
          <w:sz w:val="16"/>
          <w:szCs w:val="16"/>
        </w:rPr>
        <w:t>2011</w:t>
      </w:r>
      <w:r w:rsidR="00907004">
        <w:rPr>
          <w:rFonts w:asciiTheme="minorHAnsi" w:hAnsiTheme="minorHAnsi" w:cstheme="minorHAnsi"/>
          <w:iCs/>
          <w:color w:val="auto"/>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F1256C" w:rsidRDefault="00746627" w:rsidP="00F1256C">
    <w:pPr>
      <w:pStyle w:val="BodyText"/>
      <w:jc w:val="right"/>
      <w:rPr>
        <w:color w:val="808080" w:themeColor="background1" w:themeShade="80"/>
      </w:rPr>
    </w:pPr>
    <w:r>
      <w:rPr>
        <w:color w:val="808080" w:themeColor="background1" w:themeShade="80"/>
      </w:rPr>
      <w:t xml:space="preserve">xxx Report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Default="00746627" w:rsidP="00793116">
    <w:pPr>
      <w:pStyle w:val="BodyText"/>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DD5593" w:rsidRDefault="00746627" w:rsidP="00DD5593">
    <w:pPr>
      <w:pStyle w:val="Header"/>
      <w:jc w:val="right"/>
      <w:rPr>
        <w:color w:val="A6A6A6" w:themeColor="background1" w:themeShade="A6"/>
      </w:rPr>
    </w:pPr>
    <w:r>
      <w:rPr>
        <w:color w:val="A6A6A6" w:themeColor="background1" w:themeShade="A6"/>
      </w:rPr>
      <w:t>Southern Wide Bay-Burnett Priority Employment Area</w:t>
    </w:r>
    <w:r w:rsidRPr="00D23D2A">
      <w:rPr>
        <w:color w:val="A6A6A6" w:themeColor="background1" w:themeShade="A6"/>
      </w:rPr>
      <w:t xml:space="preserve">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27" w:rsidRPr="00D23D2A" w:rsidRDefault="00746627" w:rsidP="00046925">
    <w:pPr>
      <w:pStyle w:val="Header"/>
      <w:jc w:val="right"/>
      <w:rPr>
        <w:color w:val="A6A6A6" w:themeColor="background1" w:themeShade="A6"/>
      </w:rPr>
    </w:pPr>
    <w:r>
      <w:rPr>
        <w:color w:val="A6A6A6" w:themeColor="background1" w:themeShade="A6"/>
      </w:rPr>
      <w:t>Southern Wide Bay-Burnett Priority Employment Area</w:t>
    </w:r>
    <w:r w:rsidRPr="00D23D2A">
      <w:rPr>
        <w:color w:val="A6A6A6" w:themeColor="background1" w:themeShade="A6"/>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F4431"/>
    <w:multiLevelType w:val="hybridMultilevel"/>
    <w:tmpl w:val="AFAA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6419DD"/>
    <w:multiLevelType w:val="hybridMultilevel"/>
    <w:tmpl w:val="B008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570136"/>
    <w:multiLevelType w:val="multilevel"/>
    <w:tmpl w:val="CF50D33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134" w:hanging="414"/>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EE5F0C"/>
    <w:multiLevelType w:val="hybridMultilevel"/>
    <w:tmpl w:val="54E08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E13BEC"/>
    <w:multiLevelType w:val="hybridMultilevel"/>
    <w:tmpl w:val="379E2660"/>
    <w:lvl w:ilvl="0" w:tplc="783AD48C">
      <w:start w:val="1"/>
      <w:numFmt w:val="bullet"/>
      <w:pStyle w:val="Style1"/>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22546A1"/>
    <w:multiLevelType w:val="hybridMultilevel"/>
    <w:tmpl w:val="9B08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2D4D44"/>
    <w:multiLevelType w:val="hybridMultilevel"/>
    <w:tmpl w:val="C0C4C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D7473B"/>
    <w:multiLevelType w:val="hybridMultilevel"/>
    <w:tmpl w:val="9EFE2342"/>
    <w:lvl w:ilvl="0" w:tplc="0C090001">
      <w:start w:val="1"/>
      <w:numFmt w:val="bullet"/>
      <w:lvlText w:val=""/>
      <w:lvlJc w:val="left"/>
      <w:pPr>
        <w:ind w:left="714" w:hanging="360"/>
      </w:pPr>
      <w:rPr>
        <w:rFonts w:ascii="Symbol" w:hAnsi="Symbol" w:hint="default"/>
      </w:rPr>
    </w:lvl>
    <w:lvl w:ilvl="1" w:tplc="0C090003">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0">
    <w:nsid w:val="149E1D14"/>
    <w:multiLevelType w:val="hybridMultilevel"/>
    <w:tmpl w:val="66C2B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9D06BAD"/>
    <w:multiLevelType w:val="hybridMultilevel"/>
    <w:tmpl w:val="5420E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B87538"/>
    <w:multiLevelType w:val="hybridMultilevel"/>
    <w:tmpl w:val="4DFEA3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107D47"/>
    <w:multiLevelType w:val="hybridMultilevel"/>
    <w:tmpl w:val="9C6A08C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DDE58B7"/>
    <w:multiLevelType w:val="hybridMultilevel"/>
    <w:tmpl w:val="7870F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FED586F"/>
    <w:multiLevelType w:val="hybridMultilevel"/>
    <w:tmpl w:val="A53C7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4CF23C0"/>
    <w:multiLevelType w:val="hybridMultilevel"/>
    <w:tmpl w:val="32EE56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60462E7"/>
    <w:multiLevelType w:val="hybridMultilevel"/>
    <w:tmpl w:val="E51CEC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69E7D57"/>
    <w:multiLevelType w:val="hybridMultilevel"/>
    <w:tmpl w:val="7640DA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9E00102"/>
    <w:multiLevelType w:val="hybridMultilevel"/>
    <w:tmpl w:val="877AF656"/>
    <w:lvl w:ilvl="0" w:tplc="0C090001">
      <w:start w:val="1"/>
      <w:numFmt w:val="bullet"/>
      <w:lvlText w:val=""/>
      <w:lvlJc w:val="left"/>
      <w:pPr>
        <w:ind w:left="720" w:hanging="360"/>
      </w:pPr>
      <w:rPr>
        <w:rFonts w:ascii="Symbol" w:hAnsi="Symbol" w:hint="default"/>
      </w:rPr>
    </w:lvl>
    <w:lvl w:ilvl="1" w:tplc="9DC07EA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A95B05"/>
    <w:multiLevelType w:val="hybridMultilevel"/>
    <w:tmpl w:val="AD82CA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419B1185"/>
    <w:multiLevelType w:val="hybridMultilevel"/>
    <w:tmpl w:val="7E5E8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2045901"/>
    <w:multiLevelType w:val="hybridMultilevel"/>
    <w:tmpl w:val="6B68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231E68"/>
    <w:multiLevelType w:val="hybridMultilevel"/>
    <w:tmpl w:val="0ED20EA6"/>
    <w:lvl w:ilvl="0" w:tplc="35B85938">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785"/>
        </w:tabs>
        <w:ind w:left="785"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E461AAA"/>
    <w:multiLevelType w:val="hybridMultilevel"/>
    <w:tmpl w:val="3170D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0547DEB"/>
    <w:multiLevelType w:val="hybridMultilevel"/>
    <w:tmpl w:val="C370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115157"/>
    <w:multiLevelType w:val="multilevel"/>
    <w:tmpl w:val="CF50D33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134" w:hanging="414"/>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E65E8E"/>
    <w:multiLevelType w:val="hybridMultilevel"/>
    <w:tmpl w:val="589E3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4777BA"/>
    <w:multiLevelType w:val="hybridMultilevel"/>
    <w:tmpl w:val="FF006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B84975"/>
    <w:multiLevelType w:val="hybridMultilevel"/>
    <w:tmpl w:val="85406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B80984"/>
    <w:multiLevelType w:val="hybridMultilevel"/>
    <w:tmpl w:val="86364C5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F9A27EE"/>
    <w:multiLevelType w:val="hybridMultilevel"/>
    <w:tmpl w:val="37D4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4A1FB7"/>
    <w:multiLevelType w:val="hybridMultilevel"/>
    <w:tmpl w:val="C23E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60625FB"/>
    <w:multiLevelType w:val="hybridMultilevel"/>
    <w:tmpl w:val="70DE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3619FA"/>
    <w:multiLevelType w:val="hybridMultilevel"/>
    <w:tmpl w:val="7DE07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8"/>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16"/>
  </w:num>
  <w:num w:numId="9">
    <w:abstractNumId w:val="19"/>
  </w:num>
  <w:num w:numId="10">
    <w:abstractNumId w:val="23"/>
  </w:num>
  <w:num w:numId="11">
    <w:abstractNumId w:val="26"/>
  </w:num>
  <w:num w:numId="12">
    <w:abstractNumId w:val="17"/>
  </w:num>
  <w:num w:numId="13">
    <w:abstractNumId w:val="34"/>
  </w:num>
  <w:num w:numId="14">
    <w:abstractNumId w:val="11"/>
  </w:num>
  <w:num w:numId="15">
    <w:abstractNumId w:val="37"/>
  </w:num>
  <w:num w:numId="16">
    <w:abstractNumId w:val="27"/>
  </w:num>
  <w:num w:numId="17">
    <w:abstractNumId w:val="4"/>
  </w:num>
  <w:num w:numId="18">
    <w:abstractNumId w:val="10"/>
  </w:num>
  <w:num w:numId="19">
    <w:abstractNumId w:val="6"/>
  </w:num>
  <w:num w:numId="20">
    <w:abstractNumId w:val="12"/>
  </w:num>
  <w:num w:numId="21">
    <w:abstractNumId w:val="25"/>
  </w:num>
  <w:num w:numId="22">
    <w:abstractNumId w:val="32"/>
  </w:num>
  <w:num w:numId="23">
    <w:abstractNumId w:val="36"/>
  </w:num>
  <w:num w:numId="24">
    <w:abstractNumId w:val="6"/>
  </w:num>
  <w:num w:numId="25">
    <w:abstractNumId w:val="9"/>
  </w:num>
  <w:num w:numId="26">
    <w:abstractNumId w:val="30"/>
  </w:num>
  <w:num w:numId="27">
    <w:abstractNumId w:val="33"/>
  </w:num>
  <w:num w:numId="28">
    <w:abstractNumId w:val="6"/>
  </w:num>
  <w:num w:numId="29">
    <w:abstractNumId w:val="6"/>
  </w:num>
  <w:num w:numId="30">
    <w:abstractNumId w:val="35"/>
  </w:num>
  <w:num w:numId="31">
    <w:abstractNumId w:val="29"/>
  </w:num>
  <w:num w:numId="32">
    <w:abstractNumId w:val="15"/>
  </w:num>
  <w:num w:numId="33">
    <w:abstractNumId w:val="8"/>
  </w:num>
  <w:num w:numId="34">
    <w:abstractNumId w:val="31"/>
  </w:num>
  <w:num w:numId="35">
    <w:abstractNumId w:val="13"/>
  </w:num>
  <w:num w:numId="36">
    <w:abstractNumId w:val="7"/>
  </w:num>
  <w:num w:numId="37">
    <w:abstractNumId w:val="24"/>
  </w:num>
  <w:num w:numId="38">
    <w:abstractNumId w:val="38"/>
  </w:num>
  <w:num w:numId="39">
    <w:abstractNumId w:val="21"/>
  </w:num>
  <w:num w:numId="40">
    <w:abstractNumId w:val="3"/>
  </w:num>
  <w:num w:numId="41">
    <w:abstractNumId w:val="22"/>
  </w:num>
  <w:num w:numId="42">
    <w:abstractNumId w:val="2"/>
  </w:num>
  <w:num w:numId="4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1C0B"/>
    <w:rsid w:val="00002B74"/>
    <w:rsid w:val="00005921"/>
    <w:rsid w:val="000078B6"/>
    <w:rsid w:val="00015F3A"/>
    <w:rsid w:val="000322AF"/>
    <w:rsid w:val="00032567"/>
    <w:rsid w:val="000423DD"/>
    <w:rsid w:val="0004492F"/>
    <w:rsid w:val="00046925"/>
    <w:rsid w:val="0005083D"/>
    <w:rsid w:val="00055FBE"/>
    <w:rsid w:val="000564A4"/>
    <w:rsid w:val="00061785"/>
    <w:rsid w:val="00067ED7"/>
    <w:rsid w:val="00076AA6"/>
    <w:rsid w:val="00081559"/>
    <w:rsid w:val="00081C82"/>
    <w:rsid w:val="00091329"/>
    <w:rsid w:val="00092B66"/>
    <w:rsid w:val="00092F1C"/>
    <w:rsid w:val="000A0FB9"/>
    <w:rsid w:val="000A7946"/>
    <w:rsid w:val="000B0212"/>
    <w:rsid w:val="000C0F12"/>
    <w:rsid w:val="000C3FD8"/>
    <w:rsid w:val="000D647D"/>
    <w:rsid w:val="000D71F9"/>
    <w:rsid w:val="000D73FB"/>
    <w:rsid w:val="000D78C0"/>
    <w:rsid w:val="000E06DE"/>
    <w:rsid w:val="000F064A"/>
    <w:rsid w:val="000F400E"/>
    <w:rsid w:val="000F7A58"/>
    <w:rsid w:val="001104D7"/>
    <w:rsid w:val="00111482"/>
    <w:rsid w:val="00111C3D"/>
    <w:rsid w:val="0011289D"/>
    <w:rsid w:val="00126AE0"/>
    <w:rsid w:val="00136579"/>
    <w:rsid w:val="00143AA9"/>
    <w:rsid w:val="0014560E"/>
    <w:rsid w:val="00146B6E"/>
    <w:rsid w:val="001540BF"/>
    <w:rsid w:val="001641A1"/>
    <w:rsid w:val="0016445B"/>
    <w:rsid w:val="00167E27"/>
    <w:rsid w:val="0017122A"/>
    <w:rsid w:val="001745BD"/>
    <w:rsid w:val="00175A74"/>
    <w:rsid w:val="001778DC"/>
    <w:rsid w:val="00184742"/>
    <w:rsid w:val="001906F0"/>
    <w:rsid w:val="0019736B"/>
    <w:rsid w:val="001A0F18"/>
    <w:rsid w:val="001A27ED"/>
    <w:rsid w:val="001A5FF2"/>
    <w:rsid w:val="001A672F"/>
    <w:rsid w:val="001B2E59"/>
    <w:rsid w:val="001B3A5A"/>
    <w:rsid w:val="001B58C1"/>
    <w:rsid w:val="001B6F7C"/>
    <w:rsid w:val="001C08B6"/>
    <w:rsid w:val="001C5597"/>
    <w:rsid w:val="001D64C3"/>
    <w:rsid w:val="001E1498"/>
    <w:rsid w:val="001E34E6"/>
    <w:rsid w:val="00202110"/>
    <w:rsid w:val="00202A71"/>
    <w:rsid w:val="00203D7D"/>
    <w:rsid w:val="00206388"/>
    <w:rsid w:val="00212354"/>
    <w:rsid w:val="00214486"/>
    <w:rsid w:val="00220994"/>
    <w:rsid w:val="0022116C"/>
    <w:rsid w:val="002211D5"/>
    <w:rsid w:val="00225B62"/>
    <w:rsid w:val="00226068"/>
    <w:rsid w:val="00226F63"/>
    <w:rsid w:val="002374D8"/>
    <w:rsid w:val="00241060"/>
    <w:rsid w:val="00242EBE"/>
    <w:rsid w:val="00264AAD"/>
    <w:rsid w:val="00276D23"/>
    <w:rsid w:val="0028276C"/>
    <w:rsid w:val="00284C50"/>
    <w:rsid w:val="002900B5"/>
    <w:rsid w:val="002923D5"/>
    <w:rsid w:val="00292A11"/>
    <w:rsid w:val="00294827"/>
    <w:rsid w:val="002966E7"/>
    <w:rsid w:val="002A37F3"/>
    <w:rsid w:val="002A7551"/>
    <w:rsid w:val="002B0E8C"/>
    <w:rsid w:val="002B49FA"/>
    <w:rsid w:val="002C189F"/>
    <w:rsid w:val="002C3C91"/>
    <w:rsid w:val="002C52BD"/>
    <w:rsid w:val="002D2D74"/>
    <w:rsid w:val="002D3B94"/>
    <w:rsid w:val="002D54E4"/>
    <w:rsid w:val="002D59AC"/>
    <w:rsid w:val="002E6E07"/>
    <w:rsid w:val="002F3F17"/>
    <w:rsid w:val="00304C2F"/>
    <w:rsid w:val="00305A17"/>
    <w:rsid w:val="0031381B"/>
    <w:rsid w:val="00313A1A"/>
    <w:rsid w:val="00315B36"/>
    <w:rsid w:val="003207FD"/>
    <w:rsid w:val="0032250B"/>
    <w:rsid w:val="00322D0A"/>
    <w:rsid w:val="0032332A"/>
    <w:rsid w:val="003249FF"/>
    <w:rsid w:val="00336E5B"/>
    <w:rsid w:val="00351636"/>
    <w:rsid w:val="00354B89"/>
    <w:rsid w:val="0036053A"/>
    <w:rsid w:val="003610FD"/>
    <w:rsid w:val="00367670"/>
    <w:rsid w:val="00383AC5"/>
    <w:rsid w:val="00393658"/>
    <w:rsid w:val="003A021F"/>
    <w:rsid w:val="003B35E9"/>
    <w:rsid w:val="003B43E9"/>
    <w:rsid w:val="003C0392"/>
    <w:rsid w:val="003C2C63"/>
    <w:rsid w:val="003C30F8"/>
    <w:rsid w:val="003C4F5D"/>
    <w:rsid w:val="003C608D"/>
    <w:rsid w:val="003D2E3A"/>
    <w:rsid w:val="003D4520"/>
    <w:rsid w:val="003D728F"/>
    <w:rsid w:val="003D7349"/>
    <w:rsid w:val="003E47D5"/>
    <w:rsid w:val="003E7365"/>
    <w:rsid w:val="003F5B58"/>
    <w:rsid w:val="003F60A8"/>
    <w:rsid w:val="004157E2"/>
    <w:rsid w:val="00417AD7"/>
    <w:rsid w:val="00421C94"/>
    <w:rsid w:val="004331A9"/>
    <w:rsid w:val="00436B5C"/>
    <w:rsid w:val="0043759F"/>
    <w:rsid w:val="00445420"/>
    <w:rsid w:val="004607C3"/>
    <w:rsid w:val="00467BA1"/>
    <w:rsid w:val="00472279"/>
    <w:rsid w:val="00473AE6"/>
    <w:rsid w:val="00485223"/>
    <w:rsid w:val="00485B64"/>
    <w:rsid w:val="004924D7"/>
    <w:rsid w:val="004928EB"/>
    <w:rsid w:val="00492D52"/>
    <w:rsid w:val="004A40E2"/>
    <w:rsid w:val="004A4BCA"/>
    <w:rsid w:val="004A67FA"/>
    <w:rsid w:val="004B032A"/>
    <w:rsid w:val="004B1A2D"/>
    <w:rsid w:val="004C105C"/>
    <w:rsid w:val="004C28A1"/>
    <w:rsid w:val="004C578F"/>
    <w:rsid w:val="004C5797"/>
    <w:rsid w:val="004C78F9"/>
    <w:rsid w:val="004D0B3D"/>
    <w:rsid w:val="004E2913"/>
    <w:rsid w:val="004E4E95"/>
    <w:rsid w:val="004E64FE"/>
    <w:rsid w:val="004F1D29"/>
    <w:rsid w:val="004F62FF"/>
    <w:rsid w:val="004F7581"/>
    <w:rsid w:val="005009B6"/>
    <w:rsid w:val="0050100C"/>
    <w:rsid w:val="00501FB2"/>
    <w:rsid w:val="00514D35"/>
    <w:rsid w:val="00515E5C"/>
    <w:rsid w:val="00521A4E"/>
    <w:rsid w:val="00522877"/>
    <w:rsid w:val="005252F4"/>
    <w:rsid w:val="00531E4D"/>
    <w:rsid w:val="00535A26"/>
    <w:rsid w:val="00544A2E"/>
    <w:rsid w:val="00546211"/>
    <w:rsid w:val="0055121C"/>
    <w:rsid w:val="0055609C"/>
    <w:rsid w:val="0055673F"/>
    <w:rsid w:val="00556EC8"/>
    <w:rsid w:val="00561AA2"/>
    <w:rsid w:val="0056385F"/>
    <w:rsid w:val="00572825"/>
    <w:rsid w:val="00574DED"/>
    <w:rsid w:val="00587116"/>
    <w:rsid w:val="0058716B"/>
    <w:rsid w:val="00590F85"/>
    <w:rsid w:val="00591D39"/>
    <w:rsid w:val="00597E69"/>
    <w:rsid w:val="005A3E3C"/>
    <w:rsid w:val="005B0245"/>
    <w:rsid w:val="005B0E55"/>
    <w:rsid w:val="005B0FE4"/>
    <w:rsid w:val="005B4457"/>
    <w:rsid w:val="005D6995"/>
    <w:rsid w:val="005E0922"/>
    <w:rsid w:val="005E0B99"/>
    <w:rsid w:val="005E6246"/>
    <w:rsid w:val="005F0BD5"/>
    <w:rsid w:val="005F19A4"/>
    <w:rsid w:val="005F59C8"/>
    <w:rsid w:val="005F61DE"/>
    <w:rsid w:val="0060157A"/>
    <w:rsid w:val="006062E5"/>
    <w:rsid w:val="0061071D"/>
    <w:rsid w:val="006144EF"/>
    <w:rsid w:val="00616293"/>
    <w:rsid w:val="00623058"/>
    <w:rsid w:val="006261C2"/>
    <w:rsid w:val="00631832"/>
    <w:rsid w:val="00634820"/>
    <w:rsid w:val="00637895"/>
    <w:rsid w:val="00643AC5"/>
    <w:rsid w:val="006447CF"/>
    <w:rsid w:val="006503D7"/>
    <w:rsid w:val="00650AB3"/>
    <w:rsid w:val="00652139"/>
    <w:rsid w:val="00653409"/>
    <w:rsid w:val="0065668D"/>
    <w:rsid w:val="00665E2B"/>
    <w:rsid w:val="00667592"/>
    <w:rsid w:val="006710E9"/>
    <w:rsid w:val="00676E3A"/>
    <w:rsid w:val="00683B54"/>
    <w:rsid w:val="00683D9D"/>
    <w:rsid w:val="00692666"/>
    <w:rsid w:val="00695AC2"/>
    <w:rsid w:val="006A67B3"/>
    <w:rsid w:val="006A7A35"/>
    <w:rsid w:val="006B43DF"/>
    <w:rsid w:val="006B6EAB"/>
    <w:rsid w:val="006C7EFD"/>
    <w:rsid w:val="006D0101"/>
    <w:rsid w:val="006D146E"/>
    <w:rsid w:val="006D24B7"/>
    <w:rsid w:val="006D39CC"/>
    <w:rsid w:val="006D44B5"/>
    <w:rsid w:val="006E5A81"/>
    <w:rsid w:val="006E71DB"/>
    <w:rsid w:val="006F138D"/>
    <w:rsid w:val="006F2676"/>
    <w:rsid w:val="0070186F"/>
    <w:rsid w:val="007021A3"/>
    <w:rsid w:val="00710E5E"/>
    <w:rsid w:val="007309AE"/>
    <w:rsid w:val="00734B0C"/>
    <w:rsid w:val="00746627"/>
    <w:rsid w:val="00746D25"/>
    <w:rsid w:val="00750146"/>
    <w:rsid w:val="00750BEF"/>
    <w:rsid w:val="007514EE"/>
    <w:rsid w:val="007519A5"/>
    <w:rsid w:val="00752CDE"/>
    <w:rsid w:val="007532E0"/>
    <w:rsid w:val="00756CD1"/>
    <w:rsid w:val="00772EF2"/>
    <w:rsid w:val="00776714"/>
    <w:rsid w:val="007872BF"/>
    <w:rsid w:val="00790B92"/>
    <w:rsid w:val="00793116"/>
    <w:rsid w:val="007A2A21"/>
    <w:rsid w:val="007A6A58"/>
    <w:rsid w:val="007A6A6C"/>
    <w:rsid w:val="007A73EB"/>
    <w:rsid w:val="007B468C"/>
    <w:rsid w:val="007B6B42"/>
    <w:rsid w:val="007C073B"/>
    <w:rsid w:val="007C4A7B"/>
    <w:rsid w:val="007C6864"/>
    <w:rsid w:val="007D0848"/>
    <w:rsid w:val="007D327A"/>
    <w:rsid w:val="007D372A"/>
    <w:rsid w:val="007D5265"/>
    <w:rsid w:val="007D5D41"/>
    <w:rsid w:val="007E25A2"/>
    <w:rsid w:val="007F2A2A"/>
    <w:rsid w:val="007F3156"/>
    <w:rsid w:val="007F4E0A"/>
    <w:rsid w:val="007F6500"/>
    <w:rsid w:val="007F6A60"/>
    <w:rsid w:val="00804429"/>
    <w:rsid w:val="008113B1"/>
    <w:rsid w:val="008116EF"/>
    <w:rsid w:val="00811983"/>
    <w:rsid w:val="00814DB9"/>
    <w:rsid w:val="00821E12"/>
    <w:rsid w:val="00822942"/>
    <w:rsid w:val="0082566E"/>
    <w:rsid w:val="00834551"/>
    <w:rsid w:val="00834AFE"/>
    <w:rsid w:val="0084067F"/>
    <w:rsid w:val="00844941"/>
    <w:rsid w:val="00850D76"/>
    <w:rsid w:val="00853FD6"/>
    <w:rsid w:val="008631A9"/>
    <w:rsid w:val="00865C72"/>
    <w:rsid w:val="00867491"/>
    <w:rsid w:val="00870053"/>
    <w:rsid w:val="00871FA2"/>
    <w:rsid w:val="00872D6E"/>
    <w:rsid w:val="00873563"/>
    <w:rsid w:val="008765FF"/>
    <w:rsid w:val="008843F9"/>
    <w:rsid w:val="008939B0"/>
    <w:rsid w:val="008A1B59"/>
    <w:rsid w:val="008A2546"/>
    <w:rsid w:val="008A6E76"/>
    <w:rsid w:val="008B316E"/>
    <w:rsid w:val="008C12AA"/>
    <w:rsid w:val="008C38F4"/>
    <w:rsid w:val="008D00C6"/>
    <w:rsid w:val="008D30C5"/>
    <w:rsid w:val="008D6194"/>
    <w:rsid w:val="008E0D01"/>
    <w:rsid w:val="008E1CE7"/>
    <w:rsid w:val="008E21EC"/>
    <w:rsid w:val="008E4DA0"/>
    <w:rsid w:val="008E612A"/>
    <w:rsid w:val="00907004"/>
    <w:rsid w:val="009152EC"/>
    <w:rsid w:val="0091533D"/>
    <w:rsid w:val="009168DC"/>
    <w:rsid w:val="00924595"/>
    <w:rsid w:val="009253C2"/>
    <w:rsid w:val="00933B39"/>
    <w:rsid w:val="00936382"/>
    <w:rsid w:val="00937620"/>
    <w:rsid w:val="009424D7"/>
    <w:rsid w:val="0095097D"/>
    <w:rsid w:val="009528B9"/>
    <w:rsid w:val="00954670"/>
    <w:rsid w:val="0095557A"/>
    <w:rsid w:val="00955C03"/>
    <w:rsid w:val="00962A02"/>
    <w:rsid w:val="009658D1"/>
    <w:rsid w:val="00966EB0"/>
    <w:rsid w:val="00967B7A"/>
    <w:rsid w:val="009709B2"/>
    <w:rsid w:val="00972397"/>
    <w:rsid w:val="0097493D"/>
    <w:rsid w:val="00980658"/>
    <w:rsid w:val="00986538"/>
    <w:rsid w:val="00990E43"/>
    <w:rsid w:val="00995C94"/>
    <w:rsid w:val="009A10F1"/>
    <w:rsid w:val="009A37F6"/>
    <w:rsid w:val="009A52B1"/>
    <w:rsid w:val="009A5A1D"/>
    <w:rsid w:val="009A741D"/>
    <w:rsid w:val="009B316C"/>
    <w:rsid w:val="009C332A"/>
    <w:rsid w:val="009C4DA9"/>
    <w:rsid w:val="009C4E05"/>
    <w:rsid w:val="009C5E66"/>
    <w:rsid w:val="009D1163"/>
    <w:rsid w:val="009D5AE8"/>
    <w:rsid w:val="009E56E1"/>
    <w:rsid w:val="009F1AE2"/>
    <w:rsid w:val="009F1D0F"/>
    <w:rsid w:val="009F47BD"/>
    <w:rsid w:val="00A021CC"/>
    <w:rsid w:val="00A04D33"/>
    <w:rsid w:val="00A05D1E"/>
    <w:rsid w:val="00A113D9"/>
    <w:rsid w:val="00A12BE8"/>
    <w:rsid w:val="00A13D3E"/>
    <w:rsid w:val="00A16CBA"/>
    <w:rsid w:val="00A25ED3"/>
    <w:rsid w:val="00A355FD"/>
    <w:rsid w:val="00A366BD"/>
    <w:rsid w:val="00A370B7"/>
    <w:rsid w:val="00A41716"/>
    <w:rsid w:val="00A51CF3"/>
    <w:rsid w:val="00A52BC8"/>
    <w:rsid w:val="00A53C45"/>
    <w:rsid w:val="00A54BF3"/>
    <w:rsid w:val="00A61616"/>
    <w:rsid w:val="00A63B27"/>
    <w:rsid w:val="00A6579D"/>
    <w:rsid w:val="00A7079F"/>
    <w:rsid w:val="00A70886"/>
    <w:rsid w:val="00A72180"/>
    <w:rsid w:val="00A81141"/>
    <w:rsid w:val="00A814FD"/>
    <w:rsid w:val="00A93930"/>
    <w:rsid w:val="00AB07D9"/>
    <w:rsid w:val="00AB2FE2"/>
    <w:rsid w:val="00AB4311"/>
    <w:rsid w:val="00AB49D3"/>
    <w:rsid w:val="00AC4042"/>
    <w:rsid w:val="00AC4F38"/>
    <w:rsid w:val="00AC7DE9"/>
    <w:rsid w:val="00AD6796"/>
    <w:rsid w:val="00AD68A5"/>
    <w:rsid w:val="00AE22B8"/>
    <w:rsid w:val="00AE3F93"/>
    <w:rsid w:val="00AE66D5"/>
    <w:rsid w:val="00AE787C"/>
    <w:rsid w:val="00AF01BD"/>
    <w:rsid w:val="00AF0672"/>
    <w:rsid w:val="00AF1D21"/>
    <w:rsid w:val="00AF24B8"/>
    <w:rsid w:val="00B02FD3"/>
    <w:rsid w:val="00B06045"/>
    <w:rsid w:val="00B061E2"/>
    <w:rsid w:val="00B075D1"/>
    <w:rsid w:val="00B162F1"/>
    <w:rsid w:val="00B17D9B"/>
    <w:rsid w:val="00B27463"/>
    <w:rsid w:val="00B3202E"/>
    <w:rsid w:val="00B32455"/>
    <w:rsid w:val="00B32505"/>
    <w:rsid w:val="00B35A29"/>
    <w:rsid w:val="00B46D25"/>
    <w:rsid w:val="00B50114"/>
    <w:rsid w:val="00B50470"/>
    <w:rsid w:val="00B52422"/>
    <w:rsid w:val="00B562C2"/>
    <w:rsid w:val="00B71C39"/>
    <w:rsid w:val="00B72DA8"/>
    <w:rsid w:val="00B74C7A"/>
    <w:rsid w:val="00B77E56"/>
    <w:rsid w:val="00B823D0"/>
    <w:rsid w:val="00B838C5"/>
    <w:rsid w:val="00B90A58"/>
    <w:rsid w:val="00B93EC3"/>
    <w:rsid w:val="00B956AD"/>
    <w:rsid w:val="00BA27F0"/>
    <w:rsid w:val="00BA70C2"/>
    <w:rsid w:val="00BA7342"/>
    <w:rsid w:val="00BB0E53"/>
    <w:rsid w:val="00BB4BF7"/>
    <w:rsid w:val="00BC1962"/>
    <w:rsid w:val="00BC2DAD"/>
    <w:rsid w:val="00BC456C"/>
    <w:rsid w:val="00BC6289"/>
    <w:rsid w:val="00BC722D"/>
    <w:rsid w:val="00BC7FB7"/>
    <w:rsid w:val="00BD002B"/>
    <w:rsid w:val="00BD4B1D"/>
    <w:rsid w:val="00BD69AE"/>
    <w:rsid w:val="00BE0483"/>
    <w:rsid w:val="00BE70FC"/>
    <w:rsid w:val="00BF110A"/>
    <w:rsid w:val="00BF2639"/>
    <w:rsid w:val="00BF27F7"/>
    <w:rsid w:val="00BF5BBA"/>
    <w:rsid w:val="00C0115D"/>
    <w:rsid w:val="00C01E64"/>
    <w:rsid w:val="00C05B89"/>
    <w:rsid w:val="00C15DAE"/>
    <w:rsid w:val="00C22381"/>
    <w:rsid w:val="00C24B9E"/>
    <w:rsid w:val="00C32B7D"/>
    <w:rsid w:val="00C34DD1"/>
    <w:rsid w:val="00C36CD5"/>
    <w:rsid w:val="00C431F9"/>
    <w:rsid w:val="00C462FB"/>
    <w:rsid w:val="00C50990"/>
    <w:rsid w:val="00C53102"/>
    <w:rsid w:val="00C571AA"/>
    <w:rsid w:val="00C60C25"/>
    <w:rsid w:val="00C6227E"/>
    <w:rsid w:val="00C629CA"/>
    <w:rsid w:val="00C63075"/>
    <w:rsid w:val="00C71760"/>
    <w:rsid w:val="00C77118"/>
    <w:rsid w:val="00C85739"/>
    <w:rsid w:val="00C92722"/>
    <w:rsid w:val="00C962BE"/>
    <w:rsid w:val="00CA277E"/>
    <w:rsid w:val="00CB12E7"/>
    <w:rsid w:val="00CB3A09"/>
    <w:rsid w:val="00CB7818"/>
    <w:rsid w:val="00CC1DEC"/>
    <w:rsid w:val="00CC2CD0"/>
    <w:rsid w:val="00CC59CA"/>
    <w:rsid w:val="00CC7471"/>
    <w:rsid w:val="00CC76E7"/>
    <w:rsid w:val="00CD6E50"/>
    <w:rsid w:val="00CE339A"/>
    <w:rsid w:val="00CE7764"/>
    <w:rsid w:val="00CE7D8A"/>
    <w:rsid w:val="00CF032A"/>
    <w:rsid w:val="00D050A8"/>
    <w:rsid w:val="00D05827"/>
    <w:rsid w:val="00D1426C"/>
    <w:rsid w:val="00D16212"/>
    <w:rsid w:val="00D23D2A"/>
    <w:rsid w:val="00D252F4"/>
    <w:rsid w:val="00D415F7"/>
    <w:rsid w:val="00D4534C"/>
    <w:rsid w:val="00D4794C"/>
    <w:rsid w:val="00D566F9"/>
    <w:rsid w:val="00D70208"/>
    <w:rsid w:val="00D729C9"/>
    <w:rsid w:val="00D74045"/>
    <w:rsid w:val="00D76B72"/>
    <w:rsid w:val="00D771E2"/>
    <w:rsid w:val="00D860A9"/>
    <w:rsid w:val="00D91210"/>
    <w:rsid w:val="00D93349"/>
    <w:rsid w:val="00DA2981"/>
    <w:rsid w:val="00DB0902"/>
    <w:rsid w:val="00DB15D0"/>
    <w:rsid w:val="00DB4942"/>
    <w:rsid w:val="00DB5845"/>
    <w:rsid w:val="00DC2549"/>
    <w:rsid w:val="00DD5593"/>
    <w:rsid w:val="00DD64D2"/>
    <w:rsid w:val="00DE1A68"/>
    <w:rsid w:val="00DE1F11"/>
    <w:rsid w:val="00DE4088"/>
    <w:rsid w:val="00DE6A0F"/>
    <w:rsid w:val="00DF7134"/>
    <w:rsid w:val="00DF754D"/>
    <w:rsid w:val="00DF7AA3"/>
    <w:rsid w:val="00E01C59"/>
    <w:rsid w:val="00E07757"/>
    <w:rsid w:val="00E14972"/>
    <w:rsid w:val="00E153CA"/>
    <w:rsid w:val="00E202B8"/>
    <w:rsid w:val="00E37317"/>
    <w:rsid w:val="00E42431"/>
    <w:rsid w:val="00E549D7"/>
    <w:rsid w:val="00E61038"/>
    <w:rsid w:val="00E707CF"/>
    <w:rsid w:val="00E77664"/>
    <w:rsid w:val="00E824DD"/>
    <w:rsid w:val="00E84D99"/>
    <w:rsid w:val="00E901CA"/>
    <w:rsid w:val="00E90710"/>
    <w:rsid w:val="00E97202"/>
    <w:rsid w:val="00EA06EE"/>
    <w:rsid w:val="00EA43A8"/>
    <w:rsid w:val="00EA4B48"/>
    <w:rsid w:val="00EA7D4A"/>
    <w:rsid w:val="00EB0178"/>
    <w:rsid w:val="00EB4AFE"/>
    <w:rsid w:val="00EC514F"/>
    <w:rsid w:val="00ED00AF"/>
    <w:rsid w:val="00ED48E4"/>
    <w:rsid w:val="00ED4E55"/>
    <w:rsid w:val="00ED516B"/>
    <w:rsid w:val="00ED58D3"/>
    <w:rsid w:val="00EE04A0"/>
    <w:rsid w:val="00EF06A9"/>
    <w:rsid w:val="00EF1033"/>
    <w:rsid w:val="00EF2C79"/>
    <w:rsid w:val="00EF35A0"/>
    <w:rsid w:val="00F07C00"/>
    <w:rsid w:val="00F1256C"/>
    <w:rsid w:val="00F147FC"/>
    <w:rsid w:val="00F25AC2"/>
    <w:rsid w:val="00F2774A"/>
    <w:rsid w:val="00F41CCF"/>
    <w:rsid w:val="00F42451"/>
    <w:rsid w:val="00F42DAD"/>
    <w:rsid w:val="00F440E7"/>
    <w:rsid w:val="00F44C38"/>
    <w:rsid w:val="00F46B90"/>
    <w:rsid w:val="00F509FA"/>
    <w:rsid w:val="00F63357"/>
    <w:rsid w:val="00F6374D"/>
    <w:rsid w:val="00F75AF8"/>
    <w:rsid w:val="00F85D7B"/>
    <w:rsid w:val="00F968AD"/>
    <w:rsid w:val="00F97992"/>
    <w:rsid w:val="00FA280E"/>
    <w:rsid w:val="00FA2E27"/>
    <w:rsid w:val="00FA374A"/>
    <w:rsid w:val="00FB3BF4"/>
    <w:rsid w:val="00FB40AE"/>
    <w:rsid w:val="00FB7922"/>
    <w:rsid w:val="00FC011C"/>
    <w:rsid w:val="00FD0C25"/>
    <w:rsid w:val="00FD558C"/>
    <w:rsid w:val="00FE0302"/>
    <w:rsid w:val="00FE20AD"/>
    <w:rsid w:val="00FF054E"/>
    <w:rsid w:val="00FF3BAE"/>
    <w:rsid w:val="00FF3D92"/>
    <w:rsid w:val="00FF518E"/>
    <w:rsid w:val="00FF69C9"/>
    <w:rsid w:val="00FF7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paragraph" w:customStyle="1" w:styleId="Figure">
    <w:name w:val="Figure"/>
    <w:basedOn w:val="Normal"/>
    <w:rsid w:val="00DB4942"/>
    <w:pPr>
      <w:widowControl w:val="0"/>
      <w:spacing w:before="60" w:after="0" w:line="240" w:lineRule="auto"/>
      <w:jc w:val="center"/>
    </w:pPr>
    <w:rPr>
      <w:rFonts w:ascii="Calibri" w:hAnsi="Calibri"/>
      <w:sz w:val="24"/>
    </w:rPr>
  </w:style>
  <w:style w:type="paragraph" w:customStyle="1" w:styleId="Style1">
    <w:name w:val="Style1"/>
    <w:basedOn w:val="Normal"/>
    <w:rsid w:val="00091329"/>
    <w:pPr>
      <w:numPr>
        <w:numId w:val="19"/>
      </w:numPr>
      <w:spacing w:before="60" w:after="60" w:line="240" w:lineRule="auto"/>
      <w:jc w:val="both"/>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RIESbriefreports">
    <w:name w:val="RIES brief/reports"/>
    <w:basedOn w:val="Heading1"/>
    <w:next w:val="Normal"/>
    <w:link w:val="RIESbriefreportsChar"/>
    <w:qFormat/>
    <w:rsid w:val="007B6B42"/>
    <w:pPr>
      <w:pBdr>
        <w:bottom w:val="single" w:sz="4" w:space="1" w:color="auto"/>
      </w:pBdr>
      <w:spacing w:line="276" w:lineRule="auto"/>
    </w:pPr>
    <w:rPr>
      <w:rFonts w:asciiTheme="minorHAnsi" w:hAnsiTheme="minorHAnsi" w:cstheme="minorHAnsi"/>
      <w:color w:val="365F91" w:themeColor="accent1" w:themeShade="BF"/>
      <w:sz w:val="24"/>
      <w:lang w:eastAsia="en-US"/>
    </w:rPr>
  </w:style>
  <w:style w:type="character" w:customStyle="1" w:styleId="RIESbriefreportsChar">
    <w:name w:val="RIES brief/reports Char"/>
    <w:basedOn w:val="DefaultParagraphFont"/>
    <w:link w:val="RIESbriefreports"/>
    <w:rsid w:val="007B6B42"/>
    <w:rPr>
      <w:rFonts w:asciiTheme="minorHAnsi" w:eastAsiaTheme="majorEastAsia" w:hAnsiTheme="minorHAnsi" w:cstheme="minorHAnsi"/>
      <w:b/>
      <w:bCs/>
      <w:color w:val="365F91" w:themeColor="accent1" w:themeShade="BF"/>
      <w:sz w:val="24"/>
      <w:szCs w:val="28"/>
      <w:lang w:eastAsia="en-US"/>
    </w:rPr>
  </w:style>
  <w:style w:type="paragraph" w:customStyle="1" w:styleId="Figure">
    <w:name w:val="Figure"/>
    <w:basedOn w:val="Normal"/>
    <w:rsid w:val="00DB4942"/>
    <w:pPr>
      <w:widowControl w:val="0"/>
      <w:spacing w:before="60" w:after="0" w:line="240" w:lineRule="auto"/>
      <w:jc w:val="center"/>
    </w:pPr>
    <w:rPr>
      <w:rFonts w:ascii="Calibri" w:hAnsi="Calibri"/>
      <w:sz w:val="24"/>
    </w:rPr>
  </w:style>
  <w:style w:type="paragraph" w:customStyle="1" w:styleId="Style1">
    <w:name w:val="Style1"/>
    <w:basedOn w:val="Normal"/>
    <w:rsid w:val="00091329"/>
    <w:pPr>
      <w:numPr>
        <w:numId w:val="19"/>
      </w:numPr>
      <w:spacing w:before="60" w:after="60" w:line="240" w:lineRule="auto"/>
      <w:jc w:val="both"/>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3697">
      <w:bodyDiv w:val="1"/>
      <w:marLeft w:val="0"/>
      <w:marRight w:val="0"/>
      <w:marTop w:val="0"/>
      <w:marBottom w:val="0"/>
      <w:divBdr>
        <w:top w:val="none" w:sz="0" w:space="0" w:color="auto"/>
        <w:left w:val="none" w:sz="0" w:space="0" w:color="auto"/>
        <w:bottom w:val="none" w:sz="0" w:space="0" w:color="auto"/>
        <w:right w:val="none" w:sz="0" w:space="0" w:color="auto"/>
      </w:divBdr>
    </w:div>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306205497">
      <w:bodyDiv w:val="1"/>
      <w:marLeft w:val="0"/>
      <w:marRight w:val="0"/>
      <w:marTop w:val="0"/>
      <w:marBottom w:val="0"/>
      <w:divBdr>
        <w:top w:val="none" w:sz="0" w:space="0" w:color="auto"/>
        <w:left w:val="none" w:sz="0" w:space="0" w:color="auto"/>
        <w:bottom w:val="none" w:sz="0" w:space="0" w:color="auto"/>
        <w:right w:val="none" w:sz="0" w:space="0" w:color="auto"/>
      </w:divBdr>
    </w:div>
    <w:div w:id="306860184">
      <w:bodyDiv w:val="1"/>
      <w:marLeft w:val="0"/>
      <w:marRight w:val="0"/>
      <w:marTop w:val="0"/>
      <w:marBottom w:val="0"/>
      <w:divBdr>
        <w:top w:val="none" w:sz="0" w:space="0" w:color="auto"/>
        <w:left w:val="none" w:sz="0" w:space="0" w:color="auto"/>
        <w:bottom w:val="none" w:sz="0" w:space="0" w:color="auto"/>
        <w:right w:val="none" w:sz="0" w:space="0" w:color="auto"/>
      </w:divBdr>
    </w:div>
    <w:div w:id="355809625">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894899441">
      <w:bodyDiv w:val="1"/>
      <w:marLeft w:val="0"/>
      <w:marRight w:val="0"/>
      <w:marTop w:val="0"/>
      <w:marBottom w:val="0"/>
      <w:divBdr>
        <w:top w:val="none" w:sz="0" w:space="0" w:color="auto"/>
        <w:left w:val="none" w:sz="0" w:space="0" w:color="auto"/>
        <w:bottom w:val="none" w:sz="0" w:space="0" w:color="auto"/>
        <w:right w:val="none" w:sz="0" w:space="0" w:color="auto"/>
      </w:divBdr>
    </w:div>
    <w:div w:id="965888025">
      <w:bodyDiv w:val="1"/>
      <w:marLeft w:val="0"/>
      <w:marRight w:val="0"/>
      <w:marTop w:val="0"/>
      <w:marBottom w:val="0"/>
      <w:divBdr>
        <w:top w:val="none" w:sz="0" w:space="0" w:color="auto"/>
        <w:left w:val="none" w:sz="0" w:space="0" w:color="auto"/>
        <w:bottom w:val="none" w:sz="0" w:space="0" w:color="auto"/>
        <w:right w:val="none" w:sz="0" w:space="0" w:color="auto"/>
      </w:divBdr>
    </w:div>
    <w:div w:id="1032000266">
      <w:bodyDiv w:val="1"/>
      <w:marLeft w:val="0"/>
      <w:marRight w:val="0"/>
      <w:marTop w:val="0"/>
      <w:marBottom w:val="0"/>
      <w:divBdr>
        <w:top w:val="none" w:sz="0" w:space="0" w:color="auto"/>
        <w:left w:val="none" w:sz="0" w:space="0" w:color="auto"/>
        <w:bottom w:val="none" w:sz="0" w:space="0" w:color="auto"/>
        <w:right w:val="none" w:sz="0" w:space="0" w:color="auto"/>
      </w:divBdr>
    </w:div>
    <w:div w:id="1232470313">
      <w:bodyDiv w:val="1"/>
      <w:marLeft w:val="0"/>
      <w:marRight w:val="0"/>
      <w:marTop w:val="0"/>
      <w:marBottom w:val="0"/>
      <w:divBdr>
        <w:top w:val="none" w:sz="0" w:space="0" w:color="auto"/>
        <w:left w:val="none" w:sz="0" w:space="0" w:color="auto"/>
        <w:bottom w:val="none" w:sz="0" w:space="0" w:color="auto"/>
        <w:right w:val="none" w:sz="0" w:space="0" w:color="auto"/>
      </w:divBdr>
    </w:div>
    <w:div w:id="1284924251">
      <w:bodyDiv w:val="1"/>
      <w:marLeft w:val="0"/>
      <w:marRight w:val="0"/>
      <w:marTop w:val="0"/>
      <w:marBottom w:val="0"/>
      <w:divBdr>
        <w:top w:val="none" w:sz="0" w:space="0" w:color="auto"/>
        <w:left w:val="none" w:sz="0" w:space="0" w:color="auto"/>
        <w:bottom w:val="none" w:sz="0" w:space="0" w:color="auto"/>
        <w:right w:val="none" w:sz="0" w:space="0" w:color="auto"/>
      </w:divBdr>
    </w:div>
    <w:div w:id="1291208677">
      <w:bodyDiv w:val="1"/>
      <w:marLeft w:val="0"/>
      <w:marRight w:val="0"/>
      <w:marTop w:val="0"/>
      <w:marBottom w:val="0"/>
      <w:divBdr>
        <w:top w:val="none" w:sz="0" w:space="0" w:color="auto"/>
        <w:left w:val="none" w:sz="0" w:space="0" w:color="auto"/>
        <w:bottom w:val="none" w:sz="0" w:space="0" w:color="auto"/>
        <w:right w:val="none" w:sz="0" w:space="0" w:color="auto"/>
      </w:divBdr>
    </w:div>
    <w:div w:id="1345547852">
      <w:bodyDiv w:val="1"/>
      <w:marLeft w:val="0"/>
      <w:marRight w:val="0"/>
      <w:marTop w:val="0"/>
      <w:marBottom w:val="0"/>
      <w:divBdr>
        <w:top w:val="none" w:sz="0" w:space="0" w:color="auto"/>
        <w:left w:val="none" w:sz="0" w:space="0" w:color="auto"/>
        <w:bottom w:val="none" w:sz="0" w:space="0" w:color="auto"/>
        <w:right w:val="none" w:sz="0" w:space="0" w:color="auto"/>
      </w:divBdr>
    </w:div>
    <w:div w:id="1393624388">
      <w:bodyDiv w:val="1"/>
      <w:marLeft w:val="0"/>
      <w:marRight w:val="0"/>
      <w:marTop w:val="0"/>
      <w:marBottom w:val="0"/>
      <w:divBdr>
        <w:top w:val="none" w:sz="0" w:space="0" w:color="auto"/>
        <w:left w:val="none" w:sz="0" w:space="0" w:color="auto"/>
        <w:bottom w:val="none" w:sz="0" w:space="0" w:color="auto"/>
        <w:right w:val="none" w:sz="0" w:space="0" w:color="auto"/>
      </w:divBdr>
    </w:div>
    <w:div w:id="1461455377">
      <w:bodyDiv w:val="1"/>
      <w:marLeft w:val="0"/>
      <w:marRight w:val="0"/>
      <w:marTop w:val="0"/>
      <w:marBottom w:val="0"/>
      <w:divBdr>
        <w:top w:val="none" w:sz="0" w:space="0" w:color="auto"/>
        <w:left w:val="none" w:sz="0" w:space="0" w:color="auto"/>
        <w:bottom w:val="none" w:sz="0" w:space="0" w:color="auto"/>
        <w:right w:val="none" w:sz="0" w:space="0" w:color="auto"/>
      </w:divBdr>
    </w:div>
    <w:div w:id="1471023164">
      <w:bodyDiv w:val="1"/>
      <w:marLeft w:val="0"/>
      <w:marRight w:val="0"/>
      <w:marTop w:val="0"/>
      <w:marBottom w:val="0"/>
      <w:divBdr>
        <w:top w:val="none" w:sz="0" w:space="0" w:color="auto"/>
        <w:left w:val="none" w:sz="0" w:space="0" w:color="auto"/>
        <w:bottom w:val="none" w:sz="0" w:space="0" w:color="auto"/>
        <w:right w:val="none" w:sz="0" w:space="0" w:color="auto"/>
      </w:divBdr>
    </w:div>
    <w:div w:id="1613392272">
      <w:bodyDiv w:val="1"/>
      <w:marLeft w:val="0"/>
      <w:marRight w:val="0"/>
      <w:marTop w:val="0"/>
      <w:marBottom w:val="0"/>
      <w:divBdr>
        <w:top w:val="none" w:sz="0" w:space="0" w:color="auto"/>
        <w:left w:val="none" w:sz="0" w:space="0" w:color="auto"/>
        <w:bottom w:val="none" w:sz="0" w:space="0" w:color="auto"/>
        <w:right w:val="none" w:sz="0" w:space="0" w:color="auto"/>
      </w:divBdr>
    </w:div>
    <w:div w:id="1617250426">
      <w:bodyDiv w:val="1"/>
      <w:marLeft w:val="0"/>
      <w:marRight w:val="0"/>
      <w:marTop w:val="0"/>
      <w:marBottom w:val="0"/>
      <w:divBdr>
        <w:top w:val="none" w:sz="0" w:space="0" w:color="auto"/>
        <w:left w:val="none" w:sz="0" w:space="0" w:color="auto"/>
        <w:bottom w:val="none" w:sz="0" w:space="0" w:color="auto"/>
        <w:right w:val="none" w:sz="0" w:space="0" w:color="auto"/>
      </w:divBdr>
    </w:div>
    <w:div w:id="1699358489">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 w:id="1713575788">
      <w:bodyDiv w:val="1"/>
      <w:marLeft w:val="0"/>
      <w:marRight w:val="0"/>
      <w:marTop w:val="0"/>
      <w:marBottom w:val="0"/>
      <w:divBdr>
        <w:top w:val="none" w:sz="0" w:space="0" w:color="auto"/>
        <w:left w:val="none" w:sz="0" w:space="0" w:color="auto"/>
        <w:bottom w:val="none" w:sz="0" w:space="0" w:color="auto"/>
        <w:right w:val="none" w:sz="0" w:space="0" w:color="auto"/>
      </w:divBdr>
    </w:div>
    <w:div w:id="1725180519">
      <w:bodyDiv w:val="1"/>
      <w:marLeft w:val="0"/>
      <w:marRight w:val="0"/>
      <w:marTop w:val="0"/>
      <w:marBottom w:val="0"/>
      <w:divBdr>
        <w:top w:val="none" w:sz="0" w:space="0" w:color="auto"/>
        <w:left w:val="none" w:sz="0" w:space="0" w:color="auto"/>
        <w:bottom w:val="none" w:sz="0" w:space="0" w:color="auto"/>
        <w:right w:val="none" w:sz="0" w:space="0" w:color="auto"/>
      </w:divBdr>
    </w:div>
    <w:div w:id="20140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mailto:recruitmentsurveys@deewr.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joboutlook.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hyperlink" Target="http://creativecommons.org/licenses/by/3.0/au/legalcode" TargetMode="External"/><Relationship Id="rId33" Type="http://schemas.openxmlformats.org/officeDocument/2006/relationships/hyperlink" Target="http://www.deewr.gov.au/lm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3.0/au/" TargetMode="External"/><Relationship Id="rId32" Type="http://schemas.openxmlformats.org/officeDocument/2006/relationships/hyperlink" Target="http://www.deewr.gov.au/regionalreports" TargetMode="External"/><Relationship Id="rId37"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cid:image001.png@01CC5B5E.C6C84990" TargetMode="External"/><Relationship Id="rId28" Type="http://schemas.openxmlformats.org/officeDocument/2006/relationships/footer" Target="footer3.xml"/><Relationship Id="rId36" Type="http://schemas.openxmlformats.org/officeDocument/2006/relationships/hyperlink" Target="http://www.deewr.gov.au/australianjobs"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www.skillsinfo.gov.a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480334996293408E-2"/>
          <c:y val="2.5749028206917175E-2"/>
          <c:w val="0.90427423844746679"/>
          <c:h val="0.79791454865610156"/>
        </c:manualLayout>
      </c:layout>
      <c:lineChart>
        <c:grouping val="standard"/>
        <c:varyColors val="0"/>
        <c:ser>
          <c:idx val="0"/>
          <c:order val="0"/>
          <c:tx>
            <c:strRef>
              <c:f>'SALM for brief'!$A$2</c:f>
              <c:strCache>
                <c:ptCount val="1"/>
                <c:pt idx="0">
                  <c:v>Southern Wide Bay-Burnett PEA</c:v>
                </c:pt>
              </c:strCache>
            </c:strRef>
          </c:tx>
          <c:spPr>
            <a:ln>
              <a:solidFill>
                <a:srgbClr val="C0504D"/>
              </a:solidFill>
              <a:prstDash val="dash"/>
            </a:ln>
          </c:spPr>
          <c:marker>
            <c:symbol val="none"/>
          </c:marker>
          <c:cat>
            <c:numRef>
              <c:f>'SALM for brief'!$B$1:$R$1</c:f>
              <c:numCache>
                <c:formatCode>mmm\-yy</c:formatCode>
                <c:ptCount val="17"/>
                <c:pt idx="0">
                  <c:v>39783</c:v>
                </c:pt>
                <c:pt idx="1">
                  <c:v>39873</c:v>
                </c:pt>
                <c:pt idx="2">
                  <c:v>39965</c:v>
                </c:pt>
                <c:pt idx="3">
                  <c:v>40057</c:v>
                </c:pt>
                <c:pt idx="4">
                  <c:v>40148</c:v>
                </c:pt>
                <c:pt idx="5">
                  <c:v>40238</c:v>
                </c:pt>
                <c:pt idx="6">
                  <c:v>40330</c:v>
                </c:pt>
                <c:pt idx="7">
                  <c:v>40422</c:v>
                </c:pt>
                <c:pt idx="8">
                  <c:v>40513</c:v>
                </c:pt>
                <c:pt idx="9">
                  <c:v>40603</c:v>
                </c:pt>
                <c:pt idx="10">
                  <c:v>40695</c:v>
                </c:pt>
                <c:pt idx="11">
                  <c:v>40787</c:v>
                </c:pt>
                <c:pt idx="12">
                  <c:v>40878</c:v>
                </c:pt>
                <c:pt idx="13">
                  <c:v>40969</c:v>
                </c:pt>
                <c:pt idx="14">
                  <c:v>41061</c:v>
                </c:pt>
                <c:pt idx="15">
                  <c:v>41153</c:v>
                </c:pt>
                <c:pt idx="16">
                  <c:v>41244</c:v>
                </c:pt>
              </c:numCache>
            </c:numRef>
          </c:cat>
          <c:val>
            <c:numRef>
              <c:f>'SALM for brief'!$B$2:$R$2</c:f>
              <c:numCache>
                <c:formatCode>0.0%</c:formatCode>
                <c:ptCount val="17"/>
                <c:pt idx="0">
                  <c:v>5.8302044221944099E-2</c:v>
                </c:pt>
                <c:pt idx="1">
                  <c:v>6.0736622654621264E-2</c:v>
                </c:pt>
                <c:pt idx="2">
                  <c:v>6.3327576280944153E-2</c:v>
                </c:pt>
                <c:pt idx="3">
                  <c:v>6.8508324382384536E-2</c:v>
                </c:pt>
                <c:pt idx="4">
                  <c:v>7.083099103865613E-2</c:v>
                </c:pt>
                <c:pt idx="5">
                  <c:v>6.741610183501405E-2</c:v>
                </c:pt>
                <c:pt idx="6">
                  <c:v>6.6959385290889128E-2</c:v>
                </c:pt>
                <c:pt idx="7">
                  <c:v>6.7398485202362288E-2</c:v>
                </c:pt>
                <c:pt idx="8">
                  <c:v>6.8329790061121443E-2</c:v>
                </c:pt>
                <c:pt idx="9">
                  <c:v>6.8522267206477736E-2</c:v>
                </c:pt>
                <c:pt idx="10">
                  <c:v>6.8359773949751484E-2</c:v>
                </c:pt>
                <c:pt idx="11">
                  <c:v>7.6012588943623421E-2</c:v>
                </c:pt>
                <c:pt idx="12">
                  <c:v>7.2855825391945891E-2</c:v>
                </c:pt>
                <c:pt idx="13">
                  <c:v>7.8538359788359782E-2</c:v>
                </c:pt>
                <c:pt idx="14">
                  <c:v>7.609501402004705E-2</c:v>
                </c:pt>
                <c:pt idx="15">
                  <c:v>6.8919772583701827E-2</c:v>
                </c:pt>
                <c:pt idx="16">
                  <c:v>7.7347200902227367E-2</c:v>
                </c:pt>
              </c:numCache>
            </c:numRef>
          </c:val>
          <c:smooth val="0"/>
        </c:ser>
        <c:ser>
          <c:idx val="1"/>
          <c:order val="1"/>
          <c:tx>
            <c:strRef>
              <c:f>'SALM for brief'!$A$3</c:f>
              <c:strCache>
                <c:ptCount val="1"/>
                <c:pt idx="0">
                  <c:v>Queensland</c:v>
                </c:pt>
              </c:strCache>
            </c:strRef>
          </c:tx>
          <c:spPr>
            <a:ln>
              <a:solidFill>
                <a:srgbClr val="1F497D"/>
              </a:solidFill>
            </a:ln>
          </c:spPr>
          <c:marker>
            <c:symbol val="none"/>
          </c:marker>
          <c:cat>
            <c:numRef>
              <c:f>'SALM for brief'!$B$1:$R$1</c:f>
              <c:numCache>
                <c:formatCode>mmm\-yy</c:formatCode>
                <c:ptCount val="17"/>
                <c:pt idx="0">
                  <c:v>39783</c:v>
                </c:pt>
                <c:pt idx="1">
                  <c:v>39873</c:v>
                </c:pt>
                <c:pt idx="2">
                  <c:v>39965</c:v>
                </c:pt>
                <c:pt idx="3">
                  <c:v>40057</c:v>
                </c:pt>
                <c:pt idx="4">
                  <c:v>40148</c:v>
                </c:pt>
                <c:pt idx="5">
                  <c:v>40238</c:v>
                </c:pt>
                <c:pt idx="6">
                  <c:v>40330</c:v>
                </c:pt>
                <c:pt idx="7">
                  <c:v>40422</c:v>
                </c:pt>
                <c:pt idx="8">
                  <c:v>40513</c:v>
                </c:pt>
                <c:pt idx="9">
                  <c:v>40603</c:v>
                </c:pt>
                <c:pt idx="10">
                  <c:v>40695</c:v>
                </c:pt>
                <c:pt idx="11">
                  <c:v>40787</c:v>
                </c:pt>
                <c:pt idx="12">
                  <c:v>40878</c:v>
                </c:pt>
                <c:pt idx="13">
                  <c:v>40969</c:v>
                </c:pt>
                <c:pt idx="14">
                  <c:v>41061</c:v>
                </c:pt>
                <c:pt idx="15">
                  <c:v>41153</c:v>
                </c:pt>
                <c:pt idx="16">
                  <c:v>41244</c:v>
                </c:pt>
              </c:numCache>
            </c:numRef>
          </c:cat>
          <c:val>
            <c:numRef>
              <c:f>'SALM for brief'!$B$3:$R$3</c:f>
              <c:numCache>
                <c:formatCode>0.0%</c:formatCode>
                <c:ptCount val="17"/>
                <c:pt idx="0">
                  <c:v>3.9E-2</c:v>
                </c:pt>
                <c:pt idx="1">
                  <c:v>4.9000000000000002E-2</c:v>
                </c:pt>
                <c:pt idx="2">
                  <c:v>5.6000000000000001E-2</c:v>
                </c:pt>
                <c:pt idx="3">
                  <c:v>6.3E-2</c:v>
                </c:pt>
                <c:pt idx="4">
                  <c:v>5.7000000000000002E-2</c:v>
                </c:pt>
                <c:pt idx="5">
                  <c:v>5.5E-2</c:v>
                </c:pt>
                <c:pt idx="6">
                  <c:v>5.3999999999999999E-2</c:v>
                </c:pt>
                <c:pt idx="7">
                  <c:v>5.2999999999999999E-2</c:v>
                </c:pt>
                <c:pt idx="8">
                  <c:v>5.8000000000000003E-2</c:v>
                </c:pt>
                <c:pt idx="9">
                  <c:v>5.5E-2</c:v>
                </c:pt>
                <c:pt idx="10">
                  <c:v>5.2999999999999999E-2</c:v>
                </c:pt>
                <c:pt idx="11">
                  <c:v>5.2999999999999999E-2</c:v>
                </c:pt>
                <c:pt idx="12">
                  <c:v>5.1999999999999998E-2</c:v>
                </c:pt>
                <c:pt idx="13">
                  <c:v>5.5E-2</c:v>
                </c:pt>
                <c:pt idx="14">
                  <c:v>5.2999999999999999E-2</c:v>
                </c:pt>
                <c:pt idx="15">
                  <c:v>6.3E-2</c:v>
                </c:pt>
                <c:pt idx="16">
                  <c:v>6.0999999999999999E-2</c:v>
                </c:pt>
              </c:numCache>
            </c:numRef>
          </c:val>
          <c:smooth val="0"/>
        </c:ser>
        <c:dLbls>
          <c:showLegendKey val="0"/>
          <c:showVal val="0"/>
          <c:showCatName val="0"/>
          <c:showSerName val="0"/>
          <c:showPercent val="0"/>
          <c:showBubbleSize val="0"/>
        </c:dLbls>
        <c:marker val="1"/>
        <c:smooth val="0"/>
        <c:axId val="212172160"/>
        <c:axId val="227353728"/>
      </c:lineChart>
      <c:dateAx>
        <c:axId val="212172160"/>
        <c:scaling>
          <c:orientation val="minMax"/>
        </c:scaling>
        <c:delete val="0"/>
        <c:axPos val="b"/>
        <c:numFmt formatCode="mmm\-yy" sourceLinked="1"/>
        <c:majorTickMark val="out"/>
        <c:minorTickMark val="none"/>
        <c:tickLblPos val="nextTo"/>
        <c:txPr>
          <a:bodyPr rot="-5400000" vert="horz"/>
          <a:lstStyle/>
          <a:p>
            <a:pPr>
              <a:defRPr/>
            </a:pPr>
            <a:endParaRPr lang="en-US"/>
          </a:p>
        </c:txPr>
        <c:crossAx val="227353728"/>
        <c:crosses val="autoZero"/>
        <c:auto val="1"/>
        <c:lblOffset val="100"/>
        <c:baseTimeUnit val="months"/>
        <c:majorUnit val="3"/>
        <c:majorTimeUnit val="months"/>
      </c:dateAx>
      <c:valAx>
        <c:axId val="227353728"/>
        <c:scaling>
          <c:orientation val="minMax"/>
          <c:max val="8.0000000000000016E-2"/>
          <c:min val="2.0000000000000004E-2"/>
        </c:scaling>
        <c:delete val="0"/>
        <c:axPos val="l"/>
        <c:numFmt formatCode="0.0%" sourceLinked="1"/>
        <c:majorTickMark val="out"/>
        <c:minorTickMark val="none"/>
        <c:tickLblPos val="nextTo"/>
        <c:crossAx val="212172160"/>
        <c:crosses val="autoZero"/>
        <c:crossBetween val="between"/>
      </c:valAx>
    </c:plotArea>
    <c:legend>
      <c:legendPos val="r"/>
      <c:layout>
        <c:manualLayout>
          <c:xMode val="edge"/>
          <c:yMode val="edge"/>
          <c:x val="0.58731963382625951"/>
          <c:y val="0.56955148011561851"/>
          <c:w val="0.4098098713270597"/>
          <c:h val="0.215593209076713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5.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4.xml><?xml version="1.0" encoding="utf-8"?>
<ds:datastoreItem xmlns:ds="http://schemas.openxmlformats.org/officeDocument/2006/customXml" ds:itemID="{6CE93746-C7CB-47C7-9427-5E12F449EAC1}">
  <ds:schemaRefs>
    <ds:schemaRef ds:uri="http://purl.org/dc/terms/"/>
    <ds:schemaRef ds:uri="4ff5bc6b-1238-418a-b0ee-f48830a30d62"/>
    <ds:schemaRef ds:uri="http://schemas.openxmlformats.org/package/2006/metadata/core-properties"/>
    <ds:schemaRef ds:uri="http://schemas.microsoft.com/office/2006/documentManagement/types"/>
    <ds:schemaRef ds:uri="http://schemas.microsoft.com/sharepoint/v3/fields"/>
    <ds:schemaRef ds:uri="http://purl.org/dc/elements/1.1/"/>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53794BD5-7DF6-498B-A624-D85A92467193}">
  <ds:schemaRefs>
    <ds:schemaRef ds:uri="office.server.policy"/>
  </ds:schemaRefs>
</ds:datastoreItem>
</file>

<file path=customXml/itemProps6.xml><?xml version="1.0" encoding="utf-8"?>
<ds:datastoreItem xmlns:ds="http://schemas.openxmlformats.org/officeDocument/2006/customXml" ds:itemID="{CF7EA4EC-096B-4A29-A039-F59CB18ABB40}">
  <ds:schemaRefs>
    <ds:schemaRef ds:uri="http://schemas.openxmlformats.org/officeDocument/2006/bibliography"/>
  </ds:schemaRefs>
</ds:datastoreItem>
</file>

<file path=customXml/itemProps7.xml><?xml version="1.0" encoding="utf-8"?>
<ds:datastoreItem xmlns:ds="http://schemas.openxmlformats.org/officeDocument/2006/customXml" ds:itemID="{EC9078F8-C558-4EA8-BCF6-50704B6C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20ED9316.dotm</Template>
  <TotalTime>994</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Southern Wide Bay-Burnett               Priority Employment Area</vt:lpstr>
    </vt:vector>
  </TitlesOfParts>
  <Company>Australian Government</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Wide Bay-Burnett               Priority Employment Area</dc:title>
  <dc:creator>Robert Pacey</dc:creator>
  <cp:lastModifiedBy>Scott Lee</cp:lastModifiedBy>
  <cp:revision>61</cp:revision>
  <cp:lastPrinted>2013-06-10T02:54:00Z</cp:lastPrinted>
  <dcterms:created xsi:type="dcterms:W3CDTF">2013-05-14T04:38:00Z</dcterms:created>
  <dcterms:modified xsi:type="dcterms:W3CDTF">2013-06-17T03:26:00Z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