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C28" w:rsidRDefault="00032A55" w:rsidP="00032A55">
      <w:pPr>
        <w:spacing w:line="360" w:lineRule="auto"/>
      </w:pPr>
      <w:r>
        <w:t>Slide 1</w:t>
      </w:r>
    </w:p>
    <w:p w:rsidR="00032A55" w:rsidRDefault="00032A55" w:rsidP="00032A55">
      <w:pPr>
        <w:spacing w:line="360" w:lineRule="auto"/>
      </w:pPr>
    </w:p>
    <w:p w:rsidR="00032A55" w:rsidRDefault="00032A55" w:rsidP="00032A55">
      <w:pPr>
        <w:spacing w:line="360" w:lineRule="auto"/>
        <w:jc w:val="center"/>
      </w:pPr>
      <w:r>
        <w:object w:dxaOrig="721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75pt;height:202.5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5" DrawAspect="Content" ObjectID="_1424612692" r:id="rId7"/>
        </w:object>
      </w:r>
    </w:p>
    <w:p w:rsidR="00032A55" w:rsidRDefault="00032A55" w:rsidP="00032A55">
      <w:pPr>
        <w:spacing w:line="360" w:lineRule="auto"/>
        <w:jc w:val="center"/>
      </w:pPr>
    </w:p>
    <w:p w:rsidR="00032A55" w:rsidRDefault="00032A55" w:rsidP="00032A55">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The Central Victoria PEA region includes the Local Government Areas (</w:t>
      </w:r>
      <w:proofErr w:type="spellStart"/>
      <w:r>
        <w:rPr>
          <w:rFonts w:ascii="Calibri" w:hAnsi="Calibri" w:cs="Calibri"/>
          <w:b/>
          <w:bCs/>
          <w:color w:val="000000"/>
          <w:sz w:val="22"/>
          <w:szCs w:val="22"/>
        </w:rPr>
        <w:t>LGAs</w:t>
      </w:r>
      <w:proofErr w:type="spellEnd"/>
      <w:r>
        <w:rPr>
          <w:rFonts w:ascii="Calibri" w:hAnsi="Calibri" w:cs="Calibri"/>
          <w:b/>
          <w:bCs/>
          <w:color w:val="000000"/>
          <w:sz w:val="22"/>
          <w:szCs w:val="22"/>
        </w:rPr>
        <w:t>) of:</w:t>
      </w:r>
    </w:p>
    <w:p w:rsidR="00032A55" w:rsidRDefault="00032A55" w:rsidP="00032A55">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Ararat (RC)</w:t>
      </w:r>
    </w:p>
    <w:p w:rsidR="00032A55" w:rsidRDefault="00032A55" w:rsidP="00032A55">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Ballarat (C)</w:t>
      </w:r>
    </w:p>
    <w:p w:rsidR="00032A55" w:rsidRDefault="00032A55" w:rsidP="00032A55">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Central Goldfields (S)</w:t>
      </w:r>
    </w:p>
    <w:p w:rsidR="00032A55" w:rsidRDefault="00032A55" w:rsidP="00032A55">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Greater Bendigo (C)</w:t>
      </w:r>
    </w:p>
    <w:p w:rsidR="00032A55" w:rsidRDefault="00032A55" w:rsidP="00032A55">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Hepburn (S)</w:t>
      </w:r>
    </w:p>
    <w:p w:rsidR="00032A55" w:rsidRDefault="00032A55" w:rsidP="00032A55">
      <w:pPr>
        <w:numPr>
          <w:ilvl w:val="0"/>
          <w:numId w:val="1"/>
        </w:numPr>
        <w:autoSpaceDE w:val="0"/>
        <w:autoSpaceDN w:val="0"/>
        <w:adjustRightInd w:val="0"/>
        <w:rPr>
          <w:rFonts w:ascii="Calibri" w:hAnsi="Calibri" w:cs="Calibri"/>
          <w:color w:val="000000"/>
          <w:sz w:val="22"/>
          <w:szCs w:val="22"/>
        </w:rPr>
      </w:pPr>
      <w:proofErr w:type="spellStart"/>
      <w:r>
        <w:rPr>
          <w:rFonts w:ascii="Calibri" w:hAnsi="Calibri" w:cs="Calibri"/>
          <w:color w:val="000000"/>
          <w:sz w:val="22"/>
          <w:szCs w:val="22"/>
        </w:rPr>
        <w:t>Moorabool</w:t>
      </w:r>
      <w:proofErr w:type="spellEnd"/>
      <w:r>
        <w:rPr>
          <w:rFonts w:ascii="Calibri" w:hAnsi="Calibri" w:cs="Calibri"/>
          <w:color w:val="000000"/>
          <w:sz w:val="22"/>
          <w:szCs w:val="22"/>
        </w:rPr>
        <w:t xml:space="preserve"> (S)</w:t>
      </w:r>
    </w:p>
    <w:p w:rsidR="00032A55" w:rsidRDefault="00032A55" w:rsidP="00032A55">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Mount Alexander (S)</w:t>
      </w:r>
    </w:p>
    <w:p w:rsidR="00032A55" w:rsidRDefault="00032A55" w:rsidP="00032A55">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Northern Grampians (S)</w:t>
      </w:r>
    </w:p>
    <w:p w:rsidR="00032A55" w:rsidRDefault="00032A55" w:rsidP="00032A55">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Pyrenees (S)</w:t>
      </w:r>
    </w:p>
    <w:p w:rsidR="00032A55" w:rsidRDefault="00032A55" w:rsidP="00032A55">
      <w:pPr>
        <w:autoSpaceDE w:val="0"/>
        <w:autoSpaceDN w:val="0"/>
        <w:adjustRightInd w:val="0"/>
        <w:rPr>
          <w:rFonts w:ascii="Calibri" w:hAnsi="Calibri" w:cs="Calibri"/>
          <w:b/>
          <w:bCs/>
          <w:color w:val="000000"/>
          <w:sz w:val="22"/>
          <w:szCs w:val="22"/>
        </w:rPr>
      </w:pPr>
    </w:p>
    <w:p w:rsidR="00032A55" w:rsidRDefault="00032A55" w:rsidP="00032A55">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The Ballarat area includes the Local Government Areas (</w:t>
      </w:r>
      <w:proofErr w:type="spellStart"/>
      <w:r>
        <w:rPr>
          <w:rFonts w:ascii="Calibri" w:hAnsi="Calibri" w:cs="Calibri"/>
          <w:b/>
          <w:bCs/>
          <w:color w:val="000000"/>
          <w:sz w:val="22"/>
          <w:szCs w:val="22"/>
        </w:rPr>
        <w:t>LGAs</w:t>
      </w:r>
      <w:proofErr w:type="spellEnd"/>
      <w:r>
        <w:rPr>
          <w:rFonts w:ascii="Calibri" w:hAnsi="Calibri" w:cs="Calibri"/>
          <w:b/>
          <w:bCs/>
          <w:color w:val="000000"/>
          <w:sz w:val="22"/>
          <w:szCs w:val="22"/>
        </w:rPr>
        <w:t>) of:</w:t>
      </w:r>
    </w:p>
    <w:p w:rsidR="00032A55" w:rsidRDefault="00032A55" w:rsidP="00032A55">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Ararat (RC)</w:t>
      </w:r>
    </w:p>
    <w:p w:rsidR="00032A55" w:rsidRDefault="00032A55" w:rsidP="00032A55">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Ballarat (C)</w:t>
      </w:r>
    </w:p>
    <w:p w:rsidR="00032A55" w:rsidRDefault="00032A55" w:rsidP="00032A55">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Northern Grampians (S)</w:t>
      </w:r>
    </w:p>
    <w:p w:rsidR="00032A55" w:rsidRDefault="00032A55" w:rsidP="00032A55">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Hepburn (S)</w:t>
      </w:r>
    </w:p>
    <w:p w:rsidR="00032A55" w:rsidRDefault="00032A55" w:rsidP="00032A55">
      <w:pPr>
        <w:numPr>
          <w:ilvl w:val="0"/>
          <w:numId w:val="1"/>
        </w:numPr>
        <w:autoSpaceDE w:val="0"/>
        <w:autoSpaceDN w:val="0"/>
        <w:adjustRightInd w:val="0"/>
        <w:rPr>
          <w:rFonts w:ascii="Calibri" w:hAnsi="Calibri" w:cs="Calibri"/>
          <w:color w:val="000000"/>
          <w:sz w:val="22"/>
          <w:szCs w:val="22"/>
        </w:rPr>
      </w:pPr>
      <w:proofErr w:type="spellStart"/>
      <w:r>
        <w:rPr>
          <w:rFonts w:ascii="Calibri" w:hAnsi="Calibri" w:cs="Calibri"/>
          <w:color w:val="000000"/>
          <w:sz w:val="22"/>
          <w:szCs w:val="22"/>
        </w:rPr>
        <w:t>Moorabool</w:t>
      </w:r>
      <w:proofErr w:type="spellEnd"/>
      <w:r>
        <w:rPr>
          <w:rFonts w:ascii="Calibri" w:hAnsi="Calibri" w:cs="Calibri"/>
          <w:color w:val="000000"/>
          <w:sz w:val="22"/>
          <w:szCs w:val="22"/>
        </w:rPr>
        <w:t xml:space="preserve"> (S)</w:t>
      </w:r>
    </w:p>
    <w:p w:rsidR="00032A55" w:rsidRDefault="00032A55" w:rsidP="00032A55">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Pyrenees (S)</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Calibri" w:hAnsi="Calibri" w:cs="Calibri"/>
          <w:color w:val="000000"/>
          <w:sz w:val="22"/>
          <w:szCs w:val="22"/>
          <w:lang w:val="en-US"/>
        </w:rPr>
      </w:pPr>
      <w:r>
        <w:rPr>
          <w:rFonts w:ascii="Calibri" w:hAnsi="Calibri" w:cs="Calibri"/>
          <w:i/>
          <w:iCs/>
          <w:color w:val="000000"/>
          <w:sz w:val="22"/>
          <w:szCs w:val="22"/>
        </w:rPr>
        <w:t>The Ballarat area covers 83% of the Central Highlands-Wimmera Labour Force Region (</w:t>
      </w:r>
      <w:proofErr w:type="spellStart"/>
      <w:r>
        <w:rPr>
          <w:rFonts w:ascii="Calibri" w:hAnsi="Calibri" w:cs="Calibri"/>
          <w:i/>
          <w:iCs/>
          <w:color w:val="000000"/>
          <w:sz w:val="22"/>
          <w:szCs w:val="22"/>
        </w:rPr>
        <w:t>LFR</w:t>
      </w:r>
      <w:proofErr w:type="spellEnd"/>
      <w:r>
        <w:rPr>
          <w:rFonts w:ascii="Calibri" w:hAnsi="Calibri" w:cs="Calibri"/>
          <w:i/>
          <w:iCs/>
          <w:color w:val="000000"/>
          <w:sz w:val="22"/>
          <w:szCs w:val="22"/>
        </w:rPr>
        <w:t>) based on 2010 Working Age Population Estimated Resident Population.</w:t>
      </w:r>
    </w:p>
    <w:p w:rsidR="00032A55" w:rsidRDefault="00032A55" w:rsidP="00032A55">
      <w:pPr>
        <w:autoSpaceDE w:val="0"/>
        <w:autoSpaceDN w:val="0"/>
        <w:adjustRightInd w:val="0"/>
        <w:rPr>
          <w:rFonts w:ascii="Arial" w:hAnsi="Arial" w:cs="Arial"/>
        </w:rPr>
      </w:pPr>
    </w:p>
    <w:p w:rsidR="00032A55" w:rsidRDefault="00032A55" w:rsidP="00032A55">
      <w:pPr>
        <w:spacing w:line="360" w:lineRule="auto"/>
      </w:pPr>
    </w:p>
    <w:p w:rsidR="00032A55" w:rsidRDefault="00032A55">
      <w:r>
        <w:br w:type="page"/>
      </w:r>
    </w:p>
    <w:p w:rsidR="00032A55" w:rsidRDefault="00032A55" w:rsidP="00032A55">
      <w:pPr>
        <w:spacing w:line="360" w:lineRule="auto"/>
      </w:pPr>
      <w:r>
        <w:lastRenderedPageBreak/>
        <w:t>Slide 2</w:t>
      </w:r>
    </w:p>
    <w:p w:rsidR="00032A55" w:rsidRDefault="00032A55" w:rsidP="00032A55">
      <w:pPr>
        <w:spacing w:line="360" w:lineRule="auto"/>
      </w:pPr>
    </w:p>
    <w:p w:rsidR="00032A55" w:rsidRDefault="00032A55" w:rsidP="00032A55">
      <w:pPr>
        <w:spacing w:line="360" w:lineRule="auto"/>
        <w:jc w:val="center"/>
      </w:pPr>
      <w:r>
        <w:object w:dxaOrig="7216" w:dyaOrig="5409">
          <v:shape id="_x0000_i1026" type="#_x0000_t75" style="width:270.75pt;height:202.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6" DrawAspect="Content" ObjectID="_1424612693" r:id="rId9"/>
        </w:object>
      </w:r>
    </w:p>
    <w:p w:rsidR="00032A55" w:rsidRDefault="00032A55" w:rsidP="00032A55">
      <w:pPr>
        <w:spacing w:line="360" w:lineRule="auto"/>
        <w:jc w:val="center"/>
      </w:pPr>
    </w:p>
    <w:p w:rsidR="00032A55" w:rsidRDefault="00032A55" w:rsidP="00032A55">
      <w:pPr>
        <w:autoSpaceDE w:val="0"/>
        <w:autoSpaceDN w:val="0"/>
        <w:adjustRightInd w:val="0"/>
        <w:rPr>
          <w:rFonts w:ascii="Calibri" w:cs="Calibri"/>
          <w:color w:val="000000"/>
          <w:sz w:val="22"/>
          <w:szCs w:val="22"/>
        </w:rPr>
      </w:pPr>
      <w:r>
        <w:rPr>
          <w:rFonts w:ascii="Calibri" w:cs="Calibri"/>
          <w:b/>
          <w:bCs/>
          <w:color w:val="000000"/>
          <w:sz w:val="22"/>
          <w:szCs w:val="22"/>
          <w:u w:val="single"/>
        </w:rPr>
        <w:t>Easing labour market conditions:</w:t>
      </w:r>
    </w:p>
    <w:p w:rsidR="00032A55" w:rsidRDefault="00032A55" w:rsidP="00032A55">
      <w:pPr>
        <w:autoSpaceDE w:val="0"/>
        <w:autoSpaceDN w:val="0"/>
        <w:adjustRightInd w:val="0"/>
        <w:rPr>
          <w:rFonts w:ascii="Calibri" w:cs="Calibri"/>
          <w:i/>
          <w:iCs/>
          <w:color w:val="000000"/>
          <w:sz w:val="22"/>
          <w:szCs w:val="22"/>
        </w:rPr>
      </w:pPr>
      <w:proofErr w:type="gramStart"/>
      <w:r>
        <w:rPr>
          <w:rFonts w:ascii="Calibri" w:cs="Calibri"/>
          <w:i/>
          <w:iCs/>
          <w:color w:val="000000"/>
          <w:sz w:val="22"/>
          <w:szCs w:val="22"/>
        </w:rPr>
        <w:t>Source :</w:t>
      </w:r>
      <w:proofErr w:type="gramEnd"/>
      <w:r>
        <w:rPr>
          <w:rFonts w:ascii="Calibri" w:cs="Calibri"/>
          <w:i/>
          <w:iCs/>
          <w:color w:val="000000"/>
          <w:sz w:val="22"/>
          <w:szCs w:val="22"/>
        </w:rPr>
        <w:t xml:space="preserve"> ABS Estimated Resident Population, 2006 and 2011; ABS Census of Population and Housing, 2011</w:t>
      </w:r>
    </w:p>
    <w:p w:rsidR="00032A55" w:rsidRDefault="00032A55" w:rsidP="00032A55">
      <w:pPr>
        <w:autoSpaceDE w:val="0"/>
        <w:autoSpaceDN w:val="0"/>
        <w:adjustRightInd w:val="0"/>
        <w:rPr>
          <w:rFonts w:ascii="Calibri" w:cs="Calibri"/>
          <w:i/>
          <w:iCs/>
          <w:color w:val="000000"/>
          <w:sz w:val="22"/>
          <w:szCs w:val="22"/>
        </w:rPr>
      </w:pPr>
    </w:p>
    <w:p w:rsidR="00032A55" w:rsidRDefault="00032A55" w:rsidP="00032A55">
      <w:pPr>
        <w:numPr>
          <w:ilvl w:val="0"/>
          <w:numId w:val="2"/>
        </w:numPr>
        <w:autoSpaceDE w:val="0"/>
        <w:autoSpaceDN w:val="0"/>
        <w:adjustRightInd w:val="0"/>
        <w:ind w:left="450" w:hanging="450"/>
        <w:rPr>
          <w:rFonts w:ascii="Calibri" w:cs="Calibri"/>
          <w:color w:val="000000"/>
          <w:sz w:val="22"/>
          <w:szCs w:val="22"/>
        </w:rPr>
      </w:pPr>
      <w:r>
        <w:rPr>
          <w:rFonts w:ascii="Calibri" w:cs="Calibri"/>
          <w:color w:val="000000"/>
          <w:sz w:val="22"/>
          <w:szCs w:val="22"/>
        </w:rPr>
        <w:t>The adult population (15+) has grown by 6.1% between 2006 and 2011 (currently 243,860), lower compared with the State (9.0%).</w:t>
      </w:r>
    </w:p>
    <w:p w:rsidR="00032A55" w:rsidRDefault="00032A55" w:rsidP="00032A55">
      <w:pPr>
        <w:autoSpaceDE w:val="0"/>
        <w:autoSpaceDN w:val="0"/>
        <w:adjustRightInd w:val="0"/>
        <w:rPr>
          <w:rFonts w:ascii="Calibri" w:cs="Calibri"/>
          <w:color w:val="000000"/>
          <w:sz w:val="22"/>
          <w:szCs w:val="22"/>
        </w:rPr>
      </w:pPr>
    </w:p>
    <w:p w:rsidR="00032A55" w:rsidRDefault="00032A55" w:rsidP="00032A55">
      <w:pPr>
        <w:numPr>
          <w:ilvl w:val="0"/>
          <w:numId w:val="2"/>
        </w:numPr>
        <w:autoSpaceDE w:val="0"/>
        <w:autoSpaceDN w:val="0"/>
        <w:adjustRightInd w:val="0"/>
        <w:ind w:left="450" w:hanging="450"/>
        <w:rPr>
          <w:rFonts w:ascii="Calibri" w:cs="Calibri"/>
          <w:color w:val="000000"/>
          <w:sz w:val="22"/>
          <w:szCs w:val="22"/>
        </w:rPr>
      </w:pPr>
      <w:r>
        <w:rPr>
          <w:rFonts w:ascii="Calibri" w:cs="Calibri"/>
          <w:color w:val="000000"/>
          <w:sz w:val="22"/>
          <w:szCs w:val="22"/>
        </w:rPr>
        <w:t>The unemployment rate fell by 0.4 percentage points over the year to stand at 5.5% in September 2012 but has historically remained above the State and Australia.</w:t>
      </w:r>
    </w:p>
    <w:p w:rsidR="00032A55" w:rsidRDefault="00032A55" w:rsidP="00032A55">
      <w:pPr>
        <w:autoSpaceDE w:val="0"/>
        <w:autoSpaceDN w:val="0"/>
        <w:adjustRightInd w:val="0"/>
        <w:rPr>
          <w:rFonts w:ascii="Calibri" w:cs="Calibri"/>
          <w:color w:val="000000"/>
          <w:sz w:val="22"/>
          <w:szCs w:val="22"/>
        </w:rPr>
      </w:pPr>
    </w:p>
    <w:p w:rsidR="00032A55" w:rsidRDefault="00032A55" w:rsidP="00032A55">
      <w:pPr>
        <w:numPr>
          <w:ilvl w:val="0"/>
          <w:numId w:val="2"/>
        </w:numPr>
        <w:autoSpaceDE w:val="0"/>
        <w:autoSpaceDN w:val="0"/>
        <w:adjustRightInd w:val="0"/>
        <w:ind w:left="450" w:hanging="450"/>
        <w:rPr>
          <w:rFonts w:ascii="Calibri" w:cs="Calibri"/>
          <w:color w:val="000000"/>
          <w:sz w:val="22"/>
          <w:szCs w:val="22"/>
        </w:rPr>
      </w:pPr>
      <w:r>
        <w:rPr>
          <w:rFonts w:ascii="Calibri" w:cs="Calibri"/>
          <w:color w:val="000000"/>
          <w:sz w:val="22"/>
          <w:szCs w:val="22"/>
        </w:rPr>
        <w:t>At the time of the 2011 Census, the participation rate was 73.5%.</w:t>
      </w:r>
    </w:p>
    <w:p w:rsidR="00032A55" w:rsidRDefault="00032A55" w:rsidP="00032A55">
      <w:pPr>
        <w:autoSpaceDE w:val="0"/>
        <w:autoSpaceDN w:val="0"/>
        <w:adjustRightInd w:val="0"/>
        <w:rPr>
          <w:rFonts w:ascii="Arial" w:hAnsi="Arial" w:cs="Arial"/>
        </w:rPr>
      </w:pPr>
    </w:p>
    <w:p w:rsidR="00032A55" w:rsidRDefault="00032A55" w:rsidP="00032A55">
      <w:pPr>
        <w:spacing w:line="360" w:lineRule="auto"/>
      </w:pPr>
    </w:p>
    <w:p w:rsidR="00032A55" w:rsidRDefault="00032A55">
      <w:r>
        <w:br w:type="page"/>
      </w:r>
    </w:p>
    <w:p w:rsidR="00032A55" w:rsidRDefault="00032A55" w:rsidP="00032A55">
      <w:pPr>
        <w:spacing w:line="360" w:lineRule="auto"/>
      </w:pPr>
      <w:r>
        <w:lastRenderedPageBreak/>
        <w:t>Slide 3</w:t>
      </w:r>
    </w:p>
    <w:p w:rsidR="00032A55" w:rsidRDefault="00032A55" w:rsidP="00032A55">
      <w:pPr>
        <w:spacing w:line="360" w:lineRule="auto"/>
      </w:pPr>
    </w:p>
    <w:p w:rsidR="00032A55" w:rsidRDefault="00032A55" w:rsidP="00032A55">
      <w:pPr>
        <w:spacing w:line="360" w:lineRule="auto"/>
        <w:jc w:val="center"/>
      </w:pPr>
      <w:r>
        <w:object w:dxaOrig="7216" w:dyaOrig="5409">
          <v:shape id="_x0000_i1027" type="#_x0000_t75" style="width:270.75pt;height:202.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7" DrawAspect="Content" ObjectID="_1424612694" r:id="rId11"/>
        </w:object>
      </w:r>
    </w:p>
    <w:p w:rsidR="00032A55" w:rsidRDefault="00032A55" w:rsidP="00032A55">
      <w:pPr>
        <w:spacing w:line="360" w:lineRule="auto"/>
        <w:jc w:val="center"/>
      </w:pPr>
    </w:p>
    <w:p w:rsidR="00032A55" w:rsidRDefault="00032A55" w:rsidP="00032A55">
      <w:pPr>
        <w:autoSpaceDE w:val="0"/>
        <w:autoSpaceDN w:val="0"/>
        <w:adjustRightInd w:val="0"/>
        <w:rPr>
          <w:rFonts w:ascii="Calibri" w:cs="Calibri"/>
          <w:b/>
          <w:bCs/>
          <w:color w:val="000000"/>
          <w:sz w:val="22"/>
          <w:szCs w:val="22"/>
          <w:u w:val="single"/>
        </w:rPr>
      </w:pPr>
      <w:r>
        <w:rPr>
          <w:rFonts w:ascii="Calibri" w:cs="Calibri"/>
          <w:b/>
          <w:bCs/>
          <w:color w:val="000000"/>
          <w:sz w:val="22"/>
          <w:szCs w:val="22"/>
          <w:u w:val="single"/>
        </w:rPr>
        <w:t xml:space="preserve">Age Distribution </w:t>
      </w:r>
      <w:r>
        <w:rPr>
          <w:rFonts w:ascii="Calibri" w:cs="Calibri"/>
          <w:b/>
          <w:bCs/>
          <w:color w:val="000000"/>
          <w:sz w:val="22"/>
          <w:szCs w:val="22"/>
          <w:u w:val="single"/>
        </w:rPr>
        <w:t>—</w:t>
      </w:r>
      <w:r>
        <w:rPr>
          <w:rFonts w:ascii="Calibri" w:cs="Calibri"/>
          <w:color w:val="000000"/>
          <w:sz w:val="22"/>
          <w:szCs w:val="22"/>
          <w:u w:val="single"/>
        </w:rPr>
        <w:t xml:space="preserve"> </w:t>
      </w:r>
      <w:r>
        <w:rPr>
          <w:rFonts w:ascii="Calibri" w:cs="Calibri"/>
          <w:b/>
          <w:bCs/>
          <w:color w:val="000000"/>
          <w:sz w:val="22"/>
          <w:szCs w:val="22"/>
          <w:u w:val="single"/>
        </w:rPr>
        <w:t>Central Victoria PEA</w:t>
      </w:r>
    </w:p>
    <w:p w:rsidR="00032A55" w:rsidRDefault="00032A55" w:rsidP="00032A55">
      <w:pPr>
        <w:autoSpaceDE w:val="0"/>
        <w:autoSpaceDN w:val="0"/>
        <w:adjustRightInd w:val="0"/>
        <w:rPr>
          <w:rFonts w:ascii="Calibri" w:cs="Calibri"/>
          <w:color w:val="000000"/>
          <w:sz w:val="22"/>
          <w:szCs w:val="22"/>
        </w:rPr>
      </w:pPr>
      <w:r>
        <w:rPr>
          <w:rFonts w:ascii="Calibri" w:cs="Calibri"/>
          <w:i/>
          <w:iCs/>
          <w:color w:val="000000"/>
          <w:sz w:val="22"/>
          <w:szCs w:val="22"/>
        </w:rPr>
        <w:t>Source: ABS 2011 Census of Population and Housing</w:t>
      </w:r>
    </w:p>
    <w:p w:rsidR="00032A55" w:rsidRDefault="00032A55" w:rsidP="00032A55">
      <w:pPr>
        <w:autoSpaceDE w:val="0"/>
        <w:autoSpaceDN w:val="0"/>
        <w:adjustRightInd w:val="0"/>
        <w:rPr>
          <w:rFonts w:ascii="Calibri" w:cs="Calibri"/>
          <w:color w:val="000000"/>
          <w:sz w:val="22"/>
          <w:szCs w:val="22"/>
        </w:rPr>
      </w:pPr>
    </w:p>
    <w:p w:rsidR="00032A55" w:rsidRDefault="00032A55" w:rsidP="00032A55">
      <w:pPr>
        <w:autoSpaceDE w:val="0"/>
        <w:autoSpaceDN w:val="0"/>
        <w:adjustRightInd w:val="0"/>
        <w:rPr>
          <w:rFonts w:ascii="Calibri" w:cs="Calibri"/>
          <w:color w:val="000000"/>
          <w:sz w:val="22"/>
          <w:szCs w:val="22"/>
        </w:rPr>
      </w:pPr>
      <w:r>
        <w:rPr>
          <w:rFonts w:ascii="Calibri" w:cs="Calibri"/>
          <w:color w:val="000000"/>
          <w:sz w:val="22"/>
          <w:szCs w:val="22"/>
        </w:rPr>
        <w:t>The age distribution of the Ballarat Area population shows a markedly smaller proportion of the population is made up of people aged between 20 and 39 years, when compared with the Victorian and Australian age distributions. Similar demographic patterns exist for other regional areas and are due in part to young adults moving to major urban centres such as Melbourne.</w:t>
      </w: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 </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Arial" w:hAnsi="Arial" w:cs="Arial"/>
        </w:rPr>
      </w:pPr>
    </w:p>
    <w:p w:rsidR="00032A55" w:rsidRDefault="00032A55" w:rsidP="00032A55">
      <w:pPr>
        <w:spacing w:line="360" w:lineRule="auto"/>
      </w:pPr>
    </w:p>
    <w:p w:rsidR="00032A55" w:rsidRDefault="00032A55">
      <w:r>
        <w:br w:type="page"/>
      </w:r>
    </w:p>
    <w:p w:rsidR="00032A55" w:rsidRDefault="00032A55" w:rsidP="00032A55">
      <w:pPr>
        <w:spacing w:line="360" w:lineRule="auto"/>
      </w:pPr>
      <w:r>
        <w:lastRenderedPageBreak/>
        <w:t>Slide 4</w:t>
      </w:r>
    </w:p>
    <w:p w:rsidR="00032A55" w:rsidRDefault="00032A55" w:rsidP="00032A55">
      <w:pPr>
        <w:spacing w:line="360" w:lineRule="auto"/>
      </w:pPr>
    </w:p>
    <w:p w:rsidR="00032A55" w:rsidRDefault="00032A55" w:rsidP="00032A55">
      <w:pPr>
        <w:spacing w:line="360" w:lineRule="auto"/>
        <w:jc w:val="center"/>
      </w:pPr>
      <w:r>
        <w:object w:dxaOrig="7216" w:dyaOrig="5409">
          <v:shape id="_x0000_i1028" type="#_x0000_t75" style="width:270.75pt;height:202.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8" DrawAspect="Content" ObjectID="_1424612695" r:id="rId13"/>
        </w:object>
      </w:r>
    </w:p>
    <w:p w:rsidR="00032A55" w:rsidRDefault="00032A55" w:rsidP="00032A55">
      <w:pPr>
        <w:spacing w:line="360" w:lineRule="auto"/>
        <w:jc w:val="center"/>
      </w:pPr>
    </w:p>
    <w:p w:rsidR="00032A55" w:rsidRPr="00656ADC" w:rsidRDefault="00032A55" w:rsidP="00032A55">
      <w:pPr>
        <w:autoSpaceDE w:val="0"/>
        <w:autoSpaceDN w:val="0"/>
        <w:adjustRightInd w:val="0"/>
        <w:rPr>
          <w:rFonts w:asciiTheme="minorHAnsi" w:hAnsiTheme="minorHAnsi" w:cstheme="minorHAnsi"/>
          <w:b/>
          <w:bCs/>
          <w:color w:val="000000"/>
          <w:sz w:val="22"/>
          <w:szCs w:val="22"/>
          <w:u w:val="single"/>
        </w:rPr>
      </w:pPr>
      <w:r w:rsidRPr="00656ADC">
        <w:rPr>
          <w:rFonts w:asciiTheme="minorHAnsi" w:hAnsiTheme="minorHAnsi" w:cstheme="minorHAnsi"/>
          <w:b/>
          <w:bCs/>
          <w:color w:val="000000"/>
          <w:sz w:val="22"/>
          <w:szCs w:val="22"/>
          <w:u w:val="single"/>
        </w:rPr>
        <w:t>What are the youth doing?</w:t>
      </w:r>
    </w:p>
    <w:p w:rsidR="00032A55" w:rsidRPr="00656ADC" w:rsidRDefault="00032A55" w:rsidP="00032A55">
      <w:pPr>
        <w:autoSpaceDE w:val="0"/>
        <w:autoSpaceDN w:val="0"/>
        <w:adjustRightInd w:val="0"/>
        <w:rPr>
          <w:rFonts w:asciiTheme="minorHAnsi" w:hAnsiTheme="minorHAnsi" w:cstheme="minorHAnsi"/>
          <w:i/>
          <w:iCs/>
          <w:color w:val="000000"/>
          <w:sz w:val="22"/>
          <w:szCs w:val="22"/>
        </w:rPr>
      </w:pPr>
      <w:r w:rsidRPr="00656ADC">
        <w:rPr>
          <w:rFonts w:asciiTheme="minorHAnsi" w:hAnsiTheme="minorHAnsi" w:cstheme="minorHAnsi"/>
          <w:i/>
          <w:iCs/>
          <w:color w:val="000000"/>
          <w:sz w:val="22"/>
          <w:szCs w:val="22"/>
        </w:rPr>
        <w:t>Source: ABS 2011 Census of Population and Housing</w:t>
      </w:r>
    </w:p>
    <w:p w:rsidR="00032A55" w:rsidRPr="00656ADC" w:rsidRDefault="00032A55" w:rsidP="00032A55">
      <w:pPr>
        <w:autoSpaceDE w:val="0"/>
        <w:autoSpaceDN w:val="0"/>
        <w:adjustRightInd w:val="0"/>
        <w:rPr>
          <w:rFonts w:asciiTheme="minorHAnsi" w:hAnsiTheme="minorHAnsi" w:cstheme="minorHAnsi"/>
          <w:color w:val="000000"/>
          <w:sz w:val="22"/>
          <w:szCs w:val="22"/>
        </w:rPr>
      </w:pPr>
    </w:p>
    <w:p w:rsidR="00032A55" w:rsidRPr="00656ADC" w:rsidRDefault="00032A55" w:rsidP="00032A55">
      <w:pPr>
        <w:autoSpaceDE w:val="0"/>
        <w:autoSpaceDN w:val="0"/>
        <w:adjustRightInd w:val="0"/>
        <w:rPr>
          <w:rFonts w:asciiTheme="minorHAnsi" w:hAnsiTheme="minorHAnsi" w:cstheme="minorHAnsi"/>
          <w:color w:val="000000"/>
          <w:sz w:val="22"/>
          <w:szCs w:val="22"/>
        </w:rPr>
      </w:pPr>
      <w:r w:rsidRPr="00656ADC">
        <w:rPr>
          <w:rFonts w:asciiTheme="minorHAnsi" w:hAnsiTheme="minorHAnsi" w:cstheme="minorHAnsi"/>
          <w:color w:val="000000"/>
          <w:sz w:val="22"/>
          <w:szCs w:val="22"/>
        </w:rPr>
        <w:t xml:space="preserve">At the time of the 2011 Census, there were 18,780 15-19 year olds in the Central Victoria PEA, of which 4,110 were not studying. </w:t>
      </w:r>
    </w:p>
    <w:p w:rsidR="00032A55" w:rsidRPr="00656ADC" w:rsidRDefault="00032A55" w:rsidP="00032A55">
      <w:pPr>
        <w:numPr>
          <w:ilvl w:val="0"/>
          <w:numId w:val="3"/>
        </w:numPr>
        <w:autoSpaceDE w:val="0"/>
        <w:autoSpaceDN w:val="0"/>
        <w:adjustRightInd w:val="0"/>
        <w:ind w:left="270" w:hanging="270"/>
        <w:rPr>
          <w:rFonts w:asciiTheme="minorHAnsi" w:hAnsiTheme="minorHAnsi" w:cstheme="minorHAnsi"/>
          <w:color w:val="000000"/>
          <w:sz w:val="22"/>
          <w:szCs w:val="22"/>
        </w:rPr>
      </w:pPr>
      <w:r w:rsidRPr="00656ADC">
        <w:rPr>
          <w:rFonts w:asciiTheme="minorHAnsi" w:hAnsiTheme="minorHAnsi" w:cstheme="minorHAnsi"/>
          <w:color w:val="000000"/>
          <w:sz w:val="22"/>
          <w:szCs w:val="22"/>
        </w:rPr>
        <w:t>Of the 4,110 who were not studying, those who did not complete year 12, whether they’re employed or not employed, are vulnerable and may have difficulty entering the labour market</w:t>
      </w:r>
    </w:p>
    <w:p w:rsidR="00032A55" w:rsidRPr="00656ADC" w:rsidRDefault="00032A55" w:rsidP="00032A55">
      <w:pPr>
        <w:autoSpaceDE w:val="0"/>
        <w:autoSpaceDN w:val="0"/>
        <w:adjustRightInd w:val="0"/>
        <w:rPr>
          <w:rFonts w:asciiTheme="minorHAnsi" w:hAnsiTheme="minorHAnsi" w:cstheme="minorHAnsi"/>
          <w:color w:val="000000"/>
          <w:sz w:val="22"/>
          <w:szCs w:val="22"/>
        </w:rPr>
      </w:pPr>
    </w:p>
    <w:p w:rsidR="00032A55" w:rsidRPr="00656ADC" w:rsidRDefault="00032A55" w:rsidP="00032A55">
      <w:pPr>
        <w:autoSpaceDE w:val="0"/>
        <w:autoSpaceDN w:val="0"/>
        <w:adjustRightInd w:val="0"/>
        <w:rPr>
          <w:rFonts w:asciiTheme="minorHAnsi" w:hAnsiTheme="minorHAnsi" w:cstheme="minorHAnsi"/>
          <w:color w:val="000000"/>
          <w:sz w:val="22"/>
          <w:szCs w:val="22"/>
        </w:rPr>
      </w:pPr>
      <w:r w:rsidRPr="00656ADC">
        <w:rPr>
          <w:rFonts w:asciiTheme="minorHAnsi" w:hAnsiTheme="minorHAnsi" w:cstheme="minorHAnsi"/>
          <w:b/>
          <w:bCs/>
          <w:color w:val="000000"/>
          <w:sz w:val="22"/>
          <w:szCs w:val="22"/>
        </w:rPr>
        <w:t xml:space="preserve">Note: </w:t>
      </w:r>
      <w:r w:rsidRPr="00656ADC">
        <w:rPr>
          <w:rFonts w:asciiTheme="minorHAnsi" w:hAnsiTheme="minorHAnsi" w:cstheme="minorHAnsi"/>
          <w:color w:val="000000"/>
          <w:sz w:val="22"/>
          <w:szCs w:val="22"/>
        </w:rPr>
        <w:t>Not stated records for FT/PT Student Status, Labour Force Status and Higher Year of School Completed have not been included.</w:t>
      </w:r>
    </w:p>
    <w:p w:rsidR="00032A55" w:rsidRDefault="00032A55" w:rsidP="00032A55">
      <w:pPr>
        <w:autoSpaceDE w:val="0"/>
        <w:autoSpaceDN w:val="0"/>
        <w:adjustRightInd w:val="0"/>
        <w:rPr>
          <w:rFonts w:ascii="Arial" w:hAnsi="Arial" w:cs="Arial"/>
          <w:color w:val="000000"/>
          <w:sz w:val="22"/>
          <w:szCs w:val="22"/>
        </w:rPr>
      </w:pP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Arial" w:hAnsi="Arial" w:cs="Arial"/>
        </w:rPr>
      </w:pPr>
    </w:p>
    <w:p w:rsidR="00032A55" w:rsidRDefault="00032A55" w:rsidP="00032A55">
      <w:pPr>
        <w:spacing w:line="360" w:lineRule="auto"/>
      </w:pPr>
    </w:p>
    <w:p w:rsidR="00032A55" w:rsidRDefault="00032A55">
      <w:r>
        <w:br w:type="page"/>
      </w:r>
    </w:p>
    <w:p w:rsidR="00032A55" w:rsidRDefault="00032A55" w:rsidP="00032A55">
      <w:pPr>
        <w:spacing w:line="360" w:lineRule="auto"/>
      </w:pPr>
      <w:r>
        <w:lastRenderedPageBreak/>
        <w:t>Slide 5</w:t>
      </w:r>
    </w:p>
    <w:p w:rsidR="00032A55" w:rsidRDefault="00032A55" w:rsidP="00032A55">
      <w:pPr>
        <w:spacing w:line="360" w:lineRule="auto"/>
      </w:pPr>
    </w:p>
    <w:p w:rsidR="00032A55" w:rsidRDefault="00032A55" w:rsidP="00032A55">
      <w:pPr>
        <w:spacing w:line="360" w:lineRule="auto"/>
        <w:jc w:val="center"/>
      </w:pPr>
      <w:r>
        <w:object w:dxaOrig="7216" w:dyaOrig="5409">
          <v:shape id="_x0000_i1029" type="#_x0000_t75" style="width:270.75pt;height:202.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9" DrawAspect="Content" ObjectID="_1424612696" r:id="rId15"/>
        </w:object>
      </w:r>
    </w:p>
    <w:p w:rsidR="00032A55" w:rsidRDefault="00032A55" w:rsidP="00032A55">
      <w:pPr>
        <w:spacing w:line="360" w:lineRule="auto"/>
        <w:jc w:val="center"/>
      </w:pP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b/>
          <w:bCs/>
          <w:color w:val="000000"/>
          <w:sz w:val="22"/>
          <w:szCs w:val="22"/>
          <w:u w:val="single"/>
        </w:rPr>
        <w:t>Teenage Full-time Unemployment</w:t>
      </w:r>
    </w:p>
    <w:p w:rsidR="00032A55" w:rsidRDefault="00032A55" w:rsidP="00032A55">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w:t>
      </w:r>
      <w:r>
        <w:rPr>
          <w:rFonts w:ascii="Calibri" w:hAnsi="Calibri" w:cs="Calibri"/>
          <w:color w:val="000000"/>
          <w:sz w:val="22"/>
          <w:szCs w:val="22"/>
        </w:rPr>
        <w:t xml:space="preserve"> </w:t>
      </w:r>
      <w:r>
        <w:rPr>
          <w:rFonts w:ascii="Calibri" w:hAnsi="Calibri" w:cs="Calibri"/>
          <w:i/>
          <w:iCs/>
          <w:color w:val="000000"/>
          <w:sz w:val="22"/>
          <w:szCs w:val="22"/>
        </w:rPr>
        <w:t>ABS Labour Force, January 2013 (12 month averages); ABS Census of Population and Housing, 2011</w:t>
      </w:r>
    </w:p>
    <w:p w:rsidR="00032A55" w:rsidRDefault="00032A55" w:rsidP="00032A55">
      <w:pPr>
        <w:autoSpaceDE w:val="0"/>
        <w:autoSpaceDN w:val="0"/>
        <w:adjustRightInd w:val="0"/>
        <w:rPr>
          <w:rFonts w:ascii="Calibri" w:hAnsi="Calibri" w:cs="Calibri"/>
          <w:b/>
          <w:bCs/>
          <w:color w:val="000000"/>
          <w:sz w:val="22"/>
          <w:szCs w:val="22"/>
          <w:lang w:val="en-US"/>
        </w:rPr>
      </w:pPr>
    </w:p>
    <w:p w:rsidR="00032A55" w:rsidRDefault="00032A55" w:rsidP="00032A55">
      <w:pPr>
        <w:autoSpaceDE w:val="0"/>
        <w:autoSpaceDN w:val="0"/>
        <w:adjustRightInd w:val="0"/>
        <w:rPr>
          <w:rFonts w:ascii="Calibri" w:hAnsi="Calibri" w:cs="Calibri"/>
          <w:color w:val="000000"/>
          <w:sz w:val="22"/>
          <w:szCs w:val="22"/>
          <w:lang w:val="en-US"/>
        </w:rPr>
      </w:pPr>
      <w:r>
        <w:rPr>
          <w:rFonts w:ascii="Calibri" w:hAnsi="Calibri" w:cs="Calibri"/>
          <w:color w:val="000000"/>
          <w:sz w:val="22"/>
          <w:szCs w:val="22"/>
          <w:lang w:val="en-US"/>
        </w:rPr>
        <w:t xml:space="preserve">Due to their lack of skills and experience, teenagers participating in the full-time </w:t>
      </w:r>
      <w:proofErr w:type="spellStart"/>
      <w:r>
        <w:rPr>
          <w:rFonts w:ascii="Calibri" w:hAnsi="Calibri" w:cs="Calibri"/>
          <w:color w:val="000000"/>
          <w:sz w:val="22"/>
          <w:szCs w:val="22"/>
          <w:lang w:val="en-US"/>
        </w:rPr>
        <w:t>labour</w:t>
      </w:r>
      <w:proofErr w:type="spellEnd"/>
      <w:r>
        <w:rPr>
          <w:rFonts w:ascii="Calibri" w:hAnsi="Calibri" w:cs="Calibri"/>
          <w:color w:val="000000"/>
          <w:sz w:val="22"/>
          <w:szCs w:val="22"/>
          <w:lang w:val="en-US"/>
        </w:rPr>
        <w:t xml:space="preserve"> market can be particularly vulnerable during a </w:t>
      </w:r>
      <w:proofErr w:type="spellStart"/>
      <w:r>
        <w:rPr>
          <w:rFonts w:ascii="Calibri" w:hAnsi="Calibri" w:cs="Calibri"/>
          <w:color w:val="000000"/>
          <w:sz w:val="22"/>
          <w:szCs w:val="22"/>
          <w:lang w:val="en-US"/>
        </w:rPr>
        <w:t>labour</w:t>
      </w:r>
      <w:proofErr w:type="spellEnd"/>
      <w:r>
        <w:rPr>
          <w:rFonts w:ascii="Calibri" w:hAnsi="Calibri" w:cs="Calibri"/>
          <w:color w:val="000000"/>
          <w:sz w:val="22"/>
          <w:szCs w:val="22"/>
          <w:lang w:val="en-US"/>
        </w:rPr>
        <w:t xml:space="preserve"> market downturn.</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In January 2013, the full-time unemployment rate for the Central Highlands-Wimmera </w:t>
      </w:r>
      <w:proofErr w:type="spellStart"/>
      <w:r>
        <w:rPr>
          <w:rFonts w:ascii="Calibri" w:hAnsi="Calibri" w:cs="Calibri"/>
          <w:color w:val="000000"/>
          <w:sz w:val="22"/>
          <w:szCs w:val="22"/>
        </w:rPr>
        <w:t>LFR</w:t>
      </w:r>
      <w:proofErr w:type="spellEnd"/>
      <w:r>
        <w:rPr>
          <w:rFonts w:ascii="Calibri" w:hAnsi="Calibri" w:cs="Calibri"/>
          <w:color w:val="000000"/>
          <w:sz w:val="22"/>
          <w:szCs w:val="22"/>
        </w:rPr>
        <w:t xml:space="preserve"> was 45 per cent, an increase of 9 per cent since the previous year. The full-time unemployment rate was significantly higher than both Victoria (28 per cent) and Australia (24 per cent).</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Similarly, the teenage full-time unemployment to population ratio in the Central Highlands-Wimmera </w:t>
      </w:r>
      <w:proofErr w:type="spellStart"/>
      <w:r>
        <w:rPr>
          <w:rFonts w:ascii="Calibri" w:hAnsi="Calibri" w:cs="Calibri"/>
          <w:color w:val="000000"/>
          <w:sz w:val="22"/>
          <w:szCs w:val="22"/>
        </w:rPr>
        <w:t>LFR</w:t>
      </w:r>
      <w:proofErr w:type="spellEnd"/>
      <w:r>
        <w:rPr>
          <w:rFonts w:ascii="Calibri" w:hAnsi="Calibri" w:cs="Calibri"/>
          <w:color w:val="000000"/>
          <w:sz w:val="22"/>
          <w:szCs w:val="22"/>
        </w:rPr>
        <w:t xml:space="preserve"> (7 per cent) was higher than Victoria and Australia (both 4 per cent).</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At the time of the 2011 Census, 7 per cent of 15 to 19 year olds in the Ballarat Area were </w:t>
      </w:r>
      <w:proofErr w:type="gramStart"/>
      <w:r>
        <w:rPr>
          <w:rFonts w:ascii="Calibri" w:hAnsi="Calibri" w:cs="Calibri"/>
          <w:color w:val="000000"/>
          <w:sz w:val="22"/>
          <w:szCs w:val="22"/>
        </w:rPr>
        <w:t>neither studying nor working, a figure reflecting the national average at that time</w:t>
      </w:r>
      <w:proofErr w:type="gramEnd"/>
      <w:r>
        <w:rPr>
          <w:rFonts w:ascii="Calibri" w:hAnsi="Calibri" w:cs="Calibri"/>
          <w:color w:val="000000"/>
          <w:sz w:val="22"/>
          <w:szCs w:val="22"/>
        </w:rPr>
        <w:t xml:space="preserve">. </w:t>
      </w:r>
    </w:p>
    <w:p w:rsidR="00032A55" w:rsidRDefault="00032A55" w:rsidP="00032A55">
      <w:pPr>
        <w:autoSpaceDE w:val="0"/>
        <w:autoSpaceDN w:val="0"/>
        <w:adjustRightInd w:val="0"/>
        <w:rPr>
          <w:rFonts w:ascii="Arial" w:hAnsi="Arial" w:cs="Arial"/>
          <w:color w:val="000000"/>
          <w:sz w:val="22"/>
          <w:szCs w:val="22"/>
        </w:rPr>
      </w:pPr>
    </w:p>
    <w:p w:rsidR="00032A55" w:rsidRDefault="00032A55" w:rsidP="00032A55">
      <w:pPr>
        <w:autoSpaceDE w:val="0"/>
        <w:autoSpaceDN w:val="0"/>
        <w:adjustRightInd w:val="0"/>
        <w:rPr>
          <w:rFonts w:ascii="Arial" w:hAnsi="Arial" w:cs="Arial"/>
        </w:rPr>
      </w:pPr>
    </w:p>
    <w:p w:rsidR="00032A55" w:rsidRDefault="00032A55" w:rsidP="00032A55">
      <w:pPr>
        <w:spacing w:line="360" w:lineRule="auto"/>
      </w:pPr>
    </w:p>
    <w:p w:rsidR="00032A55" w:rsidRDefault="00032A55">
      <w:r>
        <w:br w:type="page"/>
      </w:r>
    </w:p>
    <w:p w:rsidR="00032A55" w:rsidRDefault="00032A55" w:rsidP="00032A55">
      <w:pPr>
        <w:spacing w:line="360" w:lineRule="auto"/>
      </w:pPr>
      <w:r>
        <w:lastRenderedPageBreak/>
        <w:t>Slide 6</w:t>
      </w:r>
    </w:p>
    <w:p w:rsidR="00032A55" w:rsidRDefault="00032A55" w:rsidP="00032A55">
      <w:pPr>
        <w:spacing w:line="360" w:lineRule="auto"/>
      </w:pPr>
    </w:p>
    <w:p w:rsidR="00032A55" w:rsidRDefault="00032A55" w:rsidP="00032A55">
      <w:pPr>
        <w:spacing w:line="360" w:lineRule="auto"/>
        <w:jc w:val="center"/>
      </w:pPr>
      <w:r>
        <w:object w:dxaOrig="7216" w:dyaOrig="5409">
          <v:shape id="_x0000_i1030" type="#_x0000_t75" style="width:270.75pt;height:202.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30" DrawAspect="Content" ObjectID="_1424612697" r:id="rId17"/>
        </w:object>
      </w:r>
    </w:p>
    <w:p w:rsidR="00032A55" w:rsidRDefault="00032A55" w:rsidP="00032A55">
      <w:pPr>
        <w:spacing w:line="360" w:lineRule="auto"/>
        <w:jc w:val="center"/>
      </w:pPr>
    </w:p>
    <w:p w:rsidR="00032A55" w:rsidRDefault="00032A55" w:rsidP="00032A55">
      <w:pPr>
        <w:autoSpaceDE w:val="0"/>
        <w:autoSpaceDN w:val="0"/>
        <w:adjustRightInd w:val="0"/>
        <w:rPr>
          <w:rFonts w:ascii="Calibri" w:hAnsi="Calibri" w:cs="Calibri"/>
          <w:b/>
          <w:bCs/>
          <w:color w:val="000000"/>
          <w:sz w:val="22"/>
          <w:szCs w:val="22"/>
          <w:u w:val="single"/>
        </w:rPr>
      </w:pPr>
      <w:r>
        <w:rPr>
          <w:rFonts w:ascii="Calibri" w:hAnsi="Calibri" w:cs="Calibri"/>
          <w:b/>
          <w:bCs/>
          <w:color w:val="000000"/>
          <w:sz w:val="22"/>
          <w:szCs w:val="22"/>
          <w:u w:val="single"/>
        </w:rPr>
        <w:t>Disengaged Youth:</w:t>
      </w:r>
    </w:p>
    <w:p w:rsidR="00032A55" w:rsidRDefault="00032A55" w:rsidP="00032A55">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ABS 2011 Census of Population and Housing.</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This chart shows persons aged 20-24 years who are neither working nor studying.</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Arial" w:hAnsi="Arial" w:cs="Arial"/>
        </w:rPr>
      </w:pPr>
    </w:p>
    <w:p w:rsidR="00032A55" w:rsidRDefault="00032A55" w:rsidP="00032A55">
      <w:pPr>
        <w:spacing w:line="360" w:lineRule="auto"/>
      </w:pPr>
    </w:p>
    <w:p w:rsidR="00032A55" w:rsidRDefault="00032A55">
      <w:r>
        <w:br w:type="page"/>
      </w:r>
    </w:p>
    <w:p w:rsidR="00032A55" w:rsidRDefault="00032A55" w:rsidP="00032A55">
      <w:pPr>
        <w:spacing w:line="360" w:lineRule="auto"/>
      </w:pPr>
      <w:r>
        <w:lastRenderedPageBreak/>
        <w:t>Slide 7</w:t>
      </w:r>
    </w:p>
    <w:p w:rsidR="00032A55" w:rsidRDefault="00032A55" w:rsidP="00032A55">
      <w:pPr>
        <w:spacing w:line="360" w:lineRule="auto"/>
      </w:pPr>
    </w:p>
    <w:p w:rsidR="00032A55" w:rsidRDefault="00032A55" w:rsidP="00032A55">
      <w:pPr>
        <w:spacing w:line="360" w:lineRule="auto"/>
        <w:jc w:val="center"/>
      </w:pPr>
      <w:r>
        <w:object w:dxaOrig="7216" w:dyaOrig="5409">
          <v:shape id="_x0000_i1031" type="#_x0000_t75" style="width:270.75pt;height:202.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31" DrawAspect="Content" ObjectID="_1424612698" r:id="rId19"/>
        </w:object>
      </w:r>
    </w:p>
    <w:p w:rsidR="00032A55" w:rsidRDefault="00032A55" w:rsidP="00032A55">
      <w:pPr>
        <w:spacing w:line="360" w:lineRule="auto"/>
        <w:jc w:val="center"/>
      </w:pPr>
    </w:p>
    <w:p w:rsidR="00032A55" w:rsidRDefault="00032A55" w:rsidP="00032A55">
      <w:pPr>
        <w:autoSpaceDE w:val="0"/>
        <w:autoSpaceDN w:val="0"/>
        <w:adjustRightInd w:val="0"/>
        <w:rPr>
          <w:rFonts w:ascii="Calibri" w:hAnsi="Calibri" w:cs="Calibri"/>
          <w:color w:val="000000"/>
          <w:sz w:val="22"/>
          <w:szCs w:val="22"/>
          <w:u w:val="single"/>
        </w:rPr>
      </w:pPr>
      <w:r>
        <w:rPr>
          <w:rFonts w:ascii="Calibri" w:hAnsi="Calibri" w:cs="Calibri"/>
          <w:color w:val="000000"/>
          <w:sz w:val="22"/>
          <w:szCs w:val="22"/>
        </w:rPr>
        <w:t> </w:t>
      </w:r>
      <w:r>
        <w:rPr>
          <w:rFonts w:ascii="Calibri" w:hAnsi="Calibri" w:cs="Calibri"/>
          <w:b/>
          <w:bCs/>
          <w:color w:val="000000"/>
          <w:sz w:val="22"/>
          <w:szCs w:val="22"/>
          <w:u w:val="single"/>
        </w:rPr>
        <w:t>Recipients of Income Support Payment</w:t>
      </w:r>
    </w:p>
    <w:p w:rsidR="00032A55" w:rsidRDefault="00032A55" w:rsidP="00032A55">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DEEWR administrative data, December 2012; ABS Population Estimates by Age and Sex, 2011</w:t>
      </w:r>
    </w:p>
    <w:p w:rsidR="00032A55" w:rsidRDefault="00032A55" w:rsidP="00032A55">
      <w:pPr>
        <w:autoSpaceDE w:val="0"/>
        <w:autoSpaceDN w:val="0"/>
        <w:adjustRightInd w:val="0"/>
        <w:rPr>
          <w:rFonts w:ascii="Calibri" w:hAnsi="Calibri" w:cs="Calibri"/>
          <w:i/>
          <w:iCs/>
          <w:color w:val="000000"/>
          <w:sz w:val="22"/>
          <w:szCs w:val="22"/>
        </w:rPr>
      </w:pP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In December 2012, there were 10,061 people aged 15-24 in receipt of an income support payment (24 per cent of the population).</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The most common payments were:</w:t>
      </w:r>
    </w:p>
    <w:p w:rsidR="00032A55" w:rsidRDefault="00032A55" w:rsidP="00032A55">
      <w:pPr>
        <w:numPr>
          <w:ilvl w:val="0"/>
          <w:numId w:val="3"/>
        </w:numPr>
        <w:autoSpaceDE w:val="0"/>
        <w:autoSpaceDN w:val="0"/>
        <w:adjustRightInd w:val="0"/>
        <w:ind w:left="270" w:hanging="270"/>
        <w:rPr>
          <w:rFonts w:ascii="Calibri" w:hAnsi="Calibri" w:cs="Calibri"/>
          <w:color w:val="000000"/>
          <w:sz w:val="22"/>
          <w:szCs w:val="22"/>
        </w:rPr>
      </w:pPr>
      <w:r>
        <w:rPr>
          <w:rFonts w:ascii="Calibri" w:hAnsi="Calibri" w:cs="Calibri"/>
          <w:color w:val="000000"/>
          <w:sz w:val="22"/>
          <w:szCs w:val="22"/>
        </w:rPr>
        <w:t>Unemployment Benefit = Youth Allowance (Other) + New Start Allowance = 2,109 + 1,439</w:t>
      </w:r>
    </w:p>
    <w:p w:rsidR="00032A55" w:rsidRDefault="00032A55" w:rsidP="00032A55">
      <w:pPr>
        <w:numPr>
          <w:ilvl w:val="0"/>
          <w:numId w:val="3"/>
        </w:numPr>
        <w:autoSpaceDE w:val="0"/>
        <w:autoSpaceDN w:val="0"/>
        <w:adjustRightInd w:val="0"/>
        <w:ind w:left="270" w:hanging="270"/>
        <w:rPr>
          <w:rFonts w:ascii="Calibri" w:hAnsi="Calibri" w:cs="Calibri"/>
          <w:color w:val="000000"/>
          <w:sz w:val="22"/>
          <w:szCs w:val="22"/>
        </w:rPr>
      </w:pPr>
      <w:r>
        <w:rPr>
          <w:rFonts w:ascii="Calibri" w:hAnsi="Calibri" w:cs="Calibri"/>
          <w:color w:val="000000"/>
          <w:sz w:val="22"/>
          <w:szCs w:val="22"/>
        </w:rPr>
        <w:t>Disability Support Pension = 1,287</w:t>
      </w:r>
    </w:p>
    <w:p w:rsidR="00032A55" w:rsidRDefault="00032A55" w:rsidP="00032A55">
      <w:pPr>
        <w:numPr>
          <w:ilvl w:val="0"/>
          <w:numId w:val="3"/>
        </w:numPr>
        <w:autoSpaceDE w:val="0"/>
        <w:autoSpaceDN w:val="0"/>
        <w:adjustRightInd w:val="0"/>
        <w:ind w:left="270" w:hanging="270"/>
        <w:rPr>
          <w:rFonts w:ascii="Calibri" w:hAnsi="Calibri" w:cs="Calibri"/>
          <w:color w:val="000000"/>
          <w:sz w:val="22"/>
          <w:szCs w:val="22"/>
        </w:rPr>
      </w:pPr>
      <w:r>
        <w:rPr>
          <w:rFonts w:ascii="Calibri" w:hAnsi="Calibri" w:cs="Calibri"/>
          <w:color w:val="000000"/>
          <w:sz w:val="22"/>
          <w:szCs w:val="22"/>
        </w:rPr>
        <w:t>Parenting Payment Single Payment = 923</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Arial" w:hAnsi="Arial" w:cs="Arial"/>
        </w:rPr>
      </w:pPr>
    </w:p>
    <w:p w:rsidR="00032A55" w:rsidRDefault="00032A55" w:rsidP="00032A55">
      <w:pPr>
        <w:spacing w:line="360" w:lineRule="auto"/>
      </w:pPr>
    </w:p>
    <w:p w:rsidR="00032A55" w:rsidRDefault="00032A55">
      <w:r>
        <w:br w:type="page"/>
      </w:r>
    </w:p>
    <w:p w:rsidR="00032A55" w:rsidRDefault="00032A55" w:rsidP="00032A55">
      <w:pPr>
        <w:spacing w:line="360" w:lineRule="auto"/>
      </w:pPr>
      <w:r>
        <w:lastRenderedPageBreak/>
        <w:t>Slide 8</w:t>
      </w:r>
    </w:p>
    <w:p w:rsidR="00032A55" w:rsidRDefault="00032A55" w:rsidP="00032A55">
      <w:pPr>
        <w:spacing w:line="360" w:lineRule="auto"/>
      </w:pPr>
    </w:p>
    <w:p w:rsidR="00032A55" w:rsidRDefault="00032A55" w:rsidP="00032A55">
      <w:pPr>
        <w:spacing w:line="360" w:lineRule="auto"/>
        <w:jc w:val="center"/>
      </w:pPr>
      <w:r>
        <w:object w:dxaOrig="7216" w:dyaOrig="5409">
          <v:shape id="_x0000_i1032" type="#_x0000_t75" style="width:270.75pt;height:202.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2" DrawAspect="Content" ObjectID="_1424612699" r:id="rId21"/>
        </w:object>
      </w:r>
    </w:p>
    <w:p w:rsidR="00032A55" w:rsidRDefault="00032A55" w:rsidP="00032A55">
      <w:pPr>
        <w:spacing w:line="360" w:lineRule="auto"/>
        <w:jc w:val="center"/>
      </w:pPr>
    </w:p>
    <w:p w:rsidR="00032A55" w:rsidRDefault="00032A55" w:rsidP="00032A55">
      <w:pPr>
        <w:autoSpaceDE w:val="0"/>
        <w:autoSpaceDN w:val="0"/>
        <w:adjustRightInd w:val="0"/>
        <w:rPr>
          <w:rFonts w:ascii="Calibri" w:hAnsi="Calibri" w:cs="Calibri"/>
          <w:b/>
          <w:bCs/>
          <w:color w:val="000000"/>
          <w:sz w:val="22"/>
          <w:szCs w:val="22"/>
          <w:u w:val="single"/>
        </w:rPr>
      </w:pPr>
      <w:r>
        <w:rPr>
          <w:rFonts w:ascii="Calibri" w:hAnsi="Calibri" w:cs="Calibri"/>
          <w:b/>
          <w:bCs/>
          <w:color w:val="000000"/>
          <w:sz w:val="22"/>
          <w:szCs w:val="22"/>
          <w:u w:val="single"/>
        </w:rPr>
        <w:t>Educational Attainment:</w:t>
      </w:r>
    </w:p>
    <w:p w:rsidR="00032A55" w:rsidRDefault="00032A55" w:rsidP="00032A55">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ABS 2011 and 2006 Census of Population and Housing</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Year 12 completion rates for people aged 20-24 years old are considerably lower in the Central Victoria PEA (70 per cent) compared with both Victoria (80 per cent) and Australia (75 per cent). However, results vary across the PEA, with 74 per cent of 20-24 year olds in the Ballarat </w:t>
      </w:r>
      <w:proofErr w:type="spellStart"/>
      <w:r>
        <w:rPr>
          <w:rFonts w:ascii="Calibri" w:hAnsi="Calibri" w:cs="Calibri"/>
          <w:color w:val="000000"/>
          <w:sz w:val="22"/>
          <w:szCs w:val="22"/>
        </w:rPr>
        <w:t>LGA</w:t>
      </w:r>
      <w:proofErr w:type="spellEnd"/>
      <w:r>
        <w:rPr>
          <w:rFonts w:ascii="Calibri" w:hAnsi="Calibri" w:cs="Calibri"/>
          <w:color w:val="000000"/>
          <w:sz w:val="22"/>
          <w:szCs w:val="22"/>
        </w:rPr>
        <w:t xml:space="preserve"> having a Year 12 Certificate compared with 57 per cent for those in the Northern Grampians </w:t>
      </w:r>
      <w:proofErr w:type="spellStart"/>
      <w:r>
        <w:rPr>
          <w:rFonts w:ascii="Calibri" w:hAnsi="Calibri" w:cs="Calibri"/>
          <w:color w:val="000000"/>
          <w:sz w:val="22"/>
          <w:szCs w:val="22"/>
        </w:rPr>
        <w:t>LGA</w:t>
      </w:r>
      <w:proofErr w:type="spellEnd"/>
      <w:r>
        <w:rPr>
          <w:rFonts w:ascii="Calibri" w:hAnsi="Calibri" w:cs="Calibri"/>
          <w:color w:val="000000"/>
          <w:sz w:val="22"/>
          <w:szCs w:val="22"/>
        </w:rPr>
        <w:t>.</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While a relatively high proportion of people aged 25-34 have obtained an Adv. Dip/Cert III/IV, a low proportion have obtained a bachelor degree or higher.</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Arial" w:hAnsi="Arial" w:cs="Arial"/>
        </w:rPr>
      </w:pPr>
    </w:p>
    <w:p w:rsidR="00032A55" w:rsidRDefault="00032A55" w:rsidP="00032A55">
      <w:pPr>
        <w:spacing w:line="360" w:lineRule="auto"/>
      </w:pPr>
    </w:p>
    <w:p w:rsidR="00032A55" w:rsidRDefault="00032A55">
      <w:r>
        <w:br w:type="page"/>
      </w:r>
    </w:p>
    <w:p w:rsidR="00032A55" w:rsidRDefault="00032A55" w:rsidP="00032A55">
      <w:pPr>
        <w:spacing w:line="360" w:lineRule="auto"/>
      </w:pPr>
      <w:r>
        <w:lastRenderedPageBreak/>
        <w:t>Slide 9</w:t>
      </w:r>
    </w:p>
    <w:p w:rsidR="00032A55" w:rsidRDefault="00032A55" w:rsidP="00032A55">
      <w:pPr>
        <w:spacing w:line="360" w:lineRule="auto"/>
      </w:pPr>
    </w:p>
    <w:p w:rsidR="00032A55" w:rsidRDefault="00032A55" w:rsidP="00032A55">
      <w:pPr>
        <w:spacing w:line="360" w:lineRule="auto"/>
        <w:jc w:val="center"/>
      </w:pPr>
      <w:r>
        <w:object w:dxaOrig="7216" w:dyaOrig="5409">
          <v:shape id="_x0000_i1033" type="#_x0000_t75" style="width:270.75pt;height:202.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3" DrawAspect="Content" ObjectID="_1424612700" r:id="rId23"/>
        </w:object>
      </w:r>
    </w:p>
    <w:p w:rsidR="00032A55" w:rsidRDefault="00032A55" w:rsidP="00032A55">
      <w:pPr>
        <w:spacing w:line="360" w:lineRule="auto"/>
        <w:jc w:val="center"/>
      </w:pPr>
    </w:p>
    <w:p w:rsidR="00032A55" w:rsidRDefault="00032A55" w:rsidP="00032A55">
      <w:pPr>
        <w:autoSpaceDE w:val="0"/>
        <w:autoSpaceDN w:val="0"/>
        <w:adjustRightInd w:val="0"/>
        <w:rPr>
          <w:rFonts w:ascii="Calibri" w:hAnsi="Calibri" w:cs="Calibri"/>
          <w:b/>
          <w:bCs/>
          <w:color w:val="000000"/>
          <w:sz w:val="22"/>
          <w:szCs w:val="22"/>
          <w:u w:val="single"/>
        </w:rPr>
      </w:pPr>
      <w:r>
        <w:rPr>
          <w:rFonts w:ascii="Calibri" w:hAnsi="Calibri" w:cs="Calibri"/>
          <w:b/>
          <w:bCs/>
          <w:color w:val="000000"/>
          <w:sz w:val="22"/>
          <w:szCs w:val="22"/>
          <w:u w:val="single"/>
        </w:rPr>
        <w:t>Educational Attainment and Labour Market Outcomes:</w:t>
      </w:r>
    </w:p>
    <w:p w:rsidR="00032A55" w:rsidRDefault="00032A55" w:rsidP="00032A55">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ABS 2011 Census of Population and Housing</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This slide illustrates the correlation between education and labour market outcomes in the Central Victoria PEA, with higher labour force participation rates and lower unemployment rates for those with higher levels of educational attainment. This reflects the pattern seen across Australia and demonstrates the importance of continuing education to help job seekers obtain employment and participate in the labour market.</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Arial" w:hAnsi="Arial" w:cs="Arial"/>
        </w:rPr>
      </w:pPr>
    </w:p>
    <w:p w:rsidR="00032A55" w:rsidRDefault="00032A55" w:rsidP="00032A55">
      <w:pPr>
        <w:spacing w:line="360" w:lineRule="auto"/>
      </w:pPr>
    </w:p>
    <w:p w:rsidR="00032A55" w:rsidRDefault="00032A55">
      <w:r>
        <w:br w:type="page"/>
      </w:r>
    </w:p>
    <w:p w:rsidR="00032A55" w:rsidRDefault="00032A55" w:rsidP="00032A55">
      <w:pPr>
        <w:spacing w:line="360" w:lineRule="auto"/>
      </w:pPr>
      <w:r>
        <w:lastRenderedPageBreak/>
        <w:t>Slide 10</w:t>
      </w:r>
    </w:p>
    <w:p w:rsidR="00032A55" w:rsidRDefault="00032A55" w:rsidP="00032A55">
      <w:pPr>
        <w:spacing w:line="360" w:lineRule="auto"/>
      </w:pPr>
    </w:p>
    <w:p w:rsidR="00032A55" w:rsidRDefault="00032A55" w:rsidP="00032A55">
      <w:pPr>
        <w:spacing w:line="360" w:lineRule="auto"/>
        <w:jc w:val="center"/>
      </w:pPr>
      <w:r>
        <w:object w:dxaOrig="7216" w:dyaOrig="5409">
          <v:shape id="_x0000_i1034" type="#_x0000_t75" style="width:270.75pt;height:202.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4" DrawAspect="Content" ObjectID="_1424612701" r:id="rId25"/>
        </w:object>
      </w:r>
    </w:p>
    <w:p w:rsidR="00032A55" w:rsidRDefault="00032A55" w:rsidP="00032A55">
      <w:pPr>
        <w:spacing w:line="360" w:lineRule="auto"/>
        <w:jc w:val="center"/>
      </w:pPr>
    </w:p>
    <w:p w:rsidR="00032A55" w:rsidRDefault="00032A55" w:rsidP="00032A55">
      <w:pPr>
        <w:autoSpaceDE w:val="0"/>
        <w:autoSpaceDN w:val="0"/>
        <w:adjustRightInd w:val="0"/>
        <w:rPr>
          <w:rFonts w:ascii="Calibri" w:hAnsi="Calibri" w:cs="Calibri"/>
          <w:b/>
          <w:bCs/>
          <w:color w:val="000000"/>
          <w:sz w:val="22"/>
          <w:szCs w:val="22"/>
          <w:u w:val="single"/>
        </w:rPr>
      </w:pPr>
      <w:r>
        <w:rPr>
          <w:rFonts w:ascii="Calibri" w:hAnsi="Calibri" w:cs="Calibri"/>
          <w:b/>
          <w:bCs/>
          <w:color w:val="000000"/>
          <w:sz w:val="22"/>
          <w:szCs w:val="22"/>
          <w:u w:val="single"/>
        </w:rPr>
        <w:t>Change in the labour market – skill levels:</w:t>
      </w:r>
    </w:p>
    <w:p w:rsidR="00032A55" w:rsidRDefault="00032A55" w:rsidP="00032A55">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ABS Labour Force Survey (DEEWR trend)</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Growth in Professionals and Technicians and Trades Workers is reflected in projected growth by skill level – where the strongest growth is expected for higher skill levels.</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The highest skill level – corresponding to a Bachelor Degree or higher level qualification – is projected to account for a disproportionate share of national employment growth over the coming five years (</w:t>
      </w:r>
      <w:r>
        <w:rPr>
          <w:rFonts w:ascii="Calibri" w:hAnsi="Calibri" w:cs="Calibri"/>
          <w:b/>
          <w:bCs/>
          <w:color w:val="000000"/>
          <w:sz w:val="22"/>
          <w:szCs w:val="22"/>
        </w:rPr>
        <w:t>38.9</w:t>
      </w:r>
      <w:r>
        <w:rPr>
          <w:rFonts w:ascii="Calibri" w:hAnsi="Calibri" w:cs="Calibri"/>
          <w:color w:val="000000"/>
          <w:sz w:val="22"/>
          <w:szCs w:val="22"/>
        </w:rPr>
        <w:t xml:space="preserve"> per cent of growth compared with its </w:t>
      </w:r>
      <w:r>
        <w:rPr>
          <w:rFonts w:ascii="Calibri" w:hAnsi="Calibri" w:cs="Calibri"/>
          <w:b/>
          <w:bCs/>
          <w:color w:val="000000"/>
          <w:sz w:val="22"/>
          <w:szCs w:val="22"/>
        </w:rPr>
        <w:t>30.0</w:t>
      </w:r>
      <w:r>
        <w:rPr>
          <w:rFonts w:ascii="Calibri" w:hAnsi="Calibri" w:cs="Calibri"/>
          <w:color w:val="000000"/>
          <w:sz w:val="22"/>
          <w:szCs w:val="22"/>
        </w:rPr>
        <w:t xml:space="preserve"> per cent share of employment).  In contrast, there is much more subdued growth (only </w:t>
      </w:r>
      <w:r>
        <w:rPr>
          <w:rFonts w:ascii="Calibri" w:hAnsi="Calibri" w:cs="Calibri"/>
          <w:b/>
          <w:bCs/>
          <w:color w:val="000000"/>
          <w:sz w:val="22"/>
          <w:szCs w:val="22"/>
        </w:rPr>
        <w:t>7.2</w:t>
      </w:r>
      <w:r>
        <w:rPr>
          <w:rFonts w:ascii="Calibri" w:hAnsi="Calibri" w:cs="Calibri"/>
          <w:color w:val="000000"/>
          <w:sz w:val="22"/>
          <w:szCs w:val="22"/>
        </w:rPr>
        <w:t xml:space="preserve"> per cent of the total) at the lowest skill level, corresponding to compulsory secondary education or Certificate I.</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Employment in the key technical and trade group at Skill Level 3, corresponding to a Certificate IV or a formal apprenticeship, fared quite badly over the past five years as it was particularly hard-hit by the </w:t>
      </w:r>
      <w:proofErr w:type="spellStart"/>
      <w:r>
        <w:rPr>
          <w:rFonts w:ascii="Calibri" w:hAnsi="Calibri" w:cs="Calibri"/>
          <w:color w:val="000000"/>
          <w:sz w:val="22"/>
          <w:szCs w:val="22"/>
        </w:rPr>
        <w:t>GFC</w:t>
      </w:r>
      <w:proofErr w:type="spellEnd"/>
      <w:r>
        <w:rPr>
          <w:rFonts w:ascii="Calibri" w:hAnsi="Calibri" w:cs="Calibri"/>
          <w:color w:val="000000"/>
          <w:sz w:val="22"/>
          <w:szCs w:val="22"/>
        </w:rPr>
        <w:t xml:space="preserve">-related downturn in Australia in 2008-09 and its subsequent impacts on the domestic economy.  Nevertheless, DEEWR is expecting employment growth for this group to return to more normal levels over the coming five years, with growth of </w:t>
      </w:r>
      <w:r>
        <w:rPr>
          <w:rFonts w:ascii="Calibri" w:hAnsi="Calibri" w:cs="Calibri"/>
          <w:b/>
          <w:bCs/>
          <w:color w:val="000000"/>
          <w:sz w:val="22"/>
          <w:szCs w:val="22"/>
        </w:rPr>
        <w:t>121,800</w:t>
      </w:r>
      <w:r>
        <w:rPr>
          <w:rFonts w:ascii="Calibri" w:hAnsi="Calibri" w:cs="Calibri"/>
          <w:color w:val="000000"/>
          <w:sz w:val="22"/>
          <w:szCs w:val="22"/>
        </w:rPr>
        <w:t xml:space="preserve"> workers projected to 2016-17, equivalent to a </w:t>
      </w:r>
      <w:r>
        <w:rPr>
          <w:rFonts w:ascii="Calibri" w:hAnsi="Calibri" w:cs="Calibri"/>
          <w:b/>
          <w:bCs/>
          <w:color w:val="000000"/>
          <w:sz w:val="22"/>
          <w:szCs w:val="22"/>
        </w:rPr>
        <w:t>14.7</w:t>
      </w:r>
      <w:r>
        <w:rPr>
          <w:rFonts w:ascii="Calibri" w:hAnsi="Calibri" w:cs="Calibri"/>
          <w:color w:val="000000"/>
          <w:sz w:val="22"/>
          <w:szCs w:val="22"/>
        </w:rPr>
        <w:t xml:space="preserve"> per cent share of total growth compared with its </w:t>
      </w:r>
      <w:r>
        <w:rPr>
          <w:rFonts w:ascii="Calibri" w:hAnsi="Calibri" w:cs="Calibri"/>
          <w:b/>
          <w:bCs/>
          <w:color w:val="000000"/>
          <w:sz w:val="22"/>
          <w:szCs w:val="22"/>
        </w:rPr>
        <w:t>15.1</w:t>
      </w:r>
      <w:r>
        <w:rPr>
          <w:rFonts w:ascii="Calibri" w:hAnsi="Calibri" w:cs="Calibri"/>
          <w:color w:val="000000"/>
          <w:sz w:val="22"/>
          <w:szCs w:val="22"/>
        </w:rPr>
        <w:t xml:space="preserve"> per cent share of employment.</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(Note:  Data for this chart are from the 2012 DEEWR national projections to 2016-17.  Skill level attributions are made for those occupations fully coded to four digit level and employment numbers are weighted so that the aggregate agrees with projected total employment.)</w:t>
      </w:r>
    </w:p>
    <w:p w:rsidR="00032A55" w:rsidRDefault="00032A55" w:rsidP="00032A55">
      <w:pPr>
        <w:autoSpaceDE w:val="0"/>
        <w:autoSpaceDN w:val="0"/>
        <w:adjustRightInd w:val="0"/>
        <w:rPr>
          <w:rFonts w:ascii="Arial" w:hAnsi="Arial" w:cs="Arial"/>
        </w:rPr>
      </w:pPr>
    </w:p>
    <w:p w:rsidR="00032A55" w:rsidRDefault="00032A55" w:rsidP="00032A55">
      <w:pPr>
        <w:spacing w:line="360" w:lineRule="auto"/>
      </w:pPr>
    </w:p>
    <w:p w:rsidR="00032A55" w:rsidRDefault="00032A55">
      <w:r>
        <w:br w:type="page"/>
      </w:r>
    </w:p>
    <w:p w:rsidR="00032A55" w:rsidRDefault="00032A55" w:rsidP="00032A55">
      <w:pPr>
        <w:spacing w:line="360" w:lineRule="auto"/>
      </w:pPr>
      <w:r>
        <w:lastRenderedPageBreak/>
        <w:t>Slide 11</w:t>
      </w:r>
    </w:p>
    <w:p w:rsidR="00032A55" w:rsidRDefault="00032A55" w:rsidP="00032A55">
      <w:pPr>
        <w:spacing w:line="360" w:lineRule="auto"/>
      </w:pPr>
    </w:p>
    <w:p w:rsidR="00032A55" w:rsidRDefault="00032A55" w:rsidP="00032A55">
      <w:pPr>
        <w:spacing w:line="360" w:lineRule="auto"/>
        <w:jc w:val="center"/>
      </w:pPr>
      <w:r>
        <w:object w:dxaOrig="7216" w:dyaOrig="5409">
          <v:shape id="_x0000_i1035" type="#_x0000_t75" style="width:270.75pt;height:202.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5" DrawAspect="Content" ObjectID="_1424612702" r:id="rId27"/>
        </w:object>
      </w:r>
    </w:p>
    <w:p w:rsidR="00032A55" w:rsidRDefault="00032A55" w:rsidP="00032A55">
      <w:pPr>
        <w:spacing w:line="360" w:lineRule="auto"/>
        <w:jc w:val="center"/>
      </w:pPr>
    </w:p>
    <w:p w:rsidR="00032A55" w:rsidRDefault="00032A55" w:rsidP="00032A55">
      <w:pPr>
        <w:autoSpaceDE w:val="0"/>
        <w:autoSpaceDN w:val="0"/>
        <w:adjustRightInd w:val="0"/>
        <w:rPr>
          <w:rFonts w:ascii="Calibri" w:hAnsi="Calibri" w:cs="Calibri"/>
          <w:b/>
          <w:bCs/>
          <w:color w:val="000000"/>
          <w:sz w:val="22"/>
          <w:szCs w:val="22"/>
          <w:u w:val="single"/>
        </w:rPr>
      </w:pPr>
      <w:r>
        <w:rPr>
          <w:rFonts w:ascii="Calibri" w:hAnsi="Calibri" w:cs="Calibri"/>
          <w:b/>
          <w:bCs/>
          <w:color w:val="000000"/>
          <w:sz w:val="22"/>
          <w:szCs w:val="22"/>
          <w:u w:val="single"/>
        </w:rPr>
        <w:t>Employment by Industry:</w:t>
      </w:r>
    </w:p>
    <w:p w:rsidR="00032A55" w:rsidRDefault="00032A55" w:rsidP="00032A55">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ABS 2011 Census of Population and Housing</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Employment in the Central Victoria PEA was highest in the Health Care and Social Assistance (15% of all employed), Retail Trade (12%) and Manufacturing (11%) industries.</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Arial" w:hAnsi="Arial" w:cs="Arial"/>
        </w:rPr>
      </w:pPr>
    </w:p>
    <w:p w:rsidR="00032A55" w:rsidRDefault="00032A55" w:rsidP="00032A55">
      <w:pPr>
        <w:spacing w:line="360" w:lineRule="auto"/>
      </w:pPr>
    </w:p>
    <w:p w:rsidR="00032A55" w:rsidRDefault="00032A55">
      <w:r>
        <w:br w:type="page"/>
      </w:r>
    </w:p>
    <w:p w:rsidR="00032A55" w:rsidRDefault="00032A55" w:rsidP="00032A55">
      <w:pPr>
        <w:spacing w:line="360" w:lineRule="auto"/>
      </w:pPr>
      <w:r>
        <w:lastRenderedPageBreak/>
        <w:t>Slide 12</w:t>
      </w:r>
    </w:p>
    <w:p w:rsidR="00032A55" w:rsidRDefault="00032A55" w:rsidP="00032A55">
      <w:pPr>
        <w:spacing w:line="360" w:lineRule="auto"/>
      </w:pPr>
    </w:p>
    <w:p w:rsidR="00032A55" w:rsidRDefault="00032A55" w:rsidP="00032A55">
      <w:pPr>
        <w:spacing w:line="360" w:lineRule="auto"/>
        <w:jc w:val="center"/>
      </w:pPr>
      <w:r>
        <w:object w:dxaOrig="7216" w:dyaOrig="5409">
          <v:shape id="_x0000_i1036" type="#_x0000_t75" style="width:270.75pt;height:202.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6" DrawAspect="Content" ObjectID="_1424612703" r:id="rId29"/>
        </w:object>
      </w:r>
    </w:p>
    <w:p w:rsidR="00032A55" w:rsidRDefault="00032A55" w:rsidP="00032A55">
      <w:pPr>
        <w:spacing w:line="360" w:lineRule="auto"/>
        <w:jc w:val="center"/>
      </w:pPr>
    </w:p>
    <w:p w:rsidR="00032A55" w:rsidRDefault="00032A55" w:rsidP="00032A55">
      <w:pPr>
        <w:autoSpaceDE w:val="0"/>
        <w:autoSpaceDN w:val="0"/>
        <w:adjustRightInd w:val="0"/>
        <w:rPr>
          <w:rFonts w:ascii="Calibri" w:cs="Calibri"/>
          <w:b/>
          <w:bCs/>
          <w:color w:val="000000"/>
          <w:sz w:val="22"/>
          <w:szCs w:val="22"/>
          <w:u w:val="single"/>
        </w:rPr>
      </w:pPr>
      <w:r>
        <w:rPr>
          <w:rFonts w:ascii="Calibri" w:cs="Calibri"/>
          <w:b/>
          <w:bCs/>
          <w:color w:val="000000"/>
          <w:sz w:val="22"/>
          <w:szCs w:val="22"/>
          <w:u w:val="single"/>
        </w:rPr>
        <w:t xml:space="preserve">Fastest growing occupations in the fastest growing industries </w:t>
      </w:r>
      <w:r>
        <w:rPr>
          <w:rFonts w:ascii="Calibri" w:cs="Calibri"/>
          <w:b/>
          <w:bCs/>
          <w:color w:val="000000"/>
          <w:sz w:val="22"/>
          <w:szCs w:val="22"/>
          <w:u w:val="single"/>
        </w:rPr>
        <w:t>–</w:t>
      </w:r>
      <w:r>
        <w:rPr>
          <w:rFonts w:ascii="Calibri" w:cs="Calibri"/>
          <w:b/>
          <w:bCs/>
          <w:color w:val="000000"/>
          <w:sz w:val="22"/>
          <w:szCs w:val="22"/>
          <w:u w:val="single"/>
        </w:rPr>
        <w:t xml:space="preserve"> Five Years to 2011:</w:t>
      </w:r>
    </w:p>
    <w:p w:rsidR="00032A55" w:rsidRDefault="00032A55" w:rsidP="00032A55">
      <w:pPr>
        <w:autoSpaceDE w:val="0"/>
        <w:autoSpaceDN w:val="0"/>
        <w:adjustRightInd w:val="0"/>
        <w:rPr>
          <w:rFonts w:ascii="Calibri" w:cs="Calibri"/>
          <w:i/>
          <w:iCs/>
          <w:color w:val="000000"/>
          <w:sz w:val="22"/>
          <w:szCs w:val="22"/>
        </w:rPr>
      </w:pPr>
      <w:r>
        <w:rPr>
          <w:rFonts w:ascii="Calibri" w:cs="Calibri"/>
          <w:i/>
          <w:iCs/>
          <w:color w:val="000000"/>
          <w:sz w:val="22"/>
          <w:szCs w:val="22"/>
        </w:rPr>
        <w:t>Source: ABS 2011 Census of Population and Housing</w:t>
      </w:r>
    </w:p>
    <w:p w:rsidR="00032A55" w:rsidRDefault="00032A55" w:rsidP="00032A55">
      <w:pPr>
        <w:autoSpaceDE w:val="0"/>
        <w:autoSpaceDN w:val="0"/>
        <w:adjustRightInd w:val="0"/>
        <w:rPr>
          <w:rFonts w:ascii="Calibri" w:cs="Calibri"/>
          <w:color w:val="000000"/>
          <w:sz w:val="22"/>
          <w:szCs w:val="22"/>
        </w:rPr>
      </w:pPr>
    </w:p>
    <w:p w:rsidR="00032A55" w:rsidRDefault="00032A55" w:rsidP="00032A55">
      <w:pPr>
        <w:autoSpaceDE w:val="0"/>
        <w:autoSpaceDN w:val="0"/>
        <w:adjustRightInd w:val="0"/>
        <w:rPr>
          <w:rFonts w:ascii="Calibri" w:cs="Calibri"/>
          <w:color w:val="000000"/>
          <w:sz w:val="22"/>
          <w:szCs w:val="22"/>
        </w:rPr>
      </w:pPr>
      <w:r>
        <w:rPr>
          <w:rFonts w:ascii="Calibri" w:cs="Calibri"/>
          <w:color w:val="000000"/>
          <w:sz w:val="22"/>
          <w:szCs w:val="22"/>
        </w:rPr>
        <w:t xml:space="preserve">This chart shows fast growing occupations in the fastest growing industries in the Central Victoria PEA. It also shows that opportunities exist for applicants across all skill levels. </w:t>
      </w:r>
    </w:p>
    <w:p w:rsidR="00032A55" w:rsidRDefault="00032A55" w:rsidP="00032A55">
      <w:pPr>
        <w:autoSpaceDE w:val="0"/>
        <w:autoSpaceDN w:val="0"/>
        <w:adjustRightInd w:val="0"/>
        <w:rPr>
          <w:rFonts w:ascii="Arial" w:hAnsi="Arial" w:cs="Arial"/>
        </w:rPr>
      </w:pPr>
    </w:p>
    <w:p w:rsidR="00032A55" w:rsidRDefault="00032A55" w:rsidP="00032A55">
      <w:pPr>
        <w:spacing w:line="360" w:lineRule="auto"/>
      </w:pPr>
    </w:p>
    <w:p w:rsidR="00032A55" w:rsidRDefault="00032A55">
      <w:r>
        <w:br w:type="page"/>
      </w:r>
    </w:p>
    <w:p w:rsidR="00032A55" w:rsidRDefault="00032A55" w:rsidP="00032A55">
      <w:pPr>
        <w:spacing w:line="360" w:lineRule="auto"/>
      </w:pPr>
      <w:r>
        <w:lastRenderedPageBreak/>
        <w:t>Slide 13</w:t>
      </w:r>
    </w:p>
    <w:p w:rsidR="00032A55" w:rsidRDefault="00032A55" w:rsidP="00032A55">
      <w:pPr>
        <w:spacing w:line="360" w:lineRule="auto"/>
      </w:pPr>
    </w:p>
    <w:p w:rsidR="00032A55" w:rsidRDefault="00032A55" w:rsidP="00032A55">
      <w:pPr>
        <w:spacing w:line="360" w:lineRule="auto"/>
        <w:jc w:val="center"/>
      </w:pPr>
      <w:r>
        <w:object w:dxaOrig="7216" w:dyaOrig="5409">
          <v:shape id="_x0000_i1037" type="#_x0000_t75" style="width:270.75pt;height:202.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7" DrawAspect="Content" ObjectID="_1424612704" r:id="rId31"/>
        </w:object>
      </w:r>
    </w:p>
    <w:p w:rsidR="00032A55" w:rsidRDefault="00032A55" w:rsidP="00032A55">
      <w:pPr>
        <w:spacing w:line="360" w:lineRule="auto"/>
        <w:jc w:val="center"/>
      </w:pPr>
    </w:p>
    <w:p w:rsidR="00032A55" w:rsidRDefault="00032A55" w:rsidP="00032A55">
      <w:pPr>
        <w:autoSpaceDE w:val="0"/>
        <w:autoSpaceDN w:val="0"/>
        <w:adjustRightInd w:val="0"/>
        <w:rPr>
          <w:rFonts w:ascii="Calibri" w:cs="Calibri"/>
          <w:b/>
          <w:bCs/>
          <w:color w:val="000000"/>
          <w:sz w:val="22"/>
          <w:szCs w:val="22"/>
          <w:u w:val="single"/>
        </w:rPr>
      </w:pPr>
      <w:r>
        <w:rPr>
          <w:rFonts w:ascii="Calibri" w:cs="Calibri"/>
          <w:b/>
          <w:bCs/>
          <w:color w:val="000000"/>
          <w:sz w:val="22"/>
          <w:szCs w:val="22"/>
          <w:u w:val="single"/>
        </w:rPr>
        <w:t xml:space="preserve">Projected Employment Growth by Industry </w:t>
      </w:r>
      <w:r>
        <w:rPr>
          <w:rFonts w:ascii="Calibri" w:cs="Calibri"/>
          <w:b/>
          <w:bCs/>
          <w:color w:val="000000"/>
          <w:sz w:val="22"/>
          <w:szCs w:val="22"/>
          <w:u w:val="single"/>
        </w:rPr>
        <w:t>–</w:t>
      </w:r>
      <w:r>
        <w:rPr>
          <w:rFonts w:ascii="Calibri" w:cs="Calibri"/>
          <w:b/>
          <w:bCs/>
          <w:color w:val="000000"/>
          <w:sz w:val="22"/>
          <w:szCs w:val="22"/>
          <w:u w:val="single"/>
        </w:rPr>
        <w:t xml:space="preserve"> Central Highlands-Wimmera </w:t>
      </w:r>
      <w:proofErr w:type="spellStart"/>
      <w:r>
        <w:rPr>
          <w:rFonts w:ascii="Calibri" w:cs="Calibri"/>
          <w:b/>
          <w:bCs/>
          <w:color w:val="000000"/>
          <w:sz w:val="22"/>
          <w:szCs w:val="22"/>
          <w:u w:val="single"/>
        </w:rPr>
        <w:t>LFR</w:t>
      </w:r>
      <w:proofErr w:type="spellEnd"/>
    </w:p>
    <w:p w:rsidR="00032A55" w:rsidRDefault="00032A55" w:rsidP="00032A55">
      <w:pPr>
        <w:autoSpaceDE w:val="0"/>
        <w:autoSpaceDN w:val="0"/>
        <w:adjustRightInd w:val="0"/>
        <w:rPr>
          <w:rFonts w:ascii="Calibri" w:cs="Calibri"/>
          <w:i/>
          <w:iCs/>
          <w:color w:val="000000"/>
          <w:sz w:val="22"/>
          <w:szCs w:val="22"/>
        </w:rPr>
      </w:pPr>
      <w:r>
        <w:rPr>
          <w:rFonts w:ascii="Calibri" w:cs="Calibri"/>
          <w:i/>
          <w:iCs/>
          <w:color w:val="000000"/>
          <w:sz w:val="22"/>
          <w:szCs w:val="22"/>
        </w:rPr>
        <w:t>Source: DEEWR Industry Projections, five years to 2016/17</w:t>
      </w:r>
    </w:p>
    <w:p w:rsidR="00032A55" w:rsidRDefault="00032A55" w:rsidP="00032A55">
      <w:pPr>
        <w:autoSpaceDE w:val="0"/>
        <w:autoSpaceDN w:val="0"/>
        <w:adjustRightInd w:val="0"/>
        <w:rPr>
          <w:rFonts w:ascii="Calibri" w:cs="Calibri"/>
          <w:color w:val="000000"/>
          <w:sz w:val="22"/>
          <w:szCs w:val="22"/>
        </w:rPr>
      </w:pPr>
    </w:p>
    <w:p w:rsidR="00032A55" w:rsidRDefault="00032A55" w:rsidP="00032A55">
      <w:pPr>
        <w:autoSpaceDE w:val="0"/>
        <w:autoSpaceDN w:val="0"/>
        <w:adjustRightInd w:val="0"/>
        <w:rPr>
          <w:rFonts w:ascii="Calibri" w:cs="Calibri"/>
          <w:color w:val="000000"/>
          <w:sz w:val="22"/>
          <w:szCs w:val="22"/>
        </w:rPr>
      </w:pPr>
      <w:r>
        <w:rPr>
          <w:rFonts w:ascii="Calibri" w:cs="Calibri"/>
          <w:color w:val="000000"/>
          <w:sz w:val="22"/>
          <w:szCs w:val="22"/>
        </w:rPr>
        <w:t xml:space="preserve">In the next five years to 2016/17, the Health Care and Social Assistance industry is expected to see the largest employment growth (approx. 2120 people) in the Central Highlands-Wimmera </w:t>
      </w:r>
      <w:proofErr w:type="spellStart"/>
      <w:r>
        <w:rPr>
          <w:rFonts w:ascii="Calibri" w:cs="Calibri"/>
          <w:color w:val="000000"/>
          <w:sz w:val="22"/>
          <w:szCs w:val="22"/>
        </w:rPr>
        <w:t>LFR</w:t>
      </w:r>
      <w:proofErr w:type="spellEnd"/>
      <w:r>
        <w:rPr>
          <w:rFonts w:ascii="Calibri" w:cs="Calibri"/>
          <w:color w:val="000000"/>
          <w:sz w:val="22"/>
          <w:szCs w:val="22"/>
        </w:rPr>
        <w:t xml:space="preserve">. </w:t>
      </w:r>
    </w:p>
    <w:p w:rsidR="00032A55" w:rsidRDefault="00032A55" w:rsidP="00032A55">
      <w:pPr>
        <w:autoSpaceDE w:val="0"/>
        <w:autoSpaceDN w:val="0"/>
        <w:adjustRightInd w:val="0"/>
        <w:rPr>
          <w:rFonts w:ascii="Calibri" w:cs="Calibri"/>
          <w:color w:val="000000"/>
          <w:sz w:val="22"/>
          <w:szCs w:val="22"/>
        </w:rPr>
      </w:pPr>
    </w:p>
    <w:p w:rsidR="00032A55" w:rsidRDefault="00032A55" w:rsidP="00032A55">
      <w:pPr>
        <w:autoSpaceDE w:val="0"/>
        <w:autoSpaceDN w:val="0"/>
        <w:adjustRightInd w:val="0"/>
        <w:rPr>
          <w:rFonts w:ascii="Calibri" w:cs="Calibri"/>
          <w:color w:val="000000"/>
          <w:sz w:val="22"/>
          <w:szCs w:val="22"/>
        </w:rPr>
      </w:pPr>
      <w:r>
        <w:rPr>
          <w:rFonts w:ascii="Calibri" w:cs="Calibri"/>
          <w:color w:val="000000"/>
          <w:sz w:val="22"/>
          <w:szCs w:val="22"/>
        </w:rPr>
        <w:t>Employment is expected to decline in the Agriculture, Forestry and Fishing (2170 people), Transport, Postal and Warehousing (360 people) and Wholesale Trade (70 people) industries.</w:t>
      </w:r>
    </w:p>
    <w:p w:rsidR="00032A55" w:rsidRDefault="00032A55" w:rsidP="00032A55">
      <w:pPr>
        <w:autoSpaceDE w:val="0"/>
        <w:autoSpaceDN w:val="0"/>
        <w:adjustRightInd w:val="0"/>
        <w:rPr>
          <w:rFonts w:ascii="Calibri" w:cs="Calibri"/>
          <w:color w:val="000000"/>
          <w:sz w:val="22"/>
          <w:szCs w:val="22"/>
        </w:rPr>
      </w:pPr>
    </w:p>
    <w:p w:rsidR="00032A55" w:rsidRDefault="00032A55" w:rsidP="00032A55">
      <w:pPr>
        <w:autoSpaceDE w:val="0"/>
        <w:autoSpaceDN w:val="0"/>
        <w:adjustRightInd w:val="0"/>
        <w:rPr>
          <w:rFonts w:ascii="Calibri" w:cs="Calibri"/>
          <w:color w:val="000000"/>
          <w:sz w:val="22"/>
          <w:szCs w:val="22"/>
        </w:rPr>
      </w:pPr>
      <w:r>
        <w:rPr>
          <w:rFonts w:ascii="Calibri" w:cs="Calibri"/>
          <w:color w:val="000000"/>
          <w:sz w:val="22"/>
          <w:szCs w:val="22"/>
        </w:rPr>
        <w:t>Despite the recent job cuts in the Manufacturing industry, the projected employment growth is expected to be positive over the five years to 2016/17 (230 people).</w:t>
      </w:r>
    </w:p>
    <w:p w:rsidR="00032A55" w:rsidRDefault="00032A55" w:rsidP="00032A55">
      <w:pPr>
        <w:autoSpaceDE w:val="0"/>
        <w:autoSpaceDN w:val="0"/>
        <w:adjustRightInd w:val="0"/>
        <w:rPr>
          <w:rFonts w:ascii="Arial" w:hAnsi="Arial" w:cs="Arial"/>
        </w:rPr>
      </w:pPr>
    </w:p>
    <w:p w:rsidR="00032A55" w:rsidRDefault="00032A55" w:rsidP="00032A55">
      <w:pPr>
        <w:spacing w:line="360" w:lineRule="auto"/>
      </w:pPr>
    </w:p>
    <w:p w:rsidR="00032A55" w:rsidRDefault="00032A55">
      <w:r>
        <w:br w:type="page"/>
      </w:r>
    </w:p>
    <w:p w:rsidR="00032A55" w:rsidRDefault="00032A55" w:rsidP="00032A55">
      <w:pPr>
        <w:spacing w:line="360" w:lineRule="auto"/>
      </w:pPr>
      <w:r>
        <w:lastRenderedPageBreak/>
        <w:t>Slide 14</w:t>
      </w:r>
    </w:p>
    <w:p w:rsidR="00032A55" w:rsidRDefault="00032A55" w:rsidP="00032A55">
      <w:pPr>
        <w:spacing w:line="360" w:lineRule="auto"/>
      </w:pPr>
    </w:p>
    <w:p w:rsidR="00032A55" w:rsidRDefault="00032A55" w:rsidP="00032A55">
      <w:pPr>
        <w:spacing w:line="360" w:lineRule="auto"/>
        <w:jc w:val="center"/>
      </w:pPr>
      <w:r>
        <w:object w:dxaOrig="7216" w:dyaOrig="5409">
          <v:shape id="_x0000_i1038" type="#_x0000_t75" style="width:270.75pt;height:202.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8" DrawAspect="Content" ObjectID="_1424612705" r:id="rId33"/>
        </w:object>
      </w:r>
    </w:p>
    <w:p w:rsidR="00032A55" w:rsidRDefault="00032A55" w:rsidP="00032A55">
      <w:pPr>
        <w:spacing w:line="360" w:lineRule="auto"/>
        <w:jc w:val="center"/>
      </w:pP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b/>
          <w:bCs/>
          <w:color w:val="000000"/>
          <w:sz w:val="22"/>
          <w:szCs w:val="22"/>
          <w:u w:val="single"/>
        </w:rPr>
        <w:t>Reasons applicants are unsuitable:</w:t>
      </w: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i/>
          <w:iCs/>
          <w:color w:val="000000"/>
          <w:sz w:val="22"/>
          <w:szCs w:val="22"/>
        </w:rPr>
        <w:t>Source:  DEEWR, Survey of Employers’ Recruitment Experiences, October 2012</w:t>
      </w:r>
      <w:r>
        <w:rPr>
          <w:rFonts w:ascii="Calibri" w:hAnsi="Calibri" w:cs="Calibri"/>
          <w:b/>
          <w:bCs/>
          <w:color w:val="000000"/>
          <w:sz w:val="22"/>
          <w:szCs w:val="22"/>
        </w:rPr>
        <w:t> </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Calibri" w:cs="Calibri"/>
          <w:color w:val="000000"/>
          <w:sz w:val="22"/>
          <w:szCs w:val="22"/>
        </w:rPr>
      </w:pPr>
      <w:r>
        <w:rPr>
          <w:rFonts w:ascii="Calibri" w:cs="Calibri"/>
          <w:color w:val="000000"/>
          <w:sz w:val="22"/>
          <w:szCs w:val="22"/>
        </w:rPr>
        <w:t>Common reasons job applicants were unsuitable were:</w:t>
      </w:r>
    </w:p>
    <w:p w:rsidR="00032A55" w:rsidRDefault="00032A55" w:rsidP="00032A55">
      <w:pPr>
        <w:numPr>
          <w:ilvl w:val="0"/>
          <w:numId w:val="2"/>
        </w:numPr>
        <w:autoSpaceDE w:val="0"/>
        <w:autoSpaceDN w:val="0"/>
        <w:adjustRightInd w:val="0"/>
        <w:ind w:left="1170" w:hanging="450"/>
        <w:rPr>
          <w:rFonts w:ascii="Calibri" w:cs="Calibri"/>
          <w:color w:val="000000"/>
          <w:sz w:val="22"/>
          <w:szCs w:val="22"/>
        </w:rPr>
      </w:pPr>
      <w:r>
        <w:rPr>
          <w:rFonts w:ascii="Calibri" w:cs="Calibri"/>
          <w:color w:val="000000"/>
          <w:sz w:val="22"/>
          <w:szCs w:val="22"/>
        </w:rPr>
        <w:t>Insufficient technical skills or experience (66%)</w:t>
      </w:r>
    </w:p>
    <w:p w:rsidR="00032A55" w:rsidRDefault="00032A55" w:rsidP="00032A55">
      <w:pPr>
        <w:numPr>
          <w:ilvl w:val="0"/>
          <w:numId w:val="2"/>
        </w:numPr>
        <w:autoSpaceDE w:val="0"/>
        <w:autoSpaceDN w:val="0"/>
        <w:adjustRightInd w:val="0"/>
        <w:ind w:left="1170" w:hanging="450"/>
        <w:rPr>
          <w:rFonts w:ascii="Calibri" w:cs="Calibri"/>
          <w:color w:val="000000"/>
          <w:sz w:val="22"/>
          <w:szCs w:val="22"/>
        </w:rPr>
      </w:pPr>
      <w:r>
        <w:rPr>
          <w:rFonts w:ascii="Calibri" w:cs="Calibri"/>
          <w:color w:val="000000"/>
          <w:sz w:val="22"/>
          <w:szCs w:val="22"/>
        </w:rPr>
        <w:t>Lack of employability skills and personal characteristics (37%)</w:t>
      </w:r>
    </w:p>
    <w:p w:rsidR="00032A55" w:rsidRDefault="00032A55" w:rsidP="00032A55">
      <w:pPr>
        <w:numPr>
          <w:ilvl w:val="0"/>
          <w:numId w:val="2"/>
        </w:numPr>
        <w:autoSpaceDE w:val="0"/>
        <w:autoSpaceDN w:val="0"/>
        <w:adjustRightInd w:val="0"/>
        <w:ind w:left="1170" w:hanging="450"/>
        <w:rPr>
          <w:rFonts w:ascii="Calibri" w:cs="Calibri"/>
          <w:color w:val="000000"/>
          <w:sz w:val="22"/>
          <w:szCs w:val="22"/>
        </w:rPr>
      </w:pPr>
      <w:r>
        <w:rPr>
          <w:rFonts w:ascii="Calibri" w:cs="Calibri"/>
          <w:color w:val="000000"/>
          <w:sz w:val="22"/>
          <w:szCs w:val="22"/>
        </w:rPr>
        <w:t>Not available to work hours required (13%)</w:t>
      </w:r>
    </w:p>
    <w:p w:rsidR="00032A55" w:rsidRDefault="00032A55" w:rsidP="00032A55">
      <w:pPr>
        <w:numPr>
          <w:ilvl w:val="0"/>
          <w:numId w:val="2"/>
        </w:numPr>
        <w:autoSpaceDE w:val="0"/>
        <w:autoSpaceDN w:val="0"/>
        <w:adjustRightInd w:val="0"/>
        <w:ind w:left="1170" w:hanging="450"/>
        <w:rPr>
          <w:rFonts w:ascii="Calibri" w:cs="Calibri"/>
          <w:color w:val="000000"/>
          <w:sz w:val="22"/>
          <w:szCs w:val="22"/>
        </w:rPr>
      </w:pPr>
      <w:r>
        <w:rPr>
          <w:rFonts w:ascii="Calibri" w:cs="Calibri"/>
          <w:color w:val="000000"/>
          <w:sz w:val="22"/>
          <w:szCs w:val="22"/>
        </w:rPr>
        <w:t>Poor interview skills / written application (12%)</w:t>
      </w:r>
    </w:p>
    <w:p w:rsidR="00032A55" w:rsidRDefault="00032A55" w:rsidP="00032A55">
      <w:pPr>
        <w:autoSpaceDE w:val="0"/>
        <w:autoSpaceDN w:val="0"/>
        <w:adjustRightInd w:val="0"/>
        <w:rPr>
          <w:rFonts w:ascii="Arial" w:hAnsi="Arial" w:cs="Arial"/>
        </w:rPr>
      </w:pPr>
    </w:p>
    <w:p w:rsidR="00032A55" w:rsidRDefault="00032A55" w:rsidP="00032A55">
      <w:pPr>
        <w:spacing w:line="360" w:lineRule="auto"/>
      </w:pPr>
    </w:p>
    <w:p w:rsidR="00032A55" w:rsidRDefault="00032A55">
      <w:r>
        <w:br w:type="page"/>
      </w:r>
    </w:p>
    <w:p w:rsidR="00032A55" w:rsidRDefault="00032A55" w:rsidP="00032A55">
      <w:pPr>
        <w:spacing w:line="360" w:lineRule="auto"/>
      </w:pPr>
      <w:r>
        <w:lastRenderedPageBreak/>
        <w:t>Slide 15</w:t>
      </w:r>
    </w:p>
    <w:p w:rsidR="00032A55" w:rsidRDefault="00032A55" w:rsidP="00032A55">
      <w:pPr>
        <w:spacing w:line="360" w:lineRule="auto"/>
      </w:pPr>
    </w:p>
    <w:p w:rsidR="00032A55" w:rsidRDefault="00032A55" w:rsidP="00032A55">
      <w:pPr>
        <w:spacing w:line="360" w:lineRule="auto"/>
        <w:jc w:val="center"/>
      </w:pPr>
      <w:r>
        <w:object w:dxaOrig="7216" w:dyaOrig="5409">
          <v:shape id="_x0000_i1039" type="#_x0000_t75" style="width:270.75pt;height:202.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9" DrawAspect="Content" ObjectID="_1424612706" r:id="rId35"/>
        </w:object>
      </w:r>
    </w:p>
    <w:p w:rsidR="00032A55" w:rsidRDefault="00032A55" w:rsidP="00032A55">
      <w:pPr>
        <w:spacing w:line="360" w:lineRule="auto"/>
        <w:jc w:val="center"/>
      </w:pP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b/>
          <w:bCs/>
          <w:color w:val="000000"/>
          <w:sz w:val="22"/>
          <w:szCs w:val="22"/>
          <w:u w:val="single"/>
        </w:rPr>
        <w:t>Basic Employability Skills</w:t>
      </w: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i/>
          <w:iCs/>
          <w:color w:val="000000"/>
          <w:sz w:val="22"/>
          <w:szCs w:val="22"/>
        </w:rPr>
        <w:t>Source: DEEWR, Survey of Employers’ Recruitment Experiences, all regions surveyed in the 12 months to December 2010.</w:t>
      </w: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 </w:t>
      </w: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Most importance placed on:</w:t>
      </w: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- 30 per cent personal traits and qualities only</w:t>
      </w: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- 28 per cent technical skills only</w:t>
      </w: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- 41 per cent both equally important</w:t>
      </w: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 </w:t>
      </w: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Personal traits and qualities applicants lacked:</w:t>
      </w: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 Enthusiasm</w:t>
      </w: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 Motivation</w:t>
      </w: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 Communication</w:t>
      </w: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 Confidence</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Arial" w:hAnsi="Arial" w:cs="Arial"/>
        </w:rPr>
      </w:pPr>
    </w:p>
    <w:p w:rsidR="00032A55" w:rsidRDefault="00032A55" w:rsidP="00032A55">
      <w:pPr>
        <w:spacing w:line="360" w:lineRule="auto"/>
      </w:pPr>
    </w:p>
    <w:p w:rsidR="00032A55" w:rsidRDefault="00032A55">
      <w:r>
        <w:br w:type="page"/>
      </w:r>
    </w:p>
    <w:p w:rsidR="00032A55" w:rsidRDefault="00032A55" w:rsidP="00032A55">
      <w:pPr>
        <w:spacing w:line="360" w:lineRule="auto"/>
      </w:pPr>
      <w:r>
        <w:lastRenderedPageBreak/>
        <w:t>Slide 16</w:t>
      </w:r>
    </w:p>
    <w:p w:rsidR="00032A55" w:rsidRDefault="00032A55" w:rsidP="00032A55">
      <w:pPr>
        <w:spacing w:line="360" w:lineRule="auto"/>
      </w:pPr>
    </w:p>
    <w:p w:rsidR="00032A55" w:rsidRDefault="00032A55" w:rsidP="00032A55">
      <w:pPr>
        <w:spacing w:line="360" w:lineRule="auto"/>
        <w:jc w:val="center"/>
      </w:pPr>
      <w:r>
        <w:object w:dxaOrig="7216" w:dyaOrig="5409">
          <v:shape id="_x0000_i1040" type="#_x0000_t75" style="width:270.75pt;height:202.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40" DrawAspect="Content" ObjectID="_1424612707" r:id="rId37"/>
        </w:object>
      </w:r>
    </w:p>
    <w:p w:rsidR="00032A55" w:rsidRDefault="00032A55" w:rsidP="00032A55">
      <w:pPr>
        <w:spacing w:line="360" w:lineRule="auto"/>
        <w:jc w:val="center"/>
      </w:pP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b/>
          <w:bCs/>
          <w:color w:val="000000"/>
          <w:sz w:val="22"/>
          <w:szCs w:val="22"/>
          <w:u w:val="single"/>
        </w:rPr>
        <w:t>Basic Employability Skills</w:t>
      </w:r>
    </w:p>
    <w:p w:rsidR="00032A55" w:rsidRDefault="00032A55" w:rsidP="00032A55">
      <w:pPr>
        <w:autoSpaceDE w:val="0"/>
        <w:autoSpaceDN w:val="0"/>
        <w:adjustRightInd w:val="0"/>
        <w:rPr>
          <w:rFonts w:ascii="Calibri" w:hAnsi="Calibri" w:cs="Calibri"/>
          <w:color w:val="000000"/>
          <w:sz w:val="22"/>
          <w:szCs w:val="22"/>
        </w:rPr>
      </w:pPr>
      <w:r>
        <w:rPr>
          <w:rFonts w:ascii="Calibri" w:hAnsi="Calibri" w:cs="Calibri"/>
          <w:i/>
          <w:iCs/>
          <w:color w:val="000000"/>
          <w:sz w:val="22"/>
          <w:szCs w:val="22"/>
        </w:rPr>
        <w:t>Source:  DEEWR, Survey of Employers’ Recruitment Experiences, October 2012</w:t>
      </w:r>
      <w:r>
        <w:rPr>
          <w:rFonts w:ascii="Calibri" w:hAnsi="Calibri" w:cs="Calibri"/>
          <w:b/>
          <w:bCs/>
          <w:color w:val="000000"/>
          <w:sz w:val="22"/>
          <w:szCs w:val="22"/>
        </w:rPr>
        <w:t> </w:t>
      </w:r>
    </w:p>
    <w:p w:rsidR="00032A55" w:rsidRDefault="00032A55" w:rsidP="00032A55">
      <w:pPr>
        <w:autoSpaceDE w:val="0"/>
        <w:autoSpaceDN w:val="0"/>
        <w:adjustRightInd w:val="0"/>
        <w:rPr>
          <w:rFonts w:ascii="Calibri" w:hAnsi="Calibri" w:cs="Calibri"/>
          <w:color w:val="000000"/>
          <w:sz w:val="22"/>
          <w:szCs w:val="22"/>
        </w:rPr>
      </w:pPr>
    </w:p>
    <w:p w:rsidR="00032A55" w:rsidRDefault="00032A55" w:rsidP="00032A55">
      <w:pPr>
        <w:autoSpaceDE w:val="0"/>
        <w:autoSpaceDN w:val="0"/>
        <w:adjustRightInd w:val="0"/>
        <w:rPr>
          <w:rFonts w:ascii="Calibri" w:cs="Calibri"/>
          <w:color w:val="000000"/>
          <w:sz w:val="22"/>
          <w:szCs w:val="22"/>
        </w:rPr>
      </w:pPr>
      <w:r>
        <w:rPr>
          <w:rFonts w:ascii="Calibri" w:cs="Calibri"/>
          <w:color w:val="000000"/>
          <w:sz w:val="22"/>
          <w:szCs w:val="22"/>
        </w:rPr>
        <w:t>Over one in three (35%) businesses employed at least one Apprentice of Trainee:</w:t>
      </w:r>
    </w:p>
    <w:p w:rsidR="00032A55" w:rsidRDefault="00032A55" w:rsidP="00032A55">
      <w:pPr>
        <w:numPr>
          <w:ilvl w:val="0"/>
          <w:numId w:val="2"/>
        </w:numPr>
        <w:autoSpaceDE w:val="0"/>
        <w:autoSpaceDN w:val="0"/>
        <w:adjustRightInd w:val="0"/>
        <w:ind w:left="1170" w:hanging="450"/>
        <w:rPr>
          <w:rFonts w:ascii="Calibri" w:cs="Calibri"/>
          <w:color w:val="000000"/>
          <w:sz w:val="22"/>
          <w:szCs w:val="22"/>
        </w:rPr>
      </w:pPr>
      <w:r>
        <w:rPr>
          <w:rFonts w:ascii="Calibri" w:cs="Calibri"/>
          <w:color w:val="000000"/>
          <w:sz w:val="22"/>
          <w:szCs w:val="22"/>
        </w:rPr>
        <w:t>28% of these businesses experienced challenges employing an apprentice or trainee</w:t>
      </w:r>
    </w:p>
    <w:p w:rsidR="00032A55" w:rsidRDefault="00032A55" w:rsidP="00032A55">
      <w:pPr>
        <w:numPr>
          <w:ilvl w:val="0"/>
          <w:numId w:val="2"/>
        </w:numPr>
        <w:autoSpaceDE w:val="0"/>
        <w:autoSpaceDN w:val="0"/>
        <w:adjustRightInd w:val="0"/>
        <w:ind w:left="1170" w:hanging="450"/>
        <w:rPr>
          <w:rFonts w:ascii="Calibri" w:cs="Calibri"/>
          <w:color w:val="000000"/>
          <w:sz w:val="22"/>
          <w:szCs w:val="22"/>
        </w:rPr>
      </w:pPr>
      <w:r>
        <w:rPr>
          <w:rFonts w:ascii="Calibri" w:cs="Calibri"/>
          <w:color w:val="000000"/>
          <w:sz w:val="22"/>
          <w:szCs w:val="22"/>
        </w:rPr>
        <w:t>The most commonly reported challenges were a lack of general work readiness (50%) and a lack of soft skills (45%)</w:t>
      </w:r>
    </w:p>
    <w:p w:rsidR="00032A55" w:rsidRDefault="00032A55" w:rsidP="00032A55">
      <w:pPr>
        <w:autoSpaceDE w:val="0"/>
        <w:autoSpaceDN w:val="0"/>
        <w:adjustRightInd w:val="0"/>
        <w:rPr>
          <w:rFonts w:ascii="Arial" w:hAnsi="Arial" w:cs="Arial"/>
        </w:rPr>
      </w:pPr>
    </w:p>
    <w:p w:rsidR="00032A55" w:rsidRDefault="00032A55" w:rsidP="00032A55">
      <w:pPr>
        <w:spacing w:line="360" w:lineRule="auto"/>
      </w:pPr>
    </w:p>
    <w:p w:rsidR="00032A55" w:rsidRDefault="00032A55">
      <w:r>
        <w:br w:type="page"/>
      </w:r>
    </w:p>
    <w:p w:rsidR="00032A55" w:rsidRDefault="00032A55" w:rsidP="00032A55">
      <w:pPr>
        <w:spacing w:line="360" w:lineRule="auto"/>
      </w:pPr>
      <w:r>
        <w:lastRenderedPageBreak/>
        <w:t>Slide 17</w:t>
      </w:r>
    </w:p>
    <w:p w:rsidR="00032A55" w:rsidRDefault="00032A55" w:rsidP="00032A55">
      <w:pPr>
        <w:spacing w:line="360" w:lineRule="auto"/>
      </w:pPr>
    </w:p>
    <w:p w:rsidR="00032A55" w:rsidRDefault="00032A55" w:rsidP="00032A55">
      <w:pPr>
        <w:spacing w:line="360" w:lineRule="auto"/>
        <w:jc w:val="center"/>
      </w:pPr>
      <w:r>
        <w:object w:dxaOrig="7216" w:dyaOrig="5409">
          <v:shape id="_x0000_i1041" type="#_x0000_t75" style="width:270.75pt;height:202.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41" DrawAspect="Content" ObjectID="_1424612708" r:id="rId39"/>
        </w:object>
      </w:r>
    </w:p>
    <w:p w:rsidR="00032A55" w:rsidRDefault="00032A55" w:rsidP="00032A55">
      <w:pPr>
        <w:spacing w:line="360" w:lineRule="auto"/>
        <w:jc w:val="center"/>
      </w:pPr>
    </w:p>
    <w:p w:rsidR="00032A55" w:rsidRDefault="00032A55" w:rsidP="00032A55">
      <w:pPr>
        <w:autoSpaceDE w:val="0"/>
        <w:autoSpaceDN w:val="0"/>
        <w:adjustRightInd w:val="0"/>
        <w:rPr>
          <w:rFonts w:ascii="Calibri" w:cs="Calibri"/>
          <w:b/>
          <w:bCs/>
          <w:color w:val="000000"/>
          <w:sz w:val="22"/>
          <w:szCs w:val="22"/>
          <w:u w:val="single"/>
        </w:rPr>
      </w:pPr>
      <w:r>
        <w:rPr>
          <w:rFonts w:ascii="Calibri" w:cs="Calibri"/>
          <w:b/>
          <w:bCs/>
          <w:color w:val="000000"/>
          <w:sz w:val="22"/>
          <w:szCs w:val="22"/>
          <w:u w:val="single"/>
        </w:rPr>
        <w:t>Conclusion:</w:t>
      </w:r>
    </w:p>
    <w:p w:rsidR="00032A55" w:rsidRDefault="00032A55" w:rsidP="00032A55">
      <w:pPr>
        <w:autoSpaceDE w:val="0"/>
        <w:autoSpaceDN w:val="0"/>
        <w:adjustRightInd w:val="0"/>
        <w:rPr>
          <w:rFonts w:ascii="Calibri" w:cs="Calibri"/>
          <w:color w:val="000000"/>
          <w:sz w:val="22"/>
          <w:szCs w:val="22"/>
        </w:rPr>
      </w:pPr>
    </w:p>
    <w:p w:rsidR="00032A55" w:rsidRDefault="00032A55" w:rsidP="00032A55">
      <w:pPr>
        <w:numPr>
          <w:ilvl w:val="0"/>
          <w:numId w:val="1"/>
        </w:numPr>
        <w:autoSpaceDE w:val="0"/>
        <w:autoSpaceDN w:val="0"/>
        <w:adjustRightInd w:val="0"/>
        <w:ind w:left="540" w:hanging="540"/>
        <w:rPr>
          <w:rFonts w:ascii="Calibri" w:cs="Calibri"/>
          <w:color w:val="000000"/>
          <w:sz w:val="22"/>
          <w:szCs w:val="22"/>
        </w:rPr>
      </w:pPr>
      <w:r>
        <w:rPr>
          <w:rFonts w:ascii="Calibri" w:cs="Calibri"/>
          <w:color w:val="000000"/>
          <w:sz w:val="22"/>
          <w:szCs w:val="22"/>
        </w:rPr>
        <w:t>The labour market is steady but has eased in the past year</w:t>
      </w:r>
    </w:p>
    <w:p w:rsidR="00032A55" w:rsidRDefault="00032A55" w:rsidP="00032A55">
      <w:pPr>
        <w:numPr>
          <w:ilvl w:val="0"/>
          <w:numId w:val="2"/>
        </w:numPr>
        <w:autoSpaceDE w:val="0"/>
        <w:autoSpaceDN w:val="0"/>
        <w:adjustRightInd w:val="0"/>
        <w:ind w:left="1170" w:hanging="450"/>
        <w:rPr>
          <w:rFonts w:ascii="Calibri" w:cs="Calibri"/>
          <w:color w:val="000000"/>
          <w:sz w:val="22"/>
          <w:szCs w:val="22"/>
        </w:rPr>
      </w:pPr>
      <w:r>
        <w:rPr>
          <w:rFonts w:ascii="Calibri" w:cs="Calibri"/>
          <w:color w:val="000000"/>
          <w:sz w:val="22"/>
          <w:szCs w:val="22"/>
        </w:rPr>
        <w:t>The unemployment rate has decreased recently but has historically remained above Victoria</w:t>
      </w:r>
    </w:p>
    <w:p w:rsidR="00032A55" w:rsidRDefault="00032A55" w:rsidP="00032A55">
      <w:pPr>
        <w:numPr>
          <w:ilvl w:val="0"/>
          <w:numId w:val="1"/>
        </w:numPr>
        <w:autoSpaceDE w:val="0"/>
        <w:autoSpaceDN w:val="0"/>
        <w:adjustRightInd w:val="0"/>
        <w:ind w:left="540" w:hanging="540"/>
        <w:rPr>
          <w:rFonts w:ascii="Calibri" w:cs="Calibri"/>
          <w:color w:val="000000"/>
          <w:sz w:val="22"/>
          <w:szCs w:val="22"/>
        </w:rPr>
      </w:pPr>
      <w:r>
        <w:rPr>
          <w:rFonts w:ascii="Calibri" w:cs="Calibri"/>
          <w:color w:val="000000"/>
          <w:sz w:val="22"/>
          <w:szCs w:val="22"/>
        </w:rPr>
        <w:t>Issues affecting young people in the region</w:t>
      </w:r>
    </w:p>
    <w:p w:rsidR="00032A55" w:rsidRDefault="00032A55" w:rsidP="00032A55">
      <w:pPr>
        <w:numPr>
          <w:ilvl w:val="0"/>
          <w:numId w:val="2"/>
        </w:numPr>
        <w:autoSpaceDE w:val="0"/>
        <w:autoSpaceDN w:val="0"/>
        <w:adjustRightInd w:val="0"/>
        <w:ind w:left="1170" w:hanging="450"/>
        <w:rPr>
          <w:rFonts w:ascii="Calibri" w:cs="Calibri"/>
          <w:color w:val="000000"/>
          <w:sz w:val="22"/>
          <w:szCs w:val="22"/>
        </w:rPr>
      </w:pPr>
      <w:r>
        <w:rPr>
          <w:rFonts w:ascii="Calibri" w:cs="Calibri"/>
          <w:color w:val="000000"/>
          <w:sz w:val="22"/>
          <w:szCs w:val="22"/>
        </w:rPr>
        <w:t>Teenage unemployment, lower educational attainment levels, reliance on income support payments and disengagement</w:t>
      </w:r>
    </w:p>
    <w:p w:rsidR="00032A55" w:rsidRDefault="00032A55" w:rsidP="00032A55">
      <w:pPr>
        <w:numPr>
          <w:ilvl w:val="0"/>
          <w:numId w:val="1"/>
        </w:numPr>
        <w:autoSpaceDE w:val="0"/>
        <w:autoSpaceDN w:val="0"/>
        <w:adjustRightInd w:val="0"/>
        <w:ind w:left="540" w:hanging="540"/>
        <w:rPr>
          <w:rFonts w:ascii="Calibri" w:cs="Calibri"/>
          <w:color w:val="000000"/>
          <w:sz w:val="22"/>
          <w:szCs w:val="22"/>
        </w:rPr>
      </w:pPr>
      <w:r>
        <w:rPr>
          <w:rFonts w:ascii="Calibri" w:cs="Calibri"/>
          <w:color w:val="000000"/>
          <w:sz w:val="22"/>
          <w:szCs w:val="22"/>
        </w:rPr>
        <w:t>Where are the opportunities?</w:t>
      </w:r>
    </w:p>
    <w:p w:rsidR="00032A55" w:rsidRDefault="00032A55" w:rsidP="00032A55">
      <w:pPr>
        <w:numPr>
          <w:ilvl w:val="0"/>
          <w:numId w:val="2"/>
        </w:numPr>
        <w:autoSpaceDE w:val="0"/>
        <w:autoSpaceDN w:val="0"/>
        <w:adjustRightInd w:val="0"/>
        <w:ind w:left="1170" w:hanging="450"/>
        <w:rPr>
          <w:rFonts w:ascii="Calibri" w:cs="Calibri"/>
          <w:color w:val="000000"/>
          <w:sz w:val="22"/>
          <w:szCs w:val="22"/>
          <w:lang w:val="en-US"/>
        </w:rPr>
      </w:pPr>
      <w:r>
        <w:rPr>
          <w:rFonts w:ascii="Calibri" w:cs="Calibri"/>
          <w:color w:val="000000"/>
          <w:sz w:val="22"/>
          <w:szCs w:val="22"/>
          <w:lang w:val="en-US"/>
        </w:rPr>
        <w:t>Growth industries: Health Care and Social Assistance, Construction, Accommodation and Food Services</w:t>
      </w:r>
    </w:p>
    <w:p w:rsidR="00032A55" w:rsidRDefault="00032A55" w:rsidP="00032A55">
      <w:pPr>
        <w:numPr>
          <w:ilvl w:val="0"/>
          <w:numId w:val="2"/>
        </w:numPr>
        <w:autoSpaceDE w:val="0"/>
        <w:autoSpaceDN w:val="0"/>
        <w:adjustRightInd w:val="0"/>
        <w:ind w:left="1170" w:hanging="450"/>
        <w:rPr>
          <w:rFonts w:ascii="Calibri" w:cs="Calibri"/>
          <w:color w:val="000000"/>
          <w:sz w:val="22"/>
          <w:szCs w:val="22"/>
          <w:lang w:val="en-US"/>
        </w:rPr>
      </w:pPr>
      <w:r>
        <w:rPr>
          <w:rFonts w:ascii="Calibri" w:cs="Calibri"/>
          <w:color w:val="000000"/>
          <w:sz w:val="22"/>
          <w:szCs w:val="22"/>
          <w:lang w:val="en-US"/>
        </w:rPr>
        <w:t xml:space="preserve">Growth occupations: Aged and Disabled </w:t>
      </w:r>
      <w:proofErr w:type="spellStart"/>
      <w:r>
        <w:rPr>
          <w:rFonts w:ascii="Calibri" w:cs="Calibri"/>
          <w:color w:val="000000"/>
          <w:sz w:val="22"/>
          <w:szCs w:val="22"/>
          <w:lang w:val="en-US"/>
        </w:rPr>
        <w:t>Carers</w:t>
      </w:r>
      <w:proofErr w:type="spellEnd"/>
      <w:r>
        <w:rPr>
          <w:rFonts w:ascii="Calibri" w:cs="Calibri"/>
          <w:color w:val="000000"/>
          <w:sz w:val="22"/>
          <w:szCs w:val="22"/>
          <w:lang w:val="en-US"/>
        </w:rPr>
        <w:t xml:space="preserve">, Plumbers, </w:t>
      </w:r>
      <w:proofErr w:type="spellStart"/>
      <w:r>
        <w:rPr>
          <w:rFonts w:ascii="Calibri" w:cs="Calibri"/>
          <w:color w:val="000000"/>
          <w:sz w:val="22"/>
          <w:szCs w:val="22"/>
          <w:lang w:val="en-US"/>
        </w:rPr>
        <w:t>Kitchenhands</w:t>
      </w:r>
      <w:proofErr w:type="spellEnd"/>
    </w:p>
    <w:p w:rsidR="00032A55" w:rsidRDefault="00032A55" w:rsidP="00032A55">
      <w:pPr>
        <w:numPr>
          <w:ilvl w:val="0"/>
          <w:numId w:val="2"/>
        </w:numPr>
        <w:autoSpaceDE w:val="0"/>
        <w:autoSpaceDN w:val="0"/>
        <w:adjustRightInd w:val="0"/>
        <w:ind w:left="1170" w:hanging="450"/>
        <w:rPr>
          <w:rFonts w:ascii="Calibri" w:cs="Calibri"/>
          <w:color w:val="000000"/>
          <w:sz w:val="22"/>
          <w:szCs w:val="22"/>
          <w:lang w:val="en-US"/>
        </w:rPr>
      </w:pPr>
      <w:r>
        <w:rPr>
          <w:rFonts w:ascii="Calibri" w:cs="Calibri"/>
          <w:color w:val="000000"/>
          <w:sz w:val="22"/>
          <w:szCs w:val="22"/>
          <w:lang w:val="en-US"/>
        </w:rPr>
        <w:t>Opportunities across all skill levels</w:t>
      </w:r>
    </w:p>
    <w:p w:rsidR="00032A55" w:rsidRDefault="00032A55" w:rsidP="00032A55">
      <w:pPr>
        <w:numPr>
          <w:ilvl w:val="0"/>
          <w:numId w:val="1"/>
        </w:numPr>
        <w:autoSpaceDE w:val="0"/>
        <w:autoSpaceDN w:val="0"/>
        <w:adjustRightInd w:val="0"/>
        <w:ind w:left="540" w:hanging="540"/>
        <w:rPr>
          <w:rFonts w:ascii="Calibri" w:cs="Calibri"/>
          <w:color w:val="000000"/>
          <w:sz w:val="22"/>
          <w:szCs w:val="22"/>
        </w:rPr>
      </w:pPr>
      <w:r>
        <w:rPr>
          <w:rFonts w:ascii="Calibri" w:cs="Calibri"/>
          <w:color w:val="000000"/>
          <w:sz w:val="22"/>
          <w:szCs w:val="22"/>
        </w:rPr>
        <w:t>How do you take advantage of these opportunities?</w:t>
      </w:r>
    </w:p>
    <w:p w:rsidR="00032A55" w:rsidRDefault="00032A55" w:rsidP="00032A55">
      <w:pPr>
        <w:numPr>
          <w:ilvl w:val="0"/>
          <w:numId w:val="2"/>
        </w:numPr>
        <w:autoSpaceDE w:val="0"/>
        <w:autoSpaceDN w:val="0"/>
        <w:adjustRightInd w:val="0"/>
        <w:ind w:left="1170" w:hanging="450"/>
        <w:rPr>
          <w:rFonts w:ascii="Calibri" w:cs="Calibri"/>
          <w:color w:val="000000"/>
          <w:sz w:val="22"/>
          <w:szCs w:val="22"/>
        </w:rPr>
      </w:pPr>
      <w:r>
        <w:rPr>
          <w:rFonts w:ascii="Calibri" w:cs="Calibri"/>
          <w:color w:val="000000"/>
          <w:sz w:val="22"/>
          <w:szCs w:val="22"/>
        </w:rPr>
        <w:t xml:space="preserve">Important skills </w:t>
      </w:r>
      <w:r>
        <w:rPr>
          <w:rFonts w:ascii="Calibri" w:cs="Calibri"/>
          <w:color w:val="000000"/>
          <w:sz w:val="22"/>
          <w:szCs w:val="22"/>
        </w:rPr>
        <w:t>–</w:t>
      </w:r>
      <w:r>
        <w:rPr>
          <w:rFonts w:ascii="Calibri" w:cs="Calibri"/>
          <w:color w:val="000000"/>
          <w:sz w:val="22"/>
          <w:szCs w:val="22"/>
        </w:rPr>
        <w:t xml:space="preserve"> technical skills, employability skills</w:t>
      </w:r>
    </w:p>
    <w:p w:rsidR="00032A55" w:rsidRDefault="00032A55" w:rsidP="00032A55">
      <w:pPr>
        <w:numPr>
          <w:ilvl w:val="0"/>
          <w:numId w:val="2"/>
        </w:numPr>
        <w:autoSpaceDE w:val="0"/>
        <w:autoSpaceDN w:val="0"/>
        <w:adjustRightInd w:val="0"/>
        <w:ind w:left="1170" w:hanging="450"/>
        <w:rPr>
          <w:rFonts w:ascii="Calibri" w:cs="Calibri"/>
          <w:color w:val="000000"/>
          <w:sz w:val="22"/>
          <w:szCs w:val="22"/>
        </w:rPr>
      </w:pPr>
      <w:r>
        <w:rPr>
          <w:rFonts w:ascii="Calibri" w:cs="Calibri"/>
          <w:color w:val="000000"/>
          <w:sz w:val="22"/>
          <w:szCs w:val="22"/>
        </w:rPr>
        <w:t>Education</w:t>
      </w:r>
    </w:p>
    <w:p w:rsidR="00032A55" w:rsidRDefault="00032A55" w:rsidP="00032A55">
      <w:pPr>
        <w:numPr>
          <w:ilvl w:val="0"/>
          <w:numId w:val="2"/>
        </w:numPr>
        <w:autoSpaceDE w:val="0"/>
        <w:autoSpaceDN w:val="0"/>
        <w:adjustRightInd w:val="0"/>
        <w:ind w:left="1170" w:hanging="450"/>
        <w:rPr>
          <w:rFonts w:ascii="Calibri" w:cs="Calibri"/>
          <w:color w:val="000000"/>
          <w:sz w:val="22"/>
          <w:szCs w:val="22"/>
        </w:rPr>
      </w:pPr>
      <w:r>
        <w:rPr>
          <w:rFonts w:ascii="Calibri" w:cs="Calibri"/>
          <w:color w:val="000000"/>
          <w:sz w:val="22"/>
          <w:szCs w:val="22"/>
        </w:rPr>
        <w:t>Apprenticeships</w:t>
      </w:r>
    </w:p>
    <w:p w:rsidR="00032A55" w:rsidRDefault="00032A55" w:rsidP="00032A55">
      <w:pPr>
        <w:numPr>
          <w:ilvl w:val="0"/>
          <w:numId w:val="1"/>
        </w:numPr>
        <w:autoSpaceDE w:val="0"/>
        <w:autoSpaceDN w:val="0"/>
        <w:adjustRightInd w:val="0"/>
        <w:ind w:left="540" w:hanging="540"/>
        <w:rPr>
          <w:rFonts w:ascii="Calibri" w:cs="Calibri"/>
          <w:color w:val="000000"/>
          <w:sz w:val="22"/>
          <w:szCs w:val="22"/>
        </w:rPr>
      </w:pPr>
      <w:r>
        <w:rPr>
          <w:rFonts w:ascii="Calibri" w:cs="Calibri"/>
          <w:color w:val="000000"/>
          <w:sz w:val="22"/>
          <w:szCs w:val="22"/>
        </w:rPr>
        <w:t>Col</w:t>
      </w:r>
      <w:r w:rsidR="00B72D30">
        <w:rPr>
          <w:rFonts w:ascii="Calibri" w:cs="Calibri"/>
          <w:color w:val="000000"/>
          <w:sz w:val="22"/>
          <w:szCs w:val="22"/>
        </w:rPr>
        <w:t>laboration with key stakeholders</w:t>
      </w:r>
      <w:bookmarkStart w:id="0" w:name="_GoBack"/>
      <w:bookmarkEnd w:id="0"/>
    </w:p>
    <w:p w:rsidR="00032A55" w:rsidRDefault="00032A55" w:rsidP="00032A55">
      <w:pPr>
        <w:autoSpaceDE w:val="0"/>
        <w:autoSpaceDN w:val="0"/>
        <w:adjustRightInd w:val="0"/>
        <w:ind w:left="540" w:hanging="540"/>
        <w:rPr>
          <w:rFonts w:ascii="Calibri" w:cs="Calibri"/>
          <w:color w:val="000000"/>
          <w:sz w:val="22"/>
          <w:szCs w:val="22"/>
        </w:rPr>
      </w:pPr>
    </w:p>
    <w:p w:rsidR="00032A55" w:rsidRDefault="00032A55" w:rsidP="00032A55">
      <w:pPr>
        <w:autoSpaceDE w:val="0"/>
        <w:autoSpaceDN w:val="0"/>
        <w:adjustRightInd w:val="0"/>
        <w:rPr>
          <w:rFonts w:ascii="Arial" w:hAnsi="Arial" w:cs="Arial"/>
        </w:rPr>
      </w:pPr>
    </w:p>
    <w:p w:rsidR="00032A55" w:rsidRDefault="00032A55" w:rsidP="00032A55">
      <w:pPr>
        <w:spacing w:line="360" w:lineRule="auto"/>
      </w:pPr>
    </w:p>
    <w:p w:rsidR="00032A55" w:rsidRDefault="00032A55">
      <w:r>
        <w:br w:type="page"/>
      </w:r>
    </w:p>
    <w:p w:rsidR="00032A55" w:rsidRDefault="00032A55" w:rsidP="00032A55">
      <w:pPr>
        <w:spacing w:line="360" w:lineRule="auto"/>
      </w:pPr>
      <w:r>
        <w:lastRenderedPageBreak/>
        <w:t>Slide 18</w:t>
      </w:r>
    </w:p>
    <w:p w:rsidR="00032A55" w:rsidRDefault="00032A55" w:rsidP="00032A55">
      <w:pPr>
        <w:spacing w:line="360" w:lineRule="auto"/>
      </w:pPr>
    </w:p>
    <w:p w:rsidR="00032A55" w:rsidRDefault="00032A55" w:rsidP="00032A55">
      <w:pPr>
        <w:spacing w:line="360" w:lineRule="auto"/>
        <w:jc w:val="center"/>
      </w:pPr>
      <w:r>
        <w:object w:dxaOrig="7216" w:dyaOrig="5409">
          <v:shape id="_x0000_i1042" type="#_x0000_t75" style="width:270.75pt;height:202.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42" DrawAspect="Content" ObjectID="_1424612709" r:id="rId41"/>
        </w:object>
      </w:r>
    </w:p>
    <w:p w:rsidR="00032A55" w:rsidRDefault="00032A55" w:rsidP="00032A55">
      <w:pPr>
        <w:spacing w:line="360" w:lineRule="auto"/>
        <w:jc w:val="center"/>
      </w:pPr>
    </w:p>
    <w:p w:rsidR="00032A55" w:rsidRDefault="00032A55" w:rsidP="00032A55">
      <w:pPr>
        <w:spacing w:line="360" w:lineRule="auto"/>
      </w:pPr>
    </w:p>
    <w:p w:rsidR="00032A55" w:rsidRDefault="00032A55" w:rsidP="00032A55">
      <w:pPr>
        <w:spacing w:line="360" w:lineRule="auto"/>
      </w:pPr>
    </w:p>
    <w:sectPr w:rsidR="00032A5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0E67012"/>
    <w:lvl w:ilvl="0">
      <w:numFmt w:val="bullet"/>
      <w:lvlText w:val="*"/>
      <w:lvlJc w:val="left"/>
    </w:lvl>
  </w:abstractNum>
  <w:num w:numId="1">
    <w:abstractNumId w:val="0"/>
    <w:lvlOverride w:ilvl="0">
      <w:lvl w:ilvl="0">
        <w:numFmt w:val="bullet"/>
        <w:lvlText w:val="•"/>
        <w:legacy w:legacy="1" w:legacySpace="0" w:legacyIndent="0"/>
        <w:lvlJc w:val="left"/>
        <w:rPr>
          <w:rFonts w:ascii="Calibri" w:hAnsi="Calibri" w:cs="Calibri" w:hint="default"/>
          <w:sz w:val="22"/>
        </w:rPr>
      </w:lvl>
    </w:lvlOverride>
  </w:num>
  <w:num w:numId="2">
    <w:abstractNumId w:val="0"/>
    <w:lvlOverride w:ilvl="0">
      <w:lvl w:ilvl="0">
        <w:numFmt w:val="bullet"/>
        <w:lvlText w:val="–"/>
        <w:legacy w:legacy="1" w:legacySpace="0" w:legacyIndent="0"/>
        <w:lvlJc w:val="left"/>
        <w:rPr>
          <w:rFonts w:ascii="Calibri" w:hAnsi="Calibri" w:cs="Calibri" w:hint="default"/>
          <w:sz w:val="22"/>
        </w:rPr>
      </w:lvl>
    </w:lvlOverride>
  </w:num>
  <w:num w:numId="3">
    <w:abstractNumId w:val="0"/>
    <w:lvlOverride w:ilvl="0">
      <w:lvl w:ilvl="0">
        <w:numFmt w:val="bullet"/>
        <w:lvlText w:val="•"/>
        <w:legacy w:legacy="1" w:legacySpace="0" w:legacyIndent="0"/>
        <w:lvlJc w:val="left"/>
        <w:rPr>
          <w:rFonts w:ascii="Arial" w:hAnsi="Arial" w:cs="Aria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A55"/>
    <w:rsid w:val="00032A55"/>
    <w:rsid w:val="00032B31"/>
    <w:rsid w:val="000465C0"/>
    <w:rsid w:val="000550F5"/>
    <w:rsid w:val="000708FA"/>
    <w:rsid w:val="00074A1A"/>
    <w:rsid w:val="000760CF"/>
    <w:rsid w:val="0008243A"/>
    <w:rsid w:val="00084A24"/>
    <w:rsid w:val="000A317D"/>
    <w:rsid w:val="000B3997"/>
    <w:rsid w:val="000B5D75"/>
    <w:rsid w:val="000D6280"/>
    <w:rsid w:val="000F1D39"/>
    <w:rsid w:val="000F297F"/>
    <w:rsid w:val="001008C3"/>
    <w:rsid w:val="001147BE"/>
    <w:rsid w:val="001162B2"/>
    <w:rsid w:val="001245A4"/>
    <w:rsid w:val="0012716A"/>
    <w:rsid w:val="001411E7"/>
    <w:rsid w:val="00156CC5"/>
    <w:rsid w:val="00160ACB"/>
    <w:rsid w:val="00165DED"/>
    <w:rsid w:val="00167F49"/>
    <w:rsid w:val="00196F0E"/>
    <w:rsid w:val="001B2640"/>
    <w:rsid w:val="001B7F4A"/>
    <w:rsid w:val="001C389E"/>
    <w:rsid w:val="001C4634"/>
    <w:rsid w:val="001C4E83"/>
    <w:rsid w:val="001D75B3"/>
    <w:rsid w:val="001E1882"/>
    <w:rsid w:val="001E2AC6"/>
    <w:rsid w:val="001E5663"/>
    <w:rsid w:val="001F5AE9"/>
    <w:rsid w:val="00205EC0"/>
    <w:rsid w:val="00214929"/>
    <w:rsid w:val="00217A2A"/>
    <w:rsid w:val="002326D2"/>
    <w:rsid w:val="00241CFB"/>
    <w:rsid w:val="00244A31"/>
    <w:rsid w:val="00246412"/>
    <w:rsid w:val="00261C7A"/>
    <w:rsid w:val="002624ED"/>
    <w:rsid w:val="00280487"/>
    <w:rsid w:val="002865D8"/>
    <w:rsid w:val="002929CF"/>
    <w:rsid w:val="002A3EA1"/>
    <w:rsid w:val="002B04D9"/>
    <w:rsid w:val="002C1014"/>
    <w:rsid w:val="002C624F"/>
    <w:rsid w:val="002D24EE"/>
    <w:rsid w:val="002D671A"/>
    <w:rsid w:val="002F31F9"/>
    <w:rsid w:val="00302F2E"/>
    <w:rsid w:val="003031C4"/>
    <w:rsid w:val="00306ED2"/>
    <w:rsid w:val="00310AC3"/>
    <w:rsid w:val="0032589A"/>
    <w:rsid w:val="00336F79"/>
    <w:rsid w:val="003421B9"/>
    <w:rsid w:val="00345271"/>
    <w:rsid w:val="00364EA4"/>
    <w:rsid w:val="00373A49"/>
    <w:rsid w:val="00375B3C"/>
    <w:rsid w:val="00391739"/>
    <w:rsid w:val="003A157C"/>
    <w:rsid w:val="003A6D7D"/>
    <w:rsid w:val="003C3162"/>
    <w:rsid w:val="003D4998"/>
    <w:rsid w:val="0042438C"/>
    <w:rsid w:val="00445F3E"/>
    <w:rsid w:val="00460C09"/>
    <w:rsid w:val="00461708"/>
    <w:rsid w:val="004672B3"/>
    <w:rsid w:val="0047519E"/>
    <w:rsid w:val="00491F87"/>
    <w:rsid w:val="004A652F"/>
    <w:rsid w:val="004B129F"/>
    <w:rsid w:val="004B5949"/>
    <w:rsid w:val="004C2F65"/>
    <w:rsid w:val="004C50F0"/>
    <w:rsid w:val="004E1117"/>
    <w:rsid w:val="004E7C28"/>
    <w:rsid w:val="004F64B9"/>
    <w:rsid w:val="005105F2"/>
    <w:rsid w:val="00523B8D"/>
    <w:rsid w:val="00536933"/>
    <w:rsid w:val="00546EDB"/>
    <w:rsid w:val="00557EAC"/>
    <w:rsid w:val="00577C04"/>
    <w:rsid w:val="00586C21"/>
    <w:rsid w:val="005926AB"/>
    <w:rsid w:val="005978C5"/>
    <w:rsid w:val="005B424C"/>
    <w:rsid w:val="005C6E2A"/>
    <w:rsid w:val="005C769B"/>
    <w:rsid w:val="005D180A"/>
    <w:rsid w:val="005F0376"/>
    <w:rsid w:val="005F5A42"/>
    <w:rsid w:val="005F7A89"/>
    <w:rsid w:val="00622B98"/>
    <w:rsid w:val="00656ADC"/>
    <w:rsid w:val="00660A6D"/>
    <w:rsid w:val="00666578"/>
    <w:rsid w:val="00667A4B"/>
    <w:rsid w:val="006746FE"/>
    <w:rsid w:val="006777D3"/>
    <w:rsid w:val="0068521A"/>
    <w:rsid w:val="006C0F07"/>
    <w:rsid w:val="006C2829"/>
    <w:rsid w:val="006D4A44"/>
    <w:rsid w:val="006D5D5A"/>
    <w:rsid w:val="006F784D"/>
    <w:rsid w:val="007115F8"/>
    <w:rsid w:val="00713A83"/>
    <w:rsid w:val="00721069"/>
    <w:rsid w:val="00726D18"/>
    <w:rsid w:val="00727E72"/>
    <w:rsid w:val="007300CD"/>
    <w:rsid w:val="00746D56"/>
    <w:rsid w:val="00751831"/>
    <w:rsid w:val="0076493F"/>
    <w:rsid w:val="00774478"/>
    <w:rsid w:val="00786733"/>
    <w:rsid w:val="00793114"/>
    <w:rsid w:val="00796168"/>
    <w:rsid w:val="007A0A88"/>
    <w:rsid w:val="007A3A96"/>
    <w:rsid w:val="007C1909"/>
    <w:rsid w:val="007C3D56"/>
    <w:rsid w:val="007D50B2"/>
    <w:rsid w:val="007D7540"/>
    <w:rsid w:val="007F000B"/>
    <w:rsid w:val="007F57D5"/>
    <w:rsid w:val="007F5C95"/>
    <w:rsid w:val="008150D9"/>
    <w:rsid w:val="008472AE"/>
    <w:rsid w:val="0086232E"/>
    <w:rsid w:val="008808AD"/>
    <w:rsid w:val="00885926"/>
    <w:rsid w:val="00896337"/>
    <w:rsid w:val="008A2880"/>
    <w:rsid w:val="008A45E6"/>
    <w:rsid w:val="008B049A"/>
    <w:rsid w:val="008B1217"/>
    <w:rsid w:val="008D01CB"/>
    <w:rsid w:val="008D26A6"/>
    <w:rsid w:val="008E39A5"/>
    <w:rsid w:val="008E43E4"/>
    <w:rsid w:val="008E4C22"/>
    <w:rsid w:val="00905771"/>
    <w:rsid w:val="0091089E"/>
    <w:rsid w:val="00912871"/>
    <w:rsid w:val="00932192"/>
    <w:rsid w:val="00940C88"/>
    <w:rsid w:val="00945599"/>
    <w:rsid w:val="00946069"/>
    <w:rsid w:val="0095261C"/>
    <w:rsid w:val="009564AC"/>
    <w:rsid w:val="00963479"/>
    <w:rsid w:val="00964401"/>
    <w:rsid w:val="00976D6D"/>
    <w:rsid w:val="00977737"/>
    <w:rsid w:val="009815B9"/>
    <w:rsid w:val="00981F02"/>
    <w:rsid w:val="009826E8"/>
    <w:rsid w:val="009A73AC"/>
    <w:rsid w:val="009B6860"/>
    <w:rsid w:val="009B7752"/>
    <w:rsid w:val="009C1305"/>
    <w:rsid w:val="009D1B07"/>
    <w:rsid w:val="009D7D1C"/>
    <w:rsid w:val="009E3906"/>
    <w:rsid w:val="009E46AC"/>
    <w:rsid w:val="009E6BA0"/>
    <w:rsid w:val="00A02D97"/>
    <w:rsid w:val="00A044C1"/>
    <w:rsid w:val="00A04A04"/>
    <w:rsid w:val="00A1371B"/>
    <w:rsid w:val="00A17E70"/>
    <w:rsid w:val="00A31E70"/>
    <w:rsid w:val="00A47E8D"/>
    <w:rsid w:val="00A745F7"/>
    <w:rsid w:val="00A8570D"/>
    <w:rsid w:val="00AA3958"/>
    <w:rsid w:val="00AB0647"/>
    <w:rsid w:val="00AC64D7"/>
    <w:rsid w:val="00AE0894"/>
    <w:rsid w:val="00AE3481"/>
    <w:rsid w:val="00AE5BE0"/>
    <w:rsid w:val="00B17F12"/>
    <w:rsid w:val="00B25714"/>
    <w:rsid w:val="00B31EA6"/>
    <w:rsid w:val="00B36466"/>
    <w:rsid w:val="00B450DA"/>
    <w:rsid w:val="00B514D3"/>
    <w:rsid w:val="00B5197F"/>
    <w:rsid w:val="00B55FBB"/>
    <w:rsid w:val="00B562CE"/>
    <w:rsid w:val="00B5708F"/>
    <w:rsid w:val="00B64196"/>
    <w:rsid w:val="00B6482E"/>
    <w:rsid w:val="00B72049"/>
    <w:rsid w:val="00B72D30"/>
    <w:rsid w:val="00B859E5"/>
    <w:rsid w:val="00B85C0A"/>
    <w:rsid w:val="00B94762"/>
    <w:rsid w:val="00B95353"/>
    <w:rsid w:val="00B97123"/>
    <w:rsid w:val="00BB2804"/>
    <w:rsid w:val="00BC3001"/>
    <w:rsid w:val="00BC3981"/>
    <w:rsid w:val="00BC5BF0"/>
    <w:rsid w:val="00BD2CF4"/>
    <w:rsid w:val="00BF0B6F"/>
    <w:rsid w:val="00BF6B1C"/>
    <w:rsid w:val="00C04428"/>
    <w:rsid w:val="00C27D8A"/>
    <w:rsid w:val="00C36C7B"/>
    <w:rsid w:val="00C53A85"/>
    <w:rsid w:val="00C619D1"/>
    <w:rsid w:val="00C634C2"/>
    <w:rsid w:val="00C76E02"/>
    <w:rsid w:val="00C87A48"/>
    <w:rsid w:val="00CB2508"/>
    <w:rsid w:val="00CB6961"/>
    <w:rsid w:val="00CD6ABE"/>
    <w:rsid w:val="00CF56AF"/>
    <w:rsid w:val="00CF630F"/>
    <w:rsid w:val="00CF71BE"/>
    <w:rsid w:val="00D00BFB"/>
    <w:rsid w:val="00D0411E"/>
    <w:rsid w:val="00D204FD"/>
    <w:rsid w:val="00D403CA"/>
    <w:rsid w:val="00D50435"/>
    <w:rsid w:val="00D50A6C"/>
    <w:rsid w:val="00D5384E"/>
    <w:rsid w:val="00D92FC3"/>
    <w:rsid w:val="00DA4C23"/>
    <w:rsid w:val="00DB5943"/>
    <w:rsid w:val="00DD420C"/>
    <w:rsid w:val="00DE0440"/>
    <w:rsid w:val="00E03B7D"/>
    <w:rsid w:val="00E06C58"/>
    <w:rsid w:val="00E40912"/>
    <w:rsid w:val="00E41747"/>
    <w:rsid w:val="00E42F2B"/>
    <w:rsid w:val="00E550B7"/>
    <w:rsid w:val="00E5677B"/>
    <w:rsid w:val="00E62235"/>
    <w:rsid w:val="00E62AAA"/>
    <w:rsid w:val="00E65340"/>
    <w:rsid w:val="00E72B39"/>
    <w:rsid w:val="00E831A2"/>
    <w:rsid w:val="00E90E5C"/>
    <w:rsid w:val="00EA6EBF"/>
    <w:rsid w:val="00EB25D8"/>
    <w:rsid w:val="00EB277E"/>
    <w:rsid w:val="00EC3DDB"/>
    <w:rsid w:val="00EC6AB1"/>
    <w:rsid w:val="00ED58EB"/>
    <w:rsid w:val="00ED6013"/>
    <w:rsid w:val="00EF6231"/>
    <w:rsid w:val="00F00C54"/>
    <w:rsid w:val="00F15987"/>
    <w:rsid w:val="00F2676B"/>
    <w:rsid w:val="00F3041B"/>
    <w:rsid w:val="00F31CB2"/>
    <w:rsid w:val="00F4601E"/>
    <w:rsid w:val="00F50445"/>
    <w:rsid w:val="00F82B55"/>
    <w:rsid w:val="00F8395A"/>
    <w:rsid w:val="00F83A85"/>
    <w:rsid w:val="00FC3DC6"/>
    <w:rsid w:val="00FD00E2"/>
    <w:rsid w:val="00FD17DE"/>
    <w:rsid w:val="00FD1B8A"/>
    <w:rsid w:val="00FD55AF"/>
    <w:rsid w:val="00FF662B"/>
    <w:rsid w:val="00FF6D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4.sl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PowerPoint_Slide17.sldx"/><Relationship Id="rId21" Type="http://schemas.openxmlformats.org/officeDocument/2006/relationships/package" Target="embeddings/Microsoft_PowerPoint_Slide8.sldx"/><Relationship Id="rId34" Type="http://schemas.openxmlformats.org/officeDocument/2006/relationships/image" Target="media/image15.emf"/><Relationship Id="rId42" Type="http://schemas.openxmlformats.org/officeDocument/2006/relationships/fontTable" Target="fontTable.xml"/><Relationship Id="rId7" Type="http://schemas.openxmlformats.org/officeDocument/2006/relationships/package" Target="embeddings/Microsoft_PowerPoint_Slide1.sldx"/><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package" Target="embeddings/Microsoft_PowerPoint_Slide12.sldx"/><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PowerPoint_Slide3.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PowerPoint_Slide16.sldx"/><Relationship Id="rId40" Type="http://schemas.openxmlformats.org/officeDocument/2006/relationships/image" Target="media/image18.emf"/><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package" Target="embeddings/Microsoft_PowerPoint_Slide7.sldx"/><Relationship Id="rId31" Type="http://schemas.openxmlformats.org/officeDocument/2006/relationships/package" Target="embeddings/Microsoft_PowerPoint_Slide13.sldx"/><Relationship Id="rId44"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package" Target="embeddings/Microsoft_PowerPoint_Slide2.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1.sldx"/><Relationship Id="rId30" Type="http://schemas.openxmlformats.org/officeDocument/2006/relationships/image" Target="media/image13.emf"/><Relationship Id="rId35" Type="http://schemas.openxmlformats.org/officeDocument/2006/relationships/package" Target="embeddings/Microsoft_PowerPoint_Slide15.sldx"/><Relationship Id="rId43" Type="http://schemas.openxmlformats.org/officeDocument/2006/relationships/theme" Target="theme/theme1.xml"/><Relationship Id="rId8" Type="http://schemas.openxmlformats.org/officeDocument/2006/relationships/image" Target="media/image2.emf"/><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38" Type="http://schemas.openxmlformats.org/officeDocument/2006/relationships/image" Target="media/image17.emf"/><Relationship Id="rId46" Type="http://schemas.openxmlformats.org/officeDocument/2006/relationships/customXml" Target="../customXml/item3.xml"/><Relationship Id="rId20" Type="http://schemas.openxmlformats.org/officeDocument/2006/relationships/image" Target="media/image8.emf"/><Relationship Id="rId41" Type="http://schemas.openxmlformats.org/officeDocument/2006/relationships/package" Target="embeddings/Microsoft_PowerPoint_Slide18.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9D28C3-EF13-4C65-9C0C-9784445F4F00}"/>
</file>

<file path=customXml/itemProps2.xml><?xml version="1.0" encoding="utf-8"?>
<ds:datastoreItem xmlns:ds="http://schemas.openxmlformats.org/officeDocument/2006/customXml" ds:itemID="{D306AA22-7743-4C3D-B73B-B5401B3B0E60}"/>
</file>

<file path=customXml/itemProps3.xml><?xml version="1.0" encoding="utf-8"?>
<ds:datastoreItem xmlns:ds="http://schemas.openxmlformats.org/officeDocument/2006/customXml" ds:itemID="{27D53C86-6609-4637-8682-50AC92E9C577}"/>
</file>

<file path=docProps/app.xml><?xml version="1.0" encoding="utf-8"?>
<Properties xmlns="http://schemas.openxmlformats.org/officeDocument/2006/extended-properties" xmlns:vt="http://schemas.openxmlformats.org/officeDocument/2006/docPropsVTypes">
  <Template>6F909F77.dotm</Template>
  <TotalTime>13</TotalTime>
  <Pages>18</Pages>
  <Words>1467</Words>
  <Characters>8776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10223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Travis Suridge</dc:creator>
  <cp:lastModifiedBy>Travis Suridge</cp:lastModifiedBy>
  <cp:revision>3</cp:revision>
  <dcterms:created xsi:type="dcterms:W3CDTF">2013-03-12T04:17:00Z</dcterms:created>
  <dcterms:modified xsi:type="dcterms:W3CDTF">2013-03-12T05:58:00Z</dcterms:modified>
</cp:coreProperties>
</file>