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16BC"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t>Slide 1</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25pt;height:201.7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37305868" r:id="rId7"/>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val="en-US" w:eastAsia="en-AU"/>
        </w:rPr>
      </w:pPr>
      <w:r w:rsidRPr="004D49B0">
        <w:rPr>
          <w:rFonts w:asciiTheme="minorHAnsi" w:hAnsiTheme="minorHAnsi" w:cstheme="minorHAnsi"/>
          <w:b/>
          <w:bCs/>
          <w:color w:val="000000" w:themeColor="text1"/>
          <w:kern w:val="24"/>
          <w:sz w:val="20"/>
          <w:u w:val="single"/>
          <w:lang w:eastAsia="en-AU"/>
        </w:rPr>
        <w:t xml:space="preserve">Overview of the Peel Regional Development Australia </w:t>
      </w:r>
      <w:r w:rsidR="00037332">
        <w:rPr>
          <w:rFonts w:asciiTheme="minorHAnsi" w:hAnsiTheme="minorHAnsi" w:cstheme="minorHAnsi"/>
          <w:b/>
          <w:bCs/>
          <w:color w:val="000000" w:themeColor="text1"/>
          <w:kern w:val="24"/>
          <w:sz w:val="20"/>
          <w:u w:val="single"/>
          <w:lang w:eastAsia="en-AU"/>
        </w:rPr>
        <w:t xml:space="preserve">(RDA) </w:t>
      </w:r>
      <w:r w:rsidRPr="004D49B0">
        <w:rPr>
          <w:rFonts w:asciiTheme="minorHAnsi" w:hAnsiTheme="minorHAnsi" w:cstheme="minorHAnsi"/>
          <w:b/>
          <w:bCs/>
          <w:color w:val="000000" w:themeColor="text1"/>
          <w:kern w:val="24"/>
          <w:sz w:val="20"/>
          <w:u w:val="single"/>
          <w:lang w:eastAsia="en-AU"/>
        </w:rPr>
        <w:t>Region</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DEEWR, Peel Regional Development Australia (RDA) Region, Survey of Emplo</w:t>
      </w:r>
      <w:r w:rsidR="00037332">
        <w:rPr>
          <w:rFonts w:asciiTheme="minorHAnsi" w:hAnsiTheme="minorHAnsi" w:cstheme="minorHAnsi"/>
          <w:color w:val="000000" w:themeColor="text1"/>
          <w:kern w:val="24"/>
          <w:sz w:val="20"/>
          <w:lang w:eastAsia="en-AU"/>
        </w:rPr>
        <w:t>yers’ Recruitment Experiences, May 2013</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val="en-US" w:eastAsia="en-AU"/>
        </w:rPr>
        <w: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val="en-US" w:eastAsia="en-AU"/>
        </w:rPr>
        <w:t>Presenter: Ivan Neville, Branch Manager, Labour Market Research and Analysis Branch</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val="en-US" w:eastAsia="en-AU"/>
        </w:rPr>
        <w:t> </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26" type="#_x0000_t75" style="width:269.25pt;height:201.7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437305869" r:id="rId9"/>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Map o</w:t>
      </w:r>
      <w:r w:rsidR="00037332">
        <w:rPr>
          <w:rFonts w:asciiTheme="minorHAnsi" w:hAnsiTheme="minorHAnsi" w:cstheme="minorHAnsi"/>
          <w:b/>
          <w:bCs/>
          <w:color w:val="000000" w:themeColor="text1"/>
          <w:kern w:val="24"/>
          <w:sz w:val="20"/>
          <w:u w:val="single"/>
          <w:lang w:eastAsia="en-AU"/>
        </w:rPr>
        <w:t>f Peel RDA</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The </w:t>
      </w:r>
      <w:r w:rsidR="00037332">
        <w:rPr>
          <w:rFonts w:asciiTheme="minorHAnsi" w:hAnsiTheme="minorHAnsi" w:cstheme="minorHAnsi"/>
          <w:color w:val="000000" w:themeColor="text1"/>
          <w:kern w:val="24"/>
          <w:sz w:val="20"/>
          <w:lang w:eastAsia="en-AU"/>
        </w:rPr>
        <w:t>Peel RDA</w:t>
      </w:r>
      <w:r w:rsidRPr="004D49B0">
        <w:rPr>
          <w:rFonts w:asciiTheme="minorHAnsi" w:hAnsiTheme="minorHAnsi" w:cstheme="minorHAnsi"/>
          <w:color w:val="000000" w:themeColor="text1"/>
          <w:kern w:val="24"/>
          <w:sz w:val="20"/>
          <w:lang w:eastAsia="en-AU"/>
        </w:rPr>
        <w:t xml:space="preserve"> comprises five Local Government Areas (LGAs):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Boddington</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Mandurah</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Murray</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Serpentine-Jarrahdale</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Waroona</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3</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27" type="#_x0000_t75" style="width:269.25pt;height:201.7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437305870" r:id="rId11"/>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 xml:space="preserve">What has </w:t>
      </w:r>
      <w:r w:rsidR="006D6FF8" w:rsidRPr="004D49B0">
        <w:rPr>
          <w:rFonts w:asciiTheme="minorHAnsi" w:hAnsiTheme="minorHAnsi" w:cstheme="minorHAnsi"/>
          <w:b/>
          <w:bCs/>
          <w:color w:val="000000" w:themeColor="text1"/>
          <w:kern w:val="24"/>
          <w:sz w:val="20"/>
          <w:u w:val="single"/>
          <w:lang w:eastAsia="en-AU"/>
        </w:rPr>
        <w:t>changed</w:t>
      </w:r>
      <w:r w:rsidRPr="004D49B0">
        <w:rPr>
          <w:rFonts w:asciiTheme="minorHAnsi" w:hAnsiTheme="minorHAnsi" w:cstheme="minorHAnsi"/>
          <w:b/>
          <w:bCs/>
          <w:color w:val="000000" w:themeColor="text1"/>
          <w:kern w:val="24"/>
          <w:sz w:val="20"/>
          <w:u w:val="single"/>
          <w:lang w:eastAsia="en-AU"/>
        </w:rPr>
        <w:t>? (</w:t>
      </w:r>
      <w:r w:rsidR="006D6FF8" w:rsidRPr="004D49B0">
        <w:rPr>
          <w:rFonts w:asciiTheme="minorHAnsi" w:hAnsiTheme="minorHAnsi" w:cstheme="minorHAnsi"/>
          <w:b/>
          <w:bCs/>
          <w:color w:val="000000" w:themeColor="text1"/>
          <w:kern w:val="24"/>
          <w:sz w:val="20"/>
          <w:u w:val="single"/>
          <w:lang w:eastAsia="en-AU"/>
        </w:rPr>
        <w:t>Since</w:t>
      </w:r>
      <w:r w:rsidRPr="004D49B0">
        <w:rPr>
          <w:rFonts w:asciiTheme="minorHAnsi" w:hAnsiTheme="minorHAnsi" w:cstheme="minorHAnsi"/>
          <w:b/>
          <w:bCs/>
          <w:color w:val="000000" w:themeColor="text1"/>
          <w:kern w:val="24"/>
          <w:sz w:val="20"/>
          <w:u w:val="single"/>
          <w:lang w:eastAsia="en-AU"/>
        </w:rPr>
        <w:t xml:space="preserve"> last survey, March 2012)</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w:t>
      </w:r>
      <w:r w:rsidR="00037332">
        <w:rPr>
          <w:rFonts w:asciiTheme="minorHAnsi" w:hAnsiTheme="minorHAnsi" w:cstheme="minorHAnsi"/>
          <w:i/>
          <w:iCs/>
          <w:color w:val="000000" w:themeColor="text1"/>
          <w:kern w:val="24"/>
          <w:sz w:val="20"/>
          <w:lang w:eastAsia="en-AU"/>
        </w:rPr>
        <w:t xml:space="preserve"> of Population and Housing, 2006 and 2011</w:t>
      </w:r>
      <w:r w:rsidRPr="004D49B0">
        <w:rPr>
          <w:rFonts w:asciiTheme="minorHAnsi" w:hAnsiTheme="minorHAnsi" w:cstheme="minorHAnsi"/>
          <w:i/>
          <w:iCs/>
          <w:color w:val="000000" w:themeColor="text1"/>
          <w:kern w:val="24"/>
          <w:sz w:val="20"/>
          <w:lang w:eastAsia="en-AU"/>
        </w:rPr>
        <w:t>; DEEWR, Small</w:t>
      </w:r>
      <w:r w:rsidR="00037332">
        <w:rPr>
          <w:rFonts w:asciiTheme="minorHAnsi" w:hAnsiTheme="minorHAnsi" w:cstheme="minorHAnsi"/>
          <w:i/>
          <w:iCs/>
          <w:color w:val="000000" w:themeColor="text1"/>
          <w:kern w:val="24"/>
          <w:sz w:val="20"/>
          <w:lang w:eastAsia="en-AU"/>
        </w:rPr>
        <w:t xml:space="preserve"> Area Labour Market, March 2013; </w:t>
      </w:r>
      <w:r w:rsidRPr="004D49B0">
        <w:rPr>
          <w:rFonts w:asciiTheme="minorHAnsi" w:hAnsiTheme="minorHAnsi" w:cstheme="minorHAnsi"/>
          <w:i/>
          <w:iCs/>
          <w:color w:val="000000" w:themeColor="text1"/>
          <w:kern w:val="24"/>
          <w:sz w:val="20"/>
          <w:lang w:eastAsia="en-AU"/>
        </w:rPr>
        <w:t>DEEWR, administrative data, June 2013; DEEWR, Survey of Employers’ Recruitment Experiences, Peel RDA, May 2013</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color w:val="000000" w:themeColor="text1"/>
          <w:kern w:val="24"/>
          <w:sz w:val="20"/>
          <w:lang w:eastAsia="en-AU"/>
        </w:rPr>
        <w:t>Labour market condition</w:t>
      </w:r>
      <w:r w:rsidR="00037332">
        <w:rPr>
          <w:rFonts w:asciiTheme="minorHAnsi" w:hAnsiTheme="minorHAnsi" w:cstheme="minorHAnsi"/>
          <w:color w:val="000000" w:themeColor="text1"/>
          <w:kern w:val="24"/>
          <w:sz w:val="20"/>
          <w:lang w:eastAsia="en-AU"/>
        </w:rPr>
        <w:t xml:space="preserve">s in the Peel RDA were moderate. The May 2013 </w:t>
      </w:r>
      <w:r w:rsidRPr="004D49B0">
        <w:rPr>
          <w:rFonts w:asciiTheme="minorHAnsi" w:hAnsiTheme="minorHAnsi" w:cstheme="minorHAnsi"/>
          <w:color w:val="000000" w:themeColor="text1"/>
          <w:kern w:val="24"/>
          <w:sz w:val="20"/>
          <w:lang w:eastAsia="en-AU"/>
        </w:rPr>
        <w:t xml:space="preserve">survey </w:t>
      </w:r>
      <w:r w:rsidR="00037332">
        <w:rPr>
          <w:rFonts w:asciiTheme="minorHAnsi" w:hAnsiTheme="minorHAnsi" w:cstheme="minorHAnsi"/>
          <w:color w:val="000000" w:themeColor="text1"/>
          <w:kern w:val="24"/>
          <w:sz w:val="20"/>
          <w:lang w:eastAsia="en-AU"/>
        </w:rPr>
        <w:t>results also suggest some potential</w:t>
      </w:r>
      <w:r w:rsidRPr="004D49B0">
        <w:rPr>
          <w:rFonts w:asciiTheme="minorHAnsi" w:hAnsiTheme="minorHAnsi" w:cstheme="minorHAnsi"/>
          <w:color w:val="000000" w:themeColor="text1"/>
          <w:kern w:val="24"/>
          <w:sz w:val="20"/>
          <w:lang w:eastAsia="en-AU"/>
        </w:rPr>
        <w:t xml:space="preserve"> softening in the future.</w:t>
      </w:r>
    </w:p>
    <w:p w:rsidR="004D49B0" w:rsidRPr="004D49B0" w:rsidRDefault="004D49B0" w:rsidP="004D49B0">
      <w:pPr>
        <w:numPr>
          <w:ilvl w:val="0"/>
          <w:numId w:val="1"/>
        </w:numPr>
        <w:autoSpaceDE w:val="0"/>
        <w:autoSpaceDN w:val="0"/>
        <w:adjustRightInd w:val="0"/>
        <w:ind w:left="540" w:hanging="540"/>
        <w:rPr>
          <w:rFonts w:asciiTheme="minorHAnsi" w:hAnsiTheme="minorHAnsi" w:cstheme="minorHAnsi"/>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 xml:space="preserve">The unemployment rate </w:t>
      </w:r>
      <w:r w:rsidRPr="004D49B0">
        <w:rPr>
          <w:rFonts w:asciiTheme="minorHAnsi" w:hAnsiTheme="minorHAnsi" w:cstheme="minorHAnsi"/>
          <w:color w:val="000000" w:themeColor="text1"/>
          <w:kern w:val="24"/>
          <w:sz w:val="20"/>
          <w:lang w:eastAsia="en-AU"/>
        </w:rPr>
        <w:t>in the Peel PEA increased to 6.1 per cent in March 2013 from 5.6 per cent in Marc</w:t>
      </w:r>
      <w:r w:rsidR="00037332">
        <w:rPr>
          <w:rFonts w:asciiTheme="minorHAnsi" w:hAnsiTheme="minorHAnsi" w:cstheme="minorHAnsi"/>
          <w:color w:val="000000" w:themeColor="text1"/>
          <w:kern w:val="24"/>
          <w:sz w:val="20"/>
          <w:lang w:eastAsia="en-AU"/>
        </w:rPr>
        <w:t>h 2012</w:t>
      </w:r>
      <w:r w:rsidRPr="004D49B0">
        <w:rPr>
          <w:rFonts w:asciiTheme="minorHAnsi" w:hAnsiTheme="minorHAnsi" w:cstheme="minorHAnsi"/>
          <w:color w:val="000000" w:themeColor="text1"/>
          <w:kern w:val="24"/>
          <w:sz w:val="20"/>
          <w:lang w:eastAsia="en-AU"/>
        </w:rPr>
        <w:t>.</w:t>
      </w:r>
    </w:p>
    <w:p w:rsidR="004D49B0" w:rsidRPr="004D49B0" w:rsidRDefault="004D49B0" w:rsidP="004D49B0">
      <w:pPr>
        <w:numPr>
          <w:ilvl w:val="0"/>
          <w:numId w:val="1"/>
        </w:numPr>
        <w:autoSpaceDE w:val="0"/>
        <w:autoSpaceDN w:val="0"/>
        <w:adjustRightInd w:val="0"/>
        <w:ind w:left="540" w:hanging="540"/>
        <w:rPr>
          <w:rFonts w:asciiTheme="minorHAnsi" w:hAnsiTheme="minorHAnsi" w:cstheme="minorHAnsi"/>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 xml:space="preserve">Employment </w:t>
      </w:r>
      <w:r w:rsidRPr="004D49B0">
        <w:rPr>
          <w:rFonts w:asciiTheme="minorHAnsi" w:hAnsiTheme="minorHAnsi" w:cstheme="minorHAnsi"/>
          <w:color w:val="000000" w:themeColor="text1"/>
          <w:kern w:val="24"/>
          <w:sz w:val="20"/>
          <w:lang w:eastAsia="en-AU"/>
        </w:rPr>
        <w:t>(15+)</w:t>
      </w:r>
      <w:r w:rsidRPr="004D49B0">
        <w:rPr>
          <w:rFonts w:asciiTheme="minorHAnsi" w:hAnsiTheme="minorHAnsi" w:cstheme="minorHAnsi"/>
          <w:b/>
          <w:bCs/>
          <w:color w:val="000000" w:themeColor="text1"/>
          <w:kern w:val="24"/>
          <w:sz w:val="20"/>
          <w:lang w:eastAsia="en-AU"/>
        </w:rPr>
        <w:t xml:space="preserve"> </w:t>
      </w:r>
      <w:r w:rsidRPr="004D49B0">
        <w:rPr>
          <w:rFonts w:asciiTheme="minorHAnsi" w:hAnsiTheme="minorHAnsi" w:cstheme="minorHAnsi"/>
          <w:color w:val="000000" w:themeColor="text1"/>
          <w:kern w:val="24"/>
          <w:sz w:val="20"/>
          <w:lang w:eastAsia="en-AU"/>
        </w:rPr>
        <w:t>increased by 10,800 (31 per cent) i</w:t>
      </w:r>
      <w:r w:rsidR="00037332">
        <w:rPr>
          <w:rFonts w:asciiTheme="minorHAnsi" w:hAnsiTheme="minorHAnsi" w:cstheme="minorHAnsi"/>
          <w:color w:val="000000" w:themeColor="text1"/>
          <w:kern w:val="24"/>
          <w:sz w:val="20"/>
          <w:lang w:eastAsia="en-AU"/>
        </w:rPr>
        <w:t>n the 5 years to 2011</w:t>
      </w:r>
      <w:r w:rsidRPr="004D49B0">
        <w:rPr>
          <w:rFonts w:asciiTheme="minorHAnsi" w:hAnsiTheme="minorHAnsi" w:cstheme="minorHAnsi"/>
          <w:color w:val="000000" w:themeColor="text1"/>
          <w:kern w:val="24"/>
          <w:sz w:val="20"/>
          <w:lang w:eastAsia="en-AU"/>
        </w:rPr>
        <w:t>.</w:t>
      </w:r>
    </w:p>
    <w:p w:rsidR="004D49B0" w:rsidRPr="004D49B0" w:rsidRDefault="004D49B0" w:rsidP="004D49B0">
      <w:pPr>
        <w:numPr>
          <w:ilvl w:val="0"/>
          <w:numId w:val="1"/>
        </w:numPr>
        <w:autoSpaceDE w:val="0"/>
        <w:autoSpaceDN w:val="0"/>
        <w:adjustRightInd w:val="0"/>
        <w:ind w:left="540" w:hanging="540"/>
        <w:rPr>
          <w:rFonts w:asciiTheme="minorHAnsi" w:hAnsiTheme="minorHAnsi" w:cstheme="minorHAnsi"/>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 xml:space="preserve">The Working Age participation rate </w:t>
      </w:r>
      <w:r w:rsidR="00037332">
        <w:rPr>
          <w:rFonts w:asciiTheme="minorHAnsi" w:hAnsiTheme="minorHAnsi" w:cstheme="minorHAnsi"/>
          <w:color w:val="000000" w:themeColor="text1"/>
          <w:kern w:val="24"/>
          <w:sz w:val="20"/>
          <w:lang w:eastAsia="en-AU"/>
        </w:rPr>
        <w:t>in</w:t>
      </w:r>
      <w:r w:rsidRPr="004D49B0">
        <w:rPr>
          <w:rFonts w:asciiTheme="minorHAnsi" w:hAnsiTheme="minorHAnsi" w:cstheme="minorHAnsi"/>
          <w:color w:val="000000" w:themeColor="text1"/>
          <w:kern w:val="24"/>
          <w:sz w:val="20"/>
          <w:lang w:eastAsia="en-AU"/>
        </w:rPr>
        <w:t xml:space="preserve"> the Peel RDA increased from 70.6 per cent</w:t>
      </w:r>
      <w:r w:rsidRPr="004D49B0">
        <w:rPr>
          <w:rFonts w:asciiTheme="minorHAnsi" w:hAnsiTheme="minorHAnsi" w:cstheme="minorHAnsi"/>
          <w:b/>
          <w:bCs/>
          <w:color w:val="000000" w:themeColor="text1"/>
          <w:kern w:val="24"/>
          <w:sz w:val="20"/>
          <w:lang w:eastAsia="en-AU"/>
        </w:rPr>
        <w:t xml:space="preserve"> </w:t>
      </w:r>
      <w:r w:rsidRPr="004D49B0">
        <w:rPr>
          <w:rFonts w:asciiTheme="minorHAnsi" w:hAnsiTheme="minorHAnsi" w:cstheme="minorHAnsi"/>
          <w:color w:val="000000" w:themeColor="text1"/>
          <w:kern w:val="24"/>
          <w:sz w:val="20"/>
          <w:lang w:eastAsia="en-AU"/>
        </w:rPr>
        <w:t>to 73.8</w:t>
      </w:r>
      <w:r w:rsidR="00037332">
        <w:rPr>
          <w:rFonts w:asciiTheme="minorHAnsi" w:hAnsiTheme="minorHAnsi" w:cstheme="minorHAnsi"/>
          <w:color w:val="000000" w:themeColor="text1"/>
          <w:kern w:val="24"/>
          <w:sz w:val="20"/>
          <w:lang w:eastAsia="en-AU"/>
        </w:rPr>
        <w:t xml:space="preserve"> per cent in the 5 years to 2011</w:t>
      </w:r>
      <w:r w:rsidRPr="004D49B0">
        <w:rPr>
          <w:rFonts w:asciiTheme="minorHAnsi" w:hAnsiTheme="minorHAnsi" w:cstheme="minorHAnsi"/>
          <w:color w:val="000000" w:themeColor="text1"/>
          <w:kern w:val="24"/>
          <w:sz w:val="20"/>
          <w:lang w:eastAsia="en-AU"/>
        </w:rPr>
        <w:t>.</w:t>
      </w:r>
    </w:p>
    <w:p w:rsidR="004D49B0" w:rsidRDefault="004D49B0" w:rsidP="004D49B0">
      <w:pPr>
        <w:numPr>
          <w:ilvl w:val="0"/>
          <w:numId w:val="1"/>
        </w:numPr>
        <w:autoSpaceDE w:val="0"/>
        <w:autoSpaceDN w:val="0"/>
        <w:adjustRightInd w:val="0"/>
        <w:ind w:left="540" w:hanging="54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There was an increase in the number of 25-34 year olds in the PEA who had </w:t>
      </w:r>
      <w:r w:rsidRPr="004D49B0">
        <w:rPr>
          <w:rFonts w:asciiTheme="minorHAnsi" w:hAnsiTheme="minorHAnsi" w:cstheme="minorHAnsi"/>
          <w:b/>
          <w:bCs/>
          <w:color w:val="000000" w:themeColor="text1"/>
          <w:kern w:val="24"/>
          <w:sz w:val="20"/>
          <w:lang w:eastAsia="en-AU"/>
        </w:rPr>
        <w:t>completed Year 12</w:t>
      </w:r>
      <w:r w:rsidRPr="004D49B0">
        <w:rPr>
          <w:rFonts w:asciiTheme="minorHAnsi" w:hAnsiTheme="minorHAnsi" w:cstheme="minorHAnsi"/>
          <w:color w:val="000000" w:themeColor="text1"/>
          <w:kern w:val="24"/>
          <w:sz w:val="20"/>
          <w:lang w:eastAsia="en-AU"/>
        </w:rPr>
        <w:t xml:space="preserve"> (from 45 to 52 per </w:t>
      </w:r>
      <w:r w:rsidR="00037332">
        <w:rPr>
          <w:rFonts w:asciiTheme="minorHAnsi" w:hAnsiTheme="minorHAnsi" w:cstheme="minorHAnsi"/>
          <w:color w:val="000000" w:themeColor="text1"/>
          <w:kern w:val="24"/>
          <w:sz w:val="20"/>
          <w:lang w:eastAsia="en-AU"/>
        </w:rPr>
        <w:t>cent) between 2006 and 2011</w:t>
      </w:r>
      <w:r w:rsidRPr="004D49B0">
        <w:rPr>
          <w:rFonts w:asciiTheme="minorHAnsi" w:hAnsiTheme="minorHAnsi" w:cstheme="minorHAnsi"/>
          <w:color w:val="000000" w:themeColor="text1"/>
          <w:kern w:val="24"/>
          <w:sz w:val="20"/>
          <w:lang w:eastAsia="en-AU"/>
        </w:rPr>
        <w:t>.</w:t>
      </w:r>
    </w:p>
    <w:p w:rsidR="00037332" w:rsidRPr="004D49B0" w:rsidRDefault="00037332" w:rsidP="004D49B0">
      <w:pPr>
        <w:numPr>
          <w:ilvl w:val="0"/>
          <w:numId w:val="1"/>
        </w:numPr>
        <w:autoSpaceDE w:val="0"/>
        <w:autoSpaceDN w:val="0"/>
        <w:adjustRightInd w:val="0"/>
        <w:ind w:left="540" w:hanging="540"/>
        <w:rPr>
          <w:rFonts w:asciiTheme="minorHAnsi" w:hAnsiTheme="minorHAnsi" w:cstheme="minorHAnsi"/>
          <w:color w:val="000000" w:themeColor="text1"/>
          <w:kern w:val="24"/>
          <w:sz w:val="20"/>
          <w:lang w:eastAsia="en-AU"/>
        </w:rPr>
      </w:pPr>
      <w:r>
        <w:rPr>
          <w:rFonts w:asciiTheme="minorHAnsi" w:hAnsiTheme="minorHAnsi" w:cstheme="minorHAnsi"/>
          <w:b/>
          <w:color w:val="000000" w:themeColor="text1"/>
          <w:kern w:val="24"/>
          <w:sz w:val="20"/>
          <w:lang w:eastAsia="en-AU"/>
        </w:rPr>
        <w:t xml:space="preserve">Recruitment activity </w:t>
      </w:r>
      <w:r>
        <w:rPr>
          <w:rFonts w:asciiTheme="minorHAnsi" w:hAnsiTheme="minorHAnsi" w:cstheme="minorHAnsi"/>
          <w:color w:val="000000" w:themeColor="text1"/>
          <w:kern w:val="24"/>
          <w:sz w:val="20"/>
          <w:lang w:eastAsia="en-AU"/>
        </w:rPr>
        <w:t xml:space="preserve">was below other recently surveyed areas of Western Australia.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4</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28" type="#_x0000_t75" style="width:269.25pt;height:201.7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437305871" r:id="rId13"/>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Profile of Peel RDA</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Estimated Resident Population, 2006 and 2011; ABS, Census of Population and Housing, 2006 and 2011</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val="en-US" w:eastAsia="en-AU"/>
        </w:rPr>
        <w: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r w:rsidRPr="004D49B0">
        <w:rPr>
          <w:rFonts w:asciiTheme="minorHAnsi" w:hAnsiTheme="minorHAnsi" w:cstheme="minorHAnsi"/>
          <w:color w:val="000000" w:themeColor="text1"/>
          <w:kern w:val="24"/>
          <w:sz w:val="20"/>
          <w:lang w:val="en-US" w:eastAsia="en-AU"/>
        </w:rPr>
        <w:t xml:space="preserve">In June 2011, the adult population (15+ years) in the </w:t>
      </w:r>
      <w:r w:rsidRPr="004D49B0">
        <w:rPr>
          <w:rFonts w:asciiTheme="minorHAnsi" w:hAnsiTheme="minorHAnsi" w:cstheme="minorHAnsi"/>
          <w:color w:val="000000" w:themeColor="text1"/>
          <w:kern w:val="24"/>
          <w:sz w:val="20"/>
          <w:lang w:eastAsia="en-AU"/>
        </w:rPr>
        <w:t xml:space="preserve">Peel RDA </w:t>
      </w:r>
      <w:r w:rsidRPr="004D49B0">
        <w:rPr>
          <w:rFonts w:asciiTheme="minorHAnsi" w:hAnsiTheme="minorHAnsi" w:cstheme="minorHAnsi"/>
          <w:color w:val="000000" w:themeColor="text1"/>
          <w:kern w:val="24"/>
          <w:sz w:val="20"/>
          <w:lang w:val="en-US" w:eastAsia="en-AU"/>
        </w:rPr>
        <w:t xml:space="preserve">was </w:t>
      </w:r>
      <w:r w:rsidRPr="004D49B0">
        <w:rPr>
          <w:rFonts w:asciiTheme="minorHAnsi" w:hAnsiTheme="minorHAnsi" w:cstheme="minorHAnsi"/>
          <w:color w:val="000000" w:themeColor="text1"/>
          <w:kern w:val="24"/>
          <w:sz w:val="20"/>
          <w:lang w:eastAsia="en-AU"/>
        </w:rPr>
        <w:t>91,000.</w:t>
      </w:r>
      <w:r w:rsidRPr="004D49B0">
        <w:rPr>
          <w:rFonts w:asciiTheme="minorHAnsi" w:hAnsiTheme="minorHAnsi" w:cstheme="minorHAnsi"/>
          <w:color w:val="000000" w:themeColor="text1"/>
          <w:kern w:val="24"/>
          <w:sz w:val="20"/>
          <w:lang w:val="en-US" w:eastAsia="en-AU"/>
        </w:rPr>
        <w:t xml:space="preserve">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r w:rsidRPr="004D49B0">
        <w:rPr>
          <w:rFonts w:asciiTheme="minorHAnsi" w:hAnsiTheme="minorHAnsi" w:cstheme="minorHAnsi"/>
          <w:color w:val="000000" w:themeColor="text1"/>
          <w:kern w:val="24"/>
          <w:sz w:val="20"/>
          <w:lang w:val="en-US" w:eastAsia="en-AU"/>
        </w:rPr>
        <w:t>The RDA experienced adult population growth of 25 per cent between 2006 and 2011, which was considerably higher than the growth for Western Australia (15 per cent) but similar to the South West Perth Priority Employment Area (PEA) (24 per cent).</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r w:rsidRPr="004D49B0">
        <w:rPr>
          <w:rFonts w:asciiTheme="minorHAnsi" w:hAnsiTheme="minorHAnsi" w:cstheme="minorHAnsi"/>
          <w:color w:val="000000" w:themeColor="text1"/>
          <w:kern w:val="24"/>
          <w:sz w:val="20"/>
          <w:lang w:val="en-US" w:eastAsia="en-AU"/>
        </w:rPr>
        <w:t xml:space="preserve">At the time of the 2011 Census, the median age for people living in the </w:t>
      </w:r>
      <w:r w:rsidRPr="004D49B0">
        <w:rPr>
          <w:rFonts w:asciiTheme="minorHAnsi" w:hAnsiTheme="minorHAnsi" w:cstheme="minorHAnsi"/>
          <w:color w:val="000000" w:themeColor="text1"/>
          <w:kern w:val="24"/>
          <w:sz w:val="20"/>
          <w:lang w:eastAsia="en-AU"/>
        </w:rPr>
        <w:t xml:space="preserve">Peel RDA </w:t>
      </w:r>
      <w:r w:rsidRPr="004D49B0">
        <w:rPr>
          <w:rFonts w:asciiTheme="minorHAnsi" w:hAnsiTheme="minorHAnsi" w:cstheme="minorHAnsi"/>
          <w:color w:val="000000" w:themeColor="text1"/>
          <w:kern w:val="24"/>
          <w:sz w:val="20"/>
          <w:lang w:val="en-US" w:eastAsia="en-AU"/>
        </w:rPr>
        <w:t xml:space="preserve">was 40 years.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p>
    <w:p w:rsidR="004D49B0" w:rsidRPr="004D49B0" w:rsidRDefault="00037332" w:rsidP="004D49B0">
      <w:pPr>
        <w:autoSpaceDE w:val="0"/>
        <w:autoSpaceDN w:val="0"/>
        <w:adjustRightInd w:val="0"/>
        <w:rPr>
          <w:rFonts w:asciiTheme="minorHAnsi" w:hAnsiTheme="minorHAnsi" w:cstheme="minorHAnsi"/>
          <w:color w:val="000000" w:themeColor="text1"/>
          <w:kern w:val="24"/>
          <w:sz w:val="20"/>
          <w:lang w:val="en-US" w:eastAsia="en-AU"/>
        </w:rPr>
      </w:pPr>
      <w:r>
        <w:rPr>
          <w:rFonts w:asciiTheme="minorHAnsi" w:hAnsiTheme="minorHAnsi" w:cstheme="minorHAnsi"/>
          <w:color w:val="000000" w:themeColor="text1"/>
          <w:kern w:val="24"/>
          <w:sz w:val="20"/>
          <w:lang w:val="en-US" w:eastAsia="en-AU"/>
        </w:rPr>
        <w:t>T</w:t>
      </w:r>
      <w:r w:rsidR="004D49B0" w:rsidRPr="004D49B0">
        <w:rPr>
          <w:rFonts w:asciiTheme="minorHAnsi" w:hAnsiTheme="minorHAnsi" w:cstheme="minorHAnsi"/>
          <w:color w:val="000000" w:themeColor="text1"/>
          <w:kern w:val="24"/>
          <w:sz w:val="20"/>
          <w:lang w:val="en-US" w:eastAsia="en-AU"/>
        </w:rPr>
        <w:t xml:space="preserve">he working age participation rate in the </w:t>
      </w:r>
      <w:r w:rsidR="004D49B0" w:rsidRPr="004D49B0">
        <w:rPr>
          <w:rFonts w:asciiTheme="minorHAnsi" w:hAnsiTheme="minorHAnsi" w:cstheme="minorHAnsi"/>
          <w:color w:val="000000" w:themeColor="text1"/>
          <w:kern w:val="24"/>
          <w:sz w:val="20"/>
          <w:lang w:eastAsia="en-AU"/>
        </w:rPr>
        <w:t xml:space="preserve">RDA </w:t>
      </w:r>
      <w:r w:rsidR="004D49B0" w:rsidRPr="004D49B0">
        <w:rPr>
          <w:rFonts w:asciiTheme="minorHAnsi" w:hAnsiTheme="minorHAnsi" w:cstheme="minorHAnsi"/>
          <w:color w:val="000000" w:themeColor="text1"/>
          <w:kern w:val="24"/>
          <w:sz w:val="20"/>
          <w:lang w:val="en-US" w:eastAsia="en-AU"/>
        </w:rPr>
        <w:t>was 73.7 per cent, lower than that for Western Australia (78.1 per cent).</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r w:rsidRPr="004D49B0">
        <w:rPr>
          <w:rFonts w:asciiTheme="minorHAnsi" w:hAnsiTheme="minorHAnsi" w:cstheme="minorHAnsi"/>
          <w:color w:val="000000" w:themeColor="text1"/>
          <w:kern w:val="24"/>
          <w:sz w:val="20"/>
          <w:lang w:val="en-US" w:eastAsia="en-AU"/>
        </w:rPr>
        <w:t xml:space="preserve">Only 1 per cent of the Peel RDA adult population identified as Indigenous (2011 Census).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val="en-US"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5</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29" type="#_x0000_t75" style="width:269.25pt;height:201.7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437305872" r:id="rId15"/>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Age distribution</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and Housing, 2011</w:t>
      </w:r>
      <w:r w:rsidRPr="004D49B0">
        <w:rPr>
          <w:rFonts w:asciiTheme="minorHAnsi" w:hAnsiTheme="minorHAnsi" w:cstheme="minorHAnsi"/>
          <w:color w:val="000000" w:themeColor="text1"/>
          <w:kern w:val="24"/>
          <w:sz w:val="20"/>
          <w:lang w:eastAsia="en-AU"/>
        </w:rPr>
        <w:tab/>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ab/>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This graph shows the age distributions of the Peel </w:t>
      </w:r>
      <w:r w:rsidR="00E74E99">
        <w:rPr>
          <w:rFonts w:asciiTheme="minorHAnsi" w:hAnsiTheme="minorHAnsi" w:cstheme="minorHAnsi"/>
          <w:color w:val="000000" w:themeColor="text1"/>
          <w:kern w:val="24"/>
          <w:sz w:val="20"/>
          <w:lang w:eastAsia="en-AU"/>
        </w:rPr>
        <w:t xml:space="preserve">region </w:t>
      </w:r>
      <w:r w:rsidRPr="004D49B0">
        <w:rPr>
          <w:rFonts w:asciiTheme="minorHAnsi" w:hAnsiTheme="minorHAnsi" w:cstheme="minorHAnsi"/>
          <w:color w:val="000000" w:themeColor="text1"/>
          <w:kern w:val="24"/>
          <w:sz w:val="20"/>
          <w:lang w:eastAsia="en-AU"/>
        </w:rPr>
        <w:t>compared to the age distribution of Western Australia and Australia. The age distribution of the RDA’s population shows that a smaller proportion of the population is made up of people aged between 20 and 39 years</w:t>
      </w:r>
      <w:r w:rsidR="00E74E99">
        <w:rPr>
          <w:rFonts w:asciiTheme="minorHAnsi" w:hAnsiTheme="minorHAnsi" w:cstheme="minorHAnsi"/>
          <w:color w:val="000000" w:themeColor="text1"/>
          <w:kern w:val="24"/>
          <w:sz w:val="20"/>
          <w:lang w:eastAsia="en-AU"/>
        </w:rPr>
        <w:t>,</w:t>
      </w:r>
      <w:r w:rsidRPr="004D49B0">
        <w:rPr>
          <w:rFonts w:asciiTheme="minorHAnsi" w:hAnsiTheme="minorHAnsi" w:cstheme="minorHAnsi"/>
          <w:color w:val="000000" w:themeColor="text1"/>
          <w:kern w:val="24"/>
          <w:sz w:val="20"/>
          <w:lang w:eastAsia="en-AU"/>
        </w:rPr>
        <w:t xml:space="preserve"> but a larger proportion of 60-74 year olds</w:t>
      </w:r>
      <w:r w:rsidR="00E74E99">
        <w:rPr>
          <w:rFonts w:asciiTheme="minorHAnsi" w:hAnsiTheme="minorHAnsi" w:cstheme="minorHAnsi"/>
          <w:color w:val="000000" w:themeColor="text1"/>
          <w:kern w:val="24"/>
          <w:sz w:val="20"/>
          <w:lang w:eastAsia="en-AU"/>
        </w:rPr>
        <w:t>,</w:t>
      </w:r>
      <w:r w:rsidRPr="004D49B0">
        <w:rPr>
          <w:rFonts w:asciiTheme="minorHAnsi" w:hAnsiTheme="minorHAnsi" w:cstheme="minorHAnsi"/>
          <w:color w:val="000000" w:themeColor="text1"/>
          <w:kern w:val="24"/>
          <w:sz w:val="20"/>
          <w:lang w:eastAsia="en-AU"/>
        </w:rPr>
        <w:t xml:space="preserve"> when compared with Western Australia and Australia.</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6</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30" type="#_x0000_t75" style="width:269.25pt;height:201.7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437305873" r:id="rId17"/>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b/>
          <w:bCs/>
          <w:color w:val="000000" w:themeColor="text1"/>
          <w:kern w:val="24"/>
          <w:sz w:val="20"/>
          <w:u w:val="single"/>
          <w:lang w:eastAsia="en-AU"/>
        </w:rPr>
        <w:t>Where are new arrivals coming from?</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and Housing, 2011</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In the five years to the 2011 Census, 27,400 people (30 per cent of the population) of all ages moved to the Peel RDA.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The majority of people came from the following localities: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Region</w:t>
      </w:r>
      <w:r w:rsidRPr="004D49B0">
        <w:rPr>
          <w:rFonts w:asciiTheme="minorHAnsi" w:hAnsiTheme="minorHAnsi" w:cstheme="minorHAnsi"/>
          <w:b/>
          <w:bCs/>
          <w:color w:val="000000" w:themeColor="text1"/>
          <w:kern w:val="24"/>
          <w:sz w:val="20"/>
          <w:lang w:eastAsia="en-AU"/>
        </w:rPr>
        <w:tab/>
      </w:r>
      <w:r w:rsidRPr="004D49B0">
        <w:rPr>
          <w:rFonts w:asciiTheme="minorHAnsi" w:hAnsiTheme="minorHAnsi" w:cstheme="minorHAnsi"/>
          <w:b/>
          <w:bCs/>
          <w:color w:val="000000" w:themeColor="text1"/>
          <w:kern w:val="24"/>
          <w:sz w:val="20"/>
          <w:lang w:eastAsia="en-AU"/>
        </w:rPr>
        <w:tab/>
        <w:t>People</w:t>
      </w:r>
      <w:r w:rsidRPr="004D49B0">
        <w:rPr>
          <w:rFonts w:asciiTheme="minorHAnsi" w:hAnsiTheme="minorHAnsi" w:cstheme="minorHAnsi"/>
          <w:b/>
          <w:bCs/>
          <w:color w:val="000000" w:themeColor="text1"/>
          <w:kern w:val="24"/>
          <w:sz w:val="20"/>
          <w:lang w:eastAsia="en-AU"/>
        </w:rPr>
        <w:tab/>
        <w:t>% of people who moved to the Peel RDA</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Overseas</w:t>
      </w:r>
      <w:r w:rsidRPr="004D49B0">
        <w:rPr>
          <w:rFonts w:asciiTheme="minorHAnsi" w:hAnsiTheme="minorHAnsi" w:cstheme="minorHAnsi"/>
          <w:color w:val="000000" w:themeColor="text1"/>
          <w:kern w:val="24"/>
          <w:sz w:val="20"/>
          <w:lang w:eastAsia="en-AU"/>
        </w:rPr>
        <w:tab/>
      </w:r>
      <w:r w:rsidRPr="004D49B0">
        <w:rPr>
          <w:rFonts w:asciiTheme="minorHAnsi" w:hAnsiTheme="minorHAnsi" w:cstheme="minorHAnsi"/>
          <w:color w:val="000000" w:themeColor="text1"/>
          <w:kern w:val="24"/>
          <w:sz w:val="20"/>
          <w:lang w:eastAsia="en-AU"/>
        </w:rPr>
        <w:tab/>
        <w:t>5,300</w:t>
      </w:r>
      <w:r w:rsidRPr="004D49B0">
        <w:rPr>
          <w:rFonts w:asciiTheme="minorHAnsi" w:hAnsiTheme="minorHAnsi" w:cstheme="minorHAnsi"/>
          <w:color w:val="000000" w:themeColor="text1"/>
          <w:kern w:val="24"/>
          <w:sz w:val="20"/>
          <w:lang w:eastAsia="en-AU"/>
        </w:rPr>
        <w:tab/>
      </w:r>
      <w:r w:rsidR="001A4722">
        <w:rPr>
          <w:rFonts w:asciiTheme="minorHAnsi" w:hAnsiTheme="minorHAnsi" w:cstheme="minorHAnsi"/>
          <w:color w:val="000000" w:themeColor="text1"/>
          <w:kern w:val="24"/>
          <w:sz w:val="20"/>
          <w:lang w:eastAsia="en-AU"/>
        </w:rPr>
        <w:tab/>
      </w:r>
      <w:r w:rsidRPr="004D49B0">
        <w:rPr>
          <w:rFonts w:asciiTheme="minorHAnsi" w:hAnsiTheme="minorHAnsi" w:cstheme="minorHAnsi"/>
          <w:color w:val="000000" w:themeColor="text1"/>
          <w:kern w:val="24"/>
          <w:sz w:val="20"/>
          <w:lang w:eastAsia="en-AU"/>
        </w:rPr>
        <w:t>(19%)</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Rockingham LGA</w:t>
      </w:r>
      <w:r w:rsidRPr="004D49B0">
        <w:rPr>
          <w:rFonts w:asciiTheme="minorHAnsi" w:hAnsiTheme="minorHAnsi" w:cstheme="minorHAnsi"/>
          <w:color w:val="000000" w:themeColor="text1"/>
          <w:kern w:val="24"/>
          <w:sz w:val="20"/>
          <w:lang w:eastAsia="en-AU"/>
        </w:rPr>
        <w:tab/>
        <w:t xml:space="preserve">2,600 </w:t>
      </w:r>
      <w:r w:rsidR="001A4722">
        <w:rPr>
          <w:rFonts w:asciiTheme="minorHAnsi" w:hAnsiTheme="minorHAnsi" w:cstheme="minorHAnsi"/>
          <w:color w:val="000000" w:themeColor="text1"/>
          <w:kern w:val="24"/>
          <w:sz w:val="20"/>
          <w:lang w:eastAsia="en-AU"/>
        </w:rPr>
        <w:tab/>
      </w:r>
      <w:r w:rsidRPr="004D49B0">
        <w:rPr>
          <w:rFonts w:asciiTheme="minorHAnsi" w:hAnsiTheme="minorHAnsi" w:cstheme="minorHAnsi"/>
          <w:color w:val="000000" w:themeColor="text1"/>
          <w:kern w:val="24"/>
          <w:sz w:val="20"/>
          <w:lang w:eastAsia="en-AU"/>
        </w:rPr>
        <w:tab/>
        <w:t>(10%)</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Armadale LGA</w:t>
      </w:r>
      <w:r w:rsidRPr="004D49B0">
        <w:rPr>
          <w:rFonts w:asciiTheme="minorHAnsi" w:hAnsiTheme="minorHAnsi" w:cstheme="minorHAnsi"/>
          <w:color w:val="000000" w:themeColor="text1"/>
          <w:kern w:val="24"/>
          <w:sz w:val="20"/>
          <w:lang w:eastAsia="en-AU"/>
        </w:rPr>
        <w:tab/>
        <w:t>1,900</w:t>
      </w:r>
      <w:r w:rsidRPr="004D49B0">
        <w:rPr>
          <w:rFonts w:asciiTheme="minorHAnsi" w:hAnsiTheme="minorHAnsi" w:cstheme="minorHAnsi"/>
          <w:color w:val="000000" w:themeColor="text1"/>
          <w:kern w:val="24"/>
          <w:sz w:val="20"/>
          <w:lang w:eastAsia="en-AU"/>
        </w:rPr>
        <w:tab/>
      </w:r>
      <w:r w:rsidR="001A4722">
        <w:rPr>
          <w:rFonts w:asciiTheme="minorHAnsi" w:hAnsiTheme="minorHAnsi" w:cstheme="minorHAnsi"/>
          <w:color w:val="000000" w:themeColor="text1"/>
          <w:kern w:val="24"/>
          <w:sz w:val="20"/>
          <w:lang w:eastAsia="en-AU"/>
        </w:rPr>
        <w:tab/>
      </w:r>
      <w:r w:rsidRPr="004D49B0">
        <w:rPr>
          <w:rFonts w:asciiTheme="minorHAnsi" w:hAnsiTheme="minorHAnsi" w:cstheme="minorHAnsi"/>
          <w:color w:val="000000" w:themeColor="text1"/>
          <w:kern w:val="24"/>
          <w:sz w:val="20"/>
          <w:lang w:eastAsia="en-AU"/>
        </w:rPr>
        <w:t>(7%)</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Gosnells LGA</w:t>
      </w:r>
      <w:r w:rsidRPr="004D49B0">
        <w:rPr>
          <w:rFonts w:asciiTheme="minorHAnsi" w:hAnsiTheme="minorHAnsi" w:cstheme="minorHAnsi"/>
          <w:color w:val="000000" w:themeColor="text1"/>
          <w:kern w:val="24"/>
          <w:sz w:val="20"/>
          <w:lang w:eastAsia="en-AU"/>
        </w:rPr>
        <w:tab/>
      </w:r>
      <w:r w:rsidRPr="004D49B0">
        <w:rPr>
          <w:rFonts w:asciiTheme="minorHAnsi" w:hAnsiTheme="minorHAnsi" w:cstheme="minorHAnsi"/>
          <w:color w:val="000000" w:themeColor="text1"/>
          <w:kern w:val="24"/>
          <w:sz w:val="20"/>
          <w:lang w:eastAsia="en-AU"/>
        </w:rPr>
        <w:tab/>
        <w:t>1,600</w:t>
      </w:r>
      <w:r w:rsidRPr="004D49B0">
        <w:rPr>
          <w:rFonts w:asciiTheme="minorHAnsi" w:hAnsiTheme="minorHAnsi" w:cstheme="minorHAnsi"/>
          <w:color w:val="000000" w:themeColor="text1"/>
          <w:kern w:val="24"/>
          <w:sz w:val="20"/>
          <w:lang w:eastAsia="en-AU"/>
        </w:rPr>
        <w:tab/>
      </w:r>
      <w:r w:rsidR="001A4722">
        <w:rPr>
          <w:rFonts w:asciiTheme="minorHAnsi" w:hAnsiTheme="minorHAnsi" w:cstheme="minorHAnsi"/>
          <w:color w:val="000000" w:themeColor="text1"/>
          <w:kern w:val="24"/>
          <w:sz w:val="20"/>
          <w:lang w:eastAsia="en-AU"/>
        </w:rPr>
        <w:tab/>
      </w:r>
      <w:r w:rsidRPr="004D49B0">
        <w:rPr>
          <w:rFonts w:asciiTheme="minorHAnsi" w:hAnsiTheme="minorHAnsi" w:cstheme="minorHAnsi"/>
          <w:color w:val="000000" w:themeColor="text1"/>
          <w:kern w:val="24"/>
          <w:sz w:val="20"/>
          <w:lang w:eastAsia="en-AU"/>
        </w:rPr>
        <w:t>(6%)</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Queensland</w:t>
      </w:r>
      <w:r w:rsidRPr="004D49B0">
        <w:rPr>
          <w:rFonts w:asciiTheme="minorHAnsi" w:hAnsiTheme="minorHAnsi" w:cstheme="minorHAnsi"/>
          <w:color w:val="000000" w:themeColor="text1"/>
          <w:kern w:val="24"/>
          <w:sz w:val="20"/>
          <w:lang w:eastAsia="en-AU"/>
        </w:rPr>
        <w:tab/>
      </w:r>
      <w:r w:rsidRPr="004D49B0">
        <w:rPr>
          <w:rFonts w:asciiTheme="minorHAnsi" w:hAnsiTheme="minorHAnsi" w:cstheme="minorHAnsi"/>
          <w:color w:val="000000" w:themeColor="text1"/>
          <w:kern w:val="24"/>
          <w:sz w:val="20"/>
          <w:lang w:eastAsia="en-AU"/>
        </w:rPr>
        <w:tab/>
        <w:t>1,000</w:t>
      </w:r>
      <w:r w:rsidRPr="004D49B0">
        <w:rPr>
          <w:rFonts w:asciiTheme="minorHAnsi" w:hAnsiTheme="minorHAnsi" w:cstheme="minorHAnsi"/>
          <w:color w:val="000000" w:themeColor="text1"/>
          <w:kern w:val="24"/>
          <w:sz w:val="20"/>
          <w:lang w:eastAsia="en-AU"/>
        </w:rPr>
        <w:tab/>
      </w:r>
      <w:r w:rsidR="001A4722">
        <w:rPr>
          <w:rFonts w:asciiTheme="minorHAnsi" w:hAnsiTheme="minorHAnsi" w:cstheme="minorHAnsi"/>
          <w:color w:val="000000" w:themeColor="text1"/>
          <w:kern w:val="24"/>
          <w:sz w:val="20"/>
          <w:lang w:eastAsia="en-AU"/>
        </w:rPr>
        <w:tab/>
      </w:r>
      <w:r w:rsidRPr="004D49B0">
        <w:rPr>
          <w:rFonts w:asciiTheme="minorHAnsi" w:hAnsiTheme="minorHAnsi" w:cstheme="minorHAnsi"/>
          <w:color w:val="000000" w:themeColor="text1"/>
          <w:kern w:val="24"/>
          <w:sz w:val="20"/>
          <w:lang w:eastAsia="en-AU"/>
        </w:rPr>
        <w:t>(4%)</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7</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31" type="#_x0000_t75" style="width:269.25pt;height:201.7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437305874" r:id="rId19"/>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Unemployment Rate</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w:t>
      </w:r>
      <w:r w:rsidRPr="004D49B0">
        <w:rPr>
          <w:rFonts w:asciiTheme="minorHAnsi" w:hAnsiTheme="minorHAnsi" w:cstheme="minorHAnsi"/>
          <w:color w:val="000000" w:themeColor="text1"/>
          <w:kern w:val="24"/>
          <w:sz w:val="20"/>
          <w:lang w:eastAsia="en-AU"/>
        </w:rPr>
        <w:t xml:space="preserve"> </w:t>
      </w:r>
      <w:r w:rsidRPr="004D49B0">
        <w:rPr>
          <w:rFonts w:asciiTheme="minorHAnsi" w:hAnsiTheme="minorHAnsi" w:cstheme="minorHAnsi"/>
          <w:i/>
          <w:iCs/>
          <w:color w:val="000000" w:themeColor="text1"/>
          <w:kern w:val="24"/>
          <w:sz w:val="20"/>
          <w:lang w:eastAsia="en-AU"/>
        </w:rPr>
        <w:t>DEEWR Small Area Labour Markets, March Quarter 20</w:t>
      </w:r>
      <w:r w:rsidR="004E1333">
        <w:rPr>
          <w:rFonts w:asciiTheme="minorHAnsi" w:hAnsiTheme="minorHAnsi" w:cstheme="minorHAnsi"/>
          <w:i/>
          <w:iCs/>
          <w:color w:val="000000" w:themeColor="text1"/>
          <w:kern w:val="24"/>
          <w:sz w:val="20"/>
          <w:lang w:eastAsia="en-AU"/>
        </w:rPr>
        <w:t>13 (Smoothed), ABS Labour Force</w:t>
      </w:r>
      <w:r w:rsidRPr="004D49B0">
        <w:rPr>
          <w:rFonts w:asciiTheme="minorHAnsi" w:hAnsiTheme="minorHAnsi" w:cstheme="minorHAnsi"/>
          <w:i/>
          <w:iCs/>
          <w:color w:val="000000" w:themeColor="text1"/>
          <w:kern w:val="24"/>
          <w:sz w:val="20"/>
          <w:lang w:eastAsia="en-AU"/>
        </w:rPr>
        <w:t xml:space="preserve">, June 2013 (Seasonally Adjusted) </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The unemployment rate for the Peel PEA has increased since September 2008. The rate troughed at 3.6 per cent in December 2008 and peaked at 6.2 per cent in September 2011.</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Default="004D49B0" w:rsidP="004D49B0">
      <w:pPr>
        <w:spacing w:line="360" w:lineRule="auto"/>
        <w:rPr>
          <w:rFonts w:asciiTheme="minorHAnsi" w:hAnsiTheme="minorHAnsi" w:cstheme="minorHAnsi"/>
          <w:color w:val="000000" w:themeColor="text1"/>
          <w:sz w:val="20"/>
        </w:rPr>
      </w:pPr>
    </w:p>
    <w:p w:rsidR="00330A6A" w:rsidRPr="004D49B0" w:rsidRDefault="00330A6A"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8</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32" type="#_x0000_t75" style="width:269.25pt;height:201.7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437305875" r:id="rId21"/>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Unemployment Rate</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Small Area Labour Markets, March 2013; ABS, Labour Force Survey, June 2013 (seasonally adjusted)</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p>
    <w:p w:rsidR="004D49B0" w:rsidRPr="004D49B0" w:rsidRDefault="005B6F1E"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In March 2013, the Peel RDA had an unemploymen</w:t>
      </w:r>
      <w:r>
        <w:rPr>
          <w:rFonts w:asciiTheme="minorHAnsi" w:hAnsiTheme="minorHAnsi" w:cstheme="minorHAnsi"/>
          <w:color w:val="000000" w:themeColor="text1"/>
          <w:kern w:val="24"/>
          <w:sz w:val="20"/>
          <w:lang w:eastAsia="en-AU"/>
        </w:rPr>
        <w:t>t rate of 6.1 per cent, in line</w:t>
      </w:r>
      <w:r w:rsidRPr="004D49B0">
        <w:rPr>
          <w:rFonts w:asciiTheme="minorHAnsi" w:hAnsiTheme="minorHAnsi" w:cstheme="minorHAnsi"/>
          <w:color w:val="000000" w:themeColor="text1"/>
          <w:kern w:val="24"/>
          <w:sz w:val="20"/>
          <w:lang w:eastAsia="en-AU"/>
        </w:rPr>
        <w:t xml:space="preserve"> w</w:t>
      </w:r>
      <w:r>
        <w:rPr>
          <w:rFonts w:asciiTheme="minorHAnsi" w:hAnsiTheme="minorHAnsi" w:cstheme="minorHAnsi"/>
          <w:color w:val="000000" w:themeColor="text1"/>
          <w:kern w:val="24"/>
          <w:sz w:val="20"/>
          <w:lang w:eastAsia="en-AU"/>
        </w:rPr>
        <w:t>ith the South West Perth PEA, but</w:t>
      </w:r>
      <w:r w:rsidRPr="004D49B0">
        <w:rPr>
          <w:rFonts w:asciiTheme="minorHAnsi" w:hAnsiTheme="minorHAnsi" w:cstheme="minorHAnsi"/>
          <w:color w:val="000000" w:themeColor="text1"/>
          <w:kern w:val="24"/>
          <w:sz w:val="20"/>
          <w:lang w:eastAsia="en-AU"/>
        </w:rPr>
        <w:t xml:space="preserve"> higher than that for Western Australi</w:t>
      </w:r>
      <w:r>
        <w:rPr>
          <w:rFonts w:asciiTheme="minorHAnsi" w:hAnsiTheme="minorHAnsi" w:cstheme="minorHAnsi"/>
          <w:color w:val="000000" w:themeColor="text1"/>
          <w:kern w:val="24"/>
          <w:sz w:val="20"/>
          <w:lang w:eastAsia="en-AU"/>
        </w:rPr>
        <w:t xml:space="preserve">a (4.7 per cent) and Australia </w:t>
      </w:r>
      <w:r w:rsidRPr="004D49B0">
        <w:rPr>
          <w:rFonts w:asciiTheme="minorHAnsi" w:hAnsiTheme="minorHAnsi" w:cstheme="minorHAnsi"/>
          <w:color w:val="000000" w:themeColor="text1"/>
          <w:kern w:val="24"/>
          <w:sz w:val="20"/>
          <w:lang w:eastAsia="en-AU"/>
        </w:rPr>
        <w:t>(5.6 per cent).</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Unemployment rates within the Peel RDA varied considerably. In March 2013, the Mandurah LGA had the highest unemployment rate (6.9 per cent), while the Serpentine-Jarrahdale LGA had the lowest unemployment rate (2.9 per cent).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9</w:t>
      </w:r>
      <w:bookmarkStart w:id="0" w:name="_GoBack"/>
      <w:bookmarkEnd w:id="0"/>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33" type="#_x0000_t75" style="width:269.25pt;height:201.7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437305876" r:id="rId23"/>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r w:rsidRPr="004D49B0">
        <w:rPr>
          <w:rFonts w:asciiTheme="minorHAnsi" w:hAnsiTheme="minorHAnsi" w:cstheme="minorHAnsi"/>
          <w:b/>
          <w:bCs/>
          <w:color w:val="000000" w:themeColor="text1"/>
          <w:sz w:val="20"/>
          <w:u w:val="single"/>
          <w:lang w:eastAsia="en-AU"/>
        </w:rPr>
        <w:t>Employment by Industry – Adult Population (15+)</w:t>
      </w:r>
    </w:p>
    <w:p w:rsidR="004D49B0" w:rsidRPr="004D49B0" w:rsidRDefault="004D49B0" w:rsidP="004D49B0">
      <w:pPr>
        <w:autoSpaceDE w:val="0"/>
        <w:autoSpaceDN w:val="0"/>
        <w:adjustRightInd w:val="0"/>
        <w:rPr>
          <w:rFonts w:asciiTheme="minorHAnsi" w:hAnsiTheme="minorHAnsi" w:cstheme="minorHAnsi"/>
          <w:i/>
          <w:iCs/>
          <w:color w:val="000000" w:themeColor="text1"/>
          <w:sz w:val="20"/>
          <w:lang w:eastAsia="en-AU"/>
        </w:rPr>
      </w:pPr>
      <w:r w:rsidRPr="004D49B0">
        <w:rPr>
          <w:rFonts w:asciiTheme="minorHAnsi" w:hAnsiTheme="minorHAnsi" w:cstheme="minorHAnsi"/>
          <w:i/>
          <w:iCs/>
          <w:color w:val="000000" w:themeColor="text1"/>
          <w:sz w:val="20"/>
          <w:lang w:eastAsia="en-AU"/>
        </w:rPr>
        <w:t>Source: ABS, Census of Population and Housing, (Place of Work), 2011</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r w:rsidRPr="004D49B0">
        <w:rPr>
          <w:rFonts w:asciiTheme="minorHAnsi" w:hAnsiTheme="minorHAnsi" w:cstheme="minorHAnsi"/>
          <w:color w:val="000000" w:themeColor="text1"/>
          <w:sz w:val="20"/>
          <w:lang w:eastAsia="en-AU"/>
        </w:rPr>
        <w:t>Within the Peel RDA the largest employing industries in the Bodding</w:t>
      </w:r>
      <w:r w:rsidR="008313EF">
        <w:rPr>
          <w:rFonts w:asciiTheme="minorHAnsi" w:hAnsiTheme="minorHAnsi" w:cstheme="minorHAnsi"/>
          <w:color w:val="000000" w:themeColor="text1"/>
          <w:sz w:val="20"/>
          <w:lang w:eastAsia="en-AU"/>
        </w:rPr>
        <w:t>ton, Murray and Waroona LGAs were</w:t>
      </w:r>
      <w:r w:rsidRPr="004D49B0">
        <w:rPr>
          <w:rFonts w:asciiTheme="minorHAnsi" w:hAnsiTheme="minorHAnsi" w:cstheme="minorHAnsi"/>
          <w:color w:val="000000" w:themeColor="text1"/>
          <w:sz w:val="20"/>
          <w:lang w:eastAsia="en-AU"/>
        </w:rPr>
        <w:t xml:space="preserve"> Manufacturing and Mining (29 per cent and</w:t>
      </w:r>
      <w:r w:rsidR="008313EF">
        <w:rPr>
          <w:rFonts w:asciiTheme="minorHAnsi" w:hAnsiTheme="minorHAnsi" w:cstheme="minorHAnsi"/>
          <w:color w:val="000000" w:themeColor="text1"/>
          <w:sz w:val="20"/>
          <w:lang w:eastAsia="en-AU"/>
        </w:rPr>
        <w:t xml:space="preserve"> 18 per cent respectively). I</w:t>
      </w:r>
      <w:r w:rsidRPr="004D49B0">
        <w:rPr>
          <w:rFonts w:asciiTheme="minorHAnsi" w:hAnsiTheme="minorHAnsi" w:cstheme="minorHAnsi"/>
          <w:color w:val="000000" w:themeColor="text1"/>
          <w:sz w:val="20"/>
          <w:lang w:eastAsia="en-AU"/>
        </w:rPr>
        <w:t>n the Mandurah and Serpentine-Jarrahdale LGAs Retail Trade and Health Care and Social Assistance (18 per cent and 14 per cent respectively)</w:t>
      </w:r>
      <w:r w:rsidR="008313EF">
        <w:rPr>
          <w:rFonts w:asciiTheme="minorHAnsi" w:hAnsiTheme="minorHAnsi" w:cstheme="minorHAnsi"/>
          <w:color w:val="000000" w:themeColor="text1"/>
          <w:sz w:val="20"/>
          <w:lang w:eastAsia="en-AU"/>
        </w:rPr>
        <w:t xml:space="preserve"> were the largest employing industries. </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330A6A" w:rsidRDefault="00330A6A"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254DBF">
      <w:pPr>
        <w:spacing w:line="360" w:lineRule="auto"/>
        <w:rPr>
          <w:rFonts w:asciiTheme="minorHAnsi" w:hAnsiTheme="minorHAnsi" w:cstheme="minorHAnsi"/>
          <w:sz w:val="20"/>
        </w:rPr>
      </w:pPr>
      <w:r>
        <w:rPr>
          <w:rFonts w:asciiTheme="minorHAnsi" w:hAnsiTheme="minorHAnsi" w:cstheme="minorHAnsi"/>
          <w:sz w:val="20"/>
        </w:rPr>
        <w:lastRenderedPageBreak/>
        <w:t>Slide 10</w:t>
      </w:r>
    </w:p>
    <w:p w:rsidR="00254DBF" w:rsidRDefault="00254DBF" w:rsidP="00254DBF">
      <w:pPr>
        <w:spacing w:line="360" w:lineRule="auto"/>
      </w:pPr>
    </w:p>
    <w:p w:rsidR="00254DBF" w:rsidRDefault="00254DBF" w:rsidP="00254DBF">
      <w:pPr>
        <w:spacing w:line="360" w:lineRule="auto"/>
        <w:jc w:val="center"/>
      </w:pPr>
      <w:r>
        <w:object w:dxaOrig="5385" w:dyaOrig="4035">
          <v:shape id="_x0000_i1059" type="#_x0000_t75" style="width:269.25pt;height:201.7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59" DrawAspect="Content" ObjectID="_1437305877" r:id="rId25"/>
        </w:object>
      </w:r>
    </w:p>
    <w:p w:rsidR="00254DBF" w:rsidRDefault="00254DBF" w:rsidP="00254DBF">
      <w:pPr>
        <w:spacing w:line="360" w:lineRule="auto"/>
        <w:jc w:val="center"/>
      </w:pPr>
    </w:p>
    <w:p w:rsidR="00254DBF" w:rsidRDefault="00254DBF" w:rsidP="00254DBF">
      <w:pPr>
        <w:autoSpaceDE w:val="0"/>
        <w:autoSpaceDN w:val="0"/>
        <w:adjustRightInd w:val="0"/>
        <w:rPr>
          <w:rFonts w:ascii="Calibri" w:hAnsi="Calibri" w:cs="Calibri"/>
          <w:b/>
          <w:bCs/>
          <w:sz w:val="20"/>
          <w:u w:val="single"/>
          <w:lang w:eastAsia="en-AU"/>
        </w:rPr>
      </w:pPr>
      <w:r>
        <w:rPr>
          <w:rFonts w:ascii="Calibri" w:hAnsi="Calibri" w:cs="Calibri"/>
          <w:b/>
          <w:bCs/>
          <w:sz w:val="20"/>
          <w:u w:val="single"/>
          <w:lang w:eastAsia="en-AU"/>
        </w:rPr>
        <w:t>Industry employment growth – Adult population (15+)</w:t>
      </w:r>
    </w:p>
    <w:p w:rsidR="00254DBF" w:rsidRDefault="00254DBF" w:rsidP="00254DBF">
      <w:pPr>
        <w:autoSpaceDE w:val="0"/>
        <w:autoSpaceDN w:val="0"/>
        <w:adjustRightInd w:val="0"/>
        <w:rPr>
          <w:rFonts w:ascii="Calibri" w:hAnsi="Calibri" w:cs="Calibri"/>
          <w:i/>
          <w:iCs/>
          <w:sz w:val="20"/>
          <w:lang w:eastAsia="en-AU"/>
        </w:rPr>
      </w:pPr>
      <w:r>
        <w:rPr>
          <w:rFonts w:ascii="Calibri" w:hAnsi="Calibri" w:cs="Calibri"/>
          <w:i/>
          <w:iCs/>
          <w:sz w:val="20"/>
          <w:lang w:eastAsia="en-AU"/>
        </w:rPr>
        <w:t>Source: ABS, Census of Population and Housing, (Place of Work), 2011 and 2006</w:t>
      </w:r>
    </w:p>
    <w:p w:rsidR="00254DBF" w:rsidRDefault="00254DBF" w:rsidP="00254DBF">
      <w:pPr>
        <w:autoSpaceDE w:val="0"/>
        <w:autoSpaceDN w:val="0"/>
        <w:adjustRightInd w:val="0"/>
        <w:rPr>
          <w:rFonts w:ascii="Calibri" w:hAnsi="Calibri" w:cs="Calibri"/>
          <w:sz w:val="20"/>
          <w:lang w:eastAsia="en-AU"/>
        </w:rPr>
      </w:pPr>
    </w:p>
    <w:p w:rsidR="00254DBF" w:rsidRDefault="00254DBF" w:rsidP="00254DBF">
      <w:pPr>
        <w:autoSpaceDE w:val="0"/>
        <w:autoSpaceDN w:val="0"/>
        <w:adjustRightInd w:val="0"/>
        <w:rPr>
          <w:rFonts w:ascii="Calibri" w:hAnsi="Calibri" w:cs="Calibri"/>
          <w:sz w:val="20"/>
          <w:lang w:eastAsia="en-AU"/>
        </w:rPr>
      </w:pPr>
      <w:r>
        <w:rPr>
          <w:rFonts w:ascii="Calibri" w:hAnsi="Calibri" w:cs="Calibri"/>
          <w:sz w:val="20"/>
          <w:lang w:eastAsia="en-AU"/>
        </w:rPr>
        <w:t xml:space="preserve">This graph shows the percentage change in the number of people employed in selected industries in two subregions of the Peel RDA, over the period 2006 to 2011. In the subregion of the Boddington, Murray and Waroona LGAs most of the growth in employment was concentrated in the Mining, Construction and Accommodation and Food Services industries. In the subregion of the Mandurah and Serpentine-Jarrahdale LGAs most of the growth in employment </w:t>
      </w:r>
      <w:r>
        <w:rPr>
          <w:rFonts w:ascii="Calibri" w:hAnsi="Calibri" w:cs="Calibri"/>
          <w:sz w:val="20"/>
          <w:lang w:eastAsia="en-AU"/>
        </w:rPr>
        <w:t xml:space="preserve">was concentrated in the </w:t>
      </w:r>
      <w:r>
        <w:rPr>
          <w:rFonts w:ascii="Calibri" w:hAnsi="Calibri" w:cs="Calibri"/>
          <w:sz w:val="20"/>
          <w:lang w:eastAsia="en-AU"/>
        </w:rPr>
        <w:t>Education and Training, and Health Care and Social Assistance industries.</w:t>
      </w: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254DBF" w:rsidRDefault="00254DBF"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11</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35" type="#_x0000_t75" style="width:269.25pt;height:201.7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437305878" r:id="rId27"/>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Where has job growth been? (2006-2011)- Adult Population (15+)</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and Housing, 2011 &amp; 2006</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Job growth in the Peel RDA in the 5 years to the 2011 Census was prim</w:t>
      </w:r>
      <w:r w:rsidR="008313EF">
        <w:rPr>
          <w:rFonts w:asciiTheme="minorHAnsi" w:hAnsiTheme="minorHAnsi" w:cstheme="minorHAnsi"/>
          <w:color w:val="000000" w:themeColor="text1"/>
          <w:kern w:val="24"/>
          <w:sz w:val="20"/>
          <w:lang w:eastAsia="en-AU"/>
        </w:rPr>
        <w:t xml:space="preserve">arily driven by male </w:t>
      </w:r>
      <w:r w:rsidRPr="004D49B0">
        <w:rPr>
          <w:rFonts w:asciiTheme="minorHAnsi" w:hAnsiTheme="minorHAnsi" w:cstheme="minorHAnsi"/>
          <w:color w:val="000000" w:themeColor="text1"/>
          <w:kern w:val="24"/>
          <w:sz w:val="20"/>
          <w:lang w:eastAsia="en-AU"/>
        </w:rPr>
        <w:t xml:space="preserve">full-time employment </w:t>
      </w:r>
      <w:r w:rsidR="008313EF">
        <w:rPr>
          <w:rFonts w:asciiTheme="minorHAnsi" w:hAnsiTheme="minorHAnsi" w:cstheme="minorHAnsi"/>
          <w:color w:val="000000" w:themeColor="text1"/>
          <w:kern w:val="24"/>
          <w:sz w:val="20"/>
          <w:lang w:eastAsia="en-AU"/>
        </w:rPr>
        <w:t>(41 per cent)</w:t>
      </w:r>
      <w:r w:rsidRPr="004D49B0">
        <w:rPr>
          <w:rFonts w:asciiTheme="minorHAnsi" w:hAnsiTheme="minorHAnsi" w:cstheme="minorHAnsi"/>
          <w:color w:val="000000" w:themeColor="text1"/>
          <w:kern w:val="24"/>
          <w:sz w:val="20"/>
          <w:lang w:eastAsia="en-AU"/>
        </w:rPr>
        <w:t xml:space="preserve">.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12</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36" type="#_x0000_t75" style="width:269.25pt;height:201.7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437305879" r:id="rId29"/>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b/>
          <w:bCs/>
          <w:color w:val="000000" w:themeColor="text1"/>
          <w:kern w:val="24"/>
          <w:sz w:val="20"/>
          <w:u w:val="single"/>
          <w:lang w:eastAsia="en-AU"/>
        </w:rPr>
        <w:t>Which occupations are growing? (Adult population 15+)</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and Housing, 2011 and 2006</w:t>
      </w:r>
    </w:p>
    <w:p w:rsidR="004D49B0" w:rsidRPr="004D49B0" w:rsidRDefault="004D49B0" w:rsidP="004D49B0">
      <w:pPr>
        <w:autoSpaceDE w:val="0"/>
        <w:autoSpaceDN w:val="0"/>
        <w:adjustRightInd w:val="0"/>
        <w:rPr>
          <w:rFonts w:asciiTheme="minorHAnsi" w:hAnsiTheme="minorHAnsi" w:cstheme="minorHAnsi"/>
          <w:b/>
          <w:bCs/>
          <w:i/>
          <w:iCs/>
          <w:color w:val="000000" w:themeColor="text1"/>
          <w:kern w:val="24"/>
          <w:sz w:val="20"/>
          <w:u w:val="single"/>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In the 5 years to 2011, the occupations that had the largest job growth in the Peel RDA were Community and Personal Service Wo</w:t>
      </w:r>
      <w:r w:rsidR="008313EF">
        <w:rPr>
          <w:rFonts w:asciiTheme="minorHAnsi" w:hAnsiTheme="minorHAnsi" w:cstheme="minorHAnsi"/>
          <w:color w:val="000000" w:themeColor="text1"/>
          <w:kern w:val="24"/>
          <w:sz w:val="20"/>
          <w:lang w:eastAsia="en-AU"/>
        </w:rPr>
        <w:t>rkers (54 per cent), and</w:t>
      </w:r>
      <w:r w:rsidRPr="004D49B0">
        <w:rPr>
          <w:rFonts w:asciiTheme="minorHAnsi" w:hAnsiTheme="minorHAnsi" w:cstheme="minorHAnsi"/>
          <w:color w:val="000000" w:themeColor="text1"/>
          <w:kern w:val="24"/>
          <w:sz w:val="20"/>
          <w:lang w:eastAsia="en-AU"/>
        </w:rPr>
        <w:t xml:space="preserve"> Professionals (45 per cent).</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13</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37" type="#_x0000_t75" style="width:269.25pt;height:201.7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437305880" r:id="rId31"/>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Pockets of High Family Joblessness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of Housing, 2011</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jc w:val="both"/>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At the time of the 2011 Census, the proportion of families with children under 15 in the Peel RDA who were jobless (16 per cent) was above the state overall (12 per cent). There were areas where family joblessness was particularly pronounced. The Mandurah LGA had the highest level of joblessness amongst families (19 per cent) and the Murray LGA had the largest proporti</w:t>
      </w:r>
      <w:r w:rsidR="00D71AAD">
        <w:rPr>
          <w:rFonts w:asciiTheme="minorHAnsi" w:hAnsiTheme="minorHAnsi" w:cstheme="minorHAnsi"/>
          <w:color w:val="000000" w:themeColor="text1"/>
          <w:kern w:val="24"/>
          <w:sz w:val="20"/>
          <w:lang w:eastAsia="en-AU"/>
        </w:rPr>
        <w:t>on of lone parent</w:t>
      </w:r>
      <w:r w:rsidRPr="004D49B0">
        <w:rPr>
          <w:rFonts w:asciiTheme="minorHAnsi" w:hAnsiTheme="minorHAnsi" w:cstheme="minorHAnsi"/>
          <w:color w:val="000000" w:themeColor="text1"/>
          <w:kern w:val="24"/>
          <w:sz w:val="20"/>
          <w:lang w:eastAsia="en-AU"/>
        </w:rPr>
        <w:t xml:space="preserve"> jobless</w:t>
      </w:r>
      <w:r w:rsidR="00D71AAD">
        <w:rPr>
          <w:rFonts w:asciiTheme="minorHAnsi" w:hAnsiTheme="minorHAnsi" w:cstheme="minorHAnsi"/>
          <w:color w:val="000000" w:themeColor="text1"/>
          <w:kern w:val="24"/>
          <w:sz w:val="20"/>
          <w:lang w:eastAsia="en-AU"/>
        </w:rPr>
        <w:t xml:space="preserve"> families</w:t>
      </w:r>
      <w:r w:rsidRPr="004D49B0">
        <w:rPr>
          <w:rFonts w:asciiTheme="minorHAnsi" w:hAnsiTheme="minorHAnsi" w:cstheme="minorHAnsi"/>
          <w:color w:val="000000" w:themeColor="text1"/>
          <w:kern w:val="24"/>
          <w:sz w:val="20"/>
          <w:lang w:eastAsia="en-AU"/>
        </w:rPr>
        <w:t xml:space="preserve"> (54 per cent).</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14</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38" type="#_x0000_t75" style="width:269.25pt;height:201.7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437305881" r:id="rId33"/>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What are youth doing? – Peel RDA (15-19 years old)</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and Housing, 2011</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D71AAD" w:rsidRDefault="00D71AAD" w:rsidP="004D49B0">
      <w:pPr>
        <w:autoSpaceDE w:val="0"/>
        <w:autoSpaceDN w:val="0"/>
        <w:adjustRightInd w:val="0"/>
        <w:rPr>
          <w:rFonts w:asciiTheme="minorHAnsi" w:hAnsiTheme="minorHAnsi" w:cstheme="minorHAnsi"/>
          <w:color w:val="000000" w:themeColor="text1"/>
          <w:kern w:val="24"/>
          <w:sz w:val="20"/>
          <w:lang w:eastAsia="en-AU"/>
        </w:rPr>
      </w:pPr>
      <w:r>
        <w:rPr>
          <w:rFonts w:asciiTheme="minorHAnsi" w:hAnsiTheme="minorHAnsi" w:cstheme="minorHAnsi"/>
          <w:color w:val="000000" w:themeColor="text1"/>
          <w:kern w:val="24"/>
          <w:sz w:val="20"/>
          <w:lang w:eastAsia="en-AU"/>
        </w:rPr>
        <w:t xml:space="preserve">At the time of the </w:t>
      </w:r>
      <w:r w:rsidR="004D49B0" w:rsidRPr="004D49B0">
        <w:rPr>
          <w:rFonts w:asciiTheme="minorHAnsi" w:hAnsiTheme="minorHAnsi" w:cstheme="minorHAnsi"/>
          <w:color w:val="000000" w:themeColor="text1"/>
          <w:kern w:val="24"/>
          <w:sz w:val="20"/>
          <w:lang w:eastAsia="en-AU"/>
        </w:rPr>
        <w:t>2011 Census</w:t>
      </w:r>
      <w:r>
        <w:rPr>
          <w:rFonts w:asciiTheme="minorHAnsi" w:hAnsiTheme="minorHAnsi" w:cstheme="minorHAnsi"/>
          <w:color w:val="000000" w:themeColor="text1"/>
          <w:kern w:val="24"/>
          <w:sz w:val="20"/>
          <w:lang w:eastAsia="en-AU"/>
        </w:rPr>
        <w:t>,</w:t>
      </w:r>
      <w:r w:rsidR="004D49B0" w:rsidRPr="004D49B0">
        <w:rPr>
          <w:rFonts w:asciiTheme="minorHAnsi" w:hAnsiTheme="minorHAnsi" w:cstheme="minorHAnsi"/>
          <w:color w:val="000000" w:themeColor="text1"/>
          <w:kern w:val="24"/>
          <w:sz w:val="20"/>
          <w:lang w:eastAsia="en-AU"/>
        </w:rPr>
        <w:t xml:space="preserve"> 35 per cent (2,300) of 15 to 19 years olds in </w:t>
      </w:r>
      <w:r>
        <w:rPr>
          <w:rFonts w:asciiTheme="minorHAnsi" w:hAnsiTheme="minorHAnsi" w:cstheme="minorHAnsi"/>
          <w:color w:val="000000" w:themeColor="text1"/>
          <w:kern w:val="24"/>
          <w:sz w:val="20"/>
          <w:lang w:eastAsia="en-AU"/>
        </w:rPr>
        <w:t xml:space="preserve">the PEEL RDA were not studying. </w:t>
      </w:r>
      <w:r w:rsidR="005B6F1E">
        <w:rPr>
          <w:rFonts w:asciiTheme="minorHAnsi" w:hAnsiTheme="minorHAnsi" w:cstheme="minorHAnsi"/>
          <w:color w:val="000000" w:themeColor="text1"/>
          <w:kern w:val="24"/>
          <w:sz w:val="20"/>
          <w:lang w:eastAsia="en-AU"/>
        </w:rPr>
        <w:t xml:space="preserve">In particular, almost one quarter (24 per cent, 1,550 </w:t>
      </w:r>
      <w:r w:rsidR="005B6F1E" w:rsidRPr="004D49B0">
        <w:rPr>
          <w:rFonts w:asciiTheme="minorHAnsi" w:hAnsiTheme="minorHAnsi" w:cstheme="minorHAnsi"/>
          <w:color w:val="000000" w:themeColor="text1"/>
          <w:kern w:val="24"/>
          <w:sz w:val="20"/>
          <w:lang w:eastAsia="en-AU"/>
        </w:rPr>
        <w:t>peo</w:t>
      </w:r>
      <w:r w:rsidR="005B6F1E">
        <w:rPr>
          <w:rFonts w:asciiTheme="minorHAnsi" w:hAnsiTheme="minorHAnsi" w:cstheme="minorHAnsi"/>
          <w:color w:val="000000" w:themeColor="text1"/>
          <w:kern w:val="24"/>
          <w:sz w:val="20"/>
          <w:lang w:eastAsia="en-AU"/>
        </w:rPr>
        <w:t>ple) of people aged 15 to 19 were</w:t>
      </w:r>
      <w:r w:rsidR="005B6F1E" w:rsidRPr="004D49B0">
        <w:rPr>
          <w:rFonts w:asciiTheme="minorHAnsi" w:hAnsiTheme="minorHAnsi" w:cstheme="minorHAnsi"/>
          <w:color w:val="000000" w:themeColor="text1"/>
          <w:kern w:val="24"/>
          <w:sz w:val="20"/>
          <w:lang w:eastAsia="en-AU"/>
        </w:rPr>
        <w:t xml:space="preserve"> either </w:t>
      </w:r>
      <w:r w:rsidR="005B6F1E" w:rsidRPr="004D49B0">
        <w:rPr>
          <w:rFonts w:asciiTheme="minorHAnsi" w:hAnsiTheme="minorHAnsi" w:cstheme="minorHAnsi"/>
          <w:color w:val="000000" w:themeColor="text1"/>
          <w:kern w:val="24"/>
          <w:sz w:val="20"/>
          <w:u w:val="single"/>
          <w:lang w:eastAsia="en-AU"/>
        </w:rPr>
        <w:t>not studying and not employed</w:t>
      </w:r>
      <w:r w:rsidR="005B6F1E" w:rsidRPr="004D49B0">
        <w:rPr>
          <w:rFonts w:asciiTheme="minorHAnsi" w:hAnsiTheme="minorHAnsi" w:cstheme="minorHAnsi"/>
          <w:color w:val="000000" w:themeColor="text1"/>
          <w:kern w:val="24"/>
          <w:sz w:val="20"/>
          <w:lang w:eastAsia="en-AU"/>
        </w:rPr>
        <w:t xml:space="preserve"> or </w:t>
      </w:r>
      <w:r w:rsidR="005B6F1E">
        <w:rPr>
          <w:rFonts w:asciiTheme="minorHAnsi" w:hAnsiTheme="minorHAnsi" w:cstheme="minorHAnsi"/>
          <w:color w:val="000000" w:themeColor="text1"/>
          <w:kern w:val="24"/>
          <w:sz w:val="20"/>
          <w:u w:val="single"/>
          <w:lang w:eastAsia="en-AU"/>
        </w:rPr>
        <w:t>not studying and had</w:t>
      </w:r>
      <w:r w:rsidR="005B6F1E" w:rsidRPr="004D49B0">
        <w:rPr>
          <w:rFonts w:asciiTheme="minorHAnsi" w:hAnsiTheme="minorHAnsi" w:cstheme="minorHAnsi"/>
          <w:color w:val="000000" w:themeColor="text1"/>
          <w:kern w:val="24"/>
          <w:sz w:val="20"/>
          <w:u w:val="single"/>
          <w:lang w:eastAsia="en-AU"/>
        </w:rPr>
        <w:t xml:space="preserve"> not completed Year 12</w:t>
      </w:r>
      <w:r w:rsidR="005B6F1E">
        <w:rPr>
          <w:rFonts w:asciiTheme="minorHAnsi" w:hAnsiTheme="minorHAnsi" w:cstheme="minorHAnsi"/>
          <w:color w:val="000000" w:themeColor="text1"/>
          <w:kern w:val="24"/>
          <w:sz w:val="20"/>
          <w:lang w:eastAsia="en-AU"/>
        </w:rPr>
        <w:t xml:space="preserve">. </w:t>
      </w:r>
      <w:r>
        <w:rPr>
          <w:rFonts w:asciiTheme="minorHAnsi" w:hAnsiTheme="minorHAnsi" w:cstheme="minorHAnsi"/>
          <w:color w:val="000000" w:themeColor="text1"/>
          <w:kern w:val="24"/>
          <w:sz w:val="20"/>
          <w:lang w:eastAsia="en-AU"/>
        </w:rPr>
        <w:t>This was</w:t>
      </w:r>
      <w:r w:rsidR="004D49B0" w:rsidRPr="004D49B0">
        <w:rPr>
          <w:rFonts w:asciiTheme="minorHAnsi" w:hAnsiTheme="minorHAnsi" w:cstheme="minorHAnsi"/>
          <w:color w:val="000000" w:themeColor="text1"/>
          <w:kern w:val="24"/>
          <w:sz w:val="20"/>
          <w:lang w:eastAsia="en-AU"/>
        </w:rPr>
        <w:t xml:space="preserve"> higher compared with Western Australia (17 per cent</w:t>
      </w:r>
      <w:r>
        <w:rPr>
          <w:rFonts w:asciiTheme="minorHAnsi" w:hAnsiTheme="minorHAnsi" w:cstheme="minorHAnsi"/>
          <w:color w:val="000000" w:themeColor="text1"/>
          <w:kern w:val="24"/>
          <w:sz w:val="20"/>
          <w:lang w:eastAsia="en-AU"/>
        </w:rPr>
        <w:t xml:space="preserve">, 23,200 people).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15</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39" type="#_x0000_t75" style="width:269.25pt;height:201.7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437305882" r:id="rId35"/>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Disengagement Amongst Young Adults (20-24 year olds)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and Housing, 2011</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The proportion of 20 to 24 year olds (young adults) in the Peel RDA neither working nor studying (20 per cent) was higher than for Western Australia (13 per cent).</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The proportion of young adult males not looking for work (not in the labour force) or studying in the Peel RDA (6</w:t>
      </w:r>
      <w:r w:rsidR="005C4C88">
        <w:rPr>
          <w:rFonts w:asciiTheme="minorHAnsi" w:hAnsiTheme="minorHAnsi" w:cstheme="minorHAnsi"/>
          <w:color w:val="000000" w:themeColor="text1"/>
          <w:kern w:val="24"/>
          <w:sz w:val="20"/>
          <w:lang w:eastAsia="en-AU"/>
        </w:rPr>
        <w:t> </w:t>
      </w:r>
      <w:r w:rsidRPr="004D49B0">
        <w:rPr>
          <w:rFonts w:asciiTheme="minorHAnsi" w:hAnsiTheme="minorHAnsi" w:cstheme="minorHAnsi"/>
          <w:color w:val="000000" w:themeColor="text1"/>
          <w:kern w:val="24"/>
          <w:sz w:val="20"/>
          <w:lang w:eastAsia="en-AU"/>
        </w:rPr>
        <w:t xml:space="preserve">per cent) was slightly higher than at the state level (5 per cent).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The proportion of young adult females not working or studying in the RDA (19 per cent) was also higher than at the state level (12 per cent).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The Mandurah LGA had a particularly large proportion of young adult females not studying or working (21 per cent).</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16</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0" type="#_x0000_t75" style="width:269.25pt;height:201.7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437305883" r:id="rId37"/>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Educational Attainment – (aged 25-34 years)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of Housing, 2006 and 2011</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The level of educational attainment is strongly linked with labour market performance and the ability of a region (or its population) to respond flexibly to an economic downturn. Upon retrenchment, those with lower educational attainment will usually find it significantly more difficult to find subsequent employment than their higher skilled counterparts. Accordingly, regions with relatively low levels of educational attainment tend to be less flexible in the face of economic slowdowns and face greater labour market difficulties.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Educational attainment in the Peel RDA was below the South West Perth PEA and state levels, with a lower proportion of people aged 25 to 34 years having completed Year 12  (52 per cent) compared with the South West Perth PEA (62 per cent) and Western Australia (70 per cent). While the proportion of people aged 25 to 34 years with an advanced diploma, diploma or certificate III/IV (37 per cent) was larger than the state (31 per cent), the proportion with a bachelor degree or higher (14 per cent) was </w:t>
      </w:r>
      <w:r w:rsidR="001F3BF2">
        <w:rPr>
          <w:rFonts w:asciiTheme="minorHAnsi" w:hAnsiTheme="minorHAnsi" w:cstheme="minorHAnsi"/>
          <w:color w:val="000000" w:themeColor="text1"/>
          <w:kern w:val="24"/>
          <w:sz w:val="20"/>
          <w:lang w:eastAsia="en-AU"/>
        </w:rPr>
        <w:t xml:space="preserve">less than </w:t>
      </w:r>
      <w:r w:rsidRPr="004D49B0">
        <w:rPr>
          <w:rFonts w:asciiTheme="minorHAnsi" w:hAnsiTheme="minorHAnsi" w:cstheme="minorHAnsi"/>
          <w:color w:val="000000" w:themeColor="text1"/>
          <w:kern w:val="24"/>
          <w:sz w:val="20"/>
          <w:lang w:eastAsia="en-AU"/>
        </w:rPr>
        <w:t xml:space="preserve">half the proportion for Western Australia (31 per cent). </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17</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1" type="#_x0000_t75" style="width:269.25pt;height:201.7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437305884" r:id="rId39"/>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Education and Labour Market Outcomes – Peel RDA (aged 25-34 years)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and Housing, 2011</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The graph highlights that there is a strong relationship between educational attainment and employment outcomes. In the Peel RDA, people aged 25-34 with a Bachelor Degree or higher had an unemployment rate of just 2.8 per cent. However, people aged 25-34 who had not completed Year 12, or any other qualification, had an unemployment rate of 14.0 per cent.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18</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2" type="#_x0000_t75" style="width:269.25pt;height:201.7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2" DrawAspect="Content" ObjectID="_1437305885" r:id="rId41"/>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i/>
          <w:iCs/>
          <w:color w:val="000000" w:themeColor="text1"/>
          <w:sz w:val="20"/>
          <w:lang w:eastAsia="en-AU"/>
        </w:rPr>
      </w:pPr>
      <w:r w:rsidRPr="004D49B0">
        <w:rPr>
          <w:rFonts w:asciiTheme="minorHAnsi" w:hAnsiTheme="minorHAnsi" w:cstheme="minorHAnsi"/>
          <w:b/>
          <w:bCs/>
          <w:color w:val="000000" w:themeColor="text1"/>
          <w:kern w:val="24"/>
          <w:sz w:val="20"/>
          <w:u w:val="single"/>
          <w:lang w:eastAsia="en-AU"/>
        </w:rPr>
        <w:t>Student reading and numeracy below average</w:t>
      </w:r>
      <w:r w:rsidRPr="004D49B0">
        <w:rPr>
          <w:rFonts w:asciiTheme="minorHAnsi" w:hAnsiTheme="minorHAnsi" w:cstheme="minorHAnsi"/>
          <w:b/>
          <w:bCs/>
          <w:color w:val="000000" w:themeColor="text1"/>
          <w:kern w:val="24"/>
          <w:sz w:val="20"/>
          <w:u w:val="single"/>
          <w:lang w:eastAsia="en-AU"/>
        </w:rPr>
        <w:br/>
      </w:r>
      <w:r w:rsidRPr="004D49B0">
        <w:rPr>
          <w:rFonts w:asciiTheme="minorHAnsi" w:hAnsiTheme="minorHAnsi" w:cstheme="minorHAnsi"/>
          <w:i/>
          <w:iCs/>
          <w:color w:val="000000" w:themeColor="text1"/>
          <w:sz w:val="20"/>
          <w:lang w:eastAsia="en-AU"/>
        </w:rPr>
        <w:t xml:space="preserve">Source: Myschool website, </w:t>
      </w:r>
      <w:r w:rsidRPr="004D49B0">
        <w:rPr>
          <w:rFonts w:asciiTheme="minorHAnsi" w:hAnsiTheme="minorHAnsi" w:cstheme="minorHAnsi"/>
          <w:i/>
          <w:iCs/>
          <w:color w:val="000000" w:themeColor="text1"/>
          <w:kern w:val="24"/>
          <w:sz w:val="20"/>
          <w:u w:val="single"/>
          <w:lang w:eastAsia="en-AU"/>
        </w:rPr>
        <w:t>www.myschool.edu.au</w:t>
      </w:r>
      <w:r w:rsidRPr="004D49B0">
        <w:rPr>
          <w:rFonts w:asciiTheme="minorHAnsi" w:hAnsiTheme="minorHAnsi" w:cstheme="minorHAnsi"/>
          <w:i/>
          <w:iCs/>
          <w:color w:val="000000" w:themeColor="text1"/>
          <w:kern w:val="24"/>
          <w:sz w:val="20"/>
          <w:lang w:eastAsia="en-AU"/>
        </w:rPr>
        <w:t xml:space="preserve"> * These figures are not an average, they are the result of a selected school within the LGA</w:t>
      </w:r>
    </w:p>
    <w:p w:rsidR="004D49B0" w:rsidRPr="004D49B0" w:rsidRDefault="004D49B0" w:rsidP="004D49B0">
      <w:pPr>
        <w:autoSpaceDE w:val="0"/>
        <w:autoSpaceDN w:val="0"/>
        <w:adjustRightInd w:val="0"/>
        <w:rPr>
          <w:rFonts w:asciiTheme="minorHAnsi" w:hAnsiTheme="minorHAnsi" w:cstheme="minorHAnsi"/>
          <w:i/>
          <w:iCs/>
          <w:color w:val="000000" w:themeColor="text1"/>
          <w:sz w:val="20"/>
          <w:lang w:eastAsia="en-AU"/>
        </w:rPr>
      </w:pPr>
    </w:p>
    <w:p w:rsidR="004D49B0" w:rsidRPr="004D49B0" w:rsidRDefault="001F3BF2" w:rsidP="004D49B0">
      <w:pPr>
        <w:autoSpaceDE w:val="0"/>
        <w:autoSpaceDN w:val="0"/>
        <w:adjustRightInd w:val="0"/>
        <w:rPr>
          <w:rFonts w:asciiTheme="minorHAnsi" w:hAnsiTheme="minorHAnsi" w:cstheme="minorHAnsi"/>
          <w:color w:val="000000" w:themeColor="text1"/>
          <w:kern w:val="24"/>
          <w:sz w:val="20"/>
          <w:lang w:eastAsia="en-AU"/>
        </w:rPr>
      </w:pPr>
      <w:r>
        <w:rPr>
          <w:rFonts w:asciiTheme="minorHAnsi" w:hAnsiTheme="minorHAnsi" w:cstheme="minorHAnsi"/>
          <w:color w:val="000000" w:themeColor="text1"/>
          <w:kern w:val="24"/>
          <w:sz w:val="20"/>
          <w:lang w:eastAsia="en-AU"/>
        </w:rPr>
        <w:t>The table highlights that Year 9 r</w:t>
      </w:r>
      <w:r w:rsidR="004D49B0" w:rsidRPr="004D49B0">
        <w:rPr>
          <w:rFonts w:asciiTheme="minorHAnsi" w:hAnsiTheme="minorHAnsi" w:cstheme="minorHAnsi"/>
          <w:color w:val="000000" w:themeColor="text1"/>
          <w:kern w:val="24"/>
          <w:sz w:val="20"/>
          <w:lang w:eastAsia="en-AU"/>
        </w:rPr>
        <w:t xml:space="preserve">eading and numeracy levels are below average in some </w:t>
      </w:r>
      <w:r>
        <w:rPr>
          <w:rFonts w:asciiTheme="minorHAnsi" w:hAnsiTheme="minorHAnsi" w:cstheme="minorHAnsi"/>
          <w:color w:val="000000" w:themeColor="text1"/>
          <w:kern w:val="24"/>
          <w:sz w:val="20"/>
          <w:lang w:eastAsia="en-AU"/>
        </w:rPr>
        <w:t>schools within the Peel RDA.</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19</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3" type="#_x0000_t75" style="width:269.25pt;height:201.7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3" DrawAspect="Content" ObjectID="_1437305886" r:id="rId43"/>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Recruitment Activity</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 ; All regions surveyed to March 2013</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Survey results from the Peel RDA survey in May 2013 show some variation when compared to all regions surveyed.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Proportion of employers who recruited (60 per cent) was in line with all regions average (58 per cent).</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Recruitment rate (15 vacancies per 100 staff) was slightly lower than for all regions (17 vacancies per 100 staff).</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Employers received more than 10 applicants per vacancy on average.</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Proportion of employers who experienced recruitment difficulty (55 per cent), was higher than across all regions (49 per cent).</w:t>
      </w:r>
    </w:p>
    <w:p w:rsidR="004D49B0" w:rsidRPr="004D49B0" w:rsidRDefault="004D49B0" w:rsidP="004D49B0">
      <w:pPr>
        <w:autoSpaceDE w:val="0"/>
        <w:autoSpaceDN w:val="0"/>
        <w:adjustRightInd w:val="0"/>
        <w:ind w:left="720"/>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330A6A" w:rsidRDefault="00330A6A" w:rsidP="004D49B0">
      <w:pPr>
        <w:spacing w:line="360" w:lineRule="auto"/>
        <w:rPr>
          <w:rFonts w:asciiTheme="minorHAnsi" w:hAnsiTheme="minorHAnsi" w:cstheme="minorHAnsi"/>
          <w:color w:val="000000" w:themeColor="text1"/>
          <w:kern w:val="24"/>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20</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4" type="#_x0000_t75" style="width:269.25pt;height:201.7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4" DrawAspect="Content" ObjectID="_1437305887" r:id="rId45"/>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Recruitment Conditions Across the Region</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Boddington, Murray and Waroona</w:t>
      </w:r>
    </w:p>
    <w:p w:rsid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Recruitment activity was considerably stronger in the areas of Boddington, Murray and Waroona (24 vacancies per 100 staff). Average applicant numbers for vacancies were also much lower (6.9 applicants per vacancy). A higher proportion of employers reported recruitment difficulty in their most recent recruitment round (50 per cent). Fewer applicants and greater recruitment difficulty resulted in a higher unfilled vacancy rate over the past year (11.0 per cent).</w:t>
      </w:r>
    </w:p>
    <w:p w:rsidR="001F3BF2" w:rsidRPr="004D49B0" w:rsidRDefault="001F3BF2"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Mandurah and Serpentine-Jarrahdale</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Recruitment activity was particularly subdued in Mandurah and Serpentine-Jarrahdale (13 vacancies per 100 staff). In line with subdued recruitment activity, average applicant numbers for vacancies were very high (13.1 applicants per vacancy). This resulted in a lower unfilled vacancy rate over the past year (5.7 per cent).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21</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5" type="#_x0000_t75" style="width:269.25pt;height:201.7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5" DrawAspect="Content" ObjectID="_1437305888" r:id="rId47"/>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b/>
          <w:bCs/>
          <w:color w:val="000000" w:themeColor="text1"/>
          <w:kern w:val="24"/>
          <w:sz w:val="20"/>
          <w:u w:val="single"/>
          <w:lang w:eastAsia="en-AU"/>
        </w:rPr>
        <w:t>High unfilled vacancy rates for some occupation groups – Peel RDA</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 All regions surveyed to March 2013</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Unfilled vacancy rates were particularly high for Labourers (22.6 per cent) and Technicians and Trades Workers (16.7 per cent).</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In the Peel RDA 8.0 per cent of all recent vacancies remain unfilled, almost double the rate for all regions surveyed across Australia.</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22</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6" type="#_x0000_t75" style="width:269.25pt;height:201.7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6" DrawAspect="Content" ObjectID="_1437305889" r:id="rId49"/>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Higher competition for vacancies</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 All regions surveyed to March 2013</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Consistent with a softer labour market, competition for vacancies was stronger, as indicated by the high average number of applicants per vacancy (10.7) compared with all regions surveyed to March 2013 (8.8)</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There was a particularly high average number of applicants for Clerical and Administrative Worker vacancies  (25.1) and Managers and Professionals (22.8). By contrast, the average number of applicants was relatively low for Labourers (5.4), Community and Personal Service Workers and Technicians and Trades Workers (both 6.3).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Of the 10.7 average applicants per vacancy in the Peel region, only an average of 1.6 applicants were deemed suitable. This was lower than for all region</w:t>
      </w:r>
      <w:r w:rsidR="001F3BF2">
        <w:rPr>
          <w:rFonts w:asciiTheme="minorHAnsi" w:hAnsiTheme="minorHAnsi" w:cstheme="minorHAnsi"/>
          <w:color w:val="000000" w:themeColor="text1"/>
          <w:kern w:val="24"/>
          <w:sz w:val="20"/>
          <w:lang w:eastAsia="en-AU"/>
        </w:rPr>
        <w:t>s (2.4</w:t>
      </w:r>
      <w:r w:rsidRPr="004D49B0">
        <w:rPr>
          <w:rFonts w:asciiTheme="minorHAnsi" w:hAnsiTheme="minorHAnsi" w:cstheme="minorHAnsi"/>
          <w:color w:val="000000" w:themeColor="text1"/>
          <w:kern w:val="24"/>
          <w:sz w:val="20"/>
          <w:lang w:eastAsia="en-AU"/>
        </w:rPr>
        <w:t>).</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23</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7" type="#_x0000_t75" style="width:269.25pt;height:201.7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7" DrawAspect="Content" ObjectID="_1437305890" r:id="rId51"/>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Applicants interviewed</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w:t>
      </w:r>
    </w:p>
    <w:p w:rsidR="004D49B0" w:rsidRPr="004D49B0" w:rsidRDefault="004D49B0" w:rsidP="004D49B0">
      <w:pPr>
        <w:autoSpaceDE w:val="0"/>
        <w:autoSpaceDN w:val="0"/>
        <w:adjustRightInd w:val="0"/>
        <w:rPr>
          <w:rFonts w:asciiTheme="minorHAnsi" w:hAnsiTheme="minorHAnsi" w:cstheme="minorHAnsi"/>
          <w:i/>
          <w:iCs/>
          <w:strike/>
          <w:color w:val="000000" w:themeColor="text1"/>
          <w:kern w:val="24"/>
          <w:sz w:val="20"/>
          <w:lang w:eastAsia="en-AU"/>
        </w:rPr>
      </w:pPr>
    </w:p>
    <w:p w:rsidR="004D49B0" w:rsidRPr="004D49B0" w:rsidRDefault="001F3BF2" w:rsidP="004D49B0">
      <w:pPr>
        <w:autoSpaceDE w:val="0"/>
        <w:autoSpaceDN w:val="0"/>
        <w:adjustRightInd w:val="0"/>
        <w:rPr>
          <w:rFonts w:asciiTheme="minorHAnsi" w:hAnsiTheme="minorHAnsi" w:cstheme="minorHAnsi"/>
          <w:color w:val="000000" w:themeColor="text1"/>
          <w:kern w:val="24"/>
          <w:sz w:val="20"/>
          <w:lang w:eastAsia="en-AU"/>
        </w:rPr>
      </w:pPr>
      <w:r>
        <w:rPr>
          <w:rFonts w:asciiTheme="minorHAnsi" w:hAnsiTheme="minorHAnsi" w:cstheme="minorHAnsi"/>
          <w:color w:val="000000" w:themeColor="text1"/>
          <w:kern w:val="24"/>
          <w:sz w:val="20"/>
          <w:lang w:eastAsia="en-AU"/>
        </w:rPr>
        <w:t>O</w:t>
      </w:r>
      <w:r w:rsidR="004D49B0" w:rsidRPr="004D49B0">
        <w:rPr>
          <w:rFonts w:asciiTheme="minorHAnsi" w:hAnsiTheme="minorHAnsi" w:cstheme="minorHAnsi"/>
          <w:color w:val="000000" w:themeColor="text1"/>
          <w:kern w:val="24"/>
          <w:sz w:val="20"/>
          <w:lang w:eastAsia="en-AU"/>
        </w:rPr>
        <w:t xml:space="preserve">n average </w:t>
      </w:r>
      <w:r>
        <w:rPr>
          <w:rFonts w:asciiTheme="minorHAnsi" w:hAnsiTheme="minorHAnsi" w:cstheme="minorHAnsi"/>
          <w:color w:val="000000" w:themeColor="text1"/>
          <w:kern w:val="24"/>
          <w:sz w:val="20"/>
          <w:lang w:eastAsia="en-AU"/>
        </w:rPr>
        <w:t>there were 10.7 applicants per vacancy in employers’ most recent recruitment round. Of</w:t>
      </w:r>
      <w:r w:rsidR="004D49B0" w:rsidRPr="004D49B0">
        <w:rPr>
          <w:rFonts w:asciiTheme="minorHAnsi" w:hAnsiTheme="minorHAnsi" w:cstheme="minorHAnsi"/>
          <w:color w:val="000000" w:themeColor="text1"/>
          <w:kern w:val="24"/>
          <w:sz w:val="20"/>
          <w:lang w:eastAsia="en-AU"/>
        </w:rPr>
        <w:t xml:space="preserve"> those an average of 3.1 applicants were interviewed and 1.6 were deemed suitable.</w:t>
      </w:r>
    </w:p>
    <w:p w:rsidR="004D49B0" w:rsidRPr="004D49B0" w:rsidRDefault="004D49B0" w:rsidP="004D49B0">
      <w:pPr>
        <w:autoSpaceDE w:val="0"/>
        <w:autoSpaceDN w:val="0"/>
        <w:adjustRightInd w:val="0"/>
        <w:rPr>
          <w:rFonts w:asciiTheme="minorHAnsi" w:hAnsiTheme="minorHAnsi" w:cstheme="minorHAnsi"/>
          <w:strike/>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Clerical and Administrative Workers had t</w:t>
      </w:r>
      <w:r w:rsidR="001F3BF2">
        <w:rPr>
          <w:rFonts w:asciiTheme="minorHAnsi" w:hAnsiTheme="minorHAnsi" w:cstheme="minorHAnsi"/>
          <w:color w:val="000000" w:themeColor="text1"/>
          <w:kern w:val="24"/>
          <w:sz w:val="20"/>
          <w:lang w:eastAsia="en-AU"/>
        </w:rPr>
        <w:t>he largest average number of applicants per vacancy</w:t>
      </w:r>
      <w:r w:rsidR="00635AAF">
        <w:rPr>
          <w:rFonts w:asciiTheme="minorHAnsi" w:hAnsiTheme="minorHAnsi" w:cstheme="minorHAnsi"/>
          <w:color w:val="000000" w:themeColor="text1"/>
          <w:kern w:val="24"/>
          <w:sz w:val="20"/>
          <w:lang w:eastAsia="en-AU"/>
        </w:rPr>
        <w:t xml:space="preserve"> (25.1), but only a small</w:t>
      </w:r>
      <w:r w:rsidRPr="004D49B0">
        <w:rPr>
          <w:rFonts w:asciiTheme="minorHAnsi" w:hAnsiTheme="minorHAnsi" w:cstheme="minorHAnsi"/>
          <w:color w:val="000000" w:themeColor="text1"/>
          <w:kern w:val="24"/>
          <w:sz w:val="20"/>
          <w:lang w:eastAsia="en-AU"/>
        </w:rPr>
        <w:t xml:space="preserve"> average number of applicants </w:t>
      </w:r>
      <w:r w:rsidR="00635AAF">
        <w:rPr>
          <w:rFonts w:asciiTheme="minorHAnsi" w:hAnsiTheme="minorHAnsi" w:cstheme="minorHAnsi"/>
          <w:color w:val="000000" w:themeColor="text1"/>
          <w:kern w:val="24"/>
          <w:sz w:val="20"/>
          <w:lang w:eastAsia="en-AU"/>
        </w:rPr>
        <w:t>were interviewed (3.4)</w:t>
      </w:r>
      <w:r w:rsidRPr="004D49B0">
        <w:rPr>
          <w:rFonts w:asciiTheme="minorHAnsi" w:hAnsiTheme="minorHAnsi" w:cstheme="minorHAnsi"/>
          <w:color w:val="000000" w:themeColor="text1"/>
          <w:kern w:val="24"/>
          <w:sz w:val="20"/>
          <w:lang w:eastAsia="en-AU"/>
        </w:rPr>
        <w:t>. Of these only 1.7 applicants were deemed suitable.</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24</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8" type="#_x0000_t75" style="width:269.25pt;height:201.7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8" DrawAspect="Content" ObjectID="_1437305891" r:id="rId53"/>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Reasons Applicants Unsuitable</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w:t>
      </w:r>
    </w:p>
    <w:p w:rsidR="004D49B0" w:rsidRPr="004D49B0" w:rsidRDefault="004D49B0" w:rsidP="004D49B0">
      <w:pPr>
        <w:autoSpaceDE w:val="0"/>
        <w:autoSpaceDN w:val="0"/>
        <w:adjustRightInd w:val="0"/>
        <w:rPr>
          <w:rFonts w:asciiTheme="minorHAnsi" w:hAnsiTheme="minorHAnsi" w:cstheme="minorHAnsi"/>
          <w:b/>
          <w:bCs/>
          <w:strike/>
          <w:color w:val="000000" w:themeColor="text1"/>
          <w:kern w:val="24"/>
          <w:sz w:val="20"/>
          <w:u w:val="single"/>
          <w:lang w:eastAsia="en-AU"/>
        </w:rPr>
      </w:pPr>
    </w:p>
    <w:p w:rsidR="004D49B0" w:rsidRPr="004D49B0" w:rsidRDefault="004D49B0" w:rsidP="004D49B0">
      <w:pPr>
        <w:numPr>
          <w:ilvl w:val="0"/>
          <w:numId w:val="2"/>
        </w:numPr>
        <w:autoSpaceDE w:val="0"/>
        <w:autoSpaceDN w:val="0"/>
        <w:adjustRightInd w:val="0"/>
        <w:ind w:left="540" w:hanging="540"/>
        <w:rPr>
          <w:rFonts w:asciiTheme="minorHAnsi" w:hAnsiTheme="minorHAnsi" w:cstheme="minorHAnsi"/>
          <w:color w:val="000000" w:themeColor="text1"/>
          <w:sz w:val="20"/>
          <w:lang w:eastAsia="en-AU"/>
        </w:rPr>
      </w:pPr>
      <w:r w:rsidRPr="004D49B0">
        <w:rPr>
          <w:rFonts w:asciiTheme="minorHAnsi" w:hAnsiTheme="minorHAnsi" w:cstheme="minorHAnsi"/>
          <w:color w:val="000000" w:themeColor="text1"/>
          <w:sz w:val="20"/>
          <w:lang w:eastAsia="en-AU"/>
        </w:rPr>
        <w:t>71% of applicants were not selected for an interview due to:</w:t>
      </w:r>
    </w:p>
    <w:p w:rsidR="004D49B0" w:rsidRPr="004D49B0" w:rsidRDefault="004D49B0" w:rsidP="004D49B0">
      <w:pPr>
        <w:numPr>
          <w:ilvl w:val="0"/>
          <w:numId w:val="3"/>
        </w:numPr>
        <w:autoSpaceDE w:val="0"/>
        <w:autoSpaceDN w:val="0"/>
        <w:adjustRightInd w:val="0"/>
        <w:ind w:left="1170" w:hanging="450"/>
        <w:rPr>
          <w:rFonts w:asciiTheme="minorHAnsi" w:hAnsiTheme="minorHAnsi" w:cstheme="minorHAnsi"/>
          <w:color w:val="000000" w:themeColor="text1"/>
          <w:sz w:val="20"/>
          <w:lang w:eastAsia="en-AU"/>
        </w:rPr>
      </w:pPr>
      <w:r w:rsidRPr="004D49B0">
        <w:rPr>
          <w:rFonts w:asciiTheme="minorHAnsi" w:hAnsiTheme="minorHAnsi" w:cstheme="minorHAnsi"/>
          <w:color w:val="000000" w:themeColor="text1"/>
          <w:sz w:val="20"/>
          <w:lang w:eastAsia="en-AU"/>
        </w:rPr>
        <w:t>Lack of relevant experience (49%)</w:t>
      </w:r>
    </w:p>
    <w:p w:rsidR="004D49B0" w:rsidRPr="004D49B0" w:rsidRDefault="004D49B0" w:rsidP="004D49B0">
      <w:pPr>
        <w:numPr>
          <w:ilvl w:val="0"/>
          <w:numId w:val="3"/>
        </w:numPr>
        <w:autoSpaceDE w:val="0"/>
        <w:autoSpaceDN w:val="0"/>
        <w:adjustRightInd w:val="0"/>
        <w:ind w:left="1170" w:hanging="450"/>
        <w:rPr>
          <w:rFonts w:asciiTheme="minorHAnsi" w:hAnsiTheme="minorHAnsi" w:cstheme="minorHAnsi"/>
          <w:color w:val="000000" w:themeColor="text1"/>
          <w:sz w:val="20"/>
          <w:lang w:eastAsia="en-AU"/>
        </w:rPr>
      </w:pPr>
      <w:r w:rsidRPr="004D49B0">
        <w:rPr>
          <w:rFonts w:asciiTheme="minorHAnsi" w:hAnsiTheme="minorHAnsi" w:cstheme="minorHAnsi"/>
          <w:color w:val="000000" w:themeColor="text1"/>
          <w:sz w:val="20"/>
          <w:lang w:eastAsia="en-AU"/>
        </w:rPr>
        <w:t xml:space="preserve">Applicant located overseas/interstate or out of area (29%) </w:t>
      </w:r>
    </w:p>
    <w:p w:rsidR="004D49B0" w:rsidRPr="004D49B0" w:rsidRDefault="004D49B0" w:rsidP="004D49B0">
      <w:pPr>
        <w:numPr>
          <w:ilvl w:val="0"/>
          <w:numId w:val="3"/>
        </w:numPr>
        <w:autoSpaceDE w:val="0"/>
        <w:autoSpaceDN w:val="0"/>
        <w:adjustRightInd w:val="0"/>
        <w:ind w:left="1170" w:hanging="450"/>
        <w:rPr>
          <w:rFonts w:asciiTheme="minorHAnsi" w:hAnsiTheme="minorHAnsi" w:cstheme="minorHAnsi"/>
          <w:color w:val="000000" w:themeColor="text1"/>
          <w:sz w:val="20"/>
          <w:lang w:eastAsia="en-AU"/>
        </w:rPr>
      </w:pPr>
      <w:r w:rsidRPr="004D49B0">
        <w:rPr>
          <w:rFonts w:asciiTheme="minorHAnsi" w:hAnsiTheme="minorHAnsi" w:cstheme="minorHAnsi"/>
          <w:color w:val="000000" w:themeColor="text1"/>
          <w:sz w:val="20"/>
          <w:lang w:eastAsia="en-AU"/>
        </w:rPr>
        <w:t>Insufficient qualifications or training (17%)</w:t>
      </w:r>
    </w:p>
    <w:p w:rsidR="004D49B0" w:rsidRPr="004D49B0" w:rsidRDefault="004D49B0" w:rsidP="004D49B0">
      <w:pPr>
        <w:numPr>
          <w:ilvl w:val="0"/>
          <w:numId w:val="3"/>
        </w:numPr>
        <w:autoSpaceDE w:val="0"/>
        <w:autoSpaceDN w:val="0"/>
        <w:adjustRightInd w:val="0"/>
        <w:ind w:left="1170" w:hanging="450"/>
        <w:rPr>
          <w:rFonts w:asciiTheme="minorHAnsi" w:hAnsiTheme="minorHAnsi" w:cstheme="minorHAnsi"/>
          <w:color w:val="000000" w:themeColor="text1"/>
          <w:sz w:val="20"/>
          <w:lang w:eastAsia="en-AU"/>
        </w:rPr>
      </w:pPr>
      <w:r w:rsidRPr="004D49B0">
        <w:rPr>
          <w:rFonts w:asciiTheme="minorHAnsi" w:hAnsiTheme="minorHAnsi" w:cstheme="minorHAnsi"/>
          <w:color w:val="000000" w:themeColor="text1"/>
          <w:sz w:val="20"/>
          <w:lang w:eastAsia="en-AU"/>
        </w:rPr>
        <w:t>Poor application (13%)</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25</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49" type="#_x0000_t75" style="width:269.25pt;height:201.7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9" DrawAspect="Content" ObjectID="_1437305892" r:id="rId55"/>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What employers consider essential in a worker</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  SW Perth PEA May 2013</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Combined survey results from the South West Perth PEA and the Peel RDA in May 2013 showed that employers most commonly considered essential in a worker:</w:t>
      </w:r>
    </w:p>
    <w:p w:rsidR="004D49B0" w:rsidRPr="004D49B0" w:rsidRDefault="004D49B0" w:rsidP="004D49B0">
      <w:pPr>
        <w:numPr>
          <w:ilvl w:val="0"/>
          <w:numId w:val="4"/>
        </w:numPr>
        <w:autoSpaceDE w:val="0"/>
        <w:autoSpaceDN w:val="0"/>
        <w:adjustRightInd w:val="0"/>
        <w:ind w:left="27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Qualifications (33 per cent)</w:t>
      </w:r>
    </w:p>
    <w:p w:rsidR="004D49B0" w:rsidRPr="004D49B0" w:rsidRDefault="004D49B0" w:rsidP="004D49B0">
      <w:pPr>
        <w:numPr>
          <w:ilvl w:val="0"/>
          <w:numId w:val="4"/>
        </w:numPr>
        <w:autoSpaceDE w:val="0"/>
        <w:autoSpaceDN w:val="0"/>
        <w:adjustRightInd w:val="0"/>
        <w:ind w:left="27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Employability skills (31 per cent)</w:t>
      </w:r>
    </w:p>
    <w:p w:rsidR="004D49B0" w:rsidRPr="004D49B0" w:rsidRDefault="004D49B0" w:rsidP="004D49B0">
      <w:pPr>
        <w:numPr>
          <w:ilvl w:val="0"/>
          <w:numId w:val="4"/>
        </w:numPr>
        <w:autoSpaceDE w:val="0"/>
        <w:autoSpaceDN w:val="0"/>
        <w:adjustRightInd w:val="0"/>
        <w:ind w:left="27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Experience (28 per cent)</w:t>
      </w:r>
    </w:p>
    <w:p w:rsidR="004D49B0" w:rsidRPr="004D49B0" w:rsidRDefault="004D49B0" w:rsidP="004D49B0">
      <w:pPr>
        <w:numPr>
          <w:ilvl w:val="0"/>
          <w:numId w:val="4"/>
        </w:numPr>
        <w:autoSpaceDE w:val="0"/>
        <w:autoSpaceDN w:val="0"/>
        <w:adjustRightInd w:val="0"/>
        <w:ind w:left="27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Technical skills and knowledge (18 per cent)</w:t>
      </w:r>
    </w:p>
    <w:p w:rsidR="004D49B0" w:rsidRPr="004D49B0" w:rsidRDefault="004D49B0" w:rsidP="004D49B0">
      <w:pPr>
        <w:autoSpaceDE w:val="0"/>
        <w:autoSpaceDN w:val="0"/>
        <w:adjustRightInd w:val="0"/>
        <w:ind w:left="270" w:hanging="27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Most commonly mentioned employability skills are:</w:t>
      </w:r>
    </w:p>
    <w:p w:rsidR="004D49B0" w:rsidRPr="004D49B0" w:rsidRDefault="004D49B0" w:rsidP="004D49B0">
      <w:pPr>
        <w:numPr>
          <w:ilvl w:val="0"/>
          <w:numId w:val="4"/>
        </w:numPr>
        <w:autoSpaceDE w:val="0"/>
        <w:autoSpaceDN w:val="0"/>
        <w:adjustRightInd w:val="0"/>
        <w:ind w:left="27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Motivation</w:t>
      </w:r>
    </w:p>
    <w:p w:rsidR="004D49B0" w:rsidRPr="004D49B0" w:rsidRDefault="004D49B0" w:rsidP="004D49B0">
      <w:pPr>
        <w:numPr>
          <w:ilvl w:val="0"/>
          <w:numId w:val="4"/>
        </w:numPr>
        <w:autoSpaceDE w:val="0"/>
        <w:autoSpaceDN w:val="0"/>
        <w:adjustRightInd w:val="0"/>
        <w:ind w:left="27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Communication</w:t>
      </w:r>
    </w:p>
    <w:p w:rsidR="004D49B0" w:rsidRPr="004D49B0" w:rsidRDefault="004D49B0" w:rsidP="004D49B0">
      <w:pPr>
        <w:numPr>
          <w:ilvl w:val="0"/>
          <w:numId w:val="4"/>
        </w:numPr>
        <w:autoSpaceDE w:val="0"/>
        <w:autoSpaceDN w:val="0"/>
        <w:adjustRightInd w:val="0"/>
        <w:ind w:left="27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Reliability </w:t>
      </w:r>
    </w:p>
    <w:p w:rsidR="004D49B0" w:rsidRPr="004D49B0" w:rsidRDefault="004D49B0" w:rsidP="004D49B0">
      <w:pPr>
        <w:numPr>
          <w:ilvl w:val="0"/>
          <w:numId w:val="4"/>
        </w:numPr>
        <w:autoSpaceDE w:val="0"/>
        <w:autoSpaceDN w:val="0"/>
        <w:adjustRightInd w:val="0"/>
        <w:ind w:left="27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Teamwork</w:t>
      </w:r>
    </w:p>
    <w:p w:rsidR="004D49B0" w:rsidRPr="004D49B0" w:rsidRDefault="004D49B0" w:rsidP="004D49B0">
      <w:pPr>
        <w:numPr>
          <w:ilvl w:val="0"/>
          <w:numId w:val="4"/>
        </w:numPr>
        <w:autoSpaceDE w:val="0"/>
        <w:autoSpaceDN w:val="0"/>
        <w:adjustRightInd w:val="0"/>
        <w:ind w:left="27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Flexibility</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26</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50" type="#_x0000_t75" style="width:269.25pt;height:201.7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0" DrawAspect="Content" ObjectID="_1437305893" r:id="rId57"/>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Recruitment Difficulty Persisting – especially for higher skilled occupations</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Despite the softening labour market conditions, some 45 per cent of employers reported difficulty during their most recent recruitment round.</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Overall, 59 per cent  of employers recruiting for higher skilled occupations experienced difficulty while one third (31 per cent) of employers recruiting for lower skilled occupations experienced difficulty.</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strike/>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The extent and nature of recruitment difficulty varied according to the skill level of occupation. For employers recruiting for both higher and lower skilled occupations the job’s </w:t>
      </w:r>
      <w:r w:rsidRPr="004D49B0">
        <w:rPr>
          <w:rFonts w:asciiTheme="minorHAnsi" w:hAnsiTheme="minorHAnsi" w:cstheme="minorHAnsi"/>
          <w:i/>
          <w:iCs/>
          <w:color w:val="000000" w:themeColor="text1"/>
          <w:kern w:val="24"/>
          <w:sz w:val="20"/>
          <w:lang w:eastAsia="en-AU"/>
        </w:rPr>
        <w:t xml:space="preserve">technical skill requirements </w:t>
      </w:r>
      <w:r w:rsidRPr="004D49B0">
        <w:rPr>
          <w:rFonts w:asciiTheme="minorHAnsi" w:hAnsiTheme="minorHAnsi" w:cstheme="minorHAnsi"/>
          <w:color w:val="000000" w:themeColor="text1"/>
          <w:kern w:val="24"/>
          <w:sz w:val="20"/>
          <w:lang w:eastAsia="en-AU"/>
        </w:rPr>
        <w:t xml:space="preserve">was the most commonly reported cause of difficulty. Those recruiting for higher skilled occupations also commonly cited </w:t>
      </w:r>
      <w:r w:rsidRPr="004D49B0">
        <w:rPr>
          <w:rFonts w:asciiTheme="minorHAnsi" w:hAnsiTheme="minorHAnsi" w:cstheme="minorHAnsi"/>
          <w:i/>
          <w:iCs/>
          <w:color w:val="000000" w:themeColor="text1"/>
          <w:kern w:val="24"/>
          <w:sz w:val="20"/>
          <w:lang w:eastAsia="en-AU"/>
        </w:rPr>
        <w:t xml:space="preserve">Location </w:t>
      </w:r>
      <w:r w:rsidRPr="004D49B0">
        <w:rPr>
          <w:rFonts w:asciiTheme="minorHAnsi" w:hAnsiTheme="minorHAnsi" w:cstheme="minorHAnsi"/>
          <w:color w:val="000000" w:themeColor="text1"/>
          <w:kern w:val="24"/>
          <w:sz w:val="20"/>
          <w:lang w:eastAsia="en-AU"/>
        </w:rPr>
        <w:t xml:space="preserve">as a cause of difficulty. Other common reasons for recruitment difficulty were </w:t>
      </w:r>
      <w:r w:rsidRPr="004D49B0">
        <w:rPr>
          <w:rFonts w:asciiTheme="minorHAnsi" w:hAnsiTheme="minorHAnsi" w:cstheme="minorHAnsi"/>
          <w:i/>
          <w:iCs/>
          <w:color w:val="000000" w:themeColor="text1"/>
          <w:kern w:val="24"/>
          <w:sz w:val="20"/>
          <w:lang w:eastAsia="en-AU"/>
        </w:rPr>
        <w:t>wages/conditions</w:t>
      </w:r>
      <w:r w:rsidRPr="004D49B0">
        <w:rPr>
          <w:rFonts w:asciiTheme="minorHAnsi" w:hAnsiTheme="minorHAnsi" w:cstheme="minorHAnsi"/>
          <w:color w:val="000000" w:themeColor="text1"/>
          <w:kern w:val="24"/>
          <w:sz w:val="20"/>
          <w:lang w:eastAsia="en-AU"/>
        </w:rPr>
        <w:t xml:space="preserve">; </w:t>
      </w:r>
      <w:r w:rsidRPr="004D49B0">
        <w:rPr>
          <w:rFonts w:asciiTheme="minorHAnsi" w:hAnsiTheme="minorHAnsi" w:cstheme="minorHAnsi"/>
          <w:i/>
          <w:iCs/>
          <w:color w:val="000000" w:themeColor="text1"/>
          <w:kern w:val="24"/>
          <w:sz w:val="20"/>
          <w:lang w:eastAsia="en-AU"/>
        </w:rPr>
        <w:t xml:space="preserve">working hours </w:t>
      </w:r>
      <w:r w:rsidRPr="004D49B0">
        <w:rPr>
          <w:rFonts w:asciiTheme="minorHAnsi" w:hAnsiTheme="minorHAnsi" w:cstheme="minorHAnsi"/>
          <w:color w:val="000000" w:themeColor="text1"/>
          <w:kern w:val="24"/>
          <w:sz w:val="20"/>
          <w:lang w:eastAsia="en-AU"/>
        </w:rPr>
        <w:t xml:space="preserve">being offered and </w:t>
      </w:r>
      <w:r w:rsidRPr="004D49B0">
        <w:rPr>
          <w:rFonts w:asciiTheme="minorHAnsi" w:hAnsiTheme="minorHAnsi" w:cstheme="minorHAnsi"/>
          <w:i/>
          <w:iCs/>
          <w:color w:val="000000" w:themeColor="text1"/>
          <w:kern w:val="24"/>
          <w:sz w:val="20"/>
          <w:lang w:eastAsia="en-AU"/>
        </w:rPr>
        <w:t>soft skill requirements</w:t>
      </w:r>
      <w:r w:rsidRPr="004D49B0">
        <w:rPr>
          <w:rFonts w:asciiTheme="minorHAnsi" w:hAnsiTheme="minorHAnsi" w:cstheme="minorHAnsi"/>
          <w:color w:val="000000" w:themeColor="text1"/>
          <w:kern w:val="24"/>
          <w:sz w:val="20"/>
          <w:lang w:eastAsia="en-AU"/>
        </w:rPr>
        <w:t xml:space="preserve">. </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27</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51" type="#_x0000_t75" style="width:269.25pt;height:201.7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1" DrawAspect="Content" ObjectID="_1437305894" r:id="rId59"/>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i/>
          <w:i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Fewer lower skilled occupations considered difficult to fill</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Employers surveyed in the Peel RDA highlighted a range of occupations that they found difficult to fill, including Child Carers, Chefs, Registered Nurses, Early Childhood (Pre-primary School) Teachers, Motor Mechanics, Structural Steel and Welding Trades Workers, Cooks, Waiters and General Clerks.</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28</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52" type="#_x0000_t75" style="width:269.25pt;height:201.7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2" DrawAspect="Content" ObjectID="_1437305895" r:id="rId61"/>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Recruitment Outlook Cautious</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 All regions surveyed to March 2013</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The proportion of employers who expected to recruit in the yea</w:t>
      </w:r>
      <w:r w:rsidR="00635AAF">
        <w:rPr>
          <w:rFonts w:asciiTheme="minorHAnsi" w:hAnsiTheme="minorHAnsi" w:cstheme="minorHAnsi"/>
          <w:color w:val="000000" w:themeColor="text1"/>
          <w:kern w:val="24"/>
          <w:sz w:val="20"/>
          <w:lang w:eastAsia="en-AU"/>
        </w:rPr>
        <w:t>r following the survey was</w:t>
      </w:r>
      <w:r w:rsidRPr="004D49B0">
        <w:rPr>
          <w:rFonts w:asciiTheme="minorHAnsi" w:hAnsiTheme="minorHAnsi" w:cstheme="minorHAnsi"/>
          <w:color w:val="000000" w:themeColor="text1"/>
          <w:kern w:val="24"/>
          <w:sz w:val="20"/>
          <w:lang w:eastAsia="en-AU"/>
        </w:rPr>
        <w:t xml:space="preserve"> lower when compared to all regions surveyed. Likewise, the proportion of employers who expected to increase staff was slightly lower than the all region average.</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Some 41 per cent of employers said that their single greatest concern for the </w:t>
      </w:r>
      <w:r w:rsidR="00635AAF">
        <w:rPr>
          <w:rFonts w:asciiTheme="minorHAnsi" w:hAnsiTheme="minorHAnsi" w:cstheme="minorHAnsi"/>
          <w:color w:val="000000" w:themeColor="text1"/>
          <w:kern w:val="24"/>
          <w:sz w:val="20"/>
          <w:lang w:eastAsia="en-AU"/>
        </w:rPr>
        <w:t xml:space="preserve">next </w:t>
      </w:r>
      <w:r w:rsidRPr="004D49B0">
        <w:rPr>
          <w:rFonts w:asciiTheme="minorHAnsi" w:hAnsiTheme="minorHAnsi" w:cstheme="minorHAnsi"/>
          <w:color w:val="000000" w:themeColor="text1"/>
          <w:kern w:val="24"/>
          <w:sz w:val="20"/>
          <w:lang w:eastAsia="en-AU"/>
        </w:rPr>
        <w:t>year was demand/economic conditions.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29</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53" type="#_x0000_t75" style="width:269.25pt;height:201.7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3" DrawAspect="Content" ObjectID="_1437305896" r:id="rId63"/>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i/>
          <w:i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Occupations Employers Commonly Expect to Recruit</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DEEWR, Survey of Employers’ Recruitment Experiences, Peel RDA, May 2013</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This sli</w:t>
      </w:r>
      <w:r w:rsidR="002C33D5">
        <w:rPr>
          <w:rFonts w:asciiTheme="minorHAnsi" w:hAnsiTheme="minorHAnsi" w:cstheme="minorHAnsi"/>
          <w:color w:val="000000" w:themeColor="text1"/>
          <w:kern w:val="24"/>
          <w:sz w:val="20"/>
          <w:lang w:eastAsia="en-AU"/>
        </w:rPr>
        <w:t xml:space="preserve">de shows the </w:t>
      </w:r>
      <w:r w:rsidRPr="004D49B0">
        <w:rPr>
          <w:rFonts w:asciiTheme="minorHAnsi" w:hAnsiTheme="minorHAnsi" w:cstheme="minorHAnsi"/>
          <w:color w:val="000000" w:themeColor="text1"/>
          <w:kern w:val="24"/>
          <w:sz w:val="20"/>
          <w:lang w:eastAsia="en-AU"/>
        </w:rPr>
        <w:t xml:space="preserve">occupations that employers in the Peel RDA commonly expect to recruit for in the year following the survey, including </w:t>
      </w:r>
      <w:r w:rsidR="002C33D5">
        <w:rPr>
          <w:rFonts w:asciiTheme="minorHAnsi" w:hAnsiTheme="minorHAnsi" w:cstheme="minorHAnsi"/>
          <w:color w:val="000000" w:themeColor="text1"/>
          <w:kern w:val="24"/>
          <w:sz w:val="20"/>
          <w:lang w:eastAsia="en-AU"/>
        </w:rPr>
        <w:t xml:space="preserve">Child Carers, Metal Fitters and Machinists, </w:t>
      </w:r>
      <w:r w:rsidRPr="004D49B0">
        <w:rPr>
          <w:rFonts w:asciiTheme="minorHAnsi" w:hAnsiTheme="minorHAnsi" w:cstheme="minorHAnsi"/>
          <w:color w:val="000000" w:themeColor="text1"/>
          <w:kern w:val="24"/>
          <w:sz w:val="20"/>
          <w:lang w:eastAsia="en-AU"/>
        </w:rPr>
        <w:t xml:space="preserve">Sales Assistants, Waiters, </w:t>
      </w:r>
      <w:r w:rsidR="002C33D5">
        <w:rPr>
          <w:rFonts w:asciiTheme="minorHAnsi" w:hAnsiTheme="minorHAnsi" w:cstheme="minorHAnsi"/>
          <w:color w:val="000000" w:themeColor="text1"/>
          <w:kern w:val="24"/>
          <w:sz w:val="20"/>
          <w:lang w:eastAsia="en-AU"/>
        </w:rPr>
        <w:t xml:space="preserve">and </w:t>
      </w:r>
      <w:r w:rsidRPr="004D49B0">
        <w:rPr>
          <w:rFonts w:asciiTheme="minorHAnsi" w:hAnsiTheme="minorHAnsi" w:cstheme="minorHAnsi"/>
          <w:color w:val="000000" w:themeColor="text1"/>
          <w:kern w:val="24"/>
          <w:sz w:val="20"/>
          <w:lang w:eastAsia="en-AU"/>
        </w:rPr>
        <w:t>Bar Attenda</w:t>
      </w:r>
      <w:r w:rsidR="002C33D5">
        <w:rPr>
          <w:rFonts w:asciiTheme="minorHAnsi" w:hAnsiTheme="minorHAnsi" w:cstheme="minorHAnsi"/>
          <w:color w:val="000000" w:themeColor="text1"/>
          <w:kern w:val="24"/>
          <w:sz w:val="20"/>
          <w:lang w:eastAsia="en-AU"/>
        </w:rPr>
        <w:t>nts and Baristas</w:t>
      </w:r>
      <w:r w:rsidRPr="004D49B0">
        <w:rPr>
          <w:rFonts w:asciiTheme="minorHAnsi" w:hAnsiTheme="minorHAnsi" w:cstheme="minorHAnsi"/>
          <w:color w:val="000000" w:themeColor="text1"/>
          <w:kern w:val="24"/>
          <w:sz w:val="20"/>
          <w:lang w:eastAsia="en-AU"/>
        </w:rPr>
        <w:t>.</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30</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54" type="#_x0000_t75" style="width:269.25pt;height:201.7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4" DrawAspect="Content" ObjectID="_1437305897" r:id="rId65"/>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Employers not employing local job seekers – Employed Working Age Population (15-64)</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r w:rsidRPr="004D49B0">
        <w:rPr>
          <w:rFonts w:asciiTheme="minorHAnsi" w:hAnsiTheme="minorHAnsi" w:cstheme="minorHAnsi"/>
          <w:i/>
          <w:iCs/>
          <w:color w:val="000000" w:themeColor="text1"/>
          <w:kern w:val="24"/>
          <w:sz w:val="20"/>
          <w:lang w:eastAsia="en-AU"/>
        </w:rPr>
        <w:t>Source: ABS Census of Population and Housing, 2011</w:t>
      </w:r>
    </w:p>
    <w:p w:rsidR="004D49B0" w:rsidRPr="004D49B0" w:rsidRDefault="004D49B0" w:rsidP="004D49B0">
      <w:pPr>
        <w:autoSpaceDE w:val="0"/>
        <w:autoSpaceDN w:val="0"/>
        <w:adjustRightInd w:val="0"/>
        <w:rPr>
          <w:rFonts w:asciiTheme="minorHAnsi" w:hAnsiTheme="minorHAnsi" w:cstheme="minorHAnsi"/>
          <w:i/>
          <w:iCs/>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Some 40 per cent (14,900) of the 37, 200 employed working age population living in the Peel RDA travel outside the RDA for work. The most common destinations are the Rockingham (2000 people), P</w:t>
      </w:r>
      <w:r w:rsidR="002C33D5">
        <w:rPr>
          <w:rFonts w:asciiTheme="minorHAnsi" w:hAnsiTheme="minorHAnsi" w:cstheme="minorHAnsi"/>
          <w:color w:val="000000" w:themeColor="text1"/>
          <w:kern w:val="24"/>
          <w:sz w:val="20"/>
          <w:lang w:eastAsia="en-AU"/>
        </w:rPr>
        <w:t>erth (1,600 people) and Canning</w:t>
      </w:r>
      <w:r w:rsidRPr="004D49B0">
        <w:rPr>
          <w:rFonts w:asciiTheme="minorHAnsi" w:hAnsiTheme="minorHAnsi" w:cstheme="minorHAnsi"/>
          <w:color w:val="000000" w:themeColor="text1"/>
          <w:kern w:val="24"/>
          <w:sz w:val="20"/>
          <w:lang w:eastAsia="en-AU"/>
        </w:rPr>
        <w:t xml:space="preserve"> (1,200 people) LGAs.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Some 22 per cent (6,400) of the 28, 700 employed working age population who work within the Peel RDA travel from outside the RDA for work. These people most commonly come from</w:t>
      </w:r>
      <w:r w:rsidR="002C33D5">
        <w:rPr>
          <w:rFonts w:asciiTheme="minorHAnsi" w:hAnsiTheme="minorHAnsi" w:cstheme="minorHAnsi"/>
          <w:color w:val="000000" w:themeColor="text1"/>
          <w:kern w:val="24"/>
          <w:sz w:val="20"/>
          <w:lang w:eastAsia="en-AU"/>
        </w:rPr>
        <w:t xml:space="preserve"> the Rockingham (2,900 people), </w:t>
      </w:r>
      <w:r w:rsidRPr="004D49B0">
        <w:rPr>
          <w:rFonts w:asciiTheme="minorHAnsi" w:hAnsiTheme="minorHAnsi" w:cstheme="minorHAnsi"/>
          <w:color w:val="000000" w:themeColor="text1"/>
          <w:kern w:val="24"/>
          <w:sz w:val="20"/>
          <w:lang w:eastAsia="en-AU"/>
        </w:rPr>
        <w:t xml:space="preserve">Armadale (500 people) </w:t>
      </w:r>
      <w:r w:rsidR="002C33D5">
        <w:rPr>
          <w:rFonts w:asciiTheme="minorHAnsi" w:hAnsiTheme="minorHAnsi" w:cstheme="minorHAnsi"/>
          <w:color w:val="000000" w:themeColor="text1"/>
          <w:kern w:val="24"/>
          <w:sz w:val="20"/>
          <w:lang w:eastAsia="en-AU"/>
        </w:rPr>
        <w:t xml:space="preserve">and Harvey (400 people) </w:t>
      </w:r>
      <w:r w:rsidRPr="004D49B0">
        <w:rPr>
          <w:rFonts w:asciiTheme="minorHAnsi" w:hAnsiTheme="minorHAnsi" w:cstheme="minorHAnsi"/>
          <w:color w:val="000000" w:themeColor="text1"/>
          <w:kern w:val="24"/>
          <w:sz w:val="20"/>
          <w:lang w:eastAsia="en-AU"/>
        </w:rPr>
        <w:t xml:space="preserve">LGAs. </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31</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55" type="#_x0000_t75" style="width:269.25pt;height:201.7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5" DrawAspect="Content" ObjectID="_1437305898" r:id="rId67"/>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Conclusion</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 xml:space="preserve">Some signs of labour market weakness in the region.  </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Unemployment rate has increased in the past year</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However, there was strong employment growth in the 5 years to 2011</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Survey results show recruitment conditions are softer than other recently surveyed WA regions</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Challenges</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Conditions varied considerably across the region</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Jobless families,  education, employability skills, literacy and numeracy and youth disengagement</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Recruitment difficulty and applicant unsuitability (lack of qualifications and/or experience and skill shortages in some sectors)</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Vacancies remaining unfilled for Technicians and Trades Workers</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Future recruitment expectations cautious, due to uncertainty about future economic conditions</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Fewer opportunities for lower skilled job seekers</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Opportunities</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Growth industries: Mining, Health Care  and Social Assistance, Construction</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Broader Perth labour market</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lang w:eastAsia="en-AU"/>
        </w:rPr>
      </w:pPr>
      <w:r w:rsidRPr="004D49B0">
        <w:rPr>
          <w:rFonts w:asciiTheme="minorHAnsi" w:hAnsiTheme="minorHAnsi" w:cstheme="minorHAnsi"/>
          <w:b/>
          <w:bCs/>
          <w:color w:val="000000" w:themeColor="text1"/>
          <w:kern w:val="24"/>
          <w:sz w:val="20"/>
          <w:lang w:eastAsia="en-AU"/>
        </w:rPr>
        <w:t>Collaboration</w:t>
      </w:r>
    </w:p>
    <w:p w:rsidR="004D49B0" w:rsidRPr="004D49B0" w:rsidRDefault="004D49B0" w:rsidP="004D49B0">
      <w:pPr>
        <w:numPr>
          <w:ilvl w:val="0"/>
          <w:numId w:val="4"/>
        </w:numPr>
        <w:autoSpaceDE w:val="0"/>
        <w:autoSpaceDN w:val="0"/>
        <w:adjustRightInd w:val="0"/>
        <w:ind w:left="450" w:hanging="45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Further engagement between stakeholders, particularly regarding opportunities for work experience and apprenticeships/traineeships</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32</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56" type="#_x0000_t75" style="width:269.25pt;height:201.7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6" DrawAspect="Content" ObjectID="_1437305899" r:id="rId69"/>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r w:rsidRPr="004D49B0">
        <w:rPr>
          <w:rFonts w:asciiTheme="minorHAnsi" w:hAnsiTheme="minorHAnsi" w:cstheme="minorHAnsi"/>
          <w:b/>
          <w:bCs/>
          <w:color w:val="000000" w:themeColor="text1"/>
          <w:kern w:val="24"/>
          <w:sz w:val="20"/>
          <w:u w:val="single"/>
          <w:lang w:eastAsia="en-AU"/>
        </w:rPr>
        <w:t>Further information</w:t>
      </w:r>
    </w:p>
    <w:p w:rsidR="004D49B0" w:rsidRPr="004D49B0" w:rsidRDefault="004D49B0" w:rsidP="004D49B0">
      <w:pPr>
        <w:autoSpaceDE w:val="0"/>
        <w:autoSpaceDN w:val="0"/>
        <w:adjustRightInd w:val="0"/>
        <w:rPr>
          <w:rFonts w:asciiTheme="minorHAnsi" w:hAnsiTheme="minorHAnsi" w:cstheme="minorHAnsi"/>
          <w:b/>
          <w:bCs/>
          <w:color w:val="000000" w:themeColor="text1"/>
          <w:kern w:val="24"/>
          <w:sz w:val="20"/>
          <w:u w:val="single"/>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More information on labour market conditions and other research on small areas can be found on these web sites: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numPr>
          <w:ilvl w:val="0"/>
          <w:numId w:val="4"/>
        </w:numPr>
        <w:autoSpaceDE w:val="0"/>
        <w:autoSpaceDN w:val="0"/>
        <w:adjustRightInd w:val="0"/>
        <w:ind w:left="99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u w:val="single"/>
          <w:lang w:eastAsia="en-AU"/>
        </w:rPr>
        <w:t>www.deewr.gov.au/regional-reports-employers-recruitment-experiences</w:t>
      </w:r>
    </w:p>
    <w:p w:rsidR="004D49B0" w:rsidRPr="004D49B0" w:rsidRDefault="004D49B0" w:rsidP="004D49B0">
      <w:pPr>
        <w:numPr>
          <w:ilvl w:val="0"/>
          <w:numId w:val="4"/>
        </w:numPr>
        <w:autoSpaceDE w:val="0"/>
        <w:autoSpaceDN w:val="0"/>
        <w:adjustRightInd w:val="0"/>
        <w:ind w:left="99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u w:val="single"/>
          <w:lang w:eastAsia="en-AU"/>
        </w:rPr>
        <w:t>www.deewr.gov.au/lmip</w:t>
      </w:r>
    </w:p>
    <w:p w:rsidR="004D49B0" w:rsidRPr="004D49B0" w:rsidRDefault="004D49B0" w:rsidP="004D49B0">
      <w:pPr>
        <w:numPr>
          <w:ilvl w:val="0"/>
          <w:numId w:val="4"/>
        </w:numPr>
        <w:autoSpaceDE w:val="0"/>
        <w:autoSpaceDN w:val="0"/>
        <w:adjustRightInd w:val="0"/>
        <w:ind w:left="99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u w:val="single"/>
          <w:lang w:eastAsia="en-AU"/>
        </w:rPr>
        <w:t>www.deewr.gov.au/SkillShortages</w:t>
      </w:r>
    </w:p>
    <w:p w:rsidR="004D49B0" w:rsidRPr="004D49B0" w:rsidRDefault="004D49B0" w:rsidP="004D49B0">
      <w:pPr>
        <w:numPr>
          <w:ilvl w:val="0"/>
          <w:numId w:val="4"/>
        </w:numPr>
        <w:autoSpaceDE w:val="0"/>
        <w:autoSpaceDN w:val="0"/>
        <w:adjustRightInd w:val="0"/>
        <w:ind w:left="99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u w:val="single"/>
          <w:lang w:eastAsia="en-AU"/>
        </w:rPr>
        <w:t>www.deewr.gov.au/australianjobs</w:t>
      </w:r>
    </w:p>
    <w:p w:rsidR="004D49B0" w:rsidRPr="004D49B0" w:rsidRDefault="004D49B0" w:rsidP="004D49B0">
      <w:pPr>
        <w:numPr>
          <w:ilvl w:val="0"/>
          <w:numId w:val="4"/>
        </w:numPr>
        <w:autoSpaceDE w:val="0"/>
        <w:autoSpaceDN w:val="0"/>
        <w:adjustRightInd w:val="0"/>
        <w:ind w:left="99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u w:val="single"/>
          <w:lang w:eastAsia="en-AU"/>
        </w:rPr>
        <w:t>www.skillsinfo.gov.au</w:t>
      </w:r>
    </w:p>
    <w:p w:rsidR="004D49B0" w:rsidRPr="004D49B0" w:rsidRDefault="004D49B0" w:rsidP="004D49B0">
      <w:pPr>
        <w:numPr>
          <w:ilvl w:val="0"/>
          <w:numId w:val="4"/>
        </w:numPr>
        <w:autoSpaceDE w:val="0"/>
        <w:autoSpaceDN w:val="0"/>
        <w:adjustRightInd w:val="0"/>
        <w:ind w:left="990" w:hanging="27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u w:val="single"/>
          <w:lang w:eastAsia="en-AU"/>
        </w:rPr>
        <w:t>www.joboutlook.gov.au</w:t>
      </w:r>
    </w:p>
    <w:p w:rsidR="004D49B0" w:rsidRPr="004D49B0" w:rsidRDefault="004D49B0" w:rsidP="004D49B0">
      <w:pPr>
        <w:numPr>
          <w:ilvl w:val="0"/>
          <w:numId w:val="4"/>
        </w:numPr>
        <w:autoSpaceDE w:val="0"/>
        <w:autoSpaceDN w:val="0"/>
        <w:adjustRightInd w:val="0"/>
        <w:ind w:left="990" w:hanging="270"/>
        <w:rPr>
          <w:rFonts w:asciiTheme="minorHAnsi" w:hAnsiTheme="minorHAnsi" w:cstheme="minorHAnsi"/>
          <w:color w:val="000000" w:themeColor="text1"/>
          <w:sz w:val="20"/>
          <w:u w:val="single"/>
          <w:lang w:eastAsia="en-AU"/>
        </w:rPr>
      </w:pPr>
      <w:r w:rsidRPr="004D49B0">
        <w:rPr>
          <w:rFonts w:asciiTheme="minorHAnsi" w:hAnsiTheme="minorHAnsi" w:cstheme="minorHAnsi"/>
          <w:color w:val="000000" w:themeColor="text1"/>
          <w:sz w:val="20"/>
          <w:u w:val="single"/>
          <w:lang w:eastAsia="en-AU"/>
        </w:rPr>
        <w:t>www.deewr.gov.au/news/aussie-jobs</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 xml:space="preserve">This presentation will be placed on the regional reports section of the DEEWR website </w:t>
      </w:r>
      <w:r w:rsidRPr="004D49B0">
        <w:rPr>
          <w:rFonts w:asciiTheme="minorHAnsi" w:hAnsiTheme="minorHAnsi" w:cstheme="minorHAnsi"/>
          <w:color w:val="000000" w:themeColor="text1"/>
          <w:kern w:val="24"/>
          <w:sz w:val="20"/>
          <w:u w:val="single"/>
          <w:lang w:eastAsia="en-AU"/>
        </w:rPr>
        <w:t>www.deewr.gov.au/regional-reports-employers-recruitment-experiences</w:t>
      </w:r>
      <w:r w:rsidRPr="004D49B0">
        <w:rPr>
          <w:rFonts w:asciiTheme="minorHAnsi" w:hAnsiTheme="minorHAnsi" w:cstheme="minorHAnsi"/>
          <w:color w:val="000000" w:themeColor="text1"/>
          <w:kern w:val="24"/>
          <w:sz w:val="20"/>
          <w:lang w:eastAsia="en-AU"/>
        </w:rPr>
        <w:t>.</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r w:rsidRPr="004D49B0">
        <w:rPr>
          <w:rFonts w:asciiTheme="minorHAnsi" w:hAnsiTheme="minorHAnsi" w:cstheme="minorHAnsi"/>
          <w:color w:val="000000" w:themeColor="text1"/>
          <w:kern w:val="24"/>
          <w:sz w:val="20"/>
          <w:lang w:eastAsia="en-AU"/>
        </w:rPr>
        <w:t>Thank you.</w:t>
      </w: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33</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57" type="#_x0000_t75" style="width:269.25pt;height:201.7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7" DrawAspect="Content" ObjectID="_1437305900" r:id="rId71"/>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autoSpaceDE w:val="0"/>
        <w:autoSpaceDN w:val="0"/>
        <w:adjustRightInd w:val="0"/>
        <w:rPr>
          <w:rFonts w:asciiTheme="minorHAnsi" w:hAnsiTheme="minorHAnsi" w:cstheme="minorHAnsi"/>
          <w:color w:val="000000" w:themeColor="text1"/>
          <w:kern w:val="24"/>
          <w:sz w:val="20"/>
          <w:u w:val="single"/>
          <w:lang w:eastAsia="en-AU"/>
        </w:rPr>
      </w:pPr>
      <w:r w:rsidRPr="004D49B0">
        <w:rPr>
          <w:rFonts w:asciiTheme="minorHAnsi" w:hAnsiTheme="minorHAnsi" w:cstheme="minorHAnsi"/>
          <w:color w:val="000000" w:themeColor="text1"/>
          <w:kern w:val="24"/>
          <w:sz w:val="20"/>
          <w:lang w:eastAsia="en-AU"/>
        </w:rPr>
        <w:t xml:space="preserve">If you have any questions about the presentation please contact the Regional and Industry Employer Surveys section on </w:t>
      </w:r>
      <w:r w:rsidRPr="004D49B0">
        <w:rPr>
          <w:rFonts w:asciiTheme="minorHAnsi" w:hAnsiTheme="minorHAnsi" w:cstheme="minorHAnsi"/>
          <w:color w:val="000000" w:themeColor="text1"/>
          <w:kern w:val="24"/>
          <w:sz w:val="20"/>
          <w:u w:val="single"/>
          <w:lang w:eastAsia="en-AU"/>
        </w:rPr>
        <w:t>1800 059 439</w:t>
      </w:r>
      <w:r w:rsidRPr="004D49B0">
        <w:rPr>
          <w:rFonts w:asciiTheme="minorHAnsi" w:hAnsiTheme="minorHAnsi" w:cstheme="minorHAnsi"/>
          <w:color w:val="000000" w:themeColor="text1"/>
          <w:kern w:val="24"/>
          <w:sz w:val="20"/>
          <w:lang w:eastAsia="en-AU"/>
        </w:rPr>
        <w:t xml:space="preserve"> or email </w:t>
      </w:r>
      <w:r w:rsidRPr="004D49B0">
        <w:rPr>
          <w:rFonts w:asciiTheme="minorHAnsi" w:hAnsiTheme="minorHAnsi" w:cstheme="minorHAnsi"/>
          <w:color w:val="000000" w:themeColor="text1"/>
          <w:kern w:val="24"/>
          <w:sz w:val="20"/>
          <w:u w:val="single"/>
          <w:lang w:eastAsia="en-AU"/>
        </w:rPr>
        <w:t>recruitmentsurveys@deewr.gov.au</w:t>
      </w:r>
    </w:p>
    <w:p w:rsidR="004D49B0" w:rsidRPr="004D49B0" w:rsidRDefault="004D49B0" w:rsidP="004D49B0">
      <w:pPr>
        <w:autoSpaceDE w:val="0"/>
        <w:autoSpaceDN w:val="0"/>
        <w:adjustRightInd w:val="0"/>
        <w:rPr>
          <w:rFonts w:asciiTheme="minorHAnsi" w:hAnsiTheme="minorHAnsi" w:cstheme="minorHAnsi"/>
          <w:color w:val="000000" w:themeColor="text1"/>
          <w:kern w:val="24"/>
          <w:sz w:val="20"/>
          <w:lang w:eastAsia="en-AU"/>
        </w:rPr>
      </w:pPr>
    </w:p>
    <w:p w:rsidR="004D49B0" w:rsidRPr="004D49B0" w:rsidRDefault="004D49B0" w:rsidP="004D49B0">
      <w:pPr>
        <w:autoSpaceDE w:val="0"/>
        <w:autoSpaceDN w:val="0"/>
        <w:adjustRightInd w:val="0"/>
        <w:rPr>
          <w:rFonts w:asciiTheme="minorHAnsi" w:hAnsiTheme="minorHAnsi" w:cstheme="minorHAnsi"/>
          <w:color w:val="000000" w:themeColor="text1"/>
          <w:sz w:val="20"/>
          <w:lang w:eastAsia="en-AU"/>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pP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br w:type="page"/>
      </w:r>
    </w:p>
    <w:p w:rsidR="004D49B0" w:rsidRPr="004D49B0" w:rsidRDefault="004D49B0" w:rsidP="004D49B0">
      <w:pPr>
        <w:spacing w:line="360" w:lineRule="auto"/>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lastRenderedPageBreak/>
        <w:t>Slide 34</w:t>
      </w: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jc w:val="center"/>
        <w:rPr>
          <w:rFonts w:asciiTheme="minorHAnsi" w:hAnsiTheme="minorHAnsi" w:cstheme="minorHAnsi"/>
          <w:color w:val="000000" w:themeColor="text1"/>
          <w:sz w:val="20"/>
        </w:rPr>
      </w:pPr>
      <w:r w:rsidRPr="004D49B0">
        <w:rPr>
          <w:rFonts w:asciiTheme="minorHAnsi" w:hAnsiTheme="minorHAnsi" w:cstheme="minorHAnsi"/>
          <w:color w:val="000000" w:themeColor="text1"/>
          <w:sz w:val="20"/>
        </w:rPr>
        <w:object w:dxaOrig="7180" w:dyaOrig="5390">
          <v:shape id="_x0000_i1058" type="#_x0000_t75" style="width:269.25pt;height:201.7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8" DrawAspect="Content" ObjectID="_1437305901" r:id="rId73"/>
        </w:object>
      </w:r>
    </w:p>
    <w:p w:rsidR="004D49B0" w:rsidRPr="004D49B0" w:rsidRDefault="004D49B0" w:rsidP="004D49B0">
      <w:pPr>
        <w:spacing w:line="360" w:lineRule="auto"/>
        <w:jc w:val="center"/>
        <w:rPr>
          <w:rFonts w:asciiTheme="minorHAnsi" w:hAnsiTheme="minorHAnsi" w:cstheme="minorHAnsi"/>
          <w:color w:val="000000" w:themeColor="text1"/>
          <w:sz w:val="20"/>
        </w:rPr>
      </w:pPr>
    </w:p>
    <w:p w:rsidR="004D49B0" w:rsidRPr="004D49B0" w:rsidRDefault="004D49B0" w:rsidP="004D49B0">
      <w:pPr>
        <w:spacing w:line="360" w:lineRule="auto"/>
        <w:rPr>
          <w:rFonts w:asciiTheme="minorHAnsi" w:hAnsiTheme="minorHAnsi" w:cstheme="minorHAnsi"/>
          <w:color w:val="000000" w:themeColor="text1"/>
          <w:sz w:val="20"/>
        </w:rPr>
      </w:pPr>
    </w:p>
    <w:p w:rsidR="004D49B0" w:rsidRPr="004D49B0" w:rsidRDefault="004D49B0" w:rsidP="004D49B0">
      <w:pPr>
        <w:spacing w:line="360" w:lineRule="auto"/>
        <w:rPr>
          <w:rFonts w:asciiTheme="minorHAnsi" w:hAnsiTheme="minorHAnsi" w:cstheme="minorHAnsi"/>
          <w:color w:val="000000" w:themeColor="text1"/>
          <w:sz w:val="20"/>
        </w:rPr>
      </w:pPr>
    </w:p>
    <w:sectPr w:rsidR="004D49B0" w:rsidRPr="004D49B0" w:rsidSect="00B4410E">
      <w:pgSz w:w="11906" w:h="16838" w:code="9"/>
      <w:pgMar w:top="1418" w:right="1134" w:bottom="1418" w:left="1418" w:header="567" w:footer="567"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109A5A56"/>
    <w:lvl w:ilvl="0">
      <w:numFmt w:val="bullet"/>
      <w:lvlText w:val="*"/>
      <w:lvlJc w:val="left"/>
    </w:lvl>
  </w:abstractNum>
  <w:num w:numId="1">
    <w:abstractNumId w:val="0"/>
    <w:lvlOverride w:ilvl="0">
      <w:lvl w:ilvl="0">
        <w:numFmt w:val="bullet"/>
        <w:lvlText w:val="-"/>
        <w:legacy w:legacy="1" w:legacySpace="0" w:legacyIndent="0"/>
        <w:lvlJc w:val="left"/>
        <w:rPr>
          <w:rFonts w:ascii="Calibri" w:hAnsi="Calibri" w:cs="Calibri" w:hint="default"/>
          <w:sz w:val="24"/>
        </w:rPr>
      </w:lvl>
    </w:lvlOverride>
  </w:num>
  <w:num w:numId="2">
    <w:abstractNumId w:val="0"/>
    <w:lvlOverride w:ilvl="0">
      <w:lvl w:ilvl="0">
        <w:numFmt w:val="bullet"/>
        <w:lvlText w:val="•"/>
        <w:legacy w:legacy="1" w:legacySpace="0" w:legacyIndent="0"/>
        <w:lvlJc w:val="left"/>
        <w:rPr>
          <w:rFonts w:ascii="Calibri" w:hAnsi="Calibri" w:cs="Calibri" w:hint="default"/>
          <w:sz w:val="24"/>
        </w:rPr>
      </w:lvl>
    </w:lvlOverride>
  </w:num>
  <w:num w:numId="3">
    <w:abstractNumId w:val="0"/>
    <w:lvlOverride w:ilvl="0">
      <w:lvl w:ilvl="0">
        <w:numFmt w:val="bullet"/>
        <w:lvlText w:val="–"/>
        <w:legacy w:legacy="1" w:legacySpace="0" w:legacyIndent="0"/>
        <w:lvlJc w:val="left"/>
        <w:rPr>
          <w:rFonts w:ascii="Calibri" w:hAnsi="Calibri" w:cs="Calibri" w:hint="default"/>
          <w:sz w:val="24"/>
        </w:rPr>
      </w:lvl>
    </w:lvlOverride>
  </w:num>
  <w:num w:numId="4">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49B0"/>
    <w:rsid w:val="00037332"/>
    <w:rsid w:val="001A4722"/>
    <w:rsid w:val="001F3BF2"/>
    <w:rsid w:val="00254DBF"/>
    <w:rsid w:val="002C33D5"/>
    <w:rsid w:val="00330A6A"/>
    <w:rsid w:val="004D49B0"/>
    <w:rsid w:val="004E1333"/>
    <w:rsid w:val="005B6F1E"/>
    <w:rsid w:val="005C4C88"/>
    <w:rsid w:val="005D236C"/>
    <w:rsid w:val="00635AAF"/>
    <w:rsid w:val="006D6FF8"/>
    <w:rsid w:val="00737AB0"/>
    <w:rsid w:val="008313EF"/>
    <w:rsid w:val="00A35BAC"/>
    <w:rsid w:val="00B4410E"/>
    <w:rsid w:val="00C15A63"/>
    <w:rsid w:val="00D71AAD"/>
    <w:rsid w:val="00E65DE5"/>
    <w:rsid w:val="00E74E99"/>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2030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PowerPoint_Slide8.sldx"/><Relationship Id="rId42" Type="http://schemas.openxmlformats.org/officeDocument/2006/relationships/image" Target="media/image19.emf"/><Relationship Id="rId47" Type="http://schemas.openxmlformats.org/officeDocument/2006/relationships/package" Target="embeddings/Microsoft_PowerPoint_Slide21.sldx"/><Relationship Id="rId63" Type="http://schemas.openxmlformats.org/officeDocument/2006/relationships/package" Target="embeddings/Microsoft_PowerPoint_Slide29.sldx"/><Relationship Id="rId68" Type="http://schemas.openxmlformats.org/officeDocument/2006/relationships/image" Target="media/image32.emf"/><Relationship Id="rId16" Type="http://schemas.openxmlformats.org/officeDocument/2006/relationships/image" Target="media/image6.emf"/><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package" Target="embeddings/Microsoft_PowerPoint_Slide28.sldx"/><Relationship Id="rId19" Type="http://schemas.openxmlformats.org/officeDocument/2006/relationships/package" Target="embeddings/Microsoft_PowerPoint_Slide7.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package" Target="embeddings/Microsoft_PowerPoint_Slide32.sldx"/><Relationship Id="rId77" Type="http://schemas.openxmlformats.org/officeDocument/2006/relationships/customXml" Target="../customXml/item2.xml"/><Relationship Id="rId8" Type="http://schemas.openxmlformats.org/officeDocument/2006/relationships/image" Target="media/image2.emf"/><Relationship Id="rId51" Type="http://schemas.openxmlformats.org/officeDocument/2006/relationships/package" Target="embeddings/Microsoft_PowerPoint_Slide23.sldx"/><Relationship Id="rId72" Type="http://schemas.openxmlformats.org/officeDocument/2006/relationships/image" Target="media/image34.emf"/><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 Id="rId67" Type="http://schemas.openxmlformats.org/officeDocument/2006/relationships/package" Target="embeddings/Microsoft_PowerPoint_Slide31.sldx"/><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3.emf"/><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PowerPoint_Slide30.sldx"/><Relationship Id="rId73" Type="http://schemas.openxmlformats.org/officeDocument/2006/relationships/package" Target="embeddings/Microsoft_PowerPoint_Slide34.sldx"/><Relationship Id="rId78"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package" Target="embeddings/Microsoft_PowerPoint_Slide2.sldx"/><Relationship Id="rId13" Type="http://schemas.openxmlformats.org/officeDocument/2006/relationships/package" Target="embeddings/Microsoft_PowerPoint_Slide4.sldx"/><Relationship Id="rId18" Type="http://schemas.openxmlformats.org/officeDocument/2006/relationships/image" Target="media/image7.emf"/><Relationship Id="rId39" Type="http://schemas.openxmlformats.org/officeDocument/2006/relationships/package" Target="embeddings/Microsoft_PowerPoint_Slide17.sldx"/><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package" Target="embeddings/Microsoft_PowerPoint_Slide25.sldx"/><Relationship Id="rId76" Type="http://schemas.openxmlformats.org/officeDocument/2006/relationships/customXml" Target="../customXml/item1.xml"/><Relationship Id="rId7" Type="http://schemas.openxmlformats.org/officeDocument/2006/relationships/package" Target="embeddings/Microsoft_PowerPoint_Slide1.sldx"/><Relationship Id="rId71" Type="http://schemas.openxmlformats.org/officeDocument/2006/relationships/package" Target="embeddings/Microsoft_PowerPoint_Slide33.sldx"/><Relationship Id="rId2" Type="http://schemas.openxmlformats.org/officeDocument/2006/relationships/styles" Target="styles.xml"/><Relationship Id="rId29" Type="http://schemas.openxmlformats.org/officeDocument/2006/relationships/package" Target="embeddings/Microsoft_PowerPoint_Slide1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59CE3C6-5AD0-4A6D-AF1D-AB9287EAE6D3}"/>
</file>

<file path=customXml/itemProps2.xml><?xml version="1.0" encoding="utf-8"?>
<ds:datastoreItem xmlns:ds="http://schemas.openxmlformats.org/officeDocument/2006/customXml" ds:itemID="{7C69614C-18B1-49C4-998E-AC0664BAF81F}"/>
</file>

<file path=customXml/itemProps3.xml><?xml version="1.0" encoding="utf-8"?>
<ds:datastoreItem xmlns:ds="http://schemas.openxmlformats.org/officeDocument/2006/customXml" ds:itemID="{E1B0DF33-0D4C-44DF-9995-020FFDD3C249}"/>
</file>

<file path=docProps/app.xml><?xml version="1.0" encoding="utf-8"?>
<Properties xmlns="http://schemas.openxmlformats.org/officeDocument/2006/extended-properties" xmlns:vt="http://schemas.openxmlformats.org/officeDocument/2006/docPropsVTypes">
  <Template>3DE916B.dotm</Template>
  <TotalTime>83</TotalTime>
  <Pages>34</Pages>
  <Words>2981</Words>
  <Characters>16994</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19936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Jacinta Geou</dc:creator>
  <cp:lastModifiedBy>Scott Lee</cp:lastModifiedBy>
  <cp:revision>12</cp:revision>
  <dcterms:created xsi:type="dcterms:W3CDTF">2013-08-05T01:55:00Z</dcterms:created>
  <dcterms:modified xsi:type="dcterms:W3CDTF">2013-08-06T04:51:00Z</dcterms:modified>
</cp:coreProperties>
</file>