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979" w:rsidRDefault="007349C8" w:rsidP="00AC65DA">
      <w:pPr>
        <w:pStyle w:val="Title"/>
      </w:pPr>
      <w:r>
        <w:rPr>
          <w:noProof/>
          <w:lang w:eastAsia="en-AU"/>
        </w:rPr>
        <w:drawing>
          <wp:anchor distT="0" distB="0" distL="114300" distR="114300" simplePos="0" relativeHeight="251659264" behindDoc="1" locked="0" layoutInCell="1" allowOverlap="1" wp14:anchorId="59F3526C" wp14:editId="66ADDF5C">
            <wp:simplePos x="0" y="0"/>
            <wp:positionH relativeFrom="column">
              <wp:posOffset>-914400</wp:posOffset>
            </wp:positionH>
            <wp:positionV relativeFrom="paragraph">
              <wp:posOffset>-2235530</wp:posOffset>
            </wp:positionV>
            <wp:extent cx="7650189" cy="3306470"/>
            <wp:effectExtent l="0" t="0" r="8255" b="8255"/>
            <wp:wrapNone/>
            <wp:docPr id="6"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Design Team\Work in Progress\Rob P\A12-0385 EMPGEN Emp. Services Contract Mgt Bulletin\Links\Header DEEWR_Blue.jpg"/>
                    <pic:cNvPicPr>
                      <a:picLocks noChangeAspect="1" noChangeArrowheads="1"/>
                    </pic:cNvPicPr>
                  </pic:nvPicPr>
                  <pic:blipFill>
                    <a:blip r:embed="rId9"/>
                    <a:srcRect/>
                    <a:stretch>
                      <a:fillRect/>
                    </a:stretch>
                  </pic:blipFill>
                  <pic:spPr bwMode="auto">
                    <a:xfrm>
                      <a:off x="0" y="0"/>
                      <a:ext cx="7650189" cy="33064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375EBC5E" wp14:editId="486D23DC">
            <wp:extent cx="2603500" cy="592463"/>
            <wp:effectExtent l="19050" t="0" r="6350" b="0"/>
            <wp:docPr id="7" name="Picture 2" descr="Australian Government, Department of Education,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esign Team\Work in Progress\Rob P\A12-0385 EMPGEN Emp. Services Contract Mgt Bulletin\Links\DEEWR1A_REV_8 [Converted].png"/>
                    <pic:cNvPicPr>
                      <a:picLocks noChangeAspect="1" noChangeArrowheads="1"/>
                    </pic:cNvPicPr>
                  </pic:nvPicPr>
                  <pic:blipFill>
                    <a:blip r:embed="rId10" cstate="print"/>
                    <a:srcRect/>
                    <a:stretch>
                      <a:fillRect/>
                    </a:stretch>
                  </pic:blipFill>
                  <pic:spPr bwMode="auto">
                    <a:xfrm>
                      <a:off x="0" y="0"/>
                      <a:ext cx="2603500" cy="592463"/>
                    </a:xfrm>
                    <a:prstGeom prst="rect">
                      <a:avLst/>
                    </a:prstGeom>
                    <a:noFill/>
                    <a:ln w="9525">
                      <a:noFill/>
                      <a:miter lim="800000"/>
                      <a:headEnd/>
                      <a:tailEnd/>
                    </a:ln>
                  </pic:spPr>
                </pic:pic>
              </a:graphicData>
            </a:graphic>
          </wp:inline>
        </w:drawing>
      </w:r>
    </w:p>
    <w:p w:rsidR="00BD2979" w:rsidRPr="00BD2979" w:rsidRDefault="00BD2979" w:rsidP="00BD2979"/>
    <w:p w:rsidR="00C10C19" w:rsidRDefault="0041061A" w:rsidP="00AC65DA">
      <w:pPr>
        <w:pStyle w:val="Title"/>
      </w:pPr>
      <w:r w:rsidRPr="0041061A">
        <w:t>Peel Region</w:t>
      </w:r>
    </w:p>
    <w:p w:rsidR="0041061A" w:rsidRDefault="0041061A" w:rsidP="00AC65DA">
      <w:pPr>
        <w:pStyle w:val="Heading1"/>
        <w:rPr>
          <w:bCs w:val="0"/>
          <w:iCs/>
          <w:spacing w:val="13"/>
          <w:sz w:val="40"/>
          <w:szCs w:val="24"/>
        </w:rPr>
      </w:pPr>
      <w:r w:rsidRPr="0041061A">
        <w:rPr>
          <w:bCs w:val="0"/>
          <w:iCs/>
          <w:spacing w:val="13"/>
          <w:sz w:val="40"/>
          <w:szCs w:val="24"/>
        </w:rPr>
        <w:t>Survey of Employers’ Recruitment Experiences</w:t>
      </w:r>
    </w:p>
    <w:p w:rsidR="0041061A" w:rsidRDefault="0041061A" w:rsidP="0041061A">
      <w:pPr>
        <w:pStyle w:val="Heading1"/>
      </w:pPr>
      <w:r>
        <w:t>May 2013</w:t>
      </w:r>
      <w:bookmarkStart w:id="0" w:name="_Toc357424980"/>
      <w:bookmarkStart w:id="1" w:name="_Toc361229688"/>
      <w:bookmarkStart w:id="2" w:name="_Toc351128438"/>
    </w:p>
    <w:p w:rsidR="0041061A" w:rsidRPr="000A28DB" w:rsidRDefault="0041061A" w:rsidP="0041061A">
      <w:pPr>
        <w:pStyle w:val="Heading1"/>
        <w:rPr>
          <w:rFonts w:asciiTheme="minorHAnsi" w:hAnsiTheme="minorHAnsi" w:cstheme="minorHAnsi"/>
          <w:sz w:val="22"/>
          <w:szCs w:val="22"/>
        </w:rPr>
      </w:pPr>
    </w:p>
    <w:p w:rsidR="00D81AA5" w:rsidRDefault="00D81AA5" w:rsidP="0041061A">
      <w:pPr>
        <w:pStyle w:val="Heading1"/>
        <w:rPr>
          <w:rFonts w:asciiTheme="minorHAnsi" w:hAnsiTheme="minorHAnsi" w:cstheme="minorHAnsi"/>
          <w:color w:val="365F91" w:themeColor="accent1" w:themeShade="BF"/>
          <w:sz w:val="22"/>
          <w:szCs w:val="22"/>
        </w:rPr>
      </w:pPr>
    </w:p>
    <w:p w:rsidR="0041061A" w:rsidRPr="000D6063" w:rsidRDefault="00AE493A" w:rsidP="0041061A">
      <w:pPr>
        <w:pStyle w:val="Heading1"/>
        <w:rPr>
          <w:rFonts w:asciiTheme="minorHAnsi" w:hAnsiTheme="minorHAnsi" w:cstheme="minorHAnsi"/>
          <w:b w:val="0"/>
          <w:bCs w:val="0"/>
          <w:color w:val="365F91" w:themeColor="accent1" w:themeShade="BF"/>
          <w:sz w:val="32"/>
          <w:szCs w:val="32"/>
        </w:rPr>
      </w:pPr>
      <w:r>
        <w:rPr>
          <w:rFonts w:asciiTheme="minorHAnsi" w:hAnsiTheme="minorHAnsi" w:cstheme="minorHAnsi"/>
          <w:color w:val="365F91" w:themeColor="accent1" w:themeShade="BF"/>
          <w:sz w:val="32"/>
          <w:szCs w:val="32"/>
        </w:rPr>
        <w:t>Key f</w:t>
      </w:r>
      <w:r w:rsidR="0041061A" w:rsidRPr="000D6063">
        <w:rPr>
          <w:rFonts w:asciiTheme="minorHAnsi" w:hAnsiTheme="minorHAnsi" w:cstheme="minorHAnsi"/>
          <w:color w:val="365F91" w:themeColor="accent1" w:themeShade="BF"/>
          <w:sz w:val="32"/>
          <w:szCs w:val="32"/>
        </w:rPr>
        <w:t>indings</w:t>
      </w:r>
      <w:bookmarkEnd w:id="0"/>
      <w:bookmarkEnd w:id="1"/>
    </w:p>
    <w:p w:rsidR="00AE3113" w:rsidRDefault="00AE3113" w:rsidP="00CE115A">
      <w:pPr>
        <w:spacing w:after="120" w:line="240" w:lineRule="auto"/>
        <w:jc w:val="both"/>
        <w:rPr>
          <w:rFonts w:cstheme="minorHAnsi"/>
        </w:rPr>
      </w:pPr>
      <w:r>
        <w:rPr>
          <w:rFonts w:cstheme="minorHAnsi"/>
        </w:rPr>
        <w:t xml:space="preserve">Despite strong employment growth in the Peel region in recent years, </w:t>
      </w:r>
      <w:r w:rsidR="00D24C65">
        <w:rPr>
          <w:rFonts w:cstheme="minorHAnsi"/>
        </w:rPr>
        <w:t>the survey results suggest that the labour market is relatively subdued</w:t>
      </w:r>
      <w:r w:rsidR="00484666">
        <w:rPr>
          <w:rFonts w:cstheme="minorHAnsi"/>
        </w:rPr>
        <w:t>.</w:t>
      </w:r>
      <w:r>
        <w:rPr>
          <w:rFonts w:cstheme="minorHAnsi"/>
        </w:rPr>
        <w:t xml:space="preserve"> </w:t>
      </w:r>
    </w:p>
    <w:p w:rsidR="00AE3113" w:rsidRDefault="00AE3113" w:rsidP="004479D7">
      <w:pPr>
        <w:pStyle w:val="ListParagraph"/>
        <w:numPr>
          <w:ilvl w:val="0"/>
          <w:numId w:val="25"/>
        </w:numPr>
        <w:spacing w:before="120" w:after="240" w:line="240" w:lineRule="auto"/>
        <w:jc w:val="both"/>
        <w:rPr>
          <w:rFonts w:cstheme="minorHAnsi"/>
        </w:rPr>
      </w:pPr>
      <w:r w:rsidRPr="00D24C65">
        <w:rPr>
          <w:rFonts w:cstheme="minorHAnsi"/>
        </w:rPr>
        <w:t>The annual r</w:t>
      </w:r>
      <w:r w:rsidR="003928F8" w:rsidRPr="00D24C65">
        <w:rPr>
          <w:rFonts w:cstheme="minorHAnsi"/>
        </w:rPr>
        <w:t>ecruitment rate was substantially</w:t>
      </w:r>
      <w:r w:rsidR="006A540D" w:rsidRPr="00D24C65">
        <w:rPr>
          <w:rFonts w:cstheme="minorHAnsi"/>
        </w:rPr>
        <w:t xml:space="preserve"> lower than other area</w:t>
      </w:r>
      <w:r w:rsidRPr="00D24C65">
        <w:rPr>
          <w:rFonts w:cstheme="minorHAnsi"/>
        </w:rPr>
        <w:t xml:space="preserve">s of Western Australia that have been surveyed in the past two years. </w:t>
      </w:r>
      <w:r w:rsidR="00707B5F" w:rsidRPr="00D24C65">
        <w:rPr>
          <w:rFonts w:cstheme="minorHAnsi"/>
        </w:rPr>
        <w:t>However, t</w:t>
      </w:r>
      <w:r w:rsidR="00A22057" w:rsidRPr="00D24C65">
        <w:rPr>
          <w:rFonts w:cstheme="minorHAnsi"/>
        </w:rPr>
        <w:t xml:space="preserve">here was </w:t>
      </w:r>
      <w:r w:rsidR="00D24C65">
        <w:rPr>
          <w:rFonts w:cstheme="minorHAnsi"/>
        </w:rPr>
        <w:t>some variability</w:t>
      </w:r>
      <w:r w:rsidR="00A22057" w:rsidRPr="00D24C65">
        <w:rPr>
          <w:rFonts w:cstheme="minorHAnsi"/>
        </w:rPr>
        <w:t xml:space="preserve"> across the region. Recruitment activity was considerably stronger in the Mining and Primary Metal Manufacturing dominated areas of Boddington, Murray and Waroona</w:t>
      </w:r>
      <w:r w:rsidR="00707B5F" w:rsidRPr="00D24C65">
        <w:rPr>
          <w:rFonts w:cstheme="minorHAnsi"/>
        </w:rPr>
        <w:t xml:space="preserve"> than in</w:t>
      </w:r>
      <w:r w:rsidR="00A22057" w:rsidRPr="00D24C65">
        <w:rPr>
          <w:rFonts w:cstheme="minorHAnsi"/>
        </w:rPr>
        <w:t xml:space="preserve"> Mandurah and Serpentine-Jarrahdale</w:t>
      </w:r>
      <w:r w:rsidRPr="00D24C65">
        <w:rPr>
          <w:rFonts w:cstheme="minorHAnsi"/>
        </w:rPr>
        <w:t>.</w:t>
      </w:r>
    </w:p>
    <w:p w:rsidR="00B17812" w:rsidRPr="00B17812" w:rsidRDefault="00B17812" w:rsidP="00B17812">
      <w:pPr>
        <w:spacing w:after="120" w:line="240" w:lineRule="auto"/>
        <w:jc w:val="both"/>
        <w:rPr>
          <w:rFonts w:cstheme="minorHAnsi"/>
        </w:rPr>
      </w:pPr>
      <w:r w:rsidRPr="00B17812">
        <w:rPr>
          <w:rFonts w:cstheme="minorHAnsi"/>
        </w:rPr>
        <w:t xml:space="preserve">Despite the soft recruitment conditions overall, there was some evidence of recruitment difficulty and skill shortages, particularly for Technicians and Trades Workers, with almost two thirds of employers recruiting for this occupation reporting difficulty.  </w:t>
      </w:r>
    </w:p>
    <w:p w:rsidR="00B17812" w:rsidRPr="00B17812" w:rsidRDefault="00B17812" w:rsidP="006E2B08">
      <w:pPr>
        <w:spacing w:after="120" w:line="240" w:lineRule="auto"/>
        <w:jc w:val="both"/>
        <w:rPr>
          <w:rFonts w:cstheme="minorHAnsi"/>
        </w:rPr>
      </w:pPr>
      <w:r w:rsidRPr="00B17812">
        <w:rPr>
          <w:rFonts w:cstheme="minorHAnsi"/>
        </w:rPr>
        <w:t xml:space="preserve">Recruitment expectations for the year following the survey were also cautious due to employer uncertainty about future economic conditions. However, despite the potentially slowing recruitment activity, a range of employment opportunities is expected for job seekers across the region. </w:t>
      </w:r>
    </w:p>
    <w:p w:rsidR="0041061A" w:rsidRPr="000D6063" w:rsidRDefault="00AE493A" w:rsidP="006E2B08">
      <w:pPr>
        <w:pStyle w:val="RIESbriefreports"/>
        <w:spacing w:before="0"/>
        <w:rPr>
          <w:sz w:val="32"/>
          <w:szCs w:val="32"/>
        </w:rPr>
      </w:pPr>
      <w:bookmarkStart w:id="3" w:name="_Toc361229689"/>
      <w:bookmarkEnd w:id="2"/>
      <w:r>
        <w:rPr>
          <w:sz w:val="32"/>
          <w:szCs w:val="32"/>
        </w:rPr>
        <w:t>Peel r</w:t>
      </w:r>
      <w:r w:rsidR="0041061A" w:rsidRPr="000D6063">
        <w:rPr>
          <w:sz w:val="32"/>
          <w:szCs w:val="32"/>
        </w:rPr>
        <w:t>egion</w:t>
      </w:r>
      <w:bookmarkEnd w:id="3"/>
    </w:p>
    <w:p w:rsidR="003046C5" w:rsidRDefault="006F2BE0" w:rsidP="001B33DD">
      <w:pPr>
        <w:spacing w:after="120" w:line="240" w:lineRule="auto"/>
        <w:jc w:val="both"/>
        <w:rPr>
          <w:rFonts w:cstheme="minorHAnsi"/>
        </w:rPr>
      </w:pPr>
      <w:r>
        <w:rPr>
          <w:rFonts w:cstheme="minorHAnsi"/>
        </w:rPr>
        <w:t>The Peel region</w:t>
      </w:r>
      <w:r w:rsidR="0041061A" w:rsidRPr="000A28DB">
        <w:rPr>
          <w:rFonts w:cstheme="minorHAnsi"/>
        </w:rPr>
        <w:t xml:space="preserve"> consists of the LGAs of Boddington, Mandurah, Murray, Serpentine-Jarrahdale and Waroona. In Augus</w:t>
      </w:r>
      <w:r>
        <w:rPr>
          <w:rFonts w:cstheme="minorHAnsi"/>
        </w:rPr>
        <w:t>t 2011, the Peel region</w:t>
      </w:r>
      <w:r w:rsidR="0041061A" w:rsidRPr="000A28DB">
        <w:rPr>
          <w:rFonts w:cstheme="minorHAnsi"/>
        </w:rPr>
        <w:t xml:space="preserve"> had an adult population of 90,850</w:t>
      </w:r>
      <w:r w:rsidR="006A540D">
        <w:rPr>
          <w:rFonts w:cstheme="minorHAnsi"/>
        </w:rPr>
        <w:t xml:space="preserve">, </w:t>
      </w:r>
      <w:r w:rsidR="00BE4781">
        <w:rPr>
          <w:rFonts w:cstheme="minorHAnsi"/>
        </w:rPr>
        <w:t>66 per cent</w:t>
      </w:r>
      <w:r w:rsidR="006A540D">
        <w:rPr>
          <w:rFonts w:cstheme="minorHAnsi"/>
        </w:rPr>
        <w:t xml:space="preserve"> of whom</w:t>
      </w:r>
      <w:r w:rsidR="00BE4781">
        <w:rPr>
          <w:rFonts w:cstheme="minorHAnsi"/>
        </w:rPr>
        <w:t xml:space="preserve"> </w:t>
      </w:r>
      <w:r w:rsidR="0041061A" w:rsidRPr="000A28DB">
        <w:rPr>
          <w:rFonts w:cstheme="minorHAnsi"/>
        </w:rPr>
        <w:t xml:space="preserve">lived in the Mandurah </w:t>
      </w:r>
      <w:proofErr w:type="spellStart"/>
      <w:r w:rsidR="0041061A" w:rsidRPr="000A28DB">
        <w:rPr>
          <w:rFonts w:cstheme="minorHAnsi"/>
        </w:rPr>
        <w:t>LGA</w:t>
      </w:r>
      <w:proofErr w:type="spellEnd"/>
      <w:r w:rsidR="003046C5">
        <w:rPr>
          <w:rFonts w:cstheme="minorHAnsi"/>
        </w:rPr>
        <w:t xml:space="preserve">. </w:t>
      </w:r>
      <w:r w:rsidR="003046C5" w:rsidRPr="003046C5">
        <w:rPr>
          <w:rFonts w:cstheme="minorHAnsi"/>
          <w:lang w:val="en-US"/>
        </w:rPr>
        <w:t xml:space="preserve">The </w:t>
      </w:r>
      <w:r w:rsidR="003046C5">
        <w:rPr>
          <w:rFonts w:cstheme="minorHAnsi"/>
          <w:lang w:val="en-US"/>
        </w:rPr>
        <w:t xml:space="preserve">region </w:t>
      </w:r>
      <w:r w:rsidR="003046C5" w:rsidRPr="003046C5">
        <w:rPr>
          <w:rFonts w:cstheme="minorHAnsi"/>
          <w:lang w:val="en-US"/>
        </w:rPr>
        <w:t xml:space="preserve">experienced adult population growth of 25 per cent between 2006 and 2011, which was higher than </w:t>
      </w:r>
      <w:r w:rsidR="00C6741C">
        <w:rPr>
          <w:rFonts w:cstheme="minorHAnsi"/>
          <w:lang w:val="en-US"/>
        </w:rPr>
        <w:t>the</w:t>
      </w:r>
      <w:r w:rsidR="003046C5" w:rsidRPr="003046C5">
        <w:rPr>
          <w:rFonts w:cstheme="minorHAnsi"/>
          <w:lang w:val="en-US"/>
        </w:rPr>
        <w:t xml:space="preserve"> growth for Western Australia</w:t>
      </w:r>
      <w:r w:rsidR="00C6741C">
        <w:rPr>
          <w:rFonts w:cstheme="minorHAnsi"/>
          <w:lang w:val="en-US"/>
        </w:rPr>
        <w:t xml:space="preserve"> of 15 per cent over the same period</w:t>
      </w:r>
      <w:r w:rsidR="005A1328">
        <w:rPr>
          <w:rFonts w:cstheme="minorHAnsi"/>
          <w:lang w:val="en-US"/>
        </w:rPr>
        <w:t>.</w:t>
      </w:r>
      <w:r w:rsidR="00AC3DAB">
        <w:rPr>
          <w:rStyle w:val="FootnoteReference"/>
          <w:rFonts w:cstheme="minorHAnsi"/>
        </w:rPr>
        <w:footnoteReference w:id="1"/>
      </w:r>
      <w:r w:rsidR="003046C5">
        <w:rPr>
          <w:rFonts w:cstheme="minorHAnsi"/>
        </w:rPr>
        <w:t xml:space="preserve"> </w:t>
      </w:r>
    </w:p>
    <w:p w:rsidR="009B45B2" w:rsidRDefault="009B45B2" w:rsidP="006E2B08">
      <w:pPr>
        <w:pStyle w:val="ListParagraph"/>
        <w:numPr>
          <w:ilvl w:val="0"/>
          <w:numId w:val="25"/>
        </w:numPr>
        <w:spacing w:before="120" w:after="120" w:line="240" w:lineRule="auto"/>
        <w:jc w:val="both"/>
        <w:rPr>
          <w:rFonts w:cstheme="minorHAnsi"/>
        </w:rPr>
      </w:pPr>
      <w:r w:rsidRPr="003046C5">
        <w:rPr>
          <w:rFonts w:cstheme="minorHAnsi"/>
        </w:rPr>
        <w:t>Employment growth in the Peel region was very strong in the five years to the August 2011 Census (31 per cent) compared with Australia overall (10 per cent).</w:t>
      </w:r>
      <w:r>
        <w:rPr>
          <w:rStyle w:val="FootnoteReference"/>
          <w:rFonts w:cstheme="minorHAnsi"/>
        </w:rPr>
        <w:footnoteReference w:id="2"/>
      </w:r>
      <w:r w:rsidRPr="003046C5">
        <w:rPr>
          <w:rFonts w:cstheme="minorHAnsi"/>
        </w:rPr>
        <w:t xml:space="preserve"> </w:t>
      </w:r>
    </w:p>
    <w:p w:rsidR="006E2B08" w:rsidRPr="006E2B08" w:rsidRDefault="006E2B08" w:rsidP="006E2B08">
      <w:pPr>
        <w:pStyle w:val="ListParagraph"/>
        <w:spacing w:before="120" w:after="120" w:line="240" w:lineRule="auto"/>
        <w:jc w:val="both"/>
        <w:rPr>
          <w:rFonts w:cstheme="minorHAnsi"/>
          <w:sz w:val="12"/>
          <w:szCs w:val="12"/>
        </w:rPr>
      </w:pPr>
    </w:p>
    <w:p w:rsidR="006A540D" w:rsidRDefault="009B45B2" w:rsidP="006E2B08">
      <w:pPr>
        <w:pStyle w:val="ListParagraph"/>
        <w:numPr>
          <w:ilvl w:val="0"/>
          <w:numId w:val="30"/>
        </w:numPr>
        <w:spacing w:before="120" w:after="120" w:line="240" w:lineRule="auto"/>
        <w:jc w:val="both"/>
        <w:rPr>
          <w:rFonts w:cstheme="minorHAnsi"/>
        </w:rPr>
      </w:pPr>
      <w:r>
        <w:rPr>
          <w:rFonts w:cstheme="minorHAnsi"/>
        </w:rPr>
        <w:t>Despite the strong employment growth, t</w:t>
      </w:r>
      <w:r w:rsidR="00707B5F" w:rsidRPr="006A540D">
        <w:rPr>
          <w:rFonts w:cstheme="minorHAnsi"/>
        </w:rPr>
        <w:t>he u</w:t>
      </w:r>
      <w:r w:rsidR="006F2BE0" w:rsidRPr="006A540D">
        <w:rPr>
          <w:rFonts w:cstheme="minorHAnsi"/>
        </w:rPr>
        <w:t>nemployment rate in the Peel region</w:t>
      </w:r>
      <w:r w:rsidR="00707B5F" w:rsidRPr="006A540D">
        <w:rPr>
          <w:rFonts w:cstheme="minorHAnsi"/>
        </w:rPr>
        <w:t xml:space="preserve"> was </w:t>
      </w:r>
      <w:r w:rsidR="004C48BD">
        <w:rPr>
          <w:rFonts w:cstheme="minorHAnsi"/>
        </w:rPr>
        <w:t xml:space="preserve">    </w:t>
      </w:r>
      <w:r w:rsidR="00707B5F" w:rsidRPr="006A540D">
        <w:rPr>
          <w:rFonts w:cstheme="minorHAnsi"/>
        </w:rPr>
        <w:t>6.1 per cent</w:t>
      </w:r>
      <w:r w:rsidR="00CD06FF">
        <w:rPr>
          <w:rStyle w:val="FootnoteReference"/>
          <w:rFonts w:cstheme="minorHAnsi"/>
        </w:rPr>
        <w:footnoteReference w:id="3"/>
      </w:r>
      <w:r w:rsidR="005C0FB1" w:rsidRPr="006A540D">
        <w:rPr>
          <w:rFonts w:cstheme="minorHAnsi"/>
        </w:rPr>
        <w:t xml:space="preserve"> in March 2013</w:t>
      </w:r>
      <w:r w:rsidR="00707B5F" w:rsidRPr="006A540D">
        <w:rPr>
          <w:rFonts w:cstheme="minorHAnsi"/>
        </w:rPr>
        <w:t xml:space="preserve">, </w:t>
      </w:r>
      <w:r w:rsidR="009B5177" w:rsidRPr="006A540D">
        <w:rPr>
          <w:rFonts w:cstheme="minorHAnsi"/>
        </w:rPr>
        <w:t xml:space="preserve">which was higher than </w:t>
      </w:r>
      <w:r w:rsidR="006A540D" w:rsidRPr="006A540D">
        <w:rPr>
          <w:rFonts w:cstheme="minorHAnsi"/>
        </w:rPr>
        <w:t xml:space="preserve">for </w:t>
      </w:r>
      <w:r w:rsidR="009B5177" w:rsidRPr="006A540D">
        <w:rPr>
          <w:rFonts w:cstheme="minorHAnsi"/>
        </w:rPr>
        <w:t>both the S</w:t>
      </w:r>
      <w:r w:rsidR="00707B5F" w:rsidRPr="006A540D">
        <w:rPr>
          <w:rFonts w:cstheme="minorHAnsi"/>
        </w:rPr>
        <w:t>tate (4.6</w:t>
      </w:r>
      <w:r w:rsidR="009B5177" w:rsidRPr="006A540D">
        <w:rPr>
          <w:rFonts w:cstheme="minorHAnsi"/>
        </w:rPr>
        <w:t> </w:t>
      </w:r>
      <w:r w:rsidR="00707B5F" w:rsidRPr="006A540D">
        <w:rPr>
          <w:rFonts w:cstheme="minorHAnsi"/>
        </w:rPr>
        <w:t>per cent) and Australia (5.7 per cent).</w:t>
      </w:r>
      <w:r w:rsidR="00AC3DAB">
        <w:rPr>
          <w:rStyle w:val="FootnoteReference"/>
          <w:rFonts w:cstheme="minorHAnsi"/>
        </w:rPr>
        <w:footnoteReference w:id="4"/>
      </w:r>
      <w:r w:rsidR="009B5177" w:rsidRPr="006A540D">
        <w:rPr>
          <w:rFonts w:cstheme="minorHAnsi"/>
        </w:rPr>
        <w:t xml:space="preserve"> </w:t>
      </w:r>
      <w:r w:rsidR="006A540D">
        <w:rPr>
          <w:rFonts w:cstheme="minorHAnsi"/>
        </w:rPr>
        <w:t>Over the last</w:t>
      </w:r>
      <w:r w:rsidR="00BD5E71">
        <w:rPr>
          <w:rFonts w:cstheme="minorHAnsi"/>
        </w:rPr>
        <w:t xml:space="preserve"> </w:t>
      </w:r>
      <w:r w:rsidR="006A540D">
        <w:rPr>
          <w:rFonts w:cstheme="minorHAnsi"/>
        </w:rPr>
        <w:t>12 months</w:t>
      </w:r>
      <w:r>
        <w:rPr>
          <w:rFonts w:cstheme="minorHAnsi"/>
        </w:rPr>
        <w:t>,</w:t>
      </w:r>
      <w:r w:rsidR="006A540D">
        <w:rPr>
          <w:rFonts w:cstheme="minorHAnsi"/>
        </w:rPr>
        <w:t xml:space="preserve"> the unemployment rate has increased by 0.5 percentage points.</w:t>
      </w:r>
    </w:p>
    <w:p w:rsidR="00AC3DAB" w:rsidRDefault="00AC3DAB" w:rsidP="006E2B08">
      <w:pPr>
        <w:pStyle w:val="ListParagraph"/>
        <w:numPr>
          <w:ilvl w:val="0"/>
          <w:numId w:val="30"/>
        </w:numPr>
        <w:spacing w:after="0" w:line="240" w:lineRule="auto"/>
        <w:jc w:val="both"/>
        <w:rPr>
          <w:rFonts w:cstheme="minorHAnsi"/>
        </w:rPr>
      </w:pPr>
      <w:r w:rsidRPr="006A540D">
        <w:rPr>
          <w:rFonts w:cstheme="minorHAnsi"/>
        </w:rPr>
        <w:lastRenderedPageBreak/>
        <w:t>Employment growth in the Peel region was very str</w:t>
      </w:r>
      <w:r w:rsidR="006A540D">
        <w:rPr>
          <w:rFonts w:cstheme="minorHAnsi"/>
        </w:rPr>
        <w:t>ong in the five</w:t>
      </w:r>
      <w:r w:rsidRPr="006A540D">
        <w:rPr>
          <w:rFonts w:cstheme="minorHAnsi"/>
        </w:rPr>
        <w:t xml:space="preserve"> years to the </w:t>
      </w:r>
      <w:r w:rsidR="00484666">
        <w:rPr>
          <w:rFonts w:cstheme="minorHAnsi"/>
        </w:rPr>
        <w:t xml:space="preserve">August </w:t>
      </w:r>
      <w:r w:rsidRPr="006A540D">
        <w:rPr>
          <w:rFonts w:cstheme="minorHAnsi"/>
        </w:rPr>
        <w:t>2011 Cens</w:t>
      </w:r>
      <w:r w:rsidR="007D65CA" w:rsidRPr="006A540D">
        <w:rPr>
          <w:rFonts w:cstheme="minorHAnsi"/>
        </w:rPr>
        <w:t>us (31</w:t>
      </w:r>
      <w:r w:rsidR="001821E1" w:rsidRPr="006A540D">
        <w:rPr>
          <w:rFonts w:cstheme="minorHAnsi"/>
        </w:rPr>
        <w:t> </w:t>
      </w:r>
      <w:r w:rsidR="007D65CA" w:rsidRPr="006A540D">
        <w:rPr>
          <w:rFonts w:cstheme="minorHAnsi"/>
        </w:rPr>
        <w:t>per</w:t>
      </w:r>
      <w:r w:rsidR="001821E1" w:rsidRPr="006A540D">
        <w:rPr>
          <w:rFonts w:cstheme="minorHAnsi"/>
        </w:rPr>
        <w:t> </w:t>
      </w:r>
      <w:r w:rsidR="007D65CA" w:rsidRPr="006A540D">
        <w:rPr>
          <w:rFonts w:cstheme="minorHAnsi"/>
        </w:rPr>
        <w:t xml:space="preserve">cent) compared with </w:t>
      </w:r>
      <w:r w:rsidRPr="006A540D">
        <w:rPr>
          <w:rFonts w:cstheme="minorHAnsi"/>
        </w:rPr>
        <w:t>Australia overall</w:t>
      </w:r>
      <w:r w:rsidR="007D65CA" w:rsidRPr="006A540D">
        <w:rPr>
          <w:rFonts w:cstheme="minorHAnsi"/>
        </w:rPr>
        <w:t xml:space="preserve"> (10 per cent)</w:t>
      </w:r>
      <w:r w:rsidRPr="006A540D">
        <w:rPr>
          <w:rFonts w:cstheme="minorHAnsi"/>
        </w:rPr>
        <w:t>.</w:t>
      </w:r>
      <w:r>
        <w:rPr>
          <w:rStyle w:val="FootnoteReference"/>
          <w:rFonts w:cstheme="minorHAnsi"/>
        </w:rPr>
        <w:footnoteReference w:id="5"/>
      </w:r>
      <w:r w:rsidRPr="006A540D">
        <w:rPr>
          <w:rFonts w:cstheme="minorHAnsi"/>
        </w:rPr>
        <w:t xml:space="preserve"> </w:t>
      </w:r>
    </w:p>
    <w:p w:rsidR="006E2B08" w:rsidRPr="006E2B08" w:rsidRDefault="006E2B08" w:rsidP="006E2B08">
      <w:pPr>
        <w:pStyle w:val="ListParagraph"/>
        <w:spacing w:after="0" w:line="240" w:lineRule="auto"/>
        <w:jc w:val="both"/>
        <w:rPr>
          <w:rFonts w:cstheme="minorHAnsi"/>
          <w:sz w:val="12"/>
          <w:szCs w:val="12"/>
        </w:rPr>
      </w:pPr>
    </w:p>
    <w:p w:rsidR="005C0FB1" w:rsidRDefault="006A540D" w:rsidP="006E2B08">
      <w:pPr>
        <w:pStyle w:val="ListParagraph"/>
        <w:numPr>
          <w:ilvl w:val="0"/>
          <w:numId w:val="30"/>
        </w:numPr>
        <w:spacing w:after="0" w:line="240" w:lineRule="auto"/>
        <w:jc w:val="both"/>
        <w:rPr>
          <w:rFonts w:cstheme="minorHAnsi"/>
        </w:rPr>
      </w:pPr>
      <w:r>
        <w:rPr>
          <w:rFonts w:cstheme="minorHAnsi"/>
        </w:rPr>
        <w:t>In the five</w:t>
      </w:r>
      <w:r w:rsidR="005C0FB1" w:rsidRPr="005C0FB1">
        <w:rPr>
          <w:rFonts w:cstheme="minorHAnsi"/>
        </w:rPr>
        <w:t xml:space="preserve"> years to 2011, the occupations that </w:t>
      </w:r>
      <w:r>
        <w:rPr>
          <w:rFonts w:cstheme="minorHAnsi"/>
        </w:rPr>
        <w:t xml:space="preserve">recorded </w:t>
      </w:r>
      <w:r w:rsidR="005C0FB1" w:rsidRPr="005C0FB1">
        <w:rPr>
          <w:rFonts w:cstheme="minorHAnsi"/>
        </w:rPr>
        <w:t xml:space="preserve">the largest </w:t>
      </w:r>
      <w:r w:rsidR="009B45B2">
        <w:rPr>
          <w:rFonts w:cstheme="minorHAnsi"/>
        </w:rPr>
        <w:t>increases in employment</w:t>
      </w:r>
      <w:r w:rsidR="005C0FB1" w:rsidRPr="005C0FB1">
        <w:rPr>
          <w:rFonts w:cstheme="minorHAnsi"/>
        </w:rPr>
        <w:t xml:space="preserve"> in the Peel region were Community and Personal Service Workers (54 per cent), followed by Professionals (45 per cent).</w:t>
      </w:r>
      <w:r w:rsidR="005C0FB1">
        <w:rPr>
          <w:rStyle w:val="FootnoteReference"/>
          <w:rFonts w:cstheme="minorHAnsi"/>
        </w:rPr>
        <w:footnoteReference w:id="6"/>
      </w:r>
    </w:p>
    <w:p w:rsidR="006E2B08" w:rsidRPr="006E2B08" w:rsidRDefault="006E2B08" w:rsidP="006E2B08">
      <w:pPr>
        <w:pStyle w:val="ListParagraph"/>
        <w:spacing w:after="0" w:line="240" w:lineRule="auto"/>
        <w:jc w:val="both"/>
        <w:rPr>
          <w:rFonts w:cstheme="minorHAnsi"/>
          <w:sz w:val="12"/>
          <w:szCs w:val="12"/>
        </w:rPr>
      </w:pPr>
    </w:p>
    <w:p w:rsidR="005C0FB1" w:rsidRDefault="0041061A" w:rsidP="006E2B08">
      <w:pPr>
        <w:pStyle w:val="ListParagraph"/>
        <w:numPr>
          <w:ilvl w:val="0"/>
          <w:numId w:val="30"/>
        </w:numPr>
        <w:spacing w:after="0" w:line="240" w:lineRule="auto"/>
        <w:jc w:val="both"/>
        <w:rPr>
          <w:rFonts w:cstheme="minorHAnsi"/>
        </w:rPr>
      </w:pPr>
      <w:r w:rsidRPr="00B411B3">
        <w:rPr>
          <w:rFonts w:cstheme="minorHAnsi"/>
        </w:rPr>
        <w:t>The Mandurah and Serpentine-Jarrahdale LGAs have diverse economies, with large Retail Trade, Health Care and Social Assistance, and Accommodation and Food Services industries.</w:t>
      </w:r>
      <w:r w:rsidR="00707B5F" w:rsidRPr="00B411B3">
        <w:rPr>
          <w:rFonts w:cstheme="minorHAnsi"/>
        </w:rPr>
        <w:t xml:space="preserve"> </w:t>
      </w:r>
    </w:p>
    <w:p w:rsidR="006E2B08" w:rsidRPr="006E2B08" w:rsidRDefault="006E2B08" w:rsidP="006E2B08">
      <w:pPr>
        <w:pStyle w:val="ListParagraph"/>
        <w:rPr>
          <w:rFonts w:cstheme="minorHAnsi"/>
          <w:sz w:val="12"/>
          <w:szCs w:val="12"/>
        </w:rPr>
      </w:pPr>
    </w:p>
    <w:p w:rsidR="0041061A" w:rsidRPr="00B411B3" w:rsidRDefault="0041061A" w:rsidP="006E2B08">
      <w:pPr>
        <w:pStyle w:val="ListParagraph"/>
        <w:numPr>
          <w:ilvl w:val="0"/>
          <w:numId w:val="30"/>
        </w:numPr>
        <w:spacing w:after="100" w:afterAutospacing="1" w:line="240" w:lineRule="auto"/>
        <w:jc w:val="both"/>
        <w:rPr>
          <w:rFonts w:cstheme="minorHAnsi"/>
        </w:rPr>
      </w:pPr>
      <w:r w:rsidRPr="00B411B3">
        <w:rPr>
          <w:rFonts w:cstheme="minorHAnsi"/>
        </w:rPr>
        <w:t xml:space="preserve">By contrast, the Boddington, Murray and Waroona LGAs are heavily reliant on employment </w:t>
      </w:r>
      <w:r w:rsidR="006A540D">
        <w:rPr>
          <w:rFonts w:cstheme="minorHAnsi"/>
        </w:rPr>
        <w:t>in M</w:t>
      </w:r>
      <w:r w:rsidRPr="00B411B3">
        <w:rPr>
          <w:rFonts w:cstheme="minorHAnsi"/>
        </w:rPr>
        <w:t xml:space="preserve">ining and Primary Metal and Metal Product Manufacturing (44 per cent of </w:t>
      </w:r>
      <w:r w:rsidR="000D6063" w:rsidRPr="00B411B3">
        <w:rPr>
          <w:rFonts w:cstheme="minorHAnsi"/>
        </w:rPr>
        <w:t>all employment).</w:t>
      </w:r>
      <w:r w:rsidR="000D6063">
        <w:rPr>
          <w:rStyle w:val="FootnoteReference"/>
          <w:rFonts w:cstheme="minorHAnsi"/>
        </w:rPr>
        <w:footnoteReference w:id="7"/>
      </w:r>
    </w:p>
    <w:p w:rsidR="0041061A" w:rsidRPr="000D6063" w:rsidRDefault="0041061A" w:rsidP="006E2B08">
      <w:pPr>
        <w:pStyle w:val="RIESbriefreports"/>
        <w:spacing w:before="0" w:after="100" w:afterAutospacing="1"/>
        <w:rPr>
          <w:sz w:val="32"/>
          <w:szCs w:val="32"/>
        </w:rPr>
      </w:pPr>
      <w:bookmarkStart w:id="4" w:name="_Toc357424983"/>
      <w:bookmarkStart w:id="5" w:name="_Toc361229690"/>
      <w:r w:rsidRPr="000D6063">
        <w:rPr>
          <w:sz w:val="32"/>
          <w:szCs w:val="32"/>
        </w:rPr>
        <w:t>Rec</w:t>
      </w:r>
      <w:bookmarkEnd w:id="4"/>
      <w:r w:rsidRPr="000D6063">
        <w:rPr>
          <w:sz w:val="32"/>
          <w:szCs w:val="32"/>
        </w:rPr>
        <w:t>ruitmen</w:t>
      </w:r>
      <w:bookmarkEnd w:id="5"/>
      <w:r w:rsidR="00AC3DAB" w:rsidRPr="000D6063">
        <w:rPr>
          <w:sz w:val="32"/>
          <w:szCs w:val="32"/>
        </w:rPr>
        <w:t xml:space="preserve">t activity </w:t>
      </w:r>
    </w:p>
    <w:p w:rsidR="00C93B8C" w:rsidRDefault="0041061A" w:rsidP="00A15BA5">
      <w:pPr>
        <w:spacing w:after="120" w:line="240" w:lineRule="auto"/>
        <w:jc w:val="both"/>
        <w:rPr>
          <w:rFonts w:cstheme="minorHAnsi"/>
        </w:rPr>
      </w:pPr>
      <w:r w:rsidRPr="000A28DB">
        <w:rPr>
          <w:rFonts w:cstheme="minorHAnsi"/>
        </w:rPr>
        <w:t xml:space="preserve">The department conducts Surveys of Employers’ Recruitment Experiences in regions across </w:t>
      </w:r>
      <w:r w:rsidR="006F2BE0">
        <w:rPr>
          <w:rFonts w:cstheme="minorHAnsi"/>
        </w:rPr>
        <w:t>Australia. A survey of the Peel r</w:t>
      </w:r>
      <w:r w:rsidRPr="000A28DB">
        <w:rPr>
          <w:rFonts w:cstheme="minorHAnsi"/>
        </w:rPr>
        <w:t>egion</w:t>
      </w:r>
      <w:r w:rsidR="006A540D">
        <w:rPr>
          <w:rFonts w:cstheme="minorHAnsi"/>
        </w:rPr>
        <w:t xml:space="preserve">, with </w:t>
      </w:r>
      <w:r w:rsidR="0018141A" w:rsidRPr="000A28DB">
        <w:rPr>
          <w:rFonts w:cstheme="minorHAnsi"/>
        </w:rPr>
        <w:t>236 employers</w:t>
      </w:r>
      <w:r w:rsidR="006A540D">
        <w:rPr>
          <w:rFonts w:cstheme="minorHAnsi"/>
        </w:rPr>
        <w:t xml:space="preserve"> participating</w:t>
      </w:r>
      <w:r w:rsidR="0018141A">
        <w:rPr>
          <w:rFonts w:cstheme="minorHAnsi"/>
        </w:rPr>
        <w:t>,</w:t>
      </w:r>
      <w:r w:rsidRPr="000A28DB">
        <w:rPr>
          <w:rFonts w:cstheme="minorHAnsi"/>
        </w:rPr>
        <w:t xml:space="preserve"> was conducted in May 2013. </w:t>
      </w:r>
    </w:p>
    <w:p w:rsidR="00C93B8C" w:rsidRDefault="0018141A" w:rsidP="00A15BA5">
      <w:pPr>
        <w:spacing w:after="120" w:line="240" w:lineRule="auto"/>
        <w:jc w:val="both"/>
        <w:rPr>
          <w:rFonts w:cstheme="minorHAnsi"/>
        </w:rPr>
      </w:pPr>
      <w:r>
        <w:rPr>
          <w:rFonts w:cstheme="minorHAnsi"/>
        </w:rPr>
        <w:t>Rec</w:t>
      </w:r>
      <w:r w:rsidR="006F2BE0">
        <w:rPr>
          <w:rFonts w:cstheme="minorHAnsi"/>
        </w:rPr>
        <w:t>ruitment levels in the Peel r</w:t>
      </w:r>
      <w:r w:rsidR="00C93B8C" w:rsidRPr="00653688">
        <w:rPr>
          <w:rFonts w:cstheme="minorHAnsi"/>
        </w:rPr>
        <w:t>egion (15 vacancies per 100 staff) were well</w:t>
      </w:r>
      <w:r w:rsidR="00EE25A0">
        <w:rPr>
          <w:rFonts w:cstheme="minorHAnsi"/>
        </w:rPr>
        <w:t xml:space="preserve"> below those for other parts of Western Australia that have been surveyed over the past two years.</w:t>
      </w:r>
      <w:r w:rsidR="00EB2309">
        <w:rPr>
          <w:rFonts w:cstheme="minorHAnsi"/>
        </w:rPr>
        <w:t xml:space="preserve"> For instance, in the Kimberley ESA there were 66 vacancies per 100 staff</w:t>
      </w:r>
      <w:r w:rsidR="00EB2309">
        <w:rPr>
          <w:rStyle w:val="FootnoteReference"/>
          <w:rFonts w:cstheme="minorHAnsi"/>
        </w:rPr>
        <w:t xml:space="preserve"> </w:t>
      </w:r>
      <w:r w:rsidR="00EB2309">
        <w:rPr>
          <w:rFonts w:cstheme="minorHAnsi"/>
        </w:rPr>
        <w:t>.</w:t>
      </w:r>
      <w:r w:rsidR="00EE25A0">
        <w:rPr>
          <w:rFonts w:cstheme="minorHAnsi"/>
        </w:rPr>
        <w:t xml:space="preserve"> </w:t>
      </w:r>
      <w:r w:rsidR="00ED0206">
        <w:rPr>
          <w:rFonts w:cstheme="minorHAnsi"/>
        </w:rPr>
        <w:t xml:space="preserve">However, recruitment levels were </w:t>
      </w:r>
      <w:r w:rsidR="009B5177">
        <w:rPr>
          <w:rFonts w:cstheme="minorHAnsi"/>
        </w:rPr>
        <w:t>con</w:t>
      </w:r>
      <w:r w:rsidR="00ED0206">
        <w:rPr>
          <w:rFonts w:cstheme="minorHAnsi"/>
        </w:rPr>
        <w:t>sistent with</w:t>
      </w:r>
      <w:r w:rsidR="009B5177">
        <w:rPr>
          <w:rFonts w:cstheme="minorHAnsi"/>
        </w:rPr>
        <w:t xml:space="preserve"> level</w:t>
      </w:r>
      <w:r w:rsidR="00ED0206">
        <w:rPr>
          <w:rFonts w:cstheme="minorHAnsi"/>
        </w:rPr>
        <w:t>s</w:t>
      </w:r>
      <w:r w:rsidR="009B5177">
        <w:rPr>
          <w:rFonts w:cstheme="minorHAnsi"/>
        </w:rPr>
        <w:t xml:space="preserve"> of recruitment activity</w:t>
      </w:r>
      <w:r w:rsidR="00EE25A0">
        <w:rPr>
          <w:rFonts w:cstheme="minorHAnsi"/>
        </w:rPr>
        <w:t xml:space="preserve"> across all regions survey</w:t>
      </w:r>
      <w:r w:rsidR="002B2479">
        <w:rPr>
          <w:rFonts w:cstheme="minorHAnsi"/>
        </w:rPr>
        <w:t xml:space="preserve">ed </w:t>
      </w:r>
      <w:r w:rsidR="009B5177">
        <w:rPr>
          <w:rFonts w:cstheme="minorHAnsi"/>
        </w:rPr>
        <w:t>in</w:t>
      </w:r>
      <w:r>
        <w:rPr>
          <w:rFonts w:cstheme="minorHAnsi"/>
        </w:rPr>
        <w:t xml:space="preserve"> Australia</w:t>
      </w:r>
      <w:r w:rsidR="002B2479">
        <w:rPr>
          <w:rFonts w:cstheme="minorHAnsi"/>
        </w:rPr>
        <w:t xml:space="preserve">. </w:t>
      </w:r>
    </w:p>
    <w:p w:rsidR="002B2479" w:rsidRDefault="002B2479" w:rsidP="00A15BA5">
      <w:pPr>
        <w:spacing w:after="120" w:line="240" w:lineRule="auto"/>
        <w:jc w:val="both"/>
        <w:rPr>
          <w:rFonts w:cstheme="minorHAnsi"/>
        </w:rPr>
      </w:pPr>
      <w:r>
        <w:rPr>
          <w:rFonts w:cstheme="minorHAnsi"/>
        </w:rPr>
        <w:t>Despite the soft</w:t>
      </w:r>
      <w:r w:rsidR="00B411B3">
        <w:rPr>
          <w:rFonts w:cstheme="minorHAnsi"/>
        </w:rPr>
        <w:t>er</w:t>
      </w:r>
      <w:r>
        <w:rPr>
          <w:rFonts w:cstheme="minorHAnsi"/>
        </w:rPr>
        <w:t xml:space="preserve"> recruitment conditions, the proportion of employers who reported recruitment difficulty (55 per cent) was higher than for all regions (49 per cent)</w:t>
      </w:r>
      <w:r w:rsidR="0018141A">
        <w:rPr>
          <w:rFonts w:cstheme="minorHAnsi"/>
        </w:rPr>
        <w:t xml:space="preserve"> despite the softer recruitment conditions</w:t>
      </w:r>
      <w:r>
        <w:rPr>
          <w:rFonts w:cstheme="minorHAnsi"/>
        </w:rPr>
        <w:t xml:space="preserve">. The unfilled vacancy rate was also higher (7.5 per cent). </w:t>
      </w:r>
    </w:p>
    <w:p w:rsidR="0041061A" w:rsidRPr="00700EA4" w:rsidRDefault="0041061A" w:rsidP="00A15BA5">
      <w:pPr>
        <w:spacing w:after="0" w:line="240" w:lineRule="auto"/>
        <w:jc w:val="both"/>
        <w:rPr>
          <w:rFonts w:eastAsiaTheme="minorHAnsi" w:cstheme="minorHAnsi"/>
          <w:b/>
        </w:rPr>
      </w:pPr>
      <w:r w:rsidRPr="00700EA4">
        <w:rPr>
          <w:rFonts w:cstheme="minorHAnsi"/>
          <w:b/>
          <w:i/>
        </w:rPr>
        <w:t>Table 1.  Recruitment experiences in the 12 months preceding the survey</w:t>
      </w:r>
    </w:p>
    <w:tbl>
      <w:tblPr>
        <w:tblStyle w:val="DEEWRTable"/>
        <w:tblW w:w="5120" w:type="pct"/>
        <w:tblLayout w:type="fixed"/>
        <w:tblLook w:val="0000" w:firstRow="0" w:lastRow="0" w:firstColumn="0" w:lastColumn="0" w:noHBand="0" w:noVBand="0"/>
      </w:tblPr>
      <w:tblGrid>
        <w:gridCol w:w="3084"/>
        <w:gridCol w:w="1276"/>
        <w:gridCol w:w="1702"/>
        <w:gridCol w:w="1700"/>
        <w:gridCol w:w="1702"/>
      </w:tblGrid>
      <w:tr w:rsidR="00D81AA5" w:rsidRPr="000A28DB" w:rsidTr="00986BC1">
        <w:trPr>
          <w:trHeight w:val="818"/>
        </w:trPr>
        <w:tc>
          <w:tcPr>
            <w:tcW w:w="1629" w:type="pct"/>
            <w:shd w:val="clear" w:color="auto" w:fill="365F91" w:themeFill="accent1" w:themeFillShade="BF"/>
            <w:noWrap/>
          </w:tcPr>
          <w:p w:rsidR="0041061A" w:rsidRPr="000A28DB" w:rsidRDefault="0041061A" w:rsidP="001B633E">
            <w:pPr>
              <w:keepNext/>
              <w:contextualSpacing/>
              <w:rPr>
                <w:rFonts w:cstheme="minorHAnsi"/>
                <w:b/>
                <w:color w:val="FFFFFF" w:themeColor="background1"/>
                <w:sz w:val="22"/>
              </w:rPr>
            </w:pPr>
          </w:p>
        </w:tc>
        <w:tc>
          <w:tcPr>
            <w:tcW w:w="674" w:type="pct"/>
            <w:shd w:val="clear" w:color="auto" w:fill="365F91" w:themeFill="accent1" w:themeFillShade="BF"/>
            <w:vAlign w:val="center"/>
          </w:tcPr>
          <w:p w:rsidR="0041061A" w:rsidRPr="000A28DB" w:rsidRDefault="0041061A" w:rsidP="00A15BA5">
            <w:pPr>
              <w:keepNext/>
              <w:contextualSpacing/>
              <w:jc w:val="center"/>
              <w:rPr>
                <w:rFonts w:cstheme="minorHAnsi"/>
                <w:b/>
                <w:color w:val="FFFFFF" w:themeColor="background1"/>
                <w:sz w:val="22"/>
              </w:rPr>
            </w:pPr>
            <w:r w:rsidRPr="000A28DB">
              <w:rPr>
                <w:rFonts w:cstheme="minorHAnsi"/>
                <w:b/>
                <w:color w:val="FFFFFF" w:themeColor="background1"/>
                <w:sz w:val="22"/>
              </w:rPr>
              <w:t>Peel Region</w:t>
            </w:r>
          </w:p>
        </w:tc>
        <w:tc>
          <w:tcPr>
            <w:tcW w:w="899" w:type="pct"/>
            <w:shd w:val="clear" w:color="auto" w:fill="365F91" w:themeFill="accent1" w:themeFillShade="BF"/>
            <w:vAlign w:val="center"/>
          </w:tcPr>
          <w:p w:rsidR="0041061A" w:rsidRPr="000A28DB" w:rsidRDefault="0041061A" w:rsidP="00A15BA5">
            <w:pPr>
              <w:keepNext/>
              <w:contextualSpacing/>
              <w:jc w:val="center"/>
              <w:rPr>
                <w:rFonts w:eastAsiaTheme="minorHAnsi" w:cstheme="minorHAnsi"/>
                <w:b/>
                <w:color w:val="FFFFFF" w:themeColor="background1"/>
                <w:sz w:val="22"/>
              </w:rPr>
            </w:pPr>
            <w:r w:rsidRPr="000A28DB">
              <w:rPr>
                <w:rFonts w:eastAsiaTheme="minorHAnsi" w:cstheme="minorHAnsi"/>
                <w:b/>
                <w:color w:val="FFFFFF" w:themeColor="background1"/>
                <w:sz w:val="22"/>
              </w:rPr>
              <w:t>Boddington, Murray and Waroona</w:t>
            </w:r>
          </w:p>
        </w:tc>
        <w:tc>
          <w:tcPr>
            <w:tcW w:w="898" w:type="pct"/>
            <w:shd w:val="clear" w:color="auto" w:fill="365F91" w:themeFill="accent1" w:themeFillShade="BF"/>
            <w:vAlign w:val="center"/>
          </w:tcPr>
          <w:p w:rsidR="0041061A" w:rsidRPr="000A28DB" w:rsidRDefault="0041061A" w:rsidP="00A15BA5">
            <w:pPr>
              <w:keepNext/>
              <w:contextualSpacing/>
              <w:jc w:val="center"/>
              <w:rPr>
                <w:rFonts w:cstheme="minorHAnsi"/>
                <w:b/>
                <w:color w:val="FFFFFF" w:themeColor="background1"/>
                <w:sz w:val="22"/>
              </w:rPr>
            </w:pPr>
            <w:r w:rsidRPr="000A28DB">
              <w:rPr>
                <w:rFonts w:cstheme="minorHAnsi"/>
                <w:b/>
                <w:color w:val="FFFFFF" w:themeColor="background1"/>
                <w:sz w:val="22"/>
              </w:rPr>
              <w:t>Mandurah and Serpentine-Jarrahdale</w:t>
            </w:r>
          </w:p>
        </w:tc>
        <w:tc>
          <w:tcPr>
            <w:tcW w:w="899" w:type="pct"/>
            <w:shd w:val="clear" w:color="auto" w:fill="365F91" w:themeFill="accent1" w:themeFillShade="BF"/>
            <w:vAlign w:val="center"/>
          </w:tcPr>
          <w:p w:rsidR="0041061A" w:rsidRPr="000A28DB" w:rsidRDefault="0041061A" w:rsidP="00A15BA5">
            <w:pPr>
              <w:keepNext/>
              <w:contextualSpacing/>
              <w:jc w:val="center"/>
              <w:rPr>
                <w:rFonts w:cstheme="minorHAnsi"/>
                <w:b/>
                <w:color w:val="FFFFFF" w:themeColor="background1"/>
                <w:sz w:val="22"/>
              </w:rPr>
            </w:pPr>
            <w:r w:rsidRPr="000A28DB">
              <w:rPr>
                <w:rFonts w:cstheme="minorHAnsi"/>
                <w:b/>
                <w:color w:val="FFFFFF" w:themeColor="background1"/>
                <w:sz w:val="22"/>
              </w:rPr>
              <w:t>All regions surveyed</w:t>
            </w:r>
          </w:p>
          <w:p w:rsidR="0041061A" w:rsidRPr="000A28DB" w:rsidRDefault="0041061A" w:rsidP="00A15BA5">
            <w:pPr>
              <w:keepNext/>
              <w:contextualSpacing/>
              <w:jc w:val="center"/>
              <w:rPr>
                <w:rFonts w:cstheme="minorHAnsi"/>
                <w:b/>
                <w:color w:val="FFFFFF" w:themeColor="background1"/>
                <w:sz w:val="22"/>
              </w:rPr>
            </w:pPr>
            <w:r w:rsidRPr="000A28DB">
              <w:rPr>
                <w:rFonts w:cstheme="minorHAnsi"/>
                <w:b/>
                <w:color w:val="FFFFFF" w:themeColor="background1"/>
                <w:sz w:val="22"/>
              </w:rPr>
              <w:t>(12 months to Mar 2012)</w:t>
            </w:r>
          </w:p>
        </w:tc>
      </w:tr>
      <w:tr w:rsidR="00D81AA5" w:rsidRPr="000A28DB" w:rsidTr="00986BC1">
        <w:trPr>
          <w:cnfStyle w:val="000000010000" w:firstRow="0" w:lastRow="0" w:firstColumn="0" w:lastColumn="0" w:oddVBand="0" w:evenVBand="0" w:oddHBand="0" w:evenHBand="1" w:firstRowFirstColumn="0" w:firstRowLastColumn="0" w:lastRowFirstColumn="0" w:lastRowLastColumn="0"/>
          <w:trHeight w:val="584"/>
        </w:trPr>
        <w:tc>
          <w:tcPr>
            <w:tcW w:w="1629" w:type="pct"/>
            <w:shd w:val="clear" w:color="auto" w:fill="auto"/>
            <w:noWrap/>
            <w:vAlign w:val="center"/>
          </w:tcPr>
          <w:p w:rsidR="0041061A" w:rsidRPr="00A15BA5" w:rsidRDefault="0041061A" w:rsidP="00D81AA5">
            <w:pPr>
              <w:keepNext/>
              <w:contextualSpacing/>
              <w:rPr>
                <w:rFonts w:cstheme="minorHAnsi"/>
                <w:b/>
                <w:sz w:val="22"/>
              </w:rPr>
            </w:pPr>
            <w:r w:rsidRPr="00A15BA5">
              <w:rPr>
                <w:rFonts w:cstheme="minorHAnsi"/>
                <w:b/>
                <w:sz w:val="22"/>
              </w:rPr>
              <w:t>Proportion of employers who recruited</w:t>
            </w:r>
          </w:p>
        </w:tc>
        <w:tc>
          <w:tcPr>
            <w:tcW w:w="674" w:type="pct"/>
            <w:shd w:val="clear" w:color="auto" w:fill="auto"/>
            <w:vAlign w:val="center"/>
          </w:tcPr>
          <w:p w:rsidR="0041061A" w:rsidRPr="000A28DB" w:rsidRDefault="0041061A" w:rsidP="00D81AA5">
            <w:pPr>
              <w:keepNext/>
              <w:ind w:right="-81"/>
              <w:contextualSpacing/>
              <w:jc w:val="center"/>
              <w:rPr>
                <w:rFonts w:cstheme="minorHAnsi"/>
                <w:sz w:val="22"/>
              </w:rPr>
            </w:pPr>
            <w:r w:rsidRPr="000A28DB">
              <w:rPr>
                <w:rFonts w:cstheme="minorHAnsi"/>
                <w:sz w:val="22"/>
              </w:rPr>
              <w:t>60%</w:t>
            </w:r>
          </w:p>
        </w:tc>
        <w:tc>
          <w:tcPr>
            <w:tcW w:w="899" w:type="pct"/>
            <w:shd w:val="clear" w:color="auto" w:fill="auto"/>
            <w:vAlign w:val="center"/>
          </w:tcPr>
          <w:p w:rsidR="0041061A" w:rsidRPr="000A28DB" w:rsidRDefault="0041061A" w:rsidP="00D81AA5">
            <w:pPr>
              <w:keepNext/>
              <w:ind w:right="-81"/>
              <w:contextualSpacing/>
              <w:jc w:val="center"/>
              <w:rPr>
                <w:rFonts w:cstheme="minorHAnsi"/>
                <w:sz w:val="22"/>
              </w:rPr>
            </w:pPr>
            <w:r w:rsidRPr="000A28DB">
              <w:rPr>
                <w:rFonts w:cstheme="minorHAnsi"/>
                <w:sz w:val="22"/>
              </w:rPr>
              <w:t>61%</w:t>
            </w:r>
          </w:p>
        </w:tc>
        <w:tc>
          <w:tcPr>
            <w:tcW w:w="898" w:type="pct"/>
            <w:shd w:val="clear" w:color="auto" w:fill="auto"/>
            <w:vAlign w:val="center"/>
          </w:tcPr>
          <w:p w:rsidR="0041061A" w:rsidRPr="000A28DB" w:rsidRDefault="0041061A" w:rsidP="00D81AA5">
            <w:pPr>
              <w:keepNext/>
              <w:ind w:right="-81"/>
              <w:contextualSpacing/>
              <w:jc w:val="center"/>
              <w:rPr>
                <w:rFonts w:cstheme="minorHAnsi"/>
                <w:sz w:val="22"/>
              </w:rPr>
            </w:pPr>
            <w:r w:rsidRPr="000A28DB">
              <w:rPr>
                <w:rFonts w:cstheme="minorHAnsi"/>
                <w:sz w:val="22"/>
              </w:rPr>
              <w:t>60%</w:t>
            </w:r>
          </w:p>
        </w:tc>
        <w:tc>
          <w:tcPr>
            <w:tcW w:w="899" w:type="pct"/>
            <w:shd w:val="clear" w:color="auto" w:fill="auto"/>
            <w:vAlign w:val="center"/>
          </w:tcPr>
          <w:p w:rsidR="0041061A" w:rsidRPr="000A28DB" w:rsidRDefault="0041061A" w:rsidP="00D81AA5">
            <w:pPr>
              <w:keepNext/>
              <w:ind w:right="-81"/>
              <w:contextualSpacing/>
              <w:jc w:val="center"/>
              <w:rPr>
                <w:rFonts w:cstheme="minorHAnsi"/>
                <w:sz w:val="22"/>
              </w:rPr>
            </w:pPr>
            <w:r w:rsidRPr="000A28DB">
              <w:rPr>
                <w:rFonts w:cstheme="minorHAnsi"/>
                <w:sz w:val="22"/>
              </w:rPr>
              <w:t>58%</w:t>
            </w:r>
          </w:p>
        </w:tc>
      </w:tr>
      <w:tr w:rsidR="00D81AA5" w:rsidRPr="000A28DB" w:rsidTr="00986BC1">
        <w:trPr>
          <w:trHeight w:val="562"/>
        </w:trPr>
        <w:tc>
          <w:tcPr>
            <w:tcW w:w="1629" w:type="pct"/>
            <w:shd w:val="clear" w:color="auto" w:fill="DBE5F1" w:themeFill="accent1" w:themeFillTint="33"/>
            <w:noWrap/>
            <w:vAlign w:val="center"/>
          </w:tcPr>
          <w:p w:rsidR="0041061A" w:rsidRPr="00A15BA5" w:rsidRDefault="00A713FC" w:rsidP="00D81AA5">
            <w:pPr>
              <w:keepNext/>
              <w:contextualSpacing/>
              <w:rPr>
                <w:rFonts w:cstheme="minorHAnsi"/>
                <w:b/>
                <w:sz w:val="22"/>
              </w:rPr>
            </w:pPr>
            <w:r>
              <w:rPr>
                <w:rFonts w:cstheme="minorHAnsi"/>
                <w:b/>
                <w:sz w:val="22"/>
              </w:rPr>
              <w:t>V</w:t>
            </w:r>
            <w:r w:rsidR="0041061A" w:rsidRPr="00A15BA5">
              <w:rPr>
                <w:rFonts w:cstheme="minorHAnsi"/>
                <w:b/>
                <w:sz w:val="22"/>
              </w:rPr>
              <w:t>acancies per 100 staff (recruitment rate)</w:t>
            </w:r>
          </w:p>
        </w:tc>
        <w:tc>
          <w:tcPr>
            <w:tcW w:w="674" w:type="pct"/>
            <w:shd w:val="clear" w:color="auto" w:fill="DBE5F1" w:themeFill="accent1" w:themeFillTint="33"/>
            <w:vAlign w:val="center"/>
          </w:tcPr>
          <w:p w:rsidR="0041061A" w:rsidRPr="000A28DB" w:rsidRDefault="0041061A" w:rsidP="00D81AA5">
            <w:pPr>
              <w:keepNext/>
              <w:ind w:right="-81"/>
              <w:contextualSpacing/>
              <w:jc w:val="center"/>
              <w:rPr>
                <w:rFonts w:cstheme="minorHAnsi"/>
                <w:sz w:val="22"/>
              </w:rPr>
            </w:pPr>
            <w:r w:rsidRPr="000A28DB">
              <w:rPr>
                <w:rFonts w:cstheme="minorHAnsi"/>
                <w:sz w:val="22"/>
              </w:rPr>
              <w:t>15</w:t>
            </w:r>
          </w:p>
        </w:tc>
        <w:tc>
          <w:tcPr>
            <w:tcW w:w="899" w:type="pct"/>
            <w:shd w:val="clear" w:color="auto" w:fill="DBE5F1" w:themeFill="accent1" w:themeFillTint="33"/>
            <w:vAlign w:val="center"/>
          </w:tcPr>
          <w:p w:rsidR="0041061A" w:rsidRPr="000A28DB" w:rsidRDefault="0041061A" w:rsidP="00D81AA5">
            <w:pPr>
              <w:keepNext/>
              <w:ind w:right="-81"/>
              <w:contextualSpacing/>
              <w:jc w:val="center"/>
              <w:rPr>
                <w:rFonts w:cstheme="minorHAnsi"/>
                <w:sz w:val="22"/>
              </w:rPr>
            </w:pPr>
            <w:r w:rsidRPr="000A28DB">
              <w:rPr>
                <w:rFonts w:cstheme="minorHAnsi"/>
                <w:sz w:val="22"/>
              </w:rPr>
              <w:t>24</w:t>
            </w:r>
          </w:p>
        </w:tc>
        <w:tc>
          <w:tcPr>
            <w:tcW w:w="898" w:type="pct"/>
            <w:shd w:val="clear" w:color="auto" w:fill="DBE5F1" w:themeFill="accent1" w:themeFillTint="33"/>
            <w:vAlign w:val="center"/>
          </w:tcPr>
          <w:p w:rsidR="0041061A" w:rsidRPr="000A28DB" w:rsidRDefault="0041061A" w:rsidP="00D81AA5">
            <w:pPr>
              <w:keepNext/>
              <w:ind w:right="-81"/>
              <w:contextualSpacing/>
              <w:jc w:val="center"/>
              <w:rPr>
                <w:rFonts w:cstheme="minorHAnsi"/>
                <w:sz w:val="22"/>
              </w:rPr>
            </w:pPr>
            <w:r w:rsidRPr="000A28DB">
              <w:rPr>
                <w:rFonts w:cstheme="minorHAnsi"/>
                <w:sz w:val="22"/>
              </w:rPr>
              <w:t>13</w:t>
            </w:r>
          </w:p>
        </w:tc>
        <w:tc>
          <w:tcPr>
            <w:tcW w:w="899" w:type="pct"/>
            <w:shd w:val="clear" w:color="auto" w:fill="DBE5F1" w:themeFill="accent1" w:themeFillTint="33"/>
            <w:vAlign w:val="center"/>
          </w:tcPr>
          <w:p w:rsidR="0041061A" w:rsidRPr="000A28DB" w:rsidRDefault="0041061A" w:rsidP="00D81AA5">
            <w:pPr>
              <w:keepNext/>
              <w:ind w:right="-81"/>
              <w:contextualSpacing/>
              <w:jc w:val="center"/>
              <w:rPr>
                <w:rFonts w:cstheme="minorHAnsi"/>
                <w:sz w:val="22"/>
              </w:rPr>
            </w:pPr>
            <w:r w:rsidRPr="000A28DB">
              <w:rPr>
                <w:rFonts w:cstheme="minorHAnsi"/>
                <w:sz w:val="22"/>
              </w:rPr>
              <w:t>17</w:t>
            </w:r>
          </w:p>
        </w:tc>
      </w:tr>
      <w:tr w:rsidR="00D81AA5" w:rsidRPr="000A28DB" w:rsidTr="00986BC1">
        <w:trPr>
          <w:cnfStyle w:val="000000010000" w:firstRow="0" w:lastRow="0" w:firstColumn="0" w:lastColumn="0" w:oddVBand="0" w:evenVBand="0" w:oddHBand="0" w:evenHBand="1" w:firstRowFirstColumn="0" w:firstRowLastColumn="0" w:lastRowFirstColumn="0" w:lastRowLastColumn="0"/>
          <w:trHeight w:val="532"/>
        </w:trPr>
        <w:tc>
          <w:tcPr>
            <w:tcW w:w="1629" w:type="pct"/>
            <w:shd w:val="clear" w:color="auto" w:fill="auto"/>
            <w:noWrap/>
            <w:vAlign w:val="center"/>
          </w:tcPr>
          <w:p w:rsidR="0041061A" w:rsidRPr="00A15BA5" w:rsidRDefault="0041061A" w:rsidP="00D81AA5">
            <w:pPr>
              <w:keepNext/>
              <w:contextualSpacing/>
              <w:rPr>
                <w:rFonts w:cstheme="minorHAnsi"/>
                <w:b/>
                <w:sz w:val="22"/>
              </w:rPr>
            </w:pPr>
            <w:r w:rsidRPr="00A15BA5">
              <w:rPr>
                <w:rFonts w:cstheme="minorHAnsi"/>
                <w:b/>
                <w:sz w:val="22"/>
              </w:rPr>
              <w:t>% of vacancies unfilled</w:t>
            </w:r>
          </w:p>
        </w:tc>
        <w:tc>
          <w:tcPr>
            <w:tcW w:w="674" w:type="pct"/>
            <w:shd w:val="clear" w:color="auto" w:fill="auto"/>
            <w:vAlign w:val="center"/>
          </w:tcPr>
          <w:p w:rsidR="0041061A" w:rsidRPr="000A28DB" w:rsidRDefault="0041061A" w:rsidP="00D81AA5">
            <w:pPr>
              <w:keepNext/>
              <w:ind w:right="-81"/>
              <w:contextualSpacing/>
              <w:jc w:val="center"/>
              <w:rPr>
                <w:rFonts w:cstheme="minorHAnsi"/>
                <w:sz w:val="22"/>
              </w:rPr>
            </w:pPr>
            <w:r w:rsidRPr="000A28DB">
              <w:rPr>
                <w:rFonts w:cstheme="minorHAnsi"/>
                <w:sz w:val="22"/>
              </w:rPr>
              <w:t>7.5%</w:t>
            </w:r>
          </w:p>
        </w:tc>
        <w:tc>
          <w:tcPr>
            <w:tcW w:w="899" w:type="pct"/>
            <w:shd w:val="clear" w:color="auto" w:fill="auto"/>
            <w:vAlign w:val="center"/>
          </w:tcPr>
          <w:p w:rsidR="0041061A" w:rsidRPr="000A28DB" w:rsidRDefault="0041061A" w:rsidP="00D81AA5">
            <w:pPr>
              <w:keepNext/>
              <w:ind w:right="-81"/>
              <w:contextualSpacing/>
              <w:jc w:val="center"/>
              <w:rPr>
                <w:rFonts w:cstheme="minorHAnsi"/>
                <w:sz w:val="22"/>
              </w:rPr>
            </w:pPr>
            <w:r w:rsidRPr="000A28DB">
              <w:rPr>
                <w:rFonts w:cstheme="minorHAnsi"/>
                <w:sz w:val="22"/>
              </w:rPr>
              <w:t>11.0%</w:t>
            </w:r>
          </w:p>
        </w:tc>
        <w:tc>
          <w:tcPr>
            <w:tcW w:w="898" w:type="pct"/>
            <w:shd w:val="clear" w:color="auto" w:fill="auto"/>
            <w:vAlign w:val="center"/>
          </w:tcPr>
          <w:p w:rsidR="0041061A" w:rsidRPr="000A28DB" w:rsidRDefault="0041061A" w:rsidP="00D81AA5">
            <w:pPr>
              <w:keepNext/>
              <w:ind w:right="-81"/>
              <w:contextualSpacing/>
              <w:jc w:val="center"/>
              <w:rPr>
                <w:rFonts w:cstheme="minorHAnsi"/>
                <w:sz w:val="22"/>
              </w:rPr>
            </w:pPr>
            <w:r w:rsidRPr="000A28DB">
              <w:rPr>
                <w:rFonts w:cstheme="minorHAnsi"/>
                <w:sz w:val="22"/>
              </w:rPr>
              <w:t>5.7%</w:t>
            </w:r>
          </w:p>
        </w:tc>
        <w:tc>
          <w:tcPr>
            <w:tcW w:w="899" w:type="pct"/>
            <w:shd w:val="clear" w:color="auto" w:fill="auto"/>
            <w:vAlign w:val="center"/>
          </w:tcPr>
          <w:p w:rsidR="0041061A" w:rsidRPr="000A28DB" w:rsidRDefault="0041061A" w:rsidP="00D81AA5">
            <w:pPr>
              <w:keepNext/>
              <w:ind w:right="-81"/>
              <w:contextualSpacing/>
              <w:jc w:val="center"/>
              <w:rPr>
                <w:rFonts w:cstheme="minorHAnsi"/>
                <w:sz w:val="22"/>
              </w:rPr>
            </w:pPr>
            <w:r w:rsidRPr="000A28DB">
              <w:rPr>
                <w:rFonts w:cstheme="minorHAnsi"/>
                <w:sz w:val="22"/>
              </w:rPr>
              <w:t>4.5%</w:t>
            </w:r>
          </w:p>
        </w:tc>
      </w:tr>
      <w:tr w:rsidR="00D81AA5" w:rsidRPr="000A28DB" w:rsidTr="00986BC1">
        <w:trPr>
          <w:trHeight w:val="532"/>
        </w:trPr>
        <w:tc>
          <w:tcPr>
            <w:tcW w:w="1629" w:type="pct"/>
            <w:shd w:val="clear" w:color="auto" w:fill="DBE5F1" w:themeFill="accent1" w:themeFillTint="33"/>
            <w:noWrap/>
            <w:vAlign w:val="center"/>
          </w:tcPr>
          <w:p w:rsidR="0041061A" w:rsidRPr="00A15BA5" w:rsidRDefault="0041061A" w:rsidP="004479D7">
            <w:pPr>
              <w:keepNext/>
              <w:spacing w:before="120"/>
              <w:contextualSpacing/>
              <w:rPr>
                <w:rFonts w:cstheme="minorHAnsi"/>
                <w:b/>
                <w:sz w:val="22"/>
              </w:rPr>
            </w:pPr>
            <w:r w:rsidRPr="00A15BA5">
              <w:rPr>
                <w:rFonts w:cstheme="minorHAnsi"/>
                <w:b/>
                <w:sz w:val="22"/>
              </w:rPr>
              <w:t>Proportion of employers who had recruitment difficulty</w:t>
            </w:r>
          </w:p>
        </w:tc>
        <w:tc>
          <w:tcPr>
            <w:tcW w:w="674" w:type="pct"/>
            <w:shd w:val="clear" w:color="auto" w:fill="DBE5F1" w:themeFill="accent1" w:themeFillTint="33"/>
            <w:vAlign w:val="center"/>
          </w:tcPr>
          <w:p w:rsidR="0041061A" w:rsidRPr="000A28DB" w:rsidRDefault="0041061A" w:rsidP="004479D7">
            <w:pPr>
              <w:keepNext/>
              <w:spacing w:before="120"/>
              <w:ind w:right="-81"/>
              <w:contextualSpacing/>
              <w:jc w:val="center"/>
              <w:rPr>
                <w:rFonts w:cstheme="minorHAnsi"/>
                <w:sz w:val="22"/>
              </w:rPr>
            </w:pPr>
            <w:r w:rsidRPr="000A28DB">
              <w:rPr>
                <w:rFonts w:cstheme="minorHAnsi"/>
                <w:sz w:val="22"/>
              </w:rPr>
              <w:t>55%</w:t>
            </w:r>
          </w:p>
        </w:tc>
        <w:tc>
          <w:tcPr>
            <w:tcW w:w="899" w:type="pct"/>
            <w:shd w:val="clear" w:color="auto" w:fill="DBE5F1" w:themeFill="accent1" w:themeFillTint="33"/>
            <w:vAlign w:val="center"/>
          </w:tcPr>
          <w:p w:rsidR="0041061A" w:rsidRPr="000A28DB" w:rsidRDefault="0041061A" w:rsidP="004479D7">
            <w:pPr>
              <w:keepNext/>
              <w:spacing w:before="120"/>
              <w:ind w:right="-81"/>
              <w:contextualSpacing/>
              <w:jc w:val="center"/>
              <w:rPr>
                <w:rFonts w:cstheme="minorHAnsi"/>
                <w:sz w:val="22"/>
              </w:rPr>
            </w:pPr>
            <w:r w:rsidRPr="000A28DB">
              <w:rPr>
                <w:rFonts w:cstheme="minorHAnsi"/>
                <w:sz w:val="22"/>
              </w:rPr>
              <w:t>57%</w:t>
            </w:r>
          </w:p>
        </w:tc>
        <w:tc>
          <w:tcPr>
            <w:tcW w:w="898" w:type="pct"/>
            <w:shd w:val="clear" w:color="auto" w:fill="DBE5F1" w:themeFill="accent1" w:themeFillTint="33"/>
            <w:vAlign w:val="center"/>
          </w:tcPr>
          <w:p w:rsidR="0041061A" w:rsidRPr="000A28DB" w:rsidRDefault="0041061A" w:rsidP="004479D7">
            <w:pPr>
              <w:keepNext/>
              <w:spacing w:before="120"/>
              <w:ind w:right="-81"/>
              <w:contextualSpacing/>
              <w:jc w:val="center"/>
              <w:rPr>
                <w:rFonts w:cstheme="minorHAnsi"/>
                <w:sz w:val="22"/>
              </w:rPr>
            </w:pPr>
            <w:r w:rsidRPr="000A28DB">
              <w:rPr>
                <w:rFonts w:cstheme="minorHAnsi"/>
                <w:sz w:val="22"/>
              </w:rPr>
              <w:t>54%</w:t>
            </w:r>
          </w:p>
        </w:tc>
        <w:tc>
          <w:tcPr>
            <w:tcW w:w="899" w:type="pct"/>
            <w:shd w:val="clear" w:color="auto" w:fill="DBE5F1" w:themeFill="accent1" w:themeFillTint="33"/>
            <w:vAlign w:val="center"/>
          </w:tcPr>
          <w:p w:rsidR="0041061A" w:rsidRPr="000A28DB" w:rsidRDefault="0041061A" w:rsidP="004479D7">
            <w:pPr>
              <w:keepNext/>
              <w:spacing w:before="120"/>
              <w:ind w:right="-81"/>
              <w:contextualSpacing/>
              <w:jc w:val="center"/>
              <w:rPr>
                <w:rFonts w:cstheme="minorHAnsi"/>
                <w:sz w:val="22"/>
              </w:rPr>
            </w:pPr>
            <w:r w:rsidRPr="000A28DB">
              <w:rPr>
                <w:rFonts w:cstheme="minorHAnsi"/>
                <w:sz w:val="22"/>
              </w:rPr>
              <w:t>49%</w:t>
            </w:r>
          </w:p>
        </w:tc>
      </w:tr>
    </w:tbl>
    <w:p w:rsidR="001B33DD" w:rsidRPr="006E2B08" w:rsidRDefault="001B33DD" w:rsidP="004479D7">
      <w:pPr>
        <w:pStyle w:val="RIESbriefreports"/>
        <w:spacing w:before="120" w:after="0"/>
        <w:rPr>
          <w:sz w:val="22"/>
          <w:szCs w:val="22"/>
        </w:rPr>
      </w:pPr>
      <w:bookmarkStart w:id="6" w:name="_Toc357424985"/>
      <w:bookmarkStart w:id="7" w:name="_Toc361229691"/>
    </w:p>
    <w:p w:rsidR="0041061A" w:rsidRPr="000D6063" w:rsidRDefault="007F0863" w:rsidP="004479D7">
      <w:pPr>
        <w:pStyle w:val="RIESbriefreports"/>
        <w:spacing w:before="120" w:after="0"/>
        <w:rPr>
          <w:sz w:val="32"/>
          <w:szCs w:val="32"/>
        </w:rPr>
      </w:pPr>
      <w:r w:rsidRPr="000D6063">
        <w:rPr>
          <w:sz w:val="32"/>
          <w:szCs w:val="32"/>
        </w:rPr>
        <w:t>Strong competition for v</w:t>
      </w:r>
      <w:r w:rsidR="0041061A" w:rsidRPr="000D6063">
        <w:rPr>
          <w:sz w:val="32"/>
          <w:szCs w:val="32"/>
        </w:rPr>
        <w:t>acancie</w:t>
      </w:r>
      <w:bookmarkEnd w:id="6"/>
      <w:bookmarkEnd w:id="7"/>
      <w:r w:rsidRPr="000D6063">
        <w:rPr>
          <w:sz w:val="32"/>
          <w:szCs w:val="32"/>
        </w:rPr>
        <w:t>s</w:t>
      </w:r>
    </w:p>
    <w:p w:rsidR="007D65CA" w:rsidRDefault="007D65CA" w:rsidP="002B2479">
      <w:pPr>
        <w:spacing w:after="120" w:line="240" w:lineRule="auto"/>
        <w:jc w:val="both"/>
        <w:rPr>
          <w:rFonts w:cstheme="minorHAnsi"/>
        </w:rPr>
      </w:pPr>
      <w:r>
        <w:rPr>
          <w:rFonts w:cstheme="minorHAnsi"/>
        </w:rPr>
        <w:t>Overall, competition for vacancies was strong in the Peel region</w:t>
      </w:r>
      <w:r w:rsidR="00B411B3">
        <w:rPr>
          <w:rFonts w:cstheme="minorHAnsi"/>
        </w:rPr>
        <w:t>.</w:t>
      </w:r>
      <w:r>
        <w:rPr>
          <w:rFonts w:cstheme="minorHAnsi"/>
        </w:rPr>
        <w:t xml:space="preserve"> </w:t>
      </w:r>
      <w:r w:rsidR="00B411B3">
        <w:rPr>
          <w:rFonts w:cstheme="minorHAnsi"/>
        </w:rPr>
        <w:t>Nonetheless</w:t>
      </w:r>
      <w:r>
        <w:rPr>
          <w:rFonts w:cstheme="minorHAnsi"/>
        </w:rPr>
        <w:t>, employers still had dif</w:t>
      </w:r>
      <w:r w:rsidR="00800B2D">
        <w:rPr>
          <w:rFonts w:cstheme="minorHAnsi"/>
        </w:rPr>
        <w:t xml:space="preserve">ficulty filling some vacancies, most notably for Technicians and Trades Workers and Labourers. </w:t>
      </w:r>
    </w:p>
    <w:p w:rsidR="00EB2309" w:rsidRDefault="002B2479" w:rsidP="00EB2309">
      <w:pPr>
        <w:pStyle w:val="ListParagraph"/>
        <w:numPr>
          <w:ilvl w:val="0"/>
          <w:numId w:val="26"/>
        </w:numPr>
        <w:spacing w:after="120" w:line="240" w:lineRule="auto"/>
        <w:jc w:val="both"/>
        <w:rPr>
          <w:rFonts w:cstheme="minorHAnsi"/>
        </w:rPr>
      </w:pPr>
      <w:r w:rsidRPr="00800B2D">
        <w:rPr>
          <w:rFonts w:cstheme="minorHAnsi"/>
        </w:rPr>
        <w:t>On average, employers had 10.7 applicants per vacancy in thei</w:t>
      </w:r>
      <w:r w:rsidR="00EB2309">
        <w:rPr>
          <w:rFonts w:cstheme="minorHAnsi"/>
        </w:rPr>
        <w:t>r most recent recruitment round, o</w:t>
      </w:r>
      <w:r w:rsidRPr="00800B2D">
        <w:rPr>
          <w:rFonts w:cstheme="minorHAnsi"/>
        </w:rPr>
        <w:t xml:space="preserve">f </w:t>
      </w:r>
      <w:r w:rsidR="00EB2309">
        <w:rPr>
          <w:rFonts w:cstheme="minorHAnsi"/>
        </w:rPr>
        <w:t xml:space="preserve">whom </w:t>
      </w:r>
      <w:r w:rsidR="00BB5C1C">
        <w:rPr>
          <w:rFonts w:cstheme="minorHAnsi"/>
        </w:rPr>
        <w:t>an average of 3.1</w:t>
      </w:r>
      <w:r w:rsidRPr="00800B2D">
        <w:rPr>
          <w:rFonts w:cstheme="minorHAnsi"/>
        </w:rPr>
        <w:t xml:space="preserve"> were interviewed </w:t>
      </w:r>
      <w:r w:rsidR="00EB2309">
        <w:rPr>
          <w:rFonts w:cstheme="minorHAnsi"/>
        </w:rPr>
        <w:t xml:space="preserve">with </w:t>
      </w:r>
      <w:r w:rsidRPr="00800B2D">
        <w:rPr>
          <w:rFonts w:cstheme="minorHAnsi"/>
        </w:rPr>
        <w:t xml:space="preserve">1.6 deemed </w:t>
      </w:r>
      <w:r w:rsidR="00EB2309">
        <w:rPr>
          <w:rFonts w:cstheme="minorHAnsi"/>
        </w:rPr>
        <w:t xml:space="preserve">to be </w:t>
      </w:r>
      <w:r w:rsidRPr="00800B2D">
        <w:rPr>
          <w:rFonts w:cstheme="minorHAnsi"/>
        </w:rPr>
        <w:t>suitable.</w:t>
      </w:r>
    </w:p>
    <w:p w:rsidR="006E2B08" w:rsidRPr="006E2B08" w:rsidRDefault="006E2B08" w:rsidP="006E2B08">
      <w:pPr>
        <w:pStyle w:val="ListParagraph"/>
        <w:spacing w:after="120" w:line="240" w:lineRule="auto"/>
        <w:jc w:val="both"/>
        <w:rPr>
          <w:rFonts w:cstheme="minorHAnsi"/>
          <w:sz w:val="12"/>
          <w:szCs w:val="12"/>
        </w:rPr>
      </w:pPr>
    </w:p>
    <w:p w:rsidR="00123C85" w:rsidRDefault="00EB2309" w:rsidP="00EB2309">
      <w:pPr>
        <w:pStyle w:val="ListParagraph"/>
        <w:numPr>
          <w:ilvl w:val="0"/>
          <w:numId w:val="26"/>
        </w:numPr>
        <w:spacing w:after="120" w:line="240" w:lineRule="auto"/>
        <w:jc w:val="both"/>
        <w:rPr>
          <w:rFonts w:cstheme="minorHAnsi"/>
        </w:rPr>
      </w:pPr>
      <w:r>
        <w:rPr>
          <w:rFonts w:cstheme="minorHAnsi"/>
        </w:rPr>
        <w:lastRenderedPageBreak/>
        <w:t>The a</w:t>
      </w:r>
      <w:r w:rsidR="00123C85" w:rsidRPr="00EB2309">
        <w:rPr>
          <w:rFonts w:cstheme="minorHAnsi"/>
        </w:rPr>
        <w:t xml:space="preserve">pplicant’s </w:t>
      </w:r>
      <w:r w:rsidR="00B411B3" w:rsidRPr="00EB2309">
        <w:rPr>
          <w:rFonts w:cstheme="minorHAnsi"/>
        </w:rPr>
        <w:t>experience and qualifications were</w:t>
      </w:r>
      <w:r w:rsidR="00123C85" w:rsidRPr="00EB2309">
        <w:rPr>
          <w:rFonts w:cstheme="minorHAnsi"/>
        </w:rPr>
        <w:t xml:space="preserve"> the most common reason employers cited for applicants not making it to</w:t>
      </w:r>
      <w:r>
        <w:rPr>
          <w:rFonts w:cstheme="minorHAnsi"/>
        </w:rPr>
        <w:t xml:space="preserve"> the</w:t>
      </w:r>
      <w:r w:rsidR="00123C85" w:rsidRPr="00EB2309">
        <w:rPr>
          <w:rFonts w:cstheme="minorHAnsi"/>
        </w:rPr>
        <w:t xml:space="preserve"> interview stage (59 per cent of employers). Some </w:t>
      </w:r>
      <w:r w:rsidR="00484666">
        <w:rPr>
          <w:rFonts w:cstheme="minorHAnsi"/>
        </w:rPr>
        <w:t xml:space="preserve">   </w:t>
      </w:r>
      <w:r w:rsidR="00123C85" w:rsidRPr="00EB2309">
        <w:rPr>
          <w:rFonts w:cstheme="minorHAnsi"/>
        </w:rPr>
        <w:t xml:space="preserve">13 per cent of employers also cited poor applications.  </w:t>
      </w:r>
    </w:p>
    <w:p w:rsidR="006E2B08" w:rsidRPr="006E2B08" w:rsidRDefault="006E2B08" w:rsidP="006E2B08">
      <w:pPr>
        <w:pStyle w:val="ListParagraph"/>
        <w:rPr>
          <w:rFonts w:cstheme="minorHAnsi"/>
          <w:sz w:val="12"/>
          <w:szCs w:val="12"/>
        </w:rPr>
      </w:pPr>
    </w:p>
    <w:p w:rsidR="00123C85" w:rsidRDefault="00565027" w:rsidP="002B2479">
      <w:pPr>
        <w:pStyle w:val="ListParagraph"/>
        <w:numPr>
          <w:ilvl w:val="0"/>
          <w:numId w:val="26"/>
        </w:numPr>
        <w:spacing w:after="120" w:line="240" w:lineRule="auto"/>
        <w:jc w:val="both"/>
        <w:rPr>
          <w:rFonts w:cstheme="minorHAnsi"/>
        </w:rPr>
      </w:pPr>
      <w:r w:rsidRPr="00800B2D">
        <w:rPr>
          <w:rFonts w:cstheme="minorHAnsi"/>
        </w:rPr>
        <w:t>Despite the high average number of applicants per vacancy, the u</w:t>
      </w:r>
      <w:r w:rsidR="002B2479" w:rsidRPr="00800B2D">
        <w:rPr>
          <w:rFonts w:cstheme="minorHAnsi"/>
        </w:rPr>
        <w:t>nfilled vacancy ra</w:t>
      </w:r>
      <w:r w:rsidRPr="00800B2D">
        <w:rPr>
          <w:rFonts w:cstheme="minorHAnsi"/>
        </w:rPr>
        <w:t>te in employers’ most recent recruitment round (8.0 per cent) was almost double the rate for all regions (4.3</w:t>
      </w:r>
      <w:r w:rsidR="00047C24" w:rsidRPr="00800B2D">
        <w:rPr>
          <w:rFonts w:cstheme="minorHAnsi"/>
        </w:rPr>
        <w:t> </w:t>
      </w:r>
      <w:r w:rsidRPr="00800B2D">
        <w:rPr>
          <w:rFonts w:cstheme="minorHAnsi"/>
        </w:rPr>
        <w:t>per</w:t>
      </w:r>
      <w:r w:rsidR="00047C24" w:rsidRPr="00800B2D">
        <w:rPr>
          <w:rFonts w:cstheme="minorHAnsi"/>
        </w:rPr>
        <w:t> </w:t>
      </w:r>
      <w:r w:rsidRPr="00800B2D">
        <w:rPr>
          <w:rFonts w:cstheme="minorHAnsi"/>
        </w:rPr>
        <w:t xml:space="preserve">cent). </w:t>
      </w:r>
    </w:p>
    <w:p w:rsidR="00800B2D" w:rsidRDefault="00565027" w:rsidP="00123C85">
      <w:pPr>
        <w:pStyle w:val="ListParagraph"/>
        <w:numPr>
          <w:ilvl w:val="1"/>
          <w:numId w:val="26"/>
        </w:numPr>
        <w:spacing w:after="120" w:line="240" w:lineRule="auto"/>
        <w:jc w:val="both"/>
        <w:rPr>
          <w:rFonts w:cstheme="minorHAnsi"/>
        </w:rPr>
      </w:pPr>
      <w:r w:rsidRPr="00800B2D">
        <w:rPr>
          <w:rFonts w:cstheme="minorHAnsi"/>
        </w:rPr>
        <w:t xml:space="preserve">Unfill rates were </w:t>
      </w:r>
      <w:r w:rsidR="002B2479" w:rsidRPr="00800B2D">
        <w:rPr>
          <w:rFonts w:cstheme="minorHAnsi"/>
        </w:rPr>
        <w:t>particularly high for Technicians and Trades Workers (16.7 per cent) and</w:t>
      </w:r>
      <w:r w:rsidR="00AE4380">
        <w:rPr>
          <w:rFonts w:cstheme="minorHAnsi"/>
        </w:rPr>
        <w:t xml:space="preserve"> Labourers (22.6 per cent)</w:t>
      </w:r>
      <w:r w:rsidR="00123C85">
        <w:rPr>
          <w:rFonts w:cstheme="minorHAnsi"/>
        </w:rPr>
        <w:t xml:space="preserve">. </w:t>
      </w:r>
    </w:p>
    <w:p w:rsidR="001B33DD" w:rsidRDefault="001B33DD" w:rsidP="0041061A">
      <w:pPr>
        <w:spacing w:after="0" w:line="240" w:lineRule="auto"/>
        <w:contextualSpacing/>
        <w:jc w:val="both"/>
        <w:rPr>
          <w:rFonts w:cstheme="minorHAnsi"/>
          <w:b/>
          <w:i/>
        </w:rPr>
      </w:pPr>
    </w:p>
    <w:p w:rsidR="0041061A" w:rsidRPr="000A28DB" w:rsidRDefault="0041061A" w:rsidP="0041061A">
      <w:pPr>
        <w:spacing w:after="0" w:line="240" w:lineRule="auto"/>
        <w:contextualSpacing/>
        <w:jc w:val="both"/>
        <w:rPr>
          <w:rFonts w:eastAsiaTheme="minorHAnsi" w:cstheme="minorHAnsi"/>
        </w:rPr>
      </w:pPr>
      <w:r w:rsidRPr="000A28DB">
        <w:rPr>
          <w:rFonts w:cstheme="minorHAnsi"/>
          <w:b/>
          <w:i/>
        </w:rPr>
        <w:t>Figure 1. Average number of applicants and suitable applicants per vacancy</w:t>
      </w:r>
    </w:p>
    <w:p w:rsidR="0041061A" w:rsidRDefault="000E5074" w:rsidP="00390E03">
      <w:pPr>
        <w:spacing w:after="0" w:line="240" w:lineRule="auto"/>
        <w:jc w:val="center"/>
        <w:rPr>
          <w:rFonts w:cstheme="minorHAnsi"/>
          <w:b/>
        </w:rPr>
      </w:pPr>
      <w:r w:rsidRPr="000E5074">
        <w:rPr>
          <w:noProof/>
          <w:lang w:eastAsia="en-AU"/>
        </w:rPr>
        <w:drawing>
          <wp:inline distT="0" distB="0" distL="0" distR="0" wp14:anchorId="216DBFBD" wp14:editId="0A6182D7">
            <wp:extent cx="5819775" cy="3390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5968" cy="3394508"/>
                    </a:xfrm>
                    <a:prstGeom prst="rect">
                      <a:avLst/>
                    </a:prstGeom>
                    <a:noFill/>
                    <a:ln>
                      <a:noFill/>
                    </a:ln>
                  </pic:spPr>
                </pic:pic>
              </a:graphicData>
            </a:graphic>
          </wp:inline>
        </w:drawing>
      </w:r>
    </w:p>
    <w:p w:rsidR="004479D7" w:rsidRDefault="004479D7" w:rsidP="00F94422">
      <w:pPr>
        <w:pStyle w:val="RIESbriefreports"/>
        <w:spacing w:before="120"/>
        <w:contextualSpacing/>
        <w:rPr>
          <w:sz w:val="32"/>
          <w:szCs w:val="32"/>
        </w:rPr>
      </w:pPr>
      <w:bookmarkStart w:id="8" w:name="_Toc329769411"/>
    </w:p>
    <w:p w:rsidR="00F94422" w:rsidRPr="000D6063" w:rsidRDefault="00F94422" w:rsidP="00F94422">
      <w:pPr>
        <w:pStyle w:val="RIESbriefreports"/>
        <w:spacing w:before="120"/>
        <w:contextualSpacing/>
        <w:rPr>
          <w:sz w:val="32"/>
          <w:szCs w:val="32"/>
        </w:rPr>
      </w:pPr>
      <w:r w:rsidRPr="000D6063">
        <w:rPr>
          <w:sz w:val="32"/>
          <w:szCs w:val="32"/>
        </w:rPr>
        <w:t>Regional diversity</w:t>
      </w:r>
    </w:p>
    <w:p w:rsidR="00800B2D" w:rsidRPr="00800B2D" w:rsidRDefault="008A1C19" w:rsidP="00800B2D">
      <w:pPr>
        <w:spacing w:after="120" w:line="240" w:lineRule="auto"/>
        <w:jc w:val="both"/>
        <w:rPr>
          <w:rFonts w:cstheme="minorHAnsi"/>
        </w:rPr>
      </w:pPr>
      <w:r>
        <w:rPr>
          <w:rFonts w:cstheme="minorHAnsi"/>
        </w:rPr>
        <w:t>T</w:t>
      </w:r>
      <w:r w:rsidR="00800B2D" w:rsidRPr="00800B2D">
        <w:rPr>
          <w:rFonts w:cstheme="minorHAnsi"/>
        </w:rPr>
        <w:t xml:space="preserve">he survey results highlight significant differences </w:t>
      </w:r>
      <w:r w:rsidR="00EB2309">
        <w:rPr>
          <w:rFonts w:cstheme="minorHAnsi"/>
        </w:rPr>
        <w:t xml:space="preserve">across the </w:t>
      </w:r>
      <w:proofErr w:type="spellStart"/>
      <w:r w:rsidR="00EB2309">
        <w:rPr>
          <w:rFonts w:cstheme="minorHAnsi"/>
        </w:rPr>
        <w:t>LGAs</w:t>
      </w:r>
      <w:proofErr w:type="spellEnd"/>
      <w:r w:rsidR="00EB2309">
        <w:rPr>
          <w:rFonts w:cstheme="minorHAnsi"/>
        </w:rPr>
        <w:t>.</w:t>
      </w:r>
      <w:r w:rsidR="00800B2D">
        <w:rPr>
          <w:rFonts w:cstheme="minorHAnsi"/>
        </w:rPr>
        <w:t xml:space="preserve"> </w:t>
      </w:r>
    </w:p>
    <w:p w:rsidR="00F94422" w:rsidRPr="00800B2D" w:rsidRDefault="00F94422" w:rsidP="00B548FB">
      <w:pPr>
        <w:spacing w:after="120"/>
        <w:jc w:val="both"/>
        <w:rPr>
          <w:rFonts w:cstheme="minorHAnsi"/>
          <w:b/>
        </w:rPr>
      </w:pPr>
      <w:r w:rsidRPr="00800B2D">
        <w:rPr>
          <w:rFonts w:cstheme="minorHAnsi"/>
          <w:b/>
        </w:rPr>
        <w:t>Boddington, Murray and Waroona</w:t>
      </w:r>
    </w:p>
    <w:p w:rsidR="00591857" w:rsidRDefault="00B411B3" w:rsidP="00447480">
      <w:pPr>
        <w:pStyle w:val="ListParagraph"/>
        <w:numPr>
          <w:ilvl w:val="0"/>
          <w:numId w:val="27"/>
        </w:numPr>
        <w:spacing w:after="120" w:line="240" w:lineRule="auto"/>
        <w:jc w:val="both"/>
        <w:rPr>
          <w:rFonts w:cstheme="minorHAnsi"/>
        </w:rPr>
      </w:pPr>
      <w:r>
        <w:rPr>
          <w:rFonts w:cstheme="minorHAnsi"/>
        </w:rPr>
        <w:t>T</w:t>
      </w:r>
      <w:r w:rsidR="001467E8" w:rsidRPr="009C6A31">
        <w:rPr>
          <w:rFonts w:cstheme="minorHAnsi"/>
        </w:rPr>
        <w:t xml:space="preserve">he unemployment rate for Boddington, Murray and Waroona </w:t>
      </w:r>
      <w:r w:rsidR="008A1C19">
        <w:rPr>
          <w:rFonts w:cstheme="minorHAnsi"/>
        </w:rPr>
        <w:t xml:space="preserve">in March 2013 </w:t>
      </w:r>
      <w:r w:rsidR="001467E8" w:rsidRPr="009C6A31">
        <w:rPr>
          <w:rFonts w:cstheme="minorHAnsi"/>
        </w:rPr>
        <w:t xml:space="preserve">was </w:t>
      </w:r>
      <w:r w:rsidR="00372899">
        <w:rPr>
          <w:rFonts w:cstheme="minorHAnsi"/>
        </w:rPr>
        <w:t xml:space="preserve">      </w:t>
      </w:r>
    </w:p>
    <w:p w:rsidR="009C6A31" w:rsidRDefault="001467E8" w:rsidP="00591857">
      <w:pPr>
        <w:pStyle w:val="ListParagraph"/>
        <w:spacing w:after="120" w:line="240" w:lineRule="auto"/>
        <w:jc w:val="both"/>
        <w:rPr>
          <w:rFonts w:cstheme="minorHAnsi"/>
        </w:rPr>
      </w:pPr>
      <w:r w:rsidRPr="009C6A31">
        <w:rPr>
          <w:rFonts w:cstheme="minorHAnsi"/>
        </w:rPr>
        <w:t>6.2</w:t>
      </w:r>
      <w:r w:rsidR="00B411B3">
        <w:rPr>
          <w:rFonts w:cstheme="minorHAnsi"/>
        </w:rPr>
        <w:t xml:space="preserve"> </w:t>
      </w:r>
      <w:r w:rsidR="00CB5E58">
        <w:rPr>
          <w:rFonts w:cstheme="minorHAnsi"/>
        </w:rPr>
        <w:t>per cent</w:t>
      </w:r>
      <w:r w:rsidR="008A1C19">
        <w:rPr>
          <w:rFonts w:cstheme="minorHAnsi"/>
        </w:rPr>
        <w:t>.</w:t>
      </w:r>
      <w:r w:rsidR="00123C85">
        <w:rPr>
          <w:rStyle w:val="FootnoteReference"/>
          <w:rFonts w:cstheme="minorHAnsi"/>
        </w:rPr>
        <w:footnoteReference w:id="8"/>
      </w:r>
      <w:r w:rsidR="00B411B3">
        <w:rPr>
          <w:rFonts w:cstheme="minorHAnsi"/>
        </w:rPr>
        <w:t xml:space="preserve"> </w:t>
      </w:r>
    </w:p>
    <w:p w:rsidR="009C6A31" w:rsidRDefault="00B548FB" w:rsidP="00447480">
      <w:pPr>
        <w:pStyle w:val="ListParagraph"/>
        <w:numPr>
          <w:ilvl w:val="0"/>
          <w:numId w:val="27"/>
        </w:numPr>
        <w:spacing w:after="120" w:line="240" w:lineRule="auto"/>
        <w:jc w:val="both"/>
        <w:rPr>
          <w:rFonts w:cstheme="minorHAnsi"/>
        </w:rPr>
      </w:pPr>
      <w:r>
        <w:rPr>
          <w:rFonts w:cstheme="minorHAnsi"/>
        </w:rPr>
        <w:t>The annual recruitment rate was relatively high</w:t>
      </w:r>
      <w:r w:rsidR="00800B2D" w:rsidRPr="009C6A31">
        <w:rPr>
          <w:rFonts w:cstheme="minorHAnsi"/>
        </w:rPr>
        <w:t xml:space="preserve"> </w:t>
      </w:r>
      <w:r w:rsidR="00F94422" w:rsidRPr="009C6A31">
        <w:rPr>
          <w:rFonts w:cstheme="minorHAnsi"/>
        </w:rPr>
        <w:t>(24 vacancies per 100 staff)</w:t>
      </w:r>
      <w:r w:rsidR="009C6A31">
        <w:rPr>
          <w:rFonts w:cstheme="minorHAnsi"/>
        </w:rPr>
        <w:t>.</w:t>
      </w:r>
    </w:p>
    <w:p w:rsidR="009C6A31" w:rsidRDefault="009C6A31" w:rsidP="00447480">
      <w:pPr>
        <w:pStyle w:val="ListParagraph"/>
        <w:numPr>
          <w:ilvl w:val="0"/>
          <w:numId w:val="27"/>
        </w:numPr>
        <w:spacing w:after="120" w:line="240" w:lineRule="auto"/>
        <w:jc w:val="both"/>
        <w:rPr>
          <w:rFonts w:cstheme="minorHAnsi"/>
        </w:rPr>
      </w:pPr>
      <w:r>
        <w:rPr>
          <w:rFonts w:cstheme="minorHAnsi"/>
        </w:rPr>
        <w:t>A</w:t>
      </w:r>
      <w:r w:rsidR="00F94422" w:rsidRPr="009C6A31">
        <w:rPr>
          <w:rFonts w:cstheme="minorHAnsi"/>
        </w:rPr>
        <w:t>verage applicant numbers fo</w:t>
      </w:r>
      <w:r w:rsidR="001467E8" w:rsidRPr="009C6A31">
        <w:rPr>
          <w:rFonts w:cstheme="minorHAnsi"/>
        </w:rPr>
        <w:t>r vacancies were relatively low</w:t>
      </w:r>
      <w:r w:rsidR="00F94422" w:rsidRPr="009C6A31">
        <w:rPr>
          <w:rFonts w:cstheme="minorHAnsi"/>
        </w:rPr>
        <w:t xml:space="preserve"> (6.9 applicants per vacancy)</w:t>
      </w:r>
      <w:r w:rsidR="001467E8" w:rsidRPr="009C6A31">
        <w:rPr>
          <w:rFonts w:cstheme="minorHAnsi"/>
        </w:rPr>
        <w:t>.</w:t>
      </w:r>
    </w:p>
    <w:p w:rsidR="008740A6" w:rsidRDefault="00EB2309" w:rsidP="00653688">
      <w:pPr>
        <w:pStyle w:val="ListParagraph"/>
        <w:numPr>
          <w:ilvl w:val="0"/>
          <w:numId w:val="27"/>
        </w:numPr>
        <w:spacing w:after="120" w:line="240" w:lineRule="auto"/>
        <w:jc w:val="both"/>
        <w:rPr>
          <w:rFonts w:cstheme="minorHAnsi"/>
        </w:rPr>
      </w:pPr>
      <w:r>
        <w:rPr>
          <w:rFonts w:cstheme="minorHAnsi"/>
        </w:rPr>
        <w:t>Half of employers r</w:t>
      </w:r>
      <w:r w:rsidR="00F94422" w:rsidRPr="009C6A31">
        <w:rPr>
          <w:rFonts w:cstheme="minorHAnsi"/>
        </w:rPr>
        <w:t xml:space="preserve">eported recruitment difficulty in their most recent recruitment round </w:t>
      </w:r>
      <w:r>
        <w:rPr>
          <w:rFonts w:cstheme="minorHAnsi"/>
        </w:rPr>
        <w:t>and a</w:t>
      </w:r>
      <w:r w:rsidR="00F94422" w:rsidRPr="009C6A31">
        <w:rPr>
          <w:rFonts w:cstheme="minorHAnsi"/>
        </w:rPr>
        <w:t>lmost two</w:t>
      </w:r>
      <w:r>
        <w:rPr>
          <w:rFonts w:cstheme="minorHAnsi"/>
        </w:rPr>
        <w:t xml:space="preserve"> </w:t>
      </w:r>
      <w:r w:rsidR="00F94422" w:rsidRPr="009C6A31">
        <w:rPr>
          <w:rFonts w:cstheme="minorHAnsi"/>
        </w:rPr>
        <w:t xml:space="preserve">thirds (61 per cent) of these employers cited skill requirements as a cause for </w:t>
      </w:r>
      <w:r>
        <w:rPr>
          <w:rFonts w:cstheme="minorHAnsi"/>
        </w:rPr>
        <w:t xml:space="preserve">their </w:t>
      </w:r>
      <w:r w:rsidR="00F94422" w:rsidRPr="009C6A31">
        <w:rPr>
          <w:rFonts w:cstheme="minorHAnsi"/>
        </w:rPr>
        <w:t xml:space="preserve">recruitment difficulty. </w:t>
      </w:r>
    </w:p>
    <w:p w:rsidR="00CE115A" w:rsidRDefault="00EB2309" w:rsidP="004C48BD">
      <w:pPr>
        <w:pStyle w:val="ListParagraph"/>
        <w:numPr>
          <w:ilvl w:val="0"/>
          <w:numId w:val="27"/>
        </w:numPr>
        <w:spacing w:after="240" w:line="240" w:lineRule="auto"/>
        <w:jc w:val="both"/>
        <w:rPr>
          <w:rFonts w:cstheme="minorHAnsi"/>
        </w:rPr>
      </w:pPr>
      <w:r>
        <w:rPr>
          <w:rFonts w:cstheme="minorHAnsi"/>
        </w:rPr>
        <w:t>The f</w:t>
      </w:r>
      <w:r w:rsidR="00F94422" w:rsidRPr="009C6A31">
        <w:rPr>
          <w:rFonts w:cstheme="minorHAnsi"/>
        </w:rPr>
        <w:t xml:space="preserve">ewer </w:t>
      </w:r>
      <w:r w:rsidR="00B218CF">
        <w:rPr>
          <w:rFonts w:cstheme="minorHAnsi"/>
        </w:rPr>
        <w:t>average</w:t>
      </w:r>
      <w:r>
        <w:rPr>
          <w:rFonts w:cstheme="minorHAnsi"/>
        </w:rPr>
        <w:t xml:space="preserve"> </w:t>
      </w:r>
      <w:r w:rsidR="00C91020">
        <w:rPr>
          <w:rFonts w:cstheme="minorHAnsi"/>
        </w:rPr>
        <w:t xml:space="preserve">number </w:t>
      </w:r>
      <w:r w:rsidR="00B218CF">
        <w:rPr>
          <w:rFonts w:cstheme="minorHAnsi"/>
        </w:rPr>
        <w:t xml:space="preserve">of </w:t>
      </w:r>
      <w:r w:rsidR="00F94422" w:rsidRPr="009C6A31">
        <w:rPr>
          <w:rFonts w:cstheme="minorHAnsi"/>
        </w:rPr>
        <w:t>applicants and greater recruitment difficulty resulted in a higher unfilled vacancy rate over the past year (11.0 per cent).</w:t>
      </w:r>
    </w:p>
    <w:p w:rsidR="00F95500" w:rsidRDefault="00F95500" w:rsidP="0048327B">
      <w:pPr>
        <w:spacing w:after="120"/>
        <w:jc w:val="both"/>
        <w:rPr>
          <w:rFonts w:cstheme="minorHAnsi"/>
          <w:b/>
        </w:rPr>
      </w:pPr>
    </w:p>
    <w:p w:rsidR="00F94422" w:rsidRPr="00800B2D" w:rsidRDefault="00F94422" w:rsidP="0048327B">
      <w:pPr>
        <w:spacing w:after="120"/>
        <w:jc w:val="both"/>
        <w:rPr>
          <w:rFonts w:cstheme="minorHAnsi"/>
          <w:b/>
        </w:rPr>
      </w:pPr>
      <w:r w:rsidRPr="00800B2D">
        <w:rPr>
          <w:rFonts w:cstheme="minorHAnsi"/>
          <w:b/>
        </w:rPr>
        <w:lastRenderedPageBreak/>
        <w:t>Mandurah and Serpentine-Jarrahdale</w:t>
      </w:r>
    </w:p>
    <w:p w:rsidR="008A7E15" w:rsidRDefault="00B411B3" w:rsidP="0048327B">
      <w:pPr>
        <w:pStyle w:val="ListParagraph"/>
        <w:numPr>
          <w:ilvl w:val="0"/>
          <w:numId w:val="28"/>
        </w:numPr>
        <w:spacing w:after="120" w:line="240" w:lineRule="auto"/>
        <w:jc w:val="both"/>
        <w:rPr>
          <w:rFonts w:cstheme="minorHAnsi"/>
        </w:rPr>
      </w:pPr>
      <w:r>
        <w:rPr>
          <w:rFonts w:cstheme="minorHAnsi"/>
        </w:rPr>
        <w:t>T</w:t>
      </w:r>
      <w:r w:rsidR="001467E8" w:rsidRPr="008A7E15">
        <w:rPr>
          <w:rFonts w:cstheme="minorHAnsi"/>
        </w:rPr>
        <w:t xml:space="preserve">he unemployment rate for Mandurah and Serpentine-Jarrahdale </w:t>
      </w:r>
      <w:r w:rsidR="008A1C19">
        <w:rPr>
          <w:rFonts w:cstheme="minorHAnsi"/>
        </w:rPr>
        <w:t xml:space="preserve">in March 2013 </w:t>
      </w:r>
      <w:r w:rsidR="001467E8" w:rsidRPr="008A7E15">
        <w:rPr>
          <w:rFonts w:cstheme="minorHAnsi"/>
        </w:rPr>
        <w:t>was 6.0</w:t>
      </w:r>
      <w:r w:rsidR="001821E1">
        <w:rPr>
          <w:rFonts w:cstheme="minorHAnsi"/>
        </w:rPr>
        <w:t> </w:t>
      </w:r>
      <w:r w:rsidR="001467E8" w:rsidRPr="008A7E15">
        <w:rPr>
          <w:rFonts w:cstheme="minorHAnsi"/>
        </w:rPr>
        <w:t>per</w:t>
      </w:r>
      <w:r w:rsidR="001821E1">
        <w:rPr>
          <w:rFonts w:cstheme="minorHAnsi"/>
        </w:rPr>
        <w:t> </w:t>
      </w:r>
      <w:r>
        <w:rPr>
          <w:rFonts w:cstheme="minorHAnsi"/>
        </w:rPr>
        <w:t>cent</w:t>
      </w:r>
      <w:r w:rsidR="008A1C19">
        <w:rPr>
          <w:rFonts w:cstheme="minorHAnsi"/>
        </w:rPr>
        <w:t>.</w:t>
      </w:r>
      <w:r>
        <w:rPr>
          <w:rFonts w:cstheme="minorHAnsi"/>
        </w:rPr>
        <w:t xml:space="preserve"> </w:t>
      </w:r>
      <w:r w:rsidR="00123C85">
        <w:rPr>
          <w:rStyle w:val="FootnoteReference"/>
          <w:rFonts w:cstheme="minorHAnsi"/>
        </w:rPr>
        <w:footnoteReference w:id="9"/>
      </w:r>
    </w:p>
    <w:p w:rsidR="008A7E15" w:rsidRDefault="00B548FB" w:rsidP="00447480">
      <w:pPr>
        <w:pStyle w:val="ListParagraph"/>
        <w:numPr>
          <w:ilvl w:val="0"/>
          <w:numId w:val="28"/>
        </w:numPr>
        <w:spacing w:after="120" w:line="240" w:lineRule="auto"/>
        <w:jc w:val="both"/>
        <w:rPr>
          <w:rFonts w:cstheme="minorHAnsi"/>
        </w:rPr>
      </w:pPr>
      <w:r>
        <w:rPr>
          <w:rFonts w:cstheme="minorHAnsi"/>
        </w:rPr>
        <w:t xml:space="preserve">The annual recruitment rate was low </w:t>
      </w:r>
      <w:r w:rsidR="00F94422" w:rsidRPr="008A7E15">
        <w:rPr>
          <w:rFonts w:cstheme="minorHAnsi"/>
        </w:rPr>
        <w:t>(13 vacancies per 100 staff)</w:t>
      </w:r>
      <w:r w:rsidR="001467E8" w:rsidRPr="008A7E15">
        <w:rPr>
          <w:rFonts w:cstheme="minorHAnsi"/>
        </w:rPr>
        <w:t>.</w:t>
      </w:r>
    </w:p>
    <w:p w:rsidR="008A7E15" w:rsidRDefault="00F94422" w:rsidP="00447480">
      <w:pPr>
        <w:pStyle w:val="ListParagraph"/>
        <w:numPr>
          <w:ilvl w:val="0"/>
          <w:numId w:val="28"/>
        </w:numPr>
        <w:spacing w:after="120" w:line="240" w:lineRule="auto"/>
        <w:jc w:val="both"/>
        <w:rPr>
          <w:rFonts w:cstheme="minorHAnsi"/>
        </w:rPr>
      </w:pPr>
      <w:r w:rsidRPr="008A7E15">
        <w:rPr>
          <w:rFonts w:cstheme="minorHAnsi"/>
        </w:rPr>
        <w:t>In line with</w:t>
      </w:r>
      <w:r w:rsidR="00C91020">
        <w:rPr>
          <w:rFonts w:cstheme="minorHAnsi"/>
        </w:rPr>
        <w:t xml:space="preserve"> the</w:t>
      </w:r>
      <w:r w:rsidRPr="008A7E15">
        <w:rPr>
          <w:rFonts w:cstheme="minorHAnsi"/>
        </w:rPr>
        <w:t xml:space="preserve"> subdued recruitment activity, average applicant numbers for vacancies were very high (13.1 applicants per vacancy).</w:t>
      </w:r>
      <w:r w:rsidR="001467E8" w:rsidRPr="008A7E15">
        <w:rPr>
          <w:rFonts w:cstheme="minorHAnsi"/>
        </w:rPr>
        <w:t xml:space="preserve"> </w:t>
      </w:r>
    </w:p>
    <w:p w:rsidR="003D1449" w:rsidRDefault="00C91020" w:rsidP="004479D7">
      <w:pPr>
        <w:pStyle w:val="ListParagraph"/>
        <w:numPr>
          <w:ilvl w:val="0"/>
          <w:numId w:val="28"/>
        </w:numPr>
        <w:spacing w:before="120" w:after="240" w:line="240" w:lineRule="auto"/>
        <w:jc w:val="both"/>
        <w:rPr>
          <w:rFonts w:cstheme="minorHAnsi"/>
        </w:rPr>
      </w:pPr>
      <w:r>
        <w:rPr>
          <w:rFonts w:cstheme="minorHAnsi"/>
        </w:rPr>
        <w:t xml:space="preserve">The </w:t>
      </w:r>
      <w:r w:rsidR="00B548FB">
        <w:rPr>
          <w:rFonts w:cstheme="minorHAnsi"/>
        </w:rPr>
        <w:t>low recruitment rate and high average applicant numbers resulted in a low</w:t>
      </w:r>
      <w:r w:rsidR="00094B59">
        <w:rPr>
          <w:rFonts w:cstheme="minorHAnsi"/>
        </w:rPr>
        <w:t>er</w:t>
      </w:r>
      <w:r w:rsidR="00B548FB">
        <w:rPr>
          <w:rFonts w:cstheme="minorHAnsi"/>
        </w:rPr>
        <w:t xml:space="preserve"> unfilled vacancy rate </w:t>
      </w:r>
      <w:r w:rsidR="00F94422" w:rsidRPr="008A7E15">
        <w:rPr>
          <w:rFonts w:cstheme="minorHAnsi"/>
        </w:rPr>
        <w:t>(5.7</w:t>
      </w:r>
      <w:r w:rsidR="001467E8" w:rsidRPr="008A7E15">
        <w:rPr>
          <w:rFonts w:cstheme="minorHAnsi"/>
        </w:rPr>
        <w:t> </w:t>
      </w:r>
      <w:r w:rsidR="00094B59">
        <w:rPr>
          <w:rFonts w:cstheme="minorHAnsi"/>
        </w:rPr>
        <w:t>per cent)</w:t>
      </w:r>
      <w:r w:rsidR="008A1C19">
        <w:rPr>
          <w:rFonts w:cstheme="minorHAnsi"/>
        </w:rPr>
        <w:t xml:space="preserve"> than </w:t>
      </w:r>
      <w:r w:rsidR="008A1C19" w:rsidRPr="008A1C19">
        <w:rPr>
          <w:rFonts w:cstheme="minorHAnsi"/>
        </w:rPr>
        <w:t>Boddington, Murray and Waroona</w:t>
      </w:r>
      <w:r w:rsidR="00094B59">
        <w:rPr>
          <w:rFonts w:cstheme="minorHAnsi"/>
        </w:rPr>
        <w:t xml:space="preserve">. However, </w:t>
      </w:r>
      <w:r w:rsidR="008A1C19">
        <w:rPr>
          <w:rFonts w:cstheme="minorHAnsi"/>
        </w:rPr>
        <w:t>the rate</w:t>
      </w:r>
      <w:r w:rsidR="00094B59">
        <w:rPr>
          <w:rFonts w:cstheme="minorHAnsi"/>
        </w:rPr>
        <w:t xml:space="preserve"> was still higher than the rate for all regions surveyed (4.5 per cent</w:t>
      </w:r>
      <w:r w:rsidR="00AE4380">
        <w:rPr>
          <w:rFonts w:cstheme="minorHAnsi"/>
        </w:rPr>
        <w:t>)</w:t>
      </w:r>
      <w:r w:rsidR="00094B59">
        <w:rPr>
          <w:rFonts w:cstheme="minorHAnsi"/>
        </w:rPr>
        <w:t xml:space="preserve">. </w:t>
      </w:r>
    </w:p>
    <w:bookmarkEnd w:id="8"/>
    <w:p w:rsidR="0041061A" w:rsidRPr="000D6063" w:rsidRDefault="00C65BAB" w:rsidP="004479D7">
      <w:pPr>
        <w:pStyle w:val="RIESbriefreports"/>
        <w:spacing w:before="120" w:after="240"/>
        <w:rPr>
          <w:sz w:val="32"/>
          <w:szCs w:val="32"/>
        </w:rPr>
      </w:pPr>
      <w:r w:rsidRPr="000D6063">
        <w:rPr>
          <w:sz w:val="32"/>
          <w:szCs w:val="32"/>
        </w:rPr>
        <w:t>Recruitment expectations cautious</w:t>
      </w:r>
    </w:p>
    <w:p w:rsidR="008740A6" w:rsidRDefault="008740A6" w:rsidP="00CE115A">
      <w:pPr>
        <w:spacing w:after="120" w:line="240" w:lineRule="auto"/>
        <w:jc w:val="both"/>
        <w:rPr>
          <w:rFonts w:cstheme="minorHAnsi"/>
        </w:rPr>
      </w:pPr>
      <w:r>
        <w:rPr>
          <w:rFonts w:cstheme="minorHAnsi"/>
        </w:rPr>
        <w:t>Recruitment expectations for the year fol</w:t>
      </w:r>
      <w:r w:rsidR="00C91020">
        <w:rPr>
          <w:rFonts w:cstheme="minorHAnsi"/>
        </w:rPr>
        <w:t xml:space="preserve">lowing the survey were cautious with almost two </w:t>
      </w:r>
      <w:r>
        <w:rPr>
          <w:rFonts w:cstheme="minorHAnsi"/>
        </w:rPr>
        <w:t>thirds of employers not planning to rec</w:t>
      </w:r>
      <w:r w:rsidR="00094B59">
        <w:rPr>
          <w:rFonts w:cstheme="minorHAnsi"/>
        </w:rPr>
        <w:t xml:space="preserve">ruit staff. Many employers </w:t>
      </w:r>
      <w:r>
        <w:rPr>
          <w:rFonts w:cstheme="minorHAnsi"/>
        </w:rPr>
        <w:t xml:space="preserve">cited future economic conditions as their single greatest concern. </w:t>
      </w:r>
    </w:p>
    <w:p w:rsidR="008740A6" w:rsidRDefault="00C91020" w:rsidP="00CE115A">
      <w:pPr>
        <w:pStyle w:val="ListParagraph"/>
        <w:numPr>
          <w:ilvl w:val="0"/>
          <w:numId w:val="29"/>
        </w:numPr>
        <w:spacing w:after="120" w:line="240" w:lineRule="auto"/>
        <w:jc w:val="both"/>
        <w:rPr>
          <w:rFonts w:cstheme="minorHAnsi"/>
        </w:rPr>
      </w:pPr>
      <w:r>
        <w:rPr>
          <w:rFonts w:cstheme="minorHAnsi"/>
        </w:rPr>
        <w:t xml:space="preserve">Across the </w:t>
      </w:r>
      <w:r w:rsidR="00F94422" w:rsidRPr="008740A6">
        <w:rPr>
          <w:rFonts w:cstheme="minorHAnsi"/>
        </w:rPr>
        <w:t>e</w:t>
      </w:r>
      <w:r>
        <w:rPr>
          <w:rFonts w:cstheme="minorHAnsi"/>
        </w:rPr>
        <w:t>ntire</w:t>
      </w:r>
      <w:r w:rsidR="00F94422" w:rsidRPr="008740A6">
        <w:rPr>
          <w:rFonts w:cstheme="minorHAnsi"/>
        </w:rPr>
        <w:t xml:space="preserve"> Peel region a lower proportion of employers expected to recruit in the year following the survey (35 per cent) compared with all regions surveyed in the year to March 2013 (42</w:t>
      </w:r>
      <w:r w:rsidR="00F444E6" w:rsidRPr="008740A6">
        <w:rPr>
          <w:rFonts w:cstheme="minorHAnsi"/>
        </w:rPr>
        <w:t> </w:t>
      </w:r>
      <w:r w:rsidR="00F94422" w:rsidRPr="008740A6">
        <w:rPr>
          <w:rFonts w:cstheme="minorHAnsi"/>
        </w:rPr>
        <w:t xml:space="preserve">per cent). </w:t>
      </w:r>
      <w:r w:rsidR="00012C24" w:rsidRPr="008740A6">
        <w:rPr>
          <w:rFonts w:cstheme="minorHAnsi"/>
        </w:rPr>
        <w:t xml:space="preserve">However, 19 per cent of surveyed employers still expected to increase staff numbers in the year following the survey. </w:t>
      </w:r>
    </w:p>
    <w:p w:rsidR="008740A6" w:rsidRDefault="00E3371A" w:rsidP="00CE115A">
      <w:pPr>
        <w:pStyle w:val="ListParagraph"/>
        <w:numPr>
          <w:ilvl w:val="0"/>
          <w:numId w:val="29"/>
        </w:numPr>
        <w:spacing w:after="120" w:line="240" w:lineRule="auto"/>
        <w:jc w:val="both"/>
        <w:rPr>
          <w:rFonts w:cstheme="minorHAnsi"/>
        </w:rPr>
      </w:pPr>
      <w:r w:rsidRPr="008740A6">
        <w:rPr>
          <w:rFonts w:cstheme="minorHAnsi"/>
        </w:rPr>
        <w:t>Rec</w:t>
      </w:r>
      <w:r w:rsidR="00094B59">
        <w:rPr>
          <w:rFonts w:cstheme="minorHAnsi"/>
        </w:rPr>
        <w:t>ruitment expectations were strongest</w:t>
      </w:r>
      <w:r w:rsidRPr="008740A6">
        <w:rPr>
          <w:rFonts w:cstheme="minorHAnsi"/>
        </w:rPr>
        <w:t xml:space="preserve"> in the Health Care and Social Assistance industry with 50 per cent of surveyed employers expecting to recruit</w:t>
      </w:r>
      <w:r w:rsidR="00C92115">
        <w:rPr>
          <w:rFonts w:cstheme="minorHAnsi"/>
        </w:rPr>
        <w:t>. Within the</w:t>
      </w:r>
      <w:r w:rsidRPr="008740A6">
        <w:rPr>
          <w:rFonts w:cstheme="minorHAnsi"/>
        </w:rPr>
        <w:t xml:space="preserve"> Accommodation and Food Services industry</w:t>
      </w:r>
      <w:r w:rsidR="00C92115">
        <w:rPr>
          <w:rFonts w:cstheme="minorHAnsi"/>
        </w:rPr>
        <w:t xml:space="preserve">, 43 per cent of employers </w:t>
      </w:r>
      <w:r w:rsidR="00DF1BFC">
        <w:rPr>
          <w:rFonts w:cstheme="minorHAnsi"/>
        </w:rPr>
        <w:t>anticipat</w:t>
      </w:r>
      <w:r w:rsidR="00C92115">
        <w:rPr>
          <w:rFonts w:cstheme="minorHAnsi"/>
        </w:rPr>
        <w:t>ed recruiting over the next</w:t>
      </w:r>
      <w:r w:rsidR="00BD5E71">
        <w:rPr>
          <w:rFonts w:cstheme="minorHAnsi"/>
        </w:rPr>
        <w:t xml:space="preserve">   </w:t>
      </w:r>
      <w:r w:rsidR="00C92115">
        <w:rPr>
          <w:rFonts w:cstheme="minorHAnsi"/>
        </w:rPr>
        <w:t xml:space="preserve"> 12 months</w:t>
      </w:r>
      <w:r w:rsidRPr="008740A6">
        <w:rPr>
          <w:rFonts w:cstheme="minorHAnsi"/>
        </w:rPr>
        <w:t>.</w:t>
      </w:r>
    </w:p>
    <w:p w:rsidR="00BF495A" w:rsidRPr="008740A6" w:rsidRDefault="00BF495A" w:rsidP="004479D7">
      <w:pPr>
        <w:pStyle w:val="ListParagraph"/>
        <w:numPr>
          <w:ilvl w:val="0"/>
          <w:numId w:val="29"/>
        </w:numPr>
        <w:spacing w:before="120" w:after="240" w:line="240" w:lineRule="auto"/>
        <w:jc w:val="both"/>
        <w:rPr>
          <w:rFonts w:cstheme="minorHAnsi"/>
        </w:rPr>
      </w:pPr>
      <w:r w:rsidRPr="008740A6">
        <w:rPr>
          <w:rFonts w:cstheme="minorHAnsi"/>
        </w:rPr>
        <w:t xml:space="preserve">Some 41 per cent of employers </w:t>
      </w:r>
      <w:r w:rsidR="008A1C19">
        <w:rPr>
          <w:rFonts w:cstheme="minorHAnsi"/>
        </w:rPr>
        <w:t>reported</w:t>
      </w:r>
      <w:r w:rsidRPr="008740A6">
        <w:rPr>
          <w:rFonts w:cstheme="minorHAnsi"/>
        </w:rPr>
        <w:t xml:space="preserve"> that their single greatest concern</w:t>
      </w:r>
      <w:r w:rsidR="00DF1BFC">
        <w:rPr>
          <w:rFonts w:cstheme="minorHAnsi"/>
        </w:rPr>
        <w:t xml:space="preserve"> over the n</w:t>
      </w:r>
      <w:r w:rsidRPr="008740A6">
        <w:rPr>
          <w:rFonts w:cstheme="minorHAnsi"/>
        </w:rPr>
        <w:t>ext</w:t>
      </w:r>
      <w:r w:rsidR="00DF1BFC">
        <w:rPr>
          <w:rFonts w:cstheme="minorHAnsi"/>
        </w:rPr>
        <w:t xml:space="preserve"> </w:t>
      </w:r>
      <w:r w:rsidR="00BD5E71">
        <w:rPr>
          <w:rFonts w:cstheme="minorHAnsi"/>
        </w:rPr>
        <w:t xml:space="preserve">   </w:t>
      </w:r>
      <w:r w:rsidR="00DF1BFC">
        <w:rPr>
          <w:rFonts w:cstheme="minorHAnsi"/>
        </w:rPr>
        <w:t xml:space="preserve">12 months was </w:t>
      </w:r>
      <w:r w:rsidRPr="008740A6">
        <w:rPr>
          <w:rFonts w:cstheme="minorHAnsi"/>
        </w:rPr>
        <w:t>demand/economic conditions.</w:t>
      </w:r>
      <w:r w:rsidR="00E943B9" w:rsidRPr="008740A6">
        <w:rPr>
          <w:rFonts w:cstheme="minorHAnsi"/>
        </w:rPr>
        <w:t xml:space="preserve"> </w:t>
      </w:r>
    </w:p>
    <w:p w:rsidR="0041061A" w:rsidRPr="000D6063" w:rsidRDefault="00AE493A" w:rsidP="004479D7">
      <w:pPr>
        <w:pStyle w:val="RIESbriefreports"/>
        <w:spacing w:before="120" w:after="240"/>
        <w:rPr>
          <w:sz w:val="32"/>
          <w:szCs w:val="32"/>
        </w:rPr>
      </w:pPr>
      <w:bookmarkStart w:id="9" w:name="_Toc357424988"/>
      <w:bookmarkStart w:id="10" w:name="_Toc361229693"/>
      <w:r>
        <w:rPr>
          <w:sz w:val="32"/>
          <w:szCs w:val="32"/>
        </w:rPr>
        <w:t>Opportunities for job s</w:t>
      </w:r>
      <w:r w:rsidR="0041061A" w:rsidRPr="000D6063">
        <w:rPr>
          <w:sz w:val="32"/>
          <w:szCs w:val="32"/>
        </w:rPr>
        <w:t>eekers</w:t>
      </w:r>
      <w:bookmarkEnd w:id="9"/>
      <w:bookmarkEnd w:id="10"/>
    </w:p>
    <w:p w:rsidR="0041061A" w:rsidRDefault="0041061A" w:rsidP="00CE115A">
      <w:pPr>
        <w:spacing w:after="120" w:line="240" w:lineRule="auto"/>
        <w:jc w:val="both"/>
        <w:rPr>
          <w:rFonts w:cstheme="minorHAnsi"/>
        </w:rPr>
      </w:pPr>
      <w:r w:rsidRPr="000A28DB">
        <w:rPr>
          <w:rFonts w:cstheme="minorHAnsi"/>
        </w:rPr>
        <w:t>The soft</w:t>
      </w:r>
      <w:r w:rsidR="00F4425F">
        <w:rPr>
          <w:rFonts w:cstheme="minorHAnsi"/>
        </w:rPr>
        <w:t>er</w:t>
      </w:r>
      <w:r w:rsidRPr="000A28DB">
        <w:rPr>
          <w:rFonts w:cstheme="minorHAnsi"/>
        </w:rPr>
        <w:t xml:space="preserve"> labour market conditions in parts of the Peel </w:t>
      </w:r>
      <w:r w:rsidR="00E167EE">
        <w:rPr>
          <w:rFonts w:cstheme="minorHAnsi"/>
        </w:rPr>
        <w:t xml:space="preserve">region </w:t>
      </w:r>
      <w:r w:rsidRPr="000A28DB">
        <w:rPr>
          <w:rFonts w:cstheme="minorHAnsi"/>
        </w:rPr>
        <w:t xml:space="preserve">may present </w:t>
      </w:r>
      <w:r w:rsidR="00F4425F">
        <w:rPr>
          <w:rFonts w:cstheme="minorHAnsi"/>
        </w:rPr>
        <w:t xml:space="preserve">some </w:t>
      </w:r>
      <w:r w:rsidRPr="000A28DB">
        <w:rPr>
          <w:rFonts w:cstheme="minorHAnsi"/>
        </w:rPr>
        <w:t>challenges to job seekers. However, the survey result</w:t>
      </w:r>
      <w:r w:rsidR="00E3371A">
        <w:rPr>
          <w:rFonts w:cstheme="minorHAnsi"/>
        </w:rPr>
        <w:t>s indicate that there are</w:t>
      </w:r>
      <w:r w:rsidRPr="000A28DB">
        <w:rPr>
          <w:rFonts w:cstheme="minorHAnsi"/>
        </w:rPr>
        <w:t xml:space="preserve"> opportunities for job seekers in growth industries, including </w:t>
      </w:r>
      <w:r w:rsidRPr="000A28DB">
        <w:rPr>
          <w:rFonts w:eastAsiaTheme="minorHAnsi" w:cstheme="minorHAnsi"/>
        </w:rPr>
        <w:t>Health Care and Social Assistance and industries experiencing a high level of staff turnover, such as Accommodation and Food Services and Retail Trade</w:t>
      </w:r>
      <w:r w:rsidR="008740A6">
        <w:rPr>
          <w:rFonts w:cstheme="minorHAnsi"/>
        </w:rPr>
        <w:t xml:space="preserve">. </w:t>
      </w:r>
    </w:p>
    <w:p w:rsidR="00E22DA1" w:rsidRPr="00E22DA1" w:rsidRDefault="00E22DA1" w:rsidP="00CE115A">
      <w:pPr>
        <w:spacing w:after="120" w:line="240" w:lineRule="auto"/>
        <w:jc w:val="both"/>
        <w:rPr>
          <w:rFonts w:cstheme="minorHAnsi"/>
          <w:color w:val="000000" w:themeColor="text1"/>
          <w:kern w:val="24"/>
        </w:rPr>
      </w:pPr>
      <w:r>
        <w:rPr>
          <w:rFonts w:cstheme="minorHAnsi"/>
          <w:color w:val="000000" w:themeColor="text1"/>
          <w:kern w:val="24"/>
        </w:rPr>
        <w:t>Moreover, m</w:t>
      </w:r>
      <w:r w:rsidRPr="000A28DB">
        <w:rPr>
          <w:rFonts w:cstheme="minorHAnsi"/>
          <w:color w:val="000000" w:themeColor="text1"/>
          <w:kern w:val="24"/>
        </w:rPr>
        <w:t>any surveyed e</w:t>
      </w:r>
      <w:r>
        <w:rPr>
          <w:rFonts w:cstheme="minorHAnsi"/>
          <w:color w:val="000000" w:themeColor="text1"/>
          <w:kern w:val="24"/>
        </w:rPr>
        <w:t xml:space="preserve">mployers </w:t>
      </w:r>
      <w:r w:rsidRPr="000A28DB">
        <w:rPr>
          <w:rFonts w:cstheme="minorHAnsi"/>
          <w:color w:val="000000" w:themeColor="text1"/>
          <w:kern w:val="24"/>
        </w:rPr>
        <w:t xml:space="preserve">reported recruitment difficulty and that a majority of job applicants were unsuitable. </w:t>
      </w:r>
      <w:r>
        <w:rPr>
          <w:rFonts w:cstheme="minorHAnsi"/>
          <w:color w:val="000000" w:themeColor="text1"/>
          <w:kern w:val="24"/>
        </w:rPr>
        <w:t xml:space="preserve">There was a high unfilled </w:t>
      </w:r>
      <w:r w:rsidR="00D24C65">
        <w:rPr>
          <w:rFonts w:cstheme="minorHAnsi"/>
          <w:color w:val="000000" w:themeColor="text1"/>
          <w:kern w:val="24"/>
        </w:rPr>
        <w:t xml:space="preserve">vacancy rate </w:t>
      </w:r>
      <w:r>
        <w:rPr>
          <w:rFonts w:cstheme="minorHAnsi"/>
          <w:color w:val="000000" w:themeColor="text1"/>
          <w:kern w:val="24"/>
        </w:rPr>
        <w:t xml:space="preserve">for Technicians and Trades Workers </w:t>
      </w:r>
      <w:r w:rsidR="00D24C65">
        <w:rPr>
          <w:rFonts w:cstheme="minorHAnsi"/>
          <w:color w:val="000000" w:themeColor="text1"/>
          <w:kern w:val="24"/>
        </w:rPr>
        <w:t xml:space="preserve">and </w:t>
      </w:r>
      <w:r w:rsidR="00D24C65">
        <w:rPr>
          <w:rFonts w:cstheme="minorHAnsi"/>
        </w:rPr>
        <w:t>almost two thirds of employers recruiting for this occupation report</w:t>
      </w:r>
      <w:r w:rsidR="008E0D91">
        <w:rPr>
          <w:rFonts w:cstheme="minorHAnsi"/>
        </w:rPr>
        <w:t>ed</w:t>
      </w:r>
      <w:r w:rsidR="00D24C65">
        <w:rPr>
          <w:rFonts w:cstheme="minorHAnsi"/>
        </w:rPr>
        <w:t xml:space="preserve"> difficulty, </w:t>
      </w:r>
      <w:r>
        <w:rPr>
          <w:rFonts w:cstheme="minorHAnsi"/>
          <w:color w:val="000000" w:themeColor="text1"/>
          <w:kern w:val="24"/>
        </w:rPr>
        <w:t>indicating some skill shortages in the region</w:t>
      </w:r>
      <w:r w:rsidR="00ED0206">
        <w:rPr>
          <w:rFonts w:cstheme="minorHAnsi"/>
          <w:color w:val="000000" w:themeColor="text1"/>
          <w:kern w:val="24"/>
        </w:rPr>
        <w:t xml:space="preserve">. This suggests that opportunities are available to job seekers with the relevant qualifications and experience. </w:t>
      </w:r>
    </w:p>
    <w:p w:rsidR="00547294" w:rsidRDefault="00E22DA1" w:rsidP="00CE115A">
      <w:pPr>
        <w:spacing w:after="120" w:line="240" w:lineRule="auto"/>
        <w:jc w:val="both"/>
        <w:rPr>
          <w:rFonts w:cstheme="minorHAnsi"/>
        </w:rPr>
      </w:pPr>
      <w:r>
        <w:rPr>
          <w:rFonts w:cstheme="minorHAnsi"/>
        </w:rPr>
        <w:t>In the next year</w:t>
      </w:r>
      <w:r w:rsidR="008D07D0">
        <w:rPr>
          <w:rFonts w:cstheme="minorHAnsi"/>
        </w:rPr>
        <w:t>,</w:t>
      </w:r>
      <w:r>
        <w:rPr>
          <w:rFonts w:cstheme="minorHAnsi"/>
        </w:rPr>
        <w:t xml:space="preserve"> employers </w:t>
      </w:r>
      <w:r w:rsidR="00547294" w:rsidRPr="000A28DB">
        <w:rPr>
          <w:rFonts w:cstheme="minorHAnsi"/>
        </w:rPr>
        <w:t>anticipated recruiting for a range of higher and lower skilled occupations, including Sales Assistants, Waiters, Bar Attendants and Baristas, General Clerks, Kitchenhands, Motor Mechanics, Structural Steel and Welding Trades Workers and Metal Fitters and Machinists.</w:t>
      </w:r>
      <w:r>
        <w:rPr>
          <w:rFonts w:cstheme="minorHAnsi"/>
        </w:rPr>
        <w:t xml:space="preserve"> Opportunities will also be available for job seekers in the broader Perth labour market.</w:t>
      </w:r>
    </w:p>
    <w:p w:rsidR="001C5D89" w:rsidRDefault="001C5D89" w:rsidP="0048327B">
      <w:pPr>
        <w:spacing w:before="120" w:after="240" w:line="240" w:lineRule="auto"/>
        <w:jc w:val="both"/>
        <w:rPr>
          <w:rFonts w:hAnsi="Calibri"/>
          <w:color w:val="000000" w:themeColor="text1"/>
          <w:kern w:val="24"/>
        </w:rPr>
      </w:pPr>
      <w:r>
        <w:rPr>
          <w:rFonts w:cstheme="minorHAnsi"/>
        </w:rPr>
        <w:t xml:space="preserve">There are also opportunities in the broader Perth area. While transport can be an issue, </w:t>
      </w:r>
      <w:r w:rsidR="00F4425F">
        <w:rPr>
          <w:rFonts w:cstheme="minorHAnsi"/>
        </w:rPr>
        <w:t>s</w:t>
      </w:r>
      <w:r w:rsidR="00F4425F">
        <w:rPr>
          <w:rFonts w:hAnsi="Calibri"/>
          <w:color w:val="000000" w:themeColor="text1"/>
          <w:kern w:val="24"/>
        </w:rPr>
        <w:t xml:space="preserve">ome </w:t>
      </w:r>
      <w:r w:rsidR="004C1C17">
        <w:rPr>
          <w:rFonts w:hAnsi="Calibri"/>
          <w:color w:val="000000" w:themeColor="text1"/>
          <w:kern w:val="24"/>
        </w:rPr>
        <w:t xml:space="preserve">        </w:t>
      </w:r>
      <w:r w:rsidR="00F4425F">
        <w:rPr>
          <w:rFonts w:hAnsi="Calibri"/>
          <w:color w:val="000000" w:themeColor="text1"/>
          <w:kern w:val="24"/>
        </w:rPr>
        <w:t>40</w:t>
      </w:r>
      <w:r w:rsidR="004C7459">
        <w:rPr>
          <w:rFonts w:hAnsi="Calibri"/>
          <w:color w:val="000000" w:themeColor="text1"/>
          <w:kern w:val="24"/>
        </w:rPr>
        <w:t xml:space="preserve"> </w:t>
      </w:r>
      <w:r w:rsidR="00F4425F">
        <w:rPr>
          <w:rFonts w:hAnsi="Calibri"/>
          <w:color w:val="000000" w:themeColor="text1"/>
          <w:kern w:val="24"/>
        </w:rPr>
        <w:t xml:space="preserve">per cent of the employed working age population living in the Peel </w:t>
      </w:r>
      <w:r w:rsidR="000E591A">
        <w:rPr>
          <w:rFonts w:hAnsi="Calibri"/>
          <w:color w:val="000000" w:themeColor="text1"/>
          <w:kern w:val="24"/>
        </w:rPr>
        <w:t>region</w:t>
      </w:r>
      <w:r w:rsidR="00F4425F">
        <w:rPr>
          <w:rFonts w:hAnsi="Calibri"/>
          <w:color w:val="000000" w:themeColor="text1"/>
          <w:kern w:val="24"/>
        </w:rPr>
        <w:t xml:space="preserve"> </w:t>
      </w:r>
      <w:r w:rsidR="000E591A">
        <w:rPr>
          <w:rFonts w:hAnsi="Calibri"/>
          <w:color w:val="000000" w:themeColor="text1"/>
          <w:kern w:val="24"/>
        </w:rPr>
        <w:t xml:space="preserve">already </w:t>
      </w:r>
      <w:r w:rsidR="00F4425F">
        <w:rPr>
          <w:rFonts w:hAnsi="Calibri"/>
          <w:color w:val="000000" w:themeColor="text1"/>
          <w:kern w:val="24"/>
        </w:rPr>
        <w:t xml:space="preserve">travel outside the </w:t>
      </w:r>
      <w:r w:rsidR="000E591A">
        <w:rPr>
          <w:rFonts w:hAnsi="Calibri"/>
          <w:color w:val="000000" w:themeColor="text1"/>
          <w:kern w:val="24"/>
        </w:rPr>
        <w:t xml:space="preserve">region for work. </w:t>
      </w:r>
    </w:p>
    <w:p w:rsidR="00C73715" w:rsidRDefault="00C73715">
      <w:pPr>
        <w:rPr>
          <w:rFonts w:hAnsi="Calibri"/>
          <w:color w:val="000000" w:themeColor="text1"/>
          <w:kern w:val="24"/>
        </w:rPr>
      </w:pPr>
      <w:r>
        <w:rPr>
          <w:rFonts w:hAnsi="Calibri"/>
          <w:color w:val="000000" w:themeColor="text1"/>
          <w:kern w:val="24"/>
        </w:rPr>
        <w:br w:type="page"/>
      </w:r>
    </w:p>
    <w:p w:rsidR="0041061A" w:rsidRPr="000D6063" w:rsidRDefault="00AE493A" w:rsidP="0048327B">
      <w:pPr>
        <w:pStyle w:val="RIESbriefreports"/>
        <w:spacing w:before="120" w:after="240"/>
        <w:rPr>
          <w:sz w:val="32"/>
          <w:szCs w:val="32"/>
        </w:rPr>
      </w:pPr>
      <w:bookmarkStart w:id="11" w:name="_Toc361229694"/>
      <w:r>
        <w:rPr>
          <w:sz w:val="32"/>
          <w:szCs w:val="32"/>
        </w:rPr>
        <w:lastRenderedPageBreak/>
        <w:t>More i</w:t>
      </w:r>
      <w:r w:rsidR="0041061A" w:rsidRPr="000D6063">
        <w:rPr>
          <w:sz w:val="32"/>
          <w:szCs w:val="32"/>
        </w:rPr>
        <w:t>nformation</w:t>
      </w:r>
      <w:bookmarkEnd w:id="11"/>
    </w:p>
    <w:p w:rsidR="0041061A" w:rsidRPr="000A28DB" w:rsidRDefault="0041061A" w:rsidP="00C73715">
      <w:pPr>
        <w:spacing w:after="120" w:line="240" w:lineRule="auto"/>
        <w:rPr>
          <w:rStyle w:val="Hyperlink"/>
          <w:rFonts w:cstheme="minorHAnsi"/>
          <w:b/>
          <w:color w:val="00529C"/>
          <w:u w:val="none"/>
        </w:rPr>
      </w:pPr>
      <w:r w:rsidRPr="000A28DB">
        <w:rPr>
          <w:rFonts w:cstheme="minorHAnsi"/>
          <w:color w:val="000000" w:themeColor="text1"/>
        </w:rPr>
        <w:t>Survey of Employers’ Recruitment Experiences:</w:t>
      </w:r>
      <w:r w:rsidRPr="000A28DB">
        <w:rPr>
          <w:rFonts w:cstheme="minorHAnsi"/>
          <w:b/>
          <w:color w:val="00529C"/>
        </w:rPr>
        <w:t xml:space="preserve"> </w:t>
      </w:r>
      <w:hyperlink r:id="rId12" w:history="1">
        <w:r w:rsidRPr="000A28DB">
          <w:rPr>
            <w:rStyle w:val="Hyperlink"/>
            <w:rFonts w:cstheme="minorHAnsi"/>
            <w:b/>
            <w:color w:val="00529C"/>
          </w:rPr>
          <w:t>www.deewr.gov.au/regionalreports</w:t>
        </w:r>
      </w:hyperlink>
    </w:p>
    <w:p w:rsidR="0041061A" w:rsidRPr="000A28DB" w:rsidRDefault="0041061A" w:rsidP="00C73715">
      <w:pPr>
        <w:spacing w:after="120" w:line="240" w:lineRule="auto"/>
        <w:rPr>
          <w:rFonts w:cstheme="minorHAnsi"/>
          <w:b/>
          <w:color w:val="00529C"/>
        </w:rPr>
      </w:pPr>
      <w:r w:rsidRPr="000A28DB">
        <w:rPr>
          <w:rFonts w:cstheme="minorHAnsi"/>
          <w:color w:val="000000" w:themeColor="text1"/>
        </w:rPr>
        <w:t>Labour Market Information Portal:</w:t>
      </w:r>
      <w:r w:rsidRPr="000A28DB">
        <w:rPr>
          <w:rFonts w:cstheme="minorHAnsi"/>
          <w:b/>
          <w:color w:val="00529C"/>
        </w:rPr>
        <w:t xml:space="preserve"> </w:t>
      </w:r>
      <w:hyperlink r:id="rId13" w:history="1">
        <w:r w:rsidRPr="000A28DB">
          <w:rPr>
            <w:rStyle w:val="Hyperlink"/>
            <w:rFonts w:cstheme="minorHAnsi"/>
            <w:b/>
            <w:color w:val="00529C"/>
          </w:rPr>
          <w:t>www.deewr.gov.au/lmip</w:t>
        </w:r>
      </w:hyperlink>
    </w:p>
    <w:p w:rsidR="0041061A" w:rsidRPr="000A28DB" w:rsidRDefault="0041061A" w:rsidP="00C73715">
      <w:pPr>
        <w:spacing w:after="120" w:line="240" w:lineRule="auto"/>
        <w:rPr>
          <w:rStyle w:val="Hyperlink"/>
          <w:rFonts w:cstheme="minorHAnsi"/>
          <w:b/>
          <w:color w:val="00529C"/>
          <w:u w:val="none"/>
        </w:rPr>
      </w:pPr>
      <w:r w:rsidRPr="000A28DB">
        <w:rPr>
          <w:rFonts w:cstheme="minorHAnsi"/>
          <w:color w:val="000000" w:themeColor="text1"/>
        </w:rPr>
        <w:t>Skill Shortages:</w:t>
      </w:r>
      <w:r w:rsidRPr="000A28DB">
        <w:rPr>
          <w:rFonts w:cstheme="minorHAnsi"/>
          <w:b/>
          <w:color w:val="00529C"/>
        </w:rPr>
        <w:t xml:space="preserve"> </w:t>
      </w:r>
      <w:r w:rsidRPr="000A28DB">
        <w:rPr>
          <w:rStyle w:val="Hyperlink"/>
          <w:rFonts w:cstheme="minorHAnsi"/>
          <w:b/>
          <w:color w:val="00529C"/>
        </w:rPr>
        <w:t>www.deewr.gov.au/skillshortages</w:t>
      </w:r>
    </w:p>
    <w:p w:rsidR="0041061A" w:rsidRPr="000A28DB" w:rsidRDefault="0041061A" w:rsidP="00C73715">
      <w:pPr>
        <w:spacing w:after="120" w:line="240" w:lineRule="auto"/>
        <w:rPr>
          <w:rStyle w:val="Hyperlink"/>
          <w:rFonts w:cstheme="minorHAnsi"/>
          <w:b/>
          <w:color w:val="00529C"/>
          <w:u w:val="none"/>
        </w:rPr>
      </w:pPr>
      <w:r w:rsidRPr="000A28DB">
        <w:rPr>
          <w:rFonts w:cstheme="minorHAnsi"/>
          <w:color w:val="000000" w:themeColor="text1"/>
        </w:rPr>
        <w:t>Job Outlook:</w:t>
      </w:r>
      <w:r w:rsidRPr="000A28DB">
        <w:rPr>
          <w:rFonts w:cstheme="minorHAnsi"/>
          <w:b/>
          <w:color w:val="00529C"/>
        </w:rPr>
        <w:t xml:space="preserve"> </w:t>
      </w:r>
      <w:hyperlink r:id="rId14" w:history="1">
        <w:r w:rsidRPr="000A28DB">
          <w:rPr>
            <w:rStyle w:val="Hyperlink"/>
            <w:rFonts w:cstheme="minorHAnsi"/>
            <w:b/>
            <w:color w:val="00529C"/>
          </w:rPr>
          <w:t>www.joboutlook.gov.au</w:t>
        </w:r>
      </w:hyperlink>
    </w:p>
    <w:p w:rsidR="0041061A" w:rsidRPr="000A28DB" w:rsidRDefault="0041061A" w:rsidP="00C73715">
      <w:pPr>
        <w:spacing w:after="120" w:line="240" w:lineRule="auto"/>
        <w:rPr>
          <w:rFonts w:cstheme="minorHAnsi"/>
          <w:b/>
          <w:color w:val="00529C"/>
        </w:rPr>
      </w:pPr>
      <w:r w:rsidRPr="000A28DB">
        <w:rPr>
          <w:rFonts w:cstheme="minorHAnsi"/>
          <w:color w:val="000000" w:themeColor="text1"/>
        </w:rPr>
        <w:t>SkillsInfo:</w:t>
      </w:r>
      <w:r w:rsidRPr="000A28DB">
        <w:rPr>
          <w:rFonts w:cstheme="minorHAnsi"/>
          <w:b/>
          <w:color w:val="00529C"/>
        </w:rPr>
        <w:t xml:space="preserve"> </w:t>
      </w:r>
      <w:hyperlink r:id="rId15" w:history="1">
        <w:r w:rsidRPr="000A28DB">
          <w:rPr>
            <w:rStyle w:val="Hyperlink"/>
            <w:rFonts w:cstheme="minorHAnsi"/>
            <w:b/>
            <w:color w:val="00529C"/>
          </w:rPr>
          <w:t>www.skillsinfo.gov.au</w:t>
        </w:r>
      </w:hyperlink>
    </w:p>
    <w:p w:rsidR="0041061A" w:rsidRPr="000A28DB" w:rsidRDefault="0041061A" w:rsidP="00C73715">
      <w:pPr>
        <w:spacing w:after="120" w:line="240" w:lineRule="auto"/>
        <w:jc w:val="both"/>
        <w:rPr>
          <w:rFonts w:cstheme="minorHAnsi"/>
        </w:rPr>
      </w:pPr>
      <w:r w:rsidRPr="000A28DB">
        <w:rPr>
          <w:rFonts w:cstheme="minorHAnsi"/>
          <w:color w:val="000000" w:themeColor="text1"/>
        </w:rPr>
        <w:t>Australian Jobs:</w:t>
      </w:r>
      <w:r w:rsidRPr="000A28DB">
        <w:rPr>
          <w:rFonts w:cstheme="minorHAnsi"/>
          <w:b/>
          <w:color w:val="00529C"/>
        </w:rPr>
        <w:t xml:space="preserve"> </w:t>
      </w:r>
      <w:hyperlink r:id="rId16" w:history="1">
        <w:r w:rsidRPr="000A28DB">
          <w:rPr>
            <w:rStyle w:val="Hyperlink"/>
            <w:rFonts w:cstheme="minorHAnsi"/>
            <w:b/>
            <w:color w:val="00529C"/>
          </w:rPr>
          <w:t>www.deewr.gov.au/australianjobs</w:t>
        </w:r>
      </w:hyperlink>
    </w:p>
    <w:p w:rsidR="0041061A" w:rsidRDefault="0041061A" w:rsidP="00C73715">
      <w:pPr>
        <w:pStyle w:val="numberedpara"/>
        <w:numPr>
          <w:ilvl w:val="0"/>
          <w:numId w:val="0"/>
        </w:numPr>
        <w:tabs>
          <w:tab w:val="left" w:pos="720"/>
        </w:tabs>
        <w:spacing w:after="120"/>
        <w:rPr>
          <w:rFonts w:asciiTheme="minorHAnsi" w:hAnsiTheme="minorHAnsi" w:cstheme="minorHAnsi"/>
        </w:rPr>
      </w:pPr>
    </w:p>
    <w:p w:rsidR="008A1C19" w:rsidRDefault="008A1C19" w:rsidP="001B33DD">
      <w:pPr>
        <w:pStyle w:val="numberedpara"/>
        <w:numPr>
          <w:ilvl w:val="0"/>
          <w:numId w:val="0"/>
        </w:numPr>
        <w:tabs>
          <w:tab w:val="left" w:pos="720"/>
        </w:tabs>
        <w:rPr>
          <w:rFonts w:asciiTheme="minorHAnsi" w:hAnsiTheme="minorHAnsi" w:cstheme="minorHAnsi"/>
        </w:rPr>
      </w:pPr>
    </w:p>
    <w:p w:rsidR="008A1C19" w:rsidRDefault="008A1C19" w:rsidP="0041061A">
      <w:pPr>
        <w:pStyle w:val="numberedpara"/>
        <w:numPr>
          <w:ilvl w:val="0"/>
          <w:numId w:val="0"/>
        </w:numPr>
        <w:tabs>
          <w:tab w:val="left" w:pos="720"/>
        </w:tabs>
        <w:spacing w:before="120" w:after="120"/>
        <w:rPr>
          <w:rFonts w:asciiTheme="minorHAnsi" w:hAnsiTheme="minorHAnsi" w:cstheme="minorHAnsi"/>
        </w:rPr>
      </w:pPr>
    </w:p>
    <w:p w:rsidR="008A1C19" w:rsidRDefault="008A1C19" w:rsidP="0041061A">
      <w:pPr>
        <w:pStyle w:val="numberedpara"/>
        <w:numPr>
          <w:ilvl w:val="0"/>
          <w:numId w:val="0"/>
        </w:numPr>
        <w:tabs>
          <w:tab w:val="left" w:pos="720"/>
        </w:tabs>
        <w:spacing w:before="120" w:after="120"/>
        <w:rPr>
          <w:rFonts w:asciiTheme="minorHAnsi" w:hAnsiTheme="minorHAnsi" w:cstheme="minorHAnsi"/>
        </w:rPr>
      </w:pPr>
    </w:p>
    <w:p w:rsidR="008A1C19" w:rsidRDefault="008A1C19" w:rsidP="0041061A">
      <w:pPr>
        <w:pStyle w:val="numberedpara"/>
        <w:numPr>
          <w:ilvl w:val="0"/>
          <w:numId w:val="0"/>
        </w:numPr>
        <w:tabs>
          <w:tab w:val="left" w:pos="720"/>
        </w:tabs>
        <w:spacing w:before="120" w:after="120"/>
        <w:rPr>
          <w:rFonts w:asciiTheme="minorHAnsi" w:hAnsiTheme="minorHAnsi" w:cstheme="minorHAnsi"/>
        </w:rPr>
      </w:pPr>
    </w:p>
    <w:p w:rsidR="006318CF" w:rsidRDefault="006318CF" w:rsidP="0041061A">
      <w:pPr>
        <w:pStyle w:val="numberedpara"/>
        <w:numPr>
          <w:ilvl w:val="0"/>
          <w:numId w:val="0"/>
        </w:numPr>
        <w:tabs>
          <w:tab w:val="left" w:pos="720"/>
        </w:tabs>
        <w:spacing w:before="120" w:after="120"/>
        <w:rPr>
          <w:rFonts w:asciiTheme="minorHAnsi" w:hAnsiTheme="minorHAnsi" w:cstheme="minorHAnsi"/>
        </w:rPr>
      </w:pPr>
    </w:p>
    <w:p w:rsidR="006318CF" w:rsidRDefault="006318CF" w:rsidP="0041061A">
      <w:pPr>
        <w:pStyle w:val="numberedpara"/>
        <w:numPr>
          <w:ilvl w:val="0"/>
          <w:numId w:val="0"/>
        </w:numPr>
        <w:tabs>
          <w:tab w:val="left" w:pos="720"/>
        </w:tabs>
        <w:spacing w:before="120" w:after="120"/>
        <w:rPr>
          <w:rFonts w:asciiTheme="minorHAnsi" w:hAnsiTheme="minorHAnsi" w:cstheme="minorHAnsi"/>
        </w:rPr>
      </w:pPr>
    </w:p>
    <w:p w:rsidR="008A1C19" w:rsidRDefault="008A1C19" w:rsidP="0041061A">
      <w:pPr>
        <w:pStyle w:val="numberedpara"/>
        <w:numPr>
          <w:ilvl w:val="0"/>
          <w:numId w:val="0"/>
        </w:numPr>
        <w:tabs>
          <w:tab w:val="left" w:pos="720"/>
        </w:tabs>
        <w:spacing w:before="120" w:after="120"/>
        <w:rPr>
          <w:rFonts w:asciiTheme="minorHAnsi" w:hAnsiTheme="minorHAnsi" w:cstheme="minorHAnsi"/>
        </w:rPr>
      </w:pPr>
    </w:p>
    <w:p w:rsidR="00C90950" w:rsidRDefault="00C90950" w:rsidP="0041061A">
      <w:pPr>
        <w:pStyle w:val="numberedpara"/>
        <w:numPr>
          <w:ilvl w:val="0"/>
          <w:numId w:val="0"/>
        </w:numPr>
        <w:tabs>
          <w:tab w:val="left" w:pos="720"/>
        </w:tabs>
        <w:spacing w:before="120" w:after="120"/>
        <w:rPr>
          <w:rFonts w:asciiTheme="minorHAnsi" w:hAnsiTheme="minorHAnsi" w:cstheme="minorHAnsi"/>
        </w:rPr>
      </w:pPr>
    </w:p>
    <w:p w:rsidR="00C90950" w:rsidRDefault="00C90950" w:rsidP="0041061A">
      <w:pPr>
        <w:pStyle w:val="numberedpara"/>
        <w:numPr>
          <w:ilvl w:val="0"/>
          <w:numId w:val="0"/>
        </w:numPr>
        <w:tabs>
          <w:tab w:val="left" w:pos="720"/>
        </w:tabs>
        <w:spacing w:before="120" w:after="120"/>
        <w:rPr>
          <w:rFonts w:asciiTheme="minorHAnsi" w:hAnsiTheme="minorHAnsi" w:cstheme="minorHAnsi"/>
        </w:rPr>
      </w:pPr>
    </w:p>
    <w:p w:rsidR="00C90950" w:rsidRDefault="00C90950" w:rsidP="0041061A">
      <w:pPr>
        <w:pStyle w:val="numberedpara"/>
        <w:numPr>
          <w:ilvl w:val="0"/>
          <w:numId w:val="0"/>
        </w:numPr>
        <w:tabs>
          <w:tab w:val="left" w:pos="720"/>
        </w:tabs>
        <w:spacing w:before="120" w:after="120"/>
        <w:rPr>
          <w:rFonts w:asciiTheme="minorHAnsi" w:hAnsiTheme="minorHAnsi" w:cstheme="minorHAnsi"/>
        </w:rPr>
      </w:pPr>
    </w:p>
    <w:p w:rsidR="008A1C19" w:rsidRDefault="008A1C19" w:rsidP="0041061A">
      <w:pPr>
        <w:pStyle w:val="numberedpara"/>
        <w:numPr>
          <w:ilvl w:val="0"/>
          <w:numId w:val="0"/>
        </w:numPr>
        <w:tabs>
          <w:tab w:val="left" w:pos="720"/>
        </w:tabs>
        <w:spacing w:before="120" w:after="120"/>
        <w:rPr>
          <w:rFonts w:asciiTheme="minorHAnsi" w:hAnsiTheme="minorHAnsi" w:cstheme="minorHAnsi"/>
        </w:rPr>
      </w:pPr>
    </w:p>
    <w:p w:rsidR="008A1C19" w:rsidRDefault="008A1C19" w:rsidP="0041061A">
      <w:pPr>
        <w:pStyle w:val="numberedpara"/>
        <w:numPr>
          <w:ilvl w:val="0"/>
          <w:numId w:val="0"/>
        </w:numPr>
        <w:tabs>
          <w:tab w:val="left" w:pos="720"/>
        </w:tabs>
        <w:spacing w:before="120" w:after="120"/>
        <w:rPr>
          <w:rFonts w:asciiTheme="minorHAnsi" w:hAnsiTheme="minorHAnsi" w:cstheme="minorHAnsi"/>
        </w:rPr>
      </w:pPr>
      <w:bookmarkStart w:id="12" w:name="_GoBack"/>
      <w:bookmarkEnd w:id="12"/>
    </w:p>
    <w:p w:rsidR="001A57D7" w:rsidRDefault="001A57D7" w:rsidP="0041061A">
      <w:pPr>
        <w:pStyle w:val="numberedpara"/>
        <w:numPr>
          <w:ilvl w:val="0"/>
          <w:numId w:val="0"/>
        </w:numPr>
        <w:tabs>
          <w:tab w:val="left" w:pos="720"/>
        </w:tabs>
        <w:spacing w:before="120" w:after="120"/>
        <w:rPr>
          <w:rFonts w:asciiTheme="minorHAnsi" w:hAnsiTheme="minorHAnsi" w:cstheme="minorHAnsi"/>
        </w:rPr>
      </w:pPr>
    </w:p>
    <w:p w:rsidR="008A1C19" w:rsidRDefault="008A1C19" w:rsidP="0041061A">
      <w:pPr>
        <w:pStyle w:val="numberedpara"/>
        <w:numPr>
          <w:ilvl w:val="0"/>
          <w:numId w:val="0"/>
        </w:numPr>
        <w:tabs>
          <w:tab w:val="left" w:pos="720"/>
        </w:tabs>
        <w:spacing w:before="120" w:after="120"/>
        <w:rPr>
          <w:rFonts w:asciiTheme="minorHAnsi" w:hAnsiTheme="minorHAnsi" w:cstheme="minorHAnsi"/>
        </w:rPr>
      </w:pPr>
    </w:p>
    <w:p w:rsidR="008A1C19" w:rsidRDefault="008A1C19" w:rsidP="0041061A">
      <w:pPr>
        <w:pStyle w:val="numberedpara"/>
        <w:numPr>
          <w:ilvl w:val="0"/>
          <w:numId w:val="0"/>
        </w:numPr>
        <w:tabs>
          <w:tab w:val="left" w:pos="720"/>
        </w:tabs>
        <w:spacing w:before="120" w:after="120"/>
        <w:rPr>
          <w:rFonts w:asciiTheme="minorHAnsi" w:hAnsiTheme="minorHAnsi" w:cstheme="minorHAnsi"/>
        </w:rPr>
      </w:pPr>
    </w:p>
    <w:p w:rsidR="009F02AE" w:rsidRDefault="009F02AE" w:rsidP="0041061A">
      <w:pPr>
        <w:pStyle w:val="numberedpara"/>
        <w:numPr>
          <w:ilvl w:val="0"/>
          <w:numId w:val="0"/>
        </w:numPr>
        <w:tabs>
          <w:tab w:val="left" w:pos="720"/>
        </w:tabs>
        <w:spacing w:before="120" w:after="120"/>
        <w:rPr>
          <w:rFonts w:asciiTheme="minorHAnsi" w:hAnsiTheme="minorHAnsi" w:cstheme="minorHAnsi"/>
        </w:rPr>
      </w:pPr>
      <w:r w:rsidRPr="003F436C">
        <w:rPr>
          <w:rFonts w:asciiTheme="minorHAnsi" w:hAnsiTheme="minorHAnsi" w:cstheme="minorHAnsi"/>
          <w:noProof/>
          <w:sz w:val="24"/>
          <w:szCs w:val="24"/>
        </w:rPr>
        <w:drawing>
          <wp:inline distT="0" distB="0" distL="0" distR="0" wp14:anchorId="59E52907" wp14:editId="4763D0DA">
            <wp:extent cx="847725" cy="285750"/>
            <wp:effectExtent l="19050" t="0" r="9525" b="0"/>
            <wp:docPr id="4" name="Picture 1" descr="cid:image001.png@01CC5B5E.C6C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7" r:link="rId18"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9F02AE" w:rsidRPr="009F02AE" w:rsidRDefault="009F02AE" w:rsidP="009F02AE">
      <w:pPr>
        <w:pStyle w:val="numberedpara"/>
        <w:numPr>
          <w:ilvl w:val="0"/>
          <w:numId w:val="0"/>
        </w:numPr>
        <w:tabs>
          <w:tab w:val="left" w:pos="720"/>
        </w:tabs>
        <w:rPr>
          <w:rFonts w:cstheme="minorHAnsi"/>
        </w:rPr>
      </w:pPr>
      <w:r w:rsidRPr="009F02AE">
        <w:rPr>
          <w:rFonts w:cstheme="minorHAnsi"/>
        </w:rPr>
        <w:t>With the exception of the Commonwealth Coat of Arms, the Department’s logo, any material protected by a trade mark and where otherwise noted all material presented in this document is provided under a Creative Commons Attribution 3.0 Australia (</w:t>
      </w:r>
      <w:hyperlink r:id="rId19" w:history="1">
        <w:r w:rsidRPr="009F02AE">
          <w:rPr>
            <w:rStyle w:val="Hyperlink"/>
            <w:rFonts w:cstheme="minorHAnsi"/>
          </w:rPr>
          <w:t>http://creativecommons.org/licenses/by/3.0/au/</w:t>
        </w:r>
      </w:hyperlink>
      <w:r w:rsidRPr="009F02AE">
        <w:rPr>
          <w:rFonts w:cstheme="minorHAnsi"/>
        </w:rPr>
        <w:t xml:space="preserve">) licence. </w:t>
      </w:r>
    </w:p>
    <w:p w:rsidR="009F02AE" w:rsidRPr="009F02AE" w:rsidRDefault="009F02AE" w:rsidP="009F02AE">
      <w:pPr>
        <w:pStyle w:val="numberedpara"/>
        <w:numPr>
          <w:ilvl w:val="0"/>
          <w:numId w:val="0"/>
        </w:numPr>
        <w:tabs>
          <w:tab w:val="left" w:pos="720"/>
        </w:tabs>
        <w:rPr>
          <w:rFonts w:cstheme="minorHAnsi"/>
        </w:rPr>
      </w:pPr>
      <w:r w:rsidRPr="009F02AE">
        <w:rPr>
          <w:rFonts w:cstheme="minorHAnsi"/>
        </w:rPr>
        <w:t>The details of the relevant licence conditions are available on the Creative Commons website (accessible using the links provided) as is the full legal code for the CC BY 3.0 AU licence (</w:t>
      </w:r>
      <w:hyperlink r:id="rId20" w:history="1">
        <w:r w:rsidRPr="009F02AE">
          <w:rPr>
            <w:rStyle w:val="Hyperlink"/>
            <w:rFonts w:cstheme="minorHAnsi"/>
          </w:rPr>
          <w:t>http://creativecommons.org/licenses/by/3.0/au/legalcode</w:t>
        </w:r>
      </w:hyperlink>
      <w:r w:rsidRPr="009F02AE">
        <w:rPr>
          <w:rFonts w:cstheme="minorHAnsi"/>
        </w:rPr>
        <w:t xml:space="preserve">). </w:t>
      </w:r>
    </w:p>
    <w:p w:rsidR="009F02AE" w:rsidRPr="009F02AE" w:rsidRDefault="009F02AE" w:rsidP="009F02AE">
      <w:pPr>
        <w:pStyle w:val="numberedpara"/>
        <w:numPr>
          <w:ilvl w:val="0"/>
          <w:numId w:val="0"/>
        </w:numPr>
        <w:rPr>
          <w:rFonts w:cstheme="minorHAnsi"/>
        </w:rPr>
      </w:pPr>
      <w:r w:rsidRPr="009F02AE">
        <w:rPr>
          <w:rFonts w:cstheme="minorHAnsi"/>
        </w:rPr>
        <w:t>The document must be attributed as the ‘Department of Education, Employment and Workplace Relations Survey of Employers’ Recruitment Experiences –</w:t>
      </w:r>
      <w:r>
        <w:rPr>
          <w:rFonts w:cstheme="minorHAnsi"/>
        </w:rPr>
        <w:t xml:space="preserve"> Peel region</w:t>
      </w:r>
      <w:r w:rsidRPr="009F02AE">
        <w:rPr>
          <w:rFonts w:cstheme="minorHAnsi"/>
        </w:rPr>
        <w:t xml:space="preserve"> – Ma</w:t>
      </w:r>
      <w:r>
        <w:rPr>
          <w:rFonts w:cstheme="minorHAnsi"/>
        </w:rPr>
        <w:t>y</w:t>
      </w:r>
      <w:r w:rsidRPr="009F02AE">
        <w:rPr>
          <w:rFonts w:cstheme="minorHAnsi"/>
        </w:rPr>
        <w:t xml:space="preserve"> 2013’.</w:t>
      </w:r>
    </w:p>
    <w:p w:rsidR="009F02AE" w:rsidRPr="009F02AE" w:rsidRDefault="009F02AE" w:rsidP="009F02AE">
      <w:pPr>
        <w:pStyle w:val="numberedpara"/>
        <w:numPr>
          <w:ilvl w:val="0"/>
          <w:numId w:val="0"/>
        </w:numPr>
        <w:rPr>
          <w:rFonts w:cstheme="minorHAnsi"/>
        </w:rPr>
      </w:pPr>
      <w:r w:rsidRPr="009F02AE">
        <w:rPr>
          <w:rFonts w:cstheme="minorHAnsi"/>
        </w:rPr>
        <w:t>This report was prepared by the Labour Market Research and Analysis Branch and is based on research conducted by the Branch.</w:t>
      </w:r>
    </w:p>
    <w:p w:rsidR="009F02AE" w:rsidRPr="009F02AE" w:rsidRDefault="009F02AE" w:rsidP="009F02AE">
      <w:pPr>
        <w:pStyle w:val="numberedpara"/>
        <w:numPr>
          <w:ilvl w:val="0"/>
          <w:numId w:val="0"/>
        </w:numPr>
        <w:rPr>
          <w:rFonts w:cstheme="minorHAnsi"/>
        </w:rPr>
      </w:pPr>
      <w:r w:rsidRPr="009F02AE">
        <w:rPr>
          <w:rFonts w:cstheme="minorHAnsi"/>
        </w:rPr>
        <w:t>For further information:</w:t>
      </w:r>
      <w:r w:rsidRPr="009F02AE">
        <w:rPr>
          <w:rFonts w:cstheme="minorHAnsi"/>
        </w:rPr>
        <w:tab/>
      </w:r>
      <w:r w:rsidRPr="009F02AE">
        <w:rPr>
          <w:rFonts w:cstheme="minorHAnsi"/>
        </w:rPr>
        <w:tab/>
      </w:r>
      <w:proofErr w:type="spellStart"/>
      <w:r w:rsidRPr="009F02AE">
        <w:rPr>
          <w:rFonts w:cstheme="minorHAnsi"/>
        </w:rPr>
        <w:t>Ph</w:t>
      </w:r>
      <w:proofErr w:type="spellEnd"/>
      <w:r w:rsidRPr="009F02AE">
        <w:rPr>
          <w:rFonts w:cstheme="minorHAnsi"/>
        </w:rPr>
        <w:t xml:space="preserve">: 1800 059 439 | </w:t>
      </w:r>
      <w:hyperlink r:id="rId21" w:history="1">
        <w:r w:rsidRPr="009F02AE">
          <w:rPr>
            <w:rStyle w:val="Hyperlink"/>
            <w:rFonts w:cstheme="minorHAnsi"/>
          </w:rPr>
          <w:t>recruitmentsurveys@deewr.gov.au</w:t>
        </w:r>
      </w:hyperlink>
      <w:r w:rsidRPr="009F02AE">
        <w:rPr>
          <w:rFonts w:cstheme="minorHAnsi"/>
        </w:rPr>
        <w:tab/>
        <w:t xml:space="preserve">                                          ABN: 63 578 775 294</w:t>
      </w:r>
    </w:p>
    <w:p w:rsidR="009F02AE" w:rsidRPr="000A28DB" w:rsidRDefault="009F02AE" w:rsidP="0041061A">
      <w:pPr>
        <w:pStyle w:val="numberedpara"/>
        <w:numPr>
          <w:ilvl w:val="0"/>
          <w:numId w:val="0"/>
        </w:numPr>
        <w:tabs>
          <w:tab w:val="left" w:pos="720"/>
        </w:tabs>
        <w:spacing w:before="120" w:after="120"/>
        <w:rPr>
          <w:rFonts w:asciiTheme="minorHAnsi" w:hAnsiTheme="minorHAnsi" w:cstheme="minorHAnsi"/>
        </w:rPr>
      </w:pPr>
    </w:p>
    <w:sectPr w:rsidR="009F02AE" w:rsidRPr="000A28DB" w:rsidSect="006C5FE6">
      <w:headerReference w:type="default" r:id="rId22"/>
      <w:footerReference w:type="default" r:id="rId23"/>
      <w:footerReference w:type="first" r:id="rId24"/>
      <w:type w:val="continuous"/>
      <w:pgSz w:w="11906" w:h="16838"/>
      <w:pgMar w:top="1392" w:right="1440" w:bottom="1440"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61A" w:rsidRDefault="0041061A" w:rsidP="007349C8">
      <w:pPr>
        <w:spacing w:after="0" w:line="240" w:lineRule="auto"/>
      </w:pPr>
      <w:r>
        <w:separator/>
      </w:r>
    </w:p>
  </w:endnote>
  <w:endnote w:type="continuationSeparator" w:id="0">
    <w:p w:rsidR="0041061A" w:rsidRDefault="0041061A" w:rsidP="0073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727426"/>
      <w:docPartObj>
        <w:docPartGallery w:val="Page Numbers (Bottom of Page)"/>
        <w:docPartUnique/>
      </w:docPartObj>
    </w:sdtPr>
    <w:sdtEndPr>
      <w:rPr>
        <w:noProof/>
      </w:rPr>
    </w:sdtEndPr>
    <w:sdtContent>
      <w:p w:rsidR="002D00F4" w:rsidRDefault="002D00F4">
        <w:pPr>
          <w:pStyle w:val="Footer"/>
          <w:jc w:val="right"/>
        </w:pPr>
        <w:r>
          <w:fldChar w:fldCharType="begin"/>
        </w:r>
        <w:r>
          <w:instrText xml:space="preserve"> PAGE   \* MERGEFORMAT </w:instrText>
        </w:r>
        <w:r>
          <w:fldChar w:fldCharType="separate"/>
        </w:r>
        <w:r w:rsidR="00591857">
          <w:rPr>
            <w:noProof/>
          </w:rPr>
          <w:t>5</w:t>
        </w:r>
        <w:r>
          <w:rPr>
            <w:noProof/>
          </w:rPr>
          <w:fldChar w:fldCharType="end"/>
        </w:r>
      </w:p>
    </w:sdtContent>
  </w:sdt>
  <w:p w:rsidR="00550D17" w:rsidRDefault="00550D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615400"/>
      <w:docPartObj>
        <w:docPartGallery w:val="Page Numbers (Bottom of Page)"/>
        <w:docPartUnique/>
      </w:docPartObj>
    </w:sdtPr>
    <w:sdtEndPr>
      <w:rPr>
        <w:noProof/>
      </w:rPr>
    </w:sdtEndPr>
    <w:sdtContent>
      <w:p w:rsidR="002D00F4" w:rsidRDefault="002D00F4">
        <w:pPr>
          <w:pStyle w:val="Footer"/>
          <w:jc w:val="right"/>
        </w:pPr>
      </w:p>
      <w:p w:rsidR="002D00F4" w:rsidRDefault="002D00F4">
        <w:pPr>
          <w:pStyle w:val="Footer"/>
          <w:jc w:val="right"/>
        </w:pPr>
        <w:r>
          <w:fldChar w:fldCharType="begin"/>
        </w:r>
        <w:r>
          <w:instrText xml:space="preserve"> PAGE   \* MERGEFORMAT </w:instrText>
        </w:r>
        <w:r>
          <w:fldChar w:fldCharType="separate"/>
        </w:r>
        <w:r w:rsidR="007C53A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61A" w:rsidRDefault="0041061A" w:rsidP="007349C8">
      <w:pPr>
        <w:spacing w:after="0" w:line="240" w:lineRule="auto"/>
      </w:pPr>
      <w:r>
        <w:separator/>
      </w:r>
    </w:p>
  </w:footnote>
  <w:footnote w:type="continuationSeparator" w:id="0">
    <w:p w:rsidR="0041061A" w:rsidRDefault="0041061A" w:rsidP="007349C8">
      <w:pPr>
        <w:spacing w:after="0" w:line="240" w:lineRule="auto"/>
      </w:pPr>
      <w:r>
        <w:continuationSeparator/>
      </w:r>
    </w:p>
  </w:footnote>
  <w:footnote w:id="1">
    <w:p w:rsidR="00AC3DAB" w:rsidRPr="00CD06FF" w:rsidRDefault="00AC3DAB" w:rsidP="00CD06FF">
      <w:pPr>
        <w:pStyle w:val="FootnoteText"/>
        <w:spacing w:after="0" w:line="240" w:lineRule="auto"/>
        <w:rPr>
          <w:rFonts w:asciiTheme="minorHAnsi" w:hAnsiTheme="minorHAnsi" w:cstheme="minorHAnsi"/>
          <w:sz w:val="18"/>
          <w:szCs w:val="18"/>
          <w:lang w:val="en-AU"/>
        </w:rPr>
      </w:pPr>
      <w:r w:rsidRPr="00CD06FF">
        <w:rPr>
          <w:rStyle w:val="FootnoteReference"/>
          <w:rFonts w:asciiTheme="minorHAnsi" w:hAnsiTheme="minorHAnsi" w:cstheme="minorHAnsi"/>
          <w:sz w:val="18"/>
          <w:szCs w:val="18"/>
        </w:rPr>
        <w:footnoteRef/>
      </w:r>
      <w:r w:rsidRPr="00CD06FF">
        <w:rPr>
          <w:rFonts w:asciiTheme="minorHAnsi" w:hAnsiTheme="minorHAnsi" w:cstheme="minorHAnsi"/>
          <w:sz w:val="18"/>
          <w:szCs w:val="18"/>
        </w:rPr>
        <w:t xml:space="preserve"> </w:t>
      </w:r>
      <w:r w:rsidRPr="00CD06FF">
        <w:rPr>
          <w:rFonts w:asciiTheme="minorHAnsi" w:hAnsiTheme="minorHAnsi" w:cstheme="minorHAnsi"/>
          <w:sz w:val="18"/>
          <w:szCs w:val="18"/>
          <w:lang w:val="en-AU"/>
        </w:rPr>
        <w:t xml:space="preserve">ABS, </w:t>
      </w:r>
      <w:r w:rsidRPr="00CD06FF">
        <w:rPr>
          <w:rFonts w:asciiTheme="minorHAnsi" w:hAnsiTheme="minorHAnsi" w:cstheme="minorHAnsi"/>
          <w:i/>
          <w:sz w:val="18"/>
          <w:szCs w:val="18"/>
          <w:lang w:val="en-AU"/>
        </w:rPr>
        <w:t xml:space="preserve">Census of Population and Housing, </w:t>
      </w:r>
      <w:r w:rsidRPr="00CD06FF">
        <w:rPr>
          <w:rFonts w:asciiTheme="minorHAnsi" w:hAnsiTheme="minorHAnsi" w:cstheme="minorHAnsi"/>
          <w:sz w:val="18"/>
          <w:szCs w:val="18"/>
          <w:lang w:val="en-AU"/>
        </w:rPr>
        <w:t>2011</w:t>
      </w:r>
      <w:r w:rsidR="00CD06FF">
        <w:rPr>
          <w:rFonts w:asciiTheme="minorHAnsi" w:hAnsiTheme="minorHAnsi" w:cstheme="minorHAnsi"/>
          <w:sz w:val="18"/>
          <w:szCs w:val="18"/>
          <w:lang w:val="en-AU"/>
        </w:rPr>
        <w:t>.</w:t>
      </w:r>
    </w:p>
  </w:footnote>
  <w:footnote w:id="2">
    <w:p w:rsidR="009B45B2" w:rsidRPr="000D6063" w:rsidRDefault="009B45B2" w:rsidP="009B45B2">
      <w:pPr>
        <w:pStyle w:val="FootnoteText"/>
        <w:spacing w:after="0" w:line="240" w:lineRule="auto"/>
        <w:rPr>
          <w:rFonts w:asciiTheme="minorHAnsi" w:hAnsiTheme="minorHAnsi" w:cstheme="minorHAnsi"/>
          <w:sz w:val="18"/>
          <w:szCs w:val="18"/>
          <w:lang w:val="en-AU"/>
        </w:rPr>
      </w:pPr>
      <w:r w:rsidRPr="000D6063">
        <w:rPr>
          <w:rStyle w:val="FootnoteReference"/>
          <w:rFonts w:asciiTheme="minorHAnsi" w:hAnsiTheme="minorHAnsi" w:cstheme="minorHAnsi"/>
          <w:sz w:val="18"/>
          <w:szCs w:val="18"/>
        </w:rPr>
        <w:footnoteRef/>
      </w:r>
      <w:r w:rsidRPr="000D6063">
        <w:rPr>
          <w:rFonts w:asciiTheme="minorHAnsi" w:hAnsiTheme="minorHAnsi" w:cstheme="minorHAnsi"/>
          <w:sz w:val="18"/>
          <w:szCs w:val="18"/>
        </w:rPr>
        <w:t xml:space="preserve"> </w:t>
      </w:r>
      <w:r w:rsidRPr="000D6063">
        <w:rPr>
          <w:rFonts w:asciiTheme="minorHAnsi" w:hAnsiTheme="minorHAnsi" w:cstheme="minorHAnsi"/>
          <w:sz w:val="18"/>
          <w:szCs w:val="18"/>
          <w:lang w:val="en-AU"/>
        </w:rPr>
        <w:t xml:space="preserve">ABS, </w:t>
      </w:r>
      <w:r w:rsidRPr="000D6063">
        <w:rPr>
          <w:rFonts w:asciiTheme="minorHAnsi" w:hAnsiTheme="minorHAnsi" w:cstheme="minorHAnsi"/>
          <w:i/>
          <w:sz w:val="18"/>
          <w:szCs w:val="18"/>
          <w:lang w:val="en-AU"/>
        </w:rPr>
        <w:t xml:space="preserve">Census of Population and Housing, </w:t>
      </w:r>
      <w:r>
        <w:rPr>
          <w:rFonts w:asciiTheme="minorHAnsi" w:hAnsiTheme="minorHAnsi" w:cstheme="minorHAnsi"/>
          <w:i/>
          <w:sz w:val="18"/>
          <w:szCs w:val="18"/>
          <w:lang w:val="en-AU"/>
        </w:rPr>
        <w:t xml:space="preserve">August </w:t>
      </w:r>
      <w:r w:rsidRPr="000D6063">
        <w:rPr>
          <w:rFonts w:asciiTheme="minorHAnsi" w:hAnsiTheme="minorHAnsi" w:cstheme="minorHAnsi"/>
          <w:sz w:val="18"/>
          <w:szCs w:val="18"/>
          <w:lang w:val="en-AU"/>
        </w:rPr>
        <w:t>2011</w:t>
      </w:r>
      <w:r>
        <w:rPr>
          <w:rFonts w:asciiTheme="minorHAnsi" w:hAnsiTheme="minorHAnsi" w:cstheme="minorHAnsi"/>
          <w:sz w:val="18"/>
          <w:szCs w:val="18"/>
          <w:lang w:val="en-AU"/>
        </w:rPr>
        <w:t>.</w:t>
      </w:r>
    </w:p>
  </w:footnote>
  <w:footnote w:id="3">
    <w:p w:rsidR="00CD06FF" w:rsidRPr="00CD06FF" w:rsidRDefault="00CD06FF" w:rsidP="00CD06FF">
      <w:pPr>
        <w:pStyle w:val="FootnoteText"/>
        <w:spacing w:after="0" w:line="240" w:lineRule="auto"/>
        <w:rPr>
          <w:rFonts w:asciiTheme="minorHAnsi" w:hAnsiTheme="minorHAnsi" w:cstheme="minorHAnsi"/>
          <w:sz w:val="18"/>
          <w:szCs w:val="18"/>
          <w:lang w:val="en-AU"/>
        </w:rPr>
      </w:pPr>
      <w:r w:rsidRPr="00CD06FF">
        <w:rPr>
          <w:rStyle w:val="FootnoteReference"/>
          <w:rFonts w:asciiTheme="minorHAnsi" w:hAnsiTheme="minorHAnsi" w:cstheme="minorHAnsi"/>
          <w:sz w:val="18"/>
          <w:szCs w:val="18"/>
        </w:rPr>
        <w:footnoteRef/>
      </w:r>
      <w:r w:rsidRPr="00CD06FF">
        <w:rPr>
          <w:rFonts w:asciiTheme="minorHAnsi" w:hAnsiTheme="minorHAnsi" w:cstheme="minorHAnsi"/>
          <w:sz w:val="18"/>
          <w:szCs w:val="18"/>
        </w:rPr>
        <w:t xml:space="preserve"> </w:t>
      </w:r>
      <w:r w:rsidRPr="00CD06FF">
        <w:rPr>
          <w:rFonts w:asciiTheme="minorHAnsi" w:hAnsiTheme="minorHAnsi" w:cstheme="minorHAnsi"/>
          <w:sz w:val="18"/>
          <w:szCs w:val="18"/>
          <w:lang w:val="en-AU"/>
        </w:rPr>
        <w:t xml:space="preserve">DEEWR, </w:t>
      </w:r>
      <w:r w:rsidRPr="00CD06FF">
        <w:rPr>
          <w:rFonts w:asciiTheme="minorHAnsi" w:hAnsiTheme="minorHAnsi" w:cstheme="minorHAnsi"/>
          <w:i/>
          <w:sz w:val="18"/>
          <w:szCs w:val="18"/>
          <w:lang w:val="en-AU"/>
        </w:rPr>
        <w:t xml:space="preserve">Small Area Labour Markets, </w:t>
      </w:r>
      <w:r w:rsidRPr="00CD06FF">
        <w:rPr>
          <w:rFonts w:asciiTheme="minorHAnsi" w:hAnsiTheme="minorHAnsi" w:cstheme="minorHAnsi"/>
          <w:sz w:val="18"/>
          <w:szCs w:val="18"/>
          <w:lang w:val="en-AU"/>
        </w:rPr>
        <w:t>March 2013</w:t>
      </w:r>
      <w:r>
        <w:rPr>
          <w:rFonts w:asciiTheme="minorHAnsi" w:hAnsiTheme="minorHAnsi" w:cstheme="minorHAnsi"/>
          <w:sz w:val="18"/>
          <w:szCs w:val="18"/>
          <w:lang w:val="en-AU"/>
        </w:rPr>
        <w:t>.</w:t>
      </w:r>
    </w:p>
  </w:footnote>
  <w:footnote w:id="4">
    <w:p w:rsidR="00AC3DAB" w:rsidRPr="00CD06FF" w:rsidRDefault="00AC3DAB" w:rsidP="00CD06FF">
      <w:pPr>
        <w:pStyle w:val="FootnoteText"/>
        <w:spacing w:after="0" w:line="240" w:lineRule="auto"/>
        <w:rPr>
          <w:rFonts w:asciiTheme="minorHAnsi" w:hAnsiTheme="minorHAnsi" w:cstheme="minorHAnsi"/>
          <w:sz w:val="18"/>
          <w:szCs w:val="18"/>
          <w:lang w:val="en-AU"/>
        </w:rPr>
      </w:pPr>
      <w:r w:rsidRPr="00CD06FF">
        <w:rPr>
          <w:rStyle w:val="FootnoteReference"/>
          <w:rFonts w:asciiTheme="minorHAnsi" w:hAnsiTheme="minorHAnsi" w:cstheme="minorHAnsi"/>
          <w:sz w:val="18"/>
          <w:szCs w:val="18"/>
        </w:rPr>
        <w:footnoteRef/>
      </w:r>
      <w:r w:rsidRPr="00CD06FF">
        <w:rPr>
          <w:rFonts w:asciiTheme="minorHAnsi" w:hAnsiTheme="minorHAnsi" w:cstheme="minorHAnsi"/>
          <w:sz w:val="18"/>
          <w:szCs w:val="18"/>
        </w:rPr>
        <w:t xml:space="preserve"> </w:t>
      </w:r>
      <w:r w:rsidR="00CD06FF">
        <w:rPr>
          <w:rFonts w:asciiTheme="minorHAnsi" w:hAnsiTheme="minorHAnsi" w:cstheme="minorHAnsi"/>
          <w:sz w:val="18"/>
          <w:szCs w:val="18"/>
        </w:rPr>
        <w:t xml:space="preserve">ABS, </w:t>
      </w:r>
      <w:r w:rsidR="00CD06FF">
        <w:rPr>
          <w:rFonts w:asciiTheme="minorHAnsi" w:hAnsiTheme="minorHAnsi" w:cstheme="minorHAnsi"/>
          <w:i/>
          <w:sz w:val="18"/>
          <w:szCs w:val="18"/>
        </w:rPr>
        <w:t xml:space="preserve">Labour Force Survey, </w:t>
      </w:r>
      <w:r w:rsidR="00CD06FF">
        <w:rPr>
          <w:rFonts w:asciiTheme="minorHAnsi" w:hAnsiTheme="minorHAnsi" w:cstheme="minorHAnsi"/>
          <w:sz w:val="18"/>
          <w:szCs w:val="18"/>
        </w:rPr>
        <w:t>seasonally adjusted, July 2013.</w:t>
      </w:r>
    </w:p>
  </w:footnote>
  <w:footnote w:id="5">
    <w:p w:rsidR="00AC3DAB" w:rsidRPr="000D6063" w:rsidRDefault="00AC3DAB" w:rsidP="000D6063">
      <w:pPr>
        <w:pStyle w:val="FootnoteText"/>
        <w:spacing w:after="0" w:line="240" w:lineRule="auto"/>
        <w:rPr>
          <w:rFonts w:asciiTheme="minorHAnsi" w:hAnsiTheme="minorHAnsi" w:cstheme="minorHAnsi"/>
          <w:sz w:val="18"/>
          <w:szCs w:val="18"/>
          <w:lang w:val="en-AU"/>
        </w:rPr>
      </w:pPr>
      <w:r w:rsidRPr="000D6063">
        <w:rPr>
          <w:rStyle w:val="FootnoteReference"/>
          <w:rFonts w:asciiTheme="minorHAnsi" w:hAnsiTheme="minorHAnsi" w:cstheme="minorHAnsi"/>
          <w:sz w:val="18"/>
          <w:szCs w:val="18"/>
        </w:rPr>
        <w:footnoteRef/>
      </w:r>
      <w:r w:rsidRPr="000D6063">
        <w:rPr>
          <w:rFonts w:asciiTheme="minorHAnsi" w:hAnsiTheme="minorHAnsi" w:cstheme="minorHAnsi"/>
          <w:sz w:val="18"/>
          <w:szCs w:val="18"/>
        </w:rPr>
        <w:t xml:space="preserve"> </w:t>
      </w:r>
      <w:r w:rsidRPr="000D6063">
        <w:rPr>
          <w:rFonts w:asciiTheme="minorHAnsi" w:hAnsiTheme="minorHAnsi" w:cstheme="minorHAnsi"/>
          <w:sz w:val="18"/>
          <w:szCs w:val="18"/>
          <w:lang w:val="en-AU"/>
        </w:rPr>
        <w:t xml:space="preserve">ABS, </w:t>
      </w:r>
      <w:r w:rsidRPr="000D6063">
        <w:rPr>
          <w:rFonts w:asciiTheme="minorHAnsi" w:hAnsiTheme="minorHAnsi" w:cstheme="minorHAnsi"/>
          <w:i/>
          <w:sz w:val="18"/>
          <w:szCs w:val="18"/>
          <w:lang w:val="en-AU"/>
        </w:rPr>
        <w:t xml:space="preserve">Census of Population and Housing, </w:t>
      </w:r>
      <w:r w:rsidR="006A540D">
        <w:rPr>
          <w:rFonts w:asciiTheme="minorHAnsi" w:hAnsiTheme="minorHAnsi" w:cstheme="minorHAnsi"/>
          <w:i/>
          <w:sz w:val="18"/>
          <w:szCs w:val="18"/>
          <w:lang w:val="en-AU"/>
        </w:rPr>
        <w:t xml:space="preserve">August </w:t>
      </w:r>
      <w:r w:rsidRPr="000D6063">
        <w:rPr>
          <w:rFonts w:asciiTheme="minorHAnsi" w:hAnsiTheme="minorHAnsi" w:cstheme="minorHAnsi"/>
          <w:sz w:val="18"/>
          <w:szCs w:val="18"/>
          <w:lang w:val="en-AU"/>
        </w:rPr>
        <w:t>2011</w:t>
      </w:r>
      <w:r w:rsidR="00CD06FF">
        <w:rPr>
          <w:rFonts w:asciiTheme="minorHAnsi" w:hAnsiTheme="minorHAnsi" w:cstheme="minorHAnsi"/>
          <w:sz w:val="18"/>
          <w:szCs w:val="18"/>
          <w:lang w:val="en-AU"/>
        </w:rPr>
        <w:t>.</w:t>
      </w:r>
    </w:p>
  </w:footnote>
  <w:footnote w:id="6">
    <w:p w:rsidR="005C0FB1" w:rsidRPr="000D6063" w:rsidRDefault="005C0FB1" w:rsidP="005C0FB1">
      <w:pPr>
        <w:pStyle w:val="FootnoteText"/>
        <w:spacing w:after="0" w:line="240" w:lineRule="auto"/>
        <w:rPr>
          <w:rFonts w:asciiTheme="minorHAnsi" w:hAnsiTheme="minorHAnsi" w:cstheme="minorHAnsi"/>
          <w:sz w:val="18"/>
          <w:szCs w:val="18"/>
          <w:lang w:val="en-AU"/>
        </w:rPr>
      </w:pPr>
      <w:r w:rsidRPr="000D6063">
        <w:rPr>
          <w:rStyle w:val="FootnoteReference"/>
          <w:rFonts w:asciiTheme="minorHAnsi" w:hAnsiTheme="minorHAnsi" w:cstheme="minorHAnsi"/>
          <w:sz w:val="18"/>
          <w:szCs w:val="18"/>
        </w:rPr>
        <w:footnoteRef/>
      </w:r>
      <w:r w:rsidRPr="000D6063">
        <w:rPr>
          <w:rFonts w:asciiTheme="minorHAnsi" w:hAnsiTheme="minorHAnsi" w:cstheme="minorHAnsi"/>
          <w:sz w:val="18"/>
          <w:szCs w:val="18"/>
        </w:rPr>
        <w:t xml:space="preserve"> </w:t>
      </w:r>
      <w:r w:rsidRPr="000D6063">
        <w:rPr>
          <w:rFonts w:asciiTheme="minorHAnsi" w:hAnsiTheme="minorHAnsi" w:cstheme="minorHAnsi"/>
          <w:sz w:val="18"/>
          <w:szCs w:val="18"/>
          <w:lang w:val="en-AU"/>
        </w:rPr>
        <w:t xml:space="preserve">ABS, </w:t>
      </w:r>
      <w:r w:rsidRPr="000D6063">
        <w:rPr>
          <w:rFonts w:asciiTheme="minorHAnsi" w:hAnsiTheme="minorHAnsi" w:cstheme="minorHAnsi"/>
          <w:i/>
          <w:sz w:val="18"/>
          <w:szCs w:val="18"/>
          <w:lang w:val="en-AU"/>
        </w:rPr>
        <w:t xml:space="preserve">Census of Population and Housing, </w:t>
      </w:r>
      <w:r w:rsidRPr="000D6063">
        <w:rPr>
          <w:rFonts w:asciiTheme="minorHAnsi" w:hAnsiTheme="minorHAnsi" w:cstheme="minorHAnsi"/>
          <w:sz w:val="18"/>
          <w:szCs w:val="18"/>
          <w:lang w:val="en-AU"/>
        </w:rPr>
        <w:t>2011</w:t>
      </w:r>
      <w:r>
        <w:rPr>
          <w:rFonts w:asciiTheme="minorHAnsi" w:hAnsiTheme="minorHAnsi" w:cstheme="minorHAnsi"/>
          <w:sz w:val="18"/>
          <w:szCs w:val="18"/>
          <w:lang w:val="en-AU"/>
        </w:rPr>
        <w:t>.</w:t>
      </w:r>
    </w:p>
  </w:footnote>
  <w:footnote w:id="7">
    <w:p w:rsidR="000D6063" w:rsidRPr="000D6063" w:rsidRDefault="000D6063" w:rsidP="000D6063">
      <w:pPr>
        <w:pStyle w:val="FootnoteText"/>
        <w:spacing w:after="0" w:line="240" w:lineRule="auto"/>
        <w:rPr>
          <w:rFonts w:asciiTheme="minorHAnsi" w:hAnsiTheme="minorHAnsi" w:cstheme="minorHAnsi"/>
          <w:sz w:val="18"/>
          <w:szCs w:val="18"/>
          <w:lang w:val="en-AU"/>
        </w:rPr>
      </w:pPr>
      <w:r w:rsidRPr="000D6063">
        <w:rPr>
          <w:rStyle w:val="FootnoteReference"/>
          <w:rFonts w:asciiTheme="minorHAnsi" w:hAnsiTheme="minorHAnsi" w:cstheme="minorHAnsi"/>
          <w:sz w:val="18"/>
          <w:szCs w:val="18"/>
        </w:rPr>
        <w:footnoteRef/>
      </w:r>
      <w:r w:rsidRPr="000D6063">
        <w:rPr>
          <w:rFonts w:asciiTheme="minorHAnsi" w:hAnsiTheme="minorHAnsi" w:cstheme="minorHAnsi"/>
          <w:sz w:val="18"/>
          <w:szCs w:val="18"/>
        </w:rPr>
        <w:t xml:space="preserve"> </w:t>
      </w:r>
      <w:r w:rsidRPr="000D6063">
        <w:rPr>
          <w:rFonts w:asciiTheme="minorHAnsi" w:hAnsiTheme="minorHAnsi" w:cstheme="minorHAnsi"/>
          <w:sz w:val="18"/>
          <w:szCs w:val="18"/>
          <w:lang w:val="en-AU"/>
        </w:rPr>
        <w:t xml:space="preserve">ABS, </w:t>
      </w:r>
      <w:r w:rsidRPr="000D6063">
        <w:rPr>
          <w:rFonts w:asciiTheme="minorHAnsi" w:hAnsiTheme="minorHAnsi" w:cstheme="minorHAnsi"/>
          <w:i/>
          <w:sz w:val="18"/>
          <w:szCs w:val="18"/>
          <w:lang w:val="en-AU"/>
        </w:rPr>
        <w:t xml:space="preserve">Census of Population and Housing, </w:t>
      </w:r>
      <w:r w:rsidRPr="000D6063">
        <w:rPr>
          <w:rFonts w:asciiTheme="minorHAnsi" w:hAnsiTheme="minorHAnsi" w:cstheme="minorHAnsi"/>
          <w:sz w:val="18"/>
          <w:szCs w:val="18"/>
          <w:lang w:val="en-AU"/>
        </w:rPr>
        <w:t>2011</w:t>
      </w:r>
      <w:r w:rsidR="00CD06FF">
        <w:rPr>
          <w:rFonts w:asciiTheme="minorHAnsi" w:hAnsiTheme="minorHAnsi" w:cstheme="minorHAnsi"/>
          <w:sz w:val="18"/>
          <w:szCs w:val="18"/>
          <w:lang w:val="en-AU"/>
        </w:rPr>
        <w:t>.</w:t>
      </w:r>
    </w:p>
  </w:footnote>
  <w:footnote w:id="8">
    <w:p w:rsidR="00123C85" w:rsidRPr="00123C85" w:rsidRDefault="00123C85" w:rsidP="00123C85">
      <w:pPr>
        <w:pStyle w:val="FootnoteText"/>
        <w:spacing w:after="0" w:line="240" w:lineRule="auto"/>
        <w:rPr>
          <w:rFonts w:asciiTheme="minorHAnsi" w:hAnsiTheme="minorHAnsi" w:cstheme="minorHAnsi"/>
          <w:sz w:val="18"/>
          <w:szCs w:val="18"/>
          <w:lang w:val="en-AU"/>
        </w:rPr>
      </w:pPr>
      <w:r w:rsidRPr="00123C85">
        <w:rPr>
          <w:rStyle w:val="FootnoteReference"/>
          <w:rFonts w:asciiTheme="minorHAnsi" w:hAnsiTheme="minorHAnsi" w:cstheme="minorHAnsi"/>
          <w:sz w:val="18"/>
          <w:szCs w:val="18"/>
        </w:rPr>
        <w:footnoteRef/>
      </w:r>
      <w:r w:rsidRPr="00123C85">
        <w:rPr>
          <w:rFonts w:asciiTheme="minorHAnsi" w:hAnsiTheme="minorHAnsi" w:cstheme="minorHAnsi"/>
          <w:sz w:val="18"/>
          <w:szCs w:val="18"/>
        </w:rPr>
        <w:t xml:space="preserve"> </w:t>
      </w:r>
      <w:proofErr w:type="spellStart"/>
      <w:r w:rsidRPr="00123C85">
        <w:rPr>
          <w:rFonts w:asciiTheme="minorHAnsi" w:hAnsiTheme="minorHAnsi" w:cstheme="minorHAnsi"/>
          <w:sz w:val="18"/>
          <w:szCs w:val="18"/>
          <w:lang w:val="en-AU"/>
        </w:rPr>
        <w:t>DEEWR</w:t>
      </w:r>
      <w:proofErr w:type="spellEnd"/>
      <w:r w:rsidRPr="00123C85">
        <w:rPr>
          <w:rFonts w:asciiTheme="minorHAnsi" w:hAnsiTheme="minorHAnsi" w:cstheme="minorHAnsi"/>
          <w:sz w:val="18"/>
          <w:szCs w:val="18"/>
          <w:lang w:val="en-AU"/>
        </w:rPr>
        <w:t xml:space="preserve">, </w:t>
      </w:r>
      <w:r w:rsidRPr="00123C85">
        <w:rPr>
          <w:rFonts w:asciiTheme="minorHAnsi" w:hAnsiTheme="minorHAnsi" w:cstheme="minorHAnsi"/>
          <w:i/>
          <w:sz w:val="18"/>
          <w:szCs w:val="18"/>
          <w:lang w:val="en-AU"/>
        </w:rPr>
        <w:t xml:space="preserve">Small Area Labour Markets, </w:t>
      </w:r>
      <w:r w:rsidRPr="00123C85">
        <w:rPr>
          <w:rFonts w:asciiTheme="minorHAnsi" w:hAnsiTheme="minorHAnsi" w:cstheme="minorHAnsi"/>
          <w:sz w:val="18"/>
          <w:szCs w:val="18"/>
          <w:lang w:val="en-AU"/>
        </w:rPr>
        <w:t>March 2013</w:t>
      </w:r>
      <w:r w:rsidR="002D00F4">
        <w:rPr>
          <w:rFonts w:asciiTheme="minorHAnsi" w:hAnsiTheme="minorHAnsi" w:cstheme="minorHAnsi"/>
          <w:sz w:val="18"/>
          <w:szCs w:val="18"/>
          <w:lang w:val="en-AU"/>
        </w:rPr>
        <w:t>.</w:t>
      </w:r>
    </w:p>
  </w:footnote>
  <w:footnote w:id="9">
    <w:p w:rsidR="00123C85" w:rsidRPr="00123C85" w:rsidRDefault="00123C85" w:rsidP="00123C85">
      <w:pPr>
        <w:pStyle w:val="FootnoteText"/>
        <w:spacing w:after="0" w:line="240" w:lineRule="auto"/>
        <w:rPr>
          <w:lang w:val="en-AU"/>
        </w:rPr>
      </w:pPr>
      <w:r w:rsidRPr="00123C85">
        <w:rPr>
          <w:rStyle w:val="FootnoteReference"/>
          <w:rFonts w:asciiTheme="minorHAnsi" w:hAnsiTheme="minorHAnsi" w:cstheme="minorHAnsi"/>
          <w:sz w:val="18"/>
          <w:szCs w:val="18"/>
        </w:rPr>
        <w:footnoteRef/>
      </w:r>
      <w:r w:rsidRPr="00123C85">
        <w:rPr>
          <w:rFonts w:asciiTheme="minorHAnsi" w:hAnsiTheme="minorHAnsi" w:cstheme="minorHAnsi"/>
          <w:sz w:val="18"/>
          <w:szCs w:val="18"/>
        </w:rPr>
        <w:t xml:space="preserve"> </w:t>
      </w:r>
      <w:r w:rsidRPr="00123C85">
        <w:rPr>
          <w:rFonts w:asciiTheme="minorHAnsi" w:hAnsiTheme="minorHAnsi" w:cstheme="minorHAnsi"/>
          <w:sz w:val="18"/>
          <w:szCs w:val="18"/>
          <w:lang w:val="en-AU"/>
        </w:rPr>
        <w:t xml:space="preserve">DEEWR, </w:t>
      </w:r>
      <w:r w:rsidRPr="00123C85">
        <w:rPr>
          <w:rFonts w:asciiTheme="minorHAnsi" w:hAnsiTheme="minorHAnsi" w:cstheme="minorHAnsi"/>
          <w:i/>
          <w:sz w:val="18"/>
          <w:szCs w:val="18"/>
          <w:lang w:val="en-AU"/>
        </w:rPr>
        <w:t xml:space="preserve">Small Area Labour Markets, </w:t>
      </w:r>
      <w:r w:rsidRPr="00123C85">
        <w:rPr>
          <w:rFonts w:asciiTheme="minorHAnsi" w:hAnsiTheme="minorHAnsi" w:cstheme="minorHAnsi"/>
          <w:sz w:val="18"/>
          <w:szCs w:val="18"/>
          <w:lang w:val="en-AU"/>
        </w:rPr>
        <w:t>March 2013</w:t>
      </w:r>
      <w:r w:rsidR="002D00F4">
        <w:rPr>
          <w:rFonts w:asciiTheme="minorHAnsi" w:hAnsiTheme="minorHAnsi" w:cstheme="minorHAnsi"/>
          <w:sz w:val="18"/>
          <w:szCs w:val="18"/>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C1" w:rsidRDefault="00986BC1" w:rsidP="00986BC1">
    <w:pPr>
      <w:pStyle w:val="Header"/>
      <w:jc w:val="right"/>
    </w:pPr>
    <w:r>
      <w:t>Peel Region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5C21B0"/>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6F649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B6C4DC7"/>
    <w:multiLevelType w:val="hybridMultilevel"/>
    <w:tmpl w:val="FBD81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7B2CD8"/>
    <w:multiLevelType w:val="hybridMultilevel"/>
    <w:tmpl w:val="37BA3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28772A69"/>
    <w:multiLevelType w:val="hybridMultilevel"/>
    <w:tmpl w:val="5FA0D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B627D8"/>
    <w:multiLevelType w:val="hybridMultilevel"/>
    <w:tmpl w:val="DB1C5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2352CA3"/>
    <w:multiLevelType w:val="hybridMultilevel"/>
    <w:tmpl w:val="4F46AF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02326EC"/>
    <w:multiLevelType w:val="hybridMultilevel"/>
    <w:tmpl w:val="C0703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nsid w:val="604911EF"/>
    <w:multiLevelType w:val="hybridMultilevel"/>
    <w:tmpl w:val="7BA4C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F745FC"/>
    <w:multiLevelType w:val="hybridMultilevel"/>
    <w:tmpl w:val="0FB4E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D204559"/>
    <w:multiLevelType w:val="hybridMultilevel"/>
    <w:tmpl w:val="D24E8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625712"/>
    <w:multiLevelType w:val="hybridMultilevel"/>
    <w:tmpl w:val="08D8A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5D07445"/>
    <w:multiLevelType w:val="hybridMultilevel"/>
    <w:tmpl w:val="86F04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6"/>
  </w:num>
  <w:num w:numId="15">
    <w:abstractNumId w:val="12"/>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1"/>
  </w:num>
  <w:num w:numId="20">
    <w:abstractNumId w:val="10"/>
  </w:num>
  <w:num w:numId="21">
    <w:abstractNumId w:val="11"/>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num>
  <w:num w:numId="26">
    <w:abstractNumId w:val="25"/>
  </w:num>
  <w:num w:numId="27">
    <w:abstractNumId w:val="22"/>
  </w:num>
  <w:num w:numId="28">
    <w:abstractNumId w:val="15"/>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1061A"/>
    <w:rsid w:val="00002721"/>
    <w:rsid w:val="00012C24"/>
    <w:rsid w:val="00024E24"/>
    <w:rsid w:val="00027B89"/>
    <w:rsid w:val="00047C24"/>
    <w:rsid w:val="000861A6"/>
    <w:rsid w:val="000918DF"/>
    <w:rsid w:val="00094B59"/>
    <w:rsid w:val="000A28DB"/>
    <w:rsid w:val="000B3D1E"/>
    <w:rsid w:val="000C69E1"/>
    <w:rsid w:val="000D6063"/>
    <w:rsid w:val="000E5074"/>
    <w:rsid w:val="000E591A"/>
    <w:rsid w:val="000F3BA2"/>
    <w:rsid w:val="001175BF"/>
    <w:rsid w:val="00123C85"/>
    <w:rsid w:val="00143FCD"/>
    <w:rsid w:val="00144EE5"/>
    <w:rsid w:val="001467E8"/>
    <w:rsid w:val="0018141A"/>
    <w:rsid w:val="001821E1"/>
    <w:rsid w:val="001A57D7"/>
    <w:rsid w:val="001B33DD"/>
    <w:rsid w:val="001B6467"/>
    <w:rsid w:val="001C5D89"/>
    <w:rsid w:val="001E16DE"/>
    <w:rsid w:val="001F3004"/>
    <w:rsid w:val="00211CCB"/>
    <w:rsid w:val="00223EB1"/>
    <w:rsid w:val="002323FA"/>
    <w:rsid w:val="00234139"/>
    <w:rsid w:val="00236917"/>
    <w:rsid w:val="00246AE9"/>
    <w:rsid w:val="00272D7B"/>
    <w:rsid w:val="002B06E6"/>
    <w:rsid w:val="002B2479"/>
    <w:rsid w:val="002D00F4"/>
    <w:rsid w:val="002D271F"/>
    <w:rsid w:val="002D6386"/>
    <w:rsid w:val="003046C5"/>
    <w:rsid w:val="00305B35"/>
    <w:rsid w:val="00347904"/>
    <w:rsid w:val="00372899"/>
    <w:rsid w:val="003767A1"/>
    <w:rsid w:val="00390E03"/>
    <w:rsid w:val="003928F8"/>
    <w:rsid w:val="003B4C8D"/>
    <w:rsid w:val="003D1449"/>
    <w:rsid w:val="003D4DF3"/>
    <w:rsid w:val="00406E5A"/>
    <w:rsid w:val="0041061A"/>
    <w:rsid w:val="00447480"/>
    <w:rsid w:val="004479D7"/>
    <w:rsid w:val="004553BC"/>
    <w:rsid w:val="00455B34"/>
    <w:rsid w:val="00467CEE"/>
    <w:rsid w:val="00472FC5"/>
    <w:rsid w:val="0048327B"/>
    <w:rsid w:val="00484666"/>
    <w:rsid w:val="00487137"/>
    <w:rsid w:val="004A0E0D"/>
    <w:rsid w:val="004B256F"/>
    <w:rsid w:val="004C1C17"/>
    <w:rsid w:val="004C48BD"/>
    <w:rsid w:val="004C7459"/>
    <w:rsid w:val="00521A4D"/>
    <w:rsid w:val="00523F01"/>
    <w:rsid w:val="005252BA"/>
    <w:rsid w:val="00531817"/>
    <w:rsid w:val="00547294"/>
    <w:rsid w:val="00550D17"/>
    <w:rsid w:val="005602C6"/>
    <w:rsid w:val="005624F3"/>
    <w:rsid w:val="00565027"/>
    <w:rsid w:val="005811EF"/>
    <w:rsid w:val="00590F94"/>
    <w:rsid w:val="00591857"/>
    <w:rsid w:val="005A1328"/>
    <w:rsid w:val="005B0878"/>
    <w:rsid w:val="005C0FB1"/>
    <w:rsid w:val="00610654"/>
    <w:rsid w:val="006150E3"/>
    <w:rsid w:val="006318CF"/>
    <w:rsid w:val="00640A38"/>
    <w:rsid w:val="00653688"/>
    <w:rsid w:val="006A540D"/>
    <w:rsid w:val="006C5FE6"/>
    <w:rsid w:val="006E2B08"/>
    <w:rsid w:val="006E6F1E"/>
    <w:rsid w:val="006F2BE0"/>
    <w:rsid w:val="006F4EDD"/>
    <w:rsid w:val="00700EA4"/>
    <w:rsid w:val="00701E8F"/>
    <w:rsid w:val="00707B5F"/>
    <w:rsid w:val="007349C8"/>
    <w:rsid w:val="007454CA"/>
    <w:rsid w:val="007607D5"/>
    <w:rsid w:val="00792CA3"/>
    <w:rsid w:val="00797D1F"/>
    <w:rsid w:val="007B2FDD"/>
    <w:rsid w:val="007C53A5"/>
    <w:rsid w:val="007D65CA"/>
    <w:rsid w:val="007F0863"/>
    <w:rsid w:val="00800B2D"/>
    <w:rsid w:val="00807945"/>
    <w:rsid w:val="008168E5"/>
    <w:rsid w:val="008235C4"/>
    <w:rsid w:val="00825B8D"/>
    <w:rsid w:val="0083468A"/>
    <w:rsid w:val="00842D43"/>
    <w:rsid w:val="008740A6"/>
    <w:rsid w:val="008A1C19"/>
    <w:rsid w:val="008A7E15"/>
    <w:rsid w:val="008B414F"/>
    <w:rsid w:val="008B7496"/>
    <w:rsid w:val="008D07D0"/>
    <w:rsid w:val="008E0D91"/>
    <w:rsid w:val="008F4528"/>
    <w:rsid w:val="0090772B"/>
    <w:rsid w:val="009116EA"/>
    <w:rsid w:val="00933671"/>
    <w:rsid w:val="00984879"/>
    <w:rsid w:val="00985632"/>
    <w:rsid w:val="00986BC1"/>
    <w:rsid w:val="00991B63"/>
    <w:rsid w:val="009A691D"/>
    <w:rsid w:val="009B2428"/>
    <w:rsid w:val="009B45B2"/>
    <w:rsid w:val="009B5177"/>
    <w:rsid w:val="009B5CB7"/>
    <w:rsid w:val="009C6A31"/>
    <w:rsid w:val="009E7080"/>
    <w:rsid w:val="009F02AE"/>
    <w:rsid w:val="00A15BA5"/>
    <w:rsid w:val="00A22057"/>
    <w:rsid w:val="00A22CC9"/>
    <w:rsid w:val="00A31242"/>
    <w:rsid w:val="00A40167"/>
    <w:rsid w:val="00A47FD6"/>
    <w:rsid w:val="00A52530"/>
    <w:rsid w:val="00A66D67"/>
    <w:rsid w:val="00A713FC"/>
    <w:rsid w:val="00AA2C79"/>
    <w:rsid w:val="00AA6CB5"/>
    <w:rsid w:val="00AC3DAB"/>
    <w:rsid w:val="00AC404D"/>
    <w:rsid w:val="00AC65DA"/>
    <w:rsid w:val="00AD4CF9"/>
    <w:rsid w:val="00AE3113"/>
    <w:rsid w:val="00AE4380"/>
    <w:rsid w:val="00AE493A"/>
    <w:rsid w:val="00B157E6"/>
    <w:rsid w:val="00B17812"/>
    <w:rsid w:val="00B218CF"/>
    <w:rsid w:val="00B24D1A"/>
    <w:rsid w:val="00B411B3"/>
    <w:rsid w:val="00B548FB"/>
    <w:rsid w:val="00B765BD"/>
    <w:rsid w:val="00BB5C1C"/>
    <w:rsid w:val="00BD2979"/>
    <w:rsid w:val="00BD5E71"/>
    <w:rsid w:val="00BE4781"/>
    <w:rsid w:val="00BF495A"/>
    <w:rsid w:val="00C05E74"/>
    <w:rsid w:val="00C10C19"/>
    <w:rsid w:val="00C3392F"/>
    <w:rsid w:val="00C40E69"/>
    <w:rsid w:val="00C50423"/>
    <w:rsid w:val="00C52CB2"/>
    <w:rsid w:val="00C54006"/>
    <w:rsid w:val="00C5649C"/>
    <w:rsid w:val="00C65BAB"/>
    <w:rsid w:val="00C67398"/>
    <w:rsid w:val="00C6741C"/>
    <w:rsid w:val="00C73715"/>
    <w:rsid w:val="00C8202C"/>
    <w:rsid w:val="00C90950"/>
    <w:rsid w:val="00C91020"/>
    <w:rsid w:val="00C92115"/>
    <w:rsid w:val="00C92A5B"/>
    <w:rsid w:val="00C93B8C"/>
    <w:rsid w:val="00CA46EC"/>
    <w:rsid w:val="00CB0BB4"/>
    <w:rsid w:val="00CB5E58"/>
    <w:rsid w:val="00CD06FF"/>
    <w:rsid w:val="00CE115A"/>
    <w:rsid w:val="00D1394D"/>
    <w:rsid w:val="00D24C65"/>
    <w:rsid w:val="00D3334D"/>
    <w:rsid w:val="00D81AA5"/>
    <w:rsid w:val="00D903FD"/>
    <w:rsid w:val="00D96C08"/>
    <w:rsid w:val="00DE63B6"/>
    <w:rsid w:val="00DF1BFC"/>
    <w:rsid w:val="00DF4165"/>
    <w:rsid w:val="00E06501"/>
    <w:rsid w:val="00E167EE"/>
    <w:rsid w:val="00E22DA1"/>
    <w:rsid w:val="00E27506"/>
    <w:rsid w:val="00E3371A"/>
    <w:rsid w:val="00E45E2E"/>
    <w:rsid w:val="00E62294"/>
    <w:rsid w:val="00E744C5"/>
    <w:rsid w:val="00E8493D"/>
    <w:rsid w:val="00E90AFF"/>
    <w:rsid w:val="00E943B9"/>
    <w:rsid w:val="00E94CE6"/>
    <w:rsid w:val="00EB2309"/>
    <w:rsid w:val="00ED0206"/>
    <w:rsid w:val="00ED43D2"/>
    <w:rsid w:val="00ED49AE"/>
    <w:rsid w:val="00EE0D7A"/>
    <w:rsid w:val="00EE25A0"/>
    <w:rsid w:val="00EE2D1D"/>
    <w:rsid w:val="00EE3B8C"/>
    <w:rsid w:val="00EE440E"/>
    <w:rsid w:val="00EF4A24"/>
    <w:rsid w:val="00F36584"/>
    <w:rsid w:val="00F4425F"/>
    <w:rsid w:val="00F444E6"/>
    <w:rsid w:val="00F65739"/>
    <w:rsid w:val="00F94422"/>
    <w:rsid w:val="00F95500"/>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72B"/>
  </w:style>
  <w:style w:type="paragraph" w:styleId="Heading1">
    <w:name w:val="heading 1"/>
    <w:basedOn w:val="Normal"/>
    <w:next w:val="Normal"/>
    <w:link w:val="Heading1Char"/>
    <w:uiPriority w:val="9"/>
    <w:qFormat/>
    <w:rsid w:val="009B2428"/>
    <w:pPr>
      <w:pBdr>
        <w:bottom w:val="single" w:sz="4" w:space="1" w:color="165788"/>
      </w:pBdr>
      <w:spacing w:before="360" w:after="240" w:line="240" w:lineRule="auto"/>
      <w:contextualSpacing/>
      <w:outlineLvl w:val="0"/>
    </w:pPr>
    <w:rPr>
      <w:rFonts w:ascii="Calibri" w:eastAsiaTheme="majorEastAsia" w:hAnsi="Calibri" w:cstheme="majorBidi"/>
      <w:b/>
      <w:bCs/>
      <w:color w:val="165788"/>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0000FF"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9B2428"/>
    <w:rPr>
      <w:rFonts w:ascii="Calibri" w:eastAsiaTheme="majorEastAsia" w:hAnsi="Calibri" w:cstheme="majorBidi"/>
      <w:b/>
      <w:bCs/>
      <w:color w:val="165788"/>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0861A6"/>
    <w:pPr>
      <w:spacing w:after="240"/>
    </w:pPr>
    <w:rPr>
      <w:rFonts w:ascii="Calibri" w:eastAsiaTheme="majorEastAsia" w:hAnsi="Calibri" w:cstheme="majorBidi"/>
      <w:b/>
      <w:iCs/>
      <w:color w:val="165788"/>
      <w:spacing w:val="13"/>
      <w:sz w:val="40"/>
      <w:szCs w:val="24"/>
    </w:rPr>
  </w:style>
  <w:style w:type="character" w:customStyle="1" w:styleId="SubtitleChar">
    <w:name w:val="Subtitle Char"/>
    <w:basedOn w:val="DefaultParagraphFont"/>
    <w:link w:val="Subtitle"/>
    <w:uiPriority w:val="11"/>
    <w:rsid w:val="000861A6"/>
    <w:rPr>
      <w:rFonts w:ascii="Calibri" w:eastAsiaTheme="majorEastAsia" w:hAnsi="Calibri" w:cstheme="majorBidi"/>
      <w:b/>
      <w:iCs/>
      <w:color w:val="165788"/>
      <w:spacing w:val="13"/>
      <w:sz w:val="40"/>
      <w:szCs w:val="24"/>
    </w:rPr>
  </w:style>
  <w:style w:type="paragraph" w:styleId="NoSpacing">
    <w:name w:val="No Spacing"/>
    <w:basedOn w:val="Normal"/>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EE3B8C"/>
    <w:pPr>
      <w:spacing w:after="0" w:line="240" w:lineRule="auto"/>
    </w:pPr>
    <w:rPr>
      <w:sz w:val="20"/>
    </w:rPr>
    <w:tblPr>
      <w:tblStyleRowBandSize w:val="1"/>
      <w:tblInd w:w="0" w:type="dxa"/>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1"/>
        <w:sz w:val="20"/>
      </w:rPr>
      <w:tblPr/>
      <w:tcPr>
        <w:shd w:val="clear" w:color="auto" w:fill="165788"/>
      </w:tcPr>
    </w:tblStylePr>
    <w:tblStylePr w:type="band2Horz">
      <w:tblPr/>
      <w:tcPr>
        <w:tcBorders>
          <w:top w:val="nil"/>
          <w:left w:val="nil"/>
          <w:bottom w:val="nil"/>
          <w:right w:val="nil"/>
          <w:insideH w:val="nil"/>
          <w:insideV w:val="nil"/>
          <w:tl2br w:val="nil"/>
          <w:tr2bl w:val="nil"/>
        </w:tcBorders>
        <w:shd w:val="clear" w:color="165788" w:fill="DBE5F1" w:themeFill="accent1" w:themeFillTint="33"/>
      </w:tcPr>
    </w:tblStylePr>
  </w:style>
  <w:style w:type="paragraph" w:styleId="Header">
    <w:name w:val="header"/>
    <w:basedOn w:val="Normal"/>
    <w:link w:val="HeaderChar"/>
    <w:uiPriority w:val="99"/>
    <w:unhideWhenUsed/>
    <w:rsid w:val="0073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C8"/>
  </w:style>
  <w:style w:type="paragraph" w:styleId="Footer">
    <w:name w:val="footer"/>
    <w:basedOn w:val="Normal"/>
    <w:link w:val="FooterChar"/>
    <w:uiPriority w:val="99"/>
    <w:unhideWhenUsed/>
    <w:rsid w:val="0073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C8"/>
  </w:style>
  <w:style w:type="paragraph" w:styleId="BalloonText">
    <w:name w:val="Balloon Text"/>
    <w:basedOn w:val="Normal"/>
    <w:link w:val="BalloonTextChar"/>
    <w:uiPriority w:val="99"/>
    <w:semiHidden/>
    <w:unhideWhenUsed/>
    <w:rsid w:val="0073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C8"/>
    <w:rPr>
      <w:rFonts w:ascii="Tahoma" w:hAnsi="Tahoma" w:cs="Tahoma"/>
      <w:sz w:val="16"/>
      <w:szCs w:val="16"/>
    </w:rPr>
  </w:style>
  <w:style w:type="paragraph" w:styleId="FootnoteText">
    <w:name w:val="footnote text"/>
    <w:basedOn w:val="Normal"/>
    <w:link w:val="FootnoteTextChar"/>
    <w:uiPriority w:val="99"/>
    <w:unhideWhenUsed/>
    <w:rsid w:val="0041061A"/>
    <w:pPr>
      <w:spacing w:after="160" w:line="288" w:lineRule="auto"/>
    </w:pPr>
    <w:rPr>
      <w:rFonts w:ascii="Corbel" w:eastAsia="Corbel" w:hAnsi="Corbel" w:cs="Times New Roman"/>
      <w:color w:val="5A5A5A"/>
      <w:sz w:val="20"/>
      <w:szCs w:val="20"/>
      <w:lang w:val="en-US" w:bidi="en-US"/>
    </w:rPr>
  </w:style>
  <w:style w:type="character" w:customStyle="1" w:styleId="FootnoteTextChar">
    <w:name w:val="Footnote Text Char"/>
    <w:basedOn w:val="DefaultParagraphFont"/>
    <w:link w:val="FootnoteText"/>
    <w:uiPriority w:val="99"/>
    <w:rsid w:val="0041061A"/>
    <w:rPr>
      <w:rFonts w:ascii="Corbel" w:eastAsia="Corbel" w:hAnsi="Corbel" w:cs="Times New Roman"/>
      <w:color w:val="5A5A5A"/>
      <w:sz w:val="20"/>
      <w:szCs w:val="20"/>
      <w:lang w:val="en-US" w:bidi="en-US"/>
    </w:rPr>
  </w:style>
  <w:style w:type="character" w:styleId="FootnoteReference">
    <w:name w:val="footnote reference"/>
    <w:uiPriority w:val="99"/>
    <w:unhideWhenUsed/>
    <w:rsid w:val="0041061A"/>
    <w:rPr>
      <w:vertAlign w:val="superscript"/>
    </w:rPr>
  </w:style>
  <w:style w:type="paragraph" w:customStyle="1" w:styleId="RIESbriefreports">
    <w:name w:val="RIES brief/reports"/>
    <w:basedOn w:val="Heading1"/>
    <w:next w:val="Normal"/>
    <w:link w:val="RIESbriefreportsChar"/>
    <w:qFormat/>
    <w:rsid w:val="0041061A"/>
    <w:pPr>
      <w:keepNext/>
      <w:keepLines/>
      <w:pBdr>
        <w:bottom w:val="single" w:sz="4" w:space="1" w:color="auto"/>
      </w:pBdr>
      <w:spacing w:before="480" w:after="120" w:line="276" w:lineRule="auto"/>
      <w:contextualSpacing w:val="0"/>
    </w:pPr>
    <w:rPr>
      <w:rFonts w:asciiTheme="minorHAnsi" w:hAnsiTheme="minorHAnsi" w:cstheme="minorHAnsi"/>
      <w:color w:val="365F91" w:themeColor="accent1" w:themeShade="BF"/>
      <w:sz w:val="24"/>
    </w:rPr>
  </w:style>
  <w:style w:type="character" w:customStyle="1" w:styleId="RIESbriefreportsChar">
    <w:name w:val="RIES brief/reports Char"/>
    <w:basedOn w:val="DefaultParagraphFont"/>
    <w:link w:val="RIESbriefreports"/>
    <w:rsid w:val="0041061A"/>
    <w:rPr>
      <w:rFonts w:eastAsiaTheme="majorEastAsia" w:cstheme="minorHAnsi"/>
      <w:b/>
      <w:bCs/>
      <w:color w:val="365F91" w:themeColor="accent1" w:themeShade="BF"/>
      <w:sz w:val="24"/>
      <w:szCs w:val="28"/>
    </w:rPr>
  </w:style>
  <w:style w:type="paragraph" w:customStyle="1" w:styleId="Default">
    <w:name w:val="Default"/>
    <w:rsid w:val="0041061A"/>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numberedpara">
    <w:name w:val="numbered para"/>
    <w:basedOn w:val="Normal"/>
    <w:rsid w:val="0041061A"/>
    <w:pPr>
      <w:numPr>
        <w:numId w:val="23"/>
      </w:numPr>
      <w:spacing w:after="0" w:line="240" w:lineRule="auto"/>
    </w:pPr>
    <w:rPr>
      <w:rFonts w:ascii="Calibri" w:eastAsiaTheme="minorHAnsi" w:hAnsi="Calibri" w:cs="Calibri"/>
      <w:lang w:eastAsia="en-AU"/>
    </w:rPr>
  </w:style>
  <w:style w:type="paragraph" w:styleId="NormalWeb">
    <w:name w:val="Normal (Web)"/>
    <w:basedOn w:val="Normal"/>
    <w:uiPriority w:val="99"/>
    <w:semiHidden/>
    <w:unhideWhenUsed/>
    <w:rsid w:val="00472FC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72B"/>
  </w:style>
  <w:style w:type="paragraph" w:styleId="Heading1">
    <w:name w:val="heading 1"/>
    <w:basedOn w:val="Normal"/>
    <w:next w:val="Normal"/>
    <w:link w:val="Heading1Char"/>
    <w:uiPriority w:val="9"/>
    <w:qFormat/>
    <w:rsid w:val="009B2428"/>
    <w:pPr>
      <w:pBdr>
        <w:bottom w:val="single" w:sz="4" w:space="1" w:color="165788"/>
      </w:pBdr>
      <w:spacing w:before="360" w:after="240" w:line="240" w:lineRule="auto"/>
      <w:contextualSpacing/>
      <w:outlineLvl w:val="0"/>
    </w:pPr>
    <w:rPr>
      <w:rFonts w:ascii="Calibri" w:eastAsiaTheme="majorEastAsia" w:hAnsi="Calibri" w:cstheme="majorBidi"/>
      <w:b/>
      <w:bCs/>
      <w:color w:val="165788"/>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0000FF"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9B2428"/>
    <w:rPr>
      <w:rFonts w:ascii="Calibri" w:eastAsiaTheme="majorEastAsia" w:hAnsi="Calibri" w:cstheme="majorBidi"/>
      <w:b/>
      <w:bCs/>
      <w:color w:val="165788"/>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0861A6"/>
    <w:pPr>
      <w:spacing w:after="240"/>
    </w:pPr>
    <w:rPr>
      <w:rFonts w:ascii="Calibri" w:eastAsiaTheme="majorEastAsia" w:hAnsi="Calibri" w:cstheme="majorBidi"/>
      <w:b/>
      <w:iCs/>
      <w:color w:val="165788"/>
      <w:spacing w:val="13"/>
      <w:sz w:val="40"/>
      <w:szCs w:val="24"/>
    </w:rPr>
  </w:style>
  <w:style w:type="character" w:customStyle="1" w:styleId="SubtitleChar">
    <w:name w:val="Subtitle Char"/>
    <w:basedOn w:val="DefaultParagraphFont"/>
    <w:link w:val="Subtitle"/>
    <w:uiPriority w:val="11"/>
    <w:rsid w:val="000861A6"/>
    <w:rPr>
      <w:rFonts w:ascii="Calibri" w:eastAsiaTheme="majorEastAsia" w:hAnsi="Calibri" w:cstheme="majorBidi"/>
      <w:b/>
      <w:iCs/>
      <w:color w:val="165788"/>
      <w:spacing w:val="13"/>
      <w:sz w:val="40"/>
      <w:szCs w:val="24"/>
    </w:rPr>
  </w:style>
  <w:style w:type="paragraph" w:styleId="NoSpacing">
    <w:name w:val="No Spacing"/>
    <w:basedOn w:val="Normal"/>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EE3B8C"/>
    <w:pPr>
      <w:spacing w:after="0" w:line="240" w:lineRule="auto"/>
    </w:pPr>
    <w:rPr>
      <w:sz w:val="20"/>
    </w:rPr>
    <w:tblPr>
      <w:tblStyleRowBandSize w:val="1"/>
      <w:tblInd w:w="0" w:type="dxa"/>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1"/>
        <w:sz w:val="20"/>
      </w:rPr>
      <w:tblPr/>
      <w:tcPr>
        <w:shd w:val="clear" w:color="auto" w:fill="165788"/>
      </w:tcPr>
    </w:tblStylePr>
    <w:tblStylePr w:type="band2Horz">
      <w:tblPr/>
      <w:tcPr>
        <w:tcBorders>
          <w:top w:val="nil"/>
          <w:left w:val="nil"/>
          <w:bottom w:val="nil"/>
          <w:right w:val="nil"/>
          <w:insideH w:val="nil"/>
          <w:insideV w:val="nil"/>
          <w:tl2br w:val="nil"/>
          <w:tr2bl w:val="nil"/>
        </w:tcBorders>
        <w:shd w:val="clear" w:color="165788" w:fill="DBE5F1" w:themeFill="accent1" w:themeFillTint="33"/>
      </w:tcPr>
    </w:tblStylePr>
  </w:style>
  <w:style w:type="paragraph" w:styleId="Header">
    <w:name w:val="header"/>
    <w:basedOn w:val="Normal"/>
    <w:link w:val="HeaderChar"/>
    <w:uiPriority w:val="99"/>
    <w:unhideWhenUsed/>
    <w:rsid w:val="0073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C8"/>
  </w:style>
  <w:style w:type="paragraph" w:styleId="Footer">
    <w:name w:val="footer"/>
    <w:basedOn w:val="Normal"/>
    <w:link w:val="FooterChar"/>
    <w:uiPriority w:val="99"/>
    <w:unhideWhenUsed/>
    <w:rsid w:val="0073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C8"/>
  </w:style>
  <w:style w:type="paragraph" w:styleId="BalloonText">
    <w:name w:val="Balloon Text"/>
    <w:basedOn w:val="Normal"/>
    <w:link w:val="BalloonTextChar"/>
    <w:uiPriority w:val="99"/>
    <w:semiHidden/>
    <w:unhideWhenUsed/>
    <w:rsid w:val="0073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C8"/>
    <w:rPr>
      <w:rFonts w:ascii="Tahoma" w:hAnsi="Tahoma" w:cs="Tahoma"/>
      <w:sz w:val="16"/>
      <w:szCs w:val="16"/>
    </w:rPr>
  </w:style>
  <w:style w:type="paragraph" w:styleId="FootnoteText">
    <w:name w:val="footnote text"/>
    <w:basedOn w:val="Normal"/>
    <w:link w:val="FootnoteTextChar"/>
    <w:uiPriority w:val="99"/>
    <w:unhideWhenUsed/>
    <w:rsid w:val="0041061A"/>
    <w:pPr>
      <w:spacing w:after="160" w:line="288" w:lineRule="auto"/>
    </w:pPr>
    <w:rPr>
      <w:rFonts w:ascii="Corbel" w:eastAsia="Corbel" w:hAnsi="Corbel" w:cs="Times New Roman"/>
      <w:color w:val="5A5A5A"/>
      <w:sz w:val="20"/>
      <w:szCs w:val="20"/>
      <w:lang w:val="en-US" w:bidi="en-US"/>
    </w:rPr>
  </w:style>
  <w:style w:type="character" w:customStyle="1" w:styleId="FootnoteTextChar">
    <w:name w:val="Footnote Text Char"/>
    <w:basedOn w:val="DefaultParagraphFont"/>
    <w:link w:val="FootnoteText"/>
    <w:uiPriority w:val="99"/>
    <w:rsid w:val="0041061A"/>
    <w:rPr>
      <w:rFonts w:ascii="Corbel" w:eastAsia="Corbel" w:hAnsi="Corbel" w:cs="Times New Roman"/>
      <w:color w:val="5A5A5A"/>
      <w:sz w:val="20"/>
      <w:szCs w:val="20"/>
      <w:lang w:val="en-US" w:bidi="en-US"/>
    </w:rPr>
  </w:style>
  <w:style w:type="character" w:styleId="FootnoteReference">
    <w:name w:val="footnote reference"/>
    <w:uiPriority w:val="99"/>
    <w:unhideWhenUsed/>
    <w:rsid w:val="0041061A"/>
    <w:rPr>
      <w:vertAlign w:val="superscript"/>
    </w:rPr>
  </w:style>
  <w:style w:type="paragraph" w:customStyle="1" w:styleId="RIESbriefreports">
    <w:name w:val="RIES brief/reports"/>
    <w:basedOn w:val="Heading1"/>
    <w:next w:val="Normal"/>
    <w:link w:val="RIESbriefreportsChar"/>
    <w:qFormat/>
    <w:rsid w:val="0041061A"/>
    <w:pPr>
      <w:keepNext/>
      <w:keepLines/>
      <w:pBdr>
        <w:bottom w:val="single" w:sz="4" w:space="1" w:color="auto"/>
      </w:pBdr>
      <w:spacing w:before="480" w:after="120" w:line="276" w:lineRule="auto"/>
      <w:contextualSpacing w:val="0"/>
    </w:pPr>
    <w:rPr>
      <w:rFonts w:asciiTheme="minorHAnsi" w:hAnsiTheme="minorHAnsi" w:cstheme="minorHAnsi"/>
      <w:color w:val="365F91" w:themeColor="accent1" w:themeShade="BF"/>
      <w:sz w:val="24"/>
    </w:rPr>
  </w:style>
  <w:style w:type="character" w:customStyle="1" w:styleId="RIESbriefreportsChar">
    <w:name w:val="RIES brief/reports Char"/>
    <w:basedOn w:val="DefaultParagraphFont"/>
    <w:link w:val="RIESbriefreports"/>
    <w:rsid w:val="0041061A"/>
    <w:rPr>
      <w:rFonts w:eastAsiaTheme="majorEastAsia" w:cstheme="minorHAnsi"/>
      <w:b/>
      <w:bCs/>
      <w:color w:val="365F91" w:themeColor="accent1" w:themeShade="BF"/>
      <w:sz w:val="24"/>
      <w:szCs w:val="28"/>
    </w:rPr>
  </w:style>
  <w:style w:type="paragraph" w:customStyle="1" w:styleId="Default">
    <w:name w:val="Default"/>
    <w:rsid w:val="0041061A"/>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numberedpara">
    <w:name w:val="numbered para"/>
    <w:basedOn w:val="Normal"/>
    <w:rsid w:val="0041061A"/>
    <w:pPr>
      <w:numPr>
        <w:numId w:val="23"/>
      </w:numPr>
      <w:spacing w:after="0" w:line="240" w:lineRule="auto"/>
    </w:pPr>
    <w:rPr>
      <w:rFonts w:ascii="Calibri" w:eastAsiaTheme="minorHAnsi" w:hAnsi="Calibri" w:cs="Calibri"/>
      <w:lang w:eastAsia="en-AU"/>
    </w:rPr>
  </w:style>
  <w:style w:type="paragraph" w:styleId="NormalWeb">
    <w:name w:val="Normal (Web)"/>
    <w:basedOn w:val="Normal"/>
    <w:uiPriority w:val="99"/>
    <w:semiHidden/>
    <w:unhideWhenUsed/>
    <w:rsid w:val="00472FC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033">
      <w:bodyDiv w:val="1"/>
      <w:marLeft w:val="0"/>
      <w:marRight w:val="0"/>
      <w:marTop w:val="0"/>
      <w:marBottom w:val="0"/>
      <w:divBdr>
        <w:top w:val="none" w:sz="0" w:space="0" w:color="auto"/>
        <w:left w:val="none" w:sz="0" w:space="0" w:color="auto"/>
        <w:bottom w:val="none" w:sz="0" w:space="0" w:color="auto"/>
        <w:right w:val="none" w:sz="0" w:space="0" w:color="auto"/>
      </w:divBdr>
    </w:div>
    <w:div w:id="84886925">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518199546">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ewr.gov.au/lmip" TargetMode="External"/><Relationship Id="rId18" Type="http://schemas.openxmlformats.org/officeDocument/2006/relationships/image" Target="cid:image001.png@01CC5B5E.C6C8499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cruitmentsurveys@deewr.gov.au" TargetMode="External"/><Relationship Id="rId7" Type="http://schemas.openxmlformats.org/officeDocument/2006/relationships/footnotes" Target="footnotes.xml"/><Relationship Id="rId12" Type="http://schemas.openxmlformats.org/officeDocument/2006/relationships/hyperlink" Target="http://www.deewr.gov.au/regionalreports"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ewr.gov.au/australianjobs" TargetMode="External"/><Relationship Id="rId20" Type="http://schemas.openxmlformats.org/officeDocument/2006/relationships/hyperlink" Target="http://creativecommons.org/licenses/by/3.0/au/legalcode"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killsinfo.gov.au"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yperlink" Target="http://creativecommons.org/licenses/by/3.0/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joboutlook.gov.au" TargetMode="External"/><Relationship Id="rId22" Type="http://schemas.openxmlformats.org/officeDocument/2006/relationships/header" Target="header1.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CB5543-B617-4C34-94F2-0A2231592BEF}"/>
</file>

<file path=customXml/itemProps2.xml><?xml version="1.0" encoding="utf-8"?>
<ds:datastoreItem xmlns:ds="http://schemas.openxmlformats.org/officeDocument/2006/customXml" ds:itemID="{535DF5CB-5520-485A-BFF1-7C0A9BA4D92B}"/>
</file>

<file path=customXml/itemProps3.xml><?xml version="1.0" encoding="utf-8"?>
<ds:datastoreItem xmlns:ds="http://schemas.openxmlformats.org/officeDocument/2006/customXml" ds:itemID="{1B7FA47B-09D1-4502-9FB1-D090A5D90B6F}"/>
</file>

<file path=customXml/itemProps4.xml><?xml version="1.0" encoding="utf-8"?>
<ds:datastoreItem xmlns:ds="http://schemas.openxmlformats.org/officeDocument/2006/customXml" ds:itemID="{95148564-F848-496D-A27F-0C91D913A47B}"/>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Jacinta Geou</dc:creator>
  <cp:lastModifiedBy>Sandra Taylor-Steele</cp:lastModifiedBy>
  <cp:revision>2</cp:revision>
  <cp:lastPrinted>2013-08-23T01:10:00Z</cp:lastPrinted>
  <dcterms:created xsi:type="dcterms:W3CDTF">2013-08-27T06:59:00Z</dcterms:created>
  <dcterms:modified xsi:type="dcterms:W3CDTF">2013-08-27T06:59:00Z</dcterms:modified>
</cp:coreProperties>
</file>