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F6F" w:rsidRDefault="007A5F6F" w:rsidP="005B7575">
      <w:pPr>
        <w:spacing w:line="360" w:lineRule="auto"/>
        <w:ind w:left="-1134"/>
      </w:pPr>
      <w:r w:rsidRPr="00BE2CA7">
        <w:rPr>
          <w:noProof/>
          <w:lang w:eastAsia="en-AU"/>
        </w:rPr>
        <w:drawing>
          <wp:inline distT="0" distB="0" distL="0" distR="0" wp14:anchorId="6CC66182" wp14:editId="1197B3A3">
            <wp:extent cx="7439025" cy="654723"/>
            <wp:effectExtent l="0" t="0" r="0" b="0"/>
            <wp:docPr id="30" name="Picture 30" descr="Australian Government 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1901" cy="657617"/>
                    </a:xfrm>
                    <a:prstGeom prst="rect">
                      <a:avLst/>
                    </a:prstGeom>
                    <a:noFill/>
                    <a:ln>
                      <a:noFill/>
                    </a:ln>
                  </pic:spPr>
                </pic:pic>
              </a:graphicData>
            </a:graphic>
          </wp:inline>
        </w:drawing>
      </w:r>
    </w:p>
    <w:p w:rsidR="003A22E0" w:rsidRDefault="003A22E0" w:rsidP="00B21F45">
      <w:pPr>
        <w:pStyle w:val="Heading1"/>
      </w:pPr>
    </w:p>
    <w:p w:rsidR="007A5F6F" w:rsidRPr="00B21F45" w:rsidRDefault="007A5F6F" w:rsidP="00B21F45">
      <w:pPr>
        <w:pStyle w:val="Heading1"/>
      </w:pPr>
      <w:r w:rsidRPr="00B21F45">
        <w:t xml:space="preserve">Slide 1 Department of Employment North Western Melbourne Priority Employment Area presentation </w:t>
      </w:r>
      <w:r w:rsidR="00B21F45">
        <w:rPr>
          <w:rFonts w:ascii="Calibri" w:hAnsi="Calibri" w:cs="Calibri"/>
          <w:bCs w:val="0"/>
          <w:kern w:val="24"/>
        </w:rPr>
        <w:t>September 2013</w:t>
      </w:r>
      <w:r w:rsidR="00B21F45" w:rsidRPr="001F0AC8">
        <w:rPr>
          <w:rFonts w:ascii="Calibri" w:hAnsi="Calibri" w:cs="Calibri"/>
          <w:kern w:val="24"/>
        </w:rPr>
        <w:t xml:space="preserve"> </w:t>
      </w:r>
      <w:r w:rsidRPr="00B21F45">
        <w:t xml:space="preserve"> </w:t>
      </w:r>
    </w:p>
    <w:p w:rsidR="007A5F6F" w:rsidRPr="00392733" w:rsidRDefault="007A5F6F" w:rsidP="007A5F6F"/>
    <w:p w:rsidR="003A22E0" w:rsidRDefault="003A22E0" w:rsidP="00865A21"/>
    <w:p w:rsidR="007A5F6F" w:rsidRPr="001F0AC8" w:rsidRDefault="007A5F6F" w:rsidP="00865A21">
      <w:pPr>
        <w:rPr>
          <w:rFonts w:cstheme="minorHAnsi"/>
        </w:rPr>
      </w:pPr>
      <w:r w:rsidRPr="001F0AC8">
        <w:t xml:space="preserve">Presentation given by </w:t>
      </w:r>
      <w:r w:rsidRPr="007A5F6F">
        <w:t>Ivan Neville</w:t>
      </w:r>
      <w:r>
        <w:t xml:space="preserve"> </w:t>
      </w:r>
      <w:r w:rsidRPr="007A5F6F">
        <w:t>Branch Manager</w:t>
      </w:r>
      <w:r w:rsidR="00B21F45">
        <w:t>,</w:t>
      </w:r>
      <w:r w:rsidRPr="007A5F6F">
        <w:t xml:space="preserve"> Labour Market Research and Analysis Branch</w:t>
      </w:r>
      <w:r>
        <w:t xml:space="preserve"> </w:t>
      </w:r>
      <w:r w:rsidRPr="001F0AC8">
        <w:t xml:space="preserve">based on survey undertaken in </w:t>
      </w:r>
      <w:r w:rsidR="00B21F45">
        <w:t>September 2013</w:t>
      </w:r>
      <w:r w:rsidRPr="001F0AC8">
        <w:t xml:space="preserve"> </w:t>
      </w:r>
      <w:r w:rsidRPr="001F0AC8">
        <w:rPr>
          <w:rFonts w:cstheme="minorHAnsi"/>
        </w:rPr>
        <w:t xml:space="preserve">of </w:t>
      </w:r>
      <w:r w:rsidR="00B21F45">
        <w:rPr>
          <w:rFonts w:cstheme="minorHAnsi"/>
        </w:rPr>
        <w:t>the North Western Melbourne</w:t>
      </w:r>
      <w:r w:rsidRPr="001F0AC8">
        <w:rPr>
          <w:rFonts w:cstheme="minorHAnsi"/>
        </w:rPr>
        <w:t xml:space="preserve"> Priority Employment Area.</w:t>
      </w:r>
    </w:p>
    <w:p w:rsidR="00585787" w:rsidRDefault="00585787">
      <w:r>
        <w:br w:type="page"/>
      </w:r>
    </w:p>
    <w:p w:rsidR="00B21F45" w:rsidRPr="00B21F45" w:rsidRDefault="00585787" w:rsidP="00B21F45">
      <w:pPr>
        <w:pStyle w:val="Heading1"/>
        <w:rPr>
          <w:lang w:eastAsia="en-AU"/>
        </w:rPr>
      </w:pPr>
      <w:r w:rsidRPr="00B21F45">
        <w:lastRenderedPageBreak/>
        <w:t>Slide 2</w:t>
      </w:r>
      <w:r w:rsidR="00B21F45" w:rsidRPr="00B21F45">
        <w:t xml:space="preserve"> </w:t>
      </w:r>
      <w:r w:rsidR="00B21F45" w:rsidRPr="00B21F45">
        <w:rPr>
          <w:lang w:eastAsia="en-AU"/>
        </w:rPr>
        <w:t xml:space="preserve">Map of North Western Melbourne Priority Employment Area </w:t>
      </w:r>
    </w:p>
    <w:p w:rsidR="00585787" w:rsidRDefault="00B21F45" w:rsidP="00585787">
      <w:pPr>
        <w:spacing w:line="360" w:lineRule="auto"/>
      </w:pPr>
      <w:r w:rsidRPr="00B21F45">
        <w:rPr>
          <w:noProof/>
          <w:lang w:eastAsia="en-AU"/>
        </w:rPr>
        <w:drawing>
          <wp:inline distT="0" distB="0" distL="0" distR="0" wp14:anchorId="521BCDF2" wp14:editId="0FB8AF08">
            <wp:extent cx="5760000" cy="4320000"/>
            <wp:effectExtent l="19050" t="19050" r="12700" b="23495"/>
            <wp:docPr id="1" name="Picture 1" descr="Map Morth Western Melbourne Priority Employ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00" cy="4320000"/>
                    </a:xfrm>
                    <a:prstGeom prst="rect">
                      <a:avLst/>
                    </a:prstGeom>
                    <a:ln w="19050">
                      <a:solidFill>
                        <a:schemeClr val="tx1"/>
                      </a:solidFill>
                    </a:ln>
                  </pic:spPr>
                </pic:pic>
              </a:graphicData>
            </a:graphic>
          </wp:inline>
        </w:drawing>
      </w:r>
    </w:p>
    <w:p w:rsidR="00B21F45" w:rsidRDefault="00B21F45" w:rsidP="00585787">
      <w:pPr>
        <w:autoSpaceDE w:val="0"/>
        <w:autoSpaceDN w:val="0"/>
        <w:adjustRightInd w:val="0"/>
        <w:rPr>
          <w:rFonts w:hAnsi="Times New Roman" w:cs="Calibri"/>
          <w:kern w:val="24"/>
          <w:szCs w:val="24"/>
          <w:lang w:eastAsia="en-AU"/>
        </w:rPr>
      </w:pPr>
    </w:p>
    <w:p w:rsidR="00585787" w:rsidRPr="00B21F45" w:rsidRDefault="00585787" w:rsidP="00865A21">
      <w:pPr>
        <w:rPr>
          <w:lang w:eastAsia="en-AU"/>
        </w:rPr>
      </w:pPr>
      <w:r w:rsidRPr="00B21F45">
        <w:rPr>
          <w:lang w:eastAsia="en-AU"/>
        </w:rPr>
        <w:t xml:space="preserve">This map shows the Local Governments Areas (LGAs) that make up the North Western Melbourne Priority Employment Area (PEA). </w:t>
      </w:r>
    </w:p>
    <w:p w:rsidR="00585787" w:rsidRPr="00B21F45" w:rsidRDefault="00585787" w:rsidP="00865A21">
      <w:pPr>
        <w:rPr>
          <w:lang w:eastAsia="en-AU"/>
        </w:rPr>
      </w:pPr>
    </w:p>
    <w:p w:rsidR="00585787" w:rsidRPr="00B21F45" w:rsidRDefault="00585787" w:rsidP="00865A21">
      <w:pPr>
        <w:rPr>
          <w:lang w:eastAsia="en-AU"/>
        </w:rPr>
      </w:pPr>
      <w:r w:rsidRPr="00B21F45">
        <w:rPr>
          <w:lang w:eastAsia="en-AU"/>
        </w:rPr>
        <w:t>The region consists of seven LGAs and 16 Statistical Local Areas (SLAs).</w:t>
      </w:r>
    </w:p>
    <w:p w:rsidR="00585787" w:rsidRPr="00B21F45" w:rsidRDefault="00585787" w:rsidP="00865A21">
      <w:pPr>
        <w:rPr>
          <w:lang w:eastAsia="en-AU"/>
        </w:rPr>
      </w:pPr>
      <w:r w:rsidRPr="00B21F45">
        <w:rPr>
          <w:lang w:eastAsia="en-AU"/>
        </w:rPr>
        <w:t>378 employers were surveyed in the PEA in June 2013. The region was previously surveyed in March 2012, February 2010 and May 2009.</w:t>
      </w:r>
    </w:p>
    <w:p w:rsidR="00585787" w:rsidRPr="00B21F45" w:rsidRDefault="00585787" w:rsidP="00865A21">
      <w:pPr>
        <w:rPr>
          <w:lang w:eastAsia="en-AU"/>
        </w:rPr>
      </w:pPr>
    </w:p>
    <w:p w:rsidR="00585787" w:rsidRDefault="00585787" w:rsidP="00865A21">
      <w:pPr>
        <w:rPr>
          <w:bCs/>
          <w:u w:val="single"/>
          <w:lang w:eastAsia="en-AU"/>
        </w:rPr>
      </w:pPr>
      <w:r w:rsidRPr="00B21F45">
        <w:rPr>
          <w:bCs/>
          <w:u w:val="single"/>
          <w:lang w:eastAsia="en-AU"/>
        </w:rPr>
        <w:t>Labour Force Regions (</w:t>
      </w:r>
      <w:proofErr w:type="spellStart"/>
      <w:r w:rsidRPr="00B21F45">
        <w:rPr>
          <w:bCs/>
          <w:u w:val="single"/>
          <w:lang w:eastAsia="en-AU"/>
        </w:rPr>
        <w:t>LFRs</w:t>
      </w:r>
      <w:proofErr w:type="spellEnd"/>
      <w:r w:rsidRPr="00B21F45">
        <w:rPr>
          <w:bCs/>
          <w:u w:val="single"/>
          <w:lang w:eastAsia="en-AU"/>
        </w:rPr>
        <w:t>) and LGAs included in the North Western Melbourne PEA:</w:t>
      </w:r>
    </w:p>
    <w:p w:rsidR="00DF7785" w:rsidRDefault="00DF7785" w:rsidP="00865A21">
      <w:pPr>
        <w:rPr>
          <w:bCs/>
          <w:u w:val="single"/>
          <w:lang w:eastAsia="en-AU"/>
        </w:rPr>
      </w:pPr>
    </w:p>
    <w:p w:rsidR="00DF7785" w:rsidRDefault="00DF7785" w:rsidP="00865A21">
      <w:pPr>
        <w:rPr>
          <w:bCs/>
          <w:u w:val="single"/>
          <w:lang w:eastAsia="en-AU"/>
        </w:rPr>
      </w:pPr>
      <w:r w:rsidRPr="00B21F45">
        <w:rPr>
          <w:bCs/>
          <w:lang w:eastAsia="en-AU"/>
        </w:rPr>
        <w:t>LFR</w:t>
      </w:r>
      <w:r>
        <w:rPr>
          <w:bCs/>
          <w:lang w:eastAsia="en-AU"/>
        </w:rPr>
        <w:tab/>
      </w:r>
      <w:r w:rsidRPr="00865A21">
        <w:rPr>
          <w:i/>
          <w:iCs/>
          <w:lang w:eastAsia="en-AU"/>
        </w:rPr>
        <w:t>Outer Western Melbourne</w:t>
      </w:r>
    </w:p>
    <w:p w:rsidR="00DF7785" w:rsidRDefault="00DF7785" w:rsidP="00865A21">
      <w:pPr>
        <w:rPr>
          <w:bCs/>
          <w:u w:val="single"/>
          <w:lang w:eastAsia="en-AU"/>
        </w:rPr>
      </w:pPr>
    </w:p>
    <w:p w:rsidR="00DF7785" w:rsidRPr="00DF7785" w:rsidRDefault="00DF7785" w:rsidP="003F3CE8">
      <w:pPr>
        <w:rPr>
          <w:lang w:eastAsia="en-AU"/>
        </w:rPr>
      </w:pPr>
      <w:r w:rsidRPr="00DF7785">
        <w:rPr>
          <w:bCs/>
          <w:lang w:eastAsia="en-AU"/>
        </w:rPr>
        <w:t>LGA</w:t>
      </w:r>
      <w:r w:rsidRPr="00DF7785">
        <w:rPr>
          <w:bCs/>
          <w:lang w:eastAsia="en-AU"/>
        </w:rPr>
        <w:tab/>
      </w:r>
      <w:r w:rsidRPr="00DF7785">
        <w:rPr>
          <w:lang w:eastAsia="en-AU"/>
        </w:rPr>
        <w:t>Melton</w:t>
      </w:r>
    </w:p>
    <w:p w:rsidR="00DF7785" w:rsidRPr="00DF7785" w:rsidRDefault="00DF7785" w:rsidP="00865A21">
      <w:pPr>
        <w:rPr>
          <w:bCs/>
          <w:lang w:eastAsia="en-AU"/>
        </w:rPr>
      </w:pPr>
      <w:r w:rsidRPr="00DF7785">
        <w:rPr>
          <w:lang w:eastAsia="en-AU"/>
        </w:rPr>
        <w:tab/>
        <w:t>Wyndham</w:t>
      </w:r>
    </w:p>
    <w:p w:rsidR="00DF7785" w:rsidRPr="00DF7785" w:rsidRDefault="00DF7785" w:rsidP="00865A21">
      <w:pPr>
        <w:rPr>
          <w:bCs/>
          <w:lang w:eastAsia="en-AU"/>
        </w:rPr>
      </w:pPr>
      <w:r w:rsidRPr="00DF7785">
        <w:rPr>
          <w:bCs/>
          <w:lang w:eastAsia="en-AU"/>
        </w:rPr>
        <w:tab/>
      </w:r>
      <w:r w:rsidRPr="00DF7785">
        <w:rPr>
          <w:lang w:eastAsia="en-AU"/>
        </w:rPr>
        <w:t>Brimbank</w:t>
      </w:r>
    </w:p>
    <w:p w:rsidR="00DF7785" w:rsidRPr="00DF7785" w:rsidRDefault="00DF7785" w:rsidP="00865A21">
      <w:pPr>
        <w:rPr>
          <w:bCs/>
          <w:lang w:eastAsia="en-AU"/>
        </w:rPr>
      </w:pPr>
      <w:r>
        <w:rPr>
          <w:bCs/>
          <w:lang w:eastAsia="en-AU"/>
        </w:rPr>
        <w:tab/>
      </w:r>
      <w:proofErr w:type="spellStart"/>
      <w:r w:rsidRPr="00B21F45">
        <w:rPr>
          <w:lang w:eastAsia="en-AU"/>
        </w:rPr>
        <w:t>Hobsons</w:t>
      </w:r>
      <w:proofErr w:type="spellEnd"/>
      <w:r w:rsidRPr="00B21F45">
        <w:rPr>
          <w:lang w:eastAsia="en-AU"/>
        </w:rPr>
        <w:t xml:space="preserve"> Bay</w:t>
      </w:r>
    </w:p>
    <w:p w:rsidR="00DF7785" w:rsidRPr="00DF7785" w:rsidRDefault="00DF7785" w:rsidP="00865A21">
      <w:pPr>
        <w:rPr>
          <w:bCs/>
          <w:lang w:eastAsia="en-AU"/>
        </w:rPr>
      </w:pPr>
      <w:r w:rsidRPr="00DF7785">
        <w:rPr>
          <w:bCs/>
          <w:lang w:eastAsia="en-AU"/>
        </w:rPr>
        <w:tab/>
      </w:r>
      <w:r w:rsidRPr="00DF7785">
        <w:rPr>
          <w:lang w:eastAsia="en-AU"/>
        </w:rPr>
        <w:t>Maribyrnong</w:t>
      </w:r>
    </w:p>
    <w:p w:rsidR="003F3CE8" w:rsidRDefault="00250F89" w:rsidP="00865A21">
      <w:pPr>
        <w:rPr>
          <w:bCs/>
          <w:lang w:eastAsia="en-AU"/>
        </w:rPr>
      </w:pPr>
      <w:r>
        <w:rPr>
          <w:lang w:eastAsia="en-AU"/>
        </w:rPr>
        <w:t xml:space="preserve">83% of </w:t>
      </w:r>
      <w:proofErr w:type="spellStart"/>
      <w:r>
        <w:rPr>
          <w:lang w:eastAsia="en-AU"/>
        </w:rPr>
        <w:t>LFR’</w:t>
      </w:r>
      <w:r w:rsidR="003F3CE8" w:rsidRPr="00E84D88">
        <w:rPr>
          <w:lang w:eastAsia="en-AU"/>
        </w:rPr>
        <w:t>s</w:t>
      </w:r>
      <w:proofErr w:type="spellEnd"/>
      <w:r w:rsidR="003F3CE8" w:rsidRPr="00E84D88">
        <w:rPr>
          <w:lang w:eastAsia="en-AU"/>
        </w:rPr>
        <w:t xml:space="preserve"> working age population is in the PEA</w:t>
      </w:r>
    </w:p>
    <w:p w:rsidR="003F3CE8" w:rsidRDefault="003F3CE8" w:rsidP="00865A21">
      <w:pPr>
        <w:rPr>
          <w:bCs/>
          <w:lang w:eastAsia="en-AU"/>
        </w:rPr>
      </w:pPr>
      <w:r w:rsidRPr="00E84D88">
        <w:rPr>
          <w:lang w:eastAsia="en-AU"/>
        </w:rPr>
        <w:t xml:space="preserve">LFR accounts for 66% of </w:t>
      </w:r>
      <w:proofErr w:type="spellStart"/>
      <w:r w:rsidRPr="00E84D88">
        <w:rPr>
          <w:lang w:eastAsia="en-AU"/>
        </w:rPr>
        <w:t>PEA’</w:t>
      </w:r>
      <w:r>
        <w:rPr>
          <w:lang w:eastAsia="en-AU"/>
        </w:rPr>
        <w:t>s</w:t>
      </w:r>
      <w:proofErr w:type="spellEnd"/>
      <w:r>
        <w:rPr>
          <w:lang w:eastAsia="en-AU"/>
        </w:rPr>
        <w:t xml:space="preserve"> working </w:t>
      </w:r>
      <w:r w:rsidRPr="00E84D88">
        <w:rPr>
          <w:lang w:eastAsia="en-AU"/>
        </w:rPr>
        <w:t>age population</w:t>
      </w:r>
    </w:p>
    <w:p w:rsidR="00DF7785" w:rsidRDefault="00DF7785" w:rsidP="00865A21">
      <w:pPr>
        <w:rPr>
          <w:bCs/>
          <w:lang w:eastAsia="en-AU"/>
        </w:rPr>
      </w:pPr>
    </w:p>
    <w:p w:rsidR="003F3CE8" w:rsidRDefault="003F3CE8" w:rsidP="00865A21">
      <w:pPr>
        <w:rPr>
          <w:i/>
          <w:iCs/>
          <w:lang w:eastAsia="en-AU"/>
        </w:rPr>
      </w:pPr>
      <w:r>
        <w:rPr>
          <w:bCs/>
          <w:lang w:eastAsia="en-AU"/>
        </w:rPr>
        <w:lastRenderedPageBreak/>
        <w:t>LFR</w:t>
      </w:r>
      <w:r>
        <w:rPr>
          <w:bCs/>
          <w:lang w:eastAsia="en-AU"/>
        </w:rPr>
        <w:tab/>
      </w:r>
      <w:r w:rsidRPr="00865A21">
        <w:rPr>
          <w:i/>
          <w:iCs/>
          <w:lang w:eastAsia="en-AU"/>
        </w:rPr>
        <w:t>North Western Melbourne</w:t>
      </w:r>
    </w:p>
    <w:p w:rsidR="003F3CE8" w:rsidRDefault="003F3CE8" w:rsidP="00865A21">
      <w:pPr>
        <w:rPr>
          <w:i/>
          <w:iCs/>
          <w:lang w:eastAsia="en-AU"/>
        </w:rPr>
      </w:pPr>
    </w:p>
    <w:p w:rsidR="003F3CE8" w:rsidRDefault="003F3CE8" w:rsidP="00865A21">
      <w:pPr>
        <w:rPr>
          <w:i/>
          <w:iCs/>
          <w:lang w:eastAsia="en-AU"/>
        </w:rPr>
      </w:pPr>
      <w:r w:rsidRPr="00DF7785">
        <w:rPr>
          <w:bCs/>
          <w:lang w:eastAsia="en-AU"/>
        </w:rPr>
        <w:t>LGA</w:t>
      </w:r>
      <w:r>
        <w:rPr>
          <w:bCs/>
          <w:lang w:eastAsia="en-AU"/>
        </w:rPr>
        <w:tab/>
        <w:t>Hume</w:t>
      </w:r>
    </w:p>
    <w:p w:rsidR="003F3CE8" w:rsidRDefault="003F3CE8" w:rsidP="00865A21">
      <w:pPr>
        <w:rPr>
          <w:i/>
          <w:iCs/>
          <w:lang w:eastAsia="en-AU"/>
        </w:rPr>
      </w:pPr>
      <w:r w:rsidRPr="00E80E97">
        <w:rPr>
          <w:lang w:eastAsia="en-AU"/>
        </w:rPr>
        <w:t xml:space="preserve">52% of </w:t>
      </w:r>
      <w:proofErr w:type="spellStart"/>
      <w:r w:rsidRPr="00E80E97">
        <w:rPr>
          <w:lang w:eastAsia="en-AU"/>
        </w:rPr>
        <w:t>LFR’s</w:t>
      </w:r>
      <w:proofErr w:type="spellEnd"/>
      <w:r w:rsidRPr="00E80E97">
        <w:rPr>
          <w:lang w:eastAsia="en-AU"/>
        </w:rPr>
        <w:t xml:space="preserve"> working age population is in the PEA</w:t>
      </w:r>
    </w:p>
    <w:p w:rsidR="003F3CE8" w:rsidRDefault="003F3CE8" w:rsidP="00865A21">
      <w:pPr>
        <w:rPr>
          <w:lang w:eastAsia="en-AU"/>
        </w:rPr>
      </w:pPr>
      <w:r w:rsidRPr="00E80E97">
        <w:rPr>
          <w:lang w:eastAsia="en-AU"/>
        </w:rPr>
        <w:t xml:space="preserve">LFR accounts for 18% of </w:t>
      </w:r>
      <w:proofErr w:type="spellStart"/>
      <w:r w:rsidRPr="00E80E97">
        <w:rPr>
          <w:lang w:eastAsia="en-AU"/>
        </w:rPr>
        <w:t>PEA’s</w:t>
      </w:r>
      <w:proofErr w:type="spellEnd"/>
      <w:r w:rsidRPr="00E80E97">
        <w:rPr>
          <w:lang w:eastAsia="en-AU"/>
        </w:rPr>
        <w:t xml:space="preserve"> working age population</w:t>
      </w:r>
    </w:p>
    <w:p w:rsidR="003F3CE8" w:rsidRDefault="003F3CE8" w:rsidP="00865A21">
      <w:pPr>
        <w:rPr>
          <w:lang w:eastAsia="en-AU"/>
        </w:rPr>
      </w:pPr>
    </w:p>
    <w:p w:rsidR="003F3CE8" w:rsidRDefault="003F3CE8" w:rsidP="00865A21">
      <w:pPr>
        <w:rPr>
          <w:lang w:eastAsia="en-AU"/>
        </w:rPr>
      </w:pPr>
      <w:r>
        <w:rPr>
          <w:lang w:eastAsia="en-AU"/>
        </w:rPr>
        <w:t>LFR</w:t>
      </w:r>
      <w:r>
        <w:rPr>
          <w:lang w:eastAsia="en-AU"/>
        </w:rPr>
        <w:tab/>
      </w:r>
      <w:r w:rsidRPr="00865A21">
        <w:rPr>
          <w:i/>
          <w:iCs/>
          <w:lang w:eastAsia="en-AU"/>
        </w:rPr>
        <w:t>North Eastern Melbourne</w:t>
      </w:r>
    </w:p>
    <w:p w:rsidR="003F3CE8" w:rsidRDefault="003F3CE8" w:rsidP="00865A21">
      <w:pPr>
        <w:rPr>
          <w:i/>
          <w:iCs/>
          <w:lang w:eastAsia="en-AU"/>
        </w:rPr>
      </w:pPr>
    </w:p>
    <w:p w:rsidR="003F3CE8" w:rsidRDefault="006B7A30" w:rsidP="00865A21">
      <w:pPr>
        <w:rPr>
          <w:i/>
          <w:iCs/>
          <w:lang w:eastAsia="en-AU"/>
        </w:rPr>
      </w:pPr>
      <w:r>
        <w:rPr>
          <w:lang w:eastAsia="en-AU"/>
        </w:rPr>
        <w:t>LGA</w:t>
      </w:r>
      <w:r>
        <w:rPr>
          <w:lang w:eastAsia="en-AU"/>
        </w:rPr>
        <w:tab/>
      </w:r>
      <w:r w:rsidR="003F3CE8" w:rsidRPr="00B21F45">
        <w:rPr>
          <w:lang w:eastAsia="en-AU"/>
        </w:rPr>
        <w:t>Whittlesea</w:t>
      </w:r>
    </w:p>
    <w:p w:rsidR="003F3CE8" w:rsidRDefault="003F3CE8" w:rsidP="00865A21">
      <w:pPr>
        <w:rPr>
          <w:i/>
          <w:iCs/>
          <w:lang w:eastAsia="en-AU"/>
        </w:rPr>
      </w:pPr>
    </w:p>
    <w:p w:rsidR="003F3CE8" w:rsidRDefault="006B7A30" w:rsidP="00865A21">
      <w:pPr>
        <w:rPr>
          <w:lang w:eastAsia="en-AU"/>
        </w:rPr>
      </w:pPr>
      <w:r w:rsidRPr="00E80E97">
        <w:rPr>
          <w:lang w:eastAsia="en-AU"/>
        </w:rPr>
        <w:t xml:space="preserve">29% of </w:t>
      </w:r>
      <w:proofErr w:type="spellStart"/>
      <w:r w:rsidRPr="00E80E97">
        <w:rPr>
          <w:lang w:eastAsia="en-AU"/>
        </w:rPr>
        <w:t>LFR’s</w:t>
      </w:r>
      <w:proofErr w:type="spellEnd"/>
      <w:r w:rsidRPr="00E80E97">
        <w:rPr>
          <w:lang w:eastAsia="en-AU"/>
        </w:rPr>
        <w:t xml:space="preserve"> working age population is in the PEA</w:t>
      </w:r>
    </w:p>
    <w:p w:rsidR="006B7A30" w:rsidRPr="00B21F45" w:rsidRDefault="006B7A30" w:rsidP="00865A21">
      <w:pPr>
        <w:rPr>
          <w:i/>
          <w:iCs/>
          <w:lang w:eastAsia="en-AU"/>
        </w:rPr>
      </w:pPr>
      <w:r w:rsidRPr="00E80E97">
        <w:rPr>
          <w:lang w:eastAsia="en-AU"/>
        </w:rPr>
        <w:t xml:space="preserve">LFR accounts for 16% of </w:t>
      </w:r>
      <w:proofErr w:type="spellStart"/>
      <w:r w:rsidRPr="00E80E97">
        <w:rPr>
          <w:lang w:eastAsia="en-AU"/>
        </w:rPr>
        <w:t>PEA’s</w:t>
      </w:r>
      <w:proofErr w:type="spellEnd"/>
      <w:r w:rsidRPr="00E80E97">
        <w:rPr>
          <w:lang w:eastAsia="en-AU"/>
        </w:rPr>
        <w:t xml:space="preserve"> working age population</w:t>
      </w:r>
    </w:p>
    <w:p w:rsidR="00585787" w:rsidRPr="00B21F45" w:rsidRDefault="00585787" w:rsidP="00865A21">
      <w:pPr>
        <w:rPr>
          <w:lang w:eastAsia="en-AU"/>
        </w:rPr>
      </w:pPr>
    </w:p>
    <w:p w:rsidR="00585787" w:rsidRPr="00B21F45" w:rsidRDefault="00585787" w:rsidP="00865A21">
      <w:pPr>
        <w:rPr>
          <w:bCs/>
          <w:u w:val="single"/>
          <w:lang w:eastAsia="en-AU"/>
        </w:rPr>
      </w:pPr>
      <w:r w:rsidRPr="00B21F45">
        <w:rPr>
          <w:bCs/>
          <w:u w:val="single"/>
          <w:lang w:eastAsia="en-AU"/>
        </w:rPr>
        <w:t>SLAs included in the North Western Melbourne PEA</w:t>
      </w:r>
    </w:p>
    <w:p w:rsidR="00585787" w:rsidRPr="00B21F45" w:rsidRDefault="00585787" w:rsidP="00865A21">
      <w:pPr>
        <w:rPr>
          <w:lang w:eastAsia="en-AU"/>
        </w:rPr>
      </w:pPr>
    </w:p>
    <w:p w:rsidR="00585787" w:rsidRPr="00E80E97" w:rsidRDefault="00585787" w:rsidP="00865A21">
      <w:pPr>
        <w:rPr>
          <w:lang w:eastAsia="en-AU"/>
        </w:rPr>
      </w:pPr>
      <w:r w:rsidRPr="00E80E97">
        <w:rPr>
          <w:lang w:eastAsia="en-AU"/>
        </w:rPr>
        <w:t xml:space="preserve">Brimbank (C) - Keilor </w:t>
      </w:r>
    </w:p>
    <w:p w:rsidR="00585787" w:rsidRPr="00E80E97" w:rsidRDefault="00585787" w:rsidP="00865A21">
      <w:pPr>
        <w:rPr>
          <w:lang w:eastAsia="en-AU"/>
        </w:rPr>
      </w:pPr>
      <w:r w:rsidRPr="00E80E97">
        <w:rPr>
          <w:lang w:eastAsia="en-AU"/>
        </w:rPr>
        <w:t xml:space="preserve">Brimbank (C) - Sunshine </w:t>
      </w:r>
    </w:p>
    <w:p w:rsidR="00585787" w:rsidRPr="00E80E97" w:rsidRDefault="00585787" w:rsidP="00865A21">
      <w:pPr>
        <w:rPr>
          <w:lang w:eastAsia="en-AU"/>
        </w:rPr>
      </w:pPr>
      <w:proofErr w:type="spellStart"/>
      <w:r w:rsidRPr="00E80E97">
        <w:rPr>
          <w:lang w:eastAsia="en-AU"/>
        </w:rPr>
        <w:t>Hobsons</w:t>
      </w:r>
      <w:proofErr w:type="spellEnd"/>
      <w:r w:rsidRPr="00E80E97">
        <w:rPr>
          <w:lang w:eastAsia="en-AU"/>
        </w:rPr>
        <w:t xml:space="preserve"> Bay (C) – Altona</w:t>
      </w:r>
    </w:p>
    <w:p w:rsidR="00585787" w:rsidRPr="00E80E97" w:rsidRDefault="00585787" w:rsidP="00865A21">
      <w:pPr>
        <w:rPr>
          <w:lang w:eastAsia="en-AU"/>
        </w:rPr>
      </w:pPr>
      <w:proofErr w:type="spellStart"/>
      <w:r w:rsidRPr="00E80E97">
        <w:rPr>
          <w:lang w:eastAsia="en-AU"/>
        </w:rPr>
        <w:t>Hobsons</w:t>
      </w:r>
      <w:proofErr w:type="spellEnd"/>
      <w:r w:rsidRPr="00E80E97">
        <w:rPr>
          <w:lang w:eastAsia="en-AU"/>
        </w:rPr>
        <w:t xml:space="preserve"> Bay (C) - Williamstown </w:t>
      </w:r>
    </w:p>
    <w:p w:rsidR="00585787" w:rsidRPr="00E80E97" w:rsidRDefault="00585787" w:rsidP="00865A21">
      <w:pPr>
        <w:rPr>
          <w:lang w:eastAsia="en-AU"/>
        </w:rPr>
      </w:pPr>
      <w:r w:rsidRPr="00E80E97">
        <w:rPr>
          <w:lang w:eastAsia="en-AU"/>
        </w:rPr>
        <w:t xml:space="preserve">Hume (C) - Broadmeadows </w:t>
      </w:r>
    </w:p>
    <w:p w:rsidR="00585787" w:rsidRPr="00E80E97" w:rsidRDefault="00585787" w:rsidP="00865A21">
      <w:pPr>
        <w:rPr>
          <w:lang w:eastAsia="en-AU"/>
        </w:rPr>
      </w:pPr>
      <w:r w:rsidRPr="00E80E97">
        <w:rPr>
          <w:lang w:eastAsia="en-AU"/>
        </w:rPr>
        <w:t xml:space="preserve">Hume (C) - Craigieburn </w:t>
      </w:r>
    </w:p>
    <w:p w:rsidR="00585787" w:rsidRPr="00E80E97" w:rsidRDefault="00585787" w:rsidP="00865A21">
      <w:pPr>
        <w:rPr>
          <w:lang w:eastAsia="en-AU"/>
        </w:rPr>
      </w:pPr>
      <w:r w:rsidRPr="00E80E97">
        <w:rPr>
          <w:lang w:eastAsia="en-AU"/>
        </w:rPr>
        <w:t xml:space="preserve">Hume (C) - Sunbury </w:t>
      </w:r>
    </w:p>
    <w:p w:rsidR="00585787" w:rsidRPr="00E80E97" w:rsidRDefault="00585787" w:rsidP="00865A21">
      <w:pPr>
        <w:rPr>
          <w:lang w:eastAsia="en-AU"/>
        </w:rPr>
      </w:pPr>
      <w:r w:rsidRPr="00E80E97">
        <w:rPr>
          <w:lang w:eastAsia="en-AU"/>
        </w:rPr>
        <w:t xml:space="preserve">Maribyrnong (C) </w:t>
      </w:r>
    </w:p>
    <w:p w:rsidR="00585787" w:rsidRPr="00E80E97" w:rsidRDefault="00585787" w:rsidP="00865A21">
      <w:pPr>
        <w:rPr>
          <w:lang w:eastAsia="en-AU"/>
        </w:rPr>
      </w:pPr>
      <w:r w:rsidRPr="00E80E97">
        <w:rPr>
          <w:lang w:eastAsia="en-AU"/>
        </w:rPr>
        <w:t xml:space="preserve">Melton (S) - East </w:t>
      </w:r>
    </w:p>
    <w:p w:rsidR="00585787" w:rsidRPr="00E80E97" w:rsidRDefault="00585787" w:rsidP="00865A21">
      <w:pPr>
        <w:rPr>
          <w:lang w:eastAsia="en-AU"/>
        </w:rPr>
      </w:pPr>
      <w:r w:rsidRPr="00E80E97">
        <w:rPr>
          <w:lang w:eastAsia="en-AU"/>
        </w:rPr>
        <w:t xml:space="preserve">Melton (S) </w:t>
      </w:r>
      <w:proofErr w:type="gramStart"/>
      <w:r w:rsidRPr="00E80E97">
        <w:rPr>
          <w:lang w:eastAsia="en-AU"/>
        </w:rPr>
        <w:t>Bal</w:t>
      </w:r>
      <w:proofErr w:type="gramEnd"/>
      <w:r w:rsidRPr="00E80E97">
        <w:rPr>
          <w:lang w:eastAsia="en-AU"/>
        </w:rPr>
        <w:t xml:space="preserve"> </w:t>
      </w:r>
    </w:p>
    <w:p w:rsidR="00585787" w:rsidRPr="00E80E97" w:rsidRDefault="00585787" w:rsidP="00865A21">
      <w:pPr>
        <w:rPr>
          <w:lang w:eastAsia="en-AU"/>
        </w:rPr>
      </w:pPr>
      <w:r w:rsidRPr="00E80E97">
        <w:rPr>
          <w:lang w:eastAsia="en-AU"/>
        </w:rPr>
        <w:t xml:space="preserve">Whittlesea (C) - North </w:t>
      </w:r>
    </w:p>
    <w:p w:rsidR="00585787" w:rsidRPr="00E80E97" w:rsidRDefault="00585787" w:rsidP="00865A21">
      <w:pPr>
        <w:rPr>
          <w:lang w:eastAsia="en-AU"/>
        </w:rPr>
      </w:pPr>
      <w:r w:rsidRPr="00E80E97">
        <w:rPr>
          <w:lang w:eastAsia="en-AU"/>
        </w:rPr>
        <w:t xml:space="preserve">Whittlesea (C) - South-East </w:t>
      </w:r>
    </w:p>
    <w:p w:rsidR="00585787" w:rsidRPr="00E80E97" w:rsidRDefault="00585787" w:rsidP="00865A21">
      <w:pPr>
        <w:rPr>
          <w:lang w:eastAsia="en-AU"/>
        </w:rPr>
      </w:pPr>
      <w:r w:rsidRPr="00E80E97">
        <w:rPr>
          <w:lang w:eastAsia="en-AU"/>
        </w:rPr>
        <w:t xml:space="preserve">Whittlesea (C) - South-West </w:t>
      </w:r>
    </w:p>
    <w:p w:rsidR="00585787" w:rsidRPr="00E80E97" w:rsidRDefault="00585787" w:rsidP="00865A21">
      <w:pPr>
        <w:rPr>
          <w:lang w:eastAsia="en-AU"/>
        </w:rPr>
      </w:pPr>
      <w:r w:rsidRPr="00E80E97">
        <w:rPr>
          <w:lang w:eastAsia="en-AU"/>
        </w:rPr>
        <w:t xml:space="preserve">Wyndham (C) - North </w:t>
      </w:r>
    </w:p>
    <w:p w:rsidR="00585787" w:rsidRPr="00E80E97" w:rsidRDefault="00585787" w:rsidP="00865A21">
      <w:pPr>
        <w:rPr>
          <w:lang w:eastAsia="en-AU"/>
        </w:rPr>
      </w:pPr>
      <w:r w:rsidRPr="00E80E97">
        <w:rPr>
          <w:lang w:eastAsia="en-AU"/>
        </w:rPr>
        <w:t xml:space="preserve">Wyndham (C) - South </w:t>
      </w:r>
    </w:p>
    <w:p w:rsidR="00585787" w:rsidRPr="00E80E97" w:rsidRDefault="00585787" w:rsidP="00865A21">
      <w:pPr>
        <w:rPr>
          <w:lang w:eastAsia="en-AU"/>
        </w:rPr>
      </w:pPr>
      <w:r w:rsidRPr="00E80E97">
        <w:rPr>
          <w:lang w:eastAsia="en-AU"/>
        </w:rPr>
        <w:t xml:space="preserve">Wyndham (C) - West </w:t>
      </w:r>
    </w:p>
    <w:p w:rsidR="00585787" w:rsidRDefault="00585787">
      <w:r>
        <w:br w:type="page"/>
      </w:r>
    </w:p>
    <w:p w:rsidR="00E80E97" w:rsidRPr="005B7575" w:rsidRDefault="00585787" w:rsidP="00E80E97">
      <w:pPr>
        <w:pStyle w:val="Heading1"/>
        <w:rPr>
          <w:sz w:val="32"/>
          <w:lang w:eastAsia="en-AU"/>
        </w:rPr>
      </w:pPr>
      <w:r>
        <w:lastRenderedPageBreak/>
        <w:t>Slide 3</w:t>
      </w:r>
      <w:r w:rsidR="00E80E97">
        <w:t xml:space="preserve"> </w:t>
      </w:r>
      <w:proofErr w:type="gramStart"/>
      <w:r w:rsidR="00E80E97" w:rsidRPr="00E80E97">
        <w:rPr>
          <w:lang w:eastAsia="en-AU"/>
        </w:rPr>
        <w:t>What</w:t>
      </w:r>
      <w:proofErr w:type="gramEnd"/>
      <w:r w:rsidR="00E80E97" w:rsidRPr="00E80E97">
        <w:rPr>
          <w:lang w:eastAsia="en-AU"/>
        </w:rPr>
        <w:t xml:space="preserve"> has Changed? </w:t>
      </w:r>
      <w:r w:rsidR="004E5E8A">
        <w:rPr>
          <w:lang w:eastAsia="en-AU"/>
        </w:rPr>
        <w:br/>
      </w:r>
      <w:r w:rsidR="00E80E97" w:rsidRPr="004E5E8A">
        <w:rPr>
          <w:sz w:val="28"/>
          <w:lang w:eastAsia="en-AU"/>
        </w:rPr>
        <w:t>(</w:t>
      </w:r>
      <w:proofErr w:type="gramStart"/>
      <w:r w:rsidR="00E80E97" w:rsidRPr="004E5E8A">
        <w:rPr>
          <w:sz w:val="28"/>
          <w:lang w:eastAsia="en-AU"/>
        </w:rPr>
        <w:t>since</w:t>
      </w:r>
      <w:proofErr w:type="gramEnd"/>
      <w:r w:rsidR="00E80E97" w:rsidRPr="004E5E8A">
        <w:rPr>
          <w:sz w:val="28"/>
          <w:lang w:eastAsia="en-AU"/>
        </w:rPr>
        <w:t xml:space="preserve"> last survey, March 2012)</w:t>
      </w:r>
    </w:p>
    <w:p w:rsidR="00585787" w:rsidRDefault="00585787" w:rsidP="00585787">
      <w:pPr>
        <w:spacing w:line="360" w:lineRule="auto"/>
      </w:pPr>
    </w:p>
    <w:tbl>
      <w:tblPr>
        <w:tblW w:w="7666"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73"/>
        <w:gridCol w:w="2693"/>
      </w:tblGrid>
      <w:tr w:rsidR="00FB5C92" w:rsidRPr="00FB5C92" w:rsidTr="003A22E0">
        <w:trPr>
          <w:trHeight w:val="832"/>
        </w:trPr>
        <w:tc>
          <w:tcPr>
            <w:tcW w:w="4973" w:type="dxa"/>
            <w:shd w:val="clear" w:color="auto" w:fill="auto"/>
            <w:tcMar>
              <w:top w:w="11" w:type="dxa"/>
              <w:left w:w="11" w:type="dxa"/>
              <w:bottom w:w="0" w:type="dxa"/>
              <w:right w:w="11" w:type="dxa"/>
            </w:tcMar>
            <w:vAlign w:val="center"/>
            <w:hideMark/>
          </w:tcPr>
          <w:p w:rsidR="00B2716A" w:rsidRPr="00FB5C92" w:rsidRDefault="00FB5C92" w:rsidP="00FB5C92">
            <w:r w:rsidRPr="00FB5C92">
              <w:t>Unemployment rate</w:t>
            </w:r>
          </w:p>
        </w:tc>
        <w:tc>
          <w:tcPr>
            <w:tcW w:w="2693" w:type="dxa"/>
            <w:shd w:val="clear" w:color="auto" w:fill="FFFF00"/>
            <w:tcMar>
              <w:top w:w="15" w:type="dxa"/>
              <w:left w:w="15" w:type="dxa"/>
              <w:bottom w:w="0" w:type="dxa"/>
              <w:right w:w="15" w:type="dxa"/>
            </w:tcMar>
            <w:vAlign w:val="center"/>
            <w:hideMark/>
          </w:tcPr>
          <w:p w:rsidR="00FB5C92" w:rsidRPr="00FB5C92" w:rsidRDefault="00FB5C92" w:rsidP="006B7A30">
            <w:pPr>
              <w:jc w:val="center"/>
            </w:pPr>
            <w:r w:rsidRPr="00FB5C92">
              <w:t>Steady</w:t>
            </w:r>
          </w:p>
        </w:tc>
      </w:tr>
      <w:tr w:rsidR="00FB5C92" w:rsidRPr="00FB5C92" w:rsidTr="003A22E0">
        <w:trPr>
          <w:trHeight w:val="832"/>
        </w:trPr>
        <w:tc>
          <w:tcPr>
            <w:tcW w:w="4973" w:type="dxa"/>
            <w:shd w:val="clear" w:color="auto" w:fill="auto"/>
            <w:tcMar>
              <w:top w:w="11" w:type="dxa"/>
              <w:left w:w="11" w:type="dxa"/>
              <w:bottom w:w="0" w:type="dxa"/>
              <w:right w:w="11" w:type="dxa"/>
            </w:tcMar>
            <w:vAlign w:val="center"/>
            <w:hideMark/>
          </w:tcPr>
          <w:p w:rsidR="00B2716A" w:rsidRPr="00FB5C92" w:rsidRDefault="00FB5C92" w:rsidP="00FB5C92">
            <w:r w:rsidRPr="00FB5C92">
              <w:t>Employment</w:t>
            </w:r>
          </w:p>
        </w:tc>
        <w:tc>
          <w:tcPr>
            <w:tcW w:w="2693" w:type="dxa"/>
            <w:shd w:val="clear" w:color="auto" w:fill="92D050"/>
            <w:tcMar>
              <w:top w:w="15" w:type="dxa"/>
              <w:left w:w="15" w:type="dxa"/>
              <w:bottom w:w="0" w:type="dxa"/>
              <w:right w:w="15" w:type="dxa"/>
            </w:tcMar>
            <w:vAlign w:val="center"/>
            <w:hideMark/>
          </w:tcPr>
          <w:p w:rsidR="00FB5C92" w:rsidRPr="00FB5C92" w:rsidRDefault="00FB5C92" w:rsidP="006B7A30">
            <w:pPr>
              <w:jc w:val="center"/>
            </w:pPr>
            <w:r w:rsidRPr="00FB5C92">
              <w:t>Up</w:t>
            </w:r>
          </w:p>
        </w:tc>
      </w:tr>
      <w:tr w:rsidR="00FB5C92" w:rsidRPr="00FB5C92" w:rsidTr="003A22E0">
        <w:trPr>
          <w:trHeight w:val="886"/>
        </w:trPr>
        <w:tc>
          <w:tcPr>
            <w:tcW w:w="4973" w:type="dxa"/>
            <w:shd w:val="clear" w:color="auto" w:fill="auto"/>
            <w:tcMar>
              <w:top w:w="11" w:type="dxa"/>
              <w:left w:w="11" w:type="dxa"/>
              <w:bottom w:w="0" w:type="dxa"/>
              <w:right w:w="11" w:type="dxa"/>
            </w:tcMar>
            <w:vAlign w:val="center"/>
            <w:hideMark/>
          </w:tcPr>
          <w:p w:rsidR="00B2716A" w:rsidRPr="00FB5C92" w:rsidRDefault="00FB5C92" w:rsidP="00FB5C92">
            <w:r w:rsidRPr="00FB5C92">
              <w:t>Population growth</w:t>
            </w:r>
          </w:p>
        </w:tc>
        <w:tc>
          <w:tcPr>
            <w:tcW w:w="2693" w:type="dxa"/>
            <w:shd w:val="clear" w:color="auto" w:fill="92D050"/>
            <w:tcMar>
              <w:top w:w="15" w:type="dxa"/>
              <w:left w:w="15" w:type="dxa"/>
              <w:bottom w:w="0" w:type="dxa"/>
              <w:right w:w="15" w:type="dxa"/>
            </w:tcMar>
            <w:vAlign w:val="center"/>
            <w:hideMark/>
          </w:tcPr>
          <w:p w:rsidR="00FB5C92" w:rsidRPr="00FB5C92" w:rsidRDefault="00FB5C92" w:rsidP="006B7A30">
            <w:pPr>
              <w:jc w:val="center"/>
            </w:pPr>
            <w:r w:rsidRPr="00FB5C92">
              <w:t>Up</w:t>
            </w:r>
          </w:p>
        </w:tc>
      </w:tr>
      <w:tr w:rsidR="00FB5C92" w:rsidRPr="00FB5C92" w:rsidTr="003A22E0">
        <w:trPr>
          <w:trHeight w:val="833"/>
        </w:trPr>
        <w:tc>
          <w:tcPr>
            <w:tcW w:w="4973" w:type="dxa"/>
            <w:shd w:val="clear" w:color="auto" w:fill="auto"/>
            <w:tcMar>
              <w:top w:w="11" w:type="dxa"/>
              <w:left w:w="11" w:type="dxa"/>
              <w:bottom w:w="0" w:type="dxa"/>
              <w:right w:w="11" w:type="dxa"/>
            </w:tcMar>
            <w:vAlign w:val="center"/>
            <w:hideMark/>
          </w:tcPr>
          <w:p w:rsidR="00B2716A" w:rsidRPr="00FB5C92" w:rsidRDefault="00FB5C92" w:rsidP="00FB5C92">
            <w:r w:rsidRPr="00FB5C92">
              <w:t xml:space="preserve">Youth participation rate </w:t>
            </w:r>
          </w:p>
        </w:tc>
        <w:tc>
          <w:tcPr>
            <w:tcW w:w="2693" w:type="dxa"/>
            <w:shd w:val="clear" w:color="auto" w:fill="FF0000"/>
            <w:tcMar>
              <w:top w:w="15" w:type="dxa"/>
              <w:left w:w="15" w:type="dxa"/>
              <w:bottom w:w="0" w:type="dxa"/>
              <w:right w:w="15" w:type="dxa"/>
            </w:tcMar>
            <w:vAlign w:val="center"/>
            <w:hideMark/>
          </w:tcPr>
          <w:p w:rsidR="00FB5C92" w:rsidRPr="00FB5C92" w:rsidRDefault="00FB5C92" w:rsidP="006B7A30">
            <w:pPr>
              <w:jc w:val="center"/>
            </w:pPr>
            <w:r w:rsidRPr="00FB5C92">
              <w:t>Down</w:t>
            </w:r>
          </w:p>
        </w:tc>
      </w:tr>
      <w:tr w:rsidR="00FB5C92" w:rsidRPr="00FB5C92" w:rsidTr="003A22E0">
        <w:trPr>
          <w:trHeight w:val="833"/>
        </w:trPr>
        <w:tc>
          <w:tcPr>
            <w:tcW w:w="4973" w:type="dxa"/>
            <w:shd w:val="clear" w:color="auto" w:fill="auto"/>
            <w:tcMar>
              <w:top w:w="11" w:type="dxa"/>
              <w:left w:w="11" w:type="dxa"/>
              <w:bottom w:w="0" w:type="dxa"/>
              <w:right w:w="11" w:type="dxa"/>
            </w:tcMar>
            <w:vAlign w:val="center"/>
            <w:hideMark/>
          </w:tcPr>
          <w:p w:rsidR="00B2716A" w:rsidRPr="00FB5C92" w:rsidRDefault="00FB5C92" w:rsidP="00FB5C92">
            <w:r w:rsidRPr="00FB5C92">
              <w:t>Recruitment Activity</w:t>
            </w:r>
          </w:p>
        </w:tc>
        <w:tc>
          <w:tcPr>
            <w:tcW w:w="2693" w:type="dxa"/>
            <w:shd w:val="clear" w:color="auto" w:fill="FF0000"/>
            <w:tcMar>
              <w:top w:w="15" w:type="dxa"/>
              <w:left w:w="15" w:type="dxa"/>
              <w:bottom w:w="0" w:type="dxa"/>
              <w:right w:w="15" w:type="dxa"/>
            </w:tcMar>
            <w:vAlign w:val="center"/>
            <w:hideMark/>
          </w:tcPr>
          <w:p w:rsidR="00FB5C92" w:rsidRPr="00FB5C92" w:rsidRDefault="00FB5C92" w:rsidP="006B7A30">
            <w:pPr>
              <w:jc w:val="center"/>
            </w:pPr>
            <w:r w:rsidRPr="00FB5C92">
              <w:t>Down</w:t>
            </w:r>
          </w:p>
        </w:tc>
      </w:tr>
      <w:tr w:rsidR="00FB5C92" w:rsidRPr="00FB5C92" w:rsidTr="003A22E0">
        <w:trPr>
          <w:trHeight w:val="833"/>
        </w:trPr>
        <w:tc>
          <w:tcPr>
            <w:tcW w:w="4973" w:type="dxa"/>
            <w:shd w:val="clear" w:color="auto" w:fill="auto"/>
            <w:tcMar>
              <w:top w:w="11" w:type="dxa"/>
              <w:left w:w="11" w:type="dxa"/>
              <w:bottom w:w="0" w:type="dxa"/>
              <w:right w:w="11" w:type="dxa"/>
            </w:tcMar>
            <w:vAlign w:val="center"/>
            <w:hideMark/>
          </w:tcPr>
          <w:p w:rsidR="00B2716A" w:rsidRPr="00FB5C92" w:rsidRDefault="00FB5C92" w:rsidP="00FB5C92">
            <w:r w:rsidRPr="00FB5C92">
              <w:t>Competition for vacancies</w:t>
            </w:r>
          </w:p>
        </w:tc>
        <w:tc>
          <w:tcPr>
            <w:tcW w:w="2693" w:type="dxa"/>
            <w:shd w:val="clear" w:color="auto" w:fill="FF0000"/>
            <w:tcMar>
              <w:top w:w="15" w:type="dxa"/>
              <w:left w:w="15" w:type="dxa"/>
              <w:bottom w:w="0" w:type="dxa"/>
              <w:right w:w="15" w:type="dxa"/>
            </w:tcMar>
            <w:vAlign w:val="center"/>
            <w:hideMark/>
          </w:tcPr>
          <w:p w:rsidR="00FB5C92" w:rsidRPr="00FB5C92" w:rsidRDefault="00FB5C92" w:rsidP="006B7A30">
            <w:pPr>
              <w:jc w:val="center"/>
            </w:pPr>
            <w:r w:rsidRPr="00FB5C92">
              <w:t>Up</w:t>
            </w:r>
          </w:p>
        </w:tc>
      </w:tr>
      <w:tr w:rsidR="00FB5C92" w:rsidRPr="006B7A30" w:rsidTr="003A22E0">
        <w:trPr>
          <w:trHeight w:val="833"/>
        </w:trPr>
        <w:tc>
          <w:tcPr>
            <w:tcW w:w="4973" w:type="dxa"/>
            <w:shd w:val="clear" w:color="auto" w:fill="auto"/>
            <w:tcMar>
              <w:top w:w="11" w:type="dxa"/>
              <w:left w:w="11" w:type="dxa"/>
              <w:bottom w:w="0" w:type="dxa"/>
              <w:right w:w="11" w:type="dxa"/>
            </w:tcMar>
            <w:vAlign w:val="center"/>
            <w:hideMark/>
          </w:tcPr>
          <w:p w:rsidR="00B2716A" w:rsidRPr="006B7A30" w:rsidRDefault="00FB5C92" w:rsidP="00FB5C92">
            <w:r w:rsidRPr="006B7A30">
              <w:rPr>
                <w:bCs/>
              </w:rPr>
              <w:t>Future recruitment expectations</w:t>
            </w:r>
          </w:p>
        </w:tc>
        <w:tc>
          <w:tcPr>
            <w:tcW w:w="2693" w:type="dxa"/>
            <w:shd w:val="clear" w:color="auto" w:fill="FFFF00"/>
            <w:tcMar>
              <w:top w:w="15" w:type="dxa"/>
              <w:left w:w="15" w:type="dxa"/>
              <w:bottom w:w="0" w:type="dxa"/>
              <w:right w:w="15" w:type="dxa"/>
            </w:tcMar>
            <w:vAlign w:val="center"/>
            <w:hideMark/>
          </w:tcPr>
          <w:p w:rsidR="00FB5C92" w:rsidRPr="006B7A30" w:rsidRDefault="00FB5C92" w:rsidP="006B7A30">
            <w:pPr>
              <w:jc w:val="center"/>
            </w:pPr>
            <w:r w:rsidRPr="006B7A30">
              <w:t>Steady</w:t>
            </w:r>
          </w:p>
        </w:tc>
      </w:tr>
      <w:tr w:rsidR="00FB5C92" w:rsidRPr="006B7A30" w:rsidTr="003A22E0">
        <w:trPr>
          <w:trHeight w:val="833"/>
        </w:trPr>
        <w:tc>
          <w:tcPr>
            <w:tcW w:w="4973" w:type="dxa"/>
            <w:shd w:val="clear" w:color="auto" w:fill="auto"/>
            <w:tcMar>
              <w:top w:w="11" w:type="dxa"/>
              <w:left w:w="11" w:type="dxa"/>
              <w:bottom w:w="0" w:type="dxa"/>
              <w:right w:w="11" w:type="dxa"/>
            </w:tcMar>
            <w:vAlign w:val="center"/>
            <w:hideMark/>
          </w:tcPr>
          <w:p w:rsidR="00B2716A" w:rsidRPr="006B7A30" w:rsidRDefault="00FB5C92" w:rsidP="00FB5C92">
            <w:r w:rsidRPr="006B7A30">
              <w:rPr>
                <w:bCs/>
              </w:rPr>
              <w:t>Overall labour market conditions for the LGA</w:t>
            </w:r>
          </w:p>
        </w:tc>
        <w:tc>
          <w:tcPr>
            <w:tcW w:w="2693" w:type="dxa"/>
            <w:shd w:val="clear" w:color="auto" w:fill="FFFF00"/>
            <w:tcMar>
              <w:top w:w="15" w:type="dxa"/>
              <w:left w:w="15" w:type="dxa"/>
              <w:bottom w:w="0" w:type="dxa"/>
              <w:right w:w="15" w:type="dxa"/>
            </w:tcMar>
            <w:vAlign w:val="center"/>
            <w:hideMark/>
          </w:tcPr>
          <w:p w:rsidR="00FB5C92" w:rsidRPr="006B7A30" w:rsidRDefault="00FB5C92" w:rsidP="006B7A30">
            <w:pPr>
              <w:jc w:val="center"/>
            </w:pPr>
            <w:r w:rsidRPr="006B7A30">
              <w:t>Steady</w:t>
            </w:r>
          </w:p>
        </w:tc>
      </w:tr>
    </w:tbl>
    <w:p w:rsidR="00585787" w:rsidRPr="003A22E0" w:rsidRDefault="00585787" w:rsidP="006B7A30">
      <w:pPr>
        <w:rPr>
          <w:i/>
          <w:lang w:eastAsia="en-AU"/>
        </w:rPr>
      </w:pPr>
      <w:r w:rsidRPr="003A22E0">
        <w:rPr>
          <w:i/>
          <w:lang w:eastAsia="en-AU"/>
        </w:rPr>
        <w:t>Source: ABS, Census of Population and Housing, 2011 and 2006; ABS, Labour Force Survey, May &amp; July 2013; DEEWR, Small Area Labour Market, June 2013; DEEWR, Survey of Employers’ Recruitment Experiences, North Western Melbourne PEA, March 2012 and June 2013</w:t>
      </w:r>
    </w:p>
    <w:p w:rsidR="00585787" w:rsidRPr="006B7A30" w:rsidRDefault="00585787" w:rsidP="006B7A30">
      <w:pPr>
        <w:rPr>
          <w:lang w:eastAsia="en-AU"/>
        </w:rPr>
      </w:pPr>
    </w:p>
    <w:p w:rsidR="00585787" w:rsidRPr="006B7A30" w:rsidRDefault="00585787" w:rsidP="003A22E0">
      <w:pPr>
        <w:pStyle w:val="ListParagraph"/>
        <w:numPr>
          <w:ilvl w:val="0"/>
          <w:numId w:val="12"/>
        </w:numPr>
        <w:ind w:left="426"/>
        <w:rPr>
          <w:lang w:eastAsia="en-AU"/>
        </w:rPr>
      </w:pPr>
      <w:r w:rsidRPr="006B7A30">
        <w:rPr>
          <w:lang w:eastAsia="en-AU"/>
        </w:rPr>
        <w:t>Labour market conditions in the North Western Melbourne PEA have moderated since 2012 and results from the June 2013 survey suggest further softening in the future.</w:t>
      </w:r>
    </w:p>
    <w:p w:rsidR="00585787" w:rsidRPr="006B7A30" w:rsidRDefault="00585787" w:rsidP="003A22E0">
      <w:pPr>
        <w:pStyle w:val="ListParagraph"/>
        <w:numPr>
          <w:ilvl w:val="0"/>
          <w:numId w:val="12"/>
        </w:numPr>
        <w:ind w:left="426"/>
        <w:rPr>
          <w:lang w:eastAsia="en-AU"/>
        </w:rPr>
      </w:pPr>
      <w:r w:rsidRPr="00447836">
        <w:rPr>
          <w:bCs/>
          <w:lang w:eastAsia="en-AU"/>
        </w:rPr>
        <w:t xml:space="preserve">The unemployment rate </w:t>
      </w:r>
      <w:r w:rsidRPr="006B7A30">
        <w:rPr>
          <w:lang w:eastAsia="en-AU"/>
        </w:rPr>
        <w:t xml:space="preserve">in the North Western Melbourne PEA decreased slightly to 7.9% in June 2013 from 8.0% in June 2012 (DEEWR, SALM, </w:t>
      </w:r>
      <w:proofErr w:type="gramStart"/>
      <w:r w:rsidRPr="006B7A30">
        <w:rPr>
          <w:lang w:eastAsia="en-AU"/>
        </w:rPr>
        <w:t>June</w:t>
      </w:r>
      <w:proofErr w:type="gramEnd"/>
      <w:r w:rsidRPr="006B7A30">
        <w:rPr>
          <w:lang w:eastAsia="en-AU"/>
        </w:rPr>
        <w:t xml:space="preserve"> 2013).</w:t>
      </w:r>
    </w:p>
    <w:p w:rsidR="00585787" w:rsidRPr="006B7A30" w:rsidRDefault="00585787" w:rsidP="003A22E0">
      <w:pPr>
        <w:pStyle w:val="ListParagraph"/>
        <w:numPr>
          <w:ilvl w:val="0"/>
          <w:numId w:val="12"/>
        </w:numPr>
        <w:ind w:left="426"/>
        <w:rPr>
          <w:lang w:eastAsia="en-AU"/>
        </w:rPr>
      </w:pPr>
      <w:r w:rsidRPr="00447836">
        <w:rPr>
          <w:bCs/>
          <w:lang w:eastAsia="en-AU"/>
        </w:rPr>
        <w:t xml:space="preserve">Employment </w:t>
      </w:r>
      <w:r w:rsidRPr="006B7A30">
        <w:rPr>
          <w:lang w:eastAsia="en-AU"/>
        </w:rPr>
        <w:t>increased by 13,300 jobs in the year to July 2013.  But, there was a structural shift in employment across the major industries (ABS LFS, May Quarter 2013).</w:t>
      </w:r>
    </w:p>
    <w:p w:rsidR="00585787" w:rsidRPr="006B7A30" w:rsidRDefault="00585787" w:rsidP="003A22E0">
      <w:pPr>
        <w:pStyle w:val="ListParagraph"/>
        <w:numPr>
          <w:ilvl w:val="0"/>
          <w:numId w:val="12"/>
        </w:numPr>
        <w:ind w:left="426"/>
        <w:rPr>
          <w:lang w:eastAsia="en-AU"/>
        </w:rPr>
      </w:pPr>
      <w:r w:rsidRPr="00447836">
        <w:rPr>
          <w:bCs/>
          <w:lang w:eastAsia="en-AU"/>
        </w:rPr>
        <w:t xml:space="preserve">Adult population growth </w:t>
      </w:r>
      <w:r w:rsidRPr="006B7A30">
        <w:rPr>
          <w:lang w:eastAsia="en-AU"/>
        </w:rPr>
        <w:t>between 2006 and 2011 was 21% (ABS Census 2006 and 2011).</w:t>
      </w:r>
    </w:p>
    <w:p w:rsidR="00585787" w:rsidRPr="006B7A30" w:rsidRDefault="00585787" w:rsidP="003A22E0">
      <w:pPr>
        <w:pStyle w:val="ListParagraph"/>
        <w:numPr>
          <w:ilvl w:val="0"/>
          <w:numId w:val="12"/>
        </w:numPr>
        <w:ind w:left="426"/>
        <w:rPr>
          <w:lang w:eastAsia="en-AU"/>
        </w:rPr>
      </w:pPr>
      <w:r w:rsidRPr="00447836">
        <w:rPr>
          <w:bCs/>
          <w:lang w:eastAsia="en-AU"/>
        </w:rPr>
        <w:t xml:space="preserve">The youth participation rate </w:t>
      </w:r>
      <w:r w:rsidRPr="006B7A30">
        <w:rPr>
          <w:lang w:eastAsia="en-AU"/>
        </w:rPr>
        <w:t>for the Northern-North West Labour Force Region and Outer Western Melbourne LFR dropped from 70% in July 2011 to 65% in July 2013 (ABS LFS, July 2013).</w:t>
      </w:r>
    </w:p>
    <w:p w:rsidR="00585787" w:rsidRPr="006B7A30" w:rsidRDefault="00585787" w:rsidP="003A22E0">
      <w:pPr>
        <w:pStyle w:val="ListParagraph"/>
        <w:numPr>
          <w:ilvl w:val="0"/>
          <w:numId w:val="12"/>
        </w:numPr>
        <w:ind w:left="426"/>
        <w:rPr>
          <w:lang w:eastAsia="en-AU"/>
        </w:rPr>
      </w:pPr>
      <w:r w:rsidRPr="00447836">
        <w:rPr>
          <w:bCs/>
          <w:lang w:eastAsia="en-AU"/>
        </w:rPr>
        <w:t xml:space="preserve">Competition for vacancies </w:t>
      </w:r>
      <w:r w:rsidRPr="006B7A30">
        <w:rPr>
          <w:lang w:eastAsia="en-AU"/>
        </w:rPr>
        <w:t>increased substantially.</w:t>
      </w:r>
    </w:p>
    <w:p w:rsidR="00585787" w:rsidRPr="006B7A30" w:rsidRDefault="00585787" w:rsidP="003A22E0">
      <w:pPr>
        <w:pStyle w:val="ListParagraph"/>
        <w:numPr>
          <w:ilvl w:val="0"/>
          <w:numId w:val="12"/>
        </w:numPr>
        <w:ind w:left="426"/>
        <w:rPr>
          <w:lang w:eastAsia="en-AU"/>
        </w:rPr>
      </w:pPr>
      <w:r w:rsidRPr="006B7A30">
        <w:rPr>
          <w:lang w:eastAsia="en-AU"/>
        </w:rPr>
        <w:t xml:space="preserve">The survey showed a </w:t>
      </w:r>
      <w:r w:rsidRPr="00447836">
        <w:rPr>
          <w:bCs/>
          <w:lang w:eastAsia="en-AU"/>
        </w:rPr>
        <w:t xml:space="preserve">decrease in recruitment activity </w:t>
      </w:r>
      <w:r w:rsidRPr="006B7A30">
        <w:rPr>
          <w:lang w:eastAsia="en-AU"/>
        </w:rPr>
        <w:t xml:space="preserve">but </w:t>
      </w:r>
      <w:r w:rsidRPr="00447836">
        <w:rPr>
          <w:bCs/>
          <w:lang w:eastAsia="en-AU"/>
        </w:rPr>
        <w:t xml:space="preserve">expectations of future recruitment </w:t>
      </w:r>
      <w:r w:rsidRPr="006B7A30">
        <w:rPr>
          <w:lang w:eastAsia="en-AU"/>
        </w:rPr>
        <w:t>were encouraging.</w:t>
      </w:r>
    </w:p>
    <w:p w:rsidR="00585787" w:rsidRDefault="00585787">
      <w:r>
        <w:br w:type="page"/>
      </w:r>
    </w:p>
    <w:p w:rsidR="00447836" w:rsidRDefault="00585787" w:rsidP="00447836">
      <w:pPr>
        <w:pStyle w:val="Heading1"/>
        <w:rPr>
          <w:lang w:eastAsia="en-AU"/>
        </w:rPr>
      </w:pPr>
      <w:r>
        <w:lastRenderedPageBreak/>
        <w:t>Slide 4</w:t>
      </w:r>
      <w:r w:rsidR="00447836">
        <w:t xml:space="preserve"> </w:t>
      </w:r>
      <w:r w:rsidR="00447836" w:rsidRPr="00447836">
        <w:rPr>
          <w:lang w:eastAsia="en-AU"/>
        </w:rPr>
        <w:t>Strong population growth</w:t>
      </w:r>
    </w:p>
    <w:p w:rsidR="00447836" w:rsidRPr="00447836" w:rsidRDefault="00447836" w:rsidP="00447836">
      <w:pPr>
        <w:rPr>
          <w:lang w:eastAsia="en-AU"/>
        </w:rPr>
      </w:pPr>
    </w:p>
    <w:tbl>
      <w:tblPr>
        <w:tblW w:w="9229" w:type="dxa"/>
        <w:tblCellMar>
          <w:left w:w="0" w:type="dxa"/>
          <w:right w:w="0" w:type="dxa"/>
        </w:tblCellMar>
        <w:tblLook w:val="0600" w:firstRow="0" w:lastRow="0" w:firstColumn="0" w:lastColumn="0" w:noHBand="1" w:noVBand="1"/>
      </w:tblPr>
      <w:tblGrid>
        <w:gridCol w:w="2992"/>
        <w:gridCol w:w="1559"/>
        <w:gridCol w:w="1559"/>
        <w:gridCol w:w="1559"/>
        <w:gridCol w:w="1560"/>
      </w:tblGrid>
      <w:tr w:rsidR="00447836" w:rsidRPr="00447836" w:rsidTr="00447836">
        <w:trPr>
          <w:trHeight w:val="1711"/>
        </w:trPr>
        <w:tc>
          <w:tcPr>
            <w:tcW w:w="2992" w:type="dxa"/>
            <w:tcBorders>
              <w:top w:val="single" w:sz="8" w:space="0" w:color="000000"/>
              <w:left w:val="single" w:sz="8"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447836" w:rsidRDefault="00447836" w:rsidP="00447836">
            <w:pPr>
              <w:pStyle w:val="Heading1"/>
              <w:jc w:val="left"/>
              <w:rPr>
                <w:sz w:val="24"/>
              </w:rPr>
            </w:pPr>
            <w:r>
              <w:rPr>
                <w:sz w:val="24"/>
              </w:rPr>
              <w:t xml:space="preserve"> </w:t>
            </w:r>
            <w:r w:rsidRPr="00447836">
              <w:rPr>
                <w:sz w:val="24"/>
              </w:rPr>
              <w:t>Region</w:t>
            </w:r>
          </w:p>
        </w:tc>
        <w:tc>
          <w:tcPr>
            <w:tcW w:w="1559" w:type="dxa"/>
            <w:tcBorders>
              <w:top w:val="single" w:sz="8"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447836" w:rsidRDefault="00447836" w:rsidP="004E5E8A">
            <w:pPr>
              <w:pStyle w:val="Heading1"/>
              <w:rPr>
                <w:sz w:val="24"/>
              </w:rPr>
            </w:pPr>
            <w:r w:rsidRPr="00447836">
              <w:rPr>
                <w:sz w:val="24"/>
              </w:rPr>
              <w:t>Adult Population 2011</w:t>
            </w:r>
            <w:r w:rsidR="004E5E8A">
              <w:rPr>
                <w:sz w:val="24"/>
              </w:rPr>
              <w:br/>
            </w:r>
            <w:r w:rsidRPr="00447836">
              <w:rPr>
                <w:sz w:val="24"/>
              </w:rPr>
              <w:t>(15+)</w:t>
            </w:r>
          </w:p>
        </w:tc>
        <w:tc>
          <w:tcPr>
            <w:tcW w:w="1559" w:type="dxa"/>
            <w:tcBorders>
              <w:top w:val="single" w:sz="8"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447836" w:rsidRDefault="00447836" w:rsidP="00447836">
            <w:pPr>
              <w:pStyle w:val="Heading1"/>
              <w:rPr>
                <w:sz w:val="24"/>
              </w:rPr>
            </w:pPr>
            <w:r w:rsidRPr="00447836">
              <w:rPr>
                <w:sz w:val="24"/>
              </w:rPr>
              <w:t>Growth 2006 to 2011 (15+)</w:t>
            </w:r>
          </w:p>
        </w:tc>
        <w:tc>
          <w:tcPr>
            <w:tcW w:w="1559" w:type="dxa"/>
            <w:tcBorders>
              <w:top w:val="single" w:sz="8"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447836" w:rsidRDefault="00447836" w:rsidP="00447836">
            <w:pPr>
              <w:pStyle w:val="Heading1"/>
              <w:rPr>
                <w:sz w:val="24"/>
              </w:rPr>
            </w:pPr>
            <w:r w:rsidRPr="00447836">
              <w:rPr>
                <w:sz w:val="24"/>
              </w:rPr>
              <w:t>Participation rate (Working Age Population) 2011</w:t>
            </w:r>
          </w:p>
        </w:tc>
        <w:tc>
          <w:tcPr>
            <w:tcW w:w="1560" w:type="dxa"/>
            <w:tcBorders>
              <w:top w:val="single" w:sz="8" w:space="0" w:color="000000"/>
              <w:left w:val="single" w:sz="4" w:space="0" w:color="000000"/>
              <w:bottom w:val="single" w:sz="4" w:space="0" w:color="000000"/>
              <w:right w:val="single" w:sz="8" w:space="0" w:color="000000"/>
            </w:tcBorders>
            <w:shd w:val="clear" w:color="auto" w:fill="C6D9F1"/>
            <w:tcMar>
              <w:top w:w="15" w:type="dxa"/>
              <w:left w:w="15" w:type="dxa"/>
              <w:bottom w:w="0" w:type="dxa"/>
              <w:right w:w="15" w:type="dxa"/>
            </w:tcMar>
            <w:vAlign w:val="center"/>
            <w:hideMark/>
          </w:tcPr>
          <w:p w:rsidR="00B2716A" w:rsidRPr="00447836" w:rsidRDefault="00447836" w:rsidP="00447836">
            <w:pPr>
              <w:pStyle w:val="Heading1"/>
              <w:rPr>
                <w:sz w:val="24"/>
              </w:rPr>
            </w:pPr>
            <w:r w:rsidRPr="00447836">
              <w:rPr>
                <w:sz w:val="24"/>
              </w:rPr>
              <w:t>Median Age 2011</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92D050"/>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rPr>
                <w:bCs/>
              </w:rPr>
              <w:t xml:space="preserve"> Hume LGA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129,480</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16%</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69.1%</w:t>
            </w:r>
          </w:p>
        </w:tc>
        <w:tc>
          <w:tcPr>
            <w:tcW w:w="1560" w:type="dxa"/>
            <w:tcBorders>
              <w:top w:val="single" w:sz="4" w:space="0" w:color="000000"/>
              <w:left w:val="single" w:sz="4" w:space="0" w:color="000000"/>
              <w:bottom w:val="single" w:sz="4" w:space="0" w:color="000000"/>
              <w:right w:val="single" w:sz="8" w:space="0" w:color="000000"/>
            </w:tcBorders>
            <w:shd w:val="clear" w:color="auto" w:fill="92D050"/>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33</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Brimbank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147,930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11%</w:t>
            </w:r>
          </w:p>
        </w:tc>
        <w:tc>
          <w:tcPr>
            <w:tcW w:w="1559"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69.0%</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35</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w:t>
            </w:r>
            <w:proofErr w:type="spellStart"/>
            <w:r w:rsidRPr="00447836">
              <w:t>Hobsons</w:t>
            </w:r>
            <w:proofErr w:type="spellEnd"/>
            <w:r w:rsidRPr="00447836">
              <w:t xml:space="preserve"> Bay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68,660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75.7%</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38</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Maribyrnong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59,770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13%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76.0%</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34</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Melton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82,260</w:t>
            </w:r>
          </w:p>
        </w:tc>
        <w:tc>
          <w:tcPr>
            <w:tcW w:w="1559"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74.7%</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32</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Whittlesea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122,670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26%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73.4%</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34</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Wyndham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123,250</w:t>
            </w:r>
          </w:p>
        </w:tc>
        <w:tc>
          <w:tcPr>
            <w:tcW w:w="1559"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76.0%</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32</w:t>
            </w:r>
          </w:p>
        </w:tc>
      </w:tr>
      <w:tr w:rsidR="00447836" w:rsidRPr="00447836" w:rsidTr="00447836">
        <w:trPr>
          <w:trHeight w:val="789"/>
        </w:trPr>
        <w:tc>
          <w:tcPr>
            <w:tcW w:w="2992" w:type="dxa"/>
            <w:tcBorders>
              <w:top w:val="single" w:sz="4" w:space="0" w:color="000000"/>
              <w:left w:val="single" w:sz="8" w:space="0" w:color="000000"/>
              <w:bottom w:val="single" w:sz="4" w:space="0" w:color="000000"/>
              <w:right w:val="single" w:sz="4" w:space="0" w:color="000000"/>
            </w:tcBorders>
            <w:shd w:val="clear" w:color="auto" w:fill="DCE6F2"/>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rPr>
                <w:bCs/>
              </w:rPr>
              <w:t xml:space="preserve"> North Western </w:t>
            </w:r>
            <w:r w:rsidRPr="00447836">
              <w:rPr>
                <w:bCs/>
              </w:rPr>
              <w:br/>
              <w:t xml:space="preserve">Melbourne PEA </w:t>
            </w:r>
          </w:p>
        </w:tc>
        <w:tc>
          <w:tcPr>
            <w:tcW w:w="1559"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734,020</w:t>
            </w:r>
          </w:p>
        </w:tc>
        <w:tc>
          <w:tcPr>
            <w:tcW w:w="1559"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72.8%</w:t>
            </w:r>
          </w:p>
        </w:tc>
        <w:tc>
          <w:tcPr>
            <w:tcW w:w="1560" w:type="dxa"/>
            <w:tcBorders>
              <w:top w:val="single" w:sz="4" w:space="0" w:color="000000"/>
              <w:left w:val="single" w:sz="4" w:space="0" w:color="000000"/>
              <w:bottom w:val="single" w:sz="4" w:space="0" w:color="000000"/>
              <w:right w:val="single" w:sz="8" w:space="0" w:color="000000"/>
            </w:tcBorders>
            <w:shd w:val="clear" w:color="auto" w:fill="DCE6F2"/>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rPr>
                <w:bCs/>
              </w:rPr>
              <w:t>33</w:t>
            </w:r>
          </w:p>
        </w:tc>
      </w:tr>
      <w:tr w:rsidR="00447836" w:rsidRPr="00447836" w:rsidTr="00447836">
        <w:trPr>
          <w:trHeight w:val="526"/>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Victoria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4,355,250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75.6%</w:t>
            </w:r>
          </w:p>
        </w:tc>
        <w:tc>
          <w:tcPr>
            <w:tcW w:w="15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37</w:t>
            </w:r>
          </w:p>
        </w:tc>
      </w:tr>
      <w:tr w:rsidR="00447836" w:rsidRPr="00447836" w:rsidTr="00447836">
        <w:trPr>
          <w:trHeight w:val="548"/>
        </w:trPr>
        <w:tc>
          <w:tcPr>
            <w:tcW w:w="2992" w:type="dxa"/>
            <w:tcBorders>
              <w:top w:val="single" w:sz="4" w:space="0" w:color="000000"/>
              <w:left w:val="single" w:sz="8" w:space="0" w:color="000000"/>
              <w:bottom w:val="single" w:sz="8" w:space="0" w:color="000000"/>
              <w:right w:val="single" w:sz="4" w:space="0" w:color="000000"/>
            </w:tcBorders>
            <w:shd w:val="clear" w:color="auto" w:fill="auto"/>
            <w:tcMar>
              <w:top w:w="15" w:type="dxa"/>
              <w:left w:w="113" w:type="dxa"/>
              <w:bottom w:w="0" w:type="dxa"/>
              <w:right w:w="15" w:type="dxa"/>
            </w:tcMar>
            <w:vAlign w:val="center"/>
            <w:hideMark/>
          </w:tcPr>
          <w:p w:rsidR="00B2716A" w:rsidRPr="00447836" w:rsidRDefault="00447836" w:rsidP="00447836">
            <w:pPr>
              <w:spacing w:line="360" w:lineRule="auto"/>
              <w:jc w:val="left"/>
            </w:pPr>
            <w:r w:rsidRPr="00447836">
              <w:t xml:space="preserve"> Australia </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17,363,690</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9%</w:t>
            </w:r>
          </w:p>
        </w:tc>
        <w:tc>
          <w:tcPr>
            <w:tcW w:w="1559"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75.8%</w:t>
            </w:r>
          </w:p>
        </w:tc>
        <w:tc>
          <w:tcPr>
            <w:tcW w:w="15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447836" w:rsidRDefault="00447836" w:rsidP="00447836">
            <w:pPr>
              <w:spacing w:line="360" w:lineRule="auto"/>
              <w:jc w:val="center"/>
            </w:pPr>
            <w:r w:rsidRPr="00447836">
              <w:t>37</w:t>
            </w:r>
          </w:p>
        </w:tc>
      </w:tr>
    </w:tbl>
    <w:p w:rsidR="00585787" w:rsidRPr="003A22E0" w:rsidRDefault="00585787" w:rsidP="00447836">
      <w:pPr>
        <w:rPr>
          <w:i/>
          <w:lang w:eastAsia="en-AU"/>
        </w:rPr>
      </w:pPr>
      <w:r w:rsidRPr="003A22E0">
        <w:rPr>
          <w:i/>
          <w:lang w:eastAsia="en-AU"/>
        </w:rPr>
        <w:t>Source: ABS Census of Population and Housing, 2006 and 2011</w:t>
      </w:r>
    </w:p>
    <w:p w:rsidR="00585787" w:rsidRDefault="00585787" w:rsidP="00447836">
      <w:pPr>
        <w:rPr>
          <w:lang w:eastAsia="en-AU"/>
        </w:rPr>
      </w:pPr>
    </w:p>
    <w:p w:rsidR="00585787" w:rsidRDefault="00585787" w:rsidP="00447836">
      <w:pPr>
        <w:rPr>
          <w:lang w:eastAsia="en-AU"/>
        </w:rPr>
      </w:pPr>
      <w:r>
        <w:rPr>
          <w:lang w:eastAsia="en-AU"/>
        </w:rPr>
        <w:t>The adult population (15 years+) for the North Western Melbourne PEA at the time of 2011 Census was 734,020, an increase of 21% from the 2006 Census. Population growth over this period for Victoria and Australia was lower, both 9%</w:t>
      </w:r>
    </w:p>
    <w:p w:rsidR="00585787" w:rsidRDefault="00585787" w:rsidP="00447836">
      <w:pPr>
        <w:rPr>
          <w:lang w:eastAsia="en-AU"/>
        </w:rPr>
      </w:pPr>
    </w:p>
    <w:p w:rsidR="00585787" w:rsidRDefault="00585787" w:rsidP="00447836">
      <w:pPr>
        <w:rPr>
          <w:lang w:eastAsia="en-AU"/>
        </w:rPr>
      </w:pPr>
      <w:r>
        <w:rPr>
          <w:lang w:eastAsia="en-AU"/>
        </w:rPr>
        <w:t>Some 31% of the total growth in the PEA was in the 20 to 34 year age group. The 20 to 24 years cohort grew by 22%, the 25 to 29 years cohort grew by 35% and the 30 to 34 year cohort increased by 24%.  However, there was also large growth in the 60 to 65 year group (increased by 41%).</w:t>
      </w:r>
    </w:p>
    <w:p w:rsidR="00585787" w:rsidRDefault="00585787" w:rsidP="00447836">
      <w:pPr>
        <w:rPr>
          <w:lang w:eastAsia="en-AU"/>
        </w:rPr>
      </w:pPr>
    </w:p>
    <w:p w:rsidR="00585787" w:rsidRDefault="00585787" w:rsidP="00447836">
      <w:pPr>
        <w:rPr>
          <w:lang w:eastAsia="en-AU"/>
        </w:rPr>
      </w:pPr>
      <w:r>
        <w:rPr>
          <w:lang w:eastAsia="en-AU"/>
        </w:rPr>
        <w:t>The Wyndham LGA had the largest adult population growth (44%) of all the LGAs in the area. The age cohorts with the largest growth in the Wyndham LGA were the 25-29 (60%) and 60-64 (62%). The Melton and Whittlesea LGAs also experienced considerable growth in the adult population (38% and 26% respectively).</w:t>
      </w:r>
    </w:p>
    <w:p w:rsidR="00585787" w:rsidRDefault="00585787">
      <w:r>
        <w:br w:type="page"/>
      </w:r>
    </w:p>
    <w:p w:rsidR="00447836" w:rsidRPr="00447836" w:rsidRDefault="00585787" w:rsidP="00447836">
      <w:pPr>
        <w:pStyle w:val="Heading1"/>
        <w:rPr>
          <w:lang w:eastAsia="en-AU"/>
        </w:rPr>
      </w:pPr>
      <w:r>
        <w:lastRenderedPageBreak/>
        <w:t>Slide 5</w:t>
      </w:r>
      <w:r w:rsidR="00447836">
        <w:t xml:space="preserve"> </w:t>
      </w:r>
      <w:r w:rsidR="00447836" w:rsidRPr="00447836">
        <w:rPr>
          <w:lang w:eastAsia="en-AU"/>
        </w:rPr>
        <w:t>Age Distribution</w:t>
      </w:r>
    </w:p>
    <w:p w:rsidR="00585787" w:rsidRDefault="00585787" w:rsidP="00585787">
      <w:pPr>
        <w:spacing w:line="360" w:lineRule="auto"/>
      </w:pPr>
    </w:p>
    <w:p w:rsidR="007D476D" w:rsidRDefault="007D476D" w:rsidP="00585787">
      <w:pPr>
        <w:spacing w:line="360" w:lineRule="auto"/>
      </w:pPr>
      <w:r w:rsidRPr="007D476D">
        <w:rPr>
          <w:noProof/>
          <w:lang w:eastAsia="en-AU"/>
        </w:rPr>
        <w:drawing>
          <wp:inline distT="0" distB="0" distL="0" distR="0" wp14:anchorId="38CED682" wp14:editId="7207FEC2">
            <wp:extent cx="5760000" cy="4320001"/>
            <wp:effectExtent l="19050" t="19050" r="12700" b="23495"/>
            <wp:docPr id="10" name="Picture 10" descr="Graph comparing age distribution for Maribyrnong LGA, Melton LGA, Wyndham LGA, the North Western Melbourne Priority Employment Area and Victoria.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00" cy="4320001"/>
                    </a:xfrm>
                    <a:prstGeom prst="rect">
                      <a:avLst/>
                    </a:prstGeom>
                    <a:ln>
                      <a:solidFill>
                        <a:schemeClr val="accent1"/>
                      </a:solidFill>
                    </a:ln>
                  </pic:spPr>
                </pic:pic>
              </a:graphicData>
            </a:graphic>
          </wp:inline>
        </w:drawing>
      </w:r>
    </w:p>
    <w:p w:rsidR="00585787" w:rsidRPr="00447836" w:rsidRDefault="00585787" w:rsidP="00447836">
      <w:pPr>
        <w:rPr>
          <w:i/>
          <w:lang w:eastAsia="en-AU"/>
        </w:rPr>
      </w:pPr>
      <w:r w:rsidRPr="00447836">
        <w:rPr>
          <w:i/>
          <w:lang w:eastAsia="en-AU"/>
        </w:rPr>
        <w:t xml:space="preserve">Source: ABS Census of Population and Housing, 2011 </w:t>
      </w:r>
    </w:p>
    <w:p w:rsidR="00585787" w:rsidRDefault="00585787" w:rsidP="00447836">
      <w:pPr>
        <w:rPr>
          <w:lang w:eastAsia="en-AU"/>
        </w:rPr>
      </w:pPr>
    </w:p>
    <w:p w:rsidR="00585787" w:rsidRDefault="00585787" w:rsidP="00447836">
      <w:pPr>
        <w:rPr>
          <w:lang w:eastAsia="en-AU"/>
        </w:rPr>
      </w:pPr>
      <w:r>
        <w:rPr>
          <w:lang w:eastAsia="en-AU"/>
        </w:rPr>
        <w:t>The age distribution in the North Western Melbourne PEA shows that in some LGAs, in particular Melton, Maribyrnong</w:t>
      </w:r>
      <w:r w:rsidR="00250F89">
        <w:rPr>
          <w:lang w:eastAsia="en-AU"/>
        </w:rPr>
        <w:t xml:space="preserve"> </w:t>
      </w:r>
      <w:r>
        <w:rPr>
          <w:lang w:eastAsia="en-AU"/>
        </w:rPr>
        <w:t>and Wyndham, the adult population is considerably younger.</w:t>
      </w:r>
    </w:p>
    <w:p w:rsidR="00585787" w:rsidRDefault="00585787">
      <w:r>
        <w:br w:type="page"/>
      </w:r>
    </w:p>
    <w:p w:rsidR="005B5C2A" w:rsidRPr="005B5C2A" w:rsidRDefault="00585787" w:rsidP="005B5C2A">
      <w:pPr>
        <w:pStyle w:val="Heading1"/>
        <w:rPr>
          <w:lang w:eastAsia="en-AU"/>
        </w:rPr>
      </w:pPr>
      <w:r>
        <w:lastRenderedPageBreak/>
        <w:t>Slide 6</w:t>
      </w:r>
      <w:r w:rsidR="005B5C2A">
        <w:t xml:space="preserve"> </w:t>
      </w:r>
      <w:r w:rsidR="005B5C2A" w:rsidRPr="005B5C2A">
        <w:rPr>
          <w:lang w:eastAsia="en-AU"/>
        </w:rPr>
        <w:t xml:space="preserve">Migration </w:t>
      </w:r>
      <w:proofErr w:type="gramStart"/>
      <w:r w:rsidR="005B5C2A" w:rsidRPr="005B5C2A">
        <w:rPr>
          <w:lang w:eastAsia="en-AU"/>
        </w:rPr>
        <w:t>Over</w:t>
      </w:r>
      <w:proofErr w:type="gramEnd"/>
      <w:r w:rsidR="005B5C2A" w:rsidRPr="005B5C2A">
        <w:rPr>
          <w:lang w:eastAsia="en-AU"/>
        </w:rPr>
        <w:t xml:space="preserve"> Five Years </w:t>
      </w:r>
      <w:r w:rsidR="005B5C2A" w:rsidRPr="005B5C2A">
        <w:rPr>
          <w:sz w:val="28"/>
          <w:lang w:eastAsia="en-AU"/>
        </w:rPr>
        <w:t>(persons of working age in 2011)</w:t>
      </w:r>
    </w:p>
    <w:p w:rsidR="00585787" w:rsidRDefault="00585787" w:rsidP="00585787">
      <w:pPr>
        <w:spacing w:line="360" w:lineRule="auto"/>
      </w:pPr>
    </w:p>
    <w:p w:rsidR="007D476D" w:rsidRDefault="007D476D" w:rsidP="00585787">
      <w:pPr>
        <w:spacing w:line="360" w:lineRule="auto"/>
      </w:pPr>
      <w:r w:rsidRPr="007D476D">
        <w:rPr>
          <w:noProof/>
          <w:lang w:eastAsia="en-AU"/>
        </w:rPr>
        <w:drawing>
          <wp:inline distT="0" distB="0" distL="0" distR="0" wp14:anchorId="5D55CA84" wp14:editId="3F4707C4">
            <wp:extent cx="5760000" cy="4320000"/>
            <wp:effectExtent l="19050" t="19050" r="12700" b="23495"/>
            <wp:docPr id="9" name="Picture 9" descr="Migration over 5 years to 2011.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00" cy="4320000"/>
                    </a:xfrm>
                    <a:prstGeom prst="rect">
                      <a:avLst/>
                    </a:prstGeom>
                    <a:ln>
                      <a:solidFill>
                        <a:schemeClr val="accent1"/>
                      </a:solidFill>
                    </a:ln>
                  </pic:spPr>
                </pic:pic>
              </a:graphicData>
            </a:graphic>
          </wp:inline>
        </w:drawing>
      </w:r>
    </w:p>
    <w:p w:rsidR="00585787" w:rsidRPr="005B5C2A" w:rsidRDefault="00585787" w:rsidP="005B5C2A">
      <w:pPr>
        <w:rPr>
          <w:i/>
          <w:lang w:eastAsia="en-AU"/>
        </w:rPr>
      </w:pPr>
      <w:r w:rsidRPr="005B5C2A">
        <w:rPr>
          <w:i/>
          <w:lang w:eastAsia="en-AU"/>
        </w:rPr>
        <w:t xml:space="preserve">Source: ABS Census of Population and Housing, 2011 </w:t>
      </w:r>
    </w:p>
    <w:p w:rsidR="00585787" w:rsidRPr="005B5C2A" w:rsidRDefault="00585787" w:rsidP="005B5C2A">
      <w:pPr>
        <w:rPr>
          <w:lang w:eastAsia="en-AU"/>
        </w:rPr>
      </w:pPr>
    </w:p>
    <w:p w:rsidR="00585787" w:rsidRPr="005B5C2A" w:rsidRDefault="00585787" w:rsidP="005B5C2A">
      <w:pPr>
        <w:rPr>
          <w:lang w:eastAsia="en-AU"/>
        </w:rPr>
      </w:pPr>
      <w:r w:rsidRPr="005B5C2A">
        <w:rPr>
          <w:lang w:eastAsia="en-AU"/>
        </w:rPr>
        <w:t xml:space="preserve">132,000 people of working age in 2011 in the North Western Melbourne PEA had moved to the PEA over the previous five years (18%).* Over the same period, 53,100 people (of working age in 2011) had moved from the PEA to elsewhere in Australia. </w:t>
      </w:r>
    </w:p>
    <w:p w:rsidR="00585787" w:rsidRPr="005B5C2A" w:rsidRDefault="00585787" w:rsidP="005B5C2A">
      <w:pPr>
        <w:rPr>
          <w:lang w:eastAsia="en-AU"/>
        </w:rPr>
      </w:pPr>
    </w:p>
    <w:p w:rsidR="00585787" w:rsidRPr="005B5C2A" w:rsidRDefault="00585787" w:rsidP="005B5C2A">
      <w:pPr>
        <w:rPr>
          <w:lang w:eastAsia="en-AU"/>
        </w:rPr>
      </w:pPr>
      <w:r w:rsidRPr="005B5C2A">
        <w:rPr>
          <w:bCs/>
          <w:lang w:eastAsia="en-AU"/>
        </w:rPr>
        <w:t>By far the most common origin was overseas (53,100 persons of working age in 2011), with the two main destinations for those coming from overseas being Wyndham (11,900) and Brimbank (11,500).</w:t>
      </w:r>
    </w:p>
    <w:p w:rsidR="00585787" w:rsidRPr="005B5C2A" w:rsidRDefault="00585787" w:rsidP="005B5C2A">
      <w:pPr>
        <w:rPr>
          <w:lang w:eastAsia="en-AU"/>
        </w:rPr>
      </w:pPr>
      <w:r w:rsidRPr="005B5C2A">
        <w:rPr>
          <w:lang w:eastAsia="en-AU"/>
        </w:rPr>
        <w:t>*Note: These figures include only those who reported and adequately defined their location in 2006 during the 2011 Census.</w:t>
      </w:r>
    </w:p>
    <w:p w:rsidR="00585787" w:rsidRPr="005B5C2A" w:rsidRDefault="00585787" w:rsidP="005B5C2A">
      <w:pPr>
        <w:rPr>
          <w:lang w:eastAsia="en-AU"/>
        </w:rPr>
      </w:pPr>
    </w:p>
    <w:p w:rsidR="00585787" w:rsidRPr="005B5C2A" w:rsidRDefault="00585787" w:rsidP="005B5C2A">
      <w:pPr>
        <w:rPr>
          <w:lang w:eastAsia="en-AU"/>
        </w:rPr>
      </w:pPr>
      <w:r w:rsidRPr="005B5C2A">
        <w:rPr>
          <w:lang w:eastAsia="en-AU"/>
        </w:rPr>
        <w:t>The majority of people came from the following localities:</w:t>
      </w:r>
    </w:p>
    <w:tbl>
      <w:tblPr>
        <w:tblStyle w:val="TableGrid"/>
        <w:tblW w:w="0" w:type="auto"/>
        <w:tblLook w:val="04A0" w:firstRow="1" w:lastRow="0" w:firstColumn="1" w:lastColumn="0" w:noHBand="0" w:noVBand="1"/>
      </w:tblPr>
      <w:tblGrid>
        <w:gridCol w:w="4361"/>
        <w:gridCol w:w="2551"/>
        <w:gridCol w:w="53"/>
        <w:gridCol w:w="2605"/>
      </w:tblGrid>
      <w:tr w:rsidR="005B5C2A" w:rsidRPr="005B5C2A" w:rsidTr="005B5C2A">
        <w:tc>
          <w:tcPr>
            <w:tcW w:w="4361" w:type="dxa"/>
            <w:shd w:val="clear" w:color="auto" w:fill="17365D" w:themeFill="text2" w:themeFillShade="BF"/>
            <w:vAlign w:val="center"/>
          </w:tcPr>
          <w:p w:rsidR="005B5C2A" w:rsidRPr="005B5C2A" w:rsidRDefault="005B5C2A" w:rsidP="005B5C2A">
            <w:pPr>
              <w:pStyle w:val="Heading1"/>
              <w:spacing w:before="0" w:after="0"/>
              <w:jc w:val="left"/>
              <w:rPr>
                <w:color w:val="FFFFFF" w:themeColor="background1"/>
                <w:sz w:val="22"/>
                <w:lang w:eastAsia="en-AU"/>
              </w:rPr>
            </w:pPr>
            <w:r w:rsidRPr="005B5C2A">
              <w:rPr>
                <w:color w:val="FFFFFF" w:themeColor="background1"/>
                <w:sz w:val="22"/>
                <w:lang w:eastAsia="en-AU"/>
              </w:rPr>
              <w:t>Region</w:t>
            </w:r>
          </w:p>
        </w:tc>
        <w:tc>
          <w:tcPr>
            <w:tcW w:w="2604" w:type="dxa"/>
            <w:gridSpan w:val="2"/>
            <w:shd w:val="clear" w:color="auto" w:fill="17365D" w:themeFill="text2" w:themeFillShade="BF"/>
            <w:vAlign w:val="center"/>
          </w:tcPr>
          <w:p w:rsidR="005B5C2A" w:rsidRPr="005B5C2A" w:rsidRDefault="005B5C2A" w:rsidP="005B5C2A">
            <w:pPr>
              <w:pStyle w:val="Heading1"/>
              <w:spacing w:before="0" w:after="0"/>
              <w:rPr>
                <w:color w:val="FFFFFF" w:themeColor="background1"/>
                <w:sz w:val="22"/>
                <w:lang w:eastAsia="en-AU"/>
              </w:rPr>
            </w:pPr>
            <w:r w:rsidRPr="005B5C2A">
              <w:rPr>
                <w:color w:val="FFFFFF" w:themeColor="background1"/>
                <w:sz w:val="22"/>
                <w:lang w:eastAsia="en-AU"/>
              </w:rPr>
              <w:t>WAP</w:t>
            </w:r>
          </w:p>
        </w:tc>
        <w:tc>
          <w:tcPr>
            <w:tcW w:w="2605" w:type="dxa"/>
            <w:shd w:val="clear" w:color="auto" w:fill="17365D" w:themeFill="text2" w:themeFillShade="BF"/>
            <w:vAlign w:val="center"/>
          </w:tcPr>
          <w:p w:rsidR="005B5C2A" w:rsidRPr="005B5C2A" w:rsidRDefault="005B5C2A" w:rsidP="005B5C2A">
            <w:pPr>
              <w:pStyle w:val="Heading1"/>
              <w:spacing w:before="0" w:after="0"/>
              <w:rPr>
                <w:color w:val="FFFFFF" w:themeColor="background1"/>
                <w:sz w:val="22"/>
                <w:lang w:eastAsia="en-AU"/>
              </w:rPr>
            </w:pPr>
            <w:r w:rsidRPr="005B5C2A">
              <w:rPr>
                <w:color w:val="FFFFFF" w:themeColor="background1"/>
                <w:sz w:val="22"/>
                <w:lang w:eastAsia="en-AU"/>
              </w:rPr>
              <w:t>% of WAP who moved to the PEA</w:t>
            </w:r>
          </w:p>
        </w:tc>
      </w:tr>
      <w:tr w:rsidR="005B5C2A" w:rsidRPr="005B5C2A" w:rsidTr="005B5C2A">
        <w:tc>
          <w:tcPr>
            <w:tcW w:w="4361" w:type="dxa"/>
          </w:tcPr>
          <w:p w:rsidR="005B5C2A" w:rsidRPr="005B5C2A" w:rsidRDefault="005B5C2A" w:rsidP="005B5C2A">
            <w:pPr>
              <w:rPr>
                <w:lang w:eastAsia="en-AU"/>
              </w:rPr>
            </w:pPr>
            <w:r w:rsidRPr="005B5C2A">
              <w:rPr>
                <w:lang w:eastAsia="en-AU"/>
              </w:rPr>
              <w:t>Overseas</w:t>
            </w:r>
          </w:p>
        </w:tc>
        <w:tc>
          <w:tcPr>
            <w:tcW w:w="2604" w:type="dxa"/>
            <w:gridSpan w:val="2"/>
            <w:vAlign w:val="center"/>
          </w:tcPr>
          <w:p w:rsidR="005B5C2A" w:rsidRPr="005B5C2A" w:rsidRDefault="005B5C2A" w:rsidP="005B5C2A">
            <w:pPr>
              <w:jc w:val="center"/>
              <w:rPr>
                <w:lang w:eastAsia="en-AU"/>
              </w:rPr>
            </w:pPr>
            <w:r w:rsidRPr="005B5C2A">
              <w:rPr>
                <w:lang w:eastAsia="en-AU"/>
              </w:rPr>
              <w:t>53,100</w:t>
            </w:r>
          </w:p>
        </w:tc>
        <w:tc>
          <w:tcPr>
            <w:tcW w:w="2605" w:type="dxa"/>
            <w:vAlign w:val="center"/>
          </w:tcPr>
          <w:p w:rsidR="005B5C2A" w:rsidRPr="005B5C2A" w:rsidRDefault="005B5C2A" w:rsidP="005B5C2A">
            <w:pPr>
              <w:jc w:val="center"/>
              <w:rPr>
                <w:lang w:eastAsia="en-AU"/>
              </w:rPr>
            </w:pPr>
            <w:r w:rsidRPr="005B5C2A">
              <w:rPr>
                <w:lang w:eastAsia="en-AU"/>
              </w:rPr>
              <w:t>40%</w:t>
            </w:r>
          </w:p>
        </w:tc>
      </w:tr>
      <w:tr w:rsidR="005B5C2A" w:rsidRPr="005B5C2A" w:rsidTr="005B5C2A">
        <w:tc>
          <w:tcPr>
            <w:tcW w:w="4361" w:type="dxa"/>
          </w:tcPr>
          <w:p w:rsidR="005B5C2A" w:rsidRPr="005B5C2A" w:rsidRDefault="005B5C2A" w:rsidP="005B5C2A">
            <w:pPr>
              <w:rPr>
                <w:lang w:eastAsia="en-AU"/>
              </w:rPr>
            </w:pPr>
            <w:r w:rsidRPr="005B5C2A">
              <w:rPr>
                <w:lang w:eastAsia="en-AU"/>
              </w:rPr>
              <w:t>Metropolitan Melbourne (excluding PEA)</w:t>
            </w:r>
          </w:p>
        </w:tc>
        <w:tc>
          <w:tcPr>
            <w:tcW w:w="2604" w:type="dxa"/>
            <w:gridSpan w:val="2"/>
            <w:vAlign w:val="center"/>
          </w:tcPr>
          <w:p w:rsidR="005B5C2A" w:rsidRPr="005B5C2A" w:rsidRDefault="005B5C2A" w:rsidP="005B5C2A">
            <w:pPr>
              <w:jc w:val="center"/>
              <w:rPr>
                <w:lang w:eastAsia="en-AU"/>
              </w:rPr>
            </w:pPr>
            <w:r w:rsidRPr="005B5C2A">
              <w:rPr>
                <w:lang w:eastAsia="en-AU"/>
              </w:rPr>
              <w:t>52,200</w:t>
            </w:r>
          </w:p>
        </w:tc>
        <w:tc>
          <w:tcPr>
            <w:tcW w:w="2605" w:type="dxa"/>
            <w:vAlign w:val="center"/>
          </w:tcPr>
          <w:p w:rsidR="005B5C2A" w:rsidRPr="005B5C2A" w:rsidRDefault="005B5C2A" w:rsidP="005B5C2A">
            <w:pPr>
              <w:jc w:val="center"/>
              <w:rPr>
                <w:lang w:eastAsia="en-AU"/>
              </w:rPr>
            </w:pPr>
            <w:r w:rsidRPr="005B5C2A">
              <w:rPr>
                <w:lang w:eastAsia="en-AU"/>
              </w:rPr>
              <w:t>40%</w:t>
            </w:r>
          </w:p>
        </w:tc>
      </w:tr>
      <w:tr w:rsidR="005B5C2A" w:rsidRPr="005B5C2A" w:rsidTr="005B5C2A">
        <w:tc>
          <w:tcPr>
            <w:tcW w:w="4361" w:type="dxa"/>
          </w:tcPr>
          <w:p w:rsidR="005B5C2A" w:rsidRPr="005B5C2A" w:rsidRDefault="005B5C2A" w:rsidP="005B5C2A">
            <w:pPr>
              <w:rPr>
                <w:lang w:eastAsia="en-AU"/>
              </w:rPr>
            </w:pPr>
            <w:r w:rsidRPr="005B5C2A">
              <w:rPr>
                <w:lang w:eastAsia="en-AU"/>
              </w:rPr>
              <w:t>The rest of Victoria</w:t>
            </w:r>
          </w:p>
        </w:tc>
        <w:tc>
          <w:tcPr>
            <w:tcW w:w="2604" w:type="dxa"/>
            <w:gridSpan w:val="2"/>
            <w:vAlign w:val="center"/>
          </w:tcPr>
          <w:p w:rsidR="005B5C2A" w:rsidRPr="005B5C2A" w:rsidRDefault="005B5C2A" w:rsidP="005B5C2A">
            <w:pPr>
              <w:jc w:val="center"/>
              <w:rPr>
                <w:lang w:eastAsia="en-AU"/>
              </w:rPr>
            </w:pPr>
            <w:r w:rsidRPr="005B5C2A">
              <w:rPr>
                <w:lang w:eastAsia="en-AU"/>
              </w:rPr>
              <w:t>11,300</w:t>
            </w:r>
          </w:p>
        </w:tc>
        <w:tc>
          <w:tcPr>
            <w:tcW w:w="2605" w:type="dxa"/>
            <w:vAlign w:val="center"/>
          </w:tcPr>
          <w:p w:rsidR="005B5C2A" w:rsidRPr="005B5C2A" w:rsidRDefault="005B5C2A" w:rsidP="005B5C2A">
            <w:pPr>
              <w:jc w:val="center"/>
              <w:rPr>
                <w:lang w:eastAsia="en-AU"/>
              </w:rPr>
            </w:pPr>
            <w:r w:rsidRPr="005B5C2A">
              <w:rPr>
                <w:lang w:eastAsia="en-AU"/>
              </w:rPr>
              <w:t>9%</w:t>
            </w:r>
          </w:p>
        </w:tc>
      </w:tr>
      <w:tr w:rsidR="005B5C2A" w:rsidRPr="005B5C2A" w:rsidTr="005B5C2A">
        <w:tc>
          <w:tcPr>
            <w:tcW w:w="4361" w:type="dxa"/>
          </w:tcPr>
          <w:p w:rsidR="005B5C2A" w:rsidRPr="005B5C2A" w:rsidRDefault="005B5C2A" w:rsidP="005B5C2A">
            <w:pPr>
              <w:rPr>
                <w:lang w:eastAsia="en-AU"/>
              </w:rPr>
            </w:pPr>
            <w:r w:rsidRPr="005B5C2A">
              <w:rPr>
                <w:lang w:eastAsia="en-AU"/>
              </w:rPr>
              <w:t>New South Wales</w:t>
            </w:r>
          </w:p>
        </w:tc>
        <w:tc>
          <w:tcPr>
            <w:tcW w:w="2604" w:type="dxa"/>
            <w:gridSpan w:val="2"/>
            <w:vAlign w:val="center"/>
          </w:tcPr>
          <w:p w:rsidR="005B5C2A" w:rsidRPr="005B5C2A" w:rsidRDefault="005B5C2A" w:rsidP="005B5C2A">
            <w:pPr>
              <w:jc w:val="center"/>
              <w:rPr>
                <w:lang w:eastAsia="en-AU"/>
              </w:rPr>
            </w:pPr>
            <w:r w:rsidRPr="005B5C2A">
              <w:rPr>
                <w:lang w:eastAsia="en-AU"/>
              </w:rPr>
              <w:t>5,700</w:t>
            </w:r>
          </w:p>
        </w:tc>
        <w:tc>
          <w:tcPr>
            <w:tcW w:w="2605" w:type="dxa"/>
            <w:vAlign w:val="center"/>
          </w:tcPr>
          <w:p w:rsidR="005B5C2A" w:rsidRPr="005B5C2A" w:rsidRDefault="005B5C2A" w:rsidP="005B5C2A">
            <w:pPr>
              <w:jc w:val="center"/>
              <w:rPr>
                <w:lang w:eastAsia="en-AU"/>
              </w:rPr>
            </w:pPr>
            <w:r w:rsidRPr="005B5C2A">
              <w:rPr>
                <w:lang w:eastAsia="en-AU"/>
              </w:rPr>
              <w:t>4%</w:t>
            </w:r>
          </w:p>
        </w:tc>
      </w:tr>
      <w:tr w:rsidR="005B5C2A" w:rsidRPr="005B5C2A" w:rsidTr="005B5C2A">
        <w:tc>
          <w:tcPr>
            <w:tcW w:w="4361" w:type="dxa"/>
            <w:shd w:val="clear" w:color="auto" w:fill="17365D" w:themeFill="text2" w:themeFillShade="BF"/>
            <w:vAlign w:val="center"/>
          </w:tcPr>
          <w:p w:rsidR="005B5C2A" w:rsidRPr="005B5C2A" w:rsidRDefault="005B5C2A" w:rsidP="005B5C2A">
            <w:pPr>
              <w:pStyle w:val="Heading1"/>
              <w:spacing w:before="0" w:after="0"/>
              <w:jc w:val="left"/>
              <w:rPr>
                <w:color w:val="FFFFFF" w:themeColor="background1"/>
                <w:sz w:val="22"/>
                <w:lang w:eastAsia="en-AU"/>
              </w:rPr>
            </w:pPr>
            <w:r w:rsidRPr="005B5C2A">
              <w:rPr>
                <w:color w:val="FFFFFF" w:themeColor="background1"/>
                <w:sz w:val="22"/>
                <w:lang w:eastAsia="en-AU"/>
              </w:rPr>
              <w:lastRenderedPageBreak/>
              <w:t>Region</w:t>
            </w:r>
          </w:p>
        </w:tc>
        <w:tc>
          <w:tcPr>
            <w:tcW w:w="2551" w:type="dxa"/>
            <w:shd w:val="clear" w:color="auto" w:fill="17365D" w:themeFill="text2" w:themeFillShade="BF"/>
            <w:vAlign w:val="center"/>
          </w:tcPr>
          <w:p w:rsidR="005B5C2A" w:rsidRPr="005B5C2A" w:rsidRDefault="005B5C2A" w:rsidP="005B5C2A">
            <w:pPr>
              <w:pStyle w:val="Heading1"/>
              <w:spacing w:before="0" w:after="0"/>
              <w:rPr>
                <w:color w:val="FFFFFF" w:themeColor="background1"/>
                <w:sz w:val="22"/>
                <w:lang w:eastAsia="en-AU"/>
              </w:rPr>
            </w:pPr>
            <w:r w:rsidRPr="005B5C2A">
              <w:rPr>
                <w:color w:val="FFFFFF" w:themeColor="background1"/>
                <w:sz w:val="22"/>
                <w:lang w:eastAsia="en-AU"/>
              </w:rPr>
              <w:t>WAP</w:t>
            </w:r>
          </w:p>
        </w:tc>
        <w:tc>
          <w:tcPr>
            <w:tcW w:w="2658" w:type="dxa"/>
            <w:gridSpan w:val="2"/>
            <w:shd w:val="clear" w:color="auto" w:fill="17365D" w:themeFill="text2" w:themeFillShade="BF"/>
            <w:vAlign w:val="center"/>
          </w:tcPr>
          <w:p w:rsidR="005B5C2A" w:rsidRPr="005B5C2A" w:rsidRDefault="005B5C2A" w:rsidP="005B5C2A">
            <w:pPr>
              <w:pStyle w:val="Heading1"/>
              <w:spacing w:before="0" w:after="0"/>
              <w:rPr>
                <w:color w:val="FFFFFF" w:themeColor="background1"/>
                <w:sz w:val="22"/>
                <w:lang w:eastAsia="en-AU"/>
              </w:rPr>
            </w:pPr>
            <w:r w:rsidRPr="005B5C2A">
              <w:rPr>
                <w:color w:val="FFFFFF" w:themeColor="background1"/>
                <w:sz w:val="22"/>
                <w:lang w:eastAsia="en-AU"/>
              </w:rPr>
              <w:t>% of WAP who moved away from the PEA</w:t>
            </w:r>
          </w:p>
        </w:tc>
      </w:tr>
      <w:tr w:rsidR="005B5C2A" w:rsidRPr="005B5C2A" w:rsidTr="005B5C2A">
        <w:tc>
          <w:tcPr>
            <w:tcW w:w="4361" w:type="dxa"/>
            <w:vAlign w:val="center"/>
          </w:tcPr>
          <w:p w:rsidR="005B5C2A" w:rsidRPr="005B5C2A" w:rsidRDefault="005B5C2A" w:rsidP="005B5C2A">
            <w:pPr>
              <w:jc w:val="left"/>
              <w:rPr>
                <w:lang w:eastAsia="en-AU"/>
              </w:rPr>
            </w:pPr>
            <w:r w:rsidRPr="005B5C2A">
              <w:rPr>
                <w:lang w:eastAsia="en-AU"/>
              </w:rPr>
              <w:t>Metropolitan Melbourne (excluding PEA)</w:t>
            </w:r>
          </w:p>
        </w:tc>
        <w:tc>
          <w:tcPr>
            <w:tcW w:w="2551" w:type="dxa"/>
            <w:vAlign w:val="center"/>
          </w:tcPr>
          <w:p w:rsidR="005B5C2A" w:rsidRPr="005B5C2A" w:rsidRDefault="005B5C2A" w:rsidP="005B5C2A">
            <w:pPr>
              <w:jc w:val="center"/>
              <w:rPr>
                <w:lang w:eastAsia="en-AU"/>
              </w:rPr>
            </w:pPr>
            <w:r w:rsidRPr="005B5C2A">
              <w:rPr>
                <w:lang w:eastAsia="en-AU"/>
              </w:rPr>
              <w:t>52,200</w:t>
            </w:r>
          </w:p>
        </w:tc>
        <w:tc>
          <w:tcPr>
            <w:tcW w:w="2658" w:type="dxa"/>
            <w:gridSpan w:val="2"/>
            <w:vAlign w:val="center"/>
          </w:tcPr>
          <w:p w:rsidR="005B5C2A" w:rsidRPr="005B5C2A" w:rsidRDefault="005B5C2A" w:rsidP="005B5C2A">
            <w:pPr>
              <w:jc w:val="center"/>
              <w:rPr>
                <w:lang w:eastAsia="en-AU"/>
              </w:rPr>
            </w:pPr>
            <w:r w:rsidRPr="005B5C2A">
              <w:rPr>
                <w:lang w:eastAsia="en-AU"/>
              </w:rPr>
              <w:t>48%</w:t>
            </w:r>
          </w:p>
        </w:tc>
      </w:tr>
      <w:tr w:rsidR="005B5C2A" w:rsidRPr="005B5C2A" w:rsidTr="005B5C2A">
        <w:tc>
          <w:tcPr>
            <w:tcW w:w="4361" w:type="dxa"/>
            <w:vAlign w:val="center"/>
          </w:tcPr>
          <w:p w:rsidR="005B5C2A" w:rsidRPr="005B5C2A" w:rsidRDefault="005B5C2A" w:rsidP="005B5C2A">
            <w:pPr>
              <w:jc w:val="left"/>
              <w:rPr>
                <w:lang w:eastAsia="en-AU"/>
              </w:rPr>
            </w:pPr>
            <w:r w:rsidRPr="005B5C2A">
              <w:rPr>
                <w:lang w:eastAsia="en-AU"/>
              </w:rPr>
              <w:t>The rest of Victoria</w:t>
            </w:r>
          </w:p>
        </w:tc>
        <w:tc>
          <w:tcPr>
            <w:tcW w:w="2551" w:type="dxa"/>
            <w:vAlign w:val="center"/>
          </w:tcPr>
          <w:p w:rsidR="005B5C2A" w:rsidRPr="005B5C2A" w:rsidRDefault="005B5C2A" w:rsidP="005B5C2A">
            <w:pPr>
              <w:jc w:val="center"/>
              <w:rPr>
                <w:lang w:eastAsia="en-AU"/>
              </w:rPr>
            </w:pPr>
            <w:r w:rsidRPr="005B5C2A">
              <w:rPr>
                <w:lang w:eastAsia="en-AU"/>
              </w:rPr>
              <w:t>11,300</w:t>
            </w:r>
          </w:p>
        </w:tc>
        <w:tc>
          <w:tcPr>
            <w:tcW w:w="2658" w:type="dxa"/>
            <w:gridSpan w:val="2"/>
            <w:vAlign w:val="center"/>
          </w:tcPr>
          <w:p w:rsidR="005B5C2A" w:rsidRPr="005B5C2A" w:rsidRDefault="005B5C2A" w:rsidP="005B5C2A">
            <w:pPr>
              <w:jc w:val="center"/>
              <w:rPr>
                <w:lang w:eastAsia="en-AU"/>
              </w:rPr>
            </w:pPr>
            <w:r w:rsidRPr="005B5C2A">
              <w:rPr>
                <w:lang w:eastAsia="en-AU"/>
              </w:rPr>
              <w:t>29%</w:t>
            </w:r>
          </w:p>
        </w:tc>
      </w:tr>
      <w:tr w:rsidR="005B5C2A" w:rsidRPr="005B5C2A" w:rsidTr="005B5C2A">
        <w:tc>
          <w:tcPr>
            <w:tcW w:w="4361" w:type="dxa"/>
            <w:vAlign w:val="center"/>
          </w:tcPr>
          <w:p w:rsidR="005B5C2A" w:rsidRPr="005B5C2A" w:rsidRDefault="005B5C2A" w:rsidP="005B5C2A">
            <w:pPr>
              <w:jc w:val="left"/>
              <w:rPr>
                <w:lang w:eastAsia="en-AU"/>
              </w:rPr>
            </w:pPr>
            <w:r w:rsidRPr="005B5C2A">
              <w:rPr>
                <w:lang w:eastAsia="en-AU"/>
              </w:rPr>
              <w:t>Queensland</w:t>
            </w:r>
          </w:p>
        </w:tc>
        <w:tc>
          <w:tcPr>
            <w:tcW w:w="2551" w:type="dxa"/>
            <w:vAlign w:val="center"/>
          </w:tcPr>
          <w:p w:rsidR="005B5C2A" w:rsidRPr="005B5C2A" w:rsidRDefault="005B5C2A" w:rsidP="005B5C2A">
            <w:pPr>
              <w:jc w:val="center"/>
              <w:rPr>
                <w:lang w:eastAsia="en-AU"/>
              </w:rPr>
            </w:pPr>
            <w:r w:rsidRPr="005B5C2A">
              <w:rPr>
                <w:lang w:eastAsia="en-AU"/>
              </w:rPr>
              <w:t>4,100</w:t>
            </w:r>
          </w:p>
        </w:tc>
        <w:tc>
          <w:tcPr>
            <w:tcW w:w="2658" w:type="dxa"/>
            <w:gridSpan w:val="2"/>
            <w:vAlign w:val="center"/>
          </w:tcPr>
          <w:p w:rsidR="005B5C2A" w:rsidRPr="005B5C2A" w:rsidRDefault="005B5C2A" w:rsidP="005B5C2A">
            <w:pPr>
              <w:jc w:val="center"/>
              <w:rPr>
                <w:lang w:eastAsia="en-AU"/>
              </w:rPr>
            </w:pPr>
            <w:r w:rsidRPr="005B5C2A">
              <w:rPr>
                <w:lang w:eastAsia="en-AU"/>
              </w:rPr>
              <w:t>8%</w:t>
            </w:r>
          </w:p>
        </w:tc>
      </w:tr>
      <w:tr w:rsidR="005B5C2A" w:rsidRPr="005B5C2A" w:rsidTr="005B5C2A">
        <w:tc>
          <w:tcPr>
            <w:tcW w:w="4361" w:type="dxa"/>
            <w:vAlign w:val="center"/>
          </w:tcPr>
          <w:p w:rsidR="005B5C2A" w:rsidRPr="005B5C2A" w:rsidRDefault="005B5C2A" w:rsidP="005B5C2A">
            <w:pPr>
              <w:jc w:val="left"/>
              <w:rPr>
                <w:lang w:eastAsia="en-AU"/>
              </w:rPr>
            </w:pPr>
            <w:r w:rsidRPr="005B5C2A">
              <w:rPr>
                <w:lang w:eastAsia="en-AU"/>
              </w:rPr>
              <w:t>New South Wales</w:t>
            </w:r>
          </w:p>
        </w:tc>
        <w:tc>
          <w:tcPr>
            <w:tcW w:w="2551" w:type="dxa"/>
            <w:vAlign w:val="center"/>
          </w:tcPr>
          <w:p w:rsidR="005B5C2A" w:rsidRPr="005B5C2A" w:rsidRDefault="005B5C2A" w:rsidP="005B5C2A">
            <w:pPr>
              <w:jc w:val="center"/>
              <w:rPr>
                <w:lang w:eastAsia="en-AU"/>
              </w:rPr>
            </w:pPr>
            <w:r w:rsidRPr="005B5C2A">
              <w:rPr>
                <w:lang w:eastAsia="en-AU"/>
              </w:rPr>
              <w:t>3,100</w:t>
            </w:r>
          </w:p>
        </w:tc>
        <w:tc>
          <w:tcPr>
            <w:tcW w:w="2658" w:type="dxa"/>
            <w:gridSpan w:val="2"/>
            <w:vAlign w:val="center"/>
          </w:tcPr>
          <w:p w:rsidR="005B5C2A" w:rsidRPr="005B5C2A" w:rsidRDefault="005B5C2A" w:rsidP="005B5C2A">
            <w:pPr>
              <w:jc w:val="center"/>
              <w:rPr>
                <w:lang w:eastAsia="en-AU"/>
              </w:rPr>
            </w:pPr>
            <w:r w:rsidRPr="005B5C2A">
              <w:rPr>
                <w:lang w:eastAsia="en-AU"/>
              </w:rPr>
              <w:t>6%</w:t>
            </w:r>
          </w:p>
        </w:tc>
      </w:tr>
    </w:tbl>
    <w:p w:rsidR="00585787" w:rsidRDefault="00585787">
      <w:r>
        <w:br w:type="page"/>
      </w:r>
    </w:p>
    <w:p w:rsidR="003F3A19" w:rsidRPr="003F3A19" w:rsidRDefault="00585787" w:rsidP="003F3A19">
      <w:pPr>
        <w:pStyle w:val="Heading1"/>
        <w:rPr>
          <w:lang w:eastAsia="en-AU"/>
        </w:rPr>
      </w:pPr>
      <w:r>
        <w:lastRenderedPageBreak/>
        <w:t>Slide 7</w:t>
      </w:r>
      <w:r w:rsidR="003F3A19">
        <w:t xml:space="preserve"> </w:t>
      </w:r>
      <w:r w:rsidR="003F3A19" w:rsidRPr="003F3A19">
        <w:rPr>
          <w:lang w:eastAsia="en-AU"/>
        </w:rPr>
        <w:t>Unemployment Rates</w:t>
      </w:r>
    </w:p>
    <w:p w:rsidR="00585787" w:rsidRDefault="00585787" w:rsidP="00585787">
      <w:pPr>
        <w:spacing w:line="360" w:lineRule="auto"/>
      </w:pPr>
    </w:p>
    <w:p w:rsidR="007D476D" w:rsidRDefault="007D476D" w:rsidP="00585787">
      <w:pPr>
        <w:spacing w:line="360" w:lineRule="auto"/>
      </w:pPr>
      <w:r w:rsidRPr="007D476D">
        <w:rPr>
          <w:noProof/>
          <w:lang w:eastAsia="en-AU"/>
        </w:rPr>
        <w:drawing>
          <wp:inline distT="0" distB="0" distL="0" distR="0" wp14:anchorId="7B650C81" wp14:editId="6E9DB782">
            <wp:extent cx="5760000" cy="4320000"/>
            <wp:effectExtent l="19050" t="19050" r="12700" b="23495"/>
            <wp:docPr id="8" name="Picture 8" descr="Graph comparing the unemployment rates for North Western Melbourne Priority Employment Area, Hume LGA, Victoria and Australia.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00" cy="4320000"/>
                    </a:xfrm>
                    <a:prstGeom prst="rect">
                      <a:avLst/>
                    </a:prstGeom>
                    <a:ln>
                      <a:solidFill>
                        <a:schemeClr val="accent1"/>
                      </a:solidFill>
                    </a:ln>
                  </pic:spPr>
                </pic:pic>
              </a:graphicData>
            </a:graphic>
          </wp:inline>
        </w:drawing>
      </w:r>
    </w:p>
    <w:p w:rsidR="00585787" w:rsidRPr="003F3A19" w:rsidRDefault="00585787" w:rsidP="003F3A19">
      <w:pPr>
        <w:rPr>
          <w:i/>
          <w:lang w:eastAsia="en-AU"/>
        </w:rPr>
      </w:pPr>
      <w:r w:rsidRPr="003F3A19">
        <w:rPr>
          <w:i/>
          <w:lang w:eastAsia="en-AU"/>
        </w:rPr>
        <w:t xml:space="preserve">Source: DEEWR Small Area Labour Markets, June 2013 (smoothed) </w:t>
      </w:r>
    </w:p>
    <w:p w:rsidR="00585787" w:rsidRDefault="00585787" w:rsidP="003F3A19">
      <w:pPr>
        <w:rPr>
          <w:lang w:eastAsia="en-AU"/>
        </w:rPr>
      </w:pPr>
    </w:p>
    <w:p w:rsidR="00585787" w:rsidRDefault="00585787" w:rsidP="003F3A19">
      <w:pPr>
        <w:rPr>
          <w:lang w:eastAsia="en-AU"/>
        </w:rPr>
      </w:pPr>
      <w:r>
        <w:rPr>
          <w:lang w:eastAsia="en-AU"/>
        </w:rPr>
        <w:t xml:space="preserve">The PEA unemployment rate has consistently remained above the state and national unemployment rate. </w:t>
      </w:r>
    </w:p>
    <w:p w:rsidR="00585787" w:rsidRDefault="00585787" w:rsidP="003F3A19">
      <w:pPr>
        <w:rPr>
          <w:lang w:eastAsia="en-AU"/>
        </w:rPr>
      </w:pPr>
    </w:p>
    <w:p w:rsidR="00585787" w:rsidRDefault="00585787" w:rsidP="003F3A19">
      <w:pPr>
        <w:rPr>
          <w:lang w:eastAsia="en-AU"/>
        </w:rPr>
      </w:pPr>
      <w:r>
        <w:rPr>
          <w:lang w:eastAsia="en-AU"/>
        </w:rPr>
        <w:t>The North Western Melbourne PEA unemployment rate stood at 7.9% in June 2013 compared with 5.7 per cent for Victoria and 5.8 per cent for Australia (seasonally adjusted, August).</w:t>
      </w:r>
    </w:p>
    <w:p w:rsidR="00585787" w:rsidRDefault="00585787">
      <w:r>
        <w:br w:type="page"/>
      </w:r>
    </w:p>
    <w:p w:rsidR="003F3A19" w:rsidRPr="003F3A19" w:rsidRDefault="00585787" w:rsidP="003F3A19">
      <w:pPr>
        <w:pStyle w:val="Heading1"/>
        <w:rPr>
          <w:lang w:eastAsia="en-AU"/>
        </w:rPr>
      </w:pPr>
      <w:r>
        <w:lastRenderedPageBreak/>
        <w:t>Slide 8</w:t>
      </w:r>
      <w:r w:rsidR="003F3A19">
        <w:t xml:space="preserve"> </w:t>
      </w:r>
      <w:r w:rsidR="003F3A19" w:rsidRPr="003F3A19">
        <w:rPr>
          <w:lang w:eastAsia="en-AU"/>
        </w:rPr>
        <w:t>Unemployment rate increasing most in areas with high population growth</w:t>
      </w:r>
    </w:p>
    <w:tbl>
      <w:tblPr>
        <w:tblpPr w:leftFromText="180" w:rightFromText="180" w:vertAnchor="text" w:horzAnchor="margin" w:tblpXSpec="center" w:tblpY="172"/>
        <w:tblW w:w="9087" w:type="dxa"/>
        <w:tblCellMar>
          <w:left w:w="0" w:type="dxa"/>
          <w:right w:w="0" w:type="dxa"/>
        </w:tblCellMar>
        <w:tblLook w:val="0600" w:firstRow="0" w:lastRow="0" w:firstColumn="0" w:lastColumn="0" w:noHBand="1" w:noVBand="1"/>
      </w:tblPr>
      <w:tblGrid>
        <w:gridCol w:w="3528"/>
        <w:gridCol w:w="1716"/>
        <w:gridCol w:w="1717"/>
        <w:gridCol w:w="2126"/>
      </w:tblGrid>
      <w:tr w:rsidR="003F3A19" w:rsidRPr="003F3A19" w:rsidTr="00804AD0">
        <w:trPr>
          <w:trHeight w:val="788"/>
        </w:trPr>
        <w:tc>
          <w:tcPr>
            <w:tcW w:w="3528" w:type="dxa"/>
            <w:vMerge w:val="restart"/>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3F3A19" w:rsidRPr="00804AD0" w:rsidRDefault="003F3A19" w:rsidP="00804AD0">
            <w:pPr>
              <w:pStyle w:val="Heading1"/>
              <w:jc w:val="left"/>
              <w:rPr>
                <w:sz w:val="28"/>
              </w:rPr>
            </w:pPr>
            <w:r w:rsidRPr="00804AD0">
              <w:rPr>
                <w:sz w:val="28"/>
              </w:rPr>
              <w:t>Region</w:t>
            </w:r>
          </w:p>
        </w:tc>
        <w:tc>
          <w:tcPr>
            <w:tcW w:w="3433" w:type="dxa"/>
            <w:gridSpan w:val="2"/>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3F3A19" w:rsidRPr="00804AD0" w:rsidRDefault="003F3A19" w:rsidP="00804AD0">
            <w:pPr>
              <w:pStyle w:val="Heading1"/>
              <w:rPr>
                <w:sz w:val="28"/>
              </w:rPr>
            </w:pPr>
            <w:r w:rsidRPr="00804AD0">
              <w:rPr>
                <w:sz w:val="28"/>
              </w:rPr>
              <w:t>Unemployment Rate</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3F3A19" w:rsidRPr="00804AD0" w:rsidRDefault="003F3A19" w:rsidP="00804AD0">
            <w:pPr>
              <w:pStyle w:val="Heading1"/>
              <w:rPr>
                <w:sz w:val="28"/>
              </w:rPr>
            </w:pPr>
            <w:r w:rsidRPr="00804AD0">
              <w:rPr>
                <w:sz w:val="28"/>
              </w:rPr>
              <w:t>Annual Change</w:t>
            </w:r>
          </w:p>
        </w:tc>
      </w:tr>
      <w:tr w:rsidR="003F3A19" w:rsidRPr="003F3A19" w:rsidTr="003F3A19">
        <w:trPr>
          <w:trHeight w:val="802"/>
        </w:trPr>
        <w:tc>
          <w:tcPr>
            <w:tcW w:w="3528" w:type="dxa"/>
            <w:vMerge/>
            <w:tcBorders>
              <w:top w:val="single" w:sz="4" w:space="0" w:color="000000"/>
              <w:left w:val="single" w:sz="4" w:space="0" w:color="000000"/>
              <w:bottom w:val="single" w:sz="4" w:space="0" w:color="000000"/>
              <w:right w:val="single" w:sz="4" w:space="0" w:color="000000"/>
            </w:tcBorders>
            <w:vAlign w:val="center"/>
            <w:hideMark/>
          </w:tcPr>
          <w:p w:rsidR="003F3A19" w:rsidRPr="003F3A19" w:rsidRDefault="003F3A19" w:rsidP="00804AD0">
            <w:pPr>
              <w:pStyle w:val="Heading1"/>
            </w:pPr>
          </w:p>
        </w:tc>
        <w:tc>
          <w:tcPr>
            <w:tcW w:w="1716"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3F3A19" w:rsidRPr="00804AD0" w:rsidRDefault="003F3A19" w:rsidP="00804AD0">
            <w:pPr>
              <w:pStyle w:val="Heading1"/>
              <w:rPr>
                <w:sz w:val="28"/>
              </w:rPr>
            </w:pPr>
            <w:r w:rsidRPr="00804AD0">
              <w:rPr>
                <w:sz w:val="28"/>
              </w:rPr>
              <w:t>June 2012</w:t>
            </w:r>
          </w:p>
        </w:tc>
        <w:tc>
          <w:tcPr>
            <w:tcW w:w="1717"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3F3A19" w:rsidRPr="00804AD0" w:rsidRDefault="003F3A19" w:rsidP="00804AD0">
            <w:pPr>
              <w:pStyle w:val="Heading1"/>
              <w:rPr>
                <w:sz w:val="28"/>
              </w:rPr>
            </w:pPr>
            <w:r w:rsidRPr="00804AD0">
              <w:rPr>
                <w:sz w:val="28"/>
              </w:rPr>
              <w:t>June 2013</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3F3A19" w:rsidRPr="003F3A19" w:rsidRDefault="003F3A19" w:rsidP="003F3A19">
            <w:pPr>
              <w:spacing w:line="360" w:lineRule="auto"/>
              <w:jc w:val="center"/>
            </w:pPr>
          </w:p>
        </w:tc>
      </w:tr>
      <w:tr w:rsidR="003F3A19" w:rsidRPr="003F3A19" w:rsidTr="003F3A19">
        <w:trPr>
          <w:trHeight w:val="535"/>
        </w:trPr>
        <w:tc>
          <w:tcPr>
            <w:tcW w:w="3528" w:type="dxa"/>
            <w:tcBorders>
              <w:top w:val="single" w:sz="4" w:space="0" w:color="000000"/>
              <w:left w:val="single" w:sz="4" w:space="0" w:color="000000"/>
              <w:bottom w:val="single" w:sz="4" w:space="0" w:color="000000"/>
              <w:right w:val="single" w:sz="4" w:space="0" w:color="000000"/>
            </w:tcBorders>
            <w:shd w:val="clear" w:color="auto" w:fill="92D050"/>
            <w:tcMar>
              <w:top w:w="15" w:type="dxa"/>
              <w:left w:w="57" w:type="dxa"/>
              <w:bottom w:w="0" w:type="dxa"/>
              <w:right w:w="15" w:type="dxa"/>
            </w:tcMar>
            <w:vAlign w:val="center"/>
            <w:hideMark/>
          </w:tcPr>
          <w:p w:rsidR="003F3A19" w:rsidRPr="003F3A19" w:rsidRDefault="003F3A19" w:rsidP="003F3A19">
            <w:pPr>
              <w:spacing w:line="360" w:lineRule="auto"/>
              <w:jc w:val="left"/>
            </w:pPr>
            <w:r w:rsidRPr="003F3A19">
              <w:rPr>
                <w:bCs/>
              </w:rPr>
              <w:t xml:space="preserve"> Hume LGA</w:t>
            </w:r>
          </w:p>
        </w:tc>
        <w:tc>
          <w:tcPr>
            <w:tcW w:w="1716"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rPr>
                <w:bCs/>
              </w:rPr>
              <w:t>7.8%</w:t>
            </w:r>
          </w:p>
        </w:tc>
        <w:tc>
          <w:tcPr>
            <w:tcW w:w="1717"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rPr>
                <w:bCs/>
              </w:rPr>
              <w:t>7.0%</w:t>
            </w:r>
          </w:p>
        </w:tc>
        <w:tc>
          <w:tcPr>
            <w:tcW w:w="2126"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rPr>
                <w:bCs/>
              </w:rPr>
              <w:t>-0.8%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Brimbank LGA</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8.9%</w:t>
            </w:r>
          </w:p>
        </w:tc>
        <w:tc>
          <w:tcPr>
            <w:tcW w:w="1717"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0.0%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w:t>
            </w:r>
            <w:proofErr w:type="spellStart"/>
            <w:r w:rsidRPr="003F3A19">
              <w:t>Hobsons</w:t>
            </w:r>
            <w:proofErr w:type="spellEnd"/>
            <w:r w:rsidRPr="003F3A19">
              <w:t xml:space="preserve"> Bay LGA</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5.5%</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5.2%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-0.3%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Maribyrnong LGA</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8.0%</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7.8%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-0.2%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Melton LGA</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8.9%</w:t>
            </w:r>
          </w:p>
        </w:tc>
        <w:tc>
          <w:tcPr>
            <w:tcW w:w="1717"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9.0%</w:t>
            </w:r>
          </w:p>
        </w:tc>
        <w:tc>
          <w:tcPr>
            <w:tcW w:w="2126"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0.1%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Whittlesea LGA</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7.3%</w:t>
            </w:r>
          </w:p>
        </w:tc>
        <w:tc>
          <w:tcPr>
            <w:tcW w:w="1717"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8.0%</w:t>
            </w:r>
          </w:p>
        </w:tc>
        <w:tc>
          <w:tcPr>
            <w:tcW w:w="2126"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0.7%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Wyndham LGA</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8.5%</w:t>
            </w:r>
          </w:p>
        </w:tc>
        <w:tc>
          <w:tcPr>
            <w:tcW w:w="1717"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8.7%</w:t>
            </w:r>
          </w:p>
        </w:tc>
        <w:tc>
          <w:tcPr>
            <w:tcW w:w="2126" w:type="dxa"/>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0.2%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DCE6F2"/>
            <w:tcMar>
              <w:top w:w="15" w:type="dxa"/>
              <w:left w:w="57" w:type="dxa"/>
              <w:bottom w:w="0" w:type="dxa"/>
              <w:right w:w="15" w:type="dxa"/>
            </w:tcMar>
            <w:vAlign w:val="center"/>
            <w:hideMark/>
          </w:tcPr>
          <w:p w:rsidR="003F3A19" w:rsidRPr="003F3A19" w:rsidRDefault="003F3A19" w:rsidP="003F3A19">
            <w:pPr>
              <w:spacing w:line="360" w:lineRule="auto"/>
              <w:jc w:val="left"/>
            </w:pPr>
            <w:r w:rsidRPr="003F3A19">
              <w:rPr>
                <w:bCs/>
              </w:rPr>
              <w:t xml:space="preserve"> North Western Melbourne PEA </w:t>
            </w:r>
          </w:p>
        </w:tc>
        <w:tc>
          <w:tcPr>
            <w:tcW w:w="1716"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rPr>
                <w:bCs/>
              </w:rPr>
              <w:t>8.0%</w:t>
            </w:r>
          </w:p>
        </w:tc>
        <w:tc>
          <w:tcPr>
            <w:tcW w:w="1717"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rPr>
                <w:bCs/>
              </w:rPr>
              <w:t>7.9%</w:t>
            </w:r>
          </w:p>
        </w:tc>
        <w:tc>
          <w:tcPr>
            <w:tcW w:w="2126"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rPr>
                <w:bCs/>
              </w:rPr>
              <w:t>-0.1%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Victoria (August, seasonally adjusted)</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5.6%</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5.7%</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0.1% pts</w:t>
            </w:r>
          </w:p>
        </w:tc>
      </w:tr>
      <w:tr w:rsidR="003F3A19" w:rsidRPr="003F3A19" w:rsidTr="003F3A19">
        <w:trPr>
          <w:trHeight w:val="538"/>
        </w:trPr>
        <w:tc>
          <w:tcPr>
            <w:tcW w:w="3528"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3F3A19" w:rsidRPr="003F3A19" w:rsidRDefault="003F3A19" w:rsidP="003F3A19">
            <w:pPr>
              <w:spacing w:line="360" w:lineRule="auto"/>
              <w:jc w:val="left"/>
            </w:pPr>
            <w:r w:rsidRPr="003F3A19">
              <w:t xml:space="preserve"> Australia (August, seasonally adjusted)</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5.1%</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5.8%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F3A19" w:rsidRPr="003F3A19" w:rsidRDefault="003F3A19" w:rsidP="003F3A19">
            <w:pPr>
              <w:spacing w:line="360" w:lineRule="auto"/>
              <w:jc w:val="center"/>
            </w:pPr>
            <w:r w:rsidRPr="003F3A19">
              <w:t>0.7% pts</w:t>
            </w:r>
          </w:p>
        </w:tc>
      </w:tr>
    </w:tbl>
    <w:p w:rsidR="00585787" w:rsidRPr="003F3A19" w:rsidRDefault="00585787" w:rsidP="003F3A19">
      <w:pPr>
        <w:rPr>
          <w:i/>
          <w:lang w:eastAsia="en-AU"/>
        </w:rPr>
      </w:pPr>
      <w:r w:rsidRPr="003F3A19">
        <w:rPr>
          <w:i/>
          <w:lang w:eastAsia="en-AU"/>
        </w:rPr>
        <w:t xml:space="preserve">Source: DEEWR Small Area Labour Markets, June 2013 (smoothed); ABS Labour Force, August 2013 (seasonally adjusted) </w:t>
      </w:r>
    </w:p>
    <w:p w:rsidR="00585787" w:rsidRDefault="00585787" w:rsidP="003F3A19">
      <w:pPr>
        <w:rPr>
          <w:lang w:eastAsia="en-AU"/>
        </w:rPr>
      </w:pPr>
    </w:p>
    <w:p w:rsidR="00585787" w:rsidRDefault="00585787" w:rsidP="003F3A19">
      <w:pPr>
        <w:rPr>
          <w:lang w:eastAsia="en-AU"/>
        </w:rPr>
      </w:pPr>
      <w:proofErr w:type="gramStart"/>
      <w:r>
        <w:rPr>
          <w:lang w:eastAsia="en-AU"/>
        </w:rPr>
        <w:t>The unemployment rate for the North Western Melbourne PEA decreased by 0.1 percentage point</w:t>
      </w:r>
      <w:r w:rsidR="003A22E0">
        <w:rPr>
          <w:lang w:eastAsia="en-AU"/>
        </w:rPr>
        <w:t>s</w:t>
      </w:r>
      <w:r>
        <w:rPr>
          <w:lang w:eastAsia="en-AU"/>
        </w:rPr>
        <w:t xml:space="preserve"> over the 12 months to June 2013 to stand at 7.9%.</w:t>
      </w:r>
      <w:proofErr w:type="gramEnd"/>
      <w:r>
        <w:rPr>
          <w:lang w:eastAsia="en-AU"/>
        </w:rPr>
        <w:t xml:space="preserve"> </w:t>
      </w:r>
    </w:p>
    <w:p w:rsidR="00585787" w:rsidRDefault="00585787" w:rsidP="003F3A19">
      <w:pPr>
        <w:rPr>
          <w:lang w:eastAsia="en-AU"/>
        </w:rPr>
      </w:pPr>
    </w:p>
    <w:p w:rsidR="00585787" w:rsidRDefault="00585787" w:rsidP="003F3A19">
      <w:pPr>
        <w:rPr>
          <w:lang w:eastAsia="en-AU"/>
        </w:rPr>
      </w:pPr>
      <w:r>
        <w:rPr>
          <w:lang w:eastAsia="en-AU"/>
        </w:rPr>
        <w:t xml:space="preserve">There were large disparities in the unemployment rate across the LGAs. The Melton LGA had the highest unemployment rate (9.0%) followed by the Brimbank LGA (8.9%).  Increases in the unemployment rate were generally experienced in regions with the highest adult population growth. The Whittlesea LGA had the biggest increase in the unemployment rate, up 0.7 of a percentage point to 8.0%. </w:t>
      </w:r>
    </w:p>
    <w:p w:rsidR="00585787" w:rsidRDefault="00585787" w:rsidP="003F3A19">
      <w:pPr>
        <w:rPr>
          <w:lang w:eastAsia="en-AU"/>
        </w:rPr>
      </w:pPr>
    </w:p>
    <w:p w:rsidR="00585787" w:rsidRDefault="00585787" w:rsidP="003F3A19">
      <w:pPr>
        <w:rPr>
          <w:lang w:eastAsia="en-AU"/>
        </w:rPr>
      </w:pPr>
      <w:r>
        <w:rPr>
          <w:lang w:eastAsia="en-AU"/>
        </w:rPr>
        <w:t xml:space="preserve">The Hume LGA had the largest fall in the unemployment rate, down 0.8 of a percentage points to 7.0%. The lowest unemployment rate in the North Western Melbourne PEA was 5.2% for the </w:t>
      </w:r>
      <w:proofErr w:type="spellStart"/>
      <w:r>
        <w:rPr>
          <w:lang w:eastAsia="en-AU"/>
        </w:rPr>
        <w:t>Hobsons</w:t>
      </w:r>
      <w:proofErr w:type="spellEnd"/>
      <w:r>
        <w:rPr>
          <w:lang w:eastAsia="en-AU"/>
        </w:rPr>
        <w:t xml:space="preserve"> Bay LGA.</w:t>
      </w:r>
    </w:p>
    <w:p w:rsidR="00585787" w:rsidRDefault="00585787">
      <w:r>
        <w:br w:type="page"/>
      </w:r>
    </w:p>
    <w:p w:rsidR="003F3A19" w:rsidRPr="003F3A19" w:rsidRDefault="00585787" w:rsidP="003F3A19">
      <w:pPr>
        <w:pStyle w:val="Heading1"/>
        <w:rPr>
          <w:lang w:eastAsia="en-AU"/>
        </w:rPr>
      </w:pPr>
      <w:r>
        <w:lastRenderedPageBreak/>
        <w:t>Slide 9</w:t>
      </w:r>
      <w:r w:rsidR="003F3A19">
        <w:t xml:space="preserve"> </w:t>
      </w:r>
      <w:r w:rsidR="003F3A19" w:rsidRPr="003F3A19">
        <w:rPr>
          <w:lang w:eastAsia="en-AU"/>
        </w:rPr>
        <w:t>Largest Employing Industries</w:t>
      </w:r>
    </w:p>
    <w:p w:rsidR="00585787" w:rsidRDefault="00585787" w:rsidP="00585787">
      <w:pPr>
        <w:spacing w:line="360" w:lineRule="auto"/>
      </w:pPr>
    </w:p>
    <w:p w:rsidR="00585787" w:rsidRDefault="007D476D" w:rsidP="00585787">
      <w:pPr>
        <w:spacing w:line="360" w:lineRule="auto"/>
      </w:pPr>
      <w:r w:rsidRPr="007D476D">
        <w:rPr>
          <w:noProof/>
          <w:lang w:eastAsia="en-AU"/>
        </w:rPr>
        <w:drawing>
          <wp:inline distT="0" distB="0" distL="0" distR="0" wp14:anchorId="53B0732E" wp14:editId="333F7BE3">
            <wp:extent cx="5760000" cy="4320000"/>
            <wp:effectExtent l="19050" t="19050" r="12700" b="23495"/>
            <wp:docPr id="7" name="Picture 7" descr="Largest employing industries, North Western Melbourne LFR/ Outer Western Melbourne LFR/ Victoria&#10; &#10;Health Care and Social Assistance 12%/10%/12%&#10;Manufacturing 12%/10%/10%&#10;Retail Trade 10%/10%/11%&#10;Transport, Postal and Warehousing 6%/11%/5%&#10;Construction 10%/7%/8%&#10;Professional, Scientific and Technical Services 8%/8%/9%&#10;Education and Training 8%/7%/8%&#10;Accommodation and Food Services 7%/7%/6%&#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00" cy="4320000"/>
                    </a:xfrm>
                    <a:prstGeom prst="rect">
                      <a:avLst/>
                    </a:prstGeom>
                    <a:ln>
                      <a:solidFill>
                        <a:schemeClr val="accent1"/>
                      </a:solidFill>
                    </a:ln>
                  </pic:spPr>
                </pic:pic>
              </a:graphicData>
            </a:graphic>
          </wp:inline>
        </w:drawing>
      </w:r>
    </w:p>
    <w:p w:rsidR="00585787" w:rsidRPr="007D476D" w:rsidRDefault="00585787" w:rsidP="007D476D">
      <w:pPr>
        <w:rPr>
          <w:i/>
          <w:lang w:eastAsia="en-AU"/>
        </w:rPr>
      </w:pPr>
      <w:r w:rsidRPr="007D476D">
        <w:rPr>
          <w:i/>
          <w:lang w:eastAsia="en-AU"/>
        </w:rPr>
        <w:t>Source: ABS Labour Force, May 2013 (4 quarter averages)</w:t>
      </w:r>
    </w:p>
    <w:p w:rsidR="00585787" w:rsidRDefault="00585787" w:rsidP="007D476D">
      <w:pPr>
        <w:rPr>
          <w:lang w:eastAsia="en-AU"/>
        </w:rPr>
      </w:pPr>
    </w:p>
    <w:p w:rsidR="00585787" w:rsidRDefault="00585787" w:rsidP="007D476D">
      <w:pPr>
        <w:rPr>
          <w:lang w:eastAsia="en-AU"/>
        </w:rPr>
      </w:pPr>
      <w:r>
        <w:rPr>
          <w:lang w:eastAsia="en-AU"/>
        </w:rPr>
        <w:t>For those living in</w:t>
      </w:r>
      <w:r>
        <w:rPr>
          <w:b/>
          <w:bCs/>
          <w:lang w:eastAsia="en-AU"/>
        </w:rPr>
        <w:t xml:space="preserve"> </w:t>
      </w:r>
      <w:r>
        <w:rPr>
          <w:lang w:eastAsia="en-AU"/>
        </w:rPr>
        <w:t>the North Western Melbourne LFR, the Health Care and Social Assistance and Manufacturing industries are the largest employing industries (both 12%). The North Western Melbourne LFR also has a large proportion of people working in the Retail Trade industry (10%), although this figure is slightly smaller than the proportion for Victoria (11%).</w:t>
      </w:r>
    </w:p>
    <w:p w:rsidR="00585787" w:rsidRDefault="00585787" w:rsidP="007D476D">
      <w:pPr>
        <w:rPr>
          <w:lang w:eastAsia="en-AU"/>
        </w:rPr>
      </w:pPr>
    </w:p>
    <w:p w:rsidR="00585787" w:rsidRDefault="00585787" w:rsidP="007D476D">
      <w:pPr>
        <w:rPr>
          <w:lang w:eastAsia="en-AU"/>
        </w:rPr>
      </w:pPr>
      <w:r>
        <w:rPr>
          <w:lang w:eastAsia="en-AU"/>
        </w:rPr>
        <w:t>In the Outer Western Melbourne LFR, Transport, Postal and Warehousing industry is the largest employer (11%) and employs a far larger proportion of the workforce in the LFR than in Victoria (5%). The Health Care and Social Assistance; Manufacturing; and Retail Trade industries are also major employers (all 10%).</w:t>
      </w:r>
    </w:p>
    <w:p w:rsidR="00585787" w:rsidRDefault="00585787">
      <w:r>
        <w:br w:type="page"/>
      </w:r>
    </w:p>
    <w:p w:rsidR="007D476D" w:rsidRDefault="00585787" w:rsidP="007D476D">
      <w:pPr>
        <w:pStyle w:val="Heading1"/>
        <w:rPr>
          <w:sz w:val="28"/>
          <w:lang w:eastAsia="en-AU"/>
        </w:rPr>
      </w:pPr>
      <w:r>
        <w:lastRenderedPageBreak/>
        <w:t>Slide 10</w:t>
      </w:r>
      <w:r w:rsidR="007D476D">
        <w:t xml:space="preserve"> </w:t>
      </w:r>
      <w:r w:rsidR="007D476D" w:rsidRPr="007D476D">
        <w:rPr>
          <w:lang w:eastAsia="en-AU"/>
        </w:rPr>
        <w:t xml:space="preserve">Shift in employment over past 5 years – </w:t>
      </w:r>
      <w:r w:rsidR="004E5E8A">
        <w:rPr>
          <w:lang w:eastAsia="en-AU"/>
        </w:rPr>
        <w:br/>
      </w:r>
      <w:r w:rsidR="007D476D" w:rsidRPr="00BF70D1">
        <w:rPr>
          <w:sz w:val="28"/>
          <w:lang w:eastAsia="en-AU"/>
        </w:rPr>
        <w:t>5 years to May 2013</w:t>
      </w:r>
    </w:p>
    <w:p w:rsidR="00585787" w:rsidRDefault="007D476D" w:rsidP="00585787">
      <w:pPr>
        <w:spacing w:line="360" w:lineRule="auto"/>
      </w:pPr>
      <w:r w:rsidRPr="007D476D">
        <w:rPr>
          <w:noProof/>
          <w:lang w:eastAsia="en-AU"/>
        </w:rPr>
        <w:drawing>
          <wp:inline distT="0" distB="0" distL="0" distR="0" wp14:anchorId="6CF1E30E" wp14:editId="16A07458">
            <wp:extent cx="5760000" cy="4320000"/>
            <wp:effectExtent l="19050" t="19050" r="12700" b="23495"/>
            <wp:docPr id="6" name="Picture 6" descr="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00" cy="4320000"/>
                    </a:xfrm>
                    <a:prstGeom prst="rect">
                      <a:avLst/>
                    </a:prstGeom>
                    <a:ln>
                      <a:solidFill>
                        <a:schemeClr val="accent1"/>
                      </a:solidFill>
                    </a:ln>
                  </pic:spPr>
                </pic:pic>
              </a:graphicData>
            </a:graphic>
          </wp:inline>
        </w:drawing>
      </w:r>
    </w:p>
    <w:p w:rsidR="00585787" w:rsidRPr="007D476D" w:rsidRDefault="00585787" w:rsidP="007D476D">
      <w:pPr>
        <w:rPr>
          <w:i/>
          <w:lang w:eastAsia="en-AU"/>
        </w:rPr>
      </w:pPr>
      <w:r w:rsidRPr="007D476D">
        <w:rPr>
          <w:i/>
          <w:lang w:eastAsia="en-AU"/>
        </w:rPr>
        <w:t>Source: ABS Labour Force, May 2013 (4 quarter averages)</w:t>
      </w:r>
    </w:p>
    <w:p w:rsidR="00585787" w:rsidRDefault="00585787" w:rsidP="007D476D">
      <w:pPr>
        <w:rPr>
          <w:lang w:eastAsia="en-AU"/>
        </w:rPr>
      </w:pPr>
    </w:p>
    <w:p w:rsidR="00585787" w:rsidRDefault="00585787" w:rsidP="007D476D">
      <w:pPr>
        <w:rPr>
          <w:lang w:eastAsia="en-AU"/>
        </w:rPr>
      </w:pPr>
      <w:r>
        <w:rPr>
          <w:lang w:eastAsia="en-AU"/>
        </w:rPr>
        <w:t xml:space="preserve">Over the five years to May 2013, employment for those living in the Outer Western Melbourne LFR increased by 26,200 jobs (7%). Employment growth was strongest in the Professional, Scientific and Technical Service industry, which grew by 9,500 jobs, and Education and Training (4,300). However, there were large falls in employment in the Construction industry (-3,600) and Manufacturing Industry (-3,200). </w:t>
      </w:r>
    </w:p>
    <w:p w:rsidR="00585787" w:rsidRDefault="00585787" w:rsidP="007D476D">
      <w:pPr>
        <w:rPr>
          <w:lang w:eastAsia="en-AU"/>
        </w:rPr>
      </w:pPr>
    </w:p>
    <w:p w:rsidR="00585787" w:rsidRDefault="00585787" w:rsidP="007D476D">
      <w:pPr>
        <w:rPr>
          <w:lang w:eastAsia="en-AU"/>
        </w:rPr>
      </w:pPr>
      <w:r>
        <w:rPr>
          <w:lang w:eastAsia="en-AU"/>
        </w:rPr>
        <w:t>Over the same period, employment in the North Western Melbourne LFR increased by 16,600 (13%).  Employment growth was strongest in the Construction industry, which grew by 3,100, followed by the Health Care and Social Assistance industry (2,000). Losses in employment were experienced by the Transport, Postal and Warehousing industry (-2,700) and Retail Trade industry (-400).</w:t>
      </w:r>
    </w:p>
    <w:p w:rsidR="00585787" w:rsidRDefault="00585787" w:rsidP="007D476D">
      <w:pPr>
        <w:rPr>
          <w:lang w:eastAsia="en-AU"/>
        </w:rPr>
      </w:pPr>
    </w:p>
    <w:p w:rsidR="00585787" w:rsidRDefault="00585787" w:rsidP="007D476D">
      <w:pPr>
        <w:rPr>
          <w:lang w:eastAsia="en-AU"/>
        </w:rPr>
      </w:pPr>
      <w:proofErr w:type="gramStart"/>
      <w:r>
        <w:rPr>
          <w:lang w:eastAsia="en-AU"/>
        </w:rPr>
        <w:t xml:space="preserve">Overall, employment across both </w:t>
      </w:r>
      <w:proofErr w:type="spellStart"/>
      <w:r>
        <w:rPr>
          <w:lang w:eastAsia="en-AU"/>
        </w:rPr>
        <w:t>LFRs</w:t>
      </w:r>
      <w:proofErr w:type="spellEnd"/>
      <w:r>
        <w:rPr>
          <w:lang w:eastAsia="en-AU"/>
        </w:rPr>
        <w:t xml:space="preserve"> increased by 42,800 jobs.</w:t>
      </w:r>
      <w:proofErr w:type="gramEnd"/>
      <w:r>
        <w:rPr>
          <w:lang w:eastAsia="en-AU"/>
        </w:rPr>
        <w:t xml:space="preserve"> Increases were greatest in the Professional, Scientific and Technical Service industry (9,700) and Health Care and Social Assistance industry (5,600). Declines in employment were largest in the Manufacturing Industry (-1,800) and Construction (-500) </w:t>
      </w:r>
    </w:p>
    <w:p w:rsidR="00BF70D1" w:rsidRDefault="00BF70D1" w:rsidP="007D476D">
      <w:pPr>
        <w:rPr>
          <w:bCs/>
          <w:lang w:eastAsia="en-AU"/>
        </w:rPr>
      </w:pPr>
    </w:p>
    <w:p w:rsidR="00585787" w:rsidRPr="007D476D" w:rsidRDefault="00585787" w:rsidP="007D476D">
      <w:pPr>
        <w:rPr>
          <w:lang w:eastAsia="en-AU"/>
        </w:rPr>
      </w:pPr>
      <w:r w:rsidRPr="007D476D">
        <w:rPr>
          <w:bCs/>
          <w:lang w:eastAsia="en-AU"/>
        </w:rPr>
        <w:t xml:space="preserve">Over the last year, employment grew by 13,300 jobs across the two </w:t>
      </w:r>
      <w:proofErr w:type="spellStart"/>
      <w:r w:rsidRPr="007D476D">
        <w:rPr>
          <w:bCs/>
          <w:lang w:eastAsia="en-AU"/>
        </w:rPr>
        <w:t>LFRs</w:t>
      </w:r>
      <w:proofErr w:type="spellEnd"/>
      <w:r w:rsidRPr="007D476D">
        <w:rPr>
          <w:bCs/>
          <w:lang w:eastAsia="en-AU"/>
        </w:rPr>
        <w:t>.</w:t>
      </w:r>
    </w:p>
    <w:p w:rsidR="00BF70D1" w:rsidRPr="00BF70D1" w:rsidRDefault="00585787" w:rsidP="00BF70D1">
      <w:pPr>
        <w:pStyle w:val="Heading1"/>
        <w:rPr>
          <w:lang w:eastAsia="en-AU"/>
        </w:rPr>
      </w:pPr>
      <w:r>
        <w:lastRenderedPageBreak/>
        <w:t>Slide 11</w:t>
      </w:r>
      <w:r w:rsidR="00BF70D1">
        <w:t xml:space="preserve"> </w:t>
      </w:r>
      <w:r w:rsidR="00BF70D1" w:rsidRPr="00BF70D1">
        <w:rPr>
          <w:lang w:eastAsia="en-AU"/>
        </w:rPr>
        <w:t>Structural change in Industry employment</w:t>
      </w:r>
    </w:p>
    <w:p w:rsidR="00585787" w:rsidRDefault="00585787" w:rsidP="00585787">
      <w:pPr>
        <w:spacing w:line="360" w:lineRule="auto"/>
      </w:pPr>
    </w:p>
    <w:p w:rsidR="00585787" w:rsidRDefault="00BF70D1" w:rsidP="00585787">
      <w:pPr>
        <w:spacing w:line="360" w:lineRule="auto"/>
      </w:pPr>
      <w:r w:rsidRPr="00BF70D1">
        <w:rPr>
          <w:noProof/>
          <w:lang w:eastAsia="en-AU"/>
        </w:rPr>
        <w:drawing>
          <wp:inline distT="0" distB="0" distL="0" distR="0" wp14:anchorId="0766903A" wp14:editId="04B7C82E">
            <wp:extent cx="5760000" cy="4320000"/>
            <wp:effectExtent l="19050" t="19050" r="12700" b="23495"/>
            <wp:docPr id="11" name="Picture 11" descr="Structural change in industry May quarter 2008 to May quarter 2013 (percentage of total employment)&#10;&#10;Manufacturing 18% to 10%&#10;Retail trade 13% to 9%&#10;Education and training 7% to 7%&#10;Construction 8% to 9%&#10;Accomodation and food services 6% to 8%&#10;Transport, postal and warehousing 8% to 10%&#10;Professional, scientific and technical services 5% to 8%&#10;Health care and social assistance 6%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000" cy="4320000"/>
                    </a:xfrm>
                    <a:prstGeom prst="rect">
                      <a:avLst/>
                    </a:prstGeom>
                    <a:ln>
                      <a:solidFill>
                        <a:schemeClr val="accent1"/>
                      </a:solidFill>
                    </a:ln>
                  </pic:spPr>
                </pic:pic>
              </a:graphicData>
            </a:graphic>
          </wp:inline>
        </w:drawing>
      </w:r>
    </w:p>
    <w:p w:rsidR="00585787" w:rsidRDefault="00585787" w:rsidP="00585787">
      <w:pPr>
        <w:autoSpaceDE w:val="0"/>
        <w:autoSpaceDN w:val="0"/>
        <w:adjustRightInd w:val="0"/>
        <w:rPr>
          <w:rFonts w:cs="Calibri"/>
          <w:kern w:val="24"/>
          <w:szCs w:val="24"/>
          <w:lang w:eastAsia="en-AU"/>
        </w:rPr>
      </w:pPr>
      <w:r>
        <w:rPr>
          <w:rFonts w:cs="Calibri"/>
          <w:i/>
          <w:iCs/>
          <w:kern w:val="24"/>
          <w:szCs w:val="24"/>
          <w:lang w:eastAsia="en-AU"/>
        </w:rPr>
        <w:t>Source: ABS Labour Force, May 2013 and May 2003</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 xml:space="preserve">Over the ten years to 2013 there has been a structural change in industry employment in the Outer Western Melbourne and North Western Melbourne </w:t>
      </w:r>
      <w:proofErr w:type="spellStart"/>
      <w:r>
        <w:rPr>
          <w:rFonts w:cs="Calibri"/>
          <w:kern w:val="24"/>
          <w:szCs w:val="24"/>
          <w:lang w:eastAsia="en-AU"/>
        </w:rPr>
        <w:t>LFRs</w:t>
      </w:r>
      <w:proofErr w:type="spellEnd"/>
      <w:r>
        <w:rPr>
          <w:rFonts w:cs="Calibri"/>
          <w:kern w:val="24"/>
          <w:szCs w:val="24"/>
          <w:lang w:eastAsia="en-AU"/>
        </w:rPr>
        <w:t>. Major traditional employers like Manufacturing and Retail Trade have experienced substantial declines in their share of total employment, while major service industries such as Health Care and Social Assistance and Professional, Scientific and Technical Services have seen large increases in their share of total employment.</w:t>
      </w:r>
    </w:p>
    <w:p w:rsidR="00585787" w:rsidRDefault="00585787">
      <w:r>
        <w:br w:type="page"/>
      </w:r>
    </w:p>
    <w:p w:rsidR="00BF70D1" w:rsidRDefault="00585787" w:rsidP="00BF70D1">
      <w:pPr>
        <w:pStyle w:val="Heading1"/>
        <w:rPr>
          <w:sz w:val="28"/>
          <w:lang w:eastAsia="en-AU"/>
        </w:rPr>
      </w:pPr>
      <w:r>
        <w:lastRenderedPageBreak/>
        <w:t>Slide 12</w:t>
      </w:r>
      <w:r w:rsidR="00BF70D1">
        <w:t xml:space="preserve"> </w:t>
      </w:r>
      <w:r w:rsidR="00BF70D1" w:rsidRPr="00BF70D1">
        <w:rPr>
          <w:lang w:eastAsia="en-AU"/>
        </w:rPr>
        <w:t xml:space="preserve">Employment growth faltering for lower skilled occupations – </w:t>
      </w:r>
      <w:r w:rsidR="00BF70D1" w:rsidRPr="00BF70D1">
        <w:rPr>
          <w:sz w:val="28"/>
          <w:lang w:eastAsia="en-AU"/>
        </w:rPr>
        <w:t>5 years to May 2013</w:t>
      </w:r>
    </w:p>
    <w:p w:rsidR="00BF70D1" w:rsidRPr="00BF70D1" w:rsidRDefault="00BF70D1" w:rsidP="00BF70D1">
      <w:pPr>
        <w:rPr>
          <w:lang w:eastAsia="en-AU"/>
        </w:rPr>
      </w:pPr>
    </w:p>
    <w:p w:rsidR="00585787" w:rsidRDefault="00BF70D1" w:rsidP="00585787">
      <w:pPr>
        <w:spacing w:line="360" w:lineRule="auto"/>
      </w:pPr>
      <w:r w:rsidRPr="00BF70D1">
        <w:rPr>
          <w:noProof/>
          <w:lang w:eastAsia="en-AU"/>
        </w:rPr>
        <w:drawing>
          <wp:inline distT="0" distB="0" distL="0" distR="0" wp14:anchorId="1B07D899" wp14:editId="170D2486">
            <wp:extent cx="5760000" cy="4320000"/>
            <wp:effectExtent l="19050" t="19050" r="12700" b="23495"/>
            <wp:docPr id="14" name="Picture 14" descr="descriptive,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000" cy="4320000"/>
                    </a:xfrm>
                    <a:prstGeom prst="rect">
                      <a:avLst/>
                    </a:prstGeom>
                    <a:ln>
                      <a:solidFill>
                        <a:schemeClr val="accent1"/>
                      </a:solidFill>
                    </a:ln>
                  </pic:spPr>
                </pic:pic>
              </a:graphicData>
            </a:graphic>
          </wp:inline>
        </w:drawing>
      </w:r>
    </w:p>
    <w:p w:rsidR="00585787" w:rsidRDefault="00585787" w:rsidP="00585787">
      <w:pPr>
        <w:autoSpaceDE w:val="0"/>
        <w:autoSpaceDN w:val="0"/>
        <w:adjustRightInd w:val="0"/>
        <w:rPr>
          <w:rFonts w:cs="Calibri"/>
          <w:kern w:val="24"/>
          <w:szCs w:val="24"/>
          <w:lang w:eastAsia="en-AU"/>
        </w:rPr>
      </w:pPr>
      <w:r>
        <w:rPr>
          <w:rFonts w:cs="Calibri"/>
          <w:i/>
          <w:iCs/>
          <w:kern w:val="24"/>
          <w:szCs w:val="24"/>
          <w:lang w:eastAsia="en-AU"/>
        </w:rPr>
        <w:t xml:space="preserve">Source: ABS Labour Force, May 2013 (4 quarter averages) </w:t>
      </w:r>
    </w:p>
    <w:p w:rsidR="00585787" w:rsidRDefault="00585787" w:rsidP="00585787">
      <w:pPr>
        <w:autoSpaceDE w:val="0"/>
        <w:autoSpaceDN w:val="0"/>
        <w:adjustRightInd w:val="0"/>
        <w:rPr>
          <w:rFonts w:cs="Calibri"/>
          <w:kern w:val="24"/>
          <w:szCs w:val="24"/>
          <w:lang w:eastAsia="en-AU"/>
        </w:rPr>
      </w:pPr>
      <w:r>
        <w:rPr>
          <w:rFonts w:cs="Calibri"/>
          <w:i/>
          <w:iCs/>
          <w:kern w:val="24"/>
          <w:szCs w:val="24"/>
          <w:lang w:eastAsia="en-AU"/>
        </w:rPr>
        <w:t> </w:t>
      </w: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 xml:space="preserve">Over the five years to May 2013, employment for those </w:t>
      </w:r>
      <w:r>
        <w:rPr>
          <w:rFonts w:cs="Calibri"/>
          <w:i/>
          <w:iCs/>
          <w:kern w:val="24"/>
          <w:szCs w:val="24"/>
          <w:lang w:eastAsia="en-AU"/>
        </w:rPr>
        <w:t xml:space="preserve">living in </w:t>
      </w:r>
      <w:r>
        <w:rPr>
          <w:rFonts w:cs="Calibri"/>
          <w:kern w:val="24"/>
          <w:szCs w:val="24"/>
          <w:lang w:eastAsia="en-AU"/>
        </w:rPr>
        <w:t>the Outer Western Melbourne LFR also increased by 26,200 (7%). Over the same period, employment in the North Western Melbourne LFR increased by 16,600 (13%). Nevertheless, there were considerable disparities between growth numbers when comparing occupation groups. High and medium skill occupation g</w:t>
      </w:r>
      <w:r w:rsidR="00250F89">
        <w:rPr>
          <w:rFonts w:cs="Calibri"/>
          <w:kern w:val="24"/>
          <w:szCs w:val="24"/>
          <w:lang w:eastAsia="en-AU"/>
        </w:rPr>
        <w:t>roups experienced growth of 38,</w:t>
      </w:r>
      <w:r>
        <w:rPr>
          <w:rFonts w:cs="Calibri"/>
          <w:kern w:val="24"/>
          <w:szCs w:val="24"/>
          <w:lang w:eastAsia="en-AU"/>
        </w:rPr>
        <w:t xml:space="preserve">500 jobs (17%), </w:t>
      </w:r>
      <w:r w:rsidR="00BF70D1">
        <w:rPr>
          <w:rFonts w:cs="Calibri"/>
          <w:kern w:val="24"/>
          <w:szCs w:val="24"/>
          <w:lang w:eastAsia="en-AU"/>
        </w:rPr>
        <w:t>whereas</w:t>
      </w:r>
      <w:r>
        <w:rPr>
          <w:rFonts w:cs="Calibri"/>
          <w:kern w:val="24"/>
          <w:szCs w:val="24"/>
          <w:lang w:eastAsia="en-AU"/>
        </w:rPr>
        <w:t xml:space="preserve"> lower skilled occupations, experienced a net growth of 4,300 jobs (4%). By and large, there was a large increase in employment for higher skilled occupations such as Managers and Professionals. For medium skilled occupations, such as and Technicians and Trades Workers and Community and Personal Service Workers, there were moderate gains in employment, although there was an overall decline of employment for Clerical and Administrative Workers. For lower skilled occupations overall, there was only a small net increase in employment across the </w:t>
      </w:r>
      <w:proofErr w:type="spellStart"/>
      <w:r>
        <w:rPr>
          <w:rFonts w:cs="Calibri"/>
          <w:kern w:val="24"/>
          <w:szCs w:val="24"/>
          <w:lang w:eastAsia="en-AU"/>
        </w:rPr>
        <w:t>LFRs</w:t>
      </w:r>
      <w:proofErr w:type="spellEnd"/>
      <w:r>
        <w:rPr>
          <w:rFonts w:cs="Calibri"/>
          <w:kern w:val="24"/>
          <w:szCs w:val="24"/>
          <w:lang w:eastAsia="en-AU"/>
        </w:rPr>
        <w:t xml:space="preserve">. For Sales Workers and Labourers, there were overall declines in employment across the combined </w:t>
      </w:r>
      <w:proofErr w:type="spellStart"/>
      <w:r>
        <w:rPr>
          <w:rFonts w:cs="Calibri"/>
          <w:kern w:val="24"/>
          <w:szCs w:val="24"/>
          <w:lang w:eastAsia="en-AU"/>
        </w:rPr>
        <w:t>LFRs</w:t>
      </w:r>
      <w:proofErr w:type="spellEnd"/>
      <w:r>
        <w:rPr>
          <w:rFonts w:cs="Calibri"/>
          <w:kern w:val="24"/>
          <w:szCs w:val="24"/>
          <w:lang w:eastAsia="en-AU"/>
        </w:rPr>
        <w:t xml:space="preserve">. </w:t>
      </w:r>
    </w:p>
    <w:p w:rsidR="00585787" w:rsidRDefault="00585787">
      <w:r>
        <w:br w:type="page"/>
      </w:r>
    </w:p>
    <w:p w:rsidR="00BF70D1" w:rsidRPr="00BF70D1" w:rsidRDefault="00585787" w:rsidP="00BF70D1">
      <w:pPr>
        <w:pStyle w:val="Heading1"/>
        <w:rPr>
          <w:sz w:val="28"/>
          <w:lang w:eastAsia="en-AU"/>
        </w:rPr>
      </w:pPr>
      <w:r>
        <w:lastRenderedPageBreak/>
        <w:t>Slide 13</w:t>
      </w:r>
      <w:r w:rsidR="00BF70D1">
        <w:t xml:space="preserve"> </w:t>
      </w:r>
      <w:r w:rsidR="00BF70D1" w:rsidRPr="00BF70D1">
        <w:rPr>
          <w:lang w:eastAsia="en-AU"/>
        </w:rPr>
        <w:t>Melbourne internet vacancies decreasing</w:t>
      </w:r>
      <w:r w:rsidR="00BF70D1">
        <w:rPr>
          <w:lang w:eastAsia="en-AU"/>
        </w:rPr>
        <w:t xml:space="preserve"> </w:t>
      </w:r>
      <w:r w:rsidR="00BF70D1">
        <w:rPr>
          <w:lang w:eastAsia="en-AU"/>
        </w:rPr>
        <w:br/>
      </w:r>
      <w:r w:rsidR="00BF70D1">
        <w:rPr>
          <w:sz w:val="28"/>
          <w:lang w:eastAsia="en-AU"/>
        </w:rPr>
        <w:t>12 months to July 2013</w:t>
      </w:r>
    </w:p>
    <w:p w:rsidR="00585787" w:rsidRDefault="00585787" w:rsidP="00585787">
      <w:pPr>
        <w:spacing w:line="360" w:lineRule="auto"/>
      </w:pPr>
    </w:p>
    <w:tbl>
      <w:tblPr>
        <w:tblW w:w="9086" w:type="dxa"/>
        <w:tblInd w:w="427" w:type="dxa"/>
        <w:tblCellMar>
          <w:left w:w="0" w:type="dxa"/>
          <w:right w:w="0" w:type="dxa"/>
        </w:tblCellMar>
        <w:tblLook w:val="0600" w:firstRow="0" w:lastRow="0" w:firstColumn="0" w:lastColumn="0" w:noHBand="1" w:noVBand="1"/>
      </w:tblPr>
      <w:tblGrid>
        <w:gridCol w:w="2990"/>
        <w:gridCol w:w="2127"/>
        <w:gridCol w:w="1984"/>
        <w:gridCol w:w="1985"/>
      </w:tblGrid>
      <w:tr w:rsidR="00BF70D1" w:rsidRPr="00BF70D1" w:rsidTr="00BF70D1">
        <w:trPr>
          <w:trHeight w:val="3006"/>
        </w:trPr>
        <w:tc>
          <w:tcPr>
            <w:tcW w:w="2990" w:type="dxa"/>
            <w:tcBorders>
              <w:top w:val="single" w:sz="8" w:space="0" w:color="000000"/>
              <w:left w:val="single" w:sz="8"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BF70D1" w:rsidRDefault="00BF70D1" w:rsidP="004E5E8A">
            <w:pPr>
              <w:pStyle w:val="Heading1"/>
              <w:jc w:val="left"/>
              <w:rPr>
                <w:sz w:val="28"/>
              </w:rPr>
            </w:pPr>
            <w:r w:rsidRPr="00BF70D1">
              <w:rPr>
                <w:sz w:val="28"/>
              </w:rPr>
              <w:t>Region</w:t>
            </w:r>
          </w:p>
        </w:tc>
        <w:tc>
          <w:tcPr>
            <w:tcW w:w="2127" w:type="dxa"/>
            <w:tcBorders>
              <w:top w:val="single" w:sz="8" w:space="0" w:color="000000"/>
              <w:left w:val="single" w:sz="4" w:space="0" w:color="000000"/>
              <w:bottom w:val="single" w:sz="4" w:space="0" w:color="000000"/>
              <w:right w:val="single" w:sz="4" w:space="0" w:color="000000"/>
            </w:tcBorders>
            <w:shd w:val="clear" w:color="auto" w:fill="C6D9F1"/>
            <w:tcMar>
              <w:top w:w="15" w:type="dxa"/>
              <w:left w:w="108" w:type="dxa"/>
              <w:bottom w:w="0" w:type="dxa"/>
              <w:right w:w="108" w:type="dxa"/>
            </w:tcMar>
            <w:vAlign w:val="center"/>
            <w:hideMark/>
          </w:tcPr>
          <w:p w:rsidR="00B2716A" w:rsidRPr="00BF70D1" w:rsidRDefault="00BF70D1" w:rsidP="00BF70D1">
            <w:pPr>
              <w:pStyle w:val="Heading1"/>
              <w:rPr>
                <w:sz w:val="28"/>
              </w:rPr>
            </w:pPr>
            <w:r w:rsidRPr="00BF70D1">
              <w:rPr>
                <w:rFonts w:eastAsia="Times New Roman"/>
                <w:sz w:val="28"/>
              </w:rPr>
              <w:t xml:space="preserve">Index </w:t>
            </w:r>
            <w:r w:rsidR="00586F7D">
              <w:rPr>
                <w:rFonts w:eastAsia="Times New Roman"/>
                <w:sz w:val="28"/>
              </w:rPr>
              <w:br/>
            </w:r>
            <w:r w:rsidRPr="00BF70D1">
              <w:rPr>
                <w:rFonts w:eastAsia="Times New Roman"/>
                <w:sz w:val="28"/>
              </w:rPr>
              <w:t>(May '10 = 100)</w:t>
            </w:r>
          </w:p>
        </w:tc>
        <w:tc>
          <w:tcPr>
            <w:tcW w:w="1984" w:type="dxa"/>
            <w:tcBorders>
              <w:top w:val="single" w:sz="8" w:space="0" w:color="000000"/>
              <w:left w:val="single" w:sz="4" w:space="0" w:color="000000"/>
              <w:bottom w:val="single" w:sz="4" w:space="0" w:color="000000"/>
              <w:right w:val="single" w:sz="4" w:space="0" w:color="000000"/>
            </w:tcBorders>
            <w:shd w:val="clear" w:color="auto" w:fill="C6D9F1"/>
            <w:tcMar>
              <w:top w:w="15" w:type="dxa"/>
              <w:left w:w="108" w:type="dxa"/>
              <w:bottom w:w="0" w:type="dxa"/>
              <w:right w:w="108" w:type="dxa"/>
            </w:tcMar>
            <w:vAlign w:val="center"/>
            <w:hideMark/>
          </w:tcPr>
          <w:p w:rsidR="00B2716A" w:rsidRPr="00BF70D1" w:rsidRDefault="00BF70D1" w:rsidP="00BF70D1">
            <w:pPr>
              <w:pStyle w:val="Heading1"/>
              <w:rPr>
                <w:sz w:val="28"/>
              </w:rPr>
            </w:pPr>
            <w:r w:rsidRPr="00BF70D1">
              <w:rPr>
                <w:rFonts w:eastAsia="Times New Roman"/>
                <w:sz w:val="28"/>
              </w:rPr>
              <w:t xml:space="preserve">Yearly </w:t>
            </w:r>
            <w:r w:rsidRPr="00BF70D1">
              <w:rPr>
                <w:rFonts w:eastAsia="Times New Roman"/>
                <w:sz w:val="28"/>
              </w:rPr>
              <w:br/>
              <w:t>% change</w:t>
            </w:r>
          </w:p>
        </w:tc>
        <w:tc>
          <w:tcPr>
            <w:tcW w:w="1985" w:type="dxa"/>
            <w:tcBorders>
              <w:top w:val="single" w:sz="8" w:space="0" w:color="000000"/>
              <w:left w:val="single" w:sz="4" w:space="0" w:color="000000"/>
              <w:bottom w:val="single" w:sz="4" w:space="0" w:color="000000"/>
              <w:right w:val="single" w:sz="4" w:space="0" w:color="000000"/>
            </w:tcBorders>
            <w:shd w:val="clear" w:color="auto" w:fill="C6D9F1"/>
            <w:tcMar>
              <w:top w:w="15" w:type="dxa"/>
              <w:left w:w="108" w:type="dxa"/>
              <w:bottom w:w="0" w:type="dxa"/>
              <w:right w:w="108" w:type="dxa"/>
            </w:tcMar>
            <w:vAlign w:val="center"/>
            <w:hideMark/>
          </w:tcPr>
          <w:p w:rsidR="00B2716A" w:rsidRPr="00BF70D1" w:rsidRDefault="00BF70D1" w:rsidP="00BF70D1">
            <w:pPr>
              <w:pStyle w:val="Heading1"/>
              <w:rPr>
                <w:sz w:val="28"/>
              </w:rPr>
            </w:pPr>
            <w:r w:rsidRPr="00BF70D1">
              <w:rPr>
                <w:rFonts w:eastAsia="Times New Roman"/>
                <w:sz w:val="28"/>
              </w:rPr>
              <w:t>Number of vacancies</w:t>
            </w:r>
          </w:p>
        </w:tc>
      </w:tr>
      <w:tr w:rsidR="00586F7D" w:rsidRPr="00BF70D1" w:rsidTr="00586F7D">
        <w:trPr>
          <w:trHeight w:val="1422"/>
        </w:trPr>
        <w:tc>
          <w:tcPr>
            <w:tcW w:w="2990" w:type="dxa"/>
            <w:tcBorders>
              <w:top w:val="single" w:sz="4" w:space="0" w:color="000000"/>
              <w:left w:val="single" w:sz="8" w:space="0" w:color="000000"/>
              <w:bottom w:val="single" w:sz="4" w:space="0" w:color="000000"/>
              <w:right w:val="single" w:sz="4" w:space="0" w:color="000000"/>
            </w:tcBorders>
            <w:shd w:val="clear" w:color="auto" w:fill="D9D9D9"/>
            <w:tcMar>
              <w:top w:w="15" w:type="dxa"/>
              <w:left w:w="113" w:type="dxa"/>
              <w:bottom w:w="0" w:type="dxa"/>
              <w:right w:w="15" w:type="dxa"/>
            </w:tcMar>
            <w:vAlign w:val="center"/>
            <w:hideMark/>
          </w:tcPr>
          <w:p w:rsidR="00B2716A" w:rsidRPr="00BF70D1" w:rsidRDefault="00BF70D1" w:rsidP="00586F7D">
            <w:r w:rsidRPr="00BF70D1">
              <w:t xml:space="preserve">Melbourne </w:t>
            </w:r>
          </w:p>
        </w:tc>
        <w:tc>
          <w:tcPr>
            <w:tcW w:w="2127"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0" w:type="dxa"/>
              <w:right w:w="108" w:type="dxa"/>
            </w:tcMar>
            <w:vAlign w:val="center"/>
            <w:hideMark/>
          </w:tcPr>
          <w:p w:rsidR="00B2716A" w:rsidRPr="00BF70D1" w:rsidRDefault="00BF70D1" w:rsidP="00586F7D">
            <w:pPr>
              <w:jc w:val="center"/>
            </w:pPr>
            <w:r w:rsidRPr="00BF70D1">
              <w:t>77.3</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0" w:type="dxa"/>
              <w:right w:w="108" w:type="dxa"/>
            </w:tcMar>
            <w:vAlign w:val="center"/>
            <w:hideMark/>
          </w:tcPr>
          <w:p w:rsidR="00B2716A" w:rsidRPr="00BF70D1" w:rsidRDefault="00BF70D1" w:rsidP="00586F7D">
            <w:pPr>
              <w:jc w:val="center"/>
            </w:pPr>
            <w:r w:rsidRPr="00BF70D1">
              <w:t>-15.4%</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08" w:type="dxa"/>
              <w:bottom w:w="0" w:type="dxa"/>
              <w:right w:w="108" w:type="dxa"/>
            </w:tcMar>
            <w:vAlign w:val="center"/>
            <w:hideMark/>
          </w:tcPr>
          <w:p w:rsidR="00B2716A" w:rsidRPr="00BF70D1" w:rsidRDefault="00BF70D1" w:rsidP="00586F7D">
            <w:pPr>
              <w:jc w:val="center"/>
            </w:pPr>
            <w:r w:rsidRPr="00BF70D1">
              <w:t>35,070</w:t>
            </w:r>
          </w:p>
        </w:tc>
      </w:tr>
      <w:tr w:rsidR="00BF70D1" w:rsidRPr="00BF70D1" w:rsidTr="00586F7D">
        <w:trPr>
          <w:trHeight w:val="1203"/>
        </w:trPr>
        <w:tc>
          <w:tcPr>
            <w:tcW w:w="2990" w:type="dxa"/>
            <w:tcBorders>
              <w:top w:val="single" w:sz="4" w:space="0" w:color="000000"/>
              <w:left w:val="single" w:sz="8" w:space="0" w:color="000000"/>
              <w:bottom w:val="single" w:sz="4" w:space="0" w:color="000000"/>
              <w:right w:val="single" w:sz="4" w:space="0" w:color="000000"/>
            </w:tcBorders>
            <w:shd w:val="clear" w:color="auto" w:fill="auto"/>
            <w:tcMar>
              <w:top w:w="15" w:type="dxa"/>
              <w:left w:w="113" w:type="dxa"/>
              <w:bottom w:w="0" w:type="dxa"/>
              <w:right w:w="15" w:type="dxa"/>
            </w:tcMar>
            <w:vAlign w:val="center"/>
            <w:hideMark/>
          </w:tcPr>
          <w:p w:rsidR="00B2716A" w:rsidRPr="00BF70D1" w:rsidRDefault="00BF70D1" w:rsidP="00586F7D">
            <w:r w:rsidRPr="00BF70D1">
              <w:t>Rest of Victoria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F70D1" w:rsidRDefault="00BF70D1" w:rsidP="00586F7D">
            <w:pPr>
              <w:jc w:val="center"/>
            </w:pPr>
            <w:r w:rsidRPr="00BF70D1">
              <w:t>94.6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F70D1" w:rsidRDefault="00BF70D1" w:rsidP="00586F7D">
            <w:pPr>
              <w:jc w:val="center"/>
            </w:pPr>
            <w:r w:rsidRPr="00BF70D1">
              <w:t>-12.2%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F70D1" w:rsidRDefault="00BF70D1" w:rsidP="00586F7D">
            <w:pPr>
              <w:jc w:val="center"/>
            </w:pPr>
            <w:r w:rsidRPr="00BF70D1">
              <w:t>4,096</w:t>
            </w:r>
          </w:p>
        </w:tc>
      </w:tr>
      <w:tr w:rsidR="00BF70D1" w:rsidRPr="00BF70D1" w:rsidTr="00586F7D">
        <w:trPr>
          <w:trHeight w:val="988"/>
        </w:trPr>
        <w:tc>
          <w:tcPr>
            <w:tcW w:w="2990" w:type="dxa"/>
            <w:tcBorders>
              <w:top w:val="single" w:sz="4" w:space="0" w:color="000000"/>
              <w:left w:val="single" w:sz="8" w:space="0" w:color="000000"/>
              <w:bottom w:val="single" w:sz="8" w:space="0" w:color="000000"/>
              <w:right w:val="single" w:sz="4" w:space="0" w:color="000000"/>
            </w:tcBorders>
            <w:shd w:val="clear" w:color="auto" w:fill="auto"/>
            <w:tcMar>
              <w:top w:w="15" w:type="dxa"/>
              <w:left w:w="113" w:type="dxa"/>
              <w:bottom w:w="0" w:type="dxa"/>
              <w:right w:w="15" w:type="dxa"/>
            </w:tcMar>
            <w:vAlign w:val="center"/>
            <w:hideMark/>
          </w:tcPr>
          <w:p w:rsidR="00B2716A" w:rsidRPr="00BF70D1" w:rsidRDefault="00BF70D1" w:rsidP="00586F7D">
            <w:r w:rsidRPr="00BF70D1">
              <w:t xml:space="preserve">Australia </w:t>
            </w:r>
          </w:p>
        </w:tc>
        <w:tc>
          <w:tcPr>
            <w:tcW w:w="2127"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BF70D1" w:rsidRDefault="00BF70D1" w:rsidP="00586F7D">
            <w:pPr>
              <w:jc w:val="center"/>
            </w:pPr>
            <w:r w:rsidRPr="00BF70D1">
              <w:t>80.6</w:t>
            </w:r>
          </w:p>
        </w:tc>
        <w:tc>
          <w:tcPr>
            <w:tcW w:w="198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BF70D1" w:rsidRDefault="00BF70D1" w:rsidP="00586F7D">
            <w:pPr>
              <w:jc w:val="center"/>
            </w:pPr>
            <w:r w:rsidRPr="00BF70D1">
              <w:t>-20.9%</w:t>
            </w:r>
          </w:p>
        </w:tc>
        <w:tc>
          <w:tcPr>
            <w:tcW w:w="1985"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BF70D1" w:rsidRDefault="00BF70D1" w:rsidP="00586F7D">
            <w:pPr>
              <w:jc w:val="center"/>
            </w:pPr>
            <w:r w:rsidRPr="00BF70D1">
              <w:t>162,688</w:t>
            </w:r>
          </w:p>
        </w:tc>
      </w:tr>
    </w:tbl>
    <w:p w:rsidR="00585787" w:rsidRDefault="00586F7D" w:rsidP="00586F7D">
      <w:pPr>
        <w:rPr>
          <w:rFonts w:cs="Calibri"/>
          <w:kern w:val="24"/>
          <w:szCs w:val="24"/>
          <w:lang w:eastAsia="en-AU"/>
        </w:rPr>
      </w:pPr>
      <w:r>
        <w:rPr>
          <w:rFonts w:cs="Calibri"/>
          <w:i/>
          <w:iCs/>
          <w:kern w:val="24"/>
          <w:szCs w:val="24"/>
          <w:lang w:eastAsia="en-AU"/>
        </w:rPr>
        <w:t xml:space="preserve">Source: </w:t>
      </w:r>
      <w:r w:rsidR="00585787">
        <w:rPr>
          <w:rFonts w:cs="Calibri"/>
          <w:i/>
          <w:iCs/>
          <w:kern w:val="24"/>
          <w:szCs w:val="24"/>
          <w:lang w:eastAsia="en-AU"/>
        </w:rPr>
        <w:t>DEEWR Vacancy Report, July 2013 (three month moving average)</w:t>
      </w:r>
    </w:p>
    <w:p w:rsidR="00585787" w:rsidRDefault="00585787" w:rsidP="00586F7D">
      <w:pPr>
        <w:rPr>
          <w:rFonts w:cs="Calibri"/>
          <w:kern w:val="24"/>
          <w:szCs w:val="24"/>
          <w:lang w:eastAsia="en-AU"/>
        </w:rPr>
      </w:pPr>
    </w:p>
    <w:p w:rsidR="00585787" w:rsidRDefault="00585787" w:rsidP="00586F7D">
      <w:pPr>
        <w:rPr>
          <w:rFonts w:cs="Calibri"/>
          <w:kern w:val="24"/>
          <w:szCs w:val="24"/>
          <w:lang w:eastAsia="en-AU"/>
        </w:rPr>
      </w:pPr>
      <w:r>
        <w:rPr>
          <w:rFonts w:cs="Calibri"/>
          <w:kern w:val="24"/>
          <w:szCs w:val="24"/>
          <w:lang w:eastAsia="en-AU"/>
        </w:rPr>
        <w:t>Internet vacancies have dropped considerably for Melbourne over the 12 months to July 2013 (down 15.4%). Nevertheless, the fall in vacancies is well below that for Australia overall (down 20.9%).</w:t>
      </w:r>
    </w:p>
    <w:p w:rsidR="00585787" w:rsidRDefault="00585787">
      <w:r>
        <w:br w:type="page"/>
      </w:r>
    </w:p>
    <w:p w:rsidR="00586F7D" w:rsidRPr="00586F7D" w:rsidRDefault="00585787" w:rsidP="00586F7D">
      <w:pPr>
        <w:pStyle w:val="Heading1"/>
        <w:rPr>
          <w:lang w:eastAsia="en-AU"/>
        </w:rPr>
      </w:pPr>
      <w:r>
        <w:lastRenderedPageBreak/>
        <w:t>Slide 14</w:t>
      </w:r>
      <w:r w:rsidR="00586F7D">
        <w:t xml:space="preserve"> </w:t>
      </w:r>
      <w:r w:rsidR="00586F7D" w:rsidRPr="00586F7D">
        <w:rPr>
          <w:lang w:eastAsia="en-AU"/>
        </w:rPr>
        <w:t>The PEA is a net exporter of skilled labour</w:t>
      </w:r>
    </w:p>
    <w:p w:rsidR="00585787" w:rsidRDefault="00585787" w:rsidP="00585787">
      <w:pPr>
        <w:spacing w:line="360" w:lineRule="auto"/>
      </w:pPr>
    </w:p>
    <w:p w:rsidR="00585787" w:rsidRDefault="00586F7D" w:rsidP="00585787">
      <w:pPr>
        <w:spacing w:line="360" w:lineRule="auto"/>
      </w:pPr>
      <w:r w:rsidRPr="00586F7D">
        <w:rPr>
          <w:noProof/>
          <w:lang w:eastAsia="en-AU"/>
        </w:rPr>
        <w:drawing>
          <wp:inline distT="0" distB="0" distL="0" distR="0" wp14:anchorId="37CA6DCF" wp14:editId="6BE37317">
            <wp:extent cx="5760000" cy="4320000"/>
            <wp:effectExtent l="19050" t="19050" r="12700" b="23495"/>
            <wp:docPr id="15" name="Picture 15" descr="Decorative, further desc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000" cy="4320000"/>
                    </a:xfrm>
                    <a:prstGeom prst="rect">
                      <a:avLst/>
                    </a:prstGeom>
                    <a:ln>
                      <a:solidFill>
                        <a:schemeClr val="accent1"/>
                      </a:solidFill>
                    </a:ln>
                  </pic:spPr>
                </pic:pic>
              </a:graphicData>
            </a:graphic>
          </wp:inline>
        </w:drawing>
      </w:r>
    </w:p>
    <w:p w:rsidR="00585787" w:rsidRPr="00586F7D" w:rsidRDefault="00585787" w:rsidP="00586F7D">
      <w:pPr>
        <w:rPr>
          <w:i/>
          <w:lang w:eastAsia="en-AU"/>
        </w:rPr>
      </w:pPr>
      <w:r w:rsidRPr="00586F7D">
        <w:rPr>
          <w:i/>
          <w:lang w:eastAsia="en-AU"/>
        </w:rPr>
        <w:t>Source:  ABS Census of Population and Housing, 2011</w:t>
      </w:r>
    </w:p>
    <w:p w:rsidR="00585787" w:rsidRDefault="00585787" w:rsidP="00586F7D">
      <w:pPr>
        <w:rPr>
          <w:lang w:eastAsia="en-AU"/>
        </w:rPr>
      </w:pPr>
    </w:p>
    <w:p w:rsidR="00585787" w:rsidRDefault="00585787" w:rsidP="00586F7D">
      <w:pPr>
        <w:rPr>
          <w:lang w:eastAsia="en-AU"/>
        </w:rPr>
      </w:pPr>
      <w:r>
        <w:rPr>
          <w:lang w:eastAsia="en-AU"/>
        </w:rPr>
        <w:t>The PEA is a net exporter of skilled labour. At the time of the 2011 Census, 198,000 people who lived in the PEA reported their place of work as being in the North Western Melbourne PEA.* Almost as many, 159,230 (45% of employed people living in the PEA) travelled outside the PEA for work. In contrast, only 85,510 of those who reported their place of work as being in the North Western Melbourne PEA lived outside the PEA (30% of total population who worked in the PEA).</w:t>
      </w:r>
    </w:p>
    <w:p w:rsidR="00585787" w:rsidRDefault="00585787" w:rsidP="00586F7D">
      <w:pPr>
        <w:rPr>
          <w:lang w:eastAsia="en-AU"/>
        </w:rPr>
      </w:pPr>
    </w:p>
    <w:p w:rsidR="00585787" w:rsidRDefault="00585787" w:rsidP="00586F7D">
      <w:pPr>
        <w:rPr>
          <w:lang w:eastAsia="en-AU"/>
        </w:rPr>
      </w:pPr>
      <w:r>
        <w:rPr>
          <w:lang w:eastAsia="en-AU"/>
        </w:rPr>
        <w:t>*Note: 15% of employed people living in the PEA (63,900 people) did not state or inadequately described their place of work.</w:t>
      </w:r>
    </w:p>
    <w:p w:rsidR="00585787" w:rsidRDefault="00585787" w:rsidP="00586F7D">
      <w:pPr>
        <w:rPr>
          <w:lang w:eastAsia="en-AU"/>
        </w:rPr>
      </w:pPr>
    </w:p>
    <w:p w:rsidR="00585787" w:rsidRDefault="005F21A5" w:rsidP="004E5E8A">
      <w:pPr>
        <w:tabs>
          <w:tab w:val="left" w:pos="4820"/>
          <w:tab w:val="left" w:pos="6946"/>
        </w:tabs>
        <w:rPr>
          <w:lang w:eastAsia="en-AU"/>
        </w:rPr>
      </w:pPr>
      <w:r>
        <w:rPr>
          <w:b/>
          <w:bCs/>
          <w:lang w:eastAsia="en-AU"/>
        </w:rPr>
        <w:t>People who work in the PEA</w:t>
      </w:r>
      <w:r>
        <w:rPr>
          <w:b/>
          <w:bCs/>
          <w:lang w:eastAsia="en-AU"/>
        </w:rPr>
        <w:tab/>
      </w:r>
      <w:r w:rsidR="00585787">
        <w:rPr>
          <w:b/>
          <w:bCs/>
          <w:lang w:eastAsia="en-AU"/>
        </w:rPr>
        <w:t>283,500</w:t>
      </w:r>
    </w:p>
    <w:p w:rsidR="00585787" w:rsidRDefault="00586F7D" w:rsidP="004E5E8A">
      <w:pPr>
        <w:tabs>
          <w:tab w:val="left" w:pos="4820"/>
          <w:tab w:val="left" w:pos="6946"/>
        </w:tabs>
        <w:ind w:left="567"/>
        <w:rPr>
          <w:lang w:eastAsia="en-AU"/>
        </w:rPr>
      </w:pPr>
      <w:r>
        <w:rPr>
          <w:lang w:eastAsia="en-AU"/>
        </w:rPr>
        <w:t xml:space="preserve">- </w:t>
      </w:r>
      <w:proofErr w:type="gramStart"/>
      <w:r>
        <w:rPr>
          <w:lang w:eastAsia="en-AU"/>
        </w:rPr>
        <w:t>and</w:t>
      </w:r>
      <w:proofErr w:type="gramEnd"/>
      <w:r>
        <w:rPr>
          <w:lang w:eastAsia="en-AU"/>
        </w:rPr>
        <w:t xml:space="preserve"> live in the PEA</w:t>
      </w:r>
      <w:r>
        <w:rPr>
          <w:lang w:eastAsia="en-AU"/>
        </w:rPr>
        <w:tab/>
      </w:r>
      <w:r w:rsidR="005F21A5">
        <w:rPr>
          <w:lang w:eastAsia="en-AU"/>
        </w:rPr>
        <w:t>198,000</w:t>
      </w:r>
      <w:r w:rsidR="005F21A5">
        <w:rPr>
          <w:lang w:eastAsia="en-AU"/>
        </w:rPr>
        <w:tab/>
      </w:r>
      <w:r w:rsidR="00585787">
        <w:rPr>
          <w:lang w:eastAsia="en-AU"/>
        </w:rPr>
        <w:t>70%</w:t>
      </w:r>
    </w:p>
    <w:p w:rsidR="00585787" w:rsidRDefault="00586F7D" w:rsidP="004E5E8A">
      <w:pPr>
        <w:tabs>
          <w:tab w:val="left" w:pos="4820"/>
          <w:tab w:val="left" w:pos="6946"/>
        </w:tabs>
        <w:ind w:left="567"/>
        <w:rPr>
          <w:lang w:eastAsia="en-AU"/>
        </w:rPr>
      </w:pPr>
      <w:r>
        <w:rPr>
          <w:lang w:eastAsia="en-AU"/>
        </w:rPr>
        <w:t xml:space="preserve">- </w:t>
      </w:r>
      <w:proofErr w:type="gramStart"/>
      <w:r>
        <w:rPr>
          <w:lang w:eastAsia="en-AU"/>
        </w:rPr>
        <w:t>and</w:t>
      </w:r>
      <w:proofErr w:type="gramEnd"/>
      <w:r>
        <w:rPr>
          <w:lang w:eastAsia="en-AU"/>
        </w:rPr>
        <w:t xml:space="preserve"> live outside the PEA</w:t>
      </w:r>
      <w:r>
        <w:rPr>
          <w:lang w:eastAsia="en-AU"/>
        </w:rPr>
        <w:tab/>
      </w:r>
      <w:r w:rsidR="005F21A5">
        <w:rPr>
          <w:lang w:eastAsia="en-AU"/>
        </w:rPr>
        <w:t>85,500</w:t>
      </w:r>
      <w:r w:rsidR="005F21A5">
        <w:rPr>
          <w:lang w:eastAsia="en-AU"/>
        </w:rPr>
        <w:tab/>
      </w:r>
      <w:r w:rsidR="00585787">
        <w:rPr>
          <w:lang w:eastAsia="en-AU"/>
        </w:rPr>
        <w:t>30%</w:t>
      </w:r>
    </w:p>
    <w:p w:rsidR="00585787" w:rsidRDefault="00585787" w:rsidP="00586F7D">
      <w:pPr>
        <w:tabs>
          <w:tab w:val="left" w:pos="3402"/>
          <w:tab w:val="left" w:pos="5103"/>
        </w:tabs>
        <w:rPr>
          <w:lang w:eastAsia="en-AU"/>
        </w:rPr>
      </w:pPr>
      <w:r>
        <w:rPr>
          <w:b/>
          <w:bCs/>
          <w:lang w:eastAsia="en-AU"/>
        </w:rPr>
        <w:t> </w:t>
      </w:r>
    </w:p>
    <w:p w:rsidR="005F21A5" w:rsidRDefault="00585787" w:rsidP="00BE1CFE">
      <w:pPr>
        <w:tabs>
          <w:tab w:val="left" w:pos="4820"/>
          <w:tab w:val="left" w:pos="6946"/>
        </w:tabs>
        <w:rPr>
          <w:lang w:eastAsia="en-AU"/>
        </w:rPr>
      </w:pPr>
      <w:r>
        <w:rPr>
          <w:b/>
          <w:bCs/>
          <w:lang w:eastAsia="en-AU"/>
        </w:rPr>
        <w:t>Employed people who live in the PEA</w:t>
      </w:r>
      <w:r>
        <w:rPr>
          <w:lang w:eastAsia="en-AU"/>
        </w:rPr>
        <w:tab/>
      </w:r>
      <w:r>
        <w:rPr>
          <w:b/>
          <w:bCs/>
          <w:lang w:eastAsia="en-AU"/>
        </w:rPr>
        <w:t>357,200</w:t>
      </w:r>
    </w:p>
    <w:p w:rsidR="00585787" w:rsidRDefault="00BE1CFE" w:rsidP="00BE1CFE">
      <w:pPr>
        <w:tabs>
          <w:tab w:val="left" w:pos="4820"/>
          <w:tab w:val="left" w:pos="6946"/>
        </w:tabs>
        <w:ind w:left="567"/>
        <w:rPr>
          <w:lang w:eastAsia="en-AU"/>
        </w:rPr>
      </w:pPr>
      <w:r>
        <w:rPr>
          <w:lang w:eastAsia="en-AU"/>
        </w:rPr>
        <w:t xml:space="preserve">- </w:t>
      </w:r>
      <w:proofErr w:type="gramStart"/>
      <w:r>
        <w:rPr>
          <w:lang w:eastAsia="en-AU"/>
        </w:rPr>
        <w:t>and</w:t>
      </w:r>
      <w:proofErr w:type="gramEnd"/>
      <w:r>
        <w:rPr>
          <w:lang w:eastAsia="en-AU"/>
        </w:rPr>
        <w:t xml:space="preserve"> work in the PEA</w:t>
      </w:r>
      <w:r>
        <w:rPr>
          <w:lang w:eastAsia="en-AU"/>
        </w:rPr>
        <w:tab/>
      </w:r>
      <w:r w:rsidR="005F21A5">
        <w:rPr>
          <w:lang w:eastAsia="en-AU"/>
        </w:rPr>
        <w:t xml:space="preserve">198,000 </w:t>
      </w:r>
      <w:r w:rsidR="005F21A5">
        <w:rPr>
          <w:lang w:eastAsia="en-AU"/>
        </w:rPr>
        <w:tab/>
      </w:r>
      <w:r w:rsidR="00585787">
        <w:rPr>
          <w:lang w:eastAsia="en-AU"/>
        </w:rPr>
        <w:t>55%</w:t>
      </w:r>
    </w:p>
    <w:p w:rsidR="00585787" w:rsidRDefault="005F21A5" w:rsidP="00BE1CFE">
      <w:pPr>
        <w:tabs>
          <w:tab w:val="left" w:pos="4820"/>
          <w:tab w:val="left" w:pos="6946"/>
        </w:tabs>
        <w:ind w:left="567"/>
        <w:rPr>
          <w:lang w:eastAsia="en-AU"/>
        </w:rPr>
      </w:pPr>
      <w:r>
        <w:rPr>
          <w:lang w:eastAsia="en-AU"/>
        </w:rPr>
        <w:t xml:space="preserve">- </w:t>
      </w:r>
      <w:proofErr w:type="gramStart"/>
      <w:r>
        <w:rPr>
          <w:lang w:eastAsia="en-AU"/>
        </w:rPr>
        <w:t>and</w:t>
      </w:r>
      <w:proofErr w:type="gramEnd"/>
      <w:r>
        <w:rPr>
          <w:lang w:eastAsia="en-AU"/>
        </w:rPr>
        <w:t xml:space="preserve"> work outside the PEA</w:t>
      </w:r>
      <w:r>
        <w:rPr>
          <w:lang w:eastAsia="en-AU"/>
        </w:rPr>
        <w:tab/>
      </w:r>
      <w:r w:rsidR="00BE1CFE">
        <w:rPr>
          <w:lang w:eastAsia="en-AU"/>
        </w:rPr>
        <w:t xml:space="preserve">159,200 </w:t>
      </w:r>
      <w:r w:rsidR="00BE1CFE">
        <w:rPr>
          <w:lang w:eastAsia="en-AU"/>
        </w:rPr>
        <w:tab/>
      </w:r>
      <w:r w:rsidR="00585787">
        <w:rPr>
          <w:lang w:eastAsia="en-AU"/>
        </w:rPr>
        <w:t>45%</w:t>
      </w:r>
    </w:p>
    <w:p w:rsidR="00585787" w:rsidRDefault="00585787">
      <w:r>
        <w:br w:type="page"/>
      </w:r>
    </w:p>
    <w:p w:rsidR="005F21A5" w:rsidRPr="005F21A5" w:rsidRDefault="00585787" w:rsidP="005F21A5">
      <w:pPr>
        <w:pStyle w:val="Heading1"/>
        <w:rPr>
          <w:lang w:eastAsia="en-AU"/>
        </w:rPr>
      </w:pPr>
      <w:r>
        <w:lastRenderedPageBreak/>
        <w:t>Slide 15</w:t>
      </w:r>
      <w:r w:rsidR="005F21A5">
        <w:t xml:space="preserve"> </w:t>
      </w:r>
      <w:r w:rsidR="005F21A5" w:rsidRPr="005F21A5">
        <w:rPr>
          <w:lang w:eastAsia="en-AU"/>
        </w:rPr>
        <w:t>Long-term Unemployment</w:t>
      </w:r>
    </w:p>
    <w:p w:rsidR="00585787" w:rsidRDefault="00585787" w:rsidP="00585787">
      <w:pPr>
        <w:spacing w:line="360" w:lineRule="auto"/>
      </w:pPr>
    </w:p>
    <w:tbl>
      <w:tblPr>
        <w:tblW w:w="9061" w:type="dxa"/>
        <w:tblCellMar>
          <w:left w:w="0" w:type="dxa"/>
          <w:right w:w="0" w:type="dxa"/>
        </w:tblCellMar>
        <w:tblLook w:val="0600" w:firstRow="0" w:lastRow="0" w:firstColumn="0" w:lastColumn="0" w:noHBand="1" w:noVBand="1"/>
      </w:tblPr>
      <w:tblGrid>
        <w:gridCol w:w="3121"/>
        <w:gridCol w:w="1843"/>
        <w:gridCol w:w="1701"/>
        <w:gridCol w:w="2396"/>
      </w:tblGrid>
      <w:tr w:rsidR="005F21A5" w:rsidRPr="005F21A5" w:rsidTr="00145656">
        <w:trPr>
          <w:trHeight w:val="1391"/>
        </w:trPr>
        <w:tc>
          <w:tcPr>
            <w:tcW w:w="3121" w:type="dxa"/>
            <w:vMerge w:val="restart"/>
            <w:tcBorders>
              <w:top w:val="single" w:sz="8" w:space="0" w:color="000000"/>
              <w:left w:val="single" w:sz="8" w:space="0" w:color="000000"/>
              <w:bottom w:val="single" w:sz="8" w:space="0" w:color="000000"/>
              <w:right w:val="single" w:sz="8" w:space="0" w:color="000000"/>
            </w:tcBorders>
            <w:shd w:val="clear" w:color="auto" w:fill="ACCAEC"/>
            <w:tcMar>
              <w:top w:w="15" w:type="dxa"/>
              <w:left w:w="144" w:type="dxa"/>
              <w:bottom w:w="0" w:type="dxa"/>
              <w:right w:w="15" w:type="dxa"/>
            </w:tcMar>
            <w:vAlign w:val="center"/>
            <w:hideMark/>
          </w:tcPr>
          <w:p w:rsidR="00B2716A" w:rsidRPr="005F21A5" w:rsidRDefault="005F21A5" w:rsidP="00145656">
            <w:pPr>
              <w:pStyle w:val="Heading1"/>
              <w:jc w:val="left"/>
              <w:rPr>
                <w:sz w:val="28"/>
              </w:rPr>
            </w:pPr>
            <w:r w:rsidRPr="005F21A5">
              <w:rPr>
                <w:sz w:val="28"/>
              </w:rPr>
              <w:t>Region</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sidRPr="005F21A5">
              <w:rPr>
                <w:sz w:val="28"/>
              </w:rPr>
              <w:t>Long-term unemployed July 2013 (52 weeks or more)</w:t>
            </w:r>
          </w:p>
        </w:tc>
        <w:tc>
          <w:tcPr>
            <w:tcW w:w="2396" w:type="dxa"/>
            <w:vMerge w:val="restart"/>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0F2C" w:rsidP="005F21A5">
            <w:pPr>
              <w:pStyle w:val="Heading1"/>
              <w:rPr>
                <w:sz w:val="28"/>
              </w:rPr>
            </w:pPr>
            <w:r>
              <w:rPr>
                <w:sz w:val="28"/>
              </w:rPr>
              <w:t xml:space="preserve">Average duration </w:t>
            </w:r>
            <w:r w:rsidR="005F21A5" w:rsidRPr="005F21A5">
              <w:rPr>
                <w:sz w:val="28"/>
              </w:rPr>
              <w:t>of unemployment</w:t>
            </w:r>
          </w:p>
        </w:tc>
      </w:tr>
      <w:tr w:rsidR="005F21A5" w:rsidRPr="005F21A5" w:rsidTr="005F21A5">
        <w:trPr>
          <w:trHeight w:val="1202"/>
        </w:trPr>
        <w:tc>
          <w:tcPr>
            <w:tcW w:w="3121" w:type="dxa"/>
            <w:vMerge/>
            <w:tcBorders>
              <w:top w:val="single" w:sz="8" w:space="0" w:color="000000"/>
              <w:left w:val="single" w:sz="8" w:space="0" w:color="000000"/>
              <w:bottom w:val="single" w:sz="8" w:space="0" w:color="000000"/>
              <w:right w:val="single" w:sz="8" w:space="0" w:color="000000"/>
            </w:tcBorders>
            <w:vAlign w:val="center"/>
            <w:hideMark/>
          </w:tcPr>
          <w:p w:rsidR="005F21A5" w:rsidRPr="005F21A5" w:rsidRDefault="005F21A5" w:rsidP="005F21A5">
            <w:pPr>
              <w:pStyle w:val="Heading1"/>
              <w:rPr>
                <w:sz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sidRPr="005F21A5">
              <w:rPr>
                <w:sz w:val="28"/>
              </w:rPr>
              <w:t>Persons</w:t>
            </w:r>
          </w:p>
        </w:tc>
        <w:tc>
          <w:tcPr>
            <w:tcW w:w="1701" w:type="dxa"/>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sidRPr="005F21A5">
              <w:rPr>
                <w:sz w:val="28"/>
              </w:rPr>
              <w:t>% of all unemployed</w:t>
            </w:r>
          </w:p>
        </w:tc>
        <w:tc>
          <w:tcPr>
            <w:tcW w:w="2396" w:type="dxa"/>
            <w:vMerge/>
            <w:tcBorders>
              <w:top w:val="single" w:sz="8" w:space="0" w:color="000000"/>
              <w:left w:val="single" w:sz="8" w:space="0" w:color="000000"/>
              <w:bottom w:val="single" w:sz="8" w:space="0" w:color="000000"/>
              <w:right w:val="single" w:sz="8" w:space="0" w:color="000000"/>
            </w:tcBorders>
            <w:vAlign w:val="center"/>
            <w:hideMark/>
          </w:tcPr>
          <w:p w:rsidR="005F21A5" w:rsidRPr="005F21A5" w:rsidRDefault="005F21A5" w:rsidP="005F21A5">
            <w:pPr>
              <w:pStyle w:val="Heading1"/>
              <w:rPr>
                <w:sz w:val="28"/>
              </w:rPr>
            </w:pPr>
          </w:p>
        </w:tc>
      </w:tr>
      <w:tr w:rsidR="005F21A5" w:rsidRPr="005F21A5" w:rsidTr="005F21A5">
        <w:trPr>
          <w:trHeight w:val="119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pPr>
              <w:jc w:val="left"/>
            </w:pPr>
            <w:r w:rsidRPr="005F21A5">
              <w:t>North Western Melbourne LFR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1,500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15%</w:t>
            </w:r>
          </w:p>
        </w:tc>
        <w:tc>
          <w:tcPr>
            <w:tcW w:w="2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28 weeks</w:t>
            </w:r>
          </w:p>
        </w:tc>
      </w:tr>
      <w:tr w:rsidR="005F21A5" w:rsidRPr="005F21A5" w:rsidTr="005F21A5">
        <w:trPr>
          <w:trHeight w:val="1015"/>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pPr>
              <w:jc w:val="left"/>
            </w:pPr>
            <w:r w:rsidRPr="005F21A5">
              <w:t>Outer Western Melbourne LFR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6,000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22%</w:t>
            </w:r>
          </w:p>
        </w:tc>
        <w:tc>
          <w:tcPr>
            <w:tcW w:w="2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39 weeks</w:t>
            </w:r>
          </w:p>
        </w:tc>
      </w:tr>
      <w:tr w:rsidR="005F21A5" w:rsidRPr="005F21A5" w:rsidTr="005F21A5">
        <w:trPr>
          <w:trHeight w:val="103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r w:rsidRPr="005F21A5">
              <w:t>Victoria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29,400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17%</w:t>
            </w:r>
          </w:p>
        </w:tc>
        <w:tc>
          <w:tcPr>
            <w:tcW w:w="2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33 weeks</w:t>
            </w:r>
          </w:p>
        </w:tc>
      </w:tr>
      <w:tr w:rsidR="005F21A5" w:rsidRPr="005F21A5" w:rsidTr="005F21A5">
        <w:trPr>
          <w:trHeight w:val="812"/>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r w:rsidRPr="005F21A5">
              <w:t>Australia</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125,900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19%</w:t>
            </w:r>
          </w:p>
        </w:tc>
        <w:tc>
          <w:tcPr>
            <w:tcW w:w="23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37 weeks</w:t>
            </w:r>
          </w:p>
        </w:tc>
      </w:tr>
    </w:tbl>
    <w:p w:rsidR="00585787" w:rsidRPr="005F21A5" w:rsidRDefault="00585787" w:rsidP="005F21A5">
      <w:pPr>
        <w:rPr>
          <w:i/>
          <w:lang w:eastAsia="en-AU"/>
        </w:rPr>
      </w:pPr>
      <w:r w:rsidRPr="005F21A5">
        <w:rPr>
          <w:i/>
          <w:lang w:eastAsia="en-AU"/>
        </w:rPr>
        <w:t>Source: ABS labour Force, July 2013 (12 month averages)</w:t>
      </w:r>
    </w:p>
    <w:p w:rsidR="00585787" w:rsidRDefault="00585787" w:rsidP="005F21A5">
      <w:pPr>
        <w:rPr>
          <w:lang w:eastAsia="en-AU"/>
        </w:rPr>
      </w:pPr>
    </w:p>
    <w:p w:rsidR="00585787" w:rsidRDefault="00585787" w:rsidP="005F21A5">
      <w:pPr>
        <w:rPr>
          <w:lang w:eastAsia="en-AU"/>
        </w:rPr>
      </w:pPr>
      <w:r>
        <w:rPr>
          <w:lang w:eastAsia="en-AU"/>
        </w:rPr>
        <w:t>The average duration of unemployment in the Outer Western Melbourne LFR was 39 weeks whilst the North Western Melbourne LFR was 28 weeks.</w:t>
      </w:r>
    </w:p>
    <w:p w:rsidR="00585787" w:rsidRDefault="00585787" w:rsidP="005F21A5">
      <w:pPr>
        <w:rPr>
          <w:lang w:eastAsia="en-AU"/>
        </w:rPr>
      </w:pPr>
    </w:p>
    <w:p w:rsidR="00585787" w:rsidRDefault="00585787" w:rsidP="005F21A5">
      <w:pPr>
        <w:rPr>
          <w:lang w:eastAsia="en-AU"/>
        </w:rPr>
      </w:pPr>
      <w:r>
        <w:rPr>
          <w:lang w:eastAsia="en-AU"/>
        </w:rPr>
        <w:t xml:space="preserve">The average duration of unemployment for the Outer Western Melbourne LFR is 6 weeks longer than for Victoria. </w:t>
      </w:r>
    </w:p>
    <w:p w:rsidR="00585787" w:rsidRDefault="00585787" w:rsidP="005F21A5">
      <w:pPr>
        <w:rPr>
          <w:lang w:eastAsia="en-AU"/>
        </w:rPr>
      </w:pPr>
    </w:p>
    <w:p w:rsidR="00585787" w:rsidRDefault="00585787" w:rsidP="005F21A5">
      <w:pPr>
        <w:rPr>
          <w:lang w:eastAsia="en-AU"/>
        </w:rPr>
      </w:pPr>
      <w:r>
        <w:rPr>
          <w:lang w:eastAsia="en-AU"/>
        </w:rPr>
        <w:t>Overall, in the Outer Western Melbourne LFR 22% of all unemployed persons are unemployed for over 52 weeks. This is higher than the North Western Melbourne</w:t>
      </w:r>
      <w:r w:rsidR="005F21A5">
        <w:rPr>
          <w:lang w:eastAsia="en-AU"/>
        </w:rPr>
        <w:t xml:space="preserve"> LFR (15%) and Victoria (17%).</w:t>
      </w:r>
    </w:p>
    <w:p w:rsidR="00585787" w:rsidRDefault="00585787">
      <w:r>
        <w:br w:type="page"/>
      </w:r>
    </w:p>
    <w:p w:rsidR="005F21A5" w:rsidRPr="005F21A5" w:rsidRDefault="00585787" w:rsidP="005F21A5">
      <w:pPr>
        <w:pStyle w:val="Heading1"/>
        <w:rPr>
          <w:lang w:eastAsia="en-AU"/>
        </w:rPr>
      </w:pPr>
      <w:r>
        <w:lastRenderedPageBreak/>
        <w:t>Slide 16</w:t>
      </w:r>
      <w:r w:rsidR="005F21A5">
        <w:t xml:space="preserve"> </w:t>
      </w:r>
      <w:r w:rsidR="005F21A5" w:rsidRPr="005F21A5">
        <w:rPr>
          <w:lang w:eastAsia="en-AU"/>
        </w:rPr>
        <w:t xml:space="preserve">Teenagers looking for full-time work – </w:t>
      </w:r>
      <w:r w:rsidR="004E5E8A">
        <w:rPr>
          <w:lang w:eastAsia="en-AU"/>
        </w:rPr>
        <w:br/>
      </w:r>
      <w:r w:rsidR="005F21A5" w:rsidRPr="005F21A5">
        <w:rPr>
          <w:sz w:val="28"/>
          <w:lang w:eastAsia="en-AU"/>
        </w:rPr>
        <w:t>Persons aged 15-19 years</w:t>
      </w:r>
    </w:p>
    <w:p w:rsidR="00585787" w:rsidRDefault="00585787" w:rsidP="00585787">
      <w:pPr>
        <w:spacing w:line="360" w:lineRule="auto"/>
      </w:pPr>
    </w:p>
    <w:tbl>
      <w:tblPr>
        <w:tblW w:w="9216" w:type="dxa"/>
        <w:tblCellMar>
          <w:left w:w="0" w:type="dxa"/>
          <w:right w:w="0" w:type="dxa"/>
        </w:tblCellMar>
        <w:tblLook w:val="0600" w:firstRow="0" w:lastRow="0" w:firstColumn="0" w:lastColumn="0" w:noHBand="1" w:noVBand="1"/>
      </w:tblPr>
      <w:tblGrid>
        <w:gridCol w:w="3688"/>
        <w:gridCol w:w="1772"/>
        <w:gridCol w:w="1772"/>
        <w:gridCol w:w="1984"/>
      </w:tblGrid>
      <w:tr w:rsidR="005F21A5" w:rsidRPr="005F21A5" w:rsidTr="00145656">
        <w:trPr>
          <w:trHeight w:val="1862"/>
        </w:trPr>
        <w:tc>
          <w:tcPr>
            <w:tcW w:w="3688" w:type="dxa"/>
            <w:vMerge w:val="restart"/>
            <w:tcBorders>
              <w:top w:val="single" w:sz="8" w:space="0" w:color="000000"/>
              <w:left w:val="single" w:sz="8" w:space="0" w:color="000000"/>
              <w:bottom w:val="single" w:sz="8" w:space="0" w:color="000000"/>
              <w:right w:val="single" w:sz="8" w:space="0" w:color="000000"/>
            </w:tcBorders>
            <w:shd w:val="clear" w:color="auto" w:fill="ACCAEC"/>
            <w:tcMar>
              <w:top w:w="15" w:type="dxa"/>
              <w:left w:w="144" w:type="dxa"/>
              <w:bottom w:w="0" w:type="dxa"/>
              <w:right w:w="15" w:type="dxa"/>
            </w:tcMar>
            <w:vAlign w:val="center"/>
            <w:hideMark/>
          </w:tcPr>
          <w:p w:rsidR="00B2716A" w:rsidRPr="005F21A5" w:rsidRDefault="005F21A5" w:rsidP="00145656">
            <w:pPr>
              <w:pStyle w:val="Heading1"/>
              <w:jc w:val="left"/>
              <w:rPr>
                <w:sz w:val="28"/>
              </w:rPr>
            </w:pPr>
            <w:r w:rsidRPr="005F21A5">
              <w:rPr>
                <w:sz w:val="28"/>
              </w:rPr>
              <w:t>Region</w:t>
            </w:r>
          </w:p>
        </w:tc>
        <w:tc>
          <w:tcPr>
            <w:tcW w:w="3544" w:type="dxa"/>
            <w:gridSpan w:val="2"/>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sidRPr="005F21A5">
              <w:rPr>
                <w:sz w:val="28"/>
              </w:rPr>
              <w:t>Long-term unemployed</w:t>
            </w:r>
            <w:r>
              <w:rPr>
                <w:sz w:val="28"/>
              </w:rPr>
              <w:t xml:space="preserve"> </w:t>
            </w:r>
            <w:r>
              <w:rPr>
                <w:sz w:val="28"/>
              </w:rPr>
              <w:br/>
            </w:r>
            <w:r w:rsidRPr="005F21A5">
              <w:rPr>
                <w:sz w:val="28"/>
              </w:rPr>
              <w:t xml:space="preserve">July 2013 </w:t>
            </w:r>
            <w:r>
              <w:rPr>
                <w:sz w:val="28"/>
              </w:rPr>
              <w:br/>
            </w:r>
            <w:r w:rsidRPr="005F21A5">
              <w:rPr>
                <w:sz w:val="28"/>
              </w:rPr>
              <w:t>(52 weeks or more)</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Pr>
                <w:sz w:val="28"/>
              </w:rPr>
              <w:t xml:space="preserve">Average duration </w:t>
            </w:r>
            <w:r w:rsidRPr="005F21A5">
              <w:rPr>
                <w:sz w:val="28"/>
              </w:rPr>
              <w:t>of unemployment</w:t>
            </w:r>
          </w:p>
        </w:tc>
      </w:tr>
      <w:tr w:rsidR="005F21A5" w:rsidRPr="005F21A5" w:rsidTr="005F21A5">
        <w:trPr>
          <w:trHeight w:val="1202"/>
        </w:trPr>
        <w:tc>
          <w:tcPr>
            <w:tcW w:w="3688" w:type="dxa"/>
            <w:vMerge/>
            <w:tcBorders>
              <w:top w:val="single" w:sz="8" w:space="0" w:color="000000"/>
              <w:left w:val="single" w:sz="8" w:space="0" w:color="000000"/>
              <w:bottom w:val="single" w:sz="8" w:space="0" w:color="000000"/>
              <w:right w:val="single" w:sz="8" w:space="0" w:color="000000"/>
            </w:tcBorders>
            <w:vAlign w:val="center"/>
            <w:hideMark/>
          </w:tcPr>
          <w:p w:rsidR="005F21A5" w:rsidRPr="005F21A5" w:rsidRDefault="005F21A5" w:rsidP="005F21A5">
            <w:pPr>
              <w:pStyle w:val="Heading1"/>
              <w:rPr>
                <w:sz w:val="28"/>
              </w:rPr>
            </w:pPr>
          </w:p>
        </w:tc>
        <w:tc>
          <w:tcPr>
            <w:tcW w:w="1772" w:type="dxa"/>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sidRPr="005F21A5">
              <w:rPr>
                <w:sz w:val="28"/>
              </w:rPr>
              <w:t>Persons</w:t>
            </w:r>
          </w:p>
        </w:tc>
        <w:tc>
          <w:tcPr>
            <w:tcW w:w="1772" w:type="dxa"/>
            <w:tcBorders>
              <w:top w:val="single" w:sz="8" w:space="0" w:color="000000"/>
              <w:left w:val="single" w:sz="8" w:space="0" w:color="000000"/>
              <w:bottom w:val="single" w:sz="8" w:space="0" w:color="000000"/>
              <w:right w:val="single" w:sz="8" w:space="0" w:color="000000"/>
            </w:tcBorders>
            <w:shd w:val="clear" w:color="auto" w:fill="ACCAEC"/>
            <w:tcMar>
              <w:top w:w="15" w:type="dxa"/>
              <w:left w:w="15" w:type="dxa"/>
              <w:bottom w:w="0" w:type="dxa"/>
              <w:right w:w="15" w:type="dxa"/>
            </w:tcMar>
            <w:vAlign w:val="center"/>
            <w:hideMark/>
          </w:tcPr>
          <w:p w:rsidR="00B2716A" w:rsidRPr="005F21A5" w:rsidRDefault="005F21A5" w:rsidP="005F21A5">
            <w:pPr>
              <w:pStyle w:val="Heading1"/>
              <w:rPr>
                <w:sz w:val="28"/>
              </w:rPr>
            </w:pPr>
            <w:r w:rsidRPr="005F21A5">
              <w:rPr>
                <w:sz w:val="28"/>
              </w:rPr>
              <w:t>% of all unemployed</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5F21A5" w:rsidRPr="005F21A5" w:rsidRDefault="005F21A5" w:rsidP="005F21A5">
            <w:pPr>
              <w:pStyle w:val="Heading1"/>
              <w:rPr>
                <w:sz w:val="28"/>
              </w:rPr>
            </w:pPr>
          </w:p>
        </w:tc>
      </w:tr>
      <w:tr w:rsidR="005F21A5" w:rsidRPr="005F21A5" w:rsidTr="005F21A5">
        <w:trPr>
          <w:trHeight w:val="1196"/>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r w:rsidRPr="005F21A5">
              <w:t>North Western Melbourne LFR</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1,500</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15%</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28 weeks</w:t>
            </w:r>
          </w:p>
        </w:tc>
      </w:tr>
      <w:tr w:rsidR="005F21A5" w:rsidRPr="005F21A5" w:rsidTr="005F21A5">
        <w:trPr>
          <w:trHeight w:val="1015"/>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r w:rsidRPr="005F21A5">
              <w:t>Outer Western Melbourne LFR</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6,000</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22%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39 weeks</w:t>
            </w:r>
          </w:p>
        </w:tc>
      </w:tr>
      <w:tr w:rsidR="005F21A5" w:rsidRPr="005F21A5" w:rsidTr="005F21A5">
        <w:trPr>
          <w:trHeight w:val="1036"/>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r w:rsidRPr="005F21A5">
              <w:t>Victoria</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29,400</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17%</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33 weeks</w:t>
            </w:r>
          </w:p>
        </w:tc>
      </w:tr>
      <w:tr w:rsidR="005F21A5" w:rsidRPr="005F21A5" w:rsidTr="005F21A5">
        <w:trPr>
          <w:trHeight w:val="812"/>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5" w:type="dxa"/>
            </w:tcMar>
            <w:vAlign w:val="center"/>
            <w:hideMark/>
          </w:tcPr>
          <w:p w:rsidR="00B2716A" w:rsidRPr="005F21A5" w:rsidRDefault="005F21A5" w:rsidP="005F21A5">
            <w:r w:rsidRPr="005F21A5">
              <w:t>Australia</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125,900</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19%</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5F21A5" w:rsidRDefault="005F21A5" w:rsidP="005F21A5">
            <w:pPr>
              <w:jc w:val="center"/>
            </w:pPr>
            <w:r w:rsidRPr="005F21A5">
              <w:t>37 weeks</w:t>
            </w:r>
          </w:p>
        </w:tc>
      </w:tr>
    </w:tbl>
    <w:p w:rsidR="00585787" w:rsidRDefault="00585787" w:rsidP="00585787">
      <w:pPr>
        <w:autoSpaceDE w:val="0"/>
        <w:autoSpaceDN w:val="0"/>
        <w:adjustRightInd w:val="0"/>
        <w:rPr>
          <w:rFonts w:cs="Calibri"/>
          <w:kern w:val="24"/>
          <w:szCs w:val="24"/>
          <w:lang w:eastAsia="en-AU"/>
        </w:rPr>
      </w:pPr>
      <w:r>
        <w:rPr>
          <w:rFonts w:cs="Calibri"/>
          <w:i/>
          <w:iCs/>
          <w:kern w:val="24"/>
          <w:szCs w:val="24"/>
          <w:lang w:eastAsia="en-AU"/>
        </w:rPr>
        <w:t>Source:</w:t>
      </w:r>
      <w:r>
        <w:rPr>
          <w:rFonts w:cs="Calibri"/>
          <w:kern w:val="24"/>
          <w:szCs w:val="24"/>
          <w:lang w:eastAsia="en-AU"/>
        </w:rPr>
        <w:t xml:space="preserve"> </w:t>
      </w:r>
      <w:r>
        <w:rPr>
          <w:rFonts w:cs="Calibri"/>
          <w:i/>
          <w:iCs/>
          <w:kern w:val="24"/>
          <w:szCs w:val="24"/>
          <w:lang w:eastAsia="en-AU"/>
        </w:rPr>
        <w:t>ABS Labour Force, July 2013 (12 month average); ABS Census of Population and Housing, 2011</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Due to their lack of skills and experience, teenagers in the full-time labour market can be particularly vulnerable during a labour market downturn. The teenage full-time unemployment rate is based on people aged 15 – 19 years old who are searching for full-time employment.</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In July 2013, the teenage full-time unemployment rate for the Outer Western Melbourne LFR was 39%. This was higher than the rates for both Victoria and Australia (26% and 25% respectively).  The North Western Melbourne LFR had a slightly lower unemployment rate (31%), however, still higher than Victoria.</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The teenage full-time unemployment to population ratio of 5% for the Outer Western Melbourne LFR was larger than the figures for the North Wester Melbourne LFR (3%) and for Victoria and Australia (3% and 4% respectively)</w:t>
      </w:r>
    </w:p>
    <w:p w:rsidR="00585787" w:rsidRDefault="00585787" w:rsidP="00585787">
      <w:pPr>
        <w:autoSpaceDE w:val="0"/>
        <w:autoSpaceDN w:val="0"/>
        <w:adjustRightInd w:val="0"/>
        <w:rPr>
          <w:rFonts w:cs="Calibri"/>
          <w:kern w:val="24"/>
          <w:szCs w:val="24"/>
          <w:lang w:eastAsia="en-AU"/>
        </w:rPr>
      </w:pPr>
    </w:p>
    <w:p w:rsidR="00585787" w:rsidRPr="00107414" w:rsidRDefault="00585787" w:rsidP="00107414">
      <w:pPr>
        <w:autoSpaceDE w:val="0"/>
        <w:autoSpaceDN w:val="0"/>
        <w:adjustRightInd w:val="0"/>
        <w:rPr>
          <w:rFonts w:cs="Calibri"/>
          <w:kern w:val="24"/>
          <w:szCs w:val="24"/>
          <w:lang w:eastAsia="en-AU"/>
        </w:rPr>
      </w:pPr>
      <w:r>
        <w:rPr>
          <w:rFonts w:cs="Calibri"/>
          <w:kern w:val="24"/>
          <w:szCs w:val="24"/>
          <w:lang w:eastAsia="en-AU"/>
        </w:rPr>
        <w:t>At the time of the 2011 Census, 7% of 15 to 19 year olds in the North Western Melbourne PEA were neither studying nor working, on a par with the national average.</w:t>
      </w:r>
      <w:r>
        <w:br w:type="page"/>
      </w:r>
    </w:p>
    <w:p w:rsidR="00107414" w:rsidRPr="00107414" w:rsidRDefault="00585787" w:rsidP="00107414">
      <w:pPr>
        <w:pStyle w:val="Heading1"/>
        <w:rPr>
          <w:lang w:eastAsia="en-AU"/>
        </w:rPr>
      </w:pPr>
      <w:r>
        <w:lastRenderedPageBreak/>
        <w:t>Slide 17</w:t>
      </w:r>
      <w:r w:rsidR="00107414">
        <w:t xml:space="preserve"> </w:t>
      </w:r>
      <w:r w:rsidR="00107414" w:rsidRPr="00107414">
        <w:rPr>
          <w:lang w:eastAsia="en-AU"/>
        </w:rPr>
        <w:t>Youth labour force participation falling</w:t>
      </w:r>
      <w:r w:rsidR="00107414">
        <w:rPr>
          <w:lang w:eastAsia="en-AU"/>
        </w:rPr>
        <w:br/>
      </w:r>
      <w:r w:rsidR="005F0F2C">
        <w:rPr>
          <w:sz w:val="32"/>
          <w:lang w:eastAsia="en-AU"/>
        </w:rPr>
        <w:t>b</w:t>
      </w:r>
      <w:r w:rsidR="00107414" w:rsidRPr="00107414">
        <w:rPr>
          <w:sz w:val="32"/>
          <w:lang w:eastAsia="en-AU"/>
        </w:rPr>
        <w:t>ut participation in education increasing</w:t>
      </w:r>
    </w:p>
    <w:p w:rsidR="00585787" w:rsidRDefault="00585787" w:rsidP="00585787">
      <w:pPr>
        <w:spacing w:line="360" w:lineRule="auto"/>
      </w:pPr>
    </w:p>
    <w:tbl>
      <w:tblPr>
        <w:tblW w:w="9089" w:type="dxa"/>
        <w:tblCellMar>
          <w:left w:w="0" w:type="dxa"/>
          <w:right w:w="0" w:type="dxa"/>
        </w:tblCellMar>
        <w:tblLook w:val="0600" w:firstRow="0" w:lastRow="0" w:firstColumn="0" w:lastColumn="0" w:noHBand="1" w:noVBand="1"/>
      </w:tblPr>
      <w:tblGrid>
        <w:gridCol w:w="2516"/>
        <w:gridCol w:w="1643"/>
        <w:gridCol w:w="1643"/>
        <w:gridCol w:w="1643"/>
        <w:gridCol w:w="1644"/>
      </w:tblGrid>
      <w:tr w:rsidR="00107414" w:rsidRPr="00145656" w:rsidTr="00145656">
        <w:trPr>
          <w:trHeight w:val="1361"/>
        </w:trPr>
        <w:tc>
          <w:tcPr>
            <w:tcW w:w="2516" w:type="dxa"/>
            <w:vMerge w:val="restart"/>
            <w:tcBorders>
              <w:top w:val="single" w:sz="8" w:space="0" w:color="000000"/>
              <w:left w:val="single" w:sz="8" w:space="0" w:color="000000"/>
              <w:bottom w:val="single" w:sz="4" w:space="0" w:color="000000"/>
              <w:right w:val="single" w:sz="4"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jc w:val="left"/>
              <w:rPr>
                <w:sz w:val="24"/>
              </w:rPr>
            </w:pPr>
            <w:r w:rsidRPr="00145656">
              <w:rPr>
                <w:sz w:val="24"/>
              </w:rPr>
              <w:t>Age Group</w:t>
            </w:r>
          </w:p>
        </w:tc>
        <w:tc>
          <w:tcPr>
            <w:tcW w:w="3286" w:type="dxa"/>
            <w:gridSpan w:val="2"/>
            <w:tcBorders>
              <w:top w:val="single" w:sz="8" w:space="0" w:color="000000"/>
              <w:left w:val="single" w:sz="4" w:space="0" w:color="000000"/>
              <w:bottom w:val="single" w:sz="4" w:space="0" w:color="000000"/>
              <w:right w:val="single" w:sz="8"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rPr>
                <w:sz w:val="24"/>
              </w:rPr>
            </w:pPr>
            <w:r w:rsidRPr="00145656">
              <w:rPr>
                <w:sz w:val="24"/>
              </w:rPr>
              <w:t xml:space="preserve">Youth participation rate </w:t>
            </w:r>
            <w:r w:rsidRPr="00145656">
              <w:rPr>
                <w:sz w:val="24"/>
              </w:rPr>
              <w:br/>
              <w:t xml:space="preserve">(labour force) </w:t>
            </w:r>
            <w:r w:rsidRPr="00145656">
              <w:rPr>
                <w:i/>
                <w:iCs/>
                <w:sz w:val="24"/>
              </w:rPr>
              <w:t xml:space="preserve">Combined </w:t>
            </w:r>
            <w:r w:rsidRPr="00145656">
              <w:rPr>
                <w:i/>
                <w:iCs/>
                <w:sz w:val="24"/>
              </w:rPr>
              <w:br/>
              <w:t xml:space="preserve">North Western Melbourne LFR and </w:t>
            </w:r>
            <w:r w:rsidRPr="00145656">
              <w:rPr>
                <w:i/>
                <w:iCs/>
                <w:sz w:val="24"/>
              </w:rPr>
              <w:br/>
              <w:t>Outer Western Melbourne LFR</w:t>
            </w:r>
          </w:p>
        </w:tc>
        <w:tc>
          <w:tcPr>
            <w:tcW w:w="3287" w:type="dxa"/>
            <w:gridSpan w:val="2"/>
            <w:tcBorders>
              <w:top w:val="single" w:sz="8" w:space="0" w:color="000000"/>
              <w:left w:val="single" w:sz="8" w:space="0" w:color="000000"/>
              <w:bottom w:val="single" w:sz="4" w:space="0" w:color="000000"/>
              <w:right w:val="single" w:sz="8"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rPr>
                <w:sz w:val="24"/>
              </w:rPr>
            </w:pPr>
            <w:r w:rsidRPr="00145656">
              <w:rPr>
                <w:sz w:val="24"/>
              </w:rPr>
              <w:t xml:space="preserve">Youth participation </w:t>
            </w:r>
            <w:r w:rsidRPr="00145656">
              <w:rPr>
                <w:sz w:val="24"/>
              </w:rPr>
              <w:br/>
              <w:t>in education</w:t>
            </w:r>
            <w:r w:rsidRPr="00145656">
              <w:rPr>
                <w:sz w:val="24"/>
              </w:rPr>
              <w:br/>
            </w:r>
            <w:r w:rsidRPr="00145656">
              <w:rPr>
                <w:i/>
                <w:iCs/>
                <w:sz w:val="24"/>
              </w:rPr>
              <w:t>North Western Melbourne PEA</w:t>
            </w:r>
          </w:p>
        </w:tc>
      </w:tr>
      <w:tr w:rsidR="00107414" w:rsidRPr="00145656" w:rsidTr="00107414">
        <w:trPr>
          <w:trHeight w:val="1309"/>
        </w:trPr>
        <w:tc>
          <w:tcPr>
            <w:tcW w:w="2516" w:type="dxa"/>
            <w:vMerge/>
            <w:tcBorders>
              <w:top w:val="single" w:sz="8" w:space="0" w:color="000000"/>
              <w:left w:val="single" w:sz="8" w:space="0" w:color="000000"/>
              <w:bottom w:val="single" w:sz="4" w:space="0" w:color="000000"/>
              <w:right w:val="single" w:sz="4" w:space="0" w:color="000000"/>
            </w:tcBorders>
            <w:vAlign w:val="center"/>
            <w:hideMark/>
          </w:tcPr>
          <w:p w:rsidR="00107414" w:rsidRPr="00145656" w:rsidRDefault="00107414" w:rsidP="00145656">
            <w:pPr>
              <w:pStyle w:val="Heading1"/>
              <w:rPr>
                <w:sz w:val="24"/>
              </w:rPr>
            </w:pPr>
          </w:p>
        </w:tc>
        <w:tc>
          <w:tcPr>
            <w:tcW w:w="1643" w:type="dxa"/>
            <w:tcBorders>
              <w:top w:val="single" w:sz="4" w:space="0" w:color="000000"/>
              <w:left w:val="single" w:sz="4" w:space="0" w:color="000000"/>
              <w:bottom w:val="single" w:sz="4" w:space="0" w:color="000000"/>
              <w:right w:val="single" w:sz="4"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rPr>
                <w:sz w:val="24"/>
              </w:rPr>
            </w:pPr>
            <w:r w:rsidRPr="00145656">
              <w:rPr>
                <w:sz w:val="24"/>
              </w:rPr>
              <w:t>July 2013</w:t>
            </w:r>
          </w:p>
        </w:tc>
        <w:tc>
          <w:tcPr>
            <w:tcW w:w="1643" w:type="dxa"/>
            <w:tcBorders>
              <w:top w:val="single" w:sz="4" w:space="0" w:color="000000"/>
              <w:left w:val="single" w:sz="4" w:space="0" w:color="000000"/>
              <w:bottom w:val="single" w:sz="4" w:space="0" w:color="000000"/>
              <w:right w:val="single" w:sz="4"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rPr>
                <w:sz w:val="24"/>
              </w:rPr>
            </w:pPr>
            <w:r w:rsidRPr="00145656">
              <w:rPr>
                <w:sz w:val="24"/>
              </w:rPr>
              <w:t xml:space="preserve">Change over </w:t>
            </w:r>
            <w:r w:rsidRPr="00145656">
              <w:rPr>
                <w:sz w:val="24"/>
              </w:rPr>
              <w:br/>
              <w:t>2 years</w:t>
            </w:r>
          </w:p>
        </w:tc>
        <w:tc>
          <w:tcPr>
            <w:tcW w:w="1643" w:type="dxa"/>
            <w:tcBorders>
              <w:top w:val="single" w:sz="4" w:space="0" w:color="000000"/>
              <w:left w:val="single" w:sz="4" w:space="0" w:color="000000"/>
              <w:bottom w:val="single" w:sz="4" w:space="0" w:color="000000"/>
              <w:right w:val="single" w:sz="8"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rPr>
                <w:sz w:val="24"/>
              </w:rPr>
            </w:pPr>
            <w:r w:rsidRPr="00145656">
              <w:rPr>
                <w:sz w:val="24"/>
              </w:rPr>
              <w:t>2011</w:t>
            </w:r>
          </w:p>
        </w:tc>
        <w:tc>
          <w:tcPr>
            <w:tcW w:w="1644" w:type="dxa"/>
            <w:tcBorders>
              <w:top w:val="single" w:sz="4" w:space="0" w:color="000000"/>
              <w:left w:val="single" w:sz="8" w:space="0" w:color="000000"/>
              <w:bottom w:val="single" w:sz="4" w:space="0" w:color="000000"/>
              <w:right w:val="single" w:sz="8" w:space="0" w:color="000000"/>
            </w:tcBorders>
            <w:shd w:val="clear" w:color="auto" w:fill="ACCCFA"/>
            <w:tcMar>
              <w:top w:w="15" w:type="dxa"/>
              <w:left w:w="15" w:type="dxa"/>
              <w:bottom w:w="0" w:type="dxa"/>
              <w:right w:w="15" w:type="dxa"/>
            </w:tcMar>
            <w:vAlign w:val="center"/>
            <w:hideMark/>
          </w:tcPr>
          <w:p w:rsidR="00B2716A" w:rsidRPr="00145656" w:rsidRDefault="00107414" w:rsidP="00145656">
            <w:pPr>
              <w:pStyle w:val="Heading1"/>
              <w:rPr>
                <w:sz w:val="24"/>
              </w:rPr>
            </w:pPr>
            <w:r w:rsidRPr="00145656">
              <w:rPr>
                <w:sz w:val="24"/>
              </w:rPr>
              <w:t>2006</w:t>
            </w:r>
          </w:p>
        </w:tc>
      </w:tr>
      <w:tr w:rsidR="00107414" w:rsidRPr="00107414" w:rsidTr="00107414">
        <w:trPr>
          <w:trHeight w:val="816"/>
        </w:trPr>
        <w:tc>
          <w:tcPr>
            <w:tcW w:w="2516" w:type="dxa"/>
            <w:tcBorders>
              <w:top w:val="single" w:sz="4"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B2716A" w:rsidRPr="00107414" w:rsidRDefault="00107414" w:rsidP="00107414">
            <w:pPr>
              <w:spacing w:line="360" w:lineRule="auto"/>
              <w:jc w:val="left"/>
            </w:pPr>
            <w:r w:rsidRPr="00107414">
              <w:t>15 to 19 years</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47%</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-7%</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83%</w:t>
            </w:r>
          </w:p>
        </w:tc>
        <w:tc>
          <w:tcPr>
            <w:tcW w:w="164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80%</w:t>
            </w:r>
          </w:p>
        </w:tc>
      </w:tr>
      <w:tr w:rsidR="00107414" w:rsidRPr="00107414" w:rsidTr="00107414">
        <w:trPr>
          <w:trHeight w:val="816"/>
        </w:trPr>
        <w:tc>
          <w:tcPr>
            <w:tcW w:w="2516" w:type="dxa"/>
            <w:tcBorders>
              <w:top w:val="single" w:sz="4"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B2716A" w:rsidRPr="00107414" w:rsidRDefault="00107414" w:rsidP="00107414">
            <w:pPr>
              <w:spacing w:line="360" w:lineRule="auto"/>
              <w:jc w:val="left"/>
            </w:pPr>
            <w:r w:rsidRPr="00107414">
              <w:t>20 to 24 years</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78%</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-4%</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38%</w:t>
            </w:r>
          </w:p>
        </w:tc>
        <w:tc>
          <w:tcPr>
            <w:tcW w:w="164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33%</w:t>
            </w:r>
          </w:p>
        </w:tc>
      </w:tr>
      <w:tr w:rsidR="00107414" w:rsidRPr="00107414" w:rsidTr="00107414">
        <w:trPr>
          <w:trHeight w:val="816"/>
        </w:trPr>
        <w:tc>
          <w:tcPr>
            <w:tcW w:w="2516" w:type="dxa"/>
            <w:tcBorders>
              <w:top w:val="single" w:sz="4" w:space="0" w:color="000000"/>
              <w:left w:val="single" w:sz="8" w:space="0" w:color="000000"/>
              <w:bottom w:val="single" w:sz="4" w:space="0" w:color="000000"/>
              <w:right w:val="single" w:sz="4" w:space="0" w:color="000000"/>
            </w:tcBorders>
            <w:shd w:val="clear" w:color="auto" w:fill="auto"/>
            <w:tcMar>
              <w:top w:w="15" w:type="dxa"/>
              <w:left w:w="135" w:type="dxa"/>
              <w:bottom w:w="0" w:type="dxa"/>
              <w:right w:w="15" w:type="dxa"/>
            </w:tcMar>
            <w:vAlign w:val="center"/>
            <w:hideMark/>
          </w:tcPr>
          <w:p w:rsidR="00B2716A" w:rsidRPr="00107414" w:rsidRDefault="00107414" w:rsidP="00107414">
            <w:pPr>
              <w:spacing w:line="360" w:lineRule="auto"/>
              <w:jc w:val="left"/>
            </w:pPr>
            <w:r w:rsidRPr="00107414">
              <w:t>25 to 34 years</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79%</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-2%</w:t>
            </w:r>
          </w:p>
        </w:tc>
        <w:tc>
          <w:tcPr>
            <w:tcW w:w="16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12%</w:t>
            </w:r>
          </w:p>
        </w:tc>
        <w:tc>
          <w:tcPr>
            <w:tcW w:w="164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10%</w:t>
            </w:r>
          </w:p>
        </w:tc>
      </w:tr>
      <w:tr w:rsidR="00107414" w:rsidRPr="00107414" w:rsidTr="00107414">
        <w:trPr>
          <w:trHeight w:val="816"/>
        </w:trPr>
        <w:tc>
          <w:tcPr>
            <w:tcW w:w="2516" w:type="dxa"/>
            <w:tcBorders>
              <w:top w:val="single" w:sz="4" w:space="0" w:color="000000"/>
              <w:left w:val="single" w:sz="8" w:space="0" w:color="000000"/>
              <w:bottom w:val="single" w:sz="8" w:space="0" w:color="000000"/>
              <w:right w:val="single" w:sz="4" w:space="0" w:color="000000"/>
            </w:tcBorders>
            <w:shd w:val="clear" w:color="auto" w:fill="auto"/>
            <w:tcMar>
              <w:top w:w="15" w:type="dxa"/>
              <w:left w:w="135" w:type="dxa"/>
              <w:bottom w:w="0" w:type="dxa"/>
              <w:right w:w="15" w:type="dxa"/>
            </w:tcMar>
            <w:vAlign w:val="center"/>
            <w:hideMark/>
          </w:tcPr>
          <w:p w:rsidR="00B2716A" w:rsidRPr="00107414" w:rsidRDefault="00107414" w:rsidP="00107414">
            <w:pPr>
              <w:spacing w:line="360" w:lineRule="auto"/>
              <w:jc w:val="left"/>
            </w:pPr>
            <w:r w:rsidRPr="00107414">
              <w:t>15 to 64 years (WAP)</w:t>
            </w:r>
          </w:p>
        </w:tc>
        <w:tc>
          <w:tcPr>
            <w:tcW w:w="164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75%</w:t>
            </w:r>
          </w:p>
        </w:tc>
        <w:tc>
          <w:tcPr>
            <w:tcW w:w="164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0%</w:t>
            </w:r>
          </w:p>
        </w:tc>
        <w:tc>
          <w:tcPr>
            <w:tcW w:w="164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18%</w:t>
            </w:r>
          </w:p>
        </w:tc>
        <w:tc>
          <w:tcPr>
            <w:tcW w:w="1644"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B2716A" w:rsidRPr="00107414" w:rsidRDefault="00107414" w:rsidP="00107414">
            <w:pPr>
              <w:spacing w:line="360" w:lineRule="auto"/>
              <w:jc w:val="center"/>
            </w:pPr>
            <w:r w:rsidRPr="00107414">
              <w:t>16%</w:t>
            </w:r>
          </w:p>
        </w:tc>
      </w:tr>
    </w:tbl>
    <w:p w:rsidR="00585787" w:rsidRPr="00107414" w:rsidRDefault="00585787" w:rsidP="00107414">
      <w:pPr>
        <w:rPr>
          <w:i/>
          <w:lang w:eastAsia="en-AU"/>
        </w:rPr>
      </w:pPr>
      <w:r w:rsidRPr="00107414">
        <w:rPr>
          <w:i/>
          <w:lang w:eastAsia="en-AU"/>
        </w:rPr>
        <w:t>Source:  ABS Labour Force, July 2013 (12 month average); Source: ABS Census of Population and Housing, 2006 and 2011</w:t>
      </w:r>
    </w:p>
    <w:p w:rsidR="00585787" w:rsidRDefault="00585787" w:rsidP="00107414">
      <w:pPr>
        <w:rPr>
          <w:lang w:eastAsia="en-AU"/>
        </w:rPr>
      </w:pPr>
    </w:p>
    <w:p w:rsidR="00585787" w:rsidRDefault="00585787" w:rsidP="00107414">
      <w:pPr>
        <w:rPr>
          <w:lang w:eastAsia="en-AU"/>
        </w:rPr>
      </w:pPr>
      <w:r>
        <w:rPr>
          <w:lang w:eastAsia="en-AU"/>
        </w:rPr>
        <w:t xml:space="preserve">The participation rate in the North Western Melbourne and Outer Western Melbourne </w:t>
      </w:r>
      <w:proofErr w:type="spellStart"/>
      <w:r>
        <w:rPr>
          <w:lang w:eastAsia="en-AU"/>
        </w:rPr>
        <w:t>LFRs</w:t>
      </w:r>
      <w:proofErr w:type="spellEnd"/>
      <w:r>
        <w:rPr>
          <w:lang w:eastAsia="en-AU"/>
        </w:rPr>
        <w:t xml:space="preserve"> has remained constant over the past 2 years from July 2011 and stands at 75%. The participation rate, however, varies greatly across different age cohorts of the area. </w:t>
      </w:r>
    </w:p>
    <w:p w:rsidR="00585787" w:rsidRDefault="00585787" w:rsidP="00107414">
      <w:pPr>
        <w:rPr>
          <w:lang w:eastAsia="en-AU"/>
        </w:rPr>
      </w:pPr>
    </w:p>
    <w:p w:rsidR="00585787" w:rsidRDefault="00585787" w:rsidP="00107414">
      <w:pPr>
        <w:rPr>
          <w:lang w:eastAsia="en-AU"/>
        </w:rPr>
      </w:pPr>
      <w:r>
        <w:rPr>
          <w:lang w:eastAsia="en-AU"/>
        </w:rPr>
        <w:t xml:space="preserve">The 15 to 19 year group has seen a drop in participation of 7 percentage points. This trend continues in the 20 to 24 age group with a drop of 5 percentage points. This trend is also evident across both Victoria and Australia but to a lesser extent (-1 percentage points and </w:t>
      </w:r>
      <w:r w:rsidR="00107414">
        <w:rPr>
          <w:lang w:eastAsia="en-AU"/>
        </w:rPr>
        <w:br/>
      </w:r>
      <w:r>
        <w:rPr>
          <w:lang w:eastAsia="en-AU"/>
        </w:rPr>
        <w:t>-2 percentage points in Victoria and -1 percentage points for both groups in Australia).</w:t>
      </w:r>
    </w:p>
    <w:p w:rsidR="00585787" w:rsidRDefault="00585787" w:rsidP="00107414">
      <w:pPr>
        <w:rPr>
          <w:lang w:eastAsia="en-AU"/>
        </w:rPr>
      </w:pPr>
    </w:p>
    <w:p w:rsidR="00585787" w:rsidRDefault="00585787" w:rsidP="00107414">
      <w:pPr>
        <w:rPr>
          <w:lang w:eastAsia="en-AU"/>
        </w:rPr>
      </w:pPr>
      <w:r>
        <w:rPr>
          <w:lang w:eastAsia="en-AU"/>
        </w:rPr>
        <w:t>Accompanying this decrease in labour force participation for youth has been an increase in participation in education.</w:t>
      </w:r>
    </w:p>
    <w:p w:rsidR="00585787" w:rsidRDefault="00585787">
      <w:r>
        <w:br w:type="page"/>
      </w:r>
    </w:p>
    <w:p w:rsidR="005F0F2C" w:rsidRPr="005F0F2C" w:rsidRDefault="00585787" w:rsidP="005F0F2C">
      <w:pPr>
        <w:pStyle w:val="Heading1"/>
        <w:rPr>
          <w:lang w:eastAsia="en-AU"/>
        </w:rPr>
      </w:pPr>
      <w:r>
        <w:lastRenderedPageBreak/>
        <w:t>Slide 18</w:t>
      </w:r>
      <w:r w:rsidR="005F0F2C">
        <w:t xml:space="preserve"> </w:t>
      </w:r>
      <w:proofErr w:type="gramStart"/>
      <w:r w:rsidR="005F0F2C" w:rsidRPr="005F0F2C">
        <w:rPr>
          <w:lang w:eastAsia="en-AU"/>
        </w:rPr>
        <w:t>What</w:t>
      </w:r>
      <w:proofErr w:type="gramEnd"/>
      <w:r w:rsidR="005F0F2C" w:rsidRPr="005F0F2C">
        <w:rPr>
          <w:lang w:eastAsia="en-AU"/>
        </w:rPr>
        <w:t xml:space="preserve"> are youth doing? </w:t>
      </w:r>
    </w:p>
    <w:p w:rsidR="00585787" w:rsidRDefault="00585787" w:rsidP="00585787">
      <w:pPr>
        <w:spacing w:line="360" w:lineRule="auto"/>
      </w:pPr>
    </w:p>
    <w:p w:rsidR="00585787" w:rsidRDefault="005F0F2C" w:rsidP="00585787">
      <w:pPr>
        <w:spacing w:line="360" w:lineRule="auto"/>
      </w:pPr>
      <w:r w:rsidRPr="005F0F2C">
        <w:rPr>
          <w:noProof/>
          <w:lang w:eastAsia="en-AU"/>
        </w:rPr>
        <w:drawing>
          <wp:inline distT="0" distB="0" distL="0" distR="0" wp14:anchorId="1DF5F01C" wp14:editId="7F092C92">
            <wp:extent cx="5760000" cy="4320000"/>
            <wp:effectExtent l="19050" t="19050" r="12700" b="23495"/>
            <wp:docPr id="16" name="Picture 16" descr="decorative,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000" cy="4320000"/>
                    </a:xfrm>
                    <a:prstGeom prst="rect">
                      <a:avLst/>
                    </a:prstGeom>
                    <a:ln>
                      <a:solidFill>
                        <a:schemeClr val="accent1"/>
                      </a:solidFill>
                    </a:ln>
                  </pic:spPr>
                </pic:pic>
              </a:graphicData>
            </a:graphic>
          </wp:inline>
        </w:drawing>
      </w:r>
    </w:p>
    <w:p w:rsidR="00585787" w:rsidRPr="005F0F2C" w:rsidRDefault="00585787" w:rsidP="005F0F2C">
      <w:pPr>
        <w:rPr>
          <w:i/>
          <w:lang w:eastAsia="en-AU"/>
        </w:rPr>
      </w:pPr>
      <w:r w:rsidRPr="005F0F2C">
        <w:rPr>
          <w:i/>
          <w:lang w:eastAsia="en-AU"/>
        </w:rPr>
        <w:t>Source: ABS, Census of Population and Housing, 2011</w:t>
      </w:r>
    </w:p>
    <w:p w:rsidR="00585787" w:rsidRPr="005F0F2C" w:rsidRDefault="00585787" w:rsidP="005F0F2C">
      <w:pPr>
        <w:rPr>
          <w:lang w:eastAsia="en-AU"/>
        </w:rPr>
      </w:pPr>
    </w:p>
    <w:p w:rsidR="00585787" w:rsidRPr="005F0F2C" w:rsidRDefault="00585787" w:rsidP="005F0F2C">
      <w:pPr>
        <w:rPr>
          <w:lang w:eastAsia="en-AU"/>
        </w:rPr>
      </w:pPr>
      <w:r w:rsidRPr="005F0F2C">
        <w:rPr>
          <w:lang w:eastAsia="en-AU"/>
        </w:rPr>
        <w:t>According to the 2011 Census 54% (84,000) of 18 to 24 years olds in the North Western Melbourne PEA, were not studying and may experience difficulty entering or staying in the labour market, particularly those who have not completed Year 12.</w:t>
      </w:r>
    </w:p>
    <w:p w:rsidR="00585787" w:rsidRPr="005F0F2C" w:rsidRDefault="00585787" w:rsidP="005F0F2C">
      <w:pPr>
        <w:rPr>
          <w:lang w:eastAsia="en-AU"/>
        </w:rPr>
      </w:pPr>
    </w:p>
    <w:p w:rsidR="00585787" w:rsidRPr="005F0F2C" w:rsidRDefault="00585787" w:rsidP="005F0F2C">
      <w:pPr>
        <w:rPr>
          <w:lang w:eastAsia="en-AU"/>
        </w:rPr>
      </w:pPr>
      <w:r w:rsidRPr="005F0F2C">
        <w:rPr>
          <w:lang w:eastAsia="en-AU"/>
        </w:rPr>
        <w:t xml:space="preserve">In particular, 14% (11,650 people) of youth aged 18 to 24 are </w:t>
      </w:r>
      <w:r w:rsidRPr="005F0F2C">
        <w:rPr>
          <w:u w:val="single"/>
          <w:lang w:eastAsia="en-AU"/>
        </w:rPr>
        <w:t>not studying and not employed</w:t>
      </w:r>
      <w:r w:rsidRPr="005F0F2C">
        <w:rPr>
          <w:lang w:eastAsia="en-AU"/>
        </w:rPr>
        <w:t xml:space="preserve"> and 5,550 of these (7% of youth aged 15 to 19) had </w:t>
      </w:r>
      <w:r w:rsidRPr="005F0F2C">
        <w:rPr>
          <w:u w:val="single"/>
          <w:lang w:eastAsia="en-AU"/>
        </w:rPr>
        <w:t>not completed Year 12</w:t>
      </w:r>
      <w:r w:rsidRPr="005F0F2C">
        <w:rPr>
          <w:lang w:eastAsia="en-AU"/>
        </w:rPr>
        <w:t xml:space="preserve">. These figures are higher compared with Victoria, where 11% of youth aged 15 to 19 were </w:t>
      </w:r>
      <w:r w:rsidRPr="005F0F2C">
        <w:rPr>
          <w:u w:val="single"/>
          <w:lang w:eastAsia="en-AU"/>
        </w:rPr>
        <w:t>not studying and not employed</w:t>
      </w:r>
      <w:r w:rsidRPr="005F0F2C">
        <w:rPr>
          <w:lang w:eastAsia="en-AU"/>
        </w:rPr>
        <w:t xml:space="preserve"> and 5% had also not </w:t>
      </w:r>
      <w:r w:rsidRPr="005F0F2C">
        <w:rPr>
          <w:u w:val="single"/>
          <w:lang w:eastAsia="en-AU"/>
        </w:rPr>
        <w:t>completed Year 12</w:t>
      </w:r>
      <w:r w:rsidRPr="005F0F2C">
        <w:rPr>
          <w:lang w:eastAsia="en-AU"/>
        </w:rPr>
        <w:t>. This group are especially at risk given their lack of Year 12 Certificate and level of disengagement within the labour market.</w:t>
      </w:r>
    </w:p>
    <w:p w:rsidR="00585787" w:rsidRPr="005F0F2C" w:rsidRDefault="00585787" w:rsidP="005F0F2C">
      <w:pPr>
        <w:rPr>
          <w:lang w:eastAsia="en-AU"/>
        </w:rPr>
      </w:pPr>
    </w:p>
    <w:p w:rsidR="00585787" w:rsidRPr="005F0F2C" w:rsidRDefault="00585787" w:rsidP="005F0F2C">
      <w:pPr>
        <w:rPr>
          <w:lang w:eastAsia="en-AU"/>
        </w:rPr>
      </w:pPr>
      <w:r w:rsidRPr="005F0F2C">
        <w:rPr>
          <w:bCs/>
          <w:lang w:eastAsia="en-AU"/>
        </w:rPr>
        <w:t xml:space="preserve">Note: </w:t>
      </w:r>
      <w:r w:rsidRPr="005F0F2C">
        <w:rPr>
          <w:lang w:eastAsia="en-AU"/>
        </w:rPr>
        <w:t>Not stated records for FT/PT Student Status, Labour Force Status and Highest Year of School Completed have not been included.</w:t>
      </w:r>
    </w:p>
    <w:p w:rsidR="00585787" w:rsidRDefault="00585787">
      <w:r>
        <w:br w:type="page"/>
      </w:r>
    </w:p>
    <w:p w:rsidR="005F0F2C" w:rsidRPr="005F0F2C" w:rsidRDefault="00585787" w:rsidP="005F0F2C">
      <w:pPr>
        <w:pStyle w:val="Heading1"/>
        <w:rPr>
          <w:lang w:eastAsia="en-AU"/>
        </w:rPr>
      </w:pPr>
      <w:r>
        <w:lastRenderedPageBreak/>
        <w:t>Slide 19</w:t>
      </w:r>
      <w:r w:rsidR="005F0F2C">
        <w:t xml:space="preserve"> </w:t>
      </w:r>
      <w:r w:rsidR="005F0F2C" w:rsidRPr="005F0F2C">
        <w:rPr>
          <w:lang w:eastAsia="en-AU"/>
        </w:rPr>
        <w:t xml:space="preserve">Educational Attainment – </w:t>
      </w:r>
      <w:r w:rsidR="005F0F2C">
        <w:rPr>
          <w:lang w:eastAsia="en-AU"/>
        </w:rPr>
        <w:br/>
      </w:r>
      <w:r w:rsidR="005F0F2C" w:rsidRPr="005F0F2C">
        <w:rPr>
          <w:sz w:val="28"/>
          <w:lang w:eastAsia="en-AU"/>
        </w:rPr>
        <w:t>Persons aged 25-34 years</w:t>
      </w:r>
    </w:p>
    <w:tbl>
      <w:tblPr>
        <w:tblW w:w="9332" w:type="dxa"/>
        <w:tblInd w:w="-42" w:type="dxa"/>
        <w:tblCellMar>
          <w:left w:w="0" w:type="dxa"/>
          <w:right w:w="0" w:type="dxa"/>
        </w:tblCellMar>
        <w:tblLook w:val="0600" w:firstRow="0" w:lastRow="0" w:firstColumn="0" w:lastColumn="0" w:noHBand="1" w:noVBand="1"/>
      </w:tblPr>
      <w:tblGrid>
        <w:gridCol w:w="2690"/>
        <w:gridCol w:w="1660"/>
        <w:gridCol w:w="1661"/>
        <w:gridCol w:w="1660"/>
        <w:gridCol w:w="1661"/>
      </w:tblGrid>
      <w:tr w:rsidR="005F0F2C" w:rsidRPr="005F0F2C" w:rsidTr="005F0F2C">
        <w:trPr>
          <w:trHeight w:val="783"/>
        </w:trPr>
        <w:tc>
          <w:tcPr>
            <w:tcW w:w="2690" w:type="dxa"/>
            <w:vMerge w:val="restart"/>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jc w:val="left"/>
              <w:rPr>
                <w:sz w:val="28"/>
              </w:rPr>
            </w:pPr>
            <w:r w:rsidRPr="005F0F2C">
              <w:rPr>
                <w:sz w:val="28"/>
              </w:rPr>
              <w:t>Region</w:t>
            </w:r>
          </w:p>
        </w:tc>
        <w:tc>
          <w:tcPr>
            <w:tcW w:w="3321" w:type="dxa"/>
            <w:gridSpan w:val="2"/>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rPr>
                <w:sz w:val="28"/>
              </w:rPr>
            </w:pPr>
            <w:r w:rsidRPr="005F0F2C">
              <w:rPr>
                <w:sz w:val="28"/>
              </w:rPr>
              <w:t>Completed Year 12</w:t>
            </w:r>
          </w:p>
        </w:tc>
        <w:tc>
          <w:tcPr>
            <w:tcW w:w="3321" w:type="dxa"/>
            <w:gridSpan w:val="2"/>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rPr>
                <w:sz w:val="28"/>
              </w:rPr>
            </w:pPr>
            <w:r w:rsidRPr="005F0F2C">
              <w:rPr>
                <w:sz w:val="28"/>
              </w:rPr>
              <w:t>Highest Non-School Qualification Attained</w:t>
            </w:r>
          </w:p>
        </w:tc>
      </w:tr>
      <w:tr w:rsidR="005F0F2C" w:rsidRPr="005F0F2C" w:rsidTr="005F0F2C">
        <w:trPr>
          <w:trHeight w:val="1767"/>
        </w:trPr>
        <w:tc>
          <w:tcPr>
            <w:tcW w:w="2690" w:type="dxa"/>
            <w:vMerge/>
            <w:tcBorders>
              <w:top w:val="single" w:sz="4" w:space="0" w:color="000000"/>
              <w:left w:val="single" w:sz="4" w:space="0" w:color="000000"/>
              <w:bottom w:val="single" w:sz="4" w:space="0" w:color="000000"/>
              <w:right w:val="single" w:sz="4" w:space="0" w:color="000000"/>
            </w:tcBorders>
            <w:vAlign w:val="center"/>
            <w:hideMark/>
          </w:tcPr>
          <w:p w:rsidR="005F0F2C" w:rsidRPr="005F0F2C" w:rsidRDefault="005F0F2C" w:rsidP="005F0F2C">
            <w:pPr>
              <w:pStyle w:val="Heading1"/>
              <w:spacing w:before="0" w:after="0"/>
              <w:jc w:val="left"/>
              <w:rPr>
                <w:sz w:val="28"/>
              </w:rPr>
            </w:pPr>
          </w:p>
        </w:tc>
        <w:tc>
          <w:tcPr>
            <w:tcW w:w="1660"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rPr>
                <w:sz w:val="28"/>
              </w:rPr>
            </w:pPr>
            <w:r w:rsidRPr="005F0F2C">
              <w:rPr>
                <w:sz w:val="28"/>
              </w:rPr>
              <w:t>2011</w:t>
            </w:r>
          </w:p>
        </w:tc>
        <w:tc>
          <w:tcPr>
            <w:tcW w:w="1661"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rPr>
                <w:sz w:val="28"/>
              </w:rPr>
            </w:pPr>
            <w:r w:rsidRPr="005F0F2C">
              <w:rPr>
                <w:sz w:val="28"/>
              </w:rPr>
              <w:t>2006</w:t>
            </w:r>
          </w:p>
        </w:tc>
        <w:tc>
          <w:tcPr>
            <w:tcW w:w="1660"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rPr>
                <w:sz w:val="28"/>
              </w:rPr>
            </w:pPr>
            <w:r w:rsidRPr="005F0F2C">
              <w:rPr>
                <w:sz w:val="28"/>
              </w:rPr>
              <w:t>Advanced Diploma, Diploma or Certificate III &amp; IV Level</w:t>
            </w:r>
          </w:p>
        </w:tc>
        <w:tc>
          <w:tcPr>
            <w:tcW w:w="1661"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5F0F2C" w:rsidRDefault="005F0F2C" w:rsidP="005F0F2C">
            <w:pPr>
              <w:pStyle w:val="Heading1"/>
              <w:spacing w:before="0" w:after="0"/>
              <w:rPr>
                <w:sz w:val="28"/>
              </w:rPr>
            </w:pPr>
            <w:r w:rsidRPr="005F0F2C">
              <w:rPr>
                <w:sz w:val="28"/>
              </w:rPr>
              <w:t>Bachelor Degree or Higher</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92D050"/>
            <w:tcMar>
              <w:top w:w="15" w:type="dxa"/>
              <w:left w:w="57" w:type="dxa"/>
              <w:bottom w:w="0" w:type="dxa"/>
              <w:right w:w="15" w:type="dxa"/>
            </w:tcMar>
            <w:vAlign w:val="center"/>
            <w:hideMark/>
          </w:tcPr>
          <w:p w:rsidR="00B2716A" w:rsidRPr="005F0F2C" w:rsidRDefault="005F0F2C" w:rsidP="005F0F2C">
            <w:pPr>
              <w:jc w:val="left"/>
            </w:pPr>
            <w:r w:rsidRPr="005F0F2C">
              <w:t xml:space="preserve"> Hume LGA</w:t>
            </w:r>
          </w:p>
        </w:tc>
        <w:tc>
          <w:tcPr>
            <w:tcW w:w="1660"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5F0F2C" w:rsidRDefault="005F0F2C" w:rsidP="005F0F2C">
            <w:pPr>
              <w:jc w:val="center"/>
            </w:pPr>
            <w:r w:rsidRPr="005F0F2C">
              <w:t>70%</w:t>
            </w:r>
          </w:p>
        </w:tc>
        <w:tc>
          <w:tcPr>
            <w:tcW w:w="1661"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5F0F2C" w:rsidRDefault="005F0F2C" w:rsidP="005F0F2C">
            <w:pPr>
              <w:jc w:val="center"/>
            </w:pPr>
            <w:r w:rsidRPr="005F0F2C">
              <w:t>62%</w:t>
            </w:r>
          </w:p>
        </w:tc>
        <w:tc>
          <w:tcPr>
            <w:tcW w:w="1660"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5F0F2C" w:rsidRDefault="005F0F2C" w:rsidP="005F0F2C">
            <w:pPr>
              <w:jc w:val="center"/>
            </w:pPr>
            <w:r w:rsidRPr="005F0F2C">
              <w:t>30%</w:t>
            </w:r>
          </w:p>
        </w:tc>
        <w:tc>
          <w:tcPr>
            <w:tcW w:w="1661"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5F0F2C" w:rsidRDefault="005F0F2C" w:rsidP="005F0F2C">
            <w:pPr>
              <w:jc w:val="center"/>
            </w:pPr>
            <w:r w:rsidRPr="005F0F2C">
              <w:t>23%</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Brimbank LGA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79%</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69%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28%</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31%</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w:t>
            </w:r>
            <w:proofErr w:type="spellStart"/>
            <w:r w:rsidRPr="005F0F2C">
              <w:t>Hobsons</w:t>
            </w:r>
            <w:proofErr w:type="spellEnd"/>
            <w:r w:rsidRPr="005F0F2C">
              <w:t xml:space="preserve"> Bay LGA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82%</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27%</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41%</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Maribyrnong LGA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89%</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83%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22%</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52%</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Melton LGA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73%</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66%</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34%</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25%</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Whittlesea LGA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78%</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69%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33%</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29%</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Wyndham LGA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78%</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67%</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29%</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37%</w:t>
            </w:r>
          </w:p>
        </w:tc>
      </w:tr>
      <w:tr w:rsidR="005F0F2C" w:rsidRPr="005F0F2C" w:rsidTr="005F0F2C">
        <w:trPr>
          <w:trHeight w:val="760"/>
        </w:trPr>
        <w:tc>
          <w:tcPr>
            <w:tcW w:w="2690" w:type="dxa"/>
            <w:tcBorders>
              <w:top w:val="single" w:sz="4" w:space="0" w:color="000000"/>
              <w:left w:val="single" w:sz="4" w:space="0" w:color="000000"/>
              <w:bottom w:val="single" w:sz="4" w:space="0" w:color="000000"/>
              <w:right w:val="single" w:sz="4" w:space="0" w:color="000000"/>
            </w:tcBorders>
            <w:shd w:val="clear" w:color="auto" w:fill="DCE6F2"/>
            <w:tcMar>
              <w:top w:w="15" w:type="dxa"/>
              <w:left w:w="57" w:type="dxa"/>
              <w:bottom w:w="0" w:type="dxa"/>
              <w:right w:w="15" w:type="dxa"/>
            </w:tcMar>
            <w:vAlign w:val="center"/>
            <w:hideMark/>
          </w:tcPr>
          <w:p w:rsidR="00B2716A" w:rsidRPr="005F0F2C" w:rsidRDefault="005F0F2C" w:rsidP="005F0F2C">
            <w:pPr>
              <w:jc w:val="left"/>
            </w:pPr>
            <w:r w:rsidRPr="005F0F2C">
              <w:t xml:space="preserve"> North Western Melbourne PEA </w:t>
            </w:r>
          </w:p>
        </w:tc>
        <w:tc>
          <w:tcPr>
            <w:tcW w:w="1660"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5F0F2C" w:rsidRDefault="005F0F2C" w:rsidP="005F0F2C">
            <w:pPr>
              <w:jc w:val="center"/>
            </w:pPr>
            <w:r w:rsidRPr="005F0F2C">
              <w:t>77%</w:t>
            </w:r>
          </w:p>
        </w:tc>
        <w:tc>
          <w:tcPr>
            <w:tcW w:w="1661"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5F0F2C" w:rsidRDefault="005F0F2C" w:rsidP="005F0F2C">
            <w:pPr>
              <w:jc w:val="center"/>
            </w:pPr>
            <w:r w:rsidRPr="005F0F2C">
              <w:t>69%</w:t>
            </w:r>
          </w:p>
        </w:tc>
        <w:tc>
          <w:tcPr>
            <w:tcW w:w="1660"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5F0F2C" w:rsidRDefault="005F0F2C" w:rsidP="005F0F2C">
            <w:pPr>
              <w:jc w:val="center"/>
            </w:pPr>
            <w:r w:rsidRPr="005F0F2C">
              <w:t>29%</w:t>
            </w:r>
          </w:p>
        </w:tc>
        <w:tc>
          <w:tcPr>
            <w:tcW w:w="1661"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5F0F2C" w:rsidRDefault="005F0F2C" w:rsidP="005F0F2C">
            <w:pPr>
              <w:jc w:val="center"/>
            </w:pPr>
            <w:r w:rsidRPr="005F0F2C">
              <w:t>33%</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Victoria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79%</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29%</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40%</w:t>
            </w:r>
          </w:p>
        </w:tc>
      </w:tr>
      <w:tr w:rsidR="005F0F2C" w:rsidRPr="005F0F2C" w:rsidTr="005F0F2C">
        <w:trPr>
          <w:trHeight w:val="424"/>
        </w:trPr>
        <w:tc>
          <w:tcPr>
            <w:tcW w:w="2690"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5F0F2C" w:rsidRDefault="005F0F2C" w:rsidP="005F0F2C">
            <w:pPr>
              <w:jc w:val="left"/>
            </w:pPr>
            <w:r w:rsidRPr="005F0F2C">
              <w:t xml:space="preserve"> Australia</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75%</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69%</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30%</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5F0F2C" w:rsidRDefault="005F0F2C" w:rsidP="005F0F2C">
            <w:pPr>
              <w:jc w:val="center"/>
            </w:pPr>
            <w:r w:rsidRPr="005F0F2C">
              <w:t>35%</w:t>
            </w:r>
          </w:p>
        </w:tc>
      </w:tr>
    </w:tbl>
    <w:p w:rsidR="00585787" w:rsidRDefault="00585787" w:rsidP="00585787">
      <w:pPr>
        <w:autoSpaceDE w:val="0"/>
        <w:autoSpaceDN w:val="0"/>
        <w:adjustRightInd w:val="0"/>
        <w:rPr>
          <w:rFonts w:cs="Calibri"/>
          <w:kern w:val="24"/>
          <w:szCs w:val="24"/>
          <w:lang w:eastAsia="en-AU"/>
        </w:rPr>
      </w:pPr>
      <w:r>
        <w:rPr>
          <w:rFonts w:cs="Calibri"/>
          <w:i/>
          <w:iCs/>
          <w:kern w:val="24"/>
          <w:szCs w:val="24"/>
          <w:lang w:eastAsia="en-AU"/>
        </w:rPr>
        <w:t xml:space="preserve">Source: ABS Census of Population and Housing, 2011 </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Educational attainment is strongly linked with labour market performance. Accordingly, regions with relatively low levels of educational attainment tend to be more vulnerable to economic slowdowns and face greater labour market difficulties.</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At the time of the 2011 Census, the proportion of 25 to 34 year olds in the North Western Melbourne PEA who had completed Year 12 or equivalent was 77%, smaller than Victoria (79%) but larger than for Australia. This varied across regions, with the Hume LGA having the smallest Year 12 attainment level (70%), while the Maribyrnong LGA had the largest (89%). Overall across the PEA for this age group, Year 12 attainment had increased by 8 percentage points since 2006.</w:t>
      </w:r>
    </w:p>
    <w:p w:rsidR="00585787" w:rsidRDefault="00585787" w:rsidP="00585787">
      <w:pPr>
        <w:autoSpaceDE w:val="0"/>
        <w:autoSpaceDN w:val="0"/>
        <w:adjustRightInd w:val="0"/>
        <w:rPr>
          <w:rFonts w:cs="Calibri"/>
          <w:kern w:val="24"/>
          <w:szCs w:val="24"/>
          <w:lang w:eastAsia="en-AU"/>
        </w:rPr>
      </w:pP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585787" w:rsidRDefault="005F0F2C" w:rsidP="00585787">
      <w:pPr>
        <w:autoSpaceDE w:val="0"/>
        <w:autoSpaceDN w:val="0"/>
        <w:adjustRightInd w:val="0"/>
        <w:rPr>
          <w:rFonts w:cs="Calibri"/>
          <w:kern w:val="24"/>
          <w:szCs w:val="24"/>
          <w:lang w:eastAsia="en-AU"/>
        </w:rPr>
      </w:pPr>
      <w:r>
        <w:rPr>
          <w:rFonts w:cs="Calibri"/>
          <w:kern w:val="24"/>
          <w:szCs w:val="24"/>
          <w:lang w:eastAsia="en-AU"/>
        </w:rPr>
        <w:br/>
      </w: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lastRenderedPageBreak/>
        <w:t>At the time of the 2011 Census, the proportion of 25 to 34 year olds who had attained an Advanced Diploma, Diploma or a Certificate III or IV in the North Western Melbourne PEA (29%) was on a par with state and national averages (29% and 30% respectively), while the proportion who had attained a Bachelor Degree or higher (33%) was lower than the state and national averages (40% and 35% respectively).</w:t>
      </w:r>
    </w:p>
    <w:p w:rsidR="00585787" w:rsidRDefault="00585787">
      <w:r>
        <w:br w:type="page"/>
      </w:r>
    </w:p>
    <w:p w:rsidR="005F0F2C" w:rsidRPr="005F0F2C" w:rsidRDefault="00585787" w:rsidP="005F0F2C">
      <w:pPr>
        <w:pStyle w:val="Heading1"/>
        <w:rPr>
          <w:lang w:eastAsia="en-AU"/>
        </w:rPr>
      </w:pPr>
      <w:r>
        <w:lastRenderedPageBreak/>
        <w:t>Slide 20</w:t>
      </w:r>
      <w:r w:rsidR="005F0F2C">
        <w:t xml:space="preserve"> </w:t>
      </w:r>
      <w:r w:rsidR="005F0F2C" w:rsidRPr="005F0F2C">
        <w:rPr>
          <w:lang w:eastAsia="en-AU"/>
        </w:rPr>
        <w:t>Educational Attainment and Labour Market Outcomes</w:t>
      </w:r>
    </w:p>
    <w:p w:rsidR="00585787" w:rsidRDefault="00585787" w:rsidP="00585787">
      <w:pPr>
        <w:spacing w:line="360" w:lineRule="auto"/>
      </w:pPr>
    </w:p>
    <w:p w:rsidR="00585787" w:rsidRDefault="005F0F2C" w:rsidP="00585787">
      <w:pPr>
        <w:spacing w:line="360" w:lineRule="auto"/>
      </w:pPr>
      <w:r w:rsidRPr="005F0F2C">
        <w:rPr>
          <w:noProof/>
          <w:lang w:eastAsia="en-AU"/>
        </w:rPr>
        <w:drawing>
          <wp:inline distT="0" distB="0" distL="0" distR="0" wp14:anchorId="515D3AA8" wp14:editId="00A0308D">
            <wp:extent cx="5760000" cy="4320000"/>
            <wp:effectExtent l="19050" t="19050" r="12700" b="23495"/>
            <wp:docPr id="17" name="Picture 17" descr="Educational attainment and labour market outcomes for persons aged 25 - 34 years.&#10;&#10;Unemployment / participation rate&#10;Bachelor degree or higher 4.3%/87.4%&#10;Advanced diploma and diploma level 4.8%/85.2%&#10;Certificate III &amp; IV level 4.5%/87.3%&#10;Year 12 or equivalent 7.1%/76.7%&#10;Certificate I &amp; II level 15%/67%&#10;Below year 12 12.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000" cy="4320000"/>
                    </a:xfrm>
                    <a:prstGeom prst="rect">
                      <a:avLst/>
                    </a:prstGeom>
                    <a:ln>
                      <a:solidFill>
                        <a:schemeClr val="accent1"/>
                      </a:solidFill>
                    </a:ln>
                  </pic:spPr>
                </pic:pic>
              </a:graphicData>
            </a:graphic>
          </wp:inline>
        </w:drawing>
      </w:r>
    </w:p>
    <w:p w:rsidR="00585787" w:rsidRPr="005F0F2C" w:rsidRDefault="00585787" w:rsidP="005F0F2C">
      <w:pPr>
        <w:rPr>
          <w:i/>
          <w:lang w:eastAsia="en-AU"/>
        </w:rPr>
      </w:pPr>
      <w:r w:rsidRPr="005F0F2C">
        <w:rPr>
          <w:i/>
          <w:lang w:eastAsia="en-AU"/>
        </w:rPr>
        <w:t>Source: ABS Census of Population and Housing, 2011</w:t>
      </w:r>
    </w:p>
    <w:p w:rsidR="00585787" w:rsidRDefault="00585787" w:rsidP="005F0F2C">
      <w:pPr>
        <w:rPr>
          <w:lang w:eastAsia="en-AU"/>
        </w:rPr>
      </w:pPr>
    </w:p>
    <w:p w:rsidR="00585787" w:rsidRDefault="00585787" w:rsidP="005F0F2C">
      <w:pPr>
        <w:rPr>
          <w:lang w:eastAsia="en-AU"/>
        </w:rPr>
      </w:pPr>
      <w:r>
        <w:rPr>
          <w:lang w:eastAsia="en-AU"/>
        </w:rPr>
        <w:t>There is a strong relationship between educational attainment and employment outcomes. For those aged 25 to 34 years in the North Western Melbourne PEA who had not completed Year 12 there was a low participation rate (64.1%) and a high unemployment rate (12.8%). Although the participation rate was marginally higher for those who had not completed year 12 but had attained a Certificate Levels I or II qualification, the unemployment rate was even higher (15.0%).</w:t>
      </w:r>
    </w:p>
    <w:p w:rsidR="00585787" w:rsidRDefault="00585787" w:rsidP="005F0F2C">
      <w:pPr>
        <w:rPr>
          <w:lang w:eastAsia="en-AU"/>
        </w:rPr>
      </w:pPr>
    </w:p>
    <w:p w:rsidR="00585787" w:rsidRDefault="00585787" w:rsidP="005F0F2C">
      <w:pPr>
        <w:rPr>
          <w:lang w:eastAsia="en-AU"/>
        </w:rPr>
      </w:pPr>
      <w:r>
        <w:rPr>
          <w:lang w:eastAsia="en-AU"/>
        </w:rPr>
        <w:t xml:space="preserve">Unemployment rates are considerably lower for those who have completed Year 12. They are even better for those who have attained a Certificate Levels III or IV, or completed a tertiary education at the Advanced Diploma and Diploma Level or Bachelor Degree or higher level. This emphasises the importance of post-school education in gaining employment. </w:t>
      </w:r>
    </w:p>
    <w:p w:rsidR="00585787" w:rsidRDefault="00585787">
      <w:r>
        <w:br w:type="page"/>
      </w:r>
    </w:p>
    <w:p w:rsidR="00777F26" w:rsidRPr="00777F26" w:rsidRDefault="00585787" w:rsidP="00777F26">
      <w:pPr>
        <w:pStyle w:val="Heading1"/>
        <w:rPr>
          <w:lang w:eastAsia="en-AU"/>
        </w:rPr>
      </w:pPr>
      <w:r>
        <w:lastRenderedPageBreak/>
        <w:t>Slide 21</w:t>
      </w:r>
      <w:r w:rsidR="00777F26">
        <w:t xml:space="preserve"> </w:t>
      </w:r>
      <w:r w:rsidR="00777F26" w:rsidRPr="00777F26">
        <w:rPr>
          <w:lang w:eastAsia="en-AU"/>
        </w:rPr>
        <w:t>Jobless Families</w:t>
      </w:r>
      <w:r w:rsidR="00777F26">
        <w:rPr>
          <w:lang w:eastAsia="en-AU"/>
        </w:rPr>
        <w:br/>
      </w:r>
      <w:r w:rsidR="00777F26" w:rsidRPr="00777F26">
        <w:rPr>
          <w:sz w:val="28"/>
          <w:szCs w:val="28"/>
          <w:lang w:eastAsia="en-AU"/>
        </w:rPr>
        <w:t>with children aged less than 15 years</w:t>
      </w:r>
    </w:p>
    <w:p w:rsidR="00585787" w:rsidRDefault="00585787" w:rsidP="00585787">
      <w:pPr>
        <w:spacing w:line="360" w:lineRule="auto"/>
      </w:pPr>
    </w:p>
    <w:tbl>
      <w:tblPr>
        <w:tblW w:w="9679" w:type="dxa"/>
        <w:tblCellMar>
          <w:left w:w="0" w:type="dxa"/>
          <w:right w:w="0" w:type="dxa"/>
        </w:tblCellMar>
        <w:tblLook w:val="0600" w:firstRow="0" w:lastRow="0" w:firstColumn="0" w:lastColumn="0" w:noHBand="1" w:noVBand="1"/>
      </w:tblPr>
      <w:tblGrid>
        <w:gridCol w:w="2567"/>
        <w:gridCol w:w="1778"/>
        <w:gridCol w:w="1778"/>
        <w:gridCol w:w="1778"/>
        <w:gridCol w:w="1778"/>
      </w:tblGrid>
      <w:tr w:rsidR="00B2716A" w:rsidRPr="00777F26" w:rsidTr="00777F26">
        <w:trPr>
          <w:trHeight w:val="1505"/>
        </w:trPr>
        <w:tc>
          <w:tcPr>
            <w:tcW w:w="2567" w:type="dxa"/>
            <w:tcBorders>
              <w:top w:val="single" w:sz="4" w:space="0" w:color="000000"/>
              <w:left w:val="single" w:sz="4" w:space="0" w:color="000000"/>
              <w:bottom w:val="single" w:sz="4" w:space="0" w:color="000000"/>
              <w:right w:val="single" w:sz="4" w:space="0" w:color="000000"/>
            </w:tcBorders>
            <w:shd w:val="clear" w:color="auto" w:fill="C6D9F1"/>
            <w:tcMar>
              <w:top w:w="15" w:type="dxa"/>
              <w:left w:w="15" w:type="dxa"/>
              <w:bottom w:w="0" w:type="dxa"/>
              <w:right w:w="15" w:type="dxa"/>
            </w:tcMar>
            <w:vAlign w:val="center"/>
            <w:hideMark/>
          </w:tcPr>
          <w:p w:rsidR="00B2716A" w:rsidRPr="00777F26" w:rsidRDefault="00B2716A" w:rsidP="00777F26">
            <w:pPr>
              <w:pStyle w:val="Heading1"/>
              <w:jc w:val="left"/>
              <w:rPr>
                <w:sz w:val="28"/>
              </w:rPr>
            </w:pPr>
            <w:r w:rsidRPr="00777F26">
              <w:rPr>
                <w:sz w:val="28"/>
              </w:rPr>
              <w:t>Region</w:t>
            </w:r>
          </w:p>
        </w:tc>
        <w:tc>
          <w:tcPr>
            <w:tcW w:w="1778" w:type="dxa"/>
            <w:tcBorders>
              <w:top w:val="single" w:sz="4" w:space="0" w:color="000000"/>
              <w:left w:val="single" w:sz="4" w:space="0" w:color="000000"/>
              <w:bottom w:val="single" w:sz="4" w:space="0" w:color="000000"/>
              <w:right w:val="single" w:sz="4" w:space="0" w:color="000000"/>
            </w:tcBorders>
            <w:shd w:val="clear" w:color="auto" w:fill="C6D9F1"/>
            <w:tcMar>
              <w:top w:w="9" w:type="dxa"/>
              <w:left w:w="9" w:type="dxa"/>
              <w:bottom w:w="0" w:type="dxa"/>
              <w:right w:w="9" w:type="dxa"/>
            </w:tcMar>
            <w:vAlign w:val="center"/>
            <w:hideMark/>
          </w:tcPr>
          <w:p w:rsidR="00B2716A" w:rsidRPr="00777F26" w:rsidRDefault="00B2716A" w:rsidP="00777F26">
            <w:pPr>
              <w:pStyle w:val="Heading1"/>
              <w:rPr>
                <w:sz w:val="28"/>
              </w:rPr>
            </w:pPr>
            <w:r w:rsidRPr="00777F26">
              <w:rPr>
                <w:sz w:val="28"/>
              </w:rPr>
              <w:t xml:space="preserve">Number of jobless </w:t>
            </w:r>
            <w:r w:rsidR="00777F26">
              <w:rPr>
                <w:sz w:val="28"/>
              </w:rPr>
              <w:br/>
            </w:r>
            <w:r w:rsidRPr="00777F26">
              <w:rPr>
                <w:sz w:val="28"/>
              </w:rPr>
              <w:t>families</w:t>
            </w:r>
          </w:p>
        </w:tc>
        <w:tc>
          <w:tcPr>
            <w:tcW w:w="1778" w:type="dxa"/>
            <w:tcBorders>
              <w:top w:val="single" w:sz="4" w:space="0" w:color="000000"/>
              <w:left w:val="single" w:sz="4" w:space="0" w:color="000000"/>
              <w:bottom w:val="single" w:sz="4" w:space="0" w:color="000000"/>
              <w:right w:val="single" w:sz="4" w:space="0" w:color="000000"/>
            </w:tcBorders>
            <w:shd w:val="clear" w:color="auto" w:fill="C6D9F1"/>
            <w:tcMar>
              <w:top w:w="9" w:type="dxa"/>
              <w:left w:w="9" w:type="dxa"/>
              <w:bottom w:w="0" w:type="dxa"/>
              <w:right w:w="9" w:type="dxa"/>
            </w:tcMar>
            <w:vAlign w:val="center"/>
            <w:hideMark/>
          </w:tcPr>
          <w:p w:rsidR="00B2716A" w:rsidRPr="00777F26" w:rsidRDefault="00777F26" w:rsidP="00777F26">
            <w:pPr>
              <w:pStyle w:val="Heading1"/>
              <w:rPr>
                <w:sz w:val="28"/>
              </w:rPr>
            </w:pPr>
            <w:r>
              <w:rPr>
                <w:sz w:val="28"/>
              </w:rPr>
              <w:t xml:space="preserve">Proportion of all </w:t>
            </w:r>
            <w:r w:rsidR="00B2716A" w:rsidRPr="00777F26">
              <w:rPr>
                <w:sz w:val="28"/>
              </w:rPr>
              <w:t xml:space="preserve">families </w:t>
            </w:r>
            <w:r>
              <w:rPr>
                <w:sz w:val="28"/>
              </w:rPr>
              <w:br/>
            </w:r>
            <w:r w:rsidR="00B2716A" w:rsidRPr="00777F26">
              <w:rPr>
                <w:sz w:val="28"/>
              </w:rPr>
              <w:t xml:space="preserve">that are </w:t>
            </w:r>
            <w:r>
              <w:rPr>
                <w:sz w:val="28"/>
              </w:rPr>
              <w:br/>
            </w:r>
            <w:r w:rsidR="00B2716A" w:rsidRPr="00777F26">
              <w:rPr>
                <w:sz w:val="28"/>
              </w:rPr>
              <w:t>jobless</w:t>
            </w:r>
          </w:p>
        </w:tc>
        <w:tc>
          <w:tcPr>
            <w:tcW w:w="1778" w:type="dxa"/>
            <w:tcBorders>
              <w:top w:val="single" w:sz="4" w:space="0" w:color="000000"/>
              <w:left w:val="single" w:sz="4" w:space="0" w:color="000000"/>
              <w:bottom w:val="single" w:sz="4" w:space="0" w:color="000000"/>
              <w:right w:val="single" w:sz="4" w:space="0" w:color="000000"/>
            </w:tcBorders>
            <w:shd w:val="clear" w:color="auto" w:fill="C6D9F1"/>
            <w:tcMar>
              <w:top w:w="9" w:type="dxa"/>
              <w:left w:w="9" w:type="dxa"/>
              <w:bottom w:w="0" w:type="dxa"/>
              <w:right w:w="9" w:type="dxa"/>
            </w:tcMar>
            <w:vAlign w:val="center"/>
            <w:hideMark/>
          </w:tcPr>
          <w:p w:rsidR="00B2716A" w:rsidRPr="00777F26" w:rsidRDefault="00B2716A" w:rsidP="00777F26">
            <w:pPr>
              <w:pStyle w:val="Heading1"/>
              <w:rPr>
                <w:sz w:val="28"/>
              </w:rPr>
            </w:pPr>
            <w:r w:rsidRPr="00777F26">
              <w:rPr>
                <w:sz w:val="28"/>
              </w:rPr>
              <w:t xml:space="preserve">Proportion of couple families that are </w:t>
            </w:r>
            <w:r w:rsidR="00777F26">
              <w:rPr>
                <w:sz w:val="28"/>
              </w:rPr>
              <w:br/>
            </w:r>
            <w:r w:rsidRPr="00777F26">
              <w:rPr>
                <w:sz w:val="28"/>
              </w:rPr>
              <w:t>jobless</w:t>
            </w:r>
          </w:p>
        </w:tc>
        <w:tc>
          <w:tcPr>
            <w:tcW w:w="1778" w:type="dxa"/>
            <w:tcBorders>
              <w:top w:val="single" w:sz="4" w:space="0" w:color="000000"/>
              <w:left w:val="single" w:sz="4" w:space="0" w:color="000000"/>
              <w:bottom w:val="single" w:sz="4" w:space="0" w:color="000000"/>
              <w:right w:val="single" w:sz="4" w:space="0" w:color="000000"/>
            </w:tcBorders>
            <w:shd w:val="clear" w:color="auto" w:fill="C6D9F1"/>
            <w:tcMar>
              <w:top w:w="9" w:type="dxa"/>
              <w:left w:w="9" w:type="dxa"/>
              <w:bottom w:w="0" w:type="dxa"/>
              <w:right w:w="9" w:type="dxa"/>
            </w:tcMar>
            <w:vAlign w:val="center"/>
            <w:hideMark/>
          </w:tcPr>
          <w:p w:rsidR="00B2716A" w:rsidRPr="00777F26" w:rsidRDefault="00B2716A" w:rsidP="00777F26">
            <w:pPr>
              <w:pStyle w:val="Heading1"/>
              <w:rPr>
                <w:sz w:val="28"/>
              </w:rPr>
            </w:pPr>
            <w:r w:rsidRPr="00777F26">
              <w:rPr>
                <w:sz w:val="28"/>
              </w:rPr>
              <w:t>Proportion of lone parent families that are jobless</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92D050"/>
            <w:tcMar>
              <w:top w:w="15" w:type="dxa"/>
              <w:left w:w="57" w:type="dxa"/>
              <w:bottom w:w="0" w:type="dxa"/>
              <w:right w:w="15" w:type="dxa"/>
            </w:tcMar>
            <w:vAlign w:val="center"/>
            <w:hideMark/>
          </w:tcPr>
          <w:p w:rsidR="00B2716A" w:rsidRPr="00B2716A" w:rsidRDefault="00B2716A" w:rsidP="00777F26">
            <w:r w:rsidRPr="00B2716A">
              <w:t xml:space="preserve"> Hume LGA</w:t>
            </w:r>
          </w:p>
        </w:tc>
        <w:tc>
          <w:tcPr>
            <w:tcW w:w="1778"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B2716A" w:rsidRDefault="00B2716A" w:rsidP="00777F26">
            <w:pPr>
              <w:jc w:val="center"/>
            </w:pPr>
            <w:r w:rsidRPr="00B2716A">
              <w:t>3,990</w:t>
            </w:r>
          </w:p>
        </w:tc>
        <w:tc>
          <w:tcPr>
            <w:tcW w:w="1778"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B2716A" w:rsidRDefault="00B2716A" w:rsidP="00777F26">
            <w:pPr>
              <w:jc w:val="center"/>
            </w:pPr>
            <w:r w:rsidRPr="00B2716A">
              <w:t>21%</w:t>
            </w:r>
          </w:p>
        </w:tc>
        <w:tc>
          <w:tcPr>
            <w:tcW w:w="1778"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B2716A" w:rsidRDefault="00B2716A" w:rsidP="00777F26">
            <w:pPr>
              <w:jc w:val="center"/>
            </w:pPr>
            <w:r w:rsidRPr="00B2716A">
              <w:t>13%</w:t>
            </w:r>
          </w:p>
        </w:tc>
        <w:tc>
          <w:tcPr>
            <w:tcW w:w="1778" w:type="dxa"/>
            <w:tcBorders>
              <w:top w:val="single" w:sz="4" w:space="0" w:color="000000"/>
              <w:left w:val="single" w:sz="4" w:space="0" w:color="000000"/>
              <w:bottom w:val="single" w:sz="4" w:space="0" w:color="000000"/>
              <w:right w:val="single" w:sz="4" w:space="0" w:color="000000"/>
            </w:tcBorders>
            <w:shd w:val="clear" w:color="auto" w:fill="92D050"/>
            <w:tcMar>
              <w:top w:w="15" w:type="dxa"/>
              <w:left w:w="15" w:type="dxa"/>
              <w:bottom w:w="0" w:type="dxa"/>
              <w:right w:w="15" w:type="dxa"/>
            </w:tcMar>
            <w:vAlign w:val="center"/>
            <w:hideMark/>
          </w:tcPr>
          <w:p w:rsidR="00B2716A" w:rsidRPr="00B2716A" w:rsidRDefault="00B2716A" w:rsidP="00777F26">
            <w:pPr>
              <w:jc w:val="center"/>
            </w:pPr>
            <w:r w:rsidRPr="00B2716A">
              <w:t>52%</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Brimbank LGA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3,980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22%</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11%</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56%</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Hobsons Bay LGA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1,050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13%</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6%</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43%</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Maribyrnong LGA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1,010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8%</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45%</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Melton LGA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1,930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14%</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48%</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Whittlesea LGA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2,460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14%</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7%</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45%</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Wyndham LGA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2,650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13%</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46%</w:t>
            </w:r>
          </w:p>
        </w:tc>
      </w:tr>
      <w:tr w:rsidR="00B2716A" w:rsidRPr="00B2716A" w:rsidTr="00777F26">
        <w:trPr>
          <w:trHeight w:val="757"/>
        </w:trPr>
        <w:tc>
          <w:tcPr>
            <w:tcW w:w="2567" w:type="dxa"/>
            <w:tcBorders>
              <w:top w:val="single" w:sz="4" w:space="0" w:color="000000"/>
              <w:left w:val="single" w:sz="4" w:space="0" w:color="000000"/>
              <w:bottom w:val="single" w:sz="4" w:space="0" w:color="000000"/>
              <w:right w:val="single" w:sz="4" w:space="0" w:color="000000"/>
            </w:tcBorders>
            <w:shd w:val="clear" w:color="auto" w:fill="DCE6F2"/>
            <w:tcMar>
              <w:top w:w="15" w:type="dxa"/>
              <w:left w:w="57" w:type="dxa"/>
              <w:bottom w:w="0" w:type="dxa"/>
              <w:right w:w="15" w:type="dxa"/>
            </w:tcMar>
            <w:vAlign w:val="center"/>
            <w:hideMark/>
          </w:tcPr>
          <w:p w:rsidR="00B2716A" w:rsidRPr="00B2716A" w:rsidRDefault="00B2716A" w:rsidP="00777F26">
            <w:pPr>
              <w:jc w:val="left"/>
            </w:pPr>
            <w:r w:rsidRPr="00B2716A">
              <w:t xml:space="preserve"> North Western Melbourne PEA </w:t>
            </w:r>
          </w:p>
        </w:tc>
        <w:tc>
          <w:tcPr>
            <w:tcW w:w="1778"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B2716A" w:rsidRDefault="00B2716A" w:rsidP="00777F26">
            <w:pPr>
              <w:jc w:val="center"/>
            </w:pPr>
            <w:r w:rsidRPr="00B2716A">
              <w:t>17,070</w:t>
            </w:r>
          </w:p>
        </w:tc>
        <w:tc>
          <w:tcPr>
            <w:tcW w:w="1778"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B2716A" w:rsidRDefault="00B2716A" w:rsidP="00777F26">
            <w:pPr>
              <w:jc w:val="center"/>
            </w:pPr>
            <w:r w:rsidRPr="00B2716A">
              <w:t>17%</w:t>
            </w:r>
          </w:p>
        </w:tc>
        <w:tc>
          <w:tcPr>
            <w:tcW w:w="1778"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B2716A" w:rsidRDefault="00B2716A" w:rsidP="00777F26">
            <w:pPr>
              <w:jc w:val="center"/>
            </w:pPr>
            <w:r w:rsidRPr="00B2716A">
              <w:t>8%</w:t>
            </w:r>
          </w:p>
        </w:tc>
        <w:tc>
          <w:tcPr>
            <w:tcW w:w="1778" w:type="dxa"/>
            <w:tcBorders>
              <w:top w:val="single" w:sz="4" w:space="0" w:color="000000"/>
              <w:left w:val="single" w:sz="4" w:space="0" w:color="000000"/>
              <w:bottom w:val="single" w:sz="4" w:space="0" w:color="000000"/>
              <w:right w:val="single" w:sz="4" w:space="0" w:color="000000"/>
            </w:tcBorders>
            <w:shd w:val="clear" w:color="auto" w:fill="DCE6F2"/>
            <w:tcMar>
              <w:top w:w="15" w:type="dxa"/>
              <w:left w:w="15" w:type="dxa"/>
              <w:bottom w:w="0" w:type="dxa"/>
              <w:right w:w="15" w:type="dxa"/>
            </w:tcMar>
            <w:vAlign w:val="center"/>
            <w:hideMark/>
          </w:tcPr>
          <w:p w:rsidR="00B2716A" w:rsidRPr="00B2716A" w:rsidRDefault="00B2716A" w:rsidP="00777F26">
            <w:pPr>
              <w:jc w:val="center"/>
            </w:pPr>
            <w:r w:rsidRPr="00B2716A">
              <w:t>49%</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Victoria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66,720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13%</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43%</w:t>
            </w:r>
          </w:p>
        </w:tc>
      </w:tr>
      <w:tr w:rsidR="00B2716A" w:rsidRPr="00B2716A" w:rsidTr="00777F26">
        <w:trPr>
          <w:trHeight w:val="555"/>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15" w:type="dxa"/>
              <w:left w:w="57" w:type="dxa"/>
              <w:bottom w:w="0" w:type="dxa"/>
              <w:right w:w="15" w:type="dxa"/>
            </w:tcMar>
            <w:vAlign w:val="center"/>
            <w:hideMark/>
          </w:tcPr>
          <w:p w:rsidR="00B2716A" w:rsidRPr="00B2716A" w:rsidRDefault="00B2716A" w:rsidP="00777F26">
            <w:r w:rsidRPr="00B2716A">
              <w:t xml:space="preserve"> Australia</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294,880</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14%</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5%</w:t>
            </w:r>
          </w:p>
        </w:tc>
        <w:tc>
          <w:tcPr>
            <w:tcW w:w="17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B2716A" w:rsidRPr="00B2716A" w:rsidRDefault="00B2716A" w:rsidP="00777F26">
            <w:pPr>
              <w:jc w:val="center"/>
            </w:pPr>
            <w:r w:rsidRPr="00B2716A">
              <w:t>44%</w:t>
            </w:r>
          </w:p>
        </w:tc>
      </w:tr>
    </w:tbl>
    <w:p w:rsidR="00585787" w:rsidRPr="00777F26" w:rsidRDefault="00585787" w:rsidP="00777F26">
      <w:pPr>
        <w:rPr>
          <w:i/>
          <w:lang w:eastAsia="en-AU"/>
        </w:rPr>
      </w:pPr>
      <w:r w:rsidRPr="00777F26">
        <w:rPr>
          <w:i/>
          <w:lang w:eastAsia="en-AU"/>
        </w:rPr>
        <w:t>Source: ABS Census of Population and Housing, 2011</w:t>
      </w:r>
    </w:p>
    <w:p w:rsidR="00585787" w:rsidRDefault="00585787" w:rsidP="00777F26">
      <w:pPr>
        <w:rPr>
          <w:lang w:eastAsia="en-AU"/>
        </w:rPr>
      </w:pPr>
    </w:p>
    <w:p w:rsidR="00585787" w:rsidRDefault="00585787" w:rsidP="00777F26">
      <w:pPr>
        <w:rPr>
          <w:lang w:eastAsia="en-AU"/>
        </w:rPr>
      </w:pPr>
      <w:r>
        <w:rPr>
          <w:lang w:eastAsia="en-AU"/>
        </w:rPr>
        <w:t>At the time of the 2011 Census, almost one in five (17%) families with children (under 15 years of age) in the North Western Melbourne PEA did not have an employed parent, a figure larger than that for Victoria and Australia.</w:t>
      </w:r>
    </w:p>
    <w:p w:rsidR="00585787" w:rsidRDefault="00585787" w:rsidP="00777F26">
      <w:pPr>
        <w:rPr>
          <w:lang w:eastAsia="en-AU"/>
        </w:rPr>
      </w:pPr>
    </w:p>
    <w:p w:rsidR="00585787" w:rsidRDefault="00585787" w:rsidP="00777F26">
      <w:pPr>
        <w:rPr>
          <w:lang w:eastAsia="en-AU"/>
        </w:rPr>
      </w:pPr>
      <w:r>
        <w:rPr>
          <w:lang w:eastAsia="en-AU"/>
        </w:rPr>
        <w:t>However, there was disparity across the region. Some 22% of families with children in the Brimbank LGA were jobless. This differed from the Hobson Bay and Wyndham LGAs, where 13% of families with children were jobless, on par with Victoria.</w:t>
      </w:r>
    </w:p>
    <w:p w:rsidR="00585787" w:rsidRDefault="00585787">
      <w:r>
        <w:br w:type="page"/>
      </w:r>
    </w:p>
    <w:p w:rsidR="00777F26" w:rsidRPr="00777F26" w:rsidRDefault="00585787" w:rsidP="00777F26">
      <w:pPr>
        <w:pStyle w:val="Heading1"/>
        <w:rPr>
          <w:lang w:eastAsia="en-AU"/>
        </w:rPr>
      </w:pPr>
      <w:r>
        <w:lastRenderedPageBreak/>
        <w:t>Slide 22</w:t>
      </w:r>
      <w:r w:rsidR="00777F26">
        <w:t xml:space="preserve"> </w:t>
      </w:r>
      <w:r w:rsidR="00777F26" w:rsidRPr="00777F26">
        <w:rPr>
          <w:lang w:eastAsia="en-AU"/>
        </w:rPr>
        <w:t xml:space="preserve">Higher intake of Humanitarian Migrants in the PEA – </w:t>
      </w:r>
      <w:r w:rsidR="00777F26" w:rsidRPr="00777F26">
        <w:rPr>
          <w:sz w:val="28"/>
          <w:lang w:eastAsia="en-AU"/>
        </w:rPr>
        <w:t>Settlers aged 18-64 years over the past 5 years</w:t>
      </w:r>
    </w:p>
    <w:p w:rsidR="00585787" w:rsidRDefault="00585787" w:rsidP="00585787">
      <w:pPr>
        <w:spacing w:line="360" w:lineRule="auto"/>
      </w:pPr>
    </w:p>
    <w:p w:rsidR="00585787" w:rsidRDefault="00777F26" w:rsidP="00585787">
      <w:pPr>
        <w:spacing w:line="360" w:lineRule="auto"/>
      </w:pPr>
      <w:r w:rsidRPr="00777F26">
        <w:rPr>
          <w:noProof/>
          <w:lang w:eastAsia="en-AU"/>
        </w:rPr>
        <w:drawing>
          <wp:inline distT="0" distB="0" distL="0" distR="0" wp14:anchorId="3E30CD95" wp14:editId="714B992E">
            <wp:extent cx="5760000" cy="4320000"/>
            <wp:effectExtent l="19050" t="19050" r="12700" b="23495"/>
            <wp:docPr id="19" name="Picture 19" descr="Decorative,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000" cy="4320000"/>
                    </a:xfrm>
                    <a:prstGeom prst="rect">
                      <a:avLst/>
                    </a:prstGeom>
                    <a:ln>
                      <a:solidFill>
                        <a:schemeClr val="accent1"/>
                      </a:solidFill>
                    </a:ln>
                  </pic:spPr>
                </pic:pic>
              </a:graphicData>
            </a:graphic>
          </wp:inline>
        </w:drawing>
      </w:r>
    </w:p>
    <w:p w:rsidR="00585787" w:rsidRPr="00777F26" w:rsidRDefault="00585787" w:rsidP="00777F26">
      <w:pPr>
        <w:rPr>
          <w:i/>
          <w:lang w:eastAsia="en-AU"/>
        </w:rPr>
      </w:pPr>
      <w:r w:rsidRPr="00777F26">
        <w:rPr>
          <w:i/>
          <w:lang w:eastAsia="en-AU"/>
        </w:rPr>
        <w:t>Source:  Department of Immigration http://www.immi.gov.au/settlementn and Citizenship. Settlement reporting, August 2008 to August 2013</w:t>
      </w:r>
    </w:p>
    <w:p w:rsidR="00777F26" w:rsidRDefault="00777F26" w:rsidP="00777F26">
      <w:pPr>
        <w:rPr>
          <w:lang w:eastAsia="en-AU"/>
        </w:rPr>
      </w:pPr>
    </w:p>
    <w:p w:rsidR="00585787" w:rsidRDefault="00585787" w:rsidP="00777F26">
      <w:pPr>
        <w:rPr>
          <w:lang w:eastAsia="en-AU"/>
        </w:rPr>
      </w:pPr>
      <w:r>
        <w:rPr>
          <w:lang w:eastAsia="en-AU"/>
        </w:rPr>
        <w:t>There have been over 39,840 migrants (aged 18-64 years) settle in the North Western Melbourne PEA over the past 5 years:</w:t>
      </w:r>
    </w:p>
    <w:p w:rsidR="00585787" w:rsidRDefault="00585787" w:rsidP="00777F26">
      <w:pPr>
        <w:pStyle w:val="ListParagraph"/>
        <w:numPr>
          <w:ilvl w:val="0"/>
          <w:numId w:val="13"/>
        </w:numPr>
        <w:rPr>
          <w:lang w:eastAsia="en-AU"/>
        </w:rPr>
      </w:pPr>
      <w:r>
        <w:rPr>
          <w:lang w:eastAsia="en-AU"/>
        </w:rPr>
        <w:t xml:space="preserve">44% (17,460 migrants) settled under the skilled migration stream, compared with 58% for Australia. </w:t>
      </w:r>
    </w:p>
    <w:p w:rsidR="00585787" w:rsidRDefault="00A33340" w:rsidP="00777F26">
      <w:pPr>
        <w:pStyle w:val="ListParagraph"/>
        <w:numPr>
          <w:ilvl w:val="0"/>
          <w:numId w:val="13"/>
        </w:numPr>
        <w:rPr>
          <w:lang w:eastAsia="en-AU"/>
        </w:rPr>
      </w:pPr>
      <w:r>
        <w:rPr>
          <w:lang w:eastAsia="en-AU"/>
        </w:rPr>
        <w:t>41</w:t>
      </w:r>
      <w:r w:rsidR="00585787">
        <w:rPr>
          <w:lang w:eastAsia="en-AU"/>
        </w:rPr>
        <w:t xml:space="preserve">% (16,350 migrants) settled under the family migration stream, compared with 35% for Australia. </w:t>
      </w:r>
    </w:p>
    <w:p w:rsidR="00585787" w:rsidRDefault="00A33340" w:rsidP="00777F26">
      <w:pPr>
        <w:pStyle w:val="ListParagraph"/>
        <w:numPr>
          <w:ilvl w:val="0"/>
          <w:numId w:val="13"/>
        </w:numPr>
        <w:rPr>
          <w:lang w:eastAsia="en-AU"/>
        </w:rPr>
      </w:pPr>
      <w:r>
        <w:rPr>
          <w:lang w:eastAsia="en-AU"/>
        </w:rPr>
        <w:t>15</w:t>
      </w:r>
      <w:r w:rsidR="00585787">
        <w:rPr>
          <w:lang w:eastAsia="en-AU"/>
        </w:rPr>
        <w:t xml:space="preserve">% (6,030 migrants) settled under the humanitarian migration stream, compared with 7% for Australia. </w:t>
      </w:r>
    </w:p>
    <w:p w:rsidR="00585787" w:rsidRDefault="00585787" w:rsidP="00777F26">
      <w:pPr>
        <w:pStyle w:val="ListParagraph"/>
        <w:numPr>
          <w:ilvl w:val="0"/>
          <w:numId w:val="13"/>
        </w:numPr>
        <w:rPr>
          <w:lang w:eastAsia="en-AU"/>
        </w:rPr>
      </w:pPr>
      <w:r>
        <w:rPr>
          <w:lang w:eastAsia="en-AU"/>
        </w:rPr>
        <w:t xml:space="preserve">90% of Humanitarian migrants had ‘nil’ or ‘poor’ English language proficiency. </w:t>
      </w:r>
    </w:p>
    <w:p w:rsidR="00585787" w:rsidRDefault="00585787" w:rsidP="00777F26">
      <w:pPr>
        <w:rPr>
          <w:lang w:eastAsia="en-AU"/>
        </w:rPr>
      </w:pPr>
    </w:p>
    <w:p w:rsidR="00585787" w:rsidRDefault="00585787" w:rsidP="00777F26">
      <w:pPr>
        <w:rPr>
          <w:lang w:eastAsia="en-AU"/>
        </w:rPr>
      </w:pPr>
      <w:r>
        <w:rPr>
          <w:lang w:eastAsia="en-AU"/>
        </w:rPr>
        <w:t>Of all Humanitarian migrants aged 18-64 who settled in Australia over the past 5 years, 13% settled in the North Western Melbourne PEA.  This is notably high considering only 4% of Australia’s working age population live in the PEA.</w:t>
      </w:r>
    </w:p>
    <w:p w:rsidR="00585787" w:rsidRDefault="00585787">
      <w:r>
        <w:br w:type="page"/>
      </w:r>
    </w:p>
    <w:p w:rsidR="00DE2EEC" w:rsidRPr="00DE2EEC" w:rsidRDefault="00585787" w:rsidP="00DE2EEC">
      <w:pPr>
        <w:pStyle w:val="Heading1"/>
        <w:rPr>
          <w:lang w:eastAsia="en-AU"/>
        </w:rPr>
      </w:pPr>
      <w:r>
        <w:lastRenderedPageBreak/>
        <w:t>Slide 23</w:t>
      </w:r>
      <w:r w:rsidR="00DE2EEC">
        <w:t xml:space="preserve"> </w:t>
      </w:r>
      <w:r w:rsidR="00DE2EEC" w:rsidRPr="00DE2EEC">
        <w:rPr>
          <w:lang w:eastAsia="en-AU"/>
        </w:rPr>
        <w:t xml:space="preserve">OTMESC Recent Arrivals More Likely to be in Lower Skilled Employment — </w:t>
      </w:r>
      <w:r w:rsidR="00DE2EEC" w:rsidRPr="00DE2EEC">
        <w:rPr>
          <w:sz w:val="28"/>
          <w:lang w:eastAsia="en-AU"/>
        </w:rPr>
        <w:t>Persons of working age in 2011</w:t>
      </w:r>
    </w:p>
    <w:p w:rsidR="00585787" w:rsidRDefault="00585787" w:rsidP="00585787">
      <w:pPr>
        <w:spacing w:line="360" w:lineRule="auto"/>
      </w:pPr>
    </w:p>
    <w:p w:rsidR="00585787" w:rsidRDefault="00DE2EEC" w:rsidP="00585787">
      <w:pPr>
        <w:spacing w:line="360" w:lineRule="auto"/>
      </w:pPr>
      <w:r w:rsidRPr="00DE2EEC">
        <w:rPr>
          <w:noProof/>
          <w:lang w:eastAsia="en-AU"/>
        </w:rPr>
        <w:drawing>
          <wp:inline distT="0" distB="0" distL="0" distR="0" wp14:anchorId="493D56C4" wp14:editId="51367DB6">
            <wp:extent cx="5760000" cy="4320000"/>
            <wp:effectExtent l="19050" t="19050" r="12700" b="23495"/>
            <wp:docPr id="3" name="Picture 3" descr="OMESC workers 61% in higher/medium skilled occupations and 39% in Lower skilled occupations&#10;&#10;Mesc workers 77% in higherr/medium skilled occupations and 23% in Lower skilled occupations&#10;&#10;In the PEA 26% of working aged people have a Bachelor degree  or higher compared to16% of MESC working ag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00" cy="4320000"/>
                    </a:xfrm>
                    <a:prstGeom prst="rect">
                      <a:avLst/>
                    </a:prstGeom>
                    <a:ln>
                      <a:solidFill>
                        <a:schemeClr val="accent1"/>
                      </a:solidFill>
                    </a:ln>
                  </pic:spPr>
                </pic:pic>
              </a:graphicData>
            </a:graphic>
          </wp:inline>
        </w:drawing>
      </w:r>
    </w:p>
    <w:p w:rsidR="00585787" w:rsidRPr="00DE2EEC" w:rsidRDefault="00585787" w:rsidP="00DE2EEC">
      <w:pPr>
        <w:rPr>
          <w:i/>
          <w:lang w:eastAsia="en-AU"/>
        </w:rPr>
      </w:pPr>
      <w:r w:rsidRPr="00DE2EEC">
        <w:rPr>
          <w:i/>
          <w:lang w:eastAsia="en-AU"/>
        </w:rPr>
        <w:t xml:space="preserve">Source: ABS Census of Population and Housing, 2011 </w:t>
      </w:r>
    </w:p>
    <w:p w:rsidR="00585787" w:rsidRPr="00DE2EEC" w:rsidRDefault="00585787" w:rsidP="00DE2EEC">
      <w:pPr>
        <w:rPr>
          <w:i/>
          <w:lang w:eastAsia="en-AU"/>
        </w:rPr>
      </w:pPr>
    </w:p>
    <w:tbl>
      <w:tblPr>
        <w:tblStyle w:val="TableGrid"/>
        <w:tblW w:w="0" w:type="auto"/>
        <w:tblLook w:val="04A0" w:firstRow="1" w:lastRow="0" w:firstColumn="1" w:lastColumn="0" w:noHBand="0" w:noVBand="1"/>
      </w:tblPr>
      <w:tblGrid>
        <w:gridCol w:w="4786"/>
        <w:gridCol w:w="1843"/>
        <w:gridCol w:w="1843"/>
      </w:tblGrid>
      <w:tr w:rsidR="00DE2EEC" w:rsidRPr="00DE2EEC" w:rsidTr="00DE2EEC">
        <w:tc>
          <w:tcPr>
            <w:tcW w:w="4786" w:type="dxa"/>
            <w:shd w:val="clear" w:color="auto" w:fill="17365D" w:themeFill="text2" w:themeFillShade="BF"/>
          </w:tcPr>
          <w:p w:rsidR="00DE2EEC" w:rsidRPr="00DE2EEC" w:rsidRDefault="00DE2EEC" w:rsidP="00DE2EEC">
            <w:pPr>
              <w:pStyle w:val="Heading1"/>
              <w:spacing w:before="0" w:after="0"/>
              <w:rPr>
                <w:color w:val="FFFFFF" w:themeColor="background1"/>
                <w:sz w:val="28"/>
                <w:lang w:eastAsia="en-AU"/>
              </w:rPr>
            </w:pPr>
          </w:p>
        </w:tc>
        <w:tc>
          <w:tcPr>
            <w:tcW w:w="1843" w:type="dxa"/>
            <w:shd w:val="clear" w:color="auto" w:fill="17365D" w:themeFill="text2" w:themeFillShade="BF"/>
            <w:vAlign w:val="center"/>
          </w:tcPr>
          <w:p w:rsidR="00DE2EEC" w:rsidRPr="00DE2EEC" w:rsidRDefault="00DE2EEC" w:rsidP="00DE2EEC">
            <w:pPr>
              <w:pStyle w:val="Heading1"/>
              <w:spacing w:before="0" w:after="0"/>
              <w:rPr>
                <w:color w:val="FFFFFF" w:themeColor="background1"/>
                <w:sz w:val="28"/>
                <w:lang w:eastAsia="en-AU"/>
              </w:rPr>
            </w:pPr>
            <w:r w:rsidRPr="00DE2EEC">
              <w:rPr>
                <w:color w:val="FFFFFF" w:themeColor="background1"/>
                <w:sz w:val="28"/>
                <w:lang w:eastAsia="en-AU"/>
              </w:rPr>
              <w:t>OTMESC</w:t>
            </w:r>
          </w:p>
        </w:tc>
        <w:tc>
          <w:tcPr>
            <w:tcW w:w="1843" w:type="dxa"/>
            <w:shd w:val="clear" w:color="auto" w:fill="17365D" w:themeFill="text2" w:themeFillShade="BF"/>
            <w:vAlign w:val="center"/>
          </w:tcPr>
          <w:p w:rsidR="00DE2EEC" w:rsidRPr="00DE2EEC" w:rsidRDefault="00DE2EEC" w:rsidP="00DE2EEC">
            <w:pPr>
              <w:pStyle w:val="Heading1"/>
              <w:spacing w:before="0" w:after="0"/>
              <w:rPr>
                <w:color w:val="FFFFFF" w:themeColor="background1"/>
                <w:sz w:val="28"/>
                <w:lang w:eastAsia="en-AU"/>
              </w:rPr>
            </w:pPr>
            <w:r w:rsidRPr="00DE2EEC">
              <w:rPr>
                <w:color w:val="FFFFFF" w:themeColor="background1"/>
                <w:sz w:val="28"/>
                <w:lang w:eastAsia="en-AU"/>
              </w:rPr>
              <w:t>MESC</w:t>
            </w:r>
          </w:p>
        </w:tc>
      </w:tr>
      <w:tr w:rsidR="00DE2EEC" w:rsidRPr="00DE2EEC" w:rsidTr="00DE2EEC">
        <w:tc>
          <w:tcPr>
            <w:tcW w:w="4786" w:type="dxa"/>
          </w:tcPr>
          <w:p w:rsidR="00DE2EEC" w:rsidRPr="00DE2EEC" w:rsidRDefault="00DE2EEC" w:rsidP="00DE2EEC">
            <w:pPr>
              <w:rPr>
                <w:lang w:eastAsia="en-AU"/>
              </w:rPr>
            </w:pPr>
            <w:r w:rsidRPr="00DE2EEC">
              <w:rPr>
                <w:lang w:eastAsia="en-AU"/>
              </w:rPr>
              <w:t>Managers and Professionals</w:t>
            </w:r>
          </w:p>
        </w:tc>
        <w:tc>
          <w:tcPr>
            <w:tcW w:w="1843" w:type="dxa"/>
            <w:vAlign w:val="center"/>
          </w:tcPr>
          <w:p w:rsidR="00DE2EEC" w:rsidRPr="00DE2EEC" w:rsidRDefault="00DE2EEC" w:rsidP="00DE2EEC">
            <w:pPr>
              <w:jc w:val="center"/>
              <w:rPr>
                <w:lang w:eastAsia="en-AU"/>
              </w:rPr>
            </w:pPr>
            <w:r w:rsidRPr="00DE2EEC">
              <w:rPr>
                <w:lang w:eastAsia="en-AU"/>
              </w:rPr>
              <w:t>23%</w:t>
            </w:r>
          </w:p>
        </w:tc>
        <w:tc>
          <w:tcPr>
            <w:tcW w:w="1843" w:type="dxa"/>
            <w:vAlign w:val="center"/>
          </w:tcPr>
          <w:p w:rsidR="00DE2EEC" w:rsidRPr="00DE2EEC" w:rsidRDefault="00DE2EEC" w:rsidP="00DE2EEC">
            <w:pPr>
              <w:jc w:val="center"/>
              <w:rPr>
                <w:lang w:eastAsia="en-AU"/>
              </w:rPr>
            </w:pPr>
            <w:r w:rsidRPr="00DE2EEC">
              <w:rPr>
                <w:lang w:eastAsia="en-AU"/>
              </w:rPr>
              <w:t>40%</w:t>
            </w:r>
          </w:p>
        </w:tc>
      </w:tr>
      <w:tr w:rsidR="00DE2EEC" w:rsidRPr="00DE2EEC" w:rsidTr="00DE2EEC">
        <w:tc>
          <w:tcPr>
            <w:tcW w:w="4786" w:type="dxa"/>
          </w:tcPr>
          <w:p w:rsidR="00DE2EEC" w:rsidRPr="00DE2EEC" w:rsidRDefault="00DE2EEC" w:rsidP="00DE2EEC">
            <w:pPr>
              <w:rPr>
                <w:lang w:eastAsia="en-AU"/>
              </w:rPr>
            </w:pPr>
            <w:r w:rsidRPr="00DE2EEC">
              <w:rPr>
                <w:lang w:eastAsia="en-AU"/>
              </w:rPr>
              <w:t>Technicians and Trades Workers</w:t>
            </w:r>
          </w:p>
        </w:tc>
        <w:tc>
          <w:tcPr>
            <w:tcW w:w="1843" w:type="dxa"/>
            <w:vAlign w:val="center"/>
          </w:tcPr>
          <w:p w:rsidR="00DE2EEC" w:rsidRPr="00DE2EEC" w:rsidRDefault="00DE2EEC" w:rsidP="00DE2EEC">
            <w:pPr>
              <w:jc w:val="center"/>
              <w:rPr>
                <w:lang w:eastAsia="en-AU"/>
              </w:rPr>
            </w:pPr>
            <w:r w:rsidRPr="00DE2EEC">
              <w:rPr>
                <w:lang w:eastAsia="en-AU"/>
              </w:rPr>
              <w:t>15%</w:t>
            </w:r>
          </w:p>
        </w:tc>
        <w:tc>
          <w:tcPr>
            <w:tcW w:w="1843" w:type="dxa"/>
            <w:vAlign w:val="center"/>
          </w:tcPr>
          <w:p w:rsidR="00DE2EEC" w:rsidRPr="00DE2EEC" w:rsidRDefault="00DE2EEC" w:rsidP="00DE2EEC">
            <w:pPr>
              <w:jc w:val="center"/>
              <w:rPr>
                <w:lang w:eastAsia="en-AU"/>
              </w:rPr>
            </w:pPr>
            <w:r w:rsidRPr="00DE2EEC">
              <w:rPr>
                <w:lang w:eastAsia="en-AU"/>
              </w:rPr>
              <w:t>14%</w:t>
            </w:r>
          </w:p>
        </w:tc>
      </w:tr>
      <w:tr w:rsidR="00DE2EEC" w:rsidRPr="00DE2EEC" w:rsidTr="00DE2EEC">
        <w:tc>
          <w:tcPr>
            <w:tcW w:w="4786" w:type="dxa"/>
          </w:tcPr>
          <w:p w:rsidR="00DE2EEC" w:rsidRPr="00DE2EEC" w:rsidRDefault="00DE2EEC" w:rsidP="00DE2EEC">
            <w:pPr>
              <w:rPr>
                <w:lang w:eastAsia="en-AU"/>
              </w:rPr>
            </w:pPr>
            <w:r w:rsidRPr="00DE2EEC">
              <w:rPr>
                <w:lang w:eastAsia="en-AU"/>
              </w:rPr>
              <w:t>Community and Personal Service Workers</w:t>
            </w:r>
          </w:p>
        </w:tc>
        <w:tc>
          <w:tcPr>
            <w:tcW w:w="1843" w:type="dxa"/>
            <w:vAlign w:val="center"/>
          </w:tcPr>
          <w:p w:rsidR="00DE2EEC" w:rsidRPr="00DE2EEC" w:rsidRDefault="00DE2EEC" w:rsidP="00DE2EEC">
            <w:pPr>
              <w:jc w:val="center"/>
              <w:rPr>
                <w:lang w:eastAsia="en-AU"/>
              </w:rPr>
            </w:pPr>
            <w:r w:rsidRPr="00DE2EEC">
              <w:rPr>
                <w:lang w:eastAsia="en-AU"/>
              </w:rPr>
              <w:t>12%</w:t>
            </w:r>
          </w:p>
        </w:tc>
        <w:tc>
          <w:tcPr>
            <w:tcW w:w="1843" w:type="dxa"/>
            <w:vAlign w:val="center"/>
          </w:tcPr>
          <w:p w:rsidR="00DE2EEC" w:rsidRPr="00DE2EEC" w:rsidRDefault="00DE2EEC" w:rsidP="00DE2EEC">
            <w:pPr>
              <w:jc w:val="center"/>
              <w:rPr>
                <w:lang w:eastAsia="en-AU"/>
              </w:rPr>
            </w:pPr>
            <w:r w:rsidRPr="00DE2EEC">
              <w:rPr>
                <w:lang w:eastAsia="en-AU"/>
              </w:rPr>
              <w:t>7%</w:t>
            </w:r>
          </w:p>
        </w:tc>
      </w:tr>
      <w:tr w:rsidR="00DE2EEC" w:rsidRPr="00DE2EEC" w:rsidTr="00DE2EEC">
        <w:tc>
          <w:tcPr>
            <w:tcW w:w="4786" w:type="dxa"/>
          </w:tcPr>
          <w:p w:rsidR="00DE2EEC" w:rsidRPr="00DE2EEC" w:rsidRDefault="00DE2EEC" w:rsidP="00DE2EEC">
            <w:pPr>
              <w:rPr>
                <w:lang w:eastAsia="en-AU"/>
              </w:rPr>
            </w:pPr>
            <w:r w:rsidRPr="00DE2EEC">
              <w:rPr>
                <w:lang w:eastAsia="en-AU"/>
              </w:rPr>
              <w:t>Clerical and Administrative Workers</w:t>
            </w:r>
          </w:p>
        </w:tc>
        <w:tc>
          <w:tcPr>
            <w:tcW w:w="1843" w:type="dxa"/>
            <w:vAlign w:val="center"/>
          </w:tcPr>
          <w:p w:rsidR="00DE2EEC" w:rsidRPr="00DE2EEC" w:rsidRDefault="00DE2EEC" w:rsidP="00DE2EEC">
            <w:pPr>
              <w:jc w:val="center"/>
              <w:rPr>
                <w:lang w:eastAsia="en-AU"/>
              </w:rPr>
            </w:pPr>
            <w:r w:rsidRPr="00DE2EEC">
              <w:rPr>
                <w:lang w:eastAsia="en-AU"/>
              </w:rPr>
              <w:t>11%</w:t>
            </w:r>
          </w:p>
        </w:tc>
        <w:tc>
          <w:tcPr>
            <w:tcW w:w="1843" w:type="dxa"/>
            <w:vAlign w:val="center"/>
          </w:tcPr>
          <w:p w:rsidR="00DE2EEC" w:rsidRPr="00DE2EEC" w:rsidRDefault="00DE2EEC" w:rsidP="00DE2EEC">
            <w:pPr>
              <w:jc w:val="center"/>
              <w:rPr>
                <w:lang w:eastAsia="en-AU"/>
              </w:rPr>
            </w:pPr>
            <w:r w:rsidRPr="00DE2EEC">
              <w:rPr>
                <w:lang w:eastAsia="en-AU"/>
              </w:rPr>
              <w:t>15%</w:t>
            </w:r>
          </w:p>
        </w:tc>
      </w:tr>
      <w:tr w:rsidR="00DE2EEC" w:rsidRPr="00DE2EEC" w:rsidTr="00DE2EEC">
        <w:tc>
          <w:tcPr>
            <w:tcW w:w="4786" w:type="dxa"/>
          </w:tcPr>
          <w:p w:rsidR="00DE2EEC" w:rsidRPr="00DE2EEC" w:rsidRDefault="00DE2EEC" w:rsidP="00DE2EEC">
            <w:pPr>
              <w:rPr>
                <w:lang w:eastAsia="en-AU"/>
              </w:rPr>
            </w:pPr>
            <w:r w:rsidRPr="00DE2EEC">
              <w:rPr>
                <w:lang w:eastAsia="en-AU"/>
              </w:rPr>
              <w:t>Sales Workers</w:t>
            </w:r>
          </w:p>
        </w:tc>
        <w:tc>
          <w:tcPr>
            <w:tcW w:w="1843" w:type="dxa"/>
            <w:vAlign w:val="center"/>
          </w:tcPr>
          <w:p w:rsidR="00DE2EEC" w:rsidRPr="00DE2EEC" w:rsidRDefault="00DE2EEC" w:rsidP="00DE2EEC">
            <w:pPr>
              <w:jc w:val="center"/>
              <w:rPr>
                <w:lang w:eastAsia="en-AU"/>
              </w:rPr>
            </w:pPr>
            <w:r w:rsidRPr="00DE2EEC">
              <w:rPr>
                <w:lang w:eastAsia="en-AU"/>
              </w:rPr>
              <w:t>8%</w:t>
            </w:r>
          </w:p>
        </w:tc>
        <w:tc>
          <w:tcPr>
            <w:tcW w:w="1843" w:type="dxa"/>
            <w:vAlign w:val="center"/>
          </w:tcPr>
          <w:p w:rsidR="00DE2EEC" w:rsidRPr="00DE2EEC" w:rsidRDefault="00DE2EEC" w:rsidP="00DE2EEC">
            <w:pPr>
              <w:jc w:val="center"/>
              <w:rPr>
                <w:lang w:eastAsia="en-AU"/>
              </w:rPr>
            </w:pPr>
            <w:r w:rsidRPr="00DE2EEC">
              <w:rPr>
                <w:lang w:eastAsia="en-AU"/>
              </w:rPr>
              <w:t>8%</w:t>
            </w:r>
          </w:p>
        </w:tc>
      </w:tr>
      <w:tr w:rsidR="00DE2EEC" w:rsidRPr="00DE2EEC" w:rsidTr="00DE2EEC">
        <w:tc>
          <w:tcPr>
            <w:tcW w:w="4786" w:type="dxa"/>
          </w:tcPr>
          <w:p w:rsidR="00DE2EEC" w:rsidRPr="00DE2EEC" w:rsidRDefault="00DE2EEC" w:rsidP="00DE2EEC">
            <w:pPr>
              <w:rPr>
                <w:lang w:eastAsia="en-AU"/>
              </w:rPr>
            </w:pPr>
            <w:r w:rsidRPr="00DE2EEC">
              <w:rPr>
                <w:lang w:eastAsia="en-AU"/>
              </w:rPr>
              <w:t>Machinery Operators and Drivers</w:t>
            </w:r>
          </w:p>
        </w:tc>
        <w:tc>
          <w:tcPr>
            <w:tcW w:w="1843" w:type="dxa"/>
            <w:vAlign w:val="center"/>
          </w:tcPr>
          <w:p w:rsidR="00DE2EEC" w:rsidRPr="00DE2EEC" w:rsidRDefault="00DE2EEC" w:rsidP="00DE2EEC">
            <w:pPr>
              <w:jc w:val="center"/>
              <w:rPr>
                <w:lang w:eastAsia="en-AU"/>
              </w:rPr>
            </w:pPr>
            <w:r w:rsidRPr="00DE2EEC">
              <w:rPr>
                <w:lang w:eastAsia="en-AU"/>
              </w:rPr>
              <w:t>11%</w:t>
            </w:r>
          </w:p>
        </w:tc>
        <w:tc>
          <w:tcPr>
            <w:tcW w:w="1843" w:type="dxa"/>
            <w:vAlign w:val="center"/>
          </w:tcPr>
          <w:p w:rsidR="00DE2EEC" w:rsidRPr="00DE2EEC" w:rsidRDefault="00DE2EEC" w:rsidP="00DE2EEC">
            <w:pPr>
              <w:jc w:val="center"/>
              <w:rPr>
                <w:lang w:eastAsia="en-AU"/>
              </w:rPr>
            </w:pPr>
            <w:r w:rsidRPr="00DE2EEC">
              <w:rPr>
                <w:lang w:eastAsia="en-AU"/>
              </w:rPr>
              <w:t>8%</w:t>
            </w:r>
          </w:p>
        </w:tc>
      </w:tr>
      <w:tr w:rsidR="00DE2EEC" w:rsidRPr="00DE2EEC" w:rsidTr="00DE2EEC">
        <w:tc>
          <w:tcPr>
            <w:tcW w:w="4786" w:type="dxa"/>
          </w:tcPr>
          <w:p w:rsidR="00DE2EEC" w:rsidRPr="00DE2EEC" w:rsidRDefault="00DE2EEC" w:rsidP="00DE2EEC">
            <w:pPr>
              <w:rPr>
                <w:lang w:eastAsia="en-AU"/>
              </w:rPr>
            </w:pPr>
            <w:r w:rsidRPr="00DE2EEC">
              <w:rPr>
                <w:lang w:eastAsia="en-AU"/>
              </w:rPr>
              <w:t>Labourers</w:t>
            </w:r>
          </w:p>
        </w:tc>
        <w:tc>
          <w:tcPr>
            <w:tcW w:w="1843" w:type="dxa"/>
            <w:vAlign w:val="center"/>
          </w:tcPr>
          <w:p w:rsidR="00DE2EEC" w:rsidRPr="00DE2EEC" w:rsidRDefault="00DE2EEC" w:rsidP="00DE2EEC">
            <w:pPr>
              <w:jc w:val="center"/>
              <w:rPr>
                <w:lang w:eastAsia="en-AU"/>
              </w:rPr>
            </w:pPr>
            <w:r w:rsidRPr="00DE2EEC">
              <w:rPr>
                <w:lang w:eastAsia="en-AU"/>
              </w:rPr>
              <w:t>21%</w:t>
            </w:r>
          </w:p>
        </w:tc>
        <w:tc>
          <w:tcPr>
            <w:tcW w:w="1843" w:type="dxa"/>
            <w:vAlign w:val="center"/>
          </w:tcPr>
          <w:p w:rsidR="00DE2EEC" w:rsidRPr="00DE2EEC" w:rsidRDefault="00DE2EEC" w:rsidP="00DE2EEC">
            <w:pPr>
              <w:jc w:val="center"/>
              <w:rPr>
                <w:lang w:eastAsia="en-AU"/>
              </w:rPr>
            </w:pPr>
            <w:r w:rsidRPr="00DE2EEC">
              <w:rPr>
                <w:lang w:eastAsia="en-AU"/>
              </w:rPr>
              <w:t>8%</w:t>
            </w:r>
          </w:p>
        </w:tc>
      </w:tr>
    </w:tbl>
    <w:p w:rsidR="00585787" w:rsidRDefault="00585787">
      <w:r>
        <w:br w:type="page"/>
      </w:r>
    </w:p>
    <w:p w:rsidR="00DE2EEC" w:rsidRPr="00DE2EEC" w:rsidRDefault="00585787" w:rsidP="00DE2EEC">
      <w:pPr>
        <w:pStyle w:val="Heading1"/>
        <w:rPr>
          <w:lang w:eastAsia="en-AU"/>
        </w:rPr>
      </w:pPr>
      <w:r>
        <w:lastRenderedPageBreak/>
        <w:t>Slide 24</w:t>
      </w:r>
      <w:r w:rsidR="00DE2EEC">
        <w:t xml:space="preserve"> </w:t>
      </w:r>
      <w:r w:rsidR="00DE2EEC" w:rsidRPr="00DE2EEC">
        <w:rPr>
          <w:lang w:eastAsia="en-AU"/>
        </w:rPr>
        <w:t xml:space="preserve">OTMESC migrants take longer to enter the workforce </w:t>
      </w:r>
      <w:r w:rsidR="00DE2EEC" w:rsidRPr="00DE2EEC">
        <w:rPr>
          <w:sz w:val="28"/>
          <w:lang w:eastAsia="en-AU"/>
        </w:rPr>
        <w:t>(labour force status at 2011)</w:t>
      </w:r>
      <w:r w:rsidR="00DE2EEC" w:rsidRPr="00DE2EEC">
        <w:rPr>
          <w:lang w:eastAsia="en-AU"/>
        </w:rPr>
        <w:t xml:space="preserve"> </w:t>
      </w:r>
    </w:p>
    <w:p w:rsidR="00585787" w:rsidRDefault="00585787" w:rsidP="00585787">
      <w:pPr>
        <w:spacing w:line="360" w:lineRule="auto"/>
      </w:pPr>
    </w:p>
    <w:p w:rsidR="00585787" w:rsidRDefault="00DE2EEC" w:rsidP="00585787">
      <w:pPr>
        <w:spacing w:line="360" w:lineRule="auto"/>
      </w:pPr>
      <w:r w:rsidRPr="00DE2EEC">
        <w:rPr>
          <w:noProof/>
          <w:lang w:eastAsia="en-AU"/>
        </w:rPr>
        <w:drawing>
          <wp:inline distT="0" distB="0" distL="0" distR="0" wp14:anchorId="5CF037B7" wp14:editId="06964931">
            <wp:extent cx="5760000" cy="4320000"/>
            <wp:effectExtent l="19050" t="19050" r="12700" b="23495"/>
            <wp:docPr id="4" name="Picture 4" descr="Comparison of OTMESC and MESC unemployment rates for the following year of arrivals &#10;2000-2004, 7.8% OTMESC, 4.8% MESC&#10;2005-2009, 9.4% OTMESC, 6.0% MESC&#10;2010-2011, 28.6% OTMESC, 14.4% MESC&#10;&#10;Comparison of OTMESC and MESC participation rates for the following year of arrivals&#10;2000-2004, 70.9% OTMESC, 81.4% MESC&#10;2005-2009, 68.6% OTMESC, 82.2% MESC&#10;2010-2011, 48.3% OTMESC, 80.0% MES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000" cy="4320000"/>
                    </a:xfrm>
                    <a:prstGeom prst="rect">
                      <a:avLst/>
                    </a:prstGeom>
                    <a:ln>
                      <a:solidFill>
                        <a:schemeClr val="accent1"/>
                      </a:solidFill>
                    </a:ln>
                  </pic:spPr>
                </pic:pic>
              </a:graphicData>
            </a:graphic>
          </wp:inline>
        </w:drawing>
      </w:r>
    </w:p>
    <w:p w:rsidR="00585787" w:rsidRPr="00DE2EEC" w:rsidRDefault="00585787" w:rsidP="00DE2EEC">
      <w:pPr>
        <w:rPr>
          <w:i/>
          <w:lang w:eastAsia="en-AU"/>
        </w:rPr>
      </w:pPr>
      <w:r w:rsidRPr="00DE2EEC">
        <w:rPr>
          <w:i/>
          <w:lang w:eastAsia="en-AU"/>
        </w:rPr>
        <w:t>Source: ABS, Census of Population and Housing, 2011</w:t>
      </w:r>
    </w:p>
    <w:p w:rsidR="00585787" w:rsidRDefault="00585787" w:rsidP="00DE2EEC">
      <w:pPr>
        <w:rPr>
          <w:lang w:eastAsia="en-AU"/>
        </w:rPr>
      </w:pPr>
    </w:p>
    <w:p w:rsidR="00585787" w:rsidRDefault="00585787" w:rsidP="00DE2EEC">
      <w:pPr>
        <w:rPr>
          <w:lang w:eastAsia="en-AU"/>
        </w:rPr>
      </w:pPr>
      <w:r>
        <w:rPr>
          <w:lang w:eastAsia="en-AU"/>
        </w:rPr>
        <w:t xml:space="preserve">OTMESC migrants in the North Western Melbourne PEA who have recently arrived in Australia have a far higher unemployment rate than those who have been in Australia for longer. They also are far less likely to be participating in the labour market. </w:t>
      </w:r>
    </w:p>
    <w:p w:rsidR="00585787" w:rsidRDefault="00585787" w:rsidP="00DE2EEC">
      <w:pPr>
        <w:rPr>
          <w:lang w:eastAsia="en-AU"/>
        </w:rPr>
      </w:pPr>
    </w:p>
    <w:p w:rsidR="00585787" w:rsidRDefault="00585787" w:rsidP="00DE2EEC">
      <w:pPr>
        <w:rPr>
          <w:lang w:eastAsia="en-AU"/>
        </w:rPr>
      </w:pPr>
      <w:r>
        <w:rPr>
          <w:lang w:eastAsia="en-AU"/>
        </w:rPr>
        <w:t>At the time of the 2011 Census, the unemployment rate for OTMESC migrants who had arrived in 2010 and 2011 was 28.6% compared with 14.4% for MESC migrants. The participation rate for recently arrived OTMESC migrants (48.3%) was also well below recently arrived MESC migrants (80.0%).</w:t>
      </w:r>
    </w:p>
    <w:p w:rsidR="00585787" w:rsidRDefault="00585787">
      <w:r>
        <w:br w:type="page"/>
      </w:r>
    </w:p>
    <w:p w:rsidR="00DE2EEC" w:rsidRPr="00DE2EEC" w:rsidRDefault="00585787" w:rsidP="00DE2EEC">
      <w:pPr>
        <w:pStyle w:val="Heading1"/>
        <w:rPr>
          <w:lang w:eastAsia="en-AU"/>
        </w:rPr>
      </w:pPr>
      <w:r>
        <w:lastRenderedPageBreak/>
        <w:t>Slide 25</w:t>
      </w:r>
      <w:r w:rsidR="00DE2EEC">
        <w:t xml:space="preserve"> </w:t>
      </w:r>
      <w:r w:rsidR="00DE2EEC" w:rsidRPr="00DE2EEC">
        <w:rPr>
          <w:lang w:eastAsia="en-AU"/>
        </w:rPr>
        <w:t xml:space="preserve">English Language Skills and Labour Market Outcomes – </w:t>
      </w:r>
      <w:r w:rsidR="00DE2EEC" w:rsidRPr="00DE2EEC">
        <w:rPr>
          <w:sz w:val="28"/>
          <w:lang w:eastAsia="en-AU"/>
        </w:rPr>
        <w:t>For persons (working age) who speak a language other than English</w:t>
      </w:r>
    </w:p>
    <w:p w:rsidR="00585787" w:rsidRDefault="00585787" w:rsidP="00585787">
      <w:pPr>
        <w:spacing w:line="360" w:lineRule="auto"/>
      </w:pPr>
    </w:p>
    <w:p w:rsidR="00DE2EEC" w:rsidRDefault="00DE2EEC" w:rsidP="00585787">
      <w:pPr>
        <w:spacing w:line="360" w:lineRule="auto"/>
      </w:pPr>
      <w:r w:rsidRPr="00DE2EEC">
        <w:rPr>
          <w:noProof/>
          <w:lang w:eastAsia="en-AU"/>
        </w:rPr>
        <w:drawing>
          <wp:inline distT="0" distB="0" distL="0" distR="0" wp14:anchorId="16BFBA8F" wp14:editId="5464B5BF">
            <wp:extent cx="5760000" cy="4320000"/>
            <wp:effectExtent l="19050" t="19050" r="12700" b="23495"/>
            <wp:docPr id="5" name="Picture 5" descr="The following is a comparison to the level of english language skills and labour market outcomes for people of working age that speak another language.&#10;For those that speek only english 5.4%/78.1%&#10;For those that speak other language and speak english very well 7.3%/73.8%&#10;For those that speak another language and speak english well 9.0%/63.3%&#10;For those that speak another language and speak english not well 16.3%/42.3%&#10;For those that speak another language and speak english not at all 26.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000" cy="4320000"/>
                    </a:xfrm>
                    <a:prstGeom prst="rect">
                      <a:avLst/>
                    </a:prstGeom>
                    <a:ln>
                      <a:solidFill>
                        <a:schemeClr val="accent1"/>
                      </a:solidFill>
                    </a:ln>
                  </pic:spPr>
                </pic:pic>
              </a:graphicData>
            </a:graphic>
          </wp:inline>
        </w:drawing>
      </w:r>
    </w:p>
    <w:p w:rsidR="00585787" w:rsidRPr="00DE2EEC" w:rsidRDefault="00585787" w:rsidP="00DE2EEC">
      <w:pPr>
        <w:rPr>
          <w:i/>
          <w:lang w:eastAsia="en-AU"/>
        </w:rPr>
      </w:pPr>
      <w:r w:rsidRPr="00DE2EEC">
        <w:rPr>
          <w:i/>
          <w:lang w:eastAsia="en-AU"/>
        </w:rPr>
        <w:t>Source: ABS Census of Population and Housing, 2011</w:t>
      </w:r>
    </w:p>
    <w:p w:rsidR="00585787" w:rsidRDefault="00585787" w:rsidP="00DE2EEC">
      <w:pPr>
        <w:rPr>
          <w:lang w:eastAsia="en-AU"/>
        </w:rPr>
      </w:pPr>
    </w:p>
    <w:p w:rsidR="00585787" w:rsidRDefault="00585787" w:rsidP="00DE2EEC">
      <w:pPr>
        <w:rPr>
          <w:lang w:eastAsia="en-AU"/>
        </w:rPr>
      </w:pPr>
      <w:r>
        <w:rPr>
          <w:lang w:eastAsia="en-AU"/>
        </w:rPr>
        <w:t xml:space="preserve">At the time of the 2011 Census, persons in the North Western Melbourne PEA with lower levels of English proficiency were less likely to be successful in the labour market. People with low English proficiency are far more likely to be unemployed or not participating in the labour market. </w:t>
      </w:r>
    </w:p>
    <w:p w:rsidR="00585787" w:rsidRDefault="00585787" w:rsidP="00DE2EEC">
      <w:pPr>
        <w:rPr>
          <w:lang w:eastAsia="en-AU"/>
        </w:rPr>
      </w:pPr>
    </w:p>
    <w:p w:rsidR="00585787" w:rsidRDefault="00585787" w:rsidP="00DE2EEC">
      <w:pPr>
        <w:rPr>
          <w:lang w:eastAsia="en-AU"/>
        </w:rPr>
      </w:pPr>
      <w:r>
        <w:rPr>
          <w:lang w:eastAsia="en-AU"/>
        </w:rPr>
        <w:t xml:space="preserve">People who speak other languages but still speak English well are also more likely to have poorer labour force outcomes than those who only speak English. </w:t>
      </w:r>
    </w:p>
    <w:p w:rsidR="00585787" w:rsidRDefault="00585787" w:rsidP="00DE2EEC">
      <w:pPr>
        <w:rPr>
          <w:lang w:eastAsia="en-AU"/>
        </w:rPr>
      </w:pPr>
    </w:p>
    <w:p w:rsidR="00585787" w:rsidRDefault="00585787" w:rsidP="00DE2EEC">
      <w:pPr>
        <w:rPr>
          <w:lang w:eastAsia="en-AU"/>
        </w:rPr>
      </w:pPr>
      <w:r>
        <w:rPr>
          <w:lang w:eastAsia="en-AU"/>
        </w:rPr>
        <w:t xml:space="preserve">In the North Western Melbourne PEA, the unemployment rate for working age persons without any English proficiency was 26.5% and the participation rate was only 25.7%. For working age persons who only spoke English, the unemployment rate (5.4%) and participation rate (78.1%) were considerably better. </w:t>
      </w:r>
    </w:p>
    <w:p w:rsidR="00585787" w:rsidRDefault="00585787">
      <w:r>
        <w:br w:type="page"/>
      </w:r>
    </w:p>
    <w:p w:rsidR="00F20D66" w:rsidRPr="00F20D66" w:rsidRDefault="00585787" w:rsidP="00F20D66">
      <w:pPr>
        <w:pStyle w:val="Heading1"/>
        <w:rPr>
          <w:lang w:eastAsia="en-AU"/>
        </w:rPr>
      </w:pPr>
      <w:r>
        <w:lastRenderedPageBreak/>
        <w:t>Slide 26</w:t>
      </w:r>
      <w:r w:rsidR="00F20D66">
        <w:t xml:space="preserve"> </w:t>
      </w:r>
      <w:r w:rsidR="00F20D66" w:rsidRPr="00F20D66">
        <w:rPr>
          <w:lang w:eastAsia="en-AU"/>
        </w:rPr>
        <w:t xml:space="preserve">Young OTMESC people not working or studying – </w:t>
      </w:r>
      <w:r w:rsidR="00F20D66" w:rsidRPr="00F20D66">
        <w:rPr>
          <w:sz w:val="28"/>
          <w:lang w:eastAsia="en-AU"/>
        </w:rPr>
        <w:t>Persons aged 20-24 years</w:t>
      </w:r>
    </w:p>
    <w:p w:rsidR="00585787" w:rsidRDefault="00585787" w:rsidP="00585787">
      <w:pPr>
        <w:spacing w:line="360" w:lineRule="auto"/>
      </w:pPr>
    </w:p>
    <w:p w:rsidR="00585787" w:rsidRDefault="00F20D66" w:rsidP="00585787">
      <w:pPr>
        <w:spacing w:line="360" w:lineRule="auto"/>
      </w:pPr>
      <w:r w:rsidRPr="00F20D66">
        <w:rPr>
          <w:noProof/>
          <w:lang w:eastAsia="en-AU"/>
        </w:rPr>
        <w:drawing>
          <wp:inline distT="0" distB="0" distL="0" distR="0" wp14:anchorId="6260095C" wp14:editId="1953FFDE">
            <wp:extent cx="5760000" cy="4320000"/>
            <wp:effectExtent l="19050" t="19050" r="12700" b="23495"/>
            <wp:docPr id="12" name="Picture 12" descr="Decorative,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00" cy="4320000"/>
                    </a:xfrm>
                    <a:prstGeom prst="rect">
                      <a:avLst/>
                    </a:prstGeom>
                    <a:ln>
                      <a:solidFill>
                        <a:schemeClr val="accent1"/>
                      </a:solidFill>
                    </a:ln>
                  </pic:spPr>
                </pic:pic>
              </a:graphicData>
            </a:graphic>
          </wp:inline>
        </w:drawing>
      </w:r>
    </w:p>
    <w:p w:rsidR="00585787" w:rsidRPr="00F20D66" w:rsidRDefault="00585787" w:rsidP="00F20D66">
      <w:pPr>
        <w:rPr>
          <w:i/>
          <w:lang w:eastAsia="en-AU"/>
        </w:rPr>
      </w:pPr>
      <w:r w:rsidRPr="00F20D66">
        <w:rPr>
          <w:i/>
          <w:lang w:val="en-US" w:eastAsia="en-AU"/>
        </w:rPr>
        <w:t>Source: ABS Census of Population and Housing, 2011</w:t>
      </w:r>
    </w:p>
    <w:p w:rsidR="00585787" w:rsidRDefault="00585787" w:rsidP="00F20D66">
      <w:pPr>
        <w:rPr>
          <w:lang w:eastAsia="en-AU"/>
        </w:rPr>
      </w:pPr>
    </w:p>
    <w:p w:rsidR="00585787" w:rsidRDefault="00585787" w:rsidP="00F20D66">
      <w:pPr>
        <w:rPr>
          <w:lang w:eastAsia="en-AU"/>
        </w:rPr>
      </w:pPr>
      <w:r>
        <w:rPr>
          <w:lang w:val="en-US" w:eastAsia="en-AU"/>
        </w:rPr>
        <w:t xml:space="preserve">At the time of the 2011 census, 15% of OTMESC young adult 20-24 year olds in the </w:t>
      </w:r>
      <w:r>
        <w:rPr>
          <w:lang w:eastAsia="en-AU"/>
        </w:rPr>
        <w:t xml:space="preserve">North Western Melbourne PEA </w:t>
      </w:r>
      <w:r>
        <w:rPr>
          <w:lang w:val="en-US" w:eastAsia="en-AU"/>
        </w:rPr>
        <w:t xml:space="preserve">were neither employed nor studying, compared with 11% for Australia. For young adult OTMESC males, there were higher levels of engagement than those from Main English Speaking Countries. Yet for OTMESC 20-24 year old females, engagement was lower, largely due to a higher proportion not being in the labour force. </w:t>
      </w:r>
    </w:p>
    <w:p w:rsidR="00585787" w:rsidRDefault="00585787" w:rsidP="00F20D66">
      <w:pPr>
        <w:rPr>
          <w:lang w:eastAsia="en-AU"/>
        </w:rPr>
      </w:pPr>
    </w:p>
    <w:p w:rsidR="00585787" w:rsidRDefault="00585787" w:rsidP="00F20D66">
      <w:pPr>
        <w:rPr>
          <w:lang w:eastAsia="en-AU"/>
        </w:rPr>
      </w:pPr>
      <w:r>
        <w:rPr>
          <w:lang w:val="en-US" w:eastAsia="en-AU"/>
        </w:rPr>
        <w:t>In the Hume LGA, the level of disengagement amongst OTMESC 20-24 year olds was considerably higher (23%) and was higher than their MESC counterparts (15%). OTMESC young adult females in the Hume LGA were far more likely to be disengaged from studying and participating in the labour force (23%).</w:t>
      </w:r>
    </w:p>
    <w:p w:rsidR="00585787" w:rsidRDefault="00585787">
      <w:r>
        <w:br w:type="page"/>
      </w:r>
    </w:p>
    <w:p w:rsidR="00D642B0" w:rsidRPr="00D642B0" w:rsidRDefault="00585787" w:rsidP="00D642B0">
      <w:pPr>
        <w:pStyle w:val="Heading1"/>
        <w:rPr>
          <w:lang w:eastAsia="en-AU"/>
        </w:rPr>
      </w:pPr>
      <w:r>
        <w:lastRenderedPageBreak/>
        <w:t>Slide 27</w:t>
      </w:r>
      <w:r w:rsidR="00D642B0">
        <w:t xml:space="preserve"> </w:t>
      </w:r>
      <w:r w:rsidR="00D642B0" w:rsidRPr="00D642B0">
        <w:rPr>
          <w:lang w:eastAsia="en-AU"/>
        </w:rPr>
        <w:t xml:space="preserve">Survey Results - </w:t>
      </w:r>
      <w:r w:rsidR="00D642B0" w:rsidRPr="00D642B0">
        <w:rPr>
          <w:sz w:val="28"/>
          <w:lang w:eastAsia="en-AU"/>
        </w:rPr>
        <w:t xml:space="preserve">Recruitment Experiences 12 Months Preceding the Survey for the </w:t>
      </w:r>
      <w:r w:rsidR="00D642B0" w:rsidRPr="00D642B0">
        <w:rPr>
          <w:rFonts w:hAnsi="Times New Roman"/>
          <w:sz w:val="28"/>
          <w:lang w:eastAsia="en-AU"/>
        </w:rPr>
        <w:t>North Western Melbourne</w:t>
      </w:r>
      <w:r w:rsidR="00D642B0" w:rsidRPr="00D642B0">
        <w:rPr>
          <w:sz w:val="28"/>
          <w:lang w:eastAsia="en-AU"/>
        </w:rPr>
        <w:t xml:space="preserve"> Priority Employment Area</w:t>
      </w:r>
    </w:p>
    <w:p w:rsidR="00D642B0" w:rsidRPr="00D642B0" w:rsidRDefault="00D642B0" w:rsidP="00D642B0">
      <w:pPr>
        <w:pStyle w:val="Heading2"/>
      </w:pPr>
      <w:r w:rsidRPr="00D642B0">
        <w:t>Recruitment activity has softened</w:t>
      </w:r>
    </w:p>
    <w:p w:rsidR="00D642B0" w:rsidRPr="00D642B0" w:rsidRDefault="00D642B0" w:rsidP="00D642B0">
      <w:pPr>
        <w:pStyle w:val="Heading3"/>
      </w:pPr>
      <w:r w:rsidRPr="00D642B0">
        <w:t>Recruitment experiences in the 12 months before the survey</w:t>
      </w:r>
    </w:p>
    <w:p w:rsidR="00D642B0" w:rsidRDefault="00D642B0" w:rsidP="00D642B0">
      <w:pPr>
        <w:rPr>
          <w:rFonts w:cs="Calibri"/>
          <w:kern w:val="24"/>
          <w:szCs w:val="24"/>
          <w:lang w:eastAsia="en-AU"/>
        </w:rPr>
      </w:pPr>
    </w:p>
    <w:p w:rsidR="00D642B0" w:rsidRDefault="00D642B0" w:rsidP="00D642B0">
      <w:pPr>
        <w:rPr>
          <w:rFonts w:cs="Calibri"/>
          <w:kern w:val="24"/>
          <w:szCs w:val="24"/>
          <w:lang w:eastAsia="en-AU"/>
        </w:rPr>
      </w:pPr>
      <w:r>
        <w:rPr>
          <w:rFonts w:cs="Calibri"/>
          <w:kern w:val="24"/>
          <w:szCs w:val="24"/>
          <w:lang w:eastAsia="en-AU"/>
        </w:rPr>
        <w:t xml:space="preserve">378 employers were surveyed in the </w:t>
      </w:r>
      <w:r>
        <w:rPr>
          <w:rFonts w:hAnsi="Times New Roman" w:cs="Calibri"/>
          <w:kern w:val="24"/>
          <w:szCs w:val="24"/>
          <w:lang w:eastAsia="en-AU"/>
        </w:rPr>
        <w:t xml:space="preserve">North Western Melbourne </w:t>
      </w:r>
      <w:r>
        <w:rPr>
          <w:rFonts w:cs="Calibri"/>
          <w:kern w:val="24"/>
          <w:szCs w:val="24"/>
          <w:lang w:eastAsia="en-AU"/>
        </w:rPr>
        <w:t>PEA in June 2013.</w:t>
      </w:r>
    </w:p>
    <w:p w:rsidR="00585787" w:rsidRDefault="00585787" w:rsidP="00585787">
      <w:pPr>
        <w:spacing w:line="360" w:lineRule="auto"/>
      </w:pPr>
    </w:p>
    <w:p w:rsidR="00975333" w:rsidRPr="00D642B0" w:rsidRDefault="009A79D3" w:rsidP="00D642B0">
      <w:pPr>
        <w:pStyle w:val="ListParagraph"/>
        <w:numPr>
          <w:ilvl w:val="0"/>
          <w:numId w:val="16"/>
        </w:numPr>
        <w:ind w:left="426"/>
      </w:pPr>
      <w:r w:rsidRPr="00D642B0">
        <w:t>The recruitment rate (number of vacancies per 100 staff) was 12.6%, compared with 14.7 per cent when region was last surveyed in March 2012.</w:t>
      </w:r>
    </w:p>
    <w:p w:rsidR="00975333" w:rsidRDefault="009A79D3" w:rsidP="00D642B0">
      <w:pPr>
        <w:pStyle w:val="ListParagraph"/>
        <w:numPr>
          <w:ilvl w:val="1"/>
          <w:numId w:val="17"/>
        </w:numPr>
      </w:pPr>
      <w:r w:rsidRPr="00D642B0">
        <w:t>The recruitment rate was 14.4% for the Hume LGA</w:t>
      </w:r>
    </w:p>
    <w:p w:rsidR="00D642B0" w:rsidRPr="00D642B0" w:rsidRDefault="00D642B0" w:rsidP="00D642B0"/>
    <w:p w:rsidR="00975333" w:rsidRPr="00D642B0" w:rsidRDefault="009A79D3" w:rsidP="00D642B0">
      <w:pPr>
        <w:pStyle w:val="ListParagraph"/>
        <w:numPr>
          <w:ilvl w:val="0"/>
          <w:numId w:val="17"/>
        </w:numPr>
      </w:pPr>
      <w:r w:rsidRPr="00D642B0">
        <w:t>The rate of unfilled vacancies (2.9 per cent) was lower than in March 2012 (6.6 per cent).</w:t>
      </w:r>
    </w:p>
    <w:p w:rsidR="00975333" w:rsidRPr="00D642B0" w:rsidRDefault="009A79D3" w:rsidP="00D642B0">
      <w:pPr>
        <w:pStyle w:val="ListParagraph"/>
        <w:numPr>
          <w:ilvl w:val="1"/>
          <w:numId w:val="17"/>
        </w:numPr>
      </w:pPr>
      <w:r w:rsidRPr="00D642B0">
        <w:t>The Hume LGA had only 1.7 per cent of vacancies  left unfilled</w:t>
      </w:r>
    </w:p>
    <w:p w:rsidR="00D642B0" w:rsidRDefault="00D642B0" w:rsidP="00D642B0"/>
    <w:p w:rsidR="00975333" w:rsidRPr="00D642B0" w:rsidRDefault="009A79D3" w:rsidP="00D642B0">
      <w:pPr>
        <w:pStyle w:val="ListParagraph"/>
        <w:numPr>
          <w:ilvl w:val="0"/>
          <w:numId w:val="18"/>
        </w:numPr>
        <w:ind w:left="426"/>
      </w:pPr>
      <w:r w:rsidRPr="00D642B0">
        <w:t>More than one quarter of the employers surveyed reported a reduction in staff (26 per cent), higher compared with the previous survey (16 per cent).</w:t>
      </w:r>
    </w:p>
    <w:p w:rsidR="00975333" w:rsidRPr="00D642B0" w:rsidRDefault="009A79D3" w:rsidP="00D642B0">
      <w:pPr>
        <w:pStyle w:val="ListParagraph"/>
        <w:numPr>
          <w:ilvl w:val="0"/>
          <w:numId w:val="19"/>
        </w:numPr>
        <w:ind w:left="1134"/>
      </w:pPr>
      <w:r w:rsidRPr="00D642B0">
        <w:t>27 per cent of employers in the Hume LGA had reduced staff</w:t>
      </w:r>
    </w:p>
    <w:p w:rsidR="00585787" w:rsidRDefault="00585787" w:rsidP="00D642B0">
      <w:pPr>
        <w:rPr>
          <w:rFonts w:cs="Calibri"/>
          <w:kern w:val="24"/>
          <w:szCs w:val="24"/>
          <w:lang w:eastAsia="en-AU"/>
        </w:rPr>
      </w:pPr>
    </w:p>
    <w:p w:rsidR="00D642B0" w:rsidRDefault="00D642B0" w:rsidP="00D642B0">
      <w:pPr>
        <w:rPr>
          <w:rFonts w:cs="Calibri"/>
          <w:i/>
          <w:iCs/>
          <w:kern w:val="24"/>
          <w:szCs w:val="24"/>
          <w:lang w:eastAsia="en-AU"/>
        </w:rPr>
      </w:pPr>
      <w:r>
        <w:rPr>
          <w:rFonts w:cs="Calibri"/>
          <w:i/>
          <w:iCs/>
          <w:kern w:val="24"/>
          <w:szCs w:val="24"/>
          <w:lang w:eastAsia="en-AU"/>
        </w:rPr>
        <w:t xml:space="preserve">Source: DEEWR, Survey of Employers’ Recruitment Experiences, </w:t>
      </w:r>
      <w:r>
        <w:rPr>
          <w:rFonts w:hAnsi="Times New Roman" w:cs="Calibri"/>
          <w:i/>
          <w:iCs/>
          <w:kern w:val="24"/>
          <w:szCs w:val="24"/>
          <w:lang w:eastAsia="en-AU"/>
        </w:rPr>
        <w:t xml:space="preserve">North Western Melbourne </w:t>
      </w:r>
      <w:r>
        <w:rPr>
          <w:rFonts w:cs="Calibri"/>
          <w:i/>
          <w:iCs/>
          <w:kern w:val="24"/>
          <w:szCs w:val="24"/>
          <w:lang w:eastAsia="en-AU"/>
        </w:rPr>
        <w:t>Priority Employment Area June 2013 and March 2012, and all regions surveyed in the 12 months to March 2013.</w:t>
      </w:r>
    </w:p>
    <w:p w:rsidR="00585787" w:rsidRDefault="00585787">
      <w:r>
        <w:br w:type="page"/>
      </w:r>
    </w:p>
    <w:p w:rsidR="00D642B0" w:rsidRPr="00D642B0" w:rsidRDefault="00585787" w:rsidP="00D642B0">
      <w:pPr>
        <w:pStyle w:val="Heading1"/>
        <w:rPr>
          <w:lang w:eastAsia="en-AU"/>
        </w:rPr>
      </w:pPr>
      <w:r>
        <w:lastRenderedPageBreak/>
        <w:t>Slide 28</w:t>
      </w:r>
      <w:r w:rsidR="00D642B0">
        <w:t xml:space="preserve"> </w:t>
      </w:r>
      <w:r w:rsidR="00D642B0" w:rsidRPr="00D642B0">
        <w:rPr>
          <w:lang w:eastAsia="en-AU"/>
        </w:rPr>
        <w:t>Many businesses in key industries have increased staff</w:t>
      </w:r>
    </w:p>
    <w:p w:rsidR="00585787" w:rsidRDefault="00585787" w:rsidP="00585787">
      <w:pPr>
        <w:spacing w:line="360" w:lineRule="auto"/>
      </w:pPr>
    </w:p>
    <w:p w:rsidR="00D642B0" w:rsidRDefault="00D642B0" w:rsidP="00585787">
      <w:pPr>
        <w:spacing w:line="360" w:lineRule="auto"/>
      </w:pPr>
      <w:r w:rsidRPr="00D642B0">
        <w:rPr>
          <w:noProof/>
          <w:lang w:eastAsia="en-AU"/>
        </w:rPr>
        <w:drawing>
          <wp:inline distT="0" distB="0" distL="0" distR="0" wp14:anchorId="16D4A5EC" wp14:editId="76EDFD1D">
            <wp:extent cx="5760000" cy="4320000"/>
            <wp:effectExtent l="19050" t="19050" r="12700" b="23495"/>
            <wp:docPr id="13" name="Picture 13" descr="Businesses in the North Melbourne Pea that increased staff in the past 12 months&#10;Health care and social assistance 34%&#10;Transport, postal and warehousing 32%&#10;Accomodation and food services 21%&#10;Construction 21%&#10;Manufacturing 16%&#10;Retail trade 13% &#10;North Western Melbourne PEA 2013 22%&#10;Hume LGA 2013 21%&#10;&#10;&#10;Professional, scientific and technical services 5% to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000" cy="4320000"/>
                    </a:xfrm>
                    <a:prstGeom prst="rect">
                      <a:avLst/>
                    </a:prstGeom>
                    <a:ln>
                      <a:solidFill>
                        <a:schemeClr val="accent1"/>
                      </a:solidFill>
                    </a:ln>
                  </pic:spPr>
                </pic:pic>
              </a:graphicData>
            </a:graphic>
          </wp:inline>
        </w:drawing>
      </w:r>
    </w:p>
    <w:p w:rsidR="00585787" w:rsidRPr="00AB3BA3" w:rsidRDefault="00585787" w:rsidP="00D642B0">
      <w:pPr>
        <w:rPr>
          <w:i/>
          <w:lang w:eastAsia="en-AU"/>
        </w:rPr>
      </w:pPr>
      <w:r w:rsidRPr="00AB3BA3">
        <w:rPr>
          <w:i/>
          <w:lang w:eastAsia="en-AU"/>
        </w:rPr>
        <w:t xml:space="preserve">Source: DEEWR, Survey of Employers’ Recruitment Experiences North Western Melbourne Priority Employment Area, June 2013 and March 2012. </w:t>
      </w:r>
    </w:p>
    <w:p w:rsidR="00585787" w:rsidRDefault="00585787" w:rsidP="00D642B0">
      <w:pPr>
        <w:rPr>
          <w:lang w:eastAsia="en-AU"/>
        </w:rPr>
      </w:pPr>
    </w:p>
    <w:p w:rsidR="00585787" w:rsidRDefault="00585787" w:rsidP="00D642B0">
      <w:pPr>
        <w:rPr>
          <w:lang w:eastAsia="en-AU"/>
        </w:rPr>
      </w:pPr>
      <w:r>
        <w:rPr>
          <w:lang w:eastAsia="en-AU"/>
        </w:rPr>
        <w:t>Despite the softer recruitment activity, almost a quarter of businesses (22%) had increased staff in the 12 months preceding the survey. The Hume LGA recorded a similar proportion of businesses that had increased staff (21%).</w:t>
      </w:r>
    </w:p>
    <w:p w:rsidR="00585787" w:rsidRDefault="00585787" w:rsidP="00D642B0">
      <w:pPr>
        <w:rPr>
          <w:lang w:eastAsia="en-AU"/>
        </w:rPr>
      </w:pPr>
    </w:p>
    <w:p w:rsidR="00585787" w:rsidRDefault="00585787" w:rsidP="00D642B0">
      <w:pPr>
        <w:rPr>
          <w:lang w:eastAsia="en-AU"/>
        </w:rPr>
      </w:pPr>
      <w:r>
        <w:rPr>
          <w:lang w:eastAsia="en-AU"/>
        </w:rPr>
        <w:t>The proportion of businesses that had undertaken staff increases varied considerably across the major industries. Increases were more prevalent in the Health Care and Social Assistance industry (34%) and the Transport, Postal and Warehousing industry (32%). Employers in the Retail Trade and Manufacturing industry were less likely to have increased staff over this period (13% and 16% respectively).</w:t>
      </w:r>
    </w:p>
    <w:p w:rsidR="00585787" w:rsidRDefault="00585787">
      <w:r>
        <w:br w:type="page"/>
      </w:r>
    </w:p>
    <w:p w:rsidR="00AB3BA3" w:rsidRPr="00AB3BA3" w:rsidRDefault="00585787" w:rsidP="00AB3BA3">
      <w:pPr>
        <w:pStyle w:val="Heading1"/>
        <w:rPr>
          <w:lang w:eastAsia="en-AU"/>
        </w:rPr>
      </w:pPr>
      <w:r>
        <w:lastRenderedPageBreak/>
        <w:t>Slide 29</w:t>
      </w:r>
      <w:r w:rsidR="00AB3BA3">
        <w:t xml:space="preserve"> </w:t>
      </w:r>
      <w:r w:rsidR="00AB3BA3" w:rsidRPr="00AB3BA3">
        <w:rPr>
          <w:lang w:eastAsia="en-AU"/>
        </w:rPr>
        <w:t>Competition for vacancies</w:t>
      </w:r>
    </w:p>
    <w:p w:rsidR="00585787" w:rsidRDefault="00585787" w:rsidP="00585787">
      <w:pPr>
        <w:spacing w:line="360" w:lineRule="auto"/>
      </w:pPr>
    </w:p>
    <w:p w:rsidR="00585787" w:rsidRDefault="00AB3BA3" w:rsidP="00585787">
      <w:pPr>
        <w:spacing w:line="360" w:lineRule="auto"/>
      </w:pPr>
      <w:r w:rsidRPr="00AB3BA3">
        <w:rPr>
          <w:noProof/>
          <w:lang w:eastAsia="en-AU"/>
        </w:rPr>
        <w:drawing>
          <wp:inline distT="0" distB="0" distL="0" distR="0" wp14:anchorId="5A82B05B" wp14:editId="62B489F8">
            <wp:extent cx="5760000" cy="4320000"/>
            <wp:effectExtent l="19050" t="19050" r="12700" b="23495"/>
            <wp:docPr id="18" name="Picture 18" descr="Competition for vacancies&#10;Average number of applicants / average number of applicants interviewed.&#10;Managers and professionals 13.6/2.8&#10;Technicians and trade workers 15.3/2.5&#10;Community and personal service workers 8.2/2.9&#10;Clerical and administrative workers 71.9/4.0&#10;Sales workers 11.5/3.9&#10;&#10;On average 81% of applicants were not considered for an interview. The main reason applicants not considered was lack of experience.&#10;Machinery operators and drivers 12.3/1.3&#10;Labourers 29.3/5.7&#10;Hume LGA 28.1/4.6&#10;North Western Melbourne PEA 2013 18.2/3.4&#10;North Western Melbourne PEA 2012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00" cy="4320000"/>
                    </a:xfrm>
                    <a:prstGeom prst="rect">
                      <a:avLst/>
                    </a:prstGeom>
                    <a:ln>
                      <a:solidFill>
                        <a:schemeClr val="accent1"/>
                      </a:solidFill>
                    </a:ln>
                  </pic:spPr>
                </pic:pic>
              </a:graphicData>
            </a:graphic>
          </wp:inline>
        </w:drawing>
      </w:r>
    </w:p>
    <w:p w:rsidR="00585787" w:rsidRPr="00AB3BA3" w:rsidRDefault="00585787" w:rsidP="00AB3BA3">
      <w:pPr>
        <w:rPr>
          <w:i/>
          <w:lang w:eastAsia="en-AU"/>
        </w:rPr>
      </w:pPr>
      <w:r w:rsidRPr="00AB3BA3">
        <w:rPr>
          <w:i/>
          <w:lang w:eastAsia="en-AU"/>
        </w:rPr>
        <w:t>Source: DEEWR, Survey of Employers’ Recruitment Experiences, North Western Melbourne Priority Employment Area June 2013.</w:t>
      </w:r>
    </w:p>
    <w:p w:rsidR="00585787" w:rsidRDefault="00585787" w:rsidP="00AB3BA3">
      <w:pPr>
        <w:rPr>
          <w:lang w:eastAsia="en-AU"/>
        </w:rPr>
      </w:pPr>
    </w:p>
    <w:p w:rsidR="00585787" w:rsidRDefault="00585787" w:rsidP="00AB3BA3">
      <w:pPr>
        <w:rPr>
          <w:lang w:eastAsia="en-AU"/>
        </w:rPr>
      </w:pPr>
      <w:r>
        <w:rPr>
          <w:lang w:eastAsia="en-AU"/>
        </w:rPr>
        <w:t xml:space="preserve">There was, on average, more competition for vacancies in the North Western Melbourne </w:t>
      </w:r>
      <w:r>
        <w:rPr>
          <w:rFonts w:cs="Arial"/>
          <w:lang w:eastAsia="en-AU"/>
        </w:rPr>
        <w:t xml:space="preserve">PEA </w:t>
      </w:r>
      <w:r>
        <w:rPr>
          <w:lang w:eastAsia="en-AU"/>
        </w:rPr>
        <w:t>(18.2 applicants per vacancy) compared with the last time the area was surveyed (8.6 applicants per vacancy).</w:t>
      </w:r>
    </w:p>
    <w:p w:rsidR="00585787" w:rsidRDefault="00585787" w:rsidP="00AB3BA3">
      <w:pPr>
        <w:rPr>
          <w:lang w:eastAsia="en-AU"/>
        </w:rPr>
      </w:pPr>
    </w:p>
    <w:p w:rsidR="00585787" w:rsidRDefault="00585787" w:rsidP="00AB3BA3">
      <w:pPr>
        <w:rPr>
          <w:lang w:eastAsia="en-AU"/>
        </w:rPr>
      </w:pPr>
      <w:r>
        <w:rPr>
          <w:lang w:eastAsia="en-AU"/>
        </w:rPr>
        <w:t>There was a high level of competition for Clerical and Administrative Workers vacancies, with an average of 71.9 applicants per vacancy.</w:t>
      </w:r>
    </w:p>
    <w:p w:rsidR="00585787" w:rsidRDefault="00585787" w:rsidP="00AB3BA3">
      <w:pPr>
        <w:rPr>
          <w:lang w:eastAsia="en-AU"/>
        </w:rPr>
      </w:pPr>
    </w:p>
    <w:p w:rsidR="00585787" w:rsidRDefault="00585787" w:rsidP="00AB3BA3">
      <w:pPr>
        <w:rPr>
          <w:lang w:eastAsia="en-AU"/>
        </w:rPr>
      </w:pPr>
      <w:r>
        <w:rPr>
          <w:lang w:eastAsia="en-AU"/>
        </w:rPr>
        <w:t>Community and Personal Service Workers had the least level of competition with 8.2 applicants per position.</w:t>
      </w:r>
    </w:p>
    <w:p w:rsidR="00585787" w:rsidRDefault="00585787" w:rsidP="00AB3BA3">
      <w:pPr>
        <w:rPr>
          <w:lang w:eastAsia="en-AU"/>
        </w:rPr>
      </w:pPr>
    </w:p>
    <w:p w:rsidR="00585787" w:rsidRDefault="00585787" w:rsidP="00AB3BA3">
      <w:pPr>
        <w:rPr>
          <w:lang w:eastAsia="en-AU"/>
        </w:rPr>
      </w:pPr>
      <w:r>
        <w:rPr>
          <w:lang w:eastAsia="en-AU"/>
        </w:rPr>
        <w:t xml:space="preserve">The competition for employment in the Hume LGA is even tighter with an average of 28.1 </w:t>
      </w:r>
      <w:proofErr w:type="gramStart"/>
      <w:r>
        <w:rPr>
          <w:lang w:eastAsia="en-AU"/>
        </w:rPr>
        <w:t>applicant</w:t>
      </w:r>
      <w:proofErr w:type="gramEnd"/>
      <w:r>
        <w:rPr>
          <w:lang w:eastAsia="en-AU"/>
        </w:rPr>
        <w:t xml:space="preserve"> per vacancy of which an average of 4.6 applicants were interviewed.</w:t>
      </w:r>
    </w:p>
    <w:p w:rsidR="00585787" w:rsidRDefault="00585787">
      <w:r>
        <w:br w:type="page"/>
      </w:r>
    </w:p>
    <w:p w:rsidR="00AB3BA3" w:rsidRPr="00AB3BA3" w:rsidRDefault="00585787" w:rsidP="00AB3BA3">
      <w:pPr>
        <w:pStyle w:val="Heading1"/>
        <w:rPr>
          <w:lang w:eastAsia="en-AU"/>
        </w:rPr>
      </w:pPr>
      <w:r>
        <w:lastRenderedPageBreak/>
        <w:t>Slide 30</w:t>
      </w:r>
      <w:r w:rsidR="00AB3BA3">
        <w:t xml:space="preserve"> </w:t>
      </w:r>
      <w:r w:rsidR="00AB3BA3" w:rsidRPr="00AB3BA3">
        <w:rPr>
          <w:lang w:eastAsia="en-AU"/>
        </w:rPr>
        <w:t>Most Employers Recruited Formally</w:t>
      </w:r>
    </w:p>
    <w:p w:rsidR="00585787" w:rsidRDefault="00585787" w:rsidP="00585787">
      <w:pPr>
        <w:spacing w:line="360" w:lineRule="auto"/>
      </w:pPr>
    </w:p>
    <w:p w:rsidR="00585787" w:rsidRDefault="00AB3BA3" w:rsidP="00585787">
      <w:pPr>
        <w:spacing w:line="360" w:lineRule="auto"/>
      </w:pPr>
      <w:r w:rsidRPr="00AB3BA3">
        <w:rPr>
          <w:noProof/>
          <w:lang w:eastAsia="en-AU"/>
        </w:rPr>
        <w:drawing>
          <wp:inline distT="0" distB="0" distL="0" distR="0" wp14:anchorId="7D309408" wp14:editId="4BABEE1E">
            <wp:extent cx="5760000" cy="4320000"/>
            <wp:effectExtent l="19050" t="19050" r="12700" b="23495"/>
            <wp:docPr id="20" name="Picture 20" descr="decorative, fur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000" cy="4320000"/>
                    </a:xfrm>
                    <a:prstGeom prst="rect">
                      <a:avLst/>
                    </a:prstGeom>
                    <a:ln>
                      <a:solidFill>
                        <a:schemeClr val="accent1"/>
                      </a:solidFill>
                    </a:ln>
                  </pic:spPr>
                </pic:pic>
              </a:graphicData>
            </a:graphic>
          </wp:inline>
        </w:drawing>
      </w:r>
    </w:p>
    <w:p w:rsidR="00585787" w:rsidRPr="00AB3BA3" w:rsidRDefault="00585787" w:rsidP="00AB3BA3">
      <w:pPr>
        <w:rPr>
          <w:i/>
          <w:lang w:eastAsia="en-AU"/>
        </w:rPr>
      </w:pPr>
      <w:r w:rsidRPr="00AB3BA3">
        <w:rPr>
          <w:i/>
          <w:lang w:eastAsia="en-AU"/>
        </w:rPr>
        <w:t>Source: DEEWR, Survey of Employers’ Recruitment Experiences North Western Melbourne Priority Employment Area, June 2013</w:t>
      </w:r>
    </w:p>
    <w:p w:rsidR="00585787" w:rsidRDefault="00585787" w:rsidP="00AB3BA3">
      <w:pPr>
        <w:rPr>
          <w:lang w:eastAsia="en-AU"/>
        </w:rPr>
      </w:pPr>
    </w:p>
    <w:p w:rsidR="00585787" w:rsidRDefault="00585787" w:rsidP="00AB3BA3">
      <w:pPr>
        <w:rPr>
          <w:lang w:eastAsia="en-AU"/>
        </w:rPr>
      </w:pPr>
      <w:r>
        <w:rPr>
          <w:lang w:eastAsia="en-AU"/>
        </w:rPr>
        <w:t>68 per cent of vacancies in the North Western Melbourne PEA were recruited for through formal methods of recruitment (such as the Internet or Newspapers), receiving an average of 25.9 applicants per vacancy.</w:t>
      </w:r>
    </w:p>
    <w:p w:rsidR="00585787" w:rsidRDefault="00585787" w:rsidP="00AB3BA3">
      <w:pPr>
        <w:rPr>
          <w:lang w:eastAsia="en-AU"/>
        </w:rPr>
      </w:pPr>
    </w:p>
    <w:p w:rsidR="00585787" w:rsidRDefault="00585787" w:rsidP="00AB3BA3">
      <w:pPr>
        <w:rPr>
          <w:lang w:eastAsia="en-AU"/>
        </w:rPr>
      </w:pPr>
      <w:r>
        <w:rPr>
          <w:lang w:eastAsia="en-AU"/>
        </w:rPr>
        <w:t xml:space="preserve">By contrast, one third (32 per cent) of vacancies were recruited for through informal methods </w:t>
      </w:r>
      <w:r>
        <w:rPr>
          <w:u w:val="single"/>
          <w:lang w:eastAsia="en-AU"/>
        </w:rPr>
        <w:t>only</w:t>
      </w:r>
      <w:r>
        <w:rPr>
          <w:lang w:eastAsia="en-AU"/>
        </w:rPr>
        <w:t xml:space="preserve"> (such as word of mouth or approached by job seeker), receiving an average of just 4.9 applicants per vacancy.</w:t>
      </w:r>
    </w:p>
    <w:p w:rsidR="00585787" w:rsidRDefault="00585787" w:rsidP="00AB3BA3">
      <w:pPr>
        <w:rPr>
          <w:lang w:eastAsia="en-AU"/>
        </w:rPr>
      </w:pPr>
    </w:p>
    <w:p w:rsidR="00585787" w:rsidRDefault="00585787" w:rsidP="00AB3BA3">
      <w:pPr>
        <w:rPr>
          <w:lang w:eastAsia="en-AU"/>
        </w:rPr>
      </w:pPr>
      <w:r>
        <w:rPr>
          <w:lang w:eastAsia="en-AU"/>
        </w:rPr>
        <w:t>Employers for some 9 per cent of vacancies relied solely on being approached directly by job seekers. For these vacancies there was an average of 2.8 applicants of whom 35 per cent were successful.</w:t>
      </w:r>
    </w:p>
    <w:p w:rsidR="00585787" w:rsidRDefault="00585787">
      <w:r>
        <w:br w:type="page"/>
      </w:r>
    </w:p>
    <w:p w:rsidR="00AB3BA3" w:rsidRPr="00AB3BA3" w:rsidRDefault="00585787" w:rsidP="00AB3BA3">
      <w:pPr>
        <w:pStyle w:val="Heading1"/>
        <w:rPr>
          <w:lang w:eastAsia="en-AU"/>
        </w:rPr>
      </w:pPr>
      <w:r>
        <w:lastRenderedPageBreak/>
        <w:t>Slide 31</w:t>
      </w:r>
      <w:r w:rsidR="00AB3BA3">
        <w:t xml:space="preserve"> </w:t>
      </w:r>
      <w:r w:rsidR="00AB3BA3" w:rsidRPr="00AB3BA3">
        <w:rPr>
          <w:lang w:eastAsia="en-AU"/>
        </w:rPr>
        <w:t>Recruitment difficulty persisting</w:t>
      </w:r>
    </w:p>
    <w:p w:rsidR="00585787" w:rsidRDefault="00585787" w:rsidP="00585787">
      <w:pPr>
        <w:spacing w:line="360" w:lineRule="auto"/>
      </w:pPr>
    </w:p>
    <w:p w:rsidR="00585787" w:rsidRDefault="00AB3BA3" w:rsidP="00585787">
      <w:pPr>
        <w:spacing w:line="360" w:lineRule="auto"/>
      </w:pPr>
      <w:r w:rsidRPr="00AB3BA3">
        <w:rPr>
          <w:noProof/>
          <w:lang w:eastAsia="en-AU"/>
        </w:rPr>
        <w:drawing>
          <wp:inline distT="0" distB="0" distL="0" distR="0" wp14:anchorId="206A84BE" wp14:editId="31732E10">
            <wp:extent cx="5760000" cy="4320000"/>
            <wp:effectExtent l="19050" t="19050" r="12700" b="23495"/>
            <wp:docPr id="21" name="Picture 21" descr="Futher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000" cy="4320000"/>
                    </a:xfrm>
                    <a:prstGeom prst="rect">
                      <a:avLst/>
                    </a:prstGeom>
                    <a:ln>
                      <a:solidFill>
                        <a:schemeClr val="accent1"/>
                      </a:solidFill>
                    </a:ln>
                  </pic:spPr>
                </pic:pic>
              </a:graphicData>
            </a:graphic>
          </wp:inline>
        </w:drawing>
      </w:r>
    </w:p>
    <w:p w:rsidR="00585787" w:rsidRDefault="00585787" w:rsidP="00AB3BA3">
      <w:pPr>
        <w:rPr>
          <w:lang w:eastAsia="en-AU"/>
        </w:rPr>
      </w:pPr>
      <w:r>
        <w:rPr>
          <w:lang w:eastAsia="en-AU"/>
        </w:rPr>
        <w:t>Source: DEEWR Survey of Employers’ Recruitment Experiences, North Western Melbourne PEA, June 2013.</w:t>
      </w:r>
    </w:p>
    <w:p w:rsidR="00585787" w:rsidRDefault="00585787" w:rsidP="00AB3BA3">
      <w:pPr>
        <w:rPr>
          <w:lang w:eastAsia="en-AU"/>
        </w:rPr>
      </w:pPr>
    </w:p>
    <w:p w:rsidR="00585787" w:rsidRDefault="00585787" w:rsidP="00AB3BA3">
      <w:pPr>
        <w:rPr>
          <w:lang w:eastAsia="en-AU"/>
        </w:rPr>
      </w:pPr>
      <w:r>
        <w:rPr>
          <w:lang w:eastAsia="en-AU"/>
        </w:rPr>
        <w:t xml:space="preserve">Despite the strong competition for vacancies in the North Western PEA, almost one third of recruiting employers (31%) experienced recruitment difficulty. </w:t>
      </w:r>
    </w:p>
    <w:p w:rsidR="00585787" w:rsidRDefault="00585787" w:rsidP="00AB3BA3">
      <w:pPr>
        <w:rPr>
          <w:lang w:eastAsia="en-AU"/>
        </w:rPr>
      </w:pPr>
    </w:p>
    <w:p w:rsidR="00585787" w:rsidRDefault="00585787" w:rsidP="00AB3BA3">
      <w:pPr>
        <w:rPr>
          <w:lang w:eastAsia="en-AU"/>
        </w:rPr>
      </w:pPr>
      <w:r>
        <w:rPr>
          <w:lang w:eastAsia="en-AU"/>
        </w:rPr>
        <w:t>For employers recruiting for higher skilled occupations, some 36% experienced recruitment difficulty. Finding applicants with the relevant technical skills (35%) and lack of applicants (35%) were the main reasons given for the difficulty in this category.</w:t>
      </w:r>
    </w:p>
    <w:p w:rsidR="00585787" w:rsidRDefault="00585787" w:rsidP="00AB3BA3">
      <w:pPr>
        <w:rPr>
          <w:lang w:eastAsia="en-AU"/>
        </w:rPr>
      </w:pPr>
    </w:p>
    <w:p w:rsidR="00585787" w:rsidRDefault="00585787" w:rsidP="00AB3BA3">
      <w:pPr>
        <w:rPr>
          <w:lang w:eastAsia="en-AU"/>
        </w:rPr>
      </w:pPr>
      <w:r>
        <w:rPr>
          <w:lang w:eastAsia="en-AU"/>
        </w:rPr>
        <w:t>Employers recruiting for medium skilled occupations were most likely to experience recruitment difficulty (52% of recruiting employers). The main difficulty was finding applicants with the relevant technical skills (59%), although a lack of applicants with soft skills was also a common cause of difficulty (31%).</w:t>
      </w:r>
    </w:p>
    <w:p w:rsidR="00585787" w:rsidRDefault="00585787" w:rsidP="00AB3BA3">
      <w:pPr>
        <w:rPr>
          <w:lang w:eastAsia="en-AU"/>
        </w:rPr>
      </w:pPr>
    </w:p>
    <w:p w:rsidR="00585787" w:rsidRDefault="00585787" w:rsidP="00AB3BA3">
      <w:pPr>
        <w:rPr>
          <w:lang w:eastAsia="en-AU"/>
        </w:rPr>
      </w:pPr>
      <w:r>
        <w:rPr>
          <w:lang w:eastAsia="en-AU"/>
        </w:rPr>
        <w:t>For employers recruiting for lower skilled occupations, while difficulty was less common, almost one quarter (23%) still experienced difficulty. Again, the main difficulties were finding applicants with the relevant technical skills (58%) and a lack of applicants with soft skills (31%).</w:t>
      </w:r>
    </w:p>
    <w:p w:rsidR="00585787" w:rsidRDefault="00585787">
      <w:r>
        <w:br w:type="page"/>
      </w:r>
    </w:p>
    <w:p w:rsidR="00AB3BA3" w:rsidRPr="00AB3BA3" w:rsidRDefault="00585787" w:rsidP="00AB3BA3">
      <w:pPr>
        <w:pStyle w:val="Heading1"/>
        <w:rPr>
          <w:lang w:eastAsia="en-AU"/>
        </w:rPr>
      </w:pPr>
      <w:r>
        <w:lastRenderedPageBreak/>
        <w:t>Slide 32</w:t>
      </w:r>
      <w:r w:rsidR="00AB3BA3">
        <w:t xml:space="preserve"> </w:t>
      </w:r>
      <w:r w:rsidR="00AB3BA3" w:rsidRPr="00AB3BA3">
        <w:rPr>
          <w:lang w:eastAsia="en-AU"/>
        </w:rPr>
        <w:t>Expectations of staff increases persist across some industries</w:t>
      </w:r>
    </w:p>
    <w:p w:rsidR="00585787" w:rsidRDefault="00585787" w:rsidP="00585787">
      <w:pPr>
        <w:spacing w:line="360" w:lineRule="auto"/>
      </w:pPr>
    </w:p>
    <w:p w:rsidR="00585787" w:rsidRDefault="00AB3BA3" w:rsidP="00585787">
      <w:pPr>
        <w:spacing w:line="360" w:lineRule="auto"/>
      </w:pPr>
      <w:r w:rsidRPr="00AB3BA3">
        <w:rPr>
          <w:noProof/>
          <w:lang w:eastAsia="en-AU"/>
        </w:rPr>
        <w:drawing>
          <wp:inline distT="0" distB="0" distL="0" distR="0" wp14:anchorId="39D0DD06" wp14:editId="1CBC0713">
            <wp:extent cx="5760000" cy="4320000"/>
            <wp:effectExtent l="19050" t="19050" r="12700" b="23495"/>
            <wp:docPr id="22" name="Picture 22" descr="Expectations as to future recruitment, increase/decrease staff&#10;&#10;Accomodation and food services 48%/1%&#10;Health care and social assistance 32%/0%&#10;Transport, postal and warehousing 21%/11%&#10;Wholesale trade 20%/11%&#10;Manufacturing 19%/22%&#10;Hume LGA 20%/14%&#10;North Western Melbourne PEA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000" cy="4320000"/>
                    </a:xfrm>
                    <a:prstGeom prst="rect">
                      <a:avLst/>
                    </a:prstGeom>
                    <a:ln>
                      <a:solidFill>
                        <a:schemeClr val="accent1"/>
                      </a:solidFill>
                    </a:ln>
                  </pic:spPr>
                </pic:pic>
              </a:graphicData>
            </a:graphic>
          </wp:inline>
        </w:drawing>
      </w:r>
    </w:p>
    <w:p w:rsidR="00585787" w:rsidRPr="00AB3BA3" w:rsidRDefault="00585787" w:rsidP="00AB3BA3">
      <w:pPr>
        <w:rPr>
          <w:i/>
          <w:lang w:eastAsia="en-AU"/>
        </w:rPr>
      </w:pPr>
      <w:r w:rsidRPr="00AB3BA3">
        <w:rPr>
          <w:i/>
          <w:lang w:eastAsia="en-AU"/>
        </w:rPr>
        <w:t xml:space="preserve">Source: DEEWR, Survey of Employers’ Recruitment Experiences, North Western Melbourne PEA, June 2013. </w:t>
      </w:r>
    </w:p>
    <w:p w:rsidR="00585787" w:rsidRDefault="00585787" w:rsidP="00AB3BA3">
      <w:pPr>
        <w:rPr>
          <w:lang w:eastAsia="en-AU"/>
        </w:rPr>
      </w:pPr>
    </w:p>
    <w:p w:rsidR="00585787" w:rsidRDefault="00585787" w:rsidP="00AB3BA3">
      <w:pPr>
        <w:rPr>
          <w:lang w:eastAsia="en-AU"/>
        </w:rPr>
      </w:pPr>
      <w:r>
        <w:rPr>
          <w:lang w:eastAsia="en-AU"/>
        </w:rPr>
        <w:t>Expectations for staff increases over the 12 months following the survey are encouraging in the North Western Melbourne PEA (22% of employers). Even though expectations have decreased since the March 2012 survey (34%), they demonstrate that employment opportunities will arise in some major industries. Expectations are strongest for the Accommodation and Food Services industry (48%) and the Health Care and Social Assistance industry (32%). In the Hume LGA future recruitment expectations are slightly lower (2</w:t>
      </w:r>
      <w:r w:rsidR="00AB3BA3">
        <w:rPr>
          <w:lang w:eastAsia="en-AU"/>
        </w:rPr>
        <w:t>0%).</w:t>
      </w:r>
    </w:p>
    <w:p w:rsidR="00585787" w:rsidRDefault="00585787">
      <w:r>
        <w:br w:type="page"/>
      </w:r>
    </w:p>
    <w:p w:rsidR="00AB3BA3" w:rsidRPr="00AB3BA3" w:rsidRDefault="00585787" w:rsidP="00AB3BA3">
      <w:pPr>
        <w:pStyle w:val="Heading1"/>
        <w:rPr>
          <w:lang w:eastAsia="en-AU"/>
        </w:rPr>
      </w:pPr>
      <w:r>
        <w:lastRenderedPageBreak/>
        <w:t>Slide 33</w:t>
      </w:r>
      <w:r w:rsidR="00AB3BA3">
        <w:t xml:space="preserve"> </w:t>
      </w:r>
      <w:r w:rsidR="00AB3BA3" w:rsidRPr="00AB3BA3">
        <w:rPr>
          <w:lang w:eastAsia="en-AU"/>
        </w:rPr>
        <w:t>Occupations employers commonly expect to recruit (in the 12 months following the survey)</w:t>
      </w:r>
    </w:p>
    <w:p w:rsidR="00585787" w:rsidRDefault="00585787" w:rsidP="00585787">
      <w:pPr>
        <w:spacing w:line="360" w:lineRule="auto"/>
      </w:pPr>
    </w:p>
    <w:tbl>
      <w:tblPr>
        <w:tblW w:w="9213" w:type="dxa"/>
        <w:tblInd w:w="441" w:type="dxa"/>
        <w:tblCellMar>
          <w:left w:w="0" w:type="dxa"/>
          <w:right w:w="0" w:type="dxa"/>
        </w:tblCellMar>
        <w:tblLook w:val="0600" w:firstRow="0" w:lastRow="0" w:firstColumn="0" w:lastColumn="0" w:noHBand="1" w:noVBand="1"/>
      </w:tblPr>
      <w:tblGrid>
        <w:gridCol w:w="4606"/>
        <w:gridCol w:w="4607"/>
      </w:tblGrid>
      <w:tr w:rsidR="00AB3BA3" w:rsidRPr="00AB3BA3" w:rsidTr="00830CF5">
        <w:trPr>
          <w:trHeight w:val="684"/>
        </w:trPr>
        <w:tc>
          <w:tcPr>
            <w:tcW w:w="9213"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rsidR="00AB3BA3" w:rsidRPr="00AB3BA3" w:rsidRDefault="00AB3BA3" w:rsidP="00AB3BA3">
            <w:pPr>
              <w:pStyle w:val="Heading1"/>
              <w:spacing w:before="0" w:after="0"/>
              <w:rPr>
                <w:sz w:val="28"/>
              </w:rPr>
            </w:pPr>
            <w:r w:rsidRPr="00AB3BA3">
              <w:rPr>
                <w:sz w:val="28"/>
              </w:rPr>
              <w:t xml:space="preserve">Higher (Bachelor or Higher) &amp; Medium Skill Level </w:t>
            </w:r>
          </w:p>
          <w:p w:rsidR="00975333" w:rsidRPr="00AB3BA3" w:rsidRDefault="00AB3BA3" w:rsidP="00AB3BA3">
            <w:pPr>
              <w:pStyle w:val="Heading1"/>
              <w:spacing w:before="0" w:after="0"/>
              <w:rPr>
                <w:sz w:val="28"/>
              </w:rPr>
            </w:pPr>
            <w:r w:rsidRPr="00AB3BA3">
              <w:rPr>
                <w:sz w:val="28"/>
              </w:rPr>
              <w:t xml:space="preserve">(Certificate III to Associate </w:t>
            </w:r>
            <w:proofErr w:type="gramStart"/>
            <w:r w:rsidRPr="00AB3BA3">
              <w:rPr>
                <w:sz w:val="28"/>
              </w:rPr>
              <w:t>Degree )</w:t>
            </w:r>
            <w:proofErr w:type="gramEnd"/>
            <w:r w:rsidRPr="00AB3BA3">
              <w:rPr>
                <w:sz w:val="28"/>
              </w:rPr>
              <w:t xml:space="preserve"> </w:t>
            </w:r>
          </w:p>
        </w:tc>
      </w:tr>
      <w:tr w:rsidR="00AB3BA3" w:rsidRPr="00AB3BA3" w:rsidTr="00830CF5">
        <w:trPr>
          <w:trHeight w:val="684"/>
        </w:trPr>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Registered Nurses</w:t>
            </w:r>
          </w:p>
        </w:tc>
        <w:tc>
          <w:tcPr>
            <w:tcW w:w="4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Enrolled and Mothercraft Nurses</w:t>
            </w:r>
          </w:p>
        </w:tc>
      </w:tr>
      <w:tr w:rsidR="00AB3BA3" w:rsidRPr="00AB3BA3" w:rsidTr="00830CF5">
        <w:trPr>
          <w:trHeight w:val="684"/>
        </w:trPr>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Motor Mechanics</w:t>
            </w:r>
          </w:p>
        </w:tc>
        <w:tc>
          <w:tcPr>
            <w:tcW w:w="4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Child Carers</w:t>
            </w:r>
          </w:p>
        </w:tc>
      </w:tr>
      <w:tr w:rsidR="00AB3BA3" w:rsidRPr="00AB3BA3" w:rsidTr="00830CF5">
        <w:trPr>
          <w:trHeight w:val="684"/>
        </w:trPr>
        <w:tc>
          <w:tcPr>
            <w:tcW w:w="9213"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rsidR="00975333" w:rsidRPr="00AB3BA3" w:rsidRDefault="00AB3BA3" w:rsidP="00AB3BA3">
            <w:pPr>
              <w:pStyle w:val="Heading1"/>
              <w:spacing w:before="0" w:after="0"/>
              <w:rPr>
                <w:sz w:val="28"/>
              </w:rPr>
            </w:pPr>
            <w:r w:rsidRPr="00AB3BA3">
              <w:rPr>
                <w:rFonts w:eastAsia="Times New Roman"/>
                <w:sz w:val="28"/>
              </w:rPr>
              <w:t>Lower Skill Level (</w:t>
            </w:r>
            <w:r w:rsidRPr="00AB3BA3">
              <w:rPr>
                <w:sz w:val="28"/>
              </w:rPr>
              <w:t>Compulsory Secondary Education to Certificate II</w:t>
            </w:r>
            <w:r w:rsidRPr="00AB3BA3">
              <w:rPr>
                <w:rFonts w:eastAsia="Times New Roman"/>
                <w:sz w:val="28"/>
              </w:rPr>
              <w:t>)</w:t>
            </w:r>
            <w:r w:rsidRPr="00AB3BA3">
              <w:rPr>
                <w:sz w:val="28"/>
              </w:rPr>
              <w:t xml:space="preserve">   </w:t>
            </w:r>
          </w:p>
        </w:tc>
      </w:tr>
      <w:tr w:rsidR="00AB3BA3" w:rsidRPr="00AB3BA3" w:rsidTr="00830CF5">
        <w:trPr>
          <w:trHeight w:val="684"/>
        </w:trPr>
        <w:tc>
          <w:tcPr>
            <w:tcW w:w="92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Nursing Support and Personal Care Workers</w:t>
            </w:r>
          </w:p>
        </w:tc>
      </w:tr>
      <w:tr w:rsidR="00AB3BA3" w:rsidRPr="00AB3BA3" w:rsidTr="00830CF5">
        <w:trPr>
          <w:trHeight w:val="684"/>
        </w:trPr>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Bus and Coach Drivers</w:t>
            </w:r>
          </w:p>
        </w:tc>
        <w:tc>
          <w:tcPr>
            <w:tcW w:w="4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Aged and Disabled Carers</w:t>
            </w:r>
          </w:p>
        </w:tc>
      </w:tr>
      <w:tr w:rsidR="00AB3BA3" w:rsidRPr="00AB3BA3" w:rsidTr="00830CF5">
        <w:trPr>
          <w:trHeight w:val="684"/>
        </w:trPr>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Kitchenhands</w:t>
            </w:r>
          </w:p>
        </w:tc>
        <w:tc>
          <w:tcPr>
            <w:tcW w:w="4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Bar Attendants and Baristas</w:t>
            </w:r>
          </w:p>
        </w:tc>
      </w:tr>
      <w:tr w:rsidR="00AB3BA3" w:rsidRPr="00AB3BA3" w:rsidTr="00830CF5">
        <w:trPr>
          <w:trHeight w:val="684"/>
        </w:trPr>
        <w:tc>
          <w:tcPr>
            <w:tcW w:w="46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Checkout Operator &amp; Office Cashiers</w:t>
            </w:r>
          </w:p>
        </w:tc>
        <w:tc>
          <w:tcPr>
            <w:tcW w:w="46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5333" w:rsidRPr="00AB3BA3" w:rsidRDefault="00AB3BA3" w:rsidP="00AB3BA3">
            <w:pPr>
              <w:spacing w:line="360" w:lineRule="auto"/>
              <w:jc w:val="center"/>
            </w:pPr>
            <w:r w:rsidRPr="00AB3BA3">
              <w:t>Sales Assistants (General)</w:t>
            </w:r>
          </w:p>
        </w:tc>
      </w:tr>
    </w:tbl>
    <w:p w:rsidR="00585787" w:rsidRPr="00AB3BA3" w:rsidRDefault="00585787" w:rsidP="00AB3BA3">
      <w:pPr>
        <w:rPr>
          <w:rFonts w:hAnsi="Times New Roman"/>
          <w:i/>
          <w:lang w:eastAsia="en-AU"/>
        </w:rPr>
      </w:pPr>
      <w:r w:rsidRPr="00AB3BA3">
        <w:rPr>
          <w:i/>
          <w:lang w:eastAsia="en-AU"/>
        </w:rPr>
        <w:t xml:space="preserve">Source: DEEWR, Survey of Employers’ Recruitment Experiences, North Western Melbourne Priority Employment Area June 2013 </w:t>
      </w:r>
      <w:r w:rsidRPr="00AB3BA3">
        <w:rPr>
          <w:rFonts w:hAnsi="Times New Roman"/>
          <w:i/>
          <w:lang w:eastAsia="en-AU"/>
        </w:rPr>
        <w:t> </w:t>
      </w:r>
    </w:p>
    <w:p w:rsidR="00585787" w:rsidRPr="00AB3BA3" w:rsidRDefault="00585787" w:rsidP="00AB3BA3">
      <w:pPr>
        <w:rPr>
          <w:lang w:eastAsia="en-AU"/>
        </w:rPr>
      </w:pPr>
    </w:p>
    <w:p w:rsidR="00585787" w:rsidRPr="00AB3BA3" w:rsidRDefault="00585787" w:rsidP="00AB3BA3">
      <w:pPr>
        <w:rPr>
          <w:lang w:eastAsia="en-AU"/>
        </w:rPr>
      </w:pPr>
      <w:r w:rsidRPr="00AB3BA3">
        <w:rPr>
          <w:lang w:eastAsia="en-AU"/>
        </w:rPr>
        <w:t>This slide shows the vacancies that employers most commonly expected to recruit for in the North Western Melbourne</w:t>
      </w:r>
      <w:r w:rsidRPr="00AB3BA3">
        <w:rPr>
          <w:rFonts w:cs="Arial"/>
          <w:lang w:eastAsia="en-AU"/>
        </w:rPr>
        <w:t xml:space="preserve"> </w:t>
      </w:r>
      <w:r w:rsidRPr="00AB3BA3">
        <w:rPr>
          <w:lang w:eastAsia="en-AU"/>
        </w:rPr>
        <w:t xml:space="preserve">PEA in the 12 months following the survey. </w:t>
      </w:r>
    </w:p>
    <w:p w:rsidR="00585787" w:rsidRPr="00AB3BA3" w:rsidRDefault="00585787" w:rsidP="00AB3BA3">
      <w:pPr>
        <w:rPr>
          <w:lang w:eastAsia="en-AU"/>
        </w:rPr>
      </w:pPr>
    </w:p>
    <w:p w:rsidR="00585787" w:rsidRPr="00AB3BA3" w:rsidRDefault="00585787" w:rsidP="00AB3BA3">
      <w:pPr>
        <w:rPr>
          <w:bCs/>
          <w:lang w:eastAsia="en-AU"/>
        </w:rPr>
      </w:pPr>
      <w:r w:rsidRPr="00AB3BA3">
        <w:rPr>
          <w:rFonts w:cs="Arial"/>
          <w:bCs/>
          <w:lang w:eastAsia="en-AU"/>
        </w:rPr>
        <w:t xml:space="preserve">Higher Skill Level (1) </w:t>
      </w:r>
      <w:r w:rsidRPr="00AB3BA3">
        <w:rPr>
          <w:bCs/>
          <w:lang w:eastAsia="en-AU"/>
        </w:rPr>
        <w:t>– Bachelor or Higher</w:t>
      </w:r>
    </w:p>
    <w:p w:rsidR="00585787" w:rsidRPr="00AB3BA3" w:rsidRDefault="00585787" w:rsidP="00AB3BA3">
      <w:pPr>
        <w:rPr>
          <w:lang w:eastAsia="en-AU"/>
        </w:rPr>
      </w:pPr>
      <w:r w:rsidRPr="00AB3BA3">
        <w:rPr>
          <w:lang w:eastAsia="en-AU"/>
        </w:rPr>
        <w:t>Registered Nurses</w:t>
      </w:r>
    </w:p>
    <w:p w:rsidR="00585787" w:rsidRPr="00AB3BA3" w:rsidRDefault="00585787" w:rsidP="00AB3BA3">
      <w:pPr>
        <w:rPr>
          <w:bCs/>
          <w:lang w:eastAsia="en-AU"/>
        </w:rPr>
      </w:pPr>
    </w:p>
    <w:p w:rsidR="00585787" w:rsidRPr="00AB3BA3" w:rsidRDefault="00585787" w:rsidP="00AB3BA3">
      <w:pPr>
        <w:rPr>
          <w:lang w:eastAsia="en-AU"/>
        </w:rPr>
      </w:pPr>
      <w:r w:rsidRPr="00AB3BA3">
        <w:rPr>
          <w:bCs/>
          <w:lang w:eastAsia="en-AU"/>
        </w:rPr>
        <w:t xml:space="preserve">Medium Skill Level (2 &amp; 3) – Certificate IV to Associate Degree </w:t>
      </w:r>
    </w:p>
    <w:p w:rsidR="00585787" w:rsidRPr="00AB3BA3" w:rsidRDefault="00585787" w:rsidP="00AB3BA3">
      <w:pPr>
        <w:rPr>
          <w:color w:val="000000"/>
          <w:lang w:eastAsia="en-AU"/>
        </w:rPr>
      </w:pPr>
      <w:r w:rsidRPr="00AB3BA3">
        <w:rPr>
          <w:color w:val="000000"/>
          <w:lang w:eastAsia="en-AU"/>
        </w:rPr>
        <w:t>Enrolled and Mothercraft Nurses</w:t>
      </w:r>
    </w:p>
    <w:p w:rsidR="00585787" w:rsidRPr="00AB3BA3" w:rsidRDefault="00585787" w:rsidP="00AB3BA3">
      <w:pPr>
        <w:rPr>
          <w:color w:val="000000"/>
          <w:lang w:eastAsia="en-AU"/>
        </w:rPr>
      </w:pPr>
      <w:r w:rsidRPr="00AB3BA3">
        <w:rPr>
          <w:color w:val="000000"/>
          <w:lang w:eastAsia="en-AU"/>
        </w:rPr>
        <w:t>Motor Mechanics</w:t>
      </w:r>
    </w:p>
    <w:p w:rsidR="00585787" w:rsidRPr="00AB3BA3" w:rsidRDefault="00585787" w:rsidP="00AB3BA3">
      <w:pPr>
        <w:rPr>
          <w:rFonts w:hAnsi="Times New Roman"/>
          <w:lang w:eastAsia="en-AU"/>
        </w:rPr>
      </w:pPr>
      <w:r w:rsidRPr="00AB3BA3">
        <w:rPr>
          <w:rFonts w:hAnsi="Times New Roman"/>
          <w:lang w:eastAsia="en-AU"/>
        </w:rPr>
        <w:t>Child Carers</w:t>
      </w:r>
    </w:p>
    <w:p w:rsidR="00585787" w:rsidRPr="00AB3BA3" w:rsidRDefault="00585787" w:rsidP="00AB3BA3">
      <w:pPr>
        <w:rPr>
          <w:strike/>
          <w:lang w:eastAsia="en-AU"/>
        </w:rPr>
      </w:pPr>
    </w:p>
    <w:p w:rsidR="00585787" w:rsidRPr="00AB3BA3" w:rsidRDefault="00585787" w:rsidP="00AB3BA3">
      <w:pPr>
        <w:rPr>
          <w:lang w:eastAsia="en-AU"/>
        </w:rPr>
      </w:pPr>
      <w:r w:rsidRPr="00AB3BA3">
        <w:rPr>
          <w:bCs/>
          <w:lang w:eastAsia="en-AU"/>
        </w:rPr>
        <w:t>Lower Skill Level (4 &amp; 5) – Compulsory Secondary Education to Certificate III</w:t>
      </w:r>
    </w:p>
    <w:p w:rsidR="00585787" w:rsidRPr="00AB3BA3" w:rsidRDefault="00585787" w:rsidP="00AB3BA3">
      <w:pPr>
        <w:rPr>
          <w:color w:val="000000"/>
          <w:lang w:eastAsia="en-AU"/>
        </w:rPr>
      </w:pPr>
      <w:r w:rsidRPr="00AB3BA3">
        <w:rPr>
          <w:color w:val="000000"/>
          <w:lang w:eastAsia="en-AU"/>
        </w:rPr>
        <w:t>Nursing Support and Personal Care Workers</w:t>
      </w:r>
    </w:p>
    <w:p w:rsidR="00585787" w:rsidRPr="00AB3BA3" w:rsidRDefault="00585787" w:rsidP="00AB3BA3">
      <w:pPr>
        <w:rPr>
          <w:color w:val="000000"/>
          <w:lang w:eastAsia="en-AU"/>
        </w:rPr>
      </w:pPr>
      <w:r w:rsidRPr="00AB3BA3">
        <w:rPr>
          <w:color w:val="000000"/>
          <w:lang w:eastAsia="en-AU"/>
        </w:rPr>
        <w:t>Aged and Disabled Carers</w:t>
      </w:r>
    </w:p>
    <w:p w:rsidR="00585787" w:rsidRDefault="00585787" w:rsidP="00585787">
      <w:pPr>
        <w:autoSpaceDE w:val="0"/>
        <w:autoSpaceDN w:val="0"/>
        <w:adjustRightInd w:val="0"/>
        <w:rPr>
          <w:rFonts w:hAnsi="Times New Roman" w:cs="Calibri"/>
          <w:kern w:val="24"/>
          <w:szCs w:val="24"/>
          <w:lang w:eastAsia="en-AU"/>
        </w:rPr>
      </w:pPr>
      <w:r>
        <w:rPr>
          <w:rFonts w:hAnsi="Times New Roman" w:cs="Calibri"/>
          <w:kern w:val="24"/>
          <w:szCs w:val="24"/>
          <w:lang w:eastAsia="en-AU"/>
        </w:rPr>
        <w:t>Bus and Coach Drivers</w:t>
      </w:r>
    </w:p>
    <w:p w:rsidR="00585787" w:rsidRDefault="00585787" w:rsidP="00585787">
      <w:pPr>
        <w:autoSpaceDE w:val="0"/>
        <w:autoSpaceDN w:val="0"/>
        <w:adjustRightInd w:val="0"/>
        <w:rPr>
          <w:rFonts w:hAnsi="Times New Roman" w:cs="Arial"/>
          <w:kern w:val="24"/>
          <w:szCs w:val="24"/>
          <w:lang w:eastAsia="en-AU"/>
        </w:rPr>
      </w:pPr>
      <w:r>
        <w:rPr>
          <w:rFonts w:hAnsi="Times New Roman" w:cs="Arial"/>
          <w:kern w:val="24"/>
          <w:szCs w:val="24"/>
          <w:lang w:eastAsia="en-AU"/>
        </w:rPr>
        <w:t>Kitchenhands</w:t>
      </w:r>
    </w:p>
    <w:p w:rsidR="00585787" w:rsidRDefault="00585787" w:rsidP="00585787">
      <w:pPr>
        <w:autoSpaceDE w:val="0"/>
        <w:autoSpaceDN w:val="0"/>
        <w:adjustRightInd w:val="0"/>
        <w:rPr>
          <w:rFonts w:hAnsi="Times New Roman" w:cs="Arial"/>
          <w:kern w:val="24"/>
          <w:szCs w:val="24"/>
          <w:lang w:eastAsia="en-AU"/>
        </w:rPr>
      </w:pPr>
      <w:r>
        <w:rPr>
          <w:rFonts w:hAnsi="Times New Roman" w:cs="Arial"/>
          <w:kern w:val="24"/>
          <w:szCs w:val="24"/>
          <w:lang w:eastAsia="en-AU"/>
        </w:rPr>
        <w:t>Bar Attendants and Baristas</w:t>
      </w:r>
    </w:p>
    <w:p w:rsidR="00585787" w:rsidRDefault="00585787" w:rsidP="00585787">
      <w:pPr>
        <w:autoSpaceDE w:val="0"/>
        <w:autoSpaceDN w:val="0"/>
        <w:adjustRightInd w:val="0"/>
        <w:rPr>
          <w:rFonts w:hAnsi="Times New Roman" w:cs="Calibri"/>
          <w:kern w:val="24"/>
          <w:szCs w:val="24"/>
          <w:lang w:eastAsia="en-AU"/>
        </w:rPr>
      </w:pPr>
      <w:r>
        <w:rPr>
          <w:rFonts w:hAnsi="Times New Roman" w:cs="Calibri"/>
          <w:kern w:val="24"/>
          <w:szCs w:val="24"/>
          <w:lang w:eastAsia="en-AU"/>
        </w:rPr>
        <w:t>Checkout Operator &amp; Office Cashiers</w:t>
      </w: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Sales Assistants</w:t>
      </w:r>
    </w:p>
    <w:p w:rsidR="00585787" w:rsidRDefault="00585787">
      <w:r>
        <w:br w:type="page"/>
      </w:r>
    </w:p>
    <w:p w:rsidR="00830CF5" w:rsidRPr="00830CF5" w:rsidRDefault="00585787" w:rsidP="00830CF5">
      <w:pPr>
        <w:pStyle w:val="Heading1"/>
        <w:rPr>
          <w:lang w:eastAsia="en-AU"/>
        </w:rPr>
      </w:pPr>
      <w:r>
        <w:lastRenderedPageBreak/>
        <w:t>Slide 34</w:t>
      </w:r>
      <w:r w:rsidR="00830CF5">
        <w:t xml:space="preserve"> </w:t>
      </w:r>
      <w:r w:rsidR="00830CF5" w:rsidRPr="00830CF5">
        <w:rPr>
          <w:lang w:eastAsia="en-AU"/>
        </w:rPr>
        <w:t xml:space="preserve">Greatest concerns for the future </w:t>
      </w:r>
      <w:r w:rsidR="00830CF5">
        <w:rPr>
          <w:lang w:eastAsia="en-AU"/>
        </w:rPr>
        <w:br/>
      </w:r>
      <w:r w:rsidR="00830CF5" w:rsidRPr="00830CF5">
        <w:rPr>
          <w:sz w:val="28"/>
          <w:lang w:eastAsia="en-AU"/>
        </w:rPr>
        <w:t>(in the 12 months following the survey)</w:t>
      </w:r>
    </w:p>
    <w:p w:rsidR="00585787" w:rsidRDefault="00585787" w:rsidP="00585787">
      <w:pPr>
        <w:spacing w:line="360" w:lineRule="auto"/>
      </w:pPr>
    </w:p>
    <w:p w:rsidR="00585787" w:rsidRDefault="00830CF5" w:rsidP="00585787">
      <w:pPr>
        <w:spacing w:line="360" w:lineRule="auto"/>
      </w:pPr>
      <w:r w:rsidRPr="00830CF5">
        <w:rPr>
          <w:noProof/>
          <w:lang w:eastAsia="en-AU"/>
        </w:rPr>
        <w:drawing>
          <wp:inline distT="0" distB="0" distL="0" distR="0" wp14:anchorId="26C3D97F" wp14:editId="427BA54B">
            <wp:extent cx="5760000" cy="4320000"/>
            <wp:effectExtent l="19050" t="19050" r="12700" b="23495"/>
            <wp:docPr id="23" name="Picture 23" descr="Greatest future concerns&#10;Demand/ economy 49%&#10;Other 21%&#10;No concern 15%&#10;Recruitment or retrenchment difficulty/ skills shortage 9%&#10;Competition (including high Australian doll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000" cy="4320000"/>
                    </a:xfrm>
                    <a:prstGeom prst="rect">
                      <a:avLst/>
                    </a:prstGeom>
                    <a:ln>
                      <a:solidFill>
                        <a:schemeClr val="accent1"/>
                      </a:solidFill>
                    </a:ln>
                  </pic:spPr>
                </pic:pic>
              </a:graphicData>
            </a:graphic>
          </wp:inline>
        </w:drawing>
      </w:r>
    </w:p>
    <w:p w:rsidR="00585787" w:rsidRDefault="00585787" w:rsidP="00585787">
      <w:pPr>
        <w:autoSpaceDE w:val="0"/>
        <w:autoSpaceDN w:val="0"/>
        <w:adjustRightInd w:val="0"/>
        <w:rPr>
          <w:rFonts w:cs="Calibri"/>
          <w:kern w:val="24"/>
          <w:szCs w:val="24"/>
          <w:lang w:eastAsia="en-AU"/>
        </w:rPr>
      </w:pPr>
      <w:r>
        <w:rPr>
          <w:rFonts w:cs="Calibri"/>
          <w:i/>
          <w:iCs/>
          <w:kern w:val="24"/>
          <w:szCs w:val="24"/>
          <w:lang w:eastAsia="en-AU"/>
        </w:rPr>
        <w:t xml:space="preserve">Source: DEEWR, Survey of Employers’ Recruitment Experiences, North Western Melbourne Priority Employment Area June 2013 </w:t>
      </w:r>
      <w:r>
        <w:rPr>
          <w:rFonts w:cs="Calibri"/>
          <w:kern w:val="24"/>
          <w:szCs w:val="24"/>
          <w:lang w:eastAsia="en-AU"/>
        </w:rPr>
        <w:t> </w:t>
      </w: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 </w:t>
      </w:r>
    </w:p>
    <w:p w:rsidR="00585787" w:rsidRDefault="00585787" w:rsidP="00585787">
      <w:pPr>
        <w:autoSpaceDE w:val="0"/>
        <w:autoSpaceDN w:val="0"/>
        <w:adjustRightInd w:val="0"/>
        <w:rPr>
          <w:rFonts w:cs="Calibri"/>
          <w:kern w:val="24"/>
          <w:szCs w:val="24"/>
          <w:lang w:eastAsia="en-AU"/>
        </w:rPr>
      </w:pPr>
      <w:r>
        <w:rPr>
          <w:rFonts w:cs="Calibri"/>
          <w:kern w:val="24"/>
          <w:szCs w:val="24"/>
          <w:lang w:eastAsia="en-AU"/>
        </w:rPr>
        <w:t>By far the greatest future concern for employers was a downturn in the economy and demand for their services/products (49% of employers). Recruitment or retention difficulty/skill shortages were concerns for 9% of employers.</w:t>
      </w:r>
    </w:p>
    <w:p w:rsidR="00585787" w:rsidRDefault="00585787">
      <w:r>
        <w:br w:type="page"/>
      </w:r>
    </w:p>
    <w:p w:rsidR="00830CF5" w:rsidRPr="00830CF5" w:rsidRDefault="00585787" w:rsidP="00830CF5">
      <w:pPr>
        <w:pStyle w:val="Heading1"/>
        <w:rPr>
          <w:sz w:val="32"/>
          <w:lang w:eastAsia="en-AU"/>
        </w:rPr>
      </w:pPr>
      <w:r>
        <w:lastRenderedPageBreak/>
        <w:t>Slide 35</w:t>
      </w:r>
      <w:r w:rsidR="00830CF5">
        <w:t xml:space="preserve"> </w:t>
      </w:r>
      <w:r w:rsidR="00830CF5" w:rsidRPr="00830CF5">
        <w:rPr>
          <w:szCs w:val="24"/>
          <w:lang w:eastAsia="en-AU"/>
        </w:rPr>
        <w:t>Conclusion</w:t>
      </w:r>
    </w:p>
    <w:p w:rsidR="00585787" w:rsidRPr="00830CF5" w:rsidRDefault="00585787" w:rsidP="00830CF5">
      <w:pPr>
        <w:pStyle w:val="ListParagraph"/>
        <w:numPr>
          <w:ilvl w:val="0"/>
          <w:numId w:val="20"/>
        </w:numPr>
        <w:autoSpaceDE w:val="0"/>
        <w:autoSpaceDN w:val="0"/>
        <w:adjustRightInd w:val="0"/>
        <w:rPr>
          <w:rFonts w:cs="Calibri"/>
          <w:kern w:val="24"/>
          <w:sz w:val="32"/>
          <w:szCs w:val="32"/>
          <w:lang w:eastAsia="en-AU"/>
        </w:rPr>
      </w:pPr>
      <w:r w:rsidRPr="00830CF5">
        <w:rPr>
          <w:rFonts w:cs="Calibri"/>
          <w:bCs/>
          <w:kern w:val="24"/>
          <w:szCs w:val="24"/>
          <w:lang w:eastAsia="en-AU"/>
        </w:rPr>
        <w:t>Labour market is subdued</w:t>
      </w:r>
    </w:p>
    <w:p w:rsidR="00585787" w:rsidRPr="00830CF5" w:rsidRDefault="00585787" w:rsidP="00830CF5">
      <w:pPr>
        <w:pStyle w:val="ListParagraph"/>
        <w:numPr>
          <w:ilvl w:val="1"/>
          <w:numId w:val="22"/>
        </w:numPr>
        <w:autoSpaceDE w:val="0"/>
        <w:autoSpaceDN w:val="0"/>
        <w:adjustRightInd w:val="0"/>
        <w:rPr>
          <w:rFonts w:cs="Calibri"/>
          <w:kern w:val="24"/>
          <w:sz w:val="32"/>
          <w:szCs w:val="32"/>
          <w:lang w:eastAsia="en-AU"/>
        </w:rPr>
      </w:pPr>
      <w:r w:rsidRPr="00830CF5">
        <w:rPr>
          <w:rFonts w:cs="Calibri"/>
          <w:kern w:val="24"/>
          <w:szCs w:val="24"/>
          <w:lang w:eastAsia="en-AU"/>
        </w:rPr>
        <w:t xml:space="preserve">Unemployment rate has remained steady  over the last 12 months, but remains high </w:t>
      </w:r>
    </w:p>
    <w:p w:rsidR="00585787" w:rsidRPr="00830CF5" w:rsidRDefault="00585787" w:rsidP="00830CF5">
      <w:pPr>
        <w:pStyle w:val="ListParagraph"/>
        <w:numPr>
          <w:ilvl w:val="1"/>
          <w:numId w:val="22"/>
        </w:numPr>
        <w:autoSpaceDE w:val="0"/>
        <w:autoSpaceDN w:val="0"/>
        <w:adjustRightInd w:val="0"/>
        <w:rPr>
          <w:rFonts w:cs="Calibri"/>
          <w:kern w:val="24"/>
          <w:sz w:val="32"/>
          <w:szCs w:val="32"/>
          <w:lang w:eastAsia="en-AU"/>
        </w:rPr>
      </w:pPr>
      <w:r w:rsidRPr="00830CF5">
        <w:rPr>
          <w:rFonts w:cs="Calibri"/>
          <w:kern w:val="24"/>
          <w:szCs w:val="24"/>
          <w:lang w:val="en-US" w:eastAsia="en-AU"/>
        </w:rPr>
        <w:t>Decline in employment for some of the largest employing industries</w:t>
      </w:r>
    </w:p>
    <w:p w:rsidR="00585787" w:rsidRPr="00830CF5" w:rsidRDefault="00585787" w:rsidP="00830CF5">
      <w:pPr>
        <w:pStyle w:val="ListParagraph"/>
        <w:numPr>
          <w:ilvl w:val="1"/>
          <w:numId w:val="22"/>
        </w:numPr>
        <w:autoSpaceDE w:val="0"/>
        <w:autoSpaceDN w:val="0"/>
        <w:adjustRightInd w:val="0"/>
        <w:rPr>
          <w:rFonts w:cs="Calibri"/>
          <w:kern w:val="24"/>
          <w:szCs w:val="24"/>
          <w:lang w:val="en-US" w:eastAsia="en-AU"/>
        </w:rPr>
      </w:pPr>
      <w:r w:rsidRPr="00830CF5">
        <w:rPr>
          <w:rFonts w:cs="Calibri"/>
          <w:kern w:val="24"/>
          <w:szCs w:val="24"/>
          <w:lang w:val="en-US" w:eastAsia="en-AU"/>
        </w:rPr>
        <w:t>Recruitment activity has decreased marginally</w:t>
      </w:r>
    </w:p>
    <w:p w:rsidR="00830CF5" w:rsidRPr="00830CF5" w:rsidRDefault="00830CF5" w:rsidP="00830CF5">
      <w:pPr>
        <w:autoSpaceDE w:val="0"/>
        <w:autoSpaceDN w:val="0"/>
        <w:adjustRightInd w:val="0"/>
        <w:rPr>
          <w:rFonts w:cs="Calibri"/>
          <w:kern w:val="24"/>
          <w:sz w:val="32"/>
          <w:szCs w:val="32"/>
          <w:lang w:eastAsia="en-AU"/>
        </w:rPr>
      </w:pPr>
    </w:p>
    <w:p w:rsidR="00585787" w:rsidRPr="00830CF5" w:rsidRDefault="00585787" w:rsidP="00830CF5">
      <w:pPr>
        <w:pStyle w:val="ListParagraph"/>
        <w:numPr>
          <w:ilvl w:val="0"/>
          <w:numId w:val="23"/>
        </w:numPr>
        <w:autoSpaceDE w:val="0"/>
        <w:autoSpaceDN w:val="0"/>
        <w:adjustRightInd w:val="0"/>
        <w:rPr>
          <w:rFonts w:cs="Calibri"/>
          <w:kern w:val="24"/>
          <w:sz w:val="32"/>
          <w:szCs w:val="32"/>
          <w:lang w:eastAsia="en-AU"/>
        </w:rPr>
      </w:pPr>
      <w:r w:rsidRPr="00830CF5">
        <w:rPr>
          <w:rFonts w:cs="Calibri"/>
          <w:bCs/>
          <w:kern w:val="24"/>
          <w:szCs w:val="24"/>
          <w:lang w:eastAsia="en-AU"/>
        </w:rPr>
        <w:t>What are the issues?</w:t>
      </w:r>
    </w:p>
    <w:p w:rsidR="00585787" w:rsidRPr="00830CF5" w:rsidRDefault="00585787" w:rsidP="00830CF5">
      <w:pPr>
        <w:pStyle w:val="ListParagraph"/>
        <w:numPr>
          <w:ilvl w:val="0"/>
          <w:numId w:val="24"/>
        </w:numPr>
        <w:autoSpaceDE w:val="0"/>
        <w:autoSpaceDN w:val="0"/>
        <w:adjustRightInd w:val="0"/>
        <w:rPr>
          <w:rFonts w:cs="Calibri"/>
          <w:kern w:val="24"/>
          <w:sz w:val="32"/>
          <w:szCs w:val="32"/>
          <w:lang w:eastAsia="en-AU"/>
        </w:rPr>
      </w:pPr>
      <w:r w:rsidRPr="00830CF5">
        <w:rPr>
          <w:rFonts w:cs="Calibri"/>
          <w:kern w:val="24"/>
          <w:szCs w:val="24"/>
          <w:lang w:val="en-US" w:eastAsia="en-AU"/>
        </w:rPr>
        <w:t>Very strong population growth</w:t>
      </w:r>
    </w:p>
    <w:p w:rsidR="00585787" w:rsidRPr="00830CF5" w:rsidRDefault="00585787" w:rsidP="00830CF5">
      <w:pPr>
        <w:pStyle w:val="ListParagraph"/>
        <w:numPr>
          <w:ilvl w:val="0"/>
          <w:numId w:val="24"/>
        </w:numPr>
        <w:autoSpaceDE w:val="0"/>
        <w:autoSpaceDN w:val="0"/>
        <w:adjustRightInd w:val="0"/>
        <w:rPr>
          <w:rFonts w:cs="Calibri"/>
          <w:kern w:val="24"/>
          <w:sz w:val="32"/>
          <w:szCs w:val="32"/>
          <w:lang w:eastAsia="en-AU"/>
        </w:rPr>
      </w:pPr>
      <w:r w:rsidRPr="00830CF5">
        <w:rPr>
          <w:rFonts w:cs="Calibri"/>
          <w:kern w:val="24"/>
          <w:szCs w:val="24"/>
          <w:lang w:val="en-US" w:eastAsia="en-AU"/>
        </w:rPr>
        <w:t>High intake of humanitarian migrants</w:t>
      </w:r>
      <w:r w:rsidRPr="00830CF5">
        <w:rPr>
          <w:rFonts w:cs="Calibri"/>
          <w:kern w:val="24"/>
          <w:szCs w:val="24"/>
          <w:lang w:eastAsia="en-AU"/>
        </w:rPr>
        <w:t>, and underutilisation of migrants more generally</w:t>
      </w:r>
    </w:p>
    <w:p w:rsidR="00585787" w:rsidRPr="00830CF5" w:rsidRDefault="00585787" w:rsidP="00830CF5">
      <w:pPr>
        <w:pStyle w:val="ListParagraph"/>
        <w:numPr>
          <w:ilvl w:val="0"/>
          <w:numId w:val="24"/>
        </w:numPr>
        <w:autoSpaceDE w:val="0"/>
        <w:autoSpaceDN w:val="0"/>
        <w:adjustRightInd w:val="0"/>
        <w:rPr>
          <w:rFonts w:cs="Calibri"/>
          <w:kern w:val="24"/>
          <w:szCs w:val="24"/>
          <w:lang w:eastAsia="en-AU"/>
        </w:rPr>
      </w:pPr>
      <w:r w:rsidRPr="00830CF5">
        <w:rPr>
          <w:rFonts w:cs="Calibri"/>
          <w:kern w:val="24"/>
          <w:szCs w:val="24"/>
          <w:lang w:eastAsia="en-AU"/>
        </w:rPr>
        <w:t>Local workforce more reliant on lower skilled employment but a decline in lower skilled jobs</w:t>
      </w:r>
    </w:p>
    <w:p w:rsidR="00830CF5" w:rsidRPr="00830CF5" w:rsidRDefault="00830CF5" w:rsidP="00830CF5">
      <w:pPr>
        <w:autoSpaceDE w:val="0"/>
        <w:autoSpaceDN w:val="0"/>
        <w:adjustRightInd w:val="0"/>
        <w:rPr>
          <w:rFonts w:cs="Calibri"/>
          <w:kern w:val="24"/>
          <w:sz w:val="32"/>
          <w:szCs w:val="32"/>
          <w:lang w:eastAsia="en-AU"/>
        </w:rPr>
      </w:pPr>
    </w:p>
    <w:p w:rsidR="00585787" w:rsidRPr="00830CF5" w:rsidRDefault="00585787" w:rsidP="00830CF5">
      <w:pPr>
        <w:pStyle w:val="ListParagraph"/>
        <w:numPr>
          <w:ilvl w:val="0"/>
          <w:numId w:val="25"/>
        </w:numPr>
        <w:autoSpaceDE w:val="0"/>
        <w:autoSpaceDN w:val="0"/>
        <w:adjustRightInd w:val="0"/>
        <w:rPr>
          <w:rFonts w:cs="Calibri"/>
          <w:kern w:val="24"/>
          <w:sz w:val="32"/>
          <w:szCs w:val="32"/>
          <w:lang w:eastAsia="en-AU"/>
        </w:rPr>
      </w:pPr>
      <w:r w:rsidRPr="00830CF5">
        <w:rPr>
          <w:rFonts w:cs="Calibri"/>
          <w:bCs/>
          <w:kern w:val="24"/>
          <w:szCs w:val="24"/>
          <w:lang w:eastAsia="en-AU"/>
        </w:rPr>
        <w:t xml:space="preserve">Opportunities  </w:t>
      </w:r>
    </w:p>
    <w:p w:rsidR="00585787" w:rsidRPr="00830CF5" w:rsidRDefault="00585787" w:rsidP="00830CF5">
      <w:pPr>
        <w:pStyle w:val="ListParagraph"/>
        <w:numPr>
          <w:ilvl w:val="0"/>
          <w:numId w:val="26"/>
        </w:numPr>
        <w:autoSpaceDE w:val="0"/>
        <w:autoSpaceDN w:val="0"/>
        <w:adjustRightInd w:val="0"/>
        <w:rPr>
          <w:rFonts w:cs="Calibri"/>
          <w:kern w:val="24"/>
          <w:sz w:val="32"/>
          <w:szCs w:val="32"/>
          <w:lang w:eastAsia="en-AU"/>
        </w:rPr>
      </w:pPr>
      <w:r w:rsidRPr="00830CF5">
        <w:rPr>
          <w:rFonts w:cs="Calibri"/>
          <w:kern w:val="24"/>
          <w:szCs w:val="24"/>
          <w:lang w:eastAsia="en-AU"/>
        </w:rPr>
        <w:t>Employment still growing in major employing industries such as Health and Education</w:t>
      </w:r>
    </w:p>
    <w:p w:rsidR="00585787" w:rsidRPr="00830CF5" w:rsidRDefault="00585787" w:rsidP="00830CF5">
      <w:pPr>
        <w:pStyle w:val="ListParagraph"/>
        <w:numPr>
          <w:ilvl w:val="0"/>
          <w:numId w:val="26"/>
        </w:numPr>
        <w:autoSpaceDE w:val="0"/>
        <w:autoSpaceDN w:val="0"/>
        <w:adjustRightInd w:val="0"/>
        <w:rPr>
          <w:rFonts w:cs="Calibri"/>
          <w:kern w:val="24"/>
          <w:sz w:val="32"/>
          <w:szCs w:val="32"/>
          <w:lang w:eastAsia="en-AU"/>
        </w:rPr>
      </w:pPr>
      <w:r w:rsidRPr="00830CF5">
        <w:rPr>
          <w:rFonts w:cs="Calibri"/>
          <w:kern w:val="24"/>
          <w:szCs w:val="24"/>
          <w:lang w:eastAsia="en-AU"/>
        </w:rPr>
        <w:t xml:space="preserve">Recruitment difficulty persists with demand for some occupations still strong. </w:t>
      </w:r>
    </w:p>
    <w:p w:rsidR="00585787" w:rsidRPr="00830CF5" w:rsidRDefault="00585787" w:rsidP="00830CF5">
      <w:pPr>
        <w:pStyle w:val="ListParagraph"/>
        <w:numPr>
          <w:ilvl w:val="0"/>
          <w:numId w:val="26"/>
        </w:numPr>
        <w:autoSpaceDE w:val="0"/>
        <w:autoSpaceDN w:val="0"/>
        <w:adjustRightInd w:val="0"/>
        <w:rPr>
          <w:rFonts w:cs="Calibri"/>
          <w:kern w:val="24"/>
          <w:sz w:val="32"/>
          <w:szCs w:val="32"/>
          <w:lang w:eastAsia="en-AU"/>
        </w:rPr>
      </w:pPr>
      <w:r w:rsidRPr="00830CF5">
        <w:rPr>
          <w:rFonts w:cs="Calibri"/>
          <w:kern w:val="24"/>
          <w:szCs w:val="24"/>
          <w:lang w:eastAsia="en-AU"/>
        </w:rPr>
        <w:t>Greater employment success if job seekers approach employers</w:t>
      </w:r>
    </w:p>
    <w:p w:rsidR="00585787" w:rsidRPr="00830CF5" w:rsidRDefault="00585787" w:rsidP="00830CF5">
      <w:pPr>
        <w:pStyle w:val="ListParagraph"/>
        <w:numPr>
          <w:ilvl w:val="0"/>
          <w:numId w:val="26"/>
        </w:numPr>
        <w:autoSpaceDE w:val="0"/>
        <w:autoSpaceDN w:val="0"/>
        <w:adjustRightInd w:val="0"/>
        <w:rPr>
          <w:rFonts w:cs="Calibri"/>
          <w:kern w:val="24"/>
          <w:szCs w:val="24"/>
          <w:lang w:eastAsia="en-AU"/>
        </w:rPr>
      </w:pPr>
      <w:r w:rsidRPr="00830CF5">
        <w:rPr>
          <w:rFonts w:cs="Calibri"/>
          <w:kern w:val="24"/>
          <w:szCs w:val="24"/>
          <w:lang w:eastAsia="en-AU"/>
        </w:rPr>
        <w:t>Employment across the broader Melbourne labour market</w:t>
      </w:r>
    </w:p>
    <w:p w:rsidR="00830CF5" w:rsidRPr="00830CF5" w:rsidRDefault="00830CF5" w:rsidP="00830CF5">
      <w:pPr>
        <w:autoSpaceDE w:val="0"/>
        <w:autoSpaceDN w:val="0"/>
        <w:adjustRightInd w:val="0"/>
        <w:rPr>
          <w:rFonts w:cs="Calibri"/>
          <w:kern w:val="24"/>
          <w:sz w:val="32"/>
          <w:szCs w:val="32"/>
          <w:lang w:eastAsia="en-AU"/>
        </w:rPr>
      </w:pPr>
    </w:p>
    <w:p w:rsidR="00585787" w:rsidRPr="00830CF5" w:rsidRDefault="00585787" w:rsidP="00830CF5">
      <w:pPr>
        <w:pStyle w:val="ListParagraph"/>
        <w:numPr>
          <w:ilvl w:val="0"/>
          <w:numId w:val="27"/>
        </w:numPr>
        <w:autoSpaceDE w:val="0"/>
        <w:autoSpaceDN w:val="0"/>
        <w:adjustRightInd w:val="0"/>
        <w:rPr>
          <w:rFonts w:cs="Calibri"/>
          <w:kern w:val="24"/>
          <w:sz w:val="32"/>
          <w:szCs w:val="32"/>
          <w:lang w:eastAsia="en-AU"/>
        </w:rPr>
      </w:pPr>
      <w:r w:rsidRPr="00830CF5">
        <w:rPr>
          <w:rFonts w:cs="Calibri"/>
          <w:bCs/>
          <w:kern w:val="24"/>
          <w:szCs w:val="24"/>
          <w:lang w:eastAsia="en-AU"/>
        </w:rPr>
        <w:t>Job seekers need to be job ready</w:t>
      </w:r>
    </w:p>
    <w:p w:rsidR="00585787" w:rsidRPr="00830CF5" w:rsidRDefault="00585787" w:rsidP="00830CF5">
      <w:pPr>
        <w:pStyle w:val="ListParagraph"/>
        <w:numPr>
          <w:ilvl w:val="0"/>
          <w:numId w:val="28"/>
        </w:numPr>
        <w:autoSpaceDE w:val="0"/>
        <w:autoSpaceDN w:val="0"/>
        <w:adjustRightInd w:val="0"/>
        <w:rPr>
          <w:rFonts w:cs="Calibri"/>
          <w:kern w:val="24"/>
          <w:sz w:val="32"/>
          <w:szCs w:val="32"/>
          <w:lang w:eastAsia="en-AU"/>
        </w:rPr>
      </w:pPr>
      <w:r w:rsidRPr="00830CF5">
        <w:rPr>
          <w:rFonts w:cs="Calibri"/>
          <w:kern w:val="24"/>
          <w:szCs w:val="24"/>
          <w:lang w:eastAsia="en-AU"/>
        </w:rPr>
        <w:t>Experience</w:t>
      </w:r>
    </w:p>
    <w:p w:rsidR="00585787" w:rsidRPr="00830CF5" w:rsidRDefault="00585787" w:rsidP="00830CF5">
      <w:pPr>
        <w:pStyle w:val="ListParagraph"/>
        <w:numPr>
          <w:ilvl w:val="0"/>
          <w:numId w:val="28"/>
        </w:numPr>
        <w:autoSpaceDE w:val="0"/>
        <w:autoSpaceDN w:val="0"/>
        <w:adjustRightInd w:val="0"/>
        <w:rPr>
          <w:rFonts w:cs="Calibri"/>
          <w:kern w:val="24"/>
          <w:sz w:val="32"/>
          <w:szCs w:val="32"/>
          <w:lang w:eastAsia="en-AU"/>
        </w:rPr>
      </w:pPr>
      <w:r w:rsidRPr="00830CF5">
        <w:rPr>
          <w:rFonts w:cs="Calibri"/>
          <w:kern w:val="24"/>
          <w:szCs w:val="24"/>
          <w:lang w:eastAsia="en-AU"/>
        </w:rPr>
        <w:t>Education/training</w:t>
      </w:r>
    </w:p>
    <w:p w:rsidR="00585787" w:rsidRPr="00830CF5" w:rsidRDefault="00585787" w:rsidP="00830CF5">
      <w:pPr>
        <w:pStyle w:val="ListParagraph"/>
        <w:numPr>
          <w:ilvl w:val="0"/>
          <w:numId w:val="28"/>
        </w:numPr>
        <w:autoSpaceDE w:val="0"/>
        <w:autoSpaceDN w:val="0"/>
        <w:adjustRightInd w:val="0"/>
        <w:rPr>
          <w:rFonts w:cs="Calibri"/>
          <w:kern w:val="24"/>
          <w:sz w:val="32"/>
          <w:szCs w:val="32"/>
          <w:lang w:eastAsia="en-AU"/>
        </w:rPr>
      </w:pPr>
      <w:r w:rsidRPr="00830CF5">
        <w:rPr>
          <w:rFonts w:cs="Calibri"/>
          <w:kern w:val="24"/>
          <w:szCs w:val="24"/>
          <w:lang w:eastAsia="en-AU"/>
        </w:rPr>
        <w:t>Employability skills</w:t>
      </w:r>
    </w:p>
    <w:p w:rsidR="00585787" w:rsidRPr="00830CF5" w:rsidRDefault="00585787" w:rsidP="00830CF5">
      <w:pPr>
        <w:pStyle w:val="ListParagraph"/>
        <w:numPr>
          <w:ilvl w:val="0"/>
          <w:numId w:val="28"/>
        </w:numPr>
        <w:autoSpaceDE w:val="0"/>
        <w:autoSpaceDN w:val="0"/>
        <w:adjustRightInd w:val="0"/>
        <w:rPr>
          <w:rFonts w:cs="Calibri"/>
          <w:kern w:val="24"/>
          <w:szCs w:val="24"/>
          <w:lang w:eastAsia="en-AU"/>
        </w:rPr>
      </w:pPr>
      <w:r w:rsidRPr="00830CF5">
        <w:rPr>
          <w:rFonts w:cs="Calibri"/>
          <w:kern w:val="24"/>
          <w:szCs w:val="24"/>
          <w:lang w:eastAsia="en-AU"/>
        </w:rPr>
        <w:t>English proficiency</w:t>
      </w:r>
    </w:p>
    <w:p w:rsidR="00830CF5" w:rsidRPr="00830CF5" w:rsidRDefault="00830CF5" w:rsidP="00830CF5">
      <w:pPr>
        <w:autoSpaceDE w:val="0"/>
        <w:autoSpaceDN w:val="0"/>
        <w:adjustRightInd w:val="0"/>
        <w:rPr>
          <w:rFonts w:cs="Calibri"/>
          <w:kern w:val="24"/>
          <w:sz w:val="32"/>
          <w:szCs w:val="32"/>
          <w:lang w:eastAsia="en-AU"/>
        </w:rPr>
      </w:pPr>
    </w:p>
    <w:p w:rsidR="00585787" w:rsidRPr="00830CF5" w:rsidRDefault="00585787" w:rsidP="00585787">
      <w:pPr>
        <w:autoSpaceDE w:val="0"/>
        <w:autoSpaceDN w:val="0"/>
        <w:adjustRightInd w:val="0"/>
        <w:rPr>
          <w:rFonts w:cs="Calibri"/>
          <w:kern w:val="24"/>
          <w:sz w:val="32"/>
          <w:szCs w:val="32"/>
          <w:lang w:eastAsia="en-AU"/>
        </w:rPr>
      </w:pPr>
      <w:r w:rsidRPr="00830CF5">
        <w:rPr>
          <w:rFonts w:cs="Calibri"/>
          <w:bCs/>
          <w:kern w:val="24"/>
          <w:szCs w:val="24"/>
          <w:lang w:eastAsia="en-AU"/>
        </w:rPr>
        <w:t>Collaboration amongst all key stakeholders and Local Employment Coordinator</w:t>
      </w:r>
    </w:p>
    <w:p w:rsidR="00585787" w:rsidRDefault="00585787">
      <w:r>
        <w:br w:type="page"/>
      </w:r>
    </w:p>
    <w:p w:rsidR="00830CF5" w:rsidRPr="00830CF5" w:rsidRDefault="00585787" w:rsidP="00830CF5">
      <w:pPr>
        <w:pStyle w:val="Heading1"/>
        <w:rPr>
          <w:lang w:eastAsia="en-AU"/>
        </w:rPr>
      </w:pPr>
      <w:r>
        <w:lastRenderedPageBreak/>
        <w:t>Slide 36</w:t>
      </w:r>
      <w:r w:rsidR="00830CF5">
        <w:t xml:space="preserve"> </w:t>
      </w:r>
      <w:r w:rsidR="00830CF5" w:rsidRPr="00830CF5">
        <w:rPr>
          <w:lang w:eastAsia="en-AU"/>
        </w:rPr>
        <w:t>Further Information</w:t>
      </w:r>
    </w:p>
    <w:p w:rsidR="00585787" w:rsidRDefault="00585787" w:rsidP="00585787">
      <w:pPr>
        <w:autoSpaceDE w:val="0"/>
        <w:autoSpaceDN w:val="0"/>
        <w:adjustRightInd w:val="0"/>
        <w:rPr>
          <w:rFonts w:cs="Calibri"/>
          <w:b/>
          <w:bCs/>
          <w:kern w:val="24"/>
          <w:szCs w:val="24"/>
          <w:u w:val="single"/>
          <w:lang w:eastAsia="en-AU"/>
        </w:rPr>
      </w:pPr>
    </w:p>
    <w:p w:rsidR="00202242" w:rsidRPr="00202242" w:rsidRDefault="00202242" w:rsidP="00202242">
      <w:pPr>
        <w:rPr>
          <w:b/>
          <w:lang w:eastAsia="en-AU"/>
        </w:rPr>
      </w:pPr>
      <w:r w:rsidRPr="00202242">
        <w:rPr>
          <w:b/>
          <w:lang w:eastAsia="en-AU"/>
        </w:rPr>
        <w:t xml:space="preserve">Please note – </w:t>
      </w:r>
      <w:r>
        <w:rPr>
          <w:b/>
          <w:lang w:eastAsia="en-AU"/>
        </w:rPr>
        <w:t>t</w:t>
      </w:r>
      <w:r w:rsidRPr="00202242">
        <w:rPr>
          <w:b/>
          <w:lang w:eastAsia="en-AU"/>
        </w:rPr>
        <w:t xml:space="preserve">his presentation was produced in September 2013 by the former Department of Education, Employment and Workplace Relations (DEEWR). </w:t>
      </w:r>
      <w:r w:rsidR="00CC08C3">
        <w:rPr>
          <w:b/>
          <w:lang w:eastAsia="en-AU"/>
        </w:rPr>
        <w:t>However, a</w:t>
      </w:r>
      <w:r w:rsidRPr="00202242">
        <w:rPr>
          <w:b/>
          <w:lang w:eastAsia="en-AU"/>
        </w:rPr>
        <w:t>ll links below are current and</w:t>
      </w:r>
      <w:r>
        <w:rPr>
          <w:b/>
          <w:lang w:eastAsia="en-AU"/>
        </w:rPr>
        <w:t>,</w:t>
      </w:r>
      <w:r w:rsidRPr="00202242">
        <w:rPr>
          <w:b/>
          <w:lang w:eastAsia="en-AU"/>
        </w:rPr>
        <w:t xml:space="preserve"> where appropriate, will direct you to the</w:t>
      </w:r>
      <w:r w:rsidR="00CC08C3">
        <w:rPr>
          <w:b/>
          <w:lang w:eastAsia="en-AU"/>
        </w:rPr>
        <w:t xml:space="preserve"> new</w:t>
      </w:r>
      <w:r w:rsidRPr="00202242">
        <w:rPr>
          <w:b/>
          <w:lang w:eastAsia="en-AU"/>
        </w:rPr>
        <w:t xml:space="preserve"> Department of Employment. </w:t>
      </w:r>
    </w:p>
    <w:p w:rsidR="00202242" w:rsidRDefault="00202242" w:rsidP="00202242">
      <w:pPr>
        <w:rPr>
          <w:lang w:eastAsia="en-AU"/>
        </w:rPr>
      </w:pPr>
    </w:p>
    <w:p w:rsidR="00202242" w:rsidRDefault="00202242" w:rsidP="00202242">
      <w:pPr>
        <w:rPr>
          <w:lang w:eastAsia="en-AU"/>
        </w:rPr>
      </w:pPr>
      <w:r>
        <w:rPr>
          <w:lang w:eastAsia="en-AU"/>
        </w:rPr>
        <w:t xml:space="preserve">If you have any questions about the presentation please contact the Employer Surveys Section or Recruitment Analysis Section on: </w:t>
      </w:r>
    </w:p>
    <w:p w:rsidR="00202242" w:rsidRDefault="00202242" w:rsidP="00202242">
      <w:pPr>
        <w:rPr>
          <w:lang w:eastAsia="en-AU"/>
        </w:rPr>
      </w:pPr>
      <w:bookmarkStart w:id="0" w:name="_GoBack"/>
      <w:bookmarkEnd w:id="0"/>
    </w:p>
    <w:p w:rsidR="00202242" w:rsidRDefault="00202242" w:rsidP="00202242">
      <w:pPr>
        <w:rPr>
          <w:lang w:eastAsia="en-AU"/>
        </w:rPr>
      </w:pPr>
      <w:r>
        <w:rPr>
          <w:lang w:eastAsia="en-AU"/>
        </w:rPr>
        <w:t xml:space="preserve">Tel: </w:t>
      </w:r>
      <w:r>
        <w:rPr>
          <w:color w:val="254061"/>
          <w:u w:val="single"/>
          <w:lang w:eastAsia="en-AU"/>
        </w:rPr>
        <w:t>1800 059 439</w:t>
      </w:r>
      <w:r>
        <w:rPr>
          <w:lang w:eastAsia="en-AU"/>
        </w:rPr>
        <w:t xml:space="preserve"> or </w:t>
      </w:r>
    </w:p>
    <w:p w:rsidR="00202242" w:rsidRDefault="00202242" w:rsidP="00202242">
      <w:pPr>
        <w:rPr>
          <w:color w:val="FF0000"/>
          <w:u w:val="single"/>
          <w:lang w:eastAsia="en-AU"/>
        </w:rPr>
      </w:pPr>
      <w:hyperlink r:id="rId30" w:history="1">
        <w:r>
          <w:rPr>
            <w:rStyle w:val="Hyperlink"/>
            <w:rFonts w:hAnsi="Times New Roman" w:cs="Calibri"/>
            <w:kern w:val="24"/>
            <w:szCs w:val="24"/>
            <w:lang w:eastAsia="en-AU"/>
          </w:rPr>
          <w:t>Email</w:t>
        </w:r>
      </w:hyperlink>
      <w:r>
        <w:rPr>
          <w:lang w:eastAsia="en-AU"/>
        </w:rPr>
        <w:t xml:space="preserve">: </w:t>
      </w:r>
      <w:r w:rsidRPr="00DE0B0F">
        <w:rPr>
          <w:rFonts w:hAnsi="Times New Roman" w:cs="Calibri"/>
          <w:kern w:val="24"/>
          <w:szCs w:val="24"/>
          <w:lang w:eastAsia="en-AU"/>
        </w:rPr>
        <w:t>recruitmentsurveys@employment.gov.au</w:t>
      </w:r>
    </w:p>
    <w:p w:rsidR="00202242" w:rsidRDefault="00202242" w:rsidP="00202242">
      <w:pPr>
        <w:rPr>
          <w:color w:val="FF0000"/>
          <w:u w:val="single"/>
          <w:lang w:eastAsia="en-AU"/>
        </w:rPr>
      </w:pPr>
    </w:p>
    <w:p w:rsidR="00202242" w:rsidRDefault="00202242" w:rsidP="00202242">
      <w:pPr>
        <w:rPr>
          <w:lang w:eastAsia="en-AU"/>
        </w:rPr>
      </w:pPr>
      <w:r>
        <w:rPr>
          <w:lang w:eastAsia="en-AU"/>
        </w:rPr>
        <w:t>More information on labour market conditions and other research on small areas can be found on these web sites</w:t>
      </w:r>
    </w:p>
    <w:p w:rsidR="00202242" w:rsidRDefault="00202242" w:rsidP="00202242">
      <w:pPr>
        <w:rPr>
          <w:lang w:eastAsia="en-AU"/>
        </w:rPr>
      </w:pPr>
    </w:p>
    <w:p w:rsidR="00202242" w:rsidRDefault="00202242" w:rsidP="00202242">
      <w:pPr>
        <w:rPr>
          <w:lang w:eastAsia="en-AU"/>
        </w:rPr>
      </w:pPr>
      <w:hyperlink r:id="rId31" w:history="1">
        <w:r>
          <w:rPr>
            <w:rStyle w:val="Hyperlink"/>
            <w:lang w:eastAsia="en-AU"/>
          </w:rPr>
          <w:t>LMIP</w:t>
        </w:r>
      </w:hyperlink>
      <w:r>
        <w:rPr>
          <w:lang w:eastAsia="en-AU"/>
        </w:rPr>
        <w:t xml:space="preserve">:  </w:t>
      </w:r>
      <w:r w:rsidRPr="00DE0B0F">
        <w:rPr>
          <w:lang w:eastAsia="en-AU"/>
        </w:rPr>
        <w:t>www.employment.gov.au/LMIP</w:t>
      </w:r>
    </w:p>
    <w:p w:rsidR="00202242" w:rsidRDefault="00202242" w:rsidP="00202242">
      <w:pPr>
        <w:rPr>
          <w:lang w:eastAsia="en-AU"/>
        </w:rPr>
      </w:pPr>
      <w:hyperlink r:id="rId32" w:history="1">
        <w:r>
          <w:rPr>
            <w:rStyle w:val="Hyperlink"/>
            <w:lang w:eastAsia="en-AU"/>
          </w:rPr>
          <w:t>Skills Shortages</w:t>
        </w:r>
      </w:hyperlink>
      <w:r>
        <w:rPr>
          <w:lang w:eastAsia="en-AU"/>
        </w:rPr>
        <w:t xml:space="preserve">: </w:t>
      </w:r>
      <w:r w:rsidRPr="00DE0B0F">
        <w:rPr>
          <w:lang w:eastAsia="en-AU"/>
        </w:rPr>
        <w:t>www.employment.gov.au/SkillShortages</w:t>
      </w:r>
    </w:p>
    <w:p w:rsidR="00202242" w:rsidRDefault="00202242" w:rsidP="00202242">
      <w:pPr>
        <w:rPr>
          <w:lang w:eastAsia="en-AU"/>
        </w:rPr>
      </w:pPr>
      <w:hyperlink r:id="rId33" w:history="1">
        <w:r>
          <w:rPr>
            <w:rStyle w:val="Hyperlink"/>
            <w:lang w:eastAsia="en-AU"/>
          </w:rPr>
          <w:t>Regional Reports</w:t>
        </w:r>
      </w:hyperlink>
      <w:r>
        <w:rPr>
          <w:lang w:eastAsia="en-AU"/>
        </w:rPr>
        <w:t xml:space="preserve">: </w:t>
      </w:r>
      <w:r w:rsidRPr="00DE0B0F">
        <w:rPr>
          <w:lang w:eastAsia="en-AU"/>
        </w:rPr>
        <w:t>www.employment.gov.au/RegionalReports</w:t>
      </w:r>
    </w:p>
    <w:p w:rsidR="00202242" w:rsidRDefault="00202242" w:rsidP="00202242">
      <w:pPr>
        <w:rPr>
          <w:lang w:eastAsia="en-AU"/>
        </w:rPr>
      </w:pPr>
      <w:hyperlink r:id="rId34" w:history="1">
        <w:r>
          <w:rPr>
            <w:rStyle w:val="Hyperlink"/>
            <w:lang w:eastAsia="en-AU"/>
          </w:rPr>
          <w:t>Australian Jobs</w:t>
        </w:r>
      </w:hyperlink>
      <w:r>
        <w:rPr>
          <w:lang w:eastAsia="en-AU"/>
        </w:rPr>
        <w:t xml:space="preserve">: </w:t>
      </w:r>
      <w:r w:rsidRPr="00DE0B0F">
        <w:rPr>
          <w:lang w:eastAsia="en-AU"/>
        </w:rPr>
        <w:t>www.employment.gov.au/australianjobs</w:t>
      </w:r>
    </w:p>
    <w:p w:rsidR="00202242" w:rsidRDefault="00202242" w:rsidP="00202242">
      <w:pPr>
        <w:rPr>
          <w:lang w:eastAsia="en-AU"/>
        </w:rPr>
      </w:pPr>
      <w:hyperlink r:id="rId35" w:history="1">
        <w:r>
          <w:rPr>
            <w:rStyle w:val="Hyperlink"/>
            <w:lang w:eastAsia="en-AU"/>
          </w:rPr>
          <w:t>Job Outlook</w:t>
        </w:r>
      </w:hyperlink>
      <w:r>
        <w:rPr>
          <w:lang w:eastAsia="en-AU"/>
        </w:rPr>
        <w:t xml:space="preserve">: </w:t>
      </w:r>
      <w:r w:rsidRPr="00DE0B0F">
        <w:rPr>
          <w:lang w:eastAsia="en-AU"/>
        </w:rPr>
        <w:t>www.joboutlook.gov.au</w:t>
      </w:r>
    </w:p>
    <w:p w:rsidR="00C129A7" w:rsidRDefault="00C129A7" w:rsidP="00830CF5">
      <w:pPr>
        <w:autoSpaceDE w:val="0"/>
        <w:autoSpaceDN w:val="0"/>
        <w:adjustRightInd w:val="0"/>
        <w:rPr>
          <w:rFonts w:cs="Calibri"/>
          <w:kern w:val="24"/>
          <w:szCs w:val="24"/>
          <w:lang w:eastAsia="en-AU"/>
        </w:rPr>
      </w:pPr>
    </w:p>
    <w:p w:rsidR="009A79D3" w:rsidRDefault="009A79D3" w:rsidP="00C129A7">
      <w:pPr>
        <w:autoSpaceDE w:val="0"/>
        <w:autoSpaceDN w:val="0"/>
        <w:adjustRightInd w:val="0"/>
        <w:jc w:val="center"/>
        <w:rPr>
          <w:rFonts w:cs="Calibri"/>
          <w:kern w:val="24"/>
          <w:szCs w:val="24"/>
          <w:lang w:eastAsia="en-AU"/>
        </w:rPr>
      </w:pPr>
    </w:p>
    <w:p w:rsidR="009A79D3" w:rsidRDefault="009A79D3" w:rsidP="00C129A7">
      <w:pPr>
        <w:autoSpaceDE w:val="0"/>
        <w:autoSpaceDN w:val="0"/>
        <w:adjustRightInd w:val="0"/>
        <w:jc w:val="center"/>
        <w:rPr>
          <w:rFonts w:cs="Calibri"/>
          <w:kern w:val="24"/>
          <w:szCs w:val="24"/>
          <w:lang w:eastAsia="en-AU"/>
        </w:rPr>
      </w:pPr>
    </w:p>
    <w:p w:rsidR="00C129A7" w:rsidRPr="00830CF5" w:rsidRDefault="00C129A7" w:rsidP="00C129A7">
      <w:pPr>
        <w:autoSpaceDE w:val="0"/>
        <w:autoSpaceDN w:val="0"/>
        <w:adjustRightInd w:val="0"/>
        <w:jc w:val="center"/>
        <w:rPr>
          <w:rFonts w:cs="Calibri"/>
          <w:kern w:val="24"/>
          <w:szCs w:val="24"/>
          <w:lang w:eastAsia="en-AU"/>
        </w:rPr>
      </w:pPr>
      <w:r w:rsidRPr="00C129A7">
        <w:rPr>
          <w:rFonts w:cs="Calibri"/>
          <w:noProof/>
          <w:kern w:val="24"/>
          <w:szCs w:val="24"/>
          <w:lang w:eastAsia="en-AU"/>
        </w:rPr>
        <w:drawing>
          <wp:inline distT="0" distB="0" distL="0" distR="0" wp14:anchorId="35EF9F2E" wp14:editId="44BA709E">
            <wp:extent cx="3560763" cy="977900"/>
            <wp:effectExtent l="0" t="0" r="1905" b="0"/>
            <wp:docPr id="66562" name="Picture 10" descr="The crest for the Australian Government Department of Education, Employment and Workplace Relation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6562" name="Picture 10" descr="DEEWR4A"/>
                    <pic:cNvPicPr>
                      <a:picLocks noGrp="1" noChangeAspect="1" noChangeArrowheads="1"/>
                    </pic:cNvPicPr>
                  </pic:nvPicPr>
                  <pic:blipFill>
                    <a:blip r:embed="rId36"/>
                    <a:srcRect/>
                    <a:stretch>
                      <a:fillRect/>
                    </a:stretch>
                  </pic:blipFill>
                  <pic:spPr bwMode="auto">
                    <a:xfrm>
                      <a:off x="0" y="0"/>
                      <a:ext cx="3560763" cy="977900"/>
                    </a:xfrm>
                    <a:prstGeom prst="rect">
                      <a:avLst/>
                    </a:prstGeom>
                    <a:noFill/>
                    <a:ln w="9525">
                      <a:noFill/>
                      <a:miter lim="800000"/>
                      <a:headEnd/>
                      <a:tailEnd/>
                    </a:ln>
                  </pic:spPr>
                </pic:pic>
              </a:graphicData>
            </a:graphic>
          </wp:inline>
        </w:drawing>
      </w:r>
    </w:p>
    <w:sectPr w:rsidR="00C129A7" w:rsidRPr="00830CF5"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F2ABD52"/>
    <w:lvl w:ilvl="0">
      <w:numFmt w:val="bullet"/>
      <w:lvlText w:val="*"/>
      <w:lvlJc w:val="left"/>
    </w:lvl>
  </w:abstractNum>
  <w:abstractNum w:abstractNumId="1">
    <w:nsid w:val="017A60B8"/>
    <w:multiLevelType w:val="hybridMultilevel"/>
    <w:tmpl w:val="3CDAF3FE"/>
    <w:lvl w:ilvl="0" w:tplc="445A804A">
      <w:numFmt w:val="bullet"/>
      <w:lvlText w:val="-"/>
      <w:lvlJc w:val="left"/>
      <w:pPr>
        <w:ind w:left="786" w:hanging="360"/>
      </w:pPr>
      <w:rPr>
        <w:rFonts w:ascii="Calibri" w:eastAsia="Times New Roman" w:hAnsi="Calibri" w:cs="Calibr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nsid w:val="033C4841"/>
    <w:multiLevelType w:val="hybridMultilevel"/>
    <w:tmpl w:val="6158C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1C6783"/>
    <w:multiLevelType w:val="hybridMultilevel"/>
    <w:tmpl w:val="B5B42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6762A0"/>
    <w:multiLevelType w:val="hybridMultilevel"/>
    <w:tmpl w:val="172E8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FF0C19"/>
    <w:multiLevelType w:val="hybridMultilevel"/>
    <w:tmpl w:val="936044C8"/>
    <w:lvl w:ilvl="0" w:tplc="0C090001">
      <w:start w:val="1"/>
      <w:numFmt w:val="bullet"/>
      <w:lvlText w:val=""/>
      <w:lvlJc w:val="left"/>
      <w:pPr>
        <w:ind w:left="426" w:hanging="360"/>
      </w:pPr>
      <w:rPr>
        <w:rFonts w:ascii="Symbol" w:hAnsi="Symbol" w:hint="default"/>
      </w:rPr>
    </w:lvl>
    <w:lvl w:ilvl="1" w:tplc="95CC4486">
      <w:start w:val="27"/>
      <w:numFmt w:val="bullet"/>
      <w:lvlText w:val="-"/>
      <w:lvlJc w:val="left"/>
      <w:pPr>
        <w:ind w:left="1146" w:hanging="360"/>
      </w:pPr>
      <w:rPr>
        <w:rFonts w:ascii="Calibri" w:eastAsia="Times New Roman" w:hAnsi="Calibri" w:cs="Calibri" w:hint="default"/>
      </w:rPr>
    </w:lvl>
    <w:lvl w:ilvl="2" w:tplc="0C090005" w:tentative="1">
      <w:start w:val="1"/>
      <w:numFmt w:val="bullet"/>
      <w:lvlText w:val=""/>
      <w:lvlJc w:val="left"/>
      <w:pPr>
        <w:ind w:left="1866" w:hanging="360"/>
      </w:pPr>
      <w:rPr>
        <w:rFonts w:ascii="Wingdings" w:hAnsi="Wingdings" w:hint="default"/>
      </w:rPr>
    </w:lvl>
    <w:lvl w:ilvl="3" w:tplc="0C09000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
    <w:nsid w:val="12AF7BC5"/>
    <w:multiLevelType w:val="hybridMultilevel"/>
    <w:tmpl w:val="0FB4E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50400F"/>
    <w:multiLevelType w:val="hybridMultilevel"/>
    <w:tmpl w:val="913AF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7E4613"/>
    <w:multiLevelType w:val="hybridMultilevel"/>
    <w:tmpl w:val="29727B9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7482EBC"/>
    <w:multiLevelType w:val="hybridMultilevel"/>
    <w:tmpl w:val="445497DC"/>
    <w:lvl w:ilvl="0" w:tplc="95CC4486">
      <w:start w:val="27"/>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2D04D0"/>
    <w:multiLevelType w:val="hybridMultilevel"/>
    <w:tmpl w:val="BEE02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A90D55"/>
    <w:multiLevelType w:val="hybridMultilevel"/>
    <w:tmpl w:val="66949EC6"/>
    <w:lvl w:ilvl="0" w:tplc="0C090001">
      <w:start w:val="1"/>
      <w:numFmt w:val="bullet"/>
      <w:lvlText w:val=""/>
      <w:lvlJc w:val="left"/>
      <w:pPr>
        <w:ind w:left="720" w:hanging="360"/>
      </w:pPr>
      <w:rPr>
        <w:rFonts w:ascii="Symbol" w:hAnsi="Symbol" w:hint="default"/>
      </w:rPr>
    </w:lvl>
    <w:lvl w:ilvl="1" w:tplc="95CC4486">
      <w:start w:val="27"/>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31C7822"/>
    <w:multiLevelType w:val="hybridMultilevel"/>
    <w:tmpl w:val="1FDA4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53C7564"/>
    <w:multiLevelType w:val="hybridMultilevel"/>
    <w:tmpl w:val="23D02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A1458E2"/>
    <w:multiLevelType w:val="hybridMultilevel"/>
    <w:tmpl w:val="4934C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7B17F0"/>
    <w:multiLevelType w:val="hybridMultilevel"/>
    <w:tmpl w:val="106EC410"/>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nsid w:val="44F40DB8"/>
    <w:multiLevelType w:val="hybridMultilevel"/>
    <w:tmpl w:val="16DA27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D2624A"/>
    <w:multiLevelType w:val="hybridMultilevel"/>
    <w:tmpl w:val="0B74E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5A2D8C"/>
    <w:multiLevelType w:val="hybridMultilevel"/>
    <w:tmpl w:val="44BC5B90"/>
    <w:lvl w:ilvl="0" w:tplc="95CC4486">
      <w:start w:val="27"/>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51B259A8"/>
    <w:multiLevelType w:val="hybridMultilevel"/>
    <w:tmpl w:val="B0262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1D82425"/>
    <w:multiLevelType w:val="hybridMultilevel"/>
    <w:tmpl w:val="B678D312"/>
    <w:lvl w:ilvl="0" w:tplc="95CC4486">
      <w:start w:val="27"/>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5DA129AB"/>
    <w:multiLevelType w:val="hybridMultilevel"/>
    <w:tmpl w:val="6C5C8B16"/>
    <w:lvl w:ilvl="0" w:tplc="95CC4486">
      <w:start w:val="27"/>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nsid w:val="665816B9"/>
    <w:multiLevelType w:val="hybridMultilevel"/>
    <w:tmpl w:val="FC52A0C2"/>
    <w:lvl w:ilvl="0" w:tplc="B9544156">
      <w:start w:val="1"/>
      <w:numFmt w:val="bullet"/>
      <w:lvlText w:val="•"/>
      <w:lvlJc w:val="left"/>
      <w:pPr>
        <w:tabs>
          <w:tab w:val="num" w:pos="720"/>
        </w:tabs>
        <w:ind w:left="720" w:hanging="360"/>
      </w:pPr>
      <w:rPr>
        <w:rFonts w:ascii="Arial" w:hAnsi="Arial" w:hint="default"/>
      </w:rPr>
    </w:lvl>
    <w:lvl w:ilvl="1" w:tplc="CCBAA602">
      <w:start w:val="3304"/>
      <w:numFmt w:val="bullet"/>
      <w:lvlText w:val="o"/>
      <w:lvlJc w:val="left"/>
      <w:pPr>
        <w:tabs>
          <w:tab w:val="num" w:pos="1440"/>
        </w:tabs>
        <w:ind w:left="1440" w:hanging="360"/>
      </w:pPr>
      <w:rPr>
        <w:rFonts w:ascii="Courier New" w:hAnsi="Courier New" w:hint="default"/>
      </w:rPr>
    </w:lvl>
    <w:lvl w:ilvl="2" w:tplc="0BD68922" w:tentative="1">
      <w:start w:val="1"/>
      <w:numFmt w:val="bullet"/>
      <w:lvlText w:val="•"/>
      <w:lvlJc w:val="left"/>
      <w:pPr>
        <w:tabs>
          <w:tab w:val="num" w:pos="2160"/>
        </w:tabs>
        <w:ind w:left="2160" w:hanging="360"/>
      </w:pPr>
      <w:rPr>
        <w:rFonts w:ascii="Arial" w:hAnsi="Arial" w:hint="default"/>
      </w:rPr>
    </w:lvl>
    <w:lvl w:ilvl="3" w:tplc="6DE67736" w:tentative="1">
      <w:start w:val="1"/>
      <w:numFmt w:val="bullet"/>
      <w:lvlText w:val="•"/>
      <w:lvlJc w:val="left"/>
      <w:pPr>
        <w:tabs>
          <w:tab w:val="num" w:pos="2880"/>
        </w:tabs>
        <w:ind w:left="2880" w:hanging="360"/>
      </w:pPr>
      <w:rPr>
        <w:rFonts w:ascii="Arial" w:hAnsi="Arial" w:hint="default"/>
      </w:rPr>
    </w:lvl>
    <w:lvl w:ilvl="4" w:tplc="CF822458" w:tentative="1">
      <w:start w:val="1"/>
      <w:numFmt w:val="bullet"/>
      <w:lvlText w:val="•"/>
      <w:lvlJc w:val="left"/>
      <w:pPr>
        <w:tabs>
          <w:tab w:val="num" w:pos="3600"/>
        </w:tabs>
        <w:ind w:left="3600" w:hanging="360"/>
      </w:pPr>
      <w:rPr>
        <w:rFonts w:ascii="Arial" w:hAnsi="Arial" w:hint="default"/>
      </w:rPr>
    </w:lvl>
    <w:lvl w:ilvl="5" w:tplc="C15A0F5E" w:tentative="1">
      <w:start w:val="1"/>
      <w:numFmt w:val="bullet"/>
      <w:lvlText w:val="•"/>
      <w:lvlJc w:val="left"/>
      <w:pPr>
        <w:tabs>
          <w:tab w:val="num" w:pos="4320"/>
        </w:tabs>
        <w:ind w:left="4320" w:hanging="360"/>
      </w:pPr>
      <w:rPr>
        <w:rFonts w:ascii="Arial" w:hAnsi="Arial" w:hint="default"/>
      </w:rPr>
    </w:lvl>
    <w:lvl w:ilvl="6" w:tplc="083EAF58" w:tentative="1">
      <w:start w:val="1"/>
      <w:numFmt w:val="bullet"/>
      <w:lvlText w:val="•"/>
      <w:lvlJc w:val="left"/>
      <w:pPr>
        <w:tabs>
          <w:tab w:val="num" w:pos="5040"/>
        </w:tabs>
        <w:ind w:left="5040" w:hanging="360"/>
      </w:pPr>
      <w:rPr>
        <w:rFonts w:ascii="Arial" w:hAnsi="Arial" w:hint="default"/>
      </w:rPr>
    </w:lvl>
    <w:lvl w:ilvl="7" w:tplc="6FCC8358" w:tentative="1">
      <w:start w:val="1"/>
      <w:numFmt w:val="bullet"/>
      <w:lvlText w:val="•"/>
      <w:lvlJc w:val="left"/>
      <w:pPr>
        <w:tabs>
          <w:tab w:val="num" w:pos="5760"/>
        </w:tabs>
        <w:ind w:left="5760" w:hanging="360"/>
      </w:pPr>
      <w:rPr>
        <w:rFonts w:ascii="Arial" w:hAnsi="Arial" w:hint="default"/>
      </w:rPr>
    </w:lvl>
    <w:lvl w:ilvl="8" w:tplc="28C20750" w:tentative="1">
      <w:start w:val="1"/>
      <w:numFmt w:val="bullet"/>
      <w:lvlText w:val="•"/>
      <w:lvlJc w:val="left"/>
      <w:pPr>
        <w:tabs>
          <w:tab w:val="num" w:pos="6480"/>
        </w:tabs>
        <w:ind w:left="6480" w:hanging="360"/>
      </w:pPr>
      <w:rPr>
        <w:rFonts w:ascii="Arial" w:hAnsi="Arial" w:hint="default"/>
      </w:rPr>
    </w:lvl>
  </w:abstractNum>
  <w:abstractNum w:abstractNumId="23">
    <w:nsid w:val="671275C3"/>
    <w:multiLevelType w:val="hybridMultilevel"/>
    <w:tmpl w:val="1A905858"/>
    <w:lvl w:ilvl="0" w:tplc="445A804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455386C"/>
    <w:multiLevelType w:val="hybridMultilevel"/>
    <w:tmpl w:val="7C06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665A0D"/>
    <w:multiLevelType w:val="hybridMultilevel"/>
    <w:tmpl w:val="EF4A6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0"/>
    <w:lvlOverride w:ilvl="0">
      <w:lvl w:ilvl="0">
        <w:numFmt w:val="bullet"/>
        <w:lvlText w:val="o"/>
        <w:legacy w:legacy="1" w:legacySpace="0" w:legacyIndent="0"/>
        <w:lvlJc w:val="left"/>
        <w:rPr>
          <w:rFonts w:ascii="Courier New" w:hAnsi="Courier New" w:cs="Courier New" w:hint="default"/>
          <w:sz w:val="12"/>
        </w:rPr>
      </w:lvl>
    </w:lvlOverride>
  </w:num>
  <w:num w:numId="3">
    <w:abstractNumId w:val="0"/>
    <w:lvlOverride w:ilvl="0">
      <w:lvl w:ilvl="0">
        <w:numFmt w:val="bullet"/>
        <w:lvlText w:val="•"/>
        <w:legacy w:legacy="1" w:legacySpace="0" w:legacyIndent="0"/>
        <w:lvlJc w:val="left"/>
        <w:rPr>
          <w:rFonts w:ascii="Calibri" w:hAnsi="Calibri" w:cs="Calibri" w:hint="default"/>
          <w:sz w:val="24"/>
        </w:rPr>
      </w:lvl>
    </w:lvlOverride>
  </w:num>
  <w:num w:numId="4">
    <w:abstractNumId w:val="13"/>
  </w:num>
  <w:num w:numId="5">
    <w:abstractNumId w:val="12"/>
  </w:num>
  <w:num w:numId="6">
    <w:abstractNumId w:val="10"/>
  </w:num>
  <w:num w:numId="7">
    <w:abstractNumId w:val="1"/>
  </w:num>
  <w:num w:numId="8">
    <w:abstractNumId w:val="4"/>
  </w:num>
  <w:num w:numId="9">
    <w:abstractNumId w:val="23"/>
  </w:num>
  <w:num w:numId="10">
    <w:abstractNumId w:val="16"/>
  </w:num>
  <w:num w:numId="11">
    <w:abstractNumId w:val="15"/>
  </w:num>
  <w:num w:numId="12">
    <w:abstractNumId w:val="2"/>
  </w:num>
  <w:num w:numId="13">
    <w:abstractNumId w:val="7"/>
  </w:num>
  <w:num w:numId="14">
    <w:abstractNumId w:val="22"/>
  </w:num>
  <w:num w:numId="15">
    <w:abstractNumId w:val="3"/>
  </w:num>
  <w:num w:numId="16">
    <w:abstractNumId w:val="25"/>
  </w:num>
  <w:num w:numId="17">
    <w:abstractNumId w:val="5"/>
  </w:num>
  <w:num w:numId="18">
    <w:abstractNumId w:val="6"/>
  </w:num>
  <w:num w:numId="19">
    <w:abstractNumId w:val="9"/>
  </w:num>
  <w:num w:numId="20">
    <w:abstractNumId w:val="19"/>
  </w:num>
  <w:num w:numId="21">
    <w:abstractNumId w:val="8"/>
  </w:num>
  <w:num w:numId="22">
    <w:abstractNumId w:val="11"/>
  </w:num>
  <w:num w:numId="23">
    <w:abstractNumId w:val="17"/>
  </w:num>
  <w:num w:numId="24">
    <w:abstractNumId w:val="18"/>
  </w:num>
  <w:num w:numId="25">
    <w:abstractNumId w:val="24"/>
  </w:num>
  <w:num w:numId="26">
    <w:abstractNumId w:val="21"/>
  </w:num>
  <w:num w:numId="27">
    <w:abstractNumId w:val="14"/>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585787"/>
    <w:rsid w:val="000F2D79"/>
    <w:rsid w:val="00107414"/>
    <w:rsid w:val="00145656"/>
    <w:rsid w:val="00146196"/>
    <w:rsid w:val="001C1A67"/>
    <w:rsid w:val="001C1B23"/>
    <w:rsid w:val="00202242"/>
    <w:rsid w:val="0022574E"/>
    <w:rsid w:val="00250F89"/>
    <w:rsid w:val="003A22E0"/>
    <w:rsid w:val="003F3A19"/>
    <w:rsid w:val="003F3CE8"/>
    <w:rsid w:val="00447836"/>
    <w:rsid w:val="004E5E8A"/>
    <w:rsid w:val="00585787"/>
    <w:rsid w:val="00586F7D"/>
    <w:rsid w:val="005B5C2A"/>
    <w:rsid w:val="005B7575"/>
    <w:rsid w:val="005D236C"/>
    <w:rsid w:val="005F0F2C"/>
    <w:rsid w:val="005F21A5"/>
    <w:rsid w:val="006B7A30"/>
    <w:rsid w:val="00737AB0"/>
    <w:rsid w:val="00777F26"/>
    <w:rsid w:val="007A5F6F"/>
    <w:rsid w:val="007D476D"/>
    <w:rsid w:val="00804AD0"/>
    <w:rsid w:val="00830CF5"/>
    <w:rsid w:val="00865A21"/>
    <w:rsid w:val="008D1E30"/>
    <w:rsid w:val="0092707E"/>
    <w:rsid w:val="00975333"/>
    <w:rsid w:val="009A79D3"/>
    <w:rsid w:val="00A33340"/>
    <w:rsid w:val="00A35BAC"/>
    <w:rsid w:val="00A92439"/>
    <w:rsid w:val="00AB3BA3"/>
    <w:rsid w:val="00B21F45"/>
    <w:rsid w:val="00B2716A"/>
    <w:rsid w:val="00B4410E"/>
    <w:rsid w:val="00BE1CFE"/>
    <w:rsid w:val="00BF70D1"/>
    <w:rsid w:val="00C129A7"/>
    <w:rsid w:val="00CC08C3"/>
    <w:rsid w:val="00D642B0"/>
    <w:rsid w:val="00DC2EB8"/>
    <w:rsid w:val="00DE2EEC"/>
    <w:rsid w:val="00DF7785"/>
    <w:rsid w:val="00E50D5B"/>
    <w:rsid w:val="00E65DE5"/>
    <w:rsid w:val="00E80E97"/>
    <w:rsid w:val="00E84D88"/>
    <w:rsid w:val="00EA0F1C"/>
    <w:rsid w:val="00F20D66"/>
    <w:rsid w:val="00FB5C92"/>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21"/>
    <w:pPr>
      <w:jc w:val="both"/>
    </w:pPr>
    <w:rPr>
      <w:rFonts w:ascii="Calibri" w:hAnsi="Calibri"/>
      <w:sz w:val="24"/>
      <w:lang w:eastAsia="en-US"/>
    </w:rPr>
  </w:style>
  <w:style w:type="paragraph" w:styleId="Heading1">
    <w:name w:val="heading 1"/>
    <w:basedOn w:val="Normal"/>
    <w:next w:val="Normal"/>
    <w:link w:val="Heading1Char"/>
    <w:qFormat/>
    <w:rsid w:val="00107414"/>
    <w:pPr>
      <w:keepNext/>
      <w:spacing w:before="240" w:after="60"/>
      <w:jc w:val="center"/>
      <w:outlineLvl w:val="0"/>
    </w:pPr>
    <w:rPr>
      <w:rFonts w:asciiTheme="minorHAnsi" w:eastAsia="Batang" w:hAnsiTheme="minorHAnsi" w:cs="Arial"/>
      <w:bCs/>
      <w:color w:val="17365D" w:themeColor="text2" w:themeShade="BF"/>
      <w:sz w:val="40"/>
      <w:szCs w:val="32"/>
    </w:rPr>
  </w:style>
  <w:style w:type="paragraph" w:styleId="Heading2">
    <w:name w:val="heading 2"/>
    <w:basedOn w:val="Normal"/>
    <w:next w:val="Normal"/>
    <w:qFormat/>
    <w:rsid w:val="00D642B0"/>
    <w:pPr>
      <w:keepNext/>
      <w:spacing w:before="240" w:after="60"/>
      <w:outlineLvl w:val="1"/>
    </w:pPr>
    <w:rPr>
      <w:rFonts w:cs="Arial"/>
      <w:bCs/>
      <w:iCs/>
      <w:sz w:val="32"/>
      <w:szCs w:val="28"/>
    </w:rPr>
  </w:style>
  <w:style w:type="paragraph" w:styleId="Heading3">
    <w:name w:val="heading 3"/>
    <w:basedOn w:val="Normal"/>
    <w:next w:val="Normal"/>
    <w:qFormat/>
    <w:rsid w:val="00D642B0"/>
    <w:pPr>
      <w:keepNext/>
      <w:spacing w:before="240" w:after="60"/>
      <w:outlineLvl w:val="2"/>
    </w:pPr>
    <w:rPr>
      <w:rFonts w:cs="Arial"/>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7A5F6F"/>
    <w:rPr>
      <w:rFonts w:ascii="Tahoma" w:hAnsi="Tahoma" w:cs="Tahoma"/>
      <w:sz w:val="16"/>
      <w:szCs w:val="16"/>
    </w:rPr>
  </w:style>
  <w:style w:type="character" w:customStyle="1" w:styleId="BalloonTextChar">
    <w:name w:val="Balloon Text Char"/>
    <w:basedOn w:val="DefaultParagraphFont"/>
    <w:link w:val="BalloonText"/>
    <w:uiPriority w:val="99"/>
    <w:semiHidden/>
    <w:rsid w:val="007A5F6F"/>
    <w:rPr>
      <w:rFonts w:ascii="Tahoma" w:hAnsi="Tahoma" w:cs="Tahoma"/>
      <w:sz w:val="16"/>
      <w:szCs w:val="16"/>
      <w:lang w:eastAsia="en-US"/>
    </w:rPr>
  </w:style>
  <w:style w:type="character" w:customStyle="1" w:styleId="Heading1Char">
    <w:name w:val="Heading 1 Char"/>
    <w:basedOn w:val="DefaultParagraphFont"/>
    <w:link w:val="Heading1"/>
    <w:rsid w:val="00107414"/>
    <w:rPr>
      <w:rFonts w:asciiTheme="minorHAnsi" w:eastAsia="Batang" w:hAnsiTheme="minorHAnsi" w:cs="Arial"/>
      <w:bCs/>
      <w:color w:val="17365D" w:themeColor="text2" w:themeShade="BF"/>
      <w:sz w:val="40"/>
      <w:szCs w:val="32"/>
      <w:lang w:eastAsia="en-US"/>
    </w:rPr>
  </w:style>
  <w:style w:type="table" w:styleId="TableGrid">
    <w:name w:val="Table Grid"/>
    <w:basedOn w:val="TableNormal"/>
    <w:uiPriority w:val="59"/>
    <w:rsid w:val="00E84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4D88"/>
    <w:pPr>
      <w:ind w:left="720"/>
      <w:contextualSpacing/>
    </w:pPr>
  </w:style>
  <w:style w:type="character" w:styleId="Hyperlink">
    <w:name w:val="Hyperlink"/>
    <w:basedOn w:val="DefaultParagraphFont"/>
    <w:uiPriority w:val="99"/>
    <w:unhideWhenUsed/>
    <w:rsid w:val="00830C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21"/>
    <w:pPr>
      <w:jc w:val="both"/>
    </w:pPr>
    <w:rPr>
      <w:rFonts w:ascii="Calibri" w:hAnsi="Calibri"/>
      <w:sz w:val="24"/>
      <w:lang w:eastAsia="en-US"/>
    </w:rPr>
  </w:style>
  <w:style w:type="paragraph" w:styleId="Heading1">
    <w:name w:val="heading 1"/>
    <w:basedOn w:val="Normal"/>
    <w:next w:val="Normal"/>
    <w:link w:val="Heading1Char"/>
    <w:qFormat/>
    <w:rsid w:val="00107414"/>
    <w:pPr>
      <w:keepNext/>
      <w:spacing w:before="240" w:after="60"/>
      <w:jc w:val="center"/>
      <w:outlineLvl w:val="0"/>
    </w:pPr>
    <w:rPr>
      <w:rFonts w:asciiTheme="minorHAnsi" w:eastAsia="Batang" w:hAnsiTheme="minorHAnsi" w:cs="Arial"/>
      <w:bCs/>
      <w:color w:val="17365D" w:themeColor="text2" w:themeShade="BF"/>
      <w:sz w:val="40"/>
      <w:szCs w:val="32"/>
    </w:rPr>
  </w:style>
  <w:style w:type="paragraph" w:styleId="Heading2">
    <w:name w:val="heading 2"/>
    <w:basedOn w:val="Normal"/>
    <w:next w:val="Normal"/>
    <w:qFormat/>
    <w:rsid w:val="00D642B0"/>
    <w:pPr>
      <w:keepNext/>
      <w:spacing w:before="240" w:after="60"/>
      <w:outlineLvl w:val="1"/>
    </w:pPr>
    <w:rPr>
      <w:rFonts w:cs="Arial"/>
      <w:bCs/>
      <w:iCs/>
      <w:sz w:val="32"/>
      <w:szCs w:val="28"/>
    </w:rPr>
  </w:style>
  <w:style w:type="paragraph" w:styleId="Heading3">
    <w:name w:val="heading 3"/>
    <w:basedOn w:val="Normal"/>
    <w:next w:val="Normal"/>
    <w:qFormat/>
    <w:rsid w:val="00D642B0"/>
    <w:pPr>
      <w:keepNext/>
      <w:spacing w:before="240" w:after="60"/>
      <w:outlineLvl w:val="2"/>
    </w:pPr>
    <w:rPr>
      <w:rFonts w:cs="Arial"/>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BalloonText">
    <w:name w:val="Balloon Text"/>
    <w:basedOn w:val="Normal"/>
    <w:link w:val="BalloonTextChar"/>
    <w:uiPriority w:val="99"/>
    <w:semiHidden/>
    <w:unhideWhenUsed/>
    <w:rsid w:val="007A5F6F"/>
    <w:rPr>
      <w:rFonts w:ascii="Tahoma" w:hAnsi="Tahoma" w:cs="Tahoma"/>
      <w:sz w:val="16"/>
      <w:szCs w:val="16"/>
    </w:rPr>
  </w:style>
  <w:style w:type="character" w:customStyle="1" w:styleId="BalloonTextChar">
    <w:name w:val="Balloon Text Char"/>
    <w:basedOn w:val="DefaultParagraphFont"/>
    <w:link w:val="BalloonText"/>
    <w:uiPriority w:val="99"/>
    <w:semiHidden/>
    <w:rsid w:val="007A5F6F"/>
    <w:rPr>
      <w:rFonts w:ascii="Tahoma" w:hAnsi="Tahoma" w:cs="Tahoma"/>
      <w:sz w:val="16"/>
      <w:szCs w:val="16"/>
      <w:lang w:eastAsia="en-US"/>
    </w:rPr>
  </w:style>
  <w:style w:type="character" w:customStyle="1" w:styleId="Heading1Char">
    <w:name w:val="Heading 1 Char"/>
    <w:basedOn w:val="DefaultParagraphFont"/>
    <w:link w:val="Heading1"/>
    <w:rsid w:val="00107414"/>
    <w:rPr>
      <w:rFonts w:asciiTheme="minorHAnsi" w:eastAsia="Batang" w:hAnsiTheme="minorHAnsi" w:cs="Arial"/>
      <w:bCs/>
      <w:color w:val="17365D" w:themeColor="text2" w:themeShade="BF"/>
      <w:sz w:val="40"/>
      <w:szCs w:val="32"/>
      <w:lang w:eastAsia="en-US"/>
    </w:rPr>
  </w:style>
  <w:style w:type="table" w:styleId="TableGrid">
    <w:name w:val="Table Grid"/>
    <w:basedOn w:val="TableNormal"/>
    <w:uiPriority w:val="59"/>
    <w:rsid w:val="00E84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4D88"/>
    <w:pPr>
      <w:ind w:left="720"/>
      <w:contextualSpacing/>
    </w:pPr>
  </w:style>
  <w:style w:type="character" w:styleId="Hyperlink">
    <w:name w:val="Hyperlink"/>
    <w:basedOn w:val="DefaultParagraphFont"/>
    <w:uiPriority w:val="99"/>
    <w:unhideWhenUsed/>
    <w:rsid w:val="00830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72291">
      <w:bodyDiv w:val="1"/>
      <w:marLeft w:val="0"/>
      <w:marRight w:val="0"/>
      <w:marTop w:val="0"/>
      <w:marBottom w:val="0"/>
      <w:divBdr>
        <w:top w:val="none" w:sz="0" w:space="0" w:color="auto"/>
        <w:left w:val="none" w:sz="0" w:space="0" w:color="auto"/>
        <w:bottom w:val="none" w:sz="0" w:space="0" w:color="auto"/>
        <w:right w:val="none" w:sz="0" w:space="0" w:color="auto"/>
      </w:divBdr>
    </w:div>
    <w:div w:id="447237948">
      <w:bodyDiv w:val="1"/>
      <w:marLeft w:val="0"/>
      <w:marRight w:val="0"/>
      <w:marTop w:val="0"/>
      <w:marBottom w:val="0"/>
      <w:divBdr>
        <w:top w:val="none" w:sz="0" w:space="0" w:color="auto"/>
        <w:left w:val="none" w:sz="0" w:space="0" w:color="auto"/>
        <w:bottom w:val="none" w:sz="0" w:space="0" w:color="auto"/>
        <w:right w:val="none" w:sz="0" w:space="0" w:color="auto"/>
      </w:divBdr>
    </w:div>
    <w:div w:id="619609462">
      <w:bodyDiv w:val="1"/>
      <w:marLeft w:val="0"/>
      <w:marRight w:val="0"/>
      <w:marTop w:val="0"/>
      <w:marBottom w:val="0"/>
      <w:divBdr>
        <w:top w:val="none" w:sz="0" w:space="0" w:color="auto"/>
        <w:left w:val="none" w:sz="0" w:space="0" w:color="auto"/>
        <w:bottom w:val="none" w:sz="0" w:space="0" w:color="auto"/>
        <w:right w:val="none" w:sz="0" w:space="0" w:color="auto"/>
      </w:divBdr>
    </w:div>
    <w:div w:id="635332257">
      <w:bodyDiv w:val="1"/>
      <w:marLeft w:val="0"/>
      <w:marRight w:val="0"/>
      <w:marTop w:val="0"/>
      <w:marBottom w:val="0"/>
      <w:divBdr>
        <w:top w:val="none" w:sz="0" w:space="0" w:color="auto"/>
        <w:left w:val="none" w:sz="0" w:space="0" w:color="auto"/>
        <w:bottom w:val="none" w:sz="0" w:space="0" w:color="auto"/>
        <w:right w:val="none" w:sz="0" w:space="0" w:color="auto"/>
      </w:divBdr>
    </w:div>
    <w:div w:id="816648345">
      <w:bodyDiv w:val="1"/>
      <w:marLeft w:val="0"/>
      <w:marRight w:val="0"/>
      <w:marTop w:val="0"/>
      <w:marBottom w:val="0"/>
      <w:divBdr>
        <w:top w:val="none" w:sz="0" w:space="0" w:color="auto"/>
        <w:left w:val="none" w:sz="0" w:space="0" w:color="auto"/>
        <w:bottom w:val="none" w:sz="0" w:space="0" w:color="auto"/>
        <w:right w:val="none" w:sz="0" w:space="0" w:color="auto"/>
      </w:divBdr>
    </w:div>
    <w:div w:id="864975718">
      <w:bodyDiv w:val="1"/>
      <w:marLeft w:val="0"/>
      <w:marRight w:val="0"/>
      <w:marTop w:val="0"/>
      <w:marBottom w:val="0"/>
      <w:divBdr>
        <w:top w:val="none" w:sz="0" w:space="0" w:color="auto"/>
        <w:left w:val="none" w:sz="0" w:space="0" w:color="auto"/>
        <w:bottom w:val="none" w:sz="0" w:space="0" w:color="auto"/>
        <w:right w:val="none" w:sz="0" w:space="0" w:color="auto"/>
      </w:divBdr>
    </w:div>
    <w:div w:id="956570419">
      <w:bodyDiv w:val="1"/>
      <w:marLeft w:val="0"/>
      <w:marRight w:val="0"/>
      <w:marTop w:val="0"/>
      <w:marBottom w:val="0"/>
      <w:divBdr>
        <w:top w:val="none" w:sz="0" w:space="0" w:color="auto"/>
        <w:left w:val="none" w:sz="0" w:space="0" w:color="auto"/>
        <w:bottom w:val="none" w:sz="0" w:space="0" w:color="auto"/>
        <w:right w:val="none" w:sz="0" w:space="0" w:color="auto"/>
      </w:divBdr>
    </w:div>
    <w:div w:id="1012299860">
      <w:bodyDiv w:val="1"/>
      <w:marLeft w:val="0"/>
      <w:marRight w:val="0"/>
      <w:marTop w:val="0"/>
      <w:marBottom w:val="0"/>
      <w:divBdr>
        <w:top w:val="none" w:sz="0" w:space="0" w:color="auto"/>
        <w:left w:val="none" w:sz="0" w:space="0" w:color="auto"/>
        <w:bottom w:val="none" w:sz="0" w:space="0" w:color="auto"/>
        <w:right w:val="none" w:sz="0" w:space="0" w:color="auto"/>
      </w:divBdr>
    </w:div>
    <w:div w:id="1445035512">
      <w:bodyDiv w:val="1"/>
      <w:marLeft w:val="0"/>
      <w:marRight w:val="0"/>
      <w:marTop w:val="0"/>
      <w:marBottom w:val="0"/>
      <w:divBdr>
        <w:top w:val="none" w:sz="0" w:space="0" w:color="auto"/>
        <w:left w:val="none" w:sz="0" w:space="0" w:color="auto"/>
        <w:bottom w:val="none" w:sz="0" w:space="0" w:color="auto"/>
        <w:right w:val="none" w:sz="0" w:space="0" w:color="auto"/>
      </w:divBdr>
    </w:div>
    <w:div w:id="1449548698">
      <w:bodyDiv w:val="1"/>
      <w:marLeft w:val="0"/>
      <w:marRight w:val="0"/>
      <w:marTop w:val="0"/>
      <w:marBottom w:val="0"/>
      <w:divBdr>
        <w:top w:val="none" w:sz="0" w:space="0" w:color="auto"/>
        <w:left w:val="none" w:sz="0" w:space="0" w:color="auto"/>
        <w:bottom w:val="none" w:sz="0" w:space="0" w:color="auto"/>
        <w:right w:val="none" w:sz="0" w:space="0" w:color="auto"/>
      </w:divBdr>
    </w:div>
    <w:div w:id="1535390582">
      <w:bodyDiv w:val="1"/>
      <w:marLeft w:val="0"/>
      <w:marRight w:val="0"/>
      <w:marTop w:val="0"/>
      <w:marBottom w:val="0"/>
      <w:divBdr>
        <w:top w:val="none" w:sz="0" w:space="0" w:color="auto"/>
        <w:left w:val="none" w:sz="0" w:space="0" w:color="auto"/>
        <w:bottom w:val="none" w:sz="0" w:space="0" w:color="auto"/>
        <w:right w:val="none" w:sz="0" w:space="0" w:color="auto"/>
      </w:divBdr>
    </w:div>
    <w:div w:id="1894845243">
      <w:bodyDiv w:val="1"/>
      <w:marLeft w:val="0"/>
      <w:marRight w:val="0"/>
      <w:marTop w:val="0"/>
      <w:marBottom w:val="0"/>
      <w:divBdr>
        <w:top w:val="none" w:sz="0" w:space="0" w:color="auto"/>
        <w:left w:val="none" w:sz="0" w:space="0" w:color="auto"/>
        <w:bottom w:val="none" w:sz="0" w:space="0" w:color="auto"/>
        <w:right w:val="none" w:sz="0" w:space="0" w:color="auto"/>
      </w:divBdr>
    </w:div>
    <w:div w:id="1950817657">
      <w:bodyDiv w:val="1"/>
      <w:marLeft w:val="0"/>
      <w:marRight w:val="0"/>
      <w:marTop w:val="0"/>
      <w:marBottom w:val="0"/>
      <w:divBdr>
        <w:top w:val="none" w:sz="0" w:space="0" w:color="auto"/>
        <w:left w:val="none" w:sz="0" w:space="0" w:color="auto"/>
        <w:bottom w:val="none" w:sz="0" w:space="0" w:color="auto"/>
        <w:right w:val="none" w:sz="0" w:space="0" w:color="auto"/>
      </w:divBdr>
      <w:divsChild>
        <w:div w:id="1653681558">
          <w:marLeft w:val="446"/>
          <w:marRight w:val="0"/>
          <w:marTop w:val="0"/>
          <w:marBottom w:val="0"/>
          <w:divBdr>
            <w:top w:val="none" w:sz="0" w:space="0" w:color="auto"/>
            <w:left w:val="none" w:sz="0" w:space="0" w:color="auto"/>
            <w:bottom w:val="none" w:sz="0" w:space="0" w:color="auto"/>
            <w:right w:val="none" w:sz="0" w:space="0" w:color="auto"/>
          </w:divBdr>
        </w:div>
        <w:div w:id="1024675445">
          <w:marLeft w:val="1267"/>
          <w:marRight w:val="0"/>
          <w:marTop w:val="0"/>
          <w:marBottom w:val="0"/>
          <w:divBdr>
            <w:top w:val="none" w:sz="0" w:space="0" w:color="auto"/>
            <w:left w:val="none" w:sz="0" w:space="0" w:color="auto"/>
            <w:bottom w:val="none" w:sz="0" w:space="0" w:color="auto"/>
            <w:right w:val="none" w:sz="0" w:space="0" w:color="auto"/>
          </w:divBdr>
        </w:div>
        <w:div w:id="634145436">
          <w:marLeft w:val="446"/>
          <w:marRight w:val="0"/>
          <w:marTop w:val="0"/>
          <w:marBottom w:val="0"/>
          <w:divBdr>
            <w:top w:val="none" w:sz="0" w:space="0" w:color="auto"/>
            <w:left w:val="none" w:sz="0" w:space="0" w:color="auto"/>
            <w:bottom w:val="none" w:sz="0" w:space="0" w:color="auto"/>
            <w:right w:val="none" w:sz="0" w:space="0" w:color="auto"/>
          </w:divBdr>
        </w:div>
        <w:div w:id="680468849">
          <w:marLeft w:val="1267"/>
          <w:marRight w:val="0"/>
          <w:marTop w:val="0"/>
          <w:marBottom w:val="0"/>
          <w:divBdr>
            <w:top w:val="none" w:sz="0" w:space="0" w:color="auto"/>
            <w:left w:val="none" w:sz="0" w:space="0" w:color="auto"/>
            <w:bottom w:val="none" w:sz="0" w:space="0" w:color="auto"/>
            <w:right w:val="none" w:sz="0" w:space="0" w:color="auto"/>
          </w:divBdr>
        </w:div>
        <w:div w:id="669141864">
          <w:marLeft w:val="446"/>
          <w:marRight w:val="0"/>
          <w:marTop w:val="0"/>
          <w:marBottom w:val="0"/>
          <w:divBdr>
            <w:top w:val="none" w:sz="0" w:space="0" w:color="auto"/>
            <w:left w:val="none" w:sz="0" w:space="0" w:color="auto"/>
            <w:bottom w:val="none" w:sz="0" w:space="0" w:color="auto"/>
            <w:right w:val="none" w:sz="0" w:space="0" w:color="auto"/>
          </w:divBdr>
        </w:div>
        <w:div w:id="795567478">
          <w:marLeft w:val="1267"/>
          <w:marRight w:val="0"/>
          <w:marTop w:val="0"/>
          <w:marBottom w:val="0"/>
          <w:divBdr>
            <w:top w:val="none" w:sz="0" w:space="0" w:color="auto"/>
            <w:left w:val="none" w:sz="0" w:space="0" w:color="auto"/>
            <w:bottom w:val="none" w:sz="0" w:space="0" w:color="auto"/>
            <w:right w:val="none" w:sz="0" w:space="0" w:color="auto"/>
          </w:divBdr>
        </w:div>
      </w:divsChild>
    </w:div>
    <w:div w:id="197128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customXml" Target="../customXml/item2.xml"/><Relationship Id="rId21" Type="http://schemas.openxmlformats.org/officeDocument/2006/relationships/image" Target="media/image15.png"/><Relationship Id="rId34" Type="http://schemas.openxmlformats.org/officeDocument/2006/relationships/hyperlink" Target="http://www.employment.gov.au/australianjobs" TargetMode="Externa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employment.gov.au/SkillShortages"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employment.gov.au/LMIP"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mailto:recruitmentsurveys@employment.gov.au" TargetMode="External"/><Relationship Id="rId35" Type="http://schemas.openxmlformats.org/officeDocument/2006/relationships/hyperlink" Target="http://www.joboutlook.gov.au/"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employment.gov.au/RegionalReports"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949A0F-13AC-4686-88D2-A7F16391039B}"/>
</file>

<file path=customXml/itemProps2.xml><?xml version="1.0" encoding="utf-8"?>
<ds:datastoreItem xmlns:ds="http://schemas.openxmlformats.org/officeDocument/2006/customXml" ds:itemID="{A17BB849-B3CD-4251-9ACA-C7B314E29AFC}"/>
</file>

<file path=customXml/itemProps3.xml><?xml version="1.0" encoding="utf-8"?>
<ds:datastoreItem xmlns:ds="http://schemas.openxmlformats.org/officeDocument/2006/customXml" ds:itemID="{577890E2-D24C-402E-BEC7-41E99D04B465}"/>
</file>

<file path=customXml/itemProps4.xml><?xml version="1.0" encoding="utf-8"?>
<ds:datastoreItem xmlns:ds="http://schemas.openxmlformats.org/officeDocument/2006/customXml" ds:itemID="{FE8FCA4C-1ECB-48BD-8C86-8D1459D02623}"/>
</file>

<file path=docProps/app.xml><?xml version="1.0" encoding="utf-8"?>
<Properties xmlns="http://schemas.openxmlformats.org/officeDocument/2006/extended-properties" xmlns:vt="http://schemas.openxmlformats.org/officeDocument/2006/docPropsVTypes">
  <Template>6D35128A.dotm</Template>
  <TotalTime>726</TotalTime>
  <Pages>39</Pages>
  <Words>5379</Words>
  <Characters>29255</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Cavalli</dc:creator>
  <cp:lastModifiedBy>Rebecca Cash</cp:lastModifiedBy>
  <cp:revision>13</cp:revision>
  <dcterms:created xsi:type="dcterms:W3CDTF">2014-12-09T02:59:00Z</dcterms:created>
  <dcterms:modified xsi:type="dcterms:W3CDTF">2014-12-18T00:05:00Z</dcterms:modified>
</cp:coreProperties>
</file>