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61" w:rsidRDefault="00B26C61" w:rsidP="00B26C61">
      <w:pPr>
        <w:pStyle w:val="ReferenceText"/>
      </w:pPr>
    </w:p>
    <w:p w:rsidR="00B26C61" w:rsidRDefault="00B26C61" w:rsidP="00B26C61">
      <w:pPr>
        <w:pStyle w:val="ReferenceText"/>
      </w:pPr>
    </w:p>
    <w:p w:rsidR="00B26C61" w:rsidRDefault="00B26C61" w:rsidP="00B26C61">
      <w:pPr>
        <w:pStyle w:val="ReferenceText"/>
      </w:pPr>
    </w:p>
    <w:p w:rsidR="00B26C61" w:rsidRDefault="00B26C61" w:rsidP="00B26C61">
      <w:pPr>
        <w:pStyle w:val="ReferenceText"/>
      </w:pPr>
    </w:p>
    <w:p w:rsidR="00B26C61" w:rsidRDefault="00B26C61" w:rsidP="00B26C61">
      <w:pPr>
        <w:pStyle w:val="ReferenceText"/>
      </w:pPr>
    </w:p>
    <w:p w:rsidR="00B26C61" w:rsidRDefault="00B26C61" w:rsidP="00B26C61">
      <w:pPr>
        <w:rPr>
          <w:b/>
          <w:sz w:val="24"/>
          <w:szCs w:val="24"/>
        </w:rPr>
      </w:pPr>
      <w:fldSimple w:instr=" DOCPROPERTY  longName  \* MERGEFORMAT ">
        <w:r w:rsidRPr="00D80CCA">
          <w:rPr>
            <w:b/>
            <w:sz w:val="24"/>
            <w:szCs w:val="24"/>
          </w:rPr>
          <w:t>Department of Employment</w:t>
        </w:r>
      </w:fldSimple>
    </w:p>
    <w:p w:rsidR="00B26C61" w:rsidRDefault="00B26C61" w:rsidP="00B26C61">
      <w:pPr>
        <w:rPr>
          <w:rFonts w:asciiTheme="minorHAnsi" w:hAnsiTheme="minorHAnsi" w:cstheme="minorHAnsi"/>
          <w:b/>
          <w:sz w:val="24"/>
          <w:szCs w:val="24"/>
        </w:rPr>
      </w:pPr>
    </w:p>
    <w:p w:rsidR="00B26C61" w:rsidRDefault="00B26C61" w:rsidP="00B26C61">
      <w:pPr>
        <w:rPr>
          <w:rFonts w:asciiTheme="minorHAnsi" w:hAnsiTheme="minorHAnsi" w:cstheme="minorHAnsi"/>
          <w:b/>
          <w:sz w:val="24"/>
          <w:szCs w:val="24"/>
        </w:rPr>
      </w:pPr>
    </w:p>
    <w:p w:rsidR="00B26C61" w:rsidRDefault="00B26C61" w:rsidP="00B26C61">
      <w:pPr>
        <w:rPr>
          <w:b/>
          <w:sz w:val="24"/>
          <w:szCs w:val="24"/>
        </w:rPr>
      </w:pPr>
      <w:r>
        <w:rPr>
          <w:b/>
          <w:sz w:val="24"/>
          <w:szCs w:val="24"/>
        </w:rPr>
        <w:t>Financial Statements 2013-14</w:t>
      </w:r>
      <w:r>
        <w:rPr>
          <w:b/>
          <w:sz w:val="24"/>
          <w:szCs w:val="24"/>
        </w:rPr>
        <w:br w:type="page"/>
      </w:r>
    </w:p>
    <w:p w:rsidR="00B26C61" w:rsidRDefault="00B26C61" w:rsidP="00B26C61">
      <w:pPr>
        <w:spacing w:line="240" w:lineRule="auto"/>
        <w:sectPr w:rsidR="00B26C6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958" w:footer="737" w:gutter="0"/>
          <w:cols w:space="720"/>
        </w:sectPr>
      </w:pPr>
    </w:p>
    <w:p w:rsidR="00B26C61" w:rsidRDefault="00B26C61" w:rsidP="00B26C61">
      <w:pPr>
        <w:spacing w:line="240" w:lineRule="auto"/>
      </w:pPr>
    </w:p>
    <w:p w:rsidR="00B26C61" w:rsidRPr="00EB0969" w:rsidRDefault="00B26C61" w:rsidP="00B26C61">
      <w:pPr>
        <w:spacing w:line="240" w:lineRule="auto"/>
        <w:rPr>
          <w:rFonts w:asciiTheme="minorHAnsi" w:hAnsiTheme="minorHAnsi" w:cstheme="minorHAnsi"/>
        </w:rPr>
      </w:pPr>
    </w:p>
    <w:p w:rsidR="00B26C61" w:rsidRDefault="00B26C61" w:rsidP="00B26C61">
      <w:pPr>
        <w:pStyle w:val="TOC1"/>
        <w:rPr>
          <w:rFonts w:asciiTheme="minorHAnsi" w:eastAsiaTheme="minorEastAsia" w:hAnsiTheme="minorHAnsi" w:cstheme="minorBidi"/>
          <w:noProof/>
          <w:sz w:val="22"/>
          <w:szCs w:val="22"/>
          <w:lang w:eastAsia="en-AU"/>
        </w:rPr>
      </w:pPr>
      <w:r w:rsidRPr="00EB0969">
        <w:rPr>
          <w:rFonts w:asciiTheme="minorHAnsi" w:hAnsiTheme="minorHAnsi" w:cstheme="minorHAnsi"/>
          <w:b/>
          <w:sz w:val="18"/>
          <w:szCs w:val="18"/>
        </w:rPr>
        <w:fldChar w:fldCharType="begin"/>
      </w:r>
      <w:r w:rsidRPr="00EB0969">
        <w:rPr>
          <w:rFonts w:asciiTheme="minorHAnsi" w:hAnsiTheme="minorHAnsi" w:cstheme="minorHAnsi"/>
          <w:b/>
          <w:sz w:val="18"/>
          <w:szCs w:val="18"/>
        </w:rPr>
        <w:instrText xml:space="preserve"> TOC \o "1-3" \h \z \u </w:instrText>
      </w:r>
      <w:r w:rsidRPr="00EB0969">
        <w:rPr>
          <w:rFonts w:asciiTheme="minorHAnsi" w:hAnsiTheme="minorHAnsi" w:cstheme="minorHAnsi"/>
          <w:b/>
          <w:sz w:val="18"/>
          <w:szCs w:val="18"/>
        </w:rPr>
        <w:fldChar w:fldCharType="separate"/>
      </w:r>
      <w:hyperlink w:anchor="_Toc398813143" w:history="1">
        <w:r w:rsidRPr="00D546F7">
          <w:rPr>
            <w:rStyle w:val="Hyperlink"/>
            <w:rFonts w:eastAsiaTheme="majorEastAsia" w:cstheme="minorHAnsi"/>
            <w:noProof/>
          </w:rPr>
          <w:t>Note 1:</w:t>
        </w:r>
        <w:r>
          <w:rPr>
            <w:rFonts w:asciiTheme="minorHAnsi" w:eastAsiaTheme="minorEastAsia" w:hAnsiTheme="minorHAnsi" w:cstheme="minorBidi"/>
            <w:noProof/>
            <w:sz w:val="22"/>
            <w:szCs w:val="22"/>
            <w:lang w:eastAsia="en-AU"/>
          </w:rPr>
          <w:tab/>
        </w:r>
        <w:r w:rsidRPr="00D546F7">
          <w:rPr>
            <w:rStyle w:val="Hyperlink"/>
            <w:rFonts w:eastAsiaTheme="majorEastAsia" w:cstheme="minorHAnsi"/>
            <w:noProof/>
          </w:rPr>
          <w:t>Summary of Significant Accounting Policies</w:t>
        </w:r>
        <w:r>
          <w:rPr>
            <w:noProof/>
            <w:webHidden/>
          </w:rPr>
          <w:tab/>
        </w:r>
        <w:r>
          <w:rPr>
            <w:noProof/>
            <w:webHidden/>
          </w:rPr>
          <w:fldChar w:fldCharType="begin"/>
        </w:r>
        <w:r>
          <w:rPr>
            <w:noProof/>
            <w:webHidden/>
          </w:rPr>
          <w:instrText xml:space="preserve"> PAGEREF _Toc398813143 \h </w:instrText>
        </w:r>
        <w:r>
          <w:rPr>
            <w:noProof/>
            <w:webHidden/>
          </w:rPr>
        </w:r>
        <w:r>
          <w:rPr>
            <w:noProof/>
            <w:webHidden/>
          </w:rPr>
          <w:fldChar w:fldCharType="separate"/>
        </w:r>
        <w:r>
          <w:rPr>
            <w:noProof/>
            <w:webHidden/>
          </w:rPr>
          <w:t>3</w:t>
        </w:r>
        <w:r>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44" w:history="1">
        <w:r w:rsidR="00B26C61" w:rsidRPr="00D546F7">
          <w:rPr>
            <w:rStyle w:val="Hyperlink"/>
            <w:rFonts w:eastAsiaTheme="majorEastAsia" w:cstheme="minorHAnsi"/>
            <w:noProof/>
          </w:rPr>
          <w:t>Note 2:</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Events After the Reporting Period</w:t>
        </w:r>
        <w:r w:rsidR="00B26C61">
          <w:rPr>
            <w:noProof/>
            <w:webHidden/>
          </w:rPr>
          <w:tab/>
        </w:r>
        <w:r w:rsidR="00B26C61">
          <w:rPr>
            <w:noProof/>
            <w:webHidden/>
          </w:rPr>
          <w:fldChar w:fldCharType="begin"/>
        </w:r>
        <w:r w:rsidR="00B26C61">
          <w:rPr>
            <w:noProof/>
            <w:webHidden/>
          </w:rPr>
          <w:instrText xml:space="preserve"> PAGEREF _Toc398813144 \h </w:instrText>
        </w:r>
        <w:r w:rsidR="00B26C61">
          <w:rPr>
            <w:noProof/>
            <w:webHidden/>
          </w:rPr>
        </w:r>
        <w:r w:rsidR="00B26C61">
          <w:rPr>
            <w:noProof/>
            <w:webHidden/>
          </w:rPr>
          <w:fldChar w:fldCharType="separate"/>
        </w:r>
        <w:r w:rsidR="00B26C61">
          <w:rPr>
            <w:noProof/>
            <w:webHidden/>
          </w:rPr>
          <w:t>11</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45" w:history="1">
        <w:r w:rsidR="00B26C61" w:rsidRPr="00D546F7">
          <w:rPr>
            <w:rStyle w:val="Hyperlink"/>
            <w:rFonts w:eastAsiaTheme="majorEastAsia" w:cstheme="minorHAnsi"/>
            <w:noProof/>
          </w:rPr>
          <w:t>Note 3:</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Expenses</w:t>
        </w:r>
        <w:r w:rsidR="00B26C61">
          <w:rPr>
            <w:noProof/>
            <w:webHidden/>
          </w:rPr>
          <w:tab/>
        </w:r>
        <w:r w:rsidR="00B26C61">
          <w:rPr>
            <w:noProof/>
            <w:webHidden/>
          </w:rPr>
          <w:fldChar w:fldCharType="begin"/>
        </w:r>
        <w:r w:rsidR="00B26C61">
          <w:rPr>
            <w:noProof/>
            <w:webHidden/>
          </w:rPr>
          <w:instrText xml:space="preserve"> PAGEREF _Toc398813145 \h </w:instrText>
        </w:r>
        <w:r w:rsidR="00B26C61">
          <w:rPr>
            <w:noProof/>
            <w:webHidden/>
          </w:rPr>
        </w:r>
        <w:r w:rsidR="00B26C61">
          <w:rPr>
            <w:noProof/>
            <w:webHidden/>
          </w:rPr>
          <w:fldChar w:fldCharType="separate"/>
        </w:r>
        <w:r w:rsidR="00B26C61">
          <w:rPr>
            <w:noProof/>
            <w:webHidden/>
          </w:rPr>
          <w:t>12</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46" w:history="1">
        <w:r w:rsidR="00B26C61" w:rsidRPr="00D546F7">
          <w:rPr>
            <w:rStyle w:val="Hyperlink"/>
            <w:rFonts w:eastAsiaTheme="majorEastAsia" w:cstheme="minorHAnsi"/>
            <w:noProof/>
          </w:rPr>
          <w:t>Note 4:</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Income</w:t>
        </w:r>
        <w:r w:rsidR="00B26C61">
          <w:rPr>
            <w:noProof/>
            <w:webHidden/>
          </w:rPr>
          <w:tab/>
        </w:r>
        <w:r w:rsidR="00B26C61">
          <w:rPr>
            <w:noProof/>
            <w:webHidden/>
          </w:rPr>
          <w:fldChar w:fldCharType="begin"/>
        </w:r>
        <w:r w:rsidR="00B26C61">
          <w:rPr>
            <w:noProof/>
            <w:webHidden/>
          </w:rPr>
          <w:instrText xml:space="preserve"> PAGEREF _Toc398813146 \h </w:instrText>
        </w:r>
        <w:r w:rsidR="00B26C61">
          <w:rPr>
            <w:noProof/>
            <w:webHidden/>
          </w:rPr>
        </w:r>
        <w:r w:rsidR="00B26C61">
          <w:rPr>
            <w:noProof/>
            <w:webHidden/>
          </w:rPr>
          <w:fldChar w:fldCharType="separate"/>
        </w:r>
        <w:r w:rsidR="00B26C61">
          <w:rPr>
            <w:noProof/>
            <w:webHidden/>
          </w:rPr>
          <w:t>14</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47" w:history="1">
        <w:r w:rsidR="00B26C61" w:rsidRPr="00D546F7">
          <w:rPr>
            <w:rStyle w:val="Hyperlink"/>
            <w:rFonts w:eastAsiaTheme="majorEastAsia" w:cstheme="minorHAnsi"/>
            <w:noProof/>
          </w:rPr>
          <w:t>Note 5:</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Fair Value Measurement</w:t>
        </w:r>
        <w:r w:rsidR="00B26C61">
          <w:rPr>
            <w:noProof/>
            <w:webHidden/>
          </w:rPr>
          <w:tab/>
        </w:r>
        <w:r w:rsidR="00B26C61">
          <w:rPr>
            <w:noProof/>
            <w:webHidden/>
          </w:rPr>
          <w:fldChar w:fldCharType="begin"/>
        </w:r>
        <w:r w:rsidR="00B26C61">
          <w:rPr>
            <w:noProof/>
            <w:webHidden/>
          </w:rPr>
          <w:instrText xml:space="preserve"> PAGEREF _Toc398813147 \h </w:instrText>
        </w:r>
        <w:r w:rsidR="00B26C61">
          <w:rPr>
            <w:noProof/>
            <w:webHidden/>
          </w:rPr>
        </w:r>
        <w:r w:rsidR="00B26C61">
          <w:rPr>
            <w:noProof/>
            <w:webHidden/>
          </w:rPr>
          <w:fldChar w:fldCharType="separate"/>
        </w:r>
        <w:r w:rsidR="00B26C61">
          <w:rPr>
            <w:noProof/>
            <w:webHidden/>
          </w:rPr>
          <w:t>15</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48" w:history="1">
        <w:r w:rsidR="00B26C61" w:rsidRPr="00D546F7">
          <w:rPr>
            <w:rStyle w:val="Hyperlink"/>
            <w:rFonts w:eastAsiaTheme="majorEastAsia" w:cstheme="minorHAnsi"/>
            <w:noProof/>
          </w:rPr>
          <w:t>Note 6:</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Financial Assets</w:t>
        </w:r>
        <w:r w:rsidR="00B26C61">
          <w:rPr>
            <w:noProof/>
            <w:webHidden/>
          </w:rPr>
          <w:tab/>
        </w:r>
        <w:r w:rsidR="00B26C61">
          <w:rPr>
            <w:noProof/>
            <w:webHidden/>
          </w:rPr>
          <w:fldChar w:fldCharType="begin"/>
        </w:r>
        <w:r w:rsidR="00B26C61">
          <w:rPr>
            <w:noProof/>
            <w:webHidden/>
          </w:rPr>
          <w:instrText xml:space="preserve"> PAGEREF _Toc398813148 \h </w:instrText>
        </w:r>
        <w:r w:rsidR="00B26C61">
          <w:rPr>
            <w:noProof/>
            <w:webHidden/>
          </w:rPr>
        </w:r>
        <w:r w:rsidR="00B26C61">
          <w:rPr>
            <w:noProof/>
            <w:webHidden/>
          </w:rPr>
          <w:fldChar w:fldCharType="separate"/>
        </w:r>
        <w:r w:rsidR="00B26C61">
          <w:rPr>
            <w:noProof/>
            <w:webHidden/>
          </w:rPr>
          <w:t>18</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49" w:history="1">
        <w:r w:rsidR="00B26C61" w:rsidRPr="00D546F7">
          <w:rPr>
            <w:rStyle w:val="Hyperlink"/>
            <w:rFonts w:eastAsiaTheme="majorEastAsia" w:cstheme="minorHAnsi"/>
            <w:noProof/>
          </w:rPr>
          <w:t>Note 7:</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Non-Financial Assets</w:t>
        </w:r>
        <w:r w:rsidR="00B26C61">
          <w:rPr>
            <w:noProof/>
            <w:webHidden/>
          </w:rPr>
          <w:tab/>
        </w:r>
        <w:r w:rsidR="00B26C61">
          <w:rPr>
            <w:noProof/>
            <w:webHidden/>
          </w:rPr>
          <w:fldChar w:fldCharType="begin"/>
        </w:r>
        <w:r w:rsidR="00B26C61">
          <w:rPr>
            <w:noProof/>
            <w:webHidden/>
          </w:rPr>
          <w:instrText xml:space="preserve"> PAGEREF _Toc398813149 \h </w:instrText>
        </w:r>
        <w:r w:rsidR="00B26C61">
          <w:rPr>
            <w:noProof/>
            <w:webHidden/>
          </w:rPr>
        </w:r>
        <w:r w:rsidR="00B26C61">
          <w:rPr>
            <w:noProof/>
            <w:webHidden/>
          </w:rPr>
          <w:fldChar w:fldCharType="separate"/>
        </w:r>
        <w:r w:rsidR="00B26C61">
          <w:rPr>
            <w:noProof/>
            <w:webHidden/>
          </w:rPr>
          <w:t>20</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50" w:history="1">
        <w:r w:rsidR="00B26C61" w:rsidRPr="00D546F7">
          <w:rPr>
            <w:rStyle w:val="Hyperlink"/>
            <w:rFonts w:eastAsiaTheme="majorEastAsia" w:cstheme="minorHAnsi"/>
            <w:noProof/>
          </w:rPr>
          <w:t>Note 8:</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Payables</w:t>
        </w:r>
        <w:r w:rsidR="00B26C61">
          <w:rPr>
            <w:noProof/>
            <w:webHidden/>
          </w:rPr>
          <w:tab/>
        </w:r>
        <w:r w:rsidR="00B26C61">
          <w:rPr>
            <w:noProof/>
            <w:webHidden/>
          </w:rPr>
          <w:fldChar w:fldCharType="begin"/>
        </w:r>
        <w:r w:rsidR="00B26C61">
          <w:rPr>
            <w:noProof/>
            <w:webHidden/>
          </w:rPr>
          <w:instrText xml:space="preserve"> PAGEREF _Toc398813150 \h </w:instrText>
        </w:r>
        <w:r w:rsidR="00B26C61">
          <w:rPr>
            <w:noProof/>
            <w:webHidden/>
          </w:rPr>
        </w:r>
        <w:r w:rsidR="00B26C61">
          <w:rPr>
            <w:noProof/>
            <w:webHidden/>
          </w:rPr>
          <w:fldChar w:fldCharType="separate"/>
        </w:r>
        <w:r w:rsidR="00B26C61">
          <w:rPr>
            <w:noProof/>
            <w:webHidden/>
          </w:rPr>
          <w:t>25</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51" w:history="1">
        <w:r w:rsidR="00B26C61" w:rsidRPr="00D546F7">
          <w:rPr>
            <w:rStyle w:val="Hyperlink"/>
            <w:rFonts w:eastAsiaTheme="majorEastAsia" w:cstheme="minorHAnsi"/>
            <w:noProof/>
          </w:rPr>
          <w:t>Note 9:</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Provisions</w:t>
        </w:r>
        <w:r w:rsidR="00B26C61">
          <w:rPr>
            <w:noProof/>
            <w:webHidden/>
          </w:rPr>
          <w:tab/>
        </w:r>
        <w:r w:rsidR="00B26C61">
          <w:rPr>
            <w:noProof/>
            <w:webHidden/>
          </w:rPr>
          <w:fldChar w:fldCharType="begin"/>
        </w:r>
        <w:r w:rsidR="00B26C61">
          <w:rPr>
            <w:noProof/>
            <w:webHidden/>
          </w:rPr>
          <w:instrText xml:space="preserve"> PAGEREF _Toc398813151 \h </w:instrText>
        </w:r>
        <w:r w:rsidR="00B26C61">
          <w:rPr>
            <w:noProof/>
            <w:webHidden/>
          </w:rPr>
        </w:r>
        <w:r w:rsidR="00B26C61">
          <w:rPr>
            <w:noProof/>
            <w:webHidden/>
          </w:rPr>
          <w:fldChar w:fldCharType="separate"/>
        </w:r>
        <w:r w:rsidR="00B26C61">
          <w:rPr>
            <w:noProof/>
            <w:webHidden/>
          </w:rPr>
          <w:t>26</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52" w:history="1">
        <w:r w:rsidR="00B26C61" w:rsidRPr="00D546F7">
          <w:rPr>
            <w:rStyle w:val="Hyperlink"/>
            <w:rFonts w:eastAsiaTheme="majorEastAsia" w:cstheme="minorHAnsi"/>
            <w:noProof/>
          </w:rPr>
          <w:t>Note 10:</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Restructuring</w:t>
        </w:r>
        <w:r w:rsidR="00B26C61">
          <w:rPr>
            <w:noProof/>
            <w:webHidden/>
          </w:rPr>
          <w:tab/>
        </w:r>
        <w:r w:rsidR="00B26C61">
          <w:rPr>
            <w:noProof/>
            <w:webHidden/>
          </w:rPr>
          <w:fldChar w:fldCharType="begin"/>
        </w:r>
        <w:r w:rsidR="00B26C61">
          <w:rPr>
            <w:noProof/>
            <w:webHidden/>
          </w:rPr>
          <w:instrText xml:space="preserve"> PAGEREF _Toc398813152 \h </w:instrText>
        </w:r>
        <w:r w:rsidR="00B26C61">
          <w:rPr>
            <w:noProof/>
            <w:webHidden/>
          </w:rPr>
        </w:r>
        <w:r w:rsidR="00B26C61">
          <w:rPr>
            <w:noProof/>
            <w:webHidden/>
          </w:rPr>
          <w:fldChar w:fldCharType="separate"/>
        </w:r>
        <w:r w:rsidR="00B26C61">
          <w:rPr>
            <w:noProof/>
            <w:webHidden/>
          </w:rPr>
          <w:t>27</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53" w:history="1">
        <w:r w:rsidR="00B26C61" w:rsidRPr="00D546F7">
          <w:rPr>
            <w:rStyle w:val="Hyperlink"/>
            <w:rFonts w:eastAsiaTheme="majorEastAsia" w:cstheme="minorHAnsi"/>
            <w:noProof/>
          </w:rPr>
          <w:t>Note 11:</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Cash Flow Reconciliation</w:t>
        </w:r>
        <w:r w:rsidR="00B26C61">
          <w:rPr>
            <w:noProof/>
            <w:webHidden/>
          </w:rPr>
          <w:tab/>
        </w:r>
        <w:r w:rsidR="00B26C61">
          <w:rPr>
            <w:noProof/>
            <w:webHidden/>
          </w:rPr>
          <w:fldChar w:fldCharType="begin"/>
        </w:r>
        <w:r w:rsidR="00B26C61">
          <w:rPr>
            <w:noProof/>
            <w:webHidden/>
          </w:rPr>
          <w:instrText xml:space="preserve"> PAGEREF _Toc398813153 \h </w:instrText>
        </w:r>
        <w:r w:rsidR="00B26C61">
          <w:rPr>
            <w:noProof/>
            <w:webHidden/>
          </w:rPr>
        </w:r>
        <w:r w:rsidR="00B26C61">
          <w:rPr>
            <w:noProof/>
            <w:webHidden/>
          </w:rPr>
          <w:fldChar w:fldCharType="separate"/>
        </w:r>
        <w:r w:rsidR="00B26C61">
          <w:rPr>
            <w:noProof/>
            <w:webHidden/>
          </w:rPr>
          <w:t>31</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54" w:history="1">
        <w:r w:rsidR="00B26C61" w:rsidRPr="00D546F7">
          <w:rPr>
            <w:rStyle w:val="Hyperlink"/>
            <w:rFonts w:eastAsiaTheme="majorEastAsia" w:cstheme="minorHAnsi"/>
            <w:noProof/>
          </w:rPr>
          <w:t>Note 12:</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Contingent Assets and Liabilities</w:t>
        </w:r>
        <w:r w:rsidR="00B26C61">
          <w:rPr>
            <w:noProof/>
            <w:webHidden/>
          </w:rPr>
          <w:tab/>
        </w:r>
        <w:r w:rsidR="00B26C61">
          <w:rPr>
            <w:noProof/>
            <w:webHidden/>
          </w:rPr>
          <w:fldChar w:fldCharType="begin"/>
        </w:r>
        <w:r w:rsidR="00B26C61">
          <w:rPr>
            <w:noProof/>
            <w:webHidden/>
          </w:rPr>
          <w:instrText xml:space="preserve"> PAGEREF _Toc398813154 \h </w:instrText>
        </w:r>
        <w:r w:rsidR="00B26C61">
          <w:rPr>
            <w:noProof/>
            <w:webHidden/>
          </w:rPr>
        </w:r>
        <w:r w:rsidR="00B26C61">
          <w:rPr>
            <w:noProof/>
            <w:webHidden/>
          </w:rPr>
          <w:fldChar w:fldCharType="separate"/>
        </w:r>
        <w:r w:rsidR="00B26C61">
          <w:rPr>
            <w:noProof/>
            <w:webHidden/>
          </w:rPr>
          <w:t>32</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55" w:history="1">
        <w:r w:rsidR="00B26C61" w:rsidRPr="00D546F7">
          <w:rPr>
            <w:rStyle w:val="Hyperlink"/>
            <w:rFonts w:eastAsiaTheme="majorEastAsia" w:cstheme="minorHAnsi"/>
            <w:noProof/>
          </w:rPr>
          <w:t>Note 13:</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Senior Executive Remuneration</w:t>
        </w:r>
        <w:r w:rsidR="00B26C61">
          <w:rPr>
            <w:noProof/>
            <w:webHidden/>
          </w:rPr>
          <w:tab/>
        </w:r>
        <w:r w:rsidR="00B26C61">
          <w:rPr>
            <w:noProof/>
            <w:webHidden/>
          </w:rPr>
          <w:fldChar w:fldCharType="begin"/>
        </w:r>
        <w:r w:rsidR="00B26C61">
          <w:rPr>
            <w:noProof/>
            <w:webHidden/>
          </w:rPr>
          <w:instrText xml:space="preserve"> PAGEREF _Toc398813155 \h </w:instrText>
        </w:r>
        <w:r w:rsidR="00B26C61">
          <w:rPr>
            <w:noProof/>
            <w:webHidden/>
          </w:rPr>
        </w:r>
        <w:r w:rsidR="00B26C61">
          <w:rPr>
            <w:noProof/>
            <w:webHidden/>
          </w:rPr>
          <w:fldChar w:fldCharType="separate"/>
        </w:r>
        <w:r w:rsidR="00B26C61">
          <w:rPr>
            <w:noProof/>
            <w:webHidden/>
          </w:rPr>
          <w:t>33</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56" w:history="1">
        <w:r w:rsidR="00B26C61" w:rsidRPr="00D546F7">
          <w:rPr>
            <w:rStyle w:val="Hyperlink"/>
            <w:rFonts w:eastAsiaTheme="majorEastAsia" w:cstheme="minorHAnsi"/>
            <w:noProof/>
          </w:rPr>
          <w:t>Note 14:</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Remuneration of Auditors</w:t>
        </w:r>
        <w:r w:rsidR="00B26C61">
          <w:rPr>
            <w:noProof/>
            <w:webHidden/>
          </w:rPr>
          <w:tab/>
        </w:r>
        <w:r w:rsidR="00B26C61">
          <w:rPr>
            <w:noProof/>
            <w:webHidden/>
          </w:rPr>
          <w:fldChar w:fldCharType="begin"/>
        </w:r>
        <w:r w:rsidR="00B26C61">
          <w:rPr>
            <w:noProof/>
            <w:webHidden/>
          </w:rPr>
          <w:instrText xml:space="preserve"> PAGEREF _Toc398813156 \h </w:instrText>
        </w:r>
        <w:r w:rsidR="00B26C61">
          <w:rPr>
            <w:noProof/>
            <w:webHidden/>
          </w:rPr>
        </w:r>
        <w:r w:rsidR="00B26C61">
          <w:rPr>
            <w:noProof/>
            <w:webHidden/>
          </w:rPr>
          <w:fldChar w:fldCharType="separate"/>
        </w:r>
        <w:r w:rsidR="00B26C61">
          <w:rPr>
            <w:noProof/>
            <w:webHidden/>
          </w:rPr>
          <w:t>35</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57" w:history="1">
        <w:r w:rsidR="00B26C61" w:rsidRPr="00D546F7">
          <w:rPr>
            <w:rStyle w:val="Hyperlink"/>
            <w:rFonts w:eastAsiaTheme="majorEastAsia" w:cstheme="minorHAnsi"/>
            <w:noProof/>
          </w:rPr>
          <w:t>Note 15:</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Financial Instruments</w:t>
        </w:r>
        <w:r w:rsidR="00B26C61">
          <w:rPr>
            <w:noProof/>
            <w:webHidden/>
          </w:rPr>
          <w:tab/>
        </w:r>
        <w:r w:rsidR="00B26C61">
          <w:rPr>
            <w:noProof/>
            <w:webHidden/>
          </w:rPr>
          <w:fldChar w:fldCharType="begin"/>
        </w:r>
        <w:r w:rsidR="00B26C61">
          <w:rPr>
            <w:noProof/>
            <w:webHidden/>
          </w:rPr>
          <w:instrText xml:space="preserve"> PAGEREF _Toc398813157 \h </w:instrText>
        </w:r>
        <w:r w:rsidR="00B26C61">
          <w:rPr>
            <w:noProof/>
            <w:webHidden/>
          </w:rPr>
        </w:r>
        <w:r w:rsidR="00B26C61">
          <w:rPr>
            <w:noProof/>
            <w:webHidden/>
          </w:rPr>
          <w:fldChar w:fldCharType="separate"/>
        </w:r>
        <w:r w:rsidR="00B26C61">
          <w:rPr>
            <w:noProof/>
            <w:webHidden/>
          </w:rPr>
          <w:t>35</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58" w:history="1">
        <w:r w:rsidR="00B26C61" w:rsidRPr="00D546F7">
          <w:rPr>
            <w:rStyle w:val="Hyperlink"/>
            <w:rFonts w:eastAsiaTheme="majorEastAsia" w:cstheme="minorHAnsi"/>
            <w:noProof/>
          </w:rPr>
          <w:t>Note 16:</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Financial Assets Reconciliation</w:t>
        </w:r>
        <w:r w:rsidR="00B26C61">
          <w:rPr>
            <w:noProof/>
            <w:webHidden/>
          </w:rPr>
          <w:tab/>
        </w:r>
        <w:r w:rsidR="00B26C61">
          <w:rPr>
            <w:noProof/>
            <w:webHidden/>
          </w:rPr>
          <w:fldChar w:fldCharType="begin"/>
        </w:r>
        <w:r w:rsidR="00B26C61">
          <w:rPr>
            <w:noProof/>
            <w:webHidden/>
          </w:rPr>
          <w:instrText xml:space="preserve"> PAGEREF _Toc398813158 \h </w:instrText>
        </w:r>
        <w:r w:rsidR="00B26C61">
          <w:rPr>
            <w:noProof/>
            <w:webHidden/>
          </w:rPr>
        </w:r>
        <w:r w:rsidR="00B26C61">
          <w:rPr>
            <w:noProof/>
            <w:webHidden/>
          </w:rPr>
          <w:fldChar w:fldCharType="separate"/>
        </w:r>
        <w:r w:rsidR="00B26C61">
          <w:rPr>
            <w:noProof/>
            <w:webHidden/>
          </w:rPr>
          <w:t>38</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59" w:history="1">
        <w:r w:rsidR="00B26C61" w:rsidRPr="00D546F7">
          <w:rPr>
            <w:rStyle w:val="Hyperlink"/>
            <w:rFonts w:eastAsiaTheme="majorEastAsia"/>
            <w:noProof/>
          </w:rPr>
          <w:t>Note 17:</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Administered - Expenses</w:t>
        </w:r>
        <w:r w:rsidR="00B26C61">
          <w:rPr>
            <w:noProof/>
            <w:webHidden/>
          </w:rPr>
          <w:tab/>
        </w:r>
        <w:r w:rsidR="00B26C61">
          <w:rPr>
            <w:noProof/>
            <w:webHidden/>
          </w:rPr>
          <w:fldChar w:fldCharType="begin"/>
        </w:r>
        <w:r w:rsidR="00B26C61">
          <w:rPr>
            <w:noProof/>
            <w:webHidden/>
          </w:rPr>
          <w:instrText xml:space="preserve"> PAGEREF _Toc398813159 \h </w:instrText>
        </w:r>
        <w:r w:rsidR="00B26C61">
          <w:rPr>
            <w:noProof/>
            <w:webHidden/>
          </w:rPr>
        </w:r>
        <w:r w:rsidR="00B26C61">
          <w:rPr>
            <w:noProof/>
            <w:webHidden/>
          </w:rPr>
          <w:fldChar w:fldCharType="separate"/>
        </w:r>
        <w:r w:rsidR="00B26C61">
          <w:rPr>
            <w:noProof/>
            <w:webHidden/>
          </w:rPr>
          <w:t>39</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60" w:history="1">
        <w:r w:rsidR="00B26C61" w:rsidRPr="00D546F7">
          <w:rPr>
            <w:rStyle w:val="Hyperlink"/>
            <w:rFonts w:eastAsiaTheme="majorEastAsia"/>
            <w:noProof/>
          </w:rPr>
          <w:t>Note 18:</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Administered - Income</w:t>
        </w:r>
        <w:r w:rsidR="00B26C61">
          <w:rPr>
            <w:noProof/>
            <w:webHidden/>
          </w:rPr>
          <w:tab/>
        </w:r>
        <w:r w:rsidR="00B26C61">
          <w:rPr>
            <w:noProof/>
            <w:webHidden/>
          </w:rPr>
          <w:fldChar w:fldCharType="begin"/>
        </w:r>
        <w:r w:rsidR="00B26C61">
          <w:rPr>
            <w:noProof/>
            <w:webHidden/>
          </w:rPr>
          <w:instrText xml:space="preserve"> PAGEREF _Toc398813160 \h </w:instrText>
        </w:r>
        <w:r w:rsidR="00B26C61">
          <w:rPr>
            <w:noProof/>
            <w:webHidden/>
          </w:rPr>
        </w:r>
        <w:r w:rsidR="00B26C61">
          <w:rPr>
            <w:noProof/>
            <w:webHidden/>
          </w:rPr>
          <w:fldChar w:fldCharType="separate"/>
        </w:r>
        <w:r w:rsidR="00B26C61">
          <w:rPr>
            <w:noProof/>
            <w:webHidden/>
          </w:rPr>
          <w:t>41</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61" w:history="1">
        <w:r w:rsidR="00B26C61" w:rsidRPr="00D546F7">
          <w:rPr>
            <w:rStyle w:val="Hyperlink"/>
            <w:rFonts w:eastAsiaTheme="majorEastAsia"/>
            <w:noProof/>
          </w:rPr>
          <w:t>Note 19:</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Administered - Fair Value Measurement</w:t>
        </w:r>
        <w:r w:rsidR="00B26C61">
          <w:rPr>
            <w:noProof/>
            <w:webHidden/>
          </w:rPr>
          <w:tab/>
        </w:r>
        <w:r w:rsidR="00B26C61">
          <w:rPr>
            <w:noProof/>
            <w:webHidden/>
          </w:rPr>
          <w:fldChar w:fldCharType="begin"/>
        </w:r>
        <w:r w:rsidR="00B26C61">
          <w:rPr>
            <w:noProof/>
            <w:webHidden/>
          </w:rPr>
          <w:instrText xml:space="preserve"> PAGEREF _Toc398813161 \h </w:instrText>
        </w:r>
        <w:r w:rsidR="00B26C61">
          <w:rPr>
            <w:noProof/>
            <w:webHidden/>
          </w:rPr>
        </w:r>
        <w:r w:rsidR="00B26C61">
          <w:rPr>
            <w:noProof/>
            <w:webHidden/>
          </w:rPr>
          <w:fldChar w:fldCharType="separate"/>
        </w:r>
        <w:r w:rsidR="00B26C61">
          <w:rPr>
            <w:noProof/>
            <w:webHidden/>
          </w:rPr>
          <w:t>42</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62" w:history="1">
        <w:r w:rsidR="00B26C61" w:rsidRPr="00D546F7">
          <w:rPr>
            <w:rStyle w:val="Hyperlink"/>
            <w:rFonts w:eastAsiaTheme="majorEastAsia"/>
            <w:noProof/>
          </w:rPr>
          <w:t>Note 20:</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Administered - Financial Assets</w:t>
        </w:r>
        <w:r w:rsidR="00B26C61">
          <w:rPr>
            <w:noProof/>
            <w:webHidden/>
          </w:rPr>
          <w:tab/>
        </w:r>
        <w:r w:rsidR="00B26C61">
          <w:rPr>
            <w:noProof/>
            <w:webHidden/>
          </w:rPr>
          <w:fldChar w:fldCharType="begin"/>
        </w:r>
        <w:r w:rsidR="00B26C61">
          <w:rPr>
            <w:noProof/>
            <w:webHidden/>
          </w:rPr>
          <w:instrText xml:space="preserve"> PAGEREF _Toc398813162 \h </w:instrText>
        </w:r>
        <w:r w:rsidR="00B26C61">
          <w:rPr>
            <w:noProof/>
            <w:webHidden/>
          </w:rPr>
        </w:r>
        <w:r w:rsidR="00B26C61">
          <w:rPr>
            <w:noProof/>
            <w:webHidden/>
          </w:rPr>
          <w:fldChar w:fldCharType="separate"/>
        </w:r>
        <w:r w:rsidR="00B26C61">
          <w:rPr>
            <w:noProof/>
            <w:webHidden/>
          </w:rPr>
          <w:t>44</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63" w:history="1">
        <w:r w:rsidR="00B26C61" w:rsidRPr="00D546F7">
          <w:rPr>
            <w:rStyle w:val="Hyperlink"/>
            <w:rFonts w:eastAsiaTheme="majorEastAsia"/>
            <w:noProof/>
          </w:rPr>
          <w:t>Note 21:</w:t>
        </w:r>
        <w:r w:rsidR="00B26C61">
          <w:rPr>
            <w:rFonts w:asciiTheme="minorHAnsi" w:eastAsiaTheme="minorEastAsia" w:hAnsiTheme="minorHAnsi" w:cstheme="minorBidi"/>
            <w:noProof/>
            <w:sz w:val="22"/>
            <w:szCs w:val="22"/>
            <w:lang w:eastAsia="en-AU"/>
          </w:rPr>
          <w:tab/>
        </w:r>
        <w:r w:rsidR="00B26C61" w:rsidRPr="00FF1C50">
          <w:rPr>
            <w:rStyle w:val="Hyperlink"/>
            <w:rFonts w:eastAsiaTheme="majorEastAsia" w:cs="Arial"/>
            <w:noProof/>
          </w:rPr>
          <w:t xml:space="preserve">Administered </w:t>
        </w:r>
        <w:r w:rsidR="00B26C61" w:rsidRPr="00D546F7">
          <w:rPr>
            <w:rStyle w:val="Hyperlink"/>
            <w:rFonts w:eastAsiaTheme="majorEastAsia"/>
            <w:noProof/>
          </w:rPr>
          <w:t>- Non-Financial Assets</w:t>
        </w:r>
        <w:r w:rsidR="00B26C61">
          <w:rPr>
            <w:noProof/>
            <w:webHidden/>
          </w:rPr>
          <w:tab/>
        </w:r>
        <w:r w:rsidR="00B26C61">
          <w:rPr>
            <w:noProof/>
            <w:webHidden/>
          </w:rPr>
          <w:fldChar w:fldCharType="begin"/>
        </w:r>
        <w:r w:rsidR="00B26C61">
          <w:rPr>
            <w:noProof/>
            <w:webHidden/>
          </w:rPr>
          <w:instrText xml:space="preserve"> PAGEREF _Toc398813163 \h </w:instrText>
        </w:r>
        <w:r w:rsidR="00B26C61">
          <w:rPr>
            <w:noProof/>
            <w:webHidden/>
          </w:rPr>
        </w:r>
        <w:r w:rsidR="00B26C61">
          <w:rPr>
            <w:noProof/>
            <w:webHidden/>
          </w:rPr>
          <w:fldChar w:fldCharType="separate"/>
        </w:r>
        <w:r w:rsidR="00B26C61">
          <w:rPr>
            <w:noProof/>
            <w:webHidden/>
          </w:rPr>
          <w:t>47</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64" w:history="1">
        <w:r w:rsidR="00B26C61" w:rsidRPr="00D546F7">
          <w:rPr>
            <w:rStyle w:val="Hyperlink"/>
            <w:rFonts w:eastAsiaTheme="majorEastAsia"/>
            <w:noProof/>
          </w:rPr>
          <w:t>Note 22:</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Administered - Payables</w:t>
        </w:r>
        <w:r w:rsidR="00B26C61">
          <w:rPr>
            <w:noProof/>
            <w:webHidden/>
          </w:rPr>
          <w:tab/>
        </w:r>
        <w:r w:rsidR="00B26C61">
          <w:rPr>
            <w:noProof/>
            <w:webHidden/>
          </w:rPr>
          <w:fldChar w:fldCharType="begin"/>
        </w:r>
        <w:r w:rsidR="00B26C61">
          <w:rPr>
            <w:noProof/>
            <w:webHidden/>
          </w:rPr>
          <w:instrText xml:space="preserve"> PAGEREF _Toc398813164 \h </w:instrText>
        </w:r>
        <w:r w:rsidR="00B26C61">
          <w:rPr>
            <w:noProof/>
            <w:webHidden/>
          </w:rPr>
        </w:r>
        <w:r w:rsidR="00B26C61">
          <w:rPr>
            <w:noProof/>
            <w:webHidden/>
          </w:rPr>
          <w:fldChar w:fldCharType="separate"/>
        </w:r>
        <w:r w:rsidR="00B26C61">
          <w:rPr>
            <w:noProof/>
            <w:webHidden/>
          </w:rPr>
          <w:t>47</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65" w:history="1">
        <w:r w:rsidR="00B26C61" w:rsidRPr="00D546F7">
          <w:rPr>
            <w:rStyle w:val="Hyperlink"/>
            <w:rFonts w:eastAsiaTheme="majorEastAsia"/>
            <w:noProof/>
          </w:rPr>
          <w:t>Note 23:</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Administered - Cash Flow Reconciliation</w:t>
        </w:r>
        <w:r w:rsidR="00B26C61">
          <w:rPr>
            <w:noProof/>
            <w:webHidden/>
          </w:rPr>
          <w:tab/>
        </w:r>
        <w:r w:rsidR="00B26C61">
          <w:rPr>
            <w:noProof/>
            <w:webHidden/>
          </w:rPr>
          <w:fldChar w:fldCharType="begin"/>
        </w:r>
        <w:r w:rsidR="00B26C61">
          <w:rPr>
            <w:noProof/>
            <w:webHidden/>
          </w:rPr>
          <w:instrText xml:space="preserve"> PAGEREF _Toc398813165 \h </w:instrText>
        </w:r>
        <w:r w:rsidR="00B26C61">
          <w:rPr>
            <w:noProof/>
            <w:webHidden/>
          </w:rPr>
        </w:r>
        <w:r w:rsidR="00B26C61">
          <w:rPr>
            <w:noProof/>
            <w:webHidden/>
          </w:rPr>
          <w:fldChar w:fldCharType="separate"/>
        </w:r>
        <w:r w:rsidR="00B26C61">
          <w:rPr>
            <w:noProof/>
            <w:webHidden/>
          </w:rPr>
          <w:t>49</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66" w:history="1">
        <w:r w:rsidR="00B26C61" w:rsidRPr="00D546F7">
          <w:rPr>
            <w:rStyle w:val="Hyperlink"/>
            <w:rFonts w:eastAsiaTheme="majorEastAsia"/>
            <w:noProof/>
          </w:rPr>
          <w:t>Note 24:</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Administered - Contingent Assets and Liabilities</w:t>
        </w:r>
        <w:r w:rsidR="00B26C61">
          <w:rPr>
            <w:noProof/>
            <w:webHidden/>
          </w:rPr>
          <w:tab/>
        </w:r>
        <w:r w:rsidR="00B26C61">
          <w:rPr>
            <w:noProof/>
            <w:webHidden/>
          </w:rPr>
          <w:fldChar w:fldCharType="begin"/>
        </w:r>
        <w:r w:rsidR="00B26C61">
          <w:rPr>
            <w:noProof/>
            <w:webHidden/>
          </w:rPr>
          <w:instrText xml:space="preserve"> PAGEREF _Toc398813166 \h </w:instrText>
        </w:r>
        <w:r w:rsidR="00B26C61">
          <w:rPr>
            <w:noProof/>
            <w:webHidden/>
          </w:rPr>
        </w:r>
        <w:r w:rsidR="00B26C61">
          <w:rPr>
            <w:noProof/>
            <w:webHidden/>
          </w:rPr>
          <w:fldChar w:fldCharType="separate"/>
        </w:r>
        <w:r w:rsidR="00B26C61">
          <w:rPr>
            <w:noProof/>
            <w:webHidden/>
          </w:rPr>
          <w:t>50</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67" w:history="1">
        <w:r w:rsidR="00B26C61" w:rsidRPr="00D546F7">
          <w:rPr>
            <w:rStyle w:val="Hyperlink"/>
            <w:rFonts w:eastAsiaTheme="majorEastAsia"/>
            <w:noProof/>
          </w:rPr>
          <w:t>Note 25:</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Administered - Financial Instruments</w:t>
        </w:r>
        <w:r w:rsidR="00B26C61">
          <w:rPr>
            <w:noProof/>
            <w:webHidden/>
          </w:rPr>
          <w:tab/>
        </w:r>
        <w:r w:rsidR="00B26C61">
          <w:rPr>
            <w:noProof/>
            <w:webHidden/>
          </w:rPr>
          <w:fldChar w:fldCharType="begin"/>
        </w:r>
        <w:r w:rsidR="00B26C61">
          <w:rPr>
            <w:noProof/>
            <w:webHidden/>
          </w:rPr>
          <w:instrText xml:space="preserve"> PAGEREF _Toc398813167 \h </w:instrText>
        </w:r>
        <w:r w:rsidR="00B26C61">
          <w:rPr>
            <w:noProof/>
            <w:webHidden/>
          </w:rPr>
        </w:r>
        <w:r w:rsidR="00B26C61">
          <w:rPr>
            <w:noProof/>
            <w:webHidden/>
          </w:rPr>
          <w:fldChar w:fldCharType="separate"/>
        </w:r>
        <w:r w:rsidR="00B26C61">
          <w:rPr>
            <w:noProof/>
            <w:webHidden/>
          </w:rPr>
          <w:t>51</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68" w:history="1">
        <w:r w:rsidR="00B26C61" w:rsidRPr="00D546F7">
          <w:rPr>
            <w:rStyle w:val="Hyperlink"/>
            <w:rFonts w:eastAsiaTheme="majorEastAsia"/>
            <w:noProof/>
          </w:rPr>
          <w:t>Note 26:</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Administered - Financial Assets Reconciliation</w:t>
        </w:r>
        <w:r w:rsidR="00B26C61">
          <w:rPr>
            <w:noProof/>
            <w:webHidden/>
          </w:rPr>
          <w:tab/>
        </w:r>
        <w:r w:rsidR="00B26C61">
          <w:rPr>
            <w:noProof/>
            <w:webHidden/>
          </w:rPr>
          <w:fldChar w:fldCharType="begin"/>
        </w:r>
        <w:r w:rsidR="00B26C61">
          <w:rPr>
            <w:noProof/>
            <w:webHidden/>
          </w:rPr>
          <w:instrText xml:space="preserve"> PAGEREF _Toc398813168 \h </w:instrText>
        </w:r>
        <w:r w:rsidR="00B26C61">
          <w:rPr>
            <w:noProof/>
            <w:webHidden/>
          </w:rPr>
        </w:r>
        <w:r w:rsidR="00B26C61">
          <w:rPr>
            <w:noProof/>
            <w:webHidden/>
          </w:rPr>
          <w:fldChar w:fldCharType="separate"/>
        </w:r>
        <w:r w:rsidR="00B26C61">
          <w:rPr>
            <w:noProof/>
            <w:webHidden/>
          </w:rPr>
          <w:t>54</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69" w:history="1">
        <w:r w:rsidR="00B26C61" w:rsidRPr="00D546F7">
          <w:rPr>
            <w:rStyle w:val="Hyperlink"/>
            <w:rFonts w:eastAsiaTheme="majorEastAsia" w:cstheme="minorHAnsi"/>
            <w:noProof/>
          </w:rPr>
          <w:t>Note 27:</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cstheme="minorHAnsi"/>
            <w:noProof/>
          </w:rPr>
          <w:t>Appropriations</w:t>
        </w:r>
        <w:r w:rsidR="00B26C61">
          <w:rPr>
            <w:noProof/>
            <w:webHidden/>
          </w:rPr>
          <w:tab/>
        </w:r>
        <w:r w:rsidR="00B26C61">
          <w:rPr>
            <w:noProof/>
            <w:webHidden/>
          </w:rPr>
          <w:fldChar w:fldCharType="begin"/>
        </w:r>
        <w:r w:rsidR="00B26C61">
          <w:rPr>
            <w:noProof/>
            <w:webHidden/>
          </w:rPr>
          <w:instrText xml:space="preserve"> PAGEREF _Toc398813169 \h </w:instrText>
        </w:r>
        <w:r w:rsidR="00B26C61">
          <w:rPr>
            <w:noProof/>
            <w:webHidden/>
          </w:rPr>
        </w:r>
        <w:r w:rsidR="00B26C61">
          <w:rPr>
            <w:noProof/>
            <w:webHidden/>
          </w:rPr>
          <w:fldChar w:fldCharType="separate"/>
        </w:r>
        <w:r w:rsidR="00B26C61">
          <w:rPr>
            <w:noProof/>
            <w:webHidden/>
          </w:rPr>
          <w:t>55</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70" w:history="1">
        <w:r w:rsidR="00B26C61" w:rsidRPr="00D546F7">
          <w:rPr>
            <w:rStyle w:val="Hyperlink"/>
            <w:rFonts w:eastAsiaTheme="majorEastAsia" w:cstheme="minorHAnsi"/>
            <w:noProof/>
          </w:rPr>
          <w:t>Note 28:</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Compliance with Statutory Conditions for Payments from the Consolidated Revenue Fund</w:t>
        </w:r>
        <w:r w:rsidR="00B26C61">
          <w:rPr>
            <w:noProof/>
            <w:webHidden/>
          </w:rPr>
          <w:tab/>
        </w:r>
        <w:r w:rsidR="00B26C61">
          <w:rPr>
            <w:noProof/>
            <w:webHidden/>
          </w:rPr>
          <w:fldChar w:fldCharType="begin"/>
        </w:r>
        <w:r w:rsidR="00B26C61">
          <w:rPr>
            <w:noProof/>
            <w:webHidden/>
          </w:rPr>
          <w:instrText xml:space="preserve"> PAGEREF _Toc398813170 \h </w:instrText>
        </w:r>
        <w:r w:rsidR="00B26C61">
          <w:rPr>
            <w:noProof/>
            <w:webHidden/>
          </w:rPr>
        </w:r>
        <w:r w:rsidR="00B26C61">
          <w:rPr>
            <w:noProof/>
            <w:webHidden/>
          </w:rPr>
          <w:fldChar w:fldCharType="separate"/>
        </w:r>
        <w:r w:rsidR="00B26C61">
          <w:rPr>
            <w:noProof/>
            <w:webHidden/>
          </w:rPr>
          <w:t>61</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71" w:history="1">
        <w:r w:rsidR="00B26C61" w:rsidRPr="00D546F7">
          <w:rPr>
            <w:rStyle w:val="Hyperlink"/>
            <w:rFonts w:eastAsiaTheme="majorEastAsia" w:cstheme="minorHAnsi"/>
            <w:noProof/>
          </w:rPr>
          <w:t>Note 29:</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Compensation and Debt Relief</w:t>
        </w:r>
        <w:r w:rsidR="00B26C61">
          <w:rPr>
            <w:noProof/>
            <w:webHidden/>
          </w:rPr>
          <w:tab/>
        </w:r>
        <w:r w:rsidR="00B26C61">
          <w:rPr>
            <w:noProof/>
            <w:webHidden/>
          </w:rPr>
          <w:fldChar w:fldCharType="begin"/>
        </w:r>
        <w:r w:rsidR="00B26C61">
          <w:rPr>
            <w:noProof/>
            <w:webHidden/>
          </w:rPr>
          <w:instrText xml:space="preserve"> PAGEREF _Toc398813171 \h </w:instrText>
        </w:r>
        <w:r w:rsidR="00B26C61">
          <w:rPr>
            <w:noProof/>
            <w:webHidden/>
          </w:rPr>
        </w:r>
        <w:r w:rsidR="00B26C61">
          <w:rPr>
            <w:noProof/>
            <w:webHidden/>
          </w:rPr>
          <w:fldChar w:fldCharType="separate"/>
        </w:r>
        <w:r w:rsidR="00B26C61">
          <w:rPr>
            <w:noProof/>
            <w:webHidden/>
          </w:rPr>
          <w:t>62</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72" w:history="1">
        <w:r w:rsidR="00B26C61" w:rsidRPr="00D546F7">
          <w:rPr>
            <w:rStyle w:val="Hyperlink"/>
            <w:rFonts w:eastAsiaTheme="majorEastAsia" w:cstheme="minorHAnsi"/>
            <w:noProof/>
          </w:rPr>
          <w:t>Note 30:</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Reporting of Outcomes</w:t>
        </w:r>
        <w:r w:rsidR="00B26C61">
          <w:rPr>
            <w:noProof/>
            <w:webHidden/>
          </w:rPr>
          <w:tab/>
        </w:r>
        <w:r w:rsidR="00B26C61">
          <w:rPr>
            <w:noProof/>
            <w:webHidden/>
          </w:rPr>
          <w:fldChar w:fldCharType="begin"/>
        </w:r>
        <w:r w:rsidR="00B26C61">
          <w:rPr>
            <w:noProof/>
            <w:webHidden/>
          </w:rPr>
          <w:instrText xml:space="preserve"> PAGEREF _Toc398813172 \h </w:instrText>
        </w:r>
        <w:r w:rsidR="00B26C61">
          <w:rPr>
            <w:noProof/>
            <w:webHidden/>
          </w:rPr>
        </w:r>
        <w:r w:rsidR="00B26C61">
          <w:rPr>
            <w:noProof/>
            <w:webHidden/>
          </w:rPr>
          <w:fldChar w:fldCharType="separate"/>
        </w:r>
        <w:r w:rsidR="00B26C61">
          <w:rPr>
            <w:noProof/>
            <w:webHidden/>
          </w:rPr>
          <w:t>63</w:t>
        </w:r>
        <w:r w:rsidR="00B26C61">
          <w:rPr>
            <w:noProof/>
            <w:webHidden/>
          </w:rPr>
          <w:fldChar w:fldCharType="end"/>
        </w:r>
      </w:hyperlink>
    </w:p>
    <w:p w:rsidR="00B26C61" w:rsidRDefault="00155145" w:rsidP="00B26C61">
      <w:pPr>
        <w:pStyle w:val="TOC1"/>
        <w:rPr>
          <w:rFonts w:asciiTheme="minorHAnsi" w:eastAsiaTheme="minorEastAsia" w:hAnsiTheme="minorHAnsi" w:cstheme="minorBidi"/>
          <w:noProof/>
          <w:sz w:val="22"/>
          <w:szCs w:val="22"/>
          <w:lang w:eastAsia="en-AU"/>
        </w:rPr>
      </w:pPr>
      <w:hyperlink w:anchor="_Toc398813173" w:history="1">
        <w:r w:rsidR="00B26C61" w:rsidRPr="00D546F7">
          <w:rPr>
            <w:rStyle w:val="Hyperlink"/>
            <w:rFonts w:eastAsiaTheme="majorEastAsia" w:cstheme="minorHAnsi"/>
            <w:noProof/>
          </w:rPr>
          <w:t>Note 31:</w:t>
        </w:r>
        <w:r w:rsidR="00B26C61">
          <w:rPr>
            <w:rFonts w:asciiTheme="minorHAnsi" w:eastAsiaTheme="minorEastAsia" w:hAnsiTheme="minorHAnsi" w:cstheme="minorBidi"/>
            <w:noProof/>
            <w:sz w:val="22"/>
            <w:szCs w:val="22"/>
            <w:lang w:eastAsia="en-AU"/>
          </w:rPr>
          <w:tab/>
        </w:r>
        <w:r w:rsidR="00B26C61" w:rsidRPr="00D546F7">
          <w:rPr>
            <w:rStyle w:val="Hyperlink"/>
            <w:rFonts w:eastAsiaTheme="majorEastAsia"/>
            <w:noProof/>
          </w:rPr>
          <w:t>Net Cash Appropriation Arrangements</w:t>
        </w:r>
        <w:r w:rsidR="00B26C61">
          <w:rPr>
            <w:noProof/>
            <w:webHidden/>
          </w:rPr>
          <w:tab/>
        </w:r>
        <w:r w:rsidR="00B26C61">
          <w:rPr>
            <w:noProof/>
            <w:webHidden/>
          </w:rPr>
          <w:fldChar w:fldCharType="begin"/>
        </w:r>
        <w:r w:rsidR="00B26C61">
          <w:rPr>
            <w:noProof/>
            <w:webHidden/>
          </w:rPr>
          <w:instrText xml:space="preserve"> PAGEREF _Toc398813173 \h </w:instrText>
        </w:r>
        <w:r w:rsidR="00B26C61">
          <w:rPr>
            <w:noProof/>
            <w:webHidden/>
          </w:rPr>
        </w:r>
        <w:r w:rsidR="00B26C61">
          <w:rPr>
            <w:noProof/>
            <w:webHidden/>
          </w:rPr>
          <w:fldChar w:fldCharType="separate"/>
        </w:r>
        <w:r w:rsidR="00B26C61">
          <w:rPr>
            <w:noProof/>
            <w:webHidden/>
          </w:rPr>
          <w:t>66</w:t>
        </w:r>
        <w:r w:rsidR="00B26C61">
          <w:rPr>
            <w:noProof/>
            <w:webHidden/>
          </w:rPr>
          <w:fldChar w:fldCharType="end"/>
        </w:r>
      </w:hyperlink>
    </w:p>
    <w:p w:rsidR="00B26C61" w:rsidRPr="00EB0969" w:rsidRDefault="00B26C61" w:rsidP="00B26C61">
      <w:pPr>
        <w:spacing w:line="240" w:lineRule="auto"/>
        <w:rPr>
          <w:rFonts w:asciiTheme="minorHAnsi" w:hAnsiTheme="minorHAnsi" w:cstheme="minorHAnsi"/>
        </w:rPr>
      </w:pPr>
      <w:r w:rsidRPr="00EB0969">
        <w:rPr>
          <w:rFonts w:asciiTheme="minorHAnsi" w:hAnsiTheme="minorHAnsi" w:cstheme="minorHAnsi"/>
          <w:b/>
          <w:szCs w:val="18"/>
        </w:rPr>
        <w:fldChar w:fldCharType="end"/>
      </w:r>
    </w:p>
    <w:p w:rsidR="00B26C61" w:rsidRPr="00EB0969" w:rsidRDefault="00B26C61" w:rsidP="00B26C61">
      <w:pPr>
        <w:spacing w:line="240" w:lineRule="auto"/>
        <w:rPr>
          <w:rFonts w:asciiTheme="minorHAnsi" w:hAnsiTheme="minorHAnsi" w:cstheme="minorHAnsi"/>
        </w:rPr>
        <w:sectPr w:rsidR="00B26C61" w:rsidRPr="00EB0969">
          <w:headerReference w:type="even" r:id="rId14"/>
          <w:headerReference w:type="default" r:id="rId15"/>
          <w:footerReference w:type="default" r:id="rId16"/>
          <w:headerReference w:type="first" r:id="rId17"/>
          <w:pgSz w:w="11906" w:h="16838"/>
          <w:pgMar w:top="1134" w:right="1134" w:bottom="1134" w:left="1134" w:header="958" w:footer="737" w:gutter="0"/>
          <w:cols w:space="720"/>
        </w:sectPr>
      </w:pPr>
    </w:p>
    <w:p w:rsidR="00B26C61" w:rsidRDefault="00B26C61" w:rsidP="00B26C61"/>
    <w:p w:rsidR="00B26C61" w:rsidRDefault="00B26C61" w:rsidP="00B26C61">
      <w:pPr>
        <w:spacing w:line="240" w:lineRule="auto"/>
      </w:pPr>
      <w:r>
        <w:br w:type="page"/>
      </w:r>
    </w:p>
    <w:p w:rsidR="00B26C61" w:rsidRDefault="00B26C61" w:rsidP="00B26C61">
      <w:pPr>
        <w:pStyle w:val="NotesHeading-Level1"/>
        <w:rPr>
          <w:rFonts w:cstheme="minorHAnsi"/>
        </w:rPr>
      </w:pPr>
      <w:bookmarkStart w:id="0" w:name="_Toc398813143"/>
      <w:r>
        <w:rPr>
          <w:rFonts w:cstheme="minorHAnsi"/>
        </w:rPr>
        <w:lastRenderedPageBreak/>
        <w:t>Summary of Significant Accounting Policies</w:t>
      </w:r>
      <w:bookmarkEnd w:id="0"/>
    </w:p>
    <w:p w:rsidR="00B26C61" w:rsidRDefault="00B26C61" w:rsidP="00B26C61">
      <w:pPr>
        <w:spacing w:line="240" w:lineRule="auto"/>
        <w:rPr>
          <w:rFonts w:asciiTheme="minorHAnsi" w:hAnsiTheme="minorHAnsi" w:cstheme="minorHAnsi"/>
          <w:sz w:val="20"/>
          <w:lang w:eastAsia="en-AU"/>
        </w:rPr>
      </w:pPr>
    </w:p>
    <w:p w:rsidR="00B26C61" w:rsidRDefault="00B26C61" w:rsidP="00B26C61">
      <w:pPr>
        <w:pStyle w:val="SAPHeading-Level2"/>
        <w:numPr>
          <w:ilvl w:val="1"/>
          <w:numId w:val="16"/>
        </w:numPr>
      </w:pPr>
      <w:r>
        <w:t xml:space="preserve">Objectives of </w:t>
      </w:r>
      <w:fldSimple w:instr=" DOCPROPERTY  shortName  \* MERGEFORMAT ">
        <w:r>
          <w:t>Employment</w:t>
        </w:r>
      </w:fldSimple>
    </w:p>
    <w:p w:rsidR="00B26C61" w:rsidRDefault="00B26C61" w:rsidP="00B26C61">
      <w:pPr>
        <w:pStyle w:val="NotesText0"/>
        <w:rPr>
          <w:rFonts w:cstheme="minorHAnsi"/>
          <w:sz w:val="20"/>
          <w:szCs w:val="20"/>
        </w:rPr>
      </w:pPr>
      <w:r>
        <w:rPr>
          <w:rFonts w:cstheme="minorHAnsi"/>
          <w:sz w:val="20"/>
          <w:szCs w:val="20"/>
        </w:rPr>
        <w:t>The Department of Employment (the department) is an Australian Government controlled entity.  It is a not-for-profit entity.</w:t>
      </w:r>
    </w:p>
    <w:p w:rsidR="00B26C61" w:rsidRDefault="00B26C61" w:rsidP="00B26C61">
      <w:pPr>
        <w:pStyle w:val="NotesText0"/>
        <w:rPr>
          <w:rFonts w:cstheme="minorHAnsi"/>
          <w:sz w:val="20"/>
          <w:szCs w:val="20"/>
        </w:rPr>
      </w:pPr>
      <w:r>
        <w:rPr>
          <w:rFonts w:cstheme="minorHAnsi"/>
          <w:sz w:val="20"/>
          <w:szCs w:val="20"/>
        </w:rPr>
        <w:t>The department provides advice to the Government and administers programs to achieve the Government’s objectives for employment and workplace relations.  The department works in partnership with the states and territories, non-government authorities, providers and industry.</w:t>
      </w:r>
    </w:p>
    <w:p w:rsidR="00B26C61" w:rsidRDefault="00B26C61" w:rsidP="00B26C61">
      <w:pPr>
        <w:pStyle w:val="NotesText0"/>
        <w:rPr>
          <w:rFonts w:cstheme="minorHAnsi"/>
          <w:sz w:val="20"/>
          <w:szCs w:val="20"/>
        </w:rPr>
      </w:pPr>
      <w:r>
        <w:rPr>
          <w:rFonts w:cstheme="minorHAnsi"/>
          <w:sz w:val="20"/>
          <w:szCs w:val="20"/>
        </w:rPr>
        <w:t>The department is structured to meet the following outcomes:</w:t>
      </w:r>
    </w:p>
    <w:p w:rsidR="00B26C61" w:rsidRDefault="00B26C61" w:rsidP="00B26C61">
      <w:pPr>
        <w:pStyle w:val="NotesText0"/>
        <w:rPr>
          <w:rFonts w:cstheme="minorHAnsi"/>
          <w:sz w:val="20"/>
          <w:szCs w:val="20"/>
        </w:rPr>
      </w:pPr>
      <w:r>
        <w:rPr>
          <w:rFonts w:cstheme="minorHAnsi"/>
          <w:sz w:val="20"/>
          <w:szCs w:val="20"/>
        </w:rPr>
        <w:t>Outcome 1: Employment</w:t>
      </w:r>
    </w:p>
    <w:p w:rsidR="00B26C61" w:rsidRDefault="00B26C61" w:rsidP="00B26C61">
      <w:pPr>
        <w:pStyle w:val="NotesText0"/>
        <w:rPr>
          <w:rFonts w:cstheme="minorHAnsi"/>
          <w:sz w:val="20"/>
          <w:szCs w:val="20"/>
        </w:rPr>
      </w:pPr>
      <w:r>
        <w:rPr>
          <w:rFonts w:cstheme="minorHAnsi"/>
          <w:sz w:val="20"/>
          <w:szCs w:val="20"/>
        </w:rPr>
        <w:t>Outcome 2: Workplace Relations</w:t>
      </w:r>
    </w:p>
    <w:p w:rsidR="00B26C61" w:rsidRDefault="00B26C61" w:rsidP="00B26C61">
      <w:pPr>
        <w:pStyle w:val="NotesText0"/>
        <w:rPr>
          <w:rFonts w:cstheme="minorHAnsi"/>
          <w:sz w:val="20"/>
          <w:szCs w:val="20"/>
        </w:rPr>
      </w:pPr>
      <w:r>
        <w:rPr>
          <w:rFonts w:cstheme="minorHAnsi"/>
          <w:sz w:val="20"/>
          <w:szCs w:val="20"/>
        </w:rPr>
        <w:t xml:space="preserve">The department was created following the abolition of the Department of Education, Employment and Workplace Relations on 18 September 2013.  Accordingly, the reporting period is from 19 September 2013.  No comparatives are provided to these statements.  </w:t>
      </w:r>
    </w:p>
    <w:p w:rsidR="00B26C61" w:rsidRDefault="00B26C61" w:rsidP="00B26C61">
      <w:pPr>
        <w:pStyle w:val="NotesText0"/>
        <w:rPr>
          <w:rFonts w:cstheme="minorHAnsi"/>
          <w:sz w:val="20"/>
          <w:szCs w:val="20"/>
        </w:rPr>
      </w:pPr>
      <w:r>
        <w:rPr>
          <w:rFonts w:cstheme="minorHAnsi"/>
          <w:sz w:val="20"/>
          <w:szCs w:val="20"/>
        </w:rPr>
        <w:t>The continued existence of the department in its present form and with its present programs is dependent on Government policy and on continuing funding by Parliament for the department’s administration and programs.</w:t>
      </w:r>
    </w:p>
    <w:p w:rsidR="00B26C61" w:rsidRDefault="00B26C61" w:rsidP="00B26C61">
      <w:pPr>
        <w:pStyle w:val="NotesText0"/>
        <w:rPr>
          <w:rFonts w:cstheme="minorHAnsi"/>
          <w:sz w:val="20"/>
          <w:szCs w:val="20"/>
        </w:rPr>
      </w:pPr>
      <w:r>
        <w:rPr>
          <w:rFonts w:cstheme="minorHAnsi"/>
          <w:sz w:val="20"/>
          <w:szCs w:val="20"/>
        </w:rPr>
        <w:t>The department’s activities contributing toward these outcomes are classified as either departmental or administered.  Departmental activities involve the use of assets, liabilities, income and expenses controlled or incurred by the department in its own right.  Administered activities involve the management or oversight by the department, on behalf of the Government, of items controlled or incurred by the Government.</w:t>
      </w:r>
    </w:p>
    <w:p w:rsidR="00B26C61" w:rsidRDefault="00B26C61" w:rsidP="00B26C61">
      <w:pPr>
        <w:pStyle w:val="NotesText0"/>
        <w:rPr>
          <w:rFonts w:cstheme="minorHAnsi"/>
          <w:sz w:val="20"/>
          <w:szCs w:val="20"/>
        </w:rPr>
      </w:pPr>
      <w:r w:rsidRPr="00013BB8">
        <w:rPr>
          <w:rFonts w:cstheme="minorHAnsi"/>
          <w:sz w:val="20"/>
          <w:szCs w:val="20"/>
        </w:rPr>
        <w:t xml:space="preserve">The </w:t>
      </w:r>
      <w:r>
        <w:rPr>
          <w:rFonts w:cstheme="minorHAnsi"/>
          <w:sz w:val="20"/>
          <w:szCs w:val="20"/>
        </w:rPr>
        <w:t>department</w:t>
      </w:r>
      <w:r w:rsidRPr="00013BB8">
        <w:rPr>
          <w:rFonts w:cstheme="minorHAnsi"/>
          <w:sz w:val="20"/>
          <w:szCs w:val="20"/>
        </w:rPr>
        <w:t xml:space="preserve"> conducts the following administered activities on behalf of the Government:</w:t>
      </w:r>
    </w:p>
    <w:p w:rsidR="00B26C61" w:rsidRPr="00B07DEF"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F</w:t>
      </w:r>
      <w:r w:rsidRPr="00B07DEF">
        <w:rPr>
          <w:rFonts w:asciiTheme="minorHAnsi" w:hAnsiTheme="minorHAnsi" w:cstheme="minorHAnsi"/>
          <w:lang w:val="en-AU"/>
        </w:rPr>
        <w:t>oster</w:t>
      </w:r>
      <w:r>
        <w:rPr>
          <w:rFonts w:asciiTheme="minorHAnsi" w:hAnsiTheme="minorHAnsi" w:cstheme="minorHAnsi"/>
          <w:lang w:val="en-AU"/>
        </w:rPr>
        <w:t>ing</w:t>
      </w:r>
      <w:r w:rsidRPr="00B07DEF">
        <w:rPr>
          <w:rFonts w:asciiTheme="minorHAnsi" w:hAnsiTheme="minorHAnsi" w:cstheme="minorHAnsi"/>
          <w:lang w:val="en-AU"/>
        </w:rPr>
        <w:t xml:space="preserve"> a productive and competitive labour market through employment policies and programmes that assist job seekers into work, meet employer needs and increase Australia’s workforce participation.</w:t>
      </w:r>
    </w:p>
    <w:p w:rsidR="00B26C61" w:rsidRPr="00B07DEF"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F</w:t>
      </w:r>
      <w:r w:rsidRPr="00B07DEF">
        <w:rPr>
          <w:rFonts w:asciiTheme="minorHAnsi" w:hAnsiTheme="minorHAnsi" w:cstheme="minorHAnsi"/>
          <w:lang w:val="en-AU"/>
        </w:rPr>
        <w:t>acilitat</w:t>
      </w:r>
      <w:r>
        <w:rPr>
          <w:rFonts w:asciiTheme="minorHAnsi" w:hAnsiTheme="minorHAnsi" w:cstheme="minorHAnsi"/>
          <w:lang w:val="en-AU"/>
        </w:rPr>
        <w:t>ing</w:t>
      </w:r>
      <w:r w:rsidRPr="00B07DEF">
        <w:rPr>
          <w:rFonts w:asciiTheme="minorHAnsi" w:hAnsiTheme="minorHAnsi" w:cstheme="minorHAnsi"/>
          <w:lang w:val="en-AU"/>
        </w:rPr>
        <w:t xml:space="preserve"> jobs growth through policies that promote fair, productive and safe workplaces.</w:t>
      </w:r>
    </w:p>
    <w:p w:rsidR="00B26C61" w:rsidRDefault="00B26C61" w:rsidP="00B26C61">
      <w:pPr>
        <w:pStyle w:val="NotesText0"/>
        <w:rPr>
          <w:rFonts w:cstheme="minorHAnsi"/>
          <w:sz w:val="20"/>
          <w:szCs w:val="20"/>
        </w:rPr>
      </w:pPr>
      <w:r>
        <w:rPr>
          <w:rFonts w:cstheme="minorHAnsi"/>
          <w:sz w:val="20"/>
          <w:szCs w:val="20"/>
        </w:rPr>
        <w:tab/>
      </w:r>
    </w:p>
    <w:p w:rsidR="00B26C61" w:rsidRDefault="00B26C61" w:rsidP="00B26C61">
      <w:pPr>
        <w:pStyle w:val="SAPHeading-Level2"/>
        <w:numPr>
          <w:ilvl w:val="1"/>
          <w:numId w:val="16"/>
        </w:numPr>
      </w:pPr>
      <w:r>
        <w:t>Basis of Preparation of the Financial Statements</w:t>
      </w:r>
    </w:p>
    <w:p w:rsidR="00B26C61" w:rsidRDefault="00B26C61" w:rsidP="00B26C61">
      <w:pPr>
        <w:pStyle w:val="NotesText0"/>
        <w:rPr>
          <w:rFonts w:cstheme="minorHAnsi"/>
          <w:sz w:val="20"/>
          <w:szCs w:val="20"/>
        </w:rPr>
      </w:pPr>
      <w:r>
        <w:rPr>
          <w:rFonts w:cstheme="minorHAnsi"/>
          <w:sz w:val="20"/>
          <w:szCs w:val="20"/>
        </w:rPr>
        <w:t>The financial statements are general purpose financial statements and are required by section 49 of the</w:t>
      </w:r>
      <w:r>
        <w:rPr>
          <w:rStyle w:val="StyleNotesTextBold1Char"/>
          <w:rFonts w:cstheme="minorHAnsi"/>
          <w:sz w:val="20"/>
          <w:szCs w:val="20"/>
        </w:rPr>
        <w:t xml:space="preserve"> </w:t>
      </w:r>
      <w:r>
        <w:rPr>
          <w:rFonts w:cstheme="minorHAnsi"/>
          <w:i/>
          <w:sz w:val="20"/>
          <w:szCs w:val="20"/>
        </w:rPr>
        <w:t>Financial Management and Accountability Act 1997</w:t>
      </w:r>
      <w:r>
        <w:rPr>
          <w:rFonts w:cstheme="minorHAnsi"/>
          <w:sz w:val="20"/>
          <w:szCs w:val="20"/>
        </w:rPr>
        <w:t>.</w:t>
      </w:r>
    </w:p>
    <w:p w:rsidR="00B26C61" w:rsidRDefault="00B26C61" w:rsidP="00B26C61">
      <w:pPr>
        <w:pStyle w:val="NotesText0"/>
        <w:rPr>
          <w:rFonts w:cstheme="minorHAnsi"/>
          <w:sz w:val="20"/>
          <w:szCs w:val="20"/>
        </w:rPr>
      </w:pPr>
      <w:r>
        <w:rPr>
          <w:rFonts w:cstheme="minorHAnsi"/>
          <w:sz w:val="20"/>
          <w:szCs w:val="20"/>
        </w:rPr>
        <w:t>The financial statements have been prepared in accordance with:</w:t>
      </w:r>
    </w:p>
    <w:p w:rsidR="00B26C61"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Finance Minister’s Orders (</w:t>
      </w:r>
      <w:proofErr w:type="spellStart"/>
      <w:r>
        <w:rPr>
          <w:rFonts w:asciiTheme="minorHAnsi" w:hAnsiTheme="minorHAnsi" w:cstheme="minorHAnsi"/>
          <w:lang w:val="en-AU"/>
        </w:rPr>
        <w:t>FMOs</w:t>
      </w:r>
      <w:proofErr w:type="spellEnd"/>
      <w:r>
        <w:rPr>
          <w:rFonts w:asciiTheme="minorHAnsi" w:hAnsiTheme="minorHAnsi" w:cstheme="minorHAnsi"/>
          <w:lang w:val="en-AU"/>
        </w:rPr>
        <w:t xml:space="preserve">) for reporting periods ending on or after 1 July </w:t>
      </w:r>
      <w:fldSimple w:instr=" DOCPROPERTY  prYear  \* MERGEFORMAT ">
        <w:r w:rsidRPr="00D80CCA">
          <w:rPr>
            <w:rFonts w:asciiTheme="minorHAnsi" w:hAnsiTheme="minorHAnsi" w:cstheme="minorHAnsi"/>
            <w:lang w:val="en-AU"/>
          </w:rPr>
          <w:t>201</w:t>
        </w:r>
      </w:fldSimple>
      <w:r>
        <w:rPr>
          <w:rFonts w:asciiTheme="minorHAnsi" w:hAnsiTheme="minorHAnsi" w:cstheme="minorHAnsi"/>
          <w:lang w:val="en-AU"/>
        </w:rPr>
        <w:t>1; and</w:t>
      </w:r>
    </w:p>
    <w:p w:rsidR="00B26C61"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Australian Accounting Standards and Interpretations issued by the Australian Accounting Standards Board (</w:t>
      </w:r>
      <w:proofErr w:type="spellStart"/>
      <w:r>
        <w:rPr>
          <w:rFonts w:asciiTheme="minorHAnsi" w:hAnsiTheme="minorHAnsi" w:cstheme="minorHAnsi"/>
          <w:lang w:val="en-AU"/>
        </w:rPr>
        <w:t>AASB</w:t>
      </w:r>
      <w:proofErr w:type="spellEnd"/>
      <w:r>
        <w:rPr>
          <w:rFonts w:asciiTheme="minorHAnsi" w:hAnsiTheme="minorHAnsi" w:cstheme="minorHAnsi"/>
          <w:lang w:val="en-AU"/>
        </w:rPr>
        <w:t>) that apply for the reporting period.</w:t>
      </w:r>
    </w:p>
    <w:p w:rsidR="00B26C61" w:rsidRDefault="00B26C61" w:rsidP="00B26C61">
      <w:pPr>
        <w:pStyle w:val="NotesText0"/>
        <w:rPr>
          <w:rFonts w:cstheme="minorHAnsi"/>
          <w:sz w:val="20"/>
          <w:szCs w:val="20"/>
        </w:rPr>
      </w:pPr>
      <w:r>
        <w:rPr>
          <w:rFonts w:cstheme="minorHAnsi"/>
          <w:bCs/>
          <w:sz w:val="20"/>
          <w:szCs w:val="20"/>
        </w:rPr>
        <w:t>The financial statements have been prepared on an accrual basis and are in accordance with the historical cost convention,</w:t>
      </w:r>
      <w:r>
        <w:rPr>
          <w:rFonts w:cstheme="minorHAnsi"/>
          <w:sz w:val="20"/>
          <w:szCs w:val="20"/>
        </w:rPr>
        <w:t xml:space="preserve"> except for certain assets and liabilities at fair value.  Except where stated, no allowance is made for the effect of changing prices on the results or the financial position.</w:t>
      </w:r>
    </w:p>
    <w:p w:rsidR="00B26C61" w:rsidRDefault="00B26C61" w:rsidP="00B26C61">
      <w:pPr>
        <w:pStyle w:val="NotesText0"/>
        <w:rPr>
          <w:rFonts w:cstheme="minorHAnsi"/>
          <w:sz w:val="20"/>
          <w:szCs w:val="20"/>
        </w:rPr>
      </w:pPr>
      <w:r>
        <w:rPr>
          <w:rFonts w:cstheme="minorHAnsi"/>
          <w:sz w:val="20"/>
          <w:szCs w:val="20"/>
        </w:rPr>
        <w:t>The financial statements are presented in Australian dollars and values are rounded to the nearest thousand dollars unless otherwise specified.</w:t>
      </w:r>
    </w:p>
    <w:p w:rsidR="00B26C61" w:rsidRDefault="00B26C61" w:rsidP="00B26C61">
      <w:pPr>
        <w:pStyle w:val="NotesText0"/>
        <w:rPr>
          <w:rFonts w:cstheme="minorHAnsi"/>
          <w:sz w:val="20"/>
          <w:szCs w:val="20"/>
        </w:rPr>
      </w:pPr>
      <w:r>
        <w:rPr>
          <w:rFonts w:cstheme="minorHAnsi"/>
          <w:sz w:val="20"/>
          <w:szCs w:val="20"/>
        </w:rPr>
        <w:t xml:space="preserve">Unless an alternative treatment is specifically required by an accounting standard or the </w:t>
      </w:r>
      <w:proofErr w:type="spellStart"/>
      <w:r>
        <w:rPr>
          <w:rFonts w:cstheme="minorHAnsi"/>
          <w:sz w:val="20"/>
          <w:szCs w:val="20"/>
        </w:rPr>
        <w:t>FMOs</w:t>
      </w:r>
      <w:proofErr w:type="spellEnd"/>
      <w:r>
        <w:rPr>
          <w:rFonts w:cstheme="minorHAnsi"/>
          <w:sz w:val="20"/>
          <w:szCs w:val="20"/>
        </w:rPr>
        <w:t>, assets and liabilities are recognised in the Statement of Financial Position when and only when it is probable that future economic benefits will flow to the department or a future sacrifice of economic benefits will be required and the amounts of the assets or liabilities can be reliably measured.  However, assets and liabilities arising under executor contracts are not recognised unless required by an accounting standard.  Liabilities and assets that are unrecognised are reported in the Schedule of Commitments or the Schedule of Contingencies.</w:t>
      </w:r>
    </w:p>
    <w:p w:rsidR="00B26C61" w:rsidRDefault="00B26C61" w:rsidP="00B26C61">
      <w:pPr>
        <w:pStyle w:val="StyleNotesTextBold1"/>
        <w:rPr>
          <w:rFonts w:asciiTheme="minorHAnsi" w:hAnsiTheme="minorHAnsi" w:cstheme="minorHAnsi"/>
          <w:lang w:eastAsia="en-AU"/>
        </w:rPr>
      </w:pPr>
      <w:proofErr w:type="gramStart"/>
      <w:r>
        <w:rPr>
          <w:rFonts w:asciiTheme="minorHAnsi" w:hAnsiTheme="minorHAnsi" w:cstheme="minorHAnsi"/>
          <w:lang w:eastAsia="en-AU"/>
        </w:rPr>
        <w:t>Unless alternative treatment is specifically required by an accounting standard, income and expenses are recognised in the Statement of Comprehensive Income when and only when the flow, consumption or loss of economic benefits has occurred and can be reliably measured.</w:t>
      </w:r>
      <w:proofErr w:type="gramEnd"/>
    </w:p>
    <w:p w:rsidR="00B26C61" w:rsidRDefault="00B26C61" w:rsidP="00B26C61">
      <w:pPr>
        <w:spacing w:line="240" w:lineRule="auto"/>
        <w:rPr>
          <w:rFonts w:asciiTheme="minorHAnsi" w:hAnsiTheme="minorHAnsi" w:cstheme="minorHAnsi"/>
          <w:b/>
          <w:sz w:val="20"/>
        </w:rPr>
      </w:pPr>
      <w:r>
        <w:rPr>
          <w:rFonts w:asciiTheme="minorHAnsi" w:hAnsiTheme="minorHAnsi" w:cstheme="minorHAnsi"/>
          <w:sz w:val="20"/>
        </w:rPr>
        <w:br w:type="page"/>
      </w:r>
    </w:p>
    <w:p w:rsidR="00B26C61" w:rsidRDefault="00B26C61" w:rsidP="00B26C61">
      <w:pPr>
        <w:pStyle w:val="SAPHeading-Level2"/>
        <w:numPr>
          <w:ilvl w:val="1"/>
          <w:numId w:val="16"/>
        </w:numPr>
      </w:pPr>
      <w:r>
        <w:lastRenderedPageBreak/>
        <w:t xml:space="preserve">Significant Accounting Judgements and Estimates </w:t>
      </w:r>
    </w:p>
    <w:p w:rsidR="00B26C61" w:rsidRDefault="00B26C61" w:rsidP="00B26C61">
      <w:pPr>
        <w:pStyle w:val="StyleNotesTextBold1"/>
        <w:rPr>
          <w:rFonts w:asciiTheme="minorHAnsi" w:hAnsiTheme="minorHAnsi" w:cstheme="minorHAnsi"/>
          <w:lang w:eastAsia="en-AU"/>
        </w:rPr>
      </w:pPr>
      <w:r w:rsidRPr="00013BB8">
        <w:rPr>
          <w:rFonts w:asciiTheme="minorHAnsi" w:hAnsiTheme="minorHAnsi" w:cstheme="minorHAnsi"/>
          <w:lang w:eastAsia="en-AU"/>
        </w:rPr>
        <w:t xml:space="preserve">In the process of applying the accounting policies listed in this note, the </w:t>
      </w:r>
      <w:r>
        <w:rPr>
          <w:rFonts w:asciiTheme="minorHAnsi" w:hAnsiTheme="minorHAnsi" w:cstheme="minorHAnsi"/>
          <w:lang w:eastAsia="en-AU"/>
        </w:rPr>
        <w:t>d</w:t>
      </w:r>
      <w:r w:rsidRPr="00013BB8">
        <w:rPr>
          <w:rFonts w:asciiTheme="minorHAnsi" w:hAnsiTheme="minorHAnsi" w:cstheme="minorHAnsi"/>
          <w:lang w:eastAsia="en-AU"/>
        </w:rPr>
        <w:t>epartment has made the following judgements that have the most significant impact on the amounts recorded in the financial statements:</w:t>
      </w:r>
    </w:p>
    <w:p w:rsidR="00B26C61" w:rsidRPr="00BB1D36" w:rsidRDefault="00B26C61" w:rsidP="00B26C61">
      <w:pPr>
        <w:pStyle w:val="ListParagraph"/>
        <w:numPr>
          <w:ilvl w:val="0"/>
          <w:numId w:val="17"/>
        </w:numPr>
        <w:rPr>
          <w:rFonts w:asciiTheme="minorHAnsi" w:hAnsiTheme="minorHAnsi" w:cstheme="minorHAnsi"/>
          <w:sz w:val="20"/>
          <w:lang w:eastAsia="en-AU"/>
        </w:rPr>
      </w:pPr>
      <w:r>
        <w:rPr>
          <w:rFonts w:asciiTheme="minorHAnsi" w:hAnsiTheme="minorHAnsi" w:cstheme="minorHAnsi"/>
          <w:sz w:val="20"/>
          <w:lang w:eastAsia="en-AU"/>
        </w:rPr>
        <w:t>t</w:t>
      </w:r>
      <w:r w:rsidRPr="00BB1D36">
        <w:rPr>
          <w:rFonts w:asciiTheme="minorHAnsi" w:hAnsiTheme="minorHAnsi" w:cstheme="minorHAnsi"/>
          <w:sz w:val="20"/>
          <w:lang w:eastAsia="en-AU"/>
        </w:rPr>
        <w:t xml:space="preserve">he fair value of </w:t>
      </w:r>
      <w:r>
        <w:rPr>
          <w:rFonts w:asciiTheme="minorHAnsi" w:hAnsiTheme="minorHAnsi" w:cstheme="minorHAnsi"/>
          <w:sz w:val="20"/>
          <w:lang w:eastAsia="en-AU"/>
        </w:rPr>
        <w:t>leasehold improvements</w:t>
      </w:r>
      <w:r w:rsidRPr="00BB1D36">
        <w:rPr>
          <w:rFonts w:asciiTheme="minorHAnsi" w:hAnsiTheme="minorHAnsi" w:cstheme="minorHAnsi"/>
          <w:sz w:val="20"/>
          <w:lang w:eastAsia="en-AU"/>
        </w:rPr>
        <w:t xml:space="preserve"> and </w:t>
      </w:r>
      <w:r>
        <w:rPr>
          <w:rFonts w:asciiTheme="minorHAnsi" w:hAnsiTheme="minorHAnsi" w:cstheme="minorHAnsi"/>
          <w:sz w:val="20"/>
          <w:lang w:eastAsia="en-AU"/>
        </w:rPr>
        <w:t>infrastructure</w:t>
      </w:r>
      <w:r w:rsidRPr="00BB1D36">
        <w:rPr>
          <w:rFonts w:asciiTheme="minorHAnsi" w:hAnsiTheme="minorHAnsi" w:cstheme="minorHAnsi"/>
          <w:sz w:val="20"/>
          <w:lang w:eastAsia="en-AU"/>
        </w:rPr>
        <w:t xml:space="preserve">, plant and equipment has been taken to be the market value of similar </w:t>
      </w:r>
      <w:r>
        <w:rPr>
          <w:rFonts w:asciiTheme="minorHAnsi" w:hAnsiTheme="minorHAnsi" w:cstheme="minorHAnsi"/>
          <w:sz w:val="20"/>
          <w:lang w:eastAsia="en-AU"/>
        </w:rPr>
        <w:t>items</w:t>
      </w:r>
      <w:r w:rsidRPr="00BB1D36">
        <w:rPr>
          <w:rFonts w:asciiTheme="minorHAnsi" w:hAnsiTheme="minorHAnsi" w:cstheme="minorHAnsi"/>
          <w:sz w:val="20"/>
          <w:lang w:eastAsia="en-AU"/>
        </w:rPr>
        <w:t xml:space="preserve"> as determined by an independent </w:t>
      </w:r>
      <w:proofErr w:type="spellStart"/>
      <w:r w:rsidRPr="00BB1D36">
        <w:rPr>
          <w:rFonts w:asciiTheme="minorHAnsi" w:hAnsiTheme="minorHAnsi" w:cstheme="minorHAnsi"/>
          <w:sz w:val="20"/>
          <w:lang w:eastAsia="en-AU"/>
        </w:rPr>
        <w:t>valuer</w:t>
      </w:r>
      <w:proofErr w:type="spellEnd"/>
      <w:r w:rsidRPr="00BB1D36">
        <w:rPr>
          <w:rFonts w:asciiTheme="minorHAnsi" w:hAnsiTheme="minorHAnsi" w:cstheme="minorHAnsi"/>
          <w:sz w:val="20"/>
          <w:lang w:eastAsia="en-AU"/>
        </w:rPr>
        <w:t>;</w:t>
      </w:r>
      <w:r>
        <w:rPr>
          <w:rFonts w:asciiTheme="minorHAnsi" w:hAnsiTheme="minorHAnsi" w:cstheme="minorHAnsi"/>
          <w:sz w:val="20"/>
          <w:lang w:eastAsia="en-AU"/>
        </w:rPr>
        <w:t xml:space="preserve"> and</w:t>
      </w:r>
    </w:p>
    <w:p w:rsidR="00B26C61" w:rsidRPr="00013BB8" w:rsidRDefault="00B26C61" w:rsidP="00B26C61">
      <w:pPr>
        <w:pStyle w:val="BulletKPMG"/>
        <w:numPr>
          <w:ilvl w:val="0"/>
          <w:numId w:val="17"/>
        </w:numPr>
        <w:rPr>
          <w:rFonts w:asciiTheme="minorHAnsi" w:hAnsiTheme="minorHAnsi" w:cstheme="minorHAnsi"/>
          <w:lang w:val="en-AU"/>
        </w:rPr>
      </w:pPr>
      <w:proofErr w:type="gramStart"/>
      <w:r>
        <w:rPr>
          <w:rFonts w:asciiTheme="minorHAnsi" w:hAnsiTheme="minorHAnsi" w:cstheme="minorHAnsi"/>
          <w:lang w:val="en-AU"/>
        </w:rPr>
        <w:t>t</w:t>
      </w:r>
      <w:r w:rsidRPr="00013BB8">
        <w:rPr>
          <w:rFonts w:asciiTheme="minorHAnsi" w:hAnsiTheme="minorHAnsi" w:cstheme="minorHAnsi"/>
          <w:lang w:val="en-AU"/>
        </w:rPr>
        <w:t>he</w:t>
      </w:r>
      <w:proofErr w:type="gramEnd"/>
      <w:r w:rsidRPr="00013BB8">
        <w:rPr>
          <w:rFonts w:asciiTheme="minorHAnsi" w:hAnsiTheme="minorHAnsi" w:cstheme="minorHAnsi"/>
          <w:lang w:val="en-AU"/>
        </w:rPr>
        <w:t xml:space="preserve"> liability for long service leave has been estimated using an actuarial assessment is based on the </w:t>
      </w:r>
      <w:proofErr w:type="spellStart"/>
      <w:r w:rsidRPr="00013BB8">
        <w:rPr>
          <w:rFonts w:asciiTheme="minorHAnsi" w:hAnsiTheme="minorHAnsi" w:cstheme="minorHAnsi"/>
          <w:lang w:val="en-AU"/>
        </w:rPr>
        <w:t>FMO</w:t>
      </w:r>
      <w:proofErr w:type="spellEnd"/>
      <w:r w:rsidRPr="00013BB8">
        <w:rPr>
          <w:rFonts w:asciiTheme="minorHAnsi" w:hAnsiTheme="minorHAnsi" w:cstheme="minorHAnsi"/>
          <w:lang w:val="en-AU"/>
        </w:rPr>
        <w:t xml:space="preserve"> requirements.  This takes into account expected salary growth, attrition and future discounting using the government bond rates</w:t>
      </w:r>
      <w:r>
        <w:rPr>
          <w:rFonts w:asciiTheme="minorHAnsi" w:hAnsiTheme="minorHAnsi" w:cstheme="minorHAnsi"/>
          <w:lang w:val="en-AU"/>
        </w:rPr>
        <w:t>.</w:t>
      </w:r>
    </w:p>
    <w:p w:rsidR="00B26C61" w:rsidRPr="00013BB8" w:rsidRDefault="00B26C61" w:rsidP="00B26C61">
      <w:pPr>
        <w:spacing w:line="240" w:lineRule="auto"/>
        <w:rPr>
          <w:rFonts w:asciiTheme="minorHAnsi" w:hAnsiTheme="minorHAnsi" w:cstheme="minorHAnsi"/>
          <w:bCs/>
          <w:sz w:val="20"/>
          <w:lang w:eastAsia="en-AU"/>
        </w:rPr>
      </w:pPr>
      <w:r w:rsidRPr="00013BB8">
        <w:rPr>
          <w:rFonts w:asciiTheme="minorHAnsi" w:hAnsiTheme="minorHAnsi" w:cstheme="minorHAnsi"/>
          <w:bCs/>
          <w:sz w:val="20"/>
          <w:lang w:eastAsia="en-AU"/>
        </w:rPr>
        <w:t xml:space="preserve">The </w:t>
      </w:r>
      <w:r>
        <w:rPr>
          <w:rFonts w:asciiTheme="minorHAnsi" w:hAnsiTheme="minorHAnsi" w:cstheme="minorHAnsi"/>
          <w:bCs/>
          <w:sz w:val="20"/>
          <w:lang w:eastAsia="en-AU"/>
        </w:rPr>
        <w:t>d</w:t>
      </w:r>
      <w:r w:rsidRPr="00013BB8">
        <w:rPr>
          <w:rFonts w:asciiTheme="minorHAnsi" w:hAnsiTheme="minorHAnsi" w:cstheme="minorHAnsi"/>
          <w:bCs/>
          <w:sz w:val="20"/>
          <w:lang w:eastAsia="en-AU"/>
        </w:rPr>
        <w:t>epartment made no other assumptions or estimates identified as having a significant risk of causing a material adjustment to the carrying amounts of assets and liabilities within the next reporting period.</w:t>
      </w:r>
    </w:p>
    <w:p w:rsidR="00B26C61" w:rsidRDefault="00B26C61" w:rsidP="00B26C61">
      <w:pPr>
        <w:pStyle w:val="StyleNotesTextBold1"/>
        <w:rPr>
          <w:rFonts w:asciiTheme="minorHAnsi" w:hAnsiTheme="minorHAnsi" w:cstheme="minorHAnsi"/>
        </w:rPr>
      </w:pPr>
    </w:p>
    <w:p w:rsidR="00B26C61" w:rsidRDefault="00B26C61" w:rsidP="00B26C61">
      <w:pPr>
        <w:pStyle w:val="SAPHeading-Level2"/>
        <w:numPr>
          <w:ilvl w:val="1"/>
          <w:numId w:val="16"/>
        </w:numPr>
      </w:pPr>
      <w:r>
        <w:t>New Australian Accounting Standards</w:t>
      </w:r>
    </w:p>
    <w:p w:rsidR="00B26C61" w:rsidRDefault="00B26C61" w:rsidP="00B26C61">
      <w:pPr>
        <w:pStyle w:val="StyleNotesTextItalic"/>
        <w:rPr>
          <w:rFonts w:cstheme="minorHAnsi"/>
          <w:sz w:val="20"/>
          <w:szCs w:val="20"/>
        </w:rPr>
      </w:pPr>
      <w:r>
        <w:rPr>
          <w:rFonts w:cstheme="minorHAnsi"/>
          <w:sz w:val="20"/>
          <w:szCs w:val="20"/>
        </w:rPr>
        <w:t>Adoption of New Australian Accounting Standard Requirements</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 xml:space="preserve">No accounting standard has been adopted earlier than the application date as stated in the standard.  </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 xml:space="preserve">The following new standards, amended standards or interpretations were issued by the Australian Accounting Standards Board prior to the sign off date that are applicable to the current reporting period and have a material impact on the department. </w:t>
      </w:r>
    </w:p>
    <w:tbl>
      <w:tblPr>
        <w:tblW w:w="9087" w:type="dxa"/>
        <w:tblInd w:w="93" w:type="dxa"/>
        <w:tblLook w:val="04A0" w:firstRow="1" w:lastRow="0" w:firstColumn="1" w:lastColumn="0" w:noHBand="0" w:noVBand="1"/>
      </w:tblPr>
      <w:tblGrid>
        <w:gridCol w:w="1575"/>
        <w:gridCol w:w="7512"/>
      </w:tblGrid>
      <w:tr w:rsidR="00B26C61" w:rsidTr="00EA3146">
        <w:trPr>
          <w:trHeight w:val="414"/>
        </w:trPr>
        <w:tc>
          <w:tcPr>
            <w:tcW w:w="1575" w:type="dxa"/>
            <w:noWrap/>
            <w:vAlign w:val="center"/>
            <w:hideMark/>
          </w:tcPr>
          <w:p w:rsidR="00B26C61" w:rsidRDefault="00B26C61" w:rsidP="00EA3146">
            <w:pPr>
              <w:rPr>
                <w:rFonts w:asciiTheme="minorHAnsi" w:hAnsiTheme="minorHAnsi" w:cstheme="minorHAnsi"/>
                <w:color w:val="000000"/>
                <w:sz w:val="20"/>
              </w:rPr>
            </w:pPr>
            <w:proofErr w:type="spellStart"/>
            <w:r>
              <w:rPr>
                <w:rFonts w:asciiTheme="minorHAnsi" w:hAnsiTheme="minorHAnsi" w:cstheme="minorHAnsi"/>
                <w:color w:val="000000"/>
                <w:sz w:val="20"/>
              </w:rPr>
              <w:t>AASB</w:t>
            </w:r>
            <w:proofErr w:type="spellEnd"/>
            <w:r>
              <w:rPr>
                <w:rFonts w:asciiTheme="minorHAnsi" w:hAnsiTheme="minorHAnsi" w:cstheme="minorHAnsi"/>
                <w:color w:val="000000"/>
                <w:sz w:val="20"/>
              </w:rPr>
              <w:t xml:space="preserve"> 13</w:t>
            </w:r>
          </w:p>
        </w:tc>
        <w:tc>
          <w:tcPr>
            <w:tcW w:w="7512" w:type="dxa"/>
            <w:vAlign w:val="center"/>
            <w:hideMark/>
          </w:tcPr>
          <w:p w:rsidR="00B26C61" w:rsidRDefault="00B26C61" w:rsidP="00EA3146">
            <w:pPr>
              <w:rPr>
                <w:rFonts w:asciiTheme="minorHAnsi" w:hAnsiTheme="minorHAnsi" w:cstheme="minorHAnsi"/>
                <w:color w:val="000000"/>
                <w:sz w:val="20"/>
              </w:rPr>
            </w:pPr>
            <w:r>
              <w:rPr>
                <w:rFonts w:asciiTheme="minorHAnsi" w:hAnsiTheme="minorHAnsi" w:cstheme="minorHAnsi"/>
                <w:color w:val="000000"/>
                <w:sz w:val="20"/>
              </w:rPr>
              <w:t>Fair Value Measurement – December 2012 (Principal) – this resulted in an increased level of disclosure for items carried at fair value.</w:t>
            </w:r>
          </w:p>
        </w:tc>
      </w:tr>
      <w:tr w:rsidR="00B26C61" w:rsidTr="00EA3146">
        <w:trPr>
          <w:trHeight w:val="452"/>
        </w:trPr>
        <w:tc>
          <w:tcPr>
            <w:tcW w:w="1575" w:type="dxa"/>
            <w:noWrap/>
            <w:vAlign w:val="center"/>
            <w:hideMark/>
          </w:tcPr>
          <w:p w:rsidR="00B26C61" w:rsidRDefault="00B26C61" w:rsidP="00EA3146">
            <w:pPr>
              <w:rPr>
                <w:rFonts w:asciiTheme="minorHAnsi" w:hAnsiTheme="minorHAnsi" w:cstheme="minorHAnsi"/>
                <w:color w:val="000000"/>
                <w:sz w:val="20"/>
              </w:rPr>
            </w:pPr>
            <w:proofErr w:type="spellStart"/>
            <w:r>
              <w:rPr>
                <w:rFonts w:asciiTheme="minorHAnsi" w:hAnsiTheme="minorHAnsi" w:cstheme="minorHAnsi"/>
                <w:color w:val="000000"/>
                <w:sz w:val="20"/>
              </w:rPr>
              <w:t>AASB</w:t>
            </w:r>
            <w:proofErr w:type="spellEnd"/>
            <w:r>
              <w:rPr>
                <w:rFonts w:asciiTheme="minorHAnsi" w:hAnsiTheme="minorHAnsi" w:cstheme="minorHAnsi"/>
                <w:color w:val="000000"/>
                <w:sz w:val="20"/>
              </w:rPr>
              <w:t xml:space="preserve"> 119</w:t>
            </w:r>
          </w:p>
        </w:tc>
        <w:tc>
          <w:tcPr>
            <w:tcW w:w="7512" w:type="dxa"/>
            <w:vAlign w:val="center"/>
            <w:hideMark/>
          </w:tcPr>
          <w:p w:rsidR="00B26C61" w:rsidRDefault="00B26C61" w:rsidP="00EA3146">
            <w:pPr>
              <w:rPr>
                <w:rFonts w:asciiTheme="minorHAnsi" w:hAnsiTheme="minorHAnsi" w:cstheme="minorHAnsi"/>
                <w:color w:val="000000"/>
                <w:sz w:val="20"/>
              </w:rPr>
            </w:pPr>
            <w:r>
              <w:rPr>
                <w:rFonts w:asciiTheme="minorHAnsi" w:hAnsiTheme="minorHAnsi" w:cstheme="minorHAnsi"/>
                <w:color w:val="000000"/>
                <w:sz w:val="20"/>
              </w:rPr>
              <w:t>Employee Benefits - September 2011 (Principal) – this resulted in an increased level of disclosure.</w:t>
            </w:r>
          </w:p>
        </w:tc>
      </w:tr>
    </w:tbl>
    <w:p w:rsidR="00B26C61" w:rsidRPr="00172C7C" w:rsidRDefault="00B26C61" w:rsidP="00B26C61">
      <w:pPr>
        <w:pStyle w:val="StyleNotesTextItalic"/>
        <w:rPr>
          <w:rFonts w:cstheme="minorHAnsi"/>
          <w:bCs/>
          <w:i w:val="0"/>
          <w:iCs w:val="0"/>
          <w:sz w:val="20"/>
          <w:szCs w:val="20"/>
          <w:u w:val="none"/>
        </w:rPr>
      </w:pPr>
      <w:r w:rsidRPr="00172C7C">
        <w:rPr>
          <w:rFonts w:cstheme="minorHAnsi"/>
          <w:bCs/>
          <w:i w:val="0"/>
          <w:iCs w:val="0"/>
          <w:sz w:val="20"/>
          <w:szCs w:val="20"/>
          <w:u w:val="none"/>
        </w:rPr>
        <w:t xml:space="preserve">All other accounting standards that were issued prior to the sign-off date and are applicable to the current reporting period did not have a material effect, and are not expected to have a future material effect, on </w:t>
      </w:r>
      <w:r>
        <w:rPr>
          <w:rFonts w:cstheme="minorHAnsi"/>
          <w:bCs/>
          <w:i w:val="0"/>
          <w:iCs w:val="0"/>
          <w:sz w:val="20"/>
          <w:szCs w:val="20"/>
          <w:u w:val="none"/>
        </w:rPr>
        <w:t xml:space="preserve">the department’s </w:t>
      </w:r>
      <w:r w:rsidRPr="00172C7C">
        <w:rPr>
          <w:rFonts w:cstheme="minorHAnsi"/>
          <w:bCs/>
          <w:i w:val="0"/>
          <w:iCs w:val="0"/>
          <w:sz w:val="20"/>
          <w:szCs w:val="20"/>
          <w:u w:val="none"/>
        </w:rPr>
        <w:t>financial statements</w:t>
      </w:r>
    </w:p>
    <w:p w:rsidR="00B26C61" w:rsidRDefault="00B26C61" w:rsidP="00B26C61">
      <w:pPr>
        <w:pStyle w:val="StyleNotesTextItalic"/>
        <w:rPr>
          <w:rFonts w:cstheme="minorHAnsi"/>
          <w:sz w:val="20"/>
          <w:szCs w:val="20"/>
        </w:rPr>
      </w:pPr>
      <w:r>
        <w:rPr>
          <w:rFonts w:cstheme="minorHAnsi"/>
          <w:sz w:val="20"/>
          <w:szCs w:val="20"/>
        </w:rPr>
        <w:t>Future Australian Accounting Standard Requirements</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The following new standards, revised standards, interpretations and amending standards were issued by the Australian Accounting Standards Board prior to the sign-off date and apply to future reporting periods, they are not expected to have a financial impact on the department:</w:t>
      </w:r>
    </w:p>
    <w:tbl>
      <w:tblPr>
        <w:tblW w:w="9087" w:type="dxa"/>
        <w:tblInd w:w="93" w:type="dxa"/>
        <w:tblLook w:val="04A0" w:firstRow="1" w:lastRow="0" w:firstColumn="1" w:lastColumn="0" w:noHBand="0" w:noVBand="1"/>
      </w:tblPr>
      <w:tblGrid>
        <w:gridCol w:w="1575"/>
        <w:gridCol w:w="7512"/>
      </w:tblGrid>
      <w:tr w:rsidR="00B26C61" w:rsidTr="00EA3146">
        <w:trPr>
          <w:trHeight w:val="410"/>
        </w:trPr>
        <w:tc>
          <w:tcPr>
            <w:tcW w:w="1575" w:type="dxa"/>
            <w:noWrap/>
            <w:vAlign w:val="center"/>
            <w:hideMark/>
          </w:tcPr>
          <w:p w:rsidR="00B26C61" w:rsidRDefault="00B26C61" w:rsidP="00EA3146">
            <w:pPr>
              <w:rPr>
                <w:rFonts w:asciiTheme="minorHAnsi" w:hAnsiTheme="minorHAnsi" w:cstheme="minorHAnsi"/>
                <w:color w:val="000000"/>
                <w:sz w:val="20"/>
              </w:rPr>
            </w:pPr>
            <w:proofErr w:type="spellStart"/>
            <w:r>
              <w:rPr>
                <w:rFonts w:asciiTheme="minorHAnsi" w:hAnsiTheme="minorHAnsi" w:cstheme="minorHAnsi"/>
                <w:color w:val="000000"/>
                <w:sz w:val="20"/>
              </w:rPr>
              <w:t>AASB</w:t>
            </w:r>
            <w:proofErr w:type="spellEnd"/>
            <w:r>
              <w:rPr>
                <w:rFonts w:asciiTheme="minorHAnsi" w:hAnsiTheme="minorHAnsi" w:cstheme="minorHAnsi"/>
                <w:color w:val="000000"/>
                <w:sz w:val="20"/>
              </w:rPr>
              <w:t xml:space="preserve"> 1055</w:t>
            </w:r>
          </w:p>
        </w:tc>
        <w:tc>
          <w:tcPr>
            <w:tcW w:w="7512" w:type="dxa"/>
            <w:vAlign w:val="center"/>
            <w:hideMark/>
          </w:tcPr>
          <w:p w:rsidR="00B26C61" w:rsidRDefault="00B26C61" w:rsidP="00EA3146">
            <w:pPr>
              <w:rPr>
                <w:rFonts w:asciiTheme="minorHAnsi" w:hAnsiTheme="minorHAnsi" w:cstheme="minorHAnsi"/>
                <w:color w:val="000000"/>
                <w:sz w:val="20"/>
              </w:rPr>
            </w:pPr>
            <w:r>
              <w:rPr>
                <w:rFonts w:asciiTheme="minorHAnsi" w:hAnsiTheme="minorHAnsi" w:cstheme="minorHAnsi"/>
                <w:color w:val="000000"/>
                <w:sz w:val="20"/>
              </w:rPr>
              <w:t>Budgetary Reporting - March 2013 (Principal) – this new requirement will require the department to explain significant variances between budget and actual expenditure</w:t>
            </w:r>
          </w:p>
        </w:tc>
      </w:tr>
    </w:tbl>
    <w:p w:rsidR="00B26C61" w:rsidRDefault="00B26C61" w:rsidP="00B26C61">
      <w:pPr>
        <w:pStyle w:val="SAPHeading-Level2"/>
        <w:numPr>
          <w:ilvl w:val="1"/>
          <w:numId w:val="16"/>
        </w:numPr>
      </w:pPr>
      <w:r>
        <w:t>Revenue</w:t>
      </w:r>
    </w:p>
    <w:p w:rsidR="00B26C61" w:rsidRDefault="00B26C61" w:rsidP="00B26C61">
      <w:pPr>
        <w:pStyle w:val="StyleNotesTextBold1"/>
        <w:rPr>
          <w:rFonts w:asciiTheme="minorHAnsi" w:hAnsiTheme="minorHAnsi" w:cstheme="minorHAnsi"/>
        </w:rPr>
      </w:pPr>
      <w:r>
        <w:rPr>
          <w:rFonts w:asciiTheme="minorHAnsi" w:hAnsiTheme="minorHAnsi" w:cstheme="minorHAnsi"/>
          <w:lang w:eastAsia="en-AU"/>
        </w:rPr>
        <w:t>Revenue from the sale of goods is recognised when</w:t>
      </w:r>
      <w:r>
        <w:rPr>
          <w:rFonts w:asciiTheme="minorHAnsi" w:hAnsiTheme="minorHAnsi" w:cstheme="minorHAnsi"/>
        </w:rPr>
        <w:t>:</w:t>
      </w:r>
    </w:p>
    <w:p w:rsidR="00B26C61"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the risks and rewards of ownership have been transferred to the buyer;</w:t>
      </w:r>
    </w:p>
    <w:p w:rsidR="00B26C61"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the department retains no managerial involvement or effective control over the goods;</w:t>
      </w:r>
    </w:p>
    <w:p w:rsidR="00B26C61"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the revenue and transaction costs incurred can be reliably measured; and</w:t>
      </w:r>
    </w:p>
    <w:p w:rsidR="00B26C61" w:rsidRDefault="00B26C61" w:rsidP="00B26C61">
      <w:pPr>
        <w:pStyle w:val="BulletKPMG"/>
        <w:numPr>
          <w:ilvl w:val="0"/>
          <w:numId w:val="17"/>
        </w:numPr>
        <w:rPr>
          <w:rFonts w:asciiTheme="minorHAnsi" w:hAnsiTheme="minorHAnsi" w:cstheme="minorHAnsi"/>
          <w:lang w:val="en-AU"/>
        </w:rPr>
      </w:pPr>
      <w:proofErr w:type="gramStart"/>
      <w:r>
        <w:rPr>
          <w:rFonts w:asciiTheme="minorHAnsi" w:hAnsiTheme="minorHAnsi" w:cstheme="minorHAnsi"/>
          <w:lang w:val="en-AU"/>
        </w:rPr>
        <w:t>it</w:t>
      </w:r>
      <w:proofErr w:type="gramEnd"/>
      <w:r>
        <w:rPr>
          <w:rFonts w:asciiTheme="minorHAnsi" w:hAnsiTheme="minorHAnsi" w:cstheme="minorHAnsi"/>
          <w:lang w:val="en-AU"/>
        </w:rPr>
        <w:t xml:space="preserve"> is probable that the economic benefits associated with the transaction will flow to the department.</w:t>
      </w:r>
    </w:p>
    <w:p w:rsidR="00B26C61" w:rsidRDefault="00B26C61" w:rsidP="00B26C61">
      <w:pPr>
        <w:pStyle w:val="StyleNotesTextBold1"/>
        <w:rPr>
          <w:rFonts w:asciiTheme="minorHAnsi" w:hAnsiTheme="minorHAnsi" w:cstheme="minorHAnsi"/>
        </w:rPr>
      </w:pPr>
      <w:r>
        <w:rPr>
          <w:rFonts w:asciiTheme="minorHAnsi" w:hAnsiTheme="minorHAnsi" w:cstheme="minorHAnsi"/>
          <w:lang w:eastAsia="en-AU"/>
        </w:rPr>
        <w:t>Revenue from rendering of services is recognised by reference to the stage of completion of contracts at the reporting date.  The revenue is recognised when</w:t>
      </w:r>
      <w:r>
        <w:rPr>
          <w:rFonts w:asciiTheme="minorHAnsi" w:hAnsiTheme="minorHAnsi" w:cstheme="minorHAnsi"/>
        </w:rPr>
        <w:t>:</w:t>
      </w:r>
    </w:p>
    <w:p w:rsidR="00B26C61"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the amount of revenue, stage of completion and transaction costs incurred can be reliably measured; and</w:t>
      </w:r>
      <w:r>
        <w:rPr>
          <w:rFonts w:asciiTheme="minorHAnsi" w:hAnsiTheme="minorHAnsi" w:cstheme="minorHAnsi"/>
          <w:lang w:val="en-AU"/>
        </w:rPr>
        <w:tab/>
      </w:r>
    </w:p>
    <w:p w:rsidR="00B26C61" w:rsidRDefault="00B26C61" w:rsidP="00B26C61">
      <w:pPr>
        <w:pStyle w:val="BulletKPMG"/>
        <w:numPr>
          <w:ilvl w:val="0"/>
          <w:numId w:val="17"/>
        </w:numPr>
        <w:rPr>
          <w:rFonts w:asciiTheme="minorHAnsi" w:hAnsiTheme="minorHAnsi" w:cstheme="minorHAnsi"/>
          <w:lang w:val="en-AU"/>
        </w:rPr>
      </w:pPr>
      <w:proofErr w:type="gramStart"/>
      <w:r>
        <w:rPr>
          <w:rFonts w:asciiTheme="minorHAnsi" w:hAnsiTheme="minorHAnsi" w:cstheme="minorHAnsi"/>
          <w:lang w:val="en-AU"/>
        </w:rPr>
        <w:t>the</w:t>
      </w:r>
      <w:proofErr w:type="gramEnd"/>
      <w:r>
        <w:rPr>
          <w:rFonts w:asciiTheme="minorHAnsi" w:hAnsiTheme="minorHAnsi" w:cstheme="minorHAnsi"/>
          <w:lang w:val="en-AU"/>
        </w:rPr>
        <w:t xml:space="preserve"> probable economic benefits associated with the transaction will flow to the department.</w:t>
      </w:r>
    </w:p>
    <w:p w:rsidR="00B26C61" w:rsidRDefault="00B26C61" w:rsidP="00B26C61">
      <w:pPr>
        <w:pStyle w:val="NotesText0"/>
        <w:rPr>
          <w:rFonts w:cstheme="minorHAnsi"/>
          <w:sz w:val="20"/>
          <w:szCs w:val="20"/>
        </w:rPr>
      </w:pPr>
      <w:r>
        <w:rPr>
          <w:rFonts w:cstheme="minorHAnsi"/>
          <w:sz w:val="20"/>
          <w:szCs w:val="20"/>
        </w:rPr>
        <w:t>The stage of completion of contracts at the reporting date is determined by reference to the proportion that costs incurred to date bear to the estimated total costs of the transaction.</w:t>
      </w:r>
    </w:p>
    <w:p w:rsidR="00B26C61" w:rsidRDefault="00B26C61" w:rsidP="00B26C61">
      <w:pPr>
        <w:pStyle w:val="NotesText0"/>
        <w:rPr>
          <w:rFonts w:cstheme="minorHAnsi"/>
          <w:sz w:val="20"/>
          <w:szCs w:val="20"/>
        </w:rPr>
      </w:pPr>
      <w:r>
        <w:rPr>
          <w:rFonts w:cstheme="minorHAnsi"/>
          <w:sz w:val="20"/>
          <w:szCs w:val="20"/>
        </w:rPr>
        <w:t>Receivables for goods and services, which have 30 day terms, are recognised at the nominal amounts due less any impairment allowance account.  Collectability of debts is reviewed at the end of the reporting period. Allowances are made when collectability of the debt is no longer probable.</w:t>
      </w:r>
    </w:p>
    <w:p w:rsidR="00B26C61" w:rsidRDefault="00B26C61" w:rsidP="00B26C61">
      <w:pPr>
        <w:pStyle w:val="StyleNotesTextItalic"/>
        <w:rPr>
          <w:rFonts w:cstheme="minorHAnsi"/>
          <w:sz w:val="20"/>
          <w:szCs w:val="20"/>
        </w:rPr>
      </w:pPr>
      <w:r>
        <w:rPr>
          <w:rFonts w:cstheme="minorHAnsi"/>
          <w:sz w:val="20"/>
          <w:szCs w:val="20"/>
        </w:rPr>
        <w:t>Resources received free of charge</w:t>
      </w:r>
    </w:p>
    <w:p w:rsidR="00B26C61" w:rsidRDefault="00B26C61" w:rsidP="00B26C61">
      <w:pPr>
        <w:pStyle w:val="NotesText0"/>
        <w:rPr>
          <w:rFonts w:cstheme="minorHAnsi"/>
          <w:sz w:val="20"/>
          <w:szCs w:val="20"/>
        </w:rPr>
      </w:pPr>
      <w:r>
        <w:rPr>
          <w:rFonts w:cstheme="minorHAnsi"/>
          <w:sz w:val="20"/>
          <w:szCs w:val="20"/>
        </w:rPr>
        <w:lastRenderedPageBreak/>
        <w:t>Resources received free of charge are recognised as revenue when, and only when, a fair value can be reliably determined and the services would have been purchased if they had not been donated.  Use of those resources is recognised as an expense.</w:t>
      </w:r>
    </w:p>
    <w:p w:rsidR="00B26C61" w:rsidRDefault="00B26C61" w:rsidP="00B26C61">
      <w:pPr>
        <w:pStyle w:val="NotesText0"/>
        <w:rPr>
          <w:rFonts w:cstheme="minorHAnsi"/>
          <w:sz w:val="20"/>
          <w:szCs w:val="20"/>
        </w:rPr>
      </w:pPr>
      <w:r>
        <w:rPr>
          <w:rFonts w:cstheme="minorHAnsi"/>
          <w:sz w:val="20"/>
          <w:szCs w:val="20"/>
        </w:rPr>
        <w:t>Resources received free of charge are recorded as either revenue or gains depending on their nature.</w:t>
      </w:r>
    </w:p>
    <w:p w:rsidR="00B26C61" w:rsidRDefault="00B26C61" w:rsidP="00B26C61">
      <w:pPr>
        <w:pStyle w:val="StyleNotesTextItalic"/>
        <w:rPr>
          <w:rFonts w:cstheme="minorHAnsi"/>
          <w:sz w:val="20"/>
          <w:szCs w:val="20"/>
        </w:rPr>
      </w:pPr>
      <w:r>
        <w:rPr>
          <w:rFonts w:cstheme="minorHAnsi"/>
          <w:sz w:val="20"/>
          <w:szCs w:val="20"/>
        </w:rPr>
        <w:t>Revenue from Government</w:t>
      </w:r>
    </w:p>
    <w:p w:rsidR="00B26C61" w:rsidRDefault="00B26C61" w:rsidP="00B26C61">
      <w:pPr>
        <w:pStyle w:val="NotesText0"/>
        <w:rPr>
          <w:rFonts w:cstheme="minorHAnsi"/>
          <w:sz w:val="20"/>
          <w:szCs w:val="20"/>
        </w:rPr>
      </w:pPr>
      <w:r>
        <w:rPr>
          <w:rFonts w:cstheme="minorHAnsi"/>
          <w:sz w:val="20"/>
          <w:szCs w:val="20"/>
        </w:rPr>
        <w:t>Amounts appropriated for departmental appropriations for the year (adjusted for any formal additions and reductions) are recognised as Revenue from Government when the department gains control of the appropriation, except for certain amounts that relate to activities that are reciprocal in nature, in which case revenue is recognised only when it has been earned.</w:t>
      </w:r>
    </w:p>
    <w:p w:rsidR="00B26C61" w:rsidRDefault="00B26C61" w:rsidP="00B26C61">
      <w:pPr>
        <w:pStyle w:val="StyleNotesTextBold1"/>
        <w:rPr>
          <w:rFonts w:asciiTheme="minorHAnsi" w:hAnsiTheme="minorHAnsi" w:cstheme="minorHAnsi"/>
        </w:rPr>
      </w:pPr>
      <w:r>
        <w:rPr>
          <w:rFonts w:asciiTheme="minorHAnsi" w:hAnsiTheme="minorHAnsi" w:cstheme="minorHAnsi"/>
        </w:rPr>
        <w:t>Appropriations receivable are recognised at their nominal amounts.</w:t>
      </w:r>
    </w:p>
    <w:p w:rsidR="00B26C61" w:rsidRDefault="00B26C61" w:rsidP="00B26C61">
      <w:pPr>
        <w:pStyle w:val="SAPHeading-Level2"/>
        <w:numPr>
          <w:ilvl w:val="1"/>
          <w:numId w:val="16"/>
        </w:numPr>
      </w:pPr>
      <w:r>
        <w:t>Gains</w:t>
      </w:r>
    </w:p>
    <w:p w:rsidR="00B26C61" w:rsidRDefault="00B26C61" w:rsidP="00B26C61">
      <w:pPr>
        <w:pStyle w:val="NotesText0"/>
        <w:rPr>
          <w:rFonts w:cstheme="minorHAnsi"/>
          <w:sz w:val="20"/>
          <w:szCs w:val="20"/>
        </w:rPr>
      </w:pPr>
      <w:r>
        <w:rPr>
          <w:rFonts w:cstheme="minorHAnsi"/>
          <w:sz w:val="20"/>
          <w:szCs w:val="20"/>
        </w:rPr>
        <w:t>Contributions of assets at no cost of acquisition or for nominal consideration are recognised as gains at their fair value when the asset qualifies for recognition, unless received from another Government entity as a consequence of a restructuring of administrative arrangements (Refer to Note 1.7).</w:t>
      </w:r>
    </w:p>
    <w:p w:rsidR="00B26C61" w:rsidRDefault="00B26C61" w:rsidP="00B26C61">
      <w:pPr>
        <w:pStyle w:val="StyleNotesTextItalic"/>
        <w:rPr>
          <w:rFonts w:cstheme="minorHAnsi"/>
          <w:sz w:val="20"/>
          <w:szCs w:val="20"/>
        </w:rPr>
      </w:pPr>
      <w:r>
        <w:rPr>
          <w:rFonts w:cstheme="minorHAnsi"/>
          <w:sz w:val="20"/>
          <w:szCs w:val="20"/>
        </w:rPr>
        <w:t>Sale of assets</w:t>
      </w:r>
    </w:p>
    <w:p w:rsidR="00B26C61" w:rsidRDefault="00B26C61" w:rsidP="00B26C61">
      <w:pPr>
        <w:pStyle w:val="StyleNotesTextBold1"/>
        <w:rPr>
          <w:rFonts w:asciiTheme="minorHAnsi" w:hAnsiTheme="minorHAnsi" w:cstheme="minorHAnsi"/>
        </w:rPr>
      </w:pPr>
      <w:r>
        <w:rPr>
          <w:rFonts w:asciiTheme="minorHAnsi" w:hAnsiTheme="minorHAnsi" w:cstheme="minorHAnsi"/>
          <w:lang w:eastAsia="en-AU"/>
        </w:rPr>
        <w:t>Gains from disposal of assets are recognised when control of the asset has passed to the buyer</w:t>
      </w:r>
      <w:r>
        <w:rPr>
          <w:rFonts w:asciiTheme="minorHAnsi" w:hAnsiTheme="minorHAnsi" w:cstheme="minorHAnsi"/>
        </w:rPr>
        <w:t>.</w:t>
      </w:r>
    </w:p>
    <w:p w:rsidR="00B26C61" w:rsidRDefault="00B26C61" w:rsidP="00B26C61">
      <w:pPr>
        <w:pStyle w:val="SAPHeading-Level2"/>
        <w:numPr>
          <w:ilvl w:val="1"/>
          <w:numId w:val="16"/>
        </w:numPr>
      </w:pPr>
      <w:r>
        <w:t>Transactions with the Government as Owner</w:t>
      </w:r>
    </w:p>
    <w:p w:rsidR="00B26C61" w:rsidRDefault="00B26C61" w:rsidP="00B26C61">
      <w:pPr>
        <w:pStyle w:val="StyleNotesTextItalic"/>
        <w:rPr>
          <w:rFonts w:cstheme="minorHAnsi"/>
          <w:sz w:val="20"/>
          <w:szCs w:val="20"/>
        </w:rPr>
      </w:pPr>
      <w:r>
        <w:rPr>
          <w:rFonts w:cstheme="minorHAnsi"/>
          <w:sz w:val="20"/>
          <w:szCs w:val="20"/>
        </w:rPr>
        <w:t>Equity injections</w:t>
      </w:r>
    </w:p>
    <w:p w:rsidR="00B26C61" w:rsidRDefault="00B26C61" w:rsidP="00B26C61">
      <w:pPr>
        <w:pStyle w:val="NotesText0"/>
        <w:rPr>
          <w:rFonts w:cstheme="minorHAnsi"/>
          <w:bCs/>
          <w:sz w:val="20"/>
          <w:szCs w:val="20"/>
        </w:rPr>
      </w:pPr>
      <w:r>
        <w:rPr>
          <w:rFonts w:cstheme="minorHAnsi"/>
          <w:sz w:val="20"/>
          <w:szCs w:val="20"/>
        </w:rPr>
        <w:t>Amounts appropriated which are designated as ‘equity injections’ for a year (less any formal reductions) and Departmental Capital Budgets (</w:t>
      </w:r>
      <w:proofErr w:type="spellStart"/>
      <w:r>
        <w:rPr>
          <w:rFonts w:cstheme="minorHAnsi"/>
          <w:sz w:val="20"/>
          <w:szCs w:val="20"/>
        </w:rPr>
        <w:t>DCBs</w:t>
      </w:r>
      <w:proofErr w:type="spellEnd"/>
      <w:r>
        <w:rPr>
          <w:rFonts w:cstheme="minorHAnsi"/>
          <w:sz w:val="20"/>
          <w:szCs w:val="20"/>
        </w:rPr>
        <w:t>) are recognised directly in contributed e</w:t>
      </w:r>
      <w:r>
        <w:rPr>
          <w:rFonts w:cstheme="minorHAnsi"/>
          <w:bCs/>
          <w:sz w:val="20"/>
          <w:szCs w:val="20"/>
        </w:rPr>
        <w:t>quity in that year.</w:t>
      </w:r>
    </w:p>
    <w:p w:rsidR="00B26C61" w:rsidRDefault="00B26C61" w:rsidP="00B26C61">
      <w:pPr>
        <w:pStyle w:val="StyleNotesTextItalic"/>
        <w:rPr>
          <w:rFonts w:cstheme="minorHAnsi"/>
          <w:sz w:val="20"/>
          <w:szCs w:val="20"/>
        </w:rPr>
      </w:pPr>
      <w:r>
        <w:rPr>
          <w:rFonts w:cstheme="minorHAnsi"/>
          <w:sz w:val="20"/>
          <w:szCs w:val="20"/>
        </w:rPr>
        <w:t>Restructuring of administrative arrangements</w:t>
      </w:r>
    </w:p>
    <w:p w:rsidR="00B26C61" w:rsidRDefault="00B26C61" w:rsidP="00B26C61">
      <w:pPr>
        <w:pStyle w:val="NotesText0"/>
        <w:rPr>
          <w:rFonts w:cstheme="minorHAnsi"/>
          <w:sz w:val="20"/>
          <w:szCs w:val="20"/>
        </w:rPr>
      </w:pPr>
      <w:r>
        <w:rPr>
          <w:rFonts w:cstheme="minorHAnsi"/>
          <w:sz w:val="20"/>
          <w:szCs w:val="20"/>
        </w:rPr>
        <w:t>Net assets received from, or relinquished to, another Australian Government entity under a restructuring of administrative arrangements are adjusted at their book value directly against contributed equity.</w:t>
      </w:r>
    </w:p>
    <w:p w:rsidR="00B26C61" w:rsidRDefault="00B26C61" w:rsidP="00B26C61">
      <w:pPr>
        <w:pStyle w:val="StyleNotesTextItalic"/>
        <w:rPr>
          <w:rFonts w:cstheme="minorHAnsi"/>
          <w:sz w:val="20"/>
          <w:szCs w:val="20"/>
        </w:rPr>
      </w:pPr>
      <w:r>
        <w:rPr>
          <w:rFonts w:cstheme="minorHAnsi"/>
          <w:sz w:val="20"/>
          <w:szCs w:val="20"/>
        </w:rPr>
        <w:t>Other distributions to Owners</w:t>
      </w:r>
    </w:p>
    <w:p w:rsidR="00B26C61" w:rsidRDefault="00B26C61" w:rsidP="00B26C61">
      <w:pPr>
        <w:pStyle w:val="NotesText0"/>
        <w:rPr>
          <w:rFonts w:cstheme="minorHAnsi"/>
          <w:bCs/>
          <w:sz w:val="20"/>
          <w:szCs w:val="20"/>
        </w:rPr>
      </w:pPr>
      <w:r>
        <w:rPr>
          <w:rFonts w:cstheme="minorHAnsi"/>
          <w:sz w:val="20"/>
          <w:szCs w:val="20"/>
        </w:rPr>
        <w:t xml:space="preserve">The </w:t>
      </w:r>
      <w:proofErr w:type="spellStart"/>
      <w:r>
        <w:rPr>
          <w:rFonts w:cstheme="minorHAnsi"/>
          <w:sz w:val="20"/>
          <w:szCs w:val="20"/>
        </w:rPr>
        <w:t>FMOs</w:t>
      </w:r>
      <w:proofErr w:type="spellEnd"/>
      <w:r>
        <w:rPr>
          <w:rFonts w:cstheme="minorHAnsi"/>
          <w:sz w:val="20"/>
          <w:szCs w:val="20"/>
        </w:rPr>
        <w:t xml:space="preserve"> require that distributions to owners be debited to </w:t>
      </w:r>
      <w:proofErr w:type="gramStart"/>
      <w:r>
        <w:rPr>
          <w:rFonts w:cstheme="minorHAnsi"/>
          <w:sz w:val="20"/>
          <w:szCs w:val="20"/>
        </w:rPr>
        <w:t>contributed</w:t>
      </w:r>
      <w:proofErr w:type="gramEnd"/>
      <w:r>
        <w:rPr>
          <w:rFonts w:cstheme="minorHAnsi"/>
          <w:sz w:val="20"/>
          <w:szCs w:val="20"/>
        </w:rPr>
        <w:t xml:space="preserve"> e</w:t>
      </w:r>
      <w:r>
        <w:rPr>
          <w:rFonts w:cstheme="minorHAnsi"/>
          <w:bCs/>
          <w:sz w:val="20"/>
          <w:szCs w:val="20"/>
        </w:rPr>
        <w:t>quity unless it is in the nature of a dividend.</w:t>
      </w:r>
    </w:p>
    <w:p w:rsidR="00B26C61" w:rsidRDefault="00B26C61" w:rsidP="00B26C61">
      <w:pPr>
        <w:pStyle w:val="SAPHeading-Level2"/>
        <w:numPr>
          <w:ilvl w:val="1"/>
          <w:numId w:val="16"/>
        </w:numPr>
      </w:pPr>
      <w:r>
        <w:t>Employee Benefits</w:t>
      </w:r>
    </w:p>
    <w:p w:rsidR="00B26C61" w:rsidRDefault="00B26C61" w:rsidP="00B26C61">
      <w:pPr>
        <w:pStyle w:val="NotesText0"/>
        <w:rPr>
          <w:rFonts w:cstheme="minorHAnsi"/>
          <w:sz w:val="20"/>
          <w:szCs w:val="20"/>
        </w:rPr>
      </w:pPr>
      <w:r>
        <w:rPr>
          <w:rFonts w:cstheme="minorHAnsi"/>
          <w:sz w:val="20"/>
          <w:szCs w:val="20"/>
        </w:rPr>
        <w:t xml:space="preserve">Liabilities for ‘short-term employee benefits’ (as defined in </w:t>
      </w:r>
      <w:proofErr w:type="spellStart"/>
      <w:r>
        <w:rPr>
          <w:rFonts w:cstheme="minorHAnsi"/>
          <w:sz w:val="20"/>
          <w:szCs w:val="20"/>
        </w:rPr>
        <w:t>AASB</w:t>
      </w:r>
      <w:proofErr w:type="spellEnd"/>
      <w:r>
        <w:rPr>
          <w:rFonts w:cstheme="minorHAnsi"/>
          <w:sz w:val="20"/>
          <w:szCs w:val="20"/>
        </w:rPr>
        <w:t xml:space="preserve"> 119</w:t>
      </w:r>
      <w:r>
        <w:rPr>
          <w:rStyle w:val="StyleNotesTextBold1Char"/>
          <w:rFonts w:cstheme="minorHAnsi"/>
          <w:sz w:val="20"/>
          <w:szCs w:val="20"/>
        </w:rPr>
        <w:t xml:space="preserve"> </w:t>
      </w:r>
      <w:r>
        <w:rPr>
          <w:rFonts w:cstheme="minorHAnsi"/>
          <w:i/>
          <w:sz w:val="20"/>
          <w:szCs w:val="20"/>
        </w:rPr>
        <w:t>Employee Benefits</w:t>
      </w:r>
      <w:r>
        <w:rPr>
          <w:rFonts w:cstheme="minorHAnsi"/>
          <w:sz w:val="20"/>
          <w:szCs w:val="20"/>
        </w:rPr>
        <w:t>) and termination benefits due within twelve months of the end of reporting period are measured at their nominal amounts.</w:t>
      </w:r>
    </w:p>
    <w:p w:rsidR="00B26C61" w:rsidRDefault="00B26C61" w:rsidP="00B26C61">
      <w:pPr>
        <w:pStyle w:val="NotesText0"/>
        <w:rPr>
          <w:rFonts w:cstheme="minorHAnsi"/>
          <w:sz w:val="20"/>
          <w:szCs w:val="20"/>
        </w:rPr>
      </w:pPr>
      <w:r>
        <w:rPr>
          <w:rFonts w:cstheme="minorHAnsi"/>
          <w:sz w:val="20"/>
          <w:szCs w:val="20"/>
        </w:rPr>
        <w:t>The nominal amount is calculated with regard to the rates expected to be paid on settlement of the liability.</w:t>
      </w:r>
    </w:p>
    <w:p w:rsidR="00B26C61" w:rsidRDefault="00B26C61" w:rsidP="00B26C61">
      <w:pPr>
        <w:pStyle w:val="NotesText0"/>
        <w:rPr>
          <w:rFonts w:cstheme="minorHAnsi"/>
          <w:sz w:val="20"/>
          <w:szCs w:val="20"/>
        </w:rPr>
      </w:pPr>
      <w:r>
        <w:rPr>
          <w:rFonts w:cstheme="minorHAnsi"/>
          <w:sz w:val="20"/>
          <w:szCs w:val="20"/>
        </w:rPr>
        <w:t>Other long-term employee benefits are measured at net total of the present value of the defined benefit obligation at the end of the reporting period minus the fair value at the end of the reporting period of plan assets (if any) out of which the obligations are to be settled directly.</w:t>
      </w:r>
    </w:p>
    <w:p w:rsidR="00B26C61" w:rsidRDefault="00B26C61" w:rsidP="00B26C61">
      <w:pPr>
        <w:spacing w:line="240" w:lineRule="auto"/>
        <w:rPr>
          <w:rFonts w:cstheme="minorHAnsi"/>
          <w:sz w:val="20"/>
        </w:rPr>
      </w:pPr>
      <w:r>
        <w:rPr>
          <w:rFonts w:cstheme="minorHAnsi"/>
          <w:sz w:val="20"/>
        </w:rPr>
        <w:t>Leave</w:t>
      </w:r>
    </w:p>
    <w:p w:rsidR="00B26C61" w:rsidRDefault="00B26C61" w:rsidP="00B26C61">
      <w:pPr>
        <w:pStyle w:val="NotesText0"/>
        <w:rPr>
          <w:rFonts w:cstheme="minorHAnsi"/>
          <w:sz w:val="20"/>
          <w:szCs w:val="20"/>
        </w:rPr>
      </w:pPr>
      <w:r>
        <w:rPr>
          <w:rFonts w:cstheme="minorHAnsi"/>
          <w:sz w:val="20"/>
          <w:szCs w:val="20"/>
        </w:rPr>
        <w:t xml:space="preserve">The liability for employee benefits includes provision for annual leave and long service leave.  No provision has been made for sick leave as all sick </w:t>
      </w:r>
      <w:proofErr w:type="gramStart"/>
      <w:r>
        <w:rPr>
          <w:rFonts w:cstheme="minorHAnsi"/>
          <w:sz w:val="20"/>
          <w:szCs w:val="20"/>
        </w:rPr>
        <w:t>leave</w:t>
      </w:r>
      <w:proofErr w:type="gramEnd"/>
      <w:r>
        <w:rPr>
          <w:rFonts w:cstheme="minorHAnsi"/>
          <w:sz w:val="20"/>
          <w:szCs w:val="20"/>
        </w:rPr>
        <w:t xml:space="preserve"> is non-vesting and the average sick leave taken in future years by employees of the department is estimated to be less than the annual entitlement for sick leave.</w:t>
      </w:r>
    </w:p>
    <w:p w:rsidR="00B26C61" w:rsidRDefault="00B26C61" w:rsidP="00B26C61">
      <w:pPr>
        <w:pStyle w:val="NotesText0"/>
        <w:rPr>
          <w:rFonts w:cstheme="minorHAnsi"/>
          <w:sz w:val="20"/>
          <w:szCs w:val="20"/>
        </w:rPr>
      </w:pPr>
      <w:r>
        <w:rPr>
          <w:rFonts w:cstheme="minorHAnsi"/>
          <w:sz w:val="20"/>
          <w:szCs w:val="20"/>
        </w:rPr>
        <w:t>The leave liabilities are calculated on the basis of employees’ remuneration at the estimated salary rates that will be applied at the time the leave is taken, including the department’s employer superannuation contribution rates, to the extent that the leave is likely to be taken during service rather than paid out on termination.</w:t>
      </w:r>
    </w:p>
    <w:p w:rsidR="00B26C61" w:rsidRDefault="00B26C61" w:rsidP="00B26C61">
      <w:pPr>
        <w:pStyle w:val="StyleNotesTextBold1"/>
        <w:rPr>
          <w:rFonts w:asciiTheme="minorHAnsi" w:hAnsiTheme="minorHAnsi" w:cstheme="minorHAnsi"/>
        </w:rPr>
      </w:pPr>
      <w:r>
        <w:rPr>
          <w:rFonts w:asciiTheme="minorHAnsi" w:hAnsiTheme="minorHAnsi" w:cstheme="minorHAnsi"/>
        </w:rPr>
        <w:t xml:space="preserve">The liability for long service leave has been determined by reference to the work of an actuary conducted as at </w:t>
      </w:r>
      <w:r>
        <w:rPr>
          <w:rFonts w:asciiTheme="minorHAnsi" w:hAnsiTheme="minorHAnsi" w:cstheme="minorHAnsi"/>
        </w:rPr>
        <w:br/>
        <w:t>30 June 2014.  The estimate of the present value of the liability takes into account attrition rates and pay increases through promotion and inflation.</w:t>
      </w:r>
    </w:p>
    <w:p w:rsidR="00B26C61" w:rsidRDefault="00B26C61" w:rsidP="00B26C61">
      <w:pPr>
        <w:pStyle w:val="StyleNotesTextItalic"/>
        <w:rPr>
          <w:rFonts w:cstheme="minorHAnsi"/>
          <w:sz w:val="20"/>
          <w:szCs w:val="20"/>
        </w:rPr>
      </w:pPr>
    </w:p>
    <w:p w:rsidR="00B26C61" w:rsidRDefault="00B26C61" w:rsidP="00B26C61">
      <w:pPr>
        <w:pStyle w:val="StyleNotesTextItalic"/>
        <w:rPr>
          <w:rFonts w:cstheme="minorHAnsi"/>
          <w:sz w:val="20"/>
          <w:szCs w:val="20"/>
        </w:rPr>
      </w:pPr>
    </w:p>
    <w:p w:rsidR="00B26C61" w:rsidRDefault="00B26C61" w:rsidP="00B26C61">
      <w:pPr>
        <w:pStyle w:val="StyleNotesTextItalic"/>
        <w:rPr>
          <w:rFonts w:cstheme="minorHAnsi"/>
          <w:sz w:val="20"/>
          <w:szCs w:val="20"/>
        </w:rPr>
      </w:pPr>
      <w:r>
        <w:rPr>
          <w:rFonts w:cstheme="minorHAnsi"/>
          <w:sz w:val="20"/>
          <w:szCs w:val="20"/>
        </w:rPr>
        <w:t>Separation and redundancy</w:t>
      </w:r>
    </w:p>
    <w:p w:rsidR="00B26C61" w:rsidRDefault="00B26C61" w:rsidP="00B26C61">
      <w:pPr>
        <w:pStyle w:val="StyleNotesTextBold1"/>
        <w:rPr>
          <w:rFonts w:asciiTheme="minorHAnsi" w:hAnsiTheme="minorHAnsi" w:cstheme="minorHAnsi"/>
        </w:rPr>
      </w:pPr>
      <w:r>
        <w:rPr>
          <w:rFonts w:asciiTheme="minorHAnsi" w:hAnsiTheme="minorHAnsi" w:cstheme="minorHAnsi"/>
        </w:rPr>
        <w:lastRenderedPageBreak/>
        <w:t>Provision is made for separation and redundancy benefit payments.  The department recognises a provision for termination when it has developed a detailed formal plan for the terminations and has informed those employees affected that it will carry out the terminations.</w:t>
      </w:r>
    </w:p>
    <w:p w:rsidR="00B26C61" w:rsidRDefault="00B26C61" w:rsidP="00B26C61">
      <w:pPr>
        <w:pStyle w:val="StyleNotesTextItalic"/>
        <w:rPr>
          <w:rFonts w:cstheme="minorHAnsi"/>
          <w:sz w:val="20"/>
          <w:szCs w:val="20"/>
        </w:rPr>
      </w:pPr>
      <w:r>
        <w:rPr>
          <w:rFonts w:cstheme="minorHAnsi"/>
          <w:sz w:val="20"/>
          <w:szCs w:val="20"/>
        </w:rPr>
        <w:t>Superannuation</w:t>
      </w:r>
    </w:p>
    <w:p w:rsidR="00B26C61" w:rsidRPr="0037417D" w:rsidRDefault="00B26C61" w:rsidP="00B26C61">
      <w:pPr>
        <w:pStyle w:val="NotesText0"/>
        <w:rPr>
          <w:rFonts w:cstheme="minorHAnsi"/>
          <w:sz w:val="20"/>
          <w:szCs w:val="20"/>
        </w:rPr>
      </w:pPr>
      <w:r w:rsidRPr="0037417D">
        <w:rPr>
          <w:rFonts w:cstheme="minorHAnsi"/>
          <w:sz w:val="20"/>
          <w:szCs w:val="20"/>
        </w:rPr>
        <w:t xml:space="preserve">Under the </w:t>
      </w:r>
      <w:r w:rsidRPr="0037417D">
        <w:rPr>
          <w:rFonts w:cstheme="minorHAnsi"/>
          <w:i/>
          <w:sz w:val="20"/>
          <w:szCs w:val="20"/>
        </w:rPr>
        <w:t>Superannuation Legislation Amendment (Choice of Funds) Act 2004</w:t>
      </w:r>
      <w:r w:rsidRPr="0037417D">
        <w:rPr>
          <w:rFonts w:cstheme="minorHAnsi"/>
          <w:sz w:val="20"/>
          <w:szCs w:val="20"/>
        </w:rPr>
        <w:t xml:space="preserve">, </w:t>
      </w:r>
      <w:proofErr w:type="gramStart"/>
      <w:r w:rsidRPr="0037417D">
        <w:rPr>
          <w:rFonts w:cstheme="minorHAnsi"/>
          <w:sz w:val="20"/>
          <w:szCs w:val="20"/>
        </w:rPr>
        <w:t xml:space="preserve">staff of the </w:t>
      </w:r>
      <w:r>
        <w:rPr>
          <w:rFonts w:cstheme="minorHAnsi"/>
          <w:sz w:val="20"/>
          <w:szCs w:val="20"/>
        </w:rPr>
        <w:t>d</w:t>
      </w:r>
      <w:r w:rsidRPr="0037417D">
        <w:rPr>
          <w:rFonts w:cstheme="minorHAnsi"/>
          <w:sz w:val="20"/>
          <w:szCs w:val="20"/>
        </w:rPr>
        <w:t>epartment are</w:t>
      </w:r>
      <w:proofErr w:type="gramEnd"/>
      <w:r w:rsidRPr="0037417D">
        <w:rPr>
          <w:rFonts w:cstheme="minorHAnsi"/>
          <w:sz w:val="20"/>
          <w:szCs w:val="20"/>
        </w:rPr>
        <w:t xml:space="preserve"> able to become a member of any complying superannuation fund. A complying superannuation fund is one that meets the requirements under the </w:t>
      </w:r>
      <w:r w:rsidRPr="0037417D">
        <w:rPr>
          <w:rFonts w:cstheme="minorHAnsi"/>
          <w:i/>
          <w:sz w:val="20"/>
          <w:szCs w:val="20"/>
        </w:rPr>
        <w:t>Income Tax Assessment Act (1997)</w:t>
      </w:r>
      <w:r w:rsidRPr="0037417D">
        <w:rPr>
          <w:rFonts w:cstheme="minorHAnsi"/>
          <w:sz w:val="20"/>
          <w:szCs w:val="20"/>
        </w:rPr>
        <w:t xml:space="preserve"> and the </w:t>
      </w:r>
      <w:r w:rsidRPr="0037417D">
        <w:rPr>
          <w:rFonts w:cstheme="minorHAnsi"/>
          <w:i/>
          <w:sz w:val="20"/>
          <w:szCs w:val="20"/>
        </w:rPr>
        <w:t>Superannuation Industry (Supervision) Act 1993</w:t>
      </w:r>
      <w:r w:rsidRPr="0037417D">
        <w:rPr>
          <w:rFonts w:cstheme="minorHAnsi"/>
          <w:sz w:val="20"/>
          <w:szCs w:val="20"/>
        </w:rPr>
        <w:t>.</w:t>
      </w:r>
    </w:p>
    <w:p w:rsidR="00B26C61" w:rsidRDefault="00B26C61" w:rsidP="00B26C61">
      <w:pPr>
        <w:pStyle w:val="NotesText0"/>
        <w:rPr>
          <w:rFonts w:cstheme="minorHAnsi"/>
          <w:sz w:val="20"/>
          <w:szCs w:val="20"/>
        </w:rPr>
      </w:pPr>
      <w:r>
        <w:rPr>
          <w:rFonts w:cstheme="minorHAnsi"/>
          <w:sz w:val="20"/>
          <w:szCs w:val="20"/>
        </w:rPr>
        <w:t>The majority of staff are members of the Commonwealth Superannuation Scheme (</w:t>
      </w:r>
      <w:proofErr w:type="spellStart"/>
      <w:r>
        <w:rPr>
          <w:rFonts w:cstheme="minorHAnsi"/>
          <w:sz w:val="20"/>
          <w:szCs w:val="20"/>
        </w:rPr>
        <w:t>CSS</w:t>
      </w:r>
      <w:proofErr w:type="spellEnd"/>
      <w:r>
        <w:rPr>
          <w:rFonts w:cstheme="minorHAnsi"/>
          <w:sz w:val="20"/>
          <w:szCs w:val="20"/>
        </w:rPr>
        <w:t>), the Public Sector Superannuation Scheme (PSS), the PSS accumulation plan (</w:t>
      </w:r>
      <w:proofErr w:type="spellStart"/>
      <w:r>
        <w:rPr>
          <w:rFonts w:cstheme="minorHAnsi"/>
          <w:sz w:val="20"/>
          <w:szCs w:val="20"/>
        </w:rPr>
        <w:t>PSSap</w:t>
      </w:r>
      <w:proofErr w:type="spellEnd"/>
      <w:r>
        <w:rPr>
          <w:rFonts w:cstheme="minorHAnsi"/>
          <w:sz w:val="20"/>
          <w:szCs w:val="20"/>
        </w:rPr>
        <w:t>) or the Australian Government Employees Superannuation Trust (</w:t>
      </w:r>
      <w:proofErr w:type="spellStart"/>
      <w:r>
        <w:rPr>
          <w:rFonts w:cstheme="minorHAnsi"/>
          <w:sz w:val="20"/>
          <w:szCs w:val="20"/>
        </w:rPr>
        <w:t>AGEST</w:t>
      </w:r>
      <w:proofErr w:type="spellEnd"/>
      <w:r>
        <w:rPr>
          <w:rFonts w:cstheme="minorHAnsi"/>
          <w:sz w:val="20"/>
          <w:szCs w:val="20"/>
        </w:rPr>
        <w:t>).</w:t>
      </w:r>
    </w:p>
    <w:p w:rsidR="00B26C61" w:rsidRDefault="00B26C61" w:rsidP="00B26C61">
      <w:pPr>
        <w:pStyle w:val="NotesText0"/>
        <w:rPr>
          <w:rFonts w:cstheme="minorHAnsi"/>
          <w:sz w:val="20"/>
          <w:szCs w:val="20"/>
        </w:rPr>
      </w:pPr>
      <w:r>
        <w:rPr>
          <w:rFonts w:cstheme="minorHAnsi"/>
          <w:sz w:val="20"/>
          <w:szCs w:val="20"/>
        </w:rPr>
        <w:t xml:space="preserve">The </w:t>
      </w:r>
      <w:proofErr w:type="spellStart"/>
      <w:r>
        <w:rPr>
          <w:rFonts w:cstheme="minorHAnsi"/>
          <w:sz w:val="20"/>
          <w:szCs w:val="20"/>
        </w:rPr>
        <w:t>CSS</w:t>
      </w:r>
      <w:proofErr w:type="spellEnd"/>
      <w:r>
        <w:rPr>
          <w:rFonts w:cstheme="minorHAnsi"/>
          <w:sz w:val="20"/>
          <w:szCs w:val="20"/>
        </w:rPr>
        <w:t xml:space="preserve">, PSS and </w:t>
      </w:r>
      <w:proofErr w:type="spellStart"/>
      <w:r>
        <w:rPr>
          <w:rFonts w:cstheme="minorHAnsi"/>
          <w:sz w:val="20"/>
          <w:szCs w:val="20"/>
        </w:rPr>
        <w:t>AGEST</w:t>
      </w:r>
      <w:proofErr w:type="spellEnd"/>
      <w:r>
        <w:rPr>
          <w:rFonts w:cstheme="minorHAnsi"/>
          <w:sz w:val="20"/>
          <w:szCs w:val="20"/>
        </w:rPr>
        <w:t xml:space="preserve"> are defined benefit schemes for the Australian Government.  The </w:t>
      </w:r>
      <w:proofErr w:type="spellStart"/>
      <w:r>
        <w:rPr>
          <w:rFonts w:cstheme="minorHAnsi"/>
          <w:sz w:val="20"/>
          <w:szCs w:val="20"/>
        </w:rPr>
        <w:t>PSSap</w:t>
      </w:r>
      <w:proofErr w:type="spellEnd"/>
      <w:r>
        <w:rPr>
          <w:rFonts w:cstheme="minorHAnsi"/>
          <w:sz w:val="20"/>
          <w:szCs w:val="20"/>
        </w:rPr>
        <w:t xml:space="preserve"> is a defined contribution scheme.</w:t>
      </w:r>
    </w:p>
    <w:p w:rsidR="00B26C61" w:rsidRDefault="00B26C61" w:rsidP="00B26C61">
      <w:pPr>
        <w:pStyle w:val="NotesText0"/>
        <w:rPr>
          <w:rFonts w:cstheme="minorHAnsi"/>
          <w:sz w:val="20"/>
          <w:szCs w:val="20"/>
        </w:rPr>
      </w:pPr>
      <w:r>
        <w:rPr>
          <w:rFonts w:cstheme="minorHAnsi"/>
          <w:sz w:val="20"/>
          <w:szCs w:val="20"/>
        </w:rPr>
        <w:t>The liability for defined benefits is recognised in the financial statements of the Australian Government and is settled by the Australian Government in due course. This liability is reported by the Department of Finance administered schedules and notes.</w:t>
      </w:r>
    </w:p>
    <w:p w:rsidR="00B26C61" w:rsidRDefault="00B26C61" w:rsidP="00B26C61">
      <w:pPr>
        <w:pStyle w:val="StyleNotesTextBold1"/>
        <w:rPr>
          <w:rFonts w:asciiTheme="minorHAnsi" w:hAnsiTheme="minorHAnsi" w:cstheme="minorHAnsi"/>
        </w:rPr>
      </w:pPr>
      <w:r>
        <w:rPr>
          <w:rFonts w:asciiTheme="minorHAnsi" w:hAnsiTheme="minorHAnsi" w:cstheme="minorHAnsi"/>
        </w:rPr>
        <w:t>The department makes employer contributions to the employee’s superannuation scheme at rates determined by an actuary to be sufficient to meet the current cost to the Government.  The department accounts for the contributions as if they were contributions to defined contribution plans.</w:t>
      </w:r>
    </w:p>
    <w:p w:rsidR="00B26C61" w:rsidRDefault="00B26C61" w:rsidP="00B26C61">
      <w:pPr>
        <w:pStyle w:val="StyleNotesTextBold1"/>
        <w:rPr>
          <w:rFonts w:asciiTheme="minorHAnsi" w:hAnsiTheme="minorHAnsi" w:cstheme="minorHAnsi"/>
        </w:rPr>
      </w:pPr>
      <w:r>
        <w:rPr>
          <w:rFonts w:asciiTheme="minorHAnsi" w:hAnsiTheme="minorHAnsi" w:cstheme="minorHAnsi"/>
        </w:rPr>
        <w:t>The liability for superannuation recognised as at 30 June represents outstanding contributions for the final fortnight of the year.</w:t>
      </w:r>
    </w:p>
    <w:p w:rsidR="00B26C61" w:rsidRDefault="00B26C61" w:rsidP="00B26C61">
      <w:pPr>
        <w:pStyle w:val="SAPHeading-Level2"/>
        <w:numPr>
          <w:ilvl w:val="1"/>
          <w:numId w:val="16"/>
        </w:numPr>
      </w:pPr>
      <w:r>
        <w:t>Leases</w:t>
      </w:r>
    </w:p>
    <w:p w:rsidR="00B26C61" w:rsidRDefault="00B26C61" w:rsidP="00B26C61">
      <w:pPr>
        <w:pStyle w:val="NotesText0"/>
        <w:rPr>
          <w:rFonts w:cstheme="minorHAnsi"/>
          <w:sz w:val="20"/>
          <w:szCs w:val="20"/>
        </w:rPr>
      </w:pPr>
      <w:r>
        <w:rPr>
          <w:rFonts w:cstheme="minorHAnsi"/>
          <w:sz w:val="20"/>
          <w:szCs w:val="20"/>
        </w:rPr>
        <w:t>A distinction is made between finance leases and operating leases.  Finance leases effectively transfer from the lessor to the lessee substantially all the risks and rewards incidental to ownership of leased assets.  An operating lease is a lease that is not a finance lease.  In operating leases, the lessor effectively retains substantially all such risks and benefits.</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 xml:space="preserve">Where an asset is acquired by means of a finance lease, the asset is capitalised at either the fair value of the lease property or, if lower, the present value of minimum lease payments at the inception of the contract and a liability is recognised at the same time and for the same amount. </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The discount rate used is the interest rate implicit in the lease.  Leased assets are amortised over the period of the lease.  Lease payments are allocated between the principal component and the interest expense.</w:t>
      </w:r>
    </w:p>
    <w:p w:rsidR="00B26C61" w:rsidRDefault="00B26C61" w:rsidP="00B26C61">
      <w:pPr>
        <w:pStyle w:val="StyleNotesTextBold"/>
        <w:rPr>
          <w:rFonts w:asciiTheme="minorHAnsi" w:hAnsiTheme="minorHAnsi" w:cstheme="minorHAnsi"/>
          <w:lang w:eastAsia="en-AU"/>
        </w:rPr>
      </w:pPr>
      <w:r>
        <w:rPr>
          <w:rFonts w:asciiTheme="minorHAnsi" w:hAnsiTheme="minorHAnsi" w:cstheme="minorHAnsi"/>
          <w:lang w:eastAsia="en-AU"/>
        </w:rPr>
        <w:t xml:space="preserve">Operating lease payments are expensed on a straight-line basis which is representative of the pattern of benefits derived from the leased assets. </w:t>
      </w:r>
    </w:p>
    <w:p w:rsidR="00B26C61" w:rsidRDefault="00B26C61" w:rsidP="00B26C61">
      <w:pPr>
        <w:pStyle w:val="StyleNotesTextItalic"/>
        <w:rPr>
          <w:rFonts w:cstheme="minorHAnsi"/>
          <w:sz w:val="20"/>
          <w:szCs w:val="20"/>
        </w:rPr>
      </w:pPr>
      <w:r>
        <w:rPr>
          <w:rFonts w:cstheme="minorHAnsi"/>
          <w:sz w:val="20"/>
          <w:szCs w:val="20"/>
        </w:rPr>
        <w:t>Lease incentives</w:t>
      </w:r>
    </w:p>
    <w:p w:rsidR="00B26C61" w:rsidRDefault="00B26C61" w:rsidP="00B26C61">
      <w:pPr>
        <w:pStyle w:val="StyleNotesTextBold"/>
        <w:rPr>
          <w:rFonts w:asciiTheme="minorHAnsi" w:hAnsiTheme="minorHAnsi" w:cstheme="minorHAnsi"/>
          <w:lang w:eastAsia="en-AU"/>
        </w:rPr>
      </w:pPr>
      <w:r>
        <w:rPr>
          <w:rFonts w:asciiTheme="minorHAnsi" w:hAnsiTheme="minorHAnsi" w:cstheme="minorHAnsi"/>
          <w:lang w:eastAsia="en-AU"/>
        </w:rPr>
        <w:t>Lease incentives taking the form of ‘free’ leasehold improvements and rent free holidays are recognised as liabilities. These liabilities are reduced by allocating lease payments between rental expense and reduction of the liability.</w:t>
      </w:r>
    </w:p>
    <w:p w:rsidR="00B26C61" w:rsidRDefault="00B26C61" w:rsidP="00B26C61">
      <w:pPr>
        <w:pStyle w:val="SAPHeading-Level2"/>
        <w:numPr>
          <w:ilvl w:val="1"/>
          <w:numId w:val="16"/>
        </w:numPr>
      </w:pPr>
      <w:r>
        <w:t>Fair value measurements</w:t>
      </w:r>
    </w:p>
    <w:p w:rsidR="00B26C61" w:rsidRPr="008C499C" w:rsidRDefault="00B26C61" w:rsidP="00B26C61">
      <w:pPr>
        <w:pStyle w:val="SAPHeading-Level2"/>
        <w:tabs>
          <w:tab w:val="clear" w:pos="851"/>
        </w:tabs>
        <w:ind w:left="0" w:firstLine="0"/>
        <w:rPr>
          <w:b w:val="0"/>
          <w:bCs/>
          <w:lang w:eastAsia="en-AU"/>
        </w:rPr>
      </w:pPr>
      <w:r w:rsidRPr="008C499C">
        <w:rPr>
          <w:b w:val="0"/>
          <w:bCs/>
          <w:lang w:eastAsia="en-AU"/>
        </w:rPr>
        <w:t>The department deems transfers between the levels of the fair value hierarchy to have occurred at the end of the reporting period</w:t>
      </w:r>
      <w:r>
        <w:rPr>
          <w:b w:val="0"/>
          <w:bCs/>
          <w:lang w:eastAsia="en-AU"/>
        </w:rPr>
        <w:t>.</w:t>
      </w:r>
    </w:p>
    <w:p w:rsidR="00B26C61" w:rsidRDefault="00B26C61" w:rsidP="00B26C61">
      <w:pPr>
        <w:pStyle w:val="SAPHeading-Level2"/>
        <w:numPr>
          <w:ilvl w:val="1"/>
          <w:numId w:val="16"/>
        </w:numPr>
      </w:pPr>
      <w:r>
        <w:t xml:space="preserve">Cash </w:t>
      </w:r>
    </w:p>
    <w:p w:rsidR="00B26C61" w:rsidRDefault="00B26C61" w:rsidP="00B26C61">
      <w:pPr>
        <w:pStyle w:val="StyleNotesTextBold"/>
        <w:rPr>
          <w:rFonts w:asciiTheme="minorHAnsi" w:hAnsiTheme="minorHAnsi" w:cstheme="minorHAnsi"/>
        </w:rPr>
      </w:pPr>
      <w:r>
        <w:rPr>
          <w:rFonts w:asciiTheme="minorHAnsi" w:hAnsiTheme="minorHAnsi" w:cstheme="minorHAnsi"/>
          <w:lang w:eastAsia="en-AU"/>
        </w:rPr>
        <w:t>Cash is recognised at its nominal amount.  Cash and cash equivalents include</w:t>
      </w:r>
      <w:r>
        <w:rPr>
          <w:rFonts w:asciiTheme="minorHAnsi" w:hAnsiTheme="minorHAnsi" w:cstheme="minorHAnsi"/>
        </w:rPr>
        <w:t>:</w:t>
      </w:r>
    </w:p>
    <w:p w:rsidR="00B26C61"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cash on hand;</w:t>
      </w:r>
    </w:p>
    <w:p w:rsidR="00B26C61"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demand deposits in bank accounts with an original maturity of 3 months or less that are readily convertible to known amounts of cash and subject to insignificant risk of changes in value;</w:t>
      </w:r>
    </w:p>
    <w:p w:rsidR="00B26C61"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cash held by outsiders; and</w:t>
      </w:r>
    </w:p>
    <w:p w:rsidR="00B26C61" w:rsidRDefault="00B26C61" w:rsidP="00B26C61">
      <w:pPr>
        <w:pStyle w:val="BulletKPMG"/>
        <w:numPr>
          <w:ilvl w:val="0"/>
          <w:numId w:val="17"/>
        </w:numPr>
        <w:rPr>
          <w:rFonts w:asciiTheme="minorHAnsi" w:hAnsiTheme="minorHAnsi" w:cstheme="minorHAnsi"/>
          <w:lang w:val="en-AU"/>
        </w:rPr>
      </w:pPr>
      <w:proofErr w:type="gramStart"/>
      <w:r>
        <w:rPr>
          <w:rFonts w:asciiTheme="minorHAnsi" w:hAnsiTheme="minorHAnsi" w:cstheme="minorHAnsi"/>
          <w:lang w:val="en-AU"/>
        </w:rPr>
        <w:t>cash</w:t>
      </w:r>
      <w:proofErr w:type="gramEnd"/>
      <w:r>
        <w:rPr>
          <w:rFonts w:asciiTheme="minorHAnsi" w:hAnsiTheme="minorHAnsi" w:cstheme="minorHAnsi"/>
          <w:lang w:val="en-AU"/>
        </w:rPr>
        <w:t xml:space="preserve"> in special accounts. </w:t>
      </w:r>
    </w:p>
    <w:p w:rsidR="00B26C61" w:rsidRDefault="00B26C61" w:rsidP="00B26C61">
      <w:pPr>
        <w:pStyle w:val="SAPHeading-Level2"/>
        <w:numPr>
          <w:ilvl w:val="1"/>
          <w:numId w:val="16"/>
        </w:numPr>
      </w:pPr>
      <w:r>
        <w:t>Financial Assets</w:t>
      </w:r>
    </w:p>
    <w:p w:rsidR="00B26C61" w:rsidRDefault="00B26C61" w:rsidP="00B26C61">
      <w:pPr>
        <w:pStyle w:val="StyleNotesTextBold"/>
        <w:rPr>
          <w:rFonts w:asciiTheme="minorHAnsi" w:hAnsiTheme="minorHAnsi" w:cstheme="minorHAnsi"/>
        </w:rPr>
      </w:pPr>
      <w:r>
        <w:rPr>
          <w:rFonts w:asciiTheme="minorHAnsi" w:hAnsiTheme="minorHAnsi" w:cstheme="minorHAnsi"/>
        </w:rPr>
        <w:t>The department classifies its financial assets in the following categories:</w:t>
      </w:r>
    </w:p>
    <w:p w:rsidR="00B26C61"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available-for-sale financial assets; and</w:t>
      </w:r>
    </w:p>
    <w:p w:rsidR="00B26C61" w:rsidRDefault="00B26C61" w:rsidP="00B26C61">
      <w:pPr>
        <w:pStyle w:val="BulletKPMG"/>
        <w:numPr>
          <w:ilvl w:val="0"/>
          <w:numId w:val="17"/>
        </w:numPr>
        <w:rPr>
          <w:rFonts w:asciiTheme="minorHAnsi" w:hAnsiTheme="minorHAnsi" w:cstheme="minorHAnsi"/>
        </w:rPr>
      </w:pPr>
      <w:proofErr w:type="gramStart"/>
      <w:r>
        <w:rPr>
          <w:rFonts w:asciiTheme="minorHAnsi" w:hAnsiTheme="minorHAnsi" w:cstheme="minorHAnsi"/>
          <w:lang w:val="en-AU"/>
        </w:rPr>
        <w:lastRenderedPageBreak/>
        <w:t>loans</w:t>
      </w:r>
      <w:proofErr w:type="gramEnd"/>
      <w:r>
        <w:rPr>
          <w:rFonts w:asciiTheme="minorHAnsi" w:hAnsiTheme="minorHAnsi" w:cstheme="minorHAnsi"/>
          <w:lang w:val="en-AU"/>
        </w:rPr>
        <w:t xml:space="preserve"> and receivables.</w:t>
      </w:r>
    </w:p>
    <w:p w:rsidR="00B26C61" w:rsidRDefault="00B26C61" w:rsidP="00B26C61">
      <w:pPr>
        <w:pStyle w:val="BulletKPMG"/>
        <w:tabs>
          <w:tab w:val="clear" w:pos="473"/>
          <w:tab w:val="left" w:pos="8959"/>
        </w:tabs>
        <w:ind w:left="0" w:firstLine="0"/>
        <w:rPr>
          <w:rFonts w:asciiTheme="minorHAnsi" w:hAnsiTheme="minorHAnsi" w:cstheme="minorHAnsi"/>
        </w:rPr>
      </w:pPr>
      <w:r>
        <w:rPr>
          <w:rFonts w:asciiTheme="minorHAnsi" w:hAnsiTheme="minorHAnsi" w:cstheme="minorHAnsi"/>
        </w:rPr>
        <w:t xml:space="preserve">The classification depends on the nature and purpose of the financial assets and is determined at the time of initial recognition.  Financial assets are </w:t>
      </w:r>
      <w:proofErr w:type="spellStart"/>
      <w:r>
        <w:rPr>
          <w:rFonts w:asciiTheme="minorHAnsi" w:hAnsiTheme="minorHAnsi" w:cstheme="minorHAnsi"/>
        </w:rPr>
        <w:t>recognised</w:t>
      </w:r>
      <w:proofErr w:type="spellEnd"/>
      <w:r>
        <w:rPr>
          <w:rFonts w:asciiTheme="minorHAnsi" w:hAnsiTheme="minorHAnsi" w:cstheme="minorHAnsi"/>
        </w:rPr>
        <w:t xml:space="preserve"> and </w:t>
      </w:r>
      <w:proofErr w:type="spellStart"/>
      <w:r>
        <w:rPr>
          <w:rFonts w:asciiTheme="minorHAnsi" w:hAnsiTheme="minorHAnsi" w:cstheme="minorHAnsi"/>
        </w:rPr>
        <w:t>derecognised</w:t>
      </w:r>
      <w:proofErr w:type="spellEnd"/>
      <w:r>
        <w:rPr>
          <w:rFonts w:asciiTheme="minorHAnsi" w:hAnsiTheme="minorHAnsi" w:cstheme="minorHAnsi"/>
        </w:rPr>
        <w:t xml:space="preserve"> upon trade date.</w:t>
      </w:r>
    </w:p>
    <w:p w:rsidR="00B26C61" w:rsidRDefault="00B26C61" w:rsidP="00B26C61">
      <w:pPr>
        <w:pStyle w:val="StyleNotesTextItalic"/>
        <w:rPr>
          <w:rFonts w:cstheme="minorHAnsi"/>
          <w:sz w:val="20"/>
          <w:szCs w:val="20"/>
        </w:rPr>
      </w:pPr>
      <w:r>
        <w:rPr>
          <w:rFonts w:cstheme="minorHAnsi"/>
          <w:sz w:val="20"/>
          <w:szCs w:val="20"/>
        </w:rPr>
        <w:t>Effective interest method</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The effective interest method is a method of calculating the amortised cost of a financial asset and of allocating interest income over the relevant period.  The effective interest rate is the rate that exactly discounts estimated future cash receipts over the expected life of the financial asset, or, where appropriate, a shorter period.</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Income is recognised on an effective interest rate basis except for financial assets that are recognised at fair value through profit or loss.</w:t>
      </w:r>
    </w:p>
    <w:p w:rsidR="00B26C61" w:rsidRDefault="00B26C61" w:rsidP="00B26C61">
      <w:pPr>
        <w:pStyle w:val="StyleNotesTextItalic"/>
        <w:rPr>
          <w:rFonts w:cstheme="minorHAnsi"/>
          <w:sz w:val="20"/>
          <w:szCs w:val="20"/>
        </w:rPr>
      </w:pPr>
      <w:r>
        <w:rPr>
          <w:rFonts w:cstheme="minorHAnsi"/>
          <w:sz w:val="20"/>
          <w:szCs w:val="20"/>
        </w:rPr>
        <w:t>Available-for-sale financial assets</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Available-for-sale financial assets are non-derivatives that are either designated in this category or not classified in any of the other categories.</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Available-for-sale financial assets are recorded at fair value.  Gains and losses arising from changes in fair value are recognised directly in the reserves (equity) with the exception of impairment losses.  Interest is calculated using the effective interest method and foreign exchange gains and losses on monetary assets are recognised directly in profit or loss.  Where the asset is disposed of, or is determined to be impaired, part (or all) of the cumulative gain or loss previously recognised in the reserve is included through surplus or deficit for the period.</w:t>
      </w:r>
    </w:p>
    <w:p w:rsidR="00B26C61" w:rsidRDefault="00B26C61" w:rsidP="00B26C61">
      <w:pPr>
        <w:pStyle w:val="StyleNotesTextBold"/>
        <w:rPr>
          <w:rFonts w:asciiTheme="minorHAnsi" w:hAnsiTheme="minorHAnsi" w:cstheme="minorHAnsi"/>
        </w:rPr>
      </w:pPr>
      <w:r>
        <w:rPr>
          <w:rFonts w:asciiTheme="minorHAnsi" w:hAnsiTheme="minorHAnsi" w:cstheme="minorHAnsi"/>
          <w:lang w:eastAsia="en-AU"/>
        </w:rPr>
        <w:t>Where a reliable fair value cannot be established for unlisted investments in equity instruments, these instruments are valued at cost.  The department has no such instruments.</w:t>
      </w:r>
    </w:p>
    <w:p w:rsidR="00B26C61" w:rsidRDefault="00B26C61" w:rsidP="00B26C61">
      <w:pPr>
        <w:pStyle w:val="StyleNotesTextItalic"/>
        <w:rPr>
          <w:rFonts w:cstheme="minorHAnsi"/>
          <w:sz w:val="20"/>
          <w:szCs w:val="20"/>
        </w:rPr>
      </w:pPr>
      <w:r>
        <w:rPr>
          <w:rFonts w:cstheme="minorHAnsi"/>
          <w:sz w:val="20"/>
          <w:szCs w:val="20"/>
        </w:rPr>
        <w:t>Loans and receivables</w:t>
      </w:r>
    </w:p>
    <w:p w:rsidR="00B26C61" w:rsidRDefault="00B26C61" w:rsidP="00B26C61">
      <w:pPr>
        <w:pStyle w:val="StyleNotesTextBold"/>
        <w:rPr>
          <w:rFonts w:asciiTheme="minorHAnsi" w:hAnsiTheme="minorHAnsi" w:cstheme="minorHAnsi"/>
        </w:rPr>
      </w:pPr>
      <w:r>
        <w:rPr>
          <w:rFonts w:asciiTheme="minorHAnsi" w:hAnsiTheme="minorHAnsi" w:cstheme="minorHAnsi"/>
          <w:lang w:eastAsia="en-AU"/>
        </w:rPr>
        <w:t>Trade receivables, loans and other receivables that have fixed or determinable payments that are not quoted in an active market are classified as ‘loans and receivables’.  Loans and receivables are measured at amortised cost using the effective interest method less impairment.  Interest is recognised by applying the effective interest rate</w:t>
      </w:r>
      <w:r>
        <w:rPr>
          <w:rFonts w:asciiTheme="minorHAnsi" w:hAnsiTheme="minorHAnsi" w:cstheme="minorHAnsi"/>
        </w:rPr>
        <w:t>.</w:t>
      </w:r>
    </w:p>
    <w:p w:rsidR="00B26C61" w:rsidRDefault="00B26C61" w:rsidP="00B26C61">
      <w:pPr>
        <w:pStyle w:val="StyleNotesTextItalic"/>
        <w:rPr>
          <w:rFonts w:cstheme="minorHAnsi"/>
          <w:sz w:val="20"/>
          <w:szCs w:val="20"/>
        </w:rPr>
      </w:pPr>
      <w:r>
        <w:rPr>
          <w:rFonts w:cstheme="minorHAnsi"/>
          <w:sz w:val="20"/>
          <w:szCs w:val="20"/>
        </w:rPr>
        <w:t>Impairment of financial assets</w:t>
      </w:r>
    </w:p>
    <w:p w:rsidR="00B26C61" w:rsidRDefault="00B26C61" w:rsidP="00B26C61">
      <w:pPr>
        <w:pStyle w:val="StyleNotesTextBold"/>
        <w:rPr>
          <w:rFonts w:asciiTheme="minorHAnsi" w:hAnsiTheme="minorHAnsi" w:cstheme="minorHAnsi"/>
        </w:rPr>
      </w:pPr>
      <w:r>
        <w:rPr>
          <w:rFonts w:asciiTheme="minorHAnsi" w:hAnsiTheme="minorHAnsi" w:cstheme="minorHAnsi"/>
          <w:lang w:eastAsia="en-AU"/>
        </w:rPr>
        <w:t>Financial assets are assessed for impairment at the end of the reporting period</w:t>
      </w:r>
      <w:r>
        <w:rPr>
          <w:rFonts w:asciiTheme="minorHAnsi" w:hAnsiTheme="minorHAnsi" w:cstheme="minorHAnsi"/>
        </w:rPr>
        <w:t>.</w:t>
      </w:r>
    </w:p>
    <w:p w:rsidR="00B26C61" w:rsidRDefault="00B26C61" w:rsidP="00B26C61">
      <w:pPr>
        <w:pStyle w:val="BulletKPMG"/>
        <w:numPr>
          <w:ilvl w:val="0"/>
          <w:numId w:val="17"/>
        </w:numPr>
        <w:rPr>
          <w:rStyle w:val="StyleNotesTextBoldChar"/>
          <w:rFonts w:asciiTheme="minorHAnsi" w:hAnsiTheme="minorHAnsi" w:cstheme="minorHAnsi"/>
        </w:rPr>
      </w:pPr>
      <w:r>
        <w:rPr>
          <w:rFonts w:asciiTheme="minorHAnsi" w:hAnsiTheme="minorHAnsi" w:cstheme="minorHAnsi"/>
          <w:i/>
          <w:lang w:val="en-AU"/>
        </w:rPr>
        <w:t>Financial assets held at amortised cost</w:t>
      </w:r>
      <w:r>
        <w:rPr>
          <w:rStyle w:val="StyleNotesTextBoldChar"/>
          <w:rFonts w:asciiTheme="minorHAnsi" w:hAnsiTheme="minorHAnsi" w:cstheme="minorHAnsi"/>
        </w:rPr>
        <w:t xml:space="preserve"> </w:t>
      </w:r>
      <w:r>
        <w:rPr>
          <w:rFonts w:asciiTheme="minorHAnsi" w:hAnsiTheme="minorHAnsi" w:cstheme="minorHAnsi"/>
          <w:lang w:val="en-AU"/>
        </w:rPr>
        <w:t>- If there is objective evidence that an impairment loss has been incurred for loans and receivables, the amount of the loss is measured as the difference between the asset’s carrying amount and the present value of estimated future cash flows discounted at the asset’s original effective interest rate.  The carrying amount is reduced by way of an allowance account.  The loss is recognised in the Statement of Comprehensive Income.</w:t>
      </w:r>
    </w:p>
    <w:p w:rsidR="00B26C61" w:rsidRDefault="00B26C61" w:rsidP="00B26C61">
      <w:pPr>
        <w:pStyle w:val="BulletKPMG"/>
        <w:numPr>
          <w:ilvl w:val="0"/>
          <w:numId w:val="17"/>
        </w:numPr>
        <w:rPr>
          <w:rStyle w:val="StyleNotesTextBoldChar"/>
          <w:rFonts w:asciiTheme="minorHAnsi" w:hAnsiTheme="minorHAnsi" w:cstheme="minorHAnsi"/>
        </w:rPr>
      </w:pPr>
      <w:r>
        <w:rPr>
          <w:rFonts w:asciiTheme="minorHAnsi" w:hAnsiTheme="minorHAnsi" w:cstheme="minorHAnsi"/>
          <w:i/>
          <w:lang w:val="en-AU"/>
        </w:rPr>
        <w:t>Available-for-sale financial assets</w:t>
      </w:r>
      <w:r>
        <w:rPr>
          <w:rStyle w:val="StyleNotesTextBoldChar"/>
          <w:rFonts w:asciiTheme="minorHAnsi" w:hAnsiTheme="minorHAnsi" w:cstheme="minorHAnsi"/>
        </w:rPr>
        <w:t xml:space="preserve"> </w:t>
      </w:r>
      <w:r>
        <w:rPr>
          <w:rFonts w:asciiTheme="minorHAnsi" w:hAnsiTheme="minorHAnsi" w:cstheme="minorHAnsi"/>
          <w:lang w:val="en-AU"/>
        </w:rPr>
        <w:t>- If there is objective evidence that an impairment loss on an available-for-sale financial asset has been incurred, the amount of the difference between its cost, less principal repayments and amortisation, and its current fair value, less any impairment loss previously recognised in expenses, is transferred from equity to the Statement of Comprehensive Income.</w:t>
      </w:r>
    </w:p>
    <w:p w:rsidR="00B26C61" w:rsidRPr="00C96B2B" w:rsidRDefault="00B26C61" w:rsidP="00B26C61">
      <w:pPr>
        <w:pStyle w:val="BulletKPMG"/>
        <w:numPr>
          <w:ilvl w:val="0"/>
          <w:numId w:val="17"/>
        </w:numPr>
      </w:pPr>
      <w:r>
        <w:rPr>
          <w:rFonts w:asciiTheme="minorHAnsi" w:hAnsiTheme="minorHAnsi" w:cstheme="minorHAnsi"/>
          <w:i/>
          <w:lang w:val="en-AU"/>
        </w:rPr>
        <w:t>Financial assets held at cost</w:t>
      </w:r>
      <w:r>
        <w:rPr>
          <w:rStyle w:val="StyleNotesTextBoldChar"/>
          <w:rFonts w:asciiTheme="minorHAnsi" w:hAnsiTheme="minorHAnsi" w:cstheme="minorHAnsi"/>
        </w:rPr>
        <w:t xml:space="preserve"> </w:t>
      </w:r>
      <w:r>
        <w:rPr>
          <w:rFonts w:asciiTheme="minorHAnsi" w:hAnsiTheme="minorHAnsi" w:cstheme="minorHAnsi"/>
          <w:lang w:val="en-AU"/>
        </w:rPr>
        <w:t>- If there is objective evidence that an impairment loss has been incurred, the amount of the impairment loss is the difference between the carrying amount of the asset and the present value of the estimated future cash flows discounted at the current market rate for similar assets.</w:t>
      </w:r>
    </w:p>
    <w:p w:rsidR="00B26C61" w:rsidRDefault="00B26C61" w:rsidP="00B26C61">
      <w:pPr>
        <w:pStyle w:val="SAPHeading-Level2"/>
        <w:numPr>
          <w:ilvl w:val="1"/>
          <w:numId w:val="16"/>
        </w:numPr>
      </w:pPr>
      <w:r>
        <w:t>Financial Liabilities</w:t>
      </w:r>
    </w:p>
    <w:p w:rsidR="00B26C61" w:rsidRDefault="00B26C61" w:rsidP="00B26C61">
      <w:pPr>
        <w:pStyle w:val="StyleNotesTextBold1"/>
        <w:rPr>
          <w:rFonts w:asciiTheme="minorHAnsi" w:hAnsiTheme="minorHAnsi" w:cstheme="minorHAnsi"/>
        </w:rPr>
      </w:pPr>
      <w:r>
        <w:rPr>
          <w:rFonts w:asciiTheme="minorHAnsi" w:hAnsiTheme="minorHAnsi" w:cstheme="minorHAnsi"/>
          <w:lang w:eastAsia="en-AU"/>
        </w:rPr>
        <w:t>Financial liabilities are classified as either financial liabilities ‘at fair value through profit or loss’ or other financial liabilities.  Financial liabilities are recognised and derecognised upon trade date.</w:t>
      </w:r>
    </w:p>
    <w:p w:rsidR="00B26C61" w:rsidRDefault="00B26C61" w:rsidP="00B26C61">
      <w:pPr>
        <w:pStyle w:val="StyleNotesTextItalic"/>
        <w:rPr>
          <w:rFonts w:cstheme="minorHAnsi"/>
          <w:sz w:val="20"/>
          <w:szCs w:val="20"/>
        </w:rPr>
      </w:pPr>
      <w:r>
        <w:rPr>
          <w:rFonts w:cstheme="minorHAnsi"/>
          <w:sz w:val="20"/>
          <w:szCs w:val="20"/>
        </w:rPr>
        <w:t>Financial liabilities at fair value through profit or loss</w:t>
      </w:r>
    </w:p>
    <w:p w:rsidR="00B26C61" w:rsidRDefault="00B26C61" w:rsidP="00B26C61">
      <w:pPr>
        <w:pStyle w:val="StyleNotesTextBold1"/>
        <w:rPr>
          <w:rFonts w:asciiTheme="minorHAnsi" w:hAnsiTheme="minorHAnsi" w:cstheme="minorHAnsi"/>
        </w:rPr>
      </w:pPr>
      <w:r>
        <w:rPr>
          <w:rFonts w:asciiTheme="minorHAnsi" w:hAnsiTheme="minorHAnsi" w:cstheme="minorHAnsi"/>
          <w:lang w:eastAsia="en-AU"/>
        </w:rPr>
        <w:t>Financial liabilities at fair value through profit or loss are initially measured at fair value. Subsequent fair value adjustments are recognised in profit or loss.  The net gain or loss recognised in profit or loss incorporates any interest paid on the financial liability.</w:t>
      </w:r>
      <w:r>
        <w:rPr>
          <w:rFonts w:asciiTheme="minorHAnsi" w:hAnsiTheme="minorHAnsi" w:cstheme="minorHAnsi"/>
        </w:rPr>
        <w:t xml:space="preserve"> </w:t>
      </w:r>
    </w:p>
    <w:p w:rsidR="00B26C61" w:rsidRDefault="00B26C61" w:rsidP="00B26C61">
      <w:pPr>
        <w:spacing w:line="240" w:lineRule="auto"/>
        <w:rPr>
          <w:rFonts w:asciiTheme="minorHAnsi" w:hAnsiTheme="minorHAnsi" w:cstheme="minorHAnsi"/>
          <w:i/>
          <w:iCs/>
          <w:sz w:val="20"/>
          <w:u w:val="single"/>
          <w:lang w:eastAsia="en-AU"/>
        </w:rPr>
      </w:pPr>
    </w:p>
    <w:p w:rsidR="00B26C61" w:rsidRDefault="00B26C61" w:rsidP="00B26C61">
      <w:pPr>
        <w:pStyle w:val="StyleNotesTextItalic"/>
        <w:rPr>
          <w:rFonts w:cstheme="minorHAnsi"/>
          <w:sz w:val="20"/>
          <w:szCs w:val="20"/>
        </w:rPr>
      </w:pPr>
      <w:r>
        <w:rPr>
          <w:rFonts w:cstheme="minorHAnsi"/>
          <w:sz w:val="20"/>
          <w:szCs w:val="20"/>
        </w:rPr>
        <w:t>Other financial liabilities</w:t>
      </w:r>
    </w:p>
    <w:p w:rsidR="00B26C61" w:rsidRDefault="00B26C61" w:rsidP="00B26C61">
      <w:pPr>
        <w:pStyle w:val="StyleNotesTextBold1"/>
        <w:rPr>
          <w:rFonts w:asciiTheme="minorHAnsi" w:hAnsiTheme="minorHAnsi" w:cstheme="minorHAnsi"/>
        </w:rPr>
      </w:pPr>
      <w:r>
        <w:rPr>
          <w:rFonts w:asciiTheme="minorHAnsi" w:hAnsiTheme="minorHAnsi" w:cstheme="minorHAnsi"/>
          <w:lang w:eastAsia="en-AU"/>
        </w:rPr>
        <w:t>Other financial liabilities are initially measured at fair value, net of transaction costs.  These liabilities are subsequently measured at amortised cost using the effective interest method, with interest expense recognised on an effective yield basis.</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lastRenderedPageBreak/>
        <w:t>The effective interest method is a method of calculating the amortised cost of a financial liability and of allocating interest expense over the relevant period.  The effective interest rate is the rate that exactly discounts estimated future cash payments through the expected life of the financial liability, or, where appropriate, a shorter period.</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Supplier and other payables are recognised at amortised cost.  Liabilities are recognised to the extent that the goods or services have been received (and irrespective of having been invoiced).</w:t>
      </w:r>
    </w:p>
    <w:p w:rsidR="00B26C61" w:rsidRDefault="00B26C61" w:rsidP="00B26C61">
      <w:pPr>
        <w:pStyle w:val="SAPHeading-Level2"/>
        <w:numPr>
          <w:ilvl w:val="1"/>
          <w:numId w:val="16"/>
        </w:numPr>
      </w:pPr>
      <w:r>
        <w:t>Contingent Liabilities and Contingent Assets</w:t>
      </w:r>
    </w:p>
    <w:p w:rsidR="00B26C61" w:rsidRDefault="00B26C61" w:rsidP="00B26C61">
      <w:pPr>
        <w:pStyle w:val="StyleNotesTextBold"/>
        <w:rPr>
          <w:rFonts w:asciiTheme="minorHAnsi" w:hAnsiTheme="minorHAnsi" w:cstheme="minorHAnsi"/>
        </w:rPr>
      </w:pPr>
      <w:r>
        <w:rPr>
          <w:rFonts w:asciiTheme="minorHAnsi" w:hAnsiTheme="minorHAnsi" w:cstheme="minorHAnsi"/>
          <w:lang w:eastAsia="en-AU"/>
        </w:rPr>
        <w:t>Contingent liabilities and contingent assets are not recognised in the Statement of Financial Position but are reported in the relevant schedules and notes.  They may arise from uncertainty as to the existence of a liability or asset or represent an asset or liability in respect of which the amount cannot be reliably measured. Contingent assets are disclosed when settlement is probable but not virtually certain and contingent liabilities are disclosed when settlement is greater than remote</w:t>
      </w:r>
      <w:r>
        <w:rPr>
          <w:rFonts w:asciiTheme="minorHAnsi" w:hAnsiTheme="minorHAnsi" w:cstheme="minorHAnsi"/>
        </w:rPr>
        <w:t>.</w:t>
      </w:r>
    </w:p>
    <w:p w:rsidR="00B26C61" w:rsidRDefault="00B26C61" w:rsidP="00B26C61">
      <w:pPr>
        <w:pStyle w:val="SAPHeading-Level2"/>
        <w:numPr>
          <w:ilvl w:val="1"/>
          <w:numId w:val="16"/>
        </w:numPr>
      </w:pPr>
      <w:r>
        <w:t xml:space="preserve">Acquisition of Assets </w:t>
      </w:r>
    </w:p>
    <w:p w:rsidR="00B26C61" w:rsidRDefault="00B26C61" w:rsidP="00B26C61">
      <w:pPr>
        <w:pStyle w:val="NotesText0"/>
        <w:rPr>
          <w:rFonts w:cstheme="minorHAnsi"/>
          <w:sz w:val="20"/>
          <w:szCs w:val="20"/>
        </w:rPr>
      </w:pPr>
      <w:r>
        <w:rPr>
          <w:rFonts w:cstheme="minorHAnsi"/>
          <w:sz w:val="20"/>
          <w:szCs w:val="20"/>
        </w:rPr>
        <w:t>Assets are recorded at cost on acquisition except as stated below.  The cost of acquisition includes the fair value of assets transferred in exchange and liabilities undertaken.  Financial assets are initially measured at their fair value plus transaction costs where appropriate.</w:t>
      </w:r>
    </w:p>
    <w:p w:rsidR="00B26C61" w:rsidRDefault="00B26C61" w:rsidP="00B26C61">
      <w:pPr>
        <w:pStyle w:val="NotesText0"/>
        <w:rPr>
          <w:rFonts w:cstheme="minorHAnsi"/>
          <w:sz w:val="20"/>
          <w:szCs w:val="20"/>
        </w:rPr>
      </w:pPr>
      <w:r>
        <w:rPr>
          <w:rFonts w:cstheme="minorHAnsi"/>
          <w:sz w:val="20"/>
          <w:szCs w:val="20"/>
        </w:rPr>
        <w:t>Assets acquired at no cost, or for nominal consideration, are initially recognised as assets and income at their fair value at the date of acquisition, unless acquired as a consequence of restructuring of administrative arrangements.  In the latter case, assets are initially recognised as contributions by owners at the amounts at which they were recognised in the transferor’s accounts immediately prior to the restructuring.</w:t>
      </w:r>
      <w:r>
        <w:rPr>
          <w:rFonts w:cstheme="minorHAnsi"/>
          <w:sz w:val="20"/>
          <w:szCs w:val="20"/>
        </w:rPr>
        <w:tab/>
      </w:r>
    </w:p>
    <w:p w:rsidR="00B26C61" w:rsidRDefault="00B26C61" w:rsidP="00B26C61">
      <w:pPr>
        <w:pStyle w:val="SAPHeading-Level2"/>
        <w:numPr>
          <w:ilvl w:val="1"/>
          <w:numId w:val="16"/>
        </w:numPr>
      </w:pPr>
      <w:r>
        <w:t>Property, Plant and Equipment</w:t>
      </w:r>
    </w:p>
    <w:p w:rsidR="00B26C61" w:rsidRDefault="00B26C61" w:rsidP="00B26C61">
      <w:pPr>
        <w:pStyle w:val="StyleNotesTextItalic"/>
        <w:rPr>
          <w:rFonts w:cstheme="minorHAnsi"/>
          <w:sz w:val="20"/>
          <w:szCs w:val="20"/>
        </w:rPr>
      </w:pPr>
      <w:r>
        <w:rPr>
          <w:rFonts w:cstheme="minorHAnsi"/>
          <w:sz w:val="20"/>
          <w:szCs w:val="20"/>
        </w:rPr>
        <w:t>Asset recognition threshold</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 xml:space="preserve">Purchases of property, plant and equipment are recognised initially at cost in the Statement of Financial Position, except for purchases costing less than $2,000, (or $50,000 for leasehold improvements) which are expensed in the year of acquisition (other than where they form part of a group of similar items which are significant in total). </w:t>
      </w:r>
      <w:r>
        <w:rPr>
          <w:rFonts w:asciiTheme="minorHAnsi" w:hAnsiTheme="minorHAnsi" w:cstheme="minorHAnsi"/>
          <w:lang w:eastAsia="en-AU"/>
        </w:rPr>
        <w:tab/>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The initial cost of an asset includes an estimate of the cost of dismantling and removing the item and restoring the site on which it is located.  This is particularly relevant to the restoration provisions in property leases taken up by the department where there exists an obligation to restore the property to its original condition.  These costs are included in the value of the department's leasehold improvements with a corresponding provision for the ‘restoration’ recognised.</w:t>
      </w:r>
    </w:p>
    <w:p w:rsidR="00B26C61" w:rsidRDefault="00B26C61" w:rsidP="00B26C61">
      <w:pPr>
        <w:pStyle w:val="StyleNotesTextItalic"/>
        <w:rPr>
          <w:rFonts w:cstheme="minorHAnsi"/>
          <w:sz w:val="20"/>
          <w:szCs w:val="20"/>
        </w:rPr>
      </w:pPr>
      <w:r>
        <w:rPr>
          <w:rFonts w:cstheme="minorHAnsi"/>
          <w:sz w:val="20"/>
          <w:szCs w:val="20"/>
        </w:rPr>
        <w:t>Revaluations</w:t>
      </w:r>
    </w:p>
    <w:p w:rsidR="00B26C61" w:rsidRDefault="00B26C61" w:rsidP="00B26C61">
      <w:pPr>
        <w:pStyle w:val="StyleNotesTextBold"/>
        <w:rPr>
          <w:rFonts w:asciiTheme="minorHAnsi" w:hAnsiTheme="minorHAnsi" w:cstheme="minorHAnsi"/>
        </w:rPr>
      </w:pPr>
      <w:r>
        <w:rPr>
          <w:rFonts w:asciiTheme="minorHAnsi" w:hAnsiTheme="minorHAnsi" w:cstheme="minorHAnsi"/>
          <w:lang w:eastAsia="en-AU"/>
        </w:rPr>
        <w:t>Fair values for each class of asset are determined as shown below</w:t>
      </w:r>
      <w:r>
        <w:rPr>
          <w:rFonts w:asciiTheme="minorHAnsi" w:hAnsiTheme="minorHAnsi" w:cstheme="minorHAns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581"/>
      </w:tblGrid>
      <w:tr w:rsidR="00B26C61" w:rsidTr="00EA3146">
        <w:tc>
          <w:tcPr>
            <w:tcW w:w="4473" w:type="dxa"/>
            <w:tcBorders>
              <w:top w:val="single" w:sz="4" w:space="0" w:color="auto"/>
              <w:left w:val="single" w:sz="4" w:space="0" w:color="auto"/>
              <w:bottom w:val="single" w:sz="4" w:space="0" w:color="auto"/>
              <w:right w:val="single" w:sz="4" w:space="0" w:color="auto"/>
            </w:tcBorders>
            <w:hideMark/>
          </w:tcPr>
          <w:p w:rsidR="00B26C61" w:rsidRDefault="00B26C61" w:rsidP="00EA3146">
            <w:pPr>
              <w:pStyle w:val="NotesTextHeading"/>
              <w:rPr>
                <w:rFonts w:cstheme="minorHAnsi"/>
                <w:sz w:val="20"/>
                <w:szCs w:val="20"/>
              </w:rPr>
            </w:pPr>
            <w:r>
              <w:rPr>
                <w:rFonts w:cstheme="minorHAnsi"/>
                <w:sz w:val="20"/>
                <w:szCs w:val="20"/>
              </w:rPr>
              <w:t>Asset Class</w:t>
            </w:r>
          </w:p>
        </w:tc>
        <w:tc>
          <w:tcPr>
            <w:tcW w:w="4581" w:type="dxa"/>
            <w:tcBorders>
              <w:top w:val="single" w:sz="4" w:space="0" w:color="auto"/>
              <w:left w:val="single" w:sz="4" w:space="0" w:color="auto"/>
              <w:bottom w:val="single" w:sz="4" w:space="0" w:color="auto"/>
              <w:right w:val="single" w:sz="4" w:space="0" w:color="auto"/>
            </w:tcBorders>
            <w:hideMark/>
          </w:tcPr>
          <w:p w:rsidR="00B26C61" w:rsidRDefault="00B26C61" w:rsidP="00EA3146">
            <w:pPr>
              <w:pStyle w:val="NotesTextHeading"/>
              <w:rPr>
                <w:rFonts w:cstheme="minorHAnsi"/>
                <w:sz w:val="20"/>
                <w:szCs w:val="20"/>
              </w:rPr>
            </w:pPr>
            <w:r>
              <w:rPr>
                <w:rFonts w:cstheme="minorHAnsi"/>
                <w:sz w:val="20"/>
                <w:szCs w:val="20"/>
              </w:rPr>
              <w:t>Fair value measurement</w:t>
            </w:r>
          </w:p>
        </w:tc>
      </w:tr>
      <w:tr w:rsidR="00B26C61" w:rsidTr="00EA3146">
        <w:tc>
          <w:tcPr>
            <w:tcW w:w="4473" w:type="dxa"/>
            <w:tcBorders>
              <w:top w:val="single" w:sz="4" w:space="0" w:color="auto"/>
              <w:left w:val="single" w:sz="4" w:space="0" w:color="auto"/>
              <w:bottom w:val="single" w:sz="4" w:space="0" w:color="auto"/>
              <w:right w:val="single" w:sz="4" w:space="0" w:color="auto"/>
            </w:tcBorders>
            <w:hideMark/>
          </w:tcPr>
          <w:p w:rsidR="00B26C61" w:rsidRDefault="00B26C61" w:rsidP="00EA3146">
            <w:pPr>
              <w:pStyle w:val="StyleNotesTextBold"/>
              <w:rPr>
                <w:rFonts w:asciiTheme="minorHAnsi" w:hAnsiTheme="minorHAnsi" w:cstheme="minorHAnsi"/>
              </w:rPr>
            </w:pPr>
            <w:r>
              <w:rPr>
                <w:rFonts w:asciiTheme="minorHAnsi" w:hAnsiTheme="minorHAnsi" w:cstheme="minorHAnsi"/>
              </w:rPr>
              <w:t>Leasehold improvements</w:t>
            </w:r>
          </w:p>
        </w:tc>
        <w:tc>
          <w:tcPr>
            <w:tcW w:w="4581" w:type="dxa"/>
            <w:tcBorders>
              <w:top w:val="single" w:sz="4" w:space="0" w:color="auto"/>
              <w:left w:val="single" w:sz="4" w:space="0" w:color="auto"/>
              <w:bottom w:val="single" w:sz="4" w:space="0" w:color="auto"/>
              <w:right w:val="single" w:sz="4" w:space="0" w:color="auto"/>
            </w:tcBorders>
            <w:hideMark/>
          </w:tcPr>
          <w:p w:rsidR="00B26C61" w:rsidRDefault="00B26C61" w:rsidP="00EA3146">
            <w:pPr>
              <w:pStyle w:val="StyleNotesTextBold"/>
              <w:rPr>
                <w:rFonts w:asciiTheme="minorHAnsi" w:hAnsiTheme="minorHAnsi" w:cstheme="minorHAnsi"/>
              </w:rPr>
            </w:pPr>
            <w:r>
              <w:rPr>
                <w:rFonts w:asciiTheme="minorHAnsi" w:hAnsiTheme="minorHAnsi" w:cstheme="minorHAnsi"/>
              </w:rPr>
              <w:t>Depreciated replacement cost</w:t>
            </w:r>
          </w:p>
        </w:tc>
      </w:tr>
      <w:tr w:rsidR="00B26C61" w:rsidTr="00EA3146">
        <w:tc>
          <w:tcPr>
            <w:tcW w:w="4473" w:type="dxa"/>
            <w:tcBorders>
              <w:top w:val="single" w:sz="4" w:space="0" w:color="auto"/>
              <w:left w:val="single" w:sz="4" w:space="0" w:color="auto"/>
              <w:bottom w:val="single" w:sz="4" w:space="0" w:color="auto"/>
              <w:right w:val="single" w:sz="4" w:space="0" w:color="auto"/>
            </w:tcBorders>
            <w:hideMark/>
          </w:tcPr>
          <w:p w:rsidR="00B26C61" w:rsidRDefault="00B26C61" w:rsidP="00EA3146">
            <w:pPr>
              <w:pStyle w:val="StyleNotesTextBold"/>
              <w:rPr>
                <w:rFonts w:asciiTheme="minorHAnsi" w:hAnsiTheme="minorHAnsi" w:cstheme="minorHAnsi"/>
              </w:rPr>
            </w:pPr>
            <w:r>
              <w:rPr>
                <w:rFonts w:asciiTheme="minorHAnsi" w:hAnsiTheme="minorHAnsi" w:cstheme="minorHAnsi"/>
              </w:rPr>
              <w:t>Infrastructure, plant and equipment</w:t>
            </w:r>
          </w:p>
        </w:tc>
        <w:tc>
          <w:tcPr>
            <w:tcW w:w="4581" w:type="dxa"/>
            <w:tcBorders>
              <w:top w:val="single" w:sz="4" w:space="0" w:color="auto"/>
              <w:left w:val="single" w:sz="4" w:space="0" w:color="auto"/>
              <w:bottom w:val="single" w:sz="4" w:space="0" w:color="auto"/>
              <w:right w:val="single" w:sz="4" w:space="0" w:color="auto"/>
            </w:tcBorders>
            <w:hideMark/>
          </w:tcPr>
          <w:p w:rsidR="00B26C61" w:rsidRDefault="00B26C61" w:rsidP="00EA3146">
            <w:pPr>
              <w:pStyle w:val="StyleNotesTextBold"/>
              <w:rPr>
                <w:rFonts w:asciiTheme="minorHAnsi" w:hAnsiTheme="minorHAnsi" w:cstheme="minorHAnsi"/>
              </w:rPr>
            </w:pPr>
            <w:r>
              <w:rPr>
                <w:rFonts w:asciiTheme="minorHAnsi" w:hAnsiTheme="minorHAnsi" w:cstheme="minorHAnsi"/>
              </w:rPr>
              <w:t>Market selling price</w:t>
            </w:r>
          </w:p>
        </w:tc>
      </w:tr>
    </w:tbl>
    <w:p w:rsidR="00B26C61" w:rsidRDefault="00B26C61" w:rsidP="00B26C61">
      <w:pPr>
        <w:pStyle w:val="StyleNotesTextBold1"/>
        <w:rPr>
          <w:rFonts w:asciiTheme="minorHAnsi" w:hAnsiTheme="minorHAnsi" w:cstheme="minorHAnsi"/>
          <w:lang w:eastAsia="en-AU"/>
        </w:rPr>
      </w:pP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 xml:space="preserve">Following initial recognition at cost, property, plant and equipment are carried at valuation less accumulated depreciation and accumulated impairment losses. Valuations are conducted with sufficient frequency to ensure that the carrying amounts of assets do not differ materially from the assets’ fair values as at the reporting date.  The regularity of independent valuations depends upon the volatility of movements in market values for the relevant assets. </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Revaluation adjustments are made on a class basis.  Any revaluation increment is credited to equity under the heading of asset revaluation reserve except to the extent that it reverses a previous revaluation decrement of the same asset class that was previously recognised in the surplus/deficit.  Revaluation decrements for a class of assets are recognised directly in the surplus/deficit except to the extent that they reverse a previous revaluation increment for that class.</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Any accumulated depreciation as at the revaluation date is eliminated against the gross carrying amount of the asset and the asset restated to the revalued amount.</w:t>
      </w:r>
    </w:p>
    <w:p w:rsidR="00B26C61" w:rsidRDefault="00B26C61" w:rsidP="00B26C61">
      <w:pPr>
        <w:pStyle w:val="StyleNotesTextItalic"/>
        <w:rPr>
          <w:rFonts w:cstheme="minorHAnsi"/>
          <w:sz w:val="20"/>
          <w:szCs w:val="20"/>
        </w:rPr>
      </w:pPr>
      <w:r>
        <w:rPr>
          <w:rFonts w:cstheme="minorHAnsi"/>
          <w:sz w:val="20"/>
          <w:szCs w:val="20"/>
        </w:rPr>
        <w:t>Depreciation</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 xml:space="preserve">Depreciable property, plant and equipment assets are written-off to their estimated residual values over their estimated useful lives to the department using, in all cases, the straight-line method of depreciation. </w:t>
      </w:r>
      <w:r>
        <w:rPr>
          <w:rFonts w:asciiTheme="minorHAnsi" w:hAnsiTheme="minorHAnsi" w:cstheme="minorHAnsi"/>
          <w:lang w:eastAsia="en-AU"/>
        </w:rPr>
        <w:tab/>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Depreciation rates (useful lives), residual values and methods are reviewed at each reporting date and necessary adjustments are recognised in the current, or current and future reporting periods, as appropriate.</w:t>
      </w:r>
    </w:p>
    <w:p w:rsidR="00B26C61" w:rsidRDefault="00B26C61" w:rsidP="00B26C61">
      <w:pPr>
        <w:pStyle w:val="StyleNotesTextBold1"/>
        <w:rPr>
          <w:rFonts w:asciiTheme="minorHAnsi" w:hAnsiTheme="minorHAnsi" w:cstheme="minorHAnsi"/>
        </w:rPr>
      </w:pPr>
      <w:r>
        <w:rPr>
          <w:rFonts w:asciiTheme="minorHAnsi" w:hAnsiTheme="minorHAnsi" w:cstheme="minorHAnsi"/>
          <w:lang w:eastAsia="en-AU"/>
        </w:rPr>
        <w:lastRenderedPageBreak/>
        <w:t>Depreciation rates applying to each class of depreciable asset are based on the following useful lives</w:t>
      </w:r>
      <w:r>
        <w:rPr>
          <w:rFonts w:asciiTheme="minorHAnsi" w:hAnsiTheme="minorHAnsi" w:cstheme="minorHAnsi"/>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20"/>
      </w:tblGrid>
      <w:tr w:rsidR="00B26C61" w:rsidTr="00EA3146">
        <w:tc>
          <w:tcPr>
            <w:tcW w:w="6408" w:type="dxa"/>
            <w:tcBorders>
              <w:top w:val="single" w:sz="4" w:space="0" w:color="auto"/>
              <w:left w:val="single" w:sz="4" w:space="0" w:color="auto"/>
              <w:bottom w:val="single" w:sz="4" w:space="0" w:color="auto"/>
              <w:right w:val="single" w:sz="4" w:space="0" w:color="auto"/>
            </w:tcBorders>
            <w:hideMark/>
          </w:tcPr>
          <w:p w:rsidR="00B26C61" w:rsidRDefault="00B26C61" w:rsidP="00EA3146">
            <w:pPr>
              <w:pStyle w:val="NotesTextHeading"/>
              <w:rPr>
                <w:rFonts w:cstheme="minorHAnsi"/>
                <w:sz w:val="20"/>
                <w:szCs w:val="20"/>
              </w:rPr>
            </w:pPr>
            <w:r>
              <w:rPr>
                <w:rFonts w:cstheme="minorHAnsi"/>
                <w:sz w:val="20"/>
                <w:szCs w:val="20"/>
              </w:rPr>
              <w:t>Asset Class</w:t>
            </w:r>
          </w:p>
        </w:tc>
        <w:tc>
          <w:tcPr>
            <w:tcW w:w="2820" w:type="dxa"/>
            <w:tcBorders>
              <w:top w:val="single" w:sz="4" w:space="0" w:color="auto"/>
              <w:left w:val="single" w:sz="4" w:space="0" w:color="auto"/>
              <w:bottom w:val="single" w:sz="4" w:space="0" w:color="auto"/>
              <w:right w:val="single" w:sz="4" w:space="0" w:color="auto"/>
            </w:tcBorders>
            <w:vAlign w:val="center"/>
            <w:hideMark/>
          </w:tcPr>
          <w:p w:rsidR="00B26C61" w:rsidRDefault="00B26C61" w:rsidP="00EA3146">
            <w:pPr>
              <w:pStyle w:val="NotesTextHeading"/>
              <w:rPr>
                <w:rFonts w:cstheme="minorHAnsi"/>
                <w:sz w:val="20"/>
                <w:szCs w:val="20"/>
              </w:rPr>
            </w:pPr>
            <w:r>
              <w:rPr>
                <w:rFonts w:cstheme="minorHAnsi"/>
                <w:sz w:val="20"/>
                <w:szCs w:val="20"/>
              </w:rPr>
              <w:t>2014</w:t>
            </w:r>
          </w:p>
        </w:tc>
      </w:tr>
      <w:tr w:rsidR="00B26C61" w:rsidTr="00EA3146">
        <w:tc>
          <w:tcPr>
            <w:tcW w:w="6408" w:type="dxa"/>
            <w:tcBorders>
              <w:top w:val="single" w:sz="4" w:space="0" w:color="auto"/>
              <w:left w:val="single" w:sz="4" w:space="0" w:color="auto"/>
              <w:bottom w:val="single" w:sz="4" w:space="0" w:color="auto"/>
              <w:right w:val="single" w:sz="4" w:space="0" w:color="auto"/>
            </w:tcBorders>
            <w:hideMark/>
          </w:tcPr>
          <w:p w:rsidR="00B26C61" w:rsidRDefault="00B26C61" w:rsidP="00EA3146">
            <w:pPr>
              <w:pStyle w:val="StyleNotesTextBold1"/>
              <w:rPr>
                <w:rFonts w:asciiTheme="minorHAnsi" w:hAnsiTheme="minorHAnsi" w:cstheme="minorHAnsi"/>
              </w:rPr>
            </w:pPr>
            <w:r>
              <w:rPr>
                <w:rFonts w:asciiTheme="minorHAnsi" w:hAnsiTheme="minorHAnsi" w:cstheme="minorHAnsi"/>
              </w:rPr>
              <w:t>Leasehold improvements</w:t>
            </w:r>
          </w:p>
        </w:tc>
        <w:tc>
          <w:tcPr>
            <w:tcW w:w="2820" w:type="dxa"/>
            <w:tcBorders>
              <w:top w:val="single" w:sz="4" w:space="0" w:color="auto"/>
              <w:left w:val="single" w:sz="4" w:space="0" w:color="auto"/>
              <w:bottom w:val="single" w:sz="4" w:space="0" w:color="auto"/>
              <w:right w:val="single" w:sz="4" w:space="0" w:color="auto"/>
            </w:tcBorders>
            <w:hideMark/>
          </w:tcPr>
          <w:p w:rsidR="00B26C61" w:rsidRDefault="00B26C61" w:rsidP="00EA3146">
            <w:pPr>
              <w:pStyle w:val="StyleNotesTextBold1"/>
              <w:rPr>
                <w:rFonts w:asciiTheme="minorHAnsi" w:hAnsiTheme="minorHAnsi" w:cstheme="minorHAnsi"/>
              </w:rPr>
            </w:pPr>
            <w:r>
              <w:rPr>
                <w:rFonts w:asciiTheme="minorHAnsi" w:hAnsiTheme="minorHAnsi" w:cstheme="minorHAnsi"/>
              </w:rPr>
              <w:t>Lease term</w:t>
            </w:r>
          </w:p>
        </w:tc>
      </w:tr>
      <w:tr w:rsidR="00B26C61" w:rsidTr="00EA3146">
        <w:tc>
          <w:tcPr>
            <w:tcW w:w="6408" w:type="dxa"/>
            <w:tcBorders>
              <w:top w:val="single" w:sz="4" w:space="0" w:color="auto"/>
              <w:left w:val="single" w:sz="4" w:space="0" w:color="auto"/>
              <w:bottom w:val="single" w:sz="4" w:space="0" w:color="auto"/>
              <w:right w:val="single" w:sz="4" w:space="0" w:color="auto"/>
            </w:tcBorders>
            <w:hideMark/>
          </w:tcPr>
          <w:p w:rsidR="00B26C61" w:rsidRDefault="00B26C61" w:rsidP="00EA3146">
            <w:pPr>
              <w:pStyle w:val="StyleNotesTextBold1"/>
              <w:rPr>
                <w:rFonts w:asciiTheme="minorHAnsi" w:hAnsiTheme="minorHAnsi" w:cstheme="minorHAnsi"/>
              </w:rPr>
            </w:pPr>
            <w:r>
              <w:rPr>
                <w:rFonts w:asciiTheme="minorHAnsi" w:hAnsiTheme="minorHAnsi" w:cstheme="minorHAnsi"/>
              </w:rPr>
              <w:t>Infrastructure, plant and equipment</w:t>
            </w:r>
          </w:p>
        </w:tc>
        <w:tc>
          <w:tcPr>
            <w:tcW w:w="2820" w:type="dxa"/>
            <w:tcBorders>
              <w:top w:val="single" w:sz="4" w:space="0" w:color="auto"/>
              <w:left w:val="single" w:sz="4" w:space="0" w:color="auto"/>
              <w:bottom w:val="single" w:sz="4" w:space="0" w:color="auto"/>
              <w:right w:val="single" w:sz="4" w:space="0" w:color="auto"/>
            </w:tcBorders>
            <w:hideMark/>
          </w:tcPr>
          <w:p w:rsidR="00B26C61" w:rsidRDefault="00B26C61" w:rsidP="00EA3146">
            <w:pPr>
              <w:pStyle w:val="StyleNotesTextBold1"/>
              <w:rPr>
                <w:rFonts w:asciiTheme="minorHAnsi" w:hAnsiTheme="minorHAnsi" w:cstheme="minorHAnsi"/>
              </w:rPr>
            </w:pPr>
            <w:r>
              <w:rPr>
                <w:rFonts w:asciiTheme="minorHAnsi" w:hAnsiTheme="minorHAnsi" w:cstheme="minorHAnsi"/>
              </w:rPr>
              <w:t>3-25 years</w:t>
            </w:r>
          </w:p>
        </w:tc>
      </w:tr>
    </w:tbl>
    <w:p w:rsidR="00B26C61" w:rsidRDefault="00B26C61" w:rsidP="00B26C61">
      <w:pPr>
        <w:pStyle w:val="StyleNotesTextItalic"/>
        <w:rPr>
          <w:rFonts w:cstheme="minorHAnsi"/>
          <w:sz w:val="20"/>
          <w:szCs w:val="20"/>
        </w:rPr>
      </w:pPr>
      <w:r>
        <w:rPr>
          <w:rFonts w:cstheme="minorHAnsi"/>
          <w:sz w:val="20"/>
          <w:szCs w:val="20"/>
        </w:rPr>
        <w:t>Impairment</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 xml:space="preserve">All assets were assessed for impairment at 30 June </w:t>
      </w:r>
      <w:fldSimple w:instr=" DOCPROPERTY  crYear  \* MERGEFORMAT ">
        <w:r w:rsidRPr="00D80CCA">
          <w:rPr>
            <w:rFonts w:asciiTheme="minorHAnsi" w:hAnsiTheme="minorHAnsi" w:cstheme="minorHAnsi"/>
            <w:lang w:eastAsia="en-AU"/>
          </w:rPr>
          <w:t>2014</w:t>
        </w:r>
      </w:fldSimple>
      <w:r>
        <w:rPr>
          <w:rFonts w:asciiTheme="minorHAnsi" w:hAnsiTheme="minorHAnsi" w:cstheme="minorHAnsi"/>
          <w:lang w:eastAsia="en-AU"/>
        </w:rPr>
        <w:t>.  Where indications of impairment exist, the asset’s recoverable amount is estimated and an impairment adjustment made if the asset’s recoverable amount is less than its carrying amount.</w:t>
      </w:r>
    </w:p>
    <w:p w:rsidR="00B26C61" w:rsidRDefault="00B26C61" w:rsidP="00B26C61">
      <w:pPr>
        <w:pStyle w:val="StyleNotesTextBold1"/>
        <w:rPr>
          <w:rFonts w:asciiTheme="minorHAnsi" w:hAnsiTheme="minorHAnsi" w:cstheme="minorHAnsi"/>
        </w:rPr>
      </w:pPr>
      <w:r>
        <w:rPr>
          <w:rFonts w:asciiTheme="minorHAnsi" w:hAnsiTheme="minorHAnsi" w:cstheme="minorHAnsi"/>
          <w:lang w:eastAsia="en-AU"/>
        </w:rPr>
        <w:t>The recoverable amount of an asset is the higher of its fair value less costs of disposal and its value in use.  Value in use is the present value of the future cash flows expected to be derived from the asset.  Where the future economic benefit of an asset is not primarily dependent on the asset’s ability to generate future cash flows, and the asset would be replaced if the department were deprived of the asset, its value in use is taken to be its depreciated replacement cost</w:t>
      </w:r>
      <w:r>
        <w:rPr>
          <w:rFonts w:asciiTheme="minorHAnsi" w:hAnsiTheme="minorHAnsi" w:cstheme="minorHAnsi"/>
        </w:rPr>
        <w:t>.</w:t>
      </w:r>
    </w:p>
    <w:p w:rsidR="00B26C61" w:rsidRDefault="00B26C61" w:rsidP="00B26C61">
      <w:pPr>
        <w:pStyle w:val="StyleNotesTextItalic"/>
        <w:rPr>
          <w:rFonts w:cstheme="minorHAnsi"/>
          <w:sz w:val="20"/>
          <w:szCs w:val="20"/>
        </w:rPr>
      </w:pPr>
      <w:proofErr w:type="spellStart"/>
      <w:r>
        <w:rPr>
          <w:rFonts w:cstheme="minorHAnsi"/>
          <w:sz w:val="20"/>
          <w:szCs w:val="20"/>
        </w:rPr>
        <w:t>Derecognition</w:t>
      </w:r>
      <w:proofErr w:type="spellEnd"/>
    </w:p>
    <w:p w:rsidR="00B26C61" w:rsidRDefault="00B26C61" w:rsidP="00B26C61">
      <w:pPr>
        <w:pStyle w:val="StyleNotesTextBold1"/>
        <w:rPr>
          <w:rFonts w:asciiTheme="minorHAnsi" w:hAnsiTheme="minorHAnsi" w:cstheme="minorHAnsi"/>
        </w:rPr>
      </w:pPr>
      <w:r>
        <w:rPr>
          <w:rFonts w:asciiTheme="minorHAnsi" w:hAnsiTheme="minorHAnsi" w:cstheme="minorHAnsi"/>
        </w:rPr>
        <w:t>An item of property, plant and equipment is derecognised upon disposal or when no further future economic benefits are expected from its use or disposal.</w:t>
      </w:r>
    </w:p>
    <w:p w:rsidR="00B26C61" w:rsidRDefault="00B26C61" w:rsidP="00B26C61">
      <w:pPr>
        <w:pStyle w:val="StyleNotesTextItalic"/>
        <w:rPr>
          <w:rFonts w:cstheme="minorHAnsi"/>
          <w:sz w:val="20"/>
          <w:szCs w:val="20"/>
        </w:rPr>
      </w:pPr>
      <w:r>
        <w:rPr>
          <w:rFonts w:cstheme="minorHAnsi"/>
          <w:sz w:val="20"/>
          <w:szCs w:val="20"/>
        </w:rPr>
        <w:t>Assets not previously recognised</w:t>
      </w:r>
    </w:p>
    <w:p w:rsidR="00B26C61" w:rsidRDefault="00B26C61" w:rsidP="00B26C61">
      <w:pPr>
        <w:pStyle w:val="NotesText0"/>
        <w:rPr>
          <w:rFonts w:cstheme="minorHAnsi"/>
          <w:sz w:val="20"/>
          <w:szCs w:val="20"/>
        </w:rPr>
      </w:pPr>
      <w:r>
        <w:rPr>
          <w:rFonts w:cstheme="minorHAnsi"/>
          <w:sz w:val="20"/>
          <w:szCs w:val="20"/>
        </w:rPr>
        <w:t>Equipment was brought to account as part of Leasehold Improvements ($380,000) and infrastructure, plant and equipment ($309,000) for the first time as at 30 June 2014 due to the sharing of assets between the department and the Department of Education.</w:t>
      </w:r>
    </w:p>
    <w:p w:rsidR="00B26C61" w:rsidRDefault="00B26C61" w:rsidP="00B26C61">
      <w:pPr>
        <w:pStyle w:val="SAPHeading-Level2"/>
        <w:numPr>
          <w:ilvl w:val="1"/>
          <w:numId w:val="16"/>
        </w:numPr>
      </w:pPr>
      <w:r>
        <w:t xml:space="preserve">Intangibles </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The department’s intangibles comprise purchased and internally developed software for internal use.  These assets are carried at cost less accumulated amortisation and accumulated impairment losses.  Purchases costing less than $200,000 are expensed in the year of acquisition (other than where they form part of a group of similar items which are significant in total).</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Software is amortised on a straight-line basis over its anticipated useful life.  The useful lives of the department’s software are 2-15 years.</w:t>
      </w:r>
      <w:r>
        <w:rPr>
          <w:rFonts w:asciiTheme="minorHAnsi" w:hAnsiTheme="minorHAnsi" w:cstheme="minorHAnsi"/>
          <w:lang w:eastAsia="en-AU"/>
        </w:rPr>
        <w:tab/>
      </w:r>
    </w:p>
    <w:p w:rsidR="00B26C61" w:rsidRDefault="00B26C61" w:rsidP="00B26C61">
      <w:pPr>
        <w:pStyle w:val="StyleNotesTextBold1"/>
        <w:rPr>
          <w:rFonts w:asciiTheme="minorHAnsi" w:hAnsiTheme="minorHAnsi" w:cstheme="minorHAnsi"/>
        </w:rPr>
      </w:pPr>
      <w:r>
        <w:rPr>
          <w:rFonts w:asciiTheme="minorHAnsi" w:hAnsiTheme="minorHAnsi" w:cstheme="minorHAnsi"/>
          <w:lang w:eastAsia="en-AU"/>
        </w:rPr>
        <w:t xml:space="preserve">All software assets were assessed for indications of impairment as at 30 June </w:t>
      </w:r>
      <w:fldSimple w:instr=" DOCPROPERTY  crYear  \* MERGEFORMAT ">
        <w:r w:rsidRPr="00D80CCA">
          <w:rPr>
            <w:rFonts w:asciiTheme="minorHAnsi" w:hAnsiTheme="minorHAnsi" w:cstheme="minorHAnsi"/>
            <w:lang w:eastAsia="en-AU"/>
          </w:rPr>
          <w:t>2014</w:t>
        </w:r>
      </w:fldSimple>
      <w:r>
        <w:rPr>
          <w:rFonts w:asciiTheme="minorHAnsi" w:hAnsiTheme="minorHAnsi" w:cstheme="minorHAnsi"/>
        </w:rPr>
        <w:t>.</w:t>
      </w:r>
    </w:p>
    <w:p w:rsidR="00B26C61" w:rsidRDefault="00B26C61" w:rsidP="00B26C61">
      <w:pPr>
        <w:spacing w:line="240" w:lineRule="auto"/>
        <w:rPr>
          <w:rFonts w:asciiTheme="minorHAnsi" w:hAnsiTheme="minorHAnsi" w:cstheme="minorHAnsi"/>
          <w:bCs/>
          <w:sz w:val="20"/>
        </w:rPr>
      </w:pPr>
      <w:r>
        <w:rPr>
          <w:rFonts w:asciiTheme="minorHAnsi" w:hAnsiTheme="minorHAnsi" w:cstheme="minorHAnsi"/>
        </w:rPr>
        <w:br w:type="page"/>
      </w:r>
    </w:p>
    <w:p w:rsidR="00B26C61" w:rsidRDefault="00B26C61" w:rsidP="00B26C61">
      <w:pPr>
        <w:pStyle w:val="StyleNotesTextBold1"/>
        <w:rPr>
          <w:rFonts w:asciiTheme="minorHAnsi" w:hAnsiTheme="minorHAnsi" w:cstheme="minorHAnsi"/>
        </w:rPr>
      </w:pPr>
    </w:p>
    <w:p w:rsidR="00B26C61" w:rsidRDefault="00B26C61" w:rsidP="00B26C61">
      <w:pPr>
        <w:pStyle w:val="SAPHeading-Level2"/>
        <w:numPr>
          <w:ilvl w:val="1"/>
          <w:numId w:val="16"/>
        </w:numPr>
      </w:pPr>
      <w:r>
        <w:t>Taxation</w:t>
      </w:r>
    </w:p>
    <w:p w:rsidR="00B26C61" w:rsidRDefault="00B26C61" w:rsidP="00B26C61">
      <w:pPr>
        <w:pStyle w:val="StyleNotesTextBold1"/>
        <w:rPr>
          <w:rFonts w:asciiTheme="minorHAnsi" w:hAnsiTheme="minorHAnsi" w:cstheme="minorHAnsi"/>
          <w:lang w:eastAsia="en-AU"/>
        </w:rPr>
      </w:pPr>
      <w:r>
        <w:rPr>
          <w:rFonts w:asciiTheme="minorHAnsi" w:hAnsiTheme="minorHAnsi" w:cstheme="minorHAnsi"/>
          <w:lang w:eastAsia="en-AU"/>
        </w:rPr>
        <w:t>The department is exempt from all forms of taxation except Fringe Benefits Tax (</w:t>
      </w:r>
      <w:proofErr w:type="spellStart"/>
      <w:r>
        <w:rPr>
          <w:rFonts w:asciiTheme="minorHAnsi" w:hAnsiTheme="minorHAnsi" w:cstheme="minorHAnsi"/>
          <w:lang w:eastAsia="en-AU"/>
        </w:rPr>
        <w:t>FBT</w:t>
      </w:r>
      <w:proofErr w:type="spellEnd"/>
      <w:r>
        <w:rPr>
          <w:rFonts w:asciiTheme="minorHAnsi" w:hAnsiTheme="minorHAnsi" w:cstheme="minorHAnsi"/>
          <w:lang w:eastAsia="en-AU"/>
        </w:rPr>
        <w:t>) and the Goods and Services Tax (GST).</w:t>
      </w:r>
      <w:r>
        <w:rPr>
          <w:rFonts w:asciiTheme="minorHAnsi" w:hAnsiTheme="minorHAnsi" w:cstheme="minorHAnsi"/>
          <w:lang w:eastAsia="en-AU"/>
        </w:rPr>
        <w:tab/>
      </w:r>
    </w:p>
    <w:p w:rsidR="00B26C61" w:rsidRDefault="00B26C61" w:rsidP="00B26C61">
      <w:pPr>
        <w:pStyle w:val="StyleNotesTextBold1"/>
        <w:rPr>
          <w:rFonts w:asciiTheme="minorHAnsi" w:hAnsiTheme="minorHAnsi" w:cstheme="minorHAnsi"/>
        </w:rPr>
      </w:pPr>
      <w:r>
        <w:rPr>
          <w:rFonts w:asciiTheme="minorHAnsi" w:hAnsiTheme="minorHAnsi" w:cstheme="minorHAnsi"/>
          <w:lang w:eastAsia="en-AU"/>
        </w:rPr>
        <w:t>Revenues, expenses and non-financial assets are recognised net of GST except</w:t>
      </w:r>
      <w:r>
        <w:rPr>
          <w:rFonts w:asciiTheme="minorHAnsi" w:hAnsiTheme="minorHAnsi" w:cstheme="minorHAnsi"/>
        </w:rPr>
        <w:t>:</w:t>
      </w:r>
      <w:r>
        <w:rPr>
          <w:rFonts w:asciiTheme="minorHAnsi" w:hAnsiTheme="minorHAnsi" w:cstheme="minorHAnsi"/>
        </w:rPr>
        <w:tab/>
      </w:r>
    </w:p>
    <w:p w:rsidR="00B26C61" w:rsidRDefault="00B26C61" w:rsidP="00B26C61">
      <w:pPr>
        <w:pStyle w:val="BulletKPMG"/>
        <w:numPr>
          <w:ilvl w:val="0"/>
          <w:numId w:val="17"/>
        </w:numPr>
        <w:rPr>
          <w:rFonts w:asciiTheme="minorHAnsi" w:hAnsiTheme="minorHAnsi" w:cstheme="minorHAnsi"/>
          <w:lang w:val="en-AU"/>
        </w:rPr>
      </w:pPr>
      <w:r>
        <w:rPr>
          <w:rFonts w:asciiTheme="minorHAnsi" w:hAnsiTheme="minorHAnsi" w:cstheme="minorHAnsi"/>
          <w:lang w:val="en-AU"/>
        </w:rPr>
        <w:t>where the amount of GST incurred is not recoverable from the Australian Taxation Office; and</w:t>
      </w:r>
    </w:p>
    <w:p w:rsidR="00B26C61" w:rsidRDefault="00B26C61" w:rsidP="00B26C61">
      <w:pPr>
        <w:pStyle w:val="BulletKPMG"/>
        <w:numPr>
          <w:ilvl w:val="0"/>
          <w:numId w:val="17"/>
        </w:numPr>
        <w:rPr>
          <w:rFonts w:asciiTheme="minorHAnsi" w:hAnsiTheme="minorHAnsi" w:cstheme="minorHAnsi"/>
          <w:lang w:val="en-AU"/>
        </w:rPr>
      </w:pPr>
      <w:proofErr w:type="gramStart"/>
      <w:r>
        <w:rPr>
          <w:rFonts w:asciiTheme="minorHAnsi" w:hAnsiTheme="minorHAnsi" w:cstheme="minorHAnsi"/>
          <w:lang w:val="en-AU"/>
        </w:rPr>
        <w:t>for</w:t>
      </w:r>
      <w:proofErr w:type="gramEnd"/>
      <w:r>
        <w:rPr>
          <w:rFonts w:asciiTheme="minorHAnsi" w:hAnsiTheme="minorHAnsi" w:cstheme="minorHAnsi"/>
          <w:lang w:val="en-AU"/>
        </w:rPr>
        <w:t xml:space="preserve"> receivables and payables.</w:t>
      </w:r>
    </w:p>
    <w:p w:rsidR="00B26C61" w:rsidRDefault="00B26C61" w:rsidP="00B26C61">
      <w:pPr>
        <w:rPr>
          <w:rFonts w:asciiTheme="minorHAnsi" w:hAnsiTheme="minorHAnsi" w:cstheme="minorHAnsi"/>
          <w:sz w:val="20"/>
        </w:rPr>
      </w:pPr>
    </w:p>
    <w:tbl>
      <w:tblPr>
        <w:tblW w:w="0" w:type="auto"/>
        <w:tblLook w:val="01E0" w:firstRow="1" w:lastRow="1" w:firstColumn="1" w:lastColumn="1" w:noHBand="0" w:noVBand="0"/>
      </w:tblPr>
      <w:tblGrid>
        <w:gridCol w:w="9854"/>
      </w:tblGrid>
      <w:tr w:rsidR="00B26C61" w:rsidTr="00EA3146">
        <w:tc>
          <w:tcPr>
            <w:tcW w:w="9854" w:type="dxa"/>
            <w:shd w:val="clear" w:color="auto" w:fill="CCCCCC"/>
            <w:hideMark/>
          </w:tcPr>
          <w:p w:rsidR="00B26C61" w:rsidRDefault="00B26C61" w:rsidP="00B26C61">
            <w:pPr>
              <w:pStyle w:val="SAPHeading-Level2"/>
              <w:numPr>
                <w:ilvl w:val="1"/>
                <w:numId w:val="16"/>
              </w:numPr>
            </w:pPr>
            <w:r>
              <w:br w:type="page"/>
              <w:t xml:space="preserve">Reporting of Administered Activities </w:t>
            </w:r>
          </w:p>
          <w:p w:rsidR="00B26C61" w:rsidRDefault="00B26C61" w:rsidP="00EA3146">
            <w:pPr>
              <w:pStyle w:val="StyleNotesTextBold1"/>
              <w:rPr>
                <w:rFonts w:asciiTheme="minorHAnsi" w:hAnsiTheme="minorHAnsi" w:cstheme="minorHAnsi"/>
              </w:rPr>
            </w:pPr>
            <w:r>
              <w:rPr>
                <w:rFonts w:asciiTheme="minorHAnsi" w:hAnsiTheme="minorHAnsi" w:cstheme="minorHAnsi"/>
                <w:lang w:eastAsia="en-AU"/>
              </w:rPr>
              <w:t>Administered revenues, expenses, assets, liabilities and cash flows are disclosed in the Schedule of Administered Items and related notes</w:t>
            </w:r>
            <w:r>
              <w:rPr>
                <w:rFonts w:asciiTheme="minorHAnsi" w:hAnsiTheme="minorHAnsi" w:cstheme="minorHAnsi"/>
              </w:rPr>
              <w:t>.</w:t>
            </w:r>
          </w:p>
          <w:p w:rsidR="00B26C61" w:rsidRDefault="00B26C61" w:rsidP="00EA3146">
            <w:pPr>
              <w:pStyle w:val="StyleNotesTextBold1"/>
              <w:rPr>
                <w:rFonts w:asciiTheme="minorHAnsi" w:hAnsiTheme="minorHAnsi" w:cstheme="minorHAnsi"/>
                <w:lang w:eastAsia="en-AU"/>
              </w:rPr>
            </w:pPr>
            <w:r>
              <w:rPr>
                <w:rFonts w:asciiTheme="minorHAnsi" w:hAnsiTheme="minorHAnsi" w:cstheme="minorHAnsi"/>
                <w:lang w:eastAsia="en-AU"/>
              </w:rPr>
              <w:t>Except where otherwise stated below, administered items are accounted for on the same basis and using the same policies as for departmental items, including the application of Australian Accounting Standards.</w:t>
            </w:r>
          </w:p>
          <w:p w:rsidR="00B26C61" w:rsidRPr="00630CCE" w:rsidRDefault="00B26C61" w:rsidP="00EA3146">
            <w:pPr>
              <w:pStyle w:val="StyleReferenceTextItalic"/>
              <w:rPr>
                <w:rFonts w:asciiTheme="minorHAnsi" w:hAnsiTheme="minorHAnsi" w:cstheme="minorHAnsi"/>
                <w:u w:val="single"/>
              </w:rPr>
            </w:pPr>
            <w:r w:rsidRPr="00630CCE">
              <w:rPr>
                <w:rFonts w:asciiTheme="minorHAnsi" w:hAnsiTheme="minorHAnsi" w:cstheme="minorHAnsi"/>
                <w:u w:val="single"/>
              </w:rPr>
              <w:t>Administered cash transfers to and from the Official Public Account</w:t>
            </w:r>
          </w:p>
          <w:p w:rsidR="00B26C61" w:rsidRDefault="00B26C61" w:rsidP="00EA3146">
            <w:pPr>
              <w:pStyle w:val="StyleNotesTextBold1"/>
              <w:rPr>
                <w:rFonts w:asciiTheme="minorHAnsi" w:hAnsiTheme="minorHAnsi" w:cstheme="minorHAnsi"/>
                <w:lang w:eastAsia="en-AU"/>
              </w:rPr>
            </w:pPr>
            <w:r>
              <w:rPr>
                <w:rFonts w:asciiTheme="minorHAnsi" w:hAnsiTheme="minorHAnsi" w:cstheme="minorHAnsi"/>
                <w:lang w:eastAsia="en-AU"/>
              </w:rPr>
              <w:t>Revenue collected by the department for use by the Government rather than the department is administered revenue. Collections are transferred to the Official Public Account (</w:t>
            </w:r>
            <w:proofErr w:type="spellStart"/>
            <w:r>
              <w:rPr>
                <w:rFonts w:asciiTheme="minorHAnsi" w:hAnsiTheme="minorHAnsi" w:cstheme="minorHAnsi"/>
                <w:lang w:eastAsia="en-AU"/>
              </w:rPr>
              <w:t>OPA</w:t>
            </w:r>
            <w:proofErr w:type="spellEnd"/>
            <w:r>
              <w:rPr>
                <w:rFonts w:asciiTheme="minorHAnsi" w:hAnsiTheme="minorHAnsi" w:cstheme="minorHAnsi"/>
                <w:lang w:eastAsia="en-AU"/>
              </w:rPr>
              <w:t xml:space="preserve">) maintained by the Department of Finance. Conversely, cash is drawn from the </w:t>
            </w:r>
            <w:proofErr w:type="spellStart"/>
            <w:r>
              <w:rPr>
                <w:rFonts w:asciiTheme="minorHAnsi" w:hAnsiTheme="minorHAnsi" w:cstheme="minorHAnsi"/>
                <w:lang w:eastAsia="en-AU"/>
              </w:rPr>
              <w:t>OPA</w:t>
            </w:r>
            <w:proofErr w:type="spellEnd"/>
            <w:r>
              <w:rPr>
                <w:rFonts w:asciiTheme="minorHAnsi" w:hAnsiTheme="minorHAnsi" w:cstheme="minorHAnsi"/>
                <w:lang w:eastAsia="en-AU"/>
              </w:rPr>
              <w:t xml:space="preserve"> to make payments under Parliamentary appropriation on behalf of Government. These transfers to and from the </w:t>
            </w:r>
            <w:proofErr w:type="spellStart"/>
            <w:r>
              <w:rPr>
                <w:rFonts w:asciiTheme="minorHAnsi" w:hAnsiTheme="minorHAnsi" w:cstheme="minorHAnsi"/>
                <w:lang w:eastAsia="en-AU"/>
              </w:rPr>
              <w:t>OPA</w:t>
            </w:r>
            <w:proofErr w:type="spellEnd"/>
            <w:r>
              <w:rPr>
                <w:rFonts w:asciiTheme="minorHAnsi" w:hAnsiTheme="minorHAnsi" w:cstheme="minorHAnsi"/>
                <w:lang w:eastAsia="en-AU"/>
              </w:rPr>
              <w:t xml:space="preserve"> are adjustments to the administered cash held by the department on behalf of the Government and reported as such in the Schedule of Administered cash flows and in the Administered Reconciliation Schedule.</w:t>
            </w:r>
          </w:p>
          <w:p w:rsidR="00B26C61" w:rsidRPr="00630CCE" w:rsidRDefault="00B26C61" w:rsidP="00EA3146">
            <w:pPr>
              <w:pStyle w:val="StyleReferenceTextItalic"/>
              <w:rPr>
                <w:rFonts w:asciiTheme="minorHAnsi" w:hAnsiTheme="minorHAnsi" w:cstheme="minorHAnsi"/>
                <w:u w:val="single"/>
              </w:rPr>
            </w:pPr>
            <w:r w:rsidRPr="00630CCE">
              <w:rPr>
                <w:rFonts w:asciiTheme="minorHAnsi" w:hAnsiTheme="minorHAnsi" w:cstheme="minorHAnsi"/>
                <w:u w:val="single"/>
              </w:rPr>
              <w:t>Revenue</w:t>
            </w:r>
          </w:p>
          <w:p w:rsidR="00B26C61" w:rsidRDefault="00B26C61" w:rsidP="00EA3146">
            <w:pPr>
              <w:pStyle w:val="StyleNotesTextBold1"/>
              <w:rPr>
                <w:rFonts w:asciiTheme="minorHAnsi" w:hAnsiTheme="minorHAnsi" w:cstheme="minorHAnsi"/>
                <w:lang w:eastAsia="en-AU"/>
              </w:rPr>
            </w:pPr>
            <w:r>
              <w:rPr>
                <w:rFonts w:asciiTheme="minorHAnsi" w:hAnsiTheme="minorHAnsi" w:cstheme="minorHAnsi"/>
                <w:lang w:eastAsia="en-AU"/>
              </w:rPr>
              <w:t>All administered revenues are revenues relating to the course of ordinary activities performed by the department on behalf of the Australian Government.  As such, administered appropriations are not revenues of the individual entity that oversees distribution or expenditure of the funds as directed.</w:t>
            </w:r>
          </w:p>
          <w:p w:rsidR="00B26C61" w:rsidRDefault="00B26C61" w:rsidP="00EA3146">
            <w:pPr>
              <w:pStyle w:val="StyleNotesTextBold1"/>
              <w:rPr>
                <w:rFonts w:asciiTheme="minorHAnsi" w:hAnsiTheme="minorHAnsi" w:cstheme="minorHAnsi"/>
                <w:lang w:eastAsia="en-AU"/>
              </w:rPr>
            </w:pPr>
            <w:r>
              <w:rPr>
                <w:rFonts w:asciiTheme="minorHAnsi" w:hAnsiTheme="minorHAnsi" w:cstheme="minorHAnsi"/>
                <w:lang w:eastAsia="en-AU"/>
              </w:rPr>
              <w:t>Administered fee revenue is recognised when the service is provided.  Collectability of the debt is reviewed at balance date.  Impairment allowances are made when collectability of the debt is judged to be less, rather than more, likely.</w:t>
            </w:r>
          </w:p>
          <w:p w:rsidR="00B26C61" w:rsidRPr="00630CCE" w:rsidRDefault="00B26C61" w:rsidP="00EA3146">
            <w:pPr>
              <w:pStyle w:val="StyleReferenceTextItalic"/>
              <w:rPr>
                <w:rFonts w:asciiTheme="minorHAnsi" w:hAnsiTheme="minorHAnsi" w:cstheme="minorHAnsi"/>
                <w:u w:val="single"/>
              </w:rPr>
            </w:pPr>
            <w:r w:rsidRPr="00630CCE">
              <w:rPr>
                <w:rFonts w:asciiTheme="minorHAnsi" w:hAnsiTheme="minorHAnsi" w:cstheme="minorHAnsi"/>
                <w:u w:val="single"/>
              </w:rPr>
              <w:t>Loans and receivables</w:t>
            </w:r>
          </w:p>
          <w:p w:rsidR="00B26C61" w:rsidRDefault="00B26C61" w:rsidP="00EA3146">
            <w:pPr>
              <w:pStyle w:val="StyleNotesTextBold1"/>
              <w:rPr>
                <w:rFonts w:asciiTheme="minorHAnsi" w:hAnsiTheme="minorHAnsi" w:cstheme="minorHAnsi"/>
              </w:rPr>
            </w:pPr>
            <w:r>
              <w:rPr>
                <w:rFonts w:asciiTheme="minorHAnsi" w:hAnsiTheme="minorHAnsi" w:cstheme="minorHAnsi"/>
              </w:rPr>
              <w:t xml:space="preserve">Where loans and receivables are not subject to concessional treatment, they are carried at amortised cost using the effective interest method.  Gains and losses due to </w:t>
            </w:r>
            <w:proofErr w:type="gramStart"/>
            <w:r>
              <w:rPr>
                <w:rFonts w:asciiTheme="minorHAnsi" w:hAnsiTheme="minorHAnsi" w:cstheme="minorHAnsi"/>
              </w:rPr>
              <w:t>impairment,</w:t>
            </w:r>
            <w:proofErr w:type="gramEnd"/>
            <w:r>
              <w:rPr>
                <w:rFonts w:asciiTheme="minorHAnsi" w:hAnsiTheme="minorHAnsi" w:cstheme="minorHAnsi"/>
              </w:rPr>
              <w:t xml:space="preserve"> </w:t>
            </w:r>
            <w:proofErr w:type="spellStart"/>
            <w:r>
              <w:rPr>
                <w:rFonts w:asciiTheme="minorHAnsi" w:hAnsiTheme="minorHAnsi" w:cstheme="minorHAnsi"/>
              </w:rPr>
              <w:t>derecognition</w:t>
            </w:r>
            <w:proofErr w:type="spellEnd"/>
            <w:r>
              <w:rPr>
                <w:rFonts w:asciiTheme="minorHAnsi" w:hAnsiTheme="minorHAnsi" w:cstheme="minorHAnsi"/>
              </w:rPr>
              <w:t xml:space="preserve"> and amortisation are recognised through profit or loss.  </w:t>
            </w:r>
          </w:p>
          <w:p w:rsidR="00B26C61" w:rsidRDefault="00B26C61" w:rsidP="00EA3146">
            <w:pPr>
              <w:pStyle w:val="StyleNotesTextBold1"/>
              <w:rPr>
                <w:rFonts w:asciiTheme="minorHAnsi" w:hAnsiTheme="minorHAnsi" w:cstheme="minorHAnsi"/>
              </w:rPr>
            </w:pPr>
            <w:r>
              <w:rPr>
                <w:rFonts w:asciiTheme="minorHAnsi" w:hAnsiTheme="minorHAnsi" w:cstheme="minorHAnsi"/>
              </w:rPr>
              <w:t xml:space="preserve">Administered receivables, including those relating to personal benefit </w:t>
            </w:r>
            <w:proofErr w:type="gramStart"/>
            <w:r>
              <w:rPr>
                <w:rFonts w:asciiTheme="minorHAnsi" w:hAnsiTheme="minorHAnsi" w:cstheme="minorHAnsi"/>
              </w:rPr>
              <w:t>overpayments,</w:t>
            </w:r>
            <w:proofErr w:type="gramEnd"/>
            <w:r>
              <w:rPr>
                <w:rFonts w:asciiTheme="minorHAnsi" w:hAnsiTheme="minorHAnsi" w:cstheme="minorHAnsi"/>
              </w:rPr>
              <w:t xml:space="preserve"> represent debts owed to the department by past and present customers.  </w:t>
            </w:r>
          </w:p>
        </w:tc>
      </w:tr>
      <w:tr w:rsidR="00B26C61" w:rsidTr="00EA3146">
        <w:tc>
          <w:tcPr>
            <w:tcW w:w="9854" w:type="dxa"/>
            <w:shd w:val="clear" w:color="auto" w:fill="CCCCCC"/>
            <w:hideMark/>
          </w:tcPr>
          <w:p w:rsidR="00B26C61" w:rsidRPr="00630CCE" w:rsidRDefault="00B26C61" w:rsidP="00EA3146">
            <w:pPr>
              <w:pStyle w:val="StyleReferenceTextItalic"/>
              <w:rPr>
                <w:rFonts w:asciiTheme="minorHAnsi" w:hAnsiTheme="minorHAnsi" w:cstheme="minorHAnsi"/>
                <w:u w:val="single"/>
              </w:rPr>
            </w:pPr>
            <w:r w:rsidRPr="00630CCE">
              <w:rPr>
                <w:rFonts w:asciiTheme="minorHAnsi" w:hAnsiTheme="minorHAnsi" w:cstheme="minorHAnsi"/>
                <w:u w:val="single"/>
              </w:rPr>
              <w:t>Administered investments</w:t>
            </w:r>
          </w:p>
          <w:p w:rsidR="00B26C61" w:rsidRDefault="00B26C61" w:rsidP="00EA3146">
            <w:pPr>
              <w:pStyle w:val="StyleNotesTextBold1"/>
              <w:rPr>
                <w:rFonts w:asciiTheme="minorHAnsi" w:hAnsiTheme="minorHAnsi" w:cstheme="minorHAnsi"/>
              </w:rPr>
            </w:pPr>
            <w:r>
              <w:rPr>
                <w:rFonts w:asciiTheme="minorHAnsi" w:hAnsiTheme="minorHAnsi" w:cstheme="minorHAnsi"/>
              </w:rPr>
              <w:t>Administered investments in subsidiaries, joint ventures and associates are not consolidated because their consolidation is relevant only at the Whole of Government level.</w:t>
            </w:r>
          </w:p>
          <w:p w:rsidR="00B26C61" w:rsidRDefault="00B26C61" w:rsidP="00EA3146">
            <w:pPr>
              <w:pStyle w:val="StyleNotesTextBold1"/>
              <w:rPr>
                <w:rFonts w:asciiTheme="minorHAnsi" w:hAnsiTheme="minorHAnsi" w:cstheme="minorHAnsi"/>
              </w:rPr>
            </w:pPr>
            <w:r>
              <w:rPr>
                <w:rFonts w:asciiTheme="minorHAnsi" w:hAnsiTheme="minorHAnsi" w:cstheme="minorHAnsi"/>
              </w:rPr>
              <w:t xml:space="preserve">Administered investments other than those held for sale are classified as available-for-sale and are measured at their fair value as at 30 June </w:t>
            </w:r>
            <w:fldSimple w:instr=" DOCPROPERTY  crYear  \* MERGEFORMAT ">
              <w:r w:rsidRPr="00D80CCA">
                <w:rPr>
                  <w:rFonts w:asciiTheme="minorHAnsi" w:hAnsiTheme="minorHAnsi" w:cstheme="minorHAnsi"/>
                </w:rPr>
                <w:t>2014</w:t>
              </w:r>
            </w:fldSimple>
            <w:r>
              <w:rPr>
                <w:rFonts w:asciiTheme="minorHAnsi" w:hAnsiTheme="minorHAnsi" w:cstheme="minorHAnsi"/>
              </w:rPr>
              <w:t xml:space="preserve">.  Fair value has been taken to be the Australian Government's proportional interest in the net assets of the entities as at the end of the reporting period.  </w:t>
            </w:r>
          </w:p>
          <w:p w:rsidR="00B26C61" w:rsidRPr="00630CCE" w:rsidRDefault="00B26C61" w:rsidP="00EA3146">
            <w:pPr>
              <w:pStyle w:val="StyleReferenceTextItalic"/>
              <w:rPr>
                <w:rFonts w:asciiTheme="minorHAnsi" w:hAnsiTheme="minorHAnsi" w:cstheme="minorHAnsi"/>
                <w:u w:val="single"/>
              </w:rPr>
            </w:pPr>
            <w:r w:rsidRPr="00630CCE">
              <w:rPr>
                <w:rFonts w:asciiTheme="minorHAnsi" w:hAnsiTheme="minorHAnsi" w:cstheme="minorHAnsi"/>
                <w:u w:val="single"/>
              </w:rPr>
              <w:t>Grants and subsidies</w:t>
            </w:r>
          </w:p>
          <w:p w:rsidR="00B26C61" w:rsidRDefault="00B26C61" w:rsidP="00EA3146">
            <w:pPr>
              <w:pStyle w:val="StyleNotesTextBold1"/>
              <w:rPr>
                <w:rFonts w:asciiTheme="minorHAnsi" w:hAnsiTheme="minorHAnsi" w:cstheme="minorHAnsi"/>
              </w:rPr>
            </w:pPr>
            <w:r>
              <w:rPr>
                <w:rFonts w:asciiTheme="minorHAnsi" w:hAnsiTheme="minorHAnsi" w:cstheme="minorHAnsi"/>
              </w:rPr>
              <w:t>The department administers a number of grant and subsidy schemes on behalf of the Government.</w:t>
            </w:r>
          </w:p>
          <w:p w:rsidR="00B26C61" w:rsidRDefault="00B26C61" w:rsidP="00EA3146">
            <w:pPr>
              <w:pStyle w:val="StyleNotesTextBold1"/>
              <w:rPr>
                <w:rFonts w:asciiTheme="minorHAnsi" w:hAnsiTheme="minorHAnsi" w:cstheme="minorHAnsi"/>
              </w:rPr>
            </w:pPr>
            <w:r>
              <w:rPr>
                <w:rFonts w:asciiTheme="minorHAnsi" w:hAnsiTheme="minorHAnsi" w:cstheme="minorHAnsi"/>
              </w:rPr>
              <w:t>Grant and subsidy liabilities are recognised to the extent that (</w:t>
            </w:r>
            <w:proofErr w:type="spellStart"/>
            <w:r>
              <w:rPr>
                <w:rFonts w:asciiTheme="minorHAnsi" w:hAnsiTheme="minorHAnsi" w:cstheme="minorHAnsi"/>
              </w:rPr>
              <w:t>i</w:t>
            </w:r>
            <w:proofErr w:type="spellEnd"/>
            <w:r>
              <w:rPr>
                <w:rFonts w:asciiTheme="minorHAnsi" w:hAnsiTheme="minorHAnsi" w:cstheme="minorHAnsi"/>
              </w:rPr>
              <w:t>) the services required to be performed by the grantee have been performed or (ii) the grant eligibility criteria have been satisfied, but payments due have not been made.  A commitment is recorded when the Government enters into an agreement to make these grants but services have not been performed or criteria satisfied.</w:t>
            </w:r>
          </w:p>
          <w:p w:rsidR="00B26C61" w:rsidRDefault="00B26C61" w:rsidP="00EA3146">
            <w:pPr>
              <w:pStyle w:val="StyleNotesTextBold1"/>
              <w:rPr>
                <w:rFonts w:asciiTheme="minorHAnsi" w:hAnsiTheme="minorHAnsi" w:cstheme="minorHAnsi"/>
              </w:rPr>
            </w:pPr>
            <w:r>
              <w:rPr>
                <w:rFonts w:asciiTheme="minorHAnsi" w:hAnsiTheme="minorHAnsi" w:cstheme="minorHAnsi"/>
              </w:rPr>
              <w:t xml:space="preserve">The Australian Government continues to have regard to developments in case law, including the High Court’s most recent decision on Commonwealth expenditure in </w:t>
            </w:r>
            <w:r>
              <w:rPr>
                <w:rFonts w:asciiTheme="minorHAnsi" w:hAnsiTheme="minorHAnsi" w:cstheme="minorHAnsi"/>
                <w:i/>
                <w:iCs/>
              </w:rPr>
              <w:t>Williams v Commonwealth</w:t>
            </w:r>
            <w:r>
              <w:rPr>
                <w:rFonts w:asciiTheme="minorHAnsi" w:hAnsiTheme="minorHAnsi" w:cstheme="minorHAnsi"/>
              </w:rPr>
              <w:t xml:space="preserve"> (2014) HCA 23, as they contribute to the larger body of law relevant to the development of Commonwealth programs.  In accordance with its general practice, the Government will continue to monitor and assess risk and decide on any appropriate actions to respond to risks of expenditure not being consistent with constitutional or other legal requirements.</w:t>
            </w:r>
          </w:p>
          <w:p w:rsidR="00B26C61" w:rsidRPr="00630CCE" w:rsidRDefault="00B26C61" w:rsidP="00EA3146">
            <w:pPr>
              <w:pStyle w:val="StyleReferenceTextItalic"/>
              <w:rPr>
                <w:rFonts w:asciiTheme="minorHAnsi" w:hAnsiTheme="minorHAnsi" w:cstheme="minorHAnsi"/>
                <w:u w:val="single"/>
              </w:rPr>
            </w:pPr>
            <w:r w:rsidRPr="00630CCE">
              <w:rPr>
                <w:rFonts w:asciiTheme="minorHAnsi" w:hAnsiTheme="minorHAnsi" w:cstheme="minorHAnsi"/>
                <w:u w:val="single"/>
              </w:rPr>
              <w:t>Personal Benefits</w:t>
            </w:r>
          </w:p>
          <w:p w:rsidR="00B26C61" w:rsidRDefault="00B26C61" w:rsidP="00EA3146">
            <w:pPr>
              <w:pStyle w:val="StyleNotesTextBold1"/>
              <w:rPr>
                <w:rFonts w:asciiTheme="minorHAnsi" w:hAnsiTheme="minorHAnsi" w:cstheme="minorHAnsi"/>
              </w:rPr>
            </w:pPr>
            <w:r>
              <w:rPr>
                <w:rFonts w:asciiTheme="minorHAnsi" w:hAnsiTheme="minorHAnsi" w:cstheme="minorHAnsi"/>
              </w:rPr>
              <w:t xml:space="preserve">The department administers personal benefit programs on behalf of the government that provide entitlements to individuals.  Payments are determined in accordance with provisions of the </w:t>
            </w:r>
            <w:r>
              <w:rPr>
                <w:rFonts w:asciiTheme="minorHAnsi" w:hAnsiTheme="minorHAnsi" w:cstheme="minorHAnsi"/>
                <w:i/>
              </w:rPr>
              <w:t>Fair Entitlements Guarantee Act 2012</w:t>
            </w:r>
            <w:r>
              <w:rPr>
                <w:rFonts w:asciiTheme="minorHAnsi" w:hAnsiTheme="minorHAnsi" w:cstheme="minorHAnsi"/>
              </w:rPr>
              <w:t xml:space="preserve">.  </w:t>
            </w:r>
          </w:p>
          <w:p w:rsidR="00B26C61" w:rsidRPr="007E0AC0" w:rsidRDefault="00B26C61" w:rsidP="00EA3146">
            <w:pPr>
              <w:pStyle w:val="StyleReferenceTextItalic"/>
              <w:rPr>
                <w:rFonts w:asciiTheme="minorHAnsi" w:hAnsiTheme="minorHAnsi" w:cstheme="minorHAnsi"/>
                <w:u w:val="single"/>
              </w:rPr>
            </w:pPr>
            <w:r w:rsidRPr="007E0AC0">
              <w:rPr>
                <w:rFonts w:asciiTheme="minorHAnsi" w:hAnsiTheme="minorHAnsi" w:cstheme="minorHAnsi"/>
                <w:u w:val="single"/>
              </w:rPr>
              <w:t>Payments to CAC Act bodies</w:t>
            </w:r>
          </w:p>
          <w:p w:rsidR="00B26C61" w:rsidRDefault="00B26C61" w:rsidP="00EA3146">
            <w:pPr>
              <w:pStyle w:val="StyleNotesTextBold1"/>
              <w:rPr>
                <w:rFonts w:asciiTheme="minorHAnsi" w:hAnsiTheme="minorHAnsi" w:cstheme="minorHAnsi"/>
              </w:rPr>
            </w:pPr>
            <w:r>
              <w:rPr>
                <w:rFonts w:asciiTheme="minorHAnsi" w:hAnsiTheme="minorHAnsi" w:cstheme="minorHAnsi"/>
              </w:rPr>
              <w:lastRenderedPageBreak/>
              <w:t xml:space="preserve">Payments to </w:t>
            </w:r>
            <w:proofErr w:type="spellStart"/>
            <w:r>
              <w:rPr>
                <w:rFonts w:asciiTheme="minorHAnsi" w:hAnsiTheme="minorHAnsi" w:cstheme="minorHAnsi"/>
              </w:rPr>
              <w:t>Comcare</w:t>
            </w:r>
            <w:proofErr w:type="spellEnd"/>
            <w:r>
              <w:rPr>
                <w:rFonts w:asciiTheme="minorHAnsi" w:hAnsiTheme="minorHAnsi" w:cstheme="minorHAnsi"/>
              </w:rPr>
              <w:t xml:space="preserve"> from amounts appropriated for that purpose are classified as administered expenses of the relevant portfolio department.  The appropriation to the department is disclosed in Table A of the appropriation note. </w:t>
            </w:r>
          </w:p>
        </w:tc>
      </w:tr>
    </w:tbl>
    <w:p w:rsidR="00B26C61" w:rsidRDefault="00B26C61" w:rsidP="00B26C61">
      <w:pPr>
        <w:pStyle w:val="NotesHeading-Level1"/>
        <w:numPr>
          <w:ilvl w:val="0"/>
          <w:numId w:val="0"/>
        </w:numPr>
        <w:ind w:left="1134"/>
      </w:pPr>
    </w:p>
    <w:p w:rsidR="00B26C61" w:rsidRDefault="00B26C61" w:rsidP="00B26C61">
      <w:pPr>
        <w:pStyle w:val="NotesHeading-Level1"/>
      </w:pPr>
      <w:bookmarkStart w:id="1" w:name="_Toc398813144"/>
      <w:r>
        <w:t>Events After the Reporting Period</w:t>
      </w:r>
      <w:bookmarkEnd w:id="1"/>
    </w:p>
    <w:p w:rsidR="00B26C61" w:rsidRDefault="00B26C61" w:rsidP="00B26C61">
      <w:pPr>
        <w:spacing w:line="240" w:lineRule="auto"/>
      </w:pPr>
    </w:p>
    <w:p w:rsidR="00B26C61" w:rsidRDefault="00B26C61" w:rsidP="00B26C61">
      <w:pPr>
        <w:spacing w:line="240" w:lineRule="auto"/>
        <w:rPr>
          <w:rFonts w:asciiTheme="minorHAnsi" w:hAnsiTheme="minorHAnsi" w:cs="Arial"/>
          <w:sz w:val="20"/>
          <w:lang w:eastAsia="en-AU"/>
        </w:rPr>
      </w:pPr>
      <w:r>
        <w:rPr>
          <w:rFonts w:asciiTheme="minorHAnsi" w:hAnsiTheme="minorHAnsi" w:cs="Arial"/>
          <w:sz w:val="20"/>
          <w:lang w:eastAsia="en-AU"/>
        </w:rPr>
        <w:t xml:space="preserve">There have been no events after balance </w:t>
      </w:r>
      <w:proofErr w:type="gramStart"/>
      <w:r>
        <w:rPr>
          <w:rFonts w:asciiTheme="minorHAnsi" w:hAnsiTheme="minorHAnsi" w:cs="Arial"/>
          <w:sz w:val="20"/>
          <w:lang w:eastAsia="en-AU"/>
        </w:rPr>
        <w:t>date that have</w:t>
      </w:r>
      <w:proofErr w:type="gramEnd"/>
      <w:r>
        <w:rPr>
          <w:rFonts w:asciiTheme="minorHAnsi" w:hAnsiTheme="minorHAnsi" w:cs="Arial"/>
          <w:sz w:val="20"/>
          <w:lang w:eastAsia="en-AU"/>
        </w:rPr>
        <w:t xml:space="preserve"> the potential to significantly affect the ongoing structure and financial activities of the department.</w:t>
      </w:r>
      <w:r>
        <w:rPr>
          <w:rFonts w:cs="Arial"/>
          <w:b/>
          <w:lang w:eastAsia="en-AU"/>
        </w:rPr>
        <w:br w:type="page"/>
      </w:r>
    </w:p>
    <w:p w:rsidR="00B26C61" w:rsidRDefault="00B26C61" w:rsidP="00B26C61">
      <w:pPr>
        <w:pStyle w:val="NotesHeading-Level1"/>
        <w:rPr>
          <w:rFonts w:cstheme="minorHAnsi"/>
        </w:rPr>
      </w:pPr>
      <w:bookmarkStart w:id="2" w:name="_Toc398813145"/>
      <w:r>
        <w:rPr>
          <w:rFonts w:cstheme="minorHAnsi"/>
        </w:rPr>
        <w:lastRenderedPageBreak/>
        <w:t>Expenses</w:t>
      </w:r>
      <w:bookmarkEnd w:id="2"/>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bookmarkStart w:id="3" w:name="Note_EEXTABLE1" w:colFirst="0" w:colLast="0"/>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2014</w:t>
            </w:r>
          </w:p>
        </w:tc>
      </w:tr>
      <w:bookmarkEnd w:id="3"/>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3A</w:t>
            </w:r>
            <w:proofErr w:type="spellEnd"/>
            <w:r>
              <w:rPr>
                <w:rFonts w:cs="Calibri"/>
                <w:b/>
                <w:bCs/>
                <w:szCs w:val="18"/>
                <w:u w:val="single"/>
              </w:rPr>
              <w:t>: Employee Benefits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Wages and salaries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113,789</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Superannuation</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Defined contribution plans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9,929</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Defined benefit plans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16,899</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Leave and other entitlements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23,025</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Separations and redundancies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6,546</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Other employee expenses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1,360</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i/>
                <w:iCs/>
                <w:szCs w:val="18"/>
              </w:rPr>
            </w:pPr>
            <w:r>
              <w:rPr>
                <w:rFonts w:cs="Calibri"/>
                <w:b/>
                <w:bCs/>
                <w:i/>
                <w:iCs/>
                <w:szCs w:val="18"/>
              </w:rPr>
              <w:t>Total employee benefits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171,548</w:t>
            </w:r>
          </w:p>
        </w:tc>
      </w:tr>
    </w:tbl>
    <w:p w:rsidR="00B26C61" w:rsidRDefault="00B26C61" w:rsidP="00B26C61">
      <w:bookmarkStart w:id="4" w:name="RANGE!D6:D16"/>
      <w:bookmarkStart w:id="5" w:name="RANGE!D6:G16"/>
      <w:bookmarkEnd w:id="4"/>
      <w:bookmarkEnd w:id="5"/>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6" w:name="RANGE!D7:D37"/>
            <w:bookmarkStart w:id="7" w:name="Note_SXPTABLE1" w:colFirst="0" w:colLast="0"/>
            <w:r>
              <w:rPr>
                <w:rFonts w:cs="Calibri"/>
                <w:b/>
                <w:bCs/>
                <w:szCs w:val="18"/>
                <w:u w:val="single"/>
              </w:rPr>
              <w:t xml:space="preserve">Note </w:t>
            </w:r>
            <w:proofErr w:type="spellStart"/>
            <w:r>
              <w:rPr>
                <w:rFonts w:cs="Calibri"/>
                <w:b/>
                <w:bCs/>
                <w:szCs w:val="18"/>
                <w:u w:val="single"/>
              </w:rPr>
              <w:t>3B</w:t>
            </w:r>
            <w:proofErr w:type="spellEnd"/>
            <w:r>
              <w:rPr>
                <w:rFonts w:cs="Calibri"/>
                <w:b/>
                <w:bCs/>
                <w:szCs w:val="18"/>
                <w:u w:val="single"/>
              </w:rPr>
              <w:t>: Suppliers</w:t>
            </w:r>
            <w:bookmarkEnd w:id="6"/>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r>
      <w:bookmarkEnd w:id="7"/>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Goods and services supplied or rendered</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Consultants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10,828</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Contractors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1,795</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Travel</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2,165</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IT services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23,467</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Property</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6,510</w:t>
            </w:r>
          </w:p>
        </w:tc>
      </w:tr>
      <w:tr w:rsidR="00B26C61" w:rsidTr="00EA3146">
        <w:trPr>
          <w:trHeight w:val="28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 xml:space="preserve">Resources provided free of </w:t>
            </w:r>
            <w:proofErr w:type="spellStart"/>
            <w:r>
              <w:rPr>
                <w:rFonts w:cs="Calibri"/>
                <w:szCs w:val="18"/>
              </w:rPr>
              <w:t>charge</w:t>
            </w:r>
            <w:r>
              <w:rPr>
                <w:rFonts w:cs="Calibri"/>
                <w:szCs w:val="18"/>
                <w:vertAlign w:val="superscript"/>
              </w:rPr>
              <w:t>1</w:t>
            </w:r>
            <w:proofErr w:type="spellEnd"/>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7,403</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Other</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7,210</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goods and services supplied or rendered</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59,378</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Goods supplied in connection with</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Related parties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84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External parties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3,536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goods supplied</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3,620</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Services rendered in connection with</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Related parties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11,663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External parties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44,095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services rendered</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55,758</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goods and services supplied or rendered</w:t>
            </w:r>
          </w:p>
        </w:tc>
        <w:tc>
          <w:tcPr>
            <w:tcW w:w="125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59,378</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Other suppliers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Operating lease rentals in connection with</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External parties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200" w:firstLine="360"/>
              <w:rPr>
                <w:rFonts w:cs="Calibri"/>
                <w:szCs w:val="18"/>
              </w:rPr>
            </w:pPr>
            <w:r>
              <w:rPr>
                <w:rFonts w:cs="Calibri"/>
                <w:szCs w:val="18"/>
              </w:rPr>
              <w:t>Minimum lease repayments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30,174</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Workers compensation expenses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2,127</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other suppliers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32,301</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suppliers</w:t>
            </w:r>
          </w:p>
        </w:tc>
        <w:tc>
          <w:tcPr>
            <w:tcW w:w="1256" w:type="dxa"/>
            <w:tcBorders>
              <w:top w:val="nil"/>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91,679</w:t>
            </w:r>
          </w:p>
        </w:tc>
      </w:tr>
    </w:tbl>
    <w:p w:rsidR="00B26C61" w:rsidRPr="000E509C" w:rsidRDefault="00B26C61" w:rsidP="00B26C61">
      <w:pPr>
        <w:rPr>
          <w:sz w:val="16"/>
          <w:szCs w:val="16"/>
        </w:rPr>
      </w:pPr>
      <w:bookmarkStart w:id="8" w:name="RANGE!D7:G37"/>
      <w:bookmarkStart w:id="9" w:name="RANGE!D7:G32"/>
      <w:bookmarkStart w:id="10" w:name="RANGE!D6:G35"/>
      <w:bookmarkStart w:id="11" w:name="RANGE!D6:D34"/>
      <w:bookmarkStart w:id="12" w:name="RANGE!D6:G34"/>
      <w:bookmarkEnd w:id="8"/>
      <w:bookmarkEnd w:id="9"/>
      <w:bookmarkEnd w:id="10"/>
      <w:bookmarkEnd w:id="11"/>
      <w:bookmarkEnd w:id="12"/>
      <w:r w:rsidRPr="000E509C">
        <w:rPr>
          <w:sz w:val="16"/>
          <w:szCs w:val="16"/>
          <w:vertAlign w:val="superscript"/>
        </w:rPr>
        <w:t>1</w:t>
      </w:r>
      <w:r>
        <w:rPr>
          <w:sz w:val="16"/>
          <w:szCs w:val="16"/>
          <w:vertAlign w:val="superscript"/>
        </w:rPr>
        <w:t xml:space="preserve"> </w:t>
      </w:r>
      <w:r w:rsidRPr="000E509C">
        <w:rPr>
          <w:sz w:val="16"/>
          <w:szCs w:val="16"/>
        </w:rPr>
        <w:t xml:space="preserve">Resources </w:t>
      </w:r>
      <w:r>
        <w:rPr>
          <w:sz w:val="16"/>
          <w:szCs w:val="16"/>
        </w:rPr>
        <w:t>provided</w:t>
      </w:r>
      <w:r w:rsidRPr="000E509C">
        <w:rPr>
          <w:sz w:val="16"/>
          <w:szCs w:val="16"/>
        </w:rPr>
        <w:t xml:space="preserve"> free of charge </w:t>
      </w:r>
      <w:r>
        <w:rPr>
          <w:sz w:val="16"/>
          <w:szCs w:val="16"/>
        </w:rPr>
        <w:t xml:space="preserve">represents services provided to the Department of Education over the reporting period in a transitional arrangement due to the Machinery of Government changes of 18 September 2013 and </w:t>
      </w:r>
      <w:proofErr w:type="spellStart"/>
      <w:r>
        <w:rPr>
          <w:sz w:val="16"/>
          <w:szCs w:val="16"/>
        </w:rPr>
        <w:t>ANAO</w:t>
      </w:r>
      <w:proofErr w:type="spellEnd"/>
      <w:r>
        <w:rPr>
          <w:sz w:val="16"/>
          <w:szCs w:val="16"/>
        </w:rPr>
        <w:t xml:space="preserve"> audit fees.</w:t>
      </w:r>
    </w:p>
    <w:p w:rsidR="00B26C61" w:rsidRDefault="00B26C61" w:rsidP="00B26C61">
      <w:bookmarkStart w:id="13" w:name="RANGE!D6:D20"/>
      <w:bookmarkStart w:id="14" w:name="RANGE!D6:G20"/>
      <w:bookmarkEnd w:id="13"/>
      <w:bookmarkEnd w:id="14"/>
    </w:p>
    <w:p w:rsidR="00B26C61" w:rsidRDefault="00B26C61" w:rsidP="00B26C61"/>
    <w:p w:rsidR="00B26C61" w:rsidRDefault="00B26C61" w:rsidP="00B26C61"/>
    <w:p w:rsidR="00B26C61" w:rsidRDefault="00B26C61" w:rsidP="00B26C61"/>
    <w:p w:rsidR="00B26C61" w:rsidRDefault="00B26C61" w:rsidP="00B26C61"/>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bookmarkStart w:id="15" w:name="Note_GRXTABLE1" w:colFirst="0" w:colLast="0"/>
            <w:r>
              <w:rPr>
                <w:rFonts w:cs="Calibri"/>
                <w:szCs w:val="18"/>
              </w:rPr>
              <w:lastRenderedPageBreak/>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bookmarkEnd w:id="15"/>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3C</w:t>
            </w:r>
            <w:proofErr w:type="spellEnd"/>
            <w:r>
              <w:rPr>
                <w:rFonts w:cs="Calibri"/>
                <w:b/>
                <w:bCs/>
                <w:szCs w:val="18"/>
                <w:u w:val="single"/>
              </w:rPr>
              <w:t>: Grants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Private sector</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Non-profit organisations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1,139</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Other</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786</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grants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1,925</w:t>
            </w:r>
          </w:p>
        </w:tc>
      </w:tr>
    </w:tbl>
    <w:p w:rsidR="00B26C61" w:rsidRDefault="00B26C61" w:rsidP="00B26C61">
      <w:bookmarkStart w:id="16" w:name="RANGE!D7:G14"/>
      <w:bookmarkEnd w:id="16"/>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17" w:name="Note_DAATABLE1" w:colFirst="0" w:colLast="0"/>
            <w:r>
              <w:rPr>
                <w:rFonts w:cs="Calibri"/>
                <w:b/>
                <w:bCs/>
                <w:szCs w:val="18"/>
                <w:u w:val="single"/>
              </w:rPr>
              <w:t>Note 3D: Depreciation and Amortisation</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r>
      <w:bookmarkEnd w:id="17"/>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Depreciation</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Leasehold improvements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6,753</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Infrastructure, plant and equipment</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5,602</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depreciation</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12,355</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Amortisation</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Intangibles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31,007</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amortisation</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31,007</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depreciation and amortisation</w:t>
            </w:r>
          </w:p>
        </w:tc>
        <w:tc>
          <w:tcPr>
            <w:tcW w:w="1256" w:type="dxa"/>
            <w:tcBorders>
              <w:top w:val="nil"/>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43,362</w:t>
            </w:r>
          </w:p>
        </w:tc>
      </w:tr>
    </w:tbl>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7595"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18" w:name="Note_FCETABLE1" w:colFirst="0" w:colLast="0"/>
            <w:r>
              <w:rPr>
                <w:rFonts w:cs="Calibri"/>
                <w:b/>
                <w:bCs/>
                <w:szCs w:val="18"/>
                <w:u w:val="single"/>
              </w:rPr>
              <w:t xml:space="preserve">Note </w:t>
            </w:r>
            <w:proofErr w:type="spellStart"/>
            <w:r>
              <w:rPr>
                <w:rFonts w:cs="Calibri"/>
                <w:b/>
                <w:bCs/>
                <w:szCs w:val="18"/>
                <w:u w:val="single"/>
              </w:rPr>
              <w:t>3E</w:t>
            </w:r>
            <w:proofErr w:type="spellEnd"/>
            <w:r>
              <w:rPr>
                <w:rFonts w:cs="Calibri"/>
                <w:b/>
                <w:bCs/>
                <w:szCs w:val="18"/>
                <w:u w:val="single"/>
              </w:rPr>
              <w:t>: Finance Costs</w:t>
            </w:r>
          </w:p>
        </w:tc>
        <w:tc>
          <w:tcPr>
            <w:tcW w:w="1492"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bookmarkEnd w:id="18"/>
      <w:tr w:rsidR="00B26C61" w:rsidTr="00EA3146">
        <w:trPr>
          <w:trHeight w:val="255"/>
        </w:trPr>
        <w:tc>
          <w:tcPr>
            <w:tcW w:w="7595"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492"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85"/>
        </w:trPr>
        <w:tc>
          <w:tcPr>
            <w:tcW w:w="7595"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Unwinding of discount on provision for restoration</w:t>
            </w:r>
          </w:p>
        </w:tc>
        <w:tc>
          <w:tcPr>
            <w:tcW w:w="149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35</w:t>
            </w:r>
          </w:p>
        </w:tc>
      </w:tr>
      <w:tr w:rsidR="00B26C61" w:rsidTr="00EA3146">
        <w:trPr>
          <w:trHeight w:val="270"/>
        </w:trPr>
        <w:tc>
          <w:tcPr>
            <w:tcW w:w="7595"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finance costs</w:t>
            </w:r>
          </w:p>
        </w:tc>
        <w:tc>
          <w:tcPr>
            <w:tcW w:w="1492"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35</w:t>
            </w:r>
          </w:p>
        </w:tc>
      </w:tr>
    </w:tbl>
    <w:p w:rsidR="00B26C61" w:rsidRDefault="00B26C61" w:rsidP="00B26C61">
      <w:bookmarkStart w:id="19" w:name="RANGE!D7:G10"/>
      <w:bookmarkStart w:id="20" w:name="RANGE!D6:G8"/>
      <w:bookmarkStart w:id="21" w:name="RANGE!D6:D13"/>
      <w:bookmarkStart w:id="22" w:name="RANGE!D6:G13"/>
      <w:bookmarkEnd w:id="19"/>
      <w:bookmarkEnd w:id="20"/>
      <w:bookmarkEnd w:id="21"/>
      <w:bookmarkEnd w:id="22"/>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23" w:name="Note_WDATABLE1" w:colFirst="0" w:colLast="0"/>
            <w:r>
              <w:rPr>
                <w:rFonts w:cs="Calibri"/>
                <w:b/>
                <w:bCs/>
                <w:szCs w:val="18"/>
                <w:u w:val="single"/>
              </w:rPr>
              <w:t xml:space="preserve">Note </w:t>
            </w:r>
            <w:proofErr w:type="spellStart"/>
            <w:r>
              <w:rPr>
                <w:rFonts w:cs="Calibri"/>
                <w:b/>
                <w:bCs/>
                <w:szCs w:val="18"/>
                <w:u w:val="single"/>
              </w:rPr>
              <w:t>3F</w:t>
            </w:r>
            <w:proofErr w:type="spellEnd"/>
            <w:r>
              <w:rPr>
                <w:rFonts w:cs="Calibri"/>
                <w:b/>
                <w:bCs/>
                <w:szCs w:val="18"/>
                <w:u w:val="single"/>
              </w:rPr>
              <w:t>: Write-Down and Impairment of Assets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bookmarkEnd w:id="23"/>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Asset write-downs and impairments from:</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Write-off of receivables - goods and services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Impairment of receivables - goods and services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10</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Impairment of leasehold improvements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159</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Write-off of infrastructure, plant and equipment</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75</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Impairment of infrastructure, plant and equipment</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2,878</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Write-off of intangibles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33</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Impairment of intangibles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15,878</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write-down and impairment of assets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19,046</w:t>
            </w:r>
          </w:p>
        </w:tc>
      </w:tr>
    </w:tbl>
    <w:p w:rsidR="00B26C61" w:rsidRDefault="00B26C61" w:rsidP="00B26C61">
      <w:pPr>
        <w:spacing w:line="240" w:lineRule="auto"/>
      </w:pPr>
      <w:bookmarkStart w:id="24" w:name="RANGE!D7:G18"/>
      <w:bookmarkStart w:id="25" w:name="RANGE!D6:D17"/>
      <w:bookmarkStart w:id="26" w:name="RANGE!D6:G17"/>
      <w:bookmarkStart w:id="27" w:name="RANGE!D6:D10"/>
      <w:bookmarkStart w:id="28" w:name="RANGE!D6:G10"/>
      <w:bookmarkEnd w:id="24"/>
      <w:bookmarkEnd w:id="25"/>
      <w:bookmarkEnd w:id="26"/>
      <w:bookmarkEnd w:id="27"/>
      <w:bookmarkEnd w:id="28"/>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29" w:name="Note_LSATABLE1" w:colFirst="0" w:colLast="0"/>
            <w:r>
              <w:rPr>
                <w:rFonts w:cs="Calibri"/>
                <w:b/>
                <w:bCs/>
                <w:szCs w:val="18"/>
                <w:u w:val="single"/>
              </w:rPr>
              <w:t xml:space="preserve">Note </w:t>
            </w:r>
            <w:proofErr w:type="spellStart"/>
            <w:r>
              <w:rPr>
                <w:rFonts w:cs="Calibri"/>
                <w:b/>
                <w:bCs/>
                <w:szCs w:val="18"/>
                <w:u w:val="single"/>
              </w:rPr>
              <w:t>3G</w:t>
            </w:r>
            <w:proofErr w:type="spellEnd"/>
            <w:r>
              <w:rPr>
                <w:rFonts w:cs="Calibri"/>
                <w:b/>
                <w:bCs/>
                <w:szCs w:val="18"/>
                <w:u w:val="single"/>
              </w:rPr>
              <w:t>: Losses from Asset Sales</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r>
      <w:bookmarkEnd w:id="29"/>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Leasehold Improvements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Carrying value of assets sold</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1,351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Infrastructure, plant and equipment</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Proceeds from sale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Carrying value of assets sold</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230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losses from asset sales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1,576</w:t>
            </w:r>
          </w:p>
        </w:tc>
      </w:tr>
    </w:tbl>
    <w:p w:rsidR="00B26C61" w:rsidRDefault="00B26C61" w:rsidP="00B26C61">
      <w:pPr>
        <w:spacing w:line="240" w:lineRule="auto"/>
      </w:pPr>
      <w:bookmarkStart w:id="30" w:name="RANGE!D6:G37"/>
      <w:bookmarkStart w:id="31" w:name="RANGE!D6:D38"/>
      <w:bookmarkStart w:id="32" w:name="RANGE!D6:G38"/>
      <w:bookmarkEnd w:id="30"/>
      <w:bookmarkEnd w:id="31"/>
      <w:bookmarkEnd w:id="32"/>
    </w:p>
    <w:p w:rsidR="00B26C61" w:rsidRDefault="00B26C61" w:rsidP="00B26C61">
      <w:pPr>
        <w:spacing w:line="240" w:lineRule="auto"/>
      </w:pPr>
      <w:r>
        <w:br w:type="page"/>
      </w:r>
    </w:p>
    <w:p w:rsidR="00B26C61" w:rsidRDefault="00B26C61" w:rsidP="00B26C61">
      <w:pPr>
        <w:spacing w:line="240" w:lineRule="auto"/>
      </w:pPr>
    </w:p>
    <w:p w:rsidR="00B26C61" w:rsidRDefault="00B26C61" w:rsidP="00B26C61">
      <w:pPr>
        <w:pStyle w:val="NotesHeading-Level1"/>
        <w:rPr>
          <w:rFonts w:cstheme="minorHAnsi"/>
        </w:rPr>
      </w:pPr>
      <w:bookmarkStart w:id="33" w:name="_Toc398813146"/>
      <w:r>
        <w:rPr>
          <w:rFonts w:cstheme="minorHAnsi"/>
        </w:rPr>
        <w:t>Income</w:t>
      </w:r>
      <w:bookmarkEnd w:id="33"/>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bookmarkStart w:id="34" w:name="Note_GASTABLE1" w:colFirst="0" w:colLast="0"/>
            <w:r>
              <w:rPr>
                <w:rFonts w:cs="Calibri"/>
                <w:b/>
                <w:bCs/>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bookmarkEnd w:id="34"/>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OWN-SOURCE REVENUE</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4A</w:t>
            </w:r>
            <w:proofErr w:type="spellEnd"/>
            <w:r>
              <w:rPr>
                <w:rFonts w:cs="Calibri"/>
                <w:b/>
                <w:bCs/>
                <w:szCs w:val="18"/>
                <w:u w:val="single"/>
              </w:rPr>
              <w:t>: Sale of Goods and Rendering of Services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Sales of goods in connection with</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B26C61">
            <w:pPr>
              <w:ind w:firstLineChars="100" w:firstLine="180"/>
              <w:rPr>
                <w:rFonts w:cs="Calibri"/>
                <w:szCs w:val="18"/>
              </w:rPr>
            </w:pPr>
            <w:r>
              <w:rPr>
                <w:rFonts w:cs="Calibri"/>
                <w:szCs w:val="18"/>
              </w:rPr>
              <w:t>External parties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sale of goods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Rendering of services in connection with</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B26C61">
            <w:pPr>
              <w:ind w:firstLineChars="100" w:firstLine="180"/>
              <w:rPr>
                <w:rFonts w:cs="Calibri"/>
                <w:szCs w:val="18"/>
              </w:rPr>
            </w:pPr>
            <w:r>
              <w:rPr>
                <w:rFonts w:cs="Calibri"/>
                <w:szCs w:val="18"/>
              </w:rPr>
              <w:t>Related parties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8,911</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B26C61">
            <w:pPr>
              <w:ind w:firstLineChars="100" w:firstLine="180"/>
              <w:rPr>
                <w:rFonts w:cs="Calibri"/>
                <w:szCs w:val="18"/>
              </w:rPr>
            </w:pPr>
            <w:r>
              <w:rPr>
                <w:rFonts w:cs="Calibri"/>
                <w:szCs w:val="18"/>
              </w:rPr>
              <w:t>External parties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4,897</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rendering of services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13,808</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sale of goods and rendering of services</w:t>
            </w:r>
          </w:p>
        </w:tc>
        <w:tc>
          <w:tcPr>
            <w:tcW w:w="1256" w:type="dxa"/>
            <w:tcBorders>
              <w:top w:val="nil"/>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13,813</w:t>
            </w:r>
          </w:p>
        </w:tc>
      </w:tr>
    </w:tbl>
    <w:p w:rsidR="00B26C61" w:rsidRDefault="00B26C61" w:rsidP="00B26C61">
      <w:bookmarkStart w:id="35" w:name="RANGE!D6:D12"/>
      <w:bookmarkStart w:id="36" w:name="RANGE!D6:G12"/>
      <w:bookmarkEnd w:id="35"/>
      <w:bookmarkEnd w:id="36"/>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37" w:name="Note_ORVTABLE1" w:colFirst="0" w:colLast="0"/>
            <w:r>
              <w:rPr>
                <w:rFonts w:cs="Calibri"/>
                <w:b/>
                <w:bCs/>
                <w:szCs w:val="18"/>
                <w:u w:val="single"/>
              </w:rPr>
              <w:t xml:space="preserve">Note </w:t>
            </w:r>
            <w:proofErr w:type="spellStart"/>
            <w:r>
              <w:rPr>
                <w:rFonts w:cs="Calibri"/>
                <w:b/>
                <w:bCs/>
                <w:szCs w:val="18"/>
                <w:u w:val="single"/>
              </w:rPr>
              <w:t>4B</w:t>
            </w:r>
            <w:proofErr w:type="spellEnd"/>
            <w:r>
              <w:rPr>
                <w:rFonts w:cs="Calibri"/>
                <w:b/>
                <w:bCs/>
                <w:szCs w:val="18"/>
                <w:u w:val="single"/>
              </w:rPr>
              <w:t>: Other Revenue</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bookmarkEnd w:id="37"/>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Resources received free of charge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465</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other revenue</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465</w:t>
            </w:r>
          </w:p>
        </w:tc>
      </w:tr>
    </w:tbl>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bookmarkStart w:id="38" w:name="Note_GSATABLE1" w:colFirst="0" w:colLast="0"/>
            <w:r>
              <w:rPr>
                <w:rFonts w:cs="Calibri"/>
                <w:b/>
                <w:bCs/>
                <w:szCs w:val="18"/>
              </w:rPr>
              <w:t>GAINS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bookmarkEnd w:id="38"/>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4C</w:t>
            </w:r>
            <w:proofErr w:type="spellEnd"/>
            <w:r>
              <w:rPr>
                <w:rFonts w:cs="Calibri"/>
                <w:b/>
                <w:bCs/>
                <w:szCs w:val="18"/>
                <w:u w:val="single"/>
              </w:rPr>
              <w:t>: Gains from Sale of Assets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Leasehold Improvements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Proceeds from sale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436</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Carrying value of assets sold</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gains from sale of assets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436</w:t>
            </w:r>
          </w:p>
        </w:tc>
      </w:tr>
    </w:tbl>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7595"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39" w:name="Note_OGATABLE1" w:colFirst="0" w:colLast="0"/>
            <w:r>
              <w:rPr>
                <w:rFonts w:cs="Calibri"/>
                <w:b/>
                <w:bCs/>
                <w:szCs w:val="18"/>
                <w:u w:val="single"/>
              </w:rPr>
              <w:t xml:space="preserve">Note </w:t>
            </w:r>
            <w:proofErr w:type="spellStart"/>
            <w:r>
              <w:rPr>
                <w:rFonts w:cs="Calibri"/>
                <w:b/>
                <w:bCs/>
                <w:szCs w:val="18"/>
                <w:u w:val="single"/>
              </w:rPr>
              <w:t>4D</w:t>
            </w:r>
            <w:proofErr w:type="spellEnd"/>
            <w:r>
              <w:rPr>
                <w:rFonts w:cs="Calibri"/>
                <w:b/>
                <w:bCs/>
                <w:szCs w:val="18"/>
                <w:u w:val="single"/>
              </w:rPr>
              <w:t>: Other Gains</w:t>
            </w:r>
          </w:p>
        </w:tc>
        <w:tc>
          <w:tcPr>
            <w:tcW w:w="1492"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bookmarkEnd w:id="39"/>
      <w:tr w:rsidR="00B26C61" w:rsidTr="00EA3146">
        <w:trPr>
          <w:trHeight w:val="255"/>
        </w:trPr>
        <w:tc>
          <w:tcPr>
            <w:tcW w:w="7595"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492"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7595"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First time recognition of assets – infrastructure, plant and equipment</w:t>
            </w:r>
          </w:p>
        </w:tc>
        <w:tc>
          <w:tcPr>
            <w:tcW w:w="149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689</w:t>
            </w:r>
          </w:p>
        </w:tc>
      </w:tr>
      <w:tr w:rsidR="00B26C61" w:rsidTr="00EA3146">
        <w:trPr>
          <w:trHeight w:val="255"/>
        </w:trPr>
        <w:tc>
          <w:tcPr>
            <w:tcW w:w="7595"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Other</w:t>
            </w:r>
          </w:p>
        </w:tc>
        <w:tc>
          <w:tcPr>
            <w:tcW w:w="149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132</w:t>
            </w:r>
          </w:p>
        </w:tc>
      </w:tr>
      <w:tr w:rsidR="00B26C61" w:rsidTr="00EA3146">
        <w:trPr>
          <w:trHeight w:val="270"/>
        </w:trPr>
        <w:tc>
          <w:tcPr>
            <w:tcW w:w="7595"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other gains</w:t>
            </w:r>
          </w:p>
        </w:tc>
        <w:tc>
          <w:tcPr>
            <w:tcW w:w="1492"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821</w:t>
            </w:r>
          </w:p>
        </w:tc>
      </w:tr>
    </w:tbl>
    <w:p w:rsidR="00B26C61" w:rsidRDefault="00B26C61" w:rsidP="00B26C61"/>
    <w:p w:rsidR="00B26C61" w:rsidRDefault="00B26C61" w:rsidP="00B26C61">
      <w:pPr>
        <w:spacing w:line="240" w:lineRule="auto"/>
      </w:pPr>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bookmarkStart w:id="40" w:name="Note_RFGTABLE1" w:colFirst="0" w:colLast="0"/>
            <w:r>
              <w:rPr>
                <w:rFonts w:cs="Calibri"/>
                <w:b/>
                <w:bCs/>
                <w:szCs w:val="18"/>
              </w:rPr>
              <w:t>REVENUE FROM GOVERNMENT</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bookmarkEnd w:id="40"/>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4E</w:t>
            </w:r>
            <w:proofErr w:type="spellEnd"/>
            <w:r>
              <w:rPr>
                <w:rFonts w:cs="Calibri"/>
                <w:b/>
                <w:bCs/>
                <w:szCs w:val="18"/>
                <w:u w:val="single"/>
              </w:rPr>
              <w:t>: Revenue from Government</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Appropriations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Departmental appropriations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288,195</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revenue from Government</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288,195</w:t>
            </w:r>
          </w:p>
        </w:tc>
      </w:tr>
    </w:tbl>
    <w:p w:rsidR="00B26C61" w:rsidRDefault="00B26C61" w:rsidP="00B26C61">
      <w:pPr>
        <w:rPr>
          <w:rFonts w:ascii="Arial" w:hAnsi="Arial" w:cs="Arial"/>
          <w:b/>
          <w:bCs/>
          <w:szCs w:val="18"/>
        </w:rPr>
      </w:pPr>
      <w:bookmarkStart w:id="41" w:name="RANGE!D6:D14"/>
      <w:bookmarkStart w:id="42" w:name="RANGE!D6:G14"/>
      <w:bookmarkEnd w:id="41"/>
      <w:bookmarkEnd w:id="42"/>
    </w:p>
    <w:p w:rsidR="00B26C61" w:rsidRDefault="00B26C61" w:rsidP="00B26C61">
      <w:pPr>
        <w:spacing w:line="240" w:lineRule="auto"/>
        <w:rPr>
          <w:rFonts w:ascii="Arial" w:hAnsi="Arial" w:cs="Arial"/>
          <w:b/>
          <w:bCs/>
          <w:szCs w:val="18"/>
        </w:rPr>
      </w:pPr>
      <w:r>
        <w:rPr>
          <w:rFonts w:ascii="Arial" w:hAnsi="Arial" w:cs="Arial"/>
          <w:b/>
          <w:bCs/>
          <w:szCs w:val="18"/>
        </w:rPr>
        <w:br w:type="page"/>
      </w:r>
    </w:p>
    <w:p w:rsidR="00B26C61" w:rsidRDefault="00B26C61" w:rsidP="00B26C61">
      <w:pPr>
        <w:pStyle w:val="NotesHeading-Level1"/>
        <w:rPr>
          <w:rFonts w:cstheme="minorHAnsi"/>
        </w:rPr>
      </w:pPr>
      <w:bookmarkStart w:id="43" w:name="_Toc398813147"/>
      <w:r>
        <w:rPr>
          <w:rFonts w:cstheme="minorHAnsi"/>
        </w:rPr>
        <w:lastRenderedPageBreak/>
        <w:t>Fair Value Measurement</w:t>
      </w:r>
      <w:bookmarkEnd w:id="43"/>
    </w:p>
    <w:p w:rsidR="00B26C61" w:rsidRPr="00D80CCA" w:rsidRDefault="00B26C61" w:rsidP="00B26C61">
      <w:pPr>
        <w:rPr>
          <w:rFonts w:cs="Calibri"/>
          <w:szCs w:val="18"/>
        </w:rPr>
      </w:pPr>
      <w:r w:rsidRPr="00D80CCA">
        <w:rPr>
          <w:rFonts w:cs="Calibri"/>
          <w:szCs w:val="18"/>
        </w:rPr>
        <w:t>The following tables provide an analysis of assets and liabilities that are measured at fair value.</w:t>
      </w:r>
    </w:p>
    <w:p w:rsidR="00B26C61" w:rsidRPr="00D80CCA" w:rsidRDefault="00B26C61" w:rsidP="00B26C61">
      <w:pPr>
        <w:rPr>
          <w:rFonts w:cs="Calibri"/>
          <w:szCs w:val="18"/>
        </w:rPr>
      </w:pPr>
      <w:r w:rsidRPr="00D80CCA">
        <w:rPr>
          <w:rFonts w:cs="Calibri"/>
          <w:szCs w:val="18"/>
        </w:rPr>
        <w:t>The different levels of the fair value hierarchy are defined below.</w:t>
      </w:r>
    </w:p>
    <w:p w:rsidR="00B26C61" w:rsidRPr="00D80CCA" w:rsidRDefault="00B26C61" w:rsidP="00B26C61">
      <w:pPr>
        <w:rPr>
          <w:rFonts w:cs="Calibri"/>
          <w:szCs w:val="18"/>
        </w:rPr>
      </w:pPr>
      <w:r>
        <w:rPr>
          <w:rFonts w:cs="Calibri"/>
          <w:szCs w:val="18"/>
        </w:rPr>
        <w:t xml:space="preserve"> </w:t>
      </w:r>
    </w:p>
    <w:tbl>
      <w:tblPr>
        <w:tblStyle w:val="TableGrid"/>
        <w:tblW w:w="99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050"/>
      </w:tblGrid>
      <w:tr w:rsidR="00B26C61" w:rsidTr="00EA3146">
        <w:tc>
          <w:tcPr>
            <w:tcW w:w="851" w:type="dxa"/>
          </w:tcPr>
          <w:p w:rsidR="00B26C61" w:rsidRDefault="00B26C61" w:rsidP="00EA3146">
            <w:pPr>
              <w:rPr>
                <w:rFonts w:cs="Calibri"/>
                <w:szCs w:val="18"/>
              </w:rPr>
            </w:pPr>
            <w:r w:rsidRPr="00D80CCA">
              <w:rPr>
                <w:rFonts w:cs="Calibri"/>
                <w:szCs w:val="18"/>
              </w:rPr>
              <w:t>Level 1:</w:t>
            </w:r>
          </w:p>
        </w:tc>
        <w:tc>
          <w:tcPr>
            <w:tcW w:w="9050" w:type="dxa"/>
          </w:tcPr>
          <w:p w:rsidR="00B26C61" w:rsidRDefault="00B26C61" w:rsidP="00EA3146">
            <w:pPr>
              <w:rPr>
                <w:rFonts w:cs="Calibri"/>
                <w:szCs w:val="18"/>
              </w:rPr>
            </w:pPr>
            <w:r w:rsidRPr="00D80CCA">
              <w:rPr>
                <w:rFonts w:cs="Calibri"/>
                <w:szCs w:val="18"/>
              </w:rPr>
              <w:t>Quoted prices (unadjusted) in active markets for identical assets or liabilities that the entity can access at measurement date.</w:t>
            </w:r>
          </w:p>
        </w:tc>
      </w:tr>
      <w:tr w:rsidR="00B26C61" w:rsidTr="00EA3146">
        <w:tc>
          <w:tcPr>
            <w:tcW w:w="851" w:type="dxa"/>
          </w:tcPr>
          <w:p w:rsidR="00B26C61" w:rsidRDefault="00B26C61" w:rsidP="00EA3146">
            <w:pPr>
              <w:rPr>
                <w:rFonts w:cs="Calibri"/>
                <w:szCs w:val="18"/>
              </w:rPr>
            </w:pPr>
            <w:r w:rsidRPr="00D80CCA">
              <w:rPr>
                <w:rFonts w:cs="Calibri"/>
                <w:szCs w:val="18"/>
              </w:rPr>
              <w:t>Level 2:</w:t>
            </w:r>
          </w:p>
        </w:tc>
        <w:tc>
          <w:tcPr>
            <w:tcW w:w="9050" w:type="dxa"/>
          </w:tcPr>
          <w:p w:rsidR="00B26C61" w:rsidRDefault="00B26C61" w:rsidP="00EA3146">
            <w:pPr>
              <w:rPr>
                <w:rFonts w:cs="Calibri"/>
                <w:szCs w:val="18"/>
              </w:rPr>
            </w:pPr>
            <w:r w:rsidRPr="00D80CCA">
              <w:rPr>
                <w:rFonts w:cs="Calibri"/>
                <w:szCs w:val="18"/>
              </w:rPr>
              <w:t>Inputs other than quoted prices included within Level 1 that are observable for the asset or liability, either directly or indirectly.</w:t>
            </w:r>
          </w:p>
        </w:tc>
      </w:tr>
      <w:tr w:rsidR="00B26C61" w:rsidTr="00EA3146">
        <w:tc>
          <w:tcPr>
            <w:tcW w:w="851" w:type="dxa"/>
          </w:tcPr>
          <w:p w:rsidR="00B26C61" w:rsidRDefault="00B26C61" w:rsidP="00EA3146">
            <w:pPr>
              <w:rPr>
                <w:rFonts w:cs="Calibri"/>
                <w:szCs w:val="18"/>
              </w:rPr>
            </w:pPr>
            <w:r w:rsidRPr="00D80CCA">
              <w:rPr>
                <w:rFonts w:cs="Calibri"/>
                <w:szCs w:val="18"/>
              </w:rPr>
              <w:t>Level 3:</w:t>
            </w:r>
          </w:p>
        </w:tc>
        <w:tc>
          <w:tcPr>
            <w:tcW w:w="9050" w:type="dxa"/>
          </w:tcPr>
          <w:p w:rsidR="00B26C61" w:rsidRDefault="00B26C61" w:rsidP="00EA3146">
            <w:pPr>
              <w:rPr>
                <w:rFonts w:cs="Calibri"/>
                <w:szCs w:val="18"/>
              </w:rPr>
            </w:pPr>
            <w:r w:rsidRPr="00D80CCA">
              <w:rPr>
                <w:rFonts w:cs="Calibri"/>
                <w:szCs w:val="18"/>
              </w:rPr>
              <w:t>Unobservable inputs for the asset or liability.</w:t>
            </w:r>
          </w:p>
          <w:p w:rsidR="00B26C61" w:rsidRDefault="00B26C61" w:rsidP="00EA3146">
            <w:pPr>
              <w:rPr>
                <w:rFonts w:cs="Calibri"/>
                <w:szCs w:val="18"/>
              </w:rPr>
            </w:pPr>
          </w:p>
        </w:tc>
      </w:tr>
    </w:tbl>
    <w:p w:rsidR="00B26C61" w:rsidRDefault="00B26C61" w:rsidP="00B26C61">
      <w:pPr>
        <w:spacing w:line="240" w:lineRule="auto"/>
        <w:rPr>
          <w:rFonts w:asciiTheme="minorHAnsi" w:hAnsiTheme="minorHAnsi" w:cstheme="minorHAnsi"/>
          <w:b/>
          <w:sz w:val="20"/>
        </w:rPr>
      </w:pPr>
      <w:bookmarkStart w:id="44" w:name="RANGE!D7:D20"/>
      <w:bookmarkStart w:id="45" w:name="RANGE!D7:H20"/>
      <w:bookmarkStart w:id="46" w:name="RANGE!D7:I27"/>
      <w:bookmarkStart w:id="47" w:name="RANGE!D7:D24"/>
      <w:bookmarkStart w:id="48" w:name="RANGE!D7:I24"/>
      <w:bookmarkStart w:id="49" w:name="RANGE!D7:G28"/>
      <w:bookmarkEnd w:id="44"/>
      <w:bookmarkEnd w:id="45"/>
      <w:bookmarkEnd w:id="46"/>
      <w:bookmarkEnd w:id="47"/>
      <w:bookmarkEnd w:id="48"/>
      <w:bookmarkEnd w:id="49"/>
    </w:p>
    <w:tbl>
      <w:tblPr>
        <w:tblW w:w="9087" w:type="dxa"/>
        <w:tblInd w:w="80" w:type="dxa"/>
        <w:tblLayout w:type="fixed"/>
        <w:tblLook w:val="04A0" w:firstRow="1" w:lastRow="0" w:firstColumn="1" w:lastColumn="0" w:noHBand="0" w:noVBand="1"/>
      </w:tblPr>
      <w:tblGrid>
        <w:gridCol w:w="4075"/>
        <w:gridCol w:w="1253"/>
        <w:gridCol w:w="1253"/>
        <w:gridCol w:w="1253"/>
        <w:gridCol w:w="1253"/>
      </w:tblGrid>
      <w:tr w:rsidR="00B26C61" w:rsidTr="00EA3146">
        <w:trPr>
          <w:trHeight w:val="240"/>
        </w:trPr>
        <w:tc>
          <w:tcPr>
            <w:tcW w:w="4028" w:type="dxa"/>
            <w:tcBorders>
              <w:top w:val="nil"/>
              <w:left w:val="nil"/>
              <w:bottom w:val="nil"/>
              <w:right w:val="nil"/>
            </w:tcBorders>
            <w:shd w:val="clear" w:color="FFFFFF" w:fill="FFFFFF"/>
            <w:vAlign w:val="bottom"/>
            <w:hideMark/>
          </w:tcPr>
          <w:p w:rsidR="00B26C61" w:rsidRDefault="00B26C61" w:rsidP="00EA3146">
            <w:pPr>
              <w:rPr>
                <w:rFonts w:cs="Calibri"/>
                <w:szCs w:val="18"/>
              </w:rPr>
            </w:pPr>
            <w:bookmarkStart w:id="50" w:name="RANGE!D7:H9"/>
            <w:bookmarkStart w:id="51" w:name="Note_FIMTABLE1" w:colFirst="0" w:colLast="0"/>
            <w:r>
              <w:rPr>
                <w:rFonts w:cs="Calibri"/>
                <w:szCs w:val="18"/>
              </w:rPr>
              <w:t> </w:t>
            </w:r>
            <w:bookmarkEnd w:id="50"/>
          </w:p>
        </w:tc>
        <w:tc>
          <w:tcPr>
            <w:tcW w:w="1238"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38"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38"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38"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r>
      <w:bookmarkEnd w:id="51"/>
      <w:tr w:rsidR="00B26C61" w:rsidTr="00EA3146">
        <w:trPr>
          <w:trHeight w:val="240"/>
        </w:trPr>
        <w:tc>
          <w:tcPr>
            <w:tcW w:w="4028"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5A</w:t>
            </w:r>
            <w:proofErr w:type="spellEnd"/>
            <w:r>
              <w:rPr>
                <w:rFonts w:cs="Calibri"/>
                <w:b/>
                <w:bCs/>
                <w:szCs w:val="18"/>
                <w:u w:val="single"/>
              </w:rPr>
              <w:t>: Fair Value Measurements</w:t>
            </w:r>
          </w:p>
        </w:tc>
        <w:tc>
          <w:tcPr>
            <w:tcW w:w="1238"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38"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38"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38"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r>
      <w:tr w:rsidR="00B26C61" w:rsidTr="00EA3146">
        <w:trPr>
          <w:trHeight w:val="240"/>
        </w:trPr>
        <w:tc>
          <w:tcPr>
            <w:tcW w:w="402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w:t>
            </w:r>
          </w:p>
        </w:tc>
      </w:tr>
      <w:tr w:rsidR="00B26C61" w:rsidTr="00EA3146">
        <w:trPr>
          <w:trHeight w:val="240"/>
        </w:trPr>
        <w:tc>
          <w:tcPr>
            <w:tcW w:w="8980" w:type="dxa"/>
            <w:gridSpan w:val="5"/>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Fair value measurements at the end of the reporting period by hierarchy for non-financial assets as at 30 June 2014</w:t>
            </w:r>
          </w:p>
        </w:tc>
      </w:tr>
      <w:tr w:rsidR="00B26C61" w:rsidTr="00EA3146">
        <w:trPr>
          <w:trHeight w:val="495"/>
        </w:trPr>
        <w:tc>
          <w:tcPr>
            <w:tcW w:w="4028" w:type="dxa"/>
            <w:tcBorders>
              <w:top w:val="single" w:sz="4" w:space="0" w:color="auto"/>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238" w:type="dxa"/>
            <w:tcBorders>
              <w:top w:val="single" w:sz="4" w:space="0" w:color="auto"/>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3714" w:type="dxa"/>
            <w:gridSpan w:val="3"/>
            <w:tcBorders>
              <w:top w:val="single" w:sz="4" w:space="0" w:color="auto"/>
              <w:left w:val="nil"/>
              <w:bottom w:val="single" w:sz="4" w:space="0" w:color="auto"/>
              <w:right w:val="nil"/>
            </w:tcBorders>
            <w:shd w:val="clear" w:color="FFFFFF" w:fill="FFFFFF"/>
            <w:vAlign w:val="bottom"/>
            <w:hideMark/>
          </w:tcPr>
          <w:p w:rsidR="00B26C61" w:rsidRDefault="00B26C61" w:rsidP="00EA3146">
            <w:pPr>
              <w:jc w:val="center"/>
              <w:rPr>
                <w:rFonts w:cs="Calibri"/>
                <w:b/>
                <w:bCs/>
                <w:szCs w:val="18"/>
              </w:rPr>
            </w:pPr>
            <w:r>
              <w:rPr>
                <w:rFonts w:cs="Calibri"/>
                <w:b/>
                <w:bCs/>
                <w:szCs w:val="18"/>
              </w:rPr>
              <w:t>Fair value measurements at the end of the reporting period using</w:t>
            </w:r>
          </w:p>
        </w:tc>
      </w:tr>
      <w:tr w:rsidR="00B26C61" w:rsidTr="00EA3146">
        <w:trPr>
          <w:trHeight w:val="240"/>
        </w:trPr>
        <w:tc>
          <w:tcPr>
            <w:tcW w:w="402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Fair value</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Level 1 inputs</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Level 2 inputs</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Level 3 inputs</w:t>
            </w:r>
          </w:p>
        </w:tc>
      </w:tr>
      <w:tr w:rsidR="00B26C61" w:rsidTr="00EA3146">
        <w:trPr>
          <w:trHeight w:val="240"/>
        </w:trPr>
        <w:tc>
          <w:tcPr>
            <w:tcW w:w="4028"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8"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c>
          <w:tcPr>
            <w:tcW w:w="1238"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c>
          <w:tcPr>
            <w:tcW w:w="1238"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c>
          <w:tcPr>
            <w:tcW w:w="1238"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40"/>
        </w:trPr>
        <w:tc>
          <w:tcPr>
            <w:tcW w:w="4028"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Non-financial assets</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40"/>
        </w:trPr>
        <w:tc>
          <w:tcPr>
            <w:tcW w:w="4028"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Leasehold Improvements</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21,017 </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409 </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20,608 </w:t>
            </w:r>
          </w:p>
        </w:tc>
      </w:tr>
      <w:tr w:rsidR="00B26C61" w:rsidTr="00EA3146">
        <w:trPr>
          <w:trHeight w:val="240"/>
        </w:trPr>
        <w:tc>
          <w:tcPr>
            <w:tcW w:w="4028"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Infrastructure, plant and equipment</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13,102 </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4,534 </w:t>
            </w:r>
          </w:p>
        </w:tc>
        <w:tc>
          <w:tcPr>
            <w:tcW w:w="123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8,568 </w:t>
            </w:r>
          </w:p>
        </w:tc>
      </w:tr>
      <w:tr w:rsidR="00B26C61" w:rsidTr="00EA3146">
        <w:trPr>
          <w:trHeight w:val="240"/>
        </w:trPr>
        <w:tc>
          <w:tcPr>
            <w:tcW w:w="4028"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non-financial assets</w:t>
            </w:r>
          </w:p>
        </w:tc>
        <w:tc>
          <w:tcPr>
            <w:tcW w:w="1238"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34,119</w:t>
            </w:r>
          </w:p>
        </w:tc>
        <w:tc>
          <w:tcPr>
            <w:tcW w:w="1238"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238"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4,943</w:t>
            </w:r>
          </w:p>
        </w:tc>
        <w:tc>
          <w:tcPr>
            <w:tcW w:w="1238"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29,176</w:t>
            </w:r>
          </w:p>
        </w:tc>
      </w:tr>
      <w:tr w:rsidR="00B26C61" w:rsidTr="00EA3146">
        <w:trPr>
          <w:trHeight w:val="435"/>
        </w:trPr>
        <w:tc>
          <w:tcPr>
            <w:tcW w:w="4028"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fair value measurements of assets in the Statement of Financial Position</w:t>
            </w:r>
          </w:p>
        </w:tc>
        <w:tc>
          <w:tcPr>
            <w:tcW w:w="1238"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34,119</w:t>
            </w:r>
          </w:p>
        </w:tc>
        <w:tc>
          <w:tcPr>
            <w:tcW w:w="1238"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238"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4,943</w:t>
            </w:r>
          </w:p>
        </w:tc>
        <w:tc>
          <w:tcPr>
            <w:tcW w:w="1238"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29,176</w:t>
            </w:r>
          </w:p>
        </w:tc>
      </w:tr>
      <w:tr w:rsidR="00B26C61" w:rsidTr="00EA3146">
        <w:trPr>
          <w:trHeight w:val="240"/>
        </w:trPr>
        <w:tc>
          <w:tcPr>
            <w:tcW w:w="4028"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810"/>
        </w:trPr>
        <w:tc>
          <w:tcPr>
            <w:tcW w:w="8980" w:type="dxa"/>
            <w:gridSpan w:val="5"/>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The Department has a number of assets and liabilities not measured at fair value in the Statement of Financial Position. The carrying amounts of these assets and liabilities are considered to be a reasonable approximation of their fair value.</w:t>
            </w:r>
          </w:p>
        </w:tc>
      </w:tr>
      <w:tr w:rsidR="00B26C61" w:rsidTr="00EA3146">
        <w:trPr>
          <w:trHeight w:val="240"/>
        </w:trPr>
        <w:tc>
          <w:tcPr>
            <w:tcW w:w="4028"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40"/>
        </w:trPr>
        <w:tc>
          <w:tcPr>
            <w:tcW w:w="4028"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Fair value measurement - highest and best use</w:t>
            </w:r>
          </w:p>
        </w:tc>
        <w:tc>
          <w:tcPr>
            <w:tcW w:w="1238"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38"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r>
      <w:tr w:rsidR="00B26C61" w:rsidTr="00EA3146">
        <w:trPr>
          <w:trHeight w:val="645"/>
        </w:trPr>
        <w:tc>
          <w:tcPr>
            <w:tcW w:w="8980" w:type="dxa"/>
            <w:gridSpan w:val="5"/>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The Department's assets are held for operational purposes not for the purposes of deriving a profit.  The current use of all controlled assets is considered the highest and best use.</w:t>
            </w:r>
          </w:p>
        </w:tc>
      </w:tr>
    </w:tbl>
    <w:p w:rsidR="00B26C61" w:rsidRDefault="00B26C61" w:rsidP="00B26C61">
      <w:pPr>
        <w:spacing w:line="240" w:lineRule="auto"/>
        <w:rPr>
          <w:rFonts w:asciiTheme="minorHAnsi" w:hAnsiTheme="minorHAnsi" w:cstheme="minorHAnsi"/>
          <w:b/>
          <w:sz w:val="20"/>
        </w:rPr>
      </w:pPr>
      <w:r>
        <w:rPr>
          <w:rFonts w:asciiTheme="minorHAnsi" w:hAnsiTheme="minorHAnsi" w:cstheme="minorHAnsi"/>
          <w:b/>
          <w:sz w:val="20"/>
        </w:rPr>
        <w:br w:type="page"/>
      </w:r>
    </w:p>
    <w:tbl>
      <w:tblPr>
        <w:tblW w:w="9087" w:type="dxa"/>
        <w:tblInd w:w="80" w:type="dxa"/>
        <w:tblLayout w:type="fixed"/>
        <w:tblLook w:val="0600" w:firstRow="0" w:lastRow="0" w:firstColumn="0" w:lastColumn="0" w:noHBand="1" w:noVBand="1"/>
      </w:tblPr>
      <w:tblGrid>
        <w:gridCol w:w="2092"/>
        <w:gridCol w:w="1347"/>
        <w:gridCol w:w="1006"/>
        <w:gridCol w:w="1270"/>
        <w:gridCol w:w="2225"/>
        <w:gridCol w:w="1147"/>
      </w:tblGrid>
      <w:tr w:rsidR="00B26C61" w:rsidTr="00EA3146">
        <w:trPr>
          <w:trHeight w:val="255"/>
        </w:trPr>
        <w:tc>
          <w:tcPr>
            <w:tcW w:w="7940" w:type="dxa"/>
            <w:gridSpan w:val="5"/>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52" w:name="RANGE!D7:D34"/>
            <w:bookmarkStart w:id="53" w:name="RANGE!D7:I34"/>
            <w:bookmarkStart w:id="54" w:name="Note_FIOTABLE1" w:colFirst="0" w:colLast="0"/>
            <w:bookmarkEnd w:id="52"/>
            <w:bookmarkEnd w:id="53"/>
            <w:r>
              <w:rPr>
                <w:rFonts w:cs="Calibri"/>
                <w:b/>
                <w:bCs/>
                <w:szCs w:val="18"/>
                <w:u w:val="single"/>
              </w:rPr>
              <w:lastRenderedPageBreak/>
              <w:t xml:space="preserve">Note </w:t>
            </w:r>
            <w:proofErr w:type="spellStart"/>
            <w:r>
              <w:rPr>
                <w:rFonts w:cs="Calibri"/>
                <w:b/>
                <w:bCs/>
                <w:szCs w:val="18"/>
                <w:u w:val="single"/>
              </w:rPr>
              <w:t>5B</w:t>
            </w:r>
            <w:proofErr w:type="spellEnd"/>
            <w:r>
              <w:rPr>
                <w:rFonts w:cs="Calibri"/>
                <w:b/>
                <w:bCs/>
                <w:szCs w:val="18"/>
                <w:u w:val="single"/>
              </w:rPr>
              <w:t>: Valuation Technique and Inputs for Level 2 and Level 3 Fair Value Measurements</w:t>
            </w:r>
          </w:p>
        </w:tc>
        <w:tc>
          <w:tcPr>
            <w:tcW w:w="1147"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w:t>
            </w:r>
          </w:p>
        </w:tc>
      </w:tr>
      <w:bookmarkEnd w:id="54"/>
      <w:tr w:rsidR="00B26C61" w:rsidTr="00EA3146">
        <w:trPr>
          <w:trHeight w:val="255"/>
        </w:trPr>
        <w:tc>
          <w:tcPr>
            <w:tcW w:w="9087" w:type="dxa"/>
            <w:gridSpan w:val="6"/>
            <w:tcBorders>
              <w:top w:val="nil"/>
              <w:left w:val="nil"/>
              <w:bottom w:val="nil"/>
              <w:right w:val="nil"/>
            </w:tcBorders>
            <w:shd w:val="clear" w:color="FFFFFF" w:fill="FFFFFF"/>
            <w:noWrap/>
            <w:vAlign w:val="bottom"/>
            <w:hideMark/>
          </w:tcPr>
          <w:p w:rsidR="00B26C61" w:rsidRDefault="00B26C61" w:rsidP="00EA3146">
            <w:pPr>
              <w:rPr>
                <w:rFonts w:cs="Calibri"/>
                <w:b/>
                <w:szCs w:val="18"/>
              </w:rPr>
            </w:pPr>
          </w:p>
          <w:p w:rsidR="00B26C61" w:rsidRPr="0098403E" w:rsidRDefault="00B26C61" w:rsidP="00EA3146">
            <w:pPr>
              <w:rPr>
                <w:rFonts w:cs="Calibri"/>
                <w:b/>
                <w:szCs w:val="18"/>
              </w:rPr>
            </w:pPr>
            <w:r w:rsidRPr="0098403E">
              <w:rPr>
                <w:rFonts w:cs="Calibri"/>
                <w:b/>
                <w:szCs w:val="18"/>
              </w:rPr>
              <w:t>Level 2 and 3 fair value measurements – valuation technique and the inputs used for assets as at 30 June 2014</w:t>
            </w:r>
          </w:p>
        </w:tc>
      </w:tr>
      <w:tr w:rsidR="00B26C61" w:rsidTr="00EA3146">
        <w:trPr>
          <w:trHeight w:val="720"/>
        </w:trPr>
        <w:tc>
          <w:tcPr>
            <w:tcW w:w="2092" w:type="dxa"/>
            <w:tcBorders>
              <w:top w:val="single" w:sz="4" w:space="0" w:color="auto"/>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47"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Category (Level 2 or 3)</w:t>
            </w:r>
          </w:p>
        </w:tc>
        <w:tc>
          <w:tcPr>
            <w:tcW w:w="1006"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Fair Value</w:t>
            </w:r>
          </w:p>
        </w:tc>
        <w:tc>
          <w:tcPr>
            <w:tcW w:w="1270"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 w:val="16"/>
                <w:szCs w:val="16"/>
              </w:rPr>
            </w:pPr>
            <w:r>
              <w:rPr>
                <w:rFonts w:cs="Calibri"/>
                <w:b/>
                <w:bCs/>
                <w:szCs w:val="18"/>
              </w:rPr>
              <w:t>Valuation technique(s)</w:t>
            </w:r>
            <w:r>
              <w:rPr>
                <w:rFonts w:ascii="Arial" w:hAnsi="Arial" w:cs="Arial"/>
                <w:b/>
                <w:bCs/>
                <w:sz w:val="16"/>
                <w:szCs w:val="16"/>
                <w:vertAlign w:val="superscript"/>
              </w:rPr>
              <w:t>1</w:t>
            </w:r>
          </w:p>
        </w:tc>
        <w:tc>
          <w:tcPr>
            <w:tcW w:w="2225"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Inputs used</w:t>
            </w:r>
          </w:p>
        </w:tc>
        <w:tc>
          <w:tcPr>
            <w:tcW w:w="1147"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 w:val="16"/>
                <w:szCs w:val="16"/>
              </w:rPr>
            </w:pPr>
            <w:r>
              <w:rPr>
                <w:rFonts w:cs="Calibri"/>
                <w:b/>
                <w:bCs/>
                <w:szCs w:val="18"/>
              </w:rPr>
              <w:t>Range (weighted average)</w:t>
            </w:r>
            <w:r>
              <w:rPr>
                <w:rFonts w:ascii="Arial" w:hAnsi="Arial" w:cs="Arial"/>
                <w:b/>
                <w:bCs/>
                <w:sz w:val="16"/>
                <w:szCs w:val="16"/>
                <w:vertAlign w:val="superscript"/>
              </w:rPr>
              <w:t>2</w:t>
            </w:r>
          </w:p>
        </w:tc>
      </w:tr>
      <w:tr w:rsidR="00B26C61" w:rsidTr="00EA3146">
        <w:trPr>
          <w:trHeight w:val="255"/>
        </w:trPr>
        <w:tc>
          <w:tcPr>
            <w:tcW w:w="2092"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47"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00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c>
          <w:tcPr>
            <w:tcW w:w="1270"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2225"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47"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szCs w:val="18"/>
              </w:rPr>
            </w:pPr>
            <w:r>
              <w:rPr>
                <w:rFonts w:cs="Calibri"/>
                <w:szCs w:val="18"/>
              </w:rPr>
              <w:t> </w:t>
            </w:r>
          </w:p>
        </w:tc>
      </w:tr>
      <w:tr w:rsidR="00B26C61" w:rsidTr="00EA3146">
        <w:trPr>
          <w:trHeight w:val="255"/>
        </w:trPr>
        <w:tc>
          <w:tcPr>
            <w:tcW w:w="2092"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Non-financial assets</w:t>
            </w:r>
          </w:p>
        </w:tc>
        <w:tc>
          <w:tcPr>
            <w:tcW w:w="1347"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00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27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222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47"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w:t>
            </w:r>
          </w:p>
        </w:tc>
      </w:tr>
      <w:tr w:rsidR="00B26C61" w:rsidTr="00EA3146">
        <w:trPr>
          <w:trHeight w:val="480"/>
        </w:trPr>
        <w:tc>
          <w:tcPr>
            <w:tcW w:w="2092" w:type="dxa"/>
            <w:tcBorders>
              <w:top w:val="nil"/>
              <w:left w:val="nil"/>
              <w:bottom w:val="single" w:sz="4" w:space="0" w:color="auto"/>
              <w:right w:val="nil"/>
            </w:tcBorders>
            <w:shd w:val="clear" w:color="FFFFFF" w:fill="FFFFFF"/>
            <w:hideMark/>
          </w:tcPr>
          <w:p w:rsidR="00B26C61" w:rsidRDefault="00B26C61" w:rsidP="00EA3146">
            <w:pPr>
              <w:rPr>
                <w:rFonts w:cs="Calibri"/>
                <w:szCs w:val="18"/>
              </w:rPr>
            </w:pPr>
            <w:r>
              <w:rPr>
                <w:rFonts w:cs="Calibri"/>
                <w:szCs w:val="18"/>
              </w:rPr>
              <w:t>Leasehold improvements</w:t>
            </w:r>
          </w:p>
        </w:tc>
        <w:tc>
          <w:tcPr>
            <w:tcW w:w="1347" w:type="dxa"/>
            <w:tcBorders>
              <w:top w:val="nil"/>
              <w:left w:val="nil"/>
              <w:bottom w:val="single" w:sz="4" w:space="0" w:color="auto"/>
              <w:right w:val="nil"/>
            </w:tcBorders>
            <w:shd w:val="clear" w:color="FFFFFF" w:fill="FFFFFF"/>
            <w:noWrap/>
            <w:hideMark/>
          </w:tcPr>
          <w:p w:rsidR="00B26C61" w:rsidRDefault="00B26C61" w:rsidP="00EA3146">
            <w:pPr>
              <w:jc w:val="right"/>
              <w:rPr>
                <w:rFonts w:cs="Calibri"/>
                <w:b/>
                <w:bCs/>
                <w:szCs w:val="18"/>
              </w:rPr>
            </w:pPr>
            <w:r>
              <w:rPr>
                <w:rFonts w:cs="Calibri"/>
                <w:b/>
                <w:bCs/>
                <w:szCs w:val="18"/>
              </w:rPr>
              <w:t xml:space="preserve">2 </w:t>
            </w:r>
          </w:p>
        </w:tc>
        <w:tc>
          <w:tcPr>
            <w:tcW w:w="1006" w:type="dxa"/>
            <w:tcBorders>
              <w:top w:val="nil"/>
              <w:left w:val="nil"/>
              <w:bottom w:val="single" w:sz="4" w:space="0" w:color="auto"/>
              <w:right w:val="nil"/>
            </w:tcBorders>
            <w:shd w:val="clear" w:color="FFFFFF" w:fill="FFFFFF"/>
            <w:noWrap/>
            <w:hideMark/>
          </w:tcPr>
          <w:p w:rsidR="00B26C61" w:rsidRDefault="00B26C61" w:rsidP="00EA3146">
            <w:pPr>
              <w:jc w:val="right"/>
              <w:rPr>
                <w:rFonts w:cs="Calibri"/>
                <w:b/>
                <w:bCs/>
                <w:szCs w:val="18"/>
              </w:rPr>
            </w:pPr>
            <w:r>
              <w:rPr>
                <w:rFonts w:cs="Calibri"/>
                <w:b/>
                <w:bCs/>
                <w:szCs w:val="18"/>
              </w:rPr>
              <w:t xml:space="preserve">409 </w:t>
            </w:r>
          </w:p>
        </w:tc>
        <w:tc>
          <w:tcPr>
            <w:tcW w:w="1270" w:type="dxa"/>
            <w:tcBorders>
              <w:top w:val="nil"/>
              <w:left w:val="nil"/>
              <w:bottom w:val="single" w:sz="4" w:space="0" w:color="auto"/>
              <w:right w:val="nil"/>
            </w:tcBorders>
            <w:shd w:val="clear" w:color="FFFFFF" w:fill="FFFFFF"/>
            <w:hideMark/>
          </w:tcPr>
          <w:p w:rsidR="00B26C61" w:rsidRDefault="00B26C61" w:rsidP="00EA3146">
            <w:pPr>
              <w:jc w:val="right"/>
              <w:rPr>
                <w:rFonts w:cs="Calibri"/>
                <w:szCs w:val="18"/>
              </w:rPr>
            </w:pPr>
            <w:r>
              <w:rPr>
                <w:rFonts w:cs="Calibri"/>
                <w:szCs w:val="18"/>
              </w:rPr>
              <w:t>Replacement Cost</w:t>
            </w:r>
          </w:p>
        </w:tc>
        <w:tc>
          <w:tcPr>
            <w:tcW w:w="2225" w:type="dxa"/>
            <w:tcBorders>
              <w:top w:val="nil"/>
              <w:left w:val="nil"/>
              <w:bottom w:val="single" w:sz="4" w:space="0" w:color="auto"/>
              <w:right w:val="nil"/>
            </w:tcBorders>
            <w:shd w:val="clear" w:color="FFFFFF" w:fill="FFFFFF"/>
            <w:hideMark/>
          </w:tcPr>
          <w:p w:rsidR="00B26C61" w:rsidRDefault="00B26C61" w:rsidP="00EA3146">
            <w:pPr>
              <w:jc w:val="right"/>
              <w:rPr>
                <w:rFonts w:cs="Calibri"/>
                <w:szCs w:val="18"/>
              </w:rPr>
            </w:pPr>
            <w:r>
              <w:rPr>
                <w:rFonts w:cs="Calibri"/>
                <w:szCs w:val="18"/>
              </w:rPr>
              <w:t>Replacement cost new (price per square metre)</w:t>
            </w:r>
          </w:p>
        </w:tc>
        <w:tc>
          <w:tcPr>
            <w:tcW w:w="1147"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720"/>
        </w:trPr>
        <w:tc>
          <w:tcPr>
            <w:tcW w:w="2092" w:type="dxa"/>
            <w:tcBorders>
              <w:top w:val="nil"/>
              <w:left w:val="nil"/>
              <w:bottom w:val="nil"/>
              <w:right w:val="nil"/>
            </w:tcBorders>
            <w:shd w:val="clear" w:color="FFFFFF" w:fill="FFFFFF"/>
            <w:hideMark/>
          </w:tcPr>
          <w:p w:rsidR="00B26C61" w:rsidRDefault="00B26C61" w:rsidP="00EA3146">
            <w:pPr>
              <w:rPr>
                <w:rFonts w:cs="Calibri"/>
                <w:szCs w:val="18"/>
              </w:rPr>
            </w:pPr>
            <w:r>
              <w:rPr>
                <w:rFonts w:cs="Calibri"/>
                <w:szCs w:val="18"/>
              </w:rPr>
              <w:t>Leasehold improvements</w:t>
            </w:r>
          </w:p>
        </w:tc>
        <w:tc>
          <w:tcPr>
            <w:tcW w:w="1347" w:type="dxa"/>
            <w:tcBorders>
              <w:top w:val="nil"/>
              <w:left w:val="nil"/>
              <w:bottom w:val="nil"/>
              <w:right w:val="nil"/>
            </w:tcBorders>
            <w:shd w:val="clear" w:color="FFFFFF" w:fill="FFFFFF"/>
            <w:noWrap/>
            <w:hideMark/>
          </w:tcPr>
          <w:p w:rsidR="00B26C61" w:rsidRDefault="00B26C61" w:rsidP="00EA3146">
            <w:pPr>
              <w:jc w:val="right"/>
              <w:rPr>
                <w:rFonts w:cs="Calibri"/>
                <w:b/>
                <w:bCs/>
                <w:szCs w:val="18"/>
              </w:rPr>
            </w:pPr>
            <w:r>
              <w:rPr>
                <w:rFonts w:cs="Calibri"/>
                <w:b/>
                <w:bCs/>
                <w:szCs w:val="18"/>
              </w:rPr>
              <w:t xml:space="preserve">3 </w:t>
            </w:r>
          </w:p>
        </w:tc>
        <w:tc>
          <w:tcPr>
            <w:tcW w:w="1006" w:type="dxa"/>
            <w:tcBorders>
              <w:top w:val="nil"/>
              <w:left w:val="nil"/>
              <w:bottom w:val="nil"/>
              <w:right w:val="nil"/>
            </w:tcBorders>
            <w:shd w:val="clear" w:color="FFFFFF" w:fill="FFFFFF"/>
            <w:noWrap/>
            <w:hideMark/>
          </w:tcPr>
          <w:p w:rsidR="00B26C61" w:rsidRDefault="00B26C61" w:rsidP="00EA3146">
            <w:pPr>
              <w:jc w:val="right"/>
              <w:rPr>
                <w:rFonts w:cs="Calibri"/>
                <w:b/>
                <w:bCs/>
                <w:szCs w:val="18"/>
              </w:rPr>
            </w:pPr>
            <w:r>
              <w:rPr>
                <w:rFonts w:cs="Calibri"/>
                <w:b/>
                <w:bCs/>
                <w:szCs w:val="18"/>
              </w:rPr>
              <w:t xml:space="preserve">20,608 </w:t>
            </w:r>
          </w:p>
        </w:tc>
        <w:tc>
          <w:tcPr>
            <w:tcW w:w="1270" w:type="dxa"/>
            <w:tcBorders>
              <w:top w:val="nil"/>
              <w:left w:val="nil"/>
              <w:bottom w:val="nil"/>
              <w:right w:val="nil"/>
            </w:tcBorders>
            <w:shd w:val="clear" w:color="FFFFFF" w:fill="FFFFFF"/>
            <w:hideMark/>
          </w:tcPr>
          <w:p w:rsidR="00B26C61" w:rsidRDefault="00B26C61" w:rsidP="00EA3146">
            <w:pPr>
              <w:jc w:val="right"/>
              <w:rPr>
                <w:rFonts w:cs="Calibri"/>
                <w:szCs w:val="18"/>
              </w:rPr>
            </w:pPr>
            <w:r>
              <w:rPr>
                <w:rFonts w:cs="Calibri"/>
                <w:szCs w:val="18"/>
              </w:rPr>
              <w:t>Depreciated Replacement Cost</w:t>
            </w:r>
          </w:p>
        </w:tc>
        <w:tc>
          <w:tcPr>
            <w:tcW w:w="2225" w:type="dxa"/>
            <w:tcBorders>
              <w:top w:val="nil"/>
              <w:left w:val="nil"/>
              <w:bottom w:val="nil"/>
              <w:right w:val="nil"/>
            </w:tcBorders>
            <w:shd w:val="clear" w:color="FFFFFF" w:fill="FFFFFF"/>
            <w:hideMark/>
          </w:tcPr>
          <w:p w:rsidR="00B26C61" w:rsidRDefault="00B26C61" w:rsidP="00EA3146">
            <w:pPr>
              <w:jc w:val="right"/>
              <w:rPr>
                <w:rFonts w:cs="Calibri"/>
                <w:szCs w:val="18"/>
              </w:rPr>
            </w:pPr>
            <w:r>
              <w:rPr>
                <w:rFonts w:cs="Calibri"/>
                <w:szCs w:val="18"/>
              </w:rPr>
              <w:t>Replacement cost new (price per square metre)</w:t>
            </w:r>
          </w:p>
        </w:tc>
        <w:tc>
          <w:tcPr>
            <w:tcW w:w="1147"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960"/>
        </w:trPr>
        <w:tc>
          <w:tcPr>
            <w:tcW w:w="2092" w:type="dxa"/>
            <w:tcBorders>
              <w:top w:val="nil"/>
              <w:left w:val="nil"/>
              <w:bottom w:val="nil"/>
              <w:right w:val="nil"/>
            </w:tcBorders>
            <w:shd w:val="clear" w:color="FFFFFF" w:fill="FFFFFF"/>
            <w:hideMark/>
          </w:tcPr>
          <w:p w:rsidR="00B26C61" w:rsidRDefault="00B26C61" w:rsidP="00EA3146">
            <w:pPr>
              <w:rPr>
                <w:rFonts w:cs="Calibri"/>
                <w:szCs w:val="18"/>
              </w:rPr>
            </w:pPr>
            <w:r>
              <w:rPr>
                <w:rFonts w:cs="Calibri"/>
                <w:szCs w:val="18"/>
              </w:rPr>
              <w:t> </w:t>
            </w:r>
          </w:p>
        </w:tc>
        <w:tc>
          <w:tcPr>
            <w:tcW w:w="1347" w:type="dxa"/>
            <w:tcBorders>
              <w:top w:val="nil"/>
              <w:left w:val="nil"/>
              <w:bottom w:val="nil"/>
              <w:right w:val="nil"/>
            </w:tcBorders>
            <w:shd w:val="clear" w:color="FFFFFF" w:fill="FFFFFF"/>
            <w:noWrap/>
            <w:hideMark/>
          </w:tcPr>
          <w:p w:rsidR="00B26C61" w:rsidRDefault="00B26C61" w:rsidP="00EA3146">
            <w:pPr>
              <w:jc w:val="right"/>
              <w:rPr>
                <w:rFonts w:cs="Calibri"/>
                <w:b/>
                <w:bCs/>
                <w:szCs w:val="18"/>
              </w:rPr>
            </w:pPr>
            <w:r>
              <w:rPr>
                <w:rFonts w:cs="Calibri"/>
                <w:b/>
                <w:bCs/>
                <w:szCs w:val="18"/>
              </w:rPr>
              <w:t> </w:t>
            </w:r>
          </w:p>
        </w:tc>
        <w:tc>
          <w:tcPr>
            <w:tcW w:w="1006" w:type="dxa"/>
            <w:tcBorders>
              <w:top w:val="nil"/>
              <w:left w:val="nil"/>
              <w:bottom w:val="nil"/>
              <w:right w:val="nil"/>
            </w:tcBorders>
            <w:shd w:val="clear" w:color="FFFFFF" w:fill="FFFFFF"/>
            <w:noWrap/>
            <w:hideMark/>
          </w:tcPr>
          <w:p w:rsidR="00B26C61" w:rsidRDefault="00B26C61" w:rsidP="00EA3146">
            <w:pPr>
              <w:jc w:val="right"/>
              <w:rPr>
                <w:rFonts w:cs="Calibri"/>
                <w:b/>
                <w:bCs/>
                <w:szCs w:val="18"/>
              </w:rPr>
            </w:pPr>
            <w:r>
              <w:rPr>
                <w:rFonts w:cs="Calibri"/>
                <w:b/>
                <w:bCs/>
                <w:szCs w:val="18"/>
              </w:rPr>
              <w:t> </w:t>
            </w:r>
          </w:p>
        </w:tc>
        <w:tc>
          <w:tcPr>
            <w:tcW w:w="1270" w:type="dxa"/>
            <w:tcBorders>
              <w:top w:val="nil"/>
              <w:left w:val="nil"/>
              <w:bottom w:val="nil"/>
              <w:right w:val="nil"/>
            </w:tcBorders>
            <w:shd w:val="clear" w:color="FFFFFF" w:fill="FFFFFF"/>
            <w:hideMark/>
          </w:tcPr>
          <w:p w:rsidR="00B26C61" w:rsidRDefault="00B26C61" w:rsidP="00EA3146">
            <w:pPr>
              <w:jc w:val="right"/>
              <w:rPr>
                <w:rFonts w:cs="Calibri"/>
                <w:szCs w:val="18"/>
              </w:rPr>
            </w:pPr>
            <w:r>
              <w:rPr>
                <w:rFonts w:cs="Calibri"/>
                <w:szCs w:val="18"/>
              </w:rPr>
              <w:t> </w:t>
            </w:r>
          </w:p>
        </w:tc>
        <w:tc>
          <w:tcPr>
            <w:tcW w:w="2225" w:type="dxa"/>
            <w:tcBorders>
              <w:top w:val="nil"/>
              <w:left w:val="nil"/>
              <w:bottom w:val="nil"/>
              <w:right w:val="nil"/>
            </w:tcBorders>
            <w:shd w:val="clear" w:color="FFFFFF" w:fill="FFFFFF"/>
            <w:hideMark/>
          </w:tcPr>
          <w:p w:rsidR="00B26C61" w:rsidRDefault="00B26C61" w:rsidP="00EA3146">
            <w:pPr>
              <w:jc w:val="right"/>
              <w:rPr>
                <w:rFonts w:cs="Calibri"/>
                <w:szCs w:val="18"/>
              </w:rPr>
            </w:pPr>
            <w:r>
              <w:rPr>
                <w:rFonts w:cs="Calibri"/>
                <w:szCs w:val="18"/>
              </w:rPr>
              <w:t>Useful life (consumed economic benefit/obsolescence of asset)</w:t>
            </w:r>
          </w:p>
        </w:tc>
        <w:tc>
          <w:tcPr>
            <w:tcW w:w="1147" w:type="dxa"/>
            <w:tcBorders>
              <w:top w:val="nil"/>
              <w:left w:val="nil"/>
              <w:bottom w:val="nil"/>
              <w:right w:val="nil"/>
            </w:tcBorders>
            <w:shd w:val="clear" w:color="FFFFFF" w:fill="FFFFFF"/>
            <w:vAlign w:val="bottom"/>
            <w:hideMark/>
          </w:tcPr>
          <w:p w:rsidR="00B26C61" w:rsidRDefault="00B26C61" w:rsidP="00EA3146">
            <w:pPr>
              <w:jc w:val="right"/>
              <w:rPr>
                <w:rFonts w:cs="Calibri"/>
                <w:szCs w:val="18"/>
              </w:rPr>
            </w:pPr>
            <w:r>
              <w:rPr>
                <w:rFonts w:cs="Calibri"/>
                <w:szCs w:val="18"/>
              </w:rPr>
              <w:t>4.3% - 48.0% (13.4%) per annum</w:t>
            </w:r>
          </w:p>
        </w:tc>
      </w:tr>
      <w:tr w:rsidR="00B26C61" w:rsidTr="00EA3146">
        <w:trPr>
          <w:trHeight w:val="480"/>
        </w:trPr>
        <w:tc>
          <w:tcPr>
            <w:tcW w:w="2092" w:type="dxa"/>
            <w:tcBorders>
              <w:top w:val="single" w:sz="4" w:space="0" w:color="auto"/>
              <w:left w:val="nil"/>
              <w:bottom w:val="single" w:sz="4" w:space="0" w:color="auto"/>
              <w:right w:val="nil"/>
            </w:tcBorders>
            <w:shd w:val="clear" w:color="FFFFFF" w:fill="FFFFFF"/>
            <w:hideMark/>
          </w:tcPr>
          <w:p w:rsidR="00B26C61" w:rsidRDefault="00B26C61" w:rsidP="00EA3146">
            <w:pPr>
              <w:rPr>
                <w:rFonts w:cs="Calibri"/>
                <w:szCs w:val="18"/>
              </w:rPr>
            </w:pPr>
            <w:r>
              <w:rPr>
                <w:rFonts w:cs="Calibri"/>
                <w:szCs w:val="18"/>
              </w:rPr>
              <w:t>Infrastructure, plant and equipment (</w:t>
            </w:r>
            <w:proofErr w:type="spellStart"/>
            <w:r>
              <w:rPr>
                <w:rFonts w:cs="Calibri"/>
                <w:szCs w:val="18"/>
              </w:rPr>
              <w:t>AUC</w:t>
            </w:r>
            <w:proofErr w:type="spellEnd"/>
            <w:r>
              <w:rPr>
                <w:rFonts w:cs="Calibri"/>
                <w:szCs w:val="18"/>
              </w:rPr>
              <w:t>)</w:t>
            </w:r>
          </w:p>
        </w:tc>
        <w:tc>
          <w:tcPr>
            <w:tcW w:w="1347" w:type="dxa"/>
            <w:tcBorders>
              <w:top w:val="single" w:sz="4" w:space="0" w:color="auto"/>
              <w:left w:val="nil"/>
              <w:bottom w:val="single" w:sz="4" w:space="0" w:color="auto"/>
              <w:right w:val="nil"/>
            </w:tcBorders>
            <w:shd w:val="clear" w:color="FFFFFF" w:fill="FFFFFF"/>
            <w:noWrap/>
            <w:hideMark/>
          </w:tcPr>
          <w:p w:rsidR="00B26C61" w:rsidRDefault="00B26C61" w:rsidP="00EA3146">
            <w:pPr>
              <w:jc w:val="right"/>
              <w:rPr>
                <w:rFonts w:cs="Calibri"/>
                <w:b/>
                <w:bCs/>
                <w:szCs w:val="18"/>
              </w:rPr>
            </w:pPr>
            <w:r>
              <w:rPr>
                <w:rFonts w:cs="Calibri"/>
                <w:b/>
                <w:bCs/>
                <w:szCs w:val="18"/>
              </w:rPr>
              <w:t xml:space="preserve">2 </w:t>
            </w:r>
          </w:p>
        </w:tc>
        <w:tc>
          <w:tcPr>
            <w:tcW w:w="1006" w:type="dxa"/>
            <w:tcBorders>
              <w:top w:val="single" w:sz="4" w:space="0" w:color="auto"/>
              <w:left w:val="nil"/>
              <w:bottom w:val="single" w:sz="4" w:space="0" w:color="auto"/>
              <w:right w:val="nil"/>
            </w:tcBorders>
            <w:shd w:val="clear" w:color="FFFFFF" w:fill="FFFFFF"/>
            <w:noWrap/>
            <w:hideMark/>
          </w:tcPr>
          <w:p w:rsidR="00B26C61" w:rsidRDefault="00B26C61" w:rsidP="00EA3146">
            <w:pPr>
              <w:jc w:val="right"/>
              <w:rPr>
                <w:rFonts w:cs="Calibri"/>
                <w:b/>
                <w:bCs/>
                <w:szCs w:val="18"/>
              </w:rPr>
            </w:pPr>
            <w:r>
              <w:rPr>
                <w:rFonts w:cs="Calibri"/>
                <w:b/>
                <w:bCs/>
                <w:szCs w:val="18"/>
              </w:rPr>
              <w:t xml:space="preserve">101 </w:t>
            </w:r>
          </w:p>
        </w:tc>
        <w:tc>
          <w:tcPr>
            <w:tcW w:w="1270" w:type="dxa"/>
            <w:tcBorders>
              <w:top w:val="single" w:sz="4" w:space="0" w:color="auto"/>
              <w:left w:val="nil"/>
              <w:bottom w:val="single" w:sz="4" w:space="0" w:color="auto"/>
              <w:right w:val="nil"/>
            </w:tcBorders>
            <w:shd w:val="clear" w:color="FFFFFF" w:fill="FFFFFF"/>
            <w:hideMark/>
          </w:tcPr>
          <w:p w:rsidR="00B26C61" w:rsidRDefault="00B26C61" w:rsidP="00EA3146">
            <w:pPr>
              <w:jc w:val="right"/>
              <w:rPr>
                <w:rFonts w:cs="Calibri"/>
                <w:szCs w:val="18"/>
              </w:rPr>
            </w:pPr>
            <w:r>
              <w:rPr>
                <w:rFonts w:cs="Calibri"/>
                <w:szCs w:val="18"/>
              </w:rPr>
              <w:t>Replacement Cost</w:t>
            </w:r>
          </w:p>
        </w:tc>
        <w:tc>
          <w:tcPr>
            <w:tcW w:w="2225" w:type="dxa"/>
            <w:tcBorders>
              <w:top w:val="single" w:sz="4" w:space="0" w:color="auto"/>
              <w:left w:val="nil"/>
              <w:bottom w:val="single" w:sz="4" w:space="0" w:color="auto"/>
              <w:right w:val="nil"/>
            </w:tcBorders>
            <w:shd w:val="clear" w:color="FFFFFF" w:fill="FFFFFF"/>
            <w:hideMark/>
          </w:tcPr>
          <w:p w:rsidR="00B26C61" w:rsidRDefault="00B26C61" w:rsidP="00EA3146">
            <w:pPr>
              <w:jc w:val="right"/>
              <w:rPr>
                <w:rFonts w:cs="Calibri"/>
                <w:szCs w:val="18"/>
              </w:rPr>
            </w:pPr>
            <w:r>
              <w:rPr>
                <w:rFonts w:cs="Calibri"/>
                <w:szCs w:val="18"/>
              </w:rPr>
              <w:t>Replacement cost new (price per square metre)</w:t>
            </w:r>
          </w:p>
        </w:tc>
        <w:tc>
          <w:tcPr>
            <w:tcW w:w="1147" w:type="dxa"/>
            <w:tcBorders>
              <w:top w:val="single" w:sz="4" w:space="0" w:color="auto"/>
              <w:left w:val="nil"/>
              <w:bottom w:val="single" w:sz="4" w:space="0" w:color="auto"/>
              <w:right w:val="nil"/>
            </w:tcBorders>
            <w:shd w:val="clear" w:color="auto" w:fill="D9D9D9" w:themeFill="background1" w:themeFillShade="D9"/>
            <w:vAlign w:val="bottom"/>
            <w:hideMark/>
          </w:tcPr>
          <w:p w:rsidR="00B26C61" w:rsidRPr="00CE0A1F" w:rsidRDefault="00B26C61" w:rsidP="00EA3146">
            <w:pPr>
              <w:rPr>
                <w:rFonts w:ascii="Arial" w:hAnsi="Arial" w:cs="Arial"/>
                <w:szCs w:val="18"/>
              </w:rPr>
            </w:pPr>
            <w:r w:rsidRPr="00CE0A1F">
              <w:rPr>
                <w:rFonts w:ascii="Arial" w:hAnsi="Arial" w:cs="Arial"/>
                <w:szCs w:val="18"/>
              </w:rPr>
              <w:t> </w:t>
            </w:r>
          </w:p>
        </w:tc>
      </w:tr>
      <w:tr w:rsidR="00B26C61" w:rsidTr="00EA3146">
        <w:trPr>
          <w:trHeight w:val="480"/>
        </w:trPr>
        <w:tc>
          <w:tcPr>
            <w:tcW w:w="2092" w:type="dxa"/>
            <w:tcBorders>
              <w:top w:val="nil"/>
              <w:left w:val="nil"/>
              <w:bottom w:val="single" w:sz="4" w:space="0" w:color="auto"/>
              <w:right w:val="nil"/>
            </w:tcBorders>
            <w:shd w:val="clear" w:color="FFFFFF" w:fill="FFFFFF"/>
            <w:hideMark/>
          </w:tcPr>
          <w:p w:rsidR="00B26C61" w:rsidRDefault="00B26C61" w:rsidP="00EA3146">
            <w:pPr>
              <w:rPr>
                <w:rFonts w:cs="Calibri"/>
                <w:szCs w:val="18"/>
              </w:rPr>
            </w:pPr>
            <w:r>
              <w:rPr>
                <w:rFonts w:cs="Calibri"/>
                <w:szCs w:val="18"/>
              </w:rPr>
              <w:t>Infrastructure, plant and equipment</w:t>
            </w:r>
          </w:p>
        </w:tc>
        <w:tc>
          <w:tcPr>
            <w:tcW w:w="1347" w:type="dxa"/>
            <w:tcBorders>
              <w:top w:val="nil"/>
              <w:left w:val="nil"/>
              <w:bottom w:val="single" w:sz="4" w:space="0" w:color="auto"/>
              <w:right w:val="nil"/>
            </w:tcBorders>
            <w:shd w:val="clear" w:color="FFFFFF" w:fill="FFFFFF"/>
            <w:noWrap/>
            <w:hideMark/>
          </w:tcPr>
          <w:p w:rsidR="00B26C61" w:rsidRDefault="00B26C61" w:rsidP="00EA3146">
            <w:pPr>
              <w:jc w:val="right"/>
              <w:rPr>
                <w:rFonts w:cs="Calibri"/>
                <w:b/>
                <w:bCs/>
                <w:szCs w:val="18"/>
              </w:rPr>
            </w:pPr>
            <w:r>
              <w:rPr>
                <w:rFonts w:cs="Calibri"/>
                <w:b/>
                <w:bCs/>
                <w:szCs w:val="18"/>
              </w:rPr>
              <w:t xml:space="preserve">2 </w:t>
            </w:r>
          </w:p>
        </w:tc>
        <w:tc>
          <w:tcPr>
            <w:tcW w:w="1006" w:type="dxa"/>
            <w:tcBorders>
              <w:top w:val="nil"/>
              <w:left w:val="nil"/>
              <w:bottom w:val="single" w:sz="4" w:space="0" w:color="auto"/>
              <w:right w:val="nil"/>
            </w:tcBorders>
            <w:shd w:val="clear" w:color="FFFFFF" w:fill="FFFFFF"/>
            <w:noWrap/>
            <w:hideMark/>
          </w:tcPr>
          <w:p w:rsidR="00B26C61" w:rsidRDefault="00B26C61" w:rsidP="00EA3146">
            <w:pPr>
              <w:jc w:val="right"/>
              <w:rPr>
                <w:rFonts w:cs="Calibri"/>
                <w:b/>
                <w:bCs/>
                <w:szCs w:val="18"/>
              </w:rPr>
            </w:pPr>
            <w:r>
              <w:rPr>
                <w:rFonts w:cs="Calibri"/>
                <w:b/>
                <w:bCs/>
                <w:szCs w:val="18"/>
              </w:rPr>
              <w:t xml:space="preserve">4,433 </w:t>
            </w:r>
          </w:p>
        </w:tc>
        <w:tc>
          <w:tcPr>
            <w:tcW w:w="1270" w:type="dxa"/>
            <w:tcBorders>
              <w:top w:val="nil"/>
              <w:left w:val="nil"/>
              <w:bottom w:val="single" w:sz="4" w:space="0" w:color="auto"/>
              <w:right w:val="nil"/>
            </w:tcBorders>
            <w:shd w:val="clear" w:color="FFFFFF" w:fill="FFFFFF"/>
            <w:hideMark/>
          </w:tcPr>
          <w:p w:rsidR="00B26C61" w:rsidRDefault="00B26C61" w:rsidP="00EA3146">
            <w:pPr>
              <w:jc w:val="right"/>
              <w:rPr>
                <w:rFonts w:cs="Calibri"/>
                <w:szCs w:val="18"/>
              </w:rPr>
            </w:pPr>
            <w:r>
              <w:rPr>
                <w:rFonts w:cs="Calibri"/>
                <w:szCs w:val="18"/>
              </w:rPr>
              <w:t>Market approach</w:t>
            </w:r>
          </w:p>
        </w:tc>
        <w:tc>
          <w:tcPr>
            <w:tcW w:w="2225" w:type="dxa"/>
            <w:tcBorders>
              <w:top w:val="nil"/>
              <w:left w:val="nil"/>
              <w:bottom w:val="single" w:sz="4" w:space="0" w:color="auto"/>
              <w:right w:val="nil"/>
            </w:tcBorders>
            <w:shd w:val="clear" w:color="FFFFFF" w:fill="FFFFFF"/>
            <w:hideMark/>
          </w:tcPr>
          <w:p w:rsidR="00B26C61" w:rsidRDefault="00B26C61" w:rsidP="00EA3146">
            <w:pPr>
              <w:jc w:val="right"/>
              <w:rPr>
                <w:rFonts w:cs="Calibri"/>
                <w:szCs w:val="18"/>
              </w:rPr>
            </w:pPr>
            <w:r>
              <w:rPr>
                <w:rFonts w:cs="Calibri"/>
                <w:szCs w:val="18"/>
              </w:rPr>
              <w:t>Adjusted market transactions</w:t>
            </w:r>
          </w:p>
        </w:tc>
        <w:tc>
          <w:tcPr>
            <w:tcW w:w="1147"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960"/>
        </w:trPr>
        <w:tc>
          <w:tcPr>
            <w:tcW w:w="2092" w:type="dxa"/>
            <w:tcBorders>
              <w:top w:val="nil"/>
              <w:left w:val="nil"/>
              <w:bottom w:val="nil"/>
              <w:right w:val="nil"/>
            </w:tcBorders>
            <w:shd w:val="clear" w:color="FFFFFF" w:fill="FFFFFF"/>
            <w:hideMark/>
          </w:tcPr>
          <w:p w:rsidR="00B26C61" w:rsidRDefault="00B26C61" w:rsidP="00EA3146">
            <w:pPr>
              <w:rPr>
                <w:rFonts w:cs="Calibri"/>
                <w:szCs w:val="18"/>
              </w:rPr>
            </w:pPr>
            <w:r>
              <w:rPr>
                <w:rFonts w:cs="Calibri"/>
                <w:szCs w:val="18"/>
              </w:rPr>
              <w:t>Infrastructure, plant and equipment</w:t>
            </w:r>
          </w:p>
        </w:tc>
        <w:tc>
          <w:tcPr>
            <w:tcW w:w="1347" w:type="dxa"/>
            <w:tcBorders>
              <w:top w:val="nil"/>
              <w:left w:val="nil"/>
              <w:bottom w:val="nil"/>
              <w:right w:val="nil"/>
            </w:tcBorders>
            <w:shd w:val="clear" w:color="FFFFFF" w:fill="FFFFFF"/>
            <w:noWrap/>
            <w:hideMark/>
          </w:tcPr>
          <w:p w:rsidR="00B26C61" w:rsidRDefault="00B26C61" w:rsidP="00EA3146">
            <w:pPr>
              <w:jc w:val="right"/>
              <w:rPr>
                <w:rFonts w:cs="Calibri"/>
                <w:b/>
                <w:bCs/>
                <w:szCs w:val="18"/>
              </w:rPr>
            </w:pPr>
            <w:r>
              <w:rPr>
                <w:rFonts w:cs="Calibri"/>
                <w:b/>
                <w:bCs/>
                <w:szCs w:val="18"/>
              </w:rPr>
              <w:t xml:space="preserve">3 </w:t>
            </w:r>
          </w:p>
        </w:tc>
        <w:tc>
          <w:tcPr>
            <w:tcW w:w="1006" w:type="dxa"/>
            <w:tcBorders>
              <w:top w:val="nil"/>
              <w:left w:val="nil"/>
              <w:bottom w:val="nil"/>
              <w:right w:val="nil"/>
            </w:tcBorders>
            <w:shd w:val="clear" w:color="FFFFFF" w:fill="FFFFFF"/>
            <w:noWrap/>
            <w:hideMark/>
          </w:tcPr>
          <w:p w:rsidR="00B26C61" w:rsidRDefault="00B26C61" w:rsidP="00EA3146">
            <w:pPr>
              <w:jc w:val="right"/>
              <w:rPr>
                <w:rFonts w:cs="Calibri"/>
                <w:b/>
                <w:bCs/>
                <w:szCs w:val="18"/>
              </w:rPr>
            </w:pPr>
            <w:r>
              <w:rPr>
                <w:rFonts w:cs="Calibri"/>
                <w:b/>
                <w:bCs/>
                <w:szCs w:val="18"/>
              </w:rPr>
              <w:t xml:space="preserve">7,951 </w:t>
            </w:r>
          </w:p>
        </w:tc>
        <w:tc>
          <w:tcPr>
            <w:tcW w:w="1270" w:type="dxa"/>
            <w:tcBorders>
              <w:top w:val="nil"/>
              <w:left w:val="nil"/>
              <w:bottom w:val="nil"/>
              <w:right w:val="nil"/>
            </w:tcBorders>
            <w:shd w:val="clear" w:color="FFFFFF" w:fill="FFFFFF"/>
            <w:hideMark/>
          </w:tcPr>
          <w:p w:rsidR="00B26C61" w:rsidRDefault="00B26C61" w:rsidP="00EA3146">
            <w:pPr>
              <w:jc w:val="right"/>
              <w:rPr>
                <w:rFonts w:cs="Calibri"/>
                <w:szCs w:val="18"/>
              </w:rPr>
            </w:pPr>
            <w:r>
              <w:rPr>
                <w:rFonts w:cs="Calibri"/>
                <w:szCs w:val="18"/>
              </w:rPr>
              <w:t>Depreciated Replacement Cost</w:t>
            </w:r>
          </w:p>
        </w:tc>
        <w:tc>
          <w:tcPr>
            <w:tcW w:w="2225" w:type="dxa"/>
            <w:tcBorders>
              <w:top w:val="nil"/>
              <w:left w:val="nil"/>
              <w:bottom w:val="nil"/>
              <w:right w:val="nil"/>
            </w:tcBorders>
            <w:shd w:val="clear" w:color="FFFFFF" w:fill="FFFFFF"/>
            <w:hideMark/>
          </w:tcPr>
          <w:p w:rsidR="00B26C61" w:rsidRDefault="00B26C61" w:rsidP="00EA3146">
            <w:pPr>
              <w:jc w:val="right"/>
              <w:rPr>
                <w:rFonts w:cs="Calibri"/>
                <w:szCs w:val="18"/>
              </w:rPr>
            </w:pPr>
            <w:r>
              <w:rPr>
                <w:rFonts w:cs="Calibri"/>
                <w:szCs w:val="18"/>
              </w:rPr>
              <w:t>Replacement cost new (size, capacity, use, configuration, style, type) Useful life</w:t>
            </w:r>
          </w:p>
        </w:tc>
        <w:tc>
          <w:tcPr>
            <w:tcW w:w="1147"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960"/>
        </w:trPr>
        <w:tc>
          <w:tcPr>
            <w:tcW w:w="2092" w:type="dxa"/>
            <w:tcBorders>
              <w:top w:val="nil"/>
              <w:left w:val="nil"/>
              <w:bottom w:val="single" w:sz="4" w:space="0" w:color="auto"/>
              <w:right w:val="nil"/>
            </w:tcBorders>
            <w:shd w:val="clear" w:color="FFFFFF" w:fill="FFFFFF"/>
            <w:hideMark/>
          </w:tcPr>
          <w:p w:rsidR="00B26C61" w:rsidRDefault="00B26C61" w:rsidP="00EA3146">
            <w:pPr>
              <w:rPr>
                <w:rFonts w:cs="Calibri"/>
                <w:szCs w:val="18"/>
              </w:rPr>
            </w:pPr>
            <w:r>
              <w:rPr>
                <w:rFonts w:cs="Calibri"/>
                <w:szCs w:val="18"/>
              </w:rPr>
              <w:t> </w:t>
            </w:r>
          </w:p>
        </w:tc>
        <w:tc>
          <w:tcPr>
            <w:tcW w:w="1347" w:type="dxa"/>
            <w:tcBorders>
              <w:top w:val="nil"/>
              <w:left w:val="nil"/>
              <w:bottom w:val="single" w:sz="4" w:space="0" w:color="auto"/>
              <w:right w:val="nil"/>
            </w:tcBorders>
            <w:shd w:val="clear" w:color="FFFFFF" w:fill="FFFFFF"/>
            <w:noWrap/>
            <w:hideMark/>
          </w:tcPr>
          <w:p w:rsidR="00B26C61" w:rsidRDefault="00B26C61" w:rsidP="00EA3146">
            <w:pPr>
              <w:jc w:val="right"/>
              <w:rPr>
                <w:rFonts w:cs="Calibri"/>
                <w:b/>
                <w:bCs/>
                <w:szCs w:val="18"/>
              </w:rPr>
            </w:pPr>
            <w:r>
              <w:rPr>
                <w:rFonts w:cs="Calibri"/>
                <w:b/>
                <w:bCs/>
                <w:szCs w:val="18"/>
              </w:rPr>
              <w:t> </w:t>
            </w:r>
          </w:p>
        </w:tc>
        <w:tc>
          <w:tcPr>
            <w:tcW w:w="1006" w:type="dxa"/>
            <w:tcBorders>
              <w:top w:val="nil"/>
              <w:left w:val="nil"/>
              <w:bottom w:val="single" w:sz="4" w:space="0" w:color="auto"/>
              <w:right w:val="nil"/>
            </w:tcBorders>
            <w:shd w:val="clear" w:color="FFFFFF" w:fill="FFFFFF"/>
            <w:noWrap/>
            <w:hideMark/>
          </w:tcPr>
          <w:p w:rsidR="00B26C61" w:rsidRDefault="00B26C61" w:rsidP="00EA3146">
            <w:pPr>
              <w:jc w:val="right"/>
              <w:rPr>
                <w:rFonts w:cs="Calibri"/>
                <w:b/>
                <w:bCs/>
                <w:szCs w:val="18"/>
              </w:rPr>
            </w:pPr>
            <w:r>
              <w:rPr>
                <w:rFonts w:cs="Calibri"/>
                <w:b/>
                <w:bCs/>
                <w:szCs w:val="18"/>
              </w:rPr>
              <w:t> </w:t>
            </w:r>
          </w:p>
        </w:tc>
        <w:tc>
          <w:tcPr>
            <w:tcW w:w="1270" w:type="dxa"/>
            <w:tcBorders>
              <w:top w:val="nil"/>
              <w:left w:val="nil"/>
              <w:bottom w:val="single" w:sz="4" w:space="0" w:color="auto"/>
              <w:right w:val="nil"/>
            </w:tcBorders>
            <w:shd w:val="clear" w:color="FFFFFF" w:fill="FFFFFF"/>
            <w:hideMark/>
          </w:tcPr>
          <w:p w:rsidR="00B26C61" w:rsidRDefault="00B26C61" w:rsidP="00EA3146">
            <w:pPr>
              <w:jc w:val="right"/>
              <w:rPr>
                <w:rFonts w:cs="Calibri"/>
                <w:szCs w:val="18"/>
              </w:rPr>
            </w:pPr>
            <w:r>
              <w:rPr>
                <w:rFonts w:cs="Calibri"/>
                <w:szCs w:val="18"/>
              </w:rPr>
              <w:t> </w:t>
            </w:r>
          </w:p>
        </w:tc>
        <w:tc>
          <w:tcPr>
            <w:tcW w:w="2225" w:type="dxa"/>
            <w:tcBorders>
              <w:top w:val="nil"/>
              <w:left w:val="nil"/>
              <w:bottom w:val="nil"/>
              <w:right w:val="nil"/>
            </w:tcBorders>
            <w:shd w:val="clear" w:color="FFFFFF" w:fill="FFFFFF"/>
            <w:hideMark/>
          </w:tcPr>
          <w:p w:rsidR="00B26C61" w:rsidRDefault="00B26C61" w:rsidP="00EA3146">
            <w:pPr>
              <w:jc w:val="right"/>
              <w:rPr>
                <w:rFonts w:cs="Calibri"/>
                <w:szCs w:val="18"/>
              </w:rPr>
            </w:pPr>
            <w:r>
              <w:rPr>
                <w:rFonts w:cs="Calibri"/>
                <w:szCs w:val="18"/>
              </w:rPr>
              <w:t>Useful life (consumed economic benefit/obsolescence of asset)</w:t>
            </w:r>
          </w:p>
        </w:tc>
        <w:tc>
          <w:tcPr>
            <w:tcW w:w="1147" w:type="dxa"/>
            <w:tcBorders>
              <w:top w:val="nil"/>
              <w:left w:val="nil"/>
              <w:bottom w:val="nil"/>
              <w:right w:val="nil"/>
            </w:tcBorders>
            <w:shd w:val="clear" w:color="FFFFFF" w:fill="FFFFFF"/>
            <w:vAlign w:val="bottom"/>
            <w:hideMark/>
          </w:tcPr>
          <w:p w:rsidR="00B26C61" w:rsidRDefault="00B26C61" w:rsidP="00EA3146">
            <w:pPr>
              <w:jc w:val="right"/>
              <w:rPr>
                <w:rFonts w:cs="Calibri"/>
                <w:szCs w:val="18"/>
              </w:rPr>
            </w:pPr>
            <w:r>
              <w:rPr>
                <w:rFonts w:cs="Calibri"/>
                <w:szCs w:val="18"/>
              </w:rPr>
              <w:t>6.7% - 33.33% (16.5%) per annum</w:t>
            </w:r>
          </w:p>
        </w:tc>
      </w:tr>
      <w:tr w:rsidR="00B26C61" w:rsidTr="00EA3146">
        <w:trPr>
          <w:trHeight w:val="720"/>
        </w:trPr>
        <w:tc>
          <w:tcPr>
            <w:tcW w:w="2092" w:type="dxa"/>
            <w:tcBorders>
              <w:top w:val="nil"/>
              <w:left w:val="nil"/>
              <w:bottom w:val="nil"/>
              <w:right w:val="nil"/>
            </w:tcBorders>
            <w:shd w:val="clear" w:color="FFFFFF" w:fill="FFFFFF"/>
            <w:hideMark/>
          </w:tcPr>
          <w:p w:rsidR="00B26C61" w:rsidRDefault="00B26C61" w:rsidP="00EA3146">
            <w:pPr>
              <w:rPr>
                <w:rFonts w:cs="Calibri"/>
                <w:szCs w:val="18"/>
              </w:rPr>
            </w:pPr>
            <w:r>
              <w:rPr>
                <w:rFonts w:cs="Calibri"/>
                <w:szCs w:val="18"/>
              </w:rPr>
              <w:t>Infrastructure, plant and equipment (Library Collection)</w:t>
            </w:r>
          </w:p>
        </w:tc>
        <w:tc>
          <w:tcPr>
            <w:tcW w:w="1347" w:type="dxa"/>
            <w:tcBorders>
              <w:top w:val="nil"/>
              <w:left w:val="nil"/>
              <w:bottom w:val="nil"/>
              <w:right w:val="nil"/>
            </w:tcBorders>
            <w:shd w:val="clear" w:color="FFFFFF" w:fill="FFFFFF"/>
            <w:noWrap/>
            <w:hideMark/>
          </w:tcPr>
          <w:p w:rsidR="00B26C61" w:rsidRDefault="00B26C61" w:rsidP="00EA3146">
            <w:pPr>
              <w:jc w:val="right"/>
              <w:rPr>
                <w:rFonts w:cs="Calibri"/>
                <w:b/>
                <w:bCs/>
                <w:szCs w:val="18"/>
              </w:rPr>
            </w:pPr>
            <w:r>
              <w:rPr>
                <w:rFonts w:cs="Calibri"/>
                <w:b/>
                <w:bCs/>
                <w:szCs w:val="18"/>
              </w:rPr>
              <w:t xml:space="preserve">3 </w:t>
            </w:r>
          </w:p>
        </w:tc>
        <w:tc>
          <w:tcPr>
            <w:tcW w:w="1006" w:type="dxa"/>
            <w:tcBorders>
              <w:top w:val="nil"/>
              <w:left w:val="nil"/>
              <w:bottom w:val="nil"/>
              <w:right w:val="nil"/>
            </w:tcBorders>
            <w:shd w:val="clear" w:color="FFFFFF" w:fill="FFFFFF"/>
            <w:noWrap/>
            <w:hideMark/>
          </w:tcPr>
          <w:p w:rsidR="00B26C61" w:rsidRDefault="00B26C61" w:rsidP="00EA3146">
            <w:pPr>
              <w:jc w:val="right"/>
              <w:rPr>
                <w:rFonts w:cs="Calibri"/>
                <w:b/>
                <w:bCs/>
                <w:szCs w:val="18"/>
              </w:rPr>
            </w:pPr>
            <w:r>
              <w:rPr>
                <w:rFonts w:cs="Calibri"/>
                <w:b/>
                <w:bCs/>
                <w:szCs w:val="18"/>
              </w:rPr>
              <w:t xml:space="preserve">617 </w:t>
            </w:r>
          </w:p>
        </w:tc>
        <w:tc>
          <w:tcPr>
            <w:tcW w:w="1270" w:type="dxa"/>
            <w:tcBorders>
              <w:top w:val="nil"/>
              <w:left w:val="nil"/>
              <w:bottom w:val="nil"/>
              <w:right w:val="nil"/>
            </w:tcBorders>
            <w:shd w:val="clear" w:color="FFFFFF" w:fill="FFFFFF"/>
            <w:hideMark/>
          </w:tcPr>
          <w:p w:rsidR="00B26C61" w:rsidRDefault="00B26C61" w:rsidP="00EA3146">
            <w:pPr>
              <w:jc w:val="right"/>
              <w:rPr>
                <w:rFonts w:cs="Calibri"/>
                <w:szCs w:val="18"/>
              </w:rPr>
            </w:pPr>
            <w:r>
              <w:rPr>
                <w:rFonts w:cs="Calibri"/>
                <w:szCs w:val="18"/>
              </w:rPr>
              <w:t>Depreciated Replacement Cost</w:t>
            </w:r>
          </w:p>
        </w:tc>
        <w:tc>
          <w:tcPr>
            <w:tcW w:w="2225" w:type="dxa"/>
            <w:tcBorders>
              <w:top w:val="single" w:sz="4" w:space="0" w:color="auto"/>
              <w:left w:val="nil"/>
              <w:bottom w:val="nil"/>
              <w:right w:val="nil"/>
            </w:tcBorders>
            <w:shd w:val="clear" w:color="FFFFFF" w:fill="FFFFFF"/>
            <w:hideMark/>
          </w:tcPr>
          <w:p w:rsidR="00B26C61" w:rsidRDefault="00B26C61" w:rsidP="00EA3146">
            <w:pPr>
              <w:jc w:val="right"/>
              <w:rPr>
                <w:rFonts w:cs="Calibri"/>
                <w:szCs w:val="18"/>
              </w:rPr>
            </w:pPr>
            <w:r>
              <w:rPr>
                <w:rFonts w:cs="Calibri"/>
                <w:szCs w:val="18"/>
              </w:rPr>
              <w:t>Adjusted market transactions (average price per title)</w:t>
            </w:r>
          </w:p>
        </w:tc>
        <w:tc>
          <w:tcPr>
            <w:tcW w:w="1147"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szCs w:val="18"/>
              </w:rPr>
            </w:pPr>
            <w:r>
              <w:rPr>
                <w:rFonts w:cs="Calibri"/>
                <w:szCs w:val="18"/>
              </w:rPr>
              <w:t>$15.00 - $650.00 ($320.00)</w:t>
            </w:r>
          </w:p>
        </w:tc>
      </w:tr>
      <w:tr w:rsidR="00B26C61" w:rsidTr="00EA3146">
        <w:trPr>
          <w:trHeight w:val="960"/>
        </w:trPr>
        <w:tc>
          <w:tcPr>
            <w:tcW w:w="2092" w:type="dxa"/>
            <w:tcBorders>
              <w:top w:val="nil"/>
              <w:left w:val="nil"/>
              <w:bottom w:val="single" w:sz="4" w:space="0" w:color="auto"/>
              <w:right w:val="nil"/>
            </w:tcBorders>
            <w:shd w:val="clear" w:color="FFFFFF" w:fill="FFFFFF"/>
            <w:hideMark/>
          </w:tcPr>
          <w:p w:rsidR="00B26C61" w:rsidRDefault="00B26C61" w:rsidP="00EA3146">
            <w:pPr>
              <w:rPr>
                <w:rFonts w:cs="Calibri"/>
                <w:szCs w:val="18"/>
              </w:rPr>
            </w:pPr>
            <w:r>
              <w:rPr>
                <w:rFonts w:cs="Calibri"/>
                <w:szCs w:val="18"/>
              </w:rPr>
              <w:t> </w:t>
            </w:r>
          </w:p>
        </w:tc>
        <w:tc>
          <w:tcPr>
            <w:tcW w:w="1347" w:type="dxa"/>
            <w:tcBorders>
              <w:top w:val="nil"/>
              <w:left w:val="nil"/>
              <w:bottom w:val="single" w:sz="4" w:space="0" w:color="auto"/>
              <w:right w:val="nil"/>
            </w:tcBorders>
            <w:shd w:val="clear" w:color="FFFFFF" w:fill="FFFFFF"/>
            <w:noWrap/>
            <w:hideMark/>
          </w:tcPr>
          <w:p w:rsidR="00B26C61" w:rsidRDefault="00B26C61" w:rsidP="00EA3146">
            <w:pPr>
              <w:jc w:val="right"/>
              <w:rPr>
                <w:rFonts w:cs="Calibri"/>
                <w:b/>
                <w:bCs/>
                <w:szCs w:val="18"/>
              </w:rPr>
            </w:pPr>
            <w:r>
              <w:rPr>
                <w:rFonts w:cs="Calibri"/>
                <w:b/>
                <w:bCs/>
                <w:szCs w:val="18"/>
              </w:rPr>
              <w:t> </w:t>
            </w:r>
          </w:p>
        </w:tc>
        <w:tc>
          <w:tcPr>
            <w:tcW w:w="1006" w:type="dxa"/>
            <w:tcBorders>
              <w:top w:val="nil"/>
              <w:left w:val="nil"/>
              <w:bottom w:val="single" w:sz="4" w:space="0" w:color="auto"/>
              <w:right w:val="nil"/>
            </w:tcBorders>
            <w:shd w:val="clear" w:color="FFFFFF" w:fill="FFFFFF"/>
            <w:noWrap/>
            <w:hideMark/>
          </w:tcPr>
          <w:p w:rsidR="00B26C61" w:rsidRDefault="00B26C61" w:rsidP="00EA3146">
            <w:pPr>
              <w:jc w:val="right"/>
              <w:rPr>
                <w:rFonts w:cs="Calibri"/>
                <w:b/>
                <w:bCs/>
                <w:szCs w:val="18"/>
              </w:rPr>
            </w:pPr>
            <w:r>
              <w:rPr>
                <w:rFonts w:cs="Calibri"/>
                <w:b/>
                <w:bCs/>
                <w:szCs w:val="18"/>
              </w:rPr>
              <w:t> </w:t>
            </w:r>
          </w:p>
        </w:tc>
        <w:tc>
          <w:tcPr>
            <w:tcW w:w="1270" w:type="dxa"/>
            <w:tcBorders>
              <w:top w:val="nil"/>
              <w:left w:val="nil"/>
              <w:bottom w:val="single" w:sz="4" w:space="0" w:color="auto"/>
              <w:right w:val="nil"/>
            </w:tcBorders>
            <w:shd w:val="clear" w:color="FFFFFF" w:fill="FFFFFF"/>
            <w:hideMark/>
          </w:tcPr>
          <w:p w:rsidR="00B26C61" w:rsidRDefault="00B26C61" w:rsidP="00EA3146">
            <w:pPr>
              <w:jc w:val="right"/>
              <w:rPr>
                <w:rFonts w:cs="Calibri"/>
                <w:szCs w:val="18"/>
              </w:rPr>
            </w:pPr>
            <w:r>
              <w:rPr>
                <w:rFonts w:cs="Calibri"/>
                <w:szCs w:val="18"/>
              </w:rPr>
              <w:t> </w:t>
            </w:r>
          </w:p>
        </w:tc>
        <w:tc>
          <w:tcPr>
            <w:tcW w:w="2225" w:type="dxa"/>
            <w:tcBorders>
              <w:top w:val="nil"/>
              <w:left w:val="nil"/>
              <w:bottom w:val="single" w:sz="4" w:space="0" w:color="auto"/>
              <w:right w:val="nil"/>
            </w:tcBorders>
            <w:shd w:val="clear" w:color="FFFFFF" w:fill="FFFFFF"/>
            <w:hideMark/>
          </w:tcPr>
          <w:p w:rsidR="00B26C61" w:rsidRDefault="00B26C61" w:rsidP="00EA3146">
            <w:pPr>
              <w:jc w:val="right"/>
              <w:rPr>
                <w:rFonts w:cs="Calibri"/>
                <w:szCs w:val="18"/>
              </w:rPr>
            </w:pPr>
            <w:r>
              <w:rPr>
                <w:rFonts w:cs="Calibri"/>
                <w:szCs w:val="18"/>
              </w:rPr>
              <w:t>Useful life (consumed economic benefit/obsolescence of asset)</w:t>
            </w:r>
          </w:p>
        </w:tc>
        <w:tc>
          <w:tcPr>
            <w:tcW w:w="1147"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szCs w:val="18"/>
              </w:rPr>
            </w:pPr>
            <w:r>
              <w:rPr>
                <w:rFonts w:cs="Calibri"/>
                <w:szCs w:val="18"/>
              </w:rPr>
              <w:t>6.7% - 10.0% (6.7%) per annum</w:t>
            </w:r>
          </w:p>
        </w:tc>
      </w:tr>
      <w:tr w:rsidR="00B26C61" w:rsidTr="00EA3146">
        <w:trPr>
          <w:trHeight w:val="255"/>
        </w:trPr>
        <w:tc>
          <w:tcPr>
            <w:tcW w:w="9087" w:type="dxa"/>
            <w:gridSpan w:val="6"/>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1. There have been no changes to valuation techniques.</w:t>
            </w:r>
          </w:p>
        </w:tc>
      </w:tr>
      <w:tr w:rsidR="00B26C61" w:rsidTr="00EA3146">
        <w:trPr>
          <w:trHeight w:val="255"/>
        </w:trPr>
        <w:tc>
          <w:tcPr>
            <w:tcW w:w="9087" w:type="dxa"/>
            <w:gridSpan w:val="6"/>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2. Significant unobservable inputs only. Not applicable for assets or liabilities in the Level 2 category.</w:t>
            </w:r>
          </w:p>
        </w:tc>
      </w:tr>
      <w:tr w:rsidR="00B26C61" w:rsidTr="00EA3146">
        <w:trPr>
          <w:trHeight w:val="360"/>
        </w:trPr>
        <w:tc>
          <w:tcPr>
            <w:tcW w:w="9087" w:type="dxa"/>
            <w:gridSpan w:val="6"/>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Recurring and non-recurring Level 3 fair value measurements - valuation processes</w:t>
            </w:r>
          </w:p>
        </w:tc>
      </w:tr>
      <w:tr w:rsidR="00B26C61" w:rsidTr="00EA3146">
        <w:trPr>
          <w:trHeight w:val="990"/>
        </w:trPr>
        <w:tc>
          <w:tcPr>
            <w:tcW w:w="9087" w:type="dxa"/>
            <w:gridSpan w:val="6"/>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Australian Valuation Solutions (</w:t>
            </w:r>
            <w:proofErr w:type="spellStart"/>
            <w:r>
              <w:rPr>
                <w:rFonts w:cs="Calibri"/>
                <w:szCs w:val="18"/>
              </w:rPr>
              <w:t>AVS</w:t>
            </w:r>
            <w:proofErr w:type="spellEnd"/>
            <w:r>
              <w:rPr>
                <w:rFonts w:cs="Calibri"/>
                <w:szCs w:val="18"/>
              </w:rPr>
              <w:t xml:space="preserve">) provided a comprehensive valuation of all leasehold improvements as at 30 June 2014.  The department has a policy of testing the currency of the valuation of various asset classes at least once every 12 months and to obtain a comprehensive valuation at least once every three years.  </w:t>
            </w:r>
            <w:proofErr w:type="spellStart"/>
            <w:r>
              <w:rPr>
                <w:rFonts w:cs="Calibri"/>
                <w:szCs w:val="18"/>
              </w:rPr>
              <w:t>AVS</w:t>
            </w:r>
            <w:proofErr w:type="spellEnd"/>
            <w:r>
              <w:rPr>
                <w:rFonts w:cs="Calibri"/>
                <w:szCs w:val="18"/>
              </w:rPr>
              <w:t xml:space="preserve"> provided written assurance to the department that the models developed comply with </w:t>
            </w:r>
            <w:proofErr w:type="spellStart"/>
            <w:r>
              <w:rPr>
                <w:rFonts w:cs="Calibri"/>
                <w:szCs w:val="18"/>
              </w:rPr>
              <w:t>AASB</w:t>
            </w:r>
            <w:proofErr w:type="spellEnd"/>
            <w:r>
              <w:rPr>
                <w:rFonts w:cs="Calibri"/>
                <w:szCs w:val="18"/>
              </w:rPr>
              <w:t xml:space="preserve"> 13.</w:t>
            </w:r>
          </w:p>
        </w:tc>
      </w:tr>
      <w:tr w:rsidR="00B26C61" w:rsidTr="00EA3146">
        <w:trPr>
          <w:trHeight w:val="240"/>
        </w:trPr>
        <w:tc>
          <w:tcPr>
            <w:tcW w:w="2092"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347"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00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70"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2225"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147"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9087" w:type="dxa"/>
            <w:gridSpan w:val="6"/>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There is no change in the valuation technique since the prior period.</w:t>
            </w:r>
          </w:p>
          <w:p w:rsidR="00B26C61" w:rsidRDefault="00B26C61" w:rsidP="00EA3146">
            <w:pPr>
              <w:rPr>
                <w:rFonts w:cs="Calibri"/>
                <w:szCs w:val="18"/>
              </w:rPr>
            </w:pPr>
          </w:p>
          <w:p w:rsidR="00B26C61" w:rsidRDefault="00B26C61" w:rsidP="00EA3146">
            <w:pPr>
              <w:rPr>
                <w:rFonts w:cs="Calibri"/>
                <w:szCs w:val="18"/>
              </w:rPr>
            </w:pPr>
            <w:r>
              <w:rPr>
                <w:rFonts w:cs="Calibri"/>
                <w:szCs w:val="18"/>
              </w:rPr>
              <w:t>There were no significant inter-relationships between unobservable inputs that materially affect fair value.</w:t>
            </w:r>
          </w:p>
        </w:tc>
      </w:tr>
      <w:tr w:rsidR="00B26C61" w:rsidTr="00EA3146">
        <w:trPr>
          <w:trHeight w:val="255"/>
        </w:trPr>
        <w:tc>
          <w:tcPr>
            <w:tcW w:w="2092"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347"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00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70"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2225"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147"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r>
    </w:tbl>
    <w:p w:rsidR="00B26C61" w:rsidRDefault="00B26C61" w:rsidP="00B26C61">
      <w:r>
        <w:br w:type="page"/>
      </w:r>
    </w:p>
    <w:tbl>
      <w:tblPr>
        <w:tblW w:w="9087" w:type="dxa"/>
        <w:tblInd w:w="80" w:type="dxa"/>
        <w:tblLayout w:type="fixed"/>
        <w:tblLook w:val="0600" w:firstRow="0" w:lastRow="0" w:firstColumn="0" w:lastColumn="0" w:noHBand="1" w:noVBand="1"/>
      </w:tblPr>
      <w:tblGrid>
        <w:gridCol w:w="2092"/>
        <w:gridCol w:w="1347"/>
        <w:gridCol w:w="1006"/>
        <w:gridCol w:w="1270"/>
        <w:gridCol w:w="2225"/>
        <w:gridCol w:w="1147"/>
      </w:tblGrid>
      <w:tr w:rsidR="00B26C61" w:rsidTr="00EA3146">
        <w:trPr>
          <w:trHeight w:val="255"/>
        </w:trPr>
        <w:tc>
          <w:tcPr>
            <w:tcW w:w="9087" w:type="dxa"/>
            <w:gridSpan w:val="6"/>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lastRenderedPageBreak/>
              <w:t>Significant Level 3 inputs used by the department are derived and evaluated as follows:</w:t>
            </w:r>
          </w:p>
        </w:tc>
      </w:tr>
      <w:tr w:rsidR="00B26C61" w:rsidTr="00EA3146">
        <w:trPr>
          <w:trHeight w:val="255"/>
        </w:trPr>
        <w:tc>
          <w:tcPr>
            <w:tcW w:w="2092"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347"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00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70"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2225"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147"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9087" w:type="dxa"/>
            <w:gridSpan w:val="6"/>
            <w:tcBorders>
              <w:top w:val="nil"/>
              <w:left w:val="nil"/>
              <w:bottom w:val="nil"/>
              <w:right w:val="nil"/>
            </w:tcBorders>
            <w:shd w:val="clear" w:color="FFFFFF" w:fill="FFFFFF"/>
            <w:vAlign w:val="bottom"/>
            <w:hideMark/>
          </w:tcPr>
          <w:p w:rsidR="00B26C61" w:rsidRDefault="00B26C61" w:rsidP="00EA3146">
            <w:pPr>
              <w:rPr>
                <w:rFonts w:cs="Calibri"/>
                <w:szCs w:val="18"/>
                <w:u w:val="single"/>
              </w:rPr>
            </w:pPr>
            <w:r>
              <w:rPr>
                <w:rFonts w:cs="Calibri"/>
                <w:szCs w:val="18"/>
                <w:u w:val="single"/>
              </w:rPr>
              <w:t>Leasehold improvements, infrastructure, plant and equipment - depreciated replacement cost</w:t>
            </w:r>
          </w:p>
        </w:tc>
      </w:tr>
      <w:tr w:rsidR="00B26C61" w:rsidTr="00EA3146">
        <w:trPr>
          <w:trHeight w:val="1440"/>
        </w:trPr>
        <w:tc>
          <w:tcPr>
            <w:tcW w:w="9087" w:type="dxa"/>
            <w:gridSpan w:val="6"/>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Assets that do not transact with enough frequency or transparency to develop objective opinions of value from observable market evidence have been measured using the depreciated replacement cost (DRC) approach.  Under the DRC approach the estimated cost to replace the asset is calculated and then adjusted to take into account its economic useful life and obsolescence (accumulated depreciation).  The economic useful lives and asset obsolescence has been determined based on professional judgement regarding physical, economic and external obsolescence factors relevant to the asset under consideration.</w:t>
            </w:r>
          </w:p>
          <w:p w:rsidR="00B26C61" w:rsidRDefault="00B26C61" w:rsidP="00EA3146">
            <w:pPr>
              <w:rPr>
                <w:rFonts w:cs="Calibri"/>
                <w:szCs w:val="18"/>
              </w:rPr>
            </w:pPr>
          </w:p>
          <w:p w:rsidR="00B26C61" w:rsidRDefault="00B26C61" w:rsidP="00EA3146">
            <w:pPr>
              <w:rPr>
                <w:rFonts w:cs="Calibri"/>
                <w:szCs w:val="18"/>
              </w:rPr>
            </w:pPr>
            <w:r>
              <w:rPr>
                <w:rFonts w:cs="Calibri"/>
                <w:szCs w:val="18"/>
              </w:rPr>
              <w:t>The weighted average is determined by assessing the fair value measurement as a proportion of the total fair value for the class against the total useful life of each asset.</w:t>
            </w:r>
          </w:p>
        </w:tc>
      </w:tr>
      <w:tr w:rsidR="00B26C61" w:rsidTr="00EA3146">
        <w:trPr>
          <w:trHeight w:val="435"/>
        </w:trPr>
        <w:tc>
          <w:tcPr>
            <w:tcW w:w="9087" w:type="dxa"/>
            <w:gridSpan w:val="6"/>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Recurring Level 3 fair value measurements - sensitivity of inputs</w:t>
            </w:r>
          </w:p>
        </w:tc>
      </w:tr>
      <w:tr w:rsidR="00B26C61" w:rsidTr="00EA3146">
        <w:trPr>
          <w:trHeight w:val="1485"/>
        </w:trPr>
        <w:tc>
          <w:tcPr>
            <w:tcW w:w="9087" w:type="dxa"/>
            <w:gridSpan w:val="6"/>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u w:val="single"/>
              </w:rPr>
              <w:t>Leasehold Improvements, infrastructure, plant and equipment - depreciated replacement cost valuation</w:t>
            </w:r>
            <w:r>
              <w:rPr>
                <w:rFonts w:cs="Calibri"/>
                <w:szCs w:val="18"/>
              </w:rPr>
              <w:br/>
              <w:t>The significant unobservable inputs used in the fair value measurement of the department's leasehold improvements and infrastructure, plant and equipment asset classes relate to the expected economic useful life and asset obsolescence (accumulated depreciation).  A significant increase (decrease) in this input would result in a significantly lower (higher) fair value measurement.  The expected economic useful life may be greater than the department's useful life for assets and this can contribute to the uncertainty of the unobservable inputs.</w:t>
            </w:r>
          </w:p>
        </w:tc>
      </w:tr>
    </w:tbl>
    <w:p w:rsidR="00B26C61" w:rsidRDefault="00B26C61" w:rsidP="00B26C61">
      <w:pPr>
        <w:spacing w:line="240" w:lineRule="auto"/>
        <w:rPr>
          <w:rFonts w:asciiTheme="minorHAnsi" w:hAnsiTheme="minorHAnsi" w:cstheme="minorHAnsi"/>
          <w:b/>
          <w:sz w:val="20"/>
        </w:rPr>
      </w:pPr>
      <w:bookmarkStart w:id="55" w:name="RANGE!D7:I29"/>
      <w:bookmarkEnd w:id="55"/>
    </w:p>
    <w:tbl>
      <w:tblPr>
        <w:tblW w:w="9087" w:type="dxa"/>
        <w:tblInd w:w="80" w:type="dxa"/>
        <w:tblLayout w:type="fixed"/>
        <w:tblLook w:val="04A0" w:firstRow="1" w:lastRow="0" w:firstColumn="1" w:lastColumn="0" w:noHBand="0" w:noVBand="1"/>
      </w:tblPr>
      <w:tblGrid>
        <w:gridCol w:w="4910"/>
        <w:gridCol w:w="1372"/>
        <w:gridCol w:w="1452"/>
        <w:gridCol w:w="1353"/>
      </w:tblGrid>
      <w:tr w:rsidR="00B26C61" w:rsidTr="00EA3146">
        <w:trPr>
          <w:trHeight w:val="240"/>
        </w:trPr>
        <w:tc>
          <w:tcPr>
            <w:tcW w:w="4910"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bookmarkStart w:id="56" w:name="Note_FIPTABLE1" w:colFirst="0" w:colLast="0"/>
            <w:r>
              <w:rPr>
                <w:rFonts w:ascii="Arial" w:hAnsi="Arial" w:cs="Arial"/>
                <w:szCs w:val="18"/>
              </w:rPr>
              <w:t> </w:t>
            </w:r>
          </w:p>
        </w:tc>
        <w:tc>
          <w:tcPr>
            <w:tcW w:w="1372"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452"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53"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w:t>
            </w:r>
          </w:p>
        </w:tc>
      </w:tr>
      <w:tr w:rsidR="00B26C61" w:rsidTr="00EA3146">
        <w:trPr>
          <w:trHeight w:val="240"/>
        </w:trPr>
        <w:tc>
          <w:tcPr>
            <w:tcW w:w="9087" w:type="dxa"/>
            <w:gridSpan w:val="4"/>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57" w:name="RANGE!D8:D29"/>
            <w:bookmarkEnd w:id="56"/>
            <w:r>
              <w:rPr>
                <w:rFonts w:cs="Calibri"/>
                <w:b/>
                <w:bCs/>
                <w:szCs w:val="18"/>
                <w:u w:val="single"/>
              </w:rPr>
              <w:t xml:space="preserve">Note </w:t>
            </w:r>
            <w:proofErr w:type="spellStart"/>
            <w:r>
              <w:rPr>
                <w:rFonts w:cs="Calibri"/>
                <w:b/>
                <w:bCs/>
                <w:szCs w:val="18"/>
                <w:u w:val="single"/>
              </w:rPr>
              <w:t>5C</w:t>
            </w:r>
            <w:proofErr w:type="spellEnd"/>
            <w:r>
              <w:rPr>
                <w:rFonts w:cs="Calibri"/>
                <w:b/>
                <w:bCs/>
                <w:szCs w:val="18"/>
                <w:u w:val="single"/>
              </w:rPr>
              <w:t>: Reconciliation for Recurring Level 3 Fair Value Measurements</w:t>
            </w:r>
            <w:bookmarkEnd w:id="57"/>
          </w:p>
        </w:tc>
      </w:tr>
      <w:tr w:rsidR="00B26C61" w:rsidTr="00EA3146">
        <w:trPr>
          <w:trHeight w:val="240"/>
        </w:trPr>
        <w:tc>
          <w:tcPr>
            <w:tcW w:w="4910"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72"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452"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53"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w:t>
            </w:r>
          </w:p>
        </w:tc>
      </w:tr>
      <w:tr w:rsidR="00B26C61" w:rsidTr="00EA3146">
        <w:trPr>
          <w:trHeight w:val="240"/>
        </w:trPr>
        <w:tc>
          <w:tcPr>
            <w:tcW w:w="9087" w:type="dxa"/>
            <w:gridSpan w:val="4"/>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There have been no transfers between levels during the period.  The department’s policy for determining when transfers between levels are deemed to have occurred can be found in Note 1. </w:t>
            </w:r>
          </w:p>
        </w:tc>
      </w:tr>
      <w:tr w:rsidR="00B26C61" w:rsidTr="00EA3146">
        <w:trPr>
          <w:trHeight w:val="240"/>
        </w:trPr>
        <w:tc>
          <w:tcPr>
            <w:tcW w:w="4910"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372"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452"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53"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w:t>
            </w:r>
          </w:p>
        </w:tc>
      </w:tr>
      <w:tr w:rsidR="00B26C61" w:rsidTr="00EA3146">
        <w:trPr>
          <w:trHeight w:val="240"/>
        </w:trPr>
        <w:tc>
          <w:tcPr>
            <w:tcW w:w="9087" w:type="dxa"/>
            <w:gridSpan w:val="4"/>
            <w:tcBorders>
              <w:top w:val="nil"/>
              <w:left w:val="nil"/>
              <w:bottom w:val="single" w:sz="4" w:space="0" w:color="auto"/>
              <w:right w:val="nil"/>
            </w:tcBorders>
            <w:shd w:val="clear" w:color="FFFFFF" w:fill="FFFFFF"/>
            <w:vAlign w:val="bottom"/>
            <w:hideMark/>
          </w:tcPr>
          <w:p w:rsidR="00B26C61" w:rsidRPr="00DB1BB8" w:rsidRDefault="00B26C61" w:rsidP="00EA3146">
            <w:pPr>
              <w:rPr>
                <w:rFonts w:cs="Calibri"/>
                <w:b/>
                <w:szCs w:val="18"/>
              </w:rPr>
            </w:pPr>
            <w:r w:rsidRPr="00DB1BB8">
              <w:rPr>
                <w:rFonts w:cs="Calibri"/>
                <w:b/>
                <w:szCs w:val="18"/>
              </w:rPr>
              <w:t>Recurring Level 3 fair value measurements - reconciliation for assets</w:t>
            </w:r>
          </w:p>
        </w:tc>
      </w:tr>
      <w:tr w:rsidR="00B26C61" w:rsidTr="00EA3146">
        <w:trPr>
          <w:trHeight w:val="240"/>
        </w:trPr>
        <w:tc>
          <w:tcPr>
            <w:tcW w:w="4910"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4177" w:type="dxa"/>
            <w:gridSpan w:val="3"/>
            <w:tcBorders>
              <w:top w:val="single" w:sz="4" w:space="0" w:color="auto"/>
              <w:left w:val="nil"/>
              <w:bottom w:val="single" w:sz="4" w:space="0" w:color="auto"/>
              <w:right w:val="nil"/>
            </w:tcBorders>
            <w:shd w:val="clear" w:color="FFFFFF" w:fill="FFFFFF"/>
            <w:vAlign w:val="bottom"/>
            <w:hideMark/>
          </w:tcPr>
          <w:p w:rsidR="00B26C61" w:rsidRDefault="00B26C61" w:rsidP="00EA3146">
            <w:pPr>
              <w:jc w:val="center"/>
              <w:rPr>
                <w:rFonts w:cs="Calibri"/>
                <w:b/>
                <w:bCs/>
                <w:szCs w:val="18"/>
              </w:rPr>
            </w:pPr>
            <w:r>
              <w:rPr>
                <w:rFonts w:cs="Calibri"/>
                <w:b/>
                <w:bCs/>
                <w:szCs w:val="18"/>
              </w:rPr>
              <w:t>Non-financial assets</w:t>
            </w:r>
          </w:p>
        </w:tc>
      </w:tr>
      <w:tr w:rsidR="00B26C61" w:rsidTr="00EA3146">
        <w:trPr>
          <w:trHeight w:val="720"/>
        </w:trPr>
        <w:tc>
          <w:tcPr>
            <w:tcW w:w="4910"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72"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Leasehold improvements</w:t>
            </w:r>
          </w:p>
        </w:tc>
        <w:tc>
          <w:tcPr>
            <w:tcW w:w="1452"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Infrastructure, plant and equipment</w:t>
            </w:r>
          </w:p>
        </w:tc>
        <w:tc>
          <w:tcPr>
            <w:tcW w:w="1353"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Total</w:t>
            </w:r>
          </w:p>
        </w:tc>
      </w:tr>
      <w:tr w:rsidR="00B26C61" w:rsidTr="00EA3146">
        <w:trPr>
          <w:trHeight w:val="240"/>
        </w:trPr>
        <w:tc>
          <w:tcPr>
            <w:tcW w:w="4910"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7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2014</w:t>
            </w:r>
          </w:p>
        </w:tc>
        <w:tc>
          <w:tcPr>
            <w:tcW w:w="145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2014</w:t>
            </w:r>
          </w:p>
        </w:tc>
        <w:tc>
          <w:tcPr>
            <w:tcW w:w="1353"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40"/>
        </w:trPr>
        <w:tc>
          <w:tcPr>
            <w:tcW w:w="4910"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72"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c>
          <w:tcPr>
            <w:tcW w:w="1452"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c>
          <w:tcPr>
            <w:tcW w:w="1353"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40"/>
        </w:trPr>
        <w:tc>
          <w:tcPr>
            <w:tcW w:w="4910" w:type="dxa"/>
            <w:tcBorders>
              <w:top w:val="single" w:sz="4" w:space="0" w:color="auto"/>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Opening balance</w:t>
            </w:r>
          </w:p>
        </w:tc>
        <w:tc>
          <w:tcPr>
            <w:tcW w:w="137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24,946 </w:t>
            </w:r>
          </w:p>
        </w:tc>
        <w:tc>
          <w:tcPr>
            <w:tcW w:w="145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12,966 </w:t>
            </w:r>
          </w:p>
        </w:tc>
        <w:tc>
          <w:tcPr>
            <w:tcW w:w="1353"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37,912 </w:t>
            </w:r>
          </w:p>
        </w:tc>
      </w:tr>
      <w:tr w:rsidR="00B26C61" w:rsidTr="00EA3146">
        <w:trPr>
          <w:trHeight w:val="240"/>
        </w:trPr>
        <w:tc>
          <w:tcPr>
            <w:tcW w:w="4910"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xml:space="preserve">Total losses recognised in net cost of </w:t>
            </w:r>
            <w:proofErr w:type="spellStart"/>
            <w:r>
              <w:rPr>
                <w:rFonts w:cs="Calibri"/>
                <w:szCs w:val="18"/>
              </w:rPr>
              <w:t>services</w:t>
            </w:r>
            <w:r>
              <w:rPr>
                <w:rFonts w:ascii="Arial" w:hAnsi="Arial" w:cs="Arial"/>
                <w:szCs w:val="18"/>
                <w:vertAlign w:val="superscript"/>
              </w:rPr>
              <w:t>1</w:t>
            </w:r>
            <w:proofErr w:type="spellEnd"/>
          </w:p>
        </w:tc>
        <w:tc>
          <w:tcPr>
            <w:tcW w:w="1372"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(6,870)</w:t>
            </w:r>
          </w:p>
        </w:tc>
        <w:tc>
          <w:tcPr>
            <w:tcW w:w="1452"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(6,025)</w:t>
            </w:r>
          </w:p>
        </w:tc>
        <w:tc>
          <w:tcPr>
            <w:tcW w:w="1353"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(12,895)</w:t>
            </w:r>
          </w:p>
        </w:tc>
      </w:tr>
      <w:tr w:rsidR="00B26C61" w:rsidTr="00EA3146">
        <w:trPr>
          <w:trHeight w:val="240"/>
        </w:trPr>
        <w:tc>
          <w:tcPr>
            <w:tcW w:w="4910"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Total gains recognised in comprehensive income</w:t>
            </w:r>
          </w:p>
        </w:tc>
        <w:tc>
          <w:tcPr>
            <w:tcW w:w="1372"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xml:space="preserve">3,376 </w:t>
            </w:r>
          </w:p>
        </w:tc>
        <w:tc>
          <w:tcPr>
            <w:tcW w:w="1452"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xml:space="preserve"> -</w:t>
            </w:r>
          </w:p>
        </w:tc>
        <w:tc>
          <w:tcPr>
            <w:tcW w:w="1353"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3,376 </w:t>
            </w:r>
          </w:p>
        </w:tc>
      </w:tr>
      <w:tr w:rsidR="00B26C61" w:rsidTr="00EA3146">
        <w:trPr>
          <w:trHeight w:val="240"/>
        </w:trPr>
        <w:tc>
          <w:tcPr>
            <w:tcW w:w="4910"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Purchases</w:t>
            </w:r>
          </w:p>
        </w:tc>
        <w:tc>
          <w:tcPr>
            <w:tcW w:w="1372"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xml:space="preserve">507 </w:t>
            </w:r>
          </w:p>
        </w:tc>
        <w:tc>
          <w:tcPr>
            <w:tcW w:w="1452"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xml:space="preserve">1,728 </w:t>
            </w:r>
          </w:p>
        </w:tc>
        <w:tc>
          <w:tcPr>
            <w:tcW w:w="1353"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2,235 </w:t>
            </w:r>
          </w:p>
        </w:tc>
      </w:tr>
      <w:tr w:rsidR="00B26C61" w:rsidTr="00EA3146">
        <w:trPr>
          <w:trHeight w:val="240"/>
        </w:trPr>
        <w:tc>
          <w:tcPr>
            <w:tcW w:w="4910"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Disposals</w:t>
            </w:r>
          </w:p>
        </w:tc>
        <w:tc>
          <w:tcPr>
            <w:tcW w:w="1372"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(1,351)</w:t>
            </w:r>
          </w:p>
        </w:tc>
        <w:tc>
          <w:tcPr>
            <w:tcW w:w="1452"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(101)</w:t>
            </w:r>
          </w:p>
        </w:tc>
        <w:tc>
          <w:tcPr>
            <w:tcW w:w="1353"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(1,452)</w:t>
            </w:r>
          </w:p>
        </w:tc>
      </w:tr>
      <w:tr w:rsidR="00B26C61" w:rsidTr="00EA3146">
        <w:trPr>
          <w:trHeight w:val="240"/>
        </w:trPr>
        <w:tc>
          <w:tcPr>
            <w:tcW w:w="4910"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Closing balance</w:t>
            </w:r>
          </w:p>
        </w:tc>
        <w:tc>
          <w:tcPr>
            <w:tcW w:w="1372"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20,608 </w:t>
            </w:r>
          </w:p>
        </w:tc>
        <w:tc>
          <w:tcPr>
            <w:tcW w:w="1452"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8,568 </w:t>
            </w:r>
          </w:p>
        </w:tc>
        <w:tc>
          <w:tcPr>
            <w:tcW w:w="1353"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29,176 </w:t>
            </w:r>
          </w:p>
        </w:tc>
      </w:tr>
      <w:tr w:rsidR="00B26C61" w:rsidTr="00EA3146">
        <w:trPr>
          <w:trHeight w:val="240"/>
        </w:trPr>
        <w:tc>
          <w:tcPr>
            <w:tcW w:w="4910"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72"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452"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53"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w:t>
            </w:r>
          </w:p>
        </w:tc>
      </w:tr>
      <w:tr w:rsidR="00B26C61" w:rsidTr="00EA3146">
        <w:trPr>
          <w:trHeight w:val="555"/>
        </w:trPr>
        <w:tc>
          <w:tcPr>
            <w:tcW w:w="9087" w:type="dxa"/>
            <w:gridSpan w:val="4"/>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1. These losses are presented in the Statement of Comprehensive Income under ‘depreciation and amortisation’ and ‘write-down and Impairment of assets’.</w:t>
            </w:r>
          </w:p>
        </w:tc>
      </w:tr>
    </w:tbl>
    <w:p w:rsidR="00B26C61" w:rsidRDefault="00B26C61" w:rsidP="00B26C61">
      <w:pPr>
        <w:spacing w:line="240" w:lineRule="auto"/>
        <w:rPr>
          <w:rFonts w:asciiTheme="minorHAnsi" w:hAnsiTheme="minorHAnsi" w:cstheme="minorHAnsi"/>
          <w:b/>
          <w:sz w:val="20"/>
        </w:rPr>
      </w:pPr>
      <w:r>
        <w:rPr>
          <w:rFonts w:asciiTheme="minorHAnsi" w:hAnsiTheme="minorHAnsi" w:cstheme="minorHAnsi"/>
          <w:b/>
          <w:sz w:val="20"/>
        </w:rPr>
        <w:br w:type="page"/>
      </w:r>
    </w:p>
    <w:p w:rsidR="00B26C61" w:rsidRDefault="00B26C61" w:rsidP="00B26C61">
      <w:pPr>
        <w:pStyle w:val="NotesHeading-Level1"/>
        <w:rPr>
          <w:rFonts w:cstheme="minorHAnsi"/>
        </w:rPr>
      </w:pPr>
      <w:bookmarkStart w:id="58" w:name="_Toc398813148"/>
      <w:r>
        <w:rPr>
          <w:rFonts w:cstheme="minorHAnsi"/>
        </w:rPr>
        <w:lastRenderedPageBreak/>
        <w:t>Financial Assets</w:t>
      </w:r>
      <w:bookmarkEnd w:id="58"/>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bookmarkStart w:id="59" w:name="Note_CSHTABLE1" w:colFirst="0" w:colLast="0"/>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2014</w:t>
            </w:r>
          </w:p>
        </w:tc>
      </w:tr>
      <w:bookmarkEnd w:id="59"/>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6A</w:t>
            </w:r>
            <w:proofErr w:type="spellEnd"/>
            <w:r>
              <w:rPr>
                <w:rFonts w:cs="Calibri"/>
                <w:b/>
                <w:bCs/>
                <w:szCs w:val="18"/>
                <w:u w:val="single"/>
              </w:rPr>
              <w:t>: Cash and Cash Equivalents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Cash on hand or on deposit</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5,669</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cash and cash equivalents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5,669</w:t>
            </w:r>
          </w:p>
        </w:tc>
      </w:tr>
    </w:tbl>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60" w:name="Note_RECTABLE1" w:colFirst="0" w:colLast="0"/>
            <w:r>
              <w:rPr>
                <w:rFonts w:cs="Calibri"/>
                <w:b/>
                <w:bCs/>
                <w:szCs w:val="18"/>
                <w:u w:val="single"/>
              </w:rPr>
              <w:t xml:space="preserve">Note </w:t>
            </w:r>
            <w:proofErr w:type="spellStart"/>
            <w:r>
              <w:rPr>
                <w:rFonts w:cs="Calibri"/>
                <w:b/>
                <w:bCs/>
                <w:szCs w:val="18"/>
                <w:u w:val="single"/>
              </w:rPr>
              <w:t>6B</w:t>
            </w:r>
            <w:proofErr w:type="spellEnd"/>
            <w:r>
              <w:rPr>
                <w:rFonts w:cs="Calibri"/>
                <w:b/>
                <w:bCs/>
                <w:szCs w:val="18"/>
                <w:u w:val="single"/>
              </w:rPr>
              <w:t>: Trade and Other Receivables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bookmarkEnd w:id="60"/>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Good and services receivables in connection with</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Related parties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5,763</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External parties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1,296</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receivables for goods and services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7,059</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Appropriations receivables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For existing programs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65,080</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appropriations receivable</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65,080</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Other receivables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GST receivable from the Australian Taxation Office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1,325</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other receivables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1,325</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trade and other receivables (gross)</w:t>
            </w:r>
          </w:p>
        </w:tc>
        <w:tc>
          <w:tcPr>
            <w:tcW w:w="125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73,464</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Less impairment allowance account</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Goods and services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(10)</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impairment allowance account</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(10)</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trade and other receivables (net)</w:t>
            </w:r>
          </w:p>
        </w:tc>
        <w:tc>
          <w:tcPr>
            <w:tcW w:w="1256" w:type="dxa"/>
            <w:tcBorders>
              <w:top w:val="nil"/>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73,454</w:t>
            </w:r>
          </w:p>
        </w:tc>
      </w:tr>
      <w:tr w:rsidR="00B26C61" w:rsidTr="00EA3146">
        <w:trPr>
          <w:trHeight w:val="27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Trade and other receivables (net) expected to be recovered</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72,677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777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trade and other receivables (net)</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73,454</w:t>
            </w:r>
          </w:p>
        </w:tc>
      </w:tr>
      <w:tr w:rsidR="00B26C61" w:rsidTr="00EA3146">
        <w:trPr>
          <w:trHeight w:val="27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Trade and other receivables (gross) aged as follows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Not overdue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72,068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Overdue by</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200" w:firstLine="360"/>
              <w:rPr>
                <w:rFonts w:cs="Calibri"/>
                <w:szCs w:val="18"/>
              </w:rPr>
            </w:pPr>
            <w:r>
              <w:rPr>
                <w:rFonts w:cs="Calibri"/>
                <w:szCs w:val="18"/>
              </w:rPr>
              <w:t xml:space="preserve">     0 to 30 days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232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200" w:firstLine="360"/>
              <w:rPr>
                <w:rFonts w:cs="Calibri"/>
                <w:szCs w:val="18"/>
              </w:rPr>
            </w:pPr>
            <w:r>
              <w:rPr>
                <w:rFonts w:cs="Calibri"/>
                <w:szCs w:val="18"/>
              </w:rPr>
              <w:t xml:space="preserve">     31 to 60 days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153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200" w:firstLine="360"/>
              <w:rPr>
                <w:rFonts w:cs="Calibri"/>
                <w:szCs w:val="18"/>
              </w:rPr>
            </w:pPr>
            <w:r>
              <w:rPr>
                <w:rFonts w:cs="Calibri"/>
                <w:szCs w:val="18"/>
              </w:rPr>
              <w:t xml:space="preserve">     61 to 90 days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218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200" w:firstLine="360"/>
              <w:rPr>
                <w:rFonts w:cs="Calibri"/>
                <w:szCs w:val="18"/>
              </w:rPr>
            </w:pPr>
            <w:r>
              <w:rPr>
                <w:rFonts w:cs="Calibri"/>
                <w:szCs w:val="18"/>
              </w:rPr>
              <w:t xml:space="preserve">     More than 90 days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793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trade and other receivables (gross)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73,464</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lastRenderedPageBreak/>
              <w:t>Impairment allowance account aged as follows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Not overdue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Overdue by:</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200" w:firstLine="360"/>
              <w:rPr>
                <w:rFonts w:cs="Calibri"/>
                <w:szCs w:val="18"/>
              </w:rPr>
            </w:pPr>
            <w:r>
              <w:rPr>
                <w:rFonts w:cs="Calibri"/>
                <w:szCs w:val="18"/>
              </w:rPr>
              <w:t xml:space="preserve">     0 to 30 days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200" w:firstLine="360"/>
              <w:rPr>
                <w:rFonts w:cs="Calibri"/>
                <w:szCs w:val="18"/>
              </w:rPr>
            </w:pPr>
            <w:r>
              <w:rPr>
                <w:rFonts w:cs="Calibri"/>
                <w:szCs w:val="18"/>
              </w:rPr>
              <w:t xml:space="preserve">     31 to 60 days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200" w:firstLine="360"/>
              <w:rPr>
                <w:rFonts w:cs="Calibri"/>
                <w:szCs w:val="18"/>
              </w:rPr>
            </w:pPr>
            <w:r>
              <w:rPr>
                <w:rFonts w:cs="Calibri"/>
                <w:szCs w:val="18"/>
              </w:rPr>
              <w:t xml:space="preserve">     61 to 90 days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200" w:firstLine="360"/>
              <w:rPr>
                <w:rFonts w:cs="Calibri"/>
                <w:szCs w:val="18"/>
              </w:rPr>
            </w:pPr>
            <w:r>
              <w:rPr>
                <w:rFonts w:cs="Calibri"/>
                <w:szCs w:val="18"/>
              </w:rPr>
              <w:t xml:space="preserve">     More than 90 days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(10)</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impairment allowance</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(10)</w:t>
            </w:r>
          </w:p>
        </w:tc>
      </w:tr>
      <w:tr w:rsidR="00B26C61" w:rsidTr="00EA3146">
        <w:trPr>
          <w:trHeight w:val="28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70"/>
        </w:trPr>
        <w:tc>
          <w:tcPr>
            <w:tcW w:w="7652" w:type="dxa"/>
            <w:gridSpan w:val="2"/>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Credit terms are net 30 days.</w:t>
            </w:r>
          </w:p>
        </w:tc>
      </w:tr>
    </w:tbl>
    <w:p w:rsidR="00B26C61" w:rsidRDefault="00B26C61" w:rsidP="00B26C61">
      <w:bookmarkStart w:id="61" w:name="RANGE!D7:G58"/>
      <w:bookmarkStart w:id="62" w:name="RANGE!D7:G57"/>
      <w:bookmarkStart w:id="63" w:name="RANGE!D7:G56"/>
      <w:bookmarkStart w:id="64" w:name="RANGE!D7:G55"/>
      <w:bookmarkStart w:id="65" w:name="RANGE!D7:G49"/>
      <w:bookmarkEnd w:id="61"/>
      <w:bookmarkEnd w:id="62"/>
      <w:bookmarkEnd w:id="63"/>
      <w:bookmarkEnd w:id="64"/>
      <w:bookmarkEnd w:id="65"/>
    </w:p>
    <w:tbl>
      <w:tblPr>
        <w:tblW w:w="9087" w:type="dxa"/>
        <w:tblInd w:w="80" w:type="dxa"/>
        <w:tblLayout w:type="fixed"/>
        <w:tblLook w:val="04A0" w:firstRow="1" w:lastRow="0" w:firstColumn="1" w:lastColumn="0" w:noHBand="0" w:noVBand="1"/>
      </w:tblPr>
      <w:tblGrid>
        <w:gridCol w:w="6577"/>
        <w:gridCol w:w="1255"/>
        <w:gridCol w:w="1255"/>
      </w:tblGrid>
      <w:tr w:rsidR="00B26C61" w:rsidTr="00EA3146">
        <w:trPr>
          <w:trHeight w:val="240"/>
        </w:trPr>
        <w:tc>
          <w:tcPr>
            <w:tcW w:w="6500"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bookmarkStart w:id="66" w:name="Note_RIATABLE1" w:colFirst="0" w:colLast="0"/>
            <w:r>
              <w:rPr>
                <w:rFonts w:cs="Calibri"/>
                <w:b/>
                <w:bCs/>
                <w:szCs w:val="18"/>
              </w:rPr>
              <w:t>Reconciliation of the Impairment Allowance</w:t>
            </w:r>
          </w:p>
        </w:tc>
        <w:tc>
          <w:tcPr>
            <w:tcW w:w="1240"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40"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bookmarkEnd w:id="66"/>
      <w:tr w:rsidR="00B26C61" w:rsidTr="00EA3146">
        <w:trPr>
          <w:trHeight w:val="240"/>
        </w:trPr>
        <w:tc>
          <w:tcPr>
            <w:tcW w:w="6500"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40"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40"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40"/>
        </w:trPr>
        <w:tc>
          <w:tcPr>
            <w:tcW w:w="6500"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Movements in relation to 2014</w:t>
            </w:r>
          </w:p>
        </w:tc>
        <w:tc>
          <w:tcPr>
            <w:tcW w:w="1240"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40"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495"/>
        </w:trPr>
        <w:tc>
          <w:tcPr>
            <w:tcW w:w="6500" w:type="dxa"/>
            <w:tcBorders>
              <w:top w:val="single" w:sz="4" w:space="0" w:color="auto"/>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40"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Goods and services</w:t>
            </w:r>
          </w:p>
        </w:tc>
        <w:tc>
          <w:tcPr>
            <w:tcW w:w="1240"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Total</w:t>
            </w:r>
          </w:p>
        </w:tc>
      </w:tr>
      <w:tr w:rsidR="00B26C61" w:rsidTr="00EA3146">
        <w:trPr>
          <w:trHeight w:val="240"/>
        </w:trPr>
        <w:tc>
          <w:tcPr>
            <w:tcW w:w="6500" w:type="dxa"/>
            <w:tcBorders>
              <w:top w:val="nil"/>
              <w:left w:val="nil"/>
              <w:bottom w:val="single" w:sz="4" w:space="0" w:color="auto"/>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40"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240"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40"/>
        </w:trPr>
        <w:tc>
          <w:tcPr>
            <w:tcW w:w="6500"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Opening balance</w:t>
            </w:r>
          </w:p>
        </w:tc>
        <w:tc>
          <w:tcPr>
            <w:tcW w:w="124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24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40"/>
        </w:trPr>
        <w:tc>
          <w:tcPr>
            <w:tcW w:w="650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Decrease recognised in net cost of services</w:t>
            </w:r>
          </w:p>
        </w:tc>
        <w:tc>
          <w:tcPr>
            <w:tcW w:w="124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(10)</w:t>
            </w:r>
          </w:p>
        </w:tc>
        <w:tc>
          <w:tcPr>
            <w:tcW w:w="124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(10)</w:t>
            </w:r>
          </w:p>
        </w:tc>
      </w:tr>
      <w:tr w:rsidR="00B26C61" w:rsidTr="00EA3146">
        <w:trPr>
          <w:trHeight w:val="240"/>
        </w:trPr>
        <w:tc>
          <w:tcPr>
            <w:tcW w:w="6500"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Closing balance</w:t>
            </w:r>
          </w:p>
        </w:tc>
        <w:tc>
          <w:tcPr>
            <w:tcW w:w="1240"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(10)</w:t>
            </w:r>
          </w:p>
        </w:tc>
        <w:tc>
          <w:tcPr>
            <w:tcW w:w="1240"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(10)</w:t>
            </w:r>
          </w:p>
        </w:tc>
      </w:tr>
    </w:tbl>
    <w:p w:rsidR="00B26C61" w:rsidRDefault="00B26C61" w:rsidP="00B26C61">
      <w:bookmarkStart w:id="67" w:name="RANGE!D7:D27"/>
      <w:bookmarkStart w:id="68" w:name="RANGE!D7:F27"/>
      <w:bookmarkStart w:id="69" w:name="RANGE!D7:D25"/>
      <w:bookmarkStart w:id="70" w:name="RANGE!D7:F25"/>
      <w:bookmarkStart w:id="71" w:name="RANGE!D8:D26"/>
      <w:bookmarkStart w:id="72" w:name="RANGE!D8:F26"/>
      <w:bookmarkEnd w:id="67"/>
      <w:bookmarkEnd w:id="68"/>
      <w:bookmarkEnd w:id="69"/>
      <w:bookmarkEnd w:id="70"/>
      <w:bookmarkEnd w:id="71"/>
      <w:bookmarkEnd w:id="72"/>
    </w:p>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bookmarkStart w:id="73" w:name="Note_OFATABLE1" w:colFirst="0" w:colLast="0"/>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2014</w:t>
            </w:r>
          </w:p>
        </w:tc>
      </w:tr>
      <w:bookmarkEnd w:id="73"/>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6C</w:t>
            </w:r>
            <w:proofErr w:type="spellEnd"/>
            <w:r>
              <w:rPr>
                <w:rFonts w:cs="Calibri"/>
                <w:b/>
                <w:bCs/>
                <w:szCs w:val="18"/>
                <w:u w:val="single"/>
              </w:rPr>
              <w:t>: Other Financial Assets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Accrued revenue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2,604</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other financial assets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2,604</w:t>
            </w:r>
          </w:p>
        </w:tc>
      </w:tr>
      <w:tr w:rsidR="00B26C61" w:rsidTr="00EA3146">
        <w:trPr>
          <w:trHeight w:val="27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Other financial assets expected to be recovered in</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2,604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other financial assets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2,604</w:t>
            </w:r>
          </w:p>
        </w:tc>
      </w:tr>
    </w:tbl>
    <w:p w:rsidR="00B26C61" w:rsidRDefault="00B26C61" w:rsidP="00B26C61">
      <w:bookmarkStart w:id="74" w:name="RANGE!D7:G51"/>
      <w:bookmarkStart w:id="75" w:name="RANGE!D43:G74"/>
      <w:bookmarkStart w:id="76" w:name="RANGE!D44:G75"/>
      <w:bookmarkStart w:id="77" w:name="RANGE!D44:G74"/>
      <w:bookmarkStart w:id="78" w:name="RANGE!D44:G73"/>
      <w:bookmarkStart w:id="79" w:name="RANGE!D44:G72"/>
      <w:bookmarkStart w:id="80" w:name="RANGE!D53:H70"/>
      <w:bookmarkStart w:id="81" w:name="RANGE!D52:H69"/>
      <w:bookmarkStart w:id="82" w:name="RANGE!D59:H76"/>
      <w:bookmarkStart w:id="83" w:name="RANGE!D62:H80"/>
      <w:bookmarkStart w:id="84" w:name="RANGE!D7:G15"/>
      <w:bookmarkStart w:id="85" w:name="RANGE!D6:D63"/>
      <w:bookmarkStart w:id="86" w:name="RANGE!D6:H63"/>
      <w:bookmarkStart w:id="87" w:name="RANGE!D6:D28"/>
      <w:bookmarkStart w:id="88" w:name="RANGE!D6:H28"/>
      <w:bookmarkStart w:id="89" w:name="RANGE!D6:H13"/>
      <w:bookmarkStart w:id="90" w:name="RANGE!D6:H14"/>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B26C61" w:rsidRDefault="00B26C61" w:rsidP="00B26C61">
      <w:pPr>
        <w:spacing w:line="240" w:lineRule="auto"/>
      </w:pPr>
      <w:r>
        <w:br w:type="page"/>
      </w:r>
    </w:p>
    <w:p w:rsidR="00B26C61" w:rsidRDefault="00B26C61" w:rsidP="00B26C61">
      <w:pPr>
        <w:pStyle w:val="NotesHeading-Level1"/>
        <w:rPr>
          <w:rFonts w:cstheme="minorHAnsi"/>
        </w:rPr>
      </w:pPr>
      <w:bookmarkStart w:id="91" w:name="_Toc398813149"/>
      <w:r>
        <w:rPr>
          <w:rFonts w:cstheme="minorHAnsi"/>
        </w:rPr>
        <w:lastRenderedPageBreak/>
        <w:t>Non-Financial Assets</w:t>
      </w:r>
      <w:bookmarkEnd w:id="91"/>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bookmarkStart w:id="92" w:name="Note_LABTABLE1" w:colFirst="0" w:colLast="0"/>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bookmarkEnd w:id="92"/>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7A</w:t>
            </w:r>
            <w:proofErr w:type="spellEnd"/>
            <w:r>
              <w:rPr>
                <w:rFonts w:cs="Calibri"/>
                <w:b/>
                <w:bCs/>
                <w:szCs w:val="18"/>
                <w:u w:val="single"/>
              </w:rPr>
              <w:t>: Leasehold Improvements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Leasehold improvements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Work in progress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409</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At valuation</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21,190</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Accumulated impairment losses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(582)</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leasehold improvements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21,017</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leasehold Improvements</w:t>
            </w:r>
          </w:p>
        </w:tc>
        <w:tc>
          <w:tcPr>
            <w:tcW w:w="1256" w:type="dxa"/>
            <w:tcBorders>
              <w:top w:val="nil"/>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21,017</w:t>
            </w:r>
          </w:p>
        </w:tc>
      </w:tr>
    </w:tbl>
    <w:p w:rsidR="00B26C61" w:rsidRDefault="00B26C61" w:rsidP="00B26C61">
      <w:bookmarkStart w:id="93" w:name="RANGE!D6:G26"/>
      <w:bookmarkStart w:id="94" w:name="RANGE!D6:D27"/>
      <w:bookmarkStart w:id="95" w:name="RANGE!D6:G27"/>
      <w:bookmarkEnd w:id="93"/>
      <w:bookmarkEnd w:id="94"/>
      <w:bookmarkEnd w:id="95"/>
    </w:p>
    <w:p w:rsidR="00B26C61" w:rsidRDefault="00B26C61" w:rsidP="00B26C61">
      <w:pPr>
        <w:pStyle w:val="NotesText0"/>
      </w:pPr>
      <w:r>
        <w:t xml:space="preserve">There are 4 leased properties that the department manages which are due to be vacated within the next 12 months that have leasehold improvement assets.  The total net book value of the leasehold improvements, including restoration for these properties, was $0.338 million as at 30 June </w:t>
      </w:r>
      <w:fldSimple w:instr=" DOCPROPERTY  crYear  \* MERGEFORMAT ">
        <w:r>
          <w:t>2014</w:t>
        </w:r>
      </w:fldSimple>
      <w:r>
        <w:t>.</w:t>
      </w:r>
    </w:p>
    <w:p w:rsidR="00B26C61" w:rsidRDefault="00B26C61" w:rsidP="00B26C61">
      <w:pPr>
        <w:pStyle w:val="NotesText0"/>
      </w:pPr>
      <w:r>
        <w:t xml:space="preserve">An impairment loss of $0.159 million was recognised for 5 properties associated with surplus lease space in 2013-14. </w:t>
      </w:r>
    </w:p>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96" w:name="Note_IPETABLE1" w:colFirst="0" w:colLast="0"/>
            <w:r>
              <w:rPr>
                <w:rFonts w:cs="Calibri"/>
                <w:b/>
                <w:bCs/>
                <w:szCs w:val="18"/>
                <w:u w:val="single"/>
              </w:rPr>
              <w:t xml:space="preserve">Note </w:t>
            </w:r>
            <w:proofErr w:type="spellStart"/>
            <w:r>
              <w:rPr>
                <w:rFonts w:cs="Calibri"/>
                <w:b/>
                <w:bCs/>
                <w:szCs w:val="18"/>
                <w:u w:val="single"/>
              </w:rPr>
              <w:t>7B</w:t>
            </w:r>
            <w:proofErr w:type="spellEnd"/>
            <w:r>
              <w:rPr>
                <w:rFonts w:cs="Calibri"/>
                <w:b/>
                <w:bCs/>
                <w:szCs w:val="18"/>
                <w:u w:val="single"/>
              </w:rPr>
              <w:t>: Infrastructure, Plant and Equipment</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bookmarkEnd w:id="96"/>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Fair value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21,582</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Accumulated depreciation</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(5,602)</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Accumulated impairment</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(2,878)</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infrastructure, plant and equipment</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13,102</w:t>
            </w:r>
          </w:p>
        </w:tc>
      </w:tr>
    </w:tbl>
    <w:p w:rsidR="00B26C61" w:rsidRDefault="00B26C61" w:rsidP="00B26C61">
      <w:pPr>
        <w:rPr>
          <w:rFonts w:ascii="Arial" w:hAnsi="Arial" w:cs="Arial"/>
          <w:sz w:val="16"/>
          <w:szCs w:val="16"/>
        </w:rPr>
      </w:pPr>
      <w:bookmarkStart w:id="97" w:name="RANGE!D7:G12"/>
      <w:bookmarkEnd w:id="97"/>
    </w:p>
    <w:p w:rsidR="00B26C61" w:rsidRDefault="00B26C61" w:rsidP="00B26C61">
      <w:pPr>
        <w:pStyle w:val="NotesText0"/>
      </w:pPr>
      <w:r>
        <w:t xml:space="preserve">No material amounts of infrastructure, plant and equipment are expected to be sold or disposed of within the next 12 months. </w:t>
      </w:r>
    </w:p>
    <w:p w:rsidR="00B26C61" w:rsidRDefault="00B26C61" w:rsidP="00B26C61">
      <w:pPr>
        <w:rPr>
          <w:b/>
        </w:rPr>
      </w:pPr>
      <w:r>
        <w:rPr>
          <w:b/>
        </w:rPr>
        <w:t>Revaluations of non-financial assets</w:t>
      </w:r>
    </w:p>
    <w:p w:rsidR="00B26C61" w:rsidRDefault="00B26C61" w:rsidP="00B26C61">
      <w:pPr>
        <w:pStyle w:val="NotesText0"/>
      </w:pPr>
      <w:r>
        <w:t>All revaluations were conducted in accordance with the revaluation policy stated at Note 1.</w:t>
      </w:r>
    </w:p>
    <w:p w:rsidR="00B26C61" w:rsidRDefault="00B26C61" w:rsidP="00B26C61">
      <w:pPr>
        <w:pStyle w:val="NotesText0"/>
      </w:pPr>
      <w:r>
        <w:t>Revaluation increments for leasehold improvements were credited to the asset revaluation reserve included in the equity section of the Statement of Financial Position; no increments were expensed.</w:t>
      </w:r>
    </w:p>
    <w:p w:rsidR="00B26C61" w:rsidRDefault="00B26C61" w:rsidP="00B26C61">
      <w:pPr>
        <w:spacing w:line="240" w:lineRule="auto"/>
        <w:rPr>
          <w:rFonts w:asciiTheme="minorHAnsi" w:hAnsiTheme="minorHAnsi" w:cs="Arial"/>
          <w:szCs w:val="18"/>
          <w:lang w:eastAsia="en-AU"/>
        </w:rPr>
        <w:sectPr w:rsidR="00B26C61">
          <w:type w:val="continuous"/>
          <w:pgSz w:w="11906" w:h="16838"/>
          <w:pgMar w:top="1134" w:right="1134" w:bottom="1134" w:left="1134" w:header="958" w:footer="737" w:gutter="0"/>
          <w:cols w:space="720"/>
        </w:sectPr>
      </w:pPr>
    </w:p>
    <w:tbl>
      <w:tblPr>
        <w:tblW w:w="13991" w:type="dxa"/>
        <w:tblInd w:w="80" w:type="dxa"/>
        <w:tblLayout w:type="fixed"/>
        <w:tblLook w:val="04A0" w:firstRow="1" w:lastRow="0" w:firstColumn="1" w:lastColumn="0" w:noHBand="0" w:noVBand="1"/>
      </w:tblPr>
      <w:tblGrid>
        <w:gridCol w:w="8370"/>
        <w:gridCol w:w="1940"/>
        <w:gridCol w:w="1918"/>
        <w:gridCol w:w="1763"/>
      </w:tblGrid>
      <w:tr w:rsidR="00B26C61" w:rsidTr="00EA3146">
        <w:trPr>
          <w:trHeight w:val="255"/>
        </w:trPr>
        <w:tc>
          <w:tcPr>
            <w:tcW w:w="8293" w:type="dxa"/>
            <w:gridSpan w:val="3"/>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98" w:name="Note_MTATABLE1" w:colFirst="0" w:colLast="0"/>
            <w:r>
              <w:rPr>
                <w:rFonts w:cs="Calibri"/>
                <w:b/>
                <w:bCs/>
                <w:szCs w:val="18"/>
                <w:u w:val="single"/>
              </w:rPr>
              <w:lastRenderedPageBreak/>
              <w:t xml:space="preserve">Note </w:t>
            </w:r>
            <w:proofErr w:type="spellStart"/>
            <w:r>
              <w:rPr>
                <w:rFonts w:cs="Calibri"/>
                <w:b/>
                <w:bCs/>
                <w:szCs w:val="18"/>
                <w:u w:val="single"/>
              </w:rPr>
              <w:t>7C</w:t>
            </w:r>
            <w:proofErr w:type="spellEnd"/>
            <w:r>
              <w:rPr>
                <w:rFonts w:cs="Calibri"/>
                <w:b/>
                <w:bCs/>
                <w:szCs w:val="18"/>
                <w:u w:val="single"/>
              </w:rPr>
              <w:t>: Reconciliation of the Opening and Closing Balances of Property, Plant and Equipment (2013-14)</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bookmarkEnd w:id="98"/>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31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301"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720"/>
        </w:trPr>
        <w:tc>
          <w:tcPr>
            <w:tcW w:w="5676" w:type="dxa"/>
            <w:tcBorders>
              <w:top w:val="single" w:sz="4" w:space="0" w:color="auto"/>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16"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Leasehold improvements</w:t>
            </w:r>
          </w:p>
        </w:tc>
        <w:tc>
          <w:tcPr>
            <w:tcW w:w="1301"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Infrastructure, plant &amp; equipment</w:t>
            </w:r>
          </w:p>
        </w:tc>
        <w:tc>
          <w:tcPr>
            <w:tcW w:w="1196"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Total</w:t>
            </w:r>
          </w:p>
        </w:tc>
      </w:tr>
      <w:tr w:rsidR="00B26C61" w:rsidTr="00EA3146">
        <w:trPr>
          <w:trHeight w:val="255"/>
        </w:trPr>
        <w:tc>
          <w:tcPr>
            <w:tcW w:w="5676"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1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301"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19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70"/>
        </w:trPr>
        <w:tc>
          <w:tcPr>
            <w:tcW w:w="567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As at 19 September 2013</w:t>
            </w:r>
          </w:p>
        </w:tc>
        <w:tc>
          <w:tcPr>
            <w:tcW w:w="131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301"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70"/>
        </w:trPr>
        <w:tc>
          <w:tcPr>
            <w:tcW w:w="567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Gross book value</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25,283 </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18,267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43,550</w:t>
            </w:r>
          </w:p>
        </w:tc>
      </w:tr>
      <w:tr w:rsidR="00B26C61" w:rsidTr="00EA3146">
        <w:trPr>
          <w:trHeight w:val="285"/>
        </w:trPr>
        <w:tc>
          <w:tcPr>
            <w:tcW w:w="567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Net book value 19 September 2013</w:t>
            </w:r>
            <w:r>
              <w:rPr>
                <w:rFonts w:cs="Calibri"/>
                <w:b/>
                <w:bCs/>
                <w:szCs w:val="18"/>
                <w:vertAlign w:val="superscript"/>
              </w:rPr>
              <w:t>1</w:t>
            </w:r>
          </w:p>
        </w:tc>
        <w:tc>
          <w:tcPr>
            <w:tcW w:w="131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25,283</w:t>
            </w:r>
          </w:p>
        </w:tc>
        <w:tc>
          <w:tcPr>
            <w:tcW w:w="1301"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18,267</w:t>
            </w:r>
          </w:p>
        </w:tc>
        <w:tc>
          <w:tcPr>
            <w:tcW w:w="119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43,550</w:t>
            </w:r>
          </w:p>
        </w:tc>
      </w:tr>
      <w:tr w:rsidR="00B26C61" w:rsidTr="00EA3146">
        <w:trPr>
          <w:trHeight w:val="255"/>
        </w:trPr>
        <w:tc>
          <w:tcPr>
            <w:tcW w:w="567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Additions</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Purchase</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360 </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3,367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3,727</w:t>
            </w:r>
          </w:p>
        </w:tc>
      </w:tr>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First time recognition</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380 </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309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689</w:t>
            </w:r>
          </w:p>
        </w:tc>
      </w:tr>
      <w:tr w:rsidR="00B26C61" w:rsidTr="00EA3146">
        <w:trPr>
          <w:trHeight w:val="255"/>
        </w:trPr>
        <w:tc>
          <w:tcPr>
            <w:tcW w:w="567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Reclassification</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(28)</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(28)</w:t>
            </w:r>
          </w:p>
        </w:tc>
      </w:tr>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Revaluations recognised in other comprehensive income</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3,376</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3,376</w:t>
            </w:r>
          </w:p>
        </w:tc>
      </w:tr>
      <w:tr w:rsidR="00B26C61" w:rsidTr="00EA3146">
        <w:trPr>
          <w:trHeight w:val="255"/>
        </w:trPr>
        <w:tc>
          <w:tcPr>
            <w:tcW w:w="567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Impairments recognised in net cost of services</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(159)</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(2,878)</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(3,037)</w:t>
            </w:r>
          </w:p>
        </w:tc>
      </w:tr>
      <w:tr w:rsidR="00B26C61" w:rsidTr="00EA3146">
        <w:trPr>
          <w:trHeight w:val="255"/>
        </w:trPr>
        <w:tc>
          <w:tcPr>
            <w:tcW w:w="567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Depreciation expense</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(6,753)</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(5,602)</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(12,355)</w:t>
            </w:r>
          </w:p>
        </w:tc>
      </w:tr>
      <w:tr w:rsidR="00B26C61" w:rsidTr="00EA3146">
        <w:trPr>
          <w:trHeight w:val="255"/>
        </w:trPr>
        <w:tc>
          <w:tcPr>
            <w:tcW w:w="567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Disposals</w:t>
            </w:r>
          </w:p>
        </w:tc>
        <w:tc>
          <w:tcPr>
            <w:tcW w:w="131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301"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Restructuring (Note 10)</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(119)</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(28)</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(147)</w:t>
            </w:r>
          </w:p>
        </w:tc>
      </w:tr>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Other</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(1,351)</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(230)</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(1,581)</w:t>
            </w:r>
          </w:p>
        </w:tc>
      </w:tr>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Write-offs</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(75)</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(75)</w:t>
            </w:r>
          </w:p>
        </w:tc>
      </w:tr>
      <w:tr w:rsidR="00B26C61" w:rsidTr="00EA3146">
        <w:trPr>
          <w:trHeight w:val="270"/>
        </w:trPr>
        <w:tc>
          <w:tcPr>
            <w:tcW w:w="567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as at 30 June 2014</w:t>
            </w:r>
          </w:p>
        </w:tc>
        <w:tc>
          <w:tcPr>
            <w:tcW w:w="131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21,017</w:t>
            </w:r>
          </w:p>
        </w:tc>
        <w:tc>
          <w:tcPr>
            <w:tcW w:w="1301"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13,102</w:t>
            </w:r>
          </w:p>
        </w:tc>
        <w:tc>
          <w:tcPr>
            <w:tcW w:w="119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34,119</w:t>
            </w:r>
          </w:p>
        </w:tc>
      </w:tr>
      <w:tr w:rsidR="00B26C61" w:rsidTr="00EA3146">
        <w:trPr>
          <w:trHeight w:val="270"/>
        </w:trPr>
        <w:tc>
          <w:tcPr>
            <w:tcW w:w="56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31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301"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567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as at 30 June 2014 represented by</w:t>
            </w:r>
          </w:p>
        </w:tc>
        <w:tc>
          <w:tcPr>
            <w:tcW w:w="131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301"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567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Gross book value</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21,599</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21,582</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43,181</w:t>
            </w:r>
          </w:p>
        </w:tc>
      </w:tr>
      <w:tr w:rsidR="00B26C61" w:rsidTr="00EA3146">
        <w:trPr>
          <w:trHeight w:val="255"/>
        </w:trPr>
        <w:tc>
          <w:tcPr>
            <w:tcW w:w="567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Accumulated depreciation and impairment</w:t>
            </w:r>
          </w:p>
        </w:tc>
        <w:tc>
          <w:tcPr>
            <w:tcW w:w="131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(582)</w:t>
            </w:r>
          </w:p>
        </w:tc>
        <w:tc>
          <w:tcPr>
            <w:tcW w:w="130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(8,480)</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(9,062)</w:t>
            </w:r>
          </w:p>
        </w:tc>
      </w:tr>
      <w:tr w:rsidR="00B26C61" w:rsidTr="00EA3146">
        <w:trPr>
          <w:trHeight w:val="270"/>
        </w:trPr>
        <w:tc>
          <w:tcPr>
            <w:tcW w:w="567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as at 30 June 2014</w:t>
            </w:r>
          </w:p>
        </w:tc>
        <w:tc>
          <w:tcPr>
            <w:tcW w:w="131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21,017</w:t>
            </w:r>
          </w:p>
        </w:tc>
        <w:tc>
          <w:tcPr>
            <w:tcW w:w="1301"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13,102</w:t>
            </w:r>
          </w:p>
        </w:tc>
        <w:tc>
          <w:tcPr>
            <w:tcW w:w="119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34,119</w:t>
            </w:r>
          </w:p>
        </w:tc>
      </w:tr>
    </w:tbl>
    <w:p w:rsidR="00B26C61" w:rsidRDefault="00B26C61" w:rsidP="00B26C61">
      <w:pPr>
        <w:spacing w:line="240" w:lineRule="auto"/>
        <w:rPr>
          <w:rFonts w:ascii="Arial" w:hAnsi="Arial" w:cs="Arial"/>
          <w:sz w:val="16"/>
          <w:szCs w:val="16"/>
        </w:rPr>
      </w:pPr>
      <w:bookmarkStart w:id="99" w:name="RANGE!E7:K55"/>
      <w:bookmarkStart w:id="100" w:name="RANGE!E7:K56"/>
      <w:bookmarkStart w:id="101" w:name="RANGE!E7:K52"/>
      <w:bookmarkStart w:id="102" w:name="RANGE!E7:K53"/>
      <w:bookmarkStart w:id="103" w:name="RANGE!E7:K49"/>
      <w:bookmarkStart w:id="104" w:name="RANGE!E6:K48"/>
      <w:bookmarkStart w:id="105" w:name="RANGE!E6:K47"/>
      <w:bookmarkStart w:id="106" w:name="RANGE!E6:K49"/>
      <w:bookmarkStart w:id="107" w:name="RANGE!E6:E50"/>
      <w:bookmarkStart w:id="108" w:name="RANGE!E6:K50"/>
      <w:bookmarkStart w:id="109" w:name="RANGE!E61:K87"/>
      <w:bookmarkStart w:id="110" w:name="RANGE!E60:K85"/>
      <w:bookmarkStart w:id="111" w:name="RANGE!E61:K86"/>
      <w:bookmarkStart w:id="112" w:name="RANGE!E57:K82"/>
      <w:bookmarkStart w:id="113" w:name="RANGE!E58:K83"/>
      <w:bookmarkStart w:id="114" w:name="RANGE!E57:K81"/>
      <w:bookmarkStart w:id="115" w:name="RANGE!E56:K79"/>
      <w:bookmarkStart w:id="116" w:name="RANGE!E58:K81"/>
      <w:bookmarkStart w:id="117" w:name="RANGE!E59:K82"/>
      <w:bookmarkStart w:id="118" w:name="RANGE!E59:K8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B26C61" w:rsidRDefault="00B26C61" w:rsidP="00B26C61">
      <w:pPr>
        <w:spacing w:line="240" w:lineRule="auto"/>
        <w:rPr>
          <w:rFonts w:ascii="Arial" w:hAnsi="Arial" w:cs="Arial"/>
          <w:sz w:val="16"/>
          <w:szCs w:val="16"/>
        </w:rPr>
      </w:pPr>
    </w:p>
    <w:p w:rsidR="00B26C61" w:rsidRDefault="00B26C61" w:rsidP="00B26C61">
      <w:pPr>
        <w:spacing w:line="240" w:lineRule="auto"/>
        <w:rPr>
          <w:rFonts w:ascii="Arial" w:hAnsi="Arial" w:cs="Arial"/>
          <w:sz w:val="16"/>
          <w:szCs w:val="16"/>
        </w:rPr>
      </w:pPr>
    </w:p>
    <w:p w:rsidR="00B26C61" w:rsidRPr="00A83A7A" w:rsidRDefault="00B26C61" w:rsidP="00B26C61">
      <w:pPr>
        <w:spacing w:line="240" w:lineRule="auto"/>
        <w:rPr>
          <w:rFonts w:asciiTheme="minorHAnsi" w:hAnsiTheme="minorHAnsi" w:cstheme="minorHAnsi"/>
          <w:sz w:val="16"/>
          <w:szCs w:val="16"/>
        </w:rPr>
        <w:sectPr w:rsidR="00B26C61" w:rsidRPr="00A83A7A">
          <w:type w:val="continuous"/>
          <w:pgSz w:w="16838" w:h="11906" w:orient="landscape"/>
          <w:pgMar w:top="1134" w:right="1134" w:bottom="1134" w:left="1134" w:header="958" w:footer="737" w:gutter="0"/>
          <w:cols w:space="720"/>
        </w:sectPr>
      </w:pPr>
      <w:r w:rsidRPr="002C6F7A">
        <w:rPr>
          <w:rFonts w:asciiTheme="minorHAnsi" w:hAnsiTheme="minorHAnsi" w:cstheme="minorHAnsi"/>
          <w:sz w:val="16"/>
          <w:szCs w:val="16"/>
          <w:vertAlign w:val="superscript"/>
        </w:rPr>
        <w:t>1</w:t>
      </w:r>
      <w:r>
        <w:rPr>
          <w:rFonts w:asciiTheme="minorHAnsi" w:hAnsiTheme="minorHAnsi" w:cstheme="minorHAnsi"/>
          <w:sz w:val="16"/>
          <w:szCs w:val="16"/>
        </w:rPr>
        <w:t xml:space="preserve"> O</w:t>
      </w:r>
      <w:r w:rsidRPr="00A83A7A">
        <w:rPr>
          <w:rFonts w:asciiTheme="minorHAnsi" w:hAnsiTheme="minorHAnsi" w:cstheme="minorHAnsi"/>
          <w:sz w:val="16"/>
          <w:szCs w:val="16"/>
        </w:rPr>
        <w:t xml:space="preserve">pening balances represent the balances transferred as a result of the 18 September 2013 restructure </w:t>
      </w:r>
      <w:r>
        <w:rPr>
          <w:rFonts w:asciiTheme="minorHAnsi" w:hAnsiTheme="minorHAnsi" w:cstheme="minorHAnsi"/>
          <w:sz w:val="16"/>
          <w:szCs w:val="16"/>
        </w:rPr>
        <w:t>(Refer Note 10).</w:t>
      </w:r>
    </w:p>
    <w:p w:rsidR="00B26C61" w:rsidRPr="00A83A7A" w:rsidRDefault="00B26C61" w:rsidP="00B26C61">
      <w:pPr>
        <w:spacing w:line="240" w:lineRule="auto"/>
        <w:rPr>
          <w:rFonts w:asciiTheme="minorHAnsi" w:hAnsiTheme="minorHAnsi" w:cstheme="minorHAnsi"/>
          <w:sz w:val="16"/>
          <w:szCs w:val="16"/>
        </w:rPr>
        <w:sectPr w:rsidR="00B26C61" w:rsidRPr="00A83A7A">
          <w:type w:val="continuous"/>
          <w:pgSz w:w="16838" w:h="11906" w:orient="landscape"/>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bookmarkStart w:id="119" w:name="Note_INTTABLE1" w:colFirst="0" w:colLast="0"/>
            <w:r>
              <w:rPr>
                <w:rFonts w:ascii="Arial" w:hAnsi="Arial" w:cs="Arial"/>
                <w:szCs w:val="18"/>
              </w:rPr>
              <w:lastRenderedPageBreak/>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2014</w:t>
            </w:r>
          </w:p>
        </w:tc>
      </w:tr>
      <w:bookmarkEnd w:id="119"/>
      <w:tr w:rsidR="00B26C61" w:rsidTr="00EA3146">
        <w:trPr>
          <w:trHeight w:val="24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7D</w:t>
            </w:r>
            <w:proofErr w:type="spellEnd"/>
            <w:r>
              <w:rPr>
                <w:rFonts w:cs="Calibri"/>
                <w:b/>
                <w:bCs/>
                <w:szCs w:val="18"/>
                <w:u w:val="single"/>
              </w:rPr>
              <w:t>: Intangibles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Computer software</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 xml:space="preserve">Internally developed – in progress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1,504</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Internally developed – in use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84,686</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Purchased</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706</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Accumulated amortisation - internally developed</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(30,920)</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Accumulated amortisation - purchased</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(87)</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Accumulated impairment - internally developed</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(15,824)</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Accumulated impairment - purchased</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(54)</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computer software</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40,011</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intangibles</w:t>
            </w:r>
          </w:p>
        </w:tc>
        <w:tc>
          <w:tcPr>
            <w:tcW w:w="1256" w:type="dxa"/>
            <w:tcBorders>
              <w:top w:val="nil"/>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40,011</w:t>
            </w:r>
          </w:p>
        </w:tc>
      </w:tr>
    </w:tbl>
    <w:p w:rsidR="00B26C61" w:rsidRDefault="00B26C61" w:rsidP="00B26C61">
      <w:bookmarkStart w:id="120" w:name="RANGE!D6:G22"/>
      <w:bookmarkStart w:id="121" w:name="RANGE!D6:D23"/>
      <w:bookmarkStart w:id="122" w:name="RANGE!D6:G23"/>
      <w:bookmarkEnd w:id="120"/>
      <w:bookmarkEnd w:id="121"/>
      <w:bookmarkEnd w:id="122"/>
    </w:p>
    <w:p w:rsidR="00B26C61" w:rsidRDefault="00B26C61" w:rsidP="00B26C61">
      <w:pPr>
        <w:spacing w:line="240" w:lineRule="auto"/>
      </w:pPr>
      <w:proofErr w:type="gramStart"/>
      <w:r>
        <w:t>I</w:t>
      </w:r>
      <w:r w:rsidRPr="006513BA">
        <w:t xml:space="preserve">ndicators of impairment </w:t>
      </w:r>
      <w:r>
        <w:t>to the value of $15.8 million has</w:t>
      </w:r>
      <w:proofErr w:type="gramEnd"/>
      <w:r>
        <w:t xml:space="preserve"> been identified for internally developed software and $0.033 million of purchased software was written off.   There were no write offs of internally developed software.</w:t>
      </w:r>
      <w:bookmarkStart w:id="123" w:name="RANGE!E52:H74"/>
      <w:bookmarkStart w:id="124" w:name="RANGE!E50:H68"/>
      <w:bookmarkStart w:id="125" w:name="RANGE!E56:H74"/>
      <w:bookmarkStart w:id="126" w:name="RANGE!E55:H73"/>
      <w:bookmarkStart w:id="127" w:name="RANGE!E55:J79"/>
      <w:bookmarkStart w:id="128" w:name="RANGE!E56:J80"/>
      <w:bookmarkEnd w:id="123"/>
      <w:bookmarkEnd w:id="124"/>
      <w:bookmarkEnd w:id="125"/>
      <w:bookmarkEnd w:id="126"/>
      <w:bookmarkEnd w:id="127"/>
      <w:bookmarkEnd w:id="128"/>
    </w:p>
    <w:p w:rsidR="00B26C61" w:rsidRDefault="00B26C61" w:rsidP="00B26C61">
      <w:pPr>
        <w:pStyle w:val="NotesText0"/>
        <w:rPr>
          <w:rFonts w:ascii="Arial" w:hAnsi="Arial"/>
          <w:sz w:val="16"/>
          <w:szCs w:val="16"/>
        </w:rPr>
        <w:sectPr w:rsidR="00B26C61">
          <w:type w:val="continuous"/>
          <w:pgSz w:w="11906" w:h="16838"/>
          <w:pgMar w:top="1134" w:right="1134" w:bottom="1134" w:left="1134" w:header="958" w:footer="737" w:gutter="0"/>
          <w:cols w:space="720"/>
        </w:sectPr>
      </w:pPr>
      <w:r>
        <w:t>The impaired assets are expected to be disposed of in the next 12 months no other material amounts expected to be disposed.</w:t>
      </w:r>
    </w:p>
    <w:tbl>
      <w:tblPr>
        <w:tblW w:w="13991" w:type="dxa"/>
        <w:tblInd w:w="80" w:type="dxa"/>
        <w:tblLayout w:type="fixed"/>
        <w:tblLook w:val="04A0" w:firstRow="1" w:lastRow="0" w:firstColumn="1" w:lastColumn="0" w:noHBand="0" w:noVBand="1"/>
      </w:tblPr>
      <w:tblGrid>
        <w:gridCol w:w="8720"/>
        <w:gridCol w:w="1757"/>
        <w:gridCol w:w="1757"/>
        <w:gridCol w:w="1757"/>
      </w:tblGrid>
      <w:tr w:rsidR="00B26C61" w:rsidTr="00EA3146">
        <w:trPr>
          <w:trHeight w:val="255"/>
        </w:trPr>
        <w:tc>
          <w:tcPr>
            <w:tcW w:w="7132" w:type="dxa"/>
            <w:gridSpan w:val="2"/>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129" w:name="Note_INRTABLE1" w:colFirst="0" w:colLast="0"/>
            <w:r>
              <w:rPr>
                <w:rFonts w:cs="Calibri"/>
                <w:b/>
                <w:bCs/>
                <w:szCs w:val="18"/>
                <w:u w:val="single"/>
              </w:rPr>
              <w:lastRenderedPageBreak/>
              <w:t xml:space="preserve">Note </w:t>
            </w:r>
            <w:proofErr w:type="spellStart"/>
            <w:r>
              <w:rPr>
                <w:rFonts w:cs="Calibri"/>
                <w:b/>
                <w:bCs/>
                <w:szCs w:val="18"/>
                <w:u w:val="single"/>
              </w:rPr>
              <w:t>7E</w:t>
            </w:r>
            <w:proofErr w:type="spellEnd"/>
            <w:r>
              <w:rPr>
                <w:rFonts w:cs="Calibri"/>
                <w:b/>
                <w:bCs/>
                <w:szCs w:val="18"/>
                <w:u w:val="single"/>
              </w:rPr>
              <w:t>: Reconciliation of the Opening and Closing Balances of Intangibles (2013-14)</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bookmarkEnd w:id="129"/>
      <w:tr w:rsidR="00B26C61" w:rsidTr="00EA3146">
        <w:trPr>
          <w:trHeight w:val="255"/>
        </w:trPr>
        <w:tc>
          <w:tcPr>
            <w:tcW w:w="593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960"/>
        </w:trPr>
        <w:tc>
          <w:tcPr>
            <w:tcW w:w="5936" w:type="dxa"/>
            <w:tcBorders>
              <w:top w:val="single" w:sz="4" w:space="0" w:color="auto"/>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bookmarkStart w:id="130" w:name="RANGE!F9:H9"/>
            <w:r>
              <w:rPr>
                <w:rFonts w:cs="Calibri"/>
                <w:b/>
                <w:bCs/>
                <w:szCs w:val="18"/>
              </w:rPr>
              <w:t>Computer software internally developed</w:t>
            </w:r>
            <w:bookmarkEnd w:id="130"/>
          </w:p>
        </w:tc>
        <w:tc>
          <w:tcPr>
            <w:tcW w:w="1196"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Computer  software purchased</w:t>
            </w:r>
          </w:p>
        </w:tc>
        <w:tc>
          <w:tcPr>
            <w:tcW w:w="1196"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Total</w:t>
            </w:r>
          </w:p>
        </w:tc>
      </w:tr>
      <w:tr w:rsidR="00B26C61" w:rsidTr="00EA3146">
        <w:trPr>
          <w:trHeight w:val="255"/>
        </w:trPr>
        <w:tc>
          <w:tcPr>
            <w:tcW w:w="5936"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9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19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19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593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As at 19 September 2013</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70"/>
        </w:trPr>
        <w:tc>
          <w:tcPr>
            <w:tcW w:w="593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Gross book value</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67,102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184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67,286</w:t>
            </w:r>
          </w:p>
        </w:tc>
      </w:tr>
      <w:tr w:rsidR="00B26C61" w:rsidTr="00EA3146">
        <w:trPr>
          <w:trHeight w:val="300"/>
        </w:trPr>
        <w:tc>
          <w:tcPr>
            <w:tcW w:w="593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Net book value 19 September 2013</w:t>
            </w:r>
            <w:r>
              <w:rPr>
                <w:rFonts w:cs="Calibri"/>
                <w:b/>
                <w:bCs/>
                <w:szCs w:val="18"/>
                <w:vertAlign w:val="superscript"/>
              </w:rPr>
              <w:t>1</w:t>
            </w:r>
          </w:p>
        </w:tc>
        <w:tc>
          <w:tcPr>
            <w:tcW w:w="119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67,102</w:t>
            </w:r>
          </w:p>
        </w:tc>
        <w:tc>
          <w:tcPr>
            <w:tcW w:w="119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184</w:t>
            </w:r>
          </w:p>
        </w:tc>
        <w:tc>
          <w:tcPr>
            <w:tcW w:w="119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67,286</w:t>
            </w:r>
          </w:p>
        </w:tc>
      </w:tr>
      <w:tr w:rsidR="00B26C61" w:rsidTr="00EA3146">
        <w:trPr>
          <w:trHeight w:val="255"/>
        </w:trPr>
        <w:tc>
          <w:tcPr>
            <w:tcW w:w="59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593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Additions</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593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Purchase</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527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527</w:t>
            </w:r>
          </w:p>
        </w:tc>
      </w:tr>
      <w:tr w:rsidR="00B26C61" w:rsidTr="00EA3146">
        <w:trPr>
          <w:trHeight w:val="255"/>
        </w:trPr>
        <w:tc>
          <w:tcPr>
            <w:tcW w:w="593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Internally developed</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19,088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19,088</w:t>
            </w:r>
          </w:p>
        </w:tc>
      </w:tr>
      <w:tr w:rsidR="00B26C61" w:rsidTr="00EA3146">
        <w:trPr>
          <w:trHeight w:val="255"/>
        </w:trPr>
        <w:tc>
          <w:tcPr>
            <w:tcW w:w="593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Impairments recognised in net cost of services</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(15,824)</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(54)</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(15,878)</w:t>
            </w:r>
          </w:p>
        </w:tc>
      </w:tr>
      <w:tr w:rsidR="00B26C61" w:rsidTr="00EA3146">
        <w:trPr>
          <w:trHeight w:val="255"/>
        </w:trPr>
        <w:tc>
          <w:tcPr>
            <w:tcW w:w="593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Amortisation</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(30,920)</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(87)</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(31,007)</w:t>
            </w:r>
          </w:p>
        </w:tc>
      </w:tr>
      <w:tr w:rsidR="00B26C61" w:rsidTr="00EA3146">
        <w:trPr>
          <w:trHeight w:val="255"/>
        </w:trPr>
        <w:tc>
          <w:tcPr>
            <w:tcW w:w="593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Reclassification</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28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28</w:t>
            </w:r>
          </w:p>
        </w:tc>
      </w:tr>
      <w:tr w:rsidR="00B26C61" w:rsidTr="00EA3146">
        <w:trPr>
          <w:trHeight w:val="255"/>
        </w:trPr>
        <w:tc>
          <w:tcPr>
            <w:tcW w:w="593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Disposals</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593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Write-offs</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(33)</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(33)</w:t>
            </w:r>
          </w:p>
        </w:tc>
      </w:tr>
      <w:tr w:rsidR="00B26C61" w:rsidTr="00EA3146">
        <w:trPr>
          <w:trHeight w:val="270"/>
        </w:trPr>
        <w:tc>
          <w:tcPr>
            <w:tcW w:w="593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as at 30 June 2014</w:t>
            </w:r>
          </w:p>
        </w:tc>
        <w:tc>
          <w:tcPr>
            <w:tcW w:w="119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39,446</w:t>
            </w:r>
          </w:p>
        </w:tc>
        <w:tc>
          <w:tcPr>
            <w:tcW w:w="119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565</w:t>
            </w:r>
          </w:p>
        </w:tc>
        <w:tc>
          <w:tcPr>
            <w:tcW w:w="119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40,011</w:t>
            </w:r>
          </w:p>
        </w:tc>
      </w:tr>
      <w:tr w:rsidR="00B26C61" w:rsidTr="00EA3146">
        <w:trPr>
          <w:trHeight w:val="270"/>
        </w:trPr>
        <w:tc>
          <w:tcPr>
            <w:tcW w:w="59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593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as at 30 June 2014 represented by</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593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Gross book value</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86,190</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706</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86,896</w:t>
            </w:r>
          </w:p>
        </w:tc>
      </w:tr>
      <w:tr w:rsidR="00B26C61" w:rsidTr="00EA3146">
        <w:trPr>
          <w:trHeight w:val="255"/>
        </w:trPr>
        <w:tc>
          <w:tcPr>
            <w:tcW w:w="593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Accumulated amortisation and impairment</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(46,744)</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(141)</w:t>
            </w:r>
          </w:p>
        </w:tc>
        <w:tc>
          <w:tcPr>
            <w:tcW w:w="11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(46,885)</w:t>
            </w:r>
          </w:p>
        </w:tc>
      </w:tr>
      <w:tr w:rsidR="00B26C61" w:rsidTr="00EA3146">
        <w:trPr>
          <w:trHeight w:val="270"/>
        </w:trPr>
        <w:tc>
          <w:tcPr>
            <w:tcW w:w="593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as at 30 June 2014</w:t>
            </w:r>
          </w:p>
        </w:tc>
        <w:tc>
          <w:tcPr>
            <w:tcW w:w="119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39,446</w:t>
            </w:r>
          </w:p>
        </w:tc>
        <w:tc>
          <w:tcPr>
            <w:tcW w:w="119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565</w:t>
            </w:r>
          </w:p>
        </w:tc>
        <w:tc>
          <w:tcPr>
            <w:tcW w:w="119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40,011</w:t>
            </w:r>
          </w:p>
        </w:tc>
      </w:tr>
    </w:tbl>
    <w:p w:rsidR="00B26C61" w:rsidRDefault="00B26C61" w:rsidP="00B26C61">
      <w:pPr>
        <w:spacing w:line="240" w:lineRule="auto"/>
        <w:rPr>
          <w:rFonts w:asciiTheme="minorHAnsi" w:hAnsiTheme="minorHAnsi" w:cs="Arial"/>
          <w:szCs w:val="18"/>
          <w:lang w:eastAsia="en-AU"/>
        </w:rPr>
      </w:pPr>
      <w:bookmarkStart w:id="131" w:name="RANGE!E7:H47"/>
      <w:bookmarkStart w:id="132" w:name="RANGE!E7:H48"/>
      <w:bookmarkStart w:id="133" w:name="RANGE!E7:H46"/>
      <w:bookmarkStart w:id="134" w:name="RANGE!E7:H43"/>
      <w:bookmarkStart w:id="135" w:name="RANGE!E6:H41"/>
      <w:bookmarkStart w:id="136" w:name="RANGE!E6:H47"/>
      <w:bookmarkStart w:id="137" w:name="RANGE!E6:H46"/>
      <w:bookmarkStart w:id="138" w:name="RANGE!E6:J46"/>
      <w:bookmarkStart w:id="139" w:name="RANGE!E6:E47"/>
      <w:bookmarkStart w:id="140" w:name="RANGE!E6:J47"/>
      <w:bookmarkEnd w:id="131"/>
      <w:bookmarkEnd w:id="132"/>
      <w:bookmarkEnd w:id="133"/>
      <w:bookmarkEnd w:id="134"/>
      <w:bookmarkEnd w:id="135"/>
      <w:bookmarkEnd w:id="136"/>
      <w:bookmarkEnd w:id="137"/>
      <w:bookmarkEnd w:id="138"/>
      <w:bookmarkEnd w:id="139"/>
      <w:bookmarkEnd w:id="140"/>
    </w:p>
    <w:p w:rsidR="00B26C61" w:rsidRPr="00A83A7A" w:rsidRDefault="00B26C61" w:rsidP="00B26C61">
      <w:pPr>
        <w:spacing w:line="240" w:lineRule="auto"/>
        <w:rPr>
          <w:rFonts w:asciiTheme="minorHAnsi" w:hAnsiTheme="minorHAnsi" w:cstheme="minorHAnsi"/>
          <w:sz w:val="16"/>
          <w:szCs w:val="16"/>
        </w:rPr>
        <w:sectPr w:rsidR="00B26C61" w:rsidRPr="00A83A7A">
          <w:type w:val="continuous"/>
          <w:pgSz w:w="16838" w:h="11906" w:orient="landscape"/>
          <w:pgMar w:top="1134" w:right="1134" w:bottom="1134" w:left="1134" w:header="958" w:footer="737" w:gutter="0"/>
          <w:cols w:space="720"/>
        </w:sectPr>
      </w:pPr>
      <w:r w:rsidRPr="002C6F7A">
        <w:rPr>
          <w:rFonts w:asciiTheme="minorHAnsi" w:hAnsiTheme="minorHAnsi" w:cstheme="minorHAnsi"/>
          <w:sz w:val="16"/>
          <w:szCs w:val="16"/>
          <w:vertAlign w:val="superscript"/>
        </w:rPr>
        <w:t>1</w:t>
      </w:r>
      <w:r>
        <w:rPr>
          <w:rFonts w:asciiTheme="minorHAnsi" w:hAnsiTheme="minorHAnsi" w:cstheme="minorHAnsi"/>
          <w:sz w:val="16"/>
          <w:szCs w:val="16"/>
        </w:rPr>
        <w:t xml:space="preserve"> O</w:t>
      </w:r>
      <w:r w:rsidRPr="00A83A7A">
        <w:rPr>
          <w:rFonts w:asciiTheme="minorHAnsi" w:hAnsiTheme="minorHAnsi" w:cstheme="minorHAnsi"/>
          <w:sz w:val="16"/>
          <w:szCs w:val="16"/>
        </w:rPr>
        <w:t xml:space="preserve">pening balances represent the balances transferred as a result of the 18 September 2013 restructure </w:t>
      </w:r>
      <w:r>
        <w:rPr>
          <w:rFonts w:asciiTheme="minorHAnsi" w:hAnsiTheme="minorHAnsi" w:cstheme="minorHAnsi"/>
          <w:sz w:val="16"/>
          <w:szCs w:val="16"/>
        </w:rPr>
        <w:t>(Refer Note 10).</w:t>
      </w:r>
    </w:p>
    <w:p w:rsidR="00B26C61" w:rsidRDefault="00B26C61" w:rsidP="00B26C61">
      <w:pPr>
        <w:spacing w:line="240" w:lineRule="auto"/>
        <w:rPr>
          <w:rFonts w:asciiTheme="minorHAnsi" w:hAnsiTheme="minorHAnsi" w:cs="Arial"/>
          <w:szCs w:val="18"/>
          <w:lang w:eastAsia="en-AU"/>
        </w:rPr>
        <w:sectPr w:rsidR="00B26C61">
          <w:type w:val="continuous"/>
          <w:pgSz w:w="16838" w:h="11906" w:orient="landscape"/>
          <w:pgMar w:top="1134" w:right="1134" w:bottom="1134" w:left="1134" w:header="958" w:footer="737" w:gutter="0"/>
          <w:cols w:space="720"/>
        </w:sectPr>
      </w:pPr>
    </w:p>
    <w:tbl>
      <w:tblPr>
        <w:tblW w:w="9087" w:type="dxa"/>
        <w:tblInd w:w="80" w:type="dxa"/>
        <w:tblLayout w:type="fixed"/>
        <w:tblLook w:val="04A0" w:firstRow="1" w:lastRow="0" w:firstColumn="1" w:lastColumn="0" w:noHBand="0" w:noVBand="1"/>
      </w:tblPr>
      <w:tblGrid>
        <w:gridCol w:w="7340"/>
        <w:gridCol w:w="1441"/>
        <w:gridCol w:w="306"/>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bookmarkStart w:id="141" w:name="Note_ONATABLE1" w:colFirst="0" w:colLast="0"/>
            <w:r>
              <w:rPr>
                <w:rFonts w:cs="Calibri"/>
                <w:b/>
                <w:bCs/>
                <w:szCs w:val="18"/>
              </w:rPr>
              <w:lastRenderedPageBreak/>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2014</w:t>
            </w:r>
          </w:p>
        </w:tc>
        <w:tc>
          <w:tcPr>
            <w:tcW w:w="26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bookmarkEnd w:id="141"/>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c>
          <w:tcPr>
            <w:tcW w:w="26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7F</w:t>
            </w:r>
            <w:proofErr w:type="spellEnd"/>
            <w:r>
              <w:rPr>
                <w:rFonts w:cs="Calibri"/>
                <w:b/>
                <w:bCs/>
                <w:szCs w:val="18"/>
                <w:u w:val="single"/>
              </w:rPr>
              <w:t>: Other Non-Financial Assets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26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26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Prepayments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16,050</w:t>
            </w:r>
          </w:p>
        </w:tc>
        <w:tc>
          <w:tcPr>
            <w:tcW w:w="26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other non-financial assets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16,050</w:t>
            </w:r>
          </w:p>
        </w:tc>
        <w:tc>
          <w:tcPr>
            <w:tcW w:w="26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26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Other non-financial assets expected to be recovered in</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26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13,743 </w:t>
            </w:r>
          </w:p>
        </w:tc>
        <w:tc>
          <w:tcPr>
            <w:tcW w:w="26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2,307 </w:t>
            </w:r>
          </w:p>
        </w:tc>
        <w:tc>
          <w:tcPr>
            <w:tcW w:w="26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other non-financial assets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16,050</w:t>
            </w:r>
          </w:p>
        </w:tc>
        <w:tc>
          <w:tcPr>
            <w:tcW w:w="26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bl>
    <w:p w:rsidR="00B26C61" w:rsidRDefault="00B26C61" w:rsidP="00B26C61">
      <w:pPr>
        <w:spacing w:line="240" w:lineRule="auto"/>
      </w:pPr>
    </w:p>
    <w:p w:rsidR="00B26C61" w:rsidRDefault="00B26C61" w:rsidP="00B26C61">
      <w:pPr>
        <w:spacing w:line="240" w:lineRule="auto"/>
      </w:pPr>
      <w:r>
        <w:t>No indicators of impairment were found for other non-financial assets.</w:t>
      </w:r>
      <w:r>
        <w:br w:type="page"/>
      </w:r>
    </w:p>
    <w:p w:rsidR="00B26C61" w:rsidRDefault="00B26C61" w:rsidP="00B26C61">
      <w:pPr>
        <w:spacing w:line="240" w:lineRule="auto"/>
      </w:pPr>
    </w:p>
    <w:p w:rsidR="00B26C61" w:rsidRDefault="00B26C61" w:rsidP="00B26C61">
      <w:pPr>
        <w:pStyle w:val="NotesHeading-Level1"/>
        <w:rPr>
          <w:rFonts w:cstheme="minorHAnsi"/>
        </w:rPr>
      </w:pPr>
      <w:bookmarkStart w:id="142" w:name="_Toc398813150"/>
      <w:r>
        <w:rPr>
          <w:rFonts w:cstheme="minorHAnsi"/>
        </w:rPr>
        <w:t>Payables</w:t>
      </w:r>
      <w:bookmarkEnd w:id="142"/>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bookmarkStart w:id="143" w:name="Note_SPATABLE1" w:colFirst="0" w:colLast="0"/>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2014</w:t>
            </w:r>
          </w:p>
        </w:tc>
      </w:tr>
      <w:bookmarkEnd w:id="143"/>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8A</w:t>
            </w:r>
            <w:proofErr w:type="spellEnd"/>
            <w:r>
              <w:rPr>
                <w:rFonts w:cs="Calibri"/>
                <w:b/>
                <w:bCs/>
                <w:szCs w:val="18"/>
                <w:u w:val="single"/>
              </w:rPr>
              <w:t>: Suppliers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Trade creditors and accruals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3,403</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Operating lease rentals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2,743</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suppliers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6,146</w:t>
            </w:r>
          </w:p>
        </w:tc>
      </w:tr>
      <w:tr w:rsidR="00B26C61" w:rsidTr="00EA3146">
        <w:trPr>
          <w:trHeight w:val="27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Suppliers expected to be settled</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4,047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2,099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suppliers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6,146</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Suppliers in connection with</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Related parties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745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External parties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5,401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suppliers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6,146</w:t>
            </w:r>
          </w:p>
        </w:tc>
      </w:tr>
    </w:tbl>
    <w:p w:rsidR="00B26C61" w:rsidRDefault="00B26C61" w:rsidP="00B26C61">
      <w:bookmarkStart w:id="144" w:name="RANGE!D6:D24"/>
      <w:bookmarkStart w:id="145" w:name="RANGE!D6:G24"/>
      <w:bookmarkEnd w:id="144"/>
      <w:bookmarkEnd w:id="145"/>
    </w:p>
    <w:p w:rsidR="00B26C61" w:rsidRDefault="00B26C61" w:rsidP="00B26C61">
      <w:r>
        <w:t>Settlement is usually made within 30 days.</w:t>
      </w:r>
    </w:p>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146" w:name="Note_OPBTABLE1" w:colFirst="0" w:colLast="0"/>
            <w:r>
              <w:rPr>
                <w:rFonts w:cs="Calibri"/>
                <w:b/>
                <w:bCs/>
                <w:szCs w:val="18"/>
                <w:u w:val="single"/>
              </w:rPr>
              <w:t xml:space="preserve">Note </w:t>
            </w:r>
            <w:proofErr w:type="spellStart"/>
            <w:r>
              <w:rPr>
                <w:rFonts w:cs="Calibri"/>
                <w:b/>
                <w:bCs/>
                <w:szCs w:val="18"/>
                <w:u w:val="single"/>
              </w:rPr>
              <w:t>8B</w:t>
            </w:r>
            <w:proofErr w:type="spellEnd"/>
            <w:r>
              <w:rPr>
                <w:rFonts w:cs="Calibri"/>
                <w:b/>
                <w:bCs/>
                <w:szCs w:val="18"/>
                <w:u w:val="single"/>
              </w:rPr>
              <w:t>: Other Payables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bookmarkEnd w:id="146"/>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Salaries and wages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5,176</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Superannuation</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976</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Separations and redundancies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5,242</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Other employee benefits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210</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Lease incentive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6,548</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Unearned income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2,545</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Accrued expenses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8,468</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Surplus lease space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1,282</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other payables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30,447</w:t>
            </w:r>
          </w:p>
        </w:tc>
      </w:tr>
      <w:tr w:rsidR="00B26C61" w:rsidTr="00EA3146">
        <w:trPr>
          <w:trHeight w:val="27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Other payables  expected to be settled</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25,761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4,686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other payables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30,447</w:t>
            </w:r>
          </w:p>
        </w:tc>
      </w:tr>
    </w:tbl>
    <w:p w:rsidR="00B26C61" w:rsidRDefault="00B26C61" w:rsidP="00B26C61">
      <w:r>
        <w:br w:type="page"/>
      </w:r>
      <w:bookmarkStart w:id="147" w:name="RANGE!D7:G23"/>
      <w:bookmarkEnd w:id="147"/>
    </w:p>
    <w:p w:rsidR="00B26C61" w:rsidRDefault="00B26C61" w:rsidP="00B26C61">
      <w:pPr>
        <w:pStyle w:val="NotesHeading-Level1"/>
        <w:rPr>
          <w:rFonts w:cstheme="minorHAnsi"/>
        </w:rPr>
      </w:pPr>
      <w:bookmarkStart w:id="148" w:name="RANGE!D6:H21"/>
      <w:bookmarkStart w:id="149" w:name="RANGE!D6:D22"/>
      <w:bookmarkStart w:id="150" w:name="RANGE!D6:H22"/>
      <w:bookmarkStart w:id="151" w:name="RANGE!D6:D21"/>
      <w:bookmarkStart w:id="152" w:name="RANGE!D6:G21"/>
      <w:bookmarkStart w:id="153" w:name="RANGE!D6:H20"/>
      <w:bookmarkStart w:id="154" w:name="RANGE!D6:H16"/>
      <w:bookmarkStart w:id="155" w:name="_Toc398813151"/>
      <w:bookmarkEnd w:id="148"/>
      <w:bookmarkEnd w:id="149"/>
      <w:bookmarkEnd w:id="150"/>
      <w:bookmarkEnd w:id="151"/>
      <w:bookmarkEnd w:id="152"/>
      <w:bookmarkEnd w:id="153"/>
      <w:bookmarkEnd w:id="154"/>
      <w:r>
        <w:rPr>
          <w:rFonts w:cstheme="minorHAnsi"/>
        </w:rPr>
        <w:lastRenderedPageBreak/>
        <w:t>Provisions</w:t>
      </w:r>
      <w:bookmarkEnd w:id="155"/>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bookmarkStart w:id="156" w:name="Note_PROTABLE1" w:colFirst="0" w:colLast="0"/>
            <w:r>
              <w:rPr>
                <w:rFonts w:cs="Calibri"/>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bookmarkEnd w:id="156"/>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9A</w:t>
            </w:r>
            <w:proofErr w:type="spellEnd"/>
            <w:r>
              <w:rPr>
                <w:rFonts w:cs="Calibri"/>
                <w:b/>
                <w:bCs/>
                <w:szCs w:val="18"/>
                <w:u w:val="single"/>
              </w:rPr>
              <w:t>: Employee Provisions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Leave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59,560</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employee provisions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59,560</w:t>
            </w:r>
          </w:p>
        </w:tc>
      </w:tr>
      <w:tr w:rsidR="00B26C61" w:rsidTr="00EA3146">
        <w:trPr>
          <w:trHeight w:val="27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color w:val="FF0000"/>
                <w:szCs w:val="18"/>
              </w:rPr>
            </w:pPr>
            <w:r>
              <w:rPr>
                <w:rFonts w:ascii="Arial" w:hAnsi="Arial" w:cs="Arial"/>
                <w:color w:val="FF0000"/>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Employee provisions expected to be settled</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18,239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41,321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employee provisions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59,560</w:t>
            </w:r>
          </w:p>
        </w:tc>
      </w:tr>
    </w:tbl>
    <w:p w:rsidR="00B26C61" w:rsidRDefault="00B26C61" w:rsidP="00B26C61">
      <w:pPr>
        <w:spacing w:line="240" w:lineRule="auto"/>
      </w:pPr>
      <w:bookmarkStart w:id="157" w:name="RANGE!D6:D18"/>
      <w:bookmarkStart w:id="158" w:name="RANGE!D6:G18"/>
      <w:bookmarkEnd w:id="157"/>
      <w:bookmarkEnd w:id="158"/>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159" w:name="Note_OPRTABLE1" w:colFirst="0" w:colLast="0"/>
            <w:r>
              <w:rPr>
                <w:rFonts w:cs="Calibri"/>
                <w:b/>
                <w:bCs/>
                <w:szCs w:val="18"/>
                <w:u w:val="single"/>
              </w:rPr>
              <w:t xml:space="preserve">Note </w:t>
            </w:r>
            <w:proofErr w:type="spellStart"/>
            <w:r>
              <w:rPr>
                <w:rFonts w:cs="Calibri"/>
                <w:b/>
                <w:bCs/>
                <w:szCs w:val="18"/>
                <w:u w:val="single"/>
              </w:rPr>
              <w:t>9B</w:t>
            </w:r>
            <w:proofErr w:type="spellEnd"/>
            <w:r>
              <w:rPr>
                <w:rFonts w:cs="Calibri"/>
                <w:b/>
                <w:bCs/>
                <w:szCs w:val="18"/>
                <w:u w:val="single"/>
              </w:rPr>
              <w:t>: Other Provisions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bookmarkEnd w:id="159"/>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Provision for restoration</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1,315</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other provisions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1,315</w:t>
            </w:r>
          </w:p>
        </w:tc>
      </w:tr>
      <w:tr w:rsidR="00B26C61" w:rsidTr="00EA3146">
        <w:trPr>
          <w:trHeight w:val="27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Other provisions expected to be settled</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315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More than 12 months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1,000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other provisions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1,315</w:t>
            </w:r>
          </w:p>
        </w:tc>
      </w:tr>
    </w:tbl>
    <w:p w:rsidR="00B26C61" w:rsidRDefault="00B26C61" w:rsidP="00B26C61"/>
    <w:p w:rsidR="00B26C61" w:rsidRDefault="00B26C61" w:rsidP="00B26C61"/>
    <w:tbl>
      <w:tblPr>
        <w:tblW w:w="9087" w:type="dxa"/>
        <w:tblInd w:w="80" w:type="dxa"/>
        <w:tblLayout w:type="fixed"/>
        <w:tblLook w:val="04A0" w:firstRow="1" w:lastRow="0" w:firstColumn="1" w:lastColumn="0" w:noHBand="0" w:noVBand="1"/>
      </w:tblPr>
      <w:tblGrid>
        <w:gridCol w:w="6577"/>
        <w:gridCol w:w="1255"/>
        <w:gridCol w:w="1255"/>
      </w:tblGrid>
      <w:tr w:rsidR="00B26C61" w:rsidTr="00EA3146">
        <w:trPr>
          <w:trHeight w:val="480"/>
        </w:trPr>
        <w:tc>
          <w:tcPr>
            <w:tcW w:w="6500" w:type="dxa"/>
            <w:tcBorders>
              <w:top w:val="single" w:sz="4" w:space="0" w:color="auto"/>
              <w:left w:val="nil"/>
              <w:bottom w:val="nil"/>
              <w:right w:val="nil"/>
            </w:tcBorders>
            <w:shd w:val="clear" w:color="FFFFFF" w:fill="FFFFFF"/>
            <w:vAlign w:val="bottom"/>
            <w:hideMark/>
          </w:tcPr>
          <w:p w:rsidR="00B26C61" w:rsidRDefault="00B26C61" w:rsidP="00EA3146">
            <w:pPr>
              <w:rPr>
                <w:rFonts w:ascii="Arial" w:hAnsi="Arial" w:cs="Arial"/>
                <w:szCs w:val="18"/>
              </w:rPr>
            </w:pPr>
            <w:bookmarkStart w:id="160" w:name="Note_ROPTABLE1" w:colFirst="0" w:colLast="0"/>
            <w:r>
              <w:rPr>
                <w:rFonts w:ascii="Arial" w:hAnsi="Arial" w:cs="Arial"/>
                <w:szCs w:val="18"/>
              </w:rPr>
              <w:t> </w:t>
            </w:r>
          </w:p>
        </w:tc>
        <w:tc>
          <w:tcPr>
            <w:tcW w:w="1240"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xml:space="preserve">Provision for restoration </w:t>
            </w:r>
          </w:p>
        </w:tc>
        <w:tc>
          <w:tcPr>
            <w:tcW w:w="1240"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Total</w:t>
            </w:r>
          </w:p>
        </w:tc>
      </w:tr>
      <w:bookmarkEnd w:id="160"/>
      <w:tr w:rsidR="00B26C61" w:rsidTr="00EA3146">
        <w:trPr>
          <w:trHeight w:val="255"/>
        </w:trPr>
        <w:tc>
          <w:tcPr>
            <w:tcW w:w="6500" w:type="dxa"/>
            <w:tcBorders>
              <w:top w:val="nil"/>
              <w:left w:val="nil"/>
              <w:bottom w:val="single" w:sz="4" w:space="0" w:color="auto"/>
              <w:right w:val="nil"/>
            </w:tcBorders>
            <w:shd w:val="clear" w:color="FFFFFF" w:fill="FFFFFF"/>
            <w:vAlign w:val="bottom"/>
            <w:hideMark/>
          </w:tcPr>
          <w:p w:rsidR="00B26C61" w:rsidRDefault="00B26C61" w:rsidP="00EA3146">
            <w:pPr>
              <w:rPr>
                <w:rFonts w:ascii="Arial" w:hAnsi="Arial" w:cs="Arial"/>
                <w:szCs w:val="18"/>
              </w:rPr>
            </w:pPr>
            <w:r>
              <w:rPr>
                <w:rFonts w:ascii="Arial" w:hAnsi="Arial" w:cs="Arial"/>
                <w:szCs w:val="18"/>
              </w:rPr>
              <w:t> </w:t>
            </w:r>
          </w:p>
        </w:tc>
        <w:tc>
          <w:tcPr>
            <w:tcW w:w="1240"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240"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500"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As at 19 September 2013</w:t>
            </w:r>
          </w:p>
        </w:tc>
        <w:tc>
          <w:tcPr>
            <w:tcW w:w="124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1,526 </w:t>
            </w:r>
          </w:p>
        </w:tc>
        <w:tc>
          <w:tcPr>
            <w:tcW w:w="124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1,526</w:t>
            </w:r>
          </w:p>
        </w:tc>
      </w:tr>
      <w:tr w:rsidR="00B26C61" w:rsidTr="00EA3146">
        <w:trPr>
          <w:trHeight w:val="255"/>
        </w:trPr>
        <w:tc>
          <w:tcPr>
            <w:tcW w:w="6500" w:type="dxa"/>
            <w:tcBorders>
              <w:top w:val="nil"/>
              <w:left w:val="nil"/>
              <w:bottom w:val="nil"/>
              <w:right w:val="nil"/>
            </w:tcBorders>
            <w:shd w:val="clear" w:color="FFFFFF" w:fill="FFFFFF"/>
            <w:vAlign w:val="bottom"/>
            <w:hideMark/>
          </w:tcPr>
          <w:p w:rsidR="00B26C61" w:rsidRDefault="00B26C61" w:rsidP="00B26C61">
            <w:pPr>
              <w:ind w:firstLineChars="100" w:firstLine="180"/>
              <w:rPr>
                <w:rFonts w:cs="Calibri"/>
                <w:szCs w:val="18"/>
              </w:rPr>
            </w:pPr>
            <w:r>
              <w:rPr>
                <w:rFonts w:cs="Calibri"/>
                <w:szCs w:val="18"/>
              </w:rPr>
              <w:t>Additional provisions made</w:t>
            </w:r>
          </w:p>
        </w:tc>
        <w:tc>
          <w:tcPr>
            <w:tcW w:w="124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 </w:t>
            </w:r>
          </w:p>
        </w:tc>
        <w:tc>
          <w:tcPr>
            <w:tcW w:w="124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w:t>
            </w:r>
          </w:p>
        </w:tc>
      </w:tr>
      <w:tr w:rsidR="00B26C61" w:rsidTr="00EA3146">
        <w:trPr>
          <w:trHeight w:val="255"/>
        </w:trPr>
        <w:tc>
          <w:tcPr>
            <w:tcW w:w="6500" w:type="dxa"/>
            <w:tcBorders>
              <w:top w:val="nil"/>
              <w:left w:val="nil"/>
              <w:bottom w:val="nil"/>
              <w:right w:val="nil"/>
            </w:tcBorders>
            <w:shd w:val="clear" w:color="FFFFFF" w:fill="FFFFFF"/>
            <w:vAlign w:val="bottom"/>
            <w:hideMark/>
          </w:tcPr>
          <w:p w:rsidR="00B26C61" w:rsidRDefault="00B26C61" w:rsidP="00B26C61">
            <w:pPr>
              <w:ind w:firstLineChars="100" w:firstLine="180"/>
              <w:rPr>
                <w:rFonts w:cs="Calibri"/>
                <w:szCs w:val="18"/>
              </w:rPr>
            </w:pPr>
            <w:r>
              <w:rPr>
                <w:rFonts w:cs="Calibri"/>
                <w:szCs w:val="18"/>
              </w:rPr>
              <w:t>Amounts reversed</w:t>
            </w:r>
          </w:p>
        </w:tc>
        <w:tc>
          <w:tcPr>
            <w:tcW w:w="124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(178)</w:t>
            </w:r>
          </w:p>
        </w:tc>
        <w:tc>
          <w:tcPr>
            <w:tcW w:w="124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(178)</w:t>
            </w:r>
          </w:p>
        </w:tc>
      </w:tr>
      <w:tr w:rsidR="00B26C61" w:rsidTr="00EA3146">
        <w:trPr>
          <w:trHeight w:val="255"/>
        </w:trPr>
        <w:tc>
          <w:tcPr>
            <w:tcW w:w="6500" w:type="dxa"/>
            <w:tcBorders>
              <w:top w:val="nil"/>
              <w:left w:val="nil"/>
              <w:bottom w:val="nil"/>
              <w:right w:val="nil"/>
            </w:tcBorders>
            <w:shd w:val="clear" w:color="FFFFFF" w:fill="FFFFFF"/>
            <w:vAlign w:val="bottom"/>
            <w:hideMark/>
          </w:tcPr>
          <w:p w:rsidR="00B26C61" w:rsidRDefault="00B26C61" w:rsidP="00B26C61">
            <w:pPr>
              <w:ind w:firstLineChars="100" w:firstLine="180"/>
              <w:rPr>
                <w:rFonts w:cs="Calibri"/>
                <w:szCs w:val="18"/>
              </w:rPr>
            </w:pPr>
            <w:r>
              <w:rPr>
                <w:rFonts w:cs="Calibri"/>
                <w:szCs w:val="18"/>
              </w:rPr>
              <w:t>Unwinding of discount or change in discount rate</w:t>
            </w:r>
          </w:p>
        </w:tc>
        <w:tc>
          <w:tcPr>
            <w:tcW w:w="124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(35)</w:t>
            </w:r>
          </w:p>
        </w:tc>
        <w:tc>
          <w:tcPr>
            <w:tcW w:w="124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(35)</w:t>
            </w:r>
          </w:p>
        </w:tc>
      </w:tr>
      <w:tr w:rsidR="00B26C61" w:rsidTr="00EA3146">
        <w:trPr>
          <w:trHeight w:val="255"/>
        </w:trPr>
        <w:tc>
          <w:tcPr>
            <w:tcW w:w="6500"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 as at 30 June 2014</w:t>
            </w:r>
          </w:p>
        </w:tc>
        <w:tc>
          <w:tcPr>
            <w:tcW w:w="1240"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1,315</w:t>
            </w:r>
          </w:p>
        </w:tc>
        <w:tc>
          <w:tcPr>
            <w:tcW w:w="1240"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1,315</w:t>
            </w:r>
          </w:p>
        </w:tc>
      </w:tr>
    </w:tbl>
    <w:p w:rsidR="00B26C61" w:rsidRDefault="00B26C61" w:rsidP="00B26C61">
      <w:bookmarkStart w:id="161" w:name="RANGE!D7:F15"/>
      <w:bookmarkStart w:id="162" w:name="RANGE!D8:F16"/>
      <w:bookmarkEnd w:id="161"/>
      <w:bookmarkEnd w:id="162"/>
    </w:p>
    <w:p w:rsidR="00B26C61" w:rsidRDefault="00B26C61" w:rsidP="00B26C61">
      <w:bookmarkStart w:id="163" w:name="RANGE!D18:G26"/>
      <w:bookmarkStart w:id="164" w:name="RANGE!D18:G27"/>
      <w:bookmarkStart w:id="165" w:name="RANGE!D18:G25"/>
      <w:bookmarkEnd w:id="163"/>
      <w:bookmarkEnd w:id="164"/>
      <w:bookmarkEnd w:id="165"/>
    </w:p>
    <w:p w:rsidR="00B26C61" w:rsidRDefault="00B26C61" w:rsidP="00B26C61">
      <w:pPr>
        <w:pStyle w:val="NotesText0"/>
      </w:pPr>
      <w:r>
        <w:t>The department currently has 5 agreements for the leasing of premises which have provisions requiring the department to restore the premises to their original condition at the conclusion of the lease.  The department has made a provision to reflect the present value of this obligation.</w:t>
      </w:r>
    </w:p>
    <w:p w:rsidR="00B26C61" w:rsidRDefault="00B26C61" w:rsidP="00B26C61">
      <w:pPr>
        <w:spacing w:line="240" w:lineRule="auto"/>
        <w:rPr>
          <w:rFonts w:asciiTheme="minorHAnsi" w:hAnsiTheme="minorHAnsi" w:cs="Arial"/>
          <w:szCs w:val="18"/>
          <w:lang w:eastAsia="en-AU"/>
        </w:rPr>
        <w:sectPr w:rsidR="00B26C61">
          <w:pgSz w:w="11906" w:h="16838"/>
          <w:pgMar w:top="1134" w:right="1134" w:bottom="1134" w:left="1134" w:header="958" w:footer="737" w:gutter="0"/>
          <w:cols w:space="720"/>
        </w:sectPr>
      </w:pPr>
    </w:p>
    <w:p w:rsidR="00B26C61" w:rsidRDefault="00B26C61" w:rsidP="00B26C61">
      <w:pPr>
        <w:pStyle w:val="NotesHeading-Level1"/>
        <w:rPr>
          <w:rFonts w:cstheme="minorHAnsi"/>
        </w:rPr>
      </w:pPr>
      <w:bookmarkStart w:id="166" w:name="_Toc398813152"/>
      <w:r>
        <w:rPr>
          <w:rFonts w:cstheme="minorHAnsi"/>
        </w:rPr>
        <w:lastRenderedPageBreak/>
        <w:t>Restructuring</w:t>
      </w:r>
      <w:bookmarkEnd w:id="166"/>
    </w:p>
    <w:tbl>
      <w:tblPr>
        <w:tblW w:w="9087" w:type="dxa"/>
        <w:tblInd w:w="80" w:type="dxa"/>
        <w:tblLayout w:type="fixed"/>
        <w:tblLook w:val="04A0" w:firstRow="1" w:lastRow="0" w:firstColumn="1" w:lastColumn="0" w:noHBand="0" w:noVBand="1"/>
      </w:tblPr>
      <w:tblGrid>
        <w:gridCol w:w="3097"/>
        <w:gridCol w:w="1569"/>
        <w:gridCol w:w="1438"/>
        <w:gridCol w:w="1488"/>
        <w:gridCol w:w="1495"/>
      </w:tblGrid>
      <w:tr w:rsidR="00B26C61" w:rsidTr="00EA3146">
        <w:trPr>
          <w:trHeight w:val="255"/>
        </w:trPr>
        <w:tc>
          <w:tcPr>
            <w:tcW w:w="9007" w:type="dxa"/>
            <w:gridSpan w:val="5"/>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167" w:name="RANGE!D7:H50"/>
            <w:bookmarkStart w:id="168" w:name="RANGE!D7:D50"/>
            <w:bookmarkStart w:id="169" w:name="Note_RESTABLE1" w:colFirst="0" w:colLast="0"/>
            <w:bookmarkEnd w:id="167"/>
            <w:r>
              <w:rPr>
                <w:rFonts w:cs="Calibri"/>
                <w:b/>
                <w:bCs/>
                <w:szCs w:val="18"/>
                <w:u w:val="single"/>
              </w:rPr>
              <w:t xml:space="preserve">Note </w:t>
            </w:r>
            <w:proofErr w:type="spellStart"/>
            <w:r>
              <w:rPr>
                <w:rFonts w:cs="Calibri"/>
                <w:b/>
                <w:bCs/>
                <w:szCs w:val="18"/>
                <w:u w:val="single"/>
              </w:rPr>
              <w:t>10A</w:t>
            </w:r>
            <w:proofErr w:type="spellEnd"/>
            <w:r>
              <w:rPr>
                <w:rFonts w:cs="Calibri"/>
                <w:b/>
                <w:bCs/>
                <w:szCs w:val="18"/>
                <w:u w:val="single"/>
              </w:rPr>
              <w:t>: Departmental Restructuring</w:t>
            </w:r>
            <w:bookmarkEnd w:id="168"/>
          </w:p>
        </w:tc>
      </w:tr>
      <w:bookmarkEnd w:id="169"/>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555"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425"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475"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482"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3070"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5937" w:type="dxa"/>
            <w:gridSpan w:val="4"/>
            <w:tcBorders>
              <w:top w:val="single" w:sz="4" w:space="0" w:color="auto"/>
              <w:left w:val="nil"/>
              <w:bottom w:val="single" w:sz="4" w:space="0" w:color="auto"/>
              <w:right w:val="nil"/>
            </w:tcBorders>
            <w:shd w:val="clear" w:color="FFFFFF" w:fill="FFFFFF"/>
            <w:vAlign w:val="bottom"/>
            <w:hideMark/>
          </w:tcPr>
          <w:p w:rsidR="00B26C61" w:rsidRDefault="00B26C61" w:rsidP="00EA3146">
            <w:pPr>
              <w:jc w:val="center"/>
              <w:rPr>
                <w:rFonts w:cs="Calibri"/>
                <w:b/>
                <w:bCs/>
                <w:szCs w:val="18"/>
              </w:rPr>
            </w:pPr>
            <w:r>
              <w:rPr>
                <w:rFonts w:cs="Calibri"/>
                <w:b/>
                <w:bCs/>
                <w:szCs w:val="18"/>
              </w:rPr>
              <w:t>2014</w:t>
            </w:r>
          </w:p>
        </w:tc>
      </w:tr>
      <w:tr w:rsidR="00B26C61" w:rsidTr="00EA3146">
        <w:trPr>
          <w:trHeight w:val="480"/>
        </w:trPr>
        <w:tc>
          <w:tcPr>
            <w:tcW w:w="3070"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555" w:type="dxa"/>
            <w:tcBorders>
              <w:top w:val="nil"/>
              <w:left w:val="nil"/>
              <w:bottom w:val="nil"/>
              <w:right w:val="nil"/>
            </w:tcBorders>
            <w:shd w:val="clear" w:color="FFFFFF" w:fill="FFFFFF"/>
            <w:hideMark/>
          </w:tcPr>
          <w:p w:rsidR="00B26C61" w:rsidRDefault="00B26C61" w:rsidP="00EA3146">
            <w:pPr>
              <w:rPr>
                <w:rFonts w:cs="Calibri"/>
                <w:b/>
                <w:bCs/>
                <w:szCs w:val="18"/>
              </w:rPr>
            </w:pPr>
            <w:r>
              <w:rPr>
                <w:rFonts w:cs="Calibri"/>
                <w:b/>
                <w:bCs/>
                <w:szCs w:val="18"/>
              </w:rPr>
              <w:t>Employment and Workplace Relations Functions</w:t>
            </w:r>
          </w:p>
        </w:tc>
        <w:tc>
          <w:tcPr>
            <w:tcW w:w="1425" w:type="dxa"/>
            <w:tcBorders>
              <w:top w:val="nil"/>
              <w:left w:val="nil"/>
              <w:bottom w:val="nil"/>
              <w:right w:val="nil"/>
            </w:tcBorders>
            <w:shd w:val="clear" w:color="FFFFFF" w:fill="FFFFFF"/>
            <w:hideMark/>
          </w:tcPr>
          <w:p w:rsidR="00B26C61" w:rsidRDefault="00B26C61" w:rsidP="00EA3146">
            <w:pPr>
              <w:rPr>
                <w:rFonts w:cs="Calibri"/>
                <w:b/>
                <w:bCs/>
                <w:szCs w:val="18"/>
              </w:rPr>
            </w:pPr>
            <w:r>
              <w:rPr>
                <w:rFonts w:cs="Calibri"/>
                <w:b/>
                <w:bCs/>
                <w:szCs w:val="18"/>
              </w:rPr>
              <w:t>State Network and Corporate Functions</w:t>
            </w:r>
          </w:p>
        </w:tc>
        <w:tc>
          <w:tcPr>
            <w:tcW w:w="1475" w:type="dxa"/>
            <w:tcBorders>
              <w:top w:val="nil"/>
              <w:left w:val="nil"/>
              <w:bottom w:val="nil"/>
              <w:right w:val="nil"/>
            </w:tcBorders>
            <w:shd w:val="clear" w:color="FFFFFF" w:fill="FFFFFF"/>
            <w:hideMark/>
          </w:tcPr>
          <w:p w:rsidR="00B26C61" w:rsidRDefault="00B26C61" w:rsidP="00EA3146">
            <w:pPr>
              <w:rPr>
                <w:rFonts w:cs="Calibri"/>
                <w:b/>
                <w:bCs/>
                <w:szCs w:val="18"/>
              </w:rPr>
            </w:pPr>
            <w:r>
              <w:rPr>
                <w:rFonts w:cs="Calibri"/>
                <w:b/>
                <w:bCs/>
                <w:szCs w:val="18"/>
              </w:rPr>
              <w:t>Indigenous Functions</w:t>
            </w:r>
          </w:p>
        </w:tc>
        <w:tc>
          <w:tcPr>
            <w:tcW w:w="1482" w:type="dxa"/>
            <w:tcBorders>
              <w:top w:val="nil"/>
              <w:left w:val="nil"/>
              <w:bottom w:val="nil"/>
              <w:right w:val="nil"/>
            </w:tcBorders>
            <w:shd w:val="clear" w:color="FFFFFF" w:fill="FFFFFF"/>
            <w:hideMark/>
          </w:tcPr>
          <w:p w:rsidR="00B26C61" w:rsidRDefault="00B26C61" w:rsidP="00EA3146">
            <w:pPr>
              <w:rPr>
                <w:rFonts w:cs="Calibri"/>
                <w:b/>
                <w:bCs/>
                <w:szCs w:val="18"/>
              </w:rPr>
            </w:pPr>
            <w:r>
              <w:rPr>
                <w:rFonts w:cs="Calibri"/>
                <w:b/>
                <w:bCs/>
                <w:szCs w:val="18"/>
              </w:rPr>
              <w:t>Disability Employment Functions</w:t>
            </w:r>
          </w:p>
        </w:tc>
      </w:tr>
      <w:tr w:rsidR="00B26C61" w:rsidTr="00EA3146">
        <w:trPr>
          <w:trHeight w:val="1005"/>
        </w:trPr>
        <w:tc>
          <w:tcPr>
            <w:tcW w:w="3070"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555" w:type="dxa"/>
            <w:tcBorders>
              <w:top w:val="nil"/>
              <w:left w:val="nil"/>
              <w:bottom w:val="nil"/>
              <w:right w:val="nil"/>
            </w:tcBorders>
            <w:shd w:val="clear" w:color="FFFFFF" w:fill="FFFFFF"/>
            <w:hideMark/>
          </w:tcPr>
          <w:p w:rsidR="00B26C61" w:rsidRDefault="00B26C61" w:rsidP="00EA3146">
            <w:pPr>
              <w:rPr>
                <w:rFonts w:cs="Calibri"/>
                <w:b/>
                <w:bCs/>
                <w:szCs w:val="18"/>
              </w:rPr>
            </w:pPr>
            <w:r>
              <w:rPr>
                <w:rFonts w:cs="Calibri"/>
                <w:b/>
                <w:bCs/>
                <w:szCs w:val="18"/>
              </w:rPr>
              <w:t xml:space="preserve">Department of Education, Employment and Workplace </w:t>
            </w:r>
            <w:proofErr w:type="spellStart"/>
            <w:r>
              <w:rPr>
                <w:rFonts w:cs="Calibri"/>
                <w:b/>
                <w:bCs/>
                <w:szCs w:val="18"/>
              </w:rPr>
              <w:t>Relations</w:t>
            </w:r>
            <w:r>
              <w:rPr>
                <w:rFonts w:cs="Calibri"/>
                <w:b/>
                <w:bCs/>
                <w:szCs w:val="18"/>
                <w:vertAlign w:val="superscript"/>
              </w:rPr>
              <w:t>1</w:t>
            </w:r>
            <w:proofErr w:type="spellEnd"/>
          </w:p>
        </w:tc>
        <w:tc>
          <w:tcPr>
            <w:tcW w:w="1425" w:type="dxa"/>
            <w:tcBorders>
              <w:top w:val="nil"/>
              <w:left w:val="nil"/>
              <w:bottom w:val="nil"/>
              <w:right w:val="nil"/>
            </w:tcBorders>
            <w:shd w:val="clear" w:color="FFFFFF" w:fill="FFFFFF"/>
            <w:hideMark/>
          </w:tcPr>
          <w:p w:rsidR="00B26C61" w:rsidRDefault="00B26C61" w:rsidP="00EA3146">
            <w:pPr>
              <w:rPr>
                <w:rFonts w:cs="Calibri"/>
                <w:b/>
                <w:bCs/>
                <w:szCs w:val="18"/>
              </w:rPr>
            </w:pPr>
            <w:r>
              <w:rPr>
                <w:rFonts w:cs="Calibri"/>
                <w:b/>
                <w:bCs/>
                <w:szCs w:val="18"/>
              </w:rPr>
              <w:t xml:space="preserve">Department of </w:t>
            </w:r>
            <w:proofErr w:type="spellStart"/>
            <w:r>
              <w:rPr>
                <w:rFonts w:cs="Calibri"/>
                <w:b/>
                <w:bCs/>
                <w:szCs w:val="18"/>
              </w:rPr>
              <w:t>Education</w:t>
            </w:r>
            <w:r>
              <w:rPr>
                <w:rFonts w:cs="Calibri"/>
                <w:b/>
                <w:bCs/>
                <w:szCs w:val="18"/>
                <w:vertAlign w:val="superscript"/>
              </w:rPr>
              <w:t>2</w:t>
            </w:r>
            <w:proofErr w:type="spellEnd"/>
          </w:p>
        </w:tc>
        <w:tc>
          <w:tcPr>
            <w:tcW w:w="1475" w:type="dxa"/>
            <w:tcBorders>
              <w:top w:val="nil"/>
              <w:left w:val="nil"/>
              <w:bottom w:val="nil"/>
              <w:right w:val="nil"/>
            </w:tcBorders>
            <w:shd w:val="clear" w:color="FFFFFF" w:fill="FFFFFF"/>
            <w:hideMark/>
          </w:tcPr>
          <w:p w:rsidR="00B26C61" w:rsidRDefault="00B26C61" w:rsidP="00EA3146">
            <w:pPr>
              <w:rPr>
                <w:rFonts w:cs="Calibri"/>
                <w:b/>
                <w:bCs/>
                <w:szCs w:val="18"/>
              </w:rPr>
            </w:pPr>
            <w:r>
              <w:rPr>
                <w:rFonts w:cs="Calibri"/>
                <w:b/>
                <w:bCs/>
                <w:szCs w:val="18"/>
              </w:rPr>
              <w:t xml:space="preserve">Department of the Prime Minister and </w:t>
            </w:r>
            <w:proofErr w:type="spellStart"/>
            <w:r>
              <w:rPr>
                <w:rFonts w:cs="Calibri"/>
                <w:b/>
                <w:bCs/>
                <w:szCs w:val="18"/>
              </w:rPr>
              <w:t>Cabinet</w:t>
            </w:r>
            <w:r>
              <w:rPr>
                <w:rFonts w:cs="Calibri"/>
                <w:b/>
                <w:bCs/>
                <w:szCs w:val="18"/>
                <w:vertAlign w:val="superscript"/>
              </w:rPr>
              <w:t>3</w:t>
            </w:r>
            <w:proofErr w:type="spellEnd"/>
          </w:p>
        </w:tc>
        <w:tc>
          <w:tcPr>
            <w:tcW w:w="1482" w:type="dxa"/>
            <w:tcBorders>
              <w:top w:val="nil"/>
              <w:left w:val="nil"/>
              <w:bottom w:val="nil"/>
              <w:right w:val="nil"/>
            </w:tcBorders>
            <w:shd w:val="clear" w:color="FFFFFF" w:fill="FFFFFF"/>
            <w:hideMark/>
          </w:tcPr>
          <w:p w:rsidR="00B26C61" w:rsidRDefault="00B26C61" w:rsidP="00EA3146">
            <w:pPr>
              <w:rPr>
                <w:rFonts w:cs="Calibri"/>
                <w:b/>
                <w:bCs/>
                <w:szCs w:val="18"/>
              </w:rPr>
            </w:pPr>
            <w:r>
              <w:rPr>
                <w:rFonts w:cs="Calibri"/>
                <w:b/>
                <w:bCs/>
                <w:szCs w:val="18"/>
              </w:rPr>
              <w:t xml:space="preserve">Department of Social </w:t>
            </w:r>
            <w:proofErr w:type="spellStart"/>
            <w:r>
              <w:rPr>
                <w:rFonts w:cs="Calibri"/>
                <w:b/>
                <w:bCs/>
                <w:szCs w:val="18"/>
              </w:rPr>
              <w:t>Services</w:t>
            </w:r>
            <w:r>
              <w:rPr>
                <w:rFonts w:cs="Calibri"/>
                <w:b/>
                <w:bCs/>
                <w:szCs w:val="18"/>
                <w:vertAlign w:val="superscript"/>
              </w:rPr>
              <w:t>4</w:t>
            </w:r>
            <w:proofErr w:type="spellEnd"/>
          </w:p>
        </w:tc>
      </w:tr>
      <w:tr w:rsidR="00B26C61" w:rsidTr="00EA3146">
        <w:trPr>
          <w:trHeight w:val="255"/>
        </w:trPr>
        <w:tc>
          <w:tcPr>
            <w:tcW w:w="3070" w:type="dxa"/>
            <w:tcBorders>
              <w:top w:val="nil"/>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555"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425"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475"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482"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3070"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FUNCTIONS ASSUMED</w:t>
            </w:r>
          </w:p>
        </w:tc>
        <w:tc>
          <w:tcPr>
            <w:tcW w:w="1555"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25"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75"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82"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3070"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Assets recognised</w:t>
            </w:r>
          </w:p>
        </w:tc>
        <w:tc>
          <w:tcPr>
            <w:tcW w:w="1555"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 </w:t>
            </w:r>
          </w:p>
        </w:tc>
        <w:tc>
          <w:tcPr>
            <w:tcW w:w="1425"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 </w:t>
            </w:r>
          </w:p>
        </w:tc>
        <w:tc>
          <w:tcPr>
            <w:tcW w:w="1475"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 </w:t>
            </w:r>
          </w:p>
        </w:tc>
        <w:tc>
          <w:tcPr>
            <w:tcW w:w="1482"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Cash and cash equivalents</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1,995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Trade and other receivables</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21,858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Other financial assets</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3,948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Leasehold Improvements</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25,283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Infrastructure, plant and equipment</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18,267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Intangibles</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67,286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Other non-financial assets</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18,893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3070"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 assets recognised</w:t>
            </w:r>
          </w:p>
        </w:tc>
        <w:tc>
          <w:tcPr>
            <w:tcW w:w="155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157,530</w:t>
            </w:r>
          </w:p>
        </w:tc>
        <w:tc>
          <w:tcPr>
            <w:tcW w:w="142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47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482"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55"/>
        </w:trPr>
        <w:tc>
          <w:tcPr>
            <w:tcW w:w="3070"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Liabilities recognised</w:t>
            </w:r>
          </w:p>
        </w:tc>
        <w:tc>
          <w:tcPr>
            <w:tcW w:w="1555"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25"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75"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82"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Suppliers</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(5,194)</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Other payables</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(17,344)</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Employee provisions</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(71,176)</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(14,277)</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Other provisions</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(1,526)</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3070"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 liabilities recognised</w:t>
            </w:r>
          </w:p>
        </w:tc>
        <w:tc>
          <w:tcPr>
            <w:tcW w:w="155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(95,240)</w:t>
            </w:r>
          </w:p>
        </w:tc>
        <w:tc>
          <w:tcPr>
            <w:tcW w:w="142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(14,277)</w:t>
            </w:r>
          </w:p>
        </w:tc>
        <w:tc>
          <w:tcPr>
            <w:tcW w:w="147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482"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55"/>
        </w:trPr>
        <w:tc>
          <w:tcPr>
            <w:tcW w:w="3070" w:type="dxa"/>
            <w:tcBorders>
              <w:top w:val="nil"/>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Net assets recognised</w:t>
            </w:r>
          </w:p>
        </w:tc>
        <w:tc>
          <w:tcPr>
            <w:tcW w:w="1555"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62,290</w:t>
            </w:r>
          </w:p>
        </w:tc>
        <w:tc>
          <w:tcPr>
            <w:tcW w:w="1425"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(14,277)</w:t>
            </w:r>
          </w:p>
        </w:tc>
        <w:tc>
          <w:tcPr>
            <w:tcW w:w="1475"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482"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55"/>
        </w:trPr>
        <w:tc>
          <w:tcPr>
            <w:tcW w:w="3070"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Income assumed</w:t>
            </w:r>
          </w:p>
        </w:tc>
        <w:tc>
          <w:tcPr>
            <w:tcW w:w="1555"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c>
          <w:tcPr>
            <w:tcW w:w="1425"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c>
          <w:tcPr>
            <w:tcW w:w="1475"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c>
          <w:tcPr>
            <w:tcW w:w="1482"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Recognised by the receiving entity</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303,685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Recognised by the losing entity</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41,538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3070"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 income assumed</w:t>
            </w:r>
          </w:p>
        </w:tc>
        <w:tc>
          <w:tcPr>
            <w:tcW w:w="155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345,223</w:t>
            </w:r>
          </w:p>
        </w:tc>
        <w:tc>
          <w:tcPr>
            <w:tcW w:w="142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47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482"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55"/>
        </w:trPr>
        <w:tc>
          <w:tcPr>
            <w:tcW w:w="3070" w:type="dxa"/>
            <w:tcBorders>
              <w:top w:val="nil"/>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Expenses assumed</w:t>
            </w:r>
          </w:p>
        </w:tc>
        <w:tc>
          <w:tcPr>
            <w:tcW w:w="1555"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c>
          <w:tcPr>
            <w:tcW w:w="1425"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c>
          <w:tcPr>
            <w:tcW w:w="1475"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c>
          <w:tcPr>
            <w:tcW w:w="1482"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Recognised by the receiving entity</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(329,126)</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Recognised by the losing entity</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(83,340)</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3070"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 expenses assumed</w:t>
            </w:r>
          </w:p>
        </w:tc>
        <w:tc>
          <w:tcPr>
            <w:tcW w:w="155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(412,466)</w:t>
            </w:r>
          </w:p>
        </w:tc>
        <w:tc>
          <w:tcPr>
            <w:tcW w:w="142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47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482"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162"/>
        </w:trPr>
        <w:tc>
          <w:tcPr>
            <w:tcW w:w="3070"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3070"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FUNCTIONS RELINQUISHED</w:t>
            </w:r>
          </w:p>
        </w:tc>
        <w:tc>
          <w:tcPr>
            <w:tcW w:w="1555"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25"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75"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82"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70"/>
        </w:trPr>
        <w:tc>
          <w:tcPr>
            <w:tcW w:w="3070"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Assets relinquished</w:t>
            </w:r>
          </w:p>
        </w:tc>
        <w:tc>
          <w:tcPr>
            <w:tcW w:w="1555"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 </w:t>
            </w:r>
          </w:p>
        </w:tc>
        <w:tc>
          <w:tcPr>
            <w:tcW w:w="1425"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 </w:t>
            </w:r>
          </w:p>
        </w:tc>
        <w:tc>
          <w:tcPr>
            <w:tcW w:w="1475"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 </w:t>
            </w:r>
          </w:p>
        </w:tc>
        <w:tc>
          <w:tcPr>
            <w:tcW w:w="1482"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Leasehold Improvements</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119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Infrastructure, plant and equipment</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27 </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 </w:t>
            </w:r>
          </w:p>
        </w:tc>
      </w:tr>
      <w:tr w:rsidR="00B26C61" w:rsidTr="00EA3146">
        <w:trPr>
          <w:trHeight w:val="255"/>
        </w:trPr>
        <w:tc>
          <w:tcPr>
            <w:tcW w:w="3070"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 assets relinquished</w:t>
            </w:r>
          </w:p>
        </w:tc>
        <w:tc>
          <w:tcPr>
            <w:tcW w:w="155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42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47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146</w:t>
            </w:r>
          </w:p>
        </w:tc>
        <w:tc>
          <w:tcPr>
            <w:tcW w:w="1482"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w:t>
            </w:r>
          </w:p>
        </w:tc>
      </w:tr>
      <w:tr w:rsidR="00B26C61" w:rsidTr="00EA3146">
        <w:trPr>
          <w:trHeight w:val="255"/>
        </w:trPr>
        <w:tc>
          <w:tcPr>
            <w:tcW w:w="3070"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Liabilities relinquished</w:t>
            </w:r>
          </w:p>
        </w:tc>
        <w:tc>
          <w:tcPr>
            <w:tcW w:w="1555"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25"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75"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82"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3070"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Employee provisions</w:t>
            </w:r>
          </w:p>
        </w:tc>
        <w:tc>
          <w:tcPr>
            <w:tcW w:w="155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42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(6,504)</w:t>
            </w:r>
          </w:p>
        </w:tc>
        <w:tc>
          <w:tcPr>
            <w:tcW w:w="147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(9,970)</w:t>
            </w:r>
          </w:p>
        </w:tc>
        <w:tc>
          <w:tcPr>
            <w:tcW w:w="1482"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(8,772)</w:t>
            </w:r>
          </w:p>
        </w:tc>
      </w:tr>
      <w:tr w:rsidR="00B26C61" w:rsidTr="00EA3146">
        <w:trPr>
          <w:trHeight w:val="255"/>
        </w:trPr>
        <w:tc>
          <w:tcPr>
            <w:tcW w:w="3070"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 liabilities relinquished</w:t>
            </w:r>
          </w:p>
        </w:tc>
        <w:tc>
          <w:tcPr>
            <w:tcW w:w="155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42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(6,504)</w:t>
            </w:r>
          </w:p>
        </w:tc>
        <w:tc>
          <w:tcPr>
            <w:tcW w:w="147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(9,970)</w:t>
            </w:r>
          </w:p>
        </w:tc>
        <w:tc>
          <w:tcPr>
            <w:tcW w:w="1482"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(8,772)</w:t>
            </w:r>
          </w:p>
        </w:tc>
      </w:tr>
      <w:tr w:rsidR="00B26C61" w:rsidTr="00EA3146">
        <w:trPr>
          <w:trHeight w:val="255"/>
        </w:trPr>
        <w:tc>
          <w:tcPr>
            <w:tcW w:w="3070" w:type="dxa"/>
            <w:tcBorders>
              <w:top w:val="nil"/>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Net liabilities relinquished</w:t>
            </w:r>
          </w:p>
        </w:tc>
        <w:tc>
          <w:tcPr>
            <w:tcW w:w="1555"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425"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(6,504)</w:t>
            </w:r>
          </w:p>
        </w:tc>
        <w:tc>
          <w:tcPr>
            <w:tcW w:w="1475"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(9,824)</w:t>
            </w:r>
          </w:p>
        </w:tc>
        <w:tc>
          <w:tcPr>
            <w:tcW w:w="1482"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(8,771)</w:t>
            </w:r>
          </w:p>
        </w:tc>
      </w:tr>
    </w:tbl>
    <w:p w:rsidR="00B26C61" w:rsidRDefault="00B26C61" w:rsidP="00B26C61">
      <w:pPr>
        <w:rPr>
          <w:b/>
        </w:rPr>
      </w:pPr>
      <w:bookmarkStart w:id="170" w:name="RANGE!D7:H49"/>
      <w:bookmarkStart w:id="171" w:name="RANGE!D7:G54"/>
      <w:bookmarkStart w:id="172" w:name="RANGE!D7:G59"/>
      <w:bookmarkStart w:id="173" w:name="RANGE!D7:G39"/>
      <w:bookmarkStart w:id="174" w:name="RANGE!D7:K39"/>
      <w:bookmarkStart w:id="175" w:name="RANGE!D7:J25"/>
      <w:bookmarkStart w:id="176" w:name="RANGE!D6:K7"/>
      <w:bookmarkStart w:id="177" w:name="RANGE!D6:L7"/>
      <w:bookmarkEnd w:id="170"/>
      <w:bookmarkEnd w:id="171"/>
      <w:bookmarkEnd w:id="172"/>
      <w:bookmarkEnd w:id="173"/>
      <w:bookmarkEnd w:id="174"/>
      <w:bookmarkEnd w:id="175"/>
      <w:bookmarkEnd w:id="176"/>
      <w:bookmarkEnd w:id="177"/>
    </w:p>
    <w:p w:rsidR="00B26C61" w:rsidRDefault="00B26C61" w:rsidP="00B26C61">
      <w:pPr>
        <w:rPr>
          <w:b/>
        </w:rPr>
      </w:pPr>
    </w:p>
    <w:p w:rsidR="00B26C61" w:rsidRDefault="00B26C61" w:rsidP="00B26C61">
      <w:pPr>
        <w:rPr>
          <w:b/>
        </w:rPr>
      </w:pPr>
    </w:p>
    <w:p w:rsidR="00B26C61" w:rsidRDefault="00B26C61" w:rsidP="00B26C61">
      <w:pPr>
        <w:rPr>
          <w:b/>
        </w:rPr>
      </w:pPr>
    </w:p>
    <w:p w:rsidR="00B26C61" w:rsidRDefault="00B26C61" w:rsidP="00B26C61">
      <w:pPr>
        <w:rPr>
          <w:b/>
        </w:rPr>
      </w:pPr>
      <w:r w:rsidRPr="0070195E">
        <w:rPr>
          <w:b/>
        </w:rPr>
        <w:t>Notes</w:t>
      </w:r>
    </w:p>
    <w:p w:rsidR="00B26C61" w:rsidRPr="00CF12DF" w:rsidRDefault="00B26C61" w:rsidP="00B26C61">
      <w:pPr>
        <w:pStyle w:val="ListParagraph"/>
        <w:numPr>
          <w:ilvl w:val="6"/>
          <w:numId w:val="13"/>
        </w:numPr>
        <w:tabs>
          <w:tab w:val="clear" w:pos="2520"/>
          <w:tab w:val="num" w:pos="426"/>
        </w:tabs>
        <w:spacing w:after="120" w:line="240" w:lineRule="auto"/>
        <w:ind w:left="425" w:hanging="425"/>
        <w:contextualSpacing w:val="0"/>
        <w:rPr>
          <w:rFonts w:asciiTheme="minorHAnsi" w:hAnsiTheme="minorHAnsi" w:cstheme="minorHAnsi"/>
          <w:lang w:eastAsia="en-AU"/>
        </w:rPr>
      </w:pPr>
      <w:r w:rsidRPr="00CF12DF">
        <w:rPr>
          <w:rFonts w:asciiTheme="minorHAnsi" w:hAnsiTheme="minorHAnsi" w:cstheme="minorHAnsi"/>
          <w:lang w:eastAsia="en-AU"/>
        </w:rPr>
        <w:t>The employment and workplace relation functions were assumed from the Department of Education, Employment and Workplace Relations (</w:t>
      </w:r>
      <w:proofErr w:type="spellStart"/>
      <w:r w:rsidRPr="00CF12DF">
        <w:rPr>
          <w:rFonts w:asciiTheme="minorHAnsi" w:hAnsiTheme="minorHAnsi" w:cstheme="minorHAnsi"/>
          <w:lang w:eastAsia="en-AU"/>
        </w:rPr>
        <w:t>DEEWR</w:t>
      </w:r>
      <w:proofErr w:type="spellEnd"/>
      <w:r w:rsidRPr="00CF12DF">
        <w:rPr>
          <w:rFonts w:asciiTheme="minorHAnsi" w:hAnsiTheme="minorHAnsi" w:cstheme="minorHAnsi"/>
          <w:lang w:eastAsia="en-AU"/>
        </w:rPr>
        <w:t>) as a result of the A</w:t>
      </w:r>
      <w:r>
        <w:rPr>
          <w:rFonts w:asciiTheme="minorHAnsi" w:hAnsiTheme="minorHAnsi" w:cstheme="minorHAnsi"/>
          <w:lang w:eastAsia="en-AU"/>
        </w:rPr>
        <w:t>dministrative Arrangement Order</w:t>
      </w:r>
      <w:r w:rsidRPr="00CF12DF">
        <w:rPr>
          <w:rFonts w:asciiTheme="minorHAnsi" w:hAnsiTheme="minorHAnsi" w:cstheme="minorHAnsi"/>
          <w:lang w:eastAsia="en-AU"/>
        </w:rPr>
        <w:t>s on 18 September 2013.</w:t>
      </w:r>
    </w:p>
    <w:p w:rsidR="00B26C61" w:rsidRDefault="00B26C61" w:rsidP="00B26C61">
      <w:pPr>
        <w:pStyle w:val="ListParagraph"/>
        <w:numPr>
          <w:ilvl w:val="6"/>
          <w:numId w:val="13"/>
        </w:numPr>
        <w:tabs>
          <w:tab w:val="clear" w:pos="2520"/>
          <w:tab w:val="num" w:pos="426"/>
        </w:tabs>
        <w:spacing w:after="120" w:line="240" w:lineRule="auto"/>
        <w:ind w:left="425" w:hanging="425"/>
        <w:contextualSpacing w:val="0"/>
        <w:rPr>
          <w:rFonts w:asciiTheme="minorHAnsi" w:hAnsiTheme="minorHAnsi" w:cstheme="minorHAnsi"/>
          <w:lang w:eastAsia="en-AU"/>
        </w:rPr>
      </w:pPr>
      <w:r w:rsidRPr="0041683D">
        <w:rPr>
          <w:rFonts w:asciiTheme="minorHAnsi" w:hAnsiTheme="minorHAnsi" w:cstheme="minorHAnsi"/>
          <w:lang w:eastAsia="en-AU"/>
        </w:rPr>
        <w:t xml:space="preserve">Responsibility for </w:t>
      </w:r>
      <w:r>
        <w:rPr>
          <w:rFonts w:asciiTheme="minorHAnsi" w:hAnsiTheme="minorHAnsi" w:cstheme="minorHAnsi"/>
          <w:lang w:eastAsia="en-AU"/>
        </w:rPr>
        <w:t>c</w:t>
      </w:r>
      <w:r w:rsidRPr="0041683D">
        <w:rPr>
          <w:rFonts w:asciiTheme="minorHAnsi" w:hAnsiTheme="minorHAnsi" w:cstheme="minorHAnsi"/>
          <w:lang w:eastAsia="en-AU"/>
        </w:rPr>
        <w:t xml:space="preserve">orporate and </w:t>
      </w:r>
      <w:r>
        <w:rPr>
          <w:rFonts w:asciiTheme="minorHAnsi" w:hAnsiTheme="minorHAnsi" w:cstheme="minorHAnsi"/>
          <w:lang w:eastAsia="en-AU"/>
        </w:rPr>
        <w:t>s</w:t>
      </w:r>
      <w:r w:rsidRPr="0041683D">
        <w:rPr>
          <w:rFonts w:asciiTheme="minorHAnsi" w:hAnsiTheme="minorHAnsi" w:cstheme="minorHAnsi"/>
          <w:lang w:eastAsia="en-AU"/>
        </w:rPr>
        <w:t xml:space="preserve">tate </w:t>
      </w:r>
      <w:r>
        <w:rPr>
          <w:rFonts w:asciiTheme="minorHAnsi" w:hAnsiTheme="minorHAnsi" w:cstheme="minorHAnsi"/>
          <w:lang w:eastAsia="en-AU"/>
        </w:rPr>
        <w:t>n</w:t>
      </w:r>
      <w:r w:rsidRPr="0041683D">
        <w:rPr>
          <w:rFonts w:asciiTheme="minorHAnsi" w:hAnsiTheme="minorHAnsi" w:cstheme="minorHAnsi"/>
          <w:lang w:eastAsia="en-AU"/>
        </w:rPr>
        <w:t xml:space="preserve">etwork functions in relation to the former </w:t>
      </w:r>
      <w:proofErr w:type="spellStart"/>
      <w:r w:rsidRPr="0041683D">
        <w:rPr>
          <w:rFonts w:asciiTheme="minorHAnsi" w:hAnsiTheme="minorHAnsi" w:cstheme="minorHAnsi"/>
          <w:lang w:eastAsia="en-AU"/>
        </w:rPr>
        <w:t>DEEWR</w:t>
      </w:r>
      <w:proofErr w:type="spellEnd"/>
      <w:r w:rsidRPr="0041683D">
        <w:rPr>
          <w:rFonts w:asciiTheme="minorHAnsi" w:hAnsiTheme="minorHAnsi" w:cstheme="minorHAnsi"/>
          <w:lang w:eastAsia="en-AU"/>
        </w:rPr>
        <w:t xml:space="preserve"> were </w:t>
      </w:r>
      <w:proofErr w:type="gramStart"/>
      <w:r w:rsidRPr="0041683D">
        <w:rPr>
          <w:rFonts w:asciiTheme="minorHAnsi" w:hAnsiTheme="minorHAnsi" w:cstheme="minorHAnsi"/>
          <w:lang w:eastAsia="en-AU"/>
        </w:rPr>
        <w:t>acquired/relinquished</w:t>
      </w:r>
      <w:proofErr w:type="gramEnd"/>
      <w:r w:rsidRPr="0041683D">
        <w:rPr>
          <w:rFonts w:asciiTheme="minorHAnsi" w:hAnsiTheme="minorHAnsi" w:cstheme="minorHAnsi"/>
          <w:lang w:eastAsia="en-AU"/>
        </w:rPr>
        <w:t xml:space="preserve"> from/to the Department of Education on 28 February 2014.  The transfer of staff followed the transfer of function resulting from the Administrative Arrangement Orders on 18 September 2013.</w:t>
      </w:r>
    </w:p>
    <w:p w:rsidR="00B26C61" w:rsidRPr="00CF12DF" w:rsidRDefault="00B26C61" w:rsidP="00B26C61">
      <w:pPr>
        <w:pStyle w:val="ListParagraph"/>
        <w:numPr>
          <w:ilvl w:val="6"/>
          <w:numId w:val="13"/>
        </w:numPr>
        <w:tabs>
          <w:tab w:val="clear" w:pos="2520"/>
          <w:tab w:val="num" w:pos="426"/>
        </w:tabs>
        <w:spacing w:after="120" w:line="240" w:lineRule="auto"/>
        <w:ind w:left="425" w:hanging="425"/>
        <w:contextualSpacing w:val="0"/>
        <w:rPr>
          <w:rFonts w:asciiTheme="minorHAnsi" w:hAnsiTheme="minorHAnsi" w:cstheme="minorHAnsi"/>
          <w:lang w:eastAsia="en-AU"/>
        </w:rPr>
      </w:pPr>
      <w:r>
        <w:rPr>
          <w:rFonts w:asciiTheme="minorHAnsi" w:hAnsiTheme="minorHAnsi" w:cstheme="minorHAnsi"/>
          <w:lang w:eastAsia="en-AU"/>
        </w:rPr>
        <w:t>I</w:t>
      </w:r>
      <w:r w:rsidRPr="00CF12DF">
        <w:rPr>
          <w:rFonts w:asciiTheme="minorHAnsi" w:hAnsiTheme="minorHAnsi" w:cstheme="minorHAnsi"/>
          <w:lang w:eastAsia="en-AU"/>
        </w:rPr>
        <w:t xml:space="preserve">ndigenous functions were relinquished to the Department of </w:t>
      </w:r>
      <w:r>
        <w:rPr>
          <w:rFonts w:asciiTheme="minorHAnsi" w:hAnsiTheme="minorHAnsi" w:cstheme="minorHAnsi"/>
          <w:lang w:eastAsia="en-AU"/>
        </w:rPr>
        <w:t xml:space="preserve">the </w:t>
      </w:r>
      <w:r w:rsidRPr="00CF12DF">
        <w:rPr>
          <w:rFonts w:asciiTheme="minorHAnsi" w:hAnsiTheme="minorHAnsi" w:cstheme="minorHAnsi"/>
          <w:lang w:eastAsia="en-AU"/>
        </w:rPr>
        <w:t>Prime Minister and Cabinet</w:t>
      </w:r>
      <w:r>
        <w:rPr>
          <w:rFonts w:asciiTheme="minorHAnsi" w:hAnsiTheme="minorHAnsi" w:cstheme="minorHAnsi"/>
          <w:lang w:eastAsia="en-AU"/>
        </w:rPr>
        <w:t xml:space="preserve"> (</w:t>
      </w:r>
      <w:proofErr w:type="spellStart"/>
      <w:r>
        <w:rPr>
          <w:rFonts w:asciiTheme="minorHAnsi" w:hAnsiTheme="minorHAnsi" w:cstheme="minorHAnsi"/>
          <w:lang w:eastAsia="en-AU"/>
        </w:rPr>
        <w:t>PM&amp;C</w:t>
      </w:r>
      <w:proofErr w:type="spellEnd"/>
      <w:r>
        <w:rPr>
          <w:rFonts w:asciiTheme="minorHAnsi" w:hAnsiTheme="minorHAnsi" w:cstheme="minorHAnsi"/>
          <w:lang w:eastAsia="en-AU"/>
        </w:rPr>
        <w:t>)</w:t>
      </w:r>
      <w:r w:rsidRPr="00CF12DF">
        <w:rPr>
          <w:rFonts w:asciiTheme="minorHAnsi" w:hAnsiTheme="minorHAnsi" w:cstheme="minorHAnsi"/>
          <w:lang w:eastAsia="en-AU"/>
        </w:rPr>
        <w:t xml:space="preserve"> </w:t>
      </w:r>
      <w:r>
        <w:rPr>
          <w:rFonts w:asciiTheme="minorHAnsi" w:hAnsiTheme="minorHAnsi" w:cstheme="minorHAnsi"/>
          <w:lang w:eastAsia="en-AU"/>
        </w:rPr>
        <w:t xml:space="preserve">during 2013-14 </w:t>
      </w:r>
      <w:r w:rsidRPr="00CF12DF">
        <w:rPr>
          <w:rFonts w:asciiTheme="minorHAnsi" w:hAnsiTheme="minorHAnsi" w:cstheme="minorHAnsi"/>
          <w:lang w:eastAsia="en-AU"/>
        </w:rPr>
        <w:t xml:space="preserve">as a result of Administrative Arrangements Orders on </w:t>
      </w:r>
      <w:r>
        <w:rPr>
          <w:rFonts w:asciiTheme="minorHAnsi" w:hAnsiTheme="minorHAnsi" w:cstheme="minorHAnsi"/>
          <w:lang w:eastAsia="en-AU"/>
        </w:rPr>
        <w:t>18 September</w:t>
      </w:r>
      <w:r w:rsidRPr="00CF12DF">
        <w:rPr>
          <w:rFonts w:asciiTheme="minorHAnsi" w:hAnsiTheme="minorHAnsi" w:cstheme="minorHAnsi"/>
          <w:lang w:eastAsia="en-AU"/>
        </w:rPr>
        <w:t xml:space="preserve"> 2013.</w:t>
      </w:r>
    </w:p>
    <w:p w:rsidR="00B26C61" w:rsidRPr="00CF12DF" w:rsidRDefault="00B26C61" w:rsidP="00B26C61">
      <w:pPr>
        <w:pStyle w:val="ListParagraph"/>
        <w:numPr>
          <w:ilvl w:val="6"/>
          <w:numId w:val="13"/>
        </w:numPr>
        <w:tabs>
          <w:tab w:val="clear" w:pos="2520"/>
          <w:tab w:val="num" w:pos="426"/>
        </w:tabs>
        <w:spacing w:after="120" w:line="240" w:lineRule="auto"/>
        <w:ind w:left="425" w:hanging="425"/>
        <w:contextualSpacing w:val="0"/>
        <w:rPr>
          <w:rFonts w:asciiTheme="minorHAnsi" w:hAnsiTheme="minorHAnsi" w:cstheme="minorHAnsi"/>
          <w:lang w:eastAsia="en-AU"/>
        </w:rPr>
      </w:pPr>
      <w:r w:rsidRPr="00CF12DF">
        <w:rPr>
          <w:rFonts w:asciiTheme="minorHAnsi" w:hAnsiTheme="minorHAnsi" w:cstheme="minorHAnsi"/>
          <w:lang w:eastAsia="en-AU"/>
        </w:rPr>
        <w:t>The disability and income support</w:t>
      </w:r>
      <w:r>
        <w:rPr>
          <w:rFonts w:asciiTheme="minorHAnsi" w:hAnsiTheme="minorHAnsi" w:cstheme="minorHAnsi"/>
          <w:lang w:eastAsia="en-AU"/>
        </w:rPr>
        <w:t xml:space="preserve"> </w:t>
      </w:r>
      <w:r w:rsidRPr="00CF12DF">
        <w:rPr>
          <w:rFonts w:asciiTheme="minorHAnsi" w:hAnsiTheme="minorHAnsi" w:cstheme="minorHAnsi"/>
          <w:lang w:eastAsia="en-AU"/>
        </w:rPr>
        <w:t>functions were relinquished to the Department of Social Services</w:t>
      </w:r>
      <w:r>
        <w:rPr>
          <w:rFonts w:asciiTheme="minorHAnsi" w:hAnsiTheme="minorHAnsi" w:cstheme="minorHAnsi"/>
          <w:lang w:eastAsia="en-AU"/>
        </w:rPr>
        <w:t xml:space="preserve"> (</w:t>
      </w:r>
      <w:proofErr w:type="spellStart"/>
      <w:r>
        <w:rPr>
          <w:rFonts w:asciiTheme="minorHAnsi" w:hAnsiTheme="minorHAnsi" w:cstheme="minorHAnsi"/>
          <w:lang w:eastAsia="en-AU"/>
        </w:rPr>
        <w:t>DSS</w:t>
      </w:r>
      <w:proofErr w:type="spellEnd"/>
      <w:r>
        <w:rPr>
          <w:rFonts w:asciiTheme="minorHAnsi" w:hAnsiTheme="minorHAnsi" w:cstheme="minorHAnsi"/>
          <w:lang w:eastAsia="en-AU"/>
        </w:rPr>
        <w:t>)</w:t>
      </w:r>
      <w:r w:rsidRPr="00CF12DF">
        <w:rPr>
          <w:rFonts w:asciiTheme="minorHAnsi" w:hAnsiTheme="minorHAnsi" w:cstheme="minorHAnsi"/>
          <w:lang w:eastAsia="en-AU"/>
        </w:rPr>
        <w:t xml:space="preserve"> </w:t>
      </w:r>
      <w:r>
        <w:rPr>
          <w:rFonts w:asciiTheme="minorHAnsi" w:hAnsiTheme="minorHAnsi" w:cstheme="minorHAnsi"/>
          <w:lang w:eastAsia="en-AU"/>
        </w:rPr>
        <w:t xml:space="preserve">during 2013-14 </w:t>
      </w:r>
      <w:r w:rsidRPr="00CF12DF">
        <w:rPr>
          <w:rFonts w:asciiTheme="minorHAnsi" w:hAnsiTheme="minorHAnsi" w:cstheme="minorHAnsi"/>
          <w:lang w:eastAsia="en-AU"/>
        </w:rPr>
        <w:t xml:space="preserve">as a result of Administrative Arrangements Orders on </w:t>
      </w:r>
      <w:r>
        <w:rPr>
          <w:rFonts w:asciiTheme="minorHAnsi" w:hAnsiTheme="minorHAnsi" w:cstheme="minorHAnsi"/>
          <w:lang w:eastAsia="en-AU"/>
        </w:rPr>
        <w:t>18 September</w:t>
      </w:r>
      <w:r w:rsidRPr="00CF12DF">
        <w:rPr>
          <w:rFonts w:asciiTheme="minorHAnsi" w:hAnsiTheme="minorHAnsi" w:cstheme="minorHAnsi"/>
          <w:lang w:eastAsia="en-AU"/>
        </w:rPr>
        <w:t xml:space="preserve"> 201</w:t>
      </w:r>
      <w:r>
        <w:rPr>
          <w:rFonts w:asciiTheme="minorHAnsi" w:hAnsiTheme="minorHAnsi" w:cstheme="minorHAnsi"/>
          <w:lang w:eastAsia="en-AU"/>
        </w:rPr>
        <w:t>3</w:t>
      </w:r>
      <w:r w:rsidRPr="00CF12DF">
        <w:rPr>
          <w:rFonts w:asciiTheme="minorHAnsi" w:hAnsiTheme="minorHAnsi" w:cstheme="minorHAnsi"/>
          <w:lang w:eastAsia="en-AU"/>
        </w:rPr>
        <w:t>.</w:t>
      </w:r>
    </w:p>
    <w:p w:rsidR="00B26C61" w:rsidRPr="00CF12DF" w:rsidRDefault="00B26C61" w:rsidP="00B26C61">
      <w:pPr>
        <w:pStyle w:val="ListParagraph"/>
        <w:numPr>
          <w:ilvl w:val="6"/>
          <w:numId w:val="13"/>
        </w:numPr>
        <w:tabs>
          <w:tab w:val="clear" w:pos="2520"/>
          <w:tab w:val="num" w:pos="426"/>
        </w:tabs>
        <w:spacing w:after="120" w:line="240" w:lineRule="auto"/>
        <w:ind w:left="425" w:hanging="425"/>
        <w:contextualSpacing w:val="0"/>
        <w:rPr>
          <w:rFonts w:asciiTheme="minorHAnsi" w:hAnsiTheme="minorHAnsi" w:cstheme="minorHAnsi"/>
          <w:lang w:eastAsia="en-AU"/>
        </w:rPr>
      </w:pPr>
      <w:r w:rsidRPr="00CF12DF">
        <w:rPr>
          <w:rFonts w:asciiTheme="minorHAnsi" w:hAnsiTheme="minorHAnsi" w:cstheme="minorHAnsi"/>
          <w:lang w:eastAsia="en-AU"/>
        </w:rPr>
        <w:t xml:space="preserve">The net assets assumed from </w:t>
      </w:r>
      <w:proofErr w:type="spellStart"/>
      <w:r w:rsidRPr="00CF12DF">
        <w:rPr>
          <w:rFonts w:asciiTheme="minorHAnsi" w:hAnsiTheme="minorHAnsi" w:cstheme="minorHAnsi"/>
          <w:lang w:eastAsia="en-AU"/>
        </w:rPr>
        <w:t>DEEWR</w:t>
      </w:r>
      <w:proofErr w:type="spellEnd"/>
      <w:r w:rsidRPr="00CF12DF">
        <w:rPr>
          <w:rFonts w:asciiTheme="minorHAnsi" w:hAnsiTheme="minorHAnsi" w:cstheme="minorHAnsi"/>
          <w:lang w:eastAsia="en-AU"/>
        </w:rPr>
        <w:t xml:space="preserve"> </w:t>
      </w:r>
      <w:r>
        <w:rPr>
          <w:rFonts w:asciiTheme="minorHAnsi" w:hAnsiTheme="minorHAnsi" w:cstheme="minorHAnsi"/>
          <w:lang w:eastAsia="en-AU"/>
        </w:rPr>
        <w:t xml:space="preserve">and Education </w:t>
      </w:r>
      <w:r w:rsidRPr="00CF12DF">
        <w:rPr>
          <w:rFonts w:asciiTheme="minorHAnsi" w:hAnsiTheme="minorHAnsi" w:cstheme="minorHAnsi"/>
          <w:lang w:eastAsia="en-AU"/>
        </w:rPr>
        <w:t>was $</w:t>
      </w:r>
      <w:r>
        <w:rPr>
          <w:rFonts w:asciiTheme="minorHAnsi" w:hAnsiTheme="minorHAnsi" w:cstheme="minorHAnsi"/>
          <w:lang w:eastAsia="en-AU"/>
        </w:rPr>
        <w:t>48,013</w:t>
      </w:r>
      <w:r w:rsidRPr="00CF12DF">
        <w:rPr>
          <w:rFonts w:asciiTheme="minorHAnsi" w:hAnsiTheme="minorHAnsi" w:cstheme="minorHAnsi"/>
          <w:lang w:eastAsia="en-AU"/>
        </w:rPr>
        <w:t xml:space="preserve">,000 and net liabilities relinquished to </w:t>
      </w:r>
      <w:r>
        <w:rPr>
          <w:rFonts w:asciiTheme="minorHAnsi" w:hAnsiTheme="minorHAnsi" w:cstheme="minorHAnsi"/>
          <w:lang w:eastAsia="en-AU"/>
        </w:rPr>
        <w:t xml:space="preserve">Education, </w:t>
      </w:r>
      <w:proofErr w:type="spellStart"/>
      <w:r w:rsidRPr="00CF12DF">
        <w:rPr>
          <w:rFonts w:asciiTheme="minorHAnsi" w:hAnsiTheme="minorHAnsi" w:cstheme="minorHAnsi"/>
          <w:lang w:eastAsia="en-AU"/>
        </w:rPr>
        <w:t>PM&amp;C</w:t>
      </w:r>
      <w:proofErr w:type="spellEnd"/>
      <w:r w:rsidRPr="00CF12DF">
        <w:rPr>
          <w:rFonts w:asciiTheme="minorHAnsi" w:hAnsiTheme="minorHAnsi" w:cstheme="minorHAnsi"/>
          <w:lang w:eastAsia="en-AU"/>
        </w:rPr>
        <w:t xml:space="preserve"> and </w:t>
      </w:r>
      <w:proofErr w:type="spellStart"/>
      <w:r w:rsidRPr="00CF12DF">
        <w:rPr>
          <w:rFonts w:asciiTheme="minorHAnsi" w:hAnsiTheme="minorHAnsi" w:cstheme="minorHAnsi"/>
          <w:lang w:eastAsia="en-AU"/>
        </w:rPr>
        <w:t>DSS</w:t>
      </w:r>
      <w:proofErr w:type="spellEnd"/>
      <w:r w:rsidRPr="00CF12DF">
        <w:rPr>
          <w:rFonts w:asciiTheme="minorHAnsi" w:hAnsiTheme="minorHAnsi" w:cstheme="minorHAnsi"/>
          <w:lang w:eastAsia="en-AU"/>
        </w:rPr>
        <w:t xml:space="preserve"> was $</w:t>
      </w:r>
      <w:r>
        <w:rPr>
          <w:rFonts w:asciiTheme="minorHAnsi" w:hAnsiTheme="minorHAnsi" w:cstheme="minorHAnsi"/>
          <w:lang w:eastAsia="en-AU"/>
        </w:rPr>
        <w:t>25,099</w:t>
      </w:r>
      <w:r w:rsidRPr="00CF12DF">
        <w:rPr>
          <w:rFonts w:asciiTheme="minorHAnsi" w:hAnsiTheme="minorHAnsi" w:cstheme="minorHAnsi"/>
          <w:lang w:eastAsia="en-AU"/>
        </w:rPr>
        <w:t>,000.</w:t>
      </w:r>
    </w:p>
    <w:p w:rsidR="00B26C61" w:rsidRPr="00CF12DF" w:rsidRDefault="00B26C61" w:rsidP="00B26C61">
      <w:pPr>
        <w:pStyle w:val="ListParagraph"/>
        <w:numPr>
          <w:ilvl w:val="6"/>
          <w:numId w:val="13"/>
        </w:numPr>
        <w:tabs>
          <w:tab w:val="clear" w:pos="2520"/>
          <w:tab w:val="num" w:pos="426"/>
        </w:tabs>
        <w:spacing w:after="120" w:line="240" w:lineRule="auto"/>
        <w:ind w:left="425" w:hanging="425"/>
        <w:contextualSpacing w:val="0"/>
        <w:rPr>
          <w:rFonts w:asciiTheme="minorHAnsi" w:hAnsiTheme="minorHAnsi" w:cstheme="minorHAnsi"/>
          <w:lang w:eastAsia="en-AU"/>
        </w:rPr>
      </w:pPr>
      <w:r w:rsidRPr="00CF12DF">
        <w:rPr>
          <w:rFonts w:asciiTheme="minorHAnsi" w:hAnsiTheme="minorHAnsi" w:cstheme="minorHAnsi"/>
          <w:lang w:eastAsia="en-AU"/>
        </w:rPr>
        <w:t xml:space="preserve">In respect of functions assumed/relinquished, the net book values of assets and liabilities were </w:t>
      </w:r>
      <w:proofErr w:type="gramStart"/>
      <w:r w:rsidRPr="00CF12DF">
        <w:rPr>
          <w:rFonts w:asciiTheme="minorHAnsi" w:hAnsiTheme="minorHAnsi" w:cstheme="minorHAnsi"/>
          <w:lang w:eastAsia="en-AU"/>
        </w:rPr>
        <w:t>transferred/received</w:t>
      </w:r>
      <w:proofErr w:type="gramEnd"/>
      <w:r w:rsidRPr="00CF12DF">
        <w:rPr>
          <w:rFonts w:asciiTheme="minorHAnsi" w:hAnsiTheme="minorHAnsi" w:cstheme="minorHAnsi"/>
          <w:lang w:eastAsia="en-AU"/>
        </w:rPr>
        <w:t xml:space="preserve"> for no consideration.</w:t>
      </w:r>
      <w:r w:rsidRPr="00CF12DF">
        <w:rPr>
          <w:rFonts w:asciiTheme="minorHAnsi" w:hAnsiTheme="minorHAnsi" w:cstheme="minorHAnsi"/>
          <w:lang w:eastAsia="en-AU"/>
        </w:rPr>
        <w:tab/>
      </w:r>
      <w:r w:rsidRPr="00CF12DF">
        <w:rPr>
          <w:rFonts w:asciiTheme="minorHAnsi" w:hAnsiTheme="minorHAnsi" w:cstheme="minorHAnsi"/>
          <w:lang w:eastAsia="en-AU"/>
        </w:rPr>
        <w:tab/>
      </w:r>
      <w:r w:rsidRPr="00CF12DF">
        <w:rPr>
          <w:rFonts w:asciiTheme="minorHAnsi" w:hAnsiTheme="minorHAnsi" w:cstheme="minorHAnsi"/>
          <w:lang w:eastAsia="en-AU"/>
        </w:rPr>
        <w:tab/>
      </w:r>
    </w:p>
    <w:p w:rsidR="00B26C61" w:rsidRDefault="00B26C61" w:rsidP="00B26C61">
      <w:pPr>
        <w:spacing w:line="240" w:lineRule="auto"/>
        <w:rPr>
          <w:rFonts w:asciiTheme="minorHAnsi" w:hAnsiTheme="minorHAnsi" w:cstheme="minorHAnsi"/>
          <w:lang w:eastAsia="en-AU"/>
        </w:rPr>
      </w:pPr>
    </w:p>
    <w:p w:rsidR="00B26C61" w:rsidRDefault="00B26C61" w:rsidP="00B26C61">
      <w:pPr>
        <w:spacing w:line="240" w:lineRule="auto"/>
        <w:rPr>
          <w:rFonts w:asciiTheme="minorHAnsi" w:hAnsiTheme="minorHAnsi" w:cstheme="minorHAnsi"/>
          <w:lang w:eastAsia="en-AU"/>
        </w:rPr>
        <w:sectPr w:rsidR="00B26C61" w:rsidSect="00695E23">
          <w:pgSz w:w="11906" w:h="16838"/>
          <w:pgMar w:top="1134" w:right="1134" w:bottom="1134" w:left="1134" w:header="958" w:footer="737" w:gutter="0"/>
          <w:cols w:space="720"/>
          <w:docGrid w:linePitch="245"/>
        </w:sectPr>
      </w:pPr>
    </w:p>
    <w:tbl>
      <w:tblPr>
        <w:tblW w:w="9087" w:type="dxa"/>
        <w:tblInd w:w="80" w:type="dxa"/>
        <w:tblLayout w:type="fixed"/>
        <w:tblLook w:val="04A0" w:firstRow="1" w:lastRow="0" w:firstColumn="1" w:lastColumn="0" w:noHBand="0" w:noVBand="1"/>
      </w:tblPr>
      <w:tblGrid>
        <w:gridCol w:w="5322"/>
        <w:gridCol w:w="1255"/>
        <w:gridCol w:w="1255"/>
        <w:gridCol w:w="1255"/>
      </w:tblGrid>
      <w:tr w:rsidR="00B26C61" w:rsidTr="00EA3146">
        <w:trPr>
          <w:trHeight w:val="255"/>
        </w:trPr>
        <w:tc>
          <w:tcPr>
            <w:tcW w:w="8980" w:type="dxa"/>
            <w:gridSpan w:val="4"/>
            <w:tcBorders>
              <w:top w:val="nil"/>
              <w:left w:val="nil"/>
              <w:bottom w:val="nil"/>
              <w:right w:val="nil"/>
            </w:tcBorders>
            <w:shd w:val="clear" w:color="000000" w:fill="D9D9D9"/>
            <w:noWrap/>
            <w:vAlign w:val="bottom"/>
            <w:hideMark/>
          </w:tcPr>
          <w:p w:rsidR="00B26C61" w:rsidRDefault="00B26C61" w:rsidP="00EA3146">
            <w:pPr>
              <w:rPr>
                <w:rFonts w:cs="Calibri"/>
                <w:b/>
                <w:bCs/>
                <w:szCs w:val="18"/>
                <w:u w:val="single"/>
              </w:rPr>
            </w:pPr>
            <w:bookmarkStart w:id="178" w:name="RANGE!D7:G48"/>
            <w:bookmarkStart w:id="179" w:name="RANGE!D7:D48"/>
            <w:bookmarkStart w:id="180" w:name="Note_AESTABLE1" w:colFirst="0" w:colLast="0"/>
            <w:bookmarkEnd w:id="178"/>
            <w:r>
              <w:rPr>
                <w:rFonts w:cs="Calibri"/>
                <w:b/>
                <w:bCs/>
                <w:szCs w:val="18"/>
                <w:u w:val="single"/>
              </w:rPr>
              <w:lastRenderedPageBreak/>
              <w:t xml:space="preserve">Note </w:t>
            </w:r>
            <w:proofErr w:type="spellStart"/>
            <w:r>
              <w:rPr>
                <w:rFonts w:cs="Calibri"/>
                <w:b/>
                <w:bCs/>
                <w:szCs w:val="18"/>
                <w:u w:val="single"/>
              </w:rPr>
              <w:t>10B</w:t>
            </w:r>
            <w:proofErr w:type="spellEnd"/>
            <w:r>
              <w:rPr>
                <w:rFonts w:cs="Calibri"/>
                <w:b/>
                <w:bCs/>
                <w:szCs w:val="18"/>
                <w:u w:val="single"/>
              </w:rPr>
              <w:t>: Administered Restructuring</w:t>
            </w:r>
            <w:bookmarkEnd w:id="179"/>
          </w:p>
        </w:tc>
      </w:tr>
      <w:bookmarkEnd w:id="180"/>
      <w:tr w:rsidR="00B26C61" w:rsidTr="00EA3146">
        <w:trPr>
          <w:trHeight w:val="255"/>
        </w:trPr>
        <w:tc>
          <w:tcPr>
            <w:tcW w:w="5260"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260"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3720" w:type="dxa"/>
            <w:gridSpan w:val="3"/>
            <w:tcBorders>
              <w:top w:val="single" w:sz="4" w:space="0" w:color="auto"/>
              <w:left w:val="nil"/>
              <w:bottom w:val="single" w:sz="4" w:space="0" w:color="auto"/>
              <w:right w:val="nil"/>
            </w:tcBorders>
            <w:shd w:val="clear" w:color="000000" w:fill="D9D9D9"/>
            <w:vAlign w:val="bottom"/>
            <w:hideMark/>
          </w:tcPr>
          <w:p w:rsidR="00B26C61" w:rsidRDefault="00B26C61" w:rsidP="00EA3146">
            <w:pPr>
              <w:jc w:val="center"/>
              <w:rPr>
                <w:rFonts w:cs="Calibri"/>
                <w:b/>
                <w:bCs/>
                <w:szCs w:val="18"/>
              </w:rPr>
            </w:pPr>
            <w:r>
              <w:rPr>
                <w:rFonts w:cs="Calibri"/>
                <w:b/>
                <w:bCs/>
                <w:szCs w:val="18"/>
              </w:rPr>
              <w:t>2014</w:t>
            </w:r>
          </w:p>
        </w:tc>
      </w:tr>
      <w:tr w:rsidR="00B26C61" w:rsidTr="00EA3146">
        <w:trPr>
          <w:trHeight w:val="675"/>
        </w:trPr>
        <w:tc>
          <w:tcPr>
            <w:tcW w:w="526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hideMark/>
          </w:tcPr>
          <w:p w:rsidR="00B26C61" w:rsidRDefault="00B26C61" w:rsidP="00EA3146">
            <w:pPr>
              <w:jc w:val="right"/>
              <w:rPr>
                <w:rFonts w:cs="Calibri"/>
                <w:b/>
                <w:bCs/>
                <w:szCs w:val="18"/>
              </w:rPr>
            </w:pPr>
            <w:r>
              <w:rPr>
                <w:rFonts w:cs="Calibri"/>
                <w:b/>
                <w:bCs/>
                <w:szCs w:val="18"/>
              </w:rPr>
              <w:t>Employment and Workplace Relations Functions</w:t>
            </w:r>
          </w:p>
        </w:tc>
        <w:tc>
          <w:tcPr>
            <w:tcW w:w="1240" w:type="dxa"/>
            <w:tcBorders>
              <w:top w:val="nil"/>
              <w:left w:val="nil"/>
              <w:bottom w:val="nil"/>
              <w:right w:val="nil"/>
            </w:tcBorders>
            <w:shd w:val="clear" w:color="000000" w:fill="D9D9D9"/>
            <w:hideMark/>
          </w:tcPr>
          <w:p w:rsidR="00B26C61" w:rsidRDefault="00B26C61" w:rsidP="00EA3146">
            <w:pPr>
              <w:jc w:val="right"/>
              <w:rPr>
                <w:rFonts w:cs="Calibri"/>
                <w:b/>
                <w:bCs/>
                <w:szCs w:val="18"/>
              </w:rPr>
            </w:pPr>
            <w:r>
              <w:rPr>
                <w:rFonts w:cs="Calibri"/>
                <w:b/>
                <w:bCs/>
                <w:szCs w:val="18"/>
              </w:rPr>
              <w:t>Indigenous Functions</w:t>
            </w:r>
          </w:p>
        </w:tc>
        <w:tc>
          <w:tcPr>
            <w:tcW w:w="1240" w:type="dxa"/>
            <w:tcBorders>
              <w:top w:val="nil"/>
              <w:left w:val="nil"/>
              <w:bottom w:val="nil"/>
              <w:right w:val="nil"/>
            </w:tcBorders>
            <w:shd w:val="clear" w:color="000000" w:fill="D9D9D9"/>
            <w:hideMark/>
          </w:tcPr>
          <w:p w:rsidR="00B26C61" w:rsidRDefault="00B26C61" w:rsidP="00EA3146">
            <w:pPr>
              <w:jc w:val="right"/>
              <w:rPr>
                <w:rFonts w:cs="Calibri"/>
                <w:b/>
                <w:bCs/>
                <w:szCs w:val="18"/>
              </w:rPr>
            </w:pPr>
            <w:r>
              <w:rPr>
                <w:rFonts w:cs="Calibri"/>
                <w:b/>
                <w:bCs/>
                <w:szCs w:val="18"/>
              </w:rPr>
              <w:t>Disability Employment Functions</w:t>
            </w:r>
          </w:p>
        </w:tc>
      </w:tr>
      <w:tr w:rsidR="00B26C61" w:rsidTr="00EA3146">
        <w:trPr>
          <w:trHeight w:val="105"/>
        </w:trPr>
        <w:tc>
          <w:tcPr>
            <w:tcW w:w="526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960"/>
        </w:trPr>
        <w:tc>
          <w:tcPr>
            <w:tcW w:w="526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hideMark/>
          </w:tcPr>
          <w:p w:rsidR="00B26C61" w:rsidRDefault="00B26C61" w:rsidP="00EA3146">
            <w:pPr>
              <w:jc w:val="right"/>
              <w:rPr>
                <w:rFonts w:cs="Calibri"/>
                <w:b/>
                <w:bCs/>
                <w:szCs w:val="18"/>
              </w:rPr>
            </w:pPr>
            <w:r>
              <w:rPr>
                <w:rFonts w:cs="Calibri"/>
                <w:b/>
                <w:bCs/>
                <w:szCs w:val="18"/>
              </w:rPr>
              <w:t xml:space="preserve">Department of Education, Employment and Workplace </w:t>
            </w:r>
            <w:proofErr w:type="spellStart"/>
            <w:r>
              <w:rPr>
                <w:rFonts w:cs="Calibri"/>
                <w:b/>
                <w:bCs/>
                <w:szCs w:val="18"/>
              </w:rPr>
              <w:t>Relations</w:t>
            </w:r>
            <w:r>
              <w:rPr>
                <w:rFonts w:cs="Calibri"/>
                <w:b/>
                <w:bCs/>
                <w:szCs w:val="18"/>
                <w:vertAlign w:val="superscript"/>
              </w:rPr>
              <w:t>1</w:t>
            </w:r>
            <w:proofErr w:type="spellEnd"/>
          </w:p>
        </w:tc>
        <w:tc>
          <w:tcPr>
            <w:tcW w:w="1240" w:type="dxa"/>
            <w:tcBorders>
              <w:top w:val="nil"/>
              <w:left w:val="nil"/>
              <w:bottom w:val="nil"/>
              <w:right w:val="nil"/>
            </w:tcBorders>
            <w:shd w:val="clear" w:color="000000" w:fill="D9D9D9"/>
            <w:hideMark/>
          </w:tcPr>
          <w:p w:rsidR="00B26C61" w:rsidRDefault="00B26C61" w:rsidP="00EA3146">
            <w:pPr>
              <w:jc w:val="right"/>
              <w:rPr>
                <w:rFonts w:cs="Calibri"/>
                <w:b/>
                <w:bCs/>
                <w:szCs w:val="18"/>
              </w:rPr>
            </w:pPr>
            <w:r>
              <w:rPr>
                <w:rFonts w:cs="Calibri"/>
                <w:b/>
                <w:bCs/>
                <w:szCs w:val="18"/>
              </w:rPr>
              <w:t xml:space="preserve">Department of the Prime Minister and </w:t>
            </w:r>
            <w:proofErr w:type="spellStart"/>
            <w:r>
              <w:rPr>
                <w:rFonts w:cs="Calibri"/>
                <w:b/>
                <w:bCs/>
                <w:szCs w:val="18"/>
              </w:rPr>
              <w:t>Cabinet</w:t>
            </w:r>
            <w:r>
              <w:rPr>
                <w:rFonts w:cs="Calibri"/>
                <w:b/>
                <w:bCs/>
                <w:szCs w:val="18"/>
                <w:vertAlign w:val="superscript"/>
              </w:rPr>
              <w:t>2</w:t>
            </w:r>
            <w:proofErr w:type="spellEnd"/>
          </w:p>
        </w:tc>
        <w:tc>
          <w:tcPr>
            <w:tcW w:w="1240" w:type="dxa"/>
            <w:tcBorders>
              <w:top w:val="nil"/>
              <w:left w:val="nil"/>
              <w:bottom w:val="nil"/>
              <w:right w:val="nil"/>
            </w:tcBorders>
            <w:shd w:val="clear" w:color="000000" w:fill="D9D9D9"/>
            <w:hideMark/>
          </w:tcPr>
          <w:p w:rsidR="00B26C61" w:rsidRDefault="00B26C61" w:rsidP="00EA3146">
            <w:pPr>
              <w:jc w:val="right"/>
              <w:rPr>
                <w:rFonts w:cs="Calibri"/>
                <w:b/>
                <w:bCs/>
                <w:szCs w:val="18"/>
              </w:rPr>
            </w:pPr>
            <w:r>
              <w:rPr>
                <w:rFonts w:cs="Calibri"/>
                <w:b/>
                <w:bCs/>
                <w:szCs w:val="18"/>
              </w:rPr>
              <w:t xml:space="preserve">Department of Social </w:t>
            </w:r>
            <w:proofErr w:type="spellStart"/>
            <w:r>
              <w:rPr>
                <w:rFonts w:cs="Calibri"/>
                <w:b/>
                <w:bCs/>
                <w:szCs w:val="18"/>
              </w:rPr>
              <w:t>Services</w:t>
            </w:r>
            <w:r>
              <w:rPr>
                <w:rFonts w:cs="Calibri"/>
                <w:b/>
                <w:bCs/>
                <w:szCs w:val="18"/>
                <w:vertAlign w:val="superscript"/>
              </w:rPr>
              <w:t>3</w:t>
            </w:r>
            <w:proofErr w:type="spellEnd"/>
          </w:p>
        </w:tc>
      </w:tr>
      <w:tr w:rsidR="00B26C61" w:rsidTr="00EA3146">
        <w:trPr>
          <w:trHeight w:val="255"/>
        </w:trPr>
        <w:tc>
          <w:tcPr>
            <w:tcW w:w="5260"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240"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240"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5260"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FUNCTIONS ASSUMED</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260"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Assets recognised</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26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Cash on hand</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78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526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Trade and other receivables</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17,357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526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Other non-financial assets</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2,329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5260"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Investments</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116,725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5260" w:type="dxa"/>
            <w:tcBorders>
              <w:top w:val="single" w:sz="4" w:space="0" w:color="000000"/>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assets recognised</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136,489</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55"/>
        </w:trPr>
        <w:tc>
          <w:tcPr>
            <w:tcW w:w="5260" w:type="dxa"/>
            <w:tcBorders>
              <w:top w:val="single" w:sz="4" w:space="0" w:color="auto"/>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260"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Liabilities recognised</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26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Payables</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(2,840,851)</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5260" w:type="dxa"/>
            <w:tcBorders>
              <w:top w:val="single" w:sz="4" w:space="0" w:color="000000"/>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liabilities  recognised</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(2,840,851)</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55"/>
        </w:trPr>
        <w:tc>
          <w:tcPr>
            <w:tcW w:w="5260" w:type="dxa"/>
            <w:tcBorders>
              <w:top w:val="single" w:sz="4" w:space="0" w:color="000000"/>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Net liabilities recognised</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(2,704,362)</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55"/>
        </w:trPr>
        <w:tc>
          <w:tcPr>
            <w:tcW w:w="5260" w:type="dxa"/>
            <w:tcBorders>
              <w:top w:val="single" w:sz="4" w:space="0" w:color="auto"/>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5260"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FUNCTIONS RELINQUISHED</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260"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Assets relinquished</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26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Trade and other receivables</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63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2,801 </w:t>
            </w:r>
          </w:p>
        </w:tc>
      </w:tr>
      <w:tr w:rsidR="00B26C61" w:rsidTr="00EA3146">
        <w:trPr>
          <w:trHeight w:val="255"/>
        </w:trPr>
        <w:tc>
          <w:tcPr>
            <w:tcW w:w="5260" w:type="dxa"/>
            <w:tcBorders>
              <w:top w:val="single" w:sz="4" w:space="0" w:color="000000"/>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assets relinquished</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63</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2,801</w:t>
            </w:r>
          </w:p>
        </w:tc>
      </w:tr>
      <w:tr w:rsidR="00B26C61" w:rsidTr="00EA3146">
        <w:trPr>
          <w:trHeight w:val="255"/>
        </w:trPr>
        <w:tc>
          <w:tcPr>
            <w:tcW w:w="5260" w:type="dxa"/>
            <w:tcBorders>
              <w:top w:val="single" w:sz="4" w:space="0" w:color="auto"/>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260"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Liabilities relinquished</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26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Payables</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(4,556)</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5260" w:type="dxa"/>
            <w:tcBorders>
              <w:top w:val="single" w:sz="4" w:space="0" w:color="000000"/>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liabilities relinquished</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(4,556)</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55"/>
        </w:trPr>
        <w:tc>
          <w:tcPr>
            <w:tcW w:w="5260" w:type="dxa"/>
            <w:tcBorders>
              <w:top w:val="single" w:sz="4" w:space="0" w:color="000000"/>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Net (liabilities)/assets relinquished</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(4,493)</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2,801</w:t>
            </w:r>
          </w:p>
        </w:tc>
      </w:tr>
      <w:tr w:rsidR="00B26C61" w:rsidTr="00EA3146">
        <w:trPr>
          <w:trHeight w:val="255"/>
        </w:trPr>
        <w:tc>
          <w:tcPr>
            <w:tcW w:w="5260" w:type="dxa"/>
            <w:tcBorders>
              <w:top w:val="single" w:sz="4" w:space="0" w:color="auto"/>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c>
          <w:tcPr>
            <w:tcW w:w="1240" w:type="dxa"/>
            <w:tcBorders>
              <w:top w:val="single" w:sz="4" w:space="0" w:color="auto"/>
              <w:left w:val="nil"/>
              <w:bottom w:val="nil"/>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5260"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Expenses</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26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Recognised by gaining entity</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1,321,024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5260" w:type="dxa"/>
            <w:tcBorders>
              <w:top w:val="nil"/>
              <w:left w:val="nil"/>
              <w:bottom w:val="single" w:sz="4" w:space="0" w:color="auto"/>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Recognised by losing entity</w:t>
            </w:r>
          </w:p>
        </w:tc>
        <w:tc>
          <w:tcPr>
            <w:tcW w:w="1240"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345,604 </w:t>
            </w:r>
          </w:p>
        </w:tc>
        <w:tc>
          <w:tcPr>
            <w:tcW w:w="1240"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40"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5260" w:type="dxa"/>
            <w:tcBorders>
              <w:top w:val="nil"/>
              <w:left w:val="nil"/>
              <w:bottom w:val="single" w:sz="4" w:space="0" w:color="000000"/>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expenses</w:t>
            </w:r>
          </w:p>
        </w:tc>
        <w:tc>
          <w:tcPr>
            <w:tcW w:w="1240"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1,666,628</w:t>
            </w:r>
          </w:p>
        </w:tc>
        <w:tc>
          <w:tcPr>
            <w:tcW w:w="1240"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40"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55"/>
        </w:trPr>
        <w:tc>
          <w:tcPr>
            <w:tcW w:w="5260" w:type="dxa"/>
            <w:tcBorders>
              <w:top w:val="nil"/>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5260"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Income</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4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26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Recognised by gaining entity</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153,802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5260" w:type="dxa"/>
            <w:tcBorders>
              <w:top w:val="nil"/>
              <w:left w:val="nil"/>
              <w:bottom w:val="single" w:sz="4" w:space="0" w:color="auto"/>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Recognised by losing entity</w:t>
            </w:r>
          </w:p>
        </w:tc>
        <w:tc>
          <w:tcPr>
            <w:tcW w:w="1240"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24,266 </w:t>
            </w:r>
          </w:p>
        </w:tc>
        <w:tc>
          <w:tcPr>
            <w:tcW w:w="1240"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40"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5260" w:type="dxa"/>
            <w:tcBorders>
              <w:top w:val="nil"/>
              <w:left w:val="nil"/>
              <w:bottom w:val="single" w:sz="4" w:space="0" w:color="000000"/>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income</w:t>
            </w:r>
          </w:p>
        </w:tc>
        <w:tc>
          <w:tcPr>
            <w:tcW w:w="1240"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178,068</w:t>
            </w:r>
          </w:p>
        </w:tc>
        <w:tc>
          <w:tcPr>
            <w:tcW w:w="1240"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40"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r>
    </w:tbl>
    <w:p w:rsidR="00B26C61" w:rsidRDefault="00B26C61" w:rsidP="00B26C61">
      <w:pPr>
        <w:rPr>
          <w:b/>
        </w:rPr>
      </w:pPr>
      <w:bookmarkStart w:id="181" w:name="RANGE!D7:G42"/>
      <w:bookmarkStart w:id="182" w:name="RANGE!D7:G44"/>
      <w:bookmarkStart w:id="183" w:name="RANGE!D7:G30"/>
      <w:bookmarkStart w:id="184" w:name="RANGE!D7:G26"/>
      <w:bookmarkStart w:id="185" w:name="RANGE!D6:I41"/>
      <w:bookmarkEnd w:id="181"/>
      <w:bookmarkEnd w:id="182"/>
      <w:bookmarkEnd w:id="183"/>
      <w:bookmarkEnd w:id="184"/>
      <w:bookmarkEnd w:id="185"/>
    </w:p>
    <w:p w:rsidR="00B26C61" w:rsidRDefault="00B26C61" w:rsidP="00B26C61">
      <w:pPr>
        <w:spacing w:line="240" w:lineRule="auto"/>
        <w:rPr>
          <w:b/>
        </w:rPr>
      </w:pPr>
      <w:r>
        <w:rPr>
          <w:b/>
        </w:rPr>
        <w:br w:type="page"/>
      </w:r>
    </w:p>
    <w:p w:rsidR="00B26C61" w:rsidRPr="0070195E" w:rsidRDefault="00B26C61" w:rsidP="00B26C61">
      <w:pPr>
        <w:rPr>
          <w:b/>
        </w:rPr>
      </w:pPr>
      <w:r w:rsidRPr="0070195E">
        <w:rPr>
          <w:b/>
        </w:rPr>
        <w:lastRenderedPageBreak/>
        <w:t>Notes</w:t>
      </w:r>
    </w:p>
    <w:p w:rsidR="00B26C61" w:rsidRPr="0070195E" w:rsidRDefault="00B26C61" w:rsidP="00B26C61">
      <w:pPr>
        <w:pStyle w:val="ListParagraph"/>
        <w:numPr>
          <w:ilvl w:val="6"/>
          <w:numId w:val="34"/>
        </w:numPr>
        <w:tabs>
          <w:tab w:val="clear" w:pos="2520"/>
          <w:tab w:val="num" w:pos="426"/>
        </w:tabs>
        <w:spacing w:after="120" w:line="240" w:lineRule="auto"/>
        <w:ind w:left="426" w:hanging="426"/>
        <w:contextualSpacing w:val="0"/>
        <w:rPr>
          <w:rFonts w:asciiTheme="minorHAnsi" w:hAnsiTheme="minorHAnsi" w:cstheme="minorHAnsi"/>
          <w:lang w:eastAsia="en-AU"/>
        </w:rPr>
      </w:pPr>
      <w:r w:rsidRPr="0070195E">
        <w:rPr>
          <w:rFonts w:asciiTheme="minorHAnsi" w:hAnsiTheme="minorHAnsi" w:cstheme="minorHAnsi"/>
          <w:lang w:eastAsia="en-AU"/>
        </w:rPr>
        <w:t xml:space="preserve">The employment and workplace relations functions were </w:t>
      </w:r>
      <w:r>
        <w:rPr>
          <w:rFonts w:asciiTheme="minorHAnsi" w:hAnsiTheme="minorHAnsi" w:cstheme="minorHAnsi"/>
          <w:lang w:eastAsia="en-AU"/>
        </w:rPr>
        <w:t>assumed</w:t>
      </w:r>
      <w:r w:rsidRPr="0070195E">
        <w:rPr>
          <w:rFonts w:asciiTheme="minorHAnsi" w:hAnsiTheme="minorHAnsi" w:cstheme="minorHAnsi"/>
          <w:lang w:eastAsia="en-AU"/>
        </w:rPr>
        <w:t xml:space="preserve"> from the former </w:t>
      </w:r>
      <w:proofErr w:type="spellStart"/>
      <w:r>
        <w:rPr>
          <w:rFonts w:asciiTheme="minorHAnsi" w:hAnsiTheme="minorHAnsi" w:cstheme="minorHAnsi"/>
          <w:lang w:eastAsia="en-AU"/>
        </w:rPr>
        <w:t>DEEWR</w:t>
      </w:r>
      <w:proofErr w:type="spellEnd"/>
      <w:r w:rsidRPr="0070195E">
        <w:rPr>
          <w:rFonts w:asciiTheme="minorHAnsi" w:hAnsiTheme="minorHAnsi" w:cstheme="minorHAnsi"/>
          <w:lang w:eastAsia="en-AU"/>
        </w:rPr>
        <w:t xml:space="preserve"> on 18 Septembe</w:t>
      </w:r>
      <w:r>
        <w:rPr>
          <w:rFonts w:asciiTheme="minorHAnsi" w:hAnsiTheme="minorHAnsi" w:cstheme="minorHAnsi"/>
          <w:lang w:eastAsia="en-AU"/>
        </w:rPr>
        <w:t xml:space="preserve">r 2013 as a result of the </w:t>
      </w:r>
      <w:r w:rsidRPr="0070195E">
        <w:rPr>
          <w:rFonts w:asciiTheme="minorHAnsi" w:hAnsiTheme="minorHAnsi" w:cstheme="minorHAnsi"/>
          <w:lang w:eastAsia="en-AU"/>
        </w:rPr>
        <w:t>Administrative Arrangement Orders.</w:t>
      </w:r>
    </w:p>
    <w:p w:rsidR="00B26C61" w:rsidRDefault="00B26C61" w:rsidP="00B26C61">
      <w:pPr>
        <w:pStyle w:val="ListParagraph"/>
        <w:numPr>
          <w:ilvl w:val="6"/>
          <w:numId w:val="34"/>
        </w:numPr>
        <w:tabs>
          <w:tab w:val="clear" w:pos="2520"/>
          <w:tab w:val="num" w:pos="426"/>
        </w:tabs>
        <w:spacing w:after="120" w:line="240" w:lineRule="auto"/>
        <w:ind w:left="426" w:hanging="426"/>
        <w:contextualSpacing w:val="0"/>
        <w:rPr>
          <w:rFonts w:asciiTheme="minorHAnsi" w:hAnsiTheme="minorHAnsi" w:cstheme="minorHAnsi"/>
          <w:lang w:eastAsia="en-AU"/>
        </w:rPr>
      </w:pPr>
      <w:r>
        <w:rPr>
          <w:rFonts w:asciiTheme="minorHAnsi" w:hAnsiTheme="minorHAnsi" w:cstheme="minorHAnsi"/>
          <w:lang w:eastAsia="en-AU"/>
        </w:rPr>
        <w:t xml:space="preserve">Indigenous functions were relinquished to </w:t>
      </w:r>
      <w:proofErr w:type="spellStart"/>
      <w:r>
        <w:rPr>
          <w:rFonts w:asciiTheme="minorHAnsi" w:hAnsiTheme="minorHAnsi" w:cstheme="minorHAnsi"/>
          <w:lang w:eastAsia="en-AU"/>
        </w:rPr>
        <w:t>PM&amp;C</w:t>
      </w:r>
      <w:proofErr w:type="spellEnd"/>
      <w:r>
        <w:rPr>
          <w:rFonts w:asciiTheme="minorHAnsi" w:hAnsiTheme="minorHAnsi" w:cstheme="minorHAnsi"/>
          <w:lang w:eastAsia="en-AU"/>
        </w:rPr>
        <w:t xml:space="preserve"> during 2013-14 as a result of the Administrative Arrangement Orders on 18 September 2013.</w:t>
      </w:r>
    </w:p>
    <w:p w:rsidR="00B26C61" w:rsidRDefault="00B26C61" w:rsidP="00B26C61">
      <w:pPr>
        <w:pStyle w:val="ListParagraph"/>
        <w:numPr>
          <w:ilvl w:val="6"/>
          <w:numId w:val="34"/>
        </w:numPr>
        <w:tabs>
          <w:tab w:val="clear" w:pos="2520"/>
          <w:tab w:val="num" w:pos="426"/>
        </w:tabs>
        <w:spacing w:after="120" w:line="240" w:lineRule="auto"/>
        <w:ind w:left="426" w:hanging="426"/>
        <w:contextualSpacing w:val="0"/>
        <w:rPr>
          <w:rFonts w:asciiTheme="minorHAnsi" w:hAnsiTheme="minorHAnsi" w:cstheme="minorHAnsi"/>
          <w:lang w:eastAsia="en-AU"/>
        </w:rPr>
      </w:pPr>
      <w:r>
        <w:rPr>
          <w:rFonts w:asciiTheme="minorHAnsi" w:hAnsiTheme="minorHAnsi" w:cstheme="minorHAnsi"/>
          <w:lang w:eastAsia="en-AU"/>
        </w:rPr>
        <w:t xml:space="preserve">Disability employment functions were relinquished to the </w:t>
      </w:r>
      <w:proofErr w:type="spellStart"/>
      <w:r>
        <w:rPr>
          <w:rFonts w:asciiTheme="minorHAnsi" w:hAnsiTheme="minorHAnsi" w:cstheme="minorHAnsi"/>
          <w:lang w:eastAsia="en-AU"/>
        </w:rPr>
        <w:t>DSS</w:t>
      </w:r>
      <w:proofErr w:type="spellEnd"/>
      <w:r>
        <w:rPr>
          <w:rFonts w:asciiTheme="minorHAnsi" w:hAnsiTheme="minorHAnsi" w:cstheme="minorHAnsi"/>
          <w:lang w:eastAsia="en-AU"/>
        </w:rPr>
        <w:t xml:space="preserve"> during 2013-14 due to the Administrative Arrangement Order of 18 September 2013.</w:t>
      </w:r>
    </w:p>
    <w:p w:rsidR="00B26C61" w:rsidRDefault="00B26C61" w:rsidP="00B26C61">
      <w:pPr>
        <w:pStyle w:val="ListParagraph"/>
        <w:numPr>
          <w:ilvl w:val="6"/>
          <w:numId w:val="34"/>
        </w:numPr>
        <w:tabs>
          <w:tab w:val="clear" w:pos="2520"/>
          <w:tab w:val="num" w:pos="426"/>
        </w:tabs>
        <w:spacing w:after="120" w:line="240" w:lineRule="auto"/>
        <w:ind w:left="426" w:hanging="426"/>
        <w:contextualSpacing w:val="0"/>
        <w:rPr>
          <w:rFonts w:asciiTheme="minorHAnsi" w:hAnsiTheme="minorHAnsi" w:cstheme="minorHAnsi"/>
          <w:lang w:eastAsia="en-AU"/>
        </w:rPr>
      </w:pPr>
      <w:r w:rsidRPr="006F2AA6">
        <w:rPr>
          <w:rFonts w:asciiTheme="minorHAnsi" w:hAnsiTheme="minorHAnsi" w:cstheme="minorHAnsi"/>
          <w:lang w:eastAsia="en-AU"/>
        </w:rPr>
        <w:t xml:space="preserve">The net liabilities assumed from </w:t>
      </w:r>
      <w:proofErr w:type="spellStart"/>
      <w:r w:rsidRPr="006F2AA6">
        <w:rPr>
          <w:rFonts w:asciiTheme="minorHAnsi" w:hAnsiTheme="minorHAnsi" w:cstheme="minorHAnsi"/>
          <w:lang w:eastAsia="en-AU"/>
        </w:rPr>
        <w:t>DEEWR</w:t>
      </w:r>
      <w:proofErr w:type="spellEnd"/>
      <w:r w:rsidRPr="006F2AA6">
        <w:rPr>
          <w:rFonts w:asciiTheme="minorHAnsi" w:hAnsiTheme="minorHAnsi" w:cstheme="minorHAnsi"/>
          <w:lang w:eastAsia="en-AU"/>
        </w:rPr>
        <w:t xml:space="preserve"> </w:t>
      </w:r>
      <w:r>
        <w:rPr>
          <w:rFonts w:asciiTheme="minorHAnsi" w:hAnsiTheme="minorHAnsi" w:cstheme="minorHAnsi"/>
          <w:lang w:eastAsia="en-AU"/>
        </w:rPr>
        <w:t>were</w:t>
      </w:r>
      <w:r w:rsidRPr="006F2AA6">
        <w:rPr>
          <w:rFonts w:asciiTheme="minorHAnsi" w:hAnsiTheme="minorHAnsi" w:cstheme="minorHAnsi"/>
          <w:lang w:eastAsia="en-AU"/>
        </w:rPr>
        <w:t xml:space="preserve"> $2,704,36</w:t>
      </w:r>
      <w:r>
        <w:rPr>
          <w:rFonts w:asciiTheme="minorHAnsi" w:hAnsiTheme="minorHAnsi" w:cstheme="minorHAnsi"/>
          <w:lang w:eastAsia="en-AU"/>
        </w:rPr>
        <w:t>2,000,</w:t>
      </w:r>
      <w:r w:rsidRPr="006F2AA6">
        <w:rPr>
          <w:rFonts w:asciiTheme="minorHAnsi" w:hAnsiTheme="minorHAnsi" w:cstheme="minorHAnsi"/>
          <w:lang w:eastAsia="en-AU"/>
        </w:rPr>
        <w:t xml:space="preserve"> net liabilities relinquished to </w:t>
      </w:r>
      <w:proofErr w:type="spellStart"/>
      <w:r w:rsidRPr="006F2AA6">
        <w:rPr>
          <w:rFonts w:asciiTheme="minorHAnsi" w:hAnsiTheme="minorHAnsi" w:cstheme="minorHAnsi"/>
          <w:lang w:eastAsia="en-AU"/>
        </w:rPr>
        <w:t>PM&amp;C</w:t>
      </w:r>
      <w:proofErr w:type="spellEnd"/>
      <w:r w:rsidRPr="006F2AA6">
        <w:rPr>
          <w:rFonts w:asciiTheme="minorHAnsi" w:hAnsiTheme="minorHAnsi" w:cstheme="minorHAnsi"/>
          <w:lang w:eastAsia="en-AU"/>
        </w:rPr>
        <w:t xml:space="preserve"> </w:t>
      </w:r>
      <w:r>
        <w:rPr>
          <w:rFonts w:asciiTheme="minorHAnsi" w:hAnsiTheme="minorHAnsi" w:cstheme="minorHAnsi"/>
          <w:lang w:eastAsia="en-AU"/>
        </w:rPr>
        <w:t>were</w:t>
      </w:r>
      <w:r w:rsidRPr="006F2AA6">
        <w:rPr>
          <w:rFonts w:asciiTheme="minorHAnsi" w:hAnsiTheme="minorHAnsi" w:cstheme="minorHAnsi"/>
          <w:lang w:eastAsia="en-AU"/>
        </w:rPr>
        <w:t xml:space="preserve"> $4,493,000 and net assets relinquished to </w:t>
      </w:r>
      <w:proofErr w:type="spellStart"/>
      <w:r w:rsidRPr="006F2AA6">
        <w:rPr>
          <w:rFonts w:asciiTheme="minorHAnsi" w:hAnsiTheme="minorHAnsi" w:cstheme="minorHAnsi"/>
          <w:lang w:eastAsia="en-AU"/>
        </w:rPr>
        <w:t>DSS</w:t>
      </w:r>
      <w:proofErr w:type="spellEnd"/>
      <w:r w:rsidRPr="006F2AA6">
        <w:rPr>
          <w:rFonts w:asciiTheme="minorHAnsi" w:hAnsiTheme="minorHAnsi" w:cstheme="minorHAnsi"/>
          <w:lang w:eastAsia="en-AU"/>
        </w:rPr>
        <w:t xml:space="preserve"> </w:t>
      </w:r>
      <w:r>
        <w:rPr>
          <w:rFonts w:asciiTheme="minorHAnsi" w:hAnsiTheme="minorHAnsi" w:cstheme="minorHAnsi"/>
          <w:lang w:eastAsia="en-AU"/>
        </w:rPr>
        <w:t>were</w:t>
      </w:r>
      <w:r w:rsidRPr="006F2AA6">
        <w:rPr>
          <w:rFonts w:asciiTheme="minorHAnsi" w:hAnsiTheme="minorHAnsi" w:cstheme="minorHAnsi"/>
          <w:lang w:eastAsia="en-AU"/>
        </w:rPr>
        <w:t xml:space="preserve"> $2,801,000.</w:t>
      </w:r>
    </w:p>
    <w:p w:rsidR="00B26C61" w:rsidRPr="006F2AA6" w:rsidRDefault="00B26C61" w:rsidP="00B26C61">
      <w:pPr>
        <w:pStyle w:val="ListParagraph"/>
        <w:numPr>
          <w:ilvl w:val="6"/>
          <w:numId w:val="34"/>
        </w:numPr>
        <w:tabs>
          <w:tab w:val="clear" w:pos="2520"/>
          <w:tab w:val="num" w:pos="426"/>
        </w:tabs>
        <w:spacing w:after="120" w:line="240" w:lineRule="auto"/>
        <w:ind w:left="426" w:hanging="426"/>
        <w:contextualSpacing w:val="0"/>
        <w:rPr>
          <w:rFonts w:asciiTheme="minorHAnsi" w:hAnsiTheme="minorHAnsi" w:cstheme="minorHAnsi"/>
          <w:lang w:eastAsia="en-AU"/>
        </w:rPr>
        <w:sectPr w:rsidR="00B26C61" w:rsidRPr="006F2AA6" w:rsidSect="00695E23">
          <w:pgSz w:w="11906" w:h="16838"/>
          <w:pgMar w:top="1134" w:right="1134" w:bottom="1134" w:left="1134" w:header="958" w:footer="737" w:gutter="0"/>
          <w:cols w:space="720"/>
          <w:docGrid w:linePitch="245"/>
        </w:sectPr>
      </w:pPr>
      <w:r w:rsidRPr="006F2AA6">
        <w:rPr>
          <w:rFonts w:asciiTheme="minorHAnsi" w:hAnsiTheme="minorHAnsi" w:cstheme="minorHAnsi"/>
          <w:lang w:eastAsia="en-AU"/>
        </w:rPr>
        <w:t xml:space="preserve">In respect of functions assumed/relinquished, the net book values of assets and liabilities were </w:t>
      </w:r>
      <w:proofErr w:type="gramStart"/>
      <w:r w:rsidRPr="006F2AA6">
        <w:rPr>
          <w:rFonts w:asciiTheme="minorHAnsi" w:hAnsiTheme="minorHAnsi" w:cstheme="minorHAnsi"/>
          <w:lang w:eastAsia="en-AU"/>
        </w:rPr>
        <w:t>transferred/received</w:t>
      </w:r>
      <w:proofErr w:type="gramEnd"/>
      <w:r w:rsidRPr="006F2AA6">
        <w:rPr>
          <w:rFonts w:asciiTheme="minorHAnsi" w:hAnsiTheme="minorHAnsi" w:cstheme="minorHAnsi"/>
          <w:lang w:eastAsia="en-AU"/>
        </w:rPr>
        <w:t xml:space="preserve"> for no consideration.</w:t>
      </w:r>
    </w:p>
    <w:p w:rsidR="00B26C61" w:rsidRDefault="00B26C61" w:rsidP="00B26C61"/>
    <w:p w:rsidR="00B26C61" w:rsidRDefault="00B26C61" w:rsidP="00B26C61">
      <w:pPr>
        <w:pStyle w:val="NotesHeading-Level1"/>
        <w:rPr>
          <w:rFonts w:cstheme="minorHAnsi"/>
        </w:rPr>
      </w:pPr>
      <w:bookmarkStart w:id="186" w:name="_Toc398813153"/>
      <w:r>
        <w:rPr>
          <w:rFonts w:cstheme="minorHAnsi"/>
        </w:rPr>
        <w:t>Cash Flow Reconciliation</w:t>
      </w:r>
      <w:bookmarkEnd w:id="186"/>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bookmarkStart w:id="187" w:name="Note_CFRTABLE1" w:colFirst="0" w:colLast="0"/>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2014</w:t>
            </w:r>
          </w:p>
        </w:tc>
      </w:tr>
      <w:bookmarkEnd w:id="187"/>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48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Reconciliation of cash and cash equivalents as per Statement of Financial Position to Cash Flow Statement</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Cash and cash equivalents as per</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Cash Flow Statement</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5,669</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Statement of Financial Position</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5,669</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Discrepancy</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7652" w:type="dxa"/>
            <w:gridSpan w:val="2"/>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Reconciliation of net cost of services to net cash from (used by) operating activities</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Net cost of services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(313,636)</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Revenue from Government</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288,195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Adjustments for non-cash items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First time recognition of non-financial assets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(689)</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Depreciation / amortisation</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43,362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Net write-down and impairment of non-financial assets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19,023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Net losses from sale of assets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1,140 </w:t>
            </w:r>
          </w:p>
        </w:tc>
      </w:tr>
      <w:tr w:rsidR="00B26C61" w:rsidTr="00EA3146">
        <w:trPr>
          <w:trHeight w:val="270"/>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Finance costs - unwinding of discount on provision for restoration</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35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Restructure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(39,572)</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Movements in assets and liabilities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Assets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Decrease / (increase) in net receivables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(50,062)</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Decrease / (increase) in accrued revenue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(2,604)</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Decrease / (increase) in prepayments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(16,050)</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Liabilities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Increase / (decrease) in employee provisions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59,560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Increase / (decrease) in supplier payables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4,701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Increase / (decrease) in other provisions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1,315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Increase / (decrease) in other payables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30,412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Net cash from operating activities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25,130</w:t>
            </w:r>
          </w:p>
        </w:tc>
      </w:tr>
    </w:tbl>
    <w:p w:rsidR="00B26C61" w:rsidRDefault="00B26C61" w:rsidP="00B26C61">
      <w:pPr>
        <w:spacing w:line="240" w:lineRule="auto"/>
        <w:sectPr w:rsidR="00B26C61">
          <w:pgSz w:w="11906" w:h="16838"/>
          <w:pgMar w:top="1134" w:right="1134" w:bottom="1134" w:left="1134" w:header="958" w:footer="737" w:gutter="0"/>
          <w:cols w:space="720"/>
        </w:sectPr>
      </w:pPr>
    </w:p>
    <w:p w:rsidR="00B26C61" w:rsidRDefault="00B26C61" w:rsidP="00B26C61">
      <w:pPr>
        <w:pStyle w:val="NotesHeading-Level1"/>
        <w:rPr>
          <w:rFonts w:cstheme="minorHAnsi"/>
        </w:rPr>
      </w:pPr>
      <w:bookmarkStart w:id="188" w:name="RANGE!E6:H38"/>
      <w:bookmarkStart w:id="189" w:name="RANGE!E6:E39"/>
      <w:bookmarkStart w:id="190" w:name="RANGE!E6:H39"/>
      <w:bookmarkStart w:id="191" w:name="_Ref317489574"/>
      <w:bookmarkStart w:id="192" w:name="_Toc398813154"/>
      <w:bookmarkEnd w:id="188"/>
      <w:bookmarkEnd w:id="189"/>
      <w:bookmarkEnd w:id="190"/>
      <w:r>
        <w:rPr>
          <w:rFonts w:cstheme="minorHAnsi"/>
        </w:rPr>
        <w:lastRenderedPageBreak/>
        <w:t>Contingent Assets and Liabilities</w:t>
      </w:r>
      <w:bookmarkEnd w:id="191"/>
      <w:bookmarkEnd w:id="192"/>
    </w:p>
    <w:p w:rsidR="00B26C61" w:rsidRDefault="00B26C61" w:rsidP="00B26C61"/>
    <w:tbl>
      <w:tblPr>
        <w:tblW w:w="9087" w:type="dxa"/>
        <w:tblInd w:w="80" w:type="dxa"/>
        <w:tblLayout w:type="fixed"/>
        <w:tblLook w:val="04A0" w:firstRow="1" w:lastRow="0" w:firstColumn="1" w:lastColumn="0" w:noHBand="0" w:noVBand="1"/>
      </w:tblPr>
      <w:tblGrid>
        <w:gridCol w:w="4508"/>
        <w:gridCol w:w="1081"/>
        <w:gridCol w:w="1749"/>
        <w:gridCol w:w="1749"/>
      </w:tblGrid>
      <w:tr w:rsidR="00B26C61" w:rsidTr="00EA3146">
        <w:trPr>
          <w:trHeight w:val="1005"/>
        </w:trPr>
        <w:tc>
          <w:tcPr>
            <w:tcW w:w="3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bookmarkStart w:id="193" w:name="Note_CLATABLE1" w:colFirst="0" w:colLast="0"/>
            <w:r>
              <w:rPr>
                <w:rFonts w:ascii="Arial" w:hAnsi="Arial" w:cs="Arial"/>
                <w:b/>
                <w:bCs/>
                <w:szCs w:val="18"/>
              </w:rPr>
              <w:t> </w:t>
            </w:r>
          </w:p>
        </w:tc>
        <w:tc>
          <w:tcPr>
            <w:tcW w:w="7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Claims for Damages and Costs</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Total</w:t>
            </w:r>
          </w:p>
        </w:tc>
      </w:tr>
      <w:bookmarkEnd w:id="193"/>
      <w:tr w:rsidR="00B26C61" w:rsidTr="00EA3146">
        <w:trPr>
          <w:trHeight w:val="255"/>
        </w:trPr>
        <w:tc>
          <w:tcPr>
            <w:tcW w:w="3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7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55"/>
        </w:trPr>
        <w:tc>
          <w:tcPr>
            <w:tcW w:w="323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7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323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Contingent liabilities</w:t>
            </w:r>
          </w:p>
        </w:tc>
        <w:tc>
          <w:tcPr>
            <w:tcW w:w="7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323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Balance from previous period</w:t>
            </w:r>
          </w:p>
        </w:tc>
        <w:tc>
          <w:tcPr>
            <w:tcW w:w="7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xml:space="preserve">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w:t>
            </w:r>
          </w:p>
        </w:tc>
      </w:tr>
      <w:tr w:rsidR="00B26C61" w:rsidTr="00EA3146">
        <w:trPr>
          <w:trHeight w:val="270"/>
        </w:trPr>
        <w:tc>
          <w:tcPr>
            <w:tcW w:w="323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New contingent liabilities recognised</w:t>
            </w:r>
          </w:p>
        </w:tc>
        <w:tc>
          <w:tcPr>
            <w:tcW w:w="7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 xml:space="preserve">244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244</w:t>
            </w:r>
          </w:p>
        </w:tc>
      </w:tr>
      <w:tr w:rsidR="00B26C61" w:rsidTr="00EA3146">
        <w:trPr>
          <w:trHeight w:val="255"/>
        </w:trPr>
        <w:tc>
          <w:tcPr>
            <w:tcW w:w="323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Re-measurement</w:t>
            </w:r>
          </w:p>
        </w:tc>
        <w:tc>
          <w:tcPr>
            <w:tcW w:w="7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(64)</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szCs w:val="18"/>
              </w:rPr>
            </w:pPr>
            <w:r>
              <w:rPr>
                <w:rFonts w:cs="Calibri"/>
                <w:szCs w:val="18"/>
              </w:rPr>
              <w:t>(64)</w:t>
            </w:r>
          </w:p>
        </w:tc>
      </w:tr>
      <w:tr w:rsidR="00B26C61" w:rsidTr="00EA3146">
        <w:trPr>
          <w:trHeight w:val="255"/>
        </w:trPr>
        <w:tc>
          <w:tcPr>
            <w:tcW w:w="323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contingent liabilities</w:t>
            </w:r>
          </w:p>
        </w:tc>
        <w:tc>
          <w:tcPr>
            <w:tcW w:w="7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szCs w:val="18"/>
              </w:rPr>
            </w:pPr>
            <w:r>
              <w:rPr>
                <w:rFonts w:cs="Calibri"/>
                <w:szCs w:val="18"/>
              </w:rPr>
              <w:t>180</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szCs w:val="18"/>
              </w:rPr>
            </w:pPr>
            <w:r>
              <w:rPr>
                <w:rFonts w:cs="Calibri"/>
                <w:szCs w:val="18"/>
              </w:rPr>
              <w:t>180</w:t>
            </w:r>
          </w:p>
        </w:tc>
      </w:tr>
      <w:tr w:rsidR="00B26C61" w:rsidTr="00EA3146">
        <w:trPr>
          <w:trHeight w:val="255"/>
        </w:trPr>
        <w:tc>
          <w:tcPr>
            <w:tcW w:w="323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Net contingent assets (liabilities)</w:t>
            </w:r>
          </w:p>
        </w:tc>
        <w:tc>
          <w:tcPr>
            <w:tcW w:w="7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szCs w:val="18"/>
              </w:rPr>
            </w:pPr>
            <w:r>
              <w:rPr>
                <w:rFonts w:cs="Calibri"/>
                <w:szCs w:val="18"/>
              </w:rPr>
              <w:t>(180)</w:t>
            </w:r>
          </w:p>
        </w:tc>
        <w:tc>
          <w:tcPr>
            <w:tcW w:w="125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szCs w:val="18"/>
              </w:rPr>
            </w:pPr>
            <w:r>
              <w:rPr>
                <w:rFonts w:cs="Calibri"/>
                <w:szCs w:val="18"/>
              </w:rPr>
              <w:t>(180)</w:t>
            </w:r>
          </w:p>
        </w:tc>
      </w:tr>
    </w:tbl>
    <w:p w:rsidR="00B26C61" w:rsidRDefault="00B26C61" w:rsidP="00B26C61">
      <w:bookmarkStart w:id="194" w:name="RANGE!D7:K24"/>
      <w:bookmarkStart w:id="195" w:name="RANGE!D7:K23"/>
      <w:bookmarkStart w:id="196" w:name="RANGE!D6:K22"/>
      <w:bookmarkStart w:id="197" w:name="RANGE!D6:K24"/>
      <w:bookmarkEnd w:id="194"/>
      <w:bookmarkEnd w:id="195"/>
      <w:bookmarkEnd w:id="196"/>
      <w:bookmarkEnd w:id="197"/>
    </w:p>
    <w:p w:rsidR="00B26C61" w:rsidRPr="00EB1043" w:rsidRDefault="00B26C61" w:rsidP="00B26C61">
      <w:pPr>
        <w:pStyle w:val="UnderlineItalics"/>
        <w:rPr>
          <w:szCs w:val="18"/>
        </w:rPr>
      </w:pPr>
      <w:r w:rsidRPr="00EB1043">
        <w:rPr>
          <w:szCs w:val="18"/>
        </w:rPr>
        <w:t>Quantifiable Contingencies</w:t>
      </w:r>
    </w:p>
    <w:p w:rsidR="00B26C61" w:rsidRPr="00EB1043" w:rsidRDefault="00B26C61" w:rsidP="00B26C61">
      <w:pPr>
        <w:pStyle w:val="NotesText0"/>
      </w:pPr>
      <w:r w:rsidRPr="00EB1043">
        <w:t>The Schedule of Contingencies reports contingent liabilities in respect of claims for damages of $</w:t>
      </w:r>
      <w:r>
        <w:t>0.180 million</w:t>
      </w:r>
      <w:r w:rsidRPr="00EB1043">
        <w:t>.</w:t>
      </w:r>
    </w:p>
    <w:p w:rsidR="00B26C61" w:rsidRPr="00EB1043" w:rsidRDefault="00B26C61" w:rsidP="00B26C61">
      <w:pPr>
        <w:pStyle w:val="NotesText0"/>
      </w:pPr>
      <w:r>
        <w:t>The department had no</w:t>
      </w:r>
      <w:r w:rsidRPr="00EB1043">
        <w:t xml:space="preserve"> contingent assets in respect of claims for </w:t>
      </w:r>
      <w:r>
        <w:t>damages</w:t>
      </w:r>
      <w:r w:rsidRPr="00EB1043">
        <w:t>.</w:t>
      </w:r>
    </w:p>
    <w:p w:rsidR="00B26C61" w:rsidRPr="00EB1043" w:rsidRDefault="00B26C61" w:rsidP="00B26C61">
      <w:pPr>
        <w:pStyle w:val="NotesText0"/>
      </w:pPr>
      <w:r w:rsidRPr="00EB1043">
        <w:t xml:space="preserve">The amounts included in the schedule represent an estimate of the department’s contingent assets and liabilities based on wide ranging legal cases.   </w:t>
      </w:r>
    </w:p>
    <w:p w:rsidR="00B26C61" w:rsidRPr="00EB1043" w:rsidRDefault="00B26C61" w:rsidP="00B26C61">
      <w:pPr>
        <w:pStyle w:val="UnderlineItalics"/>
        <w:rPr>
          <w:szCs w:val="18"/>
        </w:rPr>
      </w:pPr>
      <w:r w:rsidRPr="00EB1043">
        <w:rPr>
          <w:szCs w:val="18"/>
        </w:rPr>
        <w:t>Unquantifiable Contingencies</w:t>
      </w:r>
    </w:p>
    <w:p w:rsidR="00B26C61" w:rsidRPr="00EB1043" w:rsidRDefault="00B26C61" w:rsidP="00B26C61">
      <w:pPr>
        <w:pStyle w:val="NotesText0"/>
      </w:pPr>
      <w:r>
        <w:t xml:space="preserve">As at 30 June 2014, </w:t>
      </w:r>
      <w:r w:rsidRPr="00EB1043">
        <w:t>the department had no contingent liabilities likely to be paid in respect of damages and claims that are not quantifiable.</w:t>
      </w:r>
    </w:p>
    <w:p w:rsidR="00B26C61" w:rsidRPr="00EB1043" w:rsidRDefault="00B26C61" w:rsidP="00B26C61">
      <w:pPr>
        <w:pStyle w:val="UnderlineItalics"/>
        <w:rPr>
          <w:szCs w:val="18"/>
        </w:rPr>
      </w:pPr>
      <w:r w:rsidRPr="00EB1043">
        <w:rPr>
          <w:szCs w:val="18"/>
        </w:rPr>
        <w:t>Significant Remote Contingencies</w:t>
      </w:r>
    </w:p>
    <w:p w:rsidR="00B26C61" w:rsidRPr="00EB1043" w:rsidRDefault="00B26C61" w:rsidP="00B26C61">
      <w:pPr>
        <w:pStyle w:val="NotesText0"/>
      </w:pPr>
      <w:r w:rsidRPr="00EB1043">
        <w:t xml:space="preserve">The department has 1 contingent asset where the likelihood of receipt is remote.  </w:t>
      </w:r>
      <w:r>
        <w:t>This contingent asset is</w:t>
      </w:r>
      <w:r w:rsidRPr="00EB1043">
        <w:t xml:space="preserve"> not included in the Schedule of Contingencies.</w:t>
      </w:r>
    </w:p>
    <w:p w:rsidR="00B26C61" w:rsidRPr="00EB1043" w:rsidRDefault="00B26C61" w:rsidP="00B26C61">
      <w:pPr>
        <w:pStyle w:val="NotesText0"/>
      </w:pPr>
      <w:r w:rsidRPr="00EB1043">
        <w:t>In addition to the unquantifiable contingencies listed above, the department has provided an indemnity to the Reserve Bank of Australia against loss or damage arising from the bank acting in good faith on the instructions given to it under the provision of the contract for the department’s transactional banking services</w:t>
      </w:r>
      <w:r>
        <w:t xml:space="preserve"> for</w:t>
      </w:r>
      <w:r w:rsidRPr="00EB1043">
        <w:t xml:space="preserve"> any error, mistake, fraud or negligence and any failure of the department to observe its obligations.  The likelihood of any payment being required under the indemnity is remote and unquantifiable.</w:t>
      </w:r>
    </w:p>
    <w:p w:rsidR="00B26C61" w:rsidRPr="00EB1043" w:rsidRDefault="00B26C61" w:rsidP="00B26C61">
      <w:pPr>
        <w:pStyle w:val="NotesText0"/>
      </w:pPr>
      <w:r w:rsidRPr="00EB1043">
        <w:t>There are no remote contingent liabilities in 2013-14.</w:t>
      </w:r>
    </w:p>
    <w:p w:rsidR="00B26C61" w:rsidRDefault="00B26C61" w:rsidP="00B26C61">
      <w:pPr>
        <w:spacing w:line="240" w:lineRule="auto"/>
        <w:rPr>
          <w:sz w:val="20"/>
        </w:rPr>
      </w:pPr>
    </w:p>
    <w:p w:rsidR="00B26C61" w:rsidRDefault="00B26C61" w:rsidP="00B26C61">
      <w:pPr>
        <w:spacing w:line="240" w:lineRule="auto"/>
        <w:rPr>
          <w:sz w:val="20"/>
        </w:rPr>
        <w:sectPr w:rsidR="00B26C61">
          <w:pgSz w:w="11906" w:h="16838"/>
          <w:pgMar w:top="1134" w:right="1134" w:bottom="1134" w:left="1134" w:header="958" w:footer="737" w:gutter="0"/>
          <w:cols w:space="720"/>
        </w:sectPr>
      </w:pPr>
    </w:p>
    <w:p w:rsidR="00B26C61" w:rsidRDefault="00B26C61" w:rsidP="00B26C61">
      <w:pPr>
        <w:pStyle w:val="NotesHeading-Level1"/>
        <w:rPr>
          <w:rFonts w:cstheme="minorHAnsi"/>
        </w:rPr>
      </w:pPr>
      <w:bookmarkStart w:id="198" w:name="_Toc398813155"/>
      <w:r>
        <w:rPr>
          <w:rFonts w:cstheme="minorHAnsi"/>
        </w:rPr>
        <w:lastRenderedPageBreak/>
        <w:t>Senior Executive Remuneration</w:t>
      </w:r>
      <w:bookmarkEnd w:id="198"/>
    </w:p>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7652" w:type="dxa"/>
            <w:gridSpan w:val="2"/>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199" w:name="RANGE!D7:D28"/>
            <w:bookmarkStart w:id="200" w:name="Note_ERETABLE1" w:colFirst="0" w:colLast="0"/>
            <w:r>
              <w:rPr>
                <w:rFonts w:cs="Calibri"/>
                <w:b/>
                <w:bCs/>
                <w:szCs w:val="18"/>
                <w:u w:val="single"/>
              </w:rPr>
              <w:t xml:space="preserve">Note </w:t>
            </w:r>
            <w:proofErr w:type="spellStart"/>
            <w:r>
              <w:rPr>
                <w:rFonts w:cs="Calibri"/>
                <w:b/>
                <w:bCs/>
                <w:szCs w:val="18"/>
                <w:u w:val="single"/>
              </w:rPr>
              <w:t>13A</w:t>
            </w:r>
            <w:proofErr w:type="spellEnd"/>
            <w:r>
              <w:rPr>
                <w:rFonts w:cs="Calibri"/>
                <w:b/>
                <w:bCs/>
                <w:szCs w:val="18"/>
                <w:u w:val="single"/>
              </w:rPr>
              <w:t>: Senior Executive Remuneration Expenses for the Reporting Period</w:t>
            </w:r>
            <w:bookmarkEnd w:id="199"/>
          </w:p>
        </w:tc>
      </w:tr>
      <w:bookmarkEnd w:id="200"/>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Short-term employee benefits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Salary</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4,855 </w:t>
            </w:r>
          </w:p>
        </w:tc>
      </w:tr>
      <w:tr w:rsidR="00B26C61" w:rsidTr="00EA3146">
        <w:trPr>
          <w:trHeight w:val="28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proofErr w:type="spellStart"/>
            <w:r>
              <w:rPr>
                <w:rFonts w:cs="Calibri"/>
                <w:szCs w:val="18"/>
              </w:rPr>
              <w:t>Other</w:t>
            </w:r>
            <w:r>
              <w:rPr>
                <w:rFonts w:cs="Calibri"/>
                <w:szCs w:val="18"/>
                <w:vertAlign w:val="superscript"/>
              </w:rPr>
              <w:t>3</w:t>
            </w:r>
            <w:proofErr w:type="spellEnd"/>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822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short-term employee benefits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5,677</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Post-employment benefits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Superannuation</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953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post-employment benefits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953</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Other long-term employee benefits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Annual leave accrued</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226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Long-service leave</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317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other long-term employee benefits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543</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Termination benefits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Separation and redundancy payments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termination benefits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senior executive remuneration expenses</w:t>
            </w:r>
          </w:p>
        </w:tc>
        <w:tc>
          <w:tcPr>
            <w:tcW w:w="1256" w:type="dxa"/>
            <w:tcBorders>
              <w:top w:val="nil"/>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7,173</w:t>
            </w:r>
          </w:p>
        </w:tc>
      </w:tr>
    </w:tbl>
    <w:p w:rsidR="00B26C61" w:rsidRDefault="00B26C61" w:rsidP="00B26C61">
      <w:pPr>
        <w:rPr>
          <w:rFonts w:ascii="Arial" w:hAnsi="Arial" w:cs="Arial"/>
          <w:sz w:val="16"/>
          <w:szCs w:val="16"/>
        </w:rPr>
      </w:pPr>
    </w:p>
    <w:p w:rsidR="00B26C61" w:rsidRDefault="00B26C61" w:rsidP="00B26C61">
      <w:r>
        <w:t>Notes</w:t>
      </w:r>
    </w:p>
    <w:p w:rsidR="00B26C61" w:rsidRDefault="00B26C61" w:rsidP="00B26C61">
      <w:pPr>
        <w:pStyle w:val="ReferenceText"/>
      </w:pPr>
      <w:r>
        <w:t xml:space="preserve">1. Note </w:t>
      </w:r>
      <w:proofErr w:type="spellStart"/>
      <w:r>
        <w:t>13A</w:t>
      </w:r>
      <w:proofErr w:type="spellEnd"/>
      <w:r>
        <w:t xml:space="preserve"> was prepared on an accrual basis. </w:t>
      </w:r>
    </w:p>
    <w:p w:rsidR="00B26C61" w:rsidRDefault="00B26C61" w:rsidP="00B26C61">
      <w:pPr>
        <w:pStyle w:val="ReferenceText"/>
      </w:pPr>
      <w:r>
        <w:t xml:space="preserve">2. Note </w:t>
      </w:r>
      <w:proofErr w:type="spellStart"/>
      <w:r>
        <w:t>13A</w:t>
      </w:r>
      <w:proofErr w:type="spellEnd"/>
      <w:r>
        <w:t xml:space="preserve"> excludes acting arrangements and part-year service where total remuneration expensed as a senior executive for the reporting period was less than $195,000.</w:t>
      </w:r>
    </w:p>
    <w:p w:rsidR="00B26C61" w:rsidRDefault="00B26C61" w:rsidP="00B26C61">
      <w:pPr>
        <w:pStyle w:val="ReferenceText"/>
      </w:pPr>
      <w:r>
        <w:t>3. Other includes motor vehicle allowances, other allowances and reportable fringe benefits.</w:t>
      </w:r>
    </w:p>
    <w:p w:rsidR="00B26C61" w:rsidRDefault="00B26C61" w:rsidP="00B26C61">
      <w:pPr>
        <w:spacing w:line="240" w:lineRule="auto"/>
        <w:rPr>
          <w:rFonts w:asciiTheme="minorHAnsi" w:hAnsiTheme="minorHAnsi" w:cstheme="minorHAnsi"/>
          <w:lang w:eastAsia="en-AU"/>
        </w:rPr>
        <w:sectPr w:rsidR="00B26C61">
          <w:pgSz w:w="11906" w:h="16838"/>
          <w:pgMar w:top="1134" w:right="1134" w:bottom="1134" w:left="1134" w:header="958" w:footer="737" w:gutter="0"/>
          <w:cols w:space="720"/>
        </w:sectPr>
      </w:pPr>
    </w:p>
    <w:tbl>
      <w:tblPr>
        <w:tblW w:w="13991" w:type="dxa"/>
        <w:tblInd w:w="80" w:type="dxa"/>
        <w:tblLayout w:type="fixed"/>
        <w:tblLook w:val="04A0" w:firstRow="1" w:lastRow="0" w:firstColumn="1" w:lastColumn="0" w:noHBand="0" w:noVBand="1"/>
      </w:tblPr>
      <w:tblGrid>
        <w:gridCol w:w="5948"/>
        <w:gridCol w:w="1316"/>
        <w:gridCol w:w="1316"/>
        <w:gridCol w:w="1568"/>
        <w:gridCol w:w="1316"/>
        <w:gridCol w:w="1190"/>
        <w:gridCol w:w="1337"/>
      </w:tblGrid>
      <w:tr w:rsidR="00B26C61" w:rsidTr="00EA3146">
        <w:trPr>
          <w:trHeight w:val="255"/>
        </w:trPr>
        <w:tc>
          <w:tcPr>
            <w:tcW w:w="13352" w:type="dxa"/>
            <w:gridSpan w:val="7"/>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201" w:name="Note_ERPTABLE1" w:colFirst="0" w:colLast="0"/>
            <w:r>
              <w:rPr>
                <w:rFonts w:cs="Calibri"/>
                <w:b/>
                <w:bCs/>
                <w:szCs w:val="18"/>
                <w:u w:val="single"/>
              </w:rPr>
              <w:lastRenderedPageBreak/>
              <w:t xml:space="preserve">Note </w:t>
            </w:r>
            <w:proofErr w:type="spellStart"/>
            <w:r>
              <w:rPr>
                <w:rFonts w:cs="Calibri"/>
                <w:b/>
                <w:bCs/>
                <w:szCs w:val="18"/>
                <w:u w:val="single"/>
              </w:rPr>
              <w:t>13B</w:t>
            </w:r>
            <w:proofErr w:type="spellEnd"/>
            <w:r>
              <w:rPr>
                <w:rFonts w:cs="Calibri"/>
                <w:b/>
                <w:bCs/>
                <w:szCs w:val="18"/>
                <w:u w:val="single"/>
              </w:rPr>
              <w:t>: Average Annual Reportable Remuneration Paid to Substantive Senior Executives during the Reporting Period</w:t>
            </w:r>
          </w:p>
        </w:tc>
      </w:tr>
      <w:bookmarkEnd w:id="201"/>
      <w:tr w:rsidR="00B26C61" w:rsidTr="00EA3146">
        <w:trPr>
          <w:trHeight w:val="150"/>
        </w:trPr>
        <w:tc>
          <w:tcPr>
            <w:tcW w:w="56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4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6932" w:type="dxa"/>
            <w:gridSpan w:val="2"/>
            <w:tcBorders>
              <w:top w:val="nil"/>
              <w:left w:val="nil"/>
              <w:bottom w:val="single" w:sz="4" w:space="0" w:color="auto"/>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Average annual reportable remuneration paid to substantive senior executives in 2014</w:t>
            </w:r>
          </w:p>
        </w:tc>
        <w:tc>
          <w:tcPr>
            <w:tcW w:w="1256" w:type="dxa"/>
            <w:tcBorders>
              <w:top w:val="nil"/>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96" w:type="dxa"/>
            <w:tcBorders>
              <w:top w:val="nil"/>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136" w:type="dxa"/>
            <w:tcBorders>
              <w:top w:val="nil"/>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76" w:type="dxa"/>
            <w:tcBorders>
              <w:top w:val="nil"/>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r>
      <w:tr w:rsidR="00B26C61" w:rsidTr="00EA3146">
        <w:trPr>
          <w:trHeight w:val="720"/>
        </w:trPr>
        <w:tc>
          <w:tcPr>
            <w:tcW w:w="567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xml:space="preserve">Average annual reportable </w:t>
            </w:r>
            <w:proofErr w:type="spellStart"/>
            <w:r>
              <w:rPr>
                <w:rFonts w:cs="Calibri"/>
                <w:b/>
                <w:bCs/>
                <w:szCs w:val="18"/>
              </w:rPr>
              <w:t>remuneration</w:t>
            </w:r>
            <w:r>
              <w:rPr>
                <w:rFonts w:cs="Calibri"/>
                <w:b/>
                <w:bCs/>
                <w:szCs w:val="18"/>
                <w:vertAlign w:val="superscript"/>
              </w:rPr>
              <w:t>1</w:t>
            </w:r>
            <w:proofErr w:type="spellEnd"/>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Substantive Senior Executives</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xml:space="preserve">Reportable </w:t>
            </w:r>
            <w:proofErr w:type="spellStart"/>
            <w:r>
              <w:rPr>
                <w:rFonts w:cs="Calibri"/>
                <w:b/>
                <w:bCs/>
                <w:szCs w:val="18"/>
              </w:rPr>
              <w:t>salary</w:t>
            </w:r>
            <w:r>
              <w:rPr>
                <w:rFonts w:ascii="Arial" w:hAnsi="Arial" w:cs="Arial"/>
                <w:b/>
                <w:bCs/>
                <w:szCs w:val="18"/>
                <w:vertAlign w:val="superscript"/>
              </w:rPr>
              <w:t>2</w:t>
            </w:r>
            <w:proofErr w:type="spellEnd"/>
          </w:p>
        </w:tc>
        <w:tc>
          <w:tcPr>
            <w:tcW w:w="149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xml:space="preserve">Contributed </w:t>
            </w:r>
            <w:proofErr w:type="spellStart"/>
            <w:r>
              <w:rPr>
                <w:rFonts w:cs="Calibri"/>
                <w:b/>
                <w:bCs/>
                <w:szCs w:val="18"/>
              </w:rPr>
              <w:t>superannuation</w:t>
            </w:r>
            <w:r>
              <w:rPr>
                <w:rFonts w:ascii="Arial" w:hAnsi="Arial" w:cs="Arial"/>
                <w:b/>
                <w:bCs/>
                <w:szCs w:val="18"/>
                <w:vertAlign w:val="superscript"/>
              </w:rPr>
              <w:t>3</w:t>
            </w:r>
            <w:proofErr w:type="spellEnd"/>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xml:space="preserve">Reportable </w:t>
            </w:r>
            <w:proofErr w:type="spellStart"/>
            <w:r>
              <w:rPr>
                <w:rFonts w:cs="Calibri"/>
                <w:b/>
                <w:bCs/>
                <w:szCs w:val="18"/>
              </w:rPr>
              <w:t>allowances</w:t>
            </w:r>
            <w:r>
              <w:rPr>
                <w:rFonts w:ascii="Arial" w:hAnsi="Arial" w:cs="Arial"/>
                <w:b/>
                <w:bCs/>
                <w:szCs w:val="18"/>
                <w:vertAlign w:val="superscript"/>
              </w:rPr>
              <w:t>4</w:t>
            </w:r>
            <w:proofErr w:type="spellEnd"/>
          </w:p>
        </w:tc>
        <w:tc>
          <w:tcPr>
            <w:tcW w:w="113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xml:space="preserve">Bonus </w:t>
            </w:r>
            <w:proofErr w:type="spellStart"/>
            <w:r>
              <w:rPr>
                <w:rFonts w:cs="Calibri"/>
                <w:b/>
                <w:bCs/>
                <w:szCs w:val="18"/>
              </w:rPr>
              <w:t>paid</w:t>
            </w:r>
            <w:r>
              <w:rPr>
                <w:rFonts w:ascii="Arial" w:hAnsi="Arial" w:cs="Arial"/>
                <w:b/>
                <w:bCs/>
                <w:szCs w:val="18"/>
                <w:vertAlign w:val="superscript"/>
              </w:rPr>
              <w:t>5</w:t>
            </w:r>
            <w:proofErr w:type="spellEnd"/>
          </w:p>
        </w:tc>
        <w:tc>
          <w:tcPr>
            <w:tcW w:w="127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Total reportable remuneration</w:t>
            </w:r>
          </w:p>
        </w:tc>
      </w:tr>
      <w:tr w:rsidR="00B26C61" w:rsidTr="00EA3146">
        <w:trPr>
          <w:trHeight w:val="255"/>
        </w:trPr>
        <w:tc>
          <w:tcPr>
            <w:tcW w:w="5676"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No.</w:t>
            </w:r>
          </w:p>
        </w:tc>
        <w:tc>
          <w:tcPr>
            <w:tcW w:w="125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w:t>
            </w:r>
          </w:p>
        </w:tc>
        <w:tc>
          <w:tcPr>
            <w:tcW w:w="149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w:t>
            </w:r>
          </w:p>
        </w:tc>
        <w:tc>
          <w:tcPr>
            <w:tcW w:w="125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w:t>
            </w:r>
          </w:p>
        </w:tc>
        <w:tc>
          <w:tcPr>
            <w:tcW w:w="113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w:t>
            </w:r>
          </w:p>
        </w:tc>
        <w:tc>
          <w:tcPr>
            <w:tcW w:w="127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345"/>
        </w:trPr>
        <w:tc>
          <w:tcPr>
            <w:tcW w:w="567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Total reportable remuneration (including part-time arrangements):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4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Less than $195,000</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58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102,838 </w:t>
            </w:r>
          </w:p>
        </w:tc>
        <w:tc>
          <w:tcPr>
            <w:tcW w:w="14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18,051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44 </w:t>
            </w:r>
          </w:p>
        </w:tc>
        <w:tc>
          <w:tcPr>
            <w:tcW w:w="113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27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120,933</w:t>
            </w:r>
          </w:p>
        </w:tc>
      </w:tr>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$195,000 to $224,999</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181,306 </w:t>
            </w:r>
          </w:p>
        </w:tc>
        <w:tc>
          <w:tcPr>
            <w:tcW w:w="14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33,087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3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27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214,393</w:t>
            </w:r>
          </w:p>
        </w:tc>
      </w:tr>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$225,000 to $254,999</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8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202,202 </w:t>
            </w:r>
          </w:p>
        </w:tc>
        <w:tc>
          <w:tcPr>
            <w:tcW w:w="14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35,729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3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27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237,931</w:t>
            </w:r>
          </w:p>
        </w:tc>
      </w:tr>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$255,000 to $284,999</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235,662 </w:t>
            </w:r>
          </w:p>
        </w:tc>
        <w:tc>
          <w:tcPr>
            <w:tcW w:w="14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39,352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3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27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275,014</w:t>
            </w:r>
          </w:p>
        </w:tc>
      </w:tr>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$285,000 to $314,999</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241,677 </w:t>
            </w:r>
          </w:p>
        </w:tc>
        <w:tc>
          <w:tcPr>
            <w:tcW w:w="149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44,050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3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27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285,727</w:t>
            </w:r>
          </w:p>
        </w:tc>
      </w:tr>
      <w:tr w:rsidR="00B26C61" w:rsidTr="00EA3146">
        <w:trPr>
          <w:trHeight w:val="255"/>
        </w:trPr>
        <w:tc>
          <w:tcPr>
            <w:tcW w:w="567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$465,000 to $494,999</w:t>
            </w:r>
          </w:p>
        </w:tc>
        <w:tc>
          <w:tcPr>
            <w:tcW w:w="125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 </w:t>
            </w:r>
          </w:p>
        </w:tc>
        <w:tc>
          <w:tcPr>
            <w:tcW w:w="125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413,646 </w:t>
            </w:r>
          </w:p>
        </w:tc>
        <w:tc>
          <w:tcPr>
            <w:tcW w:w="149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52,345 </w:t>
            </w:r>
          </w:p>
        </w:tc>
        <w:tc>
          <w:tcPr>
            <w:tcW w:w="125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3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27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465,991</w:t>
            </w:r>
          </w:p>
        </w:tc>
      </w:tr>
      <w:tr w:rsidR="00B26C61" w:rsidTr="00EA3146">
        <w:trPr>
          <w:trHeight w:val="255"/>
        </w:trPr>
        <w:tc>
          <w:tcPr>
            <w:tcW w:w="5676" w:type="dxa"/>
            <w:tcBorders>
              <w:top w:val="nil"/>
              <w:left w:val="nil"/>
              <w:bottom w:val="single" w:sz="4" w:space="0" w:color="auto"/>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number of substantive senior executives</w:t>
            </w:r>
          </w:p>
        </w:tc>
        <w:tc>
          <w:tcPr>
            <w:tcW w:w="125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74</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4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bl>
    <w:p w:rsidR="00B26C61" w:rsidRDefault="00B26C61" w:rsidP="00B26C61">
      <w:bookmarkStart w:id="202" w:name="RANGE!D7:J19"/>
      <w:bookmarkStart w:id="203" w:name="RANGE!D7:J22"/>
      <w:bookmarkStart w:id="204" w:name="RANGE!D7:J23"/>
      <w:bookmarkStart w:id="205" w:name="RANGE!D6:J22"/>
      <w:bookmarkStart w:id="206" w:name="RANGE!D6:J24"/>
      <w:bookmarkStart w:id="207" w:name="RANGE!D6:J18"/>
      <w:bookmarkStart w:id="208" w:name="RANGE!D6:J19"/>
      <w:bookmarkStart w:id="209" w:name="RANGE!D6:J20"/>
      <w:bookmarkEnd w:id="202"/>
      <w:bookmarkEnd w:id="203"/>
      <w:bookmarkEnd w:id="204"/>
      <w:bookmarkEnd w:id="205"/>
      <w:bookmarkEnd w:id="206"/>
      <w:bookmarkEnd w:id="207"/>
      <w:bookmarkEnd w:id="208"/>
      <w:bookmarkEnd w:id="209"/>
    </w:p>
    <w:p w:rsidR="00B26C61" w:rsidRDefault="00B26C61" w:rsidP="00B26C61">
      <w:pPr>
        <w:spacing w:line="240" w:lineRule="auto"/>
      </w:pPr>
      <w:bookmarkStart w:id="210" w:name="RANGE!D28:J43"/>
      <w:bookmarkStart w:id="211" w:name="RANGE!D30:J44"/>
      <w:bookmarkStart w:id="212" w:name="RANGE!D30:J46"/>
      <w:bookmarkStart w:id="213" w:name="RANGE!D24:J34"/>
      <w:bookmarkEnd w:id="210"/>
      <w:bookmarkEnd w:id="211"/>
      <w:bookmarkEnd w:id="212"/>
      <w:bookmarkEnd w:id="213"/>
      <w:r>
        <w:t>Notes:</w:t>
      </w:r>
    </w:p>
    <w:p w:rsidR="00B26C61" w:rsidRDefault="00B26C61" w:rsidP="00B26C61">
      <w:pPr>
        <w:pStyle w:val="ReferenceText"/>
      </w:pPr>
      <w:r>
        <w:t>1. This table reports substantive senior executives who received remuneration during the reporting period. Each row is an averaged figure based on headcount for individuals in the band.</w:t>
      </w:r>
    </w:p>
    <w:p w:rsidR="00B26C61" w:rsidRDefault="00B26C61" w:rsidP="00B26C61">
      <w:pPr>
        <w:pStyle w:val="ReferenceText"/>
      </w:pPr>
      <w:r>
        <w:t xml:space="preserve">2. 'Reportable salary' includes the following: </w:t>
      </w:r>
    </w:p>
    <w:p w:rsidR="00B26C61" w:rsidRDefault="00B26C61" w:rsidP="00B26C61">
      <w:pPr>
        <w:pStyle w:val="ReferenceText"/>
        <w:ind w:firstLine="284"/>
      </w:pPr>
      <w:r>
        <w:t xml:space="preserve">a) </w:t>
      </w:r>
      <w:proofErr w:type="gramStart"/>
      <w:r>
        <w:t>gross</w:t>
      </w:r>
      <w:proofErr w:type="gramEnd"/>
      <w:r>
        <w:t xml:space="preserve"> payments (less any bonuses paid, which are separated out and disclosed in the 'bonus paid' column); </w:t>
      </w:r>
    </w:p>
    <w:p w:rsidR="00B26C61" w:rsidRDefault="00B26C61" w:rsidP="00B26C61">
      <w:pPr>
        <w:pStyle w:val="ReferenceText"/>
        <w:ind w:firstLine="284"/>
      </w:pPr>
      <w:r>
        <w:t xml:space="preserve">b) </w:t>
      </w:r>
      <w:proofErr w:type="gramStart"/>
      <w:r>
        <w:t>reportable</w:t>
      </w:r>
      <w:proofErr w:type="gramEnd"/>
      <w:r>
        <w:t xml:space="preserve"> fringe benefits (at the net amount prior to 'grossing up' for tax purposes); </w:t>
      </w:r>
    </w:p>
    <w:p w:rsidR="00B26C61" w:rsidRDefault="00B26C61" w:rsidP="00B26C61">
      <w:pPr>
        <w:pStyle w:val="ReferenceText"/>
        <w:ind w:firstLine="284"/>
      </w:pPr>
      <w:r>
        <w:t xml:space="preserve">c) </w:t>
      </w:r>
      <w:proofErr w:type="gramStart"/>
      <w:r>
        <w:t>reportable</w:t>
      </w:r>
      <w:proofErr w:type="gramEnd"/>
      <w:r>
        <w:t xml:space="preserve"> employee superannuation contributions; and</w:t>
      </w:r>
    </w:p>
    <w:p w:rsidR="00B26C61" w:rsidRDefault="00B26C61" w:rsidP="00B26C61">
      <w:pPr>
        <w:pStyle w:val="ReferenceText"/>
        <w:ind w:firstLine="284"/>
      </w:pPr>
      <w:r>
        <w:t xml:space="preserve">d) </w:t>
      </w:r>
      <w:proofErr w:type="gramStart"/>
      <w:r>
        <w:t>exempt</w:t>
      </w:r>
      <w:proofErr w:type="gramEnd"/>
      <w:r>
        <w:t xml:space="preserve"> foreign employment income.</w:t>
      </w:r>
    </w:p>
    <w:p w:rsidR="00B26C61" w:rsidRDefault="00B26C61" w:rsidP="00B26C61">
      <w:pPr>
        <w:pStyle w:val="ReferenceText"/>
      </w:pPr>
      <w:r>
        <w:t>3. The 'contributed superannuation' amount is the average cost to the entity for the provision of superannuation benefits to substantive senior executives in that reportable remuneration band during the reporting period.</w:t>
      </w:r>
    </w:p>
    <w:p w:rsidR="00B26C61" w:rsidRDefault="00B26C61" w:rsidP="00B26C61">
      <w:pPr>
        <w:pStyle w:val="ReferenceText"/>
      </w:pPr>
      <w:r>
        <w:t>4. 'Reportable allowances' are the average actual allowances paid as per the 'total allowances' line on individuals' payment summaries.</w:t>
      </w:r>
    </w:p>
    <w:p w:rsidR="00B26C61" w:rsidRDefault="00B26C61" w:rsidP="00B26C61">
      <w:pPr>
        <w:pStyle w:val="ReferenceText"/>
      </w:pPr>
      <w:r>
        <w:t>5. 'Bonus paid' represents average actual bonuses paid during the reporting period in that reportable remuneration band. Existing remuneration arrangements for senior executives do not provide for the payment of performance bonus.</w:t>
      </w:r>
    </w:p>
    <w:p w:rsidR="00B26C61" w:rsidRDefault="00B26C61" w:rsidP="00B26C61">
      <w:pPr>
        <w:pStyle w:val="ReferenceText"/>
        <w:rPr>
          <w:rFonts w:cs="Calibri"/>
          <w:b/>
          <w:bCs/>
          <w:szCs w:val="18"/>
          <w:u w:val="single"/>
        </w:rPr>
      </w:pPr>
      <w:bookmarkStart w:id="214" w:name="RANGE!D7:J14"/>
      <w:bookmarkStart w:id="215" w:name="RANGE!D7:J15"/>
      <w:bookmarkStart w:id="216" w:name="RANGE!D6:J15"/>
      <w:bookmarkStart w:id="217" w:name="RANGE!D6:J6"/>
      <w:bookmarkStart w:id="218" w:name="RANGE!D6:J16"/>
      <w:bookmarkStart w:id="219" w:name="RANGE!D20:J25"/>
      <w:bookmarkStart w:id="220" w:name="RANGE!D20:J26"/>
      <w:bookmarkStart w:id="221" w:name="RANGE!D21:J28"/>
      <w:bookmarkStart w:id="222" w:name="RANGE!D24:J29"/>
      <w:bookmarkStart w:id="223" w:name="RANGE!D25:J30"/>
      <w:bookmarkStart w:id="224" w:name="RANGE!D25:J33"/>
      <w:bookmarkStart w:id="225" w:name="RANGE!D24:J32"/>
      <w:bookmarkEnd w:id="214"/>
      <w:bookmarkEnd w:id="215"/>
      <w:bookmarkEnd w:id="216"/>
      <w:bookmarkEnd w:id="217"/>
      <w:bookmarkEnd w:id="218"/>
      <w:bookmarkEnd w:id="219"/>
      <w:bookmarkEnd w:id="220"/>
      <w:bookmarkEnd w:id="221"/>
      <w:bookmarkEnd w:id="222"/>
      <w:bookmarkEnd w:id="223"/>
      <w:bookmarkEnd w:id="224"/>
      <w:bookmarkEnd w:id="225"/>
    </w:p>
    <w:p w:rsidR="00B26C61" w:rsidRDefault="00B26C61" w:rsidP="00B26C61">
      <w:pPr>
        <w:pStyle w:val="ReferenceText"/>
        <w:rPr>
          <w:rFonts w:cs="Calibri"/>
          <w:b/>
          <w:bCs/>
          <w:szCs w:val="18"/>
          <w:u w:val="single"/>
        </w:rPr>
      </w:pPr>
    </w:p>
    <w:p w:rsidR="00B26C61" w:rsidRPr="0073509B" w:rsidRDefault="00B26C61" w:rsidP="00B26C61">
      <w:pPr>
        <w:pStyle w:val="ReferenceText"/>
        <w:rPr>
          <w:rFonts w:cs="Calibri"/>
          <w:b/>
          <w:bCs/>
          <w:szCs w:val="18"/>
          <w:u w:val="single"/>
        </w:rPr>
      </w:pPr>
      <w:r w:rsidRPr="0073509B">
        <w:rPr>
          <w:rFonts w:cs="Calibri"/>
          <w:b/>
          <w:bCs/>
          <w:szCs w:val="18"/>
          <w:u w:val="single"/>
        </w:rPr>
        <w:t xml:space="preserve">Note </w:t>
      </w:r>
      <w:proofErr w:type="spellStart"/>
      <w:r w:rsidRPr="0073509B">
        <w:rPr>
          <w:rFonts w:cs="Calibri"/>
          <w:b/>
          <w:bCs/>
          <w:szCs w:val="18"/>
          <w:u w:val="single"/>
        </w:rPr>
        <w:t>13C</w:t>
      </w:r>
      <w:proofErr w:type="spellEnd"/>
      <w:r w:rsidRPr="0073509B">
        <w:rPr>
          <w:rFonts w:cs="Calibri"/>
          <w:b/>
          <w:bCs/>
          <w:szCs w:val="18"/>
          <w:u w:val="single"/>
        </w:rPr>
        <w:t>: Average annual reportable remuneration paid to other highly paid staff during the reporting period</w:t>
      </w:r>
    </w:p>
    <w:p w:rsidR="00B26C61" w:rsidRDefault="00B26C61" w:rsidP="00B26C61">
      <w:pPr>
        <w:pStyle w:val="ReferenceText"/>
      </w:pPr>
    </w:p>
    <w:p w:rsidR="00B26C61" w:rsidRDefault="00B26C61" w:rsidP="00B26C61">
      <w:pPr>
        <w:pStyle w:val="ReferenceText"/>
        <w:sectPr w:rsidR="00B26C61">
          <w:type w:val="continuous"/>
          <w:pgSz w:w="16838" w:h="11906" w:orient="landscape"/>
          <w:pgMar w:top="1134" w:right="1134" w:bottom="1134" w:left="1134" w:header="958" w:footer="737" w:gutter="0"/>
          <w:cols w:space="720"/>
        </w:sectPr>
      </w:pPr>
      <w:r w:rsidRPr="0073509B">
        <w:t xml:space="preserve">There </w:t>
      </w:r>
      <w:proofErr w:type="gramStart"/>
      <w:r w:rsidRPr="0073509B">
        <w:t>were no other highly paid staff</w:t>
      </w:r>
      <w:proofErr w:type="gramEnd"/>
      <w:r w:rsidRPr="0073509B">
        <w:t xml:space="preserve"> during the reporting period.</w:t>
      </w:r>
    </w:p>
    <w:p w:rsidR="00B26C61" w:rsidRDefault="00B26C61" w:rsidP="00B26C61"/>
    <w:p w:rsidR="00B26C61" w:rsidRDefault="00B26C61" w:rsidP="00B26C61">
      <w:pPr>
        <w:pStyle w:val="NotesHeading-Level1"/>
        <w:rPr>
          <w:rFonts w:cstheme="minorHAnsi"/>
        </w:rPr>
      </w:pPr>
      <w:bookmarkStart w:id="226" w:name="_Toc398813156"/>
      <w:r>
        <w:rPr>
          <w:rFonts w:cstheme="minorHAnsi"/>
        </w:rPr>
        <w:t>Remuneration of Auditors</w:t>
      </w:r>
      <w:bookmarkEnd w:id="226"/>
    </w:p>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bookmarkStart w:id="227" w:name="Note_REATABLE1" w:colFirst="0" w:colLast="0"/>
            <w:r>
              <w:rPr>
                <w:rFonts w:ascii="Arial" w:hAnsi="Arial" w:cs="Arial"/>
                <w:b/>
                <w:bCs/>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bookmarkEnd w:id="227"/>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480"/>
        </w:trPr>
        <w:tc>
          <w:tcPr>
            <w:tcW w:w="63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xml:space="preserve">Financial statement audit services were provided free of charge to the department by the Australian National Audit Office.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Fair value of services received</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B26C61">
            <w:pPr>
              <w:ind w:firstLineChars="100" w:firstLine="180"/>
              <w:rPr>
                <w:rFonts w:cs="Calibri"/>
                <w:szCs w:val="18"/>
              </w:rPr>
            </w:pPr>
            <w:r>
              <w:rPr>
                <w:rFonts w:cs="Calibri"/>
                <w:szCs w:val="18"/>
              </w:rPr>
              <w:t>Financial statement audit services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465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fair value of services received</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465</w:t>
            </w:r>
          </w:p>
        </w:tc>
      </w:tr>
    </w:tbl>
    <w:p w:rsidR="00B26C61" w:rsidRDefault="00B26C61" w:rsidP="00B26C61"/>
    <w:p w:rsidR="00B26C61" w:rsidRDefault="00B26C61" w:rsidP="00B26C61">
      <w:r>
        <w:t xml:space="preserve">No other services were provided by the auditors of the financial statements. </w:t>
      </w:r>
    </w:p>
    <w:p w:rsidR="00B26C61" w:rsidRDefault="00B26C61" w:rsidP="00B26C61"/>
    <w:p w:rsidR="00B26C61" w:rsidRDefault="00B26C61" w:rsidP="00B26C61">
      <w:pPr>
        <w:pStyle w:val="NotesHeading-Level1"/>
        <w:rPr>
          <w:rFonts w:cstheme="minorHAnsi"/>
        </w:rPr>
      </w:pPr>
      <w:bookmarkStart w:id="228" w:name="_Toc398813157"/>
      <w:r>
        <w:rPr>
          <w:rFonts w:cstheme="minorHAnsi"/>
        </w:rPr>
        <w:t>Financial Instruments</w:t>
      </w:r>
      <w:bookmarkEnd w:id="228"/>
    </w:p>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229" w:name="Note_FIATABLE1" w:colFirst="0" w:colLast="0"/>
            <w:r>
              <w:rPr>
                <w:rFonts w:cs="Calibri"/>
                <w:b/>
                <w:bCs/>
                <w:szCs w:val="18"/>
                <w:u w:val="single"/>
              </w:rPr>
              <w:t xml:space="preserve">Note </w:t>
            </w:r>
            <w:proofErr w:type="spellStart"/>
            <w:r>
              <w:rPr>
                <w:rFonts w:cs="Calibri"/>
                <w:b/>
                <w:bCs/>
                <w:szCs w:val="18"/>
                <w:u w:val="single"/>
              </w:rPr>
              <w:t>15A</w:t>
            </w:r>
            <w:proofErr w:type="spellEnd"/>
            <w:r>
              <w:rPr>
                <w:rFonts w:cs="Calibri"/>
                <w:b/>
                <w:bCs/>
                <w:szCs w:val="18"/>
                <w:u w:val="single"/>
              </w:rPr>
              <w:t>: Categories of Financial Instruments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bookmarkEnd w:id="229"/>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Financial Assets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Loans and receivables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Cash and cash equivalents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5,669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Goods and services receivables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7,059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loans and receivables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12,728</w:t>
            </w:r>
          </w:p>
        </w:tc>
      </w:tr>
      <w:tr w:rsidR="00B26C61" w:rsidTr="00EA3146">
        <w:trPr>
          <w:trHeight w:val="27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financial assets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12,728</w:t>
            </w:r>
          </w:p>
        </w:tc>
      </w:tr>
      <w:tr w:rsidR="00B26C61" w:rsidTr="00EA3146">
        <w:trPr>
          <w:trHeight w:val="270"/>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Financial Liabilities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Financial liabilities measured at amortised cost</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Trade creditors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3,403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financial liabilities measured at amortised cost</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3,403</w:t>
            </w:r>
          </w:p>
        </w:tc>
      </w:tr>
      <w:tr w:rsidR="00B26C61" w:rsidTr="00EA3146">
        <w:trPr>
          <w:trHeight w:val="270"/>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financial liabilities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3,403</w:t>
            </w:r>
          </w:p>
        </w:tc>
      </w:tr>
    </w:tbl>
    <w:p w:rsidR="00B26C61" w:rsidRDefault="00B26C61" w:rsidP="00B26C61">
      <w:bookmarkStart w:id="230" w:name="RANGE!D7:G20"/>
      <w:bookmarkStart w:id="231" w:name="RANGE!D7:G22"/>
      <w:bookmarkStart w:id="232" w:name="RANGE!D6:G44"/>
      <w:bookmarkStart w:id="233" w:name="RANGE!D6:D46"/>
      <w:bookmarkStart w:id="234" w:name="RANGE!D6:G46"/>
      <w:bookmarkEnd w:id="230"/>
      <w:bookmarkEnd w:id="231"/>
      <w:bookmarkEnd w:id="232"/>
      <w:bookmarkEnd w:id="233"/>
      <w:bookmarkEnd w:id="234"/>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235" w:name="Note_FIBTABLE1" w:colFirst="0" w:colLast="0"/>
            <w:r>
              <w:rPr>
                <w:rFonts w:cs="Calibri"/>
                <w:b/>
                <w:bCs/>
                <w:szCs w:val="18"/>
                <w:u w:val="single"/>
              </w:rPr>
              <w:t xml:space="preserve">Note </w:t>
            </w:r>
            <w:proofErr w:type="spellStart"/>
            <w:r>
              <w:rPr>
                <w:rFonts w:cs="Calibri"/>
                <w:b/>
                <w:bCs/>
                <w:szCs w:val="18"/>
                <w:u w:val="single"/>
              </w:rPr>
              <w:t>15B</w:t>
            </w:r>
            <w:proofErr w:type="spellEnd"/>
            <w:r>
              <w:rPr>
                <w:rFonts w:cs="Calibri"/>
                <w:b/>
                <w:bCs/>
                <w:szCs w:val="18"/>
                <w:u w:val="single"/>
              </w:rPr>
              <w:t>: Net Gains or Losses on Financial Assets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bookmarkEnd w:id="235"/>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Loans and receivables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B26C61">
            <w:pPr>
              <w:ind w:firstLineChars="100" w:firstLine="180"/>
              <w:rPr>
                <w:rFonts w:cs="Calibri"/>
                <w:szCs w:val="18"/>
              </w:rPr>
            </w:pPr>
            <w:r>
              <w:rPr>
                <w:rFonts w:cs="Calibri"/>
                <w:szCs w:val="18"/>
              </w:rPr>
              <w:t>Write off - goods and services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B26C61">
            <w:pPr>
              <w:ind w:firstLineChars="100" w:firstLine="180"/>
              <w:rPr>
                <w:rFonts w:cs="Calibri"/>
                <w:szCs w:val="18"/>
              </w:rPr>
            </w:pPr>
            <w:r>
              <w:rPr>
                <w:rFonts w:cs="Calibri"/>
                <w:szCs w:val="18"/>
              </w:rPr>
              <w:t>Impairment of receivables - goods and services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(10)</w:t>
            </w:r>
          </w:p>
        </w:tc>
      </w:tr>
      <w:tr w:rsidR="00B26C61" w:rsidTr="00EA3146">
        <w:trPr>
          <w:trHeight w:val="255"/>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Net losses on loans and receivables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(23)</w:t>
            </w:r>
          </w:p>
        </w:tc>
      </w:tr>
      <w:tr w:rsidR="00B26C61" w:rsidTr="00EA3146">
        <w:trPr>
          <w:trHeight w:val="255"/>
        </w:trPr>
        <w:tc>
          <w:tcPr>
            <w:tcW w:w="63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70"/>
        </w:trPr>
        <w:tc>
          <w:tcPr>
            <w:tcW w:w="63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Net losses on financial assets</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(23)</w:t>
            </w:r>
          </w:p>
        </w:tc>
      </w:tr>
    </w:tbl>
    <w:p w:rsidR="00B26C61" w:rsidRDefault="00B26C61" w:rsidP="00B26C61">
      <w:bookmarkStart w:id="236" w:name="RANGE!D6:G49"/>
      <w:bookmarkStart w:id="237" w:name="RANGE!D6:D50"/>
      <w:bookmarkStart w:id="238" w:name="RANGE!D6:G50"/>
      <w:bookmarkEnd w:id="236"/>
      <w:bookmarkEnd w:id="237"/>
      <w:bookmarkEnd w:id="238"/>
    </w:p>
    <w:p w:rsidR="00B26C61" w:rsidRDefault="00B26C61" w:rsidP="00B26C61">
      <w:r>
        <w:t xml:space="preserve">The net </w:t>
      </w:r>
      <w:proofErr w:type="gramStart"/>
      <w:r>
        <w:t>expenses from financial assets not at fair value through profit and loss is</w:t>
      </w:r>
      <w:proofErr w:type="gramEnd"/>
      <w:r>
        <w:t xml:space="preserve"> $23,000. </w:t>
      </w:r>
    </w:p>
    <w:p w:rsidR="00B26C61" w:rsidRDefault="00B26C61" w:rsidP="00B26C61"/>
    <w:p w:rsidR="00B26C61" w:rsidRDefault="00B26C61" w:rsidP="00B26C61">
      <w:r>
        <w:rPr>
          <w:b/>
        </w:rPr>
        <w:br w:type="page"/>
      </w:r>
    </w:p>
    <w:tbl>
      <w:tblPr>
        <w:tblW w:w="9087" w:type="dxa"/>
        <w:tblInd w:w="80" w:type="dxa"/>
        <w:tblLayout w:type="fixed"/>
        <w:tblLook w:val="04A0" w:firstRow="1" w:lastRow="0" w:firstColumn="1" w:lastColumn="0" w:noHBand="0" w:noVBand="1"/>
      </w:tblPr>
      <w:tblGrid>
        <w:gridCol w:w="5633"/>
        <w:gridCol w:w="1727"/>
        <w:gridCol w:w="1727"/>
      </w:tblGrid>
      <w:tr w:rsidR="00B26C61" w:rsidTr="00EA3146">
        <w:trPr>
          <w:trHeight w:val="255"/>
        </w:trPr>
        <w:tc>
          <w:tcPr>
            <w:tcW w:w="409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239" w:name="Note_FIETABLE1" w:colFirst="0" w:colLast="0"/>
            <w:r>
              <w:rPr>
                <w:rFonts w:cs="Calibri"/>
                <w:b/>
                <w:bCs/>
                <w:szCs w:val="18"/>
                <w:u w:val="single"/>
              </w:rPr>
              <w:lastRenderedPageBreak/>
              <w:t xml:space="preserve">Note </w:t>
            </w:r>
            <w:proofErr w:type="spellStart"/>
            <w:r>
              <w:rPr>
                <w:rFonts w:cs="Calibri"/>
                <w:b/>
                <w:bCs/>
                <w:szCs w:val="18"/>
                <w:u w:val="single"/>
              </w:rPr>
              <w:t>15C</w:t>
            </w:r>
            <w:proofErr w:type="spellEnd"/>
            <w:r>
              <w:rPr>
                <w:rFonts w:cs="Calibri"/>
                <w:b/>
                <w:bCs/>
                <w:szCs w:val="18"/>
                <w:u w:val="single"/>
              </w:rPr>
              <w:t>: Fair Value of Financial Instruments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bookmarkEnd w:id="239"/>
      <w:tr w:rsidR="00B26C61" w:rsidTr="00EA3146">
        <w:trPr>
          <w:trHeight w:val="255"/>
        </w:trPr>
        <w:tc>
          <w:tcPr>
            <w:tcW w:w="40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4096" w:type="dxa"/>
            <w:tcBorders>
              <w:top w:val="single" w:sz="4" w:space="0" w:color="auto"/>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Carrying</w:t>
            </w:r>
          </w:p>
        </w:tc>
        <w:tc>
          <w:tcPr>
            <w:tcW w:w="1256"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Fair</w:t>
            </w:r>
          </w:p>
        </w:tc>
      </w:tr>
      <w:tr w:rsidR="00B26C61" w:rsidTr="00EA3146">
        <w:trPr>
          <w:trHeight w:val="255"/>
        </w:trPr>
        <w:tc>
          <w:tcPr>
            <w:tcW w:w="40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amount</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value</w:t>
            </w:r>
          </w:p>
        </w:tc>
      </w:tr>
      <w:tr w:rsidR="00B26C61" w:rsidTr="00EA3146">
        <w:trPr>
          <w:trHeight w:val="255"/>
        </w:trPr>
        <w:tc>
          <w:tcPr>
            <w:tcW w:w="40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55"/>
        </w:trPr>
        <w:tc>
          <w:tcPr>
            <w:tcW w:w="4096"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25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40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Financial Assets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40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Cash and cash equivalents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5,669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5,669 </w:t>
            </w:r>
          </w:p>
        </w:tc>
      </w:tr>
      <w:tr w:rsidR="00B26C61" w:rsidTr="00EA3146">
        <w:trPr>
          <w:trHeight w:val="255"/>
        </w:trPr>
        <w:tc>
          <w:tcPr>
            <w:tcW w:w="40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Goods and services receivables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7,049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7,059 </w:t>
            </w:r>
          </w:p>
        </w:tc>
      </w:tr>
      <w:tr w:rsidR="00B26C61" w:rsidTr="00EA3146">
        <w:trPr>
          <w:trHeight w:val="255"/>
        </w:trPr>
        <w:tc>
          <w:tcPr>
            <w:tcW w:w="4096"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 Financial Assets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12,718</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12,728</w:t>
            </w:r>
          </w:p>
        </w:tc>
      </w:tr>
      <w:tr w:rsidR="00B26C61" w:rsidTr="00EA3146">
        <w:trPr>
          <w:trHeight w:val="255"/>
        </w:trPr>
        <w:tc>
          <w:tcPr>
            <w:tcW w:w="40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409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Financial Liabilities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r>
      <w:tr w:rsidR="00B26C61" w:rsidTr="00EA3146">
        <w:trPr>
          <w:trHeight w:val="255"/>
        </w:trPr>
        <w:tc>
          <w:tcPr>
            <w:tcW w:w="409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Trade creditors</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3,403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3,403 </w:t>
            </w:r>
          </w:p>
        </w:tc>
      </w:tr>
      <w:tr w:rsidR="00B26C61" w:rsidTr="00EA3146">
        <w:trPr>
          <w:trHeight w:val="255"/>
        </w:trPr>
        <w:tc>
          <w:tcPr>
            <w:tcW w:w="4096"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 Financial Liabilities</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3,403</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3,403</w:t>
            </w:r>
          </w:p>
        </w:tc>
      </w:tr>
    </w:tbl>
    <w:p w:rsidR="00B26C61" w:rsidRDefault="00B26C61" w:rsidP="00B26C61">
      <w:bookmarkStart w:id="240" w:name="RANGE!D7:H22"/>
      <w:bookmarkStart w:id="241" w:name="RANGE!D7:H23"/>
      <w:bookmarkStart w:id="242" w:name="RANGE!D6:H23"/>
      <w:bookmarkStart w:id="243" w:name="RANGE!D6:G28"/>
      <w:bookmarkStart w:id="244" w:name="RANGE!D6:D29"/>
      <w:bookmarkStart w:id="245" w:name="RANGE!D6:G29"/>
      <w:bookmarkStart w:id="246" w:name="RANGE!D6:H18"/>
      <w:bookmarkStart w:id="247" w:name="RANGE!D6:H19"/>
      <w:bookmarkEnd w:id="240"/>
      <w:bookmarkEnd w:id="241"/>
      <w:bookmarkEnd w:id="242"/>
      <w:bookmarkEnd w:id="243"/>
      <w:bookmarkEnd w:id="244"/>
      <w:bookmarkEnd w:id="245"/>
      <w:bookmarkEnd w:id="246"/>
      <w:bookmarkEnd w:id="247"/>
    </w:p>
    <w:tbl>
      <w:tblPr>
        <w:tblW w:w="9087" w:type="dxa"/>
        <w:tblInd w:w="80" w:type="dxa"/>
        <w:tblLayout w:type="fixed"/>
        <w:tblLook w:val="04A0" w:firstRow="1" w:lastRow="0" w:firstColumn="1" w:lastColumn="0" w:noHBand="0" w:noVBand="1"/>
      </w:tblPr>
      <w:tblGrid>
        <w:gridCol w:w="2838"/>
        <w:gridCol w:w="1251"/>
        <w:gridCol w:w="1250"/>
        <w:gridCol w:w="1250"/>
        <w:gridCol w:w="1249"/>
        <w:gridCol w:w="1249"/>
      </w:tblGrid>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248" w:name="Note_FIHTABLE1" w:colFirst="0" w:colLast="0"/>
            <w:r>
              <w:rPr>
                <w:rFonts w:cs="Calibri"/>
                <w:b/>
                <w:bCs/>
                <w:szCs w:val="18"/>
                <w:u w:val="single"/>
              </w:rPr>
              <w:t xml:space="preserve">Note </w:t>
            </w:r>
            <w:proofErr w:type="spellStart"/>
            <w:r>
              <w:rPr>
                <w:rFonts w:cs="Calibri"/>
                <w:b/>
                <w:bCs/>
                <w:szCs w:val="18"/>
                <w:u w:val="single"/>
              </w:rPr>
              <w:t>15D</w:t>
            </w:r>
            <w:proofErr w:type="spellEnd"/>
            <w:r>
              <w:rPr>
                <w:rFonts w:cs="Calibri"/>
                <w:b/>
                <w:bCs/>
                <w:szCs w:val="18"/>
                <w:u w:val="single"/>
              </w:rPr>
              <w:t>: Credit Risk</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bookmarkEnd w:id="248"/>
      <w:tr w:rsidR="00B26C61" w:rsidTr="00EA3146">
        <w:trPr>
          <w:trHeight w:val="1140"/>
        </w:trPr>
        <w:tc>
          <w:tcPr>
            <w:tcW w:w="8982" w:type="dxa"/>
            <w:gridSpan w:val="6"/>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The department is exposed to minimal credit risk as loans and receivables were cash, cash on deposit and trade receivables. The maximum exposure to credit risk was the risk that arises from potential default of a debtor. This amount was equal to the total amount of trade receivables in 2014: $7,059,000. The department assessed the risk of the default on payment and allocated $10,000 in 2014 to an impairment allowance account.</w:t>
            </w:r>
          </w:p>
        </w:tc>
      </w:tr>
      <w:tr w:rsidR="00B26C61" w:rsidTr="00EA3146">
        <w:trPr>
          <w:trHeight w:val="540"/>
        </w:trPr>
        <w:tc>
          <w:tcPr>
            <w:tcW w:w="8982" w:type="dxa"/>
            <w:gridSpan w:val="6"/>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The department has no significant exposures to any concentrations of credit risk.  All figures for credit risk referred to did not take into account the value of any collateral of other security.</w:t>
            </w:r>
          </w:p>
        </w:tc>
      </w:tr>
      <w:tr w:rsidR="00B26C61" w:rsidTr="00EA3146">
        <w:trPr>
          <w:trHeight w:val="255"/>
        </w:trPr>
        <w:tc>
          <w:tcPr>
            <w:tcW w:w="8982" w:type="dxa"/>
            <w:gridSpan w:val="6"/>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512" w:type="dxa"/>
            <w:gridSpan w:val="4"/>
            <w:tcBorders>
              <w:top w:val="single" w:sz="4" w:space="0" w:color="auto"/>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Maximum exposure to credit risk (excluding any collateral or credit enhancements)</w:t>
            </w:r>
          </w:p>
        </w:tc>
        <w:tc>
          <w:tcPr>
            <w:tcW w:w="1235" w:type="dxa"/>
            <w:tcBorders>
              <w:top w:val="single" w:sz="4" w:space="0" w:color="auto"/>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5"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55"/>
        </w:trPr>
        <w:tc>
          <w:tcPr>
            <w:tcW w:w="2804"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6"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6"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5"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5"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2804"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Financial assets</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Cash and cash equivalents</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5,669 </w:t>
            </w:r>
          </w:p>
        </w:tc>
      </w:tr>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Goods and services receivables</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7,059 </w:t>
            </w:r>
          </w:p>
        </w:tc>
      </w:tr>
      <w:tr w:rsidR="00B26C61" w:rsidTr="00EA3146">
        <w:trPr>
          <w:trHeight w:val="255"/>
        </w:trPr>
        <w:tc>
          <w:tcPr>
            <w:tcW w:w="2804"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w:t>
            </w:r>
          </w:p>
        </w:tc>
        <w:tc>
          <w:tcPr>
            <w:tcW w:w="1236"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36"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36"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35"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3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12,728</w:t>
            </w:r>
          </w:p>
        </w:tc>
      </w:tr>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555"/>
        </w:trPr>
        <w:tc>
          <w:tcPr>
            <w:tcW w:w="8982" w:type="dxa"/>
            <w:gridSpan w:val="6"/>
            <w:tcBorders>
              <w:top w:val="nil"/>
              <w:left w:val="nil"/>
              <w:bottom w:val="nil"/>
              <w:right w:val="nil"/>
            </w:tcBorders>
            <w:shd w:val="clear" w:color="auto" w:fill="auto"/>
            <w:vAlign w:val="bottom"/>
            <w:hideMark/>
          </w:tcPr>
          <w:p w:rsidR="00B26C61" w:rsidRDefault="00B26C61" w:rsidP="00EA3146">
            <w:pPr>
              <w:rPr>
                <w:rFonts w:cs="Calibri"/>
                <w:szCs w:val="18"/>
              </w:rPr>
            </w:pPr>
            <w:r>
              <w:rPr>
                <w:rFonts w:cs="Calibri"/>
                <w:szCs w:val="18"/>
              </w:rPr>
              <w:t>In relation to the department’s gross credit risk there is no collateral held however in 2014, 11 limited indemnities were given in respect of venue hire between the Commonwealth and third parties.</w:t>
            </w:r>
          </w:p>
        </w:tc>
      </w:tr>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480"/>
        </w:trPr>
        <w:tc>
          <w:tcPr>
            <w:tcW w:w="6512" w:type="dxa"/>
            <w:gridSpan w:val="4"/>
            <w:vMerge w:val="restart"/>
            <w:tcBorders>
              <w:top w:val="single" w:sz="4" w:space="0" w:color="auto"/>
              <w:left w:val="nil"/>
              <w:bottom w:val="nil"/>
              <w:right w:val="nil"/>
            </w:tcBorders>
            <w:shd w:val="clear" w:color="FFFFFF" w:fill="FFFFFF"/>
            <w:hideMark/>
          </w:tcPr>
          <w:p w:rsidR="00B26C61" w:rsidRDefault="00B26C61" w:rsidP="00EA3146">
            <w:pPr>
              <w:rPr>
                <w:rFonts w:cs="Calibri"/>
                <w:b/>
                <w:bCs/>
                <w:szCs w:val="18"/>
              </w:rPr>
            </w:pPr>
            <w:r>
              <w:rPr>
                <w:rFonts w:cs="Calibri"/>
                <w:b/>
                <w:bCs/>
                <w:szCs w:val="18"/>
              </w:rPr>
              <w:t>Credit quality of financial instruments not past due or individually determined as impaired</w:t>
            </w:r>
          </w:p>
        </w:tc>
        <w:tc>
          <w:tcPr>
            <w:tcW w:w="1235"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Not past due nor impaired</w:t>
            </w:r>
          </w:p>
        </w:tc>
        <w:tc>
          <w:tcPr>
            <w:tcW w:w="1235"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Past due or impaired</w:t>
            </w:r>
          </w:p>
        </w:tc>
      </w:tr>
      <w:tr w:rsidR="00B26C61" w:rsidTr="00EA3146">
        <w:trPr>
          <w:trHeight w:val="255"/>
        </w:trPr>
        <w:tc>
          <w:tcPr>
            <w:tcW w:w="6512" w:type="dxa"/>
            <w:gridSpan w:val="4"/>
            <w:vMerge/>
            <w:tcBorders>
              <w:top w:val="single" w:sz="4" w:space="0" w:color="auto"/>
              <w:left w:val="nil"/>
              <w:bottom w:val="nil"/>
              <w:right w:val="nil"/>
            </w:tcBorders>
            <w:vAlign w:val="center"/>
            <w:hideMark/>
          </w:tcPr>
          <w:p w:rsidR="00B26C61" w:rsidRDefault="00B26C61" w:rsidP="00EA3146">
            <w:pPr>
              <w:rPr>
                <w:rFonts w:cs="Calibri"/>
                <w:b/>
                <w:bCs/>
                <w:szCs w:val="18"/>
              </w:rPr>
            </w:pPr>
          </w:p>
        </w:tc>
        <w:tc>
          <w:tcPr>
            <w:tcW w:w="1235"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c>
          <w:tcPr>
            <w:tcW w:w="1235"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55"/>
        </w:trPr>
        <w:tc>
          <w:tcPr>
            <w:tcW w:w="2804"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sz w:val="20"/>
              </w:rPr>
            </w:pPr>
            <w:r>
              <w:rPr>
                <w:rFonts w:ascii="Arial" w:hAnsi="Arial" w:cs="Arial"/>
                <w:sz w:val="20"/>
              </w:rPr>
              <w:t> </w:t>
            </w:r>
          </w:p>
        </w:tc>
        <w:tc>
          <w:tcPr>
            <w:tcW w:w="123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szCs w:val="18"/>
              </w:rPr>
            </w:pPr>
            <w:r>
              <w:rPr>
                <w:rFonts w:cs="Calibri"/>
                <w:szCs w:val="18"/>
              </w:rPr>
              <w:t> </w:t>
            </w:r>
          </w:p>
        </w:tc>
        <w:tc>
          <w:tcPr>
            <w:tcW w:w="123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szCs w:val="18"/>
              </w:rPr>
            </w:pPr>
            <w:r>
              <w:rPr>
                <w:rFonts w:cs="Calibri"/>
                <w:szCs w:val="18"/>
              </w:rPr>
              <w:t> </w:t>
            </w:r>
          </w:p>
        </w:tc>
        <w:tc>
          <w:tcPr>
            <w:tcW w:w="1235"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235"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Cash and cash equivalents</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vAlign w:val="bottom"/>
            <w:hideMark/>
          </w:tcPr>
          <w:p w:rsidR="00B26C61" w:rsidRDefault="00B26C61" w:rsidP="00EA3146">
            <w:pPr>
              <w:jc w:val="right"/>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B26C61" w:rsidRDefault="00B26C61" w:rsidP="00EA3146">
            <w:pPr>
              <w:jc w:val="right"/>
              <w:rPr>
                <w:rFonts w:cs="Calibri"/>
                <w:szCs w:val="18"/>
              </w:rPr>
            </w:pPr>
            <w:r>
              <w:rPr>
                <w:rFonts w:cs="Calibri"/>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5,669 </w:t>
            </w:r>
          </w:p>
        </w:tc>
        <w:tc>
          <w:tcPr>
            <w:tcW w:w="123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Goods and services receivables</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236" w:type="dxa"/>
            <w:tcBorders>
              <w:top w:val="nil"/>
              <w:left w:val="nil"/>
              <w:bottom w:val="nil"/>
              <w:right w:val="nil"/>
            </w:tcBorders>
            <w:shd w:val="clear" w:color="FFFFFF" w:fill="FFFFFF"/>
            <w:vAlign w:val="bottom"/>
            <w:hideMark/>
          </w:tcPr>
          <w:p w:rsidR="00B26C61" w:rsidRDefault="00B26C61" w:rsidP="00EA3146">
            <w:pPr>
              <w:jc w:val="right"/>
              <w:rPr>
                <w:rFonts w:cs="Calibri"/>
                <w:szCs w:val="18"/>
              </w:rPr>
            </w:pPr>
            <w:r>
              <w:rPr>
                <w:rFonts w:cs="Calibri"/>
                <w:szCs w:val="18"/>
              </w:rPr>
              <w:t> </w:t>
            </w:r>
          </w:p>
        </w:tc>
        <w:tc>
          <w:tcPr>
            <w:tcW w:w="1236" w:type="dxa"/>
            <w:tcBorders>
              <w:top w:val="nil"/>
              <w:left w:val="nil"/>
              <w:bottom w:val="nil"/>
              <w:right w:val="nil"/>
            </w:tcBorders>
            <w:shd w:val="clear" w:color="FFFFFF" w:fill="FFFFFF"/>
            <w:vAlign w:val="bottom"/>
            <w:hideMark/>
          </w:tcPr>
          <w:p w:rsidR="00B26C61" w:rsidRDefault="00B26C61" w:rsidP="00EA3146">
            <w:pPr>
              <w:jc w:val="right"/>
              <w:rPr>
                <w:rFonts w:cs="Calibri"/>
                <w:szCs w:val="18"/>
              </w:rPr>
            </w:pPr>
            <w:r>
              <w:rPr>
                <w:rFonts w:cs="Calibri"/>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5,663 </w:t>
            </w:r>
          </w:p>
        </w:tc>
        <w:tc>
          <w:tcPr>
            <w:tcW w:w="123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1,396 </w:t>
            </w:r>
          </w:p>
        </w:tc>
      </w:tr>
      <w:tr w:rsidR="00B26C61" w:rsidTr="00EA3146">
        <w:trPr>
          <w:trHeight w:val="255"/>
        </w:trPr>
        <w:tc>
          <w:tcPr>
            <w:tcW w:w="2804"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w:t>
            </w:r>
          </w:p>
        </w:tc>
        <w:tc>
          <w:tcPr>
            <w:tcW w:w="1236"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36"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jc w:val="right"/>
              <w:rPr>
                <w:rFonts w:cs="Calibri"/>
                <w:szCs w:val="18"/>
              </w:rPr>
            </w:pPr>
            <w:r>
              <w:rPr>
                <w:rFonts w:cs="Calibri"/>
                <w:szCs w:val="18"/>
              </w:rPr>
              <w:t> </w:t>
            </w:r>
          </w:p>
        </w:tc>
        <w:tc>
          <w:tcPr>
            <w:tcW w:w="1236"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jc w:val="right"/>
              <w:rPr>
                <w:rFonts w:cs="Calibri"/>
                <w:szCs w:val="18"/>
              </w:rPr>
            </w:pPr>
            <w:r>
              <w:rPr>
                <w:rFonts w:cs="Calibri"/>
                <w:szCs w:val="18"/>
              </w:rPr>
              <w:t> </w:t>
            </w:r>
          </w:p>
        </w:tc>
        <w:tc>
          <w:tcPr>
            <w:tcW w:w="123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11,332</w:t>
            </w:r>
          </w:p>
        </w:tc>
        <w:tc>
          <w:tcPr>
            <w:tcW w:w="123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1,396</w:t>
            </w:r>
          </w:p>
        </w:tc>
      </w:tr>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5"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8982" w:type="dxa"/>
            <w:gridSpan w:val="6"/>
            <w:tcBorders>
              <w:top w:val="nil"/>
              <w:left w:val="nil"/>
              <w:bottom w:val="single" w:sz="4" w:space="0" w:color="auto"/>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Ageing of financial assets that were past due but not impaired in 2014</w:t>
            </w:r>
          </w:p>
        </w:tc>
      </w:tr>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xml:space="preserve">0 to 30 </w:t>
            </w:r>
          </w:p>
        </w:tc>
        <w:tc>
          <w:tcPr>
            <w:tcW w:w="123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31 to 60</w:t>
            </w:r>
          </w:p>
        </w:tc>
        <w:tc>
          <w:tcPr>
            <w:tcW w:w="123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61 to 90</w:t>
            </w:r>
          </w:p>
        </w:tc>
        <w:tc>
          <w:tcPr>
            <w:tcW w:w="1235"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90+</w:t>
            </w:r>
          </w:p>
        </w:tc>
        <w:tc>
          <w:tcPr>
            <w:tcW w:w="1235"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days</w:t>
            </w:r>
          </w:p>
        </w:tc>
        <w:tc>
          <w:tcPr>
            <w:tcW w:w="123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days</w:t>
            </w:r>
          </w:p>
        </w:tc>
        <w:tc>
          <w:tcPr>
            <w:tcW w:w="123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days</w:t>
            </w:r>
          </w:p>
        </w:tc>
        <w:tc>
          <w:tcPr>
            <w:tcW w:w="1235"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days</w:t>
            </w:r>
          </w:p>
        </w:tc>
        <w:tc>
          <w:tcPr>
            <w:tcW w:w="1235"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Total</w:t>
            </w:r>
          </w:p>
        </w:tc>
      </w:tr>
      <w:tr w:rsidR="00B26C61" w:rsidTr="00EA3146">
        <w:trPr>
          <w:trHeight w:val="255"/>
        </w:trPr>
        <w:tc>
          <w:tcPr>
            <w:tcW w:w="2804"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3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23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23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235"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235"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2804"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Goods and services receivables</w:t>
            </w:r>
          </w:p>
        </w:tc>
        <w:tc>
          <w:tcPr>
            <w:tcW w:w="123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232 </w:t>
            </w:r>
          </w:p>
        </w:tc>
        <w:tc>
          <w:tcPr>
            <w:tcW w:w="123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153 </w:t>
            </w:r>
          </w:p>
        </w:tc>
        <w:tc>
          <w:tcPr>
            <w:tcW w:w="123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218 </w:t>
            </w:r>
          </w:p>
        </w:tc>
        <w:tc>
          <w:tcPr>
            <w:tcW w:w="123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783 </w:t>
            </w:r>
          </w:p>
        </w:tc>
        <w:tc>
          <w:tcPr>
            <w:tcW w:w="1235"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1,386 </w:t>
            </w:r>
          </w:p>
        </w:tc>
      </w:tr>
      <w:tr w:rsidR="00B26C61" w:rsidTr="00EA3146">
        <w:trPr>
          <w:trHeight w:val="255"/>
        </w:trPr>
        <w:tc>
          <w:tcPr>
            <w:tcW w:w="2804"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w:t>
            </w:r>
          </w:p>
        </w:tc>
        <w:tc>
          <w:tcPr>
            <w:tcW w:w="123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232</w:t>
            </w:r>
          </w:p>
        </w:tc>
        <w:tc>
          <w:tcPr>
            <w:tcW w:w="123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153</w:t>
            </w:r>
          </w:p>
        </w:tc>
        <w:tc>
          <w:tcPr>
            <w:tcW w:w="123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218</w:t>
            </w:r>
          </w:p>
        </w:tc>
        <w:tc>
          <w:tcPr>
            <w:tcW w:w="123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783</w:t>
            </w:r>
          </w:p>
        </w:tc>
        <w:tc>
          <w:tcPr>
            <w:tcW w:w="1235"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1,386</w:t>
            </w:r>
          </w:p>
        </w:tc>
      </w:tr>
    </w:tbl>
    <w:p w:rsidR="00B26C61" w:rsidRDefault="00B26C61" w:rsidP="00B26C61">
      <w:bookmarkStart w:id="249" w:name="RANGE!D7:I41"/>
      <w:bookmarkEnd w:id="249"/>
    </w:p>
    <w:p w:rsidR="00B26C61" w:rsidRDefault="00B26C61" w:rsidP="00B26C61">
      <w:pPr>
        <w:rPr>
          <w:rFonts w:asciiTheme="minorHAnsi" w:hAnsiTheme="minorHAnsi" w:cstheme="minorHAnsi"/>
          <w:b/>
          <w:szCs w:val="18"/>
          <w:lang w:eastAsia="en-AU"/>
        </w:rPr>
      </w:pPr>
      <w:bookmarkStart w:id="250" w:name="RANGE!D7:I46"/>
      <w:bookmarkStart w:id="251" w:name="RANGE!D7:I45"/>
      <w:bookmarkStart w:id="252" w:name="RANGE!D7:I44"/>
      <w:bookmarkStart w:id="253" w:name="RANGE!D7:I42"/>
      <w:bookmarkEnd w:id="250"/>
      <w:bookmarkEnd w:id="251"/>
      <w:bookmarkEnd w:id="252"/>
      <w:bookmarkEnd w:id="253"/>
    </w:p>
    <w:p w:rsidR="00B26C61" w:rsidRDefault="00B26C61" w:rsidP="00B26C61">
      <w:pPr>
        <w:spacing w:line="240" w:lineRule="auto"/>
        <w:rPr>
          <w:rFonts w:asciiTheme="minorHAnsi" w:hAnsiTheme="minorHAnsi" w:cstheme="minorHAnsi"/>
          <w:szCs w:val="18"/>
          <w:lang w:eastAsia="en-AU"/>
        </w:rPr>
      </w:pPr>
      <w:bookmarkStart w:id="254" w:name="RANGE!D6:I42"/>
      <w:bookmarkStart w:id="255" w:name="RANGE!D6:I47"/>
      <w:bookmarkStart w:id="256" w:name="RANGE!D21:H37"/>
      <w:bookmarkStart w:id="257" w:name="RANGE!D22:H38"/>
      <w:bookmarkStart w:id="258" w:name="RANGE!D40:H88"/>
      <w:bookmarkStart w:id="259" w:name="RANGE!D41:H89"/>
      <w:bookmarkStart w:id="260" w:name="RANGE!D6:G30"/>
      <w:bookmarkStart w:id="261" w:name="RANGE!D6:D31"/>
      <w:bookmarkStart w:id="262" w:name="RANGE!D6:G31"/>
      <w:bookmarkStart w:id="263" w:name="RANGE!D6:F17"/>
      <w:bookmarkStart w:id="264" w:name="RANGE!D6:I46"/>
      <w:bookmarkStart w:id="265" w:name="RANGE!D6:I44"/>
      <w:bookmarkStart w:id="266" w:name="RANGE!D6:D45"/>
      <w:bookmarkStart w:id="267" w:name="RANGE!D6:I45"/>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tbl>
      <w:tblPr>
        <w:tblW w:w="9087" w:type="dxa"/>
        <w:tblInd w:w="80" w:type="dxa"/>
        <w:tblLayout w:type="fixed"/>
        <w:tblLook w:val="04A0" w:firstRow="1" w:lastRow="0" w:firstColumn="1" w:lastColumn="0" w:noHBand="0" w:noVBand="1"/>
      </w:tblPr>
      <w:tblGrid>
        <w:gridCol w:w="2247"/>
        <w:gridCol w:w="1140"/>
        <w:gridCol w:w="1140"/>
        <w:gridCol w:w="1140"/>
        <w:gridCol w:w="1140"/>
        <w:gridCol w:w="1140"/>
        <w:gridCol w:w="1140"/>
      </w:tblGrid>
      <w:tr w:rsidR="00B26C61" w:rsidTr="00EA3146">
        <w:trPr>
          <w:trHeight w:val="255"/>
        </w:trPr>
        <w:tc>
          <w:tcPr>
            <w:tcW w:w="2223"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268" w:name="Note_FIITABLE1" w:colFirst="0" w:colLast="0"/>
            <w:r>
              <w:rPr>
                <w:rFonts w:cs="Calibri"/>
                <w:b/>
                <w:bCs/>
                <w:szCs w:val="18"/>
                <w:u w:val="single"/>
              </w:rPr>
              <w:lastRenderedPageBreak/>
              <w:t xml:space="preserve">Note </w:t>
            </w:r>
            <w:proofErr w:type="spellStart"/>
            <w:r>
              <w:rPr>
                <w:rFonts w:cs="Calibri"/>
                <w:b/>
                <w:bCs/>
                <w:szCs w:val="18"/>
                <w:u w:val="single"/>
              </w:rPr>
              <w:t>15E</w:t>
            </w:r>
            <w:proofErr w:type="spellEnd"/>
            <w:r>
              <w:rPr>
                <w:rFonts w:cs="Calibri"/>
                <w:b/>
                <w:bCs/>
                <w:szCs w:val="18"/>
                <w:u w:val="single"/>
              </w:rPr>
              <w:t>: Liquidity Risk</w:t>
            </w:r>
          </w:p>
        </w:tc>
        <w:tc>
          <w:tcPr>
            <w:tcW w:w="112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bookmarkEnd w:id="268"/>
      <w:tr w:rsidR="00B26C61" w:rsidTr="00EA3146">
        <w:trPr>
          <w:trHeight w:val="1410"/>
        </w:trPr>
        <w:tc>
          <w:tcPr>
            <w:tcW w:w="8986" w:type="dxa"/>
            <w:gridSpan w:val="7"/>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The department’s financial liabilities were trade creditors and accrued expenses. The exposure to liquidity risk was based on the notion that the department will encounter difficulty in meeting its obligations associated with financial liabilities. This was highly unlikely as the department is appropriated funding from the Australian Government.  The department manages its budgeted funds to ensure it has adequate funds to meet payments as they fall due. In addition, the department has policies in place to ensure timely payments are made when due and has no past experience of default.</w:t>
            </w:r>
          </w:p>
        </w:tc>
      </w:tr>
      <w:tr w:rsidR="00B26C61" w:rsidTr="00EA3146">
        <w:trPr>
          <w:trHeight w:val="255"/>
        </w:trPr>
        <w:tc>
          <w:tcPr>
            <w:tcW w:w="2223"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8"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4478" w:type="dxa"/>
            <w:gridSpan w:val="3"/>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Maturities for non-derivative financial liabilities in 2014</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7"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480"/>
        </w:trPr>
        <w:tc>
          <w:tcPr>
            <w:tcW w:w="2223" w:type="dxa"/>
            <w:tcBorders>
              <w:top w:val="single" w:sz="4" w:space="0" w:color="auto"/>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28"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On demand</w:t>
            </w:r>
          </w:p>
        </w:tc>
        <w:tc>
          <w:tcPr>
            <w:tcW w:w="1127"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Within one year</w:t>
            </w:r>
          </w:p>
        </w:tc>
        <w:tc>
          <w:tcPr>
            <w:tcW w:w="1127"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Between one to two years</w:t>
            </w:r>
          </w:p>
        </w:tc>
        <w:tc>
          <w:tcPr>
            <w:tcW w:w="1127"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Between two and five years</w:t>
            </w:r>
          </w:p>
        </w:tc>
        <w:tc>
          <w:tcPr>
            <w:tcW w:w="1127"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More than five years</w:t>
            </w:r>
          </w:p>
        </w:tc>
        <w:tc>
          <w:tcPr>
            <w:tcW w:w="1127"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Total</w:t>
            </w:r>
          </w:p>
        </w:tc>
      </w:tr>
      <w:tr w:rsidR="00B26C61" w:rsidTr="00EA3146">
        <w:trPr>
          <w:trHeight w:val="255"/>
        </w:trPr>
        <w:tc>
          <w:tcPr>
            <w:tcW w:w="2223" w:type="dxa"/>
            <w:tcBorders>
              <w:top w:val="nil"/>
              <w:left w:val="nil"/>
              <w:bottom w:val="single" w:sz="4" w:space="0" w:color="auto"/>
              <w:right w:val="nil"/>
            </w:tcBorders>
            <w:shd w:val="clear" w:color="FFFFFF" w:fill="FFFFFF"/>
            <w:noWrap/>
            <w:vAlign w:val="bottom"/>
            <w:hideMark/>
          </w:tcPr>
          <w:p w:rsidR="00B26C61" w:rsidRDefault="00B26C61" w:rsidP="00EA3146">
            <w:pPr>
              <w:rPr>
                <w:rFonts w:ascii="Arial" w:hAnsi="Arial" w:cs="Arial"/>
                <w:b/>
                <w:bCs/>
                <w:szCs w:val="18"/>
              </w:rPr>
            </w:pPr>
            <w:r>
              <w:rPr>
                <w:rFonts w:ascii="Arial" w:hAnsi="Arial" w:cs="Arial"/>
                <w:b/>
                <w:bCs/>
                <w:szCs w:val="18"/>
              </w:rPr>
              <w:t> </w:t>
            </w:r>
          </w:p>
        </w:tc>
        <w:tc>
          <w:tcPr>
            <w:tcW w:w="1128"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127"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127"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127"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127"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127"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2223"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Trade creditors</w:t>
            </w:r>
          </w:p>
        </w:tc>
        <w:tc>
          <w:tcPr>
            <w:tcW w:w="112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27"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3,403 </w:t>
            </w:r>
          </w:p>
        </w:tc>
        <w:tc>
          <w:tcPr>
            <w:tcW w:w="1127"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27"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27"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27"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3,403 </w:t>
            </w:r>
          </w:p>
        </w:tc>
      </w:tr>
      <w:tr w:rsidR="00B26C61" w:rsidTr="00EA3146">
        <w:trPr>
          <w:trHeight w:val="255"/>
        </w:trPr>
        <w:tc>
          <w:tcPr>
            <w:tcW w:w="2223" w:type="dxa"/>
            <w:tcBorders>
              <w:top w:val="single" w:sz="4" w:space="0" w:color="auto"/>
              <w:left w:val="nil"/>
              <w:bottom w:val="single" w:sz="4" w:space="0" w:color="auto"/>
              <w:right w:val="nil"/>
            </w:tcBorders>
            <w:shd w:val="clear" w:color="FFFFFF" w:fill="FFFFFF"/>
            <w:vAlign w:val="bottom"/>
            <w:hideMark/>
          </w:tcPr>
          <w:p w:rsidR="00B26C61" w:rsidRDefault="00B26C61" w:rsidP="00EA3146">
            <w:pPr>
              <w:rPr>
                <w:rFonts w:cs="Calibri"/>
                <w:b/>
                <w:bCs/>
                <w:szCs w:val="18"/>
              </w:rPr>
            </w:pPr>
            <w:r>
              <w:rPr>
                <w:rFonts w:cs="Calibri"/>
                <w:b/>
                <w:bCs/>
                <w:szCs w:val="18"/>
              </w:rPr>
              <w:t>Total</w:t>
            </w:r>
          </w:p>
        </w:tc>
        <w:tc>
          <w:tcPr>
            <w:tcW w:w="1128"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127"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3,403</w:t>
            </w:r>
          </w:p>
        </w:tc>
        <w:tc>
          <w:tcPr>
            <w:tcW w:w="1127"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127"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127"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w:t>
            </w:r>
          </w:p>
        </w:tc>
        <w:tc>
          <w:tcPr>
            <w:tcW w:w="1127"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3,403</w:t>
            </w:r>
          </w:p>
        </w:tc>
      </w:tr>
    </w:tbl>
    <w:p w:rsidR="00B26C61" w:rsidRDefault="00B26C61" w:rsidP="00B26C61">
      <w:bookmarkStart w:id="269" w:name="RANGE!D7:G9"/>
      <w:bookmarkEnd w:id="269"/>
    </w:p>
    <w:p w:rsidR="00B26C61" w:rsidRDefault="00B26C61" w:rsidP="00B26C61"/>
    <w:tbl>
      <w:tblPr>
        <w:tblW w:w="9087" w:type="dxa"/>
        <w:tblInd w:w="80" w:type="dxa"/>
        <w:tblLayout w:type="fixed"/>
        <w:tblLook w:val="04A0" w:firstRow="1" w:lastRow="0" w:firstColumn="1" w:lastColumn="0" w:noHBand="0" w:noVBand="1"/>
      </w:tblPr>
      <w:tblGrid>
        <w:gridCol w:w="5543"/>
        <w:gridCol w:w="1134"/>
        <w:gridCol w:w="1276"/>
        <w:gridCol w:w="1134"/>
      </w:tblGrid>
      <w:tr w:rsidR="00B26C61" w:rsidTr="00EA3146">
        <w:trPr>
          <w:trHeight w:val="255"/>
        </w:trPr>
        <w:tc>
          <w:tcPr>
            <w:tcW w:w="5543"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270" w:name="Note_FIJTABLE1" w:colFirst="0" w:colLast="0"/>
            <w:r>
              <w:rPr>
                <w:rFonts w:cs="Calibri"/>
                <w:b/>
                <w:bCs/>
                <w:szCs w:val="18"/>
                <w:u w:val="single"/>
              </w:rPr>
              <w:t xml:space="preserve">Note </w:t>
            </w:r>
            <w:proofErr w:type="spellStart"/>
            <w:r>
              <w:rPr>
                <w:rFonts w:cs="Calibri"/>
                <w:b/>
                <w:bCs/>
                <w:szCs w:val="18"/>
                <w:u w:val="single"/>
              </w:rPr>
              <w:t>15F</w:t>
            </w:r>
            <w:proofErr w:type="spellEnd"/>
            <w:r>
              <w:rPr>
                <w:rFonts w:cs="Calibri"/>
                <w:b/>
                <w:bCs/>
                <w:szCs w:val="18"/>
                <w:u w:val="single"/>
              </w:rPr>
              <w:t>: Market Risk</w:t>
            </w:r>
          </w:p>
        </w:tc>
        <w:tc>
          <w:tcPr>
            <w:tcW w:w="1134"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134"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bookmarkEnd w:id="270"/>
      <w:tr w:rsidR="00B26C61" w:rsidTr="00EA3146">
        <w:trPr>
          <w:trHeight w:val="495"/>
        </w:trPr>
        <w:tc>
          <w:tcPr>
            <w:tcW w:w="9087" w:type="dxa"/>
            <w:gridSpan w:val="4"/>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The department held basic financial instruments that did not expose the department to market risks.</w:t>
            </w:r>
          </w:p>
        </w:tc>
      </w:tr>
    </w:tbl>
    <w:p w:rsidR="00B26C61" w:rsidRDefault="00B26C61" w:rsidP="00B26C61"/>
    <w:p w:rsidR="00B26C61" w:rsidRDefault="00B26C61" w:rsidP="00B26C61">
      <w:pPr>
        <w:spacing w:line="240" w:lineRule="auto"/>
      </w:pPr>
      <w:r>
        <w:br w:type="page"/>
      </w:r>
    </w:p>
    <w:p w:rsidR="00B26C61" w:rsidRDefault="00B26C61" w:rsidP="00B26C61"/>
    <w:p w:rsidR="00B26C61" w:rsidRDefault="00B26C61" w:rsidP="00B26C61">
      <w:pPr>
        <w:pStyle w:val="NotesHeading-Level1"/>
        <w:rPr>
          <w:rFonts w:cstheme="minorHAnsi"/>
        </w:rPr>
      </w:pPr>
      <w:bookmarkStart w:id="271" w:name="RANGE!D6:G32"/>
      <w:bookmarkStart w:id="272" w:name="RANGE!D6:D33"/>
      <w:bookmarkStart w:id="273" w:name="RANGE!D6:G33"/>
      <w:bookmarkStart w:id="274" w:name="_Toc398813158"/>
      <w:bookmarkEnd w:id="271"/>
      <w:bookmarkEnd w:id="272"/>
      <w:bookmarkEnd w:id="273"/>
      <w:r>
        <w:rPr>
          <w:rFonts w:cstheme="minorHAnsi"/>
        </w:rPr>
        <w:t>Financial Assets Reconciliation</w:t>
      </w:r>
      <w:bookmarkEnd w:id="274"/>
    </w:p>
    <w:tbl>
      <w:tblPr>
        <w:tblW w:w="9087" w:type="dxa"/>
        <w:tblInd w:w="80" w:type="dxa"/>
        <w:tblLayout w:type="fixed"/>
        <w:tblLook w:val="04A0" w:firstRow="1" w:lastRow="0" w:firstColumn="1" w:lastColumn="0" w:noHBand="0" w:noVBand="1"/>
      </w:tblPr>
      <w:tblGrid>
        <w:gridCol w:w="6111"/>
        <w:gridCol w:w="1488"/>
        <w:gridCol w:w="1488"/>
      </w:tblGrid>
      <w:tr w:rsidR="00B26C61" w:rsidTr="00EA3146">
        <w:trPr>
          <w:trHeight w:val="240"/>
        </w:trPr>
        <w:tc>
          <w:tcPr>
            <w:tcW w:w="51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bookmarkStart w:id="275" w:name="Note_FARTABLE1" w:colFirst="0" w:colLast="0"/>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bookmarkEnd w:id="275"/>
      <w:tr w:rsidR="00B26C61" w:rsidTr="00EA3146">
        <w:trPr>
          <w:trHeight w:val="240"/>
        </w:trPr>
        <w:tc>
          <w:tcPr>
            <w:tcW w:w="51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40"/>
        </w:trPr>
        <w:tc>
          <w:tcPr>
            <w:tcW w:w="515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r>
              <w:rPr>
                <w:rFonts w:cs="Calibri"/>
                <w:b/>
                <w:bCs/>
                <w:szCs w:val="18"/>
                <w:u w:val="single"/>
              </w:rPr>
              <w:t>Financial assets</w:t>
            </w:r>
          </w:p>
        </w:tc>
        <w:tc>
          <w:tcPr>
            <w:tcW w:w="1256" w:type="dxa"/>
            <w:tcBorders>
              <w:top w:val="nil"/>
              <w:left w:val="nil"/>
              <w:bottom w:val="nil"/>
              <w:right w:val="nil"/>
            </w:tcBorders>
            <w:shd w:val="clear" w:color="FFFFFF" w:fill="FFFFFF"/>
            <w:vAlign w:val="bottom"/>
            <w:hideMark/>
          </w:tcPr>
          <w:p w:rsidR="00B26C61" w:rsidRDefault="00B26C61" w:rsidP="00EA3146">
            <w:pPr>
              <w:jc w:val="center"/>
              <w:rPr>
                <w:rFonts w:cs="Calibri"/>
                <w:b/>
                <w:bCs/>
                <w:szCs w:val="18"/>
              </w:rPr>
            </w:pPr>
            <w:r>
              <w:rPr>
                <w:rFonts w:cs="Calibri"/>
                <w:b/>
                <w:bCs/>
                <w:szCs w:val="18"/>
              </w:rPr>
              <w:t>Notes</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40"/>
        </w:trPr>
        <w:tc>
          <w:tcPr>
            <w:tcW w:w="515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cente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40"/>
        </w:trPr>
        <w:tc>
          <w:tcPr>
            <w:tcW w:w="515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financial assets as per Statement of Financial Position</w:t>
            </w:r>
          </w:p>
        </w:tc>
        <w:tc>
          <w:tcPr>
            <w:tcW w:w="1256" w:type="dxa"/>
            <w:tcBorders>
              <w:top w:val="nil"/>
              <w:left w:val="nil"/>
              <w:bottom w:val="nil"/>
              <w:right w:val="nil"/>
            </w:tcBorders>
            <w:shd w:val="clear" w:color="FFFFFF" w:fill="FFFFFF"/>
            <w:noWrap/>
            <w:vAlign w:val="bottom"/>
            <w:hideMark/>
          </w:tcPr>
          <w:p w:rsidR="00B26C61" w:rsidRDefault="00B26C61" w:rsidP="00EA3146">
            <w:pPr>
              <w:jc w:val="cente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81,727</w:t>
            </w:r>
          </w:p>
        </w:tc>
      </w:tr>
      <w:tr w:rsidR="00B26C61" w:rsidTr="00EA3146">
        <w:trPr>
          <w:trHeight w:val="240"/>
        </w:trPr>
        <w:tc>
          <w:tcPr>
            <w:tcW w:w="515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Less: non-financial instrument components</w:t>
            </w:r>
          </w:p>
        </w:tc>
        <w:tc>
          <w:tcPr>
            <w:tcW w:w="1256" w:type="dxa"/>
            <w:tcBorders>
              <w:top w:val="nil"/>
              <w:left w:val="nil"/>
              <w:bottom w:val="nil"/>
              <w:right w:val="nil"/>
            </w:tcBorders>
            <w:shd w:val="clear" w:color="FFFFFF" w:fill="FFFFFF"/>
            <w:noWrap/>
            <w:vAlign w:val="bottom"/>
            <w:hideMark/>
          </w:tcPr>
          <w:p w:rsidR="00B26C61" w:rsidRDefault="00B26C61" w:rsidP="00EA3146">
            <w:pPr>
              <w:jc w:val="center"/>
              <w:rPr>
                <w:rFonts w:cs="Calibri"/>
                <w:szCs w:val="18"/>
              </w:rPr>
            </w:pPr>
            <w:r>
              <w:rPr>
                <w:rFonts w:cs="Calibri"/>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ascii="Arial" w:hAnsi="Arial" w:cs="Arial"/>
                <w:b/>
                <w:bCs/>
                <w:szCs w:val="18"/>
              </w:rPr>
            </w:pPr>
            <w:r>
              <w:rPr>
                <w:rFonts w:ascii="Arial" w:hAnsi="Arial" w:cs="Arial"/>
                <w:b/>
                <w:bCs/>
                <w:szCs w:val="18"/>
              </w:rPr>
              <w:t> </w:t>
            </w:r>
          </w:p>
        </w:tc>
      </w:tr>
      <w:tr w:rsidR="00B26C61" w:rsidTr="00EA3146">
        <w:trPr>
          <w:trHeight w:val="240"/>
        </w:trPr>
        <w:tc>
          <w:tcPr>
            <w:tcW w:w="515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Appropriations receivable</w:t>
            </w:r>
          </w:p>
        </w:tc>
        <w:tc>
          <w:tcPr>
            <w:tcW w:w="1256" w:type="dxa"/>
            <w:tcBorders>
              <w:top w:val="nil"/>
              <w:left w:val="nil"/>
              <w:bottom w:val="nil"/>
              <w:right w:val="nil"/>
            </w:tcBorders>
            <w:shd w:val="clear" w:color="FFFFFF" w:fill="FFFFFF"/>
            <w:noWrap/>
            <w:vAlign w:val="bottom"/>
            <w:hideMark/>
          </w:tcPr>
          <w:p w:rsidR="00B26C61" w:rsidRDefault="00B26C61" w:rsidP="00EA3146">
            <w:pPr>
              <w:jc w:val="center"/>
              <w:rPr>
                <w:rFonts w:cs="Calibri"/>
                <w:szCs w:val="18"/>
              </w:rPr>
            </w:pPr>
            <w:proofErr w:type="spellStart"/>
            <w:r>
              <w:rPr>
                <w:rFonts w:cs="Calibri"/>
                <w:szCs w:val="18"/>
              </w:rPr>
              <w:t>6B</w:t>
            </w:r>
            <w:proofErr w:type="spellEnd"/>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65,080</w:t>
            </w:r>
          </w:p>
        </w:tc>
      </w:tr>
      <w:tr w:rsidR="00B26C61" w:rsidTr="00EA3146">
        <w:trPr>
          <w:trHeight w:val="240"/>
        </w:trPr>
        <w:tc>
          <w:tcPr>
            <w:tcW w:w="515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 xml:space="preserve">GST receivable from the </w:t>
            </w:r>
            <w:proofErr w:type="spellStart"/>
            <w:r>
              <w:rPr>
                <w:rFonts w:cs="Calibri"/>
                <w:szCs w:val="18"/>
              </w:rPr>
              <w:t>ATO</w:t>
            </w:r>
            <w:proofErr w:type="spellEnd"/>
          </w:p>
        </w:tc>
        <w:tc>
          <w:tcPr>
            <w:tcW w:w="1256" w:type="dxa"/>
            <w:tcBorders>
              <w:top w:val="nil"/>
              <w:left w:val="nil"/>
              <w:bottom w:val="nil"/>
              <w:right w:val="nil"/>
            </w:tcBorders>
            <w:shd w:val="clear" w:color="FFFFFF" w:fill="FFFFFF"/>
            <w:noWrap/>
            <w:vAlign w:val="bottom"/>
            <w:hideMark/>
          </w:tcPr>
          <w:p w:rsidR="00B26C61" w:rsidRDefault="00B26C61" w:rsidP="00EA3146">
            <w:pPr>
              <w:jc w:val="center"/>
              <w:rPr>
                <w:rFonts w:cs="Calibri"/>
                <w:szCs w:val="18"/>
              </w:rPr>
            </w:pPr>
            <w:proofErr w:type="spellStart"/>
            <w:r>
              <w:rPr>
                <w:rFonts w:cs="Calibri"/>
                <w:szCs w:val="18"/>
              </w:rPr>
              <w:t>6B</w:t>
            </w:r>
            <w:proofErr w:type="spellEnd"/>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1,325 </w:t>
            </w:r>
          </w:p>
        </w:tc>
      </w:tr>
      <w:tr w:rsidR="00B26C61" w:rsidTr="00EA3146">
        <w:trPr>
          <w:trHeight w:val="240"/>
        </w:trPr>
        <w:tc>
          <w:tcPr>
            <w:tcW w:w="515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Impairment allowance</w:t>
            </w:r>
          </w:p>
        </w:tc>
        <w:tc>
          <w:tcPr>
            <w:tcW w:w="1256" w:type="dxa"/>
            <w:tcBorders>
              <w:top w:val="nil"/>
              <w:left w:val="nil"/>
              <w:bottom w:val="nil"/>
              <w:right w:val="nil"/>
            </w:tcBorders>
            <w:shd w:val="clear" w:color="FFFFFF" w:fill="FFFFFF"/>
            <w:noWrap/>
            <w:vAlign w:val="bottom"/>
            <w:hideMark/>
          </w:tcPr>
          <w:p w:rsidR="00B26C61" w:rsidRDefault="00B26C61" w:rsidP="00EA3146">
            <w:pPr>
              <w:jc w:val="center"/>
              <w:rPr>
                <w:rFonts w:cs="Calibri"/>
                <w:szCs w:val="18"/>
              </w:rPr>
            </w:pPr>
            <w:proofErr w:type="spellStart"/>
            <w:r>
              <w:rPr>
                <w:rFonts w:cs="Calibri"/>
                <w:szCs w:val="18"/>
              </w:rPr>
              <w:t>6B</w:t>
            </w:r>
            <w:proofErr w:type="spellEnd"/>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(10)</w:t>
            </w:r>
          </w:p>
        </w:tc>
      </w:tr>
      <w:tr w:rsidR="00B26C61" w:rsidTr="00EA3146">
        <w:trPr>
          <w:trHeight w:val="240"/>
        </w:trPr>
        <w:tc>
          <w:tcPr>
            <w:tcW w:w="5156" w:type="dxa"/>
            <w:tcBorders>
              <w:top w:val="nil"/>
              <w:left w:val="nil"/>
              <w:bottom w:val="nil"/>
              <w:right w:val="nil"/>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Accrued revenue</w:t>
            </w:r>
          </w:p>
        </w:tc>
        <w:tc>
          <w:tcPr>
            <w:tcW w:w="1256" w:type="dxa"/>
            <w:tcBorders>
              <w:top w:val="nil"/>
              <w:left w:val="nil"/>
              <w:bottom w:val="nil"/>
              <w:right w:val="nil"/>
            </w:tcBorders>
            <w:shd w:val="clear" w:color="FFFFFF" w:fill="FFFFFF"/>
            <w:noWrap/>
            <w:vAlign w:val="bottom"/>
            <w:hideMark/>
          </w:tcPr>
          <w:p w:rsidR="00B26C61" w:rsidRDefault="00B26C61" w:rsidP="00EA3146">
            <w:pPr>
              <w:jc w:val="center"/>
              <w:rPr>
                <w:rFonts w:cs="Calibri"/>
                <w:szCs w:val="18"/>
              </w:rPr>
            </w:pPr>
            <w:proofErr w:type="spellStart"/>
            <w:r>
              <w:rPr>
                <w:rFonts w:cs="Calibri"/>
                <w:szCs w:val="18"/>
              </w:rPr>
              <w:t>6C</w:t>
            </w:r>
            <w:proofErr w:type="spellEnd"/>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2,604</w:t>
            </w:r>
          </w:p>
        </w:tc>
      </w:tr>
      <w:tr w:rsidR="00B26C61" w:rsidTr="00EA3146">
        <w:trPr>
          <w:trHeight w:val="240"/>
        </w:trPr>
        <w:tc>
          <w:tcPr>
            <w:tcW w:w="515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Total non-financial instrument components</w:t>
            </w:r>
          </w:p>
        </w:tc>
        <w:tc>
          <w:tcPr>
            <w:tcW w:w="1256" w:type="dxa"/>
            <w:tcBorders>
              <w:top w:val="nil"/>
              <w:left w:val="nil"/>
              <w:bottom w:val="nil"/>
              <w:right w:val="nil"/>
            </w:tcBorders>
            <w:shd w:val="clear" w:color="FFFFFF" w:fill="FFFFFF"/>
            <w:noWrap/>
            <w:vAlign w:val="bottom"/>
            <w:hideMark/>
          </w:tcPr>
          <w:p w:rsidR="00B26C61" w:rsidRDefault="00B26C61" w:rsidP="00EA3146">
            <w:pPr>
              <w:jc w:val="center"/>
              <w:rPr>
                <w:rFonts w:cs="Calibri"/>
                <w:szCs w:val="18"/>
              </w:rPr>
            </w:pPr>
            <w:r>
              <w:rPr>
                <w:rFonts w:cs="Calibri"/>
                <w:szCs w:val="18"/>
              </w:rPr>
              <w:t> </w:t>
            </w:r>
          </w:p>
        </w:tc>
        <w:tc>
          <w:tcPr>
            <w:tcW w:w="125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68,999</w:t>
            </w:r>
          </w:p>
        </w:tc>
      </w:tr>
      <w:tr w:rsidR="00B26C61" w:rsidTr="00EA3146">
        <w:trPr>
          <w:trHeight w:val="240"/>
        </w:trPr>
        <w:tc>
          <w:tcPr>
            <w:tcW w:w="515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financial assets as per financial instruments note</w:t>
            </w:r>
          </w:p>
        </w:tc>
        <w:tc>
          <w:tcPr>
            <w:tcW w:w="1256" w:type="dxa"/>
            <w:tcBorders>
              <w:top w:val="nil"/>
              <w:left w:val="nil"/>
              <w:bottom w:val="nil"/>
              <w:right w:val="nil"/>
            </w:tcBorders>
            <w:shd w:val="clear" w:color="FFFFFF" w:fill="FFFFFF"/>
            <w:noWrap/>
            <w:vAlign w:val="bottom"/>
            <w:hideMark/>
          </w:tcPr>
          <w:p w:rsidR="00B26C61" w:rsidRDefault="00B26C61" w:rsidP="00EA3146">
            <w:pPr>
              <w:jc w:val="center"/>
              <w:rPr>
                <w:rFonts w:cs="Calibri"/>
                <w:szCs w:val="18"/>
              </w:rPr>
            </w:pPr>
            <w:proofErr w:type="spellStart"/>
            <w:r>
              <w:rPr>
                <w:rFonts w:cs="Calibri"/>
                <w:szCs w:val="18"/>
              </w:rPr>
              <w:t>15A</w:t>
            </w:r>
            <w:proofErr w:type="spellEnd"/>
          </w:p>
        </w:tc>
        <w:tc>
          <w:tcPr>
            <w:tcW w:w="1256" w:type="dxa"/>
            <w:tcBorders>
              <w:top w:val="nil"/>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12,728</w:t>
            </w:r>
          </w:p>
        </w:tc>
      </w:tr>
    </w:tbl>
    <w:p w:rsidR="00B26C61" w:rsidRDefault="00B26C61" w:rsidP="00B26C61">
      <w:bookmarkStart w:id="276" w:name="RANGE!D7:H19"/>
      <w:bookmarkEnd w:id="276"/>
      <w:r>
        <w:br w:type="page"/>
      </w:r>
      <w:bookmarkStart w:id="277" w:name="RANGE!D7:D17"/>
      <w:bookmarkStart w:id="278" w:name="RANGE!D7:H17"/>
      <w:bookmarkStart w:id="279" w:name="RANGE!D6:H15"/>
      <w:bookmarkEnd w:id="277"/>
      <w:bookmarkEnd w:id="278"/>
      <w:bookmarkEnd w:id="279"/>
    </w:p>
    <w:p w:rsidR="00B26C61" w:rsidRDefault="00B26C61" w:rsidP="00B26C61">
      <w:pPr>
        <w:pStyle w:val="NotesHeading-Level1GreyShade"/>
        <w:numPr>
          <w:ilvl w:val="0"/>
          <w:numId w:val="13"/>
        </w:numPr>
      </w:pPr>
      <w:bookmarkStart w:id="280" w:name="_Toc398813159"/>
      <w:r>
        <w:lastRenderedPageBreak/>
        <w:t>Administered - Expenses</w:t>
      </w:r>
      <w:bookmarkEnd w:id="280"/>
    </w:p>
    <w:p w:rsidR="00B26C61" w:rsidRDefault="00B26C61" w:rsidP="00B26C61">
      <w:pPr>
        <w:pStyle w:val="GreyShadeTableBreak"/>
      </w:pPr>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281" w:name="Note_ASXTABLE1" w:colFirst="0" w:colLast="0"/>
            <w:r>
              <w:rPr>
                <w:rFonts w:cs="Calibri"/>
                <w:b/>
                <w:bCs/>
                <w:szCs w:val="18"/>
                <w:u w:val="single"/>
              </w:rPr>
              <w:t xml:space="preserve">Note </w:t>
            </w:r>
            <w:proofErr w:type="spellStart"/>
            <w:r>
              <w:rPr>
                <w:rFonts w:cs="Calibri"/>
                <w:b/>
                <w:bCs/>
                <w:szCs w:val="18"/>
                <w:u w:val="single"/>
              </w:rPr>
              <w:t>17A</w:t>
            </w:r>
            <w:proofErr w:type="spellEnd"/>
            <w:r>
              <w:rPr>
                <w:rFonts w:cs="Calibri"/>
                <w:b/>
                <w:bCs/>
                <w:szCs w:val="18"/>
                <w:u w:val="single"/>
              </w:rPr>
              <w:t>: Suppliers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2014</w:t>
            </w:r>
          </w:p>
        </w:tc>
      </w:tr>
      <w:bookmarkEnd w:id="281"/>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Services rendered</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r>
              <w:rPr>
                <w:rFonts w:cs="Calibri"/>
                <w:szCs w:val="18"/>
              </w:rPr>
              <w:t>Labour market assistance to job seekers and industry</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940,845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r>
              <w:rPr>
                <w:rFonts w:cs="Calibri"/>
                <w:szCs w:val="18"/>
              </w:rPr>
              <w:t>Assistance to people with disabilities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384,767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r>
              <w:rPr>
                <w:rFonts w:cs="Calibri"/>
                <w:szCs w:val="18"/>
              </w:rPr>
              <w:t>Other</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7,974 </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services rendered</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1,333,586</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Services rendered in connection with</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B26C61">
            <w:pPr>
              <w:ind w:firstLineChars="100" w:firstLine="180"/>
              <w:rPr>
                <w:rFonts w:cs="Calibri"/>
                <w:szCs w:val="18"/>
              </w:rPr>
            </w:pPr>
            <w:r>
              <w:rPr>
                <w:rFonts w:cs="Calibri"/>
                <w:szCs w:val="18"/>
              </w:rPr>
              <w:t>Related parties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73,240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B26C61">
            <w:pPr>
              <w:ind w:firstLineChars="100" w:firstLine="180"/>
              <w:rPr>
                <w:rFonts w:cs="Calibri"/>
                <w:szCs w:val="18"/>
              </w:rPr>
            </w:pPr>
            <w:r>
              <w:rPr>
                <w:rFonts w:cs="Calibri"/>
                <w:szCs w:val="18"/>
              </w:rPr>
              <w:t>External parties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1,260,346 </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services rendered</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1,333,586</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suppliers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1,333,586</w:t>
            </w:r>
          </w:p>
        </w:tc>
      </w:tr>
    </w:tbl>
    <w:p w:rsidR="00B26C61" w:rsidRDefault="00B26C61" w:rsidP="00B26C61">
      <w:pPr>
        <w:pStyle w:val="GreyShadeTableBreak"/>
      </w:pPr>
      <w:bookmarkStart w:id="282" w:name="RANGE!D7:G21"/>
      <w:bookmarkEnd w:id="282"/>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283" w:name="Note_ASUTABLE1" w:colFirst="0" w:colLast="0"/>
            <w:r>
              <w:rPr>
                <w:rFonts w:cs="Calibri"/>
                <w:b/>
                <w:bCs/>
                <w:szCs w:val="18"/>
                <w:u w:val="single"/>
              </w:rPr>
              <w:t xml:space="preserve">Note </w:t>
            </w:r>
            <w:proofErr w:type="spellStart"/>
            <w:r>
              <w:rPr>
                <w:rFonts w:cs="Calibri"/>
                <w:b/>
                <w:bCs/>
                <w:szCs w:val="18"/>
                <w:u w:val="single"/>
              </w:rPr>
              <w:t>17B</w:t>
            </w:r>
            <w:proofErr w:type="spellEnd"/>
            <w:r>
              <w:rPr>
                <w:rFonts w:cs="Calibri"/>
                <w:b/>
                <w:bCs/>
                <w:szCs w:val="18"/>
                <w:u w:val="single"/>
              </w:rPr>
              <w:t>: Subsidies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283"/>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Subsidies in connection with</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B26C61">
            <w:pPr>
              <w:ind w:firstLineChars="100" w:firstLine="180"/>
              <w:rPr>
                <w:rFonts w:cs="Calibri"/>
                <w:szCs w:val="18"/>
              </w:rPr>
            </w:pPr>
            <w:r>
              <w:rPr>
                <w:rFonts w:cs="Calibri"/>
                <w:szCs w:val="18"/>
              </w:rPr>
              <w:t>Related parties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Industrial relations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133,578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B26C61">
            <w:pPr>
              <w:ind w:firstLineChars="100" w:firstLine="180"/>
              <w:rPr>
                <w:rFonts w:cs="Calibri"/>
                <w:szCs w:val="18"/>
              </w:rPr>
            </w:pPr>
            <w:r>
              <w:rPr>
                <w:rFonts w:cs="Calibri"/>
                <w:szCs w:val="18"/>
              </w:rPr>
              <w:t>External parties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Labour market assistance to job seekers and industry</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19,916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Assistance to people with disabilities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8,290 </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subsidies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161,784</w:t>
            </w:r>
          </w:p>
        </w:tc>
      </w:tr>
    </w:tbl>
    <w:p w:rsidR="00B26C61" w:rsidRDefault="00B26C61" w:rsidP="00B26C61">
      <w:pPr>
        <w:spacing w:line="240" w:lineRule="auto"/>
      </w:pPr>
    </w:p>
    <w:p w:rsidR="00B26C61" w:rsidRDefault="00B26C61" w:rsidP="00B26C61">
      <w:pPr>
        <w:spacing w:line="240" w:lineRule="auto"/>
      </w:pPr>
      <w:r>
        <w:br w:type="page"/>
      </w:r>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bookmarkStart w:id="284" w:name="Note_APBTABLE1" w:colFirst="0" w:colLast="0"/>
            <w:r>
              <w:rPr>
                <w:rFonts w:ascii="Arial" w:hAnsi="Arial" w:cs="Arial"/>
                <w:sz w:val="16"/>
                <w:szCs w:val="16"/>
              </w:rPr>
              <w:lastRenderedPageBreak/>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2014</w:t>
            </w:r>
          </w:p>
        </w:tc>
      </w:tr>
      <w:bookmarkEnd w:id="284"/>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17C</w:t>
            </w:r>
            <w:proofErr w:type="spellEnd"/>
            <w:r>
              <w:rPr>
                <w:rFonts w:cs="Calibri"/>
                <w:b/>
                <w:bCs/>
                <w:szCs w:val="18"/>
                <w:u w:val="single"/>
              </w:rPr>
              <w:t>: Personal Benefits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Direct</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Labour market assistance to job seekers and industry</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56,823 </w:t>
            </w:r>
          </w:p>
        </w:tc>
      </w:tr>
      <w:tr w:rsidR="00B26C61" w:rsidTr="00EA3146">
        <w:trPr>
          <w:trHeight w:val="255"/>
        </w:trPr>
        <w:tc>
          <w:tcPr>
            <w:tcW w:w="639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Indirect</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Industrial relations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156,013 </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personal benefits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212,836</w:t>
            </w:r>
          </w:p>
        </w:tc>
      </w:tr>
    </w:tbl>
    <w:p w:rsidR="00B26C61" w:rsidRDefault="00B26C61" w:rsidP="00B26C61">
      <w:pPr>
        <w:pStyle w:val="GreyShadeTableBreak"/>
      </w:pPr>
      <w:bookmarkStart w:id="285" w:name="RANGE!D7:G25"/>
      <w:bookmarkEnd w:id="285"/>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286" w:name="Note_AGRTABLE1" w:colFirst="0" w:colLast="0"/>
            <w:r>
              <w:rPr>
                <w:rFonts w:cs="Calibri"/>
                <w:b/>
                <w:bCs/>
                <w:szCs w:val="18"/>
                <w:u w:val="single"/>
              </w:rPr>
              <w:t xml:space="preserve">Note </w:t>
            </w:r>
            <w:proofErr w:type="spellStart"/>
            <w:r>
              <w:rPr>
                <w:rFonts w:cs="Calibri"/>
                <w:b/>
                <w:bCs/>
                <w:szCs w:val="18"/>
                <w:u w:val="single"/>
              </w:rPr>
              <w:t>17D</w:t>
            </w:r>
            <w:proofErr w:type="spellEnd"/>
            <w:r>
              <w:rPr>
                <w:rFonts w:cs="Calibri"/>
                <w:b/>
                <w:bCs/>
                <w:szCs w:val="18"/>
                <w:u w:val="single"/>
              </w:rPr>
              <w:t>: Grants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286"/>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Public sector</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Australian Government entities (related parties)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30,812</w:t>
            </w:r>
          </w:p>
        </w:tc>
      </w:tr>
      <w:tr w:rsidR="00B26C61" w:rsidTr="00EA3146">
        <w:trPr>
          <w:trHeight w:val="255"/>
        </w:trPr>
        <w:tc>
          <w:tcPr>
            <w:tcW w:w="639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Private sector</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Non-profit organisations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1,521</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Other</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4,946</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grants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37,279</w:t>
            </w:r>
          </w:p>
        </w:tc>
      </w:tr>
    </w:tbl>
    <w:p w:rsidR="00B26C61" w:rsidRDefault="00B26C61" w:rsidP="00B26C61">
      <w:pPr>
        <w:pStyle w:val="GreyShadeTableBreak"/>
      </w:pPr>
    </w:p>
    <w:p w:rsidR="00B26C61" w:rsidRDefault="00B26C61" w:rsidP="00B26C61">
      <w:pPr>
        <w:pStyle w:val="GreyShadeTableBreak"/>
      </w:pPr>
      <w:bookmarkStart w:id="287" w:name="RANGE!D7:G11"/>
      <w:bookmarkEnd w:id="287"/>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288" w:name="Note_AWDTABLE1" w:colFirst="0" w:colLast="0"/>
            <w:r>
              <w:rPr>
                <w:rFonts w:cs="Calibri"/>
                <w:b/>
                <w:bCs/>
                <w:szCs w:val="18"/>
                <w:u w:val="single"/>
              </w:rPr>
              <w:t xml:space="preserve">Note </w:t>
            </w:r>
            <w:proofErr w:type="spellStart"/>
            <w:r>
              <w:rPr>
                <w:rFonts w:cs="Calibri"/>
                <w:b/>
                <w:bCs/>
                <w:szCs w:val="18"/>
                <w:u w:val="single"/>
              </w:rPr>
              <w:t>17E</w:t>
            </w:r>
            <w:proofErr w:type="spellEnd"/>
            <w:r>
              <w:rPr>
                <w:rFonts w:cs="Calibri"/>
                <w:b/>
                <w:bCs/>
                <w:szCs w:val="18"/>
                <w:u w:val="single"/>
              </w:rPr>
              <w:t>: Write-Down and Impairment of Assets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288"/>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r>
              <w:rPr>
                <w:rFonts w:cs="Calibri"/>
                <w:szCs w:val="18"/>
              </w:rPr>
              <w:t>Write-off of receivables - other</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203</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write-down and impairment of assets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203</w:t>
            </w:r>
          </w:p>
        </w:tc>
      </w:tr>
    </w:tbl>
    <w:p w:rsidR="00B26C61" w:rsidRDefault="00B26C61" w:rsidP="00B26C61">
      <w:pPr>
        <w:pStyle w:val="GreyShadeTableBreak"/>
      </w:pPr>
      <w:bookmarkStart w:id="289" w:name="RANGE!D6:G9"/>
      <w:bookmarkEnd w:id="289"/>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290" w:name="Note_ACBTABLE1" w:colFirst="0" w:colLast="0"/>
            <w:r>
              <w:rPr>
                <w:rFonts w:cs="Calibri"/>
                <w:b/>
                <w:bCs/>
                <w:szCs w:val="18"/>
                <w:u w:val="single"/>
              </w:rPr>
              <w:t xml:space="preserve">Note </w:t>
            </w:r>
            <w:proofErr w:type="spellStart"/>
            <w:r>
              <w:rPr>
                <w:rFonts w:cs="Calibri"/>
                <w:b/>
                <w:bCs/>
                <w:szCs w:val="18"/>
                <w:u w:val="single"/>
              </w:rPr>
              <w:t>17F</w:t>
            </w:r>
            <w:proofErr w:type="spellEnd"/>
            <w:r>
              <w:rPr>
                <w:rFonts w:cs="Calibri"/>
                <w:b/>
                <w:bCs/>
                <w:szCs w:val="18"/>
                <w:u w:val="single"/>
              </w:rPr>
              <w:t>: Payments to CAC Act bodies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290"/>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proofErr w:type="spellStart"/>
            <w:r>
              <w:rPr>
                <w:rFonts w:cs="Calibri"/>
                <w:szCs w:val="18"/>
              </w:rPr>
              <w:t>Comcare</w:t>
            </w:r>
            <w:proofErr w:type="spellEnd"/>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1,433</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payments to CAC Act bodies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1,433</w:t>
            </w:r>
          </w:p>
        </w:tc>
      </w:tr>
    </w:tbl>
    <w:p w:rsidR="00B26C61" w:rsidRDefault="00B26C61" w:rsidP="00B26C61">
      <w:pPr>
        <w:spacing w:line="240" w:lineRule="auto"/>
      </w:pPr>
      <w:bookmarkStart w:id="291" w:name="RANGE!D7:D12"/>
      <w:bookmarkEnd w:id="291"/>
      <w:r>
        <w:br w:type="page"/>
      </w:r>
    </w:p>
    <w:p w:rsidR="00B26C61" w:rsidRDefault="00B26C61" w:rsidP="00B26C61">
      <w:pPr>
        <w:pStyle w:val="NotesHeading-Level1GreyShade"/>
        <w:numPr>
          <w:ilvl w:val="0"/>
          <w:numId w:val="13"/>
        </w:numPr>
      </w:pPr>
      <w:bookmarkStart w:id="292" w:name="_Toc398813160"/>
      <w:r>
        <w:lastRenderedPageBreak/>
        <w:t>Administered - Income</w:t>
      </w:r>
      <w:bookmarkEnd w:id="292"/>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bookmarkStart w:id="293" w:name="Note_AOTTABLE1" w:colFirst="0" w:colLast="0"/>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2014</w:t>
            </w:r>
          </w:p>
        </w:tc>
      </w:tr>
      <w:bookmarkEnd w:id="293"/>
      <w:tr w:rsidR="00B26C61" w:rsidTr="00EA3146">
        <w:trPr>
          <w:trHeight w:val="240"/>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40"/>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Revenue</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Taxation revenue</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18A</w:t>
            </w:r>
            <w:proofErr w:type="spellEnd"/>
            <w:r>
              <w:rPr>
                <w:rFonts w:cs="Calibri"/>
                <w:b/>
                <w:bCs/>
                <w:szCs w:val="18"/>
                <w:u w:val="single"/>
              </w:rPr>
              <w:t>: Other Taxes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r>
              <w:rPr>
                <w:rFonts w:cs="Calibri"/>
                <w:szCs w:val="18"/>
              </w:rPr>
              <w:t>Levies (other than agricultural)</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133,578</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other taxes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133,578</w:t>
            </w:r>
          </w:p>
        </w:tc>
      </w:tr>
    </w:tbl>
    <w:p w:rsidR="00B26C61" w:rsidRDefault="00B26C61" w:rsidP="00B26C61">
      <w:pPr>
        <w:pStyle w:val="GreyShadeTableBreak"/>
      </w:pPr>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bookmarkStart w:id="294" w:name="Note_AINTABLE1" w:colFirst="0" w:colLast="0"/>
            <w:r>
              <w:rPr>
                <w:rFonts w:cs="Calibri"/>
                <w:b/>
                <w:bCs/>
                <w:szCs w:val="18"/>
              </w:rPr>
              <w:t>Non-taxation revenue</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294"/>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18B</w:t>
            </w:r>
            <w:proofErr w:type="spellEnd"/>
            <w:r>
              <w:rPr>
                <w:rFonts w:cs="Calibri"/>
                <w:b/>
                <w:bCs/>
                <w:szCs w:val="18"/>
                <w:u w:val="single"/>
              </w:rPr>
              <w:t>: Interest</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r>
              <w:rPr>
                <w:rFonts w:cs="Calibri"/>
                <w:szCs w:val="18"/>
              </w:rPr>
              <w:t>Interest</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6</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interest</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6</w:t>
            </w:r>
          </w:p>
        </w:tc>
      </w:tr>
    </w:tbl>
    <w:p w:rsidR="00B26C61" w:rsidRDefault="00B26C61" w:rsidP="00B26C61">
      <w:pPr>
        <w:pStyle w:val="GreyShadeTableBreak"/>
      </w:pPr>
      <w:bookmarkStart w:id="295" w:name="RANGE!D7:G13"/>
      <w:bookmarkStart w:id="296" w:name="RANGE!D6:G11"/>
      <w:bookmarkEnd w:id="295"/>
      <w:bookmarkEnd w:id="296"/>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40"/>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297" w:name="Note_CARTABLE1" w:colFirst="0" w:colLast="0"/>
            <w:r>
              <w:rPr>
                <w:rFonts w:cs="Calibri"/>
                <w:b/>
                <w:bCs/>
                <w:szCs w:val="18"/>
                <w:u w:val="single"/>
              </w:rPr>
              <w:t xml:space="preserve">Note </w:t>
            </w:r>
            <w:proofErr w:type="spellStart"/>
            <w:r>
              <w:rPr>
                <w:rFonts w:cs="Calibri"/>
                <w:b/>
                <w:bCs/>
                <w:szCs w:val="18"/>
                <w:u w:val="single"/>
              </w:rPr>
              <w:t>18C</w:t>
            </w:r>
            <w:proofErr w:type="spellEnd"/>
            <w:r>
              <w:rPr>
                <w:rFonts w:cs="Calibri"/>
                <w:b/>
                <w:bCs/>
                <w:szCs w:val="18"/>
                <w:u w:val="single"/>
              </w:rPr>
              <w:t>: Commonwealth Asset Recoveries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bookmarkEnd w:id="297"/>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480"/>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General Employee Entitlements and Redundancy Scheme (GEERS) and Fair Entitlement Guarantee (</w:t>
            </w:r>
            <w:proofErr w:type="spellStart"/>
            <w:r>
              <w:rPr>
                <w:rFonts w:cs="Calibri"/>
                <w:szCs w:val="18"/>
              </w:rPr>
              <w:t>FEG</w:t>
            </w:r>
            <w:proofErr w:type="spellEnd"/>
            <w:r>
              <w:rPr>
                <w:rFonts w:cs="Calibri"/>
                <w:szCs w:val="18"/>
              </w:rPr>
              <w:t>) recoveries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16,778</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Commonwealth asset recoveries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16,778</w:t>
            </w:r>
          </w:p>
        </w:tc>
      </w:tr>
    </w:tbl>
    <w:p w:rsidR="00B26C61" w:rsidRDefault="00B26C61" w:rsidP="00B26C61">
      <w:pPr>
        <w:pStyle w:val="GreyShadeTableBreak"/>
      </w:pPr>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298" w:name="Note_AORTABLE1" w:colFirst="0" w:colLast="0"/>
            <w:r>
              <w:rPr>
                <w:rFonts w:cs="Calibri"/>
                <w:b/>
                <w:bCs/>
                <w:szCs w:val="18"/>
                <w:u w:val="single"/>
              </w:rPr>
              <w:t xml:space="preserve">Note </w:t>
            </w:r>
            <w:proofErr w:type="spellStart"/>
            <w:r>
              <w:rPr>
                <w:rFonts w:cs="Calibri"/>
                <w:b/>
                <w:bCs/>
                <w:szCs w:val="18"/>
                <w:u w:val="single"/>
              </w:rPr>
              <w:t>18D</w:t>
            </w:r>
            <w:proofErr w:type="spellEnd"/>
            <w:r>
              <w:rPr>
                <w:rFonts w:cs="Calibri"/>
                <w:b/>
                <w:bCs/>
                <w:szCs w:val="18"/>
                <w:u w:val="single"/>
              </w:rPr>
              <w:t>: Other Revenue</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298"/>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r>
              <w:rPr>
                <w:rFonts w:cs="Calibri"/>
                <w:szCs w:val="18"/>
              </w:rPr>
              <w:t>Other</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3,969</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other revenue</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3,969</w:t>
            </w:r>
          </w:p>
        </w:tc>
      </w:tr>
    </w:tbl>
    <w:p w:rsidR="00B26C61" w:rsidRDefault="00B26C61" w:rsidP="00B26C61">
      <w:pPr>
        <w:pStyle w:val="GreyShadeTableBreak"/>
      </w:pPr>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rPr>
            </w:pPr>
            <w:bookmarkStart w:id="299" w:name="Note_ARPTABLE1" w:colFirst="0" w:colLast="0"/>
            <w:r>
              <w:rPr>
                <w:rFonts w:cs="Calibri"/>
                <w:b/>
                <w:bCs/>
                <w:szCs w:val="18"/>
              </w:rPr>
              <w:t>Gains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299"/>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18E</w:t>
            </w:r>
            <w:proofErr w:type="spellEnd"/>
            <w:r>
              <w:rPr>
                <w:rFonts w:cs="Calibri"/>
                <w:b/>
                <w:bCs/>
                <w:szCs w:val="18"/>
                <w:u w:val="single"/>
              </w:rPr>
              <w:t>: Reversals of Previous Asset Write-Downs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r>
              <w:rPr>
                <w:rFonts w:cs="Calibri"/>
                <w:szCs w:val="18"/>
              </w:rPr>
              <w:t>Reversals of impairment losses for goods and services receivables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155</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reversals of previous asset write-downs and impairments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155</w:t>
            </w:r>
          </w:p>
        </w:tc>
      </w:tr>
    </w:tbl>
    <w:p w:rsidR="00B26C61" w:rsidRDefault="00B26C61" w:rsidP="00B26C61">
      <w:pPr>
        <w:spacing w:line="240" w:lineRule="auto"/>
        <w:rPr>
          <w:rFonts w:asciiTheme="minorHAnsi" w:hAnsiTheme="minorHAnsi" w:cstheme="minorHAnsi"/>
          <w:b/>
          <w:sz w:val="20"/>
        </w:rPr>
      </w:pPr>
      <w:r>
        <w:br w:type="page"/>
      </w:r>
    </w:p>
    <w:p w:rsidR="00B26C61" w:rsidRDefault="00B26C61" w:rsidP="00B26C61">
      <w:pPr>
        <w:pStyle w:val="NotesHeading-Level1GreyShade"/>
        <w:numPr>
          <w:ilvl w:val="0"/>
          <w:numId w:val="13"/>
        </w:numPr>
      </w:pPr>
      <w:bookmarkStart w:id="300" w:name="_Toc398813161"/>
      <w:r>
        <w:lastRenderedPageBreak/>
        <w:t>Administered - Fair Value Measurement</w:t>
      </w:r>
      <w:bookmarkEnd w:id="300"/>
    </w:p>
    <w:p w:rsidR="00B26C61" w:rsidRDefault="00B26C61" w:rsidP="00B26C61">
      <w:pPr>
        <w:pStyle w:val="NotesHeading-Level1GreyShade"/>
        <w:numPr>
          <w:ilvl w:val="0"/>
          <w:numId w:val="0"/>
        </w:numPr>
        <w:ind w:left="360" w:hanging="360"/>
      </w:pPr>
    </w:p>
    <w:p w:rsidR="00B26C61" w:rsidRPr="00446974" w:rsidRDefault="00B26C61" w:rsidP="00B26C61">
      <w:pPr>
        <w:pStyle w:val="GreyShadeTableBreak"/>
      </w:pPr>
      <w:r w:rsidRPr="00446974">
        <w:t>The following tables provide an analysis of assets and liabilities that are measured at fair value.</w:t>
      </w:r>
    </w:p>
    <w:p w:rsidR="00B26C61" w:rsidRDefault="00B26C61" w:rsidP="00B26C61">
      <w:pPr>
        <w:pStyle w:val="GreyShadeTableBreak"/>
      </w:pPr>
      <w:r w:rsidRPr="00446974">
        <w:t>The different levels of the fair value hierarchy are defined below.</w:t>
      </w:r>
    </w:p>
    <w:p w:rsidR="00B26C61" w:rsidRDefault="00B26C61" w:rsidP="00B26C61">
      <w:pPr>
        <w:pStyle w:val="GreyShadeTableBreak"/>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1"/>
        <w:gridCol w:w="8221"/>
      </w:tblGrid>
      <w:tr w:rsidR="00B26C61" w:rsidTr="00EA3146">
        <w:tc>
          <w:tcPr>
            <w:tcW w:w="851" w:type="dxa"/>
            <w:shd w:val="clear" w:color="auto" w:fill="D9D9D9" w:themeFill="background1" w:themeFillShade="D9"/>
          </w:tcPr>
          <w:p w:rsidR="00B26C61" w:rsidRDefault="00B26C61" w:rsidP="00EA3146">
            <w:pPr>
              <w:rPr>
                <w:rFonts w:cs="Calibri"/>
                <w:szCs w:val="18"/>
              </w:rPr>
            </w:pPr>
            <w:r w:rsidRPr="00D80CCA">
              <w:rPr>
                <w:rFonts w:cs="Calibri"/>
                <w:szCs w:val="18"/>
              </w:rPr>
              <w:t>Level 1:</w:t>
            </w:r>
          </w:p>
        </w:tc>
        <w:tc>
          <w:tcPr>
            <w:tcW w:w="8221" w:type="dxa"/>
            <w:shd w:val="clear" w:color="auto" w:fill="D9D9D9" w:themeFill="background1" w:themeFillShade="D9"/>
          </w:tcPr>
          <w:p w:rsidR="00B26C61" w:rsidRDefault="00B26C61" w:rsidP="00EA3146">
            <w:pPr>
              <w:rPr>
                <w:rFonts w:cs="Calibri"/>
                <w:szCs w:val="18"/>
              </w:rPr>
            </w:pPr>
            <w:r w:rsidRPr="00D80CCA">
              <w:rPr>
                <w:rFonts w:cs="Calibri"/>
                <w:szCs w:val="18"/>
              </w:rPr>
              <w:t>Quoted prices (unadjusted) in active markets for identical assets or liabilities that the entity can access at measurement date.</w:t>
            </w:r>
          </w:p>
        </w:tc>
      </w:tr>
      <w:tr w:rsidR="00B26C61" w:rsidTr="00EA3146">
        <w:tc>
          <w:tcPr>
            <w:tcW w:w="851" w:type="dxa"/>
            <w:shd w:val="clear" w:color="auto" w:fill="D9D9D9" w:themeFill="background1" w:themeFillShade="D9"/>
          </w:tcPr>
          <w:p w:rsidR="00B26C61" w:rsidRDefault="00B26C61" w:rsidP="00EA3146">
            <w:pPr>
              <w:rPr>
                <w:rFonts w:cs="Calibri"/>
                <w:szCs w:val="18"/>
              </w:rPr>
            </w:pPr>
            <w:r w:rsidRPr="00D80CCA">
              <w:rPr>
                <w:rFonts w:cs="Calibri"/>
                <w:szCs w:val="18"/>
              </w:rPr>
              <w:t>Level 2:</w:t>
            </w:r>
          </w:p>
        </w:tc>
        <w:tc>
          <w:tcPr>
            <w:tcW w:w="8221" w:type="dxa"/>
            <w:shd w:val="clear" w:color="auto" w:fill="D9D9D9" w:themeFill="background1" w:themeFillShade="D9"/>
          </w:tcPr>
          <w:p w:rsidR="00B26C61" w:rsidRDefault="00B26C61" w:rsidP="00EA3146">
            <w:pPr>
              <w:rPr>
                <w:rFonts w:cs="Calibri"/>
                <w:szCs w:val="18"/>
              </w:rPr>
            </w:pPr>
            <w:r w:rsidRPr="00D80CCA">
              <w:rPr>
                <w:rFonts w:cs="Calibri"/>
                <w:szCs w:val="18"/>
              </w:rPr>
              <w:t>Inputs other than quoted prices included within Level 1 that are observable for the asset or liability, either directly or indirectly.</w:t>
            </w:r>
          </w:p>
        </w:tc>
      </w:tr>
      <w:tr w:rsidR="00B26C61" w:rsidTr="00EA3146">
        <w:tc>
          <w:tcPr>
            <w:tcW w:w="851" w:type="dxa"/>
            <w:shd w:val="clear" w:color="auto" w:fill="D9D9D9" w:themeFill="background1" w:themeFillShade="D9"/>
          </w:tcPr>
          <w:p w:rsidR="00B26C61" w:rsidRDefault="00B26C61" w:rsidP="00EA3146">
            <w:pPr>
              <w:rPr>
                <w:rFonts w:cs="Calibri"/>
                <w:szCs w:val="18"/>
              </w:rPr>
            </w:pPr>
            <w:r w:rsidRPr="00D80CCA">
              <w:rPr>
                <w:rFonts w:cs="Calibri"/>
                <w:szCs w:val="18"/>
              </w:rPr>
              <w:t>Level 3:</w:t>
            </w:r>
          </w:p>
        </w:tc>
        <w:tc>
          <w:tcPr>
            <w:tcW w:w="8221" w:type="dxa"/>
            <w:shd w:val="clear" w:color="auto" w:fill="D9D9D9" w:themeFill="background1" w:themeFillShade="D9"/>
          </w:tcPr>
          <w:p w:rsidR="00B26C61" w:rsidRDefault="00B26C61" w:rsidP="00EA3146">
            <w:pPr>
              <w:rPr>
                <w:rFonts w:cs="Calibri"/>
                <w:szCs w:val="18"/>
              </w:rPr>
            </w:pPr>
            <w:r w:rsidRPr="00D80CCA">
              <w:rPr>
                <w:rFonts w:cs="Calibri"/>
                <w:szCs w:val="18"/>
              </w:rPr>
              <w:t>Unobservable inputs for the asset or liability.</w:t>
            </w:r>
          </w:p>
          <w:p w:rsidR="00B26C61" w:rsidRDefault="00B26C61" w:rsidP="00EA3146">
            <w:pPr>
              <w:rPr>
                <w:rFonts w:cs="Calibri"/>
                <w:szCs w:val="18"/>
              </w:rPr>
            </w:pPr>
          </w:p>
        </w:tc>
      </w:tr>
    </w:tbl>
    <w:tbl>
      <w:tblPr>
        <w:tblW w:w="9087" w:type="dxa"/>
        <w:tblInd w:w="80" w:type="dxa"/>
        <w:tblLayout w:type="fixed"/>
        <w:tblLook w:val="04A0" w:firstRow="1" w:lastRow="0" w:firstColumn="1" w:lastColumn="0" w:noHBand="0" w:noVBand="1"/>
      </w:tblPr>
      <w:tblGrid>
        <w:gridCol w:w="4075"/>
        <w:gridCol w:w="1253"/>
        <w:gridCol w:w="1253"/>
        <w:gridCol w:w="1253"/>
        <w:gridCol w:w="1253"/>
      </w:tblGrid>
      <w:tr w:rsidR="00B26C61" w:rsidTr="00EA3146">
        <w:trPr>
          <w:trHeight w:val="240"/>
        </w:trPr>
        <w:tc>
          <w:tcPr>
            <w:tcW w:w="8980" w:type="dxa"/>
            <w:gridSpan w:val="5"/>
            <w:tcBorders>
              <w:top w:val="nil"/>
              <w:left w:val="nil"/>
              <w:bottom w:val="nil"/>
              <w:right w:val="nil"/>
            </w:tcBorders>
            <w:shd w:val="clear" w:color="000000" w:fill="D9D9D9"/>
            <w:vAlign w:val="bottom"/>
            <w:hideMark/>
          </w:tcPr>
          <w:p w:rsidR="00B26C61" w:rsidRDefault="00B26C61" w:rsidP="00EA3146">
            <w:pPr>
              <w:rPr>
                <w:rFonts w:cs="Calibri"/>
                <w:szCs w:val="18"/>
              </w:rPr>
            </w:pPr>
            <w:bookmarkStart w:id="301" w:name="Note_AVATABLE1" w:colFirst="0" w:colLast="0"/>
            <w:r>
              <w:rPr>
                <w:rFonts w:cs="Calibri"/>
                <w:szCs w:val="18"/>
              </w:rPr>
              <w:t> </w:t>
            </w:r>
          </w:p>
        </w:tc>
      </w:tr>
      <w:bookmarkEnd w:id="301"/>
      <w:tr w:rsidR="00B26C61" w:rsidTr="00EA3146">
        <w:trPr>
          <w:trHeight w:val="240"/>
        </w:trPr>
        <w:tc>
          <w:tcPr>
            <w:tcW w:w="4028" w:type="dxa"/>
            <w:tcBorders>
              <w:top w:val="nil"/>
              <w:left w:val="nil"/>
              <w:bottom w:val="nil"/>
              <w:right w:val="nil"/>
            </w:tcBorders>
            <w:shd w:val="clear" w:color="000000" w:fill="D9D9D9"/>
            <w:noWrap/>
            <w:vAlign w:val="bottom"/>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19A</w:t>
            </w:r>
            <w:proofErr w:type="spellEnd"/>
            <w:r>
              <w:rPr>
                <w:rFonts w:cs="Calibri"/>
                <w:b/>
                <w:bCs/>
                <w:szCs w:val="18"/>
                <w:u w:val="single"/>
              </w:rPr>
              <w:t>: Fair Value Measurements</w:t>
            </w:r>
          </w:p>
        </w:tc>
        <w:tc>
          <w:tcPr>
            <w:tcW w:w="1238"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238"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238"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szCs w:val="18"/>
              </w:rPr>
            </w:pPr>
            <w:r>
              <w:rPr>
                <w:rFonts w:cs="Calibri"/>
                <w:szCs w:val="18"/>
              </w:rPr>
              <w:t> </w:t>
            </w:r>
          </w:p>
        </w:tc>
      </w:tr>
      <w:tr w:rsidR="00B26C61" w:rsidTr="00EA3146">
        <w:trPr>
          <w:trHeight w:val="240"/>
        </w:trPr>
        <w:tc>
          <w:tcPr>
            <w:tcW w:w="4028"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38"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238"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238"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szCs w:val="18"/>
              </w:rPr>
            </w:pPr>
            <w:r>
              <w:rPr>
                <w:rFonts w:cs="Calibri"/>
                <w:szCs w:val="18"/>
              </w:rPr>
              <w:t> </w:t>
            </w:r>
          </w:p>
        </w:tc>
      </w:tr>
      <w:tr w:rsidR="00B26C61" w:rsidTr="00EA3146">
        <w:trPr>
          <w:trHeight w:val="240"/>
        </w:trPr>
        <w:tc>
          <w:tcPr>
            <w:tcW w:w="8980" w:type="dxa"/>
            <w:gridSpan w:val="5"/>
            <w:tcBorders>
              <w:top w:val="single" w:sz="4" w:space="0" w:color="D9D9D9"/>
              <w:left w:val="nil"/>
              <w:bottom w:val="single" w:sz="4" w:space="0" w:color="auto"/>
              <w:right w:val="nil"/>
            </w:tcBorders>
            <w:shd w:val="clear" w:color="000000" w:fill="D9D9D9"/>
            <w:vAlign w:val="bottom"/>
            <w:hideMark/>
          </w:tcPr>
          <w:p w:rsidR="00B26C61" w:rsidRDefault="00B26C61" w:rsidP="00EA3146">
            <w:pPr>
              <w:rPr>
                <w:rFonts w:cs="Calibri"/>
                <w:b/>
                <w:bCs/>
                <w:szCs w:val="18"/>
              </w:rPr>
            </w:pPr>
            <w:r>
              <w:rPr>
                <w:rFonts w:cs="Calibri"/>
                <w:b/>
                <w:bCs/>
                <w:szCs w:val="18"/>
              </w:rPr>
              <w:t>Fair value measurements at the end of the reporting period by hierarchy for assets and liabilities in 2014</w:t>
            </w:r>
          </w:p>
        </w:tc>
      </w:tr>
      <w:tr w:rsidR="00B26C61" w:rsidTr="00EA3146">
        <w:trPr>
          <w:trHeight w:val="495"/>
        </w:trPr>
        <w:tc>
          <w:tcPr>
            <w:tcW w:w="4028"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38"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3714" w:type="dxa"/>
            <w:gridSpan w:val="3"/>
            <w:tcBorders>
              <w:top w:val="single" w:sz="4" w:space="0" w:color="auto"/>
              <w:left w:val="nil"/>
              <w:bottom w:val="single" w:sz="4" w:space="0" w:color="auto"/>
              <w:right w:val="nil"/>
            </w:tcBorders>
            <w:shd w:val="clear" w:color="000000" w:fill="D9D9D9"/>
            <w:vAlign w:val="bottom"/>
            <w:hideMark/>
          </w:tcPr>
          <w:p w:rsidR="00B26C61" w:rsidRDefault="00B26C61" w:rsidP="00EA3146">
            <w:pPr>
              <w:rPr>
                <w:rFonts w:cs="Calibri"/>
                <w:b/>
                <w:bCs/>
                <w:szCs w:val="18"/>
              </w:rPr>
            </w:pPr>
            <w:r>
              <w:rPr>
                <w:rFonts w:cs="Calibri"/>
                <w:b/>
                <w:bCs/>
                <w:szCs w:val="18"/>
              </w:rPr>
              <w:t>Fair value measurements at the end of the reporting period using</w:t>
            </w:r>
          </w:p>
        </w:tc>
      </w:tr>
      <w:tr w:rsidR="00B26C61" w:rsidTr="00EA3146">
        <w:trPr>
          <w:trHeight w:val="240"/>
        </w:trPr>
        <w:tc>
          <w:tcPr>
            <w:tcW w:w="4028"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38"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Fair value</w:t>
            </w:r>
          </w:p>
        </w:tc>
        <w:tc>
          <w:tcPr>
            <w:tcW w:w="1238"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Level 1 inputs</w:t>
            </w:r>
          </w:p>
        </w:tc>
        <w:tc>
          <w:tcPr>
            <w:tcW w:w="1238"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Level 2 inputs</w:t>
            </w:r>
          </w:p>
        </w:tc>
        <w:tc>
          <w:tcPr>
            <w:tcW w:w="1238"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Level 3 inputs</w:t>
            </w:r>
          </w:p>
        </w:tc>
      </w:tr>
      <w:tr w:rsidR="00B26C61" w:rsidTr="00EA3146">
        <w:trPr>
          <w:trHeight w:val="240"/>
        </w:trPr>
        <w:tc>
          <w:tcPr>
            <w:tcW w:w="4028" w:type="dxa"/>
            <w:tcBorders>
              <w:top w:val="nil"/>
              <w:left w:val="nil"/>
              <w:bottom w:val="single" w:sz="4" w:space="0" w:color="auto"/>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38"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238"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238"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238"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40"/>
        </w:trPr>
        <w:tc>
          <w:tcPr>
            <w:tcW w:w="4028"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Financial assets</w:t>
            </w:r>
          </w:p>
        </w:tc>
        <w:tc>
          <w:tcPr>
            <w:tcW w:w="1238"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238"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38"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40"/>
        </w:trPr>
        <w:tc>
          <w:tcPr>
            <w:tcW w:w="4028"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Administered investments</w:t>
            </w:r>
          </w:p>
        </w:tc>
        <w:tc>
          <w:tcPr>
            <w:tcW w:w="1238"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145,477 </w:t>
            </w:r>
          </w:p>
        </w:tc>
        <w:tc>
          <w:tcPr>
            <w:tcW w:w="1238"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38"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238"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145,477 </w:t>
            </w:r>
          </w:p>
        </w:tc>
      </w:tr>
      <w:tr w:rsidR="00B26C61" w:rsidTr="00EA3146">
        <w:trPr>
          <w:trHeight w:val="240"/>
        </w:trPr>
        <w:tc>
          <w:tcPr>
            <w:tcW w:w="4028"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financial assets</w:t>
            </w:r>
          </w:p>
        </w:tc>
        <w:tc>
          <w:tcPr>
            <w:tcW w:w="1238"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145,477</w:t>
            </w:r>
          </w:p>
        </w:tc>
        <w:tc>
          <w:tcPr>
            <w:tcW w:w="1238"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38"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38"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145,477</w:t>
            </w:r>
          </w:p>
        </w:tc>
      </w:tr>
      <w:tr w:rsidR="00B26C61" w:rsidTr="00EA3146">
        <w:trPr>
          <w:trHeight w:val="495"/>
        </w:trPr>
        <w:tc>
          <w:tcPr>
            <w:tcW w:w="4028"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fair value measurements of assets in the Administered Schedule of Assets and Liabilities</w:t>
            </w:r>
          </w:p>
        </w:tc>
        <w:tc>
          <w:tcPr>
            <w:tcW w:w="1238"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145,477</w:t>
            </w:r>
          </w:p>
        </w:tc>
        <w:tc>
          <w:tcPr>
            <w:tcW w:w="1238"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38"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38"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145,477</w:t>
            </w:r>
          </w:p>
        </w:tc>
      </w:tr>
    </w:tbl>
    <w:p w:rsidR="00B26C61" w:rsidRDefault="00B26C61" w:rsidP="00B26C61">
      <w:pPr>
        <w:pStyle w:val="NotesHeading-Level1GreyShade"/>
        <w:numPr>
          <w:ilvl w:val="0"/>
          <w:numId w:val="0"/>
        </w:numPr>
      </w:pPr>
      <w:bookmarkStart w:id="302" w:name="RANGE!D7:D23"/>
      <w:bookmarkStart w:id="303" w:name="RANGE!D7:H27"/>
      <w:bookmarkStart w:id="304" w:name="RANGE!D7:D26"/>
      <w:bookmarkEnd w:id="302"/>
      <w:bookmarkEnd w:id="303"/>
      <w:bookmarkEnd w:id="304"/>
    </w:p>
    <w:p w:rsidR="00B26C61" w:rsidRDefault="00B26C61" w:rsidP="00B26C61">
      <w:pPr>
        <w:pStyle w:val="GreyShadeTableBreak"/>
      </w:pPr>
      <w:r w:rsidRPr="00B71488">
        <w:t xml:space="preserve">There are a number of </w:t>
      </w:r>
      <w:r>
        <w:t>a</w:t>
      </w:r>
      <w:r w:rsidRPr="00B71488">
        <w:t xml:space="preserve">dministered assets and liabilities not measured at fair value in the </w:t>
      </w:r>
      <w:r>
        <w:t>Administered Schedule of Assets and Liabilities</w:t>
      </w:r>
      <w:r w:rsidRPr="00B71488">
        <w:t>. The carrying amounts of these assets and liabilities are considered to be a reasonable approximation of their fair value.</w:t>
      </w:r>
    </w:p>
    <w:p w:rsidR="00B26C61" w:rsidRDefault="00B26C61" w:rsidP="00B26C61">
      <w:pPr>
        <w:pStyle w:val="NotesHeading-Level1GreyShade"/>
        <w:numPr>
          <w:ilvl w:val="0"/>
          <w:numId w:val="0"/>
        </w:numPr>
      </w:pPr>
    </w:p>
    <w:tbl>
      <w:tblPr>
        <w:tblW w:w="9087" w:type="dxa"/>
        <w:tblInd w:w="80" w:type="dxa"/>
        <w:tblLayout w:type="fixed"/>
        <w:tblLook w:val="04A0" w:firstRow="1" w:lastRow="0" w:firstColumn="1" w:lastColumn="0" w:noHBand="0" w:noVBand="1"/>
      </w:tblPr>
      <w:tblGrid>
        <w:gridCol w:w="2866"/>
        <w:gridCol w:w="1224"/>
        <w:gridCol w:w="1068"/>
        <w:gridCol w:w="1321"/>
        <w:gridCol w:w="1323"/>
        <w:gridCol w:w="1285"/>
      </w:tblGrid>
      <w:tr w:rsidR="00B26C61" w:rsidTr="00EA3146">
        <w:trPr>
          <w:trHeight w:val="240"/>
        </w:trPr>
        <w:tc>
          <w:tcPr>
            <w:tcW w:w="8999" w:type="dxa"/>
            <w:gridSpan w:val="6"/>
            <w:tcBorders>
              <w:top w:val="nil"/>
              <w:left w:val="nil"/>
              <w:bottom w:val="nil"/>
              <w:right w:val="nil"/>
            </w:tcBorders>
            <w:shd w:val="clear" w:color="000000" w:fill="D9D9D9"/>
            <w:noWrap/>
            <w:vAlign w:val="bottom"/>
            <w:hideMark/>
          </w:tcPr>
          <w:p w:rsidR="00B26C61" w:rsidRDefault="00B26C61" w:rsidP="00EA3146">
            <w:pPr>
              <w:rPr>
                <w:rFonts w:cs="Calibri"/>
                <w:b/>
                <w:bCs/>
                <w:szCs w:val="18"/>
                <w:u w:val="single"/>
              </w:rPr>
            </w:pPr>
            <w:bookmarkStart w:id="305" w:name="RANGE!D7:I8"/>
            <w:bookmarkStart w:id="306" w:name="Note_AVCTABLE1" w:colFirst="0" w:colLast="0"/>
            <w:r>
              <w:rPr>
                <w:rFonts w:cs="Calibri"/>
                <w:b/>
                <w:bCs/>
                <w:szCs w:val="18"/>
                <w:u w:val="single"/>
              </w:rPr>
              <w:t xml:space="preserve">Note </w:t>
            </w:r>
            <w:proofErr w:type="spellStart"/>
            <w:r>
              <w:rPr>
                <w:rFonts w:cs="Calibri"/>
                <w:b/>
                <w:bCs/>
                <w:szCs w:val="18"/>
                <w:u w:val="single"/>
              </w:rPr>
              <w:t>19B</w:t>
            </w:r>
            <w:proofErr w:type="spellEnd"/>
            <w:r>
              <w:rPr>
                <w:rFonts w:cs="Calibri"/>
                <w:b/>
                <w:bCs/>
                <w:szCs w:val="18"/>
                <w:u w:val="single"/>
              </w:rPr>
              <w:t>: Valuation Technique and Inputs for Level 2 and Level 3 Fair Value Measurements</w:t>
            </w:r>
            <w:bookmarkEnd w:id="305"/>
          </w:p>
        </w:tc>
      </w:tr>
      <w:bookmarkEnd w:id="306"/>
      <w:tr w:rsidR="00B26C61" w:rsidTr="00EA3146">
        <w:trPr>
          <w:trHeight w:val="240"/>
        </w:trPr>
        <w:tc>
          <w:tcPr>
            <w:tcW w:w="2838"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12"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058"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308"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310"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73" w:type="dxa"/>
            <w:tcBorders>
              <w:top w:val="nil"/>
              <w:left w:val="nil"/>
              <w:bottom w:val="nil"/>
              <w:right w:val="nil"/>
            </w:tcBorders>
            <w:shd w:val="clear" w:color="000000" w:fill="D9D9D9"/>
            <w:noWrap/>
            <w:vAlign w:val="bottom"/>
            <w:hideMark/>
          </w:tcPr>
          <w:p w:rsidR="00B26C61" w:rsidRDefault="00B26C61" w:rsidP="00EA3146">
            <w:pPr>
              <w:jc w:val="right"/>
              <w:rPr>
                <w:rFonts w:cs="Calibri"/>
                <w:szCs w:val="18"/>
              </w:rPr>
            </w:pPr>
            <w:r>
              <w:rPr>
                <w:rFonts w:cs="Calibri"/>
                <w:szCs w:val="18"/>
              </w:rPr>
              <w:t> </w:t>
            </w:r>
          </w:p>
        </w:tc>
      </w:tr>
      <w:tr w:rsidR="00B26C61" w:rsidTr="00EA3146">
        <w:trPr>
          <w:trHeight w:val="480"/>
        </w:trPr>
        <w:tc>
          <w:tcPr>
            <w:tcW w:w="2838" w:type="dxa"/>
            <w:tcBorders>
              <w:top w:val="single" w:sz="4" w:space="0" w:color="auto"/>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12" w:type="dxa"/>
            <w:tcBorders>
              <w:top w:val="single" w:sz="4" w:space="0" w:color="auto"/>
              <w:left w:val="nil"/>
              <w:bottom w:val="single" w:sz="4" w:space="0" w:color="D9D9D9"/>
              <w:right w:val="nil"/>
            </w:tcBorders>
            <w:shd w:val="clear" w:color="000000" w:fill="D9D9D9"/>
            <w:hideMark/>
          </w:tcPr>
          <w:p w:rsidR="00B26C61" w:rsidRDefault="00B26C61" w:rsidP="00EA3146">
            <w:pPr>
              <w:jc w:val="right"/>
              <w:rPr>
                <w:rFonts w:cs="Calibri"/>
                <w:b/>
                <w:bCs/>
                <w:szCs w:val="18"/>
              </w:rPr>
            </w:pPr>
            <w:r>
              <w:rPr>
                <w:rFonts w:cs="Calibri"/>
                <w:b/>
                <w:bCs/>
                <w:szCs w:val="18"/>
              </w:rPr>
              <w:t>Category (Level 2 or Level 3)</w:t>
            </w:r>
          </w:p>
        </w:tc>
        <w:tc>
          <w:tcPr>
            <w:tcW w:w="1058" w:type="dxa"/>
            <w:tcBorders>
              <w:top w:val="single" w:sz="4" w:space="0" w:color="auto"/>
              <w:left w:val="nil"/>
              <w:bottom w:val="single" w:sz="4" w:space="0" w:color="D9D9D9"/>
              <w:right w:val="nil"/>
            </w:tcBorders>
            <w:shd w:val="clear" w:color="000000" w:fill="D9D9D9"/>
            <w:hideMark/>
          </w:tcPr>
          <w:p w:rsidR="00B26C61" w:rsidRDefault="00B26C61" w:rsidP="00EA3146">
            <w:pPr>
              <w:jc w:val="right"/>
              <w:rPr>
                <w:rFonts w:cs="Calibri"/>
                <w:b/>
                <w:bCs/>
                <w:szCs w:val="18"/>
              </w:rPr>
            </w:pPr>
            <w:r>
              <w:rPr>
                <w:rFonts w:cs="Calibri"/>
                <w:b/>
                <w:bCs/>
                <w:szCs w:val="18"/>
              </w:rPr>
              <w:t>Fair value</w:t>
            </w:r>
          </w:p>
        </w:tc>
        <w:tc>
          <w:tcPr>
            <w:tcW w:w="1308" w:type="dxa"/>
            <w:tcBorders>
              <w:top w:val="single" w:sz="4" w:space="0" w:color="auto"/>
              <w:left w:val="nil"/>
              <w:bottom w:val="single" w:sz="4" w:space="0" w:color="D9D9D9"/>
              <w:right w:val="nil"/>
            </w:tcBorders>
            <w:shd w:val="clear" w:color="000000" w:fill="D9D9D9"/>
            <w:hideMark/>
          </w:tcPr>
          <w:p w:rsidR="00B26C61" w:rsidRDefault="00B26C61" w:rsidP="00EA3146">
            <w:pPr>
              <w:jc w:val="right"/>
              <w:rPr>
                <w:rFonts w:cs="Calibri"/>
                <w:b/>
                <w:bCs/>
                <w:szCs w:val="18"/>
              </w:rPr>
            </w:pPr>
            <w:r>
              <w:rPr>
                <w:rFonts w:cs="Calibri"/>
                <w:b/>
                <w:bCs/>
                <w:szCs w:val="18"/>
              </w:rPr>
              <w:t>Valuation technique(s)</w:t>
            </w:r>
          </w:p>
        </w:tc>
        <w:tc>
          <w:tcPr>
            <w:tcW w:w="1310" w:type="dxa"/>
            <w:tcBorders>
              <w:top w:val="single" w:sz="4" w:space="0" w:color="auto"/>
              <w:left w:val="nil"/>
              <w:bottom w:val="single" w:sz="4" w:space="0" w:color="D9D9D9"/>
              <w:right w:val="nil"/>
            </w:tcBorders>
            <w:shd w:val="clear" w:color="000000" w:fill="D9D9D9"/>
            <w:hideMark/>
          </w:tcPr>
          <w:p w:rsidR="00B26C61" w:rsidRDefault="00B26C61" w:rsidP="00EA3146">
            <w:pPr>
              <w:jc w:val="right"/>
              <w:rPr>
                <w:rFonts w:cs="Calibri"/>
                <w:b/>
                <w:bCs/>
                <w:szCs w:val="18"/>
              </w:rPr>
            </w:pPr>
            <w:r>
              <w:rPr>
                <w:rFonts w:cs="Calibri"/>
                <w:b/>
                <w:bCs/>
                <w:szCs w:val="18"/>
              </w:rPr>
              <w:t>Inputs used</w:t>
            </w:r>
          </w:p>
        </w:tc>
        <w:tc>
          <w:tcPr>
            <w:tcW w:w="1273" w:type="dxa"/>
            <w:tcBorders>
              <w:top w:val="single" w:sz="4" w:space="0" w:color="auto"/>
              <w:left w:val="nil"/>
              <w:bottom w:val="single" w:sz="4" w:space="0" w:color="D9D9D9"/>
              <w:right w:val="nil"/>
            </w:tcBorders>
            <w:shd w:val="clear" w:color="000000" w:fill="D9D9D9"/>
            <w:hideMark/>
          </w:tcPr>
          <w:p w:rsidR="00B26C61" w:rsidRDefault="00B26C61" w:rsidP="00EA3146">
            <w:pPr>
              <w:jc w:val="right"/>
              <w:rPr>
                <w:rFonts w:cs="Calibri"/>
                <w:b/>
                <w:bCs/>
                <w:szCs w:val="18"/>
              </w:rPr>
            </w:pPr>
            <w:r>
              <w:rPr>
                <w:rFonts w:cs="Calibri"/>
                <w:b/>
                <w:bCs/>
                <w:szCs w:val="18"/>
              </w:rPr>
              <w:t>Range (weighted average)</w:t>
            </w:r>
          </w:p>
        </w:tc>
      </w:tr>
      <w:tr w:rsidR="00B26C61" w:rsidTr="00EA3146">
        <w:trPr>
          <w:trHeight w:val="210"/>
        </w:trPr>
        <w:tc>
          <w:tcPr>
            <w:tcW w:w="2838" w:type="dxa"/>
            <w:tcBorders>
              <w:top w:val="nil"/>
              <w:left w:val="nil"/>
              <w:bottom w:val="single" w:sz="4" w:space="0" w:color="auto"/>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12"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058"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308"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310"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273"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2838"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Financial assets</w:t>
            </w:r>
          </w:p>
        </w:tc>
        <w:tc>
          <w:tcPr>
            <w:tcW w:w="1212"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058"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308"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310"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73"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szCs w:val="18"/>
              </w:rPr>
            </w:pPr>
            <w:r>
              <w:rPr>
                <w:rFonts w:cs="Calibri"/>
                <w:szCs w:val="18"/>
              </w:rPr>
              <w:t> </w:t>
            </w:r>
          </w:p>
        </w:tc>
      </w:tr>
      <w:tr w:rsidR="00B26C61" w:rsidTr="00EA3146">
        <w:trPr>
          <w:trHeight w:val="750"/>
        </w:trPr>
        <w:tc>
          <w:tcPr>
            <w:tcW w:w="2838" w:type="dxa"/>
            <w:tcBorders>
              <w:top w:val="nil"/>
              <w:left w:val="nil"/>
              <w:bottom w:val="single" w:sz="4" w:space="0" w:color="auto"/>
              <w:right w:val="nil"/>
            </w:tcBorders>
            <w:shd w:val="clear" w:color="000000" w:fill="D9D9D9"/>
            <w:vAlign w:val="bottom"/>
            <w:hideMark/>
          </w:tcPr>
          <w:p w:rsidR="00B26C61" w:rsidRDefault="00B26C61" w:rsidP="00B26C61">
            <w:pPr>
              <w:ind w:firstLineChars="100" w:firstLine="180"/>
              <w:rPr>
                <w:rFonts w:cs="Calibri"/>
                <w:szCs w:val="18"/>
              </w:rPr>
            </w:pPr>
            <w:r>
              <w:rPr>
                <w:rFonts w:cs="Calibri"/>
                <w:szCs w:val="18"/>
              </w:rPr>
              <w:t>Administered investments</w:t>
            </w:r>
          </w:p>
        </w:tc>
        <w:tc>
          <w:tcPr>
            <w:tcW w:w="1212"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3 </w:t>
            </w:r>
          </w:p>
        </w:tc>
        <w:tc>
          <w:tcPr>
            <w:tcW w:w="1058"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145,477 </w:t>
            </w:r>
          </w:p>
        </w:tc>
        <w:tc>
          <w:tcPr>
            <w:tcW w:w="1308"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Net assets of the entity</w:t>
            </w:r>
          </w:p>
        </w:tc>
        <w:tc>
          <w:tcPr>
            <w:tcW w:w="1310"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Net Assets</w:t>
            </w:r>
          </w:p>
        </w:tc>
        <w:tc>
          <w:tcPr>
            <w:tcW w:w="1273" w:type="dxa"/>
            <w:tcBorders>
              <w:top w:val="nil"/>
              <w:left w:val="nil"/>
              <w:bottom w:val="single" w:sz="4" w:space="0" w:color="auto"/>
              <w:right w:val="nil"/>
            </w:tcBorders>
            <w:shd w:val="clear" w:color="000000" w:fill="A6A6A6"/>
            <w:vAlign w:val="bottom"/>
            <w:hideMark/>
          </w:tcPr>
          <w:p w:rsidR="00B26C61" w:rsidRDefault="00B26C61" w:rsidP="00EA3146">
            <w:pPr>
              <w:rPr>
                <w:rFonts w:cs="Calibri"/>
                <w:szCs w:val="18"/>
              </w:rPr>
            </w:pPr>
            <w:r>
              <w:rPr>
                <w:rFonts w:cs="Calibri"/>
                <w:szCs w:val="18"/>
              </w:rPr>
              <w:t> </w:t>
            </w:r>
          </w:p>
        </w:tc>
      </w:tr>
    </w:tbl>
    <w:p w:rsidR="00B26C61" w:rsidRDefault="00B26C61" w:rsidP="00B26C61">
      <w:pPr>
        <w:pStyle w:val="GreyShadeTableBreak"/>
      </w:pPr>
      <w:bookmarkStart w:id="307" w:name="RANGE!D7:I13"/>
      <w:bookmarkStart w:id="308" w:name="RANGE!D7:D13"/>
      <w:bookmarkStart w:id="309" w:name="RANGE!D7:H13"/>
      <w:bookmarkEnd w:id="307"/>
      <w:bookmarkEnd w:id="308"/>
      <w:bookmarkEnd w:id="309"/>
    </w:p>
    <w:p w:rsidR="00B26C61" w:rsidRDefault="00B26C61" w:rsidP="00B26C61">
      <w:pPr>
        <w:pStyle w:val="GreyShadeTableBreak"/>
        <w:rPr>
          <w:rFonts w:cs="Calibri"/>
          <w:szCs w:val="18"/>
        </w:rPr>
      </w:pPr>
      <w:r>
        <w:rPr>
          <w:rFonts w:cs="Calibri"/>
          <w:szCs w:val="18"/>
        </w:rPr>
        <w:t xml:space="preserve">The department’s administered investments are classified as available-for-sale financial assets and are measured at their fair value as at 30 June 2014.  </w:t>
      </w:r>
      <w:r w:rsidRPr="00C87115">
        <w:rPr>
          <w:rFonts w:cs="Calibri"/>
          <w:szCs w:val="18"/>
        </w:rPr>
        <w:t xml:space="preserve">Fair value is assessed as the Australian Government's proportional interest in the net assets of the </w:t>
      </w:r>
      <w:r>
        <w:rPr>
          <w:rFonts w:cs="Calibri"/>
          <w:szCs w:val="18"/>
        </w:rPr>
        <w:t>entity</w:t>
      </w:r>
      <w:r w:rsidRPr="00C87115">
        <w:rPr>
          <w:rFonts w:cs="Calibri"/>
          <w:szCs w:val="18"/>
        </w:rPr>
        <w:t xml:space="preserve"> at balance date</w:t>
      </w:r>
      <w:r>
        <w:rPr>
          <w:rFonts w:cs="Calibri"/>
          <w:szCs w:val="18"/>
        </w:rPr>
        <w:t xml:space="preserve">.  </w:t>
      </w:r>
      <w:r>
        <w:t xml:space="preserve"> The methods and valuation techniques used for the purpose of measuring fair value of assets and liabilities </w:t>
      </w:r>
      <w:r w:rsidRPr="00B71488">
        <w:rPr>
          <w:rFonts w:cs="Calibri"/>
          <w:szCs w:val="18"/>
        </w:rPr>
        <w:t>in 2014 are unchanged from</w:t>
      </w:r>
      <w:r>
        <w:rPr>
          <w:rFonts w:cs="Calibri"/>
          <w:szCs w:val="18"/>
        </w:rPr>
        <w:t xml:space="preserve"> the methods and valuation techniques used by the former </w:t>
      </w:r>
      <w:proofErr w:type="spellStart"/>
      <w:r>
        <w:rPr>
          <w:rFonts w:cs="Calibri"/>
          <w:szCs w:val="18"/>
        </w:rPr>
        <w:t>DEEWR</w:t>
      </w:r>
      <w:proofErr w:type="spellEnd"/>
      <w:r>
        <w:rPr>
          <w:rFonts w:cs="Calibri"/>
          <w:szCs w:val="18"/>
        </w:rPr>
        <w:t xml:space="preserve"> who transferred the asset to the department.  </w:t>
      </w:r>
    </w:p>
    <w:p w:rsidR="00B26C61" w:rsidRPr="00B71488" w:rsidRDefault="00B26C61" w:rsidP="00B26C61">
      <w:pPr>
        <w:pStyle w:val="GreyShadeTableBreak"/>
        <w:rPr>
          <w:rFonts w:cs="Calibri"/>
          <w:szCs w:val="18"/>
        </w:rPr>
      </w:pPr>
      <w:r w:rsidRPr="00B71488">
        <w:rPr>
          <w:rFonts w:cs="Calibri"/>
          <w:szCs w:val="18"/>
        </w:rPr>
        <w:tab/>
      </w:r>
      <w:r w:rsidRPr="00B71488">
        <w:rPr>
          <w:rFonts w:cs="Calibri"/>
          <w:szCs w:val="18"/>
        </w:rPr>
        <w:tab/>
      </w:r>
    </w:p>
    <w:p w:rsidR="00B26C61" w:rsidRPr="00B71488" w:rsidRDefault="00B26C61" w:rsidP="00B26C61">
      <w:pPr>
        <w:pStyle w:val="GreyShadeTableBreak"/>
        <w:rPr>
          <w:rFonts w:cs="Calibri"/>
          <w:szCs w:val="18"/>
        </w:rPr>
      </w:pPr>
      <w:r w:rsidRPr="00B71488">
        <w:rPr>
          <w:rFonts w:cs="Calibri"/>
          <w:szCs w:val="18"/>
        </w:rPr>
        <w:t>Changing inputs to the level 3 hierarchy valuations to reasonably possible alternate assumptions would not significantly change amounts recognised in net cost of service or other comprehensive income.</w:t>
      </w:r>
      <w:r w:rsidRPr="00B71488">
        <w:rPr>
          <w:rFonts w:cs="Calibri"/>
          <w:szCs w:val="18"/>
        </w:rPr>
        <w:tab/>
      </w:r>
      <w:r w:rsidRPr="00B71488">
        <w:rPr>
          <w:rFonts w:cs="Calibri"/>
          <w:szCs w:val="18"/>
        </w:rPr>
        <w:tab/>
      </w:r>
    </w:p>
    <w:p w:rsidR="00B26C61" w:rsidRDefault="00B26C61" w:rsidP="00B26C61">
      <w:pPr>
        <w:spacing w:line="240" w:lineRule="auto"/>
      </w:pPr>
      <w:r>
        <w:br w:type="page"/>
      </w:r>
    </w:p>
    <w:tbl>
      <w:tblPr>
        <w:tblW w:w="9087" w:type="dxa"/>
        <w:tblInd w:w="80" w:type="dxa"/>
        <w:tblLayout w:type="fixed"/>
        <w:tblLook w:val="04A0" w:firstRow="1" w:lastRow="0" w:firstColumn="1" w:lastColumn="0" w:noHBand="0" w:noVBand="1"/>
      </w:tblPr>
      <w:tblGrid>
        <w:gridCol w:w="6577"/>
        <w:gridCol w:w="1255"/>
        <w:gridCol w:w="1255"/>
      </w:tblGrid>
      <w:tr w:rsidR="00B26C61" w:rsidTr="00EA3146">
        <w:trPr>
          <w:trHeight w:val="240"/>
        </w:trPr>
        <w:tc>
          <w:tcPr>
            <w:tcW w:w="6500" w:type="dxa"/>
            <w:tcBorders>
              <w:top w:val="nil"/>
              <w:left w:val="nil"/>
              <w:bottom w:val="nil"/>
              <w:right w:val="nil"/>
            </w:tcBorders>
            <w:shd w:val="clear" w:color="000000" w:fill="D9D9D9"/>
            <w:noWrap/>
            <w:vAlign w:val="bottom"/>
            <w:hideMark/>
          </w:tcPr>
          <w:p w:rsidR="00B26C61" w:rsidRDefault="00B26C61" w:rsidP="00EA3146">
            <w:pPr>
              <w:rPr>
                <w:rFonts w:cs="Calibri"/>
                <w:b/>
                <w:bCs/>
                <w:szCs w:val="18"/>
                <w:u w:val="single"/>
              </w:rPr>
            </w:pPr>
            <w:bookmarkStart w:id="310" w:name="RANGE!D7:F22"/>
            <w:bookmarkStart w:id="311" w:name="Note_AVDTABLE1" w:colFirst="0" w:colLast="0"/>
            <w:r>
              <w:rPr>
                <w:rFonts w:cs="Calibri"/>
                <w:b/>
                <w:bCs/>
                <w:szCs w:val="18"/>
                <w:u w:val="single"/>
              </w:rPr>
              <w:lastRenderedPageBreak/>
              <w:t xml:space="preserve">Note </w:t>
            </w:r>
            <w:proofErr w:type="spellStart"/>
            <w:r>
              <w:rPr>
                <w:rFonts w:cs="Calibri"/>
                <w:b/>
                <w:bCs/>
                <w:szCs w:val="18"/>
                <w:u w:val="single"/>
              </w:rPr>
              <w:t>19C</w:t>
            </w:r>
            <w:proofErr w:type="spellEnd"/>
            <w:r>
              <w:rPr>
                <w:rFonts w:cs="Calibri"/>
                <w:b/>
                <w:bCs/>
                <w:szCs w:val="18"/>
                <w:u w:val="single"/>
              </w:rPr>
              <w:t>: Reconciliation For Recurring Level 3 Fair Value Measurements</w:t>
            </w:r>
            <w:bookmarkEnd w:id="310"/>
          </w:p>
        </w:tc>
        <w:tc>
          <w:tcPr>
            <w:tcW w:w="1240"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240"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r>
      <w:bookmarkEnd w:id="311"/>
      <w:tr w:rsidR="00B26C61" w:rsidTr="00EA3146">
        <w:trPr>
          <w:trHeight w:val="240"/>
        </w:trPr>
        <w:tc>
          <w:tcPr>
            <w:tcW w:w="6500"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40"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240"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500"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There have been no transfers between levels during the period.</w:t>
            </w:r>
          </w:p>
        </w:tc>
        <w:tc>
          <w:tcPr>
            <w:tcW w:w="1240"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240"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500"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40"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240"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500"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Recurring Level 3 fair value measurements - reconciliation for assets</w:t>
            </w:r>
          </w:p>
        </w:tc>
        <w:tc>
          <w:tcPr>
            <w:tcW w:w="1240"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240"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40"/>
        </w:trPr>
        <w:tc>
          <w:tcPr>
            <w:tcW w:w="6500" w:type="dxa"/>
            <w:tcBorders>
              <w:top w:val="single" w:sz="4" w:space="0" w:color="auto"/>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2480" w:type="dxa"/>
            <w:gridSpan w:val="2"/>
            <w:tcBorders>
              <w:top w:val="single" w:sz="4" w:space="0" w:color="auto"/>
              <w:left w:val="nil"/>
              <w:bottom w:val="single" w:sz="4" w:space="0" w:color="auto"/>
              <w:right w:val="nil"/>
            </w:tcBorders>
            <w:shd w:val="clear" w:color="000000" w:fill="D9D9D9"/>
            <w:vAlign w:val="bottom"/>
            <w:hideMark/>
          </w:tcPr>
          <w:p w:rsidR="00B26C61" w:rsidRDefault="00B26C61" w:rsidP="00EA3146">
            <w:pPr>
              <w:jc w:val="center"/>
              <w:rPr>
                <w:rFonts w:cs="Calibri"/>
                <w:b/>
                <w:bCs/>
                <w:szCs w:val="18"/>
              </w:rPr>
            </w:pPr>
            <w:r>
              <w:rPr>
                <w:rFonts w:cs="Calibri"/>
                <w:b/>
                <w:bCs/>
                <w:szCs w:val="18"/>
              </w:rPr>
              <w:t>Financial assets</w:t>
            </w:r>
          </w:p>
        </w:tc>
      </w:tr>
      <w:tr w:rsidR="00B26C61" w:rsidTr="00EA3146">
        <w:trPr>
          <w:trHeight w:val="495"/>
        </w:trPr>
        <w:tc>
          <w:tcPr>
            <w:tcW w:w="6500"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40"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Administered investments</w:t>
            </w:r>
          </w:p>
        </w:tc>
        <w:tc>
          <w:tcPr>
            <w:tcW w:w="1240"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Total</w:t>
            </w:r>
          </w:p>
        </w:tc>
      </w:tr>
      <w:tr w:rsidR="00B26C61" w:rsidTr="00EA3146">
        <w:trPr>
          <w:trHeight w:val="240"/>
        </w:trPr>
        <w:tc>
          <w:tcPr>
            <w:tcW w:w="6500"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40"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2014</w:t>
            </w:r>
          </w:p>
        </w:tc>
        <w:tc>
          <w:tcPr>
            <w:tcW w:w="1240"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40"/>
        </w:trPr>
        <w:tc>
          <w:tcPr>
            <w:tcW w:w="6500" w:type="dxa"/>
            <w:tcBorders>
              <w:top w:val="nil"/>
              <w:left w:val="nil"/>
              <w:bottom w:val="single" w:sz="4" w:space="0" w:color="auto"/>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40"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240"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40"/>
        </w:trPr>
        <w:tc>
          <w:tcPr>
            <w:tcW w:w="6500"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Restructured amount</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116,725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116,725 </w:t>
            </w:r>
          </w:p>
        </w:tc>
      </w:tr>
      <w:tr w:rsidR="00B26C61" w:rsidTr="00EA3146">
        <w:trPr>
          <w:trHeight w:val="240"/>
        </w:trPr>
        <w:tc>
          <w:tcPr>
            <w:tcW w:w="6500"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Total gains recognised in administered equity</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28,752 </w:t>
            </w:r>
          </w:p>
        </w:tc>
        <w:tc>
          <w:tcPr>
            <w:tcW w:w="124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28,752 </w:t>
            </w:r>
          </w:p>
        </w:tc>
      </w:tr>
      <w:tr w:rsidR="00B26C61" w:rsidTr="00EA3146">
        <w:trPr>
          <w:trHeight w:val="240"/>
        </w:trPr>
        <w:tc>
          <w:tcPr>
            <w:tcW w:w="6500"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rPr>
                <w:rFonts w:cs="Calibri"/>
                <w:b/>
                <w:bCs/>
                <w:szCs w:val="18"/>
              </w:rPr>
            </w:pPr>
            <w:r>
              <w:rPr>
                <w:rFonts w:cs="Calibri"/>
                <w:b/>
                <w:bCs/>
                <w:szCs w:val="18"/>
              </w:rPr>
              <w:t>Closing balance</w:t>
            </w:r>
          </w:p>
        </w:tc>
        <w:tc>
          <w:tcPr>
            <w:tcW w:w="1240"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145,477</w:t>
            </w:r>
          </w:p>
        </w:tc>
        <w:tc>
          <w:tcPr>
            <w:tcW w:w="1240"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145,477</w:t>
            </w:r>
          </w:p>
        </w:tc>
      </w:tr>
    </w:tbl>
    <w:p w:rsidR="00B26C61" w:rsidRDefault="00B26C61" w:rsidP="00B26C61">
      <w:pPr>
        <w:pStyle w:val="NotesHeading-Level1GreyShade"/>
        <w:numPr>
          <w:ilvl w:val="0"/>
          <w:numId w:val="0"/>
        </w:numPr>
      </w:pPr>
      <w:bookmarkStart w:id="312" w:name="RANGE!D7:F26"/>
      <w:bookmarkEnd w:id="312"/>
    </w:p>
    <w:p w:rsidR="00B26C61" w:rsidRDefault="00B26C61" w:rsidP="00B26C61">
      <w:pPr>
        <w:spacing w:line="240" w:lineRule="auto"/>
        <w:rPr>
          <w:rFonts w:asciiTheme="minorHAnsi" w:hAnsiTheme="minorHAnsi" w:cstheme="minorHAnsi"/>
          <w:b/>
          <w:sz w:val="20"/>
        </w:rPr>
      </w:pPr>
      <w:r>
        <w:br w:type="page"/>
      </w:r>
    </w:p>
    <w:p w:rsidR="00B26C61" w:rsidRDefault="00B26C61" w:rsidP="00B26C61">
      <w:pPr>
        <w:pStyle w:val="NotesHeading-Level1GreyShade"/>
        <w:numPr>
          <w:ilvl w:val="0"/>
          <w:numId w:val="13"/>
        </w:numPr>
      </w:pPr>
      <w:bookmarkStart w:id="313" w:name="_Toc398813162"/>
      <w:r>
        <w:lastRenderedPageBreak/>
        <w:t>Administered - Financial Assets</w:t>
      </w:r>
      <w:bookmarkEnd w:id="313"/>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bookmarkStart w:id="314" w:name="Note_ACSTABLE1" w:colFirst="0" w:colLast="0"/>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2014</w:t>
            </w:r>
          </w:p>
        </w:tc>
      </w:tr>
      <w:bookmarkEnd w:id="314"/>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20A</w:t>
            </w:r>
            <w:proofErr w:type="spellEnd"/>
            <w:r>
              <w:rPr>
                <w:rFonts w:cs="Calibri"/>
                <w:b/>
                <w:bCs/>
                <w:szCs w:val="18"/>
                <w:u w:val="single"/>
              </w:rPr>
              <w:t>: Cash and Cash Equivalents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r>
              <w:rPr>
                <w:rFonts w:cs="Calibri"/>
                <w:szCs w:val="18"/>
              </w:rPr>
              <w:t>Cash on hand or on deposit</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cash and cash equivalents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r>
    </w:tbl>
    <w:p w:rsidR="00B26C61" w:rsidRDefault="00B26C61" w:rsidP="00B26C61">
      <w:pPr>
        <w:pStyle w:val="GreyShadeTableBreak"/>
      </w:pPr>
    </w:p>
    <w:tbl>
      <w:tblPr>
        <w:tblW w:w="9087" w:type="dxa"/>
        <w:tblInd w:w="80" w:type="dxa"/>
        <w:tblLayout w:type="fixed"/>
        <w:tblLook w:val="04A0" w:firstRow="1" w:lastRow="0" w:firstColumn="1" w:lastColumn="0" w:noHBand="0" w:noVBand="1"/>
      </w:tblPr>
      <w:tblGrid>
        <w:gridCol w:w="6525"/>
        <w:gridCol w:w="1281"/>
        <w:gridCol w:w="1281"/>
      </w:tblGrid>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315" w:name="RANGE!D7:H43"/>
            <w:bookmarkStart w:id="316" w:name="Note_ARETABLE1" w:colFirst="0" w:colLast="0"/>
            <w:r>
              <w:rPr>
                <w:rFonts w:cs="Calibri"/>
                <w:b/>
                <w:bCs/>
                <w:szCs w:val="18"/>
                <w:u w:val="single"/>
              </w:rPr>
              <w:t xml:space="preserve">Note </w:t>
            </w:r>
            <w:proofErr w:type="spellStart"/>
            <w:r>
              <w:rPr>
                <w:rFonts w:cs="Calibri"/>
                <w:b/>
                <w:bCs/>
                <w:szCs w:val="18"/>
                <w:u w:val="single"/>
              </w:rPr>
              <w:t>20B</w:t>
            </w:r>
            <w:proofErr w:type="spellEnd"/>
            <w:r>
              <w:rPr>
                <w:rFonts w:cs="Calibri"/>
                <w:b/>
                <w:bCs/>
                <w:szCs w:val="18"/>
                <w:u w:val="single"/>
              </w:rPr>
              <w:t>: Receivables</w:t>
            </w:r>
            <w:bookmarkEnd w:id="315"/>
          </w:p>
        </w:tc>
        <w:tc>
          <w:tcPr>
            <w:tcW w:w="1256" w:type="dxa"/>
            <w:tcBorders>
              <w:top w:val="nil"/>
              <w:left w:val="nil"/>
              <w:bottom w:val="nil"/>
              <w:right w:val="nil"/>
            </w:tcBorders>
            <w:shd w:val="clear" w:color="000000" w:fill="D9D9D9"/>
            <w:noWrap/>
            <w:hideMark/>
          </w:tcPr>
          <w:p w:rsidR="00B26C61" w:rsidRDefault="00B26C61" w:rsidP="00EA3146">
            <w:pPr>
              <w:rPr>
                <w:rFonts w:cs="Calibri"/>
                <w:szCs w:val="18"/>
                <w:u w:val="single"/>
              </w:rPr>
            </w:pPr>
            <w:r>
              <w:rPr>
                <w:rFonts w:cs="Calibri"/>
                <w:szCs w:val="18"/>
                <w:u w:val="single"/>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316"/>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Taxation receivables in connection with</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B26C61">
            <w:pPr>
              <w:ind w:firstLineChars="100" w:firstLine="180"/>
              <w:rPr>
                <w:rFonts w:cs="Calibri"/>
                <w:szCs w:val="18"/>
              </w:rPr>
            </w:pPr>
            <w:r>
              <w:rPr>
                <w:rFonts w:cs="Calibri"/>
                <w:szCs w:val="18"/>
              </w:rPr>
              <w:t>Related parties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13,207</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Total taxation receivables</w:t>
            </w:r>
          </w:p>
        </w:tc>
        <w:tc>
          <w:tcPr>
            <w:tcW w:w="125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13,207</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40"/>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Taxation receivables aged as follows</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Not overdue</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13,207 </w:t>
            </w:r>
          </w:p>
        </w:tc>
      </w:tr>
      <w:tr w:rsidR="00B26C61" w:rsidTr="00EA3146">
        <w:trPr>
          <w:trHeight w:val="24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taxation receivables</w:t>
            </w:r>
          </w:p>
        </w:tc>
        <w:tc>
          <w:tcPr>
            <w:tcW w:w="125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13,207</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Goods and services receivables in connection with</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External parties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543</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Total goods and services receivables</w:t>
            </w:r>
          </w:p>
        </w:tc>
        <w:tc>
          <w:tcPr>
            <w:tcW w:w="125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543</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Other receivables</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xml:space="preserve">GST receivable from the </w:t>
            </w:r>
            <w:proofErr w:type="spellStart"/>
            <w:r>
              <w:rPr>
                <w:rFonts w:cs="Calibri"/>
                <w:szCs w:val="18"/>
              </w:rPr>
              <w:t>ATO</w:t>
            </w:r>
            <w:proofErr w:type="spellEnd"/>
          </w:p>
        </w:tc>
        <w:tc>
          <w:tcPr>
            <w:tcW w:w="12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9,731</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Total other receivables</w:t>
            </w:r>
          </w:p>
        </w:tc>
        <w:tc>
          <w:tcPr>
            <w:tcW w:w="125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9,731</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trade and other receivables (gross)</w:t>
            </w:r>
          </w:p>
        </w:tc>
        <w:tc>
          <w:tcPr>
            <w:tcW w:w="125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56" w:type="dxa"/>
            <w:tcBorders>
              <w:top w:val="nil"/>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23,481</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Less impairment allowance</w:t>
            </w:r>
          </w:p>
        </w:tc>
        <w:tc>
          <w:tcPr>
            <w:tcW w:w="125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Goods and services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(141)</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Total impairment allowance</w:t>
            </w:r>
          </w:p>
        </w:tc>
        <w:tc>
          <w:tcPr>
            <w:tcW w:w="125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(141)</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trade and other receivables (net)</w:t>
            </w:r>
          </w:p>
        </w:tc>
        <w:tc>
          <w:tcPr>
            <w:tcW w:w="125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56" w:type="dxa"/>
            <w:tcBorders>
              <w:top w:val="nil"/>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23,340</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Trade and other receivables (net) expected to be recovered</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23,340 </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trade and other receivables (net)</w:t>
            </w:r>
          </w:p>
        </w:tc>
        <w:tc>
          <w:tcPr>
            <w:tcW w:w="125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23,340</w:t>
            </w:r>
          </w:p>
        </w:tc>
      </w:tr>
    </w:tbl>
    <w:p w:rsidR="00B26C61" w:rsidRDefault="00B26C61" w:rsidP="00B26C61">
      <w:bookmarkStart w:id="317" w:name="RANGE!D7:G53"/>
      <w:bookmarkStart w:id="318" w:name="RANGE!D6:G52"/>
      <w:bookmarkEnd w:id="317"/>
      <w:bookmarkEnd w:id="318"/>
    </w:p>
    <w:p w:rsidR="00B26C61" w:rsidRDefault="00B26C61" w:rsidP="00B26C61">
      <w:pPr>
        <w:spacing w:line="240" w:lineRule="auto"/>
      </w:pPr>
      <w:r>
        <w:br w:type="page"/>
      </w:r>
    </w:p>
    <w:tbl>
      <w:tblPr>
        <w:tblW w:w="9087" w:type="dxa"/>
        <w:tblInd w:w="80" w:type="dxa"/>
        <w:tblLayout w:type="fixed"/>
        <w:tblLook w:val="04A0" w:firstRow="1" w:lastRow="0" w:firstColumn="1" w:lastColumn="0" w:noHBand="0" w:noVBand="1"/>
      </w:tblPr>
      <w:tblGrid>
        <w:gridCol w:w="6525"/>
        <w:gridCol w:w="1281"/>
        <w:gridCol w:w="1281"/>
      </w:tblGrid>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bookmarkStart w:id="319" w:name="Note_ARETABLE2" w:colFirst="0" w:colLast="0"/>
            <w:r>
              <w:rPr>
                <w:rFonts w:ascii="Arial" w:hAnsi="Arial" w:cs="Arial"/>
                <w:sz w:val="16"/>
                <w:szCs w:val="16"/>
              </w:rPr>
              <w:lastRenderedPageBreak/>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2014</w:t>
            </w:r>
          </w:p>
        </w:tc>
      </w:tr>
      <w:bookmarkEnd w:id="319"/>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40"/>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Trade and other receivables (gross) aged as follows</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Not overdue</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22,939 </w:t>
            </w:r>
          </w:p>
        </w:tc>
      </w:tr>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Overdue by</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0 to 30 days</w:t>
            </w:r>
          </w:p>
        </w:tc>
        <w:tc>
          <w:tcPr>
            <w:tcW w:w="1256" w:type="dxa"/>
            <w:tcBorders>
              <w:top w:val="nil"/>
              <w:left w:val="nil"/>
              <w:bottom w:val="nil"/>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24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31 to 60 days</w:t>
            </w:r>
          </w:p>
        </w:tc>
        <w:tc>
          <w:tcPr>
            <w:tcW w:w="1256" w:type="dxa"/>
            <w:tcBorders>
              <w:top w:val="nil"/>
              <w:left w:val="nil"/>
              <w:bottom w:val="nil"/>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125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61 to 90 days</w:t>
            </w:r>
          </w:p>
        </w:tc>
        <w:tc>
          <w:tcPr>
            <w:tcW w:w="1256" w:type="dxa"/>
            <w:tcBorders>
              <w:top w:val="nil"/>
              <w:left w:val="nil"/>
              <w:bottom w:val="nil"/>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85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More than 90 days</w:t>
            </w:r>
          </w:p>
        </w:tc>
        <w:tc>
          <w:tcPr>
            <w:tcW w:w="1256" w:type="dxa"/>
            <w:tcBorders>
              <w:top w:val="nil"/>
              <w:left w:val="nil"/>
              <w:bottom w:val="nil"/>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308 </w:t>
            </w:r>
          </w:p>
        </w:tc>
      </w:tr>
      <w:tr w:rsidR="00B26C61" w:rsidTr="00EA3146">
        <w:trPr>
          <w:trHeight w:val="24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trade and other receivables (gross)</w:t>
            </w:r>
          </w:p>
        </w:tc>
        <w:tc>
          <w:tcPr>
            <w:tcW w:w="125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23,481</w:t>
            </w:r>
          </w:p>
        </w:tc>
      </w:tr>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Impairment allowance aged as follows</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Not overdue</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Overdue by:</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0 to 30 days</w:t>
            </w:r>
          </w:p>
        </w:tc>
        <w:tc>
          <w:tcPr>
            <w:tcW w:w="1256" w:type="dxa"/>
            <w:tcBorders>
              <w:top w:val="nil"/>
              <w:left w:val="nil"/>
              <w:bottom w:val="nil"/>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31 to 60 days</w:t>
            </w:r>
          </w:p>
        </w:tc>
        <w:tc>
          <w:tcPr>
            <w:tcW w:w="1256" w:type="dxa"/>
            <w:tcBorders>
              <w:top w:val="nil"/>
              <w:left w:val="nil"/>
              <w:bottom w:val="nil"/>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61 to 90 days</w:t>
            </w:r>
          </w:p>
        </w:tc>
        <w:tc>
          <w:tcPr>
            <w:tcW w:w="1256" w:type="dxa"/>
            <w:tcBorders>
              <w:top w:val="nil"/>
              <w:left w:val="nil"/>
              <w:bottom w:val="nil"/>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More than 90 days</w:t>
            </w:r>
          </w:p>
        </w:tc>
        <w:tc>
          <w:tcPr>
            <w:tcW w:w="1256" w:type="dxa"/>
            <w:tcBorders>
              <w:top w:val="nil"/>
              <w:left w:val="nil"/>
              <w:bottom w:val="nil"/>
              <w:right w:val="nil"/>
            </w:tcBorders>
            <w:shd w:val="clear" w:color="000000" w:fill="D9D9D9"/>
            <w:noWrap/>
            <w:vAlign w:val="bottom"/>
            <w:hideMark/>
          </w:tcPr>
          <w:p w:rsidR="00B26C61" w:rsidRDefault="00B26C61" w:rsidP="00B26C61">
            <w:pPr>
              <w:ind w:firstLineChars="200" w:firstLine="360"/>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(141)</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impairment allowance</w:t>
            </w:r>
          </w:p>
        </w:tc>
        <w:tc>
          <w:tcPr>
            <w:tcW w:w="125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(141)</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8908" w:type="dxa"/>
            <w:gridSpan w:val="3"/>
            <w:tcBorders>
              <w:top w:val="single" w:sz="4" w:space="0" w:color="D9D9D9"/>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Credit terms are within 30 days.</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Reconciliation of the Impairment Allowance</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Movements in relation to 2014</w:t>
            </w:r>
          </w:p>
        </w:tc>
        <w:tc>
          <w:tcPr>
            <w:tcW w:w="125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r>
      <w:tr w:rsidR="00B26C61" w:rsidTr="00EA3146">
        <w:trPr>
          <w:trHeight w:val="480"/>
        </w:trPr>
        <w:tc>
          <w:tcPr>
            <w:tcW w:w="6396" w:type="dxa"/>
            <w:tcBorders>
              <w:top w:val="single" w:sz="4" w:space="0" w:color="auto"/>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single" w:sz="4" w:space="0" w:color="auto"/>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Goods and services</w:t>
            </w:r>
          </w:p>
        </w:tc>
        <w:tc>
          <w:tcPr>
            <w:tcW w:w="1256" w:type="dxa"/>
            <w:tcBorders>
              <w:top w:val="single" w:sz="4" w:space="0" w:color="auto"/>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Total</w:t>
            </w:r>
          </w:p>
        </w:tc>
      </w:tr>
      <w:tr w:rsidR="00B26C61" w:rsidTr="00EA3146">
        <w:trPr>
          <w:trHeight w:val="255"/>
        </w:trPr>
        <w:tc>
          <w:tcPr>
            <w:tcW w:w="6396"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256"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Opening balance</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55"/>
        </w:trPr>
        <w:tc>
          <w:tcPr>
            <w:tcW w:w="6396"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Decrease recognised in net cost of services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(141)</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(141)</w:t>
            </w:r>
          </w:p>
        </w:tc>
      </w:tr>
      <w:tr w:rsidR="00B26C61" w:rsidTr="00EA3146">
        <w:trPr>
          <w:trHeight w:val="255"/>
        </w:trPr>
        <w:tc>
          <w:tcPr>
            <w:tcW w:w="6396"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Closing balance</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(141)</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(141)</w:t>
            </w:r>
          </w:p>
        </w:tc>
      </w:tr>
    </w:tbl>
    <w:p w:rsidR="00B26C61" w:rsidRDefault="00B26C61" w:rsidP="00B26C61">
      <w:bookmarkStart w:id="320" w:name="RANGE!D47:H87"/>
      <w:bookmarkStart w:id="321" w:name="RANGE!D38:H78"/>
      <w:bookmarkStart w:id="322" w:name="RANGE!D39:H79"/>
      <w:bookmarkStart w:id="323" w:name="RANGE!D37:H77"/>
      <w:bookmarkStart w:id="324" w:name="RANGE!D43:G83"/>
      <w:bookmarkEnd w:id="320"/>
      <w:bookmarkEnd w:id="321"/>
      <w:bookmarkEnd w:id="322"/>
      <w:bookmarkEnd w:id="323"/>
      <w:bookmarkEnd w:id="324"/>
    </w:p>
    <w:p w:rsidR="00B26C61" w:rsidRDefault="00B26C61" w:rsidP="00B26C61">
      <w:pPr>
        <w:spacing w:line="240" w:lineRule="auto"/>
      </w:pPr>
      <w:r>
        <w:br w:type="page"/>
      </w:r>
      <w:bookmarkStart w:id="325" w:name="RANGE!D42:G82"/>
      <w:bookmarkStart w:id="326" w:name="RANGE!D45:G85"/>
      <w:bookmarkStart w:id="327" w:name="RANGE!D44:G84"/>
      <w:bookmarkEnd w:id="325"/>
      <w:bookmarkEnd w:id="326"/>
      <w:bookmarkEnd w:id="327"/>
    </w:p>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bookmarkStart w:id="328" w:name="Note_AOVTABLE1" w:colFirst="0" w:colLast="0"/>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2014</w:t>
            </w:r>
          </w:p>
        </w:tc>
      </w:tr>
      <w:bookmarkEnd w:id="328"/>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20C</w:t>
            </w:r>
            <w:proofErr w:type="spellEnd"/>
            <w:r>
              <w:rPr>
                <w:rFonts w:cs="Calibri"/>
                <w:b/>
                <w:bCs/>
                <w:szCs w:val="18"/>
                <w:u w:val="single"/>
              </w:rPr>
              <w:t>: Other Investments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Other Investments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8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xml:space="preserve">Coal Mining Industry </w:t>
            </w:r>
            <w:proofErr w:type="spellStart"/>
            <w:r>
              <w:rPr>
                <w:rFonts w:cs="Calibri"/>
                <w:szCs w:val="18"/>
              </w:rPr>
              <w:t>Corporation</w:t>
            </w:r>
            <w:r>
              <w:rPr>
                <w:rFonts w:cs="Calibri"/>
                <w:szCs w:val="18"/>
                <w:vertAlign w:val="superscript"/>
              </w:rPr>
              <w:t>1</w:t>
            </w:r>
            <w:proofErr w:type="spellEnd"/>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145,477</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other investments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145,477</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xml:space="preserve">Other investments expected to be recovered in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More than 12 months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145,477 </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other investments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145,477</w:t>
            </w:r>
          </w:p>
        </w:tc>
      </w:tr>
    </w:tbl>
    <w:p w:rsidR="00B26C61" w:rsidRDefault="00B26C61" w:rsidP="00B26C61">
      <w:pPr>
        <w:pStyle w:val="GreyShadeTableBreak"/>
      </w:pPr>
      <w:bookmarkStart w:id="329" w:name="RANGE!D7:G19"/>
      <w:bookmarkStart w:id="330" w:name="RANGE!D7:H25"/>
      <w:bookmarkStart w:id="331" w:name="RANGE!D6:G48"/>
      <w:bookmarkStart w:id="332" w:name="RANGE!D6:H54"/>
      <w:bookmarkEnd w:id="329"/>
      <w:bookmarkEnd w:id="330"/>
      <w:bookmarkEnd w:id="331"/>
      <w:bookmarkEnd w:id="332"/>
    </w:p>
    <w:tbl>
      <w:tblPr>
        <w:tblW w:w="9090" w:type="dxa"/>
        <w:tblInd w:w="28" w:type="dxa"/>
        <w:shd w:val="clear" w:color="auto" w:fill="D9D9D9" w:themeFill="background1" w:themeFillShade="D9"/>
        <w:tblLayout w:type="fixed"/>
        <w:tblCellMar>
          <w:left w:w="57" w:type="dxa"/>
          <w:right w:w="57" w:type="dxa"/>
        </w:tblCellMar>
        <w:tblLook w:val="01E0" w:firstRow="1" w:lastRow="1" w:firstColumn="1" w:lastColumn="1" w:noHBand="0" w:noVBand="0"/>
      </w:tblPr>
      <w:tblGrid>
        <w:gridCol w:w="9090"/>
      </w:tblGrid>
      <w:tr w:rsidR="00B26C61" w:rsidTr="00EA3146">
        <w:trPr>
          <w:trHeight w:val="255"/>
        </w:trPr>
        <w:tc>
          <w:tcPr>
            <w:tcW w:w="9088" w:type="dxa"/>
            <w:shd w:val="clear" w:color="auto" w:fill="D9D9D9" w:themeFill="background1" w:themeFillShade="D9"/>
            <w:vAlign w:val="bottom"/>
            <w:hideMark/>
          </w:tcPr>
          <w:p w:rsidR="00B26C61" w:rsidRDefault="00B26C61" w:rsidP="00EA3146">
            <w:pPr>
              <w:pStyle w:val="NotesText0"/>
            </w:pPr>
            <w:r>
              <w:rPr>
                <w:sz w:val="22"/>
              </w:rPr>
              <w:br w:type="page"/>
            </w:r>
            <w:r>
              <w:t>The department retains 100 per cent ownership of the listed investment.  The principle activity of the department’s administered investment is as follows:</w:t>
            </w:r>
          </w:p>
          <w:p w:rsidR="00B26C61" w:rsidRDefault="00B26C61" w:rsidP="00EA3146">
            <w:pPr>
              <w:pStyle w:val="NotesText0"/>
            </w:pPr>
            <w:r>
              <w:rPr>
                <w:vertAlign w:val="superscript"/>
              </w:rPr>
              <w:t xml:space="preserve">1 </w:t>
            </w:r>
            <w:r>
              <w:rPr>
                <w:i/>
              </w:rPr>
              <w:t>Coal Mining Industry Corporation (</w:t>
            </w:r>
            <w:proofErr w:type="spellStart"/>
            <w:r>
              <w:rPr>
                <w:i/>
              </w:rPr>
              <w:t>CMIC</w:t>
            </w:r>
            <w:proofErr w:type="spellEnd"/>
            <w:r>
              <w:rPr>
                <w:i/>
              </w:rPr>
              <w:t>)</w:t>
            </w:r>
            <w:r>
              <w:t xml:space="preserve"> – the administration of the Coal Mining Industry Long Service Leave Fund (The Fund). The Fund has operated since 1949 to provide reimbursement payments to employers paying long service leave to persons employed in the black coal industry in New South Wales, Queensland, Western Australia and Tasmania on the basis of industry employment service. </w:t>
            </w:r>
          </w:p>
        </w:tc>
      </w:tr>
    </w:tbl>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r>
        <w:br w:type="page"/>
      </w:r>
    </w:p>
    <w:p w:rsidR="00B26C61" w:rsidRDefault="00B26C61" w:rsidP="00B26C61">
      <w:pPr>
        <w:pStyle w:val="NotesHeading-Level1GreyShade"/>
        <w:numPr>
          <w:ilvl w:val="0"/>
          <w:numId w:val="13"/>
        </w:numPr>
      </w:pPr>
      <w:bookmarkStart w:id="333" w:name="RANGE!D6:H27"/>
      <w:bookmarkStart w:id="334" w:name="_Toc398813163"/>
      <w:bookmarkEnd w:id="333"/>
      <w:r>
        <w:lastRenderedPageBreak/>
        <w:t>Administered - Non-Financial Assets</w:t>
      </w:r>
      <w:bookmarkEnd w:id="334"/>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bookmarkStart w:id="335" w:name="Note_ANFTABLE1" w:colFirst="0" w:colLast="0"/>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2014</w:t>
            </w:r>
          </w:p>
        </w:tc>
      </w:tr>
      <w:bookmarkEnd w:id="335"/>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21A</w:t>
            </w:r>
            <w:proofErr w:type="spellEnd"/>
            <w:r>
              <w:rPr>
                <w:rFonts w:cs="Calibri"/>
                <w:b/>
                <w:bCs/>
                <w:szCs w:val="18"/>
                <w:u w:val="single"/>
              </w:rPr>
              <w:t>: Other Non-Financial Assets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Prepayments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4,968</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other non-financial assets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4,968</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Total other non-financial assets expected to be recovered in</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4,968 </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other non-financial assets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4,968</w:t>
            </w:r>
          </w:p>
        </w:tc>
      </w:tr>
    </w:tbl>
    <w:p w:rsidR="00B26C61" w:rsidRDefault="00B26C61" w:rsidP="00B26C61">
      <w:pPr>
        <w:pStyle w:val="GreyShadeTableBreak"/>
      </w:pPr>
      <w:r>
        <w:t>No indicators of impairment were found for other non-financial assets.</w:t>
      </w:r>
    </w:p>
    <w:p w:rsidR="00B26C61" w:rsidRDefault="00B26C61" w:rsidP="00B26C61">
      <w:pPr>
        <w:pStyle w:val="GreyShadeTableBreak"/>
      </w:pPr>
    </w:p>
    <w:p w:rsidR="00B26C61" w:rsidRDefault="00B26C61" w:rsidP="00B26C61">
      <w:pPr>
        <w:pStyle w:val="NotesHeading-Level1GreyShade"/>
        <w:numPr>
          <w:ilvl w:val="0"/>
          <w:numId w:val="13"/>
        </w:numPr>
      </w:pPr>
      <w:bookmarkStart w:id="336" w:name="_Toc398813164"/>
      <w:r>
        <w:t>Administered - Payables</w:t>
      </w:r>
      <w:bookmarkEnd w:id="336"/>
    </w:p>
    <w:p w:rsidR="00B26C61" w:rsidRDefault="00B26C61" w:rsidP="00B26C61">
      <w:pPr>
        <w:pStyle w:val="GreyShadeTableBreak"/>
      </w:pPr>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337" w:name="Note_ASPTABLE1" w:colFirst="0" w:colLast="0"/>
            <w:r>
              <w:rPr>
                <w:rFonts w:cs="Calibri"/>
                <w:b/>
                <w:bCs/>
                <w:szCs w:val="18"/>
                <w:u w:val="single"/>
              </w:rPr>
              <w:t xml:space="preserve">Note </w:t>
            </w:r>
            <w:proofErr w:type="spellStart"/>
            <w:r>
              <w:rPr>
                <w:rFonts w:cs="Calibri"/>
                <w:b/>
                <w:bCs/>
                <w:szCs w:val="18"/>
                <w:u w:val="single"/>
              </w:rPr>
              <w:t>22A</w:t>
            </w:r>
            <w:proofErr w:type="spellEnd"/>
            <w:r>
              <w:rPr>
                <w:rFonts w:cs="Calibri"/>
                <w:b/>
                <w:bCs/>
                <w:szCs w:val="18"/>
                <w:u w:val="single"/>
              </w:rPr>
              <w:t>: Suppliers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337"/>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r>
              <w:rPr>
                <w:rFonts w:cs="Calibri"/>
                <w:szCs w:val="18"/>
              </w:rPr>
              <w:t>Trade creditors and accruals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21,641</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suppliers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21,641</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Suppliers expected to be settled</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21,641 </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suppliers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21,641</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Suppliers in connection with</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External parties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21,641 </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suppliers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21,641</w:t>
            </w:r>
          </w:p>
        </w:tc>
      </w:tr>
    </w:tbl>
    <w:p w:rsidR="00B26C61" w:rsidRDefault="00B26C61" w:rsidP="00B26C61">
      <w:pPr>
        <w:pStyle w:val="GreyShadeTableBreak"/>
      </w:pPr>
    </w:p>
    <w:tbl>
      <w:tblPr>
        <w:tblW w:w="9090" w:type="dxa"/>
        <w:tblInd w:w="80" w:type="dxa"/>
        <w:tblLayout w:type="fixed"/>
        <w:tblLook w:val="04A0" w:firstRow="1" w:lastRow="0" w:firstColumn="1" w:lastColumn="0" w:noHBand="0" w:noVBand="1"/>
      </w:tblPr>
      <w:tblGrid>
        <w:gridCol w:w="9090"/>
      </w:tblGrid>
      <w:tr w:rsidR="00B26C61" w:rsidTr="00EA3146">
        <w:trPr>
          <w:trHeight w:val="270"/>
        </w:trPr>
        <w:tc>
          <w:tcPr>
            <w:tcW w:w="9092" w:type="dxa"/>
            <w:tcBorders>
              <w:top w:val="single" w:sz="4" w:space="0" w:color="D8D8D8"/>
              <w:left w:val="nil"/>
              <w:bottom w:val="single" w:sz="24" w:space="0" w:color="D8D8D8"/>
              <w:right w:val="nil"/>
            </w:tcBorders>
            <w:shd w:val="clear" w:color="auto" w:fill="D8D8D8"/>
            <w:vAlign w:val="bottom"/>
            <w:hideMark/>
          </w:tcPr>
          <w:p w:rsidR="00B26C61" w:rsidRDefault="00B26C61" w:rsidP="00EA3146">
            <w:pPr>
              <w:pStyle w:val="AdminBlankGreyShade"/>
            </w:pPr>
            <w:r>
              <w:t>Settlement was made within 30 days.</w:t>
            </w:r>
          </w:p>
        </w:tc>
      </w:tr>
    </w:tbl>
    <w:p w:rsidR="00B26C61" w:rsidRDefault="00B26C61" w:rsidP="00B26C61">
      <w:pPr>
        <w:pStyle w:val="GreyShadeTableBreak"/>
      </w:pPr>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338" w:name="Note_AUPTABLE1" w:colFirst="0" w:colLast="0"/>
            <w:r>
              <w:rPr>
                <w:rFonts w:cs="Calibri"/>
                <w:b/>
                <w:bCs/>
                <w:szCs w:val="18"/>
                <w:u w:val="single"/>
              </w:rPr>
              <w:t xml:space="preserve">Note </w:t>
            </w:r>
            <w:proofErr w:type="spellStart"/>
            <w:r>
              <w:rPr>
                <w:rFonts w:cs="Calibri"/>
                <w:b/>
                <w:bCs/>
                <w:szCs w:val="18"/>
                <w:u w:val="single"/>
              </w:rPr>
              <w:t>22B</w:t>
            </w:r>
            <w:proofErr w:type="spellEnd"/>
            <w:r>
              <w:rPr>
                <w:rFonts w:cs="Calibri"/>
                <w:b/>
                <w:bCs/>
                <w:szCs w:val="18"/>
                <w:u w:val="single"/>
              </w:rPr>
              <w:t>: Subsidies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338"/>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Subsidies in connection with</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Related parties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13,207</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External parties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1,603 </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subsidies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14,810</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Subsidies expected to be settled</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14,810 </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subsidies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14,810</w:t>
            </w:r>
          </w:p>
        </w:tc>
      </w:tr>
    </w:tbl>
    <w:p w:rsidR="00B26C61" w:rsidRDefault="00B26C61" w:rsidP="00B26C61">
      <w:pPr>
        <w:spacing w:line="240" w:lineRule="auto"/>
      </w:pPr>
      <w:r>
        <w:br w:type="page"/>
      </w:r>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bookmarkStart w:id="339" w:name="Note_APPTABLE1" w:colFirst="0" w:colLast="0"/>
            <w:r>
              <w:rPr>
                <w:rFonts w:cs="Calibri"/>
                <w:sz w:val="16"/>
                <w:szCs w:val="16"/>
              </w:rPr>
              <w:lastRenderedPageBreak/>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2014</w:t>
            </w:r>
          </w:p>
        </w:tc>
      </w:tr>
      <w:bookmarkEnd w:id="339"/>
      <w:tr w:rsidR="00B26C61" w:rsidTr="00EA3146">
        <w:trPr>
          <w:trHeight w:val="240"/>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22C</w:t>
            </w:r>
            <w:proofErr w:type="spellEnd"/>
            <w:r>
              <w:rPr>
                <w:rFonts w:cs="Calibri"/>
                <w:b/>
                <w:bCs/>
                <w:szCs w:val="18"/>
                <w:u w:val="single"/>
              </w:rPr>
              <w:t>: Personal Benefits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 w:val="16"/>
                <w:szCs w:val="16"/>
              </w:rPr>
            </w:pPr>
            <w:r>
              <w:rPr>
                <w:rFonts w:cs="Calibri"/>
                <w:b/>
                <w:bCs/>
                <w:sz w:val="16"/>
                <w:szCs w:val="16"/>
              </w:rPr>
              <w:t>Direct</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Labour market assistance to job seekers and industry</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2,166</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 w:val="16"/>
                <w:szCs w:val="16"/>
              </w:rPr>
            </w:pPr>
            <w:r>
              <w:rPr>
                <w:rFonts w:cs="Calibri"/>
                <w:b/>
                <w:bCs/>
                <w:sz w:val="16"/>
                <w:szCs w:val="16"/>
              </w:rPr>
              <w:t>Indirect</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Industrial relations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7,275</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personal benefits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9,441</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Personal benefits expected to be settled</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9,441 </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personal benefits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9,441</w:t>
            </w:r>
          </w:p>
        </w:tc>
      </w:tr>
    </w:tbl>
    <w:p w:rsidR="00B26C61" w:rsidRDefault="00B26C61" w:rsidP="00B26C61">
      <w:pPr>
        <w:pStyle w:val="GreyShadeTableBreak"/>
      </w:pPr>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340" w:name="Note_AGPTABLE1" w:colFirst="0" w:colLast="0"/>
            <w:r>
              <w:rPr>
                <w:rFonts w:cs="Calibri"/>
                <w:b/>
                <w:bCs/>
                <w:szCs w:val="18"/>
                <w:u w:val="single"/>
              </w:rPr>
              <w:t xml:space="preserve">Note </w:t>
            </w:r>
            <w:proofErr w:type="spellStart"/>
            <w:r>
              <w:rPr>
                <w:rFonts w:cs="Calibri"/>
                <w:b/>
                <w:bCs/>
                <w:szCs w:val="18"/>
                <w:u w:val="single"/>
              </w:rPr>
              <w:t>22D</w:t>
            </w:r>
            <w:proofErr w:type="spellEnd"/>
            <w:r>
              <w:rPr>
                <w:rFonts w:cs="Calibri"/>
                <w:b/>
                <w:bCs/>
                <w:szCs w:val="18"/>
                <w:u w:val="single"/>
              </w:rPr>
              <w:t>: Grants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340"/>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Private sector</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Non-profit organisations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459</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grants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459</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Grants expected to be settled</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459 </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grants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459</w:t>
            </w:r>
          </w:p>
        </w:tc>
      </w:tr>
    </w:tbl>
    <w:p w:rsidR="00B26C61" w:rsidRDefault="00B26C61" w:rsidP="00B26C61">
      <w:pPr>
        <w:pStyle w:val="GreyShadeTableBreak"/>
      </w:pPr>
    </w:p>
    <w:tbl>
      <w:tblPr>
        <w:tblW w:w="9090" w:type="dxa"/>
        <w:tblInd w:w="80" w:type="dxa"/>
        <w:tblLayout w:type="fixed"/>
        <w:tblLook w:val="04A0" w:firstRow="1" w:lastRow="0" w:firstColumn="1" w:lastColumn="0" w:noHBand="0" w:noVBand="1"/>
      </w:tblPr>
      <w:tblGrid>
        <w:gridCol w:w="9090"/>
      </w:tblGrid>
      <w:tr w:rsidR="00B26C61" w:rsidTr="00EA3146">
        <w:trPr>
          <w:trHeight w:val="270"/>
        </w:trPr>
        <w:tc>
          <w:tcPr>
            <w:tcW w:w="9092" w:type="dxa"/>
            <w:tcBorders>
              <w:top w:val="single" w:sz="4" w:space="0" w:color="D8D8D8"/>
              <w:left w:val="nil"/>
              <w:bottom w:val="single" w:sz="24" w:space="0" w:color="D8D8D8"/>
              <w:right w:val="nil"/>
            </w:tcBorders>
            <w:shd w:val="clear" w:color="auto" w:fill="D8D8D8"/>
            <w:vAlign w:val="bottom"/>
            <w:hideMark/>
          </w:tcPr>
          <w:p w:rsidR="00B26C61" w:rsidRDefault="00B26C61" w:rsidP="00EA3146">
            <w:pPr>
              <w:pStyle w:val="AdminBlankGreyShade"/>
            </w:pPr>
            <w:r>
              <w:t>Settlement is made according to the terms and conditions of each grant.  This is usually within 30 days of performance or eligibility.</w:t>
            </w:r>
          </w:p>
        </w:tc>
      </w:tr>
    </w:tbl>
    <w:p w:rsidR="00B26C61" w:rsidRDefault="00B26C61" w:rsidP="00B26C61">
      <w:pPr>
        <w:pStyle w:val="GreyShadeTableBreak"/>
      </w:pPr>
    </w:p>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341" w:name="RANGE!D7:D16"/>
            <w:bookmarkStart w:id="342" w:name="Note_AOPTABLE1" w:colFirst="0" w:colLast="0"/>
            <w:r>
              <w:rPr>
                <w:rFonts w:cs="Calibri"/>
                <w:b/>
                <w:bCs/>
                <w:szCs w:val="18"/>
                <w:u w:val="single"/>
              </w:rPr>
              <w:t xml:space="preserve">Note </w:t>
            </w:r>
            <w:proofErr w:type="spellStart"/>
            <w:r>
              <w:rPr>
                <w:rFonts w:cs="Calibri"/>
                <w:b/>
                <w:bCs/>
                <w:szCs w:val="18"/>
                <w:u w:val="single"/>
              </w:rPr>
              <w:t>22E</w:t>
            </w:r>
            <w:proofErr w:type="spellEnd"/>
            <w:r>
              <w:rPr>
                <w:rFonts w:cs="Calibri"/>
                <w:b/>
                <w:bCs/>
                <w:szCs w:val="18"/>
                <w:u w:val="single"/>
              </w:rPr>
              <w:t>: Other Payables</w:t>
            </w:r>
            <w:bookmarkEnd w:id="341"/>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342"/>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8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proofErr w:type="spellStart"/>
            <w:r>
              <w:rPr>
                <w:rFonts w:cs="Calibri"/>
                <w:szCs w:val="18"/>
              </w:rPr>
              <w:t>Comcare</w:t>
            </w:r>
            <w:proofErr w:type="spellEnd"/>
            <w:r>
              <w:rPr>
                <w:rFonts w:cs="Calibri"/>
                <w:szCs w:val="18"/>
              </w:rPr>
              <w:t xml:space="preserve"> </w:t>
            </w:r>
            <w:proofErr w:type="spellStart"/>
            <w:r>
              <w:rPr>
                <w:rFonts w:cs="Calibri"/>
                <w:szCs w:val="18"/>
              </w:rPr>
              <w:t>payable</w:t>
            </w:r>
            <w:r>
              <w:rPr>
                <w:rFonts w:cs="Calibri"/>
                <w:szCs w:val="18"/>
                <w:vertAlign w:val="superscript"/>
              </w:rPr>
              <w:t>1</w:t>
            </w:r>
            <w:proofErr w:type="spellEnd"/>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2,769,241</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szCs w:val="18"/>
              </w:rPr>
            </w:pPr>
            <w:r>
              <w:rPr>
                <w:rFonts w:cs="Calibri"/>
                <w:szCs w:val="18"/>
              </w:rPr>
              <w:t>GST payable</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14,762</w:t>
            </w:r>
          </w:p>
        </w:tc>
      </w:tr>
      <w:tr w:rsidR="00B26C61" w:rsidTr="00EA3146">
        <w:trPr>
          <w:trHeight w:val="270"/>
        </w:trPr>
        <w:tc>
          <w:tcPr>
            <w:tcW w:w="63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other payables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2,784,003</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Other payables expected to be settled</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 more than 12 months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14,762 </w:t>
            </w:r>
          </w:p>
        </w:tc>
      </w:tr>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More than 12 months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2,769,241 </w:t>
            </w:r>
          </w:p>
        </w:tc>
      </w:tr>
      <w:tr w:rsidR="00B26C61" w:rsidTr="00EA3146">
        <w:trPr>
          <w:trHeight w:val="270"/>
        </w:trPr>
        <w:tc>
          <w:tcPr>
            <w:tcW w:w="639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other payables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2,784,003</w:t>
            </w:r>
          </w:p>
        </w:tc>
      </w:tr>
    </w:tbl>
    <w:p w:rsidR="00B26C61" w:rsidRDefault="00B26C61" w:rsidP="00B26C61">
      <w:pPr>
        <w:pStyle w:val="GreyShadeTableBreak"/>
      </w:pPr>
    </w:p>
    <w:tbl>
      <w:tblPr>
        <w:tblW w:w="9090" w:type="dxa"/>
        <w:tblInd w:w="28" w:type="dxa"/>
        <w:tblLayout w:type="fixed"/>
        <w:tblCellMar>
          <w:left w:w="57" w:type="dxa"/>
          <w:right w:w="57" w:type="dxa"/>
        </w:tblCellMar>
        <w:tblLook w:val="01E0" w:firstRow="1" w:lastRow="1" w:firstColumn="1" w:lastColumn="1" w:noHBand="0" w:noVBand="0"/>
      </w:tblPr>
      <w:tblGrid>
        <w:gridCol w:w="9090"/>
      </w:tblGrid>
      <w:tr w:rsidR="00B26C61" w:rsidTr="00EA3146">
        <w:trPr>
          <w:trHeight w:val="255"/>
        </w:trPr>
        <w:tc>
          <w:tcPr>
            <w:tcW w:w="9089" w:type="dxa"/>
            <w:shd w:val="clear" w:color="auto" w:fill="D9D9D9" w:themeFill="background1" w:themeFillShade="D9"/>
            <w:hideMark/>
          </w:tcPr>
          <w:p w:rsidR="00B26C61" w:rsidRDefault="00B26C61" w:rsidP="00EA3146">
            <w:pPr>
              <w:pStyle w:val="ReferenceText"/>
            </w:pPr>
            <w:r>
              <w:rPr>
                <w:szCs w:val="18"/>
                <w:vertAlign w:val="superscript"/>
              </w:rPr>
              <w:t>1</w:t>
            </w:r>
            <w:r>
              <w:t xml:space="preserve"> The amount payable to </w:t>
            </w:r>
            <w:proofErr w:type="spellStart"/>
            <w:r>
              <w:t>Comcare</w:t>
            </w:r>
            <w:proofErr w:type="spellEnd"/>
            <w:r>
              <w:t xml:space="preserve"> represents amounts payable by the Commonwealth for:</w:t>
            </w:r>
          </w:p>
          <w:p w:rsidR="00B26C61" w:rsidRDefault="00B26C61" w:rsidP="00B26C61">
            <w:pPr>
              <w:pStyle w:val="ReferenceText"/>
              <w:numPr>
                <w:ilvl w:val="0"/>
                <w:numId w:val="19"/>
              </w:numPr>
            </w:pPr>
            <w:r>
              <w:t>workers compensation claims resulting from injuries that occurred prior to 1 July 1989, referred to as ‘pre-premium’ claims;</w:t>
            </w:r>
          </w:p>
          <w:p w:rsidR="00B26C61" w:rsidRDefault="00B26C61" w:rsidP="00B26C61">
            <w:pPr>
              <w:pStyle w:val="ReferenceText"/>
              <w:numPr>
                <w:ilvl w:val="0"/>
                <w:numId w:val="19"/>
              </w:numPr>
            </w:pPr>
            <w:r>
              <w:t>workers compensation claims resulting from injuries that have occurred since 1 July 1989, referred to as ‘premium’ claims; and</w:t>
            </w:r>
          </w:p>
          <w:p w:rsidR="00B26C61" w:rsidRDefault="00B26C61" w:rsidP="00B26C61">
            <w:pPr>
              <w:pStyle w:val="ReferenceText"/>
              <w:numPr>
                <w:ilvl w:val="0"/>
                <w:numId w:val="19"/>
              </w:numPr>
            </w:pPr>
            <w:proofErr w:type="gramStart"/>
            <w:r>
              <w:t>the</w:t>
            </w:r>
            <w:proofErr w:type="gramEnd"/>
            <w:r>
              <w:t xml:space="preserve"> management of asbestos related personal injury common law disease claims against the Commonwealth.</w:t>
            </w:r>
          </w:p>
          <w:p w:rsidR="00B26C61" w:rsidRDefault="00B26C61" w:rsidP="00EA3146">
            <w:pPr>
              <w:pStyle w:val="ReferenceText"/>
            </w:pPr>
            <w:r>
              <w:t xml:space="preserve">Full details of the amounts payable may be found in the </w:t>
            </w:r>
            <w:proofErr w:type="spellStart"/>
            <w:r>
              <w:t>Comcare</w:t>
            </w:r>
            <w:proofErr w:type="spellEnd"/>
            <w:r>
              <w:t xml:space="preserve"> annual report.</w:t>
            </w:r>
          </w:p>
        </w:tc>
      </w:tr>
    </w:tbl>
    <w:p w:rsidR="00B26C61" w:rsidRDefault="00B26C61" w:rsidP="00B26C61">
      <w:pPr>
        <w:spacing w:line="240" w:lineRule="auto"/>
        <w:sectPr w:rsidR="00B26C61">
          <w:pgSz w:w="11906" w:h="16838"/>
          <w:pgMar w:top="1134" w:right="1134" w:bottom="1134" w:left="1134" w:header="958" w:footer="737" w:gutter="0"/>
          <w:cols w:space="720"/>
        </w:sectPr>
      </w:pPr>
      <w:bookmarkStart w:id="343" w:name="RANGE!D7:H14"/>
      <w:bookmarkStart w:id="344" w:name="RANGE!D7:H15"/>
      <w:bookmarkEnd w:id="343"/>
      <w:bookmarkEnd w:id="344"/>
    </w:p>
    <w:p w:rsidR="00B26C61" w:rsidRDefault="00B26C61" w:rsidP="00B26C61">
      <w:pPr>
        <w:pStyle w:val="NotesHeading-Level1GreyShade"/>
        <w:numPr>
          <w:ilvl w:val="0"/>
          <w:numId w:val="13"/>
        </w:numPr>
      </w:pPr>
      <w:bookmarkStart w:id="345" w:name="_Toc398813165"/>
      <w:r>
        <w:lastRenderedPageBreak/>
        <w:t>Administered - Cash Flow Reconciliation</w:t>
      </w:r>
      <w:bookmarkEnd w:id="345"/>
      <w:r>
        <w:t xml:space="preserve"> </w:t>
      </w:r>
    </w:p>
    <w:tbl>
      <w:tblPr>
        <w:tblW w:w="9087" w:type="dxa"/>
        <w:tblInd w:w="80" w:type="dxa"/>
        <w:tblLayout w:type="fixed"/>
        <w:tblLook w:val="04A0" w:firstRow="1" w:lastRow="0" w:firstColumn="1" w:lastColumn="0" w:noHBand="0" w:noVBand="1"/>
      </w:tblPr>
      <w:tblGrid>
        <w:gridCol w:w="7509"/>
        <w:gridCol w:w="1578"/>
      </w:tblGrid>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bookmarkStart w:id="346" w:name="Note_AFRTABLE1" w:colFirst="0" w:colLast="0"/>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2014</w:t>
            </w:r>
          </w:p>
        </w:tc>
      </w:tr>
      <w:bookmarkEnd w:id="346"/>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480"/>
        </w:trPr>
        <w:tc>
          <w:tcPr>
            <w:tcW w:w="597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Reconciliation of cash and cash equivalents as per Administered Schedule of Assets and Liabilities to Administered Cash Flow Statement</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97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Cash and cash equivalents as per:</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Schedule of Administered Cash Flows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Schedule of Administered Assets and Liabilities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70"/>
        </w:trPr>
        <w:tc>
          <w:tcPr>
            <w:tcW w:w="597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Discrepancy</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70"/>
        </w:trPr>
        <w:tc>
          <w:tcPr>
            <w:tcW w:w="597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7232" w:type="dxa"/>
            <w:gridSpan w:val="2"/>
            <w:tcBorders>
              <w:top w:val="single" w:sz="4" w:space="0" w:color="D9D9D9"/>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Reconciliation of net cost of services to net cash from / (used by) operating activities</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Net cost of services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(1,592,635)</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97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Adjustments for non-cash items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Net write down of non-financial assets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203 </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Reversals of previous asset write-downs and impairments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(155)</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97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Movements in assets / liabilities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97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Assets</w:t>
            </w:r>
          </w:p>
        </w:tc>
        <w:tc>
          <w:tcPr>
            <w:tcW w:w="125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(Increase) / decrease in net receivables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(6,225)</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(Increase) / decrease in other non-financial assets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(2,639)</w:t>
            </w:r>
          </w:p>
        </w:tc>
      </w:tr>
      <w:tr w:rsidR="00B26C61" w:rsidTr="00EA3146">
        <w:trPr>
          <w:trHeight w:val="255"/>
        </w:trPr>
        <w:tc>
          <w:tcPr>
            <w:tcW w:w="597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Liabilities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Increase / (decrease) in supplier payables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(2,201)</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Increase / (decrease) in subsidies payable</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6,785 </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Increase / (decrease) in personal benefits payable</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7,164 </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Increase / (decrease) in other payables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(18,922)</w:t>
            </w:r>
          </w:p>
        </w:tc>
      </w:tr>
      <w:tr w:rsidR="00B26C61" w:rsidTr="00EA3146">
        <w:trPr>
          <w:trHeight w:val="255"/>
        </w:trPr>
        <w:tc>
          <w:tcPr>
            <w:tcW w:w="597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Increase / (decrease) in grants payable</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459 </w:t>
            </w:r>
          </w:p>
        </w:tc>
      </w:tr>
      <w:tr w:rsidR="00B26C61" w:rsidTr="00EA3146">
        <w:trPr>
          <w:trHeight w:val="270"/>
        </w:trPr>
        <w:tc>
          <w:tcPr>
            <w:tcW w:w="597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Net cash used by operating activities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(1,608,166)</w:t>
            </w:r>
          </w:p>
        </w:tc>
      </w:tr>
    </w:tbl>
    <w:p w:rsidR="00B26C61" w:rsidRDefault="00B26C61" w:rsidP="00B26C61">
      <w:pPr>
        <w:spacing w:line="240" w:lineRule="auto"/>
        <w:sectPr w:rsidR="00B26C61">
          <w:pgSz w:w="11906" w:h="16838"/>
          <w:pgMar w:top="1134" w:right="1134" w:bottom="1134" w:left="1134" w:header="958" w:footer="737" w:gutter="0"/>
          <w:cols w:space="720"/>
        </w:sectPr>
      </w:pPr>
      <w:bookmarkStart w:id="347" w:name="RANGE!E7:H36"/>
      <w:bookmarkStart w:id="348" w:name="RANGE!E7:H35"/>
      <w:bookmarkEnd w:id="347"/>
      <w:bookmarkEnd w:id="348"/>
    </w:p>
    <w:p w:rsidR="00B26C61" w:rsidRDefault="00B26C61" w:rsidP="00B26C61">
      <w:pPr>
        <w:pStyle w:val="NotesHeading-Level1GreyShade"/>
        <w:numPr>
          <w:ilvl w:val="0"/>
          <w:numId w:val="13"/>
        </w:numPr>
      </w:pPr>
      <w:bookmarkStart w:id="349" w:name="RANGE!E7:H34"/>
      <w:bookmarkStart w:id="350" w:name="RANGE!E7:H33"/>
      <w:bookmarkStart w:id="351" w:name="RANGE!E7:H32"/>
      <w:bookmarkStart w:id="352" w:name="RANGE!E6:H31"/>
      <w:bookmarkStart w:id="353" w:name="RANGE!E6:H36"/>
      <w:bookmarkStart w:id="354" w:name="RANGE!E6:H37"/>
      <w:bookmarkStart w:id="355" w:name="_Ref317489659"/>
      <w:bookmarkStart w:id="356" w:name="_Toc398813166"/>
      <w:bookmarkEnd w:id="349"/>
      <w:bookmarkEnd w:id="350"/>
      <w:bookmarkEnd w:id="351"/>
      <w:bookmarkEnd w:id="352"/>
      <w:bookmarkEnd w:id="353"/>
      <w:bookmarkEnd w:id="354"/>
      <w:r>
        <w:lastRenderedPageBreak/>
        <w:t>Administered - Contingent Assets and Liabilities</w:t>
      </w:r>
      <w:bookmarkEnd w:id="355"/>
      <w:bookmarkEnd w:id="356"/>
    </w:p>
    <w:tbl>
      <w:tblPr>
        <w:tblW w:w="9087" w:type="dxa"/>
        <w:tblInd w:w="80" w:type="dxa"/>
        <w:tblLayout w:type="fixed"/>
        <w:tblLook w:val="04A0" w:firstRow="1" w:lastRow="0" w:firstColumn="1" w:lastColumn="0" w:noHBand="0" w:noVBand="1"/>
      </w:tblPr>
      <w:tblGrid>
        <w:gridCol w:w="3749"/>
        <w:gridCol w:w="1992"/>
        <w:gridCol w:w="1673"/>
        <w:gridCol w:w="1673"/>
      </w:tblGrid>
      <w:tr w:rsidR="00B26C61" w:rsidTr="00EA3146">
        <w:trPr>
          <w:trHeight w:val="735"/>
        </w:trPr>
        <w:tc>
          <w:tcPr>
            <w:tcW w:w="281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bookmarkStart w:id="357" w:name="Note_ACLTABLE1" w:colFirst="0" w:colLast="0"/>
            <w:r>
              <w:rPr>
                <w:rFonts w:ascii="Arial" w:hAnsi="Arial" w:cs="Arial"/>
                <w:sz w:val="16"/>
                <w:szCs w:val="16"/>
              </w:rPr>
              <w:t> </w:t>
            </w:r>
          </w:p>
        </w:tc>
        <w:tc>
          <w:tcPr>
            <w:tcW w:w="14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Claims for damages or costs</w:t>
            </w:r>
          </w:p>
        </w:tc>
        <w:tc>
          <w:tcPr>
            <w:tcW w:w="1256"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Total</w:t>
            </w:r>
          </w:p>
        </w:tc>
      </w:tr>
      <w:bookmarkEnd w:id="357"/>
      <w:tr w:rsidR="00B26C61" w:rsidTr="00EA3146">
        <w:trPr>
          <w:trHeight w:val="255"/>
        </w:trPr>
        <w:tc>
          <w:tcPr>
            <w:tcW w:w="281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49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2014</w:t>
            </w:r>
          </w:p>
        </w:tc>
        <w:tc>
          <w:tcPr>
            <w:tcW w:w="1256"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55"/>
        </w:trPr>
        <w:tc>
          <w:tcPr>
            <w:tcW w:w="281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49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256"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281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Contingent assets</w:t>
            </w:r>
          </w:p>
        </w:tc>
        <w:tc>
          <w:tcPr>
            <w:tcW w:w="149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281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Balance as at 19 September 2013</w:t>
            </w:r>
          </w:p>
        </w:tc>
        <w:tc>
          <w:tcPr>
            <w:tcW w:w="149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szCs w:val="18"/>
              </w:rPr>
            </w:pPr>
            <w:r>
              <w:rPr>
                <w:rFonts w:cs="Calibri"/>
                <w:szCs w:val="18"/>
              </w:rPr>
              <w:t xml:space="preserve">20,172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20,172</w:t>
            </w:r>
          </w:p>
        </w:tc>
      </w:tr>
      <w:tr w:rsidR="00B26C61" w:rsidTr="00EA3146">
        <w:trPr>
          <w:trHeight w:val="255"/>
        </w:trPr>
        <w:tc>
          <w:tcPr>
            <w:tcW w:w="281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New contingent assets recognised</w:t>
            </w:r>
          </w:p>
        </w:tc>
        <w:tc>
          <w:tcPr>
            <w:tcW w:w="149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szCs w:val="18"/>
              </w:rPr>
            </w:pPr>
            <w:r>
              <w:rPr>
                <w:rFonts w:cs="Calibri"/>
                <w:szCs w:val="18"/>
              </w:rPr>
              <w:t xml:space="preserve">2,615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2,615</w:t>
            </w:r>
          </w:p>
        </w:tc>
      </w:tr>
      <w:tr w:rsidR="00B26C61" w:rsidTr="00EA3146">
        <w:trPr>
          <w:trHeight w:val="255"/>
        </w:trPr>
        <w:tc>
          <w:tcPr>
            <w:tcW w:w="281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Re-measurement</w:t>
            </w:r>
          </w:p>
        </w:tc>
        <w:tc>
          <w:tcPr>
            <w:tcW w:w="149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szCs w:val="18"/>
              </w:rPr>
            </w:pPr>
            <w:r>
              <w:rPr>
                <w:rFonts w:cs="Calibri"/>
                <w:szCs w:val="18"/>
              </w:rPr>
              <w:t xml:space="preserve">19,049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19,049</w:t>
            </w:r>
          </w:p>
        </w:tc>
      </w:tr>
      <w:tr w:rsidR="00B26C61" w:rsidTr="00EA3146">
        <w:trPr>
          <w:trHeight w:val="255"/>
        </w:trPr>
        <w:tc>
          <w:tcPr>
            <w:tcW w:w="281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Assets realised</w:t>
            </w:r>
          </w:p>
        </w:tc>
        <w:tc>
          <w:tcPr>
            <w:tcW w:w="149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szCs w:val="18"/>
              </w:rPr>
            </w:pPr>
            <w:r>
              <w:rPr>
                <w:rFonts w:cs="Calibri"/>
                <w:szCs w:val="18"/>
              </w:rPr>
              <w:t>(19,112)</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(19,112)</w:t>
            </w:r>
          </w:p>
        </w:tc>
      </w:tr>
      <w:tr w:rsidR="00B26C61" w:rsidTr="00EA3146">
        <w:trPr>
          <w:trHeight w:val="255"/>
        </w:trPr>
        <w:tc>
          <w:tcPr>
            <w:tcW w:w="281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Total contingent assets</w:t>
            </w:r>
          </w:p>
        </w:tc>
        <w:tc>
          <w:tcPr>
            <w:tcW w:w="1496" w:type="dxa"/>
            <w:tcBorders>
              <w:top w:val="nil"/>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szCs w:val="18"/>
              </w:rPr>
            </w:pPr>
            <w:r>
              <w:rPr>
                <w:rFonts w:cs="Calibri"/>
                <w:szCs w:val="18"/>
              </w:rPr>
              <w:t>22,724</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22,724</w:t>
            </w:r>
          </w:p>
        </w:tc>
      </w:tr>
      <w:tr w:rsidR="00B26C61" w:rsidTr="00EA3146">
        <w:trPr>
          <w:trHeight w:val="255"/>
        </w:trPr>
        <w:tc>
          <w:tcPr>
            <w:tcW w:w="281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49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281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Contingent liabilities</w:t>
            </w:r>
          </w:p>
        </w:tc>
        <w:tc>
          <w:tcPr>
            <w:tcW w:w="149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281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Balance as at 19 September 2013</w:t>
            </w:r>
          </w:p>
        </w:tc>
        <w:tc>
          <w:tcPr>
            <w:tcW w:w="149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szCs w:val="18"/>
              </w:rPr>
            </w:pPr>
            <w:r>
              <w:rPr>
                <w:rFonts w:cs="Calibri"/>
                <w:szCs w:val="18"/>
              </w:rPr>
              <w:t xml:space="preserve">90,126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90,126</w:t>
            </w:r>
          </w:p>
        </w:tc>
      </w:tr>
      <w:tr w:rsidR="00B26C61" w:rsidTr="00EA3146">
        <w:trPr>
          <w:trHeight w:val="255"/>
        </w:trPr>
        <w:tc>
          <w:tcPr>
            <w:tcW w:w="281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Re-measurement</w:t>
            </w:r>
          </w:p>
        </w:tc>
        <w:tc>
          <w:tcPr>
            <w:tcW w:w="1496"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szCs w:val="18"/>
              </w:rPr>
            </w:pPr>
            <w:r>
              <w:rPr>
                <w:rFonts w:cs="Calibri"/>
                <w:szCs w:val="18"/>
              </w:rPr>
              <w:t xml:space="preserve">24,343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24,343</w:t>
            </w:r>
          </w:p>
        </w:tc>
      </w:tr>
      <w:tr w:rsidR="00B26C61" w:rsidTr="00EA3146">
        <w:trPr>
          <w:trHeight w:val="255"/>
        </w:trPr>
        <w:tc>
          <w:tcPr>
            <w:tcW w:w="281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Total contingent liabilities</w:t>
            </w:r>
          </w:p>
        </w:tc>
        <w:tc>
          <w:tcPr>
            <w:tcW w:w="1496" w:type="dxa"/>
            <w:tcBorders>
              <w:top w:val="nil"/>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szCs w:val="18"/>
              </w:rPr>
            </w:pPr>
            <w:r>
              <w:rPr>
                <w:rFonts w:cs="Calibri"/>
                <w:szCs w:val="18"/>
              </w:rPr>
              <w:t>114,469</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114,469</w:t>
            </w:r>
          </w:p>
        </w:tc>
      </w:tr>
      <w:tr w:rsidR="00B26C61" w:rsidTr="00EA3146">
        <w:trPr>
          <w:trHeight w:val="255"/>
        </w:trPr>
        <w:tc>
          <w:tcPr>
            <w:tcW w:w="281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Net contingent assets / (liabilities)</w:t>
            </w:r>
          </w:p>
        </w:tc>
        <w:tc>
          <w:tcPr>
            <w:tcW w:w="1496" w:type="dxa"/>
            <w:tcBorders>
              <w:top w:val="nil"/>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5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szCs w:val="18"/>
              </w:rPr>
            </w:pPr>
            <w:r>
              <w:rPr>
                <w:rFonts w:cs="Calibri"/>
                <w:szCs w:val="18"/>
              </w:rPr>
              <w:t>(91,745)</w:t>
            </w:r>
          </w:p>
        </w:tc>
        <w:tc>
          <w:tcPr>
            <w:tcW w:w="125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(91,745)</w:t>
            </w:r>
          </w:p>
        </w:tc>
      </w:tr>
      <w:tr w:rsidR="00B26C61" w:rsidTr="00EA3146">
        <w:trPr>
          <w:trHeight w:val="255"/>
        </w:trPr>
        <w:tc>
          <w:tcPr>
            <w:tcW w:w="2816"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496" w:type="dxa"/>
            <w:tcBorders>
              <w:top w:val="nil"/>
              <w:left w:val="nil"/>
              <w:bottom w:val="nil"/>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bl>
    <w:p w:rsidR="00B26C61" w:rsidRDefault="00B26C61" w:rsidP="00B26C61">
      <w:pPr>
        <w:pStyle w:val="GreyShadeTableBreak"/>
      </w:pPr>
      <w:bookmarkStart w:id="358" w:name="RANGE!D7:J26"/>
      <w:bookmarkEnd w:id="358"/>
    </w:p>
    <w:tbl>
      <w:tblPr>
        <w:tblW w:w="9090" w:type="dxa"/>
        <w:tblInd w:w="28" w:type="dxa"/>
        <w:tblLayout w:type="fixed"/>
        <w:tblCellMar>
          <w:left w:w="57" w:type="dxa"/>
          <w:right w:w="57" w:type="dxa"/>
        </w:tblCellMar>
        <w:tblLook w:val="01E0" w:firstRow="1" w:lastRow="1" w:firstColumn="1" w:lastColumn="1" w:noHBand="0" w:noVBand="0"/>
      </w:tblPr>
      <w:tblGrid>
        <w:gridCol w:w="9090"/>
      </w:tblGrid>
      <w:tr w:rsidR="00B26C61" w:rsidTr="00EA3146">
        <w:trPr>
          <w:trHeight w:val="255"/>
        </w:trPr>
        <w:tc>
          <w:tcPr>
            <w:tcW w:w="9090" w:type="dxa"/>
            <w:shd w:val="clear" w:color="auto" w:fill="D9D9D9" w:themeFill="background1" w:themeFillShade="D9"/>
            <w:hideMark/>
          </w:tcPr>
          <w:p w:rsidR="00B26C61" w:rsidRPr="007F44AD" w:rsidRDefault="00B26C61" w:rsidP="00EA3146">
            <w:pPr>
              <w:pStyle w:val="StyleNotesTextItalic1"/>
              <w:rPr>
                <w:u w:val="single"/>
              </w:rPr>
            </w:pPr>
            <w:r w:rsidRPr="007F44AD">
              <w:rPr>
                <w:u w:val="single"/>
              </w:rPr>
              <w:t xml:space="preserve">Quantifiable Contingencies </w:t>
            </w:r>
          </w:p>
          <w:p w:rsidR="00B26C61" w:rsidRDefault="00B26C61" w:rsidP="00EA3146">
            <w:pPr>
              <w:pStyle w:val="StyleNotesTextPatternClearGray-20"/>
            </w:pPr>
            <w:r>
              <w:t>The Schedule of Administered Contingencies reports contingent assets and liabilities in respect of estimated payments and recoveries in relation to dividends for General Employee Entitlements and Redundancy Scheme (GEERS), the Fair Entitlements Guarantee (</w:t>
            </w:r>
            <w:proofErr w:type="spellStart"/>
            <w:r>
              <w:t>FEG</w:t>
            </w:r>
            <w:proofErr w:type="spellEnd"/>
            <w:r>
              <w:t>), and proceedings in the Dust Disease Tribunal as a result of the department’s administration in prior years.  The estimated contingent liability is $114.469 million.  The estimated contingent asset is $22.724 million.</w:t>
            </w:r>
          </w:p>
          <w:p w:rsidR="00B26C61" w:rsidRPr="007F44AD" w:rsidRDefault="00B26C61" w:rsidP="00EA3146">
            <w:pPr>
              <w:pStyle w:val="StyleNotesTextItalic1"/>
              <w:rPr>
                <w:u w:val="single"/>
              </w:rPr>
            </w:pPr>
            <w:r w:rsidRPr="007F44AD">
              <w:rPr>
                <w:u w:val="single"/>
              </w:rPr>
              <w:t xml:space="preserve">Unquantifiable Contingencies </w:t>
            </w:r>
          </w:p>
          <w:p w:rsidR="00B26C61" w:rsidRDefault="00B26C61" w:rsidP="00EA3146">
            <w:pPr>
              <w:pStyle w:val="StyleNotesTextPatternClearGray-20"/>
            </w:pPr>
            <w:r>
              <w:t xml:space="preserve">At </w:t>
            </w:r>
            <w:fldSimple w:instr=" DOCPROPERTY  pEnd  \* MERGEFORMAT ">
              <w:r>
                <w:t>30 June</w:t>
              </w:r>
            </w:fldSimple>
            <w:r>
              <w:t xml:space="preserve"> </w:t>
            </w:r>
            <w:fldSimple w:instr=" DOCPROPERTY  crYear  \* MERGEFORMAT ">
              <w:r>
                <w:t>2014</w:t>
              </w:r>
            </w:fldSimple>
            <w:r>
              <w:t>, the department had a number of legal claims against it. The department has denied liability and is defending the claims. It is not possible to estimate the amounts of any eventual payment</w:t>
            </w:r>
            <w:r>
              <w:rPr>
                <w:color w:val="0000FF"/>
              </w:rPr>
              <w:t xml:space="preserve"> </w:t>
            </w:r>
            <w:r>
              <w:t>that may be required in relation to these claims.</w:t>
            </w:r>
          </w:p>
          <w:p w:rsidR="00B26C61" w:rsidRDefault="00B26C61" w:rsidP="00EA3146">
            <w:pPr>
              <w:pStyle w:val="StyleNotesTextPatternClearGray-20"/>
            </w:pPr>
            <w:r>
              <w:t xml:space="preserve">Relating to GEERS and </w:t>
            </w:r>
            <w:proofErr w:type="spellStart"/>
            <w:r>
              <w:t>FEG</w:t>
            </w:r>
            <w:proofErr w:type="spellEnd"/>
            <w:r>
              <w:t>, it is known that there are employers with large outstanding employee entitlements that have been placed into liquidation. The amounts are unable to be quantified as no claim forms have been received.</w:t>
            </w:r>
          </w:p>
          <w:p w:rsidR="00B26C61" w:rsidRPr="007F44AD" w:rsidRDefault="00B26C61" w:rsidP="00EA3146">
            <w:pPr>
              <w:pStyle w:val="StyleNotesTextItalic1"/>
              <w:rPr>
                <w:u w:val="single"/>
              </w:rPr>
            </w:pPr>
            <w:r w:rsidRPr="007F44AD">
              <w:rPr>
                <w:u w:val="single"/>
              </w:rPr>
              <w:t>Significant Remote Contingencies</w:t>
            </w:r>
          </w:p>
          <w:p w:rsidR="00B26C61" w:rsidRDefault="00B26C61" w:rsidP="00EA3146">
            <w:pPr>
              <w:pStyle w:val="ReferenceText"/>
            </w:pPr>
            <w:r w:rsidRPr="002D4C31">
              <w:rPr>
                <w:rFonts w:ascii="Calibri" w:hAnsi="Calibri" w:cs="Times New Roman"/>
                <w:sz w:val="20"/>
              </w:rPr>
              <w:t xml:space="preserve">The value of contingent assets where the likelihood of receipt is remote is nil. The value of contingent liabilities where the likelihood of payment is remote is $225.57 million.  The majority of the contingent liability represents residual credits from the Job Services - Employment Pathway Fund.  These are not included in the </w:t>
            </w:r>
            <w:r>
              <w:rPr>
                <w:rFonts w:ascii="Calibri" w:hAnsi="Calibri" w:cs="Times New Roman"/>
                <w:sz w:val="20"/>
              </w:rPr>
              <w:t>S</w:t>
            </w:r>
            <w:r w:rsidRPr="002D4C31">
              <w:rPr>
                <w:rFonts w:ascii="Calibri" w:hAnsi="Calibri" w:cs="Times New Roman"/>
                <w:sz w:val="20"/>
              </w:rPr>
              <w:t xml:space="preserve">chedule of </w:t>
            </w:r>
            <w:r>
              <w:rPr>
                <w:rFonts w:ascii="Calibri" w:hAnsi="Calibri" w:cs="Times New Roman"/>
                <w:sz w:val="20"/>
              </w:rPr>
              <w:t>A</w:t>
            </w:r>
            <w:r w:rsidRPr="002D4C31">
              <w:rPr>
                <w:rFonts w:ascii="Calibri" w:hAnsi="Calibri" w:cs="Times New Roman"/>
                <w:sz w:val="20"/>
              </w:rPr>
              <w:t xml:space="preserve">dministered </w:t>
            </w:r>
            <w:r>
              <w:rPr>
                <w:rFonts w:ascii="Calibri" w:hAnsi="Calibri" w:cs="Times New Roman"/>
                <w:sz w:val="20"/>
              </w:rPr>
              <w:t>C</w:t>
            </w:r>
            <w:r w:rsidRPr="002D4C31">
              <w:rPr>
                <w:rFonts w:ascii="Calibri" w:hAnsi="Calibri" w:cs="Times New Roman"/>
                <w:sz w:val="20"/>
              </w:rPr>
              <w:t>ontingencies.</w:t>
            </w:r>
          </w:p>
        </w:tc>
      </w:tr>
      <w:tr w:rsidR="00B26C61" w:rsidTr="00EA3146">
        <w:trPr>
          <w:trHeight w:val="255"/>
        </w:trPr>
        <w:tc>
          <w:tcPr>
            <w:tcW w:w="9090" w:type="dxa"/>
            <w:shd w:val="clear" w:color="auto" w:fill="D9D9D9" w:themeFill="background1" w:themeFillShade="D9"/>
            <w:hideMark/>
          </w:tcPr>
          <w:p w:rsidR="00B26C61" w:rsidRDefault="00B26C61" w:rsidP="00EA3146">
            <w:pPr>
              <w:pStyle w:val="ReferenceText"/>
            </w:pPr>
          </w:p>
        </w:tc>
      </w:tr>
    </w:tbl>
    <w:p w:rsidR="00B26C61" w:rsidRDefault="00B26C61" w:rsidP="00B26C61"/>
    <w:p w:rsidR="00B26C61" w:rsidRDefault="00B26C61" w:rsidP="00B26C61"/>
    <w:p w:rsidR="00B26C61" w:rsidRDefault="00B26C61" w:rsidP="00B26C61">
      <w:r>
        <w:br w:type="page"/>
      </w:r>
    </w:p>
    <w:p w:rsidR="00B26C61" w:rsidRDefault="00B26C61" w:rsidP="00B26C61">
      <w:pPr>
        <w:pStyle w:val="NotesHeading-Level1GreyShade"/>
        <w:numPr>
          <w:ilvl w:val="0"/>
          <w:numId w:val="13"/>
        </w:numPr>
      </w:pPr>
      <w:bookmarkStart w:id="359" w:name="_Toc398813167"/>
      <w:r>
        <w:lastRenderedPageBreak/>
        <w:t>Administered - Financial Instruments</w:t>
      </w:r>
      <w:bookmarkEnd w:id="359"/>
    </w:p>
    <w:tbl>
      <w:tblPr>
        <w:tblW w:w="9087" w:type="dxa"/>
        <w:tblInd w:w="80" w:type="dxa"/>
        <w:tblLayout w:type="fixed"/>
        <w:tblLook w:val="04A0" w:firstRow="1" w:lastRow="0" w:firstColumn="1" w:lastColumn="0" w:noHBand="0" w:noVBand="1"/>
      </w:tblPr>
      <w:tblGrid>
        <w:gridCol w:w="7279"/>
        <w:gridCol w:w="1808"/>
      </w:tblGrid>
      <w:tr w:rsidR="00B26C61" w:rsidTr="00EA3146">
        <w:trPr>
          <w:trHeight w:val="255"/>
        </w:trPr>
        <w:tc>
          <w:tcPr>
            <w:tcW w:w="50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bookmarkStart w:id="360" w:name="RANGE!D7:D30"/>
            <w:bookmarkStart w:id="361" w:name="Note_AFATABLE1" w:colFirst="0" w:colLast="0"/>
            <w:r>
              <w:rPr>
                <w:rFonts w:ascii="Arial" w:hAnsi="Arial" w:cs="Arial"/>
                <w:sz w:val="16"/>
                <w:szCs w:val="16"/>
              </w:rPr>
              <w:t> </w:t>
            </w:r>
            <w:bookmarkEnd w:id="360"/>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2014</w:t>
            </w:r>
          </w:p>
        </w:tc>
      </w:tr>
      <w:bookmarkEnd w:id="361"/>
      <w:tr w:rsidR="00B26C61" w:rsidTr="00EA3146">
        <w:trPr>
          <w:trHeight w:val="255"/>
        </w:trPr>
        <w:tc>
          <w:tcPr>
            <w:tcW w:w="50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505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r>
              <w:rPr>
                <w:rFonts w:cs="Calibri"/>
                <w:b/>
                <w:bCs/>
                <w:szCs w:val="18"/>
                <w:u w:val="single"/>
              </w:rPr>
              <w:t xml:space="preserve">Note </w:t>
            </w:r>
            <w:proofErr w:type="spellStart"/>
            <w:r>
              <w:rPr>
                <w:rFonts w:cs="Calibri"/>
                <w:b/>
                <w:bCs/>
                <w:szCs w:val="18"/>
                <w:u w:val="single"/>
              </w:rPr>
              <w:t>25A</w:t>
            </w:r>
            <w:proofErr w:type="spellEnd"/>
            <w:r>
              <w:rPr>
                <w:rFonts w:cs="Calibri"/>
                <w:b/>
                <w:bCs/>
                <w:szCs w:val="18"/>
                <w:u w:val="single"/>
              </w:rPr>
              <w:t>: Categories of Financial Instruments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0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0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Financial Assets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0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Available-for-sale financial assets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0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Investments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145,477 </w:t>
            </w:r>
          </w:p>
        </w:tc>
      </w:tr>
      <w:tr w:rsidR="00B26C61" w:rsidTr="00EA3146">
        <w:trPr>
          <w:trHeight w:val="255"/>
        </w:trPr>
        <w:tc>
          <w:tcPr>
            <w:tcW w:w="50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Total available-for-sale financial assets</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145,477</w:t>
            </w:r>
          </w:p>
        </w:tc>
      </w:tr>
      <w:tr w:rsidR="00B26C61" w:rsidTr="00EA3146">
        <w:trPr>
          <w:trHeight w:val="255"/>
        </w:trPr>
        <w:tc>
          <w:tcPr>
            <w:tcW w:w="50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nil"/>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50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Loans and receivables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0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Goods and services receivables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402 </w:t>
            </w:r>
          </w:p>
        </w:tc>
      </w:tr>
      <w:tr w:rsidR="00B26C61" w:rsidTr="00EA3146">
        <w:trPr>
          <w:trHeight w:val="255"/>
        </w:trPr>
        <w:tc>
          <w:tcPr>
            <w:tcW w:w="50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Total loans and receivables</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402</w:t>
            </w:r>
          </w:p>
        </w:tc>
      </w:tr>
      <w:tr w:rsidR="00B26C61" w:rsidTr="00EA3146">
        <w:trPr>
          <w:trHeight w:val="255"/>
        </w:trPr>
        <w:tc>
          <w:tcPr>
            <w:tcW w:w="50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70"/>
        </w:trPr>
        <w:tc>
          <w:tcPr>
            <w:tcW w:w="50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Total financial assets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145,879</w:t>
            </w:r>
          </w:p>
        </w:tc>
      </w:tr>
      <w:tr w:rsidR="00B26C61" w:rsidTr="00EA3146">
        <w:trPr>
          <w:trHeight w:val="270"/>
        </w:trPr>
        <w:tc>
          <w:tcPr>
            <w:tcW w:w="50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0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Financial Liabilities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0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Financial liabilities measured at amortised cost</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0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Trade creditors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21,641 </w:t>
            </w:r>
          </w:p>
        </w:tc>
      </w:tr>
      <w:tr w:rsidR="00B26C61" w:rsidTr="00EA3146">
        <w:trPr>
          <w:trHeight w:val="255"/>
        </w:trPr>
        <w:tc>
          <w:tcPr>
            <w:tcW w:w="505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Grants payables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459 </w:t>
            </w:r>
          </w:p>
        </w:tc>
      </w:tr>
      <w:tr w:rsidR="00B26C61" w:rsidTr="00EA3146">
        <w:trPr>
          <w:trHeight w:val="255"/>
        </w:trPr>
        <w:tc>
          <w:tcPr>
            <w:tcW w:w="505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Total financial liabilities measured at amortised cost</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22,100</w:t>
            </w:r>
          </w:p>
        </w:tc>
      </w:tr>
      <w:tr w:rsidR="00B26C61" w:rsidTr="00EA3146">
        <w:trPr>
          <w:trHeight w:val="255"/>
        </w:trPr>
        <w:tc>
          <w:tcPr>
            <w:tcW w:w="50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70"/>
        </w:trPr>
        <w:tc>
          <w:tcPr>
            <w:tcW w:w="505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szCs w:val="18"/>
              </w:rPr>
            </w:pPr>
            <w:r>
              <w:rPr>
                <w:rFonts w:cs="Calibri"/>
                <w:b/>
                <w:bCs/>
                <w:szCs w:val="18"/>
              </w:rPr>
              <w:t>Total financial liabilities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22,100</w:t>
            </w:r>
          </w:p>
        </w:tc>
      </w:tr>
    </w:tbl>
    <w:p w:rsidR="00B26C61" w:rsidRDefault="00B26C61" w:rsidP="00B26C61">
      <w:pPr>
        <w:pStyle w:val="GreyShadeTableBreak"/>
      </w:pPr>
      <w:bookmarkStart w:id="362" w:name="RANGE!D7:G31"/>
      <w:bookmarkEnd w:id="362"/>
    </w:p>
    <w:tbl>
      <w:tblPr>
        <w:tblW w:w="9087" w:type="dxa"/>
        <w:tblInd w:w="80" w:type="dxa"/>
        <w:tblLayout w:type="fixed"/>
        <w:tblLook w:val="04A0" w:firstRow="1" w:lastRow="0" w:firstColumn="1" w:lastColumn="0" w:noHBand="0" w:noVBand="1"/>
      </w:tblPr>
      <w:tblGrid>
        <w:gridCol w:w="7301"/>
        <w:gridCol w:w="1786"/>
      </w:tblGrid>
      <w:tr w:rsidR="00B26C61" w:rsidTr="00EA3146">
        <w:trPr>
          <w:trHeight w:val="255"/>
        </w:trPr>
        <w:tc>
          <w:tcPr>
            <w:tcW w:w="513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363" w:name="Note_AFBTABLE1" w:colFirst="0" w:colLast="0"/>
            <w:r>
              <w:rPr>
                <w:rFonts w:cs="Calibri"/>
                <w:b/>
                <w:bCs/>
                <w:szCs w:val="18"/>
                <w:u w:val="single"/>
              </w:rPr>
              <w:t xml:space="preserve">Note </w:t>
            </w:r>
            <w:proofErr w:type="spellStart"/>
            <w:r>
              <w:rPr>
                <w:rFonts w:cs="Calibri"/>
                <w:b/>
                <w:bCs/>
                <w:szCs w:val="18"/>
                <w:u w:val="single"/>
              </w:rPr>
              <w:t>25B</w:t>
            </w:r>
            <w:proofErr w:type="spellEnd"/>
            <w:r>
              <w:rPr>
                <w:rFonts w:cs="Calibri"/>
                <w:b/>
                <w:bCs/>
                <w:szCs w:val="18"/>
                <w:u w:val="single"/>
              </w:rPr>
              <w:t>: Net Gains or Losses on Financial Assets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363"/>
      <w:tr w:rsidR="00B26C61" w:rsidTr="00EA3146">
        <w:trPr>
          <w:trHeight w:val="255"/>
        </w:trPr>
        <w:tc>
          <w:tcPr>
            <w:tcW w:w="513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Available-for-sale financial assets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13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Gains recognised in equity</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28,752 </w:t>
            </w:r>
          </w:p>
        </w:tc>
      </w:tr>
      <w:tr w:rsidR="00B26C61" w:rsidTr="00EA3146">
        <w:trPr>
          <w:trHeight w:val="255"/>
        </w:trPr>
        <w:tc>
          <w:tcPr>
            <w:tcW w:w="513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Net gains from available-for-sale financial assets</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28,752</w:t>
            </w:r>
          </w:p>
        </w:tc>
      </w:tr>
      <w:tr w:rsidR="00B26C61" w:rsidTr="00EA3146">
        <w:trPr>
          <w:trHeight w:val="255"/>
        </w:trPr>
        <w:tc>
          <w:tcPr>
            <w:tcW w:w="513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13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Loans and receivables</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513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Interest revenue</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6 </w:t>
            </w:r>
          </w:p>
        </w:tc>
      </w:tr>
      <w:tr w:rsidR="00B26C61" w:rsidTr="00EA3146">
        <w:trPr>
          <w:trHeight w:val="255"/>
        </w:trPr>
        <w:tc>
          <w:tcPr>
            <w:tcW w:w="513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Reversal of impairment - goods and services</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155 </w:t>
            </w:r>
          </w:p>
        </w:tc>
      </w:tr>
      <w:tr w:rsidR="00B26C61" w:rsidTr="00EA3146">
        <w:trPr>
          <w:trHeight w:val="255"/>
        </w:trPr>
        <w:tc>
          <w:tcPr>
            <w:tcW w:w="513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Write-down and impairment</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(203)</w:t>
            </w:r>
          </w:p>
        </w:tc>
      </w:tr>
      <w:tr w:rsidR="00B26C61" w:rsidTr="00EA3146">
        <w:trPr>
          <w:trHeight w:val="255"/>
        </w:trPr>
        <w:tc>
          <w:tcPr>
            <w:tcW w:w="513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Net losses from loans and receivables</w:t>
            </w:r>
          </w:p>
        </w:tc>
        <w:tc>
          <w:tcPr>
            <w:tcW w:w="125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(42)</w:t>
            </w:r>
          </w:p>
        </w:tc>
      </w:tr>
      <w:tr w:rsidR="00B26C61" w:rsidTr="00EA3146">
        <w:trPr>
          <w:trHeight w:val="255"/>
        </w:trPr>
        <w:tc>
          <w:tcPr>
            <w:tcW w:w="513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70"/>
        </w:trPr>
        <w:tc>
          <w:tcPr>
            <w:tcW w:w="513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szCs w:val="18"/>
              </w:rPr>
            </w:pPr>
            <w:r>
              <w:rPr>
                <w:rFonts w:cs="Calibri"/>
                <w:b/>
                <w:bCs/>
                <w:szCs w:val="18"/>
              </w:rPr>
              <w:t>Net gains on financial assets</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28,710</w:t>
            </w:r>
          </w:p>
        </w:tc>
      </w:tr>
    </w:tbl>
    <w:p w:rsidR="00B26C61" w:rsidRDefault="00B26C61" w:rsidP="00B26C61">
      <w:pPr>
        <w:pStyle w:val="GreyShadeTableBreak"/>
      </w:pPr>
      <w:bookmarkStart w:id="364" w:name="RANGE!D7:K27"/>
      <w:bookmarkStart w:id="365" w:name="RANGE!D7:G27"/>
      <w:bookmarkStart w:id="366" w:name="RANGE!D7:L30"/>
      <w:bookmarkStart w:id="367" w:name="RANGE!D7:L31"/>
      <w:bookmarkStart w:id="368" w:name="RANGE!D7:L32"/>
      <w:bookmarkStart w:id="369" w:name="RANGE!D6:L31"/>
      <w:bookmarkStart w:id="370" w:name="RANGE!D6:L30"/>
      <w:bookmarkEnd w:id="364"/>
      <w:bookmarkEnd w:id="365"/>
      <w:bookmarkEnd w:id="366"/>
      <w:bookmarkEnd w:id="367"/>
      <w:bookmarkEnd w:id="368"/>
      <w:bookmarkEnd w:id="369"/>
      <w:bookmarkEnd w:id="370"/>
    </w:p>
    <w:p w:rsidR="00B26C61" w:rsidRDefault="00B26C61" w:rsidP="00B26C61">
      <w:pPr>
        <w:spacing w:line="240" w:lineRule="auto"/>
      </w:pPr>
      <w:r>
        <w:br w:type="page"/>
      </w:r>
    </w:p>
    <w:tbl>
      <w:tblPr>
        <w:tblW w:w="9087" w:type="dxa"/>
        <w:tblInd w:w="80" w:type="dxa"/>
        <w:tblLayout w:type="fixed"/>
        <w:tblLook w:val="04A0" w:firstRow="1" w:lastRow="0" w:firstColumn="1" w:lastColumn="0" w:noHBand="0" w:noVBand="1"/>
      </w:tblPr>
      <w:tblGrid>
        <w:gridCol w:w="4639"/>
        <w:gridCol w:w="1122"/>
        <w:gridCol w:w="1109"/>
        <w:gridCol w:w="1110"/>
        <w:gridCol w:w="1107"/>
      </w:tblGrid>
      <w:tr w:rsidR="00B26C61" w:rsidTr="00EA3146">
        <w:trPr>
          <w:trHeight w:val="255"/>
        </w:trPr>
        <w:tc>
          <w:tcPr>
            <w:tcW w:w="4591"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371" w:name="Note_AFGTABLE1" w:colFirst="0" w:colLast="0"/>
            <w:r>
              <w:rPr>
                <w:rFonts w:cs="Calibri"/>
                <w:b/>
                <w:bCs/>
                <w:szCs w:val="18"/>
                <w:u w:val="single"/>
              </w:rPr>
              <w:lastRenderedPageBreak/>
              <w:t xml:space="preserve">Note </w:t>
            </w:r>
            <w:proofErr w:type="spellStart"/>
            <w:r>
              <w:rPr>
                <w:rFonts w:cs="Calibri"/>
                <w:b/>
                <w:bCs/>
                <w:szCs w:val="18"/>
                <w:u w:val="single"/>
              </w:rPr>
              <w:t>25C</w:t>
            </w:r>
            <w:proofErr w:type="spellEnd"/>
            <w:r>
              <w:rPr>
                <w:rFonts w:cs="Calibri"/>
                <w:b/>
                <w:bCs/>
                <w:szCs w:val="18"/>
                <w:u w:val="single"/>
              </w:rPr>
              <w:t>: Fair value of Financial Instruments</w:t>
            </w:r>
          </w:p>
        </w:tc>
        <w:tc>
          <w:tcPr>
            <w:tcW w:w="1110"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8"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9"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371"/>
      <w:tr w:rsidR="00B26C61" w:rsidTr="00EA3146">
        <w:trPr>
          <w:trHeight w:val="255"/>
        </w:trPr>
        <w:tc>
          <w:tcPr>
            <w:tcW w:w="4591"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110"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8"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9"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6"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4591"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110"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8"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9"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Carrying</w:t>
            </w:r>
          </w:p>
        </w:tc>
        <w:tc>
          <w:tcPr>
            <w:tcW w:w="109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Fair</w:t>
            </w:r>
          </w:p>
        </w:tc>
      </w:tr>
      <w:tr w:rsidR="00B26C61" w:rsidTr="00EA3146">
        <w:trPr>
          <w:trHeight w:val="255"/>
        </w:trPr>
        <w:tc>
          <w:tcPr>
            <w:tcW w:w="4591"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110"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8"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9"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amount</w:t>
            </w:r>
          </w:p>
        </w:tc>
        <w:tc>
          <w:tcPr>
            <w:tcW w:w="109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value</w:t>
            </w:r>
          </w:p>
        </w:tc>
      </w:tr>
      <w:tr w:rsidR="00B26C61" w:rsidTr="00EA3146">
        <w:trPr>
          <w:trHeight w:val="255"/>
        </w:trPr>
        <w:tc>
          <w:tcPr>
            <w:tcW w:w="4591"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110"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8"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9"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2014</w:t>
            </w:r>
          </w:p>
        </w:tc>
        <w:tc>
          <w:tcPr>
            <w:tcW w:w="109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55"/>
        </w:trPr>
        <w:tc>
          <w:tcPr>
            <w:tcW w:w="4591"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110"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8"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9"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096"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4591"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Financial Assets</w:t>
            </w:r>
          </w:p>
        </w:tc>
        <w:tc>
          <w:tcPr>
            <w:tcW w:w="1110"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098"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099"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4591"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Available-for-sale financial assets</w:t>
            </w:r>
          </w:p>
        </w:tc>
        <w:tc>
          <w:tcPr>
            <w:tcW w:w="1110"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8"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4591"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Investments</w:t>
            </w:r>
          </w:p>
        </w:tc>
        <w:tc>
          <w:tcPr>
            <w:tcW w:w="111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8"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9"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145,477 </w:t>
            </w:r>
          </w:p>
        </w:tc>
        <w:tc>
          <w:tcPr>
            <w:tcW w:w="109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145,477 </w:t>
            </w:r>
          </w:p>
        </w:tc>
      </w:tr>
      <w:tr w:rsidR="00B26C61" w:rsidTr="00EA3146">
        <w:trPr>
          <w:trHeight w:val="255"/>
        </w:trPr>
        <w:tc>
          <w:tcPr>
            <w:tcW w:w="4591"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Loans and receivables</w:t>
            </w:r>
          </w:p>
        </w:tc>
        <w:tc>
          <w:tcPr>
            <w:tcW w:w="111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8"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4591"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Receivables for goods and services</w:t>
            </w:r>
          </w:p>
        </w:tc>
        <w:tc>
          <w:tcPr>
            <w:tcW w:w="111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8"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9"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402 </w:t>
            </w:r>
          </w:p>
        </w:tc>
        <w:tc>
          <w:tcPr>
            <w:tcW w:w="109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543 </w:t>
            </w:r>
          </w:p>
        </w:tc>
      </w:tr>
      <w:tr w:rsidR="00B26C61" w:rsidTr="00EA3146">
        <w:trPr>
          <w:trHeight w:val="270"/>
        </w:trPr>
        <w:tc>
          <w:tcPr>
            <w:tcW w:w="4591"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financial assets</w:t>
            </w:r>
          </w:p>
        </w:tc>
        <w:tc>
          <w:tcPr>
            <w:tcW w:w="1110"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098"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099"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145,879</w:t>
            </w:r>
          </w:p>
        </w:tc>
        <w:tc>
          <w:tcPr>
            <w:tcW w:w="109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146,020</w:t>
            </w:r>
          </w:p>
        </w:tc>
      </w:tr>
      <w:tr w:rsidR="00B26C61" w:rsidTr="00EA3146">
        <w:trPr>
          <w:trHeight w:val="255"/>
        </w:trPr>
        <w:tc>
          <w:tcPr>
            <w:tcW w:w="4591"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110"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8"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9"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b/>
                <w:bCs/>
                <w:sz w:val="16"/>
                <w:szCs w:val="16"/>
              </w:rPr>
            </w:pPr>
            <w:r>
              <w:rPr>
                <w:rFonts w:ascii="Arial" w:hAnsi="Arial" w:cs="Arial"/>
                <w:b/>
                <w:bCs/>
                <w:sz w:val="16"/>
                <w:szCs w:val="16"/>
              </w:rPr>
              <w:t> </w:t>
            </w:r>
          </w:p>
        </w:tc>
        <w:tc>
          <w:tcPr>
            <w:tcW w:w="10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b/>
                <w:bCs/>
                <w:sz w:val="16"/>
                <w:szCs w:val="16"/>
              </w:rPr>
            </w:pPr>
            <w:r>
              <w:rPr>
                <w:rFonts w:ascii="Arial" w:hAnsi="Arial" w:cs="Arial"/>
                <w:b/>
                <w:bCs/>
                <w:sz w:val="16"/>
                <w:szCs w:val="16"/>
              </w:rPr>
              <w:t> </w:t>
            </w:r>
          </w:p>
        </w:tc>
      </w:tr>
      <w:tr w:rsidR="00B26C61" w:rsidTr="00EA3146">
        <w:trPr>
          <w:trHeight w:val="255"/>
        </w:trPr>
        <w:tc>
          <w:tcPr>
            <w:tcW w:w="4591"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Financial Liabilities</w:t>
            </w:r>
          </w:p>
        </w:tc>
        <w:tc>
          <w:tcPr>
            <w:tcW w:w="1110"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098"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099"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b/>
                <w:bCs/>
                <w:sz w:val="16"/>
                <w:szCs w:val="16"/>
              </w:rPr>
            </w:pPr>
            <w:r>
              <w:rPr>
                <w:rFonts w:ascii="Arial" w:hAnsi="Arial" w:cs="Arial"/>
                <w:b/>
                <w:bCs/>
                <w:sz w:val="16"/>
                <w:szCs w:val="16"/>
              </w:rPr>
              <w:t> </w:t>
            </w:r>
          </w:p>
        </w:tc>
        <w:tc>
          <w:tcPr>
            <w:tcW w:w="10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b/>
                <w:bCs/>
                <w:sz w:val="16"/>
                <w:szCs w:val="16"/>
              </w:rPr>
            </w:pPr>
            <w:r>
              <w:rPr>
                <w:rFonts w:ascii="Arial" w:hAnsi="Arial" w:cs="Arial"/>
                <w:b/>
                <w:bCs/>
                <w:sz w:val="16"/>
                <w:szCs w:val="16"/>
              </w:rPr>
              <w:t> </w:t>
            </w:r>
          </w:p>
        </w:tc>
      </w:tr>
      <w:tr w:rsidR="00B26C61" w:rsidTr="00EA3146">
        <w:trPr>
          <w:trHeight w:val="255"/>
        </w:trPr>
        <w:tc>
          <w:tcPr>
            <w:tcW w:w="4591"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Financial liabilities measured at amortised cost</w:t>
            </w:r>
          </w:p>
        </w:tc>
        <w:tc>
          <w:tcPr>
            <w:tcW w:w="111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8"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9"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9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4591"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Trade creditors</w:t>
            </w:r>
          </w:p>
        </w:tc>
        <w:tc>
          <w:tcPr>
            <w:tcW w:w="111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8"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9"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21,641 </w:t>
            </w:r>
          </w:p>
        </w:tc>
        <w:tc>
          <w:tcPr>
            <w:tcW w:w="109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21,641 </w:t>
            </w:r>
          </w:p>
        </w:tc>
      </w:tr>
      <w:tr w:rsidR="00B26C61" w:rsidTr="00EA3146">
        <w:trPr>
          <w:trHeight w:val="255"/>
        </w:trPr>
        <w:tc>
          <w:tcPr>
            <w:tcW w:w="4591"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Grants payable</w:t>
            </w:r>
          </w:p>
        </w:tc>
        <w:tc>
          <w:tcPr>
            <w:tcW w:w="1110"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8"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99"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459 </w:t>
            </w:r>
          </w:p>
        </w:tc>
        <w:tc>
          <w:tcPr>
            <w:tcW w:w="109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459 </w:t>
            </w:r>
          </w:p>
        </w:tc>
      </w:tr>
      <w:tr w:rsidR="00B26C61" w:rsidTr="00EA3146">
        <w:trPr>
          <w:trHeight w:val="270"/>
        </w:trPr>
        <w:tc>
          <w:tcPr>
            <w:tcW w:w="4591"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 financial liabilities</w:t>
            </w:r>
          </w:p>
        </w:tc>
        <w:tc>
          <w:tcPr>
            <w:tcW w:w="1110"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098"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 </w:t>
            </w:r>
          </w:p>
        </w:tc>
        <w:tc>
          <w:tcPr>
            <w:tcW w:w="1099"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22,100</w:t>
            </w:r>
          </w:p>
        </w:tc>
        <w:tc>
          <w:tcPr>
            <w:tcW w:w="109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22,100</w:t>
            </w:r>
          </w:p>
        </w:tc>
      </w:tr>
    </w:tbl>
    <w:p w:rsidR="00B26C61" w:rsidRDefault="00B26C61" w:rsidP="00B26C61">
      <w:bookmarkStart w:id="372" w:name="RANGE!D7:K25"/>
      <w:bookmarkStart w:id="373" w:name="RANGE!D53:K74"/>
      <w:bookmarkStart w:id="374" w:name="RANGE!D56:L79"/>
      <w:bookmarkStart w:id="375" w:name="RANGE!D57:L80"/>
      <w:bookmarkEnd w:id="372"/>
      <w:bookmarkEnd w:id="373"/>
      <w:bookmarkEnd w:id="374"/>
      <w:bookmarkEnd w:id="375"/>
    </w:p>
    <w:p w:rsidR="00B26C61" w:rsidRDefault="00B26C61" w:rsidP="00B26C61">
      <w:pPr>
        <w:spacing w:line="240" w:lineRule="auto"/>
        <w:sectPr w:rsidR="00B26C61" w:rsidSect="00022CDB">
          <w:pgSz w:w="11906" w:h="16838"/>
          <w:pgMar w:top="1134" w:right="1134" w:bottom="1134" w:left="1134" w:header="958" w:footer="737" w:gutter="0"/>
          <w:cols w:space="720"/>
          <w:docGrid w:linePitch="245"/>
        </w:sectPr>
      </w:pPr>
    </w:p>
    <w:tbl>
      <w:tblPr>
        <w:tblW w:w="9087" w:type="dxa"/>
        <w:tblInd w:w="80" w:type="dxa"/>
        <w:tblLayout w:type="fixed"/>
        <w:tblLook w:val="04A0" w:firstRow="1" w:lastRow="0" w:firstColumn="1" w:lastColumn="0" w:noHBand="0" w:noVBand="1"/>
      </w:tblPr>
      <w:tblGrid>
        <w:gridCol w:w="3901"/>
        <w:gridCol w:w="1038"/>
        <w:gridCol w:w="1037"/>
        <w:gridCol w:w="1037"/>
        <w:gridCol w:w="1037"/>
        <w:gridCol w:w="1037"/>
      </w:tblGrid>
      <w:tr w:rsidR="00B26C61" w:rsidTr="00EA3146">
        <w:trPr>
          <w:trHeight w:val="255"/>
        </w:trPr>
        <w:tc>
          <w:tcPr>
            <w:tcW w:w="3901"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376" w:name="Note_AFJTABLE1" w:colFirst="0" w:colLast="0"/>
            <w:r>
              <w:rPr>
                <w:rFonts w:cs="Calibri"/>
                <w:b/>
                <w:bCs/>
                <w:szCs w:val="18"/>
                <w:u w:val="single"/>
              </w:rPr>
              <w:lastRenderedPageBreak/>
              <w:t xml:space="preserve">Note </w:t>
            </w:r>
            <w:proofErr w:type="spellStart"/>
            <w:r>
              <w:rPr>
                <w:rFonts w:cs="Calibri"/>
                <w:b/>
                <w:bCs/>
                <w:szCs w:val="18"/>
                <w:u w:val="single"/>
              </w:rPr>
              <w:t>25D</w:t>
            </w:r>
            <w:proofErr w:type="spellEnd"/>
            <w:r>
              <w:rPr>
                <w:rFonts w:cs="Calibri"/>
                <w:b/>
                <w:bCs/>
                <w:szCs w:val="18"/>
                <w:u w:val="single"/>
              </w:rPr>
              <w:t>: Credit Risk</w:t>
            </w:r>
          </w:p>
        </w:tc>
        <w:tc>
          <w:tcPr>
            <w:tcW w:w="1038"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7"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7"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7"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7"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376"/>
      <w:tr w:rsidR="00B26C61" w:rsidTr="00EA3146">
        <w:trPr>
          <w:trHeight w:val="1185"/>
        </w:trPr>
        <w:tc>
          <w:tcPr>
            <w:tcW w:w="9087" w:type="dxa"/>
            <w:gridSpan w:val="6"/>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The administered loans and receivables of the department were not exposed to a high level of credit risk as the financial assets were trade receivables.  The department manages its credit risk by undertaking background and credit checks prior to allowing a debtor relationship.  In addition, the department had policies and procedures that guide employees’ debt recovery techniques that were to be applied.</w:t>
            </w:r>
          </w:p>
        </w:tc>
      </w:tr>
    </w:tbl>
    <w:p w:rsidR="00B26C61" w:rsidRDefault="00B26C61" w:rsidP="00B26C61">
      <w:pPr>
        <w:pStyle w:val="GreyShadeTableBreak"/>
      </w:pPr>
      <w:bookmarkStart w:id="377" w:name="RANGE!D7:I9"/>
      <w:bookmarkStart w:id="378" w:name="RANGE!D7:I10"/>
      <w:bookmarkStart w:id="379" w:name="RANGE!D7:I19"/>
      <w:bookmarkStart w:id="380" w:name="RANGE!D7:I21"/>
      <w:bookmarkStart w:id="381" w:name="RANGE!D7:I22"/>
      <w:bookmarkStart w:id="382" w:name="RANGE!D7:I25"/>
      <w:bookmarkStart w:id="383" w:name="RANGE!D7:I26"/>
      <w:bookmarkStart w:id="384" w:name="RANGE!D6:I24"/>
      <w:bookmarkStart w:id="385" w:name="RANGE!D6:I25"/>
      <w:bookmarkStart w:id="386" w:name="RANGE!D6:I27"/>
      <w:bookmarkStart w:id="387" w:name="RANGE!D6:I58"/>
      <w:bookmarkEnd w:id="377"/>
      <w:bookmarkEnd w:id="378"/>
      <w:bookmarkEnd w:id="379"/>
      <w:bookmarkEnd w:id="380"/>
      <w:bookmarkEnd w:id="381"/>
      <w:bookmarkEnd w:id="382"/>
      <w:bookmarkEnd w:id="383"/>
      <w:bookmarkEnd w:id="384"/>
      <w:bookmarkEnd w:id="385"/>
      <w:bookmarkEnd w:id="386"/>
      <w:bookmarkEnd w:id="387"/>
    </w:p>
    <w:tbl>
      <w:tblPr>
        <w:tblW w:w="9090" w:type="dxa"/>
        <w:tblInd w:w="80" w:type="dxa"/>
        <w:tblLayout w:type="fixed"/>
        <w:tblLook w:val="04A0" w:firstRow="1" w:lastRow="0" w:firstColumn="1" w:lastColumn="0" w:noHBand="0" w:noVBand="1"/>
      </w:tblPr>
      <w:tblGrid>
        <w:gridCol w:w="9090"/>
      </w:tblGrid>
      <w:tr w:rsidR="00B26C61" w:rsidTr="00EA3146">
        <w:trPr>
          <w:trHeight w:val="270"/>
        </w:trPr>
        <w:tc>
          <w:tcPr>
            <w:tcW w:w="9092" w:type="dxa"/>
            <w:tcBorders>
              <w:top w:val="single" w:sz="4" w:space="0" w:color="D8D8D8"/>
              <w:left w:val="nil"/>
              <w:bottom w:val="single" w:sz="24" w:space="0" w:color="D8D8D8"/>
              <w:right w:val="nil"/>
            </w:tcBorders>
            <w:shd w:val="clear" w:color="auto" w:fill="D8D8D8"/>
            <w:vAlign w:val="bottom"/>
          </w:tcPr>
          <w:p w:rsidR="00B26C61" w:rsidRDefault="00B26C61" w:rsidP="00EA3146">
            <w:pPr>
              <w:pStyle w:val="AdminBlankGreyShade"/>
            </w:pPr>
            <w:r>
              <w:t>The department assessed the risk of the default on payment and allocated $0.141 million in 2014 to an impairment allowance for doubtful debts for goods and services receivables.</w:t>
            </w:r>
          </w:p>
          <w:p w:rsidR="00B26C61" w:rsidRDefault="00B26C61" w:rsidP="00EA3146">
            <w:pPr>
              <w:pStyle w:val="AdminBlankGreyShade"/>
            </w:pPr>
          </w:p>
          <w:p w:rsidR="00B26C61" w:rsidRDefault="00B26C61" w:rsidP="00EA3146">
            <w:pPr>
              <w:pStyle w:val="AdminBlankGreyShade"/>
            </w:pPr>
            <w:r w:rsidRPr="00905B24">
              <w:t xml:space="preserve">The </w:t>
            </w:r>
            <w:r>
              <w:t>department</w:t>
            </w:r>
            <w:r w:rsidRPr="00905B24">
              <w:t xml:space="preserve"> held no collateral to </w:t>
            </w:r>
            <w:proofErr w:type="gramStart"/>
            <w:r w:rsidRPr="00905B24">
              <w:t>mitigate</w:t>
            </w:r>
            <w:proofErr w:type="gramEnd"/>
            <w:r w:rsidRPr="00905B24">
              <w:t xml:space="preserve"> against credit risk.</w:t>
            </w:r>
          </w:p>
        </w:tc>
      </w:tr>
    </w:tbl>
    <w:p w:rsidR="00B26C61" w:rsidRDefault="00B26C61" w:rsidP="00B26C61">
      <w:pPr>
        <w:pStyle w:val="GreyShadeTableBreak"/>
      </w:pPr>
    </w:p>
    <w:tbl>
      <w:tblPr>
        <w:tblW w:w="9087" w:type="dxa"/>
        <w:tblInd w:w="80" w:type="dxa"/>
        <w:tblLayout w:type="fixed"/>
        <w:tblLook w:val="04A0" w:firstRow="1" w:lastRow="0" w:firstColumn="1" w:lastColumn="0" w:noHBand="0" w:noVBand="1"/>
      </w:tblPr>
      <w:tblGrid>
        <w:gridCol w:w="3900"/>
        <w:gridCol w:w="1039"/>
        <w:gridCol w:w="1037"/>
        <w:gridCol w:w="1037"/>
        <w:gridCol w:w="1037"/>
        <w:gridCol w:w="1037"/>
      </w:tblGrid>
      <w:tr w:rsidR="00B26C61" w:rsidTr="00EA3146">
        <w:trPr>
          <w:trHeight w:val="720"/>
        </w:trPr>
        <w:tc>
          <w:tcPr>
            <w:tcW w:w="6930" w:type="dxa"/>
            <w:gridSpan w:val="4"/>
            <w:tcBorders>
              <w:top w:val="single" w:sz="4" w:space="0" w:color="auto"/>
              <w:left w:val="nil"/>
              <w:bottom w:val="nil"/>
              <w:right w:val="nil"/>
            </w:tcBorders>
            <w:shd w:val="clear" w:color="000000" w:fill="D9D9D9"/>
            <w:vAlign w:val="center"/>
            <w:hideMark/>
          </w:tcPr>
          <w:p w:rsidR="00B26C61" w:rsidRDefault="00B26C61" w:rsidP="00EA3146">
            <w:pPr>
              <w:rPr>
                <w:rFonts w:cs="Calibri"/>
                <w:b/>
                <w:bCs/>
                <w:szCs w:val="18"/>
              </w:rPr>
            </w:pPr>
            <w:bookmarkStart w:id="388" w:name="Note_AFJTABLE2" w:colFirst="0" w:colLast="0"/>
            <w:r>
              <w:rPr>
                <w:rFonts w:cs="Calibri"/>
                <w:b/>
                <w:bCs/>
                <w:szCs w:val="18"/>
              </w:rPr>
              <w:t>Credit quality of financial instruments not past due or individually determined as impaired</w:t>
            </w:r>
          </w:p>
        </w:tc>
        <w:tc>
          <w:tcPr>
            <w:tcW w:w="1025" w:type="dxa"/>
            <w:tcBorders>
              <w:top w:val="single" w:sz="4" w:space="0" w:color="auto"/>
              <w:left w:val="nil"/>
              <w:bottom w:val="nil"/>
              <w:right w:val="nil"/>
            </w:tcBorders>
            <w:shd w:val="clear" w:color="000000" w:fill="D9D9D9"/>
            <w:hideMark/>
          </w:tcPr>
          <w:p w:rsidR="00B26C61" w:rsidRDefault="00B26C61" w:rsidP="00EA3146">
            <w:pPr>
              <w:jc w:val="right"/>
              <w:rPr>
                <w:rFonts w:cs="Calibri"/>
                <w:b/>
                <w:bCs/>
                <w:szCs w:val="18"/>
              </w:rPr>
            </w:pPr>
            <w:r>
              <w:rPr>
                <w:rFonts w:cs="Calibri"/>
                <w:b/>
                <w:bCs/>
                <w:szCs w:val="18"/>
              </w:rPr>
              <w:t>Not past due nor impaired</w:t>
            </w:r>
          </w:p>
        </w:tc>
        <w:tc>
          <w:tcPr>
            <w:tcW w:w="1025" w:type="dxa"/>
            <w:tcBorders>
              <w:top w:val="single" w:sz="4" w:space="0" w:color="auto"/>
              <w:left w:val="nil"/>
              <w:bottom w:val="nil"/>
              <w:right w:val="nil"/>
            </w:tcBorders>
            <w:shd w:val="clear" w:color="000000" w:fill="D9D9D9"/>
            <w:hideMark/>
          </w:tcPr>
          <w:p w:rsidR="00B26C61" w:rsidRDefault="00B26C61" w:rsidP="00EA3146">
            <w:pPr>
              <w:jc w:val="right"/>
              <w:rPr>
                <w:rFonts w:cs="Calibri"/>
                <w:b/>
                <w:bCs/>
                <w:szCs w:val="18"/>
              </w:rPr>
            </w:pPr>
            <w:r>
              <w:rPr>
                <w:rFonts w:cs="Calibri"/>
                <w:b/>
                <w:bCs/>
                <w:szCs w:val="18"/>
              </w:rPr>
              <w:t>Past due or impaired</w:t>
            </w:r>
          </w:p>
        </w:tc>
      </w:tr>
      <w:bookmarkEnd w:id="388"/>
      <w:tr w:rsidR="00B26C61" w:rsidTr="00EA3146">
        <w:trPr>
          <w:trHeight w:val="255"/>
        </w:trPr>
        <w:tc>
          <w:tcPr>
            <w:tcW w:w="3853"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7"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5" w:type="dxa"/>
            <w:tcBorders>
              <w:top w:val="nil"/>
              <w:left w:val="nil"/>
              <w:bottom w:val="nil"/>
              <w:right w:val="nil"/>
            </w:tcBorders>
            <w:shd w:val="clear" w:color="000000" w:fill="D9D9D9"/>
            <w:vAlign w:val="bottom"/>
            <w:hideMark/>
          </w:tcPr>
          <w:p w:rsidR="00B26C61" w:rsidRDefault="00B26C61" w:rsidP="00EA3146">
            <w:pPr>
              <w:jc w:val="right"/>
              <w:rPr>
                <w:rFonts w:cs="Calibri"/>
                <w:szCs w:val="18"/>
              </w:rPr>
            </w:pPr>
            <w:r>
              <w:rPr>
                <w:rFonts w:cs="Calibri"/>
                <w:szCs w:val="18"/>
              </w:rPr>
              <w:t> </w:t>
            </w:r>
          </w:p>
        </w:tc>
        <w:tc>
          <w:tcPr>
            <w:tcW w:w="1025" w:type="dxa"/>
            <w:tcBorders>
              <w:top w:val="nil"/>
              <w:left w:val="nil"/>
              <w:bottom w:val="nil"/>
              <w:right w:val="nil"/>
            </w:tcBorders>
            <w:shd w:val="clear" w:color="000000" w:fill="D9D9D9"/>
            <w:vAlign w:val="bottom"/>
            <w:hideMark/>
          </w:tcPr>
          <w:p w:rsidR="00B26C61" w:rsidRDefault="00B26C61" w:rsidP="00EA3146">
            <w:pPr>
              <w:jc w:val="right"/>
              <w:rPr>
                <w:rFonts w:cs="Calibri"/>
                <w:szCs w:val="18"/>
              </w:rPr>
            </w:pPr>
            <w:r>
              <w:rPr>
                <w:rFonts w:cs="Calibri"/>
                <w:szCs w:val="18"/>
              </w:rPr>
              <w:t> </w:t>
            </w:r>
          </w:p>
        </w:tc>
        <w:tc>
          <w:tcPr>
            <w:tcW w:w="102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2014</w:t>
            </w:r>
          </w:p>
        </w:tc>
        <w:tc>
          <w:tcPr>
            <w:tcW w:w="102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55"/>
        </w:trPr>
        <w:tc>
          <w:tcPr>
            <w:tcW w:w="3853"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7"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5"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szCs w:val="18"/>
              </w:rPr>
            </w:pPr>
            <w:r>
              <w:rPr>
                <w:rFonts w:cs="Calibri"/>
                <w:szCs w:val="18"/>
              </w:rPr>
              <w:t> </w:t>
            </w:r>
          </w:p>
        </w:tc>
        <w:tc>
          <w:tcPr>
            <w:tcW w:w="1025"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szCs w:val="18"/>
              </w:rPr>
            </w:pPr>
            <w:r>
              <w:rPr>
                <w:rFonts w:cs="Calibri"/>
                <w:szCs w:val="18"/>
              </w:rPr>
              <w:t> </w:t>
            </w:r>
          </w:p>
        </w:tc>
        <w:tc>
          <w:tcPr>
            <w:tcW w:w="1025"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025"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3853"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Loans and receivables</w:t>
            </w:r>
          </w:p>
        </w:tc>
        <w:tc>
          <w:tcPr>
            <w:tcW w:w="1027"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25" w:type="dxa"/>
            <w:tcBorders>
              <w:top w:val="nil"/>
              <w:left w:val="nil"/>
              <w:bottom w:val="nil"/>
              <w:right w:val="nil"/>
            </w:tcBorders>
            <w:shd w:val="clear" w:color="000000" w:fill="D9D9D9"/>
            <w:vAlign w:val="bottom"/>
            <w:hideMark/>
          </w:tcPr>
          <w:p w:rsidR="00B26C61" w:rsidRDefault="00B26C61" w:rsidP="00EA3146">
            <w:pPr>
              <w:jc w:val="right"/>
              <w:rPr>
                <w:rFonts w:cs="Calibri"/>
                <w:szCs w:val="18"/>
              </w:rPr>
            </w:pPr>
            <w:r>
              <w:rPr>
                <w:rFonts w:cs="Calibri"/>
                <w:szCs w:val="18"/>
              </w:rPr>
              <w:t> </w:t>
            </w:r>
          </w:p>
        </w:tc>
        <w:tc>
          <w:tcPr>
            <w:tcW w:w="1025" w:type="dxa"/>
            <w:tcBorders>
              <w:top w:val="nil"/>
              <w:left w:val="nil"/>
              <w:bottom w:val="nil"/>
              <w:right w:val="nil"/>
            </w:tcBorders>
            <w:shd w:val="clear" w:color="000000" w:fill="D9D9D9"/>
            <w:vAlign w:val="bottom"/>
            <w:hideMark/>
          </w:tcPr>
          <w:p w:rsidR="00B26C61" w:rsidRDefault="00B26C61" w:rsidP="00EA3146">
            <w:pPr>
              <w:jc w:val="right"/>
              <w:rPr>
                <w:rFonts w:cs="Calibri"/>
                <w:szCs w:val="18"/>
              </w:rPr>
            </w:pPr>
            <w:r>
              <w:rPr>
                <w:rFonts w:cs="Calibri"/>
                <w:szCs w:val="18"/>
              </w:rPr>
              <w:t> </w:t>
            </w:r>
          </w:p>
        </w:tc>
        <w:tc>
          <w:tcPr>
            <w:tcW w:w="1025"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5"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3853"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Goods and services receivables</w:t>
            </w:r>
          </w:p>
        </w:tc>
        <w:tc>
          <w:tcPr>
            <w:tcW w:w="1027"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 </w:t>
            </w:r>
          </w:p>
        </w:tc>
        <w:tc>
          <w:tcPr>
            <w:tcW w:w="1025" w:type="dxa"/>
            <w:tcBorders>
              <w:top w:val="nil"/>
              <w:left w:val="nil"/>
              <w:bottom w:val="nil"/>
              <w:right w:val="nil"/>
            </w:tcBorders>
            <w:shd w:val="clear" w:color="000000" w:fill="D9D9D9"/>
            <w:vAlign w:val="bottom"/>
            <w:hideMark/>
          </w:tcPr>
          <w:p w:rsidR="00B26C61" w:rsidRDefault="00B26C61" w:rsidP="00EA3146">
            <w:pPr>
              <w:jc w:val="right"/>
              <w:rPr>
                <w:rFonts w:cs="Calibri"/>
                <w:szCs w:val="18"/>
              </w:rPr>
            </w:pPr>
            <w:r>
              <w:rPr>
                <w:rFonts w:cs="Calibri"/>
                <w:szCs w:val="18"/>
              </w:rPr>
              <w:t> </w:t>
            </w:r>
          </w:p>
        </w:tc>
        <w:tc>
          <w:tcPr>
            <w:tcW w:w="1025" w:type="dxa"/>
            <w:tcBorders>
              <w:top w:val="nil"/>
              <w:left w:val="nil"/>
              <w:bottom w:val="nil"/>
              <w:right w:val="nil"/>
            </w:tcBorders>
            <w:shd w:val="clear" w:color="000000" w:fill="D9D9D9"/>
            <w:vAlign w:val="bottom"/>
            <w:hideMark/>
          </w:tcPr>
          <w:p w:rsidR="00B26C61" w:rsidRDefault="00B26C61" w:rsidP="00EA3146">
            <w:pPr>
              <w:jc w:val="right"/>
              <w:rPr>
                <w:rFonts w:cs="Calibri"/>
                <w:szCs w:val="18"/>
              </w:rPr>
            </w:pPr>
            <w:r>
              <w:rPr>
                <w:rFonts w:cs="Calibri"/>
                <w:szCs w:val="18"/>
              </w:rPr>
              <w:t> </w:t>
            </w:r>
          </w:p>
        </w:tc>
        <w:tc>
          <w:tcPr>
            <w:tcW w:w="102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 </w:t>
            </w:r>
          </w:p>
        </w:tc>
        <w:tc>
          <w:tcPr>
            <w:tcW w:w="102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542 </w:t>
            </w:r>
          </w:p>
        </w:tc>
      </w:tr>
      <w:tr w:rsidR="00B26C61" w:rsidTr="00EA3146">
        <w:trPr>
          <w:trHeight w:val="255"/>
        </w:trPr>
        <w:tc>
          <w:tcPr>
            <w:tcW w:w="3853"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rPr>
                <w:rFonts w:cs="Calibri"/>
                <w:b/>
                <w:bCs/>
                <w:szCs w:val="18"/>
              </w:rPr>
            </w:pPr>
            <w:r>
              <w:rPr>
                <w:rFonts w:cs="Calibri"/>
                <w:b/>
                <w:bCs/>
                <w:szCs w:val="18"/>
              </w:rPr>
              <w:t>Total</w:t>
            </w:r>
          </w:p>
        </w:tc>
        <w:tc>
          <w:tcPr>
            <w:tcW w:w="1027"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rPr>
                <w:rFonts w:cs="Calibri"/>
                <w:szCs w:val="18"/>
              </w:rPr>
            </w:pPr>
            <w:r>
              <w:rPr>
                <w:rFonts w:cs="Calibri"/>
                <w:szCs w:val="18"/>
              </w:rPr>
              <w:t> </w:t>
            </w:r>
          </w:p>
        </w:tc>
        <w:tc>
          <w:tcPr>
            <w:tcW w:w="1025"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jc w:val="right"/>
              <w:rPr>
                <w:rFonts w:cs="Calibri"/>
                <w:szCs w:val="18"/>
              </w:rPr>
            </w:pPr>
            <w:r>
              <w:rPr>
                <w:rFonts w:cs="Calibri"/>
                <w:szCs w:val="18"/>
              </w:rPr>
              <w:t> </w:t>
            </w:r>
          </w:p>
        </w:tc>
        <w:tc>
          <w:tcPr>
            <w:tcW w:w="1025"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jc w:val="right"/>
              <w:rPr>
                <w:rFonts w:cs="Calibri"/>
                <w:szCs w:val="18"/>
              </w:rPr>
            </w:pPr>
            <w:r>
              <w:rPr>
                <w:rFonts w:cs="Calibri"/>
                <w:szCs w:val="18"/>
              </w:rPr>
              <w:t> </w:t>
            </w:r>
          </w:p>
        </w:tc>
        <w:tc>
          <w:tcPr>
            <w:tcW w:w="1025"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w:t>
            </w:r>
          </w:p>
        </w:tc>
        <w:tc>
          <w:tcPr>
            <w:tcW w:w="1025"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542</w:t>
            </w:r>
          </w:p>
        </w:tc>
      </w:tr>
      <w:tr w:rsidR="00B26C61" w:rsidTr="00EA3146">
        <w:trPr>
          <w:trHeight w:val="255"/>
        </w:trPr>
        <w:tc>
          <w:tcPr>
            <w:tcW w:w="3853"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7"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5"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5"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5"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5"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8980" w:type="dxa"/>
            <w:gridSpan w:val="6"/>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Ageing of financial assets that were past due but not impaired for 2014</w:t>
            </w:r>
          </w:p>
        </w:tc>
      </w:tr>
      <w:tr w:rsidR="00B26C61" w:rsidTr="00EA3146">
        <w:trPr>
          <w:trHeight w:val="255"/>
        </w:trPr>
        <w:tc>
          <w:tcPr>
            <w:tcW w:w="3853" w:type="dxa"/>
            <w:tcBorders>
              <w:top w:val="single" w:sz="4" w:space="0" w:color="auto"/>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7" w:type="dxa"/>
            <w:tcBorders>
              <w:top w:val="single" w:sz="4" w:space="0" w:color="auto"/>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xml:space="preserve">0 to 30 </w:t>
            </w:r>
          </w:p>
        </w:tc>
        <w:tc>
          <w:tcPr>
            <w:tcW w:w="1025" w:type="dxa"/>
            <w:tcBorders>
              <w:top w:val="single" w:sz="4" w:space="0" w:color="auto"/>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31 to 60</w:t>
            </w:r>
          </w:p>
        </w:tc>
        <w:tc>
          <w:tcPr>
            <w:tcW w:w="1025" w:type="dxa"/>
            <w:tcBorders>
              <w:top w:val="single" w:sz="4" w:space="0" w:color="auto"/>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61 to 90</w:t>
            </w:r>
          </w:p>
        </w:tc>
        <w:tc>
          <w:tcPr>
            <w:tcW w:w="1025" w:type="dxa"/>
            <w:tcBorders>
              <w:top w:val="single" w:sz="4" w:space="0" w:color="auto"/>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90+</w:t>
            </w:r>
          </w:p>
        </w:tc>
        <w:tc>
          <w:tcPr>
            <w:tcW w:w="1025" w:type="dxa"/>
            <w:tcBorders>
              <w:top w:val="single" w:sz="4" w:space="0" w:color="auto"/>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3853"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7"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days</w:t>
            </w:r>
          </w:p>
        </w:tc>
        <w:tc>
          <w:tcPr>
            <w:tcW w:w="102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days</w:t>
            </w:r>
          </w:p>
        </w:tc>
        <w:tc>
          <w:tcPr>
            <w:tcW w:w="102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days</w:t>
            </w:r>
          </w:p>
        </w:tc>
        <w:tc>
          <w:tcPr>
            <w:tcW w:w="102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days</w:t>
            </w:r>
          </w:p>
        </w:tc>
        <w:tc>
          <w:tcPr>
            <w:tcW w:w="102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Total</w:t>
            </w:r>
          </w:p>
        </w:tc>
      </w:tr>
      <w:tr w:rsidR="00B26C61" w:rsidTr="00EA3146">
        <w:trPr>
          <w:trHeight w:val="255"/>
        </w:trPr>
        <w:tc>
          <w:tcPr>
            <w:tcW w:w="3853" w:type="dxa"/>
            <w:tcBorders>
              <w:top w:val="nil"/>
              <w:left w:val="nil"/>
              <w:bottom w:val="single" w:sz="4" w:space="0" w:color="auto"/>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27"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025"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025"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025"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025"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3853" w:type="dxa"/>
            <w:tcBorders>
              <w:top w:val="nil"/>
              <w:left w:val="nil"/>
              <w:bottom w:val="nil"/>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Goods and services receivables</w:t>
            </w:r>
          </w:p>
        </w:tc>
        <w:tc>
          <w:tcPr>
            <w:tcW w:w="1027"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24 </w:t>
            </w:r>
          </w:p>
        </w:tc>
        <w:tc>
          <w:tcPr>
            <w:tcW w:w="102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125 </w:t>
            </w:r>
          </w:p>
        </w:tc>
        <w:tc>
          <w:tcPr>
            <w:tcW w:w="102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85 </w:t>
            </w:r>
          </w:p>
        </w:tc>
        <w:tc>
          <w:tcPr>
            <w:tcW w:w="102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167 </w:t>
            </w:r>
          </w:p>
        </w:tc>
        <w:tc>
          <w:tcPr>
            <w:tcW w:w="102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401 </w:t>
            </w:r>
          </w:p>
        </w:tc>
      </w:tr>
      <w:tr w:rsidR="00B26C61" w:rsidTr="00EA3146">
        <w:trPr>
          <w:trHeight w:val="255"/>
        </w:trPr>
        <w:tc>
          <w:tcPr>
            <w:tcW w:w="3853"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rPr>
                <w:rFonts w:cs="Calibri"/>
                <w:b/>
                <w:bCs/>
                <w:szCs w:val="18"/>
              </w:rPr>
            </w:pPr>
            <w:r>
              <w:rPr>
                <w:rFonts w:cs="Calibri"/>
                <w:b/>
                <w:bCs/>
                <w:szCs w:val="18"/>
              </w:rPr>
              <w:t>Total</w:t>
            </w:r>
          </w:p>
        </w:tc>
        <w:tc>
          <w:tcPr>
            <w:tcW w:w="1027"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24</w:t>
            </w:r>
          </w:p>
        </w:tc>
        <w:tc>
          <w:tcPr>
            <w:tcW w:w="1025"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125</w:t>
            </w:r>
          </w:p>
        </w:tc>
        <w:tc>
          <w:tcPr>
            <w:tcW w:w="1025"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85</w:t>
            </w:r>
          </w:p>
        </w:tc>
        <w:tc>
          <w:tcPr>
            <w:tcW w:w="1025"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167</w:t>
            </w:r>
          </w:p>
        </w:tc>
        <w:tc>
          <w:tcPr>
            <w:tcW w:w="1025"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401</w:t>
            </w:r>
          </w:p>
        </w:tc>
      </w:tr>
    </w:tbl>
    <w:p w:rsidR="00B26C61" w:rsidRDefault="00B26C61" w:rsidP="00B26C61">
      <w:pPr>
        <w:spacing w:line="240" w:lineRule="auto"/>
      </w:pPr>
      <w:bookmarkStart w:id="389" w:name="RANGE!D11:I31"/>
      <w:bookmarkStart w:id="390" w:name="RANGE!D14:I34"/>
      <w:bookmarkStart w:id="391" w:name="RANGE!D22:I42"/>
      <w:bookmarkStart w:id="392" w:name="RANGE!D23:I44"/>
      <w:bookmarkEnd w:id="389"/>
      <w:bookmarkEnd w:id="390"/>
      <w:bookmarkEnd w:id="391"/>
      <w:bookmarkEnd w:id="392"/>
      <w:r>
        <w:br w:type="page"/>
      </w:r>
    </w:p>
    <w:tbl>
      <w:tblPr>
        <w:tblW w:w="9087" w:type="dxa"/>
        <w:tblInd w:w="80" w:type="dxa"/>
        <w:tblLayout w:type="fixed"/>
        <w:tblLook w:val="04A0" w:firstRow="1" w:lastRow="0" w:firstColumn="1" w:lastColumn="0" w:noHBand="0" w:noVBand="1"/>
      </w:tblPr>
      <w:tblGrid>
        <w:gridCol w:w="2875"/>
        <w:gridCol w:w="1037"/>
        <w:gridCol w:w="1035"/>
        <w:gridCol w:w="1035"/>
        <w:gridCol w:w="1035"/>
        <w:gridCol w:w="1035"/>
        <w:gridCol w:w="1035"/>
      </w:tblGrid>
      <w:tr w:rsidR="00B26C61" w:rsidTr="00EA3146">
        <w:trPr>
          <w:trHeight w:val="255"/>
        </w:trPr>
        <w:tc>
          <w:tcPr>
            <w:tcW w:w="2875"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393" w:name="Note_AFLTABLE1" w:colFirst="0" w:colLast="0"/>
            <w:r>
              <w:rPr>
                <w:rFonts w:cs="Calibri"/>
                <w:b/>
                <w:bCs/>
                <w:szCs w:val="18"/>
                <w:u w:val="single"/>
              </w:rPr>
              <w:lastRenderedPageBreak/>
              <w:t xml:space="preserve">Note </w:t>
            </w:r>
            <w:proofErr w:type="spellStart"/>
            <w:r>
              <w:rPr>
                <w:rFonts w:cs="Calibri"/>
                <w:b/>
                <w:bCs/>
                <w:szCs w:val="18"/>
                <w:u w:val="single"/>
              </w:rPr>
              <w:t>25E</w:t>
            </w:r>
            <w:proofErr w:type="spellEnd"/>
            <w:r>
              <w:rPr>
                <w:rFonts w:cs="Calibri"/>
                <w:b/>
                <w:bCs/>
                <w:szCs w:val="18"/>
                <w:u w:val="single"/>
              </w:rPr>
              <w:t>: Liquidity Risk</w:t>
            </w:r>
          </w:p>
        </w:tc>
        <w:tc>
          <w:tcPr>
            <w:tcW w:w="1037"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5"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5"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5"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5"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5"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393"/>
      <w:tr w:rsidR="00B26C61" w:rsidTr="00EA3146">
        <w:trPr>
          <w:trHeight w:val="1485"/>
        </w:trPr>
        <w:tc>
          <w:tcPr>
            <w:tcW w:w="9087" w:type="dxa"/>
            <w:gridSpan w:val="7"/>
            <w:tcBorders>
              <w:top w:val="single" w:sz="4" w:space="0" w:color="D9D9D9"/>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The department's financial liabilities were trade creditors and grants.  The exposure to liquidity risk is based on the notion that the department would encounter difficulty in meeting its obligations associated with financial liabilities.  This was highly unlikely as the department was appropriated funding from the Australian Government and the department manages its budgeted funds to ensure it had adequate funds to meet payments as they fall due.  In addition, the department has policies in place to ensure timely payments were made when due and has no past experience of default.</w:t>
            </w:r>
          </w:p>
        </w:tc>
      </w:tr>
      <w:tr w:rsidR="00B26C61" w:rsidTr="00EA3146">
        <w:trPr>
          <w:trHeight w:val="255"/>
        </w:trPr>
        <w:tc>
          <w:tcPr>
            <w:tcW w:w="2875"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037"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9087" w:type="dxa"/>
            <w:gridSpan w:val="7"/>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Maturities for non-derivative financial liabilities in 2014</w:t>
            </w:r>
          </w:p>
        </w:tc>
      </w:tr>
      <w:tr w:rsidR="00B26C61" w:rsidTr="00EA3146">
        <w:trPr>
          <w:trHeight w:val="480"/>
        </w:trPr>
        <w:tc>
          <w:tcPr>
            <w:tcW w:w="2875"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7"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On</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xml:space="preserve">Within one </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Between one to two</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Between two to five</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More than</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2875"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7"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demand</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year</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years</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years</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five years</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Total</w:t>
            </w:r>
          </w:p>
        </w:tc>
      </w:tr>
      <w:tr w:rsidR="00B26C61" w:rsidTr="00EA3146">
        <w:trPr>
          <w:trHeight w:val="255"/>
        </w:trPr>
        <w:tc>
          <w:tcPr>
            <w:tcW w:w="2875" w:type="dxa"/>
            <w:tcBorders>
              <w:top w:val="nil"/>
              <w:left w:val="nil"/>
              <w:bottom w:val="nil"/>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7"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2875"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Financial Liabilities</w:t>
            </w:r>
          </w:p>
        </w:tc>
        <w:tc>
          <w:tcPr>
            <w:tcW w:w="1037"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w:t>
            </w:r>
          </w:p>
        </w:tc>
      </w:tr>
      <w:tr w:rsidR="00B26C61" w:rsidTr="00EA3146">
        <w:trPr>
          <w:trHeight w:val="255"/>
        </w:trPr>
        <w:tc>
          <w:tcPr>
            <w:tcW w:w="2875"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Trade creditors</w:t>
            </w:r>
          </w:p>
        </w:tc>
        <w:tc>
          <w:tcPr>
            <w:tcW w:w="1037"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03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21,641 </w:t>
            </w:r>
          </w:p>
        </w:tc>
        <w:tc>
          <w:tcPr>
            <w:tcW w:w="103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03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03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03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21,641 </w:t>
            </w:r>
          </w:p>
        </w:tc>
      </w:tr>
      <w:tr w:rsidR="00B26C61" w:rsidTr="00EA3146">
        <w:trPr>
          <w:trHeight w:val="255"/>
        </w:trPr>
        <w:tc>
          <w:tcPr>
            <w:tcW w:w="2875"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Grants payables</w:t>
            </w:r>
          </w:p>
        </w:tc>
        <w:tc>
          <w:tcPr>
            <w:tcW w:w="1037"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03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459 </w:t>
            </w:r>
          </w:p>
        </w:tc>
        <w:tc>
          <w:tcPr>
            <w:tcW w:w="103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03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03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035"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459 </w:t>
            </w:r>
          </w:p>
        </w:tc>
      </w:tr>
      <w:tr w:rsidR="00B26C61" w:rsidTr="00EA3146">
        <w:trPr>
          <w:trHeight w:val="255"/>
        </w:trPr>
        <w:tc>
          <w:tcPr>
            <w:tcW w:w="2875" w:type="dxa"/>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Total</w:t>
            </w:r>
          </w:p>
        </w:tc>
        <w:tc>
          <w:tcPr>
            <w:tcW w:w="1037"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035"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22,100</w:t>
            </w:r>
          </w:p>
        </w:tc>
        <w:tc>
          <w:tcPr>
            <w:tcW w:w="1035"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035"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035"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w:t>
            </w:r>
          </w:p>
        </w:tc>
        <w:tc>
          <w:tcPr>
            <w:tcW w:w="1035"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22,100</w:t>
            </w:r>
          </w:p>
        </w:tc>
      </w:tr>
      <w:tr w:rsidR="00B26C61" w:rsidTr="00EA3146">
        <w:trPr>
          <w:trHeight w:val="255"/>
        </w:trPr>
        <w:tc>
          <w:tcPr>
            <w:tcW w:w="9087" w:type="dxa"/>
            <w:gridSpan w:val="7"/>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The department has no derivative financial liabilities in the current year.</w:t>
            </w:r>
          </w:p>
        </w:tc>
      </w:tr>
      <w:tr w:rsidR="00B26C61" w:rsidTr="00EA3146">
        <w:trPr>
          <w:trHeight w:val="255"/>
        </w:trPr>
        <w:tc>
          <w:tcPr>
            <w:tcW w:w="2875"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037"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035"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r>
    </w:tbl>
    <w:p w:rsidR="00B26C61" w:rsidRDefault="00B26C61" w:rsidP="00B26C61">
      <w:pPr>
        <w:pStyle w:val="GreyShadeTableBreak"/>
      </w:pPr>
      <w:bookmarkStart w:id="394" w:name="RANGE!D7:J31"/>
      <w:bookmarkStart w:id="395" w:name="RANGE!D7:J32"/>
      <w:bookmarkStart w:id="396" w:name="RANGE!D7:J33"/>
      <w:bookmarkStart w:id="397" w:name="RANGE!D6:J32"/>
      <w:bookmarkEnd w:id="394"/>
      <w:bookmarkEnd w:id="395"/>
      <w:bookmarkEnd w:id="396"/>
      <w:bookmarkEnd w:id="397"/>
    </w:p>
    <w:tbl>
      <w:tblPr>
        <w:tblW w:w="9087" w:type="dxa"/>
        <w:tblInd w:w="80" w:type="dxa"/>
        <w:tblLayout w:type="fixed"/>
        <w:tblLook w:val="04A0" w:firstRow="1" w:lastRow="0" w:firstColumn="1" w:lastColumn="0" w:noHBand="0" w:noVBand="1"/>
      </w:tblPr>
      <w:tblGrid>
        <w:gridCol w:w="5637"/>
        <w:gridCol w:w="1150"/>
        <w:gridCol w:w="1150"/>
        <w:gridCol w:w="1150"/>
      </w:tblGrid>
      <w:tr w:rsidR="00B26C61" w:rsidTr="00EA3146">
        <w:trPr>
          <w:trHeight w:val="255"/>
        </w:trPr>
        <w:tc>
          <w:tcPr>
            <w:tcW w:w="507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bookmarkStart w:id="398" w:name="RANGE!D7:D9"/>
            <w:bookmarkStart w:id="399" w:name="Note_AFKTABLE1" w:colFirst="0" w:colLast="0"/>
            <w:r>
              <w:rPr>
                <w:rFonts w:cs="Calibri"/>
                <w:b/>
                <w:bCs/>
                <w:szCs w:val="18"/>
                <w:u w:val="single"/>
              </w:rPr>
              <w:t xml:space="preserve">Note </w:t>
            </w:r>
            <w:proofErr w:type="spellStart"/>
            <w:r>
              <w:rPr>
                <w:rFonts w:cs="Calibri"/>
                <w:b/>
                <w:bCs/>
                <w:szCs w:val="18"/>
                <w:u w:val="single"/>
              </w:rPr>
              <w:t>25F</w:t>
            </w:r>
            <w:proofErr w:type="spellEnd"/>
            <w:r>
              <w:rPr>
                <w:rFonts w:cs="Calibri"/>
                <w:b/>
                <w:bCs/>
                <w:szCs w:val="18"/>
                <w:u w:val="single"/>
              </w:rPr>
              <w:t>: Market Risk</w:t>
            </w:r>
            <w:bookmarkEnd w:id="398"/>
          </w:p>
        </w:tc>
        <w:tc>
          <w:tcPr>
            <w:tcW w:w="103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bookmarkEnd w:id="399"/>
      <w:tr w:rsidR="00B26C61" w:rsidTr="00EA3146">
        <w:trPr>
          <w:trHeight w:val="255"/>
        </w:trPr>
        <w:tc>
          <w:tcPr>
            <w:tcW w:w="507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03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480"/>
        </w:trPr>
        <w:tc>
          <w:tcPr>
            <w:tcW w:w="8184" w:type="dxa"/>
            <w:gridSpan w:val="4"/>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 xml:space="preserve">The department held basic financial instruments that did not expose it to certain market risks including to ‘currency risk’ and ‘other price risks’.  </w:t>
            </w:r>
          </w:p>
        </w:tc>
      </w:tr>
    </w:tbl>
    <w:p w:rsidR="00B26C61" w:rsidRDefault="00B26C61" w:rsidP="00B26C61">
      <w:pPr>
        <w:pStyle w:val="GreyShadeTableBreak"/>
      </w:pPr>
      <w:bookmarkStart w:id="400" w:name="RANGE!D6:J27"/>
      <w:bookmarkEnd w:id="400"/>
    </w:p>
    <w:p w:rsidR="00B26C61" w:rsidRDefault="00B26C61" w:rsidP="00B26C61">
      <w:pPr>
        <w:pStyle w:val="GreyShadeTableBreak"/>
      </w:pPr>
      <w:bookmarkStart w:id="401" w:name="RANGE!D7:G24"/>
      <w:bookmarkEnd w:id="401"/>
    </w:p>
    <w:p w:rsidR="00B26C61" w:rsidRDefault="00B26C61" w:rsidP="00B26C61">
      <w:pPr>
        <w:pStyle w:val="NotesHeading-Level1GreyShade"/>
        <w:numPr>
          <w:ilvl w:val="0"/>
          <w:numId w:val="13"/>
        </w:numPr>
        <w:ind w:left="0" w:right="595" w:firstLine="0"/>
      </w:pPr>
      <w:bookmarkStart w:id="402" w:name="RANGE!D6:F24"/>
      <w:bookmarkStart w:id="403" w:name="RANGE!D6:F25"/>
      <w:bookmarkStart w:id="404" w:name="RANGE!D6:F22"/>
      <w:bookmarkStart w:id="405" w:name="RANGE!D6:F23"/>
      <w:bookmarkStart w:id="406" w:name="_Toc398813168"/>
      <w:bookmarkEnd w:id="402"/>
      <w:bookmarkEnd w:id="403"/>
      <w:bookmarkEnd w:id="404"/>
      <w:bookmarkEnd w:id="405"/>
      <w:r>
        <w:t>Administered - Financial Assets Reconciliation</w:t>
      </w:r>
      <w:bookmarkEnd w:id="406"/>
      <w:r>
        <w:t xml:space="preserve"> </w:t>
      </w:r>
    </w:p>
    <w:tbl>
      <w:tblPr>
        <w:tblW w:w="9087" w:type="dxa"/>
        <w:tblInd w:w="80" w:type="dxa"/>
        <w:tblLayout w:type="fixed"/>
        <w:tblLook w:val="04A0" w:firstRow="1" w:lastRow="0" w:firstColumn="1" w:lastColumn="0" w:noHBand="0" w:noVBand="1"/>
      </w:tblPr>
      <w:tblGrid>
        <w:gridCol w:w="6259"/>
        <w:gridCol w:w="971"/>
        <w:gridCol w:w="1857"/>
      </w:tblGrid>
      <w:tr w:rsidR="00B26C61" w:rsidTr="00EA3146">
        <w:trPr>
          <w:trHeight w:val="240"/>
        </w:trPr>
        <w:tc>
          <w:tcPr>
            <w:tcW w:w="423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bookmarkStart w:id="407" w:name="RANGE!D7:H8"/>
            <w:bookmarkStart w:id="408" w:name="Note_AARTABLE1" w:colFirst="0" w:colLast="0"/>
            <w:r>
              <w:rPr>
                <w:rFonts w:ascii="Arial" w:hAnsi="Arial" w:cs="Arial"/>
                <w:sz w:val="16"/>
                <w:szCs w:val="16"/>
              </w:rPr>
              <w:t> </w:t>
            </w:r>
            <w:bookmarkEnd w:id="407"/>
          </w:p>
        </w:tc>
        <w:tc>
          <w:tcPr>
            <w:tcW w:w="657"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7"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2014</w:t>
            </w:r>
          </w:p>
        </w:tc>
      </w:tr>
      <w:bookmarkEnd w:id="408"/>
      <w:tr w:rsidR="00B26C61" w:rsidTr="00EA3146">
        <w:trPr>
          <w:trHeight w:val="240"/>
        </w:trPr>
        <w:tc>
          <w:tcPr>
            <w:tcW w:w="423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657"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7"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40"/>
        </w:trPr>
        <w:tc>
          <w:tcPr>
            <w:tcW w:w="4236" w:type="dxa"/>
            <w:tcBorders>
              <w:top w:val="nil"/>
              <w:left w:val="nil"/>
              <w:bottom w:val="nil"/>
              <w:right w:val="nil"/>
            </w:tcBorders>
            <w:shd w:val="clear" w:color="000000" w:fill="D9D9D9"/>
            <w:noWrap/>
            <w:hideMark/>
          </w:tcPr>
          <w:p w:rsidR="00B26C61" w:rsidRDefault="00B26C61" w:rsidP="00EA3146">
            <w:pPr>
              <w:rPr>
                <w:rFonts w:cs="Calibri"/>
                <w:b/>
                <w:bCs/>
                <w:szCs w:val="18"/>
                <w:u w:val="single"/>
              </w:rPr>
            </w:pPr>
            <w:r>
              <w:rPr>
                <w:rFonts w:cs="Calibri"/>
                <w:b/>
                <w:bCs/>
                <w:szCs w:val="18"/>
                <w:u w:val="single"/>
              </w:rPr>
              <w:t>Financial assets</w:t>
            </w:r>
          </w:p>
        </w:tc>
        <w:tc>
          <w:tcPr>
            <w:tcW w:w="657" w:type="dxa"/>
            <w:tcBorders>
              <w:top w:val="nil"/>
              <w:left w:val="nil"/>
              <w:bottom w:val="nil"/>
              <w:right w:val="nil"/>
            </w:tcBorders>
            <w:shd w:val="clear" w:color="000000" w:fill="D9D9D9"/>
            <w:vAlign w:val="bottom"/>
            <w:hideMark/>
          </w:tcPr>
          <w:p w:rsidR="00B26C61" w:rsidRDefault="00B26C61" w:rsidP="00EA3146">
            <w:pPr>
              <w:jc w:val="center"/>
              <w:rPr>
                <w:rFonts w:cs="Calibri"/>
                <w:b/>
                <w:bCs/>
                <w:szCs w:val="18"/>
              </w:rPr>
            </w:pPr>
            <w:r>
              <w:rPr>
                <w:rFonts w:cs="Calibri"/>
                <w:b/>
                <w:bCs/>
                <w:szCs w:val="18"/>
              </w:rPr>
              <w:t>Notes</w:t>
            </w:r>
          </w:p>
        </w:tc>
        <w:tc>
          <w:tcPr>
            <w:tcW w:w="1257"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40"/>
        </w:trPr>
        <w:tc>
          <w:tcPr>
            <w:tcW w:w="423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657"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c>
          <w:tcPr>
            <w:tcW w:w="1257"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510"/>
        </w:trPr>
        <w:tc>
          <w:tcPr>
            <w:tcW w:w="423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Total financial assets as per Administered Schedule of Assets and Liabilities</w:t>
            </w:r>
          </w:p>
        </w:tc>
        <w:tc>
          <w:tcPr>
            <w:tcW w:w="657"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7"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168,817</w:t>
            </w:r>
          </w:p>
        </w:tc>
      </w:tr>
      <w:tr w:rsidR="00B26C61" w:rsidTr="00EA3146">
        <w:trPr>
          <w:trHeight w:val="240"/>
        </w:trPr>
        <w:tc>
          <w:tcPr>
            <w:tcW w:w="423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Less: non-financial instrument components</w:t>
            </w:r>
          </w:p>
        </w:tc>
        <w:tc>
          <w:tcPr>
            <w:tcW w:w="657"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57"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40"/>
        </w:trPr>
        <w:tc>
          <w:tcPr>
            <w:tcW w:w="423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GST receivable from Australian Taxation Office</w:t>
            </w:r>
          </w:p>
        </w:tc>
        <w:tc>
          <w:tcPr>
            <w:tcW w:w="657" w:type="dxa"/>
            <w:tcBorders>
              <w:top w:val="nil"/>
              <w:left w:val="nil"/>
              <w:bottom w:val="nil"/>
              <w:right w:val="nil"/>
            </w:tcBorders>
            <w:shd w:val="clear" w:color="000000" w:fill="D9D9D9"/>
            <w:noWrap/>
            <w:vAlign w:val="bottom"/>
            <w:hideMark/>
          </w:tcPr>
          <w:p w:rsidR="00B26C61" w:rsidRDefault="00B26C61" w:rsidP="00EA3146">
            <w:pPr>
              <w:jc w:val="center"/>
              <w:rPr>
                <w:rFonts w:cs="Calibri"/>
                <w:szCs w:val="18"/>
              </w:rPr>
            </w:pPr>
            <w:proofErr w:type="spellStart"/>
            <w:r>
              <w:rPr>
                <w:rFonts w:cs="Calibri"/>
                <w:szCs w:val="18"/>
              </w:rPr>
              <w:t>20B</w:t>
            </w:r>
            <w:proofErr w:type="spellEnd"/>
          </w:p>
        </w:tc>
        <w:tc>
          <w:tcPr>
            <w:tcW w:w="1257"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9,731 </w:t>
            </w:r>
          </w:p>
        </w:tc>
      </w:tr>
      <w:tr w:rsidR="00B26C61" w:rsidTr="00EA3146">
        <w:trPr>
          <w:trHeight w:val="240"/>
        </w:trPr>
        <w:tc>
          <w:tcPr>
            <w:tcW w:w="4236" w:type="dxa"/>
            <w:tcBorders>
              <w:top w:val="nil"/>
              <w:left w:val="nil"/>
              <w:bottom w:val="single" w:sz="4" w:space="0" w:color="D9D9D9"/>
              <w:right w:val="nil"/>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Taxation receivables</w:t>
            </w:r>
          </w:p>
        </w:tc>
        <w:tc>
          <w:tcPr>
            <w:tcW w:w="657" w:type="dxa"/>
            <w:tcBorders>
              <w:top w:val="nil"/>
              <w:left w:val="nil"/>
              <w:bottom w:val="nil"/>
              <w:right w:val="nil"/>
            </w:tcBorders>
            <w:shd w:val="clear" w:color="000000" w:fill="D9D9D9"/>
            <w:noWrap/>
            <w:vAlign w:val="bottom"/>
            <w:hideMark/>
          </w:tcPr>
          <w:p w:rsidR="00B26C61" w:rsidRDefault="00B26C61" w:rsidP="00EA3146">
            <w:pPr>
              <w:jc w:val="center"/>
              <w:rPr>
                <w:rFonts w:cs="Calibri"/>
                <w:szCs w:val="18"/>
              </w:rPr>
            </w:pPr>
            <w:proofErr w:type="spellStart"/>
            <w:r>
              <w:rPr>
                <w:rFonts w:cs="Calibri"/>
                <w:szCs w:val="18"/>
              </w:rPr>
              <w:t>20B</w:t>
            </w:r>
            <w:proofErr w:type="spellEnd"/>
          </w:p>
        </w:tc>
        <w:tc>
          <w:tcPr>
            <w:tcW w:w="1257"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13,207 </w:t>
            </w:r>
          </w:p>
        </w:tc>
      </w:tr>
      <w:tr w:rsidR="00B26C61" w:rsidTr="00EA3146">
        <w:trPr>
          <w:trHeight w:val="240"/>
        </w:trPr>
        <w:tc>
          <w:tcPr>
            <w:tcW w:w="423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Total non-financial instrument components</w:t>
            </w:r>
          </w:p>
        </w:tc>
        <w:tc>
          <w:tcPr>
            <w:tcW w:w="657" w:type="dxa"/>
            <w:tcBorders>
              <w:top w:val="nil"/>
              <w:left w:val="nil"/>
              <w:bottom w:val="single" w:sz="4" w:space="0" w:color="D9D9D9"/>
              <w:right w:val="nil"/>
            </w:tcBorders>
            <w:shd w:val="clear" w:color="000000" w:fill="D9D9D9"/>
            <w:vAlign w:val="bottom"/>
            <w:hideMark/>
          </w:tcPr>
          <w:p w:rsidR="00B26C61" w:rsidRDefault="00B26C61" w:rsidP="00EA3146">
            <w:pPr>
              <w:rPr>
                <w:rFonts w:cs="Calibri"/>
                <w:b/>
                <w:bCs/>
                <w:szCs w:val="18"/>
              </w:rPr>
            </w:pPr>
            <w:r>
              <w:rPr>
                <w:rFonts w:cs="Calibri"/>
                <w:b/>
                <w:bCs/>
                <w:szCs w:val="18"/>
              </w:rPr>
              <w:t> </w:t>
            </w:r>
          </w:p>
        </w:tc>
        <w:tc>
          <w:tcPr>
            <w:tcW w:w="1257"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22,938</w:t>
            </w:r>
          </w:p>
        </w:tc>
      </w:tr>
      <w:tr w:rsidR="00B26C61" w:rsidTr="00EA3146">
        <w:trPr>
          <w:trHeight w:val="240"/>
        </w:trPr>
        <w:tc>
          <w:tcPr>
            <w:tcW w:w="4236" w:type="dxa"/>
            <w:tcBorders>
              <w:top w:val="single" w:sz="4" w:space="0" w:color="D9D9D9"/>
              <w:left w:val="nil"/>
              <w:bottom w:val="single" w:sz="24" w:space="0" w:color="D8D8D8"/>
              <w:right w:val="nil"/>
            </w:tcBorders>
            <w:shd w:val="clear" w:color="000000" w:fill="D9D9D9"/>
            <w:vAlign w:val="bottom"/>
            <w:hideMark/>
          </w:tcPr>
          <w:p w:rsidR="00B26C61" w:rsidRDefault="00B26C61" w:rsidP="00EA3146">
            <w:pPr>
              <w:rPr>
                <w:rFonts w:cs="Calibri"/>
                <w:b/>
                <w:bCs/>
                <w:szCs w:val="18"/>
              </w:rPr>
            </w:pPr>
            <w:r>
              <w:rPr>
                <w:rFonts w:cs="Calibri"/>
                <w:b/>
                <w:bCs/>
                <w:szCs w:val="18"/>
              </w:rPr>
              <w:t>Total financial assets as per financial instruments note</w:t>
            </w:r>
          </w:p>
        </w:tc>
        <w:tc>
          <w:tcPr>
            <w:tcW w:w="657" w:type="dxa"/>
            <w:tcBorders>
              <w:top w:val="single" w:sz="4" w:space="0" w:color="D9D9D9"/>
              <w:left w:val="nil"/>
              <w:bottom w:val="single" w:sz="24" w:space="0" w:color="D8D8D8"/>
              <w:right w:val="nil"/>
            </w:tcBorders>
            <w:shd w:val="clear" w:color="000000" w:fill="D9D9D9"/>
            <w:noWrap/>
            <w:vAlign w:val="bottom"/>
            <w:hideMark/>
          </w:tcPr>
          <w:p w:rsidR="00B26C61" w:rsidRDefault="00B26C61" w:rsidP="00EA3146">
            <w:pPr>
              <w:jc w:val="center"/>
              <w:rPr>
                <w:rFonts w:cs="Calibri"/>
                <w:szCs w:val="18"/>
              </w:rPr>
            </w:pPr>
            <w:proofErr w:type="spellStart"/>
            <w:r>
              <w:rPr>
                <w:rFonts w:cs="Calibri"/>
                <w:szCs w:val="18"/>
              </w:rPr>
              <w:t>25A</w:t>
            </w:r>
            <w:proofErr w:type="spellEnd"/>
          </w:p>
        </w:tc>
        <w:tc>
          <w:tcPr>
            <w:tcW w:w="1257" w:type="dxa"/>
            <w:tcBorders>
              <w:top w:val="nil"/>
              <w:left w:val="nil"/>
              <w:bottom w:val="double" w:sz="6"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145,879</w:t>
            </w:r>
          </w:p>
        </w:tc>
      </w:tr>
    </w:tbl>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pPr>
    </w:p>
    <w:p w:rsidR="00B26C61" w:rsidRDefault="00B26C61" w:rsidP="00B26C61">
      <w:pPr>
        <w:spacing w:line="240" w:lineRule="auto"/>
        <w:sectPr w:rsidR="00B26C61">
          <w:pgSz w:w="11906" w:h="16838"/>
          <w:pgMar w:top="1134" w:right="1134" w:bottom="1134" w:left="1134" w:header="958" w:footer="737" w:gutter="0"/>
          <w:cols w:space="720"/>
        </w:sectPr>
      </w:pPr>
    </w:p>
    <w:p w:rsidR="00B26C61" w:rsidRDefault="00B26C61" w:rsidP="00B26C61">
      <w:pPr>
        <w:spacing w:line="240" w:lineRule="auto"/>
      </w:pPr>
    </w:p>
    <w:p w:rsidR="00B26C61" w:rsidRPr="00B87FC3" w:rsidRDefault="00B26C61" w:rsidP="00B26C61">
      <w:pPr>
        <w:pStyle w:val="NotesHeading-Level1"/>
        <w:rPr>
          <w:rFonts w:cstheme="minorHAnsi"/>
        </w:rPr>
      </w:pPr>
      <w:bookmarkStart w:id="409" w:name="_Toc398813169"/>
      <w:r w:rsidRPr="00B87FC3">
        <w:rPr>
          <w:rFonts w:cstheme="minorHAnsi"/>
        </w:rPr>
        <w:t>A</w:t>
      </w:r>
      <w:r>
        <w:rPr>
          <w:rFonts w:cstheme="minorHAnsi"/>
        </w:rPr>
        <w:t>ppropriations</w:t>
      </w:r>
      <w:bookmarkEnd w:id="409"/>
    </w:p>
    <w:p w:rsidR="00B26C61" w:rsidRDefault="00B26C61" w:rsidP="00B26C61">
      <w:pPr>
        <w:spacing w:line="240" w:lineRule="auto"/>
      </w:pPr>
    </w:p>
    <w:tbl>
      <w:tblPr>
        <w:tblW w:w="13991" w:type="dxa"/>
        <w:tblInd w:w="80" w:type="dxa"/>
        <w:tblLayout w:type="fixed"/>
        <w:tblLook w:val="04A0" w:firstRow="1" w:lastRow="0" w:firstColumn="1" w:lastColumn="0" w:noHBand="0" w:noVBand="1"/>
      </w:tblPr>
      <w:tblGrid>
        <w:gridCol w:w="3043"/>
        <w:gridCol w:w="1376"/>
        <w:gridCol w:w="1376"/>
        <w:gridCol w:w="1119"/>
        <w:gridCol w:w="1118"/>
        <w:gridCol w:w="1119"/>
        <w:gridCol w:w="1117"/>
        <w:gridCol w:w="1301"/>
        <w:gridCol w:w="1305"/>
        <w:gridCol w:w="1117"/>
      </w:tblGrid>
      <w:tr w:rsidR="00B26C61" w:rsidTr="00EA3146">
        <w:trPr>
          <w:trHeight w:val="255"/>
        </w:trPr>
        <w:tc>
          <w:tcPr>
            <w:tcW w:w="5753" w:type="dxa"/>
            <w:gridSpan w:val="3"/>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410" w:name="Note_DAPTABLE1" w:colFirst="0" w:colLast="0"/>
            <w:r>
              <w:rPr>
                <w:rFonts w:cs="Calibri"/>
                <w:b/>
                <w:bCs/>
                <w:szCs w:val="18"/>
                <w:u w:val="single"/>
              </w:rPr>
              <w:t xml:space="preserve">Note </w:t>
            </w:r>
            <w:proofErr w:type="spellStart"/>
            <w:r>
              <w:rPr>
                <w:rFonts w:cs="Calibri"/>
                <w:b/>
                <w:bCs/>
                <w:szCs w:val="18"/>
                <w:u w:val="single"/>
              </w:rPr>
              <w:t>27A</w:t>
            </w:r>
            <w:proofErr w:type="spellEnd"/>
            <w:r>
              <w:rPr>
                <w:rFonts w:cs="Calibri"/>
                <w:b/>
                <w:bCs/>
                <w:szCs w:val="18"/>
                <w:u w:val="single"/>
              </w:rPr>
              <w:t>: Annual Appropriations ('Recoverable GST exclusive')</w:t>
            </w:r>
          </w:p>
        </w:tc>
        <w:tc>
          <w:tcPr>
            <w:tcW w:w="1111"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10"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11"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92"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bookmarkEnd w:id="410"/>
      <w:tr w:rsidR="00B26C61" w:rsidTr="00EA3146">
        <w:trPr>
          <w:trHeight w:val="255"/>
        </w:trPr>
        <w:tc>
          <w:tcPr>
            <w:tcW w:w="3021"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36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36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11"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10"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11"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92"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2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09"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3021" w:type="dxa"/>
            <w:tcBorders>
              <w:top w:val="single" w:sz="4" w:space="0" w:color="auto"/>
              <w:left w:val="single" w:sz="4" w:space="0" w:color="auto"/>
              <w:bottom w:val="nil"/>
              <w:right w:val="single" w:sz="4" w:space="0" w:color="auto"/>
            </w:tcBorders>
            <w:shd w:val="clear" w:color="FFFFFF" w:fill="FFFFFF"/>
            <w:vAlign w:val="bottom"/>
            <w:hideMark/>
          </w:tcPr>
          <w:p w:rsidR="00B26C61" w:rsidRDefault="00B26C61" w:rsidP="00EA3146">
            <w:pPr>
              <w:rPr>
                <w:rFonts w:cs="Calibri"/>
                <w:b/>
                <w:bCs/>
                <w:color w:val="000000"/>
                <w:sz w:val="16"/>
                <w:szCs w:val="16"/>
              </w:rPr>
            </w:pPr>
            <w:r>
              <w:rPr>
                <w:rFonts w:cs="Calibri"/>
                <w:b/>
                <w:bCs/>
                <w:color w:val="000000"/>
                <w:sz w:val="16"/>
                <w:szCs w:val="16"/>
              </w:rPr>
              <w:t> </w:t>
            </w:r>
          </w:p>
        </w:tc>
        <w:tc>
          <w:tcPr>
            <w:tcW w:w="8465" w:type="dxa"/>
            <w:gridSpan w:val="7"/>
            <w:tcBorders>
              <w:top w:val="single" w:sz="4" w:space="0" w:color="auto"/>
              <w:left w:val="nil"/>
              <w:bottom w:val="single" w:sz="4" w:space="0" w:color="auto"/>
              <w:right w:val="single" w:sz="4" w:space="0" w:color="000000"/>
            </w:tcBorders>
            <w:shd w:val="clear" w:color="FFFFFF" w:fill="FFFFFF"/>
            <w:vAlign w:val="bottom"/>
            <w:hideMark/>
          </w:tcPr>
          <w:p w:rsidR="00B26C61" w:rsidRDefault="00B26C61" w:rsidP="00EA3146">
            <w:pPr>
              <w:jc w:val="center"/>
              <w:rPr>
                <w:rFonts w:cs="Calibri"/>
                <w:b/>
                <w:bCs/>
                <w:sz w:val="16"/>
                <w:szCs w:val="16"/>
              </w:rPr>
            </w:pPr>
            <w:r>
              <w:rPr>
                <w:rFonts w:cs="Calibri"/>
                <w:b/>
                <w:bCs/>
                <w:sz w:val="16"/>
                <w:szCs w:val="16"/>
              </w:rPr>
              <w:t>2014 Appropriations</w:t>
            </w:r>
          </w:p>
        </w:tc>
        <w:tc>
          <w:tcPr>
            <w:tcW w:w="1296" w:type="dxa"/>
            <w:vMerge w:val="restart"/>
            <w:tcBorders>
              <w:top w:val="single" w:sz="4" w:space="0" w:color="auto"/>
              <w:left w:val="single" w:sz="4" w:space="0" w:color="auto"/>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Appropriation applied in 2014 (current and prior years)</w:t>
            </w:r>
          </w:p>
        </w:tc>
        <w:tc>
          <w:tcPr>
            <w:tcW w:w="1109" w:type="dxa"/>
            <w:tcBorders>
              <w:top w:val="single" w:sz="4" w:space="0" w:color="auto"/>
              <w:left w:val="nil"/>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 </w:t>
            </w:r>
          </w:p>
        </w:tc>
      </w:tr>
      <w:tr w:rsidR="00B26C61" w:rsidTr="00EA3146">
        <w:trPr>
          <w:trHeight w:val="255"/>
        </w:trPr>
        <w:tc>
          <w:tcPr>
            <w:tcW w:w="3021" w:type="dxa"/>
            <w:tcBorders>
              <w:top w:val="nil"/>
              <w:left w:val="single" w:sz="4" w:space="0" w:color="auto"/>
              <w:bottom w:val="nil"/>
              <w:right w:val="single" w:sz="4" w:space="0" w:color="auto"/>
            </w:tcBorders>
            <w:shd w:val="clear" w:color="FFFFFF" w:fill="FFFFFF"/>
            <w:vAlign w:val="bottom"/>
            <w:hideMark/>
          </w:tcPr>
          <w:p w:rsidR="00B26C61" w:rsidRDefault="00B26C61" w:rsidP="00EA3146">
            <w:pPr>
              <w:rPr>
                <w:rFonts w:cs="Calibri"/>
                <w:b/>
                <w:bCs/>
                <w:color w:val="000000"/>
                <w:sz w:val="16"/>
                <w:szCs w:val="16"/>
              </w:rPr>
            </w:pPr>
            <w:r>
              <w:rPr>
                <w:rFonts w:cs="Calibri"/>
                <w:b/>
                <w:bCs/>
                <w:color w:val="000000"/>
                <w:sz w:val="16"/>
                <w:szCs w:val="16"/>
              </w:rPr>
              <w:t> </w:t>
            </w:r>
          </w:p>
        </w:tc>
        <w:tc>
          <w:tcPr>
            <w:tcW w:w="3843" w:type="dxa"/>
            <w:gridSpan w:val="3"/>
            <w:tcBorders>
              <w:top w:val="single" w:sz="4" w:space="0" w:color="auto"/>
              <w:left w:val="nil"/>
              <w:bottom w:val="single" w:sz="4" w:space="0" w:color="auto"/>
              <w:right w:val="nil"/>
            </w:tcBorders>
            <w:shd w:val="clear" w:color="FFFFFF" w:fill="FFFFFF"/>
            <w:vAlign w:val="bottom"/>
            <w:hideMark/>
          </w:tcPr>
          <w:p w:rsidR="00B26C61" w:rsidRDefault="00B26C61" w:rsidP="00EA3146">
            <w:pPr>
              <w:jc w:val="center"/>
              <w:rPr>
                <w:rFonts w:cs="Calibri"/>
                <w:b/>
                <w:bCs/>
                <w:i/>
                <w:iCs/>
                <w:color w:val="000000"/>
                <w:sz w:val="16"/>
                <w:szCs w:val="16"/>
              </w:rPr>
            </w:pPr>
            <w:r>
              <w:rPr>
                <w:rFonts w:cs="Calibri"/>
                <w:b/>
                <w:bCs/>
                <w:i/>
                <w:iCs/>
                <w:color w:val="000000"/>
                <w:sz w:val="16"/>
                <w:szCs w:val="16"/>
              </w:rPr>
              <w:t>Appropriation Act</w:t>
            </w:r>
          </w:p>
        </w:tc>
        <w:tc>
          <w:tcPr>
            <w:tcW w:w="3330" w:type="dxa"/>
            <w:gridSpan w:val="3"/>
            <w:tcBorders>
              <w:top w:val="single" w:sz="4" w:space="0" w:color="auto"/>
              <w:left w:val="single" w:sz="4" w:space="0" w:color="auto"/>
              <w:bottom w:val="single" w:sz="4" w:space="0" w:color="auto"/>
              <w:right w:val="single" w:sz="4" w:space="0" w:color="000000"/>
            </w:tcBorders>
            <w:shd w:val="clear" w:color="FFFFFF" w:fill="FFFFFF"/>
            <w:vAlign w:val="bottom"/>
            <w:hideMark/>
          </w:tcPr>
          <w:p w:rsidR="00B26C61" w:rsidRDefault="00B26C61" w:rsidP="00EA3146">
            <w:pPr>
              <w:jc w:val="center"/>
              <w:rPr>
                <w:rFonts w:cs="Calibri"/>
                <w:b/>
                <w:bCs/>
                <w:i/>
                <w:iCs/>
                <w:color w:val="000000"/>
                <w:sz w:val="16"/>
                <w:szCs w:val="16"/>
              </w:rPr>
            </w:pPr>
            <w:proofErr w:type="spellStart"/>
            <w:r>
              <w:rPr>
                <w:rFonts w:cs="Calibri"/>
                <w:b/>
                <w:bCs/>
                <w:i/>
                <w:iCs/>
                <w:color w:val="000000"/>
                <w:sz w:val="16"/>
                <w:szCs w:val="16"/>
              </w:rPr>
              <w:t>FMA</w:t>
            </w:r>
            <w:proofErr w:type="spellEnd"/>
            <w:r>
              <w:rPr>
                <w:rFonts w:cs="Calibri"/>
                <w:b/>
                <w:bCs/>
                <w:i/>
                <w:iCs/>
                <w:color w:val="000000"/>
                <w:sz w:val="16"/>
                <w:szCs w:val="16"/>
              </w:rPr>
              <w:t xml:space="preserve"> Act</w:t>
            </w:r>
          </w:p>
        </w:tc>
        <w:tc>
          <w:tcPr>
            <w:tcW w:w="1292" w:type="dxa"/>
            <w:vMerge w:val="restart"/>
            <w:tcBorders>
              <w:top w:val="nil"/>
              <w:left w:val="single" w:sz="4" w:space="0" w:color="auto"/>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Total appropriation</w:t>
            </w:r>
          </w:p>
        </w:tc>
        <w:tc>
          <w:tcPr>
            <w:tcW w:w="1296" w:type="dxa"/>
            <w:vMerge/>
            <w:tcBorders>
              <w:top w:val="single" w:sz="4" w:space="0" w:color="auto"/>
              <w:left w:val="single" w:sz="4" w:space="0" w:color="auto"/>
              <w:bottom w:val="nil"/>
              <w:right w:val="single" w:sz="4" w:space="0" w:color="auto"/>
            </w:tcBorders>
            <w:vAlign w:val="center"/>
            <w:hideMark/>
          </w:tcPr>
          <w:p w:rsidR="00B26C61" w:rsidRDefault="00B26C61" w:rsidP="00EA3146">
            <w:pPr>
              <w:rPr>
                <w:rFonts w:cs="Calibri"/>
                <w:b/>
                <w:bCs/>
                <w:sz w:val="16"/>
                <w:szCs w:val="16"/>
              </w:rPr>
            </w:pPr>
          </w:p>
        </w:tc>
        <w:tc>
          <w:tcPr>
            <w:tcW w:w="1109" w:type="dxa"/>
            <w:tcBorders>
              <w:top w:val="nil"/>
              <w:left w:val="nil"/>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 </w:t>
            </w:r>
          </w:p>
        </w:tc>
      </w:tr>
      <w:tr w:rsidR="00B26C61" w:rsidTr="00EA3146">
        <w:trPr>
          <w:trHeight w:val="450"/>
        </w:trPr>
        <w:tc>
          <w:tcPr>
            <w:tcW w:w="3021" w:type="dxa"/>
            <w:tcBorders>
              <w:top w:val="nil"/>
              <w:left w:val="single" w:sz="4" w:space="0" w:color="auto"/>
              <w:bottom w:val="nil"/>
              <w:right w:val="single" w:sz="4" w:space="0" w:color="auto"/>
            </w:tcBorders>
            <w:shd w:val="clear" w:color="FFFFFF" w:fill="FFFFFF"/>
            <w:vAlign w:val="bottom"/>
            <w:hideMark/>
          </w:tcPr>
          <w:p w:rsidR="00B26C61" w:rsidRDefault="00B26C61" w:rsidP="00EA3146">
            <w:pPr>
              <w:rPr>
                <w:rFonts w:cs="Calibri"/>
                <w:b/>
                <w:bCs/>
                <w:color w:val="000000"/>
                <w:sz w:val="16"/>
                <w:szCs w:val="16"/>
              </w:rPr>
            </w:pPr>
            <w:r>
              <w:rPr>
                <w:rFonts w:cs="Calibri"/>
                <w:b/>
                <w:bCs/>
                <w:color w:val="000000"/>
                <w:sz w:val="16"/>
                <w:szCs w:val="16"/>
              </w:rPr>
              <w:t> </w:t>
            </w:r>
          </w:p>
        </w:tc>
        <w:tc>
          <w:tcPr>
            <w:tcW w:w="1366" w:type="dxa"/>
            <w:tcBorders>
              <w:top w:val="nil"/>
              <w:left w:val="nil"/>
              <w:bottom w:val="nil"/>
              <w:right w:val="nil"/>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Annual Appropriation</w:t>
            </w:r>
          </w:p>
        </w:tc>
        <w:tc>
          <w:tcPr>
            <w:tcW w:w="1366" w:type="dxa"/>
            <w:tcBorders>
              <w:top w:val="nil"/>
              <w:left w:val="nil"/>
              <w:bottom w:val="nil"/>
              <w:right w:val="nil"/>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 xml:space="preserve">Appropriations </w:t>
            </w:r>
            <w:proofErr w:type="spellStart"/>
            <w:r>
              <w:rPr>
                <w:rFonts w:cs="Calibri"/>
                <w:b/>
                <w:bCs/>
                <w:sz w:val="16"/>
                <w:szCs w:val="16"/>
              </w:rPr>
              <w:t>reduced</w:t>
            </w:r>
            <w:r>
              <w:rPr>
                <w:rFonts w:ascii="Arial" w:hAnsi="Arial" w:cs="Arial"/>
                <w:b/>
                <w:bCs/>
                <w:sz w:val="16"/>
                <w:szCs w:val="16"/>
                <w:vertAlign w:val="superscript"/>
              </w:rPr>
              <w:t>1</w:t>
            </w:r>
            <w:proofErr w:type="spellEnd"/>
          </w:p>
        </w:tc>
        <w:tc>
          <w:tcPr>
            <w:tcW w:w="1111" w:type="dxa"/>
            <w:tcBorders>
              <w:top w:val="nil"/>
              <w:left w:val="nil"/>
              <w:bottom w:val="nil"/>
              <w:right w:val="nil"/>
            </w:tcBorders>
            <w:shd w:val="clear" w:color="FFFFFF" w:fill="FFFFFF"/>
            <w:vAlign w:val="bottom"/>
            <w:hideMark/>
          </w:tcPr>
          <w:p w:rsidR="00B26C61" w:rsidRDefault="00B26C61" w:rsidP="00EA3146">
            <w:pPr>
              <w:jc w:val="right"/>
              <w:rPr>
                <w:rFonts w:cs="Calibri"/>
                <w:b/>
                <w:bCs/>
                <w:sz w:val="16"/>
                <w:szCs w:val="16"/>
              </w:rPr>
            </w:pPr>
            <w:proofErr w:type="spellStart"/>
            <w:r>
              <w:rPr>
                <w:rFonts w:cs="Calibri"/>
                <w:b/>
                <w:bCs/>
                <w:sz w:val="16"/>
                <w:szCs w:val="16"/>
              </w:rPr>
              <w:t>AFM</w:t>
            </w:r>
            <w:r>
              <w:rPr>
                <w:rFonts w:ascii="Arial" w:hAnsi="Arial" w:cs="Arial"/>
                <w:b/>
                <w:bCs/>
                <w:sz w:val="16"/>
                <w:szCs w:val="16"/>
                <w:vertAlign w:val="superscript"/>
              </w:rPr>
              <w:t>2</w:t>
            </w:r>
            <w:proofErr w:type="spellEnd"/>
          </w:p>
        </w:tc>
        <w:tc>
          <w:tcPr>
            <w:tcW w:w="1110" w:type="dxa"/>
            <w:tcBorders>
              <w:top w:val="nil"/>
              <w:left w:val="single" w:sz="4" w:space="0" w:color="auto"/>
              <w:bottom w:val="nil"/>
              <w:right w:val="nil"/>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Section 30</w:t>
            </w:r>
          </w:p>
        </w:tc>
        <w:tc>
          <w:tcPr>
            <w:tcW w:w="1111" w:type="dxa"/>
            <w:tcBorders>
              <w:top w:val="nil"/>
              <w:left w:val="nil"/>
              <w:bottom w:val="nil"/>
              <w:right w:val="nil"/>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Section 31</w:t>
            </w:r>
          </w:p>
        </w:tc>
        <w:tc>
          <w:tcPr>
            <w:tcW w:w="1109" w:type="dxa"/>
            <w:tcBorders>
              <w:top w:val="nil"/>
              <w:left w:val="nil"/>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Section 32</w:t>
            </w:r>
          </w:p>
        </w:tc>
        <w:tc>
          <w:tcPr>
            <w:tcW w:w="1292" w:type="dxa"/>
            <w:vMerge/>
            <w:tcBorders>
              <w:top w:val="nil"/>
              <w:left w:val="single" w:sz="4" w:space="0" w:color="auto"/>
              <w:bottom w:val="nil"/>
              <w:right w:val="single" w:sz="4" w:space="0" w:color="auto"/>
            </w:tcBorders>
            <w:vAlign w:val="center"/>
            <w:hideMark/>
          </w:tcPr>
          <w:p w:rsidR="00B26C61" w:rsidRDefault="00B26C61" w:rsidP="00EA3146">
            <w:pPr>
              <w:rPr>
                <w:rFonts w:cs="Calibri"/>
                <w:b/>
                <w:bCs/>
                <w:sz w:val="16"/>
                <w:szCs w:val="16"/>
              </w:rPr>
            </w:pPr>
          </w:p>
        </w:tc>
        <w:tc>
          <w:tcPr>
            <w:tcW w:w="1296" w:type="dxa"/>
            <w:vMerge/>
            <w:tcBorders>
              <w:top w:val="single" w:sz="4" w:space="0" w:color="auto"/>
              <w:left w:val="single" w:sz="4" w:space="0" w:color="auto"/>
              <w:bottom w:val="nil"/>
              <w:right w:val="single" w:sz="4" w:space="0" w:color="auto"/>
            </w:tcBorders>
            <w:vAlign w:val="center"/>
            <w:hideMark/>
          </w:tcPr>
          <w:p w:rsidR="00B26C61" w:rsidRDefault="00B26C61" w:rsidP="00EA3146">
            <w:pPr>
              <w:rPr>
                <w:rFonts w:cs="Calibri"/>
                <w:b/>
                <w:bCs/>
                <w:sz w:val="16"/>
                <w:szCs w:val="16"/>
              </w:rPr>
            </w:pPr>
          </w:p>
        </w:tc>
        <w:tc>
          <w:tcPr>
            <w:tcW w:w="1109" w:type="dxa"/>
            <w:tcBorders>
              <w:top w:val="nil"/>
              <w:left w:val="nil"/>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proofErr w:type="spellStart"/>
            <w:r>
              <w:rPr>
                <w:rFonts w:cs="Calibri"/>
                <w:b/>
                <w:bCs/>
                <w:sz w:val="16"/>
                <w:szCs w:val="16"/>
              </w:rPr>
              <w:t>Variance</w:t>
            </w:r>
            <w:r>
              <w:rPr>
                <w:rFonts w:cs="Calibri"/>
                <w:b/>
                <w:bCs/>
                <w:sz w:val="16"/>
                <w:szCs w:val="16"/>
                <w:vertAlign w:val="superscript"/>
              </w:rPr>
              <w:t>3</w:t>
            </w:r>
            <w:proofErr w:type="spellEnd"/>
          </w:p>
        </w:tc>
      </w:tr>
      <w:tr w:rsidR="00B26C61" w:rsidTr="00EA3146">
        <w:trPr>
          <w:trHeight w:val="255"/>
        </w:trPr>
        <w:tc>
          <w:tcPr>
            <w:tcW w:w="3021" w:type="dxa"/>
            <w:tcBorders>
              <w:top w:val="nil"/>
              <w:left w:val="single" w:sz="4" w:space="0" w:color="auto"/>
              <w:bottom w:val="single" w:sz="4" w:space="0" w:color="auto"/>
              <w:right w:val="single" w:sz="4" w:space="0" w:color="auto"/>
            </w:tcBorders>
            <w:shd w:val="clear" w:color="FFFFFF" w:fill="FFFFFF"/>
            <w:vAlign w:val="bottom"/>
            <w:hideMark/>
          </w:tcPr>
          <w:p w:rsidR="00B26C61" w:rsidRDefault="00B26C61" w:rsidP="00EA3146">
            <w:pPr>
              <w:rPr>
                <w:rFonts w:cs="Calibri"/>
                <w:b/>
                <w:bCs/>
                <w:color w:val="000000"/>
                <w:sz w:val="16"/>
                <w:szCs w:val="16"/>
              </w:rPr>
            </w:pPr>
            <w:r>
              <w:rPr>
                <w:rFonts w:cs="Calibri"/>
                <w:b/>
                <w:bCs/>
                <w:color w:val="000000"/>
                <w:sz w:val="16"/>
                <w:szCs w:val="16"/>
              </w:rPr>
              <w:t> </w:t>
            </w:r>
          </w:p>
        </w:tc>
        <w:tc>
          <w:tcPr>
            <w:tcW w:w="136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36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111"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110"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111"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109"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292"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29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109"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r>
      <w:tr w:rsidR="00B26C61" w:rsidTr="00EA3146">
        <w:trPr>
          <w:trHeight w:val="255"/>
        </w:trPr>
        <w:tc>
          <w:tcPr>
            <w:tcW w:w="3021" w:type="dxa"/>
            <w:tcBorders>
              <w:top w:val="nil"/>
              <w:left w:val="single" w:sz="4" w:space="0" w:color="auto"/>
              <w:bottom w:val="nil"/>
              <w:right w:val="single" w:sz="4" w:space="0" w:color="auto"/>
            </w:tcBorders>
            <w:shd w:val="clear" w:color="FFFFFF" w:fill="FFFFFF"/>
            <w:vAlign w:val="bottom"/>
            <w:hideMark/>
          </w:tcPr>
          <w:p w:rsidR="00B26C61" w:rsidRDefault="00B26C61" w:rsidP="00EA3146">
            <w:pPr>
              <w:rPr>
                <w:rFonts w:cs="Calibri"/>
                <w:b/>
                <w:bCs/>
                <w:color w:val="000000"/>
                <w:sz w:val="16"/>
                <w:szCs w:val="16"/>
              </w:rPr>
            </w:pPr>
            <w:r>
              <w:rPr>
                <w:rFonts w:cs="Calibri"/>
                <w:b/>
                <w:bCs/>
                <w:color w:val="000000"/>
                <w:sz w:val="16"/>
                <w:szCs w:val="16"/>
              </w:rPr>
              <w:t>DEPARTMENTAL</w:t>
            </w:r>
          </w:p>
        </w:tc>
        <w:tc>
          <w:tcPr>
            <w:tcW w:w="1366" w:type="dxa"/>
            <w:tcBorders>
              <w:top w:val="nil"/>
              <w:left w:val="nil"/>
              <w:bottom w:val="nil"/>
              <w:right w:val="nil"/>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366" w:type="dxa"/>
            <w:tcBorders>
              <w:top w:val="nil"/>
              <w:left w:val="nil"/>
              <w:bottom w:val="nil"/>
              <w:right w:val="nil"/>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111" w:type="dxa"/>
            <w:tcBorders>
              <w:top w:val="nil"/>
              <w:left w:val="nil"/>
              <w:bottom w:val="nil"/>
              <w:right w:val="single" w:sz="4" w:space="0" w:color="auto"/>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110" w:type="dxa"/>
            <w:tcBorders>
              <w:top w:val="nil"/>
              <w:left w:val="nil"/>
              <w:bottom w:val="nil"/>
              <w:right w:val="nil"/>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111" w:type="dxa"/>
            <w:tcBorders>
              <w:top w:val="nil"/>
              <w:left w:val="nil"/>
              <w:bottom w:val="nil"/>
              <w:right w:val="nil"/>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109" w:type="dxa"/>
            <w:tcBorders>
              <w:top w:val="nil"/>
              <w:left w:val="nil"/>
              <w:bottom w:val="nil"/>
              <w:right w:val="single" w:sz="4" w:space="0" w:color="auto"/>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292" w:type="dxa"/>
            <w:tcBorders>
              <w:top w:val="nil"/>
              <w:left w:val="nil"/>
              <w:bottom w:val="nil"/>
              <w:right w:val="single" w:sz="4" w:space="0" w:color="auto"/>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296" w:type="dxa"/>
            <w:tcBorders>
              <w:top w:val="nil"/>
              <w:left w:val="nil"/>
              <w:bottom w:val="nil"/>
              <w:right w:val="single" w:sz="4" w:space="0" w:color="auto"/>
            </w:tcBorders>
            <w:shd w:val="clear" w:color="FFFFFF" w:fill="FFFFFF"/>
            <w:vAlign w:val="bottom"/>
            <w:hideMark/>
          </w:tcPr>
          <w:p w:rsidR="00B26C61" w:rsidRDefault="00B26C61" w:rsidP="00EA3146">
            <w:pPr>
              <w:rPr>
                <w:rFonts w:cs="Calibri"/>
                <w:b/>
                <w:bCs/>
                <w:color w:val="000000"/>
                <w:sz w:val="16"/>
                <w:szCs w:val="16"/>
              </w:rPr>
            </w:pPr>
            <w:r>
              <w:rPr>
                <w:rFonts w:cs="Calibri"/>
                <w:b/>
                <w:bCs/>
                <w:color w:val="000000"/>
                <w:sz w:val="16"/>
                <w:szCs w:val="16"/>
              </w:rPr>
              <w:t> </w:t>
            </w:r>
          </w:p>
        </w:tc>
        <w:tc>
          <w:tcPr>
            <w:tcW w:w="1109" w:type="dxa"/>
            <w:tcBorders>
              <w:top w:val="nil"/>
              <w:left w:val="nil"/>
              <w:bottom w:val="nil"/>
              <w:right w:val="single" w:sz="4" w:space="0" w:color="auto"/>
            </w:tcBorders>
            <w:shd w:val="clear" w:color="FFFFFF" w:fill="FFFFFF"/>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55"/>
        </w:trPr>
        <w:tc>
          <w:tcPr>
            <w:tcW w:w="3021" w:type="dxa"/>
            <w:tcBorders>
              <w:top w:val="nil"/>
              <w:left w:val="single" w:sz="4" w:space="0" w:color="auto"/>
              <w:bottom w:val="nil"/>
              <w:right w:val="single" w:sz="4" w:space="0" w:color="auto"/>
            </w:tcBorders>
            <w:shd w:val="clear" w:color="FFFFFF" w:fill="FFFFFF"/>
            <w:vAlign w:val="bottom"/>
            <w:hideMark/>
          </w:tcPr>
          <w:p w:rsidR="00B26C61" w:rsidRDefault="00B26C61" w:rsidP="00EA3146">
            <w:pPr>
              <w:ind w:firstLineChars="100" w:firstLine="160"/>
              <w:rPr>
                <w:rFonts w:cs="Calibri"/>
                <w:color w:val="000000"/>
                <w:sz w:val="16"/>
                <w:szCs w:val="16"/>
              </w:rPr>
            </w:pPr>
            <w:r>
              <w:rPr>
                <w:rFonts w:cs="Calibri"/>
                <w:color w:val="000000"/>
                <w:sz w:val="16"/>
                <w:szCs w:val="16"/>
              </w:rPr>
              <w:t>Ordinary annual services</w:t>
            </w:r>
          </w:p>
        </w:tc>
        <w:tc>
          <w:tcPr>
            <w:tcW w:w="136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195 </w:t>
            </w:r>
          </w:p>
        </w:tc>
        <w:tc>
          <w:tcPr>
            <w:tcW w:w="136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11" w:type="dxa"/>
            <w:tcBorders>
              <w:top w:val="nil"/>
              <w:left w:val="nil"/>
              <w:bottom w:val="nil"/>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10"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11"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16,672 </w:t>
            </w:r>
          </w:p>
        </w:tc>
        <w:tc>
          <w:tcPr>
            <w:tcW w:w="1109" w:type="dxa"/>
            <w:tcBorders>
              <w:top w:val="nil"/>
              <w:left w:val="nil"/>
              <w:bottom w:val="nil"/>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309,265 </w:t>
            </w:r>
          </w:p>
        </w:tc>
        <w:tc>
          <w:tcPr>
            <w:tcW w:w="1292" w:type="dxa"/>
            <w:tcBorders>
              <w:top w:val="nil"/>
              <w:left w:val="nil"/>
              <w:bottom w:val="nil"/>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326,132 </w:t>
            </w:r>
          </w:p>
        </w:tc>
        <w:tc>
          <w:tcPr>
            <w:tcW w:w="1296" w:type="dxa"/>
            <w:tcBorders>
              <w:top w:val="nil"/>
              <w:left w:val="nil"/>
              <w:bottom w:val="nil"/>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274,060 </w:t>
            </w:r>
          </w:p>
        </w:tc>
        <w:tc>
          <w:tcPr>
            <w:tcW w:w="1109" w:type="dxa"/>
            <w:tcBorders>
              <w:top w:val="nil"/>
              <w:left w:val="nil"/>
              <w:bottom w:val="nil"/>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52,072 </w:t>
            </w:r>
          </w:p>
        </w:tc>
      </w:tr>
      <w:tr w:rsidR="00B26C61" w:rsidTr="00EA3146">
        <w:trPr>
          <w:trHeight w:val="255"/>
        </w:trPr>
        <w:tc>
          <w:tcPr>
            <w:tcW w:w="3021" w:type="dxa"/>
            <w:tcBorders>
              <w:top w:val="nil"/>
              <w:left w:val="single" w:sz="4" w:space="0" w:color="auto"/>
              <w:bottom w:val="nil"/>
              <w:right w:val="single" w:sz="4" w:space="0" w:color="auto"/>
            </w:tcBorders>
            <w:shd w:val="clear" w:color="FFFFFF" w:fill="FFFFFF"/>
            <w:vAlign w:val="bottom"/>
            <w:hideMark/>
          </w:tcPr>
          <w:p w:rsidR="00B26C61" w:rsidRDefault="00B26C61" w:rsidP="00EA3146">
            <w:pPr>
              <w:ind w:firstLineChars="100" w:firstLine="160"/>
              <w:rPr>
                <w:rFonts w:cs="Calibri"/>
                <w:color w:val="000000"/>
                <w:sz w:val="16"/>
                <w:szCs w:val="16"/>
              </w:rPr>
            </w:pPr>
            <w:r>
              <w:rPr>
                <w:rFonts w:cs="Calibri"/>
                <w:color w:val="000000"/>
                <w:sz w:val="16"/>
                <w:szCs w:val="16"/>
              </w:rPr>
              <w:t>Other services</w:t>
            </w:r>
          </w:p>
        </w:tc>
        <w:tc>
          <w:tcPr>
            <w:tcW w:w="1366" w:type="dxa"/>
            <w:tcBorders>
              <w:top w:val="nil"/>
              <w:left w:val="nil"/>
              <w:bottom w:val="nil"/>
              <w:right w:val="nil"/>
            </w:tcBorders>
            <w:shd w:val="clear" w:color="FFFFFF" w:fill="FFFFFF"/>
            <w:vAlign w:val="bottom"/>
            <w:hideMark/>
          </w:tcPr>
          <w:p w:rsidR="00B26C61" w:rsidRDefault="00B26C61" w:rsidP="00EA3146">
            <w:pPr>
              <w:rPr>
                <w:rFonts w:cs="Calibri"/>
                <w:b/>
                <w:bCs/>
                <w:sz w:val="16"/>
                <w:szCs w:val="16"/>
              </w:rPr>
            </w:pPr>
            <w:r>
              <w:rPr>
                <w:rFonts w:cs="Calibri"/>
                <w:b/>
                <w:bCs/>
                <w:sz w:val="16"/>
                <w:szCs w:val="16"/>
              </w:rPr>
              <w:t> </w:t>
            </w:r>
          </w:p>
        </w:tc>
        <w:tc>
          <w:tcPr>
            <w:tcW w:w="1366" w:type="dxa"/>
            <w:tcBorders>
              <w:top w:val="nil"/>
              <w:left w:val="nil"/>
              <w:bottom w:val="nil"/>
              <w:right w:val="nil"/>
            </w:tcBorders>
            <w:shd w:val="clear" w:color="FFFFFF" w:fill="FFFFFF"/>
            <w:vAlign w:val="bottom"/>
            <w:hideMark/>
          </w:tcPr>
          <w:p w:rsidR="00B26C61" w:rsidRDefault="00B26C61" w:rsidP="00EA3146">
            <w:pPr>
              <w:rPr>
                <w:rFonts w:cs="Calibri"/>
                <w:b/>
                <w:bCs/>
                <w:sz w:val="16"/>
                <w:szCs w:val="16"/>
              </w:rPr>
            </w:pPr>
            <w:r>
              <w:rPr>
                <w:rFonts w:cs="Calibri"/>
                <w:b/>
                <w:bCs/>
                <w:sz w:val="16"/>
                <w:szCs w:val="16"/>
              </w:rPr>
              <w:t> </w:t>
            </w:r>
          </w:p>
        </w:tc>
        <w:tc>
          <w:tcPr>
            <w:tcW w:w="1111" w:type="dxa"/>
            <w:tcBorders>
              <w:top w:val="nil"/>
              <w:left w:val="nil"/>
              <w:bottom w:val="nil"/>
              <w:right w:val="single" w:sz="4" w:space="0" w:color="auto"/>
            </w:tcBorders>
            <w:shd w:val="clear" w:color="FFFFFF" w:fill="FFFFFF"/>
            <w:vAlign w:val="bottom"/>
            <w:hideMark/>
          </w:tcPr>
          <w:p w:rsidR="00B26C61" w:rsidRDefault="00B26C61" w:rsidP="00EA3146">
            <w:pPr>
              <w:rPr>
                <w:rFonts w:cs="Calibri"/>
                <w:b/>
                <w:bCs/>
                <w:sz w:val="16"/>
                <w:szCs w:val="16"/>
              </w:rPr>
            </w:pPr>
            <w:r>
              <w:rPr>
                <w:rFonts w:cs="Calibri"/>
                <w:b/>
                <w:bCs/>
                <w:sz w:val="16"/>
                <w:szCs w:val="16"/>
              </w:rPr>
              <w:t> </w:t>
            </w:r>
          </w:p>
        </w:tc>
        <w:tc>
          <w:tcPr>
            <w:tcW w:w="1110" w:type="dxa"/>
            <w:tcBorders>
              <w:top w:val="nil"/>
              <w:left w:val="nil"/>
              <w:bottom w:val="nil"/>
              <w:right w:val="nil"/>
            </w:tcBorders>
            <w:shd w:val="clear" w:color="FFFFFF" w:fill="FFFFFF"/>
            <w:vAlign w:val="bottom"/>
            <w:hideMark/>
          </w:tcPr>
          <w:p w:rsidR="00B26C61" w:rsidRDefault="00B26C61" w:rsidP="00EA3146">
            <w:pPr>
              <w:rPr>
                <w:rFonts w:cs="Calibri"/>
                <w:b/>
                <w:bCs/>
                <w:sz w:val="16"/>
                <w:szCs w:val="16"/>
              </w:rPr>
            </w:pPr>
            <w:r>
              <w:rPr>
                <w:rFonts w:cs="Calibri"/>
                <w:b/>
                <w:bCs/>
                <w:sz w:val="16"/>
                <w:szCs w:val="16"/>
              </w:rPr>
              <w:t> </w:t>
            </w:r>
          </w:p>
        </w:tc>
        <w:tc>
          <w:tcPr>
            <w:tcW w:w="1111" w:type="dxa"/>
            <w:tcBorders>
              <w:top w:val="nil"/>
              <w:left w:val="nil"/>
              <w:bottom w:val="nil"/>
              <w:right w:val="nil"/>
            </w:tcBorders>
            <w:shd w:val="clear" w:color="FFFFFF" w:fill="FFFFFF"/>
            <w:vAlign w:val="bottom"/>
            <w:hideMark/>
          </w:tcPr>
          <w:p w:rsidR="00B26C61" w:rsidRDefault="00B26C61" w:rsidP="00EA3146">
            <w:pPr>
              <w:rPr>
                <w:rFonts w:cs="Calibri"/>
                <w:b/>
                <w:bCs/>
                <w:sz w:val="16"/>
                <w:szCs w:val="16"/>
              </w:rPr>
            </w:pPr>
            <w:r>
              <w:rPr>
                <w:rFonts w:cs="Calibri"/>
                <w:b/>
                <w:bCs/>
                <w:sz w:val="16"/>
                <w:szCs w:val="16"/>
              </w:rPr>
              <w:t> </w:t>
            </w:r>
          </w:p>
        </w:tc>
        <w:tc>
          <w:tcPr>
            <w:tcW w:w="1109" w:type="dxa"/>
            <w:tcBorders>
              <w:top w:val="nil"/>
              <w:left w:val="nil"/>
              <w:bottom w:val="nil"/>
              <w:right w:val="single" w:sz="4" w:space="0" w:color="auto"/>
            </w:tcBorders>
            <w:shd w:val="clear" w:color="FFFFFF" w:fill="FFFFFF"/>
            <w:vAlign w:val="bottom"/>
            <w:hideMark/>
          </w:tcPr>
          <w:p w:rsidR="00B26C61" w:rsidRDefault="00B26C61" w:rsidP="00EA3146">
            <w:pPr>
              <w:rPr>
                <w:rFonts w:cs="Calibri"/>
                <w:b/>
                <w:bCs/>
                <w:sz w:val="16"/>
                <w:szCs w:val="16"/>
              </w:rPr>
            </w:pPr>
            <w:r>
              <w:rPr>
                <w:rFonts w:cs="Calibri"/>
                <w:b/>
                <w:bCs/>
                <w:sz w:val="16"/>
                <w:szCs w:val="16"/>
              </w:rPr>
              <w:t> </w:t>
            </w:r>
          </w:p>
        </w:tc>
        <w:tc>
          <w:tcPr>
            <w:tcW w:w="1292" w:type="dxa"/>
            <w:tcBorders>
              <w:top w:val="nil"/>
              <w:left w:val="nil"/>
              <w:bottom w:val="nil"/>
              <w:right w:val="single" w:sz="4" w:space="0" w:color="auto"/>
            </w:tcBorders>
            <w:shd w:val="clear" w:color="FFFFFF" w:fill="FFFFFF"/>
            <w:vAlign w:val="bottom"/>
            <w:hideMark/>
          </w:tcPr>
          <w:p w:rsidR="00B26C61" w:rsidRDefault="00B26C61" w:rsidP="00EA3146">
            <w:pPr>
              <w:rPr>
                <w:rFonts w:cs="Calibri"/>
                <w:b/>
                <w:bCs/>
                <w:sz w:val="16"/>
                <w:szCs w:val="16"/>
              </w:rPr>
            </w:pPr>
            <w:r>
              <w:rPr>
                <w:rFonts w:cs="Calibri"/>
                <w:b/>
                <w:bCs/>
                <w:sz w:val="16"/>
                <w:szCs w:val="16"/>
              </w:rPr>
              <w:t> </w:t>
            </w:r>
          </w:p>
        </w:tc>
        <w:tc>
          <w:tcPr>
            <w:tcW w:w="1296" w:type="dxa"/>
            <w:tcBorders>
              <w:top w:val="nil"/>
              <w:left w:val="nil"/>
              <w:bottom w:val="nil"/>
              <w:right w:val="single" w:sz="4" w:space="0" w:color="auto"/>
            </w:tcBorders>
            <w:shd w:val="clear" w:color="FFFFFF" w:fill="FFFFFF"/>
            <w:vAlign w:val="bottom"/>
            <w:hideMark/>
          </w:tcPr>
          <w:p w:rsidR="00B26C61" w:rsidRDefault="00B26C61" w:rsidP="00EA3146">
            <w:pPr>
              <w:rPr>
                <w:rFonts w:cs="Calibri"/>
                <w:b/>
                <w:bCs/>
                <w:sz w:val="16"/>
                <w:szCs w:val="16"/>
              </w:rPr>
            </w:pPr>
            <w:r>
              <w:rPr>
                <w:rFonts w:cs="Calibri"/>
                <w:b/>
                <w:bCs/>
                <w:sz w:val="16"/>
                <w:szCs w:val="16"/>
              </w:rPr>
              <w:t> </w:t>
            </w:r>
          </w:p>
        </w:tc>
        <w:tc>
          <w:tcPr>
            <w:tcW w:w="1109" w:type="dxa"/>
            <w:tcBorders>
              <w:top w:val="nil"/>
              <w:left w:val="nil"/>
              <w:bottom w:val="nil"/>
              <w:right w:val="single" w:sz="4" w:space="0" w:color="auto"/>
            </w:tcBorders>
            <w:shd w:val="clear" w:color="FFFFFF" w:fill="FFFFFF"/>
            <w:vAlign w:val="bottom"/>
            <w:hideMark/>
          </w:tcPr>
          <w:p w:rsidR="00B26C61" w:rsidRDefault="00B26C61" w:rsidP="00EA3146">
            <w:pPr>
              <w:rPr>
                <w:rFonts w:cs="Calibri"/>
                <w:b/>
                <w:bCs/>
                <w:sz w:val="16"/>
                <w:szCs w:val="16"/>
              </w:rPr>
            </w:pPr>
            <w:r>
              <w:rPr>
                <w:rFonts w:cs="Calibri"/>
                <w:b/>
                <w:bCs/>
                <w:sz w:val="16"/>
                <w:szCs w:val="16"/>
              </w:rPr>
              <w:t> </w:t>
            </w:r>
          </w:p>
        </w:tc>
      </w:tr>
      <w:tr w:rsidR="00B26C61" w:rsidTr="00EA3146">
        <w:trPr>
          <w:trHeight w:val="255"/>
        </w:trPr>
        <w:tc>
          <w:tcPr>
            <w:tcW w:w="3021" w:type="dxa"/>
            <w:tcBorders>
              <w:top w:val="nil"/>
              <w:left w:val="single" w:sz="4" w:space="0" w:color="auto"/>
              <w:bottom w:val="nil"/>
              <w:right w:val="single" w:sz="4" w:space="0" w:color="auto"/>
            </w:tcBorders>
            <w:shd w:val="clear" w:color="FFFFFF" w:fill="FFFFFF"/>
            <w:vAlign w:val="bottom"/>
            <w:hideMark/>
          </w:tcPr>
          <w:p w:rsidR="00B26C61" w:rsidRDefault="00B26C61" w:rsidP="00EA3146">
            <w:pPr>
              <w:ind w:firstLineChars="200" w:firstLine="320"/>
              <w:rPr>
                <w:rFonts w:cs="Calibri"/>
                <w:color w:val="000000"/>
                <w:sz w:val="16"/>
                <w:szCs w:val="16"/>
              </w:rPr>
            </w:pPr>
            <w:r>
              <w:rPr>
                <w:rFonts w:cs="Calibri"/>
                <w:color w:val="000000"/>
                <w:sz w:val="16"/>
                <w:szCs w:val="16"/>
              </w:rPr>
              <w:t>Equity</w:t>
            </w:r>
          </w:p>
        </w:tc>
        <w:tc>
          <w:tcPr>
            <w:tcW w:w="136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2,127 </w:t>
            </w:r>
          </w:p>
        </w:tc>
        <w:tc>
          <w:tcPr>
            <w:tcW w:w="136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11"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10"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11"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09"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292"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2,127 </w:t>
            </w:r>
          </w:p>
        </w:tc>
        <w:tc>
          <w:tcPr>
            <w:tcW w:w="12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09"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2,127 </w:t>
            </w:r>
          </w:p>
        </w:tc>
      </w:tr>
      <w:tr w:rsidR="00B26C61" w:rsidTr="00EA3146">
        <w:trPr>
          <w:trHeight w:val="255"/>
        </w:trPr>
        <w:tc>
          <w:tcPr>
            <w:tcW w:w="3021"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B26C61" w:rsidRDefault="00B26C61" w:rsidP="00EA3146">
            <w:pPr>
              <w:rPr>
                <w:rFonts w:cs="Calibri"/>
                <w:b/>
                <w:bCs/>
                <w:color w:val="000000"/>
                <w:sz w:val="16"/>
                <w:szCs w:val="16"/>
              </w:rPr>
            </w:pPr>
            <w:r>
              <w:rPr>
                <w:rFonts w:cs="Calibri"/>
                <w:b/>
                <w:bCs/>
                <w:color w:val="000000"/>
                <w:sz w:val="16"/>
                <w:szCs w:val="16"/>
              </w:rPr>
              <w:t>Total departmental</w:t>
            </w:r>
          </w:p>
        </w:tc>
        <w:tc>
          <w:tcPr>
            <w:tcW w:w="136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2,322</w:t>
            </w:r>
          </w:p>
        </w:tc>
        <w:tc>
          <w:tcPr>
            <w:tcW w:w="1366"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w:t>
            </w:r>
          </w:p>
        </w:tc>
        <w:tc>
          <w:tcPr>
            <w:tcW w:w="1111" w:type="dxa"/>
            <w:tcBorders>
              <w:top w:val="single" w:sz="4" w:space="0" w:color="auto"/>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w:t>
            </w:r>
          </w:p>
        </w:tc>
        <w:tc>
          <w:tcPr>
            <w:tcW w:w="1110"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w:t>
            </w:r>
          </w:p>
        </w:tc>
        <w:tc>
          <w:tcPr>
            <w:tcW w:w="1111" w:type="dxa"/>
            <w:tcBorders>
              <w:top w:val="single" w:sz="4" w:space="0" w:color="auto"/>
              <w:left w:val="nil"/>
              <w:bottom w:val="single" w:sz="4" w:space="0" w:color="auto"/>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16,672</w:t>
            </w:r>
          </w:p>
        </w:tc>
        <w:tc>
          <w:tcPr>
            <w:tcW w:w="1109"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309,265</w:t>
            </w:r>
          </w:p>
        </w:tc>
        <w:tc>
          <w:tcPr>
            <w:tcW w:w="1292"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328,259</w:t>
            </w:r>
          </w:p>
        </w:tc>
        <w:tc>
          <w:tcPr>
            <w:tcW w:w="12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274,060</w:t>
            </w:r>
          </w:p>
        </w:tc>
        <w:tc>
          <w:tcPr>
            <w:tcW w:w="1109"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54,199</w:t>
            </w:r>
          </w:p>
        </w:tc>
      </w:tr>
      <w:tr w:rsidR="00B26C61" w:rsidTr="00EA3146">
        <w:trPr>
          <w:trHeight w:val="255"/>
        </w:trPr>
        <w:tc>
          <w:tcPr>
            <w:tcW w:w="3021" w:type="dxa"/>
            <w:tcBorders>
              <w:top w:val="nil"/>
              <w:left w:val="single" w:sz="4" w:space="0" w:color="auto"/>
              <w:bottom w:val="nil"/>
              <w:right w:val="single" w:sz="4" w:space="0" w:color="auto"/>
            </w:tcBorders>
            <w:shd w:val="clear" w:color="000000" w:fill="D9D9D9"/>
            <w:vAlign w:val="bottom"/>
            <w:hideMark/>
          </w:tcPr>
          <w:p w:rsidR="00B26C61" w:rsidRDefault="00B26C61" w:rsidP="00EA3146">
            <w:pPr>
              <w:rPr>
                <w:rFonts w:cs="Calibri"/>
                <w:b/>
                <w:bCs/>
                <w:sz w:val="16"/>
                <w:szCs w:val="16"/>
              </w:rPr>
            </w:pPr>
            <w:r>
              <w:rPr>
                <w:rFonts w:cs="Calibri"/>
                <w:b/>
                <w:bCs/>
                <w:sz w:val="16"/>
                <w:szCs w:val="16"/>
              </w:rPr>
              <w:t>ADMINISTERED</w:t>
            </w:r>
          </w:p>
        </w:tc>
        <w:tc>
          <w:tcPr>
            <w:tcW w:w="1366"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366"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11" w:type="dxa"/>
            <w:tcBorders>
              <w:top w:val="nil"/>
              <w:left w:val="nil"/>
              <w:bottom w:val="nil"/>
              <w:right w:val="single" w:sz="4" w:space="0" w:color="auto"/>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10"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11"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09"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92" w:type="dxa"/>
            <w:tcBorders>
              <w:top w:val="nil"/>
              <w:left w:val="single" w:sz="4" w:space="0" w:color="auto"/>
              <w:bottom w:val="nil"/>
              <w:right w:val="single" w:sz="4" w:space="0" w:color="auto"/>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96" w:type="dxa"/>
            <w:tcBorders>
              <w:top w:val="nil"/>
              <w:left w:val="nil"/>
              <w:bottom w:val="nil"/>
              <w:right w:val="single" w:sz="4" w:space="0" w:color="auto"/>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09" w:type="dxa"/>
            <w:tcBorders>
              <w:top w:val="nil"/>
              <w:left w:val="nil"/>
              <w:bottom w:val="nil"/>
              <w:right w:val="single" w:sz="4" w:space="0" w:color="auto"/>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55"/>
        </w:trPr>
        <w:tc>
          <w:tcPr>
            <w:tcW w:w="3021" w:type="dxa"/>
            <w:tcBorders>
              <w:top w:val="nil"/>
              <w:left w:val="single" w:sz="4" w:space="0" w:color="auto"/>
              <w:bottom w:val="nil"/>
              <w:right w:val="single" w:sz="4" w:space="0" w:color="auto"/>
            </w:tcBorders>
            <w:shd w:val="clear" w:color="000000" w:fill="D9D9D9"/>
            <w:vAlign w:val="bottom"/>
            <w:hideMark/>
          </w:tcPr>
          <w:p w:rsidR="00B26C61" w:rsidRDefault="00B26C61" w:rsidP="00EA3146">
            <w:pPr>
              <w:ind w:firstLineChars="100" w:firstLine="160"/>
              <w:rPr>
                <w:rFonts w:cs="Calibri"/>
                <w:sz w:val="16"/>
                <w:szCs w:val="16"/>
              </w:rPr>
            </w:pPr>
            <w:r>
              <w:rPr>
                <w:rFonts w:cs="Calibri"/>
                <w:sz w:val="16"/>
                <w:szCs w:val="16"/>
              </w:rPr>
              <w:t>Ordinary annual services</w:t>
            </w:r>
          </w:p>
        </w:tc>
        <w:tc>
          <w:tcPr>
            <w:tcW w:w="1366"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366"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11" w:type="dxa"/>
            <w:tcBorders>
              <w:top w:val="nil"/>
              <w:left w:val="nil"/>
              <w:bottom w:val="nil"/>
              <w:right w:val="single" w:sz="4" w:space="0" w:color="auto"/>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10"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11"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09"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92" w:type="dxa"/>
            <w:tcBorders>
              <w:top w:val="nil"/>
              <w:left w:val="single" w:sz="4" w:space="0" w:color="auto"/>
              <w:bottom w:val="nil"/>
              <w:right w:val="single" w:sz="4" w:space="0" w:color="auto"/>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96" w:type="dxa"/>
            <w:tcBorders>
              <w:top w:val="nil"/>
              <w:left w:val="nil"/>
              <w:bottom w:val="nil"/>
              <w:right w:val="single" w:sz="4" w:space="0" w:color="auto"/>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09" w:type="dxa"/>
            <w:tcBorders>
              <w:top w:val="nil"/>
              <w:left w:val="nil"/>
              <w:bottom w:val="nil"/>
              <w:right w:val="single" w:sz="4" w:space="0" w:color="auto"/>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55"/>
        </w:trPr>
        <w:tc>
          <w:tcPr>
            <w:tcW w:w="3021" w:type="dxa"/>
            <w:tcBorders>
              <w:top w:val="nil"/>
              <w:left w:val="single" w:sz="4" w:space="0" w:color="auto"/>
              <w:bottom w:val="nil"/>
              <w:right w:val="single" w:sz="4" w:space="0" w:color="auto"/>
            </w:tcBorders>
            <w:shd w:val="clear" w:color="000000" w:fill="D9D9D9"/>
            <w:vAlign w:val="bottom"/>
            <w:hideMark/>
          </w:tcPr>
          <w:p w:rsidR="00B26C61" w:rsidRDefault="00B26C61" w:rsidP="00EA3146">
            <w:pPr>
              <w:ind w:firstLineChars="200" w:firstLine="320"/>
              <w:rPr>
                <w:rFonts w:cs="Calibri"/>
                <w:color w:val="000000"/>
                <w:sz w:val="16"/>
                <w:szCs w:val="16"/>
              </w:rPr>
            </w:pPr>
            <w:r>
              <w:rPr>
                <w:rFonts w:cs="Calibri"/>
                <w:color w:val="000000"/>
                <w:sz w:val="16"/>
                <w:szCs w:val="16"/>
              </w:rPr>
              <w:t>Administered items</w:t>
            </w:r>
          </w:p>
        </w:tc>
        <w:tc>
          <w:tcPr>
            <w:tcW w:w="136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14,321 </w:t>
            </w:r>
          </w:p>
        </w:tc>
        <w:tc>
          <w:tcPr>
            <w:tcW w:w="136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(127,366)</w:t>
            </w:r>
          </w:p>
        </w:tc>
        <w:tc>
          <w:tcPr>
            <w:tcW w:w="1111" w:type="dxa"/>
            <w:tcBorders>
              <w:top w:val="nil"/>
              <w:left w:val="nil"/>
              <w:bottom w:val="nil"/>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1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1,440 </w:t>
            </w:r>
          </w:p>
        </w:tc>
        <w:tc>
          <w:tcPr>
            <w:tcW w:w="1111"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09"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1,576,708 </w:t>
            </w:r>
          </w:p>
        </w:tc>
        <w:tc>
          <w:tcPr>
            <w:tcW w:w="1292" w:type="dxa"/>
            <w:tcBorders>
              <w:top w:val="nil"/>
              <w:left w:val="single" w:sz="4" w:space="0" w:color="auto"/>
              <w:bottom w:val="nil"/>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1,465,103 </w:t>
            </w:r>
          </w:p>
        </w:tc>
        <w:tc>
          <w:tcPr>
            <w:tcW w:w="1296" w:type="dxa"/>
            <w:tcBorders>
              <w:top w:val="nil"/>
              <w:left w:val="nil"/>
              <w:bottom w:val="nil"/>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1,439,078 </w:t>
            </w:r>
          </w:p>
        </w:tc>
        <w:tc>
          <w:tcPr>
            <w:tcW w:w="1109" w:type="dxa"/>
            <w:tcBorders>
              <w:top w:val="nil"/>
              <w:left w:val="nil"/>
              <w:bottom w:val="nil"/>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26,025 </w:t>
            </w:r>
          </w:p>
        </w:tc>
      </w:tr>
      <w:tr w:rsidR="00B26C61" w:rsidTr="00EA3146">
        <w:trPr>
          <w:trHeight w:val="255"/>
        </w:trPr>
        <w:tc>
          <w:tcPr>
            <w:tcW w:w="3021" w:type="dxa"/>
            <w:tcBorders>
              <w:top w:val="nil"/>
              <w:left w:val="single" w:sz="4" w:space="0" w:color="auto"/>
              <w:bottom w:val="nil"/>
              <w:right w:val="single" w:sz="4" w:space="0" w:color="auto"/>
            </w:tcBorders>
            <w:shd w:val="clear" w:color="000000" w:fill="D9D9D9"/>
            <w:vAlign w:val="bottom"/>
            <w:hideMark/>
          </w:tcPr>
          <w:p w:rsidR="00B26C61" w:rsidRDefault="00B26C61" w:rsidP="00EA3146">
            <w:pPr>
              <w:ind w:firstLineChars="200" w:firstLine="320"/>
              <w:rPr>
                <w:rFonts w:cs="Calibri"/>
                <w:color w:val="000000"/>
                <w:sz w:val="16"/>
                <w:szCs w:val="16"/>
              </w:rPr>
            </w:pPr>
            <w:r>
              <w:rPr>
                <w:rFonts w:cs="Calibri"/>
                <w:color w:val="000000"/>
                <w:sz w:val="16"/>
                <w:szCs w:val="16"/>
              </w:rPr>
              <w:t>Payments to CAC Act bodies</w:t>
            </w:r>
          </w:p>
        </w:tc>
        <w:tc>
          <w:tcPr>
            <w:tcW w:w="136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1,433 </w:t>
            </w:r>
          </w:p>
        </w:tc>
        <w:tc>
          <w:tcPr>
            <w:tcW w:w="136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11" w:type="dxa"/>
            <w:tcBorders>
              <w:top w:val="nil"/>
              <w:left w:val="nil"/>
              <w:bottom w:val="nil"/>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1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11"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09"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292" w:type="dxa"/>
            <w:tcBorders>
              <w:top w:val="nil"/>
              <w:left w:val="single" w:sz="4" w:space="0" w:color="auto"/>
              <w:bottom w:val="nil"/>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1,433 </w:t>
            </w:r>
          </w:p>
        </w:tc>
        <w:tc>
          <w:tcPr>
            <w:tcW w:w="1296" w:type="dxa"/>
            <w:tcBorders>
              <w:top w:val="nil"/>
              <w:left w:val="nil"/>
              <w:bottom w:val="nil"/>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1,433 </w:t>
            </w:r>
          </w:p>
        </w:tc>
        <w:tc>
          <w:tcPr>
            <w:tcW w:w="1109" w:type="dxa"/>
            <w:tcBorders>
              <w:top w:val="nil"/>
              <w:left w:val="nil"/>
              <w:bottom w:val="nil"/>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r>
      <w:tr w:rsidR="00B26C61" w:rsidTr="00EA3146">
        <w:trPr>
          <w:trHeight w:val="255"/>
        </w:trPr>
        <w:tc>
          <w:tcPr>
            <w:tcW w:w="3021" w:type="dxa"/>
            <w:tcBorders>
              <w:top w:val="nil"/>
              <w:left w:val="single" w:sz="4" w:space="0" w:color="auto"/>
              <w:bottom w:val="nil"/>
              <w:right w:val="single" w:sz="4" w:space="0" w:color="auto"/>
            </w:tcBorders>
            <w:shd w:val="clear" w:color="000000" w:fill="D9D9D9"/>
            <w:vAlign w:val="bottom"/>
            <w:hideMark/>
          </w:tcPr>
          <w:p w:rsidR="00B26C61" w:rsidRDefault="00B26C61" w:rsidP="00EA3146">
            <w:pPr>
              <w:ind w:firstLineChars="100" w:firstLine="160"/>
              <w:rPr>
                <w:rFonts w:cs="Calibri"/>
                <w:sz w:val="16"/>
                <w:szCs w:val="16"/>
              </w:rPr>
            </w:pPr>
            <w:r>
              <w:rPr>
                <w:rFonts w:cs="Calibri"/>
                <w:sz w:val="16"/>
                <w:szCs w:val="16"/>
              </w:rPr>
              <w:t>Other Services</w:t>
            </w:r>
          </w:p>
        </w:tc>
        <w:tc>
          <w:tcPr>
            <w:tcW w:w="1366"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366"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11" w:type="dxa"/>
            <w:tcBorders>
              <w:top w:val="nil"/>
              <w:left w:val="nil"/>
              <w:bottom w:val="nil"/>
              <w:right w:val="single" w:sz="4" w:space="0" w:color="auto"/>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10"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11"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09" w:type="dxa"/>
            <w:tcBorders>
              <w:top w:val="nil"/>
              <w:left w:val="nil"/>
              <w:bottom w:val="nil"/>
              <w:right w:val="nil"/>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92" w:type="dxa"/>
            <w:tcBorders>
              <w:top w:val="nil"/>
              <w:left w:val="single" w:sz="4" w:space="0" w:color="auto"/>
              <w:bottom w:val="nil"/>
              <w:right w:val="single" w:sz="4" w:space="0" w:color="auto"/>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296" w:type="dxa"/>
            <w:tcBorders>
              <w:top w:val="nil"/>
              <w:left w:val="nil"/>
              <w:bottom w:val="nil"/>
              <w:right w:val="single" w:sz="4" w:space="0" w:color="auto"/>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c>
          <w:tcPr>
            <w:tcW w:w="1109" w:type="dxa"/>
            <w:tcBorders>
              <w:top w:val="nil"/>
              <w:left w:val="nil"/>
              <w:bottom w:val="nil"/>
              <w:right w:val="single" w:sz="4" w:space="0" w:color="auto"/>
            </w:tcBorders>
            <w:shd w:val="clear" w:color="000000" w:fill="D9D9D9"/>
            <w:noWrap/>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55"/>
        </w:trPr>
        <w:tc>
          <w:tcPr>
            <w:tcW w:w="3021" w:type="dxa"/>
            <w:tcBorders>
              <w:top w:val="nil"/>
              <w:left w:val="single" w:sz="4" w:space="0" w:color="auto"/>
              <w:bottom w:val="nil"/>
              <w:right w:val="single" w:sz="4" w:space="0" w:color="auto"/>
            </w:tcBorders>
            <w:shd w:val="clear" w:color="000000" w:fill="D9D9D9"/>
            <w:vAlign w:val="bottom"/>
            <w:hideMark/>
          </w:tcPr>
          <w:p w:rsidR="00B26C61" w:rsidRDefault="00B26C61" w:rsidP="00EA3146">
            <w:pPr>
              <w:ind w:firstLineChars="200" w:firstLine="320"/>
              <w:rPr>
                <w:rFonts w:cs="Calibri"/>
                <w:color w:val="000000"/>
                <w:sz w:val="16"/>
                <w:szCs w:val="16"/>
              </w:rPr>
            </w:pPr>
            <w:r>
              <w:rPr>
                <w:rFonts w:cs="Calibri"/>
                <w:color w:val="000000"/>
                <w:sz w:val="16"/>
                <w:szCs w:val="16"/>
              </w:rPr>
              <w:t>Administered assets and liabilities</w:t>
            </w:r>
          </w:p>
        </w:tc>
        <w:tc>
          <w:tcPr>
            <w:tcW w:w="136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2,967 </w:t>
            </w:r>
          </w:p>
        </w:tc>
        <w:tc>
          <w:tcPr>
            <w:tcW w:w="136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(2,887)</w:t>
            </w:r>
          </w:p>
        </w:tc>
        <w:tc>
          <w:tcPr>
            <w:tcW w:w="1111" w:type="dxa"/>
            <w:tcBorders>
              <w:top w:val="nil"/>
              <w:left w:val="nil"/>
              <w:bottom w:val="nil"/>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10"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11"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09"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292" w:type="dxa"/>
            <w:tcBorders>
              <w:top w:val="nil"/>
              <w:left w:val="single" w:sz="4" w:space="0" w:color="auto"/>
              <w:bottom w:val="nil"/>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80 </w:t>
            </w:r>
          </w:p>
        </w:tc>
        <w:tc>
          <w:tcPr>
            <w:tcW w:w="1296" w:type="dxa"/>
            <w:tcBorders>
              <w:top w:val="nil"/>
              <w:left w:val="nil"/>
              <w:bottom w:val="nil"/>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80 </w:t>
            </w:r>
          </w:p>
        </w:tc>
        <w:tc>
          <w:tcPr>
            <w:tcW w:w="1109" w:type="dxa"/>
            <w:tcBorders>
              <w:top w:val="nil"/>
              <w:left w:val="nil"/>
              <w:bottom w:val="nil"/>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r>
      <w:tr w:rsidR="00B26C61" w:rsidTr="00EA3146">
        <w:trPr>
          <w:trHeight w:val="255"/>
        </w:trPr>
        <w:tc>
          <w:tcPr>
            <w:tcW w:w="3021"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26C61" w:rsidRDefault="00B26C61" w:rsidP="00EA3146">
            <w:pPr>
              <w:rPr>
                <w:rFonts w:cs="Calibri"/>
                <w:b/>
                <w:bCs/>
                <w:sz w:val="16"/>
                <w:szCs w:val="16"/>
              </w:rPr>
            </w:pPr>
            <w:r>
              <w:rPr>
                <w:rFonts w:cs="Calibri"/>
                <w:b/>
                <w:bCs/>
                <w:sz w:val="16"/>
                <w:szCs w:val="16"/>
              </w:rPr>
              <w:t>Total administered</w:t>
            </w:r>
          </w:p>
        </w:tc>
        <w:tc>
          <w:tcPr>
            <w:tcW w:w="136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18,721</w:t>
            </w:r>
          </w:p>
        </w:tc>
        <w:tc>
          <w:tcPr>
            <w:tcW w:w="1366"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(130,253)</w:t>
            </w:r>
          </w:p>
        </w:tc>
        <w:tc>
          <w:tcPr>
            <w:tcW w:w="1111" w:type="dxa"/>
            <w:tcBorders>
              <w:top w:val="single" w:sz="4" w:space="0" w:color="auto"/>
              <w:left w:val="nil"/>
              <w:bottom w:val="single" w:sz="4" w:space="0" w:color="auto"/>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w:t>
            </w:r>
          </w:p>
        </w:tc>
        <w:tc>
          <w:tcPr>
            <w:tcW w:w="1110"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1,440</w:t>
            </w:r>
          </w:p>
        </w:tc>
        <w:tc>
          <w:tcPr>
            <w:tcW w:w="1111"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w:t>
            </w:r>
          </w:p>
        </w:tc>
        <w:tc>
          <w:tcPr>
            <w:tcW w:w="1109" w:type="dxa"/>
            <w:tcBorders>
              <w:top w:val="single" w:sz="4" w:space="0" w:color="auto"/>
              <w:left w:val="nil"/>
              <w:bottom w:val="single" w:sz="4" w:space="0" w:color="auto"/>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1,576,708</w:t>
            </w:r>
          </w:p>
        </w:tc>
        <w:tc>
          <w:tcPr>
            <w:tcW w:w="129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1,466,616</w:t>
            </w:r>
          </w:p>
        </w:tc>
        <w:tc>
          <w:tcPr>
            <w:tcW w:w="1296" w:type="dxa"/>
            <w:tcBorders>
              <w:top w:val="single" w:sz="4" w:space="0" w:color="auto"/>
              <w:left w:val="nil"/>
              <w:bottom w:val="single" w:sz="4" w:space="0" w:color="auto"/>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1,440,591</w:t>
            </w:r>
          </w:p>
        </w:tc>
        <w:tc>
          <w:tcPr>
            <w:tcW w:w="1109" w:type="dxa"/>
            <w:tcBorders>
              <w:top w:val="single" w:sz="4" w:space="0" w:color="auto"/>
              <w:left w:val="nil"/>
              <w:bottom w:val="single" w:sz="4" w:space="0" w:color="auto"/>
              <w:right w:val="single" w:sz="4" w:space="0" w:color="auto"/>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26,025</w:t>
            </w:r>
          </w:p>
        </w:tc>
      </w:tr>
    </w:tbl>
    <w:p w:rsidR="00B26C61" w:rsidRDefault="00B26C61" w:rsidP="00B26C61">
      <w:pPr>
        <w:pStyle w:val="NotesText0"/>
        <w:spacing w:before="0" w:after="0" w:line="260" w:lineRule="atLeast"/>
      </w:pPr>
      <w:bookmarkStart w:id="411" w:name="RANGE!D7:M27"/>
      <w:bookmarkStart w:id="412" w:name="RANGE!D7:D18"/>
      <w:bookmarkStart w:id="413" w:name="RANGE!D7:H18"/>
      <w:bookmarkStart w:id="414" w:name="RANGE!D6:H17"/>
      <w:bookmarkStart w:id="415" w:name="RANGE!D7:M26"/>
      <w:bookmarkStart w:id="416" w:name="RANGE!D7:M28"/>
      <w:bookmarkStart w:id="417" w:name="RANGE!D7:M29"/>
      <w:bookmarkEnd w:id="411"/>
      <w:bookmarkEnd w:id="412"/>
      <w:bookmarkEnd w:id="413"/>
      <w:bookmarkEnd w:id="414"/>
      <w:bookmarkEnd w:id="415"/>
      <w:bookmarkEnd w:id="416"/>
      <w:bookmarkEnd w:id="417"/>
      <w:r>
        <w:t>Notes</w:t>
      </w:r>
      <w:proofErr w:type="gramStart"/>
      <w:r>
        <w:t>:</w:t>
      </w:r>
      <w:proofErr w:type="gramEnd"/>
      <w:r>
        <w:br/>
        <w:t xml:space="preserve">1. Appropriations reduced under Appropriation Acts (No. 1, 3 &amp; 5) 2013-14: sections 10,11 and 12 and under Appropriation Acts (No. 2, 4 &amp; 6) 2013-14: sections 12, 13 and 14.  Departmental appropriations do not lapse at the end of the financial year.  However, the responsible Minister may decide that part or all of a departmental appropriation is not required and request the Finance Minister to reduce that appropriation.  The reduction in the appropriation is effected by the Finance Minister’s determination and is disallowable by Parliament.  </w:t>
      </w:r>
    </w:p>
    <w:p w:rsidR="00B26C61" w:rsidRDefault="00B26C61" w:rsidP="00B26C61">
      <w:pPr>
        <w:pStyle w:val="NotesText0"/>
        <w:spacing w:before="0" w:after="0" w:line="260" w:lineRule="atLeast"/>
      </w:pPr>
      <w:r>
        <w:t xml:space="preserve">As with departmental appropriations, the responsible Minister may decide that part or all of an administered appropriation is not required and request that the Finance Minister reduce that appropriation.  For administered appropriations reduced under section 11 of the Appropriations Acts (Nos 1, 3 &amp; 5) 2013-14 and section 12 of Appropriation Acts (No. 2, 4 &amp; 6) 2013-14, the appropriation is taken to be reduced to the required amount specified in Table F of this note once the annual report is tabled in Parliament.  All administered appropriations may be adjusted by a Finance Minister’s determination which is disallowable by Parliament.  </w:t>
      </w:r>
    </w:p>
    <w:p w:rsidR="00B26C61" w:rsidRDefault="00B26C61" w:rsidP="00B26C61">
      <w:pPr>
        <w:pStyle w:val="NotesText0"/>
        <w:spacing w:before="0" w:after="0" w:line="260" w:lineRule="atLeast"/>
      </w:pPr>
      <w:r>
        <w:t>2. Advance to the Finance Minister (</w:t>
      </w:r>
      <w:proofErr w:type="spellStart"/>
      <w:r>
        <w:t>AFM</w:t>
      </w:r>
      <w:proofErr w:type="spellEnd"/>
      <w:r>
        <w:t>) – Appropriation Acts (No. 1, 3 &amp; 5) 2013-14: section 13 and Appropriation Acts (No. 2, 4 &amp; 6) 2013-14: section 15.</w:t>
      </w:r>
    </w:p>
    <w:p w:rsidR="00B26C61" w:rsidRDefault="00B26C61" w:rsidP="00B26C61">
      <w:pPr>
        <w:pStyle w:val="NotesText0"/>
        <w:spacing w:before="0" w:after="0" w:line="260" w:lineRule="atLeast"/>
      </w:pPr>
      <w:r>
        <w:t xml:space="preserve">3. Administered and departmental variances are due to the 18 September 2013 restructure and resultant section 32 transfers relating to opening and closing liabilities. </w:t>
      </w:r>
    </w:p>
    <w:p w:rsidR="00B26C61" w:rsidRDefault="00B26C61" w:rsidP="00B26C61">
      <w:r>
        <w:br w:type="page"/>
      </w:r>
    </w:p>
    <w:tbl>
      <w:tblPr>
        <w:tblW w:w="13991" w:type="dxa"/>
        <w:tblInd w:w="80" w:type="dxa"/>
        <w:tblLayout w:type="fixed"/>
        <w:tblLook w:val="04A0" w:firstRow="1" w:lastRow="0" w:firstColumn="1" w:lastColumn="0" w:noHBand="0" w:noVBand="1"/>
      </w:tblPr>
      <w:tblGrid>
        <w:gridCol w:w="3893"/>
        <w:gridCol w:w="1368"/>
        <w:gridCol w:w="1367"/>
        <w:gridCol w:w="1157"/>
        <w:gridCol w:w="1367"/>
        <w:gridCol w:w="1367"/>
        <w:gridCol w:w="1158"/>
        <w:gridCol w:w="1157"/>
        <w:gridCol w:w="1157"/>
      </w:tblGrid>
      <w:tr w:rsidR="00B26C61" w:rsidTr="00EA3146">
        <w:trPr>
          <w:trHeight w:val="255"/>
        </w:trPr>
        <w:tc>
          <w:tcPr>
            <w:tcW w:w="9085" w:type="dxa"/>
            <w:gridSpan w:val="5"/>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418" w:name="Note_DCBTABLE1" w:colFirst="0" w:colLast="0"/>
            <w:r>
              <w:rPr>
                <w:rFonts w:cs="Calibri"/>
                <w:b/>
                <w:bCs/>
                <w:szCs w:val="18"/>
                <w:u w:val="single"/>
              </w:rPr>
              <w:lastRenderedPageBreak/>
              <w:t xml:space="preserve">Note </w:t>
            </w:r>
            <w:proofErr w:type="spellStart"/>
            <w:r>
              <w:rPr>
                <w:rFonts w:cs="Calibri"/>
                <w:b/>
                <w:bCs/>
                <w:szCs w:val="18"/>
                <w:u w:val="single"/>
              </w:rPr>
              <w:t>27B</w:t>
            </w:r>
            <w:proofErr w:type="spellEnd"/>
            <w:r>
              <w:rPr>
                <w:rFonts w:cs="Calibri"/>
                <w:b/>
                <w:bCs/>
                <w:szCs w:val="18"/>
                <w:u w:val="single"/>
              </w:rPr>
              <w:t>: Departmental and Administered Capital Budgets ('Recoverable GST exclusive')</w:t>
            </w:r>
          </w:p>
        </w:tc>
        <w:tc>
          <w:tcPr>
            <w:tcW w:w="135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49"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48"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48"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bookmarkEnd w:id="418"/>
      <w:tr w:rsidR="00B26C61" w:rsidTr="00EA3146">
        <w:trPr>
          <w:trHeight w:val="255"/>
        </w:trPr>
        <w:tc>
          <w:tcPr>
            <w:tcW w:w="3865"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358"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35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48"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35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357"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49"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48"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48"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510"/>
        </w:trPr>
        <w:tc>
          <w:tcPr>
            <w:tcW w:w="3865" w:type="dxa"/>
            <w:tcBorders>
              <w:top w:val="single" w:sz="4" w:space="0" w:color="auto"/>
              <w:left w:val="single" w:sz="4" w:space="0" w:color="auto"/>
              <w:bottom w:val="nil"/>
              <w:right w:val="single" w:sz="4" w:space="0" w:color="auto"/>
            </w:tcBorders>
            <w:shd w:val="clear" w:color="FFFFFF" w:fill="FFFFFF"/>
            <w:vAlign w:val="bottom"/>
            <w:hideMark/>
          </w:tcPr>
          <w:p w:rsidR="00B26C61" w:rsidRDefault="00B26C61" w:rsidP="00EA3146">
            <w:pPr>
              <w:rPr>
                <w:rFonts w:cs="Calibri"/>
                <w:b/>
                <w:bCs/>
                <w:color w:val="000000"/>
                <w:sz w:val="16"/>
                <w:szCs w:val="16"/>
              </w:rPr>
            </w:pPr>
            <w:r>
              <w:rPr>
                <w:rFonts w:cs="Calibri"/>
                <w:b/>
                <w:bCs/>
                <w:color w:val="000000"/>
                <w:sz w:val="16"/>
                <w:szCs w:val="16"/>
              </w:rPr>
              <w:t> </w:t>
            </w:r>
          </w:p>
        </w:tc>
        <w:tc>
          <w:tcPr>
            <w:tcW w:w="5220" w:type="dxa"/>
            <w:gridSpan w:val="4"/>
            <w:tcBorders>
              <w:top w:val="single" w:sz="4" w:space="0" w:color="auto"/>
              <w:left w:val="nil"/>
              <w:bottom w:val="single" w:sz="4" w:space="0" w:color="auto"/>
              <w:right w:val="single" w:sz="4" w:space="0" w:color="000000"/>
            </w:tcBorders>
            <w:shd w:val="clear" w:color="FFFFFF" w:fill="FFFFFF"/>
            <w:vAlign w:val="bottom"/>
            <w:hideMark/>
          </w:tcPr>
          <w:p w:rsidR="00B26C61" w:rsidRDefault="00B26C61" w:rsidP="00EA3146">
            <w:pPr>
              <w:jc w:val="center"/>
              <w:rPr>
                <w:rFonts w:cs="Calibri"/>
                <w:b/>
                <w:bCs/>
                <w:sz w:val="16"/>
                <w:szCs w:val="16"/>
              </w:rPr>
            </w:pPr>
            <w:r>
              <w:rPr>
                <w:rFonts w:cs="Calibri"/>
                <w:b/>
                <w:bCs/>
                <w:sz w:val="16"/>
                <w:szCs w:val="16"/>
              </w:rPr>
              <w:t>2014 Capital Budget Appropriations</w:t>
            </w:r>
          </w:p>
        </w:tc>
        <w:tc>
          <w:tcPr>
            <w:tcW w:w="3654" w:type="dxa"/>
            <w:gridSpan w:val="3"/>
            <w:tcBorders>
              <w:top w:val="single" w:sz="4" w:space="0" w:color="auto"/>
              <w:left w:val="nil"/>
              <w:bottom w:val="single" w:sz="4" w:space="0" w:color="auto"/>
              <w:right w:val="single" w:sz="4" w:space="0" w:color="000000"/>
            </w:tcBorders>
            <w:shd w:val="clear" w:color="FFFFFF" w:fill="FFFFFF"/>
            <w:vAlign w:val="bottom"/>
            <w:hideMark/>
          </w:tcPr>
          <w:p w:rsidR="00B26C61" w:rsidRDefault="00B26C61" w:rsidP="00EA3146">
            <w:pPr>
              <w:jc w:val="center"/>
              <w:rPr>
                <w:rFonts w:cs="Calibri"/>
                <w:b/>
                <w:bCs/>
                <w:sz w:val="16"/>
                <w:szCs w:val="16"/>
              </w:rPr>
            </w:pPr>
            <w:r>
              <w:rPr>
                <w:rFonts w:cs="Calibri"/>
                <w:b/>
                <w:bCs/>
                <w:sz w:val="16"/>
                <w:szCs w:val="16"/>
              </w:rPr>
              <w:t>Capital Budget Appropriations applied in 2014 (current and prior years)</w:t>
            </w:r>
          </w:p>
        </w:tc>
        <w:tc>
          <w:tcPr>
            <w:tcW w:w="1148" w:type="dxa"/>
            <w:vMerge w:val="restart"/>
            <w:tcBorders>
              <w:top w:val="single" w:sz="4" w:space="0" w:color="auto"/>
              <w:left w:val="single" w:sz="4" w:space="0" w:color="auto"/>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Variance</w:t>
            </w:r>
          </w:p>
        </w:tc>
      </w:tr>
      <w:tr w:rsidR="00B26C61" w:rsidTr="00EA3146">
        <w:trPr>
          <w:trHeight w:val="255"/>
        </w:trPr>
        <w:tc>
          <w:tcPr>
            <w:tcW w:w="3865" w:type="dxa"/>
            <w:tcBorders>
              <w:top w:val="nil"/>
              <w:left w:val="single" w:sz="4" w:space="0" w:color="auto"/>
              <w:bottom w:val="nil"/>
              <w:right w:val="single" w:sz="4" w:space="0" w:color="auto"/>
            </w:tcBorders>
            <w:shd w:val="clear" w:color="FFFFFF" w:fill="FFFFFF"/>
            <w:vAlign w:val="bottom"/>
            <w:hideMark/>
          </w:tcPr>
          <w:p w:rsidR="00B26C61" w:rsidRDefault="00B26C61" w:rsidP="00EA3146">
            <w:pPr>
              <w:rPr>
                <w:rFonts w:cs="Calibri"/>
                <w:b/>
                <w:bCs/>
                <w:color w:val="000000"/>
                <w:sz w:val="16"/>
                <w:szCs w:val="16"/>
              </w:rPr>
            </w:pPr>
            <w:r>
              <w:rPr>
                <w:rFonts w:cs="Calibri"/>
                <w:b/>
                <w:bCs/>
                <w:color w:val="000000"/>
                <w:sz w:val="16"/>
                <w:szCs w:val="16"/>
              </w:rPr>
              <w:t> </w:t>
            </w:r>
          </w:p>
        </w:tc>
        <w:tc>
          <w:tcPr>
            <w:tcW w:w="2715" w:type="dxa"/>
            <w:gridSpan w:val="2"/>
            <w:tcBorders>
              <w:top w:val="single" w:sz="4" w:space="0" w:color="auto"/>
              <w:left w:val="nil"/>
              <w:bottom w:val="single" w:sz="4" w:space="0" w:color="auto"/>
              <w:right w:val="single" w:sz="4" w:space="0" w:color="000000"/>
            </w:tcBorders>
            <w:shd w:val="clear" w:color="FFFFFF" w:fill="FFFFFF"/>
            <w:vAlign w:val="bottom"/>
            <w:hideMark/>
          </w:tcPr>
          <w:p w:rsidR="00B26C61" w:rsidRDefault="00B26C61" w:rsidP="00EA3146">
            <w:pPr>
              <w:jc w:val="center"/>
              <w:rPr>
                <w:rFonts w:cs="Calibri"/>
                <w:b/>
                <w:bCs/>
                <w:i/>
                <w:iCs/>
                <w:color w:val="000000"/>
                <w:sz w:val="16"/>
                <w:szCs w:val="16"/>
              </w:rPr>
            </w:pPr>
            <w:r>
              <w:rPr>
                <w:rFonts w:cs="Calibri"/>
                <w:b/>
                <w:bCs/>
                <w:i/>
                <w:iCs/>
                <w:color w:val="000000"/>
                <w:sz w:val="16"/>
                <w:szCs w:val="16"/>
              </w:rPr>
              <w:t>Appropriation Act</w:t>
            </w:r>
          </w:p>
        </w:tc>
        <w:tc>
          <w:tcPr>
            <w:tcW w:w="1148"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center"/>
              <w:rPr>
                <w:rFonts w:cs="Calibri"/>
                <w:b/>
                <w:bCs/>
                <w:i/>
                <w:iCs/>
                <w:color w:val="000000"/>
                <w:sz w:val="16"/>
                <w:szCs w:val="16"/>
              </w:rPr>
            </w:pPr>
            <w:proofErr w:type="spellStart"/>
            <w:r>
              <w:rPr>
                <w:rFonts w:cs="Calibri"/>
                <w:b/>
                <w:bCs/>
                <w:i/>
                <w:iCs/>
                <w:color w:val="000000"/>
                <w:sz w:val="16"/>
                <w:szCs w:val="16"/>
              </w:rPr>
              <w:t>FMA</w:t>
            </w:r>
            <w:proofErr w:type="spellEnd"/>
            <w:r>
              <w:rPr>
                <w:rFonts w:cs="Calibri"/>
                <w:b/>
                <w:bCs/>
                <w:i/>
                <w:iCs/>
                <w:color w:val="000000"/>
                <w:sz w:val="16"/>
                <w:szCs w:val="16"/>
              </w:rPr>
              <w:t xml:space="preserve"> Act</w:t>
            </w:r>
          </w:p>
        </w:tc>
        <w:tc>
          <w:tcPr>
            <w:tcW w:w="1357" w:type="dxa"/>
            <w:vMerge w:val="restart"/>
            <w:tcBorders>
              <w:top w:val="nil"/>
              <w:left w:val="single" w:sz="4" w:space="0" w:color="auto"/>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Total Capital Budget Appropriations</w:t>
            </w:r>
          </w:p>
        </w:tc>
        <w:tc>
          <w:tcPr>
            <w:tcW w:w="1357" w:type="dxa"/>
            <w:vMerge w:val="restart"/>
            <w:tcBorders>
              <w:top w:val="nil"/>
              <w:left w:val="single" w:sz="4" w:space="0" w:color="auto"/>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 xml:space="preserve">Payments for non-financial </w:t>
            </w:r>
            <w:proofErr w:type="spellStart"/>
            <w:r>
              <w:rPr>
                <w:rFonts w:cs="Calibri"/>
                <w:b/>
                <w:bCs/>
                <w:sz w:val="16"/>
                <w:szCs w:val="16"/>
              </w:rPr>
              <w:t>assets</w:t>
            </w:r>
            <w:r>
              <w:rPr>
                <w:rFonts w:cs="Calibri"/>
                <w:b/>
                <w:bCs/>
                <w:sz w:val="16"/>
                <w:szCs w:val="16"/>
                <w:vertAlign w:val="superscript"/>
              </w:rPr>
              <w:t>3</w:t>
            </w:r>
            <w:proofErr w:type="spellEnd"/>
          </w:p>
        </w:tc>
        <w:tc>
          <w:tcPr>
            <w:tcW w:w="1149" w:type="dxa"/>
            <w:vMerge w:val="restart"/>
            <w:tcBorders>
              <w:top w:val="nil"/>
              <w:left w:val="single" w:sz="4" w:space="0" w:color="auto"/>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Payments for other purposes</w:t>
            </w:r>
          </w:p>
        </w:tc>
        <w:tc>
          <w:tcPr>
            <w:tcW w:w="1148" w:type="dxa"/>
            <w:vMerge w:val="restart"/>
            <w:tcBorders>
              <w:top w:val="nil"/>
              <w:left w:val="single" w:sz="4" w:space="0" w:color="auto"/>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Total payments</w:t>
            </w:r>
          </w:p>
        </w:tc>
        <w:tc>
          <w:tcPr>
            <w:tcW w:w="1148" w:type="dxa"/>
            <w:vMerge/>
            <w:tcBorders>
              <w:top w:val="single" w:sz="4" w:space="0" w:color="auto"/>
              <w:left w:val="single" w:sz="4" w:space="0" w:color="auto"/>
              <w:bottom w:val="nil"/>
              <w:right w:val="single" w:sz="4" w:space="0" w:color="auto"/>
            </w:tcBorders>
            <w:vAlign w:val="center"/>
            <w:hideMark/>
          </w:tcPr>
          <w:p w:rsidR="00B26C61" w:rsidRDefault="00B26C61" w:rsidP="00EA3146">
            <w:pPr>
              <w:rPr>
                <w:rFonts w:cs="Calibri"/>
                <w:b/>
                <w:bCs/>
                <w:sz w:val="16"/>
                <w:szCs w:val="16"/>
              </w:rPr>
            </w:pPr>
          </w:p>
        </w:tc>
      </w:tr>
      <w:tr w:rsidR="00B26C61" w:rsidTr="00EA3146">
        <w:trPr>
          <w:trHeight w:val="915"/>
        </w:trPr>
        <w:tc>
          <w:tcPr>
            <w:tcW w:w="3865" w:type="dxa"/>
            <w:tcBorders>
              <w:top w:val="nil"/>
              <w:left w:val="single" w:sz="4" w:space="0" w:color="auto"/>
              <w:bottom w:val="nil"/>
              <w:right w:val="single" w:sz="4" w:space="0" w:color="auto"/>
            </w:tcBorders>
            <w:shd w:val="clear" w:color="FFFFFF" w:fill="FFFFFF"/>
            <w:vAlign w:val="bottom"/>
            <w:hideMark/>
          </w:tcPr>
          <w:p w:rsidR="00B26C61" w:rsidRDefault="00B26C61" w:rsidP="00EA3146">
            <w:pPr>
              <w:rPr>
                <w:rFonts w:cs="Calibri"/>
                <w:b/>
                <w:bCs/>
                <w:color w:val="000000"/>
                <w:sz w:val="16"/>
                <w:szCs w:val="16"/>
              </w:rPr>
            </w:pPr>
            <w:r>
              <w:rPr>
                <w:rFonts w:cs="Calibri"/>
                <w:b/>
                <w:bCs/>
                <w:color w:val="000000"/>
                <w:sz w:val="16"/>
                <w:szCs w:val="16"/>
              </w:rPr>
              <w:t> </w:t>
            </w:r>
          </w:p>
        </w:tc>
        <w:tc>
          <w:tcPr>
            <w:tcW w:w="1358" w:type="dxa"/>
            <w:tcBorders>
              <w:top w:val="nil"/>
              <w:left w:val="nil"/>
              <w:bottom w:val="nil"/>
              <w:right w:val="nil"/>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Annual Capital Budget</w:t>
            </w:r>
          </w:p>
        </w:tc>
        <w:tc>
          <w:tcPr>
            <w:tcW w:w="1357" w:type="dxa"/>
            <w:tcBorders>
              <w:top w:val="nil"/>
              <w:left w:val="nil"/>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 xml:space="preserve">Appropriations </w:t>
            </w:r>
            <w:proofErr w:type="spellStart"/>
            <w:r>
              <w:rPr>
                <w:rFonts w:cs="Calibri"/>
                <w:b/>
                <w:bCs/>
                <w:sz w:val="16"/>
                <w:szCs w:val="16"/>
              </w:rPr>
              <w:t>reduced</w:t>
            </w:r>
            <w:r>
              <w:rPr>
                <w:rFonts w:cs="Calibri"/>
                <w:b/>
                <w:bCs/>
                <w:sz w:val="16"/>
                <w:szCs w:val="16"/>
                <w:vertAlign w:val="superscript"/>
              </w:rPr>
              <w:t>2</w:t>
            </w:r>
            <w:proofErr w:type="spellEnd"/>
          </w:p>
        </w:tc>
        <w:tc>
          <w:tcPr>
            <w:tcW w:w="1148" w:type="dxa"/>
            <w:tcBorders>
              <w:top w:val="nil"/>
              <w:left w:val="nil"/>
              <w:bottom w:val="nil"/>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Section 32</w:t>
            </w:r>
          </w:p>
        </w:tc>
        <w:tc>
          <w:tcPr>
            <w:tcW w:w="1357" w:type="dxa"/>
            <w:vMerge/>
            <w:tcBorders>
              <w:top w:val="nil"/>
              <w:left w:val="single" w:sz="4" w:space="0" w:color="auto"/>
              <w:bottom w:val="nil"/>
              <w:right w:val="single" w:sz="4" w:space="0" w:color="auto"/>
            </w:tcBorders>
            <w:vAlign w:val="center"/>
            <w:hideMark/>
          </w:tcPr>
          <w:p w:rsidR="00B26C61" w:rsidRDefault="00B26C61" w:rsidP="00EA3146">
            <w:pPr>
              <w:rPr>
                <w:rFonts w:cs="Calibri"/>
                <w:b/>
                <w:bCs/>
                <w:sz w:val="16"/>
                <w:szCs w:val="16"/>
              </w:rPr>
            </w:pPr>
          </w:p>
        </w:tc>
        <w:tc>
          <w:tcPr>
            <w:tcW w:w="1357" w:type="dxa"/>
            <w:vMerge/>
            <w:tcBorders>
              <w:top w:val="nil"/>
              <w:left w:val="single" w:sz="4" w:space="0" w:color="auto"/>
              <w:bottom w:val="nil"/>
              <w:right w:val="single" w:sz="4" w:space="0" w:color="auto"/>
            </w:tcBorders>
            <w:vAlign w:val="center"/>
            <w:hideMark/>
          </w:tcPr>
          <w:p w:rsidR="00B26C61" w:rsidRDefault="00B26C61" w:rsidP="00EA3146">
            <w:pPr>
              <w:rPr>
                <w:rFonts w:cs="Calibri"/>
                <w:b/>
                <w:bCs/>
                <w:sz w:val="16"/>
                <w:szCs w:val="16"/>
              </w:rPr>
            </w:pPr>
          </w:p>
        </w:tc>
        <w:tc>
          <w:tcPr>
            <w:tcW w:w="1149" w:type="dxa"/>
            <w:vMerge/>
            <w:tcBorders>
              <w:top w:val="nil"/>
              <w:left w:val="single" w:sz="4" w:space="0" w:color="auto"/>
              <w:bottom w:val="nil"/>
              <w:right w:val="single" w:sz="4" w:space="0" w:color="auto"/>
            </w:tcBorders>
            <w:vAlign w:val="center"/>
            <w:hideMark/>
          </w:tcPr>
          <w:p w:rsidR="00B26C61" w:rsidRDefault="00B26C61" w:rsidP="00EA3146">
            <w:pPr>
              <w:rPr>
                <w:rFonts w:cs="Calibri"/>
                <w:b/>
                <w:bCs/>
                <w:sz w:val="16"/>
                <w:szCs w:val="16"/>
              </w:rPr>
            </w:pPr>
          </w:p>
        </w:tc>
        <w:tc>
          <w:tcPr>
            <w:tcW w:w="1148" w:type="dxa"/>
            <w:vMerge/>
            <w:tcBorders>
              <w:top w:val="nil"/>
              <w:left w:val="single" w:sz="4" w:space="0" w:color="auto"/>
              <w:bottom w:val="nil"/>
              <w:right w:val="single" w:sz="4" w:space="0" w:color="auto"/>
            </w:tcBorders>
            <w:vAlign w:val="center"/>
            <w:hideMark/>
          </w:tcPr>
          <w:p w:rsidR="00B26C61" w:rsidRDefault="00B26C61" w:rsidP="00EA3146">
            <w:pPr>
              <w:rPr>
                <w:rFonts w:cs="Calibri"/>
                <w:b/>
                <w:bCs/>
                <w:sz w:val="16"/>
                <w:szCs w:val="16"/>
              </w:rPr>
            </w:pPr>
          </w:p>
        </w:tc>
        <w:tc>
          <w:tcPr>
            <w:tcW w:w="1148" w:type="dxa"/>
            <w:vMerge/>
            <w:tcBorders>
              <w:top w:val="single" w:sz="4" w:space="0" w:color="auto"/>
              <w:left w:val="single" w:sz="4" w:space="0" w:color="auto"/>
              <w:bottom w:val="nil"/>
              <w:right w:val="single" w:sz="4" w:space="0" w:color="auto"/>
            </w:tcBorders>
            <w:vAlign w:val="center"/>
            <w:hideMark/>
          </w:tcPr>
          <w:p w:rsidR="00B26C61" w:rsidRDefault="00B26C61" w:rsidP="00EA3146">
            <w:pPr>
              <w:rPr>
                <w:rFonts w:cs="Calibri"/>
                <w:b/>
                <w:bCs/>
                <w:sz w:val="16"/>
                <w:szCs w:val="16"/>
              </w:rPr>
            </w:pPr>
          </w:p>
        </w:tc>
      </w:tr>
      <w:tr w:rsidR="00B26C61" w:rsidTr="00EA3146">
        <w:trPr>
          <w:trHeight w:val="255"/>
        </w:trPr>
        <w:tc>
          <w:tcPr>
            <w:tcW w:w="3865" w:type="dxa"/>
            <w:tcBorders>
              <w:top w:val="nil"/>
              <w:left w:val="single" w:sz="4" w:space="0" w:color="auto"/>
              <w:bottom w:val="single" w:sz="4" w:space="0" w:color="auto"/>
              <w:right w:val="single" w:sz="4" w:space="0" w:color="auto"/>
            </w:tcBorders>
            <w:shd w:val="clear" w:color="FFFFFF" w:fill="FFFFFF"/>
            <w:vAlign w:val="bottom"/>
            <w:hideMark/>
          </w:tcPr>
          <w:p w:rsidR="00B26C61" w:rsidRDefault="00B26C61" w:rsidP="00EA3146">
            <w:pPr>
              <w:rPr>
                <w:rFonts w:cs="Calibri"/>
                <w:b/>
                <w:bCs/>
                <w:color w:val="000000"/>
                <w:sz w:val="16"/>
                <w:szCs w:val="16"/>
              </w:rPr>
            </w:pPr>
            <w:r>
              <w:rPr>
                <w:rFonts w:cs="Calibri"/>
                <w:b/>
                <w:bCs/>
                <w:color w:val="000000"/>
                <w:sz w:val="16"/>
                <w:szCs w:val="16"/>
              </w:rPr>
              <w:t> </w:t>
            </w:r>
          </w:p>
        </w:tc>
        <w:tc>
          <w:tcPr>
            <w:tcW w:w="1358"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357"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148"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357"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$'001</w:t>
            </w:r>
          </w:p>
        </w:tc>
        <w:tc>
          <w:tcPr>
            <w:tcW w:w="1357"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149"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148"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c>
          <w:tcPr>
            <w:tcW w:w="1148"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 w:val="16"/>
                <w:szCs w:val="16"/>
              </w:rPr>
            </w:pPr>
            <w:r>
              <w:rPr>
                <w:rFonts w:cs="Calibri"/>
                <w:b/>
                <w:bCs/>
                <w:sz w:val="16"/>
                <w:szCs w:val="16"/>
              </w:rPr>
              <w:t>$'000</w:t>
            </w:r>
          </w:p>
        </w:tc>
      </w:tr>
      <w:tr w:rsidR="00B26C61" w:rsidTr="00EA3146">
        <w:trPr>
          <w:trHeight w:val="255"/>
        </w:trPr>
        <w:tc>
          <w:tcPr>
            <w:tcW w:w="3865" w:type="dxa"/>
            <w:tcBorders>
              <w:top w:val="nil"/>
              <w:left w:val="single" w:sz="4" w:space="0" w:color="auto"/>
              <w:bottom w:val="nil"/>
              <w:right w:val="single" w:sz="4" w:space="0" w:color="auto"/>
            </w:tcBorders>
            <w:shd w:val="clear" w:color="FFFFFF" w:fill="FFFFFF"/>
            <w:vAlign w:val="bottom"/>
            <w:hideMark/>
          </w:tcPr>
          <w:p w:rsidR="00B26C61" w:rsidRDefault="00B26C61" w:rsidP="00EA3146">
            <w:pPr>
              <w:rPr>
                <w:rFonts w:cs="Calibri"/>
                <w:b/>
                <w:bCs/>
                <w:color w:val="000000"/>
                <w:sz w:val="16"/>
                <w:szCs w:val="16"/>
              </w:rPr>
            </w:pPr>
            <w:r>
              <w:rPr>
                <w:rFonts w:cs="Calibri"/>
                <w:b/>
                <w:bCs/>
                <w:color w:val="000000"/>
                <w:sz w:val="16"/>
                <w:szCs w:val="16"/>
              </w:rPr>
              <w:t>DEPARTMENTAL</w:t>
            </w:r>
          </w:p>
        </w:tc>
        <w:tc>
          <w:tcPr>
            <w:tcW w:w="1358" w:type="dxa"/>
            <w:tcBorders>
              <w:top w:val="nil"/>
              <w:left w:val="nil"/>
              <w:bottom w:val="nil"/>
              <w:right w:val="nil"/>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357" w:type="dxa"/>
            <w:tcBorders>
              <w:top w:val="nil"/>
              <w:left w:val="nil"/>
              <w:bottom w:val="nil"/>
              <w:right w:val="single" w:sz="4" w:space="0" w:color="auto"/>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148" w:type="dxa"/>
            <w:tcBorders>
              <w:top w:val="nil"/>
              <w:left w:val="nil"/>
              <w:bottom w:val="nil"/>
              <w:right w:val="single" w:sz="4" w:space="0" w:color="auto"/>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357" w:type="dxa"/>
            <w:tcBorders>
              <w:top w:val="nil"/>
              <w:left w:val="nil"/>
              <w:bottom w:val="nil"/>
              <w:right w:val="single" w:sz="4" w:space="0" w:color="auto"/>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357" w:type="dxa"/>
            <w:tcBorders>
              <w:top w:val="nil"/>
              <w:left w:val="nil"/>
              <w:bottom w:val="nil"/>
              <w:right w:val="single" w:sz="4" w:space="0" w:color="auto"/>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149" w:type="dxa"/>
            <w:tcBorders>
              <w:top w:val="nil"/>
              <w:left w:val="nil"/>
              <w:bottom w:val="nil"/>
              <w:right w:val="single" w:sz="4" w:space="0" w:color="auto"/>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148" w:type="dxa"/>
            <w:tcBorders>
              <w:top w:val="nil"/>
              <w:left w:val="nil"/>
              <w:bottom w:val="nil"/>
              <w:right w:val="single" w:sz="4" w:space="0" w:color="auto"/>
            </w:tcBorders>
            <w:shd w:val="clear" w:color="FFFFFF" w:fill="FFFFFF"/>
            <w:vAlign w:val="bottom"/>
            <w:hideMark/>
          </w:tcPr>
          <w:p w:rsidR="00B26C61" w:rsidRDefault="00B26C61" w:rsidP="00EA3146">
            <w:pPr>
              <w:rPr>
                <w:rFonts w:cs="Calibri"/>
                <w:sz w:val="16"/>
                <w:szCs w:val="16"/>
              </w:rPr>
            </w:pPr>
            <w:r>
              <w:rPr>
                <w:rFonts w:cs="Calibri"/>
                <w:sz w:val="16"/>
                <w:szCs w:val="16"/>
              </w:rPr>
              <w:t> </w:t>
            </w:r>
          </w:p>
        </w:tc>
        <w:tc>
          <w:tcPr>
            <w:tcW w:w="1148" w:type="dxa"/>
            <w:tcBorders>
              <w:top w:val="nil"/>
              <w:left w:val="nil"/>
              <w:bottom w:val="nil"/>
              <w:right w:val="single" w:sz="4" w:space="0" w:color="auto"/>
            </w:tcBorders>
            <w:shd w:val="clear" w:color="FFFFFF" w:fill="FFFFFF"/>
            <w:vAlign w:val="bottom"/>
            <w:hideMark/>
          </w:tcPr>
          <w:p w:rsidR="00B26C61" w:rsidRDefault="00B26C61" w:rsidP="00EA3146">
            <w:pPr>
              <w:rPr>
                <w:rFonts w:cs="Calibri"/>
                <w:sz w:val="16"/>
                <w:szCs w:val="16"/>
              </w:rPr>
            </w:pPr>
            <w:r>
              <w:rPr>
                <w:rFonts w:cs="Calibri"/>
                <w:sz w:val="16"/>
                <w:szCs w:val="16"/>
              </w:rPr>
              <w:t> </w:t>
            </w:r>
          </w:p>
        </w:tc>
      </w:tr>
      <w:tr w:rsidR="00B26C61" w:rsidTr="00EA3146">
        <w:trPr>
          <w:trHeight w:val="255"/>
        </w:trPr>
        <w:tc>
          <w:tcPr>
            <w:tcW w:w="3865" w:type="dxa"/>
            <w:tcBorders>
              <w:top w:val="nil"/>
              <w:left w:val="single" w:sz="4" w:space="0" w:color="auto"/>
              <w:bottom w:val="nil"/>
              <w:right w:val="single" w:sz="4" w:space="0" w:color="auto"/>
            </w:tcBorders>
            <w:shd w:val="clear" w:color="FFFFFF" w:fill="FFFFFF"/>
            <w:vAlign w:val="bottom"/>
            <w:hideMark/>
          </w:tcPr>
          <w:p w:rsidR="00B26C61" w:rsidRDefault="00B26C61" w:rsidP="00EA3146">
            <w:pPr>
              <w:ind w:firstLineChars="100" w:firstLine="160"/>
              <w:rPr>
                <w:rFonts w:cs="Calibri"/>
                <w:color w:val="000000"/>
                <w:sz w:val="16"/>
                <w:szCs w:val="16"/>
              </w:rPr>
            </w:pPr>
            <w:r>
              <w:rPr>
                <w:rFonts w:cs="Calibri"/>
                <w:color w:val="000000"/>
                <w:sz w:val="16"/>
                <w:szCs w:val="16"/>
              </w:rPr>
              <w:t>Ordinary annual services</w:t>
            </w:r>
          </w:p>
        </w:tc>
        <w:tc>
          <w:tcPr>
            <w:tcW w:w="1358"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w:t>
            </w:r>
          </w:p>
        </w:tc>
        <w:tc>
          <w:tcPr>
            <w:tcW w:w="1357" w:type="dxa"/>
            <w:tcBorders>
              <w:top w:val="nil"/>
              <w:left w:val="nil"/>
              <w:bottom w:val="nil"/>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w:t>
            </w:r>
          </w:p>
        </w:tc>
        <w:tc>
          <w:tcPr>
            <w:tcW w:w="1148" w:type="dxa"/>
            <w:tcBorders>
              <w:top w:val="nil"/>
              <w:left w:val="nil"/>
              <w:bottom w:val="nil"/>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w:t>
            </w:r>
          </w:p>
        </w:tc>
        <w:tc>
          <w:tcPr>
            <w:tcW w:w="1357" w:type="dxa"/>
            <w:tcBorders>
              <w:top w:val="nil"/>
              <w:left w:val="nil"/>
              <w:bottom w:val="nil"/>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w:t>
            </w:r>
          </w:p>
        </w:tc>
        <w:tc>
          <w:tcPr>
            <w:tcW w:w="1357" w:type="dxa"/>
            <w:tcBorders>
              <w:top w:val="nil"/>
              <w:left w:val="nil"/>
              <w:bottom w:val="nil"/>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w:t>
            </w:r>
          </w:p>
        </w:tc>
        <w:tc>
          <w:tcPr>
            <w:tcW w:w="1149" w:type="dxa"/>
            <w:tcBorders>
              <w:top w:val="nil"/>
              <w:left w:val="nil"/>
              <w:bottom w:val="nil"/>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w:t>
            </w:r>
          </w:p>
        </w:tc>
        <w:tc>
          <w:tcPr>
            <w:tcW w:w="1148" w:type="dxa"/>
            <w:tcBorders>
              <w:top w:val="nil"/>
              <w:left w:val="nil"/>
              <w:bottom w:val="nil"/>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w:t>
            </w:r>
          </w:p>
        </w:tc>
        <w:tc>
          <w:tcPr>
            <w:tcW w:w="1148" w:type="dxa"/>
            <w:tcBorders>
              <w:top w:val="nil"/>
              <w:left w:val="nil"/>
              <w:bottom w:val="nil"/>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w:t>
            </w:r>
          </w:p>
        </w:tc>
      </w:tr>
      <w:tr w:rsidR="00B26C61" w:rsidTr="00EA3146">
        <w:trPr>
          <w:trHeight w:val="255"/>
        </w:trPr>
        <w:tc>
          <w:tcPr>
            <w:tcW w:w="3865" w:type="dxa"/>
            <w:tcBorders>
              <w:top w:val="nil"/>
              <w:left w:val="single" w:sz="4" w:space="0" w:color="auto"/>
              <w:bottom w:val="single" w:sz="4" w:space="0" w:color="auto"/>
              <w:right w:val="single" w:sz="4" w:space="0" w:color="auto"/>
            </w:tcBorders>
            <w:shd w:val="clear" w:color="FFFFFF" w:fill="FFFFFF"/>
            <w:vAlign w:val="bottom"/>
            <w:hideMark/>
          </w:tcPr>
          <w:p w:rsidR="00B26C61" w:rsidRDefault="00B26C61" w:rsidP="00EA3146">
            <w:pPr>
              <w:ind w:firstLineChars="200" w:firstLine="320"/>
              <w:rPr>
                <w:rFonts w:cs="Calibri"/>
                <w:color w:val="000000"/>
                <w:sz w:val="16"/>
                <w:szCs w:val="16"/>
              </w:rPr>
            </w:pPr>
            <w:r>
              <w:rPr>
                <w:rFonts w:cs="Calibri"/>
                <w:color w:val="000000"/>
                <w:sz w:val="16"/>
                <w:szCs w:val="16"/>
              </w:rPr>
              <w:t xml:space="preserve">Departmental Capital </w:t>
            </w:r>
            <w:proofErr w:type="spellStart"/>
            <w:r>
              <w:rPr>
                <w:rFonts w:cs="Calibri"/>
                <w:color w:val="000000"/>
                <w:sz w:val="16"/>
                <w:szCs w:val="16"/>
              </w:rPr>
              <w:t>Budget</w:t>
            </w:r>
            <w:r>
              <w:rPr>
                <w:rFonts w:cs="Calibri"/>
                <w:color w:val="000000"/>
                <w:sz w:val="16"/>
                <w:szCs w:val="16"/>
                <w:vertAlign w:val="superscript"/>
              </w:rPr>
              <w:t>1</w:t>
            </w:r>
            <w:proofErr w:type="spellEnd"/>
          </w:p>
        </w:tc>
        <w:tc>
          <w:tcPr>
            <w:tcW w:w="1358"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357"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48"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21,265 </w:t>
            </w:r>
          </w:p>
        </w:tc>
        <w:tc>
          <w:tcPr>
            <w:tcW w:w="1357"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21,265 </w:t>
            </w:r>
          </w:p>
        </w:tc>
        <w:tc>
          <w:tcPr>
            <w:tcW w:w="1357"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49"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48"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 -</w:t>
            </w:r>
          </w:p>
        </w:tc>
        <w:tc>
          <w:tcPr>
            <w:tcW w:w="1148"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21,265 </w:t>
            </w:r>
          </w:p>
        </w:tc>
      </w:tr>
    </w:tbl>
    <w:p w:rsidR="00B26C61" w:rsidRDefault="00B26C61" w:rsidP="00B26C61">
      <w:bookmarkStart w:id="419" w:name="RANGE!D36:M55"/>
      <w:bookmarkStart w:id="420" w:name="RANGE!D37:M56"/>
      <w:bookmarkStart w:id="421" w:name="RANGE!D34:M54"/>
      <w:bookmarkStart w:id="422" w:name="RANGE!D35:M55"/>
      <w:bookmarkStart w:id="423" w:name="RANGE!D39:M59"/>
      <w:bookmarkStart w:id="424" w:name="RANGE!D33:M53"/>
      <w:bookmarkStart w:id="425" w:name="RANGE!D7:L19"/>
      <w:bookmarkEnd w:id="419"/>
      <w:bookmarkEnd w:id="420"/>
      <w:bookmarkEnd w:id="421"/>
      <w:bookmarkEnd w:id="422"/>
      <w:bookmarkEnd w:id="423"/>
      <w:bookmarkEnd w:id="424"/>
      <w:bookmarkEnd w:id="425"/>
      <w:r>
        <w:t>Notes:</w:t>
      </w:r>
    </w:p>
    <w:p w:rsidR="00B26C61" w:rsidRDefault="00B26C61" w:rsidP="00B26C61">
      <w:pPr>
        <w:pStyle w:val="ReferenceText"/>
      </w:pPr>
      <w:r>
        <w:t>1. Departmental and Administered Capital Budgets are appropriated through Appropriation Acts (</w:t>
      </w:r>
      <w:proofErr w:type="spellStart"/>
      <w:r>
        <w:t>No.1</w:t>
      </w:r>
      <w:proofErr w:type="spellEnd"/>
      <w:r>
        <w:t>, 3 &amp; 5). They form part of ordinary annual services and are not separately identified in the Appropriation Acts. For more information on ordinary annual services appropriation, please see Table A: Annual appropriations.</w:t>
      </w:r>
    </w:p>
    <w:p w:rsidR="00B26C61" w:rsidRDefault="00B26C61" w:rsidP="00B26C61">
      <w:pPr>
        <w:pStyle w:val="ReferenceText"/>
      </w:pPr>
      <w:r>
        <w:t>2. Appropriations reduced under Appropriation Acts (No. 1, 3 &amp; 5) 2013-14: sections 10, 11, 12 and 15 or via a determination by the Finance Minister.</w:t>
      </w:r>
    </w:p>
    <w:p w:rsidR="00B26C61" w:rsidRDefault="00B26C61" w:rsidP="00B26C61">
      <w:pPr>
        <w:pStyle w:val="ReferenceText"/>
      </w:pPr>
      <w:r>
        <w:t xml:space="preserve">3. Payments made on non-financial assets include purchases of assets, expenditure on assets which has been capitalised, costs incurred to make good an asset to its original condition, and the capital repayment component of finance leases. </w:t>
      </w:r>
    </w:p>
    <w:p w:rsidR="00B26C61" w:rsidRDefault="00B26C61" w:rsidP="00B26C61">
      <w:pPr>
        <w:spacing w:line="240" w:lineRule="auto"/>
        <w:sectPr w:rsidR="00B26C61">
          <w:pgSz w:w="16838" w:h="11906" w:orient="landscape"/>
          <w:pgMar w:top="1134" w:right="1134" w:bottom="1134" w:left="1134" w:header="958" w:footer="737" w:gutter="0"/>
          <w:cols w:space="720"/>
        </w:sectPr>
      </w:pPr>
      <w:bookmarkStart w:id="426" w:name="RANGE!D26:L37"/>
      <w:bookmarkStart w:id="427" w:name="RANGE!D24:L33"/>
      <w:bookmarkStart w:id="428" w:name="RANGE!D24:L34"/>
      <w:bookmarkEnd w:id="426"/>
      <w:bookmarkEnd w:id="427"/>
      <w:bookmarkEnd w:id="428"/>
    </w:p>
    <w:p w:rsidR="00B26C61" w:rsidRDefault="00B26C61" w:rsidP="00B26C61"/>
    <w:tbl>
      <w:tblPr>
        <w:tblW w:w="9087" w:type="dxa"/>
        <w:tblInd w:w="80" w:type="dxa"/>
        <w:tblLayout w:type="fixed"/>
        <w:tblLook w:val="04A0" w:firstRow="1" w:lastRow="0" w:firstColumn="1" w:lastColumn="0" w:noHBand="0" w:noVBand="1"/>
      </w:tblPr>
      <w:tblGrid>
        <w:gridCol w:w="7633"/>
        <w:gridCol w:w="1454"/>
      </w:tblGrid>
      <w:tr w:rsidR="00B26C61" w:rsidTr="00EA3146">
        <w:trPr>
          <w:trHeight w:val="255"/>
        </w:trPr>
        <w:tc>
          <w:tcPr>
            <w:tcW w:w="7852" w:type="dxa"/>
            <w:gridSpan w:val="2"/>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429" w:name="Note_DUATABLE1" w:colFirst="0" w:colLast="0"/>
            <w:r>
              <w:rPr>
                <w:rFonts w:cs="Calibri"/>
                <w:b/>
                <w:bCs/>
                <w:szCs w:val="18"/>
                <w:u w:val="single"/>
              </w:rPr>
              <w:t xml:space="preserve">Note </w:t>
            </w:r>
            <w:proofErr w:type="spellStart"/>
            <w:r>
              <w:rPr>
                <w:rFonts w:cs="Calibri"/>
                <w:b/>
                <w:bCs/>
                <w:szCs w:val="18"/>
                <w:u w:val="single"/>
              </w:rPr>
              <w:t>27C</w:t>
            </w:r>
            <w:proofErr w:type="spellEnd"/>
            <w:r>
              <w:rPr>
                <w:rFonts w:cs="Calibri"/>
                <w:b/>
                <w:bCs/>
                <w:szCs w:val="18"/>
                <w:u w:val="single"/>
              </w:rPr>
              <w:t>: Unspent Annual Appropriations ('Recoverable GST exclusive')</w:t>
            </w:r>
          </w:p>
        </w:tc>
      </w:tr>
      <w:bookmarkEnd w:id="429"/>
      <w:tr w:rsidR="00B26C61" w:rsidTr="00EA3146">
        <w:trPr>
          <w:trHeight w:val="255"/>
        </w:trPr>
        <w:tc>
          <w:tcPr>
            <w:tcW w:w="65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2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6596" w:type="dxa"/>
            <w:vMerge w:val="restart"/>
            <w:tcBorders>
              <w:top w:val="single" w:sz="4" w:space="0" w:color="auto"/>
              <w:left w:val="nil"/>
              <w:bottom w:val="single" w:sz="4" w:space="0" w:color="000000"/>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256"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55"/>
        </w:trPr>
        <w:tc>
          <w:tcPr>
            <w:tcW w:w="6596" w:type="dxa"/>
            <w:vMerge/>
            <w:tcBorders>
              <w:top w:val="single" w:sz="4" w:space="0" w:color="auto"/>
              <w:left w:val="nil"/>
              <w:bottom w:val="single" w:sz="4" w:space="0" w:color="000000"/>
              <w:right w:val="nil"/>
            </w:tcBorders>
            <w:vAlign w:val="center"/>
            <w:hideMark/>
          </w:tcPr>
          <w:p w:rsidR="00B26C61" w:rsidRDefault="00B26C61" w:rsidP="00EA3146">
            <w:pPr>
              <w:rPr>
                <w:rFonts w:cs="Calibri"/>
                <w:b/>
                <w:bCs/>
                <w:szCs w:val="18"/>
              </w:rPr>
            </w:pPr>
          </w:p>
        </w:tc>
        <w:tc>
          <w:tcPr>
            <w:tcW w:w="125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596" w:type="dxa"/>
            <w:vMerge w:val="restart"/>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Departmental</w:t>
            </w:r>
          </w:p>
        </w:tc>
        <w:tc>
          <w:tcPr>
            <w:tcW w:w="125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596" w:type="dxa"/>
            <w:vMerge/>
            <w:tcBorders>
              <w:top w:val="nil"/>
              <w:left w:val="nil"/>
              <w:bottom w:val="nil"/>
              <w:right w:val="nil"/>
            </w:tcBorders>
            <w:vAlign w:val="center"/>
            <w:hideMark/>
          </w:tcPr>
          <w:p w:rsidR="00B26C61" w:rsidRDefault="00B26C61" w:rsidP="00EA3146">
            <w:pPr>
              <w:rPr>
                <w:rFonts w:cs="Calibri"/>
                <w:b/>
                <w:bCs/>
                <w:szCs w:val="18"/>
              </w:rPr>
            </w:pPr>
          </w:p>
        </w:tc>
        <w:tc>
          <w:tcPr>
            <w:tcW w:w="125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w:t>
            </w:r>
          </w:p>
        </w:tc>
      </w:tr>
      <w:tr w:rsidR="00B26C61" w:rsidTr="00EA3146">
        <w:trPr>
          <w:trHeight w:val="285"/>
        </w:trPr>
        <w:tc>
          <w:tcPr>
            <w:tcW w:w="65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xml:space="preserve">Appropriation Act (No. 1) 2013-14 </w:t>
            </w:r>
            <w:r>
              <w:rPr>
                <w:rFonts w:cs="Calibri"/>
                <w:szCs w:val="18"/>
                <w:vertAlign w:val="superscript"/>
              </w:rPr>
              <w:t>1</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41,493 </w:t>
            </w:r>
          </w:p>
        </w:tc>
      </w:tr>
      <w:tr w:rsidR="00B26C61" w:rsidTr="00EA3146">
        <w:trPr>
          <w:trHeight w:val="255"/>
        </w:trPr>
        <w:tc>
          <w:tcPr>
            <w:tcW w:w="65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Appropriation Act (No. 1) Capital Budget 2013-14</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21,265 </w:t>
            </w:r>
          </w:p>
        </w:tc>
      </w:tr>
      <w:tr w:rsidR="00B26C61" w:rsidTr="00EA3146">
        <w:trPr>
          <w:trHeight w:val="255"/>
        </w:trPr>
        <w:tc>
          <w:tcPr>
            <w:tcW w:w="65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Appropriation Act (No. 3) 2013-14</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195 </w:t>
            </w:r>
          </w:p>
        </w:tc>
      </w:tr>
      <w:tr w:rsidR="00B26C61" w:rsidTr="00EA3146">
        <w:trPr>
          <w:trHeight w:val="255"/>
        </w:trPr>
        <w:tc>
          <w:tcPr>
            <w:tcW w:w="65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Appropriation Act (No. 4) 2013-14</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2,127 </w:t>
            </w:r>
          </w:p>
        </w:tc>
      </w:tr>
      <w:tr w:rsidR="00B26C61" w:rsidTr="00EA3146">
        <w:trPr>
          <w:trHeight w:val="270"/>
        </w:trPr>
        <w:tc>
          <w:tcPr>
            <w:tcW w:w="659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Cash at bank</w:t>
            </w:r>
          </w:p>
        </w:tc>
        <w:tc>
          <w:tcPr>
            <w:tcW w:w="125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5,669 </w:t>
            </w:r>
          </w:p>
        </w:tc>
      </w:tr>
      <w:tr w:rsidR="00B26C61" w:rsidTr="00EA3146">
        <w:trPr>
          <w:trHeight w:val="270"/>
        </w:trPr>
        <w:tc>
          <w:tcPr>
            <w:tcW w:w="659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w:t>
            </w:r>
          </w:p>
        </w:tc>
        <w:tc>
          <w:tcPr>
            <w:tcW w:w="125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70,749</w:t>
            </w:r>
          </w:p>
        </w:tc>
      </w:tr>
      <w:tr w:rsidR="00B26C61" w:rsidTr="00EA3146">
        <w:trPr>
          <w:trHeight w:val="270"/>
        </w:trPr>
        <w:tc>
          <w:tcPr>
            <w:tcW w:w="6596" w:type="dxa"/>
            <w:vMerge w:val="restart"/>
            <w:tcBorders>
              <w:top w:val="nil"/>
              <w:left w:val="nil"/>
              <w:bottom w:val="nil"/>
              <w:right w:val="nil"/>
            </w:tcBorders>
            <w:shd w:val="clear" w:color="000000" w:fill="D9D9D9"/>
            <w:vAlign w:val="bottom"/>
            <w:hideMark/>
          </w:tcPr>
          <w:p w:rsidR="00B26C61" w:rsidRDefault="00B26C61" w:rsidP="00EA3146">
            <w:pPr>
              <w:rPr>
                <w:rFonts w:cs="Calibri"/>
                <w:b/>
                <w:bCs/>
                <w:szCs w:val="18"/>
              </w:rPr>
            </w:pPr>
            <w:r>
              <w:rPr>
                <w:rFonts w:cs="Calibri"/>
                <w:b/>
                <w:bCs/>
                <w:szCs w:val="18"/>
              </w:rPr>
              <w:t>Administered</w:t>
            </w:r>
          </w:p>
        </w:tc>
        <w:tc>
          <w:tcPr>
            <w:tcW w:w="1256"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596" w:type="dxa"/>
            <w:vMerge/>
            <w:tcBorders>
              <w:top w:val="nil"/>
              <w:left w:val="nil"/>
              <w:bottom w:val="nil"/>
              <w:right w:val="nil"/>
            </w:tcBorders>
            <w:vAlign w:val="center"/>
            <w:hideMark/>
          </w:tcPr>
          <w:p w:rsidR="00B26C61" w:rsidRDefault="00B26C61" w:rsidP="00EA3146">
            <w:pPr>
              <w:rPr>
                <w:rFonts w:cs="Calibri"/>
                <w:b/>
                <w:bCs/>
                <w:szCs w:val="18"/>
              </w:rPr>
            </w:pPr>
          </w:p>
        </w:tc>
        <w:tc>
          <w:tcPr>
            <w:tcW w:w="1256"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 </w:t>
            </w:r>
          </w:p>
        </w:tc>
      </w:tr>
      <w:tr w:rsidR="00B26C61" w:rsidTr="00EA3146">
        <w:trPr>
          <w:trHeight w:val="255"/>
        </w:trPr>
        <w:tc>
          <w:tcPr>
            <w:tcW w:w="6596"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Appropriation Act (</w:t>
            </w:r>
            <w:proofErr w:type="spellStart"/>
            <w:r>
              <w:rPr>
                <w:rFonts w:cs="Calibri"/>
                <w:szCs w:val="18"/>
              </w:rPr>
              <w:t>No.1</w:t>
            </w:r>
            <w:proofErr w:type="spellEnd"/>
            <w:r>
              <w:rPr>
                <w:rFonts w:cs="Calibri"/>
                <w:szCs w:val="18"/>
              </w:rPr>
              <w:t>) 2013-14</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141,654 </w:t>
            </w:r>
          </w:p>
        </w:tc>
      </w:tr>
      <w:tr w:rsidR="00B26C61" w:rsidTr="00EA3146">
        <w:trPr>
          <w:trHeight w:val="255"/>
        </w:trPr>
        <w:tc>
          <w:tcPr>
            <w:tcW w:w="6596"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Appropriation Act (No. 3) 2013-14</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11,592 </w:t>
            </w:r>
          </w:p>
        </w:tc>
      </w:tr>
      <w:tr w:rsidR="00B26C61" w:rsidTr="00EA3146">
        <w:trPr>
          <w:trHeight w:val="255"/>
        </w:trPr>
        <w:tc>
          <w:tcPr>
            <w:tcW w:w="6596" w:type="dxa"/>
            <w:tcBorders>
              <w:top w:val="nil"/>
              <w:left w:val="nil"/>
              <w:bottom w:val="nil"/>
              <w:right w:val="nil"/>
            </w:tcBorders>
            <w:shd w:val="clear" w:color="000000" w:fill="D9D9D9"/>
            <w:vAlign w:val="bottom"/>
            <w:hideMark/>
          </w:tcPr>
          <w:p w:rsidR="00B26C61" w:rsidRDefault="00B26C61" w:rsidP="00EA3146">
            <w:pPr>
              <w:rPr>
                <w:rFonts w:cs="Calibri"/>
                <w:szCs w:val="18"/>
              </w:rPr>
            </w:pPr>
            <w:r>
              <w:rPr>
                <w:rFonts w:cs="Calibri"/>
                <w:szCs w:val="18"/>
              </w:rPr>
              <w:t>Appropriation Act (No. 4) 2013-14</w:t>
            </w:r>
          </w:p>
        </w:tc>
        <w:tc>
          <w:tcPr>
            <w:tcW w:w="125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 xml:space="preserve">2,887 </w:t>
            </w:r>
          </w:p>
        </w:tc>
      </w:tr>
      <w:tr w:rsidR="00B26C61" w:rsidTr="00EA3146">
        <w:trPr>
          <w:trHeight w:val="270"/>
        </w:trPr>
        <w:tc>
          <w:tcPr>
            <w:tcW w:w="6596" w:type="dxa"/>
            <w:tcBorders>
              <w:top w:val="nil"/>
              <w:left w:val="nil"/>
              <w:bottom w:val="single" w:sz="8" w:space="0" w:color="D9D9D9"/>
              <w:right w:val="nil"/>
            </w:tcBorders>
            <w:shd w:val="clear" w:color="000000" w:fill="D9D9D9"/>
            <w:vAlign w:val="bottom"/>
            <w:hideMark/>
          </w:tcPr>
          <w:p w:rsidR="00B26C61" w:rsidRDefault="00B26C61" w:rsidP="00EA3146">
            <w:pPr>
              <w:rPr>
                <w:rFonts w:cs="Calibri"/>
                <w:b/>
                <w:bCs/>
                <w:i/>
                <w:iCs/>
                <w:szCs w:val="18"/>
              </w:rPr>
            </w:pPr>
            <w:r>
              <w:rPr>
                <w:rFonts w:cs="Calibri"/>
                <w:b/>
                <w:bCs/>
                <w:i/>
                <w:iCs/>
                <w:szCs w:val="18"/>
              </w:rPr>
              <w:t>Total</w:t>
            </w:r>
          </w:p>
        </w:tc>
        <w:tc>
          <w:tcPr>
            <w:tcW w:w="1256" w:type="dxa"/>
            <w:tcBorders>
              <w:top w:val="single" w:sz="4" w:space="0" w:color="auto"/>
              <w:left w:val="nil"/>
              <w:bottom w:val="double" w:sz="6" w:space="0" w:color="auto"/>
              <w:right w:val="nil"/>
            </w:tcBorders>
            <w:shd w:val="clear" w:color="000000" w:fill="D9D9D9"/>
            <w:noWrap/>
            <w:vAlign w:val="bottom"/>
            <w:hideMark/>
          </w:tcPr>
          <w:p w:rsidR="00B26C61" w:rsidRDefault="00B26C61" w:rsidP="00EA3146">
            <w:pPr>
              <w:jc w:val="right"/>
              <w:rPr>
                <w:rFonts w:cs="Calibri"/>
                <w:b/>
                <w:bCs/>
                <w:sz w:val="16"/>
                <w:szCs w:val="16"/>
              </w:rPr>
            </w:pPr>
            <w:r>
              <w:rPr>
                <w:rFonts w:cs="Calibri"/>
                <w:b/>
                <w:bCs/>
                <w:sz w:val="16"/>
                <w:szCs w:val="16"/>
              </w:rPr>
              <w:t>156,133</w:t>
            </w:r>
          </w:p>
        </w:tc>
      </w:tr>
      <w:tr w:rsidR="00B26C61" w:rsidTr="00EA3146">
        <w:trPr>
          <w:trHeight w:val="255"/>
        </w:trPr>
        <w:tc>
          <w:tcPr>
            <w:tcW w:w="7852" w:type="dxa"/>
            <w:gridSpan w:val="2"/>
            <w:tcBorders>
              <w:top w:val="nil"/>
              <w:left w:val="nil"/>
              <w:bottom w:val="nil"/>
              <w:right w:val="nil"/>
            </w:tcBorders>
            <w:shd w:val="clear" w:color="auto" w:fill="auto"/>
            <w:noWrap/>
            <w:vAlign w:val="bottom"/>
            <w:hideMark/>
          </w:tcPr>
          <w:p w:rsidR="00B26C61" w:rsidRDefault="00B26C61" w:rsidP="00EA3146">
            <w:pPr>
              <w:rPr>
                <w:rFonts w:cs="Calibri"/>
                <w:szCs w:val="18"/>
              </w:rPr>
            </w:pPr>
            <w:r>
              <w:rPr>
                <w:rFonts w:cs="Calibri"/>
                <w:szCs w:val="18"/>
              </w:rPr>
              <w:t xml:space="preserve">1.  This includes a prior year appropriation value transferred from </w:t>
            </w:r>
            <w:proofErr w:type="spellStart"/>
            <w:r>
              <w:rPr>
                <w:rFonts w:cs="Calibri"/>
                <w:szCs w:val="18"/>
              </w:rPr>
              <w:t>DEEWR</w:t>
            </w:r>
            <w:proofErr w:type="spellEnd"/>
            <w:r>
              <w:rPr>
                <w:rFonts w:cs="Calibri"/>
                <w:szCs w:val="18"/>
              </w:rPr>
              <w:t xml:space="preserve"> of $15,880,000.</w:t>
            </w:r>
          </w:p>
        </w:tc>
      </w:tr>
    </w:tbl>
    <w:p w:rsidR="00B26C61" w:rsidRDefault="00B26C61" w:rsidP="00B26C61">
      <w:pPr>
        <w:sectPr w:rsidR="00B26C61" w:rsidSect="00690793">
          <w:pgSz w:w="11906" w:h="16838"/>
          <w:pgMar w:top="1134" w:right="1134" w:bottom="1134" w:left="1134" w:header="958" w:footer="737" w:gutter="0"/>
          <w:cols w:space="720"/>
          <w:docGrid w:linePitch="245"/>
        </w:sectPr>
      </w:pPr>
      <w:bookmarkStart w:id="430" w:name="RANGE!D7:F24"/>
      <w:bookmarkStart w:id="431" w:name="RANGE!D7:F20"/>
      <w:bookmarkStart w:id="432" w:name="RANGE!D7:F18"/>
      <w:bookmarkStart w:id="433" w:name="RANGE!D7:F29"/>
      <w:bookmarkStart w:id="434" w:name="RANGE!D7:F34"/>
      <w:bookmarkStart w:id="435" w:name="RANGE!D7:F30"/>
      <w:bookmarkStart w:id="436" w:name="RANGE!D6:F15"/>
      <w:bookmarkStart w:id="437" w:name="RANGE!D6:F16"/>
      <w:bookmarkStart w:id="438" w:name="RANGE!D6:I16"/>
      <w:bookmarkStart w:id="439" w:name="RANGE!D20:F31"/>
      <w:bookmarkStart w:id="440" w:name="RANGE!D20:F27"/>
      <w:bookmarkEnd w:id="430"/>
      <w:bookmarkEnd w:id="431"/>
      <w:bookmarkEnd w:id="432"/>
      <w:bookmarkEnd w:id="433"/>
      <w:bookmarkEnd w:id="434"/>
      <w:bookmarkEnd w:id="435"/>
      <w:bookmarkEnd w:id="436"/>
      <w:bookmarkEnd w:id="437"/>
      <w:bookmarkEnd w:id="438"/>
      <w:bookmarkEnd w:id="439"/>
      <w:bookmarkEnd w:id="440"/>
      <w:r>
        <w:br w:type="page"/>
      </w:r>
    </w:p>
    <w:p w:rsidR="00B26C61" w:rsidRDefault="00B26C61" w:rsidP="00B26C61"/>
    <w:tbl>
      <w:tblPr>
        <w:tblW w:w="13991" w:type="dxa"/>
        <w:tblInd w:w="80" w:type="dxa"/>
        <w:tblLayout w:type="fixed"/>
        <w:tblLook w:val="04A0" w:firstRow="1" w:lastRow="0" w:firstColumn="1" w:lastColumn="0" w:noHBand="0" w:noVBand="1"/>
      </w:tblPr>
      <w:tblGrid>
        <w:gridCol w:w="5299"/>
        <w:gridCol w:w="1878"/>
        <w:gridCol w:w="4893"/>
        <w:gridCol w:w="1921"/>
      </w:tblGrid>
      <w:tr w:rsidR="00B26C61" w:rsidTr="00EA3146">
        <w:trPr>
          <w:trHeight w:val="255"/>
        </w:trPr>
        <w:tc>
          <w:tcPr>
            <w:tcW w:w="13084" w:type="dxa"/>
            <w:gridSpan w:val="4"/>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441" w:name="Note_DSATABLE1" w:colFirst="0" w:colLast="0"/>
            <w:r>
              <w:rPr>
                <w:rFonts w:cs="Calibri"/>
                <w:b/>
                <w:bCs/>
                <w:szCs w:val="18"/>
                <w:u w:val="single"/>
              </w:rPr>
              <w:t xml:space="preserve">Note </w:t>
            </w:r>
            <w:proofErr w:type="spellStart"/>
            <w:r>
              <w:rPr>
                <w:rFonts w:cs="Calibri"/>
                <w:b/>
                <w:bCs/>
                <w:szCs w:val="18"/>
                <w:u w:val="single"/>
              </w:rPr>
              <w:t>27D</w:t>
            </w:r>
            <w:proofErr w:type="spellEnd"/>
            <w:r>
              <w:rPr>
                <w:rFonts w:cs="Calibri"/>
                <w:b/>
                <w:bCs/>
                <w:szCs w:val="18"/>
                <w:u w:val="single"/>
              </w:rPr>
              <w:t>: Special Appropriations ('Recoverable GST exclusive')</w:t>
            </w:r>
          </w:p>
        </w:tc>
      </w:tr>
      <w:bookmarkEnd w:id="441"/>
      <w:tr w:rsidR="00B26C61" w:rsidTr="00EA3146">
        <w:trPr>
          <w:trHeight w:val="255"/>
        </w:trPr>
        <w:tc>
          <w:tcPr>
            <w:tcW w:w="49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7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457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79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r>
      <w:tr w:rsidR="00B26C61" w:rsidTr="00EA3146">
        <w:trPr>
          <w:trHeight w:val="255"/>
        </w:trPr>
        <w:tc>
          <w:tcPr>
            <w:tcW w:w="4956"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rsidR="00B26C61" w:rsidRDefault="00B26C61" w:rsidP="00EA3146">
            <w:pPr>
              <w:rPr>
                <w:rFonts w:cs="Calibri"/>
                <w:b/>
                <w:bCs/>
                <w:szCs w:val="18"/>
              </w:rPr>
            </w:pPr>
            <w:r>
              <w:rPr>
                <w:rFonts w:cs="Calibri"/>
                <w:b/>
                <w:bCs/>
                <w:szCs w:val="18"/>
              </w:rPr>
              <w:t>Authority</w:t>
            </w:r>
          </w:p>
        </w:tc>
        <w:tc>
          <w:tcPr>
            <w:tcW w:w="1756"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rsidR="00B26C61" w:rsidRDefault="00B26C61" w:rsidP="00EA3146">
            <w:pPr>
              <w:rPr>
                <w:rFonts w:cs="Calibri"/>
                <w:b/>
                <w:bCs/>
                <w:szCs w:val="18"/>
              </w:rPr>
            </w:pPr>
            <w:r>
              <w:rPr>
                <w:rFonts w:cs="Calibri"/>
                <w:b/>
                <w:bCs/>
                <w:szCs w:val="18"/>
              </w:rPr>
              <w:t>Type</w:t>
            </w:r>
          </w:p>
        </w:tc>
        <w:tc>
          <w:tcPr>
            <w:tcW w:w="4576"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rsidR="00B26C61" w:rsidRDefault="00B26C61" w:rsidP="00EA3146">
            <w:pPr>
              <w:rPr>
                <w:rFonts w:cs="Calibri"/>
                <w:b/>
                <w:bCs/>
                <w:szCs w:val="18"/>
              </w:rPr>
            </w:pPr>
            <w:r>
              <w:rPr>
                <w:rFonts w:cs="Calibri"/>
                <w:b/>
                <w:bCs/>
                <w:szCs w:val="18"/>
              </w:rPr>
              <w:t>Purpose</w:t>
            </w:r>
          </w:p>
        </w:tc>
        <w:tc>
          <w:tcPr>
            <w:tcW w:w="1796"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B26C61" w:rsidRDefault="00B26C61" w:rsidP="00EA3146">
            <w:pPr>
              <w:jc w:val="center"/>
              <w:rPr>
                <w:rFonts w:cs="Calibri"/>
                <w:b/>
                <w:bCs/>
                <w:szCs w:val="18"/>
              </w:rPr>
            </w:pPr>
            <w:r>
              <w:rPr>
                <w:rFonts w:cs="Calibri"/>
                <w:b/>
                <w:bCs/>
                <w:szCs w:val="18"/>
              </w:rPr>
              <w:t>Appropriation applied</w:t>
            </w:r>
          </w:p>
        </w:tc>
      </w:tr>
      <w:tr w:rsidR="00B26C61" w:rsidTr="00EA3146">
        <w:trPr>
          <w:trHeight w:val="255"/>
        </w:trPr>
        <w:tc>
          <w:tcPr>
            <w:tcW w:w="4956" w:type="dxa"/>
            <w:vMerge/>
            <w:tcBorders>
              <w:top w:val="single" w:sz="4" w:space="0" w:color="auto"/>
              <w:left w:val="single" w:sz="4" w:space="0" w:color="auto"/>
              <w:bottom w:val="single" w:sz="4" w:space="0" w:color="auto"/>
              <w:right w:val="single" w:sz="4" w:space="0" w:color="auto"/>
            </w:tcBorders>
            <w:vAlign w:val="center"/>
            <w:hideMark/>
          </w:tcPr>
          <w:p w:rsidR="00B26C61" w:rsidRDefault="00B26C61" w:rsidP="00EA3146">
            <w:pPr>
              <w:rPr>
                <w:rFonts w:cs="Calibri"/>
                <w:b/>
                <w:bCs/>
                <w:szCs w:val="18"/>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B26C61" w:rsidRDefault="00B26C61" w:rsidP="00EA3146">
            <w:pPr>
              <w:rPr>
                <w:rFonts w:cs="Calibri"/>
                <w:b/>
                <w:bCs/>
                <w:szCs w:val="18"/>
              </w:rPr>
            </w:pPr>
          </w:p>
        </w:tc>
        <w:tc>
          <w:tcPr>
            <w:tcW w:w="4576" w:type="dxa"/>
            <w:vMerge/>
            <w:tcBorders>
              <w:top w:val="single" w:sz="4" w:space="0" w:color="auto"/>
              <w:left w:val="single" w:sz="4" w:space="0" w:color="auto"/>
              <w:bottom w:val="single" w:sz="4" w:space="0" w:color="auto"/>
              <w:right w:val="single" w:sz="4" w:space="0" w:color="auto"/>
            </w:tcBorders>
            <w:vAlign w:val="center"/>
            <w:hideMark/>
          </w:tcPr>
          <w:p w:rsidR="00B26C61" w:rsidRDefault="00B26C61" w:rsidP="00EA3146">
            <w:pPr>
              <w:rPr>
                <w:rFonts w:cs="Calibri"/>
                <w:b/>
                <w:bCs/>
                <w:szCs w:val="18"/>
              </w:rPr>
            </w:pPr>
          </w:p>
        </w:tc>
        <w:tc>
          <w:tcPr>
            <w:tcW w:w="1796" w:type="dxa"/>
            <w:tcBorders>
              <w:top w:val="single" w:sz="4" w:space="0" w:color="auto"/>
              <w:left w:val="nil"/>
              <w:bottom w:val="nil"/>
              <w:right w:val="single" w:sz="4" w:space="0" w:color="auto"/>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tr w:rsidR="00B26C61" w:rsidTr="00EA3146">
        <w:trPr>
          <w:trHeight w:val="255"/>
        </w:trPr>
        <w:tc>
          <w:tcPr>
            <w:tcW w:w="4956" w:type="dxa"/>
            <w:vMerge/>
            <w:tcBorders>
              <w:top w:val="single" w:sz="4" w:space="0" w:color="auto"/>
              <w:left w:val="single" w:sz="4" w:space="0" w:color="auto"/>
              <w:bottom w:val="single" w:sz="4" w:space="0" w:color="auto"/>
              <w:right w:val="single" w:sz="4" w:space="0" w:color="auto"/>
            </w:tcBorders>
            <w:vAlign w:val="center"/>
            <w:hideMark/>
          </w:tcPr>
          <w:p w:rsidR="00B26C61" w:rsidRDefault="00B26C61" w:rsidP="00EA3146">
            <w:pPr>
              <w:rPr>
                <w:rFonts w:cs="Calibri"/>
                <w:b/>
                <w:bCs/>
                <w:szCs w:val="18"/>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B26C61" w:rsidRDefault="00B26C61" w:rsidP="00EA3146">
            <w:pPr>
              <w:rPr>
                <w:rFonts w:cs="Calibri"/>
                <w:b/>
                <w:bCs/>
                <w:szCs w:val="18"/>
              </w:rPr>
            </w:pPr>
          </w:p>
        </w:tc>
        <w:tc>
          <w:tcPr>
            <w:tcW w:w="4576" w:type="dxa"/>
            <w:vMerge/>
            <w:tcBorders>
              <w:top w:val="single" w:sz="4" w:space="0" w:color="auto"/>
              <w:left w:val="single" w:sz="4" w:space="0" w:color="auto"/>
              <w:bottom w:val="single" w:sz="4" w:space="0" w:color="auto"/>
              <w:right w:val="single" w:sz="4" w:space="0" w:color="auto"/>
            </w:tcBorders>
            <w:vAlign w:val="center"/>
            <w:hideMark/>
          </w:tcPr>
          <w:p w:rsidR="00B26C61" w:rsidRDefault="00B26C61" w:rsidP="00EA3146">
            <w:pPr>
              <w:rPr>
                <w:rFonts w:cs="Calibri"/>
                <w:b/>
                <w:bCs/>
                <w:szCs w:val="18"/>
              </w:rPr>
            </w:pPr>
          </w:p>
        </w:tc>
        <w:tc>
          <w:tcPr>
            <w:tcW w:w="179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720"/>
        </w:trPr>
        <w:tc>
          <w:tcPr>
            <w:tcW w:w="4956" w:type="dxa"/>
            <w:tcBorders>
              <w:top w:val="nil"/>
              <w:left w:val="single" w:sz="4" w:space="0" w:color="auto"/>
              <w:bottom w:val="single" w:sz="4" w:space="0" w:color="auto"/>
              <w:right w:val="single" w:sz="4" w:space="0" w:color="auto"/>
            </w:tcBorders>
            <w:shd w:val="clear" w:color="FFFFFF" w:fill="FFFFFF"/>
            <w:hideMark/>
          </w:tcPr>
          <w:p w:rsidR="00B26C61" w:rsidRDefault="00B26C61" w:rsidP="00EA3146">
            <w:pPr>
              <w:rPr>
                <w:rFonts w:cs="Calibri"/>
                <w:szCs w:val="18"/>
              </w:rPr>
            </w:pPr>
            <w:r>
              <w:rPr>
                <w:rFonts w:cs="Calibri"/>
                <w:szCs w:val="18"/>
              </w:rPr>
              <w:t>Fair Entitlements Guarantee Act 2012 - Section 50 (Administered)</w:t>
            </w:r>
          </w:p>
        </w:tc>
        <w:tc>
          <w:tcPr>
            <w:tcW w:w="175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rPr>
                <w:rFonts w:cs="Calibri"/>
                <w:szCs w:val="18"/>
              </w:rPr>
            </w:pPr>
            <w:r>
              <w:rPr>
                <w:rFonts w:cs="Calibri"/>
                <w:szCs w:val="18"/>
              </w:rPr>
              <w:t>Unlimited Amount</w:t>
            </w:r>
          </w:p>
        </w:tc>
        <w:tc>
          <w:tcPr>
            <w:tcW w:w="457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rPr>
                <w:rFonts w:cs="Calibri"/>
                <w:szCs w:val="18"/>
              </w:rPr>
            </w:pPr>
            <w:r>
              <w:rPr>
                <w:rFonts w:cs="Calibri"/>
                <w:szCs w:val="18"/>
              </w:rPr>
              <w:t>An Act to provide for financial assistance for workers who have not been fully paid for work done for insolvents or bankrupts, and for related purposes.</w:t>
            </w:r>
          </w:p>
        </w:tc>
        <w:tc>
          <w:tcPr>
            <w:tcW w:w="17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144,647 </w:t>
            </w:r>
          </w:p>
        </w:tc>
      </w:tr>
      <w:tr w:rsidR="00B26C61" w:rsidTr="00EA3146">
        <w:trPr>
          <w:trHeight w:val="480"/>
        </w:trPr>
        <w:tc>
          <w:tcPr>
            <w:tcW w:w="4956" w:type="dxa"/>
            <w:tcBorders>
              <w:top w:val="nil"/>
              <w:left w:val="single" w:sz="4" w:space="0" w:color="auto"/>
              <w:bottom w:val="single" w:sz="4" w:space="0" w:color="auto"/>
              <w:right w:val="single" w:sz="4" w:space="0" w:color="auto"/>
            </w:tcBorders>
            <w:shd w:val="clear" w:color="FFFFFF" w:fill="FFFFFF"/>
            <w:hideMark/>
          </w:tcPr>
          <w:p w:rsidR="00B26C61" w:rsidRDefault="00B26C61" w:rsidP="00EA3146">
            <w:pPr>
              <w:rPr>
                <w:rFonts w:cs="Calibri"/>
                <w:szCs w:val="18"/>
              </w:rPr>
            </w:pPr>
            <w:r>
              <w:rPr>
                <w:rFonts w:cs="Calibri"/>
                <w:szCs w:val="18"/>
              </w:rPr>
              <w:t>Coal Mining Industry (Long Service Leave Funding) Act 1992 (Administered)</w:t>
            </w:r>
          </w:p>
        </w:tc>
        <w:tc>
          <w:tcPr>
            <w:tcW w:w="175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rPr>
                <w:rFonts w:cs="Calibri"/>
                <w:szCs w:val="18"/>
              </w:rPr>
            </w:pPr>
            <w:r>
              <w:rPr>
                <w:rFonts w:cs="Calibri"/>
                <w:szCs w:val="18"/>
              </w:rPr>
              <w:t>Unlimited Amount</w:t>
            </w:r>
          </w:p>
        </w:tc>
        <w:tc>
          <w:tcPr>
            <w:tcW w:w="457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rPr>
                <w:rFonts w:cs="Calibri"/>
                <w:szCs w:val="18"/>
              </w:rPr>
            </w:pPr>
            <w:r>
              <w:rPr>
                <w:rFonts w:cs="Calibri"/>
                <w:szCs w:val="18"/>
              </w:rPr>
              <w:t xml:space="preserve">An Act to manage the long service </w:t>
            </w:r>
            <w:proofErr w:type="gramStart"/>
            <w:r>
              <w:rPr>
                <w:rFonts w:cs="Calibri"/>
                <w:szCs w:val="18"/>
              </w:rPr>
              <w:t>leave</w:t>
            </w:r>
            <w:proofErr w:type="gramEnd"/>
            <w:r>
              <w:rPr>
                <w:rFonts w:cs="Calibri"/>
                <w:szCs w:val="18"/>
              </w:rPr>
              <w:t xml:space="preserve"> entitlement of the Coal Mining Industry.</w:t>
            </w:r>
          </w:p>
        </w:tc>
        <w:tc>
          <w:tcPr>
            <w:tcW w:w="17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127,622 </w:t>
            </w:r>
          </w:p>
        </w:tc>
      </w:tr>
      <w:tr w:rsidR="00B26C61" w:rsidTr="00EA3146">
        <w:trPr>
          <w:trHeight w:val="720"/>
        </w:trPr>
        <w:tc>
          <w:tcPr>
            <w:tcW w:w="4956" w:type="dxa"/>
            <w:tcBorders>
              <w:top w:val="nil"/>
              <w:left w:val="single" w:sz="4" w:space="0" w:color="auto"/>
              <w:bottom w:val="single" w:sz="4" w:space="0" w:color="auto"/>
              <w:right w:val="single" w:sz="4" w:space="0" w:color="auto"/>
            </w:tcBorders>
            <w:shd w:val="clear" w:color="FFFFFF" w:fill="FFFFFF"/>
            <w:hideMark/>
          </w:tcPr>
          <w:p w:rsidR="00B26C61" w:rsidRDefault="00B26C61" w:rsidP="00EA3146">
            <w:pPr>
              <w:rPr>
                <w:rFonts w:cs="Calibri"/>
                <w:szCs w:val="18"/>
              </w:rPr>
            </w:pPr>
            <w:r>
              <w:rPr>
                <w:rFonts w:cs="Calibri"/>
                <w:szCs w:val="18"/>
              </w:rPr>
              <w:t>Safety, Rehabilitation and Compensation Act 1988 (</w:t>
            </w:r>
            <w:proofErr w:type="spellStart"/>
            <w:r>
              <w:rPr>
                <w:rFonts w:cs="Calibri"/>
                <w:szCs w:val="18"/>
              </w:rPr>
              <w:t>SRC</w:t>
            </w:r>
            <w:proofErr w:type="spellEnd"/>
            <w:r>
              <w:rPr>
                <w:rFonts w:cs="Calibri"/>
                <w:szCs w:val="18"/>
              </w:rPr>
              <w:t xml:space="preserve"> Act) (Administered)</w:t>
            </w:r>
          </w:p>
        </w:tc>
        <w:tc>
          <w:tcPr>
            <w:tcW w:w="175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rPr>
                <w:rFonts w:cs="Calibri"/>
                <w:szCs w:val="18"/>
              </w:rPr>
            </w:pPr>
            <w:r>
              <w:rPr>
                <w:rFonts w:cs="Calibri"/>
                <w:szCs w:val="18"/>
              </w:rPr>
              <w:t>Unlimited Amount</w:t>
            </w:r>
          </w:p>
        </w:tc>
        <w:tc>
          <w:tcPr>
            <w:tcW w:w="457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rPr>
                <w:rFonts w:cs="Calibri"/>
                <w:szCs w:val="18"/>
              </w:rPr>
            </w:pPr>
            <w:r>
              <w:rPr>
                <w:rFonts w:cs="Calibri"/>
                <w:szCs w:val="18"/>
              </w:rPr>
              <w:t xml:space="preserve">An Act to provide for the payment of workers compensation claims and associated expenses in accordance with the provisions of the </w:t>
            </w:r>
            <w:proofErr w:type="spellStart"/>
            <w:r>
              <w:rPr>
                <w:rFonts w:cs="Calibri"/>
                <w:szCs w:val="18"/>
              </w:rPr>
              <w:t>SRC</w:t>
            </w:r>
            <w:proofErr w:type="spellEnd"/>
            <w:r>
              <w:rPr>
                <w:rFonts w:cs="Calibri"/>
                <w:szCs w:val="18"/>
              </w:rPr>
              <w:t xml:space="preserve"> Act.</w:t>
            </w:r>
          </w:p>
        </w:tc>
        <w:tc>
          <w:tcPr>
            <w:tcW w:w="17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31,766 </w:t>
            </w:r>
          </w:p>
        </w:tc>
      </w:tr>
      <w:tr w:rsidR="00B26C61" w:rsidTr="00EA3146">
        <w:trPr>
          <w:trHeight w:val="720"/>
        </w:trPr>
        <w:tc>
          <w:tcPr>
            <w:tcW w:w="4956" w:type="dxa"/>
            <w:tcBorders>
              <w:top w:val="nil"/>
              <w:left w:val="single" w:sz="4" w:space="0" w:color="auto"/>
              <w:bottom w:val="single" w:sz="4" w:space="0" w:color="auto"/>
              <w:right w:val="single" w:sz="4" w:space="0" w:color="auto"/>
            </w:tcBorders>
            <w:shd w:val="clear" w:color="FFFFFF" w:fill="FFFFFF"/>
            <w:hideMark/>
          </w:tcPr>
          <w:p w:rsidR="00B26C61" w:rsidRDefault="00B26C61" w:rsidP="00EA3146">
            <w:pPr>
              <w:rPr>
                <w:rFonts w:cs="Calibri"/>
                <w:szCs w:val="18"/>
              </w:rPr>
            </w:pPr>
            <w:r>
              <w:rPr>
                <w:rFonts w:cs="Calibri"/>
                <w:szCs w:val="18"/>
              </w:rPr>
              <w:t>Asbestos-related Claims (Management of Commonwealth Liabilities) Act 2005 (Administered)</w:t>
            </w:r>
          </w:p>
        </w:tc>
        <w:tc>
          <w:tcPr>
            <w:tcW w:w="175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rPr>
                <w:rFonts w:cs="Calibri"/>
                <w:szCs w:val="18"/>
              </w:rPr>
            </w:pPr>
            <w:r>
              <w:rPr>
                <w:rFonts w:cs="Calibri"/>
                <w:szCs w:val="18"/>
              </w:rPr>
              <w:t>Unlimited Amount</w:t>
            </w:r>
          </w:p>
        </w:tc>
        <w:tc>
          <w:tcPr>
            <w:tcW w:w="457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rPr>
                <w:rFonts w:cs="Calibri"/>
                <w:szCs w:val="18"/>
              </w:rPr>
            </w:pPr>
            <w:r>
              <w:rPr>
                <w:rFonts w:cs="Calibri"/>
                <w:szCs w:val="18"/>
              </w:rPr>
              <w:t>An Act to assign responsibility for the management of certain liabilities relating to asbestos-related claims, and for related purposes.</w:t>
            </w:r>
          </w:p>
        </w:tc>
        <w:tc>
          <w:tcPr>
            <w:tcW w:w="17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 xml:space="preserve">17,968 </w:t>
            </w:r>
          </w:p>
        </w:tc>
      </w:tr>
      <w:tr w:rsidR="00B26C61" w:rsidTr="00EA3146">
        <w:trPr>
          <w:trHeight w:val="255"/>
        </w:trPr>
        <w:tc>
          <w:tcPr>
            <w:tcW w:w="4956" w:type="dxa"/>
            <w:tcBorders>
              <w:top w:val="nil"/>
              <w:left w:val="single" w:sz="4" w:space="0" w:color="auto"/>
              <w:bottom w:val="single" w:sz="4" w:space="0" w:color="auto"/>
              <w:right w:val="single" w:sz="4" w:space="0" w:color="auto"/>
            </w:tcBorders>
            <w:shd w:val="clear" w:color="FFFFFF" w:fill="FFFFFF"/>
            <w:vAlign w:val="bottom"/>
            <w:hideMark/>
          </w:tcPr>
          <w:p w:rsidR="00B26C61" w:rsidRDefault="00B26C61" w:rsidP="00EA3146">
            <w:pPr>
              <w:rPr>
                <w:rFonts w:cs="Calibri"/>
                <w:b/>
                <w:bCs/>
                <w:szCs w:val="18"/>
              </w:rPr>
            </w:pPr>
            <w:r>
              <w:rPr>
                <w:rFonts w:cs="Calibri"/>
                <w:b/>
                <w:bCs/>
                <w:szCs w:val="18"/>
              </w:rPr>
              <w:t>Total special appropriations applied</w:t>
            </w:r>
          </w:p>
        </w:tc>
        <w:tc>
          <w:tcPr>
            <w:tcW w:w="175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457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7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 w:val="16"/>
                <w:szCs w:val="16"/>
              </w:rPr>
            </w:pPr>
            <w:r>
              <w:rPr>
                <w:rFonts w:cs="Calibri"/>
                <w:b/>
                <w:bCs/>
                <w:sz w:val="16"/>
                <w:szCs w:val="16"/>
              </w:rPr>
              <w:t>322,003</w:t>
            </w:r>
          </w:p>
        </w:tc>
      </w:tr>
    </w:tbl>
    <w:p w:rsidR="00B26C61" w:rsidRDefault="00B26C61" w:rsidP="00B26C61">
      <w:bookmarkStart w:id="442" w:name="RANGE!D7:H16"/>
      <w:bookmarkStart w:id="443" w:name="RANGE!D7:H21"/>
      <w:bookmarkStart w:id="444" w:name="RANGE!D7:H30"/>
      <w:bookmarkStart w:id="445" w:name="RANGE!D7:H29"/>
      <w:bookmarkStart w:id="446" w:name="RANGE!D7:H24"/>
      <w:bookmarkStart w:id="447" w:name="RANGE!D7:H26"/>
      <w:bookmarkStart w:id="448" w:name="RANGE!D6:H25"/>
      <w:bookmarkStart w:id="449" w:name="RANGE!D6:I15"/>
      <w:bookmarkEnd w:id="442"/>
      <w:bookmarkEnd w:id="443"/>
      <w:bookmarkEnd w:id="444"/>
      <w:bookmarkEnd w:id="445"/>
      <w:bookmarkEnd w:id="446"/>
      <w:bookmarkEnd w:id="447"/>
      <w:bookmarkEnd w:id="448"/>
      <w:bookmarkEnd w:id="449"/>
    </w:p>
    <w:p w:rsidR="00B26C61" w:rsidRDefault="00B26C61" w:rsidP="00B26C61">
      <w:pPr>
        <w:pStyle w:val="ReferenceText"/>
      </w:pPr>
    </w:p>
    <w:p w:rsidR="00B26C61" w:rsidRDefault="00B26C61" w:rsidP="00B26C61">
      <w:pPr>
        <w:spacing w:line="240" w:lineRule="auto"/>
        <w:sectPr w:rsidR="00B26C61" w:rsidSect="00690793">
          <w:pgSz w:w="16838" w:h="11906" w:orient="landscape"/>
          <w:pgMar w:top="1134" w:right="1134" w:bottom="1134" w:left="1134" w:header="958" w:footer="737" w:gutter="0"/>
          <w:cols w:space="720"/>
          <w:docGrid w:linePitch="245"/>
        </w:sectPr>
      </w:pPr>
    </w:p>
    <w:tbl>
      <w:tblPr>
        <w:tblW w:w="9087" w:type="dxa"/>
        <w:tblInd w:w="80" w:type="dxa"/>
        <w:tblLayout w:type="fixed"/>
        <w:tblLook w:val="04A0" w:firstRow="1" w:lastRow="0" w:firstColumn="1" w:lastColumn="0" w:noHBand="0" w:noVBand="1"/>
      </w:tblPr>
      <w:tblGrid>
        <w:gridCol w:w="4218"/>
        <w:gridCol w:w="1623"/>
        <w:gridCol w:w="1623"/>
        <w:gridCol w:w="1623"/>
      </w:tblGrid>
      <w:tr w:rsidR="00B26C61" w:rsidTr="00EA3146">
        <w:trPr>
          <w:trHeight w:val="510"/>
        </w:trPr>
        <w:tc>
          <w:tcPr>
            <w:tcW w:w="8264" w:type="dxa"/>
            <w:gridSpan w:val="4"/>
            <w:tcBorders>
              <w:top w:val="nil"/>
              <w:left w:val="nil"/>
              <w:bottom w:val="nil"/>
              <w:right w:val="nil"/>
            </w:tcBorders>
            <w:shd w:val="clear" w:color="FFFFFF" w:fill="FFFFFF"/>
            <w:vAlign w:val="bottom"/>
            <w:hideMark/>
          </w:tcPr>
          <w:p w:rsidR="00B26C61" w:rsidRDefault="00B26C61" w:rsidP="00EA3146">
            <w:pPr>
              <w:rPr>
                <w:rFonts w:cs="Calibri"/>
                <w:b/>
                <w:bCs/>
                <w:szCs w:val="18"/>
                <w:u w:val="single"/>
              </w:rPr>
            </w:pPr>
            <w:bookmarkStart w:id="450" w:name="Note_DACTABLE1" w:colFirst="0" w:colLast="0"/>
            <w:r>
              <w:rPr>
                <w:rFonts w:cs="Calibri"/>
                <w:b/>
                <w:bCs/>
                <w:szCs w:val="18"/>
                <w:u w:val="single"/>
              </w:rPr>
              <w:lastRenderedPageBreak/>
              <w:t xml:space="preserve">Note </w:t>
            </w:r>
            <w:proofErr w:type="spellStart"/>
            <w:r>
              <w:rPr>
                <w:rFonts w:cs="Calibri"/>
                <w:b/>
                <w:bCs/>
                <w:szCs w:val="18"/>
                <w:u w:val="single"/>
              </w:rPr>
              <w:t>27E</w:t>
            </w:r>
            <w:proofErr w:type="spellEnd"/>
            <w:r>
              <w:rPr>
                <w:rFonts w:cs="Calibri"/>
                <w:b/>
                <w:bCs/>
                <w:szCs w:val="18"/>
                <w:u w:val="single"/>
              </w:rPr>
              <w:t>: Disclosure by Agent in Relation to Annual and Special Appropriations ('Recoverable GST exclusive')</w:t>
            </w:r>
          </w:p>
        </w:tc>
      </w:tr>
      <w:bookmarkEnd w:id="450"/>
      <w:tr w:rsidR="00B26C61" w:rsidTr="00EA3146">
        <w:trPr>
          <w:trHeight w:val="255"/>
        </w:trPr>
        <w:tc>
          <w:tcPr>
            <w:tcW w:w="383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47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47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47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r>
      <w:tr w:rsidR="00B26C61" w:rsidTr="00EA3146">
        <w:trPr>
          <w:trHeight w:val="930"/>
        </w:trPr>
        <w:tc>
          <w:tcPr>
            <w:tcW w:w="3836" w:type="dxa"/>
            <w:tcBorders>
              <w:top w:val="single" w:sz="4" w:space="0" w:color="auto"/>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 </w:t>
            </w:r>
          </w:p>
        </w:tc>
        <w:tc>
          <w:tcPr>
            <w:tcW w:w="1476"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xml:space="preserve">Department of </w:t>
            </w:r>
            <w:proofErr w:type="spellStart"/>
            <w:r>
              <w:rPr>
                <w:rFonts w:cs="Calibri"/>
                <w:b/>
                <w:bCs/>
                <w:szCs w:val="18"/>
              </w:rPr>
              <w:t>Industry</w:t>
            </w:r>
            <w:r>
              <w:rPr>
                <w:rFonts w:cs="Calibri"/>
                <w:b/>
                <w:bCs/>
                <w:szCs w:val="18"/>
                <w:vertAlign w:val="superscript"/>
              </w:rPr>
              <w:t>1</w:t>
            </w:r>
            <w:proofErr w:type="spellEnd"/>
          </w:p>
        </w:tc>
        <w:tc>
          <w:tcPr>
            <w:tcW w:w="1476"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xml:space="preserve">Department of Social </w:t>
            </w:r>
            <w:proofErr w:type="spellStart"/>
            <w:r>
              <w:rPr>
                <w:rFonts w:cs="Calibri"/>
                <w:b/>
                <w:bCs/>
                <w:szCs w:val="18"/>
              </w:rPr>
              <w:t>Services</w:t>
            </w:r>
            <w:r>
              <w:rPr>
                <w:rFonts w:cs="Calibri"/>
                <w:b/>
                <w:bCs/>
                <w:szCs w:val="18"/>
                <w:vertAlign w:val="superscript"/>
              </w:rPr>
              <w:t>2</w:t>
            </w:r>
            <w:proofErr w:type="spellEnd"/>
          </w:p>
        </w:tc>
        <w:tc>
          <w:tcPr>
            <w:tcW w:w="1476" w:type="dxa"/>
            <w:tcBorders>
              <w:top w:val="single" w:sz="4" w:space="0" w:color="auto"/>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 xml:space="preserve">Department of Prime Minister and </w:t>
            </w:r>
            <w:proofErr w:type="spellStart"/>
            <w:r>
              <w:rPr>
                <w:rFonts w:cs="Calibri"/>
                <w:b/>
                <w:bCs/>
                <w:szCs w:val="18"/>
              </w:rPr>
              <w:t>Cabinet</w:t>
            </w:r>
            <w:r>
              <w:rPr>
                <w:rFonts w:cs="Calibri"/>
                <w:b/>
                <w:bCs/>
                <w:szCs w:val="18"/>
                <w:vertAlign w:val="superscript"/>
              </w:rPr>
              <w:t>3</w:t>
            </w:r>
            <w:proofErr w:type="spellEnd"/>
          </w:p>
        </w:tc>
      </w:tr>
      <w:tr w:rsidR="00B26C61" w:rsidTr="00EA3146">
        <w:trPr>
          <w:trHeight w:val="255"/>
        </w:trPr>
        <w:tc>
          <w:tcPr>
            <w:tcW w:w="383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2014</w:t>
            </w:r>
          </w:p>
        </w:tc>
        <w:tc>
          <w:tcPr>
            <w:tcW w:w="147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47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476" w:type="dxa"/>
            <w:tcBorders>
              <w:top w:val="nil"/>
              <w:left w:val="nil"/>
              <w:bottom w:val="single" w:sz="4" w:space="0" w:color="auto"/>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3836" w:type="dxa"/>
            <w:tcBorders>
              <w:top w:val="single" w:sz="4" w:space="0" w:color="auto"/>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Total receipts</w:t>
            </w:r>
          </w:p>
        </w:tc>
        <w:tc>
          <w:tcPr>
            <w:tcW w:w="147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703 </w:t>
            </w:r>
          </w:p>
        </w:tc>
        <w:tc>
          <w:tcPr>
            <w:tcW w:w="147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587 </w:t>
            </w:r>
          </w:p>
        </w:tc>
        <w:tc>
          <w:tcPr>
            <w:tcW w:w="147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4,957 </w:t>
            </w:r>
          </w:p>
        </w:tc>
      </w:tr>
      <w:tr w:rsidR="00B26C61" w:rsidTr="00EA3146">
        <w:trPr>
          <w:trHeight w:val="255"/>
        </w:trPr>
        <w:tc>
          <w:tcPr>
            <w:tcW w:w="3836" w:type="dxa"/>
            <w:tcBorders>
              <w:top w:val="nil"/>
              <w:left w:val="nil"/>
              <w:bottom w:val="single" w:sz="4" w:space="0" w:color="auto"/>
              <w:right w:val="nil"/>
            </w:tcBorders>
            <w:shd w:val="clear" w:color="FFFFFF" w:fill="FFFFFF"/>
            <w:vAlign w:val="bottom"/>
            <w:hideMark/>
          </w:tcPr>
          <w:p w:rsidR="00B26C61" w:rsidRDefault="00B26C61" w:rsidP="00EA3146">
            <w:pPr>
              <w:rPr>
                <w:rFonts w:cs="Calibri"/>
                <w:szCs w:val="18"/>
              </w:rPr>
            </w:pPr>
            <w:r>
              <w:rPr>
                <w:rFonts w:cs="Calibri"/>
                <w:szCs w:val="18"/>
              </w:rPr>
              <w:t>Total payments</w:t>
            </w:r>
          </w:p>
        </w:tc>
        <w:tc>
          <w:tcPr>
            <w:tcW w:w="147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703 </w:t>
            </w:r>
          </w:p>
        </w:tc>
        <w:tc>
          <w:tcPr>
            <w:tcW w:w="147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1,156,462 </w:t>
            </w:r>
          </w:p>
        </w:tc>
        <w:tc>
          <w:tcPr>
            <w:tcW w:w="147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177,076 </w:t>
            </w:r>
          </w:p>
        </w:tc>
      </w:tr>
    </w:tbl>
    <w:p w:rsidR="00B26C61" w:rsidRDefault="00B26C61" w:rsidP="00B26C61">
      <w:pPr>
        <w:spacing w:line="240" w:lineRule="auto"/>
      </w:pPr>
      <w:bookmarkStart w:id="451" w:name="RANGE!D8:G19"/>
      <w:bookmarkStart w:id="452" w:name="RANGE!D25:H32"/>
      <w:bookmarkEnd w:id="451"/>
      <w:bookmarkEnd w:id="452"/>
    </w:p>
    <w:p w:rsidR="00B26C61" w:rsidRDefault="00B26C61" w:rsidP="00B26C61">
      <w:pPr>
        <w:spacing w:line="240" w:lineRule="auto"/>
      </w:pPr>
    </w:p>
    <w:p w:rsidR="00B26C61" w:rsidRPr="00DC6A4E" w:rsidRDefault="00B26C61" w:rsidP="00B26C61">
      <w:pPr>
        <w:pStyle w:val="ReferenceText"/>
        <w:rPr>
          <w:highlight w:val="yellow"/>
        </w:rPr>
      </w:pPr>
      <w:r w:rsidRPr="008827F4">
        <w:t xml:space="preserve">1. Relates to </w:t>
      </w:r>
      <w:r w:rsidRPr="00297DEA">
        <w:rPr>
          <w:i/>
        </w:rPr>
        <w:t>Textile, Clothing and Footwear Investment and Innovation Programs Act 1999</w:t>
      </w:r>
      <w:r>
        <w:rPr>
          <w:i/>
        </w:rPr>
        <w:t>.</w:t>
      </w:r>
    </w:p>
    <w:p w:rsidR="00B26C61" w:rsidRPr="008827F4" w:rsidRDefault="00B26C61" w:rsidP="00B26C61">
      <w:pPr>
        <w:pStyle w:val="ReferenceText"/>
      </w:pPr>
      <w:r w:rsidRPr="008827F4">
        <w:t>2. Transactions posted by the Department of Employment after the transfer of functions to the Department of Social Services.</w:t>
      </w:r>
    </w:p>
    <w:p w:rsidR="00B26C61" w:rsidRDefault="00B26C61" w:rsidP="00B26C61">
      <w:pPr>
        <w:pStyle w:val="ReferenceText"/>
      </w:pPr>
      <w:r w:rsidRPr="008827F4">
        <w:t xml:space="preserve">3. Transactions posted by the Department of Employment after the transfer of functions to the Department of </w:t>
      </w:r>
      <w:r>
        <w:t xml:space="preserve">the </w:t>
      </w:r>
      <w:r w:rsidRPr="008827F4">
        <w:t>Prime Minister and Cabinet.</w:t>
      </w:r>
    </w:p>
    <w:p w:rsidR="00B26C61" w:rsidRDefault="00B26C61" w:rsidP="00B26C61">
      <w:pPr>
        <w:pStyle w:val="ReferenceText"/>
      </w:pPr>
      <w:r>
        <w:t xml:space="preserve"> </w:t>
      </w:r>
    </w:p>
    <w:p w:rsidR="00B26C61" w:rsidRDefault="00B26C61" w:rsidP="00B26C61">
      <w:pPr>
        <w:spacing w:line="240" w:lineRule="auto"/>
        <w:sectPr w:rsidR="00B26C61">
          <w:pgSz w:w="11906" w:h="16838"/>
          <w:pgMar w:top="1134" w:right="1134" w:bottom="1134" w:left="1134" w:header="958" w:footer="737" w:gutter="0"/>
          <w:cols w:space="720"/>
        </w:sectPr>
      </w:pPr>
    </w:p>
    <w:tbl>
      <w:tblPr>
        <w:tblW w:w="13991" w:type="dxa"/>
        <w:tblInd w:w="80" w:type="dxa"/>
        <w:tblLayout w:type="fixed"/>
        <w:tblLook w:val="04A0" w:firstRow="1" w:lastRow="0" w:firstColumn="1" w:lastColumn="0" w:noHBand="0" w:noVBand="1"/>
      </w:tblPr>
      <w:tblGrid>
        <w:gridCol w:w="4724"/>
        <w:gridCol w:w="1865"/>
        <w:gridCol w:w="1836"/>
        <w:gridCol w:w="1865"/>
        <w:gridCol w:w="1865"/>
        <w:gridCol w:w="1836"/>
      </w:tblGrid>
      <w:tr w:rsidR="00B26C61" w:rsidTr="00EA3146">
        <w:trPr>
          <w:trHeight w:val="255"/>
        </w:trPr>
        <w:tc>
          <w:tcPr>
            <w:tcW w:w="6771" w:type="dxa"/>
            <w:gridSpan w:val="3"/>
            <w:tcBorders>
              <w:top w:val="nil"/>
              <w:left w:val="nil"/>
              <w:bottom w:val="nil"/>
              <w:right w:val="nil"/>
            </w:tcBorders>
            <w:shd w:val="clear" w:color="auto" w:fill="auto"/>
            <w:noWrap/>
            <w:hideMark/>
          </w:tcPr>
          <w:p w:rsidR="00B26C61" w:rsidRDefault="00B26C61" w:rsidP="00EA3146">
            <w:pPr>
              <w:rPr>
                <w:rFonts w:cs="Calibri"/>
                <w:b/>
                <w:bCs/>
                <w:szCs w:val="18"/>
                <w:u w:val="single"/>
              </w:rPr>
            </w:pPr>
            <w:bookmarkStart w:id="453" w:name="Note_ARATABLE1" w:colFirst="0" w:colLast="0"/>
            <w:r>
              <w:rPr>
                <w:rFonts w:cs="Calibri"/>
                <w:b/>
                <w:bCs/>
                <w:szCs w:val="18"/>
                <w:u w:val="single"/>
              </w:rPr>
              <w:lastRenderedPageBreak/>
              <w:t xml:space="preserve">Note </w:t>
            </w:r>
            <w:proofErr w:type="spellStart"/>
            <w:r>
              <w:rPr>
                <w:rFonts w:cs="Calibri"/>
                <w:b/>
                <w:bCs/>
                <w:szCs w:val="18"/>
                <w:u w:val="single"/>
              </w:rPr>
              <w:t>27F</w:t>
            </w:r>
            <w:proofErr w:type="spellEnd"/>
            <w:r>
              <w:rPr>
                <w:rFonts w:cs="Calibri"/>
                <w:b/>
                <w:bCs/>
                <w:szCs w:val="18"/>
                <w:u w:val="single"/>
              </w:rPr>
              <w:t>: Reduction in Administered Items ('Recoverable GST exclusive')</w:t>
            </w:r>
          </w:p>
        </w:tc>
        <w:tc>
          <w:tcPr>
            <w:tcW w:w="1499" w:type="dxa"/>
            <w:tcBorders>
              <w:top w:val="nil"/>
              <w:left w:val="nil"/>
              <w:bottom w:val="nil"/>
              <w:right w:val="nil"/>
            </w:tcBorders>
            <w:shd w:val="clear" w:color="auto" w:fill="auto"/>
            <w:hideMark/>
          </w:tcPr>
          <w:p w:rsidR="00B26C61" w:rsidRDefault="00B26C61" w:rsidP="00EA3146">
            <w:pPr>
              <w:rPr>
                <w:rFonts w:ascii="Arial" w:hAnsi="Arial" w:cs="Arial"/>
                <w:b/>
                <w:bCs/>
                <w:szCs w:val="18"/>
                <w:u w:val="single"/>
              </w:rPr>
            </w:pPr>
          </w:p>
        </w:tc>
        <w:tc>
          <w:tcPr>
            <w:tcW w:w="1499" w:type="dxa"/>
            <w:tcBorders>
              <w:top w:val="nil"/>
              <w:left w:val="nil"/>
              <w:bottom w:val="nil"/>
              <w:right w:val="nil"/>
            </w:tcBorders>
            <w:shd w:val="clear" w:color="auto" w:fill="auto"/>
            <w:hideMark/>
          </w:tcPr>
          <w:p w:rsidR="00B26C61" w:rsidRDefault="00B26C61" w:rsidP="00EA3146">
            <w:pPr>
              <w:rPr>
                <w:rFonts w:ascii="Arial" w:hAnsi="Arial" w:cs="Arial"/>
                <w:b/>
                <w:bCs/>
                <w:szCs w:val="18"/>
                <w:u w:val="single"/>
              </w:rPr>
            </w:pPr>
          </w:p>
        </w:tc>
        <w:tc>
          <w:tcPr>
            <w:tcW w:w="1476" w:type="dxa"/>
            <w:tcBorders>
              <w:top w:val="nil"/>
              <w:left w:val="nil"/>
              <w:bottom w:val="nil"/>
              <w:right w:val="nil"/>
            </w:tcBorders>
            <w:shd w:val="clear" w:color="auto" w:fill="auto"/>
            <w:hideMark/>
          </w:tcPr>
          <w:p w:rsidR="00B26C61" w:rsidRDefault="00B26C61" w:rsidP="00EA3146">
            <w:pPr>
              <w:rPr>
                <w:rFonts w:ascii="Arial" w:hAnsi="Arial" w:cs="Arial"/>
                <w:b/>
                <w:bCs/>
                <w:szCs w:val="18"/>
                <w:u w:val="single"/>
              </w:rPr>
            </w:pPr>
          </w:p>
        </w:tc>
      </w:tr>
      <w:bookmarkEnd w:id="453"/>
      <w:tr w:rsidR="00B26C61" w:rsidTr="00EA3146">
        <w:trPr>
          <w:trHeight w:val="255"/>
        </w:trPr>
        <w:tc>
          <w:tcPr>
            <w:tcW w:w="3796" w:type="dxa"/>
            <w:tcBorders>
              <w:top w:val="nil"/>
              <w:left w:val="nil"/>
              <w:bottom w:val="nil"/>
              <w:right w:val="nil"/>
            </w:tcBorders>
            <w:shd w:val="clear" w:color="auto" w:fill="auto"/>
            <w:noWrap/>
            <w:vAlign w:val="bottom"/>
            <w:hideMark/>
          </w:tcPr>
          <w:p w:rsidR="00B26C61" w:rsidRDefault="00B26C61" w:rsidP="00EA3146">
            <w:pPr>
              <w:rPr>
                <w:rFonts w:ascii="Arial" w:hAnsi="Arial" w:cs="Arial"/>
                <w:sz w:val="20"/>
              </w:rPr>
            </w:pPr>
          </w:p>
        </w:tc>
        <w:tc>
          <w:tcPr>
            <w:tcW w:w="1499" w:type="dxa"/>
            <w:tcBorders>
              <w:top w:val="nil"/>
              <w:left w:val="nil"/>
              <w:bottom w:val="nil"/>
              <w:right w:val="nil"/>
            </w:tcBorders>
            <w:shd w:val="clear" w:color="auto" w:fill="auto"/>
            <w:noWrap/>
            <w:vAlign w:val="bottom"/>
            <w:hideMark/>
          </w:tcPr>
          <w:p w:rsidR="00B26C61" w:rsidRDefault="00B26C61" w:rsidP="00EA3146">
            <w:pPr>
              <w:rPr>
                <w:rFonts w:ascii="Arial" w:hAnsi="Arial" w:cs="Arial"/>
                <w:sz w:val="20"/>
              </w:rPr>
            </w:pPr>
          </w:p>
        </w:tc>
        <w:tc>
          <w:tcPr>
            <w:tcW w:w="1476" w:type="dxa"/>
            <w:tcBorders>
              <w:top w:val="nil"/>
              <w:left w:val="nil"/>
              <w:bottom w:val="nil"/>
              <w:right w:val="nil"/>
            </w:tcBorders>
            <w:shd w:val="clear" w:color="auto" w:fill="auto"/>
            <w:noWrap/>
            <w:vAlign w:val="bottom"/>
            <w:hideMark/>
          </w:tcPr>
          <w:p w:rsidR="00B26C61" w:rsidRDefault="00B26C61" w:rsidP="00EA3146">
            <w:pPr>
              <w:rPr>
                <w:rFonts w:ascii="Arial" w:hAnsi="Arial" w:cs="Arial"/>
                <w:sz w:val="20"/>
              </w:rPr>
            </w:pPr>
          </w:p>
        </w:tc>
        <w:tc>
          <w:tcPr>
            <w:tcW w:w="1499" w:type="dxa"/>
            <w:tcBorders>
              <w:top w:val="nil"/>
              <w:left w:val="nil"/>
              <w:bottom w:val="nil"/>
              <w:right w:val="nil"/>
            </w:tcBorders>
            <w:shd w:val="clear" w:color="auto" w:fill="auto"/>
            <w:noWrap/>
            <w:vAlign w:val="bottom"/>
            <w:hideMark/>
          </w:tcPr>
          <w:p w:rsidR="00B26C61" w:rsidRDefault="00B26C61" w:rsidP="00EA3146">
            <w:pPr>
              <w:rPr>
                <w:rFonts w:ascii="Arial" w:hAnsi="Arial" w:cs="Arial"/>
                <w:sz w:val="20"/>
              </w:rPr>
            </w:pPr>
          </w:p>
        </w:tc>
        <w:tc>
          <w:tcPr>
            <w:tcW w:w="1499" w:type="dxa"/>
            <w:tcBorders>
              <w:top w:val="nil"/>
              <w:left w:val="nil"/>
              <w:bottom w:val="nil"/>
              <w:right w:val="nil"/>
            </w:tcBorders>
            <w:shd w:val="clear" w:color="auto" w:fill="auto"/>
            <w:noWrap/>
            <w:vAlign w:val="bottom"/>
            <w:hideMark/>
          </w:tcPr>
          <w:p w:rsidR="00B26C61" w:rsidRDefault="00B26C61" w:rsidP="00EA3146">
            <w:pPr>
              <w:rPr>
                <w:rFonts w:ascii="Arial" w:hAnsi="Arial" w:cs="Arial"/>
                <w:sz w:val="20"/>
              </w:rPr>
            </w:pPr>
          </w:p>
        </w:tc>
        <w:tc>
          <w:tcPr>
            <w:tcW w:w="1476" w:type="dxa"/>
            <w:tcBorders>
              <w:top w:val="nil"/>
              <w:left w:val="nil"/>
              <w:bottom w:val="nil"/>
              <w:right w:val="nil"/>
            </w:tcBorders>
            <w:shd w:val="clear" w:color="auto" w:fill="auto"/>
            <w:noWrap/>
            <w:vAlign w:val="bottom"/>
            <w:hideMark/>
          </w:tcPr>
          <w:p w:rsidR="00B26C61" w:rsidRDefault="00B26C61" w:rsidP="00EA3146">
            <w:pPr>
              <w:rPr>
                <w:rFonts w:ascii="Arial" w:hAnsi="Arial" w:cs="Arial"/>
                <w:sz w:val="20"/>
              </w:rPr>
            </w:pPr>
          </w:p>
        </w:tc>
      </w:tr>
      <w:tr w:rsidR="00B26C61" w:rsidTr="00EA3146">
        <w:trPr>
          <w:trHeight w:val="480"/>
        </w:trPr>
        <w:tc>
          <w:tcPr>
            <w:tcW w:w="3796"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rPr>
                <w:rFonts w:cs="Calibri"/>
                <w:b/>
                <w:bCs/>
                <w:szCs w:val="18"/>
              </w:rPr>
            </w:pPr>
            <w:r>
              <w:rPr>
                <w:rFonts w:cs="Calibri"/>
                <w:b/>
                <w:bCs/>
                <w:szCs w:val="18"/>
              </w:rPr>
              <w:t>2014</w:t>
            </w:r>
          </w:p>
        </w:tc>
        <w:tc>
          <w:tcPr>
            <w:tcW w:w="2975" w:type="dxa"/>
            <w:gridSpan w:val="2"/>
            <w:tcBorders>
              <w:top w:val="single" w:sz="4" w:space="0" w:color="auto"/>
              <w:left w:val="nil"/>
              <w:bottom w:val="single" w:sz="4" w:space="0" w:color="auto"/>
              <w:right w:val="nil"/>
            </w:tcBorders>
            <w:shd w:val="clear" w:color="000000" w:fill="D9D9D9"/>
            <w:vAlign w:val="bottom"/>
            <w:hideMark/>
          </w:tcPr>
          <w:p w:rsidR="00B26C61" w:rsidRDefault="00B26C61" w:rsidP="00EA3146">
            <w:pPr>
              <w:jc w:val="center"/>
              <w:rPr>
                <w:rFonts w:cs="Calibri"/>
                <w:b/>
                <w:bCs/>
                <w:szCs w:val="18"/>
              </w:rPr>
            </w:pPr>
            <w:r>
              <w:rPr>
                <w:rFonts w:cs="Calibri"/>
                <w:b/>
                <w:bCs/>
                <w:szCs w:val="18"/>
              </w:rPr>
              <w:t xml:space="preserve">Amount required - by Appropriation </w:t>
            </w:r>
            <w:proofErr w:type="spellStart"/>
            <w:r>
              <w:rPr>
                <w:rFonts w:cs="Calibri"/>
                <w:b/>
                <w:bCs/>
                <w:szCs w:val="18"/>
              </w:rPr>
              <w:t>Act</w:t>
            </w:r>
            <w:r>
              <w:rPr>
                <w:rFonts w:cs="Calibri"/>
                <w:b/>
                <w:bCs/>
                <w:szCs w:val="18"/>
                <w:vertAlign w:val="superscript"/>
              </w:rPr>
              <w:t>3</w:t>
            </w:r>
            <w:proofErr w:type="spellEnd"/>
          </w:p>
        </w:tc>
        <w:tc>
          <w:tcPr>
            <w:tcW w:w="1499"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xml:space="preserve">Total amount </w:t>
            </w:r>
            <w:proofErr w:type="spellStart"/>
            <w:r>
              <w:rPr>
                <w:rFonts w:cs="Calibri"/>
                <w:b/>
                <w:bCs/>
                <w:szCs w:val="18"/>
              </w:rPr>
              <w:t>required</w:t>
            </w:r>
            <w:r>
              <w:rPr>
                <w:rFonts w:cs="Calibri"/>
                <w:b/>
                <w:bCs/>
                <w:szCs w:val="18"/>
                <w:vertAlign w:val="superscript"/>
              </w:rPr>
              <w:t>3</w:t>
            </w:r>
            <w:proofErr w:type="spellEnd"/>
          </w:p>
        </w:tc>
        <w:tc>
          <w:tcPr>
            <w:tcW w:w="1499"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xml:space="preserve">Total amount </w:t>
            </w:r>
            <w:proofErr w:type="spellStart"/>
            <w:r>
              <w:rPr>
                <w:rFonts w:cs="Calibri"/>
                <w:b/>
                <w:bCs/>
                <w:szCs w:val="18"/>
              </w:rPr>
              <w:t>appropriated</w:t>
            </w:r>
            <w:r>
              <w:rPr>
                <w:rFonts w:cs="Calibri"/>
                <w:b/>
                <w:bCs/>
                <w:szCs w:val="18"/>
                <w:vertAlign w:val="superscript"/>
              </w:rPr>
              <w:t>4</w:t>
            </w:r>
            <w:proofErr w:type="spellEnd"/>
          </w:p>
        </w:tc>
        <w:tc>
          <w:tcPr>
            <w:tcW w:w="1476"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xml:space="preserve">Total </w:t>
            </w:r>
            <w:proofErr w:type="spellStart"/>
            <w:r>
              <w:rPr>
                <w:rFonts w:cs="Calibri"/>
                <w:b/>
                <w:bCs/>
                <w:szCs w:val="18"/>
              </w:rPr>
              <w:t>reduction</w:t>
            </w:r>
            <w:r>
              <w:rPr>
                <w:rFonts w:cs="Calibri"/>
                <w:b/>
                <w:bCs/>
                <w:szCs w:val="18"/>
                <w:vertAlign w:val="superscript"/>
              </w:rPr>
              <w:t>5</w:t>
            </w:r>
            <w:proofErr w:type="spellEnd"/>
          </w:p>
        </w:tc>
      </w:tr>
      <w:tr w:rsidR="00B26C61" w:rsidTr="00EA3146">
        <w:trPr>
          <w:trHeight w:val="255"/>
        </w:trPr>
        <w:tc>
          <w:tcPr>
            <w:tcW w:w="3796" w:type="dxa"/>
            <w:tcBorders>
              <w:top w:val="nil"/>
              <w:left w:val="nil"/>
              <w:bottom w:val="single" w:sz="4" w:space="0" w:color="auto"/>
              <w:right w:val="nil"/>
            </w:tcBorders>
            <w:shd w:val="clear" w:color="000000" w:fill="D9D9D9"/>
            <w:vAlign w:val="bottom"/>
            <w:hideMark/>
          </w:tcPr>
          <w:p w:rsidR="00B26C61" w:rsidRDefault="00B26C61" w:rsidP="00EA3146">
            <w:pPr>
              <w:rPr>
                <w:rFonts w:cs="Calibri"/>
                <w:szCs w:val="18"/>
              </w:rPr>
            </w:pPr>
            <w:r>
              <w:rPr>
                <w:rFonts w:cs="Calibri"/>
                <w:szCs w:val="18"/>
              </w:rPr>
              <w:t>Ordinary Annual Services</w:t>
            </w:r>
          </w:p>
        </w:tc>
        <w:tc>
          <w:tcPr>
            <w:tcW w:w="1499"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Act (</w:t>
            </w:r>
            <w:proofErr w:type="spellStart"/>
            <w:r>
              <w:rPr>
                <w:rFonts w:cs="Calibri"/>
                <w:b/>
                <w:bCs/>
                <w:szCs w:val="18"/>
              </w:rPr>
              <w:t>No.1</w:t>
            </w:r>
            <w:proofErr w:type="spellEnd"/>
            <w:r>
              <w:rPr>
                <w:rFonts w:cs="Calibri"/>
                <w:b/>
                <w:bCs/>
                <w:szCs w:val="18"/>
              </w:rPr>
              <w:t>)</w:t>
            </w:r>
          </w:p>
        </w:tc>
        <w:tc>
          <w:tcPr>
            <w:tcW w:w="1476"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Act (</w:t>
            </w:r>
            <w:proofErr w:type="spellStart"/>
            <w:r>
              <w:rPr>
                <w:rFonts w:cs="Calibri"/>
                <w:b/>
                <w:bCs/>
                <w:szCs w:val="18"/>
              </w:rPr>
              <w:t>No.3</w:t>
            </w:r>
            <w:proofErr w:type="spellEnd"/>
            <w:r>
              <w:rPr>
                <w:rFonts w:cs="Calibri"/>
                <w:b/>
                <w:bCs/>
                <w:szCs w:val="18"/>
              </w:rPr>
              <w:t>)</w:t>
            </w:r>
          </w:p>
        </w:tc>
        <w:tc>
          <w:tcPr>
            <w:tcW w:w="1499" w:type="dxa"/>
            <w:tcBorders>
              <w:top w:val="nil"/>
              <w:left w:val="nil"/>
              <w:bottom w:val="single" w:sz="4" w:space="0" w:color="auto"/>
              <w:right w:val="nil"/>
            </w:tcBorders>
            <w:shd w:val="clear" w:color="000000" w:fill="D9D9D9"/>
            <w:vAlign w:val="bottom"/>
            <w:hideMark/>
          </w:tcPr>
          <w:p w:rsidR="00B26C61" w:rsidRDefault="00B26C61" w:rsidP="00EA3146">
            <w:pPr>
              <w:jc w:val="center"/>
              <w:rPr>
                <w:rFonts w:cs="Calibri"/>
                <w:b/>
                <w:bCs/>
                <w:szCs w:val="18"/>
              </w:rPr>
            </w:pPr>
            <w:r>
              <w:rPr>
                <w:rFonts w:cs="Calibri"/>
                <w:b/>
                <w:bCs/>
                <w:szCs w:val="18"/>
              </w:rPr>
              <w:t> </w:t>
            </w:r>
          </w:p>
        </w:tc>
        <w:tc>
          <w:tcPr>
            <w:tcW w:w="1499" w:type="dxa"/>
            <w:tcBorders>
              <w:top w:val="nil"/>
              <w:left w:val="nil"/>
              <w:bottom w:val="single" w:sz="4" w:space="0" w:color="auto"/>
              <w:right w:val="nil"/>
            </w:tcBorders>
            <w:shd w:val="clear" w:color="000000" w:fill="D9D9D9"/>
            <w:vAlign w:val="bottom"/>
            <w:hideMark/>
          </w:tcPr>
          <w:p w:rsidR="00B26C61" w:rsidRDefault="00B26C61" w:rsidP="00EA3146">
            <w:pPr>
              <w:jc w:val="center"/>
              <w:rPr>
                <w:rFonts w:cs="Calibri"/>
                <w:b/>
                <w:bCs/>
                <w:szCs w:val="18"/>
              </w:rPr>
            </w:pPr>
            <w:r>
              <w:rPr>
                <w:rFonts w:cs="Calibri"/>
                <w:b/>
                <w:bCs/>
                <w:szCs w:val="18"/>
              </w:rPr>
              <w:t> </w:t>
            </w:r>
          </w:p>
        </w:tc>
        <w:tc>
          <w:tcPr>
            <w:tcW w:w="1476" w:type="dxa"/>
            <w:tcBorders>
              <w:top w:val="nil"/>
              <w:left w:val="nil"/>
              <w:bottom w:val="single" w:sz="4" w:space="0" w:color="auto"/>
              <w:right w:val="nil"/>
            </w:tcBorders>
            <w:shd w:val="clear" w:color="000000" w:fill="D9D9D9"/>
            <w:vAlign w:val="bottom"/>
            <w:hideMark/>
          </w:tcPr>
          <w:p w:rsidR="00B26C61" w:rsidRDefault="00B26C61" w:rsidP="00EA3146">
            <w:pPr>
              <w:jc w:val="center"/>
              <w:rPr>
                <w:rFonts w:cs="Calibri"/>
                <w:b/>
                <w:bCs/>
                <w:szCs w:val="18"/>
              </w:rPr>
            </w:pPr>
            <w:r>
              <w:rPr>
                <w:rFonts w:cs="Calibri"/>
                <w:b/>
                <w:bCs/>
                <w:szCs w:val="18"/>
              </w:rPr>
              <w:t> </w:t>
            </w:r>
          </w:p>
        </w:tc>
      </w:tr>
      <w:tr w:rsidR="00B26C61" w:rsidTr="00EA3146">
        <w:trPr>
          <w:trHeight w:val="255"/>
        </w:trPr>
        <w:tc>
          <w:tcPr>
            <w:tcW w:w="3796" w:type="dxa"/>
            <w:tcBorders>
              <w:top w:val="nil"/>
              <w:left w:val="nil"/>
              <w:bottom w:val="nil"/>
              <w:right w:val="nil"/>
            </w:tcBorders>
            <w:shd w:val="clear" w:color="000000" w:fill="D9D9D9"/>
            <w:vAlign w:val="bottom"/>
            <w:hideMark/>
          </w:tcPr>
          <w:p w:rsidR="00B26C61" w:rsidRDefault="00B26C61" w:rsidP="00B26C61">
            <w:pPr>
              <w:ind w:firstLineChars="200" w:firstLine="360"/>
              <w:rPr>
                <w:rFonts w:cs="Calibri"/>
                <w:szCs w:val="18"/>
              </w:rPr>
            </w:pPr>
            <w:r>
              <w:rPr>
                <w:rFonts w:cs="Calibri"/>
                <w:szCs w:val="18"/>
              </w:rPr>
              <w:t>Outcome 1</w:t>
            </w:r>
          </w:p>
        </w:tc>
        <w:tc>
          <w:tcPr>
            <w:tcW w:w="1499"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1,438,840,536.88</w:t>
            </w:r>
          </w:p>
        </w:tc>
        <w:tc>
          <w:tcPr>
            <w:tcW w:w="147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0.00</w:t>
            </w:r>
          </w:p>
        </w:tc>
        <w:tc>
          <w:tcPr>
            <w:tcW w:w="1499"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1,438,840,536.88 </w:t>
            </w:r>
          </w:p>
        </w:tc>
        <w:tc>
          <w:tcPr>
            <w:tcW w:w="1499"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1,553,987,000.00</w:t>
            </w:r>
          </w:p>
        </w:tc>
        <w:tc>
          <w:tcPr>
            <w:tcW w:w="147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115,146,463.12 </w:t>
            </w:r>
          </w:p>
        </w:tc>
      </w:tr>
      <w:tr w:rsidR="00B26C61" w:rsidTr="00EA3146">
        <w:trPr>
          <w:trHeight w:val="255"/>
        </w:trPr>
        <w:tc>
          <w:tcPr>
            <w:tcW w:w="3796" w:type="dxa"/>
            <w:tcBorders>
              <w:top w:val="nil"/>
              <w:left w:val="nil"/>
              <w:bottom w:val="single" w:sz="4" w:space="0" w:color="auto"/>
              <w:right w:val="nil"/>
            </w:tcBorders>
            <w:shd w:val="clear" w:color="000000" w:fill="D9D9D9"/>
            <w:vAlign w:val="bottom"/>
            <w:hideMark/>
          </w:tcPr>
          <w:p w:rsidR="00B26C61" w:rsidRDefault="00B26C61" w:rsidP="00B26C61">
            <w:pPr>
              <w:ind w:firstLineChars="200" w:firstLine="360"/>
              <w:rPr>
                <w:rFonts w:cs="Calibri"/>
                <w:szCs w:val="18"/>
              </w:rPr>
            </w:pPr>
            <w:r>
              <w:rPr>
                <w:rFonts w:cs="Calibri"/>
                <w:szCs w:val="18"/>
              </w:rPr>
              <w:t>Outcome 2</w:t>
            </w:r>
          </w:p>
        </w:tc>
        <w:tc>
          <w:tcPr>
            <w:tcW w:w="1499"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22,721,000.00</w:t>
            </w:r>
          </w:p>
        </w:tc>
        <w:tc>
          <w:tcPr>
            <w:tcW w:w="147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3,534,930.14</w:t>
            </w:r>
          </w:p>
        </w:tc>
        <w:tc>
          <w:tcPr>
            <w:tcW w:w="1499"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26,255,930.14 </w:t>
            </w:r>
          </w:p>
        </w:tc>
        <w:tc>
          <w:tcPr>
            <w:tcW w:w="1499"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38,475,000.00</w:t>
            </w:r>
          </w:p>
        </w:tc>
        <w:tc>
          <w:tcPr>
            <w:tcW w:w="147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12,219,069.86 </w:t>
            </w:r>
          </w:p>
        </w:tc>
      </w:tr>
    </w:tbl>
    <w:p w:rsidR="00B26C61" w:rsidRDefault="00B26C61" w:rsidP="00B26C61">
      <w:pPr>
        <w:pStyle w:val="ReferenceText"/>
      </w:pPr>
      <w:bookmarkStart w:id="454" w:name="RANGE!D7:J12"/>
      <w:bookmarkStart w:id="455" w:name="RANGE!D6:I17"/>
      <w:bookmarkStart w:id="456" w:name="RANGE!D7:I18"/>
      <w:bookmarkStart w:id="457" w:name="RANGE!D7:J18"/>
      <w:bookmarkStart w:id="458" w:name="RANGE!D6:J17"/>
      <w:bookmarkStart w:id="459" w:name="RANGE!D6:L17"/>
      <w:bookmarkStart w:id="460" w:name="RANGE!D6:K19"/>
      <w:bookmarkStart w:id="461" w:name="RANGE!D6:K20"/>
      <w:bookmarkEnd w:id="454"/>
      <w:bookmarkEnd w:id="455"/>
      <w:bookmarkEnd w:id="456"/>
      <w:bookmarkEnd w:id="457"/>
      <w:bookmarkEnd w:id="458"/>
      <w:bookmarkEnd w:id="459"/>
      <w:bookmarkEnd w:id="460"/>
      <w:bookmarkEnd w:id="461"/>
    </w:p>
    <w:tbl>
      <w:tblPr>
        <w:tblW w:w="13991" w:type="dxa"/>
        <w:tblInd w:w="80" w:type="dxa"/>
        <w:tblLayout w:type="fixed"/>
        <w:tblLook w:val="04A0" w:firstRow="1" w:lastRow="0" w:firstColumn="1" w:lastColumn="0" w:noHBand="0" w:noVBand="1"/>
      </w:tblPr>
      <w:tblGrid>
        <w:gridCol w:w="4751"/>
        <w:gridCol w:w="1848"/>
        <w:gridCol w:w="1848"/>
        <w:gridCol w:w="1848"/>
        <w:gridCol w:w="1848"/>
        <w:gridCol w:w="1848"/>
      </w:tblGrid>
      <w:tr w:rsidR="00B26C61" w:rsidTr="00EA3146">
        <w:trPr>
          <w:trHeight w:val="525"/>
        </w:trPr>
        <w:tc>
          <w:tcPr>
            <w:tcW w:w="3796"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rPr>
                <w:rFonts w:cs="Calibri"/>
                <w:b/>
                <w:bCs/>
                <w:szCs w:val="18"/>
              </w:rPr>
            </w:pPr>
            <w:bookmarkStart w:id="462" w:name="Note_ARATABLE2" w:colFirst="0" w:colLast="0"/>
            <w:r>
              <w:rPr>
                <w:rFonts w:cs="Calibri"/>
                <w:b/>
                <w:bCs/>
                <w:szCs w:val="18"/>
              </w:rPr>
              <w:t>2014</w:t>
            </w:r>
          </w:p>
        </w:tc>
        <w:tc>
          <w:tcPr>
            <w:tcW w:w="2952" w:type="dxa"/>
            <w:gridSpan w:val="2"/>
            <w:tcBorders>
              <w:top w:val="single" w:sz="4" w:space="0" w:color="auto"/>
              <w:left w:val="nil"/>
              <w:bottom w:val="single" w:sz="4" w:space="0" w:color="auto"/>
              <w:right w:val="nil"/>
            </w:tcBorders>
            <w:shd w:val="clear" w:color="000000" w:fill="D9D9D9"/>
            <w:vAlign w:val="bottom"/>
            <w:hideMark/>
          </w:tcPr>
          <w:p w:rsidR="00B26C61" w:rsidRDefault="00B26C61" w:rsidP="00EA3146">
            <w:pPr>
              <w:jc w:val="center"/>
              <w:rPr>
                <w:rFonts w:cs="Calibri"/>
                <w:b/>
                <w:bCs/>
                <w:szCs w:val="18"/>
              </w:rPr>
            </w:pPr>
            <w:r>
              <w:rPr>
                <w:rFonts w:cs="Calibri"/>
                <w:b/>
                <w:bCs/>
                <w:szCs w:val="18"/>
              </w:rPr>
              <w:t xml:space="preserve">Amount required - by Appropriation </w:t>
            </w:r>
            <w:proofErr w:type="spellStart"/>
            <w:r>
              <w:rPr>
                <w:rFonts w:cs="Calibri"/>
                <w:b/>
                <w:bCs/>
                <w:szCs w:val="18"/>
              </w:rPr>
              <w:t>Act</w:t>
            </w:r>
            <w:r>
              <w:rPr>
                <w:rFonts w:cs="Calibri"/>
                <w:b/>
                <w:bCs/>
                <w:szCs w:val="18"/>
                <w:vertAlign w:val="superscript"/>
              </w:rPr>
              <w:t>3</w:t>
            </w:r>
            <w:proofErr w:type="spellEnd"/>
          </w:p>
        </w:tc>
        <w:tc>
          <w:tcPr>
            <w:tcW w:w="1476"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xml:space="preserve">Total amount </w:t>
            </w:r>
            <w:proofErr w:type="spellStart"/>
            <w:r>
              <w:rPr>
                <w:rFonts w:cs="Calibri"/>
                <w:b/>
                <w:bCs/>
                <w:szCs w:val="18"/>
              </w:rPr>
              <w:t>required</w:t>
            </w:r>
            <w:r>
              <w:rPr>
                <w:rFonts w:cs="Calibri"/>
                <w:b/>
                <w:bCs/>
                <w:szCs w:val="18"/>
                <w:vertAlign w:val="superscript"/>
              </w:rPr>
              <w:t>3</w:t>
            </w:r>
            <w:proofErr w:type="spellEnd"/>
          </w:p>
        </w:tc>
        <w:tc>
          <w:tcPr>
            <w:tcW w:w="1476"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xml:space="preserve">Total amount </w:t>
            </w:r>
            <w:proofErr w:type="spellStart"/>
            <w:r>
              <w:rPr>
                <w:rFonts w:cs="Calibri"/>
                <w:b/>
                <w:bCs/>
                <w:szCs w:val="18"/>
              </w:rPr>
              <w:t>appropriated</w:t>
            </w:r>
            <w:r>
              <w:rPr>
                <w:rFonts w:cs="Calibri"/>
                <w:b/>
                <w:bCs/>
                <w:szCs w:val="18"/>
                <w:vertAlign w:val="superscript"/>
              </w:rPr>
              <w:t>4</w:t>
            </w:r>
            <w:proofErr w:type="spellEnd"/>
          </w:p>
        </w:tc>
        <w:tc>
          <w:tcPr>
            <w:tcW w:w="1476" w:type="dxa"/>
            <w:tcBorders>
              <w:top w:val="single" w:sz="4" w:space="0" w:color="auto"/>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 xml:space="preserve">Total </w:t>
            </w:r>
            <w:proofErr w:type="spellStart"/>
            <w:r>
              <w:rPr>
                <w:rFonts w:cs="Calibri"/>
                <w:b/>
                <w:bCs/>
                <w:szCs w:val="18"/>
              </w:rPr>
              <w:t>reduction</w:t>
            </w:r>
            <w:r>
              <w:rPr>
                <w:rFonts w:cs="Calibri"/>
                <w:b/>
                <w:bCs/>
                <w:szCs w:val="18"/>
                <w:vertAlign w:val="superscript"/>
              </w:rPr>
              <w:t>5</w:t>
            </w:r>
            <w:proofErr w:type="spellEnd"/>
          </w:p>
        </w:tc>
      </w:tr>
      <w:bookmarkEnd w:id="462"/>
      <w:tr w:rsidR="00B26C61" w:rsidTr="00EA3146">
        <w:trPr>
          <w:trHeight w:val="255"/>
        </w:trPr>
        <w:tc>
          <w:tcPr>
            <w:tcW w:w="3796" w:type="dxa"/>
            <w:tcBorders>
              <w:top w:val="nil"/>
              <w:left w:val="nil"/>
              <w:bottom w:val="single" w:sz="4" w:space="0" w:color="auto"/>
              <w:right w:val="nil"/>
            </w:tcBorders>
            <w:shd w:val="clear" w:color="000000" w:fill="D9D9D9"/>
            <w:vAlign w:val="bottom"/>
            <w:hideMark/>
          </w:tcPr>
          <w:p w:rsidR="00B26C61" w:rsidRDefault="00B26C61" w:rsidP="00EA3146">
            <w:pPr>
              <w:rPr>
                <w:rFonts w:cs="Calibri"/>
                <w:szCs w:val="18"/>
              </w:rPr>
            </w:pPr>
            <w:r>
              <w:rPr>
                <w:rFonts w:cs="Calibri"/>
                <w:szCs w:val="18"/>
              </w:rPr>
              <w:t>Other Services</w:t>
            </w:r>
          </w:p>
        </w:tc>
        <w:tc>
          <w:tcPr>
            <w:tcW w:w="1476"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Act (</w:t>
            </w:r>
            <w:proofErr w:type="spellStart"/>
            <w:r>
              <w:rPr>
                <w:rFonts w:cs="Calibri"/>
                <w:b/>
                <w:bCs/>
                <w:szCs w:val="18"/>
              </w:rPr>
              <w:t>No.2</w:t>
            </w:r>
            <w:proofErr w:type="spellEnd"/>
            <w:r>
              <w:rPr>
                <w:rFonts w:cs="Calibri"/>
                <w:b/>
                <w:bCs/>
                <w:szCs w:val="18"/>
              </w:rPr>
              <w:t>)</w:t>
            </w:r>
          </w:p>
        </w:tc>
        <w:tc>
          <w:tcPr>
            <w:tcW w:w="1476" w:type="dxa"/>
            <w:tcBorders>
              <w:top w:val="nil"/>
              <w:left w:val="nil"/>
              <w:bottom w:val="single" w:sz="4" w:space="0" w:color="auto"/>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Act (</w:t>
            </w:r>
            <w:proofErr w:type="spellStart"/>
            <w:r>
              <w:rPr>
                <w:rFonts w:cs="Calibri"/>
                <w:b/>
                <w:bCs/>
                <w:szCs w:val="18"/>
              </w:rPr>
              <w:t>No.4</w:t>
            </w:r>
            <w:proofErr w:type="spellEnd"/>
            <w:r>
              <w:rPr>
                <w:rFonts w:cs="Calibri"/>
                <w:b/>
                <w:bCs/>
                <w:szCs w:val="18"/>
              </w:rPr>
              <w:t>)</w:t>
            </w:r>
          </w:p>
        </w:tc>
        <w:tc>
          <w:tcPr>
            <w:tcW w:w="1476" w:type="dxa"/>
            <w:tcBorders>
              <w:top w:val="nil"/>
              <w:left w:val="nil"/>
              <w:bottom w:val="single" w:sz="4" w:space="0" w:color="auto"/>
              <w:right w:val="nil"/>
            </w:tcBorders>
            <w:shd w:val="clear" w:color="000000" w:fill="D9D9D9"/>
            <w:vAlign w:val="bottom"/>
            <w:hideMark/>
          </w:tcPr>
          <w:p w:rsidR="00B26C61" w:rsidRDefault="00B26C61" w:rsidP="00EA3146">
            <w:pPr>
              <w:jc w:val="center"/>
              <w:rPr>
                <w:rFonts w:cs="Calibri"/>
                <w:b/>
                <w:bCs/>
                <w:szCs w:val="18"/>
              </w:rPr>
            </w:pPr>
            <w:r>
              <w:rPr>
                <w:rFonts w:cs="Calibri"/>
                <w:b/>
                <w:bCs/>
                <w:szCs w:val="18"/>
              </w:rPr>
              <w:t> </w:t>
            </w:r>
          </w:p>
        </w:tc>
        <w:tc>
          <w:tcPr>
            <w:tcW w:w="1476" w:type="dxa"/>
            <w:tcBorders>
              <w:top w:val="nil"/>
              <w:left w:val="nil"/>
              <w:bottom w:val="single" w:sz="4" w:space="0" w:color="auto"/>
              <w:right w:val="nil"/>
            </w:tcBorders>
            <w:shd w:val="clear" w:color="000000" w:fill="D9D9D9"/>
            <w:vAlign w:val="bottom"/>
            <w:hideMark/>
          </w:tcPr>
          <w:p w:rsidR="00B26C61" w:rsidRDefault="00B26C61" w:rsidP="00EA3146">
            <w:pPr>
              <w:jc w:val="center"/>
              <w:rPr>
                <w:rFonts w:cs="Calibri"/>
                <w:b/>
                <w:bCs/>
                <w:szCs w:val="18"/>
              </w:rPr>
            </w:pPr>
            <w:r>
              <w:rPr>
                <w:rFonts w:cs="Calibri"/>
                <w:b/>
                <w:bCs/>
                <w:szCs w:val="18"/>
              </w:rPr>
              <w:t> </w:t>
            </w:r>
          </w:p>
        </w:tc>
        <w:tc>
          <w:tcPr>
            <w:tcW w:w="1476" w:type="dxa"/>
            <w:tcBorders>
              <w:top w:val="nil"/>
              <w:left w:val="nil"/>
              <w:bottom w:val="single" w:sz="4" w:space="0" w:color="auto"/>
              <w:right w:val="nil"/>
            </w:tcBorders>
            <w:shd w:val="clear" w:color="000000" w:fill="D9D9D9"/>
            <w:vAlign w:val="bottom"/>
            <w:hideMark/>
          </w:tcPr>
          <w:p w:rsidR="00B26C61" w:rsidRDefault="00B26C61" w:rsidP="00EA3146">
            <w:pPr>
              <w:jc w:val="center"/>
              <w:rPr>
                <w:rFonts w:cs="Calibri"/>
                <w:b/>
                <w:bCs/>
                <w:szCs w:val="18"/>
              </w:rPr>
            </w:pPr>
            <w:r>
              <w:rPr>
                <w:rFonts w:cs="Calibri"/>
                <w:b/>
                <w:bCs/>
                <w:szCs w:val="18"/>
              </w:rPr>
              <w:t> </w:t>
            </w:r>
          </w:p>
        </w:tc>
      </w:tr>
      <w:tr w:rsidR="00B26C61" w:rsidTr="00EA3146">
        <w:trPr>
          <w:trHeight w:val="255"/>
        </w:trPr>
        <w:tc>
          <w:tcPr>
            <w:tcW w:w="3796" w:type="dxa"/>
            <w:tcBorders>
              <w:top w:val="nil"/>
              <w:left w:val="nil"/>
              <w:bottom w:val="nil"/>
              <w:right w:val="nil"/>
            </w:tcBorders>
            <w:shd w:val="clear" w:color="000000" w:fill="D9D9D9"/>
            <w:vAlign w:val="bottom"/>
            <w:hideMark/>
          </w:tcPr>
          <w:p w:rsidR="00B26C61" w:rsidRDefault="00B26C61" w:rsidP="00B26C61">
            <w:pPr>
              <w:ind w:firstLineChars="200" w:firstLine="360"/>
              <w:rPr>
                <w:rFonts w:cs="Calibri"/>
                <w:szCs w:val="18"/>
              </w:rPr>
            </w:pPr>
            <w:r>
              <w:rPr>
                <w:rFonts w:cs="Calibri"/>
                <w:szCs w:val="18"/>
              </w:rPr>
              <w:t>Outcome 1</w:t>
            </w:r>
          </w:p>
        </w:tc>
        <w:tc>
          <w:tcPr>
            <w:tcW w:w="147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0.00</w:t>
            </w:r>
          </w:p>
        </w:tc>
        <w:tc>
          <w:tcPr>
            <w:tcW w:w="147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0.00</w:t>
            </w:r>
          </w:p>
        </w:tc>
        <w:tc>
          <w:tcPr>
            <w:tcW w:w="147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0.00</w:t>
            </w:r>
          </w:p>
        </w:tc>
        <w:tc>
          <w:tcPr>
            <w:tcW w:w="147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2,141,000.00</w:t>
            </w:r>
          </w:p>
        </w:tc>
        <w:tc>
          <w:tcPr>
            <w:tcW w:w="1476" w:type="dxa"/>
            <w:tcBorders>
              <w:top w:val="nil"/>
              <w:left w:val="nil"/>
              <w:bottom w:val="nil"/>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2,141,000.00 </w:t>
            </w:r>
          </w:p>
        </w:tc>
      </w:tr>
      <w:tr w:rsidR="00B26C61" w:rsidTr="00EA3146">
        <w:trPr>
          <w:trHeight w:val="255"/>
        </w:trPr>
        <w:tc>
          <w:tcPr>
            <w:tcW w:w="3796" w:type="dxa"/>
            <w:tcBorders>
              <w:top w:val="nil"/>
              <w:left w:val="nil"/>
              <w:bottom w:val="single" w:sz="4" w:space="0" w:color="auto"/>
              <w:right w:val="nil"/>
            </w:tcBorders>
            <w:shd w:val="clear" w:color="000000" w:fill="D9D9D9"/>
            <w:vAlign w:val="bottom"/>
            <w:hideMark/>
          </w:tcPr>
          <w:p w:rsidR="00B26C61" w:rsidRDefault="00B26C61" w:rsidP="00B26C61">
            <w:pPr>
              <w:ind w:firstLineChars="200" w:firstLine="360"/>
              <w:rPr>
                <w:rFonts w:cs="Calibri"/>
                <w:szCs w:val="18"/>
              </w:rPr>
            </w:pPr>
            <w:r>
              <w:rPr>
                <w:rFonts w:cs="Calibri"/>
                <w:szCs w:val="18"/>
              </w:rPr>
              <w:t>Outcome 2</w:t>
            </w:r>
          </w:p>
        </w:tc>
        <w:tc>
          <w:tcPr>
            <w:tcW w:w="147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0.00</w:t>
            </w:r>
          </w:p>
        </w:tc>
        <w:tc>
          <w:tcPr>
            <w:tcW w:w="147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80,000.00</w:t>
            </w:r>
          </w:p>
        </w:tc>
        <w:tc>
          <w:tcPr>
            <w:tcW w:w="147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80,000.00 </w:t>
            </w:r>
          </w:p>
        </w:tc>
        <w:tc>
          <w:tcPr>
            <w:tcW w:w="147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826,000.00</w:t>
            </w:r>
          </w:p>
        </w:tc>
        <w:tc>
          <w:tcPr>
            <w:tcW w:w="147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746,000.00 </w:t>
            </w:r>
          </w:p>
        </w:tc>
      </w:tr>
    </w:tbl>
    <w:p w:rsidR="00B26C61" w:rsidRDefault="00B26C61" w:rsidP="00B26C61">
      <w:pPr>
        <w:pStyle w:val="ReferenceText"/>
      </w:pPr>
    </w:p>
    <w:p w:rsidR="00B26C61" w:rsidRDefault="00B26C61" w:rsidP="00B26C61">
      <w:pPr>
        <w:pStyle w:val="ReferenceText"/>
      </w:pPr>
    </w:p>
    <w:p w:rsidR="00B26C61" w:rsidRDefault="00B26C61" w:rsidP="00B26C61">
      <w:pPr>
        <w:pStyle w:val="ReferenceText"/>
      </w:pPr>
      <w:r>
        <w:t>Notes:</w:t>
      </w:r>
    </w:p>
    <w:p w:rsidR="00B26C61" w:rsidRDefault="00B26C61" w:rsidP="00B26C61">
      <w:pPr>
        <w:pStyle w:val="ReferenceText"/>
      </w:pPr>
      <w:r>
        <w:t>1. Numbers in this section are disclosed to the cent.</w:t>
      </w:r>
    </w:p>
    <w:p w:rsidR="00B26C61" w:rsidRDefault="00B26C61" w:rsidP="00B26C61">
      <w:pPr>
        <w:pStyle w:val="ReferenceText"/>
      </w:pPr>
      <w:r>
        <w:t>2. Administered items for 2014 were reduced to these amounts when these financial statements were tabled in Parliament as part of the department’s 2014 annual report. This reduction is effective in 2015, but the amounts are reflected in Table A in the 2014 financial statements in the column 'Appropriations reduced' as they are adjustments to 2014</w:t>
      </w:r>
      <w:r>
        <w:rPr>
          <w:szCs w:val="16"/>
        </w:rPr>
        <w:t xml:space="preserve"> </w:t>
      </w:r>
      <w:r>
        <w:t>appropriations.</w:t>
      </w:r>
    </w:p>
    <w:p w:rsidR="00B26C61" w:rsidRDefault="00B26C61" w:rsidP="00B26C61">
      <w:pPr>
        <w:pStyle w:val="ReferenceText"/>
      </w:pPr>
      <w:r>
        <w:t>3. Amount required as per Appropriation Act (Act 1 s. 11; Act 2 s. 12).</w:t>
      </w:r>
    </w:p>
    <w:p w:rsidR="00B26C61" w:rsidRDefault="00B26C61" w:rsidP="00B26C61">
      <w:pPr>
        <w:pStyle w:val="ReferenceText"/>
      </w:pPr>
      <w:r>
        <w:t>4. Total amount appropriated in 2014.</w:t>
      </w:r>
    </w:p>
    <w:p w:rsidR="00B26C61" w:rsidRDefault="00B26C61" w:rsidP="00B26C61">
      <w:pPr>
        <w:pStyle w:val="ReferenceText"/>
      </w:pPr>
      <w:r>
        <w:t>5. Total reduction effective in 2015.</w:t>
      </w:r>
    </w:p>
    <w:p w:rsidR="00B26C61" w:rsidRDefault="00B26C61" w:rsidP="00B26C61">
      <w:pPr>
        <w:spacing w:line="240" w:lineRule="auto"/>
        <w:sectPr w:rsidR="00B26C61">
          <w:pgSz w:w="16838" w:h="11906" w:orient="landscape"/>
          <w:pgMar w:top="1134" w:right="1134" w:bottom="1134" w:left="1134" w:header="958" w:footer="737" w:gutter="0"/>
          <w:cols w:space="720"/>
        </w:sectPr>
      </w:pPr>
    </w:p>
    <w:p w:rsidR="00B26C61" w:rsidRDefault="00B26C61" w:rsidP="00B26C61">
      <w:pPr>
        <w:pStyle w:val="NotesHeading-Level1"/>
        <w:numPr>
          <w:ilvl w:val="0"/>
          <w:numId w:val="31"/>
        </w:numPr>
      </w:pPr>
      <w:bookmarkStart w:id="463" w:name="RANGE!D19:J22"/>
      <w:bookmarkStart w:id="464" w:name="RANGE!D17:J20"/>
      <w:bookmarkStart w:id="465" w:name="RANGE!D17:J19"/>
      <w:bookmarkStart w:id="466" w:name="RANGE!D18:J20"/>
      <w:bookmarkStart w:id="467" w:name="RANGE!D36:J38"/>
      <w:bookmarkStart w:id="468" w:name="_Toc398813170"/>
      <w:bookmarkEnd w:id="463"/>
      <w:bookmarkEnd w:id="464"/>
      <w:bookmarkEnd w:id="465"/>
      <w:bookmarkEnd w:id="466"/>
      <w:bookmarkEnd w:id="467"/>
      <w:r>
        <w:lastRenderedPageBreak/>
        <w:t>Compliance with Statutory Conditions for Payments from the Consolidated Revenue Fund</w:t>
      </w:r>
      <w:bookmarkEnd w:id="468"/>
    </w:p>
    <w:p w:rsidR="00B26C61" w:rsidRDefault="00B26C61" w:rsidP="00B26C61">
      <w:pPr>
        <w:pStyle w:val="NotesHeading-Level1"/>
        <w:numPr>
          <w:ilvl w:val="0"/>
          <w:numId w:val="0"/>
        </w:numPr>
        <w:ind w:left="1134"/>
      </w:pPr>
    </w:p>
    <w:p w:rsidR="00B26C61" w:rsidRDefault="00B26C61" w:rsidP="00B26C61">
      <w:pPr>
        <w:spacing w:line="240" w:lineRule="auto"/>
      </w:pPr>
      <w:r>
        <w:t>Section 83 of the Constitution provides that no amount may be paid out of the Consolidated Revenue Fund except under an appropriation made by law. The Department of Finance (Finance) has issued a guidance paper on how Commonwealth Agencies were to address concerns about the potential for breaches of section 83 to occur.  These requirements arose because Finance had become aware that there was an increased risk for all agencies of non-compliance with section 83 where payments are made from special appropriations that do not accord with conditions in the relevant legislation.</w:t>
      </w:r>
    </w:p>
    <w:p w:rsidR="00B26C61" w:rsidRDefault="00B26C61" w:rsidP="00B26C61">
      <w:pPr>
        <w:spacing w:line="240" w:lineRule="auto"/>
      </w:pPr>
    </w:p>
    <w:p w:rsidR="00B26C61" w:rsidRDefault="00B26C61" w:rsidP="00B26C61">
      <w:pPr>
        <w:spacing w:line="240" w:lineRule="auto"/>
      </w:pPr>
      <w:r>
        <w:t xml:space="preserve">During 2013-14 the department established a plan (based on the previous </w:t>
      </w:r>
      <w:proofErr w:type="spellStart"/>
      <w:r>
        <w:t>DEEWR</w:t>
      </w:r>
      <w:proofErr w:type="spellEnd"/>
      <w:r>
        <w:t xml:space="preserve"> plan) to review exposure to risks of not complying with statutory conditions on payments from appropriations.  The requirements of the updated plan included:</w:t>
      </w:r>
    </w:p>
    <w:p w:rsidR="00B26C61" w:rsidRDefault="00B26C61" w:rsidP="00B26C61">
      <w:pPr>
        <w:pStyle w:val="ListParagraph"/>
        <w:numPr>
          <w:ilvl w:val="0"/>
          <w:numId w:val="35"/>
        </w:numPr>
        <w:spacing w:line="240" w:lineRule="auto"/>
      </w:pPr>
      <w:r>
        <w:t>identifying statutory conditions in any new special appropriations and special accounts, particularly those acquired under Machinery of Government changes;</w:t>
      </w:r>
    </w:p>
    <w:p w:rsidR="00B26C61" w:rsidRDefault="00B26C61" w:rsidP="00B26C61">
      <w:pPr>
        <w:pStyle w:val="ListParagraph"/>
        <w:numPr>
          <w:ilvl w:val="0"/>
          <w:numId w:val="35"/>
        </w:numPr>
        <w:spacing w:line="240" w:lineRule="auto"/>
      </w:pPr>
      <w:r>
        <w:t>identifying any changes to statutory conditions in existing special appropriations and special accounts;</w:t>
      </w:r>
    </w:p>
    <w:p w:rsidR="00B26C61" w:rsidRDefault="00B26C61" w:rsidP="00B26C61">
      <w:pPr>
        <w:pStyle w:val="ListParagraph"/>
        <w:numPr>
          <w:ilvl w:val="0"/>
          <w:numId w:val="35"/>
        </w:numPr>
        <w:spacing w:line="240" w:lineRule="auto"/>
      </w:pPr>
      <w:r>
        <w:t xml:space="preserve">reviewing legislation associated with an annual appropriation funded programme to identify statutory conditions on payments; </w:t>
      </w:r>
    </w:p>
    <w:p w:rsidR="00B26C61" w:rsidRDefault="00B26C61" w:rsidP="00B26C61">
      <w:pPr>
        <w:pStyle w:val="ListParagraph"/>
        <w:numPr>
          <w:ilvl w:val="0"/>
          <w:numId w:val="35"/>
        </w:numPr>
        <w:spacing w:line="240" w:lineRule="auto"/>
      </w:pPr>
      <w:r>
        <w:t>determining the risk of non-compliance by assessing the difficulty of administering the statutory conditions and assessing the extent to which payment systems and processes satisfy those conditions;</w:t>
      </w:r>
    </w:p>
    <w:p w:rsidR="00B26C61" w:rsidRDefault="00B26C61" w:rsidP="00B26C61">
      <w:pPr>
        <w:pStyle w:val="ListParagraph"/>
        <w:numPr>
          <w:ilvl w:val="0"/>
          <w:numId w:val="35"/>
        </w:numPr>
        <w:spacing w:line="240" w:lineRule="auto"/>
      </w:pPr>
      <w:r>
        <w:t>determining procedures to confirm risk assessments in medium risk cases and to quantify the extent of non-compliance, if any, in higher risk situations;</w:t>
      </w:r>
    </w:p>
    <w:p w:rsidR="00B26C61" w:rsidRDefault="00B26C61" w:rsidP="00B26C61">
      <w:pPr>
        <w:pStyle w:val="ListParagraph"/>
        <w:numPr>
          <w:ilvl w:val="0"/>
          <w:numId w:val="35"/>
        </w:numPr>
        <w:spacing w:line="240" w:lineRule="auto"/>
      </w:pPr>
      <w:r>
        <w:t>obtaining legal advice, as appropriate, to resolve questions of potential non-compliance; and</w:t>
      </w:r>
    </w:p>
    <w:p w:rsidR="00B26C61" w:rsidRDefault="00B26C61" w:rsidP="00B26C61">
      <w:pPr>
        <w:pStyle w:val="ListParagraph"/>
        <w:numPr>
          <w:ilvl w:val="0"/>
          <w:numId w:val="35"/>
        </w:numPr>
        <w:spacing w:line="240" w:lineRule="auto"/>
      </w:pPr>
      <w:proofErr w:type="gramStart"/>
      <w:r>
        <w:t>considering</w:t>
      </w:r>
      <w:proofErr w:type="gramEnd"/>
      <w:r>
        <w:t xml:space="preserve"> legislative or procedural changes to reduce the risk of non-compliance in the future to an acceptably low level.</w:t>
      </w:r>
    </w:p>
    <w:p w:rsidR="00B26C61" w:rsidRDefault="00B26C61" w:rsidP="00B26C61">
      <w:pPr>
        <w:spacing w:line="240" w:lineRule="auto"/>
        <w:ind w:left="360"/>
      </w:pPr>
    </w:p>
    <w:p w:rsidR="00B26C61" w:rsidRDefault="00B26C61" w:rsidP="00B26C61">
      <w:pPr>
        <w:spacing w:line="240" w:lineRule="auto"/>
      </w:pPr>
      <w:r>
        <w:t>The department identified 4 special appropriations involving statutory conditions for payment.  The department had no annual appropriations with statutory conditions for payment.</w:t>
      </w:r>
    </w:p>
    <w:p w:rsidR="00B26C61" w:rsidRDefault="00B26C61" w:rsidP="00B26C61">
      <w:pPr>
        <w:pStyle w:val="ListParagraph"/>
        <w:spacing w:line="240" w:lineRule="auto"/>
      </w:pPr>
    </w:p>
    <w:p w:rsidR="00B26C61" w:rsidRDefault="00B26C61" w:rsidP="00B26C61">
      <w:pPr>
        <w:spacing w:line="240" w:lineRule="auto"/>
      </w:pPr>
      <w:r w:rsidRPr="00EA00D7">
        <w:t>There were no instances of over payments for the Department of Employment in 2013-14.</w:t>
      </w:r>
    </w:p>
    <w:p w:rsidR="00B26C61" w:rsidRDefault="00B26C61" w:rsidP="00B26C61">
      <w:pPr>
        <w:spacing w:line="240" w:lineRule="auto"/>
      </w:pPr>
    </w:p>
    <w:p w:rsidR="00B26C61" w:rsidRDefault="00B26C61" w:rsidP="00B26C61">
      <w:pPr>
        <w:spacing w:line="240" w:lineRule="auto"/>
        <w:rPr>
          <w:rFonts w:asciiTheme="minorHAnsi" w:hAnsiTheme="minorHAnsi"/>
          <w:b/>
          <w:sz w:val="20"/>
        </w:rPr>
      </w:pPr>
      <w:r>
        <w:t>The department will continue to monitor its level of compliance with section 83 of the Constitution across all legislation for which it is administratively responsible.</w:t>
      </w:r>
      <w:r>
        <w:br w:type="page"/>
      </w:r>
    </w:p>
    <w:p w:rsidR="00B26C61" w:rsidRDefault="00B26C61" w:rsidP="00B26C61">
      <w:pPr>
        <w:pStyle w:val="NotesHeading-Level1"/>
        <w:numPr>
          <w:ilvl w:val="0"/>
          <w:numId w:val="31"/>
        </w:numPr>
      </w:pPr>
      <w:bookmarkStart w:id="469" w:name="_Toc398813171"/>
      <w:r>
        <w:lastRenderedPageBreak/>
        <w:t>Compensation and Debt Relief</w:t>
      </w:r>
      <w:bookmarkEnd w:id="469"/>
    </w:p>
    <w:tbl>
      <w:tblPr>
        <w:tblW w:w="9087" w:type="dxa"/>
        <w:tblInd w:w="80" w:type="dxa"/>
        <w:tblLayout w:type="fixed"/>
        <w:tblLook w:val="04A0" w:firstRow="1" w:lastRow="0" w:firstColumn="1" w:lastColumn="0" w:noHBand="0" w:noVBand="1"/>
      </w:tblPr>
      <w:tblGrid>
        <w:gridCol w:w="7879"/>
        <w:gridCol w:w="1208"/>
      </w:tblGrid>
      <w:tr w:rsidR="00B26C61" w:rsidTr="00EA3146">
        <w:trPr>
          <w:trHeight w:val="255"/>
        </w:trPr>
        <w:tc>
          <w:tcPr>
            <w:tcW w:w="67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bookmarkStart w:id="470" w:name="Note_CDRTABLE1" w:colFirst="0" w:colLast="0"/>
            <w:r>
              <w:rPr>
                <w:rFonts w:cs="Calibri"/>
                <w:szCs w:val="18"/>
              </w:rPr>
              <w:t> </w:t>
            </w:r>
          </w:p>
        </w:tc>
        <w:tc>
          <w:tcPr>
            <w:tcW w:w="103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bookmarkEnd w:id="470"/>
      <w:tr w:rsidR="00B26C61" w:rsidTr="00EA3146">
        <w:trPr>
          <w:trHeight w:val="255"/>
        </w:trPr>
        <w:tc>
          <w:tcPr>
            <w:tcW w:w="675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c>
          <w:tcPr>
            <w:tcW w:w="103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w:t>
            </w:r>
          </w:p>
        </w:tc>
      </w:tr>
      <w:tr w:rsidR="00B26C61" w:rsidTr="00EA3146">
        <w:trPr>
          <w:trHeight w:val="255"/>
        </w:trPr>
        <w:tc>
          <w:tcPr>
            <w:tcW w:w="6756" w:type="dxa"/>
            <w:tcBorders>
              <w:top w:val="nil"/>
              <w:left w:val="nil"/>
              <w:bottom w:val="nil"/>
              <w:right w:val="nil"/>
            </w:tcBorders>
            <w:shd w:val="clear" w:color="FFFFFF" w:fill="FFFFFF"/>
            <w:vAlign w:val="bottom"/>
            <w:hideMark/>
          </w:tcPr>
          <w:p w:rsidR="00B26C61" w:rsidRDefault="00B26C61" w:rsidP="00EA3146">
            <w:pPr>
              <w:rPr>
                <w:rFonts w:cs="Calibri"/>
                <w:b/>
                <w:bCs/>
                <w:szCs w:val="18"/>
              </w:rPr>
            </w:pPr>
            <w:r>
              <w:rPr>
                <w:rFonts w:cs="Calibri"/>
                <w:b/>
                <w:bCs/>
                <w:szCs w:val="18"/>
              </w:rPr>
              <w:t>Departmental</w:t>
            </w:r>
          </w:p>
        </w:tc>
        <w:tc>
          <w:tcPr>
            <w:tcW w:w="103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756" w:type="dxa"/>
            <w:tcBorders>
              <w:top w:val="nil"/>
              <w:left w:val="nil"/>
              <w:bottom w:val="nil"/>
              <w:right w:val="nil"/>
            </w:tcBorders>
            <w:shd w:val="clear" w:color="FFFFFF" w:fill="FFFFFF"/>
            <w:vAlign w:val="bottom"/>
            <w:hideMark/>
          </w:tcPr>
          <w:p w:rsidR="00B26C61" w:rsidRDefault="00B26C61" w:rsidP="00EA3146">
            <w:pPr>
              <w:rPr>
                <w:rFonts w:cs="Calibri"/>
                <w:szCs w:val="18"/>
              </w:rPr>
            </w:pPr>
            <w:proofErr w:type="gramStart"/>
            <w:r>
              <w:rPr>
                <w:rFonts w:cs="Calibri"/>
                <w:szCs w:val="18"/>
              </w:rPr>
              <w:t>No  ‘Act</w:t>
            </w:r>
            <w:proofErr w:type="gramEnd"/>
            <w:r>
              <w:rPr>
                <w:rFonts w:cs="Calibri"/>
                <w:szCs w:val="18"/>
              </w:rPr>
              <w:t xml:space="preserve"> of Grace’ payments were expensed during the reporting period. </w:t>
            </w:r>
          </w:p>
        </w:tc>
        <w:tc>
          <w:tcPr>
            <w:tcW w:w="103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7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03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720"/>
        </w:trPr>
        <w:tc>
          <w:tcPr>
            <w:tcW w:w="675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xml:space="preserve">One waiver of amounts owing to the Australian Government </w:t>
            </w:r>
            <w:proofErr w:type="gramStart"/>
            <w:r>
              <w:rPr>
                <w:rFonts w:cs="Calibri"/>
                <w:szCs w:val="18"/>
              </w:rPr>
              <w:t>were</w:t>
            </w:r>
            <w:proofErr w:type="gramEnd"/>
            <w:r>
              <w:rPr>
                <w:rFonts w:cs="Calibri"/>
                <w:szCs w:val="18"/>
              </w:rPr>
              <w:t xml:space="preserve"> made pursuant to subsection 34(1) of the</w:t>
            </w:r>
            <w:r>
              <w:rPr>
                <w:rFonts w:cs="Calibri"/>
                <w:i/>
                <w:iCs/>
                <w:szCs w:val="18"/>
              </w:rPr>
              <w:t xml:space="preserve"> Financial Management and Accountability Act 1997</w:t>
            </w:r>
            <w:r>
              <w:rPr>
                <w:rFonts w:cs="Calibri"/>
                <w:szCs w:val="18"/>
              </w:rPr>
              <w:t xml:space="preserve">. </w:t>
            </w:r>
          </w:p>
        </w:tc>
        <w:tc>
          <w:tcPr>
            <w:tcW w:w="103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12,495 </w:t>
            </w:r>
          </w:p>
        </w:tc>
      </w:tr>
      <w:tr w:rsidR="00B26C61" w:rsidTr="00EA3146">
        <w:trPr>
          <w:trHeight w:val="255"/>
        </w:trPr>
        <w:tc>
          <w:tcPr>
            <w:tcW w:w="67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03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255"/>
        </w:trPr>
        <w:tc>
          <w:tcPr>
            <w:tcW w:w="675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xml:space="preserve">No ex-gratia payments were provided for during the period. </w:t>
            </w:r>
          </w:p>
        </w:tc>
        <w:tc>
          <w:tcPr>
            <w:tcW w:w="103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7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03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480"/>
        </w:trPr>
        <w:tc>
          <w:tcPr>
            <w:tcW w:w="675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No payments were provided under the Compensation for Detriment caused by Defective Administration scheme during the reporting period.</w:t>
            </w:r>
          </w:p>
        </w:tc>
        <w:tc>
          <w:tcPr>
            <w:tcW w:w="103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75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03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rPr>
            </w:pPr>
            <w:r>
              <w:rPr>
                <w:rFonts w:cs="Calibri"/>
                <w:b/>
                <w:bCs/>
                <w:szCs w:val="18"/>
              </w:rPr>
              <w:t> </w:t>
            </w:r>
          </w:p>
        </w:tc>
      </w:tr>
      <w:tr w:rsidR="00B26C61" w:rsidTr="00EA3146">
        <w:trPr>
          <w:trHeight w:val="720"/>
        </w:trPr>
        <w:tc>
          <w:tcPr>
            <w:tcW w:w="675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 xml:space="preserve">No payments were provided in special circumstances relating to APS employment pursuant to section 73 of the </w:t>
            </w:r>
            <w:r>
              <w:rPr>
                <w:rFonts w:cs="Calibri"/>
                <w:i/>
                <w:iCs/>
                <w:szCs w:val="18"/>
              </w:rPr>
              <w:t>Public Service Act 1999</w:t>
            </w:r>
            <w:r>
              <w:rPr>
                <w:rFonts w:cs="Calibri"/>
                <w:szCs w:val="18"/>
              </w:rPr>
              <w:t xml:space="preserve"> during the reporting period.</w:t>
            </w:r>
          </w:p>
        </w:tc>
        <w:tc>
          <w:tcPr>
            <w:tcW w:w="1036" w:type="dxa"/>
            <w:tcBorders>
              <w:top w:val="nil"/>
              <w:left w:val="nil"/>
              <w:bottom w:val="single" w:sz="4"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r>
    </w:tbl>
    <w:p w:rsidR="00B26C61" w:rsidRDefault="00B26C61" w:rsidP="00B26C61"/>
    <w:p w:rsidR="00B26C61" w:rsidRDefault="00B26C61" w:rsidP="00B26C61"/>
    <w:tbl>
      <w:tblPr>
        <w:tblW w:w="9087" w:type="dxa"/>
        <w:tblInd w:w="80" w:type="dxa"/>
        <w:tblLayout w:type="fixed"/>
        <w:tblLook w:val="04A0" w:firstRow="1" w:lastRow="0" w:firstColumn="1" w:lastColumn="0" w:noHBand="0" w:noVBand="1"/>
      </w:tblPr>
      <w:tblGrid>
        <w:gridCol w:w="7595"/>
        <w:gridCol w:w="1492"/>
      </w:tblGrid>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bookmarkStart w:id="471" w:name="Note_ADRTABLE1" w:colFirst="0" w:colLast="0"/>
            <w:r>
              <w:rPr>
                <w:rFonts w:cs="Calibri"/>
                <w:b/>
                <w:bCs/>
                <w:szCs w:val="18"/>
              </w:rPr>
              <w:t>Administered</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2014</w:t>
            </w:r>
          </w:p>
        </w:tc>
      </w:tr>
      <w:bookmarkEnd w:id="471"/>
      <w:tr w:rsidR="00B26C61" w:rsidTr="00EA3146">
        <w:trPr>
          <w:trHeight w:val="255"/>
        </w:trPr>
        <w:tc>
          <w:tcPr>
            <w:tcW w:w="6396" w:type="dxa"/>
            <w:tcBorders>
              <w:top w:val="nil"/>
              <w:left w:val="nil"/>
              <w:bottom w:val="single" w:sz="4" w:space="0" w:color="D9D9D9"/>
              <w:right w:val="nil"/>
            </w:tcBorders>
            <w:shd w:val="clear" w:color="000000" w:fill="D9D9D9"/>
            <w:noWrap/>
            <w:vAlign w:val="bottom"/>
            <w:hideMark/>
          </w:tcPr>
          <w:p w:rsidR="00B26C61" w:rsidRDefault="00B26C61" w:rsidP="00EA3146">
            <w:pPr>
              <w:rPr>
                <w:rFonts w:cs="Calibri"/>
                <w:b/>
                <w:bCs/>
                <w:szCs w:val="18"/>
              </w:rPr>
            </w:pPr>
            <w:r>
              <w:rPr>
                <w:rFonts w:cs="Calibri"/>
                <w:b/>
                <w:bCs/>
                <w:szCs w:val="18"/>
              </w:rPr>
              <w:t> </w:t>
            </w:r>
          </w:p>
        </w:tc>
        <w:tc>
          <w:tcPr>
            <w:tcW w:w="1256" w:type="dxa"/>
            <w:tcBorders>
              <w:top w:val="nil"/>
              <w:left w:val="nil"/>
              <w:bottom w:val="single" w:sz="4" w:space="0" w:color="D9D9D9"/>
              <w:right w:val="nil"/>
            </w:tcBorders>
            <w:shd w:val="clear" w:color="000000" w:fill="D9D9D9"/>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No ‘Act of Grace’ payments were expensed during the reporting period.</w:t>
            </w:r>
          </w:p>
        </w:tc>
        <w:tc>
          <w:tcPr>
            <w:tcW w:w="125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720"/>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 xml:space="preserve">No waivers of amounts owing to the Australian Government were made pursuant to subsection 34(1) of the </w:t>
            </w:r>
            <w:r>
              <w:rPr>
                <w:rFonts w:cs="Calibri"/>
                <w:i/>
                <w:iCs/>
                <w:szCs w:val="18"/>
              </w:rPr>
              <w:t>Financial Management and Accountability Act 1997</w:t>
            </w:r>
            <w:r>
              <w:rPr>
                <w:rFonts w:cs="Calibri"/>
                <w:szCs w:val="18"/>
              </w:rPr>
              <w:t xml:space="preserve">.  </w:t>
            </w:r>
          </w:p>
        </w:tc>
        <w:tc>
          <w:tcPr>
            <w:tcW w:w="125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 xml:space="preserve">No ex-gratia payments were provided for during the reporting period. </w:t>
            </w:r>
          </w:p>
        </w:tc>
        <w:tc>
          <w:tcPr>
            <w:tcW w:w="125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720"/>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 xml:space="preserve">No payments were provided under the Compensation for Detriment caused by Defective Administration Scheme during the reporting period. </w:t>
            </w:r>
          </w:p>
        </w:tc>
        <w:tc>
          <w:tcPr>
            <w:tcW w:w="125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55"/>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 </w:t>
            </w:r>
          </w:p>
        </w:tc>
        <w:tc>
          <w:tcPr>
            <w:tcW w:w="1256" w:type="dxa"/>
            <w:tcBorders>
              <w:top w:val="nil"/>
              <w:left w:val="nil"/>
              <w:bottom w:val="single" w:sz="4" w:space="0" w:color="D9D9D9"/>
              <w:right w:val="nil"/>
            </w:tcBorders>
            <w:shd w:val="clear" w:color="000000" w:fill="D9D9D9"/>
            <w:noWrap/>
            <w:vAlign w:val="bottom"/>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720"/>
        </w:trPr>
        <w:tc>
          <w:tcPr>
            <w:tcW w:w="6396" w:type="dxa"/>
            <w:tcBorders>
              <w:top w:val="nil"/>
              <w:left w:val="nil"/>
              <w:bottom w:val="single" w:sz="4" w:space="0" w:color="D9D9D9"/>
              <w:right w:val="nil"/>
            </w:tcBorders>
            <w:shd w:val="clear" w:color="000000" w:fill="D9D9D9"/>
            <w:vAlign w:val="bottom"/>
            <w:hideMark/>
          </w:tcPr>
          <w:p w:rsidR="00B26C61" w:rsidRDefault="00B26C61" w:rsidP="00EA3146">
            <w:pPr>
              <w:rPr>
                <w:rFonts w:cs="Calibri"/>
                <w:szCs w:val="18"/>
              </w:rPr>
            </w:pPr>
            <w:r>
              <w:rPr>
                <w:rFonts w:cs="Calibri"/>
                <w:szCs w:val="18"/>
              </w:rPr>
              <w:t xml:space="preserve">No payments were provided in special circumstances relating to APS employment pursuant to section 73 of the </w:t>
            </w:r>
            <w:r>
              <w:rPr>
                <w:rFonts w:cs="Calibri"/>
                <w:i/>
                <w:iCs/>
                <w:szCs w:val="18"/>
              </w:rPr>
              <w:t>Public Service Act 1999</w:t>
            </w:r>
            <w:r>
              <w:rPr>
                <w:rFonts w:cs="Calibri"/>
                <w:szCs w:val="18"/>
              </w:rPr>
              <w:t xml:space="preserve"> during the reporting period. </w:t>
            </w:r>
          </w:p>
        </w:tc>
        <w:tc>
          <w:tcPr>
            <w:tcW w:w="1256" w:type="dxa"/>
            <w:tcBorders>
              <w:top w:val="nil"/>
              <w:left w:val="nil"/>
              <w:bottom w:val="single" w:sz="4" w:space="0" w:color="auto"/>
              <w:right w:val="nil"/>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r>
    </w:tbl>
    <w:p w:rsidR="00B26C61" w:rsidRDefault="00B26C61" w:rsidP="00B26C61">
      <w:pPr>
        <w:spacing w:line="240" w:lineRule="auto"/>
        <w:sectPr w:rsidR="00B26C61">
          <w:pgSz w:w="11906" w:h="16838"/>
          <w:pgMar w:top="1134" w:right="1134" w:bottom="1134" w:left="1134" w:header="958" w:footer="737" w:gutter="0"/>
          <w:cols w:space="720"/>
        </w:sectPr>
      </w:pPr>
    </w:p>
    <w:p w:rsidR="00B26C61" w:rsidRPr="00EF7935" w:rsidRDefault="00B26C61" w:rsidP="00B26C61">
      <w:pPr>
        <w:pStyle w:val="NotesHeading-Level1"/>
        <w:numPr>
          <w:ilvl w:val="0"/>
          <w:numId w:val="31"/>
        </w:numPr>
      </w:pPr>
      <w:bookmarkStart w:id="472" w:name="RANGE!D7:G29"/>
      <w:bookmarkStart w:id="473" w:name="_Toc398813172"/>
      <w:bookmarkEnd w:id="472"/>
      <w:r w:rsidRPr="00EF7935">
        <w:lastRenderedPageBreak/>
        <w:t>Reporting of Outcomes</w:t>
      </w:r>
      <w:bookmarkEnd w:id="473"/>
    </w:p>
    <w:p w:rsidR="00B26C61" w:rsidRDefault="00B26C61" w:rsidP="00B26C61">
      <w:pPr>
        <w:pStyle w:val="NotesText0"/>
      </w:pPr>
      <w:r>
        <w:t xml:space="preserve">The department has two outcomes and details of each outcome are provided in the front of the 2013-14 Annual Report.  The department uses a cost allocation model to determine the attribution of its shared items.     </w:t>
      </w:r>
    </w:p>
    <w:tbl>
      <w:tblPr>
        <w:tblW w:w="13991" w:type="dxa"/>
        <w:tblInd w:w="80" w:type="dxa"/>
        <w:tblLayout w:type="fixed"/>
        <w:tblLook w:val="04A0" w:firstRow="1" w:lastRow="0" w:firstColumn="1" w:lastColumn="0" w:noHBand="0" w:noVBand="1"/>
      </w:tblPr>
      <w:tblGrid>
        <w:gridCol w:w="5990"/>
        <w:gridCol w:w="1601"/>
        <w:gridCol w:w="1600"/>
        <w:gridCol w:w="1600"/>
        <w:gridCol w:w="1600"/>
        <w:gridCol w:w="1600"/>
      </w:tblGrid>
      <w:tr w:rsidR="00B26C61" w:rsidTr="00EA3146">
        <w:trPr>
          <w:trHeight w:val="255"/>
        </w:trPr>
        <w:tc>
          <w:tcPr>
            <w:tcW w:w="4476" w:type="dxa"/>
            <w:tcBorders>
              <w:top w:val="nil"/>
              <w:left w:val="nil"/>
              <w:bottom w:val="nil"/>
              <w:right w:val="nil"/>
            </w:tcBorders>
            <w:shd w:val="clear" w:color="FFFFFF" w:fill="FFFFFF"/>
            <w:noWrap/>
            <w:vAlign w:val="bottom"/>
            <w:hideMark/>
          </w:tcPr>
          <w:p w:rsidR="00B26C61" w:rsidRDefault="00B26C61" w:rsidP="00EA3146">
            <w:pPr>
              <w:rPr>
                <w:rFonts w:cs="Calibri"/>
                <w:b/>
                <w:bCs/>
                <w:szCs w:val="18"/>
                <w:u w:val="single"/>
              </w:rPr>
            </w:pPr>
            <w:bookmarkStart w:id="474" w:name="RANGE!D7:D29"/>
            <w:bookmarkStart w:id="475" w:name="Note_ROOTABLE1" w:colFirst="0" w:colLast="0"/>
            <w:r>
              <w:rPr>
                <w:rFonts w:cs="Calibri"/>
                <w:b/>
                <w:bCs/>
                <w:szCs w:val="18"/>
                <w:u w:val="single"/>
              </w:rPr>
              <w:t xml:space="preserve">Note </w:t>
            </w:r>
            <w:proofErr w:type="spellStart"/>
            <w:r>
              <w:rPr>
                <w:rFonts w:cs="Calibri"/>
                <w:b/>
                <w:bCs/>
                <w:szCs w:val="18"/>
                <w:u w:val="single"/>
              </w:rPr>
              <w:t>30A</w:t>
            </w:r>
            <w:proofErr w:type="spellEnd"/>
            <w:r>
              <w:rPr>
                <w:rFonts w:cs="Calibri"/>
                <w:b/>
                <w:bCs/>
                <w:szCs w:val="18"/>
                <w:u w:val="single"/>
              </w:rPr>
              <w:t>: Net Cost of Outcome Delivery</w:t>
            </w:r>
            <w:bookmarkEnd w:id="474"/>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auto" w:fill="auto"/>
            <w:noWrap/>
            <w:vAlign w:val="bottom"/>
            <w:hideMark/>
          </w:tcPr>
          <w:p w:rsidR="00B26C61" w:rsidRDefault="00B26C61" w:rsidP="00EA3146">
            <w:pPr>
              <w:rPr>
                <w:rFonts w:cs="Calibri"/>
                <w:sz w:val="20"/>
              </w:rPr>
            </w:pPr>
          </w:p>
        </w:tc>
      </w:tr>
      <w:bookmarkEnd w:id="475"/>
      <w:tr w:rsidR="00B26C61" w:rsidTr="00EA3146">
        <w:trPr>
          <w:trHeight w:val="255"/>
        </w:trPr>
        <w:tc>
          <w:tcPr>
            <w:tcW w:w="447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auto" w:fill="auto"/>
            <w:noWrap/>
            <w:vAlign w:val="bottom"/>
            <w:hideMark/>
          </w:tcPr>
          <w:p w:rsidR="00B26C61" w:rsidRDefault="00B26C61" w:rsidP="00EA3146">
            <w:pPr>
              <w:rPr>
                <w:rFonts w:cs="Calibri"/>
                <w:sz w:val="20"/>
              </w:rPr>
            </w:pPr>
          </w:p>
        </w:tc>
      </w:tr>
      <w:tr w:rsidR="00B26C61" w:rsidTr="00EA3146">
        <w:trPr>
          <w:trHeight w:val="255"/>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single" w:sz="4" w:space="0" w:color="auto"/>
              <w:left w:val="nil"/>
              <w:bottom w:val="single" w:sz="4" w:space="0" w:color="auto"/>
              <w:right w:val="single" w:sz="4" w:space="0" w:color="auto"/>
            </w:tcBorders>
            <w:shd w:val="clear" w:color="FFFFFF" w:fill="FFFFFF"/>
            <w:vAlign w:val="bottom"/>
            <w:hideMark/>
          </w:tcPr>
          <w:p w:rsidR="00B26C61" w:rsidRDefault="00B26C61" w:rsidP="00EA3146">
            <w:pPr>
              <w:jc w:val="center"/>
              <w:rPr>
                <w:rFonts w:cs="Calibri"/>
                <w:b/>
                <w:bCs/>
                <w:szCs w:val="18"/>
              </w:rPr>
            </w:pPr>
            <w:r>
              <w:rPr>
                <w:rFonts w:cs="Calibri"/>
                <w:b/>
                <w:bCs/>
                <w:szCs w:val="18"/>
              </w:rPr>
              <w:t>Outcome 1</w:t>
            </w:r>
          </w:p>
        </w:tc>
        <w:tc>
          <w:tcPr>
            <w:tcW w:w="1196" w:type="dxa"/>
            <w:tcBorders>
              <w:top w:val="single" w:sz="4" w:space="0" w:color="auto"/>
              <w:left w:val="nil"/>
              <w:bottom w:val="single" w:sz="4" w:space="0" w:color="auto"/>
              <w:right w:val="single" w:sz="4" w:space="0" w:color="auto"/>
            </w:tcBorders>
            <w:shd w:val="clear" w:color="FFFFFF" w:fill="FFFFFF"/>
            <w:vAlign w:val="bottom"/>
            <w:hideMark/>
          </w:tcPr>
          <w:p w:rsidR="00B26C61" w:rsidRDefault="00B26C61" w:rsidP="00EA3146">
            <w:pPr>
              <w:jc w:val="center"/>
              <w:rPr>
                <w:rFonts w:cs="Calibri"/>
                <w:b/>
                <w:bCs/>
                <w:szCs w:val="18"/>
              </w:rPr>
            </w:pPr>
            <w:r>
              <w:rPr>
                <w:rFonts w:cs="Calibri"/>
                <w:b/>
                <w:bCs/>
                <w:szCs w:val="18"/>
              </w:rPr>
              <w:t>Outcome 2</w:t>
            </w:r>
          </w:p>
        </w:tc>
        <w:tc>
          <w:tcPr>
            <w:tcW w:w="1196" w:type="dxa"/>
            <w:tcBorders>
              <w:top w:val="single" w:sz="4" w:space="0" w:color="auto"/>
              <w:left w:val="nil"/>
              <w:bottom w:val="single" w:sz="4" w:space="0" w:color="auto"/>
              <w:right w:val="single" w:sz="4" w:space="0" w:color="auto"/>
            </w:tcBorders>
            <w:shd w:val="clear" w:color="FFFFFF" w:fill="FFFFFF"/>
            <w:vAlign w:val="bottom"/>
            <w:hideMark/>
          </w:tcPr>
          <w:p w:rsidR="00B26C61" w:rsidRDefault="00B26C61" w:rsidP="00EA3146">
            <w:pPr>
              <w:jc w:val="center"/>
              <w:rPr>
                <w:rFonts w:cs="Calibri"/>
                <w:b/>
                <w:bCs/>
                <w:szCs w:val="18"/>
              </w:rPr>
            </w:pPr>
            <w:r>
              <w:rPr>
                <w:rFonts w:cs="Calibri"/>
                <w:b/>
                <w:bCs/>
                <w:szCs w:val="18"/>
              </w:rPr>
              <w:t>Payments to CAC Act Bodies*</w:t>
            </w:r>
          </w:p>
        </w:tc>
        <w:tc>
          <w:tcPr>
            <w:tcW w:w="1196" w:type="dxa"/>
            <w:tcBorders>
              <w:top w:val="single" w:sz="4" w:space="0" w:color="auto"/>
              <w:left w:val="nil"/>
              <w:bottom w:val="single" w:sz="4" w:space="0" w:color="auto"/>
              <w:right w:val="single" w:sz="4" w:space="0" w:color="auto"/>
            </w:tcBorders>
            <w:shd w:val="clear" w:color="FFFFFF" w:fill="FFFFFF"/>
            <w:vAlign w:val="bottom"/>
            <w:hideMark/>
          </w:tcPr>
          <w:p w:rsidR="00B26C61" w:rsidRDefault="00B26C61" w:rsidP="00EA3146">
            <w:pPr>
              <w:jc w:val="center"/>
              <w:rPr>
                <w:rFonts w:cs="Calibri"/>
                <w:b/>
                <w:bCs/>
                <w:szCs w:val="18"/>
              </w:rPr>
            </w:pPr>
            <w:r>
              <w:rPr>
                <w:rFonts w:cs="Calibri"/>
                <w:b/>
                <w:bCs/>
                <w:szCs w:val="18"/>
              </w:rPr>
              <w:t>Total</w:t>
            </w:r>
          </w:p>
        </w:tc>
        <w:tc>
          <w:tcPr>
            <w:tcW w:w="1196" w:type="dxa"/>
            <w:tcBorders>
              <w:top w:val="nil"/>
              <w:left w:val="nil"/>
              <w:bottom w:val="nil"/>
              <w:right w:val="nil"/>
            </w:tcBorders>
            <w:shd w:val="clear" w:color="auto" w:fill="auto"/>
            <w:noWrap/>
            <w:vAlign w:val="bottom"/>
            <w:hideMark/>
          </w:tcPr>
          <w:p w:rsidR="00B26C61" w:rsidRDefault="00B26C61" w:rsidP="00EA3146">
            <w:pPr>
              <w:rPr>
                <w:rFonts w:cs="Calibri"/>
                <w:sz w:val="20"/>
              </w:rPr>
            </w:pPr>
          </w:p>
        </w:tc>
      </w:tr>
      <w:tr w:rsidR="00B26C61" w:rsidTr="00EA3146">
        <w:trPr>
          <w:trHeight w:val="255"/>
        </w:trPr>
        <w:tc>
          <w:tcPr>
            <w:tcW w:w="4476" w:type="dxa"/>
            <w:tcBorders>
              <w:top w:val="nil"/>
              <w:left w:val="single" w:sz="4" w:space="0" w:color="auto"/>
              <w:bottom w:val="nil"/>
              <w:right w:val="single" w:sz="4" w:space="0" w:color="auto"/>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single" w:sz="4" w:space="0" w:color="auto"/>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c>
          <w:tcPr>
            <w:tcW w:w="1196" w:type="dxa"/>
            <w:tcBorders>
              <w:top w:val="nil"/>
              <w:left w:val="nil"/>
              <w:bottom w:val="nil"/>
              <w:right w:val="single" w:sz="4" w:space="0" w:color="auto"/>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c>
          <w:tcPr>
            <w:tcW w:w="1196" w:type="dxa"/>
            <w:tcBorders>
              <w:top w:val="nil"/>
              <w:left w:val="nil"/>
              <w:bottom w:val="nil"/>
              <w:right w:val="single" w:sz="4" w:space="0" w:color="auto"/>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c>
          <w:tcPr>
            <w:tcW w:w="1196" w:type="dxa"/>
            <w:tcBorders>
              <w:top w:val="nil"/>
              <w:left w:val="nil"/>
              <w:bottom w:val="nil"/>
              <w:right w:val="single" w:sz="4" w:space="0" w:color="auto"/>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c>
          <w:tcPr>
            <w:tcW w:w="1196" w:type="dxa"/>
            <w:tcBorders>
              <w:top w:val="nil"/>
              <w:left w:val="nil"/>
              <w:bottom w:val="nil"/>
              <w:right w:val="nil"/>
            </w:tcBorders>
            <w:shd w:val="clear" w:color="auto" w:fill="auto"/>
            <w:noWrap/>
            <w:vAlign w:val="bottom"/>
            <w:hideMark/>
          </w:tcPr>
          <w:p w:rsidR="00B26C61" w:rsidRDefault="00B26C61" w:rsidP="00EA3146">
            <w:pPr>
              <w:rPr>
                <w:rFonts w:cs="Calibri"/>
                <w:sz w:val="20"/>
              </w:rPr>
            </w:pPr>
          </w:p>
        </w:tc>
      </w:tr>
      <w:tr w:rsidR="00B26C61" w:rsidTr="00EA3146">
        <w:trPr>
          <w:trHeight w:val="435"/>
        </w:trPr>
        <w:tc>
          <w:tcPr>
            <w:tcW w:w="4476" w:type="dxa"/>
            <w:tcBorders>
              <w:top w:val="nil"/>
              <w:left w:val="single" w:sz="4" w:space="0" w:color="auto"/>
              <w:bottom w:val="single" w:sz="4" w:space="0" w:color="auto"/>
              <w:right w:val="single" w:sz="4" w:space="0" w:color="auto"/>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19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19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19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c>
          <w:tcPr>
            <w:tcW w:w="1196" w:type="dxa"/>
            <w:tcBorders>
              <w:top w:val="nil"/>
              <w:left w:val="nil"/>
              <w:bottom w:val="nil"/>
              <w:right w:val="nil"/>
            </w:tcBorders>
            <w:shd w:val="clear" w:color="auto" w:fill="auto"/>
            <w:noWrap/>
            <w:vAlign w:val="bottom"/>
            <w:hideMark/>
          </w:tcPr>
          <w:p w:rsidR="00B26C61" w:rsidRDefault="00B26C61" w:rsidP="00EA3146">
            <w:pPr>
              <w:rPr>
                <w:rFonts w:cs="Calibri"/>
                <w:sz w:val="20"/>
              </w:rPr>
            </w:pPr>
          </w:p>
        </w:tc>
      </w:tr>
      <w:tr w:rsidR="00B26C61" w:rsidTr="00EA3146">
        <w:trPr>
          <w:trHeight w:val="255"/>
        </w:trPr>
        <w:tc>
          <w:tcPr>
            <w:tcW w:w="4476" w:type="dxa"/>
            <w:tcBorders>
              <w:top w:val="nil"/>
              <w:left w:val="single" w:sz="4" w:space="0" w:color="auto"/>
              <w:bottom w:val="single" w:sz="4" w:space="0" w:color="auto"/>
              <w:right w:val="single" w:sz="4" w:space="0" w:color="auto"/>
            </w:tcBorders>
            <w:shd w:val="clear" w:color="FFFFFF" w:fill="FFFFFF"/>
            <w:vAlign w:val="bottom"/>
            <w:hideMark/>
          </w:tcPr>
          <w:p w:rsidR="00B26C61" w:rsidRDefault="00B26C61" w:rsidP="00EA3146">
            <w:pPr>
              <w:rPr>
                <w:rFonts w:cs="Calibri"/>
                <w:b/>
                <w:bCs/>
                <w:szCs w:val="18"/>
              </w:rPr>
            </w:pPr>
            <w:r>
              <w:rPr>
                <w:rFonts w:cs="Calibri"/>
                <w:b/>
                <w:bCs/>
                <w:szCs w:val="18"/>
              </w:rPr>
              <w:t>Departmental</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auto" w:fill="auto"/>
            <w:noWrap/>
            <w:vAlign w:val="bottom"/>
            <w:hideMark/>
          </w:tcPr>
          <w:p w:rsidR="00B26C61" w:rsidRDefault="00B26C61" w:rsidP="00EA3146">
            <w:pPr>
              <w:rPr>
                <w:rFonts w:cs="Calibri"/>
                <w:sz w:val="20"/>
              </w:rPr>
            </w:pPr>
          </w:p>
        </w:tc>
      </w:tr>
      <w:tr w:rsidR="00B26C61" w:rsidTr="00EA3146">
        <w:trPr>
          <w:trHeight w:val="255"/>
        </w:trPr>
        <w:tc>
          <w:tcPr>
            <w:tcW w:w="4476" w:type="dxa"/>
            <w:tcBorders>
              <w:top w:val="nil"/>
              <w:left w:val="single" w:sz="4" w:space="0" w:color="auto"/>
              <w:bottom w:val="nil"/>
              <w:right w:val="single" w:sz="4" w:space="0" w:color="auto"/>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Expenses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231,015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98,111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329,126 </w:t>
            </w:r>
          </w:p>
        </w:tc>
        <w:tc>
          <w:tcPr>
            <w:tcW w:w="1196" w:type="dxa"/>
            <w:tcBorders>
              <w:top w:val="nil"/>
              <w:left w:val="nil"/>
              <w:bottom w:val="nil"/>
              <w:right w:val="nil"/>
            </w:tcBorders>
            <w:shd w:val="clear" w:color="auto" w:fill="auto"/>
            <w:noWrap/>
            <w:vAlign w:val="bottom"/>
            <w:hideMark/>
          </w:tcPr>
          <w:p w:rsidR="00B26C61" w:rsidRDefault="00B26C61" w:rsidP="00EA3146">
            <w:pPr>
              <w:rPr>
                <w:rFonts w:cs="Calibri"/>
                <w:sz w:val="20"/>
              </w:rPr>
            </w:pPr>
          </w:p>
        </w:tc>
      </w:tr>
      <w:tr w:rsidR="00B26C61" w:rsidTr="00EA3146">
        <w:trPr>
          <w:trHeight w:val="255"/>
        </w:trPr>
        <w:tc>
          <w:tcPr>
            <w:tcW w:w="447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6C61" w:rsidRDefault="00B26C61" w:rsidP="00B26C61">
            <w:pPr>
              <w:ind w:firstLineChars="100" w:firstLine="180"/>
              <w:rPr>
                <w:rFonts w:cs="Calibri"/>
                <w:szCs w:val="18"/>
              </w:rPr>
            </w:pPr>
            <w:r>
              <w:rPr>
                <w:rFonts w:cs="Calibri"/>
                <w:szCs w:val="18"/>
              </w:rPr>
              <w:t>Own-source income</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10,872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4,618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15,490 </w:t>
            </w:r>
          </w:p>
        </w:tc>
        <w:tc>
          <w:tcPr>
            <w:tcW w:w="1196" w:type="dxa"/>
            <w:tcBorders>
              <w:top w:val="nil"/>
              <w:left w:val="nil"/>
              <w:bottom w:val="nil"/>
              <w:right w:val="nil"/>
            </w:tcBorders>
            <w:shd w:val="clear" w:color="auto" w:fill="auto"/>
            <w:noWrap/>
            <w:vAlign w:val="bottom"/>
            <w:hideMark/>
          </w:tcPr>
          <w:p w:rsidR="00B26C61" w:rsidRDefault="00B26C61" w:rsidP="00EA3146">
            <w:pPr>
              <w:rPr>
                <w:rFonts w:cs="Calibri"/>
                <w:sz w:val="20"/>
              </w:rPr>
            </w:pPr>
          </w:p>
        </w:tc>
      </w:tr>
      <w:tr w:rsidR="00B26C61" w:rsidTr="00EA3146">
        <w:trPr>
          <w:trHeight w:val="255"/>
        </w:trPr>
        <w:tc>
          <w:tcPr>
            <w:tcW w:w="4476" w:type="dxa"/>
            <w:tcBorders>
              <w:top w:val="nil"/>
              <w:left w:val="single" w:sz="4" w:space="0" w:color="auto"/>
              <w:bottom w:val="single" w:sz="4" w:space="0" w:color="auto"/>
              <w:right w:val="single" w:sz="4" w:space="0" w:color="auto"/>
            </w:tcBorders>
            <w:shd w:val="clear" w:color="000000" w:fill="D9D9D9"/>
            <w:vAlign w:val="bottom"/>
            <w:hideMark/>
          </w:tcPr>
          <w:p w:rsidR="00B26C61" w:rsidRDefault="00B26C61" w:rsidP="00EA3146">
            <w:pPr>
              <w:rPr>
                <w:rFonts w:cs="Calibri"/>
                <w:b/>
                <w:bCs/>
                <w:szCs w:val="18"/>
              </w:rPr>
            </w:pPr>
            <w:r>
              <w:rPr>
                <w:rFonts w:cs="Calibri"/>
                <w:b/>
                <w:bCs/>
                <w:szCs w:val="18"/>
              </w:rPr>
              <w:t>Administered</w:t>
            </w:r>
          </w:p>
        </w:tc>
        <w:tc>
          <w:tcPr>
            <w:tcW w:w="1196" w:type="dxa"/>
            <w:tcBorders>
              <w:top w:val="nil"/>
              <w:left w:val="nil"/>
              <w:bottom w:val="single" w:sz="4" w:space="0" w:color="auto"/>
              <w:right w:val="single" w:sz="4" w:space="0" w:color="auto"/>
            </w:tcBorders>
            <w:shd w:val="clear" w:color="000000" w:fill="D9D9D9"/>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000000" w:fill="D9D9D9"/>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000000" w:fill="D9D9D9"/>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000000" w:fill="D9D9D9"/>
            <w:noWrap/>
            <w:vAlign w:val="bottom"/>
            <w:hideMark/>
          </w:tcPr>
          <w:p w:rsidR="00B26C61" w:rsidRDefault="00B26C61" w:rsidP="00EA3146">
            <w:pPr>
              <w:rPr>
                <w:rFonts w:cs="Calibri"/>
                <w:szCs w:val="18"/>
              </w:rPr>
            </w:pPr>
            <w:r>
              <w:rPr>
                <w:rFonts w:cs="Calibri"/>
                <w:szCs w:val="18"/>
              </w:rPr>
              <w:t> </w:t>
            </w:r>
          </w:p>
        </w:tc>
        <w:tc>
          <w:tcPr>
            <w:tcW w:w="1196" w:type="dxa"/>
            <w:tcBorders>
              <w:top w:val="nil"/>
              <w:left w:val="nil"/>
              <w:bottom w:val="nil"/>
              <w:right w:val="nil"/>
            </w:tcBorders>
            <w:shd w:val="clear" w:color="auto" w:fill="auto"/>
            <w:noWrap/>
            <w:vAlign w:val="bottom"/>
            <w:hideMark/>
          </w:tcPr>
          <w:p w:rsidR="00B26C61" w:rsidRDefault="00B26C61" w:rsidP="00EA3146">
            <w:pPr>
              <w:rPr>
                <w:rFonts w:cs="Calibri"/>
                <w:sz w:val="20"/>
              </w:rPr>
            </w:pPr>
          </w:p>
        </w:tc>
      </w:tr>
      <w:tr w:rsidR="00B26C61" w:rsidTr="00EA3146">
        <w:trPr>
          <w:trHeight w:val="255"/>
        </w:trPr>
        <w:tc>
          <w:tcPr>
            <w:tcW w:w="447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Expenses</w:t>
            </w:r>
          </w:p>
        </w:tc>
        <w:tc>
          <w:tcPr>
            <w:tcW w:w="1196" w:type="dxa"/>
            <w:tcBorders>
              <w:top w:val="nil"/>
              <w:left w:val="nil"/>
              <w:bottom w:val="single" w:sz="4" w:space="0" w:color="auto"/>
              <w:right w:val="single" w:sz="4" w:space="0" w:color="auto"/>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1,414,696 </w:t>
            </w:r>
          </w:p>
        </w:tc>
        <w:tc>
          <w:tcPr>
            <w:tcW w:w="1196" w:type="dxa"/>
            <w:tcBorders>
              <w:top w:val="nil"/>
              <w:left w:val="nil"/>
              <w:bottom w:val="single" w:sz="4" w:space="0" w:color="auto"/>
              <w:right w:val="single" w:sz="4" w:space="0" w:color="auto"/>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330,992 </w:t>
            </w:r>
          </w:p>
        </w:tc>
        <w:tc>
          <w:tcPr>
            <w:tcW w:w="1196" w:type="dxa"/>
            <w:tcBorders>
              <w:top w:val="nil"/>
              <w:left w:val="nil"/>
              <w:bottom w:val="single" w:sz="4" w:space="0" w:color="auto"/>
              <w:right w:val="single" w:sz="4" w:space="0" w:color="auto"/>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1,433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1,747,121 </w:t>
            </w:r>
          </w:p>
        </w:tc>
        <w:tc>
          <w:tcPr>
            <w:tcW w:w="1196" w:type="dxa"/>
            <w:tcBorders>
              <w:top w:val="nil"/>
              <w:left w:val="nil"/>
              <w:bottom w:val="nil"/>
              <w:right w:val="nil"/>
            </w:tcBorders>
            <w:shd w:val="clear" w:color="auto" w:fill="auto"/>
            <w:noWrap/>
            <w:vAlign w:val="bottom"/>
            <w:hideMark/>
          </w:tcPr>
          <w:p w:rsidR="00B26C61" w:rsidRDefault="00B26C61" w:rsidP="00EA3146">
            <w:pPr>
              <w:rPr>
                <w:rFonts w:cs="Calibri"/>
                <w:sz w:val="20"/>
              </w:rPr>
            </w:pPr>
          </w:p>
        </w:tc>
      </w:tr>
      <w:tr w:rsidR="00B26C61" w:rsidTr="00EA3146">
        <w:trPr>
          <w:trHeight w:val="255"/>
        </w:trPr>
        <w:tc>
          <w:tcPr>
            <w:tcW w:w="447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Income</w:t>
            </w:r>
          </w:p>
        </w:tc>
        <w:tc>
          <w:tcPr>
            <w:tcW w:w="1196" w:type="dxa"/>
            <w:tcBorders>
              <w:top w:val="nil"/>
              <w:left w:val="nil"/>
              <w:bottom w:val="single" w:sz="4" w:space="0" w:color="auto"/>
              <w:right w:val="single" w:sz="4" w:space="0" w:color="auto"/>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2,577 </w:t>
            </w:r>
          </w:p>
        </w:tc>
        <w:tc>
          <w:tcPr>
            <w:tcW w:w="1196" w:type="dxa"/>
            <w:tcBorders>
              <w:top w:val="nil"/>
              <w:left w:val="nil"/>
              <w:bottom w:val="single" w:sz="4" w:space="0" w:color="auto"/>
              <w:right w:val="single" w:sz="4" w:space="0" w:color="auto"/>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151,909 </w:t>
            </w:r>
          </w:p>
        </w:tc>
        <w:tc>
          <w:tcPr>
            <w:tcW w:w="1196" w:type="dxa"/>
            <w:tcBorders>
              <w:top w:val="nil"/>
              <w:left w:val="nil"/>
              <w:bottom w:val="single" w:sz="4" w:space="0" w:color="auto"/>
              <w:right w:val="single" w:sz="4" w:space="0" w:color="auto"/>
            </w:tcBorders>
            <w:shd w:val="clear" w:color="000000" w:fill="D9D9D9"/>
            <w:noWrap/>
            <w:vAlign w:val="bottom"/>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154,486 </w:t>
            </w:r>
          </w:p>
        </w:tc>
        <w:tc>
          <w:tcPr>
            <w:tcW w:w="1196" w:type="dxa"/>
            <w:tcBorders>
              <w:top w:val="nil"/>
              <w:left w:val="nil"/>
              <w:bottom w:val="nil"/>
              <w:right w:val="nil"/>
            </w:tcBorders>
            <w:shd w:val="clear" w:color="auto" w:fill="auto"/>
            <w:noWrap/>
            <w:vAlign w:val="bottom"/>
            <w:hideMark/>
          </w:tcPr>
          <w:p w:rsidR="00B26C61" w:rsidRDefault="00B26C61" w:rsidP="00EA3146">
            <w:pPr>
              <w:rPr>
                <w:rFonts w:cs="Calibri"/>
                <w:sz w:val="20"/>
              </w:rPr>
            </w:pPr>
          </w:p>
        </w:tc>
      </w:tr>
      <w:tr w:rsidR="00B26C61" w:rsidTr="00EA3146">
        <w:trPr>
          <w:trHeight w:val="255"/>
        </w:trPr>
        <w:tc>
          <w:tcPr>
            <w:tcW w:w="4476" w:type="dxa"/>
            <w:tcBorders>
              <w:top w:val="nil"/>
              <w:left w:val="single" w:sz="4" w:space="0" w:color="auto"/>
              <w:bottom w:val="single" w:sz="4" w:space="0" w:color="auto"/>
              <w:right w:val="single" w:sz="4" w:space="0" w:color="auto"/>
            </w:tcBorders>
            <w:shd w:val="clear" w:color="FFFFFF" w:fill="FFFFFF"/>
            <w:vAlign w:val="bottom"/>
            <w:hideMark/>
          </w:tcPr>
          <w:p w:rsidR="00B26C61" w:rsidRDefault="00B26C61" w:rsidP="00EA3146">
            <w:pPr>
              <w:rPr>
                <w:rFonts w:cs="Calibri"/>
                <w:b/>
                <w:bCs/>
                <w:szCs w:val="18"/>
              </w:rPr>
            </w:pPr>
            <w:r>
              <w:rPr>
                <w:rFonts w:cs="Calibri"/>
                <w:b/>
                <w:bCs/>
                <w:szCs w:val="18"/>
              </w:rPr>
              <w:t>Net cost of outcome delivery</w:t>
            </w:r>
          </w:p>
        </w:tc>
        <w:tc>
          <w:tcPr>
            <w:tcW w:w="119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1,632,262</w:t>
            </w:r>
          </w:p>
        </w:tc>
        <w:tc>
          <w:tcPr>
            <w:tcW w:w="1196" w:type="dxa"/>
            <w:tcBorders>
              <w:top w:val="single" w:sz="4" w:space="0" w:color="auto"/>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272,576</w:t>
            </w:r>
          </w:p>
        </w:tc>
        <w:tc>
          <w:tcPr>
            <w:tcW w:w="1196" w:type="dxa"/>
            <w:tcBorders>
              <w:top w:val="single" w:sz="4" w:space="0" w:color="auto"/>
              <w:left w:val="nil"/>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1,433</w:t>
            </w:r>
          </w:p>
        </w:tc>
        <w:tc>
          <w:tcPr>
            <w:tcW w:w="1196" w:type="dxa"/>
            <w:tcBorders>
              <w:top w:val="nil"/>
              <w:left w:val="single" w:sz="4" w:space="0" w:color="auto"/>
              <w:bottom w:val="single" w:sz="4" w:space="0" w:color="auto"/>
              <w:right w:val="single" w:sz="4" w:space="0" w:color="auto"/>
            </w:tcBorders>
            <w:shd w:val="clear" w:color="FFFFFF" w:fill="FFFFFF"/>
            <w:noWrap/>
            <w:vAlign w:val="bottom"/>
            <w:hideMark/>
          </w:tcPr>
          <w:p w:rsidR="00B26C61" w:rsidRDefault="00B26C61" w:rsidP="00EA3146">
            <w:pPr>
              <w:jc w:val="right"/>
              <w:rPr>
                <w:rFonts w:cs="Calibri"/>
                <w:b/>
                <w:bCs/>
                <w:szCs w:val="18"/>
              </w:rPr>
            </w:pPr>
            <w:r>
              <w:rPr>
                <w:rFonts w:cs="Calibri"/>
                <w:b/>
                <w:bCs/>
                <w:szCs w:val="18"/>
              </w:rPr>
              <w:t>1,906,271</w:t>
            </w:r>
          </w:p>
        </w:tc>
        <w:tc>
          <w:tcPr>
            <w:tcW w:w="1196" w:type="dxa"/>
            <w:tcBorders>
              <w:top w:val="nil"/>
              <w:left w:val="nil"/>
              <w:bottom w:val="nil"/>
              <w:right w:val="nil"/>
            </w:tcBorders>
            <w:shd w:val="clear" w:color="auto" w:fill="auto"/>
            <w:noWrap/>
            <w:vAlign w:val="bottom"/>
            <w:hideMark/>
          </w:tcPr>
          <w:p w:rsidR="00B26C61" w:rsidRDefault="00B26C61" w:rsidP="00EA3146">
            <w:pPr>
              <w:rPr>
                <w:rFonts w:cs="Calibri"/>
                <w:sz w:val="20"/>
              </w:rPr>
            </w:pPr>
          </w:p>
        </w:tc>
      </w:tr>
    </w:tbl>
    <w:p w:rsidR="00B26C61" w:rsidRDefault="00B26C61" w:rsidP="00B26C61">
      <w:pPr>
        <w:pStyle w:val="ReferenceText"/>
      </w:pPr>
      <w:bookmarkStart w:id="476" w:name="RANGE!D7:N29"/>
      <w:bookmarkStart w:id="477" w:name="RANGE!D7:J29"/>
      <w:bookmarkStart w:id="478" w:name="RANGE!D7:L29"/>
      <w:bookmarkStart w:id="479" w:name="RANGE!D6:L39"/>
      <w:bookmarkStart w:id="480" w:name="RANGE!D6:L40"/>
      <w:bookmarkStart w:id="481" w:name="RANGE!D6:L41"/>
      <w:bookmarkStart w:id="482" w:name="RANGE!D6:L32"/>
      <w:bookmarkStart w:id="483" w:name="RANGE!D6:L33"/>
      <w:bookmarkStart w:id="484" w:name="RANGE!D22:L32"/>
      <w:bookmarkStart w:id="485" w:name="RANGE!D37:L62"/>
      <w:bookmarkEnd w:id="476"/>
      <w:bookmarkEnd w:id="477"/>
      <w:bookmarkEnd w:id="478"/>
      <w:bookmarkEnd w:id="479"/>
      <w:bookmarkEnd w:id="480"/>
      <w:bookmarkEnd w:id="481"/>
      <w:bookmarkEnd w:id="482"/>
      <w:bookmarkEnd w:id="483"/>
      <w:bookmarkEnd w:id="484"/>
      <w:bookmarkEnd w:id="485"/>
      <w:r>
        <w:t xml:space="preserve">Outcomes are described in Note 1.1. Net costs shown include intra-government costs that are eliminated in calculating the actual Budget Outcome. Refer to </w:t>
      </w:r>
      <w:r w:rsidRPr="00617E8A">
        <w:t>Appendix 3</w:t>
      </w:r>
      <w:r>
        <w:t xml:space="preserve"> of this annual report for Agency resource statements and resources.  </w:t>
      </w:r>
    </w:p>
    <w:p w:rsidR="00B26C61" w:rsidRDefault="00B26C61" w:rsidP="00B26C61">
      <w:pPr>
        <w:pStyle w:val="ReferenceText"/>
      </w:pPr>
      <w:r>
        <w:t>* Payments to CAC Act bodies are not related to outcomes. They are included here so the total agrees to the resourcing table.</w:t>
      </w:r>
    </w:p>
    <w:p w:rsidR="00B26C61" w:rsidRDefault="00B26C61" w:rsidP="00B26C61">
      <w:pPr>
        <w:spacing w:line="240" w:lineRule="auto"/>
      </w:pPr>
      <w:r>
        <w:br w:type="page"/>
      </w:r>
    </w:p>
    <w:tbl>
      <w:tblPr>
        <w:tblW w:w="13991" w:type="dxa"/>
        <w:tblInd w:w="80" w:type="dxa"/>
        <w:tblLayout w:type="fixed"/>
        <w:tblLook w:val="04A0" w:firstRow="1" w:lastRow="0" w:firstColumn="1" w:lastColumn="0" w:noHBand="0" w:noVBand="1"/>
      </w:tblPr>
      <w:tblGrid>
        <w:gridCol w:w="5990"/>
        <w:gridCol w:w="1601"/>
        <w:gridCol w:w="1600"/>
        <w:gridCol w:w="1600"/>
        <w:gridCol w:w="1600"/>
        <w:gridCol w:w="1600"/>
      </w:tblGrid>
      <w:tr w:rsidR="00B26C61" w:rsidTr="00EA3146">
        <w:trPr>
          <w:trHeight w:val="113"/>
        </w:trPr>
        <w:tc>
          <w:tcPr>
            <w:tcW w:w="447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bookmarkStart w:id="486" w:name="RANGE!D34:N103"/>
            <w:bookmarkStart w:id="487" w:name="RANGE!D34:D103"/>
            <w:bookmarkStart w:id="488" w:name="Note_ROOTABLE2" w:colFirst="0" w:colLast="0"/>
            <w:bookmarkEnd w:id="486"/>
            <w:r>
              <w:rPr>
                <w:rFonts w:cs="Calibri"/>
                <w:szCs w:val="18"/>
              </w:rPr>
              <w:lastRenderedPageBreak/>
              <w:t> </w:t>
            </w:r>
            <w:bookmarkEnd w:id="487"/>
          </w:p>
        </w:tc>
        <w:tc>
          <w:tcPr>
            <w:tcW w:w="119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bookmarkEnd w:id="488"/>
      <w:tr w:rsidR="00B26C61" w:rsidTr="00EA3146">
        <w:trPr>
          <w:trHeight w:val="113"/>
        </w:trPr>
        <w:tc>
          <w:tcPr>
            <w:tcW w:w="9260" w:type="dxa"/>
            <w:gridSpan w:val="5"/>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b/>
                <w:bCs/>
                <w:szCs w:val="18"/>
                <w:u w:val="single"/>
              </w:rPr>
            </w:pPr>
            <w:r>
              <w:rPr>
                <w:rFonts w:cs="Calibri"/>
                <w:b/>
                <w:bCs/>
                <w:szCs w:val="18"/>
                <w:u w:val="single"/>
              </w:rPr>
              <w:t xml:space="preserve">Note </w:t>
            </w:r>
            <w:proofErr w:type="spellStart"/>
            <w:r>
              <w:rPr>
                <w:rFonts w:cs="Calibri"/>
                <w:b/>
                <w:bCs/>
                <w:szCs w:val="18"/>
                <w:u w:val="single"/>
              </w:rPr>
              <w:t>30B</w:t>
            </w:r>
            <w:proofErr w:type="spellEnd"/>
            <w:r>
              <w:rPr>
                <w:rFonts w:cs="Calibri"/>
                <w:b/>
                <w:bCs/>
                <w:szCs w:val="18"/>
                <w:u w:val="single"/>
              </w:rPr>
              <w:t>: Major Classes of Departmental Expense, Income, Assets and Liabilities by Outcome</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hideMark/>
          </w:tcPr>
          <w:p w:rsidR="00B26C61" w:rsidRDefault="00B26C61" w:rsidP="00EA3146">
            <w:pPr>
              <w:spacing w:line="240" w:lineRule="auto"/>
              <w:rPr>
                <w:rFonts w:cs="Calibri"/>
                <w:sz w:val="16"/>
                <w:szCs w:val="16"/>
              </w:rPr>
            </w:pPr>
            <w:r>
              <w:rPr>
                <w:rFonts w:cs="Calibri"/>
                <w:sz w:val="16"/>
                <w:szCs w:val="16"/>
              </w:rPr>
              <w:t> </w:t>
            </w:r>
          </w:p>
        </w:tc>
        <w:tc>
          <w:tcPr>
            <w:tcW w:w="1196" w:type="dxa"/>
            <w:tcBorders>
              <w:top w:val="single" w:sz="4" w:space="0" w:color="auto"/>
              <w:left w:val="nil"/>
              <w:bottom w:val="single" w:sz="4" w:space="0" w:color="auto"/>
              <w:right w:val="single" w:sz="4" w:space="0" w:color="auto"/>
            </w:tcBorders>
            <w:shd w:val="clear" w:color="FFFFFF" w:fill="FFFFFF"/>
            <w:vAlign w:val="bottom"/>
            <w:hideMark/>
          </w:tcPr>
          <w:p w:rsidR="00B26C61" w:rsidRDefault="00B26C61" w:rsidP="00EA3146">
            <w:pPr>
              <w:spacing w:line="240" w:lineRule="auto"/>
              <w:jc w:val="center"/>
              <w:rPr>
                <w:rFonts w:cs="Calibri"/>
                <w:b/>
                <w:bCs/>
                <w:szCs w:val="18"/>
              </w:rPr>
            </w:pPr>
            <w:r>
              <w:rPr>
                <w:rFonts w:cs="Calibri"/>
                <w:b/>
                <w:bCs/>
                <w:szCs w:val="18"/>
              </w:rPr>
              <w:t>Outcome 1</w:t>
            </w:r>
          </w:p>
        </w:tc>
        <w:tc>
          <w:tcPr>
            <w:tcW w:w="1196" w:type="dxa"/>
            <w:tcBorders>
              <w:top w:val="single" w:sz="4" w:space="0" w:color="auto"/>
              <w:left w:val="nil"/>
              <w:bottom w:val="single" w:sz="4" w:space="0" w:color="auto"/>
              <w:right w:val="single" w:sz="4" w:space="0" w:color="auto"/>
            </w:tcBorders>
            <w:shd w:val="clear" w:color="FFFFFF" w:fill="FFFFFF"/>
            <w:vAlign w:val="bottom"/>
            <w:hideMark/>
          </w:tcPr>
          <w:p w:rsidR="00B26C61" w:rsidRDefault="00B26C61" w:rsidP="00EA3146">
            <w:pPr>
              <w:spacing w:line="240" w:lineRule="auto"/>
              <w:jc w:val="center"/>
              <w:rPr>
                <w:rFonts w:cs="Calibri"/>
                <w:b/>
                <w:bCs/>
                <w:szCs w:val="18"/>
              </w:rPr>
            </w:pPr>
            <w:r>
              <w:rPr>
                <w:rFonts w:cs="Calibri"/>
                <w:b/>
                <w:bCs/>
                <w:szCs w:val="18"/>
              </w:rPr>
              <w:t>Outcome 2</w:t>
            </w:r>
          </w:p>
        </w:tc>
        <w:tc>
          <w:tcPr>
            <w:tcW w:w="1196" w:type="dxa"/>
            <w:tcBorders>
              <w:top w:val="single" w:sz="4" w:space="0" w:color="auto"/>
              <w:left w:val="nil"/>
              <w:bottom w:val="single" w:sz="4" w:space="0" w:color="auto"/>
              <w:right w:val="single" w:sz="4" w:space="0" w:color="auto"/>
            </w:tcBorders>
            <w:shd w:val="clear" w:color="FFFFFF" w:fill="FFFFFF"/>
            <w:vAlign w:val="bottom"/>
            <w:hideMark/>
          </w:tcPr>
          <w:p w:rsidR="00B26C61" w:rsidRDefault="00B26C61" w:rsidP="00EA3146">
            <w:pPr>
              <w:spacing w:line="240" w:lineRule="auto"/>
              <w:jc w:val="center"/>
              <w:rPr>
                <w:rFonts w:cs="Calibri"/>
                <w:b/>
                <w:bCs/>
                <w:szCs w:val="18"/>
              </w:rPr>
            </w:pPr>
            <w:r>
              <w:rPr>
                <w:rFonts w:cs="Calibri"/>
                <w:b/>
                <w:bCs/>
                <w:szCs w:val="18"/>
              </w:rPr>
              <w:t>Not attributed</w:t>
            </w:r>
            <w:r>
              <w:rPr>
                <w:rFonts w:cs="Calibri"/>
                <w:b/>
                <w:bCs/>
                <w:szCs w:val="18"/>
                <w:vertAlign w:val="superscript"/>
              </w:rPr>
              <w:t>#</w:t>
            </w:r>
          </w:p>
        </w:tc>
        <w:tc>
          <w:tcPr>
            <w:tcW w:w="1196" w:type="dxa"/>
            <w:tcBorders>
              <w:top w:val="single" w:sz="4" w:space="0" w:color="auto"/>
              <w:left w:val="nil"/>
              <w:bottom w:val="single" w:sz="4" w:space="0" w:color="auto"/>
              <w:right w:val="single" w:sz="4" w:space="0" w:color="auto"/>
            </w:tcBorders>
            <w:shd w:val="clear" w:color="FFFFFF" w:fill="FFFFFF"/>
            <w:vAlign w:val="bottom"/>
            <w:hideMark/>
          </w:tcPr>
          <w:p w:rsidR="00B26C61" w:rsidRDefault="00B26C61" w:rsidP="00EA3146">
            <w:pPr>
              <w:spacing w:line="240" w:lineRule="auto"/>
              <w:jc w:val="center"/>
              <w:rPr>
                <w:rFonts w:cs="Calibri"/>
                <w:b/>
                <w:bCs/>
                <w:szCs w:val="18"/>
              </w:rPr>
            </w:pPr>
            <w:r>
              <w:rPr>
                <w:rFonts w:cs="Calibri"/>
                <w:b/>
                <w:bCs/>
                <w:szCs w:val="18"/>
              </w:rPr>
              <w:t>Total</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nil"/>
              <w:left w:val="single" w:sz="4" w:space="0" w:color="auto"/>
              <w:bottom w:val="nil"/>
              <w:right w:val="single" w:sz="4" w:space="0" w:color="auto"/>
            </w:tcBorders>
            <w:shd w:val="clear" w:color="FFFFFF" w:fill="FFFFFF"/>
            <w:noWrap/>
            <w:hideMark/>
          </w:tcPr>
          <w:p w:rsidR="00B26C61" w:rsidRDefault="00B26C61" w:rsidP="00EA3146">
            <w:pPr>
              <w:spacing w:line="240" w:lineRule="auto"/>
              <w:rPr>
                <w:rFonts w:cs="Calibri"/>
                <w:sz w:val="16"/>
                <w:szCs w:val="16"/>
              </w:rPr>
            </w:pPr>
            <w:r>
              <w:rPr>
                <w:rFonts w:cs="Calibri"/>
                <w:sz w:val="16"/>
                <w:szCs w:val="16"/>
              </w:rPr>
              <w:t> </w:t>
            </w:r>
          </w:p>
        </w:tc>
        <w:tc>
          <w:tcPr>
            <w:tcW w:w="1196" w:type="dxa"/>
            <w:tcBorders>
              <w:top w:val="nil"/>
              <w:left w:val="nil"/>
              <w:bottom w:val="nil"/>
              <w:right w:val="single" w:sz="4" w:space="0" w:color="auto"/>
            </w:tcBorders>
            <w:shd w:val="clear" w:color="FFFFFF" w:fill="FFFFFF"/>
            <w:vAlign w:val="bottom"/>
            <w:hideMark/>
          </w:tcPr>
          <w:p w:rsidR="00B26C61" w:rsidRDefault="00B26C61" w:rsidP="00EA3146">
            <w:pPr>
              <w:spacing w:line="240" w:lineRule="auto"/>
              <w:jc w:val="right"/>
              <w:rPr>
                <w:rFonts w:cs="Calibri"/>
                <w:b/>
                <w:bCs/>
                <w:szCs w:val="18"/>
              </w:rPr>
            </w:pPr>
            <w:r>
              <w:rPr>
                <w:rFonts w:cs="Calibri"/>
                <w:b/>
                <w:bCs/>
                <w:szCs w:val="18"/>
              </w:rPr>
              <w:t>2014</w:t>
            </w:r>
          </w:p>
        </w:tc>
        <w:tc>
          <w:tcPr>
            <w:tcW w:w="1196" w:type="dxa"/>
            <w:tcBorders>
              <w:top w:val="nil"/>
              <w:left w:val="nil"/>
              <w:bottom w:val="nil"/>
              <w:right w:val="single" w:sz="4" w:space="0" w:color="auto"/>
            </w:tcBorders>
            <w:shd w:val="clear" w:color="FFFFFF" w:fill="FFFFFF"/>
            <w:vAlign w:val="bottom"/>
            <w:hideMark/>
          </w:tcPr>
          <w:p w:rsidR="00B26C61" w:rsidRDefault="00B26C61" w:rsidP="00EA3146">
            <w:pPr>
              <w:spacing w:line="240" w:lineRule="auto"/>
              <w:jc w:val="right"/>
              <w:rPr>
                <w:rFonts w:cs="Calibri"/>
                <w:b/>
                <w:bCs/>
                <w:szCs w:val="18"/>
              </w:rPr>
            </w:pPr>
            <w:r>
              <w:rPr>
                <w:rFonts w:cs="Calibri"/>
                <w:b/>
                <w:bCs/>
                <w:szCs w:val="18"/>
              </w:rPr>
              <w:t>2014</w:t>
            </w:r>
          </w:p>
        </w:tc>
        <w:tc>
          <w:tcPr>
            <w:tcW w:w="1196" w:type="dxa"/>
            <w:tcBorders>
              <w:top w:val="nil"/>
              <w:left w:val="nil"/>
              <w:bottom w:val="nil"/>
              <w:right w:val="single" w:sz="4" w:space="0" w:color="auto"/>
            </w:tcBorders>
            <w:shd w:val="clear" w:color="FFFFFF" w:fill="FFFFFF"/>
            <w:vAlign w:val="bottom"/>
            <w:hideMark/>
          </w:tcPr>
          <w:p w:rsidR="00B26C61" w:rsidRDefault="00B26C61" w:rsidP="00EA3146">
            <w:pPr>
              <w:spacing w:line="240" w:lineRule="auto"/>
              <w:jc w:val="right"/>
              <w:rPr>
                <w:rFonts w:cs="Calibri"/>
                <w:b/>
                <w:bCs/>
                <w:szCs w:val="18"/>
              </w:rPr>
            </w:pPr>
            <w:r>
              <w:rPr>
                <w:rFonts w:cs="Calibri"/>
                <w:b/>
                <w:bCs/>
                <w:szCs w:val="18"/>
              </w:rPr>
              <w:t>2014</w:t>
            </w:r>
          </w:p>
        </w:tc>
        <w:tc>
          <w:tcPr>
            <w:tcW w:w="1196" w:type="dxa"/>
            <w:tcBorders>
              <w:top w:val="nil"/>
              <w:left w:val="nil"/>
              <w:bottom w:val="nil"/>
              <w:right w:val="single" w:sz="4" w:space="0" w:color="auto"/>
            </w:tcBorders>
            <w:shd w:val="clear" w:color="FFFFFF" w:fill="FFFFFF"/>
            <w:vAlign w:val="bottom"/>
            <w:hideMark/>
          </w:tcPr>
          <w:p w:rsidR="00B26C61" w:rsidRDefault="00B26C61" w:rsidP="00EA3146">
            <w:pPr>
              <w:spacing w:line="240" w:lineRule="auto"/>
              <w:jc w:val="right"/>
              <w:rPr>
                <w:rFonts w:cs="Calibri"/>
                <w:b/>
                <w:bCs/>
                <w:szCs w:val="18"/>
              </w:rPr>
            </w:pPr>
            <w:r>
              <w:rPr>
                <w:rFonts w:cs="Calibri"/>
                <w:b/>
                <w:bCs/>
                <w:szCs w:val="18"/>
              </w:rPr>
              <w:t>2014</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nil"/>
              <w:left w:val="single" w:sz="4" w:space="0" w:color="auto"/>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 w:val="16"/>
                <w:szCs w:val="16"/>
              </w:rPr>
            </w:pPr>
            <w:r>
              <w:rPr>
                <w:rFonts w:cs="Calibri"/>
                <w:sz w:val="16"/>
                <w:szCs w:val="16"/>
              </w:rPr>
              <w:t> </w:t>
            </w:r>
          </w:p>
        </w:tc>
        <w:tc>
          <w:tcPr>
            <w:tcW w:w="119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spacing w:line="240" w:lineRule="auto"/>
              <w:jc w:val="right"/>
              <w:rPr>
                <w:rFonts w:cs="Calibri"/>
                <w:b/>
                <w:bCs/>
                <w:szCs w:val="18"/>
              </w:rPr>
            </w:pPr>
            <w:r>
              <w:rPr>
                <w:rFonts w:cs="Calibri"/>
                <w:b/>
                <w:bCs/>
                <w:szCs w:val="18"/>
              </w:rPr>
              <w:t>$'000</w:t>
            </w:r>
          </w:p>
        </w:tc>
        <w:tc>
          <w:tcPr>
            <w:tcW w:w="119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spacing w:line="240" w:lineRule="auto"/>
              <w:jc w:val="right"/>
              <w:rPr>
                <w:rFonts w:cs="Calibri"/>
                <w:b/>
                <w:bCs/>
                <w:szCs w:val="18"/>
              </w:rPr>
            </w:pPr>
            <w:r>
              <w:rPr>
                <w:rFonts w:cs="Calibri"/>
                <w:b/>
                <w:bCs/>
                <w:szCs w:val="18"/>
              </w:rPr>
              <w:t>$'000</w:t>
            </w:r>
          </w:p>
        </w:tc>
        <w:tc>
          <w:tcPr>
            <w:tcW w:w="119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spacing w:line="240" w:lineRule="auto"/>
              <w:jc w:val="right"/>
              <w:rPr>
                <w:rFonts w:cs="Calibri"/>
                <w:b/>
                <w:bCs/>
                <w:szCs w:val="18"/>
              </w:rPr>
            </w:pPr>
            <w:r>
              <w:rPr>
                <w:rFonts w:cs="Calibri"/>
                <w:b/>
                <w:bCs/>
                <w:szCs w:val="18"/>
              </w:rPr>
              <w:t>$'000</w:t>
            </w:r>
          </w:p>
        </w:tc>
        <w:tc>
          <w:tcPr>
            <w:tcW w:w="1196" w:type="dxa"/>
            <w:tcBorders>
              <w:top w:val="nil"/>
              <w:left w:val="nil"/>
              <w:bottom w:val="single" w:sz="4" w:space="0" w:color="auto"/>
              <w:right w:val="single" w:sz="4" w:space="0" w:color="auto"/>
            </w:tcBorders>
            <w:shd w:val="clear" w:color="FFFFFF" w:fill="FFFFFF"/>
            <w:vAlign w:val="bottom"/>
            <w:hideMark/>
          </w:tcPr>
          <w:p w:rsidR="00B26C61" w:rsidRDefault="00B26C61" w:rsidP="00EA3146">
            <w:pPr>
              <w:spacing w:line="240" w:lineRule="auto"/>
              <w:jc w:val="right"/>
              <w:rPr>
                <w:rFonts w:cs="Calibri"/>
                <w:b/>
                <w:bCs/>
                <w:szCs w:val="18"/>
              </w:rPr>
            </w:pPr>
            <w:r>
              <w:rPr>
                <w:rFonts w:cs="Calibri"/>
                <w:b/>
                <w:bCs/>
                <w:szCs w:val="18"/>
              </w:rPr>
              <w:t>$'000</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nil"/>
              <w:left w:val="single" w:sz="4" w:space="0" w:color="auto"/>
              <w:bottom w:val="single" w:sz="4" w:space="0" w:color="auto"/>
              <w:right w:val="single" w:sz="4" w:space="0" w:color="auto"/>
            </w:tcBorders>
            <w:shd w:val="clear" w:color="FFFFFF" w:fill="FFFFFF"/>
            <w:vAlign w:val="bottom"/>
            <w:hideMark/>
          </w:tcPr>
          <w:p w:rsidR="00B26C61" w:rsidRDefault="00B26C61" w:rsidP="00EA3146">
            <w:pPr>
              <w:spacing w:line="240" w:lineRule="auto"/>
              <w:rPr>
                <w:rFonts w:cs="Calibri"/>
                <w:b/>
                <w:bCs/>
                <w:szCs w:val="18"/>
              </w:rPr>
            </w:pPr>
            <w:r>
              <w:rPr>
                <w:rFonts w:cs="Calibri"/>
                <w:b/>
                <w:bCs/>
                <w:szCs w:val="18"/>
              </w:rPr>
              <w:t>Expenses</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 w:val="16"/>
                <w:szCs w:val="16"/>
              </w:rPr>
            </w:pPr>
            <w:r>
              <w:rPr>
                <w:rFonts w:cs="Calibri"/>
                <w:sz w:val="16"/>
                <w:szCs w:val="16"/>
              </w:rPr>
              <w:t>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 w:val="16"/>
                <w:szCs w:val="16"/>
              </w:rPr>
            </w:pPr>
            <w:r>
              <w:rPr>
                <w:rFonts w:cs="Calibri"/>
                <w:sz w:val="16"/>
                <w:szCs w:val="16"/>
              </w:rPr>
              <w:t>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 w:val="16"/>
                <w:szCs w:val="16"/>
              </w:rPr>
            </w:pPr>
            <w:r>
              <w:rPr>
                <w:rFonts w:cs="Calibri"/>
                <w:sz w:val="16"/>
                <w:szCs w:val="16"/>
              </w:rPr>
              <w:t>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 w:val="16"/>
                <w:szCs w:val="16"/>
              </w:rPr>
            </w:pPr>
            <w:r>
              <w:rPr>
                <w:rFonts w:cs="Calibri"/>
                <w:sz w:val="16"/>
                <w:szCs w:val="16"/>
              </w:rPr>
              <w:t>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nil"/>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Employee benefits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121,208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50,340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171,548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Suppliers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64,744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26,890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91,634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Grants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461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1,464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1,925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Depreciation and amortisation</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30,007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13,355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43,362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Other</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14,595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6,062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20,657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B26C61" w:rsidRDefault="00B26C61" w:rsidP="00EA3146">
            <w:pPr>
              <w:spacing w:line="240" w:lineRule="auto"/>
              <w:rPr>
                <w:rFonts w:cs="Calibri"/>
                <w:b/>
                <w:bCs/>
                <w:szCs w:val="18"/>
              </w:rPr>
            </w:pPr>
            <w:r>
              <w:rPr>
                <w:rFonts w:cs="Calibri"/>
                <w:b/>
                <w:bCs/>
                <w:szCs w:val="18"/>
              </w:rPr>
              <w:t>Total expenses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231,015</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98,111</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329,126</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nil"/>
              <w:left w:val="single" w:sz="4" w:space="0" w:color="auto"/>
              <w:bottom w:val="single" w:sz="4" w:space="0" w:color="auto"/>
              <w:right w:val="single" w:sz="4" w:space="0" w:color="auto"/>
            </w:tcBorders>
            <w:shd w:val="clear" w:color="FFFFFF" w:fill="FFFFFF"/>
            <w:vAlign w:val="bottom"/>
            <w:hideMark/>
          </w:tcPr>
          <w:p w:rsidR="00B26C61" w:rsidRDefault="00B26C61" w:rsidP="00EA3146">
            <w:pPr>
              <w:spacing w:line="240" w:lineRule="auto"/>
              <w:rPr>
                <w:rFonts w:cs="Calibri"/>
                <w:b/>
                <w:bCs/>
                <w:szCs w:val="18"/>
              </w:rPr>
            </w:pPr>
            <w:r>
              <w:rPr>
                <w:rFonts w:cs="Calibri"/>
                <w:b/>
                <w:bCs/>
                <w:szCs w:val="18"/>
              </w:rPr>
              <w:t>Income</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nil"/>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Sales of goods and rendering of services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9,985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4,248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14,233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Income from government</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199,432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88,763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288,195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Other</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887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370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1,257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B26C61" w:rsidRDefault="00B26C61" w:rsidP="00EA3146">
            <w:pPr>
              <w:spacing w:line="240" w:lineRule="auto"/>
              <w:rPr>
                <w:rFonts w:cs="Calibri"/>
                <w:b/>
                <w:bCs/>
                <w:szCs w:val="18"/>
              </w:rPr>
            </w:pPr>
            <w:r>
              <w:rPr>
                <w:rFonts w:cs="Calibri"/>
                <w:b/>
                <w:bCs/>
                <w:szCs w:val="18"/>
              </w:rPr>
              <w:t>Total income</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210,304</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93,381</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303,685</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nil"/>
              <w:left w:val="single" w:sz="4" w:space="0" w:color="auto"/>
              <w:bottom w:val="single" w:sz="4" w:space="0" w:color="auto"/>
              <w:right w:val="single" w:sz="4" w:space="0" w:color="auto"/>
            </w:tcBorders>
            <w:shd w:val="clear" w:color="FFFFFF" w:fill="FFFFFF"/>
            <w:vAlign w:val="bottom"/>
            <w:hideMark/>
          </w:tcPr>
          <w:p w:rsidR="00B26C61" w:rsidRDefault="00B26C61" w:rsidP="00EA3146">
            <w:pPr>
              <w:spacing w:line="240" w:lineRule="auto"/>
              <w:rPr>
                <w:rFonts w:cs="Calibri"/>
                <w:b/>
                <w:bCs/>
                <w:szCs w:val="18"/>
              </w:rPr>
            </w:pPr>
            <w:r>
              <w:rPr>
                <w:rFonts w:cs="Calibri"/>
                <w:b/>
                <w:bCs/>
                <w:szCs w:val="18"/>
              </w:rPr>
              <w:t>Assets</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nil"/>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Cash and cash equivalents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5,669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5,669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Trade and other receivables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4,851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2,159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66,444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73,454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Other financial assets</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jc w:val="right"/>
              <w:rPr>
                <w:rFonts w:cs="Calibri"/>
                <w:b/>
                <w:bCs/>
                <w:szCs w:val="18"/>
              </w:rPr>
            </w:pPr>
            <w:r>
              <w:rPr>
                <w:rFonts w:cs="Calibri"/>
                <w:b/>
                <w:bCs/>
                <w:szCs w:val="18"/>
              </w:rPr>
              <w:t xml:space="preserve">1,918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jc w:val="right"/>
              <w:rPr>
                <w:rFonts w:cs="Calibri"/>
                <w:b/>
                <w:bCs/>
                <w:szCs w:val="18"/>
              </w:rPr>
            </w:pPr>
            <w:r>
              <w:rPr>
                <w:rFonts w:cs="Calibri"/>
                <w:b/>
                <w:bCs/>
                <w:szCs w:val="18"/>
              </w:rPr>
              <w:t xml:space="preserve">686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2,604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Leasehold Improvements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14,545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6,472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21,017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Infrastructure, plant and equipment</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9,067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4,035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13,102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Intangibles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34,009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6,002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40,011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Other non-financial assets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13,524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2,526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16,050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B26C61" w:rsidRDefault="00B26C61" w:rsidP="00EA3146">
            <w:pPr>
              <w:spacing w:line="240" w:lineRule="auto"/>
              <w:rPr>
                <w:rFonts w:cs="Calibri"/>
                <w:b/>
                <w:bCs/>
                <w:szCs w:val="18"/>
              </w:rPr>
            </w:pPr>
            <w:r>
              <w:rPr>
                <w:rFonts w:cs="Calibri"/>
                <w:b/>
                <w:bCs/>
                <w:szCs w:val="18"/>
              </w:rPr>
              <w:t>Total assets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77,914</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21,880</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72,113</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171,907</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nil"/>
              <w:left w:val="single" w:sz="4" w:space="0" w:color="auto"/>
              <w:bottom w:val="single" w:sz="4" w:space="0" w:color="auto"/>
              <w:right w:val="single" w:sz="4" w:space="0" w:color="auto"/>
            </w:tcBorders>
            <w:shd w:val="clear" w:color="FFFFFF" w:fill="FFFFFF"/>
            <w:vAlign w:val="bottom"/>
            <w:hideMark/>
          </w:tcPr>
          <w:p w:rsidR="00B26C61" w:rsidRDefault="00B26C61" w:rsidP="00EA3146">
            <w:pPr>
              <w:spacing w:line="240" w:lineRule="auto"/>
              <w:rPr>
                <w:rFonts w:cs="Calibri"/>
                <w:b/>
                <w:bCs/>
                <w:szCs w:val="18"/>
              </w:rPr>
            </w:pPr>
            <w:r>
              <w:rPr>
                <w:rFonts w:cs="Calibri"/>
                <w:b/>
                <w:bCs/>
                <w:szCs w:val="18"/>
              </w:rPr>
              <w:t>Liabilities</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nil"/>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Suppliers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4,253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1,893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6,146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Other payables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21,071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9,376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30,447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Employee provisions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41,219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18,341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59,560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nil"/>
              <w:right w:val="single" w:sz="4" w:space="0" w:color="auto"/>
            </w:tcBorders>
            <w:shd w:val="clear" w:color="FFFFFF" w:fill="FFFFFF"/>
            <w:noWrap/>
            <w:vAlign w:val="bottom"/>
            <w:hideMark/>
          </w:tcPr>
          <w:p w:rsidR="00B26C61" w:rsidRDefault="00B26C61" w:rsidP="00B26C61">
            <w:pPr>
              <w:spacing w:line="240" w:lineRule="auto"/>
              <w:ind w:firstLineChars="100" w:firstLine="180"/>
              <w:rPr>
                <w:rFonts w:cs="Calibri"/>
                <w:szCs w:val="18"/>
              </w:rPr>
            </w:pPr>
            <w:r>
              <w:rPr>
                <w:rFonts w:cs="Calibri"/>
                <w:szCs w:val="18"/>
              </w:rPr>
              <w:t>Other provisions</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jc w:val="right"/>
              <w:rPr>
                <w:rFonts w:cs="Calibri"/>
                <w:b/>
                <w:bCs/>
                <w:szCs w:val="18"/>
              </w:rPr>
            </w:pPr>
            <w:r>
              <w:rPr>
                <w:rFonts w:cs="Calibri"/>
                <w:b/>
                <w:bCs/>
                <w:szCs w:val="18"/>
              </w:rPr>
              <w:t xml:space="preserve">910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jc w:val="right"/>
              <w:rPr>
                <w:rFonts w:cs="Calibri"/>
                <w:b/>
                <w:bCs/>
                <w:szCs w:val="18"/>
              </w:rPr>
            </w:pPr>
            <w:r>
              <w:rPr>
                <w:rFonts w:cs="Calibri"/>
                <w:b/>
                <w:bCs/>
                <w:szCs w:val="18"/>
              </w:rPr>
              <w:t xml:space="preserve">405 </w:t>
            </w:r>
          </w:p>
        </w:tc>
        <w:tc>
          <w:tcPr>
            <w:tcW w:w="1196" w:type="dxa"/>
            <w:tcBorders>
              <w:top w:val="nil"/>
              <w:left w:val="nil"/>
              <w:bottom w:val="single" w:sz="4" w:space="0" w:color="auto"/>
              <w:right w:val="single" w:sz="4" w:space="0" w:color="auto"/>
            </w:tcBorders>
            <w:shd w:val="clear" w:color="FFFFFF" w:fill="FFFFFF"/>
            <w:noWrap/>
            <w:hideMark/>
          </w:tcPr>
          <w:p w:rsidR="00B26C61" w:rsidRDefault="00B26C61" w:rsidP="00EA3146">
            <w:pPr>
              <w:spacing w:line="240" w:lineRule="auto"/>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 xml:space="preserve">1,315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B26C61" w:rsidRDefault="00B26C61" w:rsidP="00EA3146">
            <w:pPr>
              <w:spacing w:line="240" w:lineRule="auto"/>
              <w:rPr>
                <w:rFonts w:cs="Calibri"/>
                <w:b/>
                <w:bCs/>
                <w:szCs w:val="18"/>
              </w:rPr>
            </w:pPr>
            <w:r>
              <w:rPr>
                <w:rFonts w:cs="Calibri"/>
                <w:b/>
                <w:bCs/>
                <w:szCs w:val="18"/>
              </w:rPr>
              <w:t>Total liabilities</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67,453</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30,015</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w:t>
            </w:r>
          </w:p>
        </w:tc>
        <w:tc>
          <w:tcPr>
            <w:tcW w:w="1196" w:type="dxa"/>
            <w:tcBorders>
              <w:top w:val="nil"/>
              <w:left w:val="nil"/>
              <w:bottom w:val="single" w:sz="4" w:space="0" w:color="auto"/>
              <w:right w:val="single" w:sz="4" w:space="0" w:color="auto"/>
            </w:tcBorders>
            <w:shd w:val="clear" w:color="FFFFFF" w:fill="FFFFFF"/>
            <w:noWrap/>
            <w:vAlign w:val="bottom"/>
            <w:hideMark/>
          </w:tcPr>
          <w:p w:rsidR="00B26C61" w:rsidRDefault="00B26C61" w:rsidP="00EA3146">
            <w:pPr>
              <w:spacing w:line="240" w:lineRule="auto"/>
              <w:jc w:val="right"/>
              <w:rPr>
                <w:rFonts w:cs="Calibri"/>
                <w:b/>
                <w:bCs/>
                <w:szCs w:val="18"/>
              </w:rPr>
            </w:pPr>
            <w:r>
              <w:rPr>
                <w:rFonts w:cs="Calibri"/>
                <w:b/>
                <w:bCs/>
                <w:szCs w:val="18"/>
              </w:rPr>
              <w:t>97,468</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r w:rsidR="00B26C61" w:rsidTr="00EA3146">
        <w:trPr>
          <w:trHeight w:val="113"/>
        </w:trPr>
        <w:tc>
          <w:tcPr>
            <w:tcW w:w="447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FFFFFF" w:fill="FFFFFF"/>
            <w:noWrap/>
            <w:vAlign w:val="bottom"/>
            <w:hideMark/>
          </w:tcPr>
          <w:p w:rsidR="00B26C61" w:rsidRDefault="00B26C61" w:rsidP="00EA3146">
            <w:pPr>
              <w:spacing w:line="240" w:lineRule="auto"/>
              <w:rPr>
                <w:rFonts w:cs="Calibri"/>
                <w:szCs w:val="18"/>
              </w:rPr>
            </w:pPr>
            <w:r>
              <w:rPr>
                <w:rFonts w:cs="Calibri"/>
                <w:szCs w:val="18"/>
              </w:rPr>
              <w:t> </w:t>
            </w:r>
          </w:p>
        </w:tc>
        <w:tc>
          <w:tcPr>
            <w:tcW w:w="1196" w:type="dxa"/>
            <w:tcBorders>
              <w:top w:val="nil"/>
              <w:left w:val="nil"/>
              <w:bottom w:val="nil"/>
              <w:right w:val="nil"/>
            </w:tcBorders>
            <w:shd w:val="clear" w:color="auto" w:fill="auto"/>
            <w:noWrap/>
            <w:vAlign w:val="bottom"/>
            <w:hideMark/>
          </w:tcPr>
          <w:p w:rsidR="00B26C61" w:rsidRDefault="00B26C61" w:rsidP="00EA3146">
            <w:pPr>
              <w:spacing w:line="240" w:lineRule="auto"/>
              <w:rPr>
                <w:rFonts w:cs="Calibri"/>
                <w:sz w:val="20"/>
              </w:rPr>
            </w:pPr>
          </w:p>
        </w:tc>
      </w:tr>
    </w:tbl>
    <w:p w:rsidR="00B26C61" w:rsidRDefault="00B26C61" w:rsidP="00B26C61">
      <w:pPr>
        <w:pStyle w:val="ReferenceText"/>
      </w:pPr>
      <w:bookmarkStart w:id="489" w:name="RANGE!D34:N102"/>
      <w:bookmarkStart w:id="490" w:name="RANGE!D34:N105"/>
      <w:bookmarkStart w:id="491" w:name="RANGE!D34:J105"/>
      <w:bookmarkStart w:id="492" w:name="RANGE!D34:L105"/>
      <w:bookmarkStart w:id="493" w:name="RANGE!D34:L101"/>
      <w:bookmarkStart w:id="494" w:name="RANGE!D34:L104"/>
      <w:bookmarkStart w:id="495" w:name="RANGE!D34:L103"/>
      <w:bookmarkStart w:id="496" w:name="RANGE!D34:L102"/>
      <w:bookmarkStart w:id="497" w:name="RANGE!D44:L76"/>
      <w:bookmarkStart w:id="498" w:name="RANGE!D33:L101"/>
      <w:bookmarkStart w:id="499" w:name="RANGE!D33:L102"/>
      <w:bookmarkStart w:id="500" w:name="RANGE!D33:L103"/>
      <w:bookmarkEnd w:id="489"/>
      <w:bookmarkEnd w:id="490"/>
      <w:bookmarkEnd w:id="491"/>
      <w:bookmarkEnd w:id="492"/>
      <w:bookmarkEnd w:id="493"/>
      <w:bookmarkEnd w:id="494"/>
      <w:bookmarkEnd w:id="495"/>
      <w:bookmarkEnd w:id="496"/>
      <w:bookmarkEnd w:id="497"/>
      <w:bookmarkEnd w:id="498"/>
      <w:bookmarkEnd w:id="499"/>
      <w:bookmarkEnd w:id="500"/>
    </w:p>
    <w:p w:rsidR="00B26C61" w:rsidRDefault="00B26C61" w:rsidP="00B26C61">
      <w:pPr>
        <w:pStyle w:val="ReferenceText"/>
      </w:pPr>
      <w:r>
        <w:t xml:space="preserve">Outcomes are described in Note 1.1. Net costs shown include intra-government costs that are eliminated in calculating the actual Budget Outcome. Refer to </w:t>
      </w:r>
      <w:r w:rsidRPr="00617E8A">
        <w:t>Appendix 3</w:t>
      </w:r>
      <w:r>
        <w:t xml:space="preserve"> of this annual report for Agency resource statements and resources.  </w:t>
      </w:r>
    </w:p>
    <w:p w:rsidR="00B26C61" w:rsidRDefault="00B26C61" w:rsidP="00B26C61">
      <w:pPr>
        <w:pStyle w:val="ReferenceText"/>
      </w:pPr>
      <w:proofErr w:type="gramStart"/>
      <w:r w:rsidRPr="007B6CEC">
        <w:rPr>
          <w:vertAlign w:val="superscript"/>
        </w:rPr>
        <w:t>#</w:t>
      </w:r>
      <w:r>
        <w:t xml:space="preserve"> Assets and liabilities that could not be reliably attributed to outcomes.</w:t>
      </w:r>
      <w:proofErr w:type="gramEnd"/>
    </w:p>
    <w:tbl>
      <w:tblPr>
        <w:tblW w:w="13991" w:type="dxa"/>
        <w:tblInd w:w="80" w:type="dxa"/>
        <w:tblLayout w:type="fixed"/>
        <w:tblLook w:val="04A0" w:firstRow="1" w:lastRow="0" w:firstColumn="1" w:lastColumn="0" w:noHBand="0" w:noVBand="1"/>
      </w:tblPr>
      <w:tblGrid>
        <w:gridCol w:w="5707"/>
        <w:gridCol w:w="2071"/>
        <w:gridCol w:w="2071"/>
        <w:gridCol w:w="2071"/>
        <w:gridCol w:w="2071"/>
      </w:tblGrid>
      <w:tr w:rsidR="00B26C61" w:rsidTr="00EA3146">
        <w:trPr>
          <w:trHeight w:val="255"/>
        </w:trPr>
        <w:tc>
          <w:tcPr>
            <w:tcW w:w="8080" w:type="dxa"/>
            <w:gridSpan w:val="5"/>
            <w:tcBorders>
              <w:top w:val="nil"/>
              <w:left w:val="nil"/>
              <w:bottom w:val="single" w:sz="4" w:space="0" w:color="auto"/>
              <w:right w:val="nil"/>
            </w:tcBorders>
            <w:shd w:val="clear" w:color="auto" w:fill="auto"/>
            <w:noWrap/>
            <w:vAlign w:val="center"/>
            <w:hideMark/>
          </w:tcPr>
          <w:p w:rsidR="00B26C61" w:rsidRDefault="00B26C61" w:rsidP="00EA3146">
            <w:pPr>
              <w:rPr>
                <w:rFonts w:cs="Calibri"/>
                <w:b/>
                <w:bCs/>
                <w:szCs w:val="18"/>
                <w:u w:val="single"/>
              </w:rPr>
            </w:pPr>
            <w:bookmarkStart w:id="501" w:name="RANGE!D7:M35"/>
            <w:bookmarkStart w:id="502" w:name="Note_AMCTABLE1" w:colFirst="0" w:colLast="0"/>
            <w:r>
              <w:rPr>
                <w:rFonts w:cs="Calibri"/>
                <w:b/>
                <w:bCs/>
                <w:szCs w:val="18"/>
                <w:u w:val="single"/>
              </w:rPr>
              <w:lastRenderedPageBreak/>
              <w:t xml:space="preserve">Note </w:t>
            </w:r>
            <w:proofErr w:type="spellStart"/>
            <w:r>
              <w:rPr>
                <w:rFonts w:cs="Calibri"/>
                <w:b/>
                <w:bCs/>
                <w:szCs w:val="18"/>
                <w:u w:val="single"/>
              </w:rPr>
              <w:t>30C</w:t>
            </w:r>
            <w:proofErr w:type="spellEnd"/>
            <w:r>
              <w:rPr>
                <w:rFonts w:cs="Calibri"/>
                <w:b/>
                <w:bCs/>
                <w:szCs w:val="18"/>
                <w:u w:val="single"/>
              </w:rPr>
              <w:t>: Major Classes of Administered Expenses, Income, Assets, and Liabilities by Outcome</w:t>
            </w:r>
            <w:bookmarkEnd w:id="501"/>
          </w:p>
        </w:tc>
      </w:tr>
      <w:tr w:rsidR="00B26C61" w:rsidTr="00EA3146">
        <w:trPr>
          <w:trHeight w:val="405"/>
        </w:trPr>
        <w:tc>
          <w:tcPr>
            <w:tcW w:w="3296" w:type="dxa"/>
            <w:tcBorders>
              <w:top w:val="nil"/>
              <w:left w:val="single" w:sz="4" w:space="0" w:color="auto"/>
              <w:bottom w:val="single" w:sz="4" w:space="0" w:color="D9D9D9"/>
              <w:right w:val="single" w:sz="4" w:space="0" w:color="auto"/>
            </w:tcBorders>
            <w:shd w:val="clear" w:color="000000" w:fill="D9D9D9"/>
            <w:noWrap/>
            <w:hideMark/>
          </w:tcPr>
          <w:p w:rsidR="00B26C61" w:rsidRDefault="00B26C61" w:rsidP="00EA3146">
            <w:pPr>
              <w:rPr>
                <w:rFonts w:ascii="Arial" w:hAnsi="Arial" w:cs="Arial"/>
                <w:sz w:val="16"/>
                <w:szCs w:val="16"/>
              </w:rPr>
            </w:pPr>
            <w:bookmarkStart w:id="503" w:name="RANGE!D8:D35"/>
            <w:bookmarkEnd w:id="502"/>
            <w:r>
              <w:rPr>
                <w:rFonts w:ascii="Arial" w:hAnsi="Arial" w:cs="Arial"/>
                <w:sz w:val="16"/>
                <w:szCs w:val="16"/>
              </w:rPr>
              <w:t> </w:t>
            </w:r>
            <w:bookmarkEnd w:id="503"/>
          </w:p>
        </w:tc>
        <w:tc>
          <w:tcPr>
            <w:tcW w:w="1196" w:type="dxa"/>
            <w:tcBorders>
              <w:top w:val="nil"/>
              <w:left w:val="nil"/>
              <w:bottom w:val="single" w:sz="4" w:space="0" w:color="auto"/>
              <w:right w:val="single" w:sz="4" w:space="0" w:color="auto"/>
            </w:tcBorders>
            <w:shd w:val="clear" w:color="000000" w:fill="D9D9D9"/>
            <w:hideMark/>
          </w:tcPr>
          <w:p w:rsidR="00B26C61" w:rsidRDefault="00B26C61" w:rsidP="00EA3146">
            <w:pPr>
              <w:jc w:val="center"/>
              <w:rPr>
                <w:rFonts w:cs="Calibri"/>
                <w:b/>
                <w:bCs/>
                <w:szCs w:val="18"/>
              </w:rPr>
            </w:pPr>
            <w:r>
              <w:rPr>
                <w:rFonts w:cs="Calibri"/>
                <w:b/>
                <w:bCs/>
                <w:szCs w:val="18"/>
              </w:rPr>
              <w:t>Outcome 1</w:t>
            </w:r>
          </w:p>
        </w:tc>
        <w:tc>
          <w:tcPr>
            <w:tcW w:w="1196" w:type="dxa"/>
            <w:tcBorders>
              <w:top w:val="nil"/>
              <w:left w:val="nil"/>
              <w:bottom w:val="single" w:sz="4" w:space="0" w:color="auto"/>
              <w:right w:val="single" w:sz="4" w:space="0" w:color="auto"/>
            </w:tcBorders>
            <w:shd w:val="clear" w:color="000000" w:fill="D9D9D9"/>
            <w:hideMark/>
          </w:tcPr>
          <w:p w:rsidR="00B26C61" w:rsidRDefault="00B26C61" w:rsidP="00EA3146">
            <w:pPr>
              <w:jc w:val="center"/>
              <w:rPr>
                <w:rFonts w:cs="Calibri"/>
                <w:b/>
                <w:bCs/>
                <w:szCs w:val="18"/>
              </w:rPr>
            </w:pPr>
            <w:r>
              <w:rPr>
                <w:rFonts w:cs="Calibri"/>
                <w:b/>
                <w:bCs/>
                <w:szCs w:val="18"/>
              </w:rPr>
              <w:t>Outcome 2</w:t>
            </w:r>
          </w:p>
        </w:tc>
        <w:tc>
          <w:tcPr>
            <w:tcW w:w="1196" w:type="dxa"/>
            <w:tcBorders>
              <w:top w:val="nil"/>
              <w:left w:val="nil"/>
              <w:bottom w:val="single" w:sz="4" w:space="0" w:color="auto"/>
              <w:right w:val="single" w:sz="4" w:space="0" w:color="auto"/>
            </w:tcBorders>
            <w:shd w:val="clear" w:color="000000" w:fill="D9D9D9"/>
            <w:hideMark/>
          </w:tcPr>
          <w:p w:rsidR="00B26C61" w:rsidRDefault="00B26C61" w:rsidP="00EA3146">
            <w:pPr>
              <w:jc w:val="center"/>
              <w:rPr>
                <w:rFonts w:cs="Calibri"/>
                <w:b/>
                <w:bCs/>
                <w:szCs w:val="18"/>
              </w:rPr>
            </w:pPr>
            <w:r>
              <w:rPr>
                <w:rFonts w:cs="Calibri"/>
                <w:b/>
                <w:bCs/>
                <w:szCs w:val="18"/>
              </w:rPr>
              <w:t>Payments to CAC Act bodies</w:t>
            </w:r>
          </w:p>
        </w:tc>
        <w:tc>
          <w:tcPr>
            <w:tcW w:w="1196" w:type="dxa"/>
            <w:tcBorders>
              <w:top w:val="nil"/>
              <w:left w:val="nil"/>
              <w:bottom w:val="single" w:sz="4" w:space="0" w:color="auto"/>
              <w:right w:val="single" w:sz="4" w:space="0" w:color="auto"/>
            </w:tcBorders>
            <w:shd w:val="clear" w:color="000000" w:fill="D9D9D9"/>
            <w:hideMark/>
          </w:tcPr>
          <w:p w:rsidR="00B26C61" w:rsidRDefault="00B26C61" w:rsidP="00EA3146">
            <w:pPr>
              <w:jc w:val="center"/>
              <w:rPr>
                <w:rFonts w:cs="Calibri"/>
                <w:b/>
                <w:bCs/>
                <w:szCs w:val="18"/>
              </w:rPr>
            </w:pPr>
            <w:r>
              <w:rPr>
                <w:rFonts w:cs="Calibri"/>
                <w:b/>
                <w:bCs/>
                <w:szCs w:val="18"/>
              </w:rPr>
              <w:t>Total</w:t>
            </w:r>
          </w:p>
        </w:tc>
      </w:tr>
      <w:tr w:rsidR="00B26C61" w:rsidTr="00EA3146">
        <w:trPr>
          <w:trHeight w:val="255"/>
        </w:trPr>
        <w:tc>
          <w:tcPr>
            <w:tcW w:w="3296" w:type="dxa"/>
            <w:tcBorders>
              <w:top w:val="nil"/>
              <w:left w:val="single" w:sz="4" w:space="0" w:color="auto"/>
              <w:bottom w:val="single" w:sz="4" w:space="0" w:color="D9D9D9"/>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nil"/>
              <w:right w:val="single" w:sz="4" w:space="0" w:color="auto"/>
            </w:tcBorders>
            <w:shd w:val="clear" w:color="000000" w:fill="D9D9D9"/>
            <w:hideMark/>
          </w:tcPr>
          <w:p w:rsidR="00B26C61" w:rsidRDefault="00B26C61" w:rsidP="00EA3146">
            <w:pPr>
              <w:jc w:val="right"/>
              <w:rPr>
                <w:rFonts w:cs="Calibri"/>
                <w:b/>
                <w:bCs/>
                <w:szCs w:val="18"/>
              </w:rPr>
            </w:pPr>
            <w:r>
              <w:rPr>
                <w:rFonts w:cs="Calibri"/>
                <w:b/>
                <w:bCs/>
                <w:szCs w:val="18"/>
              </w:rPr>
              <w:t>2014</w:t>
            </w:r>
          </w:p>
        </w:tc>
        <w:tc>
          <w:tcPr>
            <w:tcW w:w="1196" w:type="dxa"/>
            <w:tcBorders>
              <w:top w:val="nil"/>
              <w:left w:val="nil"/>
              <w:bottom w:val="nil"/>
              <w:right w:val="single" w:sz="4" w:space="0" w:color="auto"/>
            </w:tcBorders>
            <w:shd w:val="clear" w:color="000000" w:fill="D9D9D9"/>
            <w:hideMark/>
          </w:tcPr>
          <w:p w:rsidR="00B26C61" w:rsidRDefault="00B26C61" w:rsidP="00EA3146">
            <w:pPr>
              <w:jc w:val="right"/>
              <w:rPr>
                <w:rFonts w:cs="Calibri"/>
                <w:b/>
                <w:bCs/>
                <w:szCs w:val="18"/>
              </w:rPr>
            </w:pPr>
            <w:r>
              <w:rPr>
                <w:rFonts w:cs="Calibri"/>
                <w:b/>
                <w:bCs/>
                <w:szCs w:val="18"/>
              </w:rPr>
              <w:t>2014</w:t>
            </w:r>
          </w:p>
        </w:tc>
        <w:tc>
          <w:tcPr>
            <w:tcW w:w="1196" w:type="dxa"/>
            <w:tcBorders>
              <w:top w:val="nil"/>
              <w:left w:val="nil"/>
              <w:bottom w:val="nil"/>
              <w:right w:val="single" w:sz="4" w:space="0" w:color="auto"/>
            </w:tcBorders>
            <w:shd w:val="clear" w:color="000000" w:fill="D9D9D9"/>
            <w:hideMark/>
          </w:tcPr>
          <w:p w:rsidR="00B26C61" w:rsidRDefault="00B26C61" w:rsidP="00EA3146">
            <w:pPr>
              <w:jc w:val="right"/>
              <w:rPr>
                <w:rFonts w:cs="Calibri"/>
                <w:b/>
                <w:bCs/>
                <w:szCs w:val="18"/>
              </w:rPr>
            </w:pPr>
            <w:r>
              <w:rPr>
                <w:rFonts w:cs="Calibri"/>
                <w:b/>
                <w:bCs/>
                <w:szCs w:val="18"/>
              </w:rPr>
              <w:t>2014</w:t>
            </w:r>
          </w:p>
        </w:tc>
        <w:tc>
          <w:tcPr>
            <w:tcW w:w="1196" w:type="dxa"/>
            <w:tcBorders>
              <w:top w:val="nil"/>
              <w:left w:val="nil"/>
              <w:bottom w:val="nil"/>
              <w:right w:val="single" w:sz="4" w:space="0" w:color="auto"/>
            </w:tcBorders>
            <w:shd w:val="clear" w:color="000000" w:fill="D9D9D9"/>
            <w:hideMark/>
          </w:tcPr>
          <w:p w:rsidR="00B26C61" w:rsidRDefault="00B26C61" w:rsidP="00EA3146">
            <w:pPr>
              <w:jc w:val="right"/>
              <w:rPr>
                <w:rFonts w:cs="Calibri"/>
                <w:b/>
                <w:bCs/>
                <w:szCs w:val="18"/>
              </w:rPr>
            </w:pPr>
            <w:r>
              <w:rPr>
                <w:rFonts w:cs="Calibri"/>
                <w:b/>
                <w:bCs/>
                <w:szCs w:val="18"/>
              </w:rPr>
              <w:t>2014</w:t>
            </w:r>
          </w:p>
        </w:tc>
      </w:tr>
      <w:tr w:rsidR="00B26C61" w:rsidTr="00EA3146">
        <w:trPr>
          <w:trHeight w:val="255"/>
        </w:trPr>
        <w:tc>
          <w:tcPr>
            <w:tcW w:w="32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hideMark/>
          </w:tcPr>
          <w:p w:rsidR="00B26C61" w:rsidRDefault="00B26C61" w:rsidP="00EA3146">
            <w:pPr>
              <w:jc w:val="right"/>
              <w:rPr>
                <w:rFonts w:cs="Calibri"/>
                <w:b/>
                <w:bCs/>
                <w:szCs w:val="18"/>
              </w:rPr>
            </w:pPr>
            <w:r>
              <w:rPr>
                <w:rFonts w:cs="Calibri"/>
                <w:b/>
                <w:bCs/>
                <w:szCs w:val="18"/>
              </w:rPr>
              <w:t>$'000</w:t>
            </w:r>
          </w:p>
        </w:tc>
        <w:tc>
          <w:tcPr>
            <w:tcW w:w="1196" w:type="dxa"/>
            <w:tcBorders>
              <w:top w:val="nil"/>
              <w:left w:val="nil"/>
              <w:bottom w:val="single" w:sz="4" w:space="0" w:color="auto"/>
              <w:right w:val="single" w:sz="4" w:space="0" w:color="auto"/>
            </w:tcBorders>
            <w:shd w:val="clear" w:color="000000" w:fill="D9D9D9"/>
            <w:hideMark/>
          </w:tcPr>
          <w:p w:rsidR="00B26C61" w:rsidRDefault="00B26C61" w:rsidP="00EA3146">
            <w:pPr>
              <w:jc w:val="right"/>
              <w:rPr>
                <w:rFonts w:cs="Calibri"/>
                <w:b/>
                <w:bCs/>
                <w:szCs w:val="18"/>
              </w:rPr>
            </w:pPr>
            <w:r>
              <w:rPr>
                <w:rFonts w:cs="Calibri"/>
                <w:b/>
                <w:bCs/>
                <w:szCs w:val="18"/>
              </w:rPr>
              <w:t>$'000</w:t>
            </w:r>
          </w:p>
        </w:tc>
        <w:tc>
          <w:tcPr>
            <w:tcW w:w="1196" w:type="dxa"/>
            <w:tcBorders>
              <w:top w:val="nil"/>
              <w:left w:val="nil"/>
              <w:bottom w:val="single" w:sz="4" w:space="0" w:color="auto"/>
              <w:right w:val="single" w:sz="4" w:space="0" w:color="auto"/>
            </w:tcBorders>
            <w:shd w:val="clear" w:color="000000" w:fill="D9D9D9"/>
            <w:hideMark/>
          </w:tcPr>
          <w:p w:rsidR="00B26C61" w:rsidRDefault="00B26C61" w:rsidP="00EA3146">
            <w:pPr>
              <w:jc w:val="right"/>
              <w:rPr>
                <w:rFonts w:cs="Calibri"/>
                <w:b/>
                <w:bCs/>
                <w:szCs w:val="18"/>
              </w:rPr>
            </w:pPr>
            <w:r>
              <w:rPr>
                <w:rFonts w:cs="Calibri"/>
                <w:b/>
                <w:bCs/>
                <w:szCs w:val="18"/>
              </w:rPr>
              <w:t>$'000</w:t>
            </w:r>
          </w:p>
        </w:tc>
        <w:tc>
          <w:tcPr>
            <w:tcW w:w="1196" w:type="dxa"/>
            <w:tcBorders>
              <w:top w:val="nil"/>
              <w:left w:val="nil"/>
              <w:bottom w:val="single" w:sz="4" w:space="0" w:color="auto"/>
              <w:right w:val="single" w:sz="4" w:space="0" w:color="auto"/>
            </w:tcBorders>
            <w:shd w:val="clear" w:color="000000" w:fill="D9D9D9"/>
            <w:hideMark/>
          </w:tcPr>
          <w:p w:rsidR="00B26C61" w:rsidRDefault="00B26C61" w:rsidP="00EA3146">
            <w:pPr>
              <w:jc w:val="right"/>
              <w:rPr>
                <w:rFonts w:cs="Calibri"/>
                <w:b/>
                <w:bCs/>
                <w:szCs w:val="18"/>
              </w:rPr>
            </w:pPr>
            <w:r>
              <w:rPr>
                <w:rFonts w:cs="Calibri"/>
                <w:b/>
                <w:bCs/>
                <w:szCs w:val="18"/>
              </w:rPr>
              <w:t>$'000</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hideMark/>
          </w:tcPr>
          <w:p w:rsidR="00B26C61" w:rsidRDefault="00B26C61" w:rsidP="00EA3146">
            <w:pPr>
              <w:rPr>
                <w:rFonts w:cs="Calibri"/>
                <w:b/>
                <w:bCs/>
                <w:szCs w:val="18"/>
              </w:rPr>
            </w:pPr>
            <w:r>
              <w:rPr>
                <w:rFonts w:cs="Calibri"/>
                <w:b/>
                <w:bCs/>
                <w:szCs w:val="18"/>
              </w:rPr>
              <w:t>Expenses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Subsidies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28,206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133,578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161,784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Personal benefits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56,812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156,024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212,836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Grants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3,873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33,406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1,433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38,712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Suppliers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1,325,612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7,974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1,333,586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Other</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193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10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203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hideMark/>
          </w:tcPr>
          <w:p w:rsidR="00B26C61" w:rsidRDefault="00B26C61" w:rsidP="00EA3146">
            <w:pPr>
              <w:rPr>
                <w:rFonts w:cs="Calibri"/>
                <w:b/>
                <w:bCs/>
                <w:i/>
                <w:iCs/>
                <w:szCs w:val="18"/>
              </w:rPr>
            </w:pPr>
            <w:r>
              <w:rPr>
                <w:rFonts w:cs="Calibri"/>
                <w:b/>
                <w:bCs/>
                <w:i/>
                <w:iCs/>
                <w:szCs w:val="18"/>
              </w:rPr>
              <w:t>Total expenses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1,414,696</w:t>
            </w:r>
          </w:p>
        </w:tc>
        <w:tc>
          <w:tcPr>
            <w:tcW w:w="11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330,992</w:t>
            </w:r>
          </w:p>
        </w:tc>
        <w:tc>
          <w:tcPr>
            <w:tcW w:w="11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1,433</w:t>
            </w:r>
          </w:p>
        </w:tc>
        <w:tc>
          <w:tcPr>
            <w:tcW w:w="11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1,747,121</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hideMark/>
          </w:tcPr>
          <w:p w:rsidR="00B26C61" w:rsidRDefault="00B26C61" w:rsidP="00EA3146">
            <w:pPr>
              <w:rPr>
                <w:rFonts w:cs="Calibri"/>
                <w:b/>
                <w:bCs/>
                <w:szCs w:val="18"/>
              </w:rPr>
            </w:pPr>
            <w:r>
              <w:rPr>
                <w:rFonts w:cs="Calibri"/>
                <w:b/>
                <w:bCs/>
                <w:szCs w:val="18"/>
              </w:rPr>
              <w:t>Income</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Taxation</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133,578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133,578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Non-taxation revenue</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2,422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18,331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20,753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Gains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155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155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hideMark/>
          </w:tcPr>
          <w:p w:rsidR="00B26C61" w:rsidRDefault="00B26C61" w:rsidP="00EA3146">
            <w:pPr>
              <w:rPr>
                <w:rFonts w:cs="Calibri"/>
                <w:b/>
                <w:bCs/>
                <w:i/>
                <w:iCs/>
                <w:szCs w:val="18"/>
              </w:rPr>
            </w:pPr>
            <w:r>
              <w:rPr>
                <w:rFonts w:cs="Calibri"/>
                <w:b/>
                <w:bCs/>
                <w:i/>
                <w:iCs/>
                <w:szCs w:val="18"/>
              </w:rPr>
              <w:t>Total income</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2,577</w:t>
            </w:r>
          </w:p>
        </w:tc>
        <w:tc>
          <w:tcPr>
            <w:tcW w:w="11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151,909</w:t>
            </w:r>
          </w:p>
        </w:tc>
        <w:tc>
          <w:tcPr>
            <w:tcW w:w="11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w:t>
            </w:r>
          </w:p>
        </w:tc>
        <w:tc>
          <w:tcPr>
            <w:tcW w:w="11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154,486</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hideMark/>
          </w:tcPr>
          <w:p w:rsidR="00B26C61" w:rsidRDefault="00B26C61" w:rsidP="00EA3146">
            <w:pPr>
              <w:rPr>
                <w:rFonts w:cs="Calibri"/>
                <w:b/>
                <w:bCs/>
                <w:szCs w:val="18"/>
              </w:rPr>
            </w:pPr>
            <w:r>
              <w:rPr>
                <w:rFonts w:cs="Calibri"/>
                <w:b/>
                <w:bCs/>
                <w:szCs w:val="18"/>
              </w:rPr>
              <w:t>Assets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Cash and cash equivalents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Receivables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10,186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13,154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23,340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Investments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145,477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145,477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Other non-financial assets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4,968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4,968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hideMark/>
          </w:tcPr>
          <w:p w:rsidR="00B26C61" w:rsidRDefault="00B26C61" w:rsidP="00EA3146">
            <w:pPr>
              <w:rPr>
                <w:rFonts w:cs="Calibri"/>
                <w:b/>
                <w:bCs/>
                <w:i/>
                <w:iCs/>
                <w:szCs w:val="18"/>
              </w:rPr>
            </w:pPr>
            <w:r>
              <w:rPr>
                <w:rFonts w:cs="Calibri"/>
                <w:b/>
                <w:bCs/>
                <w:i/>
                <w:iCs/>
                <w:szCs w:val="18"/>
              </w:rPr>
              <w:t>Total assets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10,186</w:t>
            </w:r>
          </w:p>
        </w:tc>
        <w:tc>
          <w:tcPr>
            <w:tcW w:w="11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163,599</w:t>
            </w:r>
          </w:p>
        </w:tc>
        <w:tc>
          <w:tcPr>
            <w:tcW w:w="11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w:t>
            </w:r>
          </w:p>
        </w:tc>
        <w:tc>
          <w:tcPr>
            <w:tcW w:w="11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173,785</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hideMark/>
          </w:tcPr>
          <w:p w:rsidR="00B26C61" w:rsidRDefault="00B26C61" w:rsidP="00EA3146">
            <w:pPr>
              <w:rPr>
                <w:rFonts w:cs="Calibri"/>
                <w:b/>
                <w:bCs/>
                <w:szCs w:val="18"/>
              </w:rPr>
            </w:pPr>
            <w:r>
              <w:rPr>
                <w:rFonts w:cs="Calibri"/>
                <w:b/>
                <w:bCs/>
                <w:szCs w:val="18"/>
              </w:rPr>
              <w:t>Liabilities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rPr>
                <w:rFonts w:ascii="Arial" w:hAnsi="Arial" w:cs="Arial"/>
                <w:sz w:val="16"/>
                <w:szCs w:val="16"/>
              </w:rPr>
            </w:pPr>
            <w:r>
              <w:rPr>
                <w:rFonts w:ascii="Arial" w:hAnsi="Arial" w:cs="Arial"/>
                <w:sz w:val="16"/>
                <w:szCs w:val="16"/>
              </w:rPr>
              <w:t>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Suppliers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21,539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102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21,641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Subsidies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1,604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13,206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14,810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Personal benefits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2,240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7,201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9,441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Grants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459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459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noWrap/>
            <w:vAlign w:val="bottom"/>
            <w:hideMark/>
          </w:tcPr>
          <w:p w:rsidR="00B26C61" w:rsidRDefault="00B26C61" w:rsidP="00B26C61">
            <w:pPr>
              <w:ind w:firstLineChars="100" w:firstLine="180"/>
              <w:rPr>
                <w:rFonts w:cs="Calibri"/>
                <w:szCs w:val="18"/>
              </w:rPr>
            </w:pPr>
            <w:r>
              <w:rPr>
                <w:rFonts w:cs="Calibri"/>
                <w:szCs w:val="18"/>
              </w:rPr>
              <w:t>Other payables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14,752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2,769,251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 -</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 xml:space="preserve">2,784,003 </w:t>
            </w:r>
          </w:p>
        </w:tc>
      </w:tr>
      <w:tr w:rsidR="00B26C61" w:rsidTr="00EA3146">
        <w:trPr>
          <w:trHeight w:val="210"/>
        </w:trPr>
        <w:tc>
          <w:tcPr>
            <w:tcW w:w="3296" w:type="dxa"/>
            <w:tcBorders>
              <w:top w:val="nil"/>
              <w:left w:val="single" w:sz="4" w:space="0" w:color="auto"/>
              <w:bottom w:val="single" w:sz="4" w:space="0" w:color="auto"/>
              <w:right w:val="single" w:sz="4" w:space="0" w:color="auto"/>
            </w:tcBorders>
            <w:shd w:val="clear" w:color="000000" w:fill="D9D9D9"/>
            <w:hideMark/>
          </w:tcPr>
          <w:p w:rsidR="00B26C61" w:rsidRDefault="00B26C61" w:rsidP="00EA3146">
            <w:pPr>
              <w:rPr>
                <w:rFonts w:cs="Calibri"/>
                <w:b/>
                <w:bCs/>
                <w:i/>
                <w:iCs/>
                <w:szCs w:val="18"/>
              </w:rPr>
            </w:pPr>
            <w:r>
              <w:rPr>
                <w:rFonts w:cs="Calibri"/>
                <w:b/>
                <w:bCs/>
                <w:i/>
                <w:iCs/>
                <w:szCs w:val="18"/>
              </w:rPr>
              <w:t>Total liabilities</w:t>
            </w:r>
          </w:p>
        </w:tc>
        <w:tc>
          <w:tcPr>
            <w:tcW w:w="1196" w:type="dxa"/>
            <w:tcBorders>
              <w:top w:val="nil"/>
              <w:left w:val="nil"/>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40,594</w:t>
            </w:r>
          </w:p>
        </w:tc>
        <w:tc>
          <w:tcPr>
            <w:tcW w:w="11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2,789,760</w:t>
            </w:r>
          </w:p>
        </w:tc>
        <w:tc>
          <w:tcPr>
            <w:tcW w:w="11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w:t>
            </w:r>
          </w:p>
        </w:tc>
        <w:tc>
          <w:tcPr>
            <w:tcW w:w="1196" w:type="dxa"/>
            <w:tcBorders>
              <w:top w:val="nil"/>
              <w:left w:val="single" w:sz="4" w:space="0" w:color="auto"/>
              <w:bottom w:val="single" w:sz="4" w:space="0" w:color="auto"/>
              <w:right w:val="single" w:sz="4" w:space="0" w:color="auto"/>
            </w:tcBorders>
            <w:shd w:val="clear" w:color="000000" w:fill="D9D9D9"/>
            <w:noWrap/>
            <w:hideMark/>
          </w:tcPr>
          <w:p w:rsidR="00B26C61" w:rsidRDefault="00B26C61" w:rsidP="00EA3146">
            <w:pPr>
              <w:jc w:val="right"/>
              <w:rPr>
                <w:rFonts w:cs="Calibri"/>
                <w:b/>
                <w:bCs/>
                <w:szCs w:val="18"/>
              </w:rPr>
            </w:pPr>
            <w:r>
              <w:rPr>
                <w:rFonts w:cs="Calibri"/>
                <w:b/>
                <w:bCs/>
                <w:szCs w:val="18"/>
              </w:rPr>
              <w:t>2,830,354</w:t>
            </w:r>
          </w:p>
        </w:tc>
      </w:tr>
    </w:tbl>
    <w:p w:rsidR="00B26C61" w:rsidRPr="001C0B11" w:rsidRDefault="00B26C61" w:rsidP="00B26C61">
      <w:pPr>
        <w:pStyle w:val="ReferenceText"/>
        <w:rPr>
          <w:szCs w:val="18"/>
        </w:rPr>
      </w:pPr>
      <w:bookmarkStart w:id="504" w:name="RANGE!D45:L77"/>
      <w:bookmarkStart w:id="505" w:name="RANGE!D46:L79"/>
      <w:bookmarkEnd w:id="504"/>
      <w:bookmarkEnd w:id="505"/>
      <w:r w:rsidRPr="001C0B11">
        <w:rPr>
          <w:szCs w:val="18"/>
        </w:rPr>
        <w:t xml:space="preserve">Outcomes are described in Note 1.1. Net costs shown include intra-government costs that are eliminated in calculating the actual Budget Outcome. Refer to </w:t>
      </w:r>
      <w:r w:rsidRPr="00617E8A">
        <w:rPr>
          <w:szCs w:val="18"/>
        </w:rPr>
        <w:t>Appendix 3</w:t>
      </w:r>
      <w:r>
        <w:rPr>
          <w:szCs w:val="18"/>
        </w:rPr>
        <w:t xml:space="preserve"> </w:t>
      </w:r>
      <w:r w:rsidRPr="001C0B11">
        <w:rPr>
          <w:szCs w:val="18"/>
        </w:rPr>
        <w:t xml:space="preserve">of this annual report for Agency resource statements and resources.  </w:t>
      </w:r>
    </w:p>
    <w:p w:rsidR="00B26C61" w:rsidRPr="001C0B11" w:rsidRDefault="00B26C61" w:rsidP="00B26C61">
      <w:pPr>
        <w:pStyle w:val="ReferenceText"/>
        <w:rPr>
          <w:szCs w:val="18"/>
        </w:rPr>
      </w:pPr>
      <w:r w:rsidRPr="001C0B11">
        <w:rPr>
          <w:szCs w:val="18"/>
        </w:rPr>
        <w:t>* Assets, liabilities and income that could not be reliably attributed to outcomes.</w:t>
      </w:r>
    </w:p>
    <w:p w:rsidR="00B26C61" w:rsidRDefault="00B26C61" w:rsidP="00B26C61">
      <w:pPr>
        <w:spacing w:line="240" w:lineRule="auto"/>
        <w:sectPr w:rsidR="00B26C61">
          <w:pgSz w:w="16838" w:h="11906" w:orient="landscape"/>
          <w:pgMar w:top="1134" w:right="1134" w:bottom="964" w:left="1134" w:header="958" w:footer="737" w:gutter="0"/>
          <w:cols w:space="720"/>
        </w:sectPr>
      </w:pPr>
    </w:p>
    <w:p w:rsidR="00B26C61" w:rsidRPr="00EF7935" w:rsidRDefault="00B26C61" w:rsidP="00B26C61">
      <w:pPr>
        <w:pStyle w:val="NotesHeading-Level1"/>
        <w:numPr>
          <w:ilvl w:val="0"/>
          <w:numId w:val="31"/>
        </w:numPr>
      </w:pPr>
      <w:bookmarkStart w:id="506" w:name="_Toc398813173"/>
      <w:r w:rsidRPr="00EF7935">
        <w:lastRenderedPageBreak/>
        <w:t>Net Cash Appropriation Arrangements</w:t>
      </w:r>
      <w:bookmarkEnd w:id="506"/>
    </w:p>
    <w:tbl>
      <w:tblPr>
        <w:tblW w:w="9087" w:type="dxa"/>
        <w:tblInd w:w="80" w:type="dxa"/>
        <w:tblLayout w:type="fixed"/>
        <w:tblLook w:val="04A0" w:firstRow="1" w:lastRow="0" w:firstColumn="1" w:lastColumn="0" w:noHBand="0" w:noVBand="1"/>
      </w:tblPr>
      <w:tblGrid>
        <w:gridCol w:w="7863"/>
        <w:gridCol w:w="1224"/>
      </w:tblGrid>
      <w:tr w:rsidR="00B26C61" w:rsidTr="00EA3146">
        <w:trPr>
          <w:trHeight w:val="240"/>
        </w:trPr>
        <w:tc>
          <w:tcPr>
            <w:tcW w:w="66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bookmarkStart w:id="507" w:name="Note_NCATABLE1" w:colFirst="0" w:colLast="0"/>
            <w:r>
              <w:rPr>
                <w:rFonts w:ascii="Arial" w:hAnsi="Arial" w:cs="Arial"/>
                <w:szCs w:val="18"/>
              </w:rPr>
              <w:t> </w:t>
            </w:r>
          </w:p>
        </w:tc>
        <w:tc>
          <w:tcPr>
            <w:tcW w:w="103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2014</w:t>
            </w:r>
          </w:p>
        </w:tc>
      </w:tr>
      <w:bookmarkEnd w:id="507"/>
      <w:tr w:rsidR="00B26C61" w:rsidTr="00EA3146">
        <w:trPr>
          <w:trHeight w:val="240"/>
        </w:trPr>
        <w:tc>
          <w:tcPr>
            <w:tcW w:w="6656" w:type="dxa"/>
            <w:tcBorders>
              <w:top w:val="nil"/>
              <w:left w:val="nil"/>
              <w:bottom w:val="nil"/>
              <w:right w:val="nil"/>
            </w:tcBorders>
            <w:shd w:val="clear" w:color="FFFFFF" w:fill="FFFFFF"/>
            <w:noWrap/>
            <w:vAlign w:val="bottom"/>
            <w:hideMark/>
          </w:tcPr>
          <w:p w:rsidR="00B26C61" w:rsidRDefault="00B26C61" w:rsidP="00EA3146">
            <w:pPr>
              <w:rPr>
                <w:rFonts w:ascii="Arial" w:hAnsi="Arial" w:cs="Arial"/>
                <w:szCs w:val="18"/>
              </w:rPr>
            </w:pPr>
            <w:r>
              <w:rPr>
                <w:rFonts w:ascii="Arial" w:hAnsi="Arial" w:cs="Arial"/>
                <w:szCs w:val="18"/>
              </w:rPr>
              <w:t> </w:t>
            </w:r>
          </w:p>
        </w:tc>
        <w:tc>
          <w:tcPr>
            <w:tcW w:w="1036" w:type="dxa"/>
            <w:tcBorders>
              <w:top w:val="nil"/>
              <w:left w:val="nil"/>
              <w:bottom w:val="nil"/>
              <w:right w:val="nil"/>
            </w:tcBorders>
            <w:shd w:val="clear" w:color="FFFFFF" w:fill="FFFFFF"/>
            <w:vAlign w:val="bottom"/>
            <w:hideMark/>
          </w:tcPr>
          <w:p w:rsidR="00B26C61" w:rsidRDefault="00B26C61" w:rsidP="00EA3146">
            <w:pPr>
              <w:jc w:val="right"/>
              <w:rPr>
                <w:rFonts w:cs="Calibri"/>
                <w:b/>
                <w:bCs/>
                <w:szCs w:val="18"/>
              </w:rPr>
            </w:pPr>
            <w:r>
              <w:rPr>
                <w:rFonts w:cs="Calibri"/>
                <w:b/>
                <w:bCs/>
                <w:szCs w:val="18"/>
              </w:rPr>
              <w:t>$'000</w:t>
            </w:r>
          </w:p>
        </w:tc>
      </w:tr>
      <w:tr w:rsidR="00B26C61" w:rsidTr="00EA3146">
        <w:trPr>
          <w:trHeight w:val="510"/>
        </w:trPr>
        <w:tc>
          <w:tcPr>
            <w:tcW w:w="665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 xml:space="preserve">Total comprehensive income less depreciation/amortisation expenses previously funded through revenue </w:t>
            </w:r>
            <w:proofErr w:type="spellStart"/>
            <w:r>
              <w:rPr>
                <w:rFonts w:cs="Calibri"/>
                <w:b/>
                <w:bCs/>
                <w:i/>
                <w:iCs/>
                <w:szCs w:val="18"/>
              </w:rPr>
              <w:t>appropriations</w:t>
            </w:r>
            <w:r>
              <w:rPr>
                <w:rFonts w:ascii="Arial" w:hAnsi="Arial" w:cs="Arial"/>
                <w:b/>
                <w:bCs/>
                <w:szCs w:val="18"/>
                <w:vertAlign w:val="superscript"/>
              </w:rPr>
              <w:t>1</w:t>
            </w:r>
            <w:proofErr w:type="spellEnd"/>
          </w:p>
        </w:tc>
        <w:tc>
          <w:tcPr>
            <w:tcW w:w="103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 xml:space="preserve">21,297 </w:t>
            </w:r>
          </w:p>
        </w:tc>
      </w:tr>
      <w:tr w:rsidR="00B26C61" w:rsidTr="00EA3146">
        <w:trPr>
          <w:trHeight w:val="480"/>
        </w:trPr>
        <w:tc>
          <w:tcPr>
            <w:tcW w:w="6656" w:type="dxa"/>
            <w:tcBorders>
              <w:top w:val="nil"/>
              <w:left w:val="nil"/>
              <w:bottom w:val="nil"/>
              <w:right w:val="nil"/>
            </w:tcBorders>
            <w:shd w:val="clear" w:color="FFFFFF" w:fill="FFFFFF"/>
            <w:vAlign w:val="bottom"/>
            <w:hideMark/>
          </w:tcPr>
          <w:p w:rsidR="00B26C61" w:rsidRDefault="00B26C61" w:rsidP="00EA3146">
            <w:pPr>
              <w:rPr>
                <w:rFonts w:cs="Calibri"/>
                <w:szCs w:val="18"/>
              </w:rPr>
            </w:pPr>
            <w:r>
              <w:rPr>
                <w:rFonts w:cs="Calibri"/>
                <w:szCs w:val="18"/>
              </w:rPr>
              <w:t>Plus: depreciation/amortisation expenses previously funded through revenue appropriation</w:t>
            </w:r>
          </w:p>
        </w:tc>
        <w:tc>
          <w:tcPr>
            <w:tcW w:w="1036" w:type="dxa"/>
            <w:tcBorders>
              <w:top w:val="nil"/>
              <w:left w:val="nil"/>
              <w:bottom w:val="nil"/>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(43,362)</w:t>
            </w:r>
          </w:p>
        </w:tc>
      </w:tr>
      <w:tr w:rsidR="00B26C61" w:rsidTr="00EA3146">
        <w:trPr>
          <w:trHeight w:val="270"/>
        </w:trPr>
        <w:tc>
          <w:tcPr>
            <w:tcW w:w="6656" w:type="dxa"/>
            <w:tcBorders>
              <w:top w:val="nil"/>
              <w:left w:val="nil"/>
              <w:bottom w:val="nil"/>
              <w:right w:val="nil"/>
            </w:tcBorders>
            <w:shd w:val="clear" w:color="FFFFFF" w:fill="FFFFFF"/>
            <w:vAlign w:val="bottom"/>
            <w:hideMark/>
          </w:tcPr>
          <w:p w:rsidR="00B26C61" w:rsidRDefault="00B26C61" w:rsidP="00EA3146">
            <w:pPr>
              <w:rPr>
                <w:rFonts w:cs="Calibri"/>
                <w:b/>
                <w:bCs/>
                <w:i/>
                <w:iCs/>
                <w:szCs w:val="18"/>
              </w:rPr>
            </w:pPr>
            <w:r>
              <w:rPr>
                <w:rFonts w:cs="Calibri"/>
                <w:b/>
                <w:bCs/>
                <w:i/>
                <w:iCs/>
                <w:szCs w:val="18"/>
              </w:rPr>
              <w:t>Total comprehensive loss - as per the Statement of Comprehensive Income</w:t>
            </w:r>
          </w:p>
        </w:tc>
        <w:tc>
          <w:tcPr>
            <w:tcW w:w="1036" w:type="dxa"/>
            <w:tcBorders>
              <w:top w:val="single" w:sz="4" w:space="0" w:color="auto"/>
              <w:left w:val="nil"/>
              <w:bottom w:val="double" w:sz="6" w:space="0" w:color="auto"/>
              <w:right w:val="nil"/>
            </w:tcBorders>
            <w:shd w:val="clear" w:color="FFFFFF" w:fill="FFFFFF"/>
            <w:noWrap/>
            <w:vAlign w:val="bottom"/>
            <w:hideMark/>
          </w:tcPr>
          <w:p w:rsidR="00B26C61" w:rsidRDefault="00B26C61" w:rsidP="00EA3146">
            <w:pPr>
              <w:jc w:val="right"/>
              <w:rPr>
                <w:rFonts w:cs="Calibri"/>
                <w:b/>
                <w:bCs/>
                <w:szCs w:val="18"/>
              </w:rPr>
            </w:pPr>
            <w:r>
              <w:rPr>
                <w:rFonts w:cs="Calibri"/>
                <w:b/>
                <w:bCs/>
                <w:szCs w:val="18"/>
              </w:rPr>
              <w:t>(22,065)</w:t>
            </w:r>
          </w:p>
        </w:tc>
      </w:tr>
    </w:tbl>
    <w:p w:rsidR="00B26C61" w:rsidRDefault="00B26C61" w:rsidP="00B26C61">
      <w:bookmarkStart w:id="508" w:name="RANGE!D7:D11"/>
      <w:bookmarkStart w:id="509" w:name="RANGE!D6:D11"/>
      <w:bookmarkEnd w:id="508"/>
      <w:bookmarkEnd w:id="509"/>
    </w:p>
    <w:p w:rsidR="00B26C61" w:rsidRDefault="00B26C61" w:rsidP="00B26C61">
      <w:pPr>
        <w:pStyle w:val="ReferenceText"/>
      </w:pPr>
      <w:r>
        <w:t>1. From 2010-11, the Government introduced net cash appropriation arrangements, where revenue appropriations for depreciation/amortisation expenses ceased. Entities now receive a separate capital budget provided through equity appropriations. Capital budgets are to be appropriated in the period when cash payment for capital expenditure is required.</w:t>
      </w:r>
    </w:p>
    <w:p w:rsidR="00B26C61" w:rsidRDefault="00B26C61" w:rsidP="00B26C61">
      <w:pPr>
        <w:spacing w:line="240" w:lineRule="auto"/>
        <w:rPr>
          <w:rFonts w:asciiTheme="minorHAnsi" w:hAnsiTheme="minorHAnsi" w:cs="Arial"/>
          <w:szCs w:val="18"/>
          <w:lang w:eastAsia="en-AU"/>
        </w:rPr>
      </w:pPr>
    </w:p>
    <w:p w:rsidR="00D903FD" w:rsidRPr="009A4A46" w:rsidRDefault="00D903FD" w:rsidP="009A4A46"/>
    <w:sectPr w:rsidR="00D903FD" w:rsidRPr="009A4A46" w:rsidSect="006346EA">
      <w:headerReference w:type="even" r:id="rId18"/>
      <w:headerReference w:type="default" r:id="rId19"/>
      <w:headerReference w:type="first" r:id="rId2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145">
      <w:pPr>
        <w:spacing w:line="240" w:lineRule="auto"/>
      </w:pPr>
      <w:r>
        <w:separator/>
      </w:r>
    </w:p>
  </w:endnote>
  <w:endnote w:type="continuationSeparator" w:id="0">
    <w:p w:rsidR="00000000" w:rsidRDefault="00155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45" w:rsidRDefault="00155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45" w:rsidRDefault="001551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45" w:rsidRDefault="001551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32147"/>
      <w:docPartObj>
        <w:docPartGallery w:val="Page Numbers (Bottom of Page)"/>
        <w:docPartUnique/>
      </w:docPartObj>
    </w:sdtPr>
    <w:sdtEndPr/>
    <w:sdtContent>
      <w:p w:rsidR="002065BA" w:rsidRDefault="00B26C61">
        <w:pPr>
          <w:pStyle w:val="Footer"/>
          <w:jc w:val="right"/>
        </w:pPr>
        <w:r>
          <w:rPr>
            <w:rFonts w:asciiTheme="minorHAnsi" w:hAnsiTheme="minorHAnsi" w:cstheme="minorHAnsi"/>
          </w:rPr>
          <w:fldChar w:fldCharType="begin"/>
        </w:r>
        <w:r>
          <w:rPr>
            <w:rFonts w:asciiTheme="minorHAnsi" w:hAnsiTheme="minorHAnsi" w:cstheme="minorHAnsi"/>
          </w:rPr>
          <w:instrText xml:space="preserve"> PAGE  \* Arabic  \* MERGEFORMAT </w:instrText>
        </w:r>
        <w:r>
          <w:rPr>
            <w:rFonts w:asciiTheme="minorHAnsi" w:hAnsiTheme="minorHAnsi" w:cstheme="minorHAnsi"/>
          </w:rPr>
          <w:fldChar w:fldCharType="separate"/>
        </w:r>
        <w:r w:rsidR="00155145">
          <w:rPr>
            <w:rFonts w:asciiTheme="minorHAnsi" w:hAnsiTheme="minorHAnsi" w:cstheme="minorHAnsi"/>
            <w:noProof/>
          </w:rPr>
          <w:t>65</w:t>
        </w:r>
        <w:r>
          <w:rPr>
            <w:rFonts w:asciiTheme="minorHAnsi" w:hAnsiTheme="minorHAnsi" w:cstheme="minorHAnsi"/>
          </w:rPr>
          <w:fldChar w:fldCharType="end"/>
        </w:r>
      </w:p>
    </w:sdtContent>
  </w:sdt>
  <w:p w:rsidR="002065BA" w:rsidRDefault="00155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145">
      <w:pPr>
        <w:spacing w:line="240" w:lineRule="auto"/>
      </w:pPr>
      <w:r>
        <w:separator/>
      </w:r>
    </w:p>
  </w:footnote>
  <w:footnote w:type="continuationSeparator" w:id="0">
    <w:p w:rsidR="00000000" w:rsidRDefault="001551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45" w:rsidRDefault="00155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BA" w:rsidRDefault="00B26C61">
    <w:pPr>
      <w:jc w:val="right"/>
    </w:pPr>
    <w:r>
      <w:t>Item 2.1 A</w:t>
    </w:r>
  </w:p>
  <w:p w:rsidR="002065BA" w:rsidRDefault="001551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45" w:rsidRDefault="001551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BA" w:rsidRDefault="001551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BA" w:rsidRDefault="00B26C61">
    <w:pPr>
      <w:rPr>
        <w:rFonts w:asciiTheme="minorHAnsi" w:hAnsiTheme="minorHAnsi" w:cstheme="minorHAnsi"/>
        <w:b/>
        <w:sz w:val="24"/>
        <w:szCs w:val="24"/>
      </w:rPr>
    </w:pPr>
    <w:r w:rsidRPr="003E7A83">
      <w:rPr>
        <w:rFonts w:asciiTheme="minorHAnsi" w:hAnsiTheme="minorHAnsi" w:cstheme="minorHAnsi"/>
        <w:b/>
        <w:sz w:val="24"/>
        <w:szCs w:val="24"/>
      </w:rPr>
      <w:t>Department of Employment</w:t>
    </w:r>
  </w:p>
  <w:p w:rsidR="002065BA" w:rsidRDefault="00B26C61">
    <w:pPr>
      <w:rPr>
        <w:rFonts w:asciiTheme="minorHAnsi" w:hAnsiTheme="minorHAnsi" w:cstheme="minorHAnsi"/>
        <w:b/>
        <w:sz w:val="24"/>
        <w:szCs w:val="24"/>
      </w:rPr>
    </w:pPr>
    <w:r>
      <w:rPr>
        <w:rFonts w:asciiTheme="minorHAnsi" w:hAnsiTheme="minorHAnsi" w:cstheme="minorHAnsi"/>
        <w:b/>
        <w:sz w:val="24"/>
        <w:szCs w:val="24"/>
      </w:rPr>
      <w:t>NOTES TO AND FORMING PART OF THE FINANCIAL STATEMENTS</w:t>
    </w:r>
  </w:p>
  <w:p w:rsidR="002065BA" w:rsidRDefault="00155145">
    <w:pPr>
      <w:rPr>
        <w:rFonts w:ascii="Arial" w:hAnsi="Arial" w:cs="Arial"/>
        <w:b/>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BA" w:rsidRDefault="0015514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BA" w:rsidRDefault="0015514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BA" w:rsidRDefault="00B26C61">
    <w:pPr>
      <w:rPr>
        <w:rFonts w:asciiTheme="minorHAnsi" w:hAnsiTheme="minorHAnsi" w:cstheme="minorHAnsi"/>
        <w:b/>
        <w:sz w:val="24"/>
        <w:szCs w:val="24"/>
      </w:rPr>
    </w:pPr>
    <w:r w:rsidRPr="003E7A83">
      <w:rPr>
        <w:rFonts w:asciiTheme="minorHAnsi" w:hAnsiTheme="minorHAnsi" w:cstheme="minorHAnsi"/>
        <w:b/>
        <w:sz w:val="24"/>
        <w:szCs w:val="24"/>
      </w:rPr>
      <w:t>Department of Employment</w:t>
    </w:r>
  </w:p>
  <w:p w:rsidR="002065BA" w:rsidRDefault="00B26C61">
    <w:pPr>
      <w:rPr>
        <w:rFonts w:asciiTheme="minorHAnsi" w:hAnsiTheme="minorHAnsi" w:cstheme="minorHAnsi"/>
        <w:b/>
        <w:sz w:val="24"/>
        <w:szCs w:val="24"/>
      </w:rPr>
    </w:pPr>
    <w:r>
      <w:rPr>
        <w:rFonts w:asciiTheme="minorHAnsi" w:hAnsiTheme="minorHAnsi" w:cstheme="minorHAnsi"/>
        <w:b/>
        <w:sz w:val="24"/>
        <w:szCs w:val="24"/>
      </w:rPr>
      <w:t>NOTES TO A</w:t>
    </w:r>
    <w:bookmarkStart w:id="510" w:name="_GoBack"/>
    <w:bookmarkEnd w:id="510"/>
    <w:r>
      <w:rPr>
        <w:rFonts w:asciiTheme="minorHAnsi" w:hAnsiTheme="minorHAnsi" w:cstheme="minorHAnsi"/>
        <w:b/>
        <w:sz w:val="24"/>
        <w:szCs w:val="24"/>
      </w:rPr>
      <w:t>ND FORMING PART OF THE FINANCIAL STATEMENTS</w:t>
    </w:r>
  </w:p>
  <w:p w:rsidR="002065BA" w:rsidRDefault="00155145">
    <w:pPr>
      <w:pBdr>
        <w:bottom w:val="single" w:sz="4" w:space="1" w:color="auto"/>
      </w:pBdr>
      <w:rPr>
        <w:rFonts w:ascii="Arial" w:hAnsi="Arial" w:cs="Arial"/>
        <w:b/>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BA" w:rsidRDefault="00155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7C1A10"/>
    <w:lvl w:ilvl="0">
      <w:start w:val="1"/>
      <w:numFmt w:val="decimal"/>
      <w:lvlText w:val="%1."/>
      <w:lvlJc w:val="left"/>
      <w:pPr>
        <w:tabs>
          <w:tab w:val="num" w:pos="1492"/>
        </w:tabs>
        <w:ind w:left="1492" w:hanging="360"/>
      </w:pPr>
    </w:lvl>
  </w:abstractNum>
  <w:abstractNum w:abstractNumId="1">
    <w:nsid w:val="FFFFFF7D"/>
    <w:multiLevelType w:val="singleLevel"/>
    <w:tmpl w:val="766C9A8A"/>
    <w:lvl w:ilvl="0">
      <w:start w:val="1"/>
      <w:numFmt w:val="decimal"/>
      <w:lvlText w:val="%1."/>
      <w:lvlJc w:val="left"/>
      <w:pPr>
        <w:tabs>
          <w:tab w:val="num" w:pos="1209"/>
        </w:tabs>
        <w:ind w:left="1209" w:hanging="360"/>
      </w:pPr>
    </w:lvl>
  </w:abstractNum>
  <w:abstractNum w:abstractNumId="2">
    <w:nsid w:val="FFFFFF7E"/>
    <w:multiLevelType w:val="singleLevel"/>
    <w:tmpl w:val="9F225E1C"/>
    <w:lvl w:ilvl="0">
      <w:start w:val="1"/>
      <w:numFmt w:val="decimal"/>
      <w:lvlText w:val="%1."/>
      <w:lvlJc w:val="left"/>
      <w:pPr>
        <w:tabs>
          <w:tab w:val="num" w:pos="926"/>
        </w:tabs>
        <w:ind w:left="926" w:hanging="360"/>
      </w:pPr>
    </w:lvl>
  </w:abstractNum>
  <w:abstractNum w:abstractNumId="3">
    <w:nsid w:val="FFFFFF7F"/>
    <w:multiLevelType w:val="singleLevel"/>
    <w:tmpl w:val="4C3E7BE0"/>
    <w:lvl w:ilvl="0">
      <w:start w:val="1"/>
      <w:numFmt w:val="decimal"/>
      <w:lvlText w:val="%1."/>
      <w:lvlJc w:val="left"/>
      <w:pPr>
        <w:tabs>
          <w:tab w:val="num" w:pos="643"/>
        </w:tabs>
        <w:ind w:left="643" w:hanging="360"/>
      </w:pPr>
    </w:lvl>
  </w:abstractNum>
  <w:abstractNum w:abstractNumId="4">
    <w:nsid w:val="FFFFFF80"/>
    <w:multiLevelType w:val="singleLevel"/>
    <w:tmpl w:val="05B2BA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C016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D225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3639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D8BFF8"/>
    <w:lvl w:ilvl="0">
      <w:start w:val="1"/>
      <w:numFmt w:val="decimal"/>
      <w:pStyle w:val="ListNumber"/>
      <w:lvlText w:val="%1."/>
      <w:lvlJc w:val="left"/>
      <w:pPr>
        <w:tabs>
          <w:tab w:val="num" w:pos="360"/>
        </w:tabs>
        <w:ind w:left="360" w:hanging="360"/>
      </w:pPr>
    </w:lvl>
  </w:abstractNum>
  <w:abstractNum w:abstractNumId="9">
    <w:nsid w:val="FFFFFF89"/>
    <w:multiLevelType w:val="singleLevel"/>
    <w:tmpl w:val="233035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9C24BFF"/>
    <w:multiLevelType w:val="multilevel"/>
    <w:tmpl w:val="0546908E"/>
    <w:lvl w:ilvl="0">
      <w:start w:val="1"/>
      <w:numFmt w:val="decimal"/>
      <w:lvlText w:val="Note %1:"/>
      <w:lvlJc w:val="left"/>
      <w:pPr>
        <w:tabs>
          <w:tab w:val="num" w:pos="851"/>
        </w:tabs>
        <w:ind w:left="851" w:hanging="851"/>
      </w:pPr>
      <w:rPr>
        <w:rFonts w:ascii="Times New Roman" w:hAnsi="Times New Roman" w:cs="Times New Roman" w:hint="default"/>
        <w:b/>
        <w:i w:val="0"/>
        <w:strike w:val="0"/>
        <w:dstrike w:val="0"/>
        <w:color w:val="auto"/>
        <w:sz w:val="24"/>
        <w:szCs w:val="24"/>
        <w:u w:val="none"/>
        <w:effect w:val="none"/>
      </w:rPr>
    </w:lvl>
    <w:lvl w:ilvl="1">
      <w:start w:val="1"/>
      <w:numFmt w:val="decimal"/>
      <w:lvlText w:val="%1.%2"/>
      <w:lvlJc w:val="left"/>
      <w:pPr>
        <w:tabs>
          <w:tab w:val="num" w:pos="851"/>
        </w:tabs>
        <w:ind w:left="851" w:hanging="851"/>
      </w:pPr>
      <w:rPr>
        <w:rFonts w:asciiTheme="minorHAnsi" w:hAnsiTheme="minorHAnsi" w:cstheme="minorHAnsi" w:hint="default"/>
        <w:b/>
        <w:i w:val="0"/>
        <w:strike w:val="0"/>
        <w:dstrike w:val="0"/>
        <w:color w:val="auto"/>
        <w:sz w:val="18"/>
        <w:szCs w:val="18"/>
        <w:u w:val="none"/>
        <w:effect w:val="none"/>
      </w:rPr>
    </w:lvl>
    <w:lvl w:ilvl="2">
      <w:start w:val="1"/>
      <w:numFmt w:val="lowerLetter"/>
      <w:lvlText w:val="(%3)"/>
      <w:lvlJc w:val="left"/>
      <w:pPr>
        <w:tabs>
          <w:tab w:val="num" w:pos="851"/>
        </w:tabs>
        <w:ind w:left="851" w:hanging="851"/>
      </w:pPr>
      <w:rPr>
        <w:rFonts w:ascii="Times New Roman" w:hAnsi="Times New Roman" w:cs="Times New Roman" w:hint="default"/>
        <w:b/>
        <w:i w:val="0"/>
        <w:sz w:val="20"/>
      </w:rPr>
    </w:lvl>
    <w:lvl w:ilvl="3">
      <w:start w:val="1"/>
      <w:numFmt w:val="lowerRoman"/>
      <w:lvlText w:val="(%4)"/>
      <w:lvlJc w:val="left"/>
      <w:pPr>
        <w:tabs>
          <w:tab w:val="num" w:pos="851"/>
        </w:tabs>
        <w:ind w:left="851" w:hanging="851"/>
      </w:pPr>
      <w:rPr>
        <w:rFonts w:ascii="Arial" w:hAnsi="Arial" w:cs="Times New Roman" w:hint="default"/>
        <w:b w:val="0"/>
        <w:i w:val="0"/>
        <w:sz w:val="20"/>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nsid w:val="1CD95887"/>
    <w:multiLevelType w:val="multilevel"/>
    <w:tmpl w:val="4A2C09A0"/>
    <w:styleLink w:val="Style2"/>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D352C7A"/>
    <w:multiLevelType w:val="hybridMultilevel"/>
    <w:tmpl w:val="DA58D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834BA6"/>
    <w:multiLevelType w:val="multilevel"/>
    <w:tmpl w:val="FA9CBE68"/>
    <w:styleLink w:val="NumberedList"/>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F5F5E1B"/>
    <w:multiLevelType w:val="multilevel"/>
    <w:tmpl w:val="BFE67ED4"/>
    <w:styleLink w:val="Unordered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585F6A5F"/>
    <w:multiLevelType w:val="multilevel"/>
    <w:tmpl w:val="4A2C09A0"/>
    <w:styleLink w:val="CurrentList1"/>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Note %1%2: "/>
      <w:lvlJc w:val="left"/>
      <w:pPr>
        <w:tabs>
          <w:tab w:val="num" w:pos="1532"/>
        </w:tabs>
        <w:ind w:left="1532" w:hanging="992"/>
      </w:pPr>
      <w:rPr>
        <w:rFonts w:ascii="Times New Roman" w:hAnsi="Times New Roman" w:cs="Times New Roman" w:hint="default"/>
        <w:b/>
        <w:i w:val="0"/>
        <w:strike w:val="0"/>
        <w:dstrike w:val="0"/>
        <w:color w:val="auto"/>
        <w:sz w:val="20"/>
        <w:szCs w:val="20"/>
        <w:u w:val="none"/>
        <w:effect w:val="none"/>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B7029F1"/>
    <w:multiLevelType w:val="hybridMultilevel"/>
    <w:tmpl w:val="80A6BF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0670E23"/>
    <w:multiLevelType w:val="singleLevel"/>
    <w:tmpl w:val="FC8C2572"/>
    <w:lvl w:ilvl="0">
      <w:start w:val="1"/>
      <w:numFmt w:val="bullet"/>
      <w:lvlText w:val=""/>
      <w:lvlJc w:val="left"/>
      <w:pPr>
        <w:tabs>
          <w:tab w:val="num" w:pos="360"/>
        </w:tabs>
        <w:ind w:left="357" w:hanging="357"/>
      </w:pPr>
      <w:rPr>
        <w:rFonts w:ascii="Symbol" w:hAnsi="Symbol" w:hint="default"/>
      </w:rPr>
    </w:lvl>
  </w:abstractNum>
  <w:abstractNum w:abstractNumId="19">
    <w:nsid w:val="68E60982"/>
    <w:multiLevelType w:val="hybridMultilevel"/>
    <w:tmpl w:val="FA7E53DE"/>
    <w:lvl w:ilvl="0" w:tplc="0C090001">
      <w:start w:val="1"/>
      <w:numFmt w:val="bullet"/>
      <w:lvlText w:val=""/>
      <w:lvlJc w:val="left"/>
      <w:pPr>
        <w:ind w:left="1571"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6A38338E"/>
    <w:multiLevelType w:val="singleLevel"/>
    <w:tmpl w:val="2922866A"/>
    <w:lvl w:ilvl="0">
      <w:start w:val="1"/>
      <w:numFmt w:val="bullet"/>
      <w:pStyle w:val="NotesHeading-Level1GreyShade"/>
      <w:lvlText w:val=""/>
      <w:lvlJc w:val="left"/>
      <w:pPr>
        <w:tabs>
          <w:tab w:val="num" w:pos="360"/>
        </w:tabs>
        <w:ind w:left="360" w:hanging="360"/>
      </w:pPr>
      <w:rPr>
        <w:rFonts w:ascii="Symbol" w:hAnsi="Symbol" w:cs="Times New Roman" w:hint="default"/>
      </w:rPr>
    </w:lvl>
  </w:abstractNum>
  <w:abstractNum w:abstractNumId="21">
    <w:nsid w:val="72E921FA"/>
    <w:multiLevelType w:val="multilevel"/>
    <w:tmpl w:val="C7CA3E60"/>
    <w:lvl w:ilvl="0">
      <w:start w:val="1"/>
      <w:numFmt w:val="decimal"/>
      <w:pStyle w:val="NotesHeading-Level1"/>
      <w:lvlText w:val="Note %1: "/>
      <w:lvlJc w:val="left"/>
      <w:pPr>
        <w:tabs>
          <w:tab w:val="num" w:pos="851"/>
        </w:tabs>
        <w:ind w:left="1134" w:hanging="1134"/>
      </w:pPr>
      <w:rPr>
        <w:rFonts w:asciiTheme="minorHAnsi" w:hAnsiTheme="minorHAnsi" w:cstheme="minorHAnsi" w:hint="default"/>
        <w:b/>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rPr>
    </w:lvl>
    <w:lvl w:ilvl="1">
      <w:start w:val="1"/>
      <w:numFmt w:val="upperLetter"/>
      <w:pStyle w:val="NotesHeading-Level2"/>
      <w:lvlText w:val="Note %1%2: "/>
      <w:lvlJc w:val="left"/>
      <w:pPr>
        <w:tabs>
          <w:tab w:val="num" w:pos="851"/>
        </w:tabs>
        <w:ind w:left="1532" w:hanging="1532"/>
      </w:pPr>
      <w:rPr>
        <w:rFonts w:ascii="Times New Roman" w:hAnsi="Times New Roman"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735C7398"/>
    <w:multiLevelType w:val="hybridMultilevel"/>
    <w:tmpl w:val="9ED4C658"/>
    <w:lvl w:ilvl="0" w:tplc="2C6EFD44">
      <w:start w:val="1"/>
      <w:numFmt w:val="bullet"/>
      <w:lvlText w:val="-"/>
      <w:lvlJc w:val="left"/>
      <w:pPr>
        <w:ind w:left="720" w:hanging="360"/>
      </w:pPr>
      <w:rPr>
        <w:rFonts w:ascii="Calibri" w:eastAsia="Times New Roman" w:hAnsi="Calibri" w:cs="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742C17D0"/>
    <w:multiLevelType w:val="hybridMultilevel"/>
    <w:tmpl w:val="7BA85834"/>
    <w:lvl w:ilvl="0" w:tplc="0C090001">
      <w:start w:val="1"/>
      <w:numFmt w:val="bullet"/>
      <w:lvlText w:val=""/>
      <w:lvlJc w:val="left"/>
      <w:pPr>
        <w:ind w:left="1571"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7E000E71"/>
    <w:multiLevelType w:val="hybridMultilevel"/>
    <w:tmpl w:val="6DFA9400"/>
    <w:lvl w:ilvl="0" w:tplc="0C090001">
      <w:start w:val="1"/>
      <w:numFmt w:val="bullet"/>
      <w:lvlText w:val=""/>
      <w:lvlJc w:val="left"/>
      <w:pPr>
        <w:ind w:left="4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0"/>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2"/>
  </w:num>
  <w:num w:numId="28">
    <w:abstractNumId w:val="16"/>
  </w:num>
  <w:num w:numId="29">
    <w:abstractNumId w:val="2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61"/>
    <w:rsid w:val="00155145"/>
    <w:rsid w:val="0031168A"/>
    <w:rsid w:val="00360FD2"/>
    <w:rsid w:val="003B0752"/>
    <w:rsid w:val="005536B7"/>
    <w:rsid w:val="00693307"/>
    <w:rsid w:val="006A5448"/>
    <w:rsid w:val="006E3E34"/>
    <w:rsid w:val="006E7816"/>
    <w:rsid w:val="00701C19"/>
    <w:rsid w:val="00842D43"/>
    <w:rsid w:val="009A4A46"/>
    <w:rsid w:val="00AC2B43"/>
    <w:rsid w:val="00AC5468"/>
    <w:rsid w:val="00B26C61"/>
    <w:rsid w:val="00B903D7"/>
    <w:rsid w:val="00D3003F"/>
    <w:rsid w:val="00D903FD"/>
    <w:rsid w:val="00F1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annotation reference" w:uiPriority="0"/>
    <w:lsdException w:name="macro" w:uiPriority="0"/>
    <w:lsdException w:name="List Bullet" w:qFormat="1"/>
    <w:lsdException w:name="List Number" w:qFormat="1"/>
    <w:lsdException w:name="Title" w:semiHidden="0" w:uiPriority="10" w:unhideWhenUsed="0" w:qFormat="1"/>
    <w:lsdException w:name="Signature" w:uiPriority="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26C61"/>
    <w:pPr>
      <w:spacing w:after="0" w:line="260" w:lineRule="atLeast"/>
    </w:pPr>
    <w:rPr>
      <w:rFonts w:ascii="Calibri" w:eastAsia="Times New Roman" w:hAnsi="Calibri" w:cs="Times New Roman"/>
      <w:sz w:val="18"/>
      <w:szCs w:val="20"/>
    </w:rPr>
  </w:style>
  <w:style w:type="paragraph" w:styleId="Heading1">
    <w:name w:val="heading 1"/>
    <w:aliases w:val="Heading 1 do not use,Section heading 1,Front Page Title,1.,Para 1,Para 11"/>
    <w:basedOn w:val="Normal"/>
    <w:next w:val="Normal"/>
    <w:link w:val="Heading1Char"/>
    <w:qFormat/>
    <w:rsid w:val="005536B7"/>
    <w:pPr>
      <w:spacing w:before="480" w:after="120"/>
      <w:contextualSpacing/>
      <w:outlineLvl w:val="0"/>
    </w:pPr>
    <w:rPr>
      <w:rFonts w:eastAsiaTheme="majorEastAsia" w:cstheme="majorBidi"/>
      <w:b/>
      <w:bCs/>
      <w:sz w:val="28"/>
      <w:szCs w:val="28"/>
    </w:rPr>
  </w:style>
  <w:style w:type="paragraph" w:styleId="Heading2">
    <w:name w:val="heading 2"/>
    <w:aliases w:val="Heading 2 do not use,Front Page List of Sections"/>
    <w:basedOn w:val="Normal"/>
    <w:next w:val="Normal"/>
    <w:link w:val="Heading2Char"/>
    <w:qFormat/>
    <w:rsid w:val="00B26C61"/>
    <w:pPr>
      <w:keepNext/>
      <w:spacing w:before="240" w:after="60"/>
      <w:outlineLvl w:val="1"/>
    </w:pPr>
    <w:rPr>
      <w:rFonts w:ascii="Arial" w:eastAsiaTheme="minorEastAsia" w:hAnsi="Arial" w:cs="Arial"/>
      <w:i/>
      <w:iCs/>
      <w:sz w:val="28"/>
      <w:szCs w:val="28"/>
    </w:rPr>
  </w:style>
  <w:style w:type="paragraph" w:styleId="Heading3">
    <w:name w:val="heading 3"/>
    <w:aliases w:val="Heading 3 do not use"/>
    <w:basedOn w:val="Normal"/>
    <w:next w:val="Normal"/>
    <w:link w:val="Heading3Char"/>
    <w:qFormat/>
    <w:rsid w:val="00B26C61"/>
    <w:pPr>
      <w:keepNext/>
      <w:spacing w:before="240" w:after="60"/>
      <w:outlineLvl w:val="2"/>
    </w:pPr>
    <w:rPr>
      <w:rFonts w:ascii="Arial" w:eastAsiaTheme="minorEastAsia" w:hAnsi="Arial" w:cs="Arial"/>
      <w:sz w:val="26"/>
      <w:szCs w:val="26"/>
    </w:rPr>
  </w:style>
  <w:style w:type="paragraph" w:styleId="Heading4">
    <w:name w:val="heading 4"/>
    <w:basedOn w:val="Normal"/>
    <w:link w:val="Heading4Char"/>
    <w:qFormat/>
    <w:rsid w:val="00B26C61"/>
    <w:pPr>
      <w:spacing w:before="130" w:after="130"/>
      <w:outlineLvl w:val="3"/>
    </w:pPr>
    <w:rPr>
      <w:rFonts w:eastAsiaTheme="minorEastAsia"/>
    </w:rPr>
  </w:style>
  <w:style w:type="paragraph" w:styleId="Heading5">
    <w:name w:val="heading 5"/>
    <w:basedOn w:val="Normal"/>
    <w:next w:val="Normal"/>
    <w:link w:val="Heading5Char"/>
    <w:qFormat/>
    <w:rsid w:val="00B26C61"/>
    <w:pPr>
      <w:outlineLvl w:val="4"/>
    </w:pPr>
    <w:rPr>
      <w:rFonts w:eastAsiaTheme="minorEastAsia"/>
    </w:rPr>
  </w:style>
  <w:style w:type="paragraph" w:styleId="Heading6">
    <w:name w:val="heading 6"/>
    <w:basedOn w:val="Normal"/>
    <w:next w:val="Normal"/>
    <w:link w:val="Heading6Char"/>
    <w:qFormat/>
    <w:rsid w:val="00B26C61"/>
    <w:pPr>
      <w:outlineLvl w:val="5"/>
    </w:pPr>
    <w:rPr>
      <w:rFonts w:eastAsiaTheme="minorEastAsia"/>
    </w:rPr>
  </w:style>
  <w:style w:type="paragraph" w:styleId="Heading7">
    <w:name w:val="heading 7"/>
    <w:aliases w:val="Section Sub-Heading 4"/>
    <w:basedOn w:val="Normal"/>
    <w:next w:val="Normal"/>
    <w:link w:val="Heading7Char"/>
    <w:qFormat/>
    <w:rsid w:val="00B26C61"/>
    <w:pPr>
      <w:outlineLvl w:val="6"/>
    </w:pPr>
  </w:style>
  <w:style w:type="paragraph" w:styleId="Heading8">
    <w:name w:val="heading 8"/>
    <w:basedOn w:val="Normal"/>
    <w:next w:val="Normal"/>
    <w:link w:val="Heading8Char"/>
    <w:qFormat/>
    <w:rsid w:val="00B26C61"/>
    <w:pPr>
      <w:outlineLvl w:val="7"/>
    </w:pPr>
  </w:style>
  <w:style w:type="paragraph" w:styleId="Heading9">
    <w:name w:val="heading 9"/>
    <w:basedOn w:val="Normal"/>
    <w:next w:val="Normal"/>
    <w:link w:val="Heading9Char"/>
    <w:qFormat/>
    <w:rsid w:val="00B26C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uiPriority w:val="99"/>
    <w:rsid w:val="00F160D2"/>
    <w:pPr>
      <w:numPr>
        <w:numId w:val="1"/>
      </w:numPr>
    </w:pPr>
  </w:style>
  <w:style w:type="numbering" w:customStyle="1" w:styleId="UnorderedList">
    <w:name w:val="Unordered List"/>
    <w:uiPriority w:val="99"/>
    <w:rsid w:val="00F160D2"/>
    <w:pPr>
      <w:numPr>
        <w:numId w:val="2"/>
      </w:numPr>
    </w:pPr>
  </w:style>
  <w:style w:type="paragraph" w:customStyle="1" w:styleId="BlockQuote">
    <w:name w:val="Block Quote"/>
    <w:basedOn w:val="Quote"/>
    <w:rsid w:val="006E3E34"/>
    <w:pPr>
      <w:spacing w:before="120" w:after="120" w:line="240" w:lineRule="auto"/>
      <w:ind w:left="567" w:right="567"/>
      <w:contextualSpacing/>
    </w:pPr>
    <w:rPr>
      <w:i w:val="0"/>
      <w:noProof/>
      <w:color w:val="auto"/>
      <w:sz w:val="20"/>
    </w:rPr>
  </w:style>
  <w:style w:type="paragraph" w:styleId="Quote">
    <w:name w:val="Quote"/>
    <w:basedOn w:val="Normal"/>
    <w:next w:val="Normal"/>
    <w:link w:val="QuoteChar"/>
    <w:uiPriority w:val="29"/>
    <w:qFormat/>
    <w:rsid w:val="006E3E34"/>
    <w:rPr>
      <w:i/>
      <w:iCs/>
      <w:color w:val="000000" w:themeColor="text1"/>
    </w:rPr>
  </w:style>
  <w:style w:type="character" w:customStyle="1" w:styleId="QuoteChar">
    <w:name w:val="Quote Char"/>
    <w:basedOn w:val="DefaultParagraphFont"/>
    <w:link w:val="Quote"/>
    <w:uiPriority w:val="29"/>
    <w:rsid w:val="006E3E34"/>
    <w:rPr>
      <w:i/>
      <w:iCs/>
      <w:color w:val="000000" w:themeColor="text1"/>
    </w:rPr>
  </w:style>
  <w:style w:type="paragraph" w:styleId="ListNumber">
    <w:name w:val="List Number"/>
    <w:basedOn w:val="Normal"/>
    <w:uiPriority w:val="99"/>
    <w:unhideWhenUsed/>
    <w:qFormat/>
    <w:rsid w:val="009A4A46"/>
    <w:pPr>
      <w:numPr>
        <w:numId w:val="8"/>
      </w:numPr>
      <w:contextualSpacing/>
    </w:pPr>
  </w:style>
  <w:style w:type="paragraph" w:styleId="ListBullet">
    <w:name w:val="List Bullet"/>
    <w:basedOn w:val="Normal"/>
    <w:uiPriority w:val="99"/>
    <w:unhideWhenUsed/>
    <w:qFormat/>
    <w:rsid w:val="009A4A46"/>
    <w:pPr>
      <w:numPr>
        <w:numId w:val="3"/>
      </w:numPr>
      <w:contextualSpacing/>
    </w:pPr>
  </w:style>
  <w:style w:type="paragraph" w:styleId="NoSpacing">
    <w:name w:val="No Spacing"/>
    <w:basedOn w:val="Normal"/>
    <w:uiPriority w:val="1"/>
    <w:rsid w:val="006E3E34"/>
    <w:pPr>
      <w:spacing w:line="240" w:lineRule="auto"/>
    </w:pPr>
  </w:style>
  <w:style w:type="paragraph" w:customStyle="1" w:styleId="Security">
    <w:name w:val="Security"/>
    <w:basedOn w:val="Normal"/>
    <w:link w:val="SecurityChar"/>
    <w:rsid w:val="005536B7"/>
    <w:pPr>
      <w:contextualSpacing/>
      <w:jc w:val="center"/>
    </w:pPr>
    <w:rPr>
      <w:rFonts w:eastAsiaTheme="minorHAnsi"/>
      <w:b/>
      <w:noProof/>
      <w:sz w:val="32"/>
      <w:szCs w:val="32"/>
    </w:rPr>
  </w:style>
  <w:style w:type="character" w:customStyle="1" w:styleId="SecurityChar">
    <w:name w:val="Security Char"/>
    <w:basedOn w:val="DefaultParagraphFont"/>
    <w:link w:val="Security"/>
    <w:rsid w:val="005536B7"/>
    <w:rPr>
      <w:b/>
      <w:noProof/>
      <w:sz w:val="32"/>
      <w:szCs w:val="32"/>
    </w:rPr>
  </w:style>
  <w:style w:type="character" w:customStyle="1" w:styleId="Heading1Char">
    <w:name w:val="Heading 1 Char"/>
    <w:aliases w:val="Heading 1 do not use Char,Section heading 1 Char,Front Page Title Char,1. Char,Para 1 Char,Para 11 Char"/>
    <w:basedOn w:val="DefaultParagraphFont"/>
    <w:link w:val="Heading1"/>
    <w:rsid w:val="005536B7"/>
    <w:rPr>
      <w:rFonts w:eastAsiaTheme="majorEastAsia" w:cstheme="majorBidi"/>
      <w:b/>
      <w:bCs/>
      <w:sz w:val="28"/>
      <w:szCs w:val="28"/>
    </w:rPr>
  </w:style>
  <w:style w:type="character" w:customStyle="1" w:styleId="DeleteText">
    <w:name w:val="Delete Text"/>
    <w:basedOn w:val="DefaultParagraphFont"/>
    <w:uiPriority w:val="1"/>
    <w:rsid w:val="005536B7"/>
    <w:rPr>
      <w:rFonts w:eastAsiaTheme="minorHAnsi"/>
      <w:i/>
      <w:color w:val="0070C0"/>
      <w:sz w:val="20"/>
      <w:szCs w:val="20"/>
    </w:rPr>
  </w:style>
  <w:style w:type="paragraph" w:styleId="ListParagraph">
    <w:name w:val="List Paragraph"/>
    <w:basedOn w:val="Normal"/>
    <w:uiPriority w:val="34"/>
    <w:qFormat/>
    <w:rsid w:val="005536B7"/>
    <w:pPr>
      <w:ind w:left="720"/>
      <w:contextualSpacing/>
    </w:pPr>
  </w:style>
  <w:style w:type="paragraph" w:styleId="Title">
    <w:name w:val="Title"/>
    <w:basedOn w:val="Normal"/>
    <w:next w:val="Normal"/>
    <w:link w:val="TitleChar"/>
    <w:uiPriority w:val="10"/>
    <w:rsid w:val="005536B7"/>
    <w:pP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5536B7"/>
    <w:rPr>
      <w:rFonts w:eastAsiaTheme="majorEastAsia" w:cstheme="majorBidi"/>
      <w:spacing w:val="5"/>
      <w:sz w:val="52"/>
      <w:szCs w:val="52"/>
    </w:rPr>
  </w:style>
  <w:style w:type="character" w:styleId="Strong">
    <w:name w:val="Strong"/>
    <w:uiPriority w:val="22"/>
    <w:rsid w:val="005536B7"/>
    <w:rPr>
      <w:b/>
      <w:bCs/>
    </w:rPr>
  </w:style>
  <w:style w:type="character" w:customStyle="1" w:styleId="Heading2Char">
    <w:name w:val="Heading 2 Char"/>
    <w:aliases w:val="Heading 2 do not use Char,Front Page List of Sections Char"/>
    <w:basedOn w:val="DefaultParagraphFont"/>
    <w:link w:val="Heading2"/>
    <w:rsid w:val="00B26C61"/>
    <w:rPr>
      <w:rFonts w:ascii="Arial" w:eastAsiaTheme="minorEastAsia" w:hAnsi="Arial" w:cs="Arial"/>
      <w:i/>
      <w:iCs/>
      <w:sz w:val="28"/>
      <w:szCs w:val="28"/>
    </w:rPr>
  </w:style>
  <w:style w:type="character" w:customStyle="1" w:styleId="Heading3Char">
    <w:name w:val="Heading 3 Char"/>
    <w:aliases w:val="Heading 3 do not use Char"/>
    <w:basedOn w:val="DefaultParagraphFont"/>
    <w:link w:val="Heading3"/>
    <w:rsid w:val="00B26C61"/>
    <w:rPr>
      <w:rFonts w:ascii="Arial" w:eastAsiaTheme="minorEastAsia" w:hAnsi="Arial" w:cs="Arial"/>
      <w:sz w:val="26"/>
      <w:szCs w:val="26"/>
    </w:rPr>
  </w:style>
  <w:style w:type="character" w:customStyle="1" w:styleId="Heading4Char">
    <w:name w:val="Heading 4 Char"/>
    <w:basedOn w:val="DefaultParagraphFont"/>
    <w:link w:val="Heading4"/>
    <w:rsid w:val="00B26C61"/>
    <w:rPr>
      <w:rFonts w:ascii="Calibri" w:eastAsiaTheme="minorEastAsia" w:hAnsi="Calibri" w:cs="Times New Roman"/>
      <w:sz w:val="18"/>
      <w:szCs w:val="20"/>
    </w:rPr>
  </w:style>
  <w:style w:type="character" w:customStyle="1" w:styleId="Heading5Char">
    <w:name w:val="Heading 5 Char"/>
    <w:basedOn w:val="DefaultParagraphFont"/>
    <w:link w:val="Heading5"/>
    <w:rsid w:val="00B26C61"/>
    <w:rPr>
      <w:rFonts w:ascii="Calibri" w:eastAsiaTheme="minorEastAsia" w:hAnsi="Calibri" w:cs="Times New Roman"/>
      <w:sz w:val="18"/>
      <w:szCs w:val="20"/>
    </w:rPr>
  </w:style>
  <w:style w:type="character" w:customStyle="1" w:styleId="Heading6Char">
    <w:name w:val="Heading 6 Char"/>
    <w:basedOn w:val="DefaultParagraphFont"/>
    <w:link w:val="Heading6"/>
    <w:rsid w:val="00B26C61"/>
    <w:rPr>
      <w:rFonts w:ascii="Calibri" w:eastAsiaTheme="minorEastAsia" w:hAnsi="Calibri" w:cs="Times New Roman"/>
      <w:sz w:val="18"/>
      <w:szCs w:val="20"/>
    </w:rPr>
  </w:style>
  <w:style w:type="character" w:customStyle="1" w:styleId="Heading7Char">
    <w:name w:val="Heading 7 Char"/>
    <w:aliases w:val="Section Sub-Heading 4 Char"/>
    <w:basedOn w:val="DefaultParagraphFont"/>
    <w:link w:val="Heading7"/>
    <w:rsid w:val="00B26C61"/>
    <w:rPr>
      <w:rFonts w:ascii="Calibri" w:eastAsia="Times New Roman" w:hAnsi="Calibri" w:cs="Times New Roman"/>
      <w:sz w:val="18"/>
      <w:szCs w:val="20"/>
    </w:rPr>
  </w:style>
  <w:style w:type="character" w:customStyle="1" w:styleId="Heading8Char">
    <w:name w:val="Heading 8 Char"/>
    <w:basedOn w:val="DefaultParagraphFont"/>
    <w:link w:val="Heading8"/>
    <w:rsid w:val="00B26C61"/>
    <w:rPr>
      <w:rFonts w:ascii="Calibri" w:eastAsia="Times New Roman" w:hAnsi="Calibri" w:cs="Times New Roman"/>
      <w:sz w:val="18"/>
      <w:szCs w:val="20"/>
    </w:rPr>
  </w:style>
  <w:style w:type="character" w:customStyle="1" w:styleId="Heading9Char">
    <w:name w:val="Heading 9 Char"/>
    <w:basedOn w:val="DefaultParagraphFont"/>
    <w:link w:val="Heading9"/>
    <w:rsid w:val="00B26C61"/>
    <w:rPr>
      <w:rFonts w:ascii="Calibri" w:eastAsia="Times New Roman" w:hAnsi="Calibri" w:cs="Times New Roman"/>
      <w:sz w:val="18"/>
      <w:szCs w:val="20"/>
    </w:rPr>
  </w:style>
  <w:style w:type="character" w:styleId="Hyperlink">
    <w:name w:val="Hyperlink"/>
    <w:basedOn w:val="DefaultParagraphFont"/>
    <w:uiPriority w:val="99"/>
    <w:rsid w:val="00B26C61"/>
    <w:rPr>
      <w:color w:val="0000FF" w:themeColor="hyperlink"/>
      <w:u w:val="single"/>
    </w:rPr>
  </w:style>
  <w:style w:type="character" w:styleId="FollowedHyperlink">
    <w:name w:val="FollowedHyperlink"/>
    <w:basedOn w:val="DefaultParagraphFont"/>
    <w:uiPriority w:val="99"/>
    <w:rsid w:val="00B26C61"/>
    <w:rPr>
      <w:color w:val="800080" w:themeColor="followedHyperlink"/>
      <w:u w:val="single"/>
    </w:rPr>
  </w:style>
  <w:style w:type="paragraph" w:styleId="TOC1">
    <w:name w:val="toc 1"/>
    <w:basedOn w:val="Normal"/>
    <w:next w:val="Normal"/>
    <w:autoRedefine/>
    <w:uiPriority w:val="39"/>
    <w:rsid w:val="00B26C61"/>
    <w:pPr>
      <w:tabs>
        <w:tab w:val="left" w:pos="1134"/>
        <w:tab w:val="right" w:leader="dot" w:pos="9628"/>
      </w:tabs>
      <w:spacing w:after="100"/>
    </w:pPr>
    <w:rPr>
      <w:rFonts w:ascii="Arial" w:hAnsi="Arial"/>
      <w:sz w:val="20"/>
    </w:rPr>
  </w:style>
  <w:style w:type="paragraph" w:styleId="TOC2">
    <w:name w:val="toc 2"/>
    <w:basedOn w:val="Normal"/>
    <w:next w:val="Normal"/>
    <w:autoRedefine/>
    <w:semiHidden/>
    <w:rsid w:val="00B26C61"/>
    <w:pPr>
      <w:spacing w:before="120"/>
      <w:ind w:left="220"/>
    </w:pPr>
    <w:rPr>
      <w:i/>
      <w:iCs/>
      <w:sz w:val="20"/>
    </w:rPr>
  </w:style>
  <w:style w:type="paragraph" w:styleId="TOC3">
    <w:name w:val="toc 3"/>
    <w:basedOn w:val="Normal"/>
    <w:next w:val="Normal"/>
    <w:autoRedefine/>
    <w:uiPriority w:val="39"/>
    <w:rsid w:val="00B26C61"/>
    <w:pPr>
      <w:ind w:left="440"/>
    </w:pPr>
    <w:rPr>
      <w:sz w:val="20"/>
    </w:rPr>
  </w:style>
  <w:style w:type="paragraph" w:styleId="TOC4">
    <w:name w:val="toc 4"/>
    <w:basedOn w:val="Normal"/>
    <w:next w:val="Normal"/>
    <w:autoRedefine/>
    <w:semiHidden/>
    <w:rsid w:val="00B26C61"/>
    <w:pPr>
      <w:ind w:left="660"/>
    </w:pPr>
    <w:rPr>
      <w:sz w:val="20"/>
    </w:rPr>
  </w:style>
  <w:style w:type="paragraph" w:styleId="TOC5">
    <w:name w:val="toc 5"/>
    <w:basedOn w:val="Normal"/>
    <w:next w:val="Normal"/>
    <w:autoRedefine/>
    <w:semiHidden/>
    <w:rsid w:val="00B26C61"/>
    <w:pPr>
      <w:ind w:left="880"/>
    </w:pPr>
    <w:rPr>
      <w:sz w:val="20"/>
    </w:rPr>
  </w:style>
  <w:style w:type="paragraph" w:styleId="TOC6">
    <w:name w:val="toc 6"/>
    <w:basedOn w:val="Normal"/>
    <w:next w:val="Normal"/>
    <w:autoRedefine/>
    <w:semiHidden/>
    <w:rsid w:val="00B26C61"/>
    <w:pPr>
      <w:ind w:left="1100"/>
    </w:pPr>
    <w:rPr>
      <w:sz w:val="20"/>
    </w:rPr>
  </w:style>
  <w:style w:type="paragraph" w:styleId="TOC7">
    <w:name w:val="toc 7"/>
    <w:basedOn w:val="Normal"/>
    <w:next w:val="Normal"/>
    <w:autoRedefine/>
    <w:semiHidden/>
    <w:rsid w:val="00B26C61"/>
    <w:pPr>
      <w:ind w:left="1320"/>
    </w:pPr>
    <w:rPr>
      <w:sz w:val="20"/>
    </w:rPr>
  </w:style>
  <w:style w:type="paragraph" w:styleId="TOC8">
    <w:name w:val="toc 8"/>
    <w:basedOn w:val="Normal"/>
    <w:next w:val="Normal"/>
    <w:autoRedefine/>
    <w:semiHidden/>
    <w:rsid w:val="00B26C61"/>
    <w:pPr>
      <w:ind w:left="1540"/>
    </w:pPr>
    <w:rPr>
      <w:sz w:val="20"/>
    </w:rPr>
  </w:style>
  <w:style w:type="paragraph" w:styleId="TOC9">
    <w:name w:val="toc 9"/>
    <w:basedOn w:val="Normal"/>
    <w:next w:val="Normal"/>
    <w:autoRedefine/>
    <w:semiHidden/>
    <w:rsid w:val="00B26C61"/>
    <w:pPr>
      <w:ind w:left="1760"/>
    </w:pPr>
    <w:rPr>
      <w:sz w:val="20"/>
    </w:rPr>
  </w:style>
  <w:style w:type="paragraph" w:styleId="FootnoteText">
    <w:name w:val="footnote text"/>
    <w:basedOn w:val="Normal"/>
    <w:link w:val="FootnoteTextChar"/>
    <w:semiHidden/>
    <w:rsid w:val="00B26C61"/>
    <w:rPr>
      <w:sz w:val="20"/>
    </w:rPr>
  </w:style>
  <w:style w:type="character" w:customStyle="1" w:styleId="FootnoteTextChar">
    <w:name w:val="Footnote Text Char"/>
    <w:basedOn w:val="DefaultParagraphFont"/>
    <w:link w:val="FootnoteText"/>
    <w:semiHidden/>
    <w:rsid w:val="00B26C61"/>
    <w:rPr>
      <w:rFonts w:ascii="Calibri" w:eastAsia="Times New Roman" w:hAnsi="Calibri" w:cs="Times New Roman"/>
      <w:sz w:val="20"/>
      <w:szCs w:val="20"/>
    </w:rPr>
  </w:style>
  <w:style w:type="paragraph" w:styleId="CommentText">
    <w:name w:val="annotation text"/>
    <w:basedOn w:val="Normal"/>
    <w:link w:val="CommentTextChar"/>
    <w:semiHidden/>
    <w:rsid w:val="00B26C61"/>
    <w:rPr>
      <w:sz w:val="20"/>
    </w:rPr>
  </w:style>
  <w:style w:type="character" w:customStyle="1" w:styleId="CommentTextChar">
    <w:name w:val="Comment Text Char"/>
    <w:basedOn w:val="DefaultParagraphFont"/>
    <w:link w:val="CommentText"/>
    <w:semiHidden/>
    <w:rsid w:val="00B26C61"/>
    <w:rPr>
      <w:rFonts w:ascii="Calibri" w:eastAsia="Times New Roman" w:hAnsi="Calibri" w:cs="Times New Roman"/>
      <w:sz w:val="20"/>
      <w:szCs w:val="20"/>
    </w:rPr>
  </w:style>
  <w:style w:type="paragraph" w:styleId="Header">
    <w:name w:val="header"/>
    <w:basedOn w:val="Normal"/>
    <w:link w:val="HeaderChar"/>
    <w:uiPriority w:val="99"/>
    <w:rsid w:val="00B26C61"/>
    <w:pPr>
      <w:tabs>
        <w:tab w:val="center" w:pos="4513"/>
        <w:tab w:val="right" w:pos="9026"/>
      </w:tabs>
      <w:spacing w:line="240" w:lineRule="auto"/>
    </w:pPr>
  </w:style>
  <w:style w:type="character" w:customStyle="1" w:styleId="HeaderChar">
    <w:name w:val="Header Char"/>
    <w:basedOn w:val="DefaultParagraphFont"/>
    <w:link w:val="Header"/>
    <w:uiPriority w:val="99"/>
    <w:rsid w:val="00B26C61"/>
    <w:rPr>
      <w:rFonts w:ascii="Calibri" w:eastAsia="Times New Roman" w:hAnsi="Calibri" w:cs="Times New Roman"/>
      <w:sz w:val="18"/>
      <w:szCs w:val="20"/>
    </w:rPr>
  </w:style>
  <w:style w:type="paragraph" w:styleId="Footer">
    <w:name w:val="footer"/>
    <w:basedOn w:val="Normal"/>
    <w:link w:val="FooterChar"/>
    <w:uiPriority w:val="99"/>
    <w:rsid w:val="00B26C61"/>
    <w:pPr>
      <w:tabs>
        <w:tab w:val="center" w:pos="4513"/>
        <w:tab w:val="right" w:pos="9026"/>
      </w:tabs>
      <w:spacing w:line="240" w:lineRule="auto"/>
    </w:pPr>
  </w:style>
  <w:style w:type="character" w:customStyle="1" w:styleId="FooterChar">
    <w:name w:val="Footer Char"/>
    <w:basedOn w:val="DefaultParagraphFont"/>
    <w:link w:val="Footer"/>
    <w:uiPriority w:val="99"/>
    <w:rsid w:val="00B26C61"/>
    <w:rPr>
      <w:rFonts w:ascii="Calibri" w:eastAsia="Times New Roman" w:hAnsi="Calibri" w:cs="Times New Roman"/>
      <w:sz w:val="18"/>
      <w:szCs w:val="20"/>
    </w:rPr>
  </w:style>
  <w:style w:type="paragraph" w:styleId="Caption">
    <w:name w:val="caption"/>
    <w:basedOn w:val="Normal"/>
    <w:next w:val="Normal"/>
    <w:qFormat/>
    <w:rsid w:val="00B26C61"/>
    <w:pPr>
      <w:spacing w:after="200" w:line="240" w:lineRule="auto"/>
    </w:pPr>
    <w:rPr>
      <w:b/>
      <w:bCs/>
      <w:color w:val="4F81BD" w:themeColor="accent1"/>
      <w:szCs w:val="18"/>
    </w:rPr>
  </w:style>
  <w:style w:type="paragraph" w:styleId="TableofFigures">
    <w:name w:val="table of figures"/>
    <w:basedOn w:val="Normal"/>
    <w:next w:val="Normal"/>
    <w:semiHidden/>
    <w:rsid w:val="00B26C61"/>
  </w:style>
  <w:style w:type="paragraph" w:styleId="MacroText">
    <w:name w:val="macro"/>
    <w:link w:val="MacroTextChar"/>
    <w:semiHidden/>
    <w:rsid w:val="00B26C61"/>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18"/>
      <w:szCs w:val="20"/>
      <w:lang w:val="en-GB"/>
    </w:rPr>
  </w:style>
  <w:style w:type="character" w:customStyle="1" w:styleId="MacroTextChar">
    <w:name w:val="Macro Text Char"/>
    <w:basedOn w:val="DefaultParagraphFont"/>
    <w:link w:val="MacroText"/>
    <w:semiHidden/>
    <w:rsid w:val="00B26C61"/>
    <w:rPr>
      <w:rFonts w:ascii="Courier New" w:eastAsia="Times New Roman" w:hAnsi="Courier New" w:cs="Courier New"/>
      <w:sz w:val="18"/>
      <w:szCs w:val="20"/>
      <w:lang w:val="en-GB"/>
    </w:rPr>
  </w:style>
  <w:style w:type="paragraph" w:styleId="Signature">
    <w:name w:val="Signature"/>
    <w:basedOn w:val="Normal"/>
    <w:link w:val="SignatureChar"/>
    <w:rsid w:val="00B26C61"/>
    <w:pPr>
      <w:spacing w:line="240" w:lineRule="auto"/>
    </w:pPr>
  </w:style>
  <w:style w:type="character" w:customStyle="1" w:styleId="SignatureChar">
    <w:name w:val="Signature Char"/>
    <w:basedOn w:val="DefaultParagraphFont"/>
    <w:link w:val="Signature"/>
    <w:rsid w:val="00B26C61"/>
    <w:rPr>
      <w:rFonts w:ascii="Calibri" w:eastAsia="Times New Roman" w:hAnsi="Calibri" w:cs="Times New Roman"/>
      <w:sz w:val="18"/>
      <w:szCs w:val="20"/>
    </w:rPr>
  </w:style>
  <w:style w:type="paragraph" w:styleId="DocumentMap">
    <w:name w:val="Document Map"/>
    <w:basedOn w:val="Normal"/>
    <w:link w:val="DocumentMapChar"/>
    <w:semiHidden/>
    <w:rsid w:val="00B26C61"/>
    <w:pPr>
      <w:shd w:val="clear" w:color="auto" w:fill="000080"/>
      <w:spacing w:line="240" w:lineRule="auto"/>
    </w:pPr>
    <w:rPr>
      <w:rFonts w:ascii="Tahoma" w:hAnsi="Tahoma"/>
      <w:sz w:val="20"/>
      <w:lang w:eastAsia="en-AU"/>
    </w:rPr>
  </w:style>
  <w:style w:type="character" w:customStyle="1" w:styleId="DocumentMapChar">
    <w:name w:val="Document Map Char"/>
    <w:basedOn w:val="DefaultParagraphFont"/>
    <w:link w:val="DocumentMap"/>
    <w:semiHidden/>
    <w:rsid w:val="00B26C61"/>
    <w:rPr>
      <w:rFonts w:ascii="Tahoma" w:eastAsia="Times New Roman" w:hAnsi="Tahoma" w:cs="Times New Roman"/>
      <w:sz w:val="20"/>
      <w:szCs w:val="20"/>
      <w:shd w:val="clear" w:color="auto" w:fill="000080"/>
      <w:lang w:eastAsia="en-AU"/>
    </w:rPr>
  </w:style>
  <w:style w:type="paragraph" w:styleId="CommentSubject">
    <w:name w:val="annotation subject"/>
    <w:basedOn w:val="CommentText"/>
    <w:next w:val="CommentText"/>
    <w:link w:val="CommentSubjectChar"/>
    <w:semiHidden/>
    <w:rsid w:val="00B26C61"/>
    <w:rPr>
      <w:b/>
      <w:bCs/>
    </w:rPr>
  </w:style>
  <w:style w:type="character" w:customStyle="1" w:styleId="CommentSubjectChar">
    <w:name w:val="Comment Subject Char"/>
    <w:basedOn w:val="CommentTextChar"/>
    <w:link w:val="CommentSubject"/>
    <w:semiHidden/>
    <w:rsid w:val="00B26C61"/>
    <w:rPr>
      <w:rFonts w:ascii="Calibri" w:eastAsia="Times New Roman" w:hAnsi="Calibri" w:cs="Times New Roman"/>
      <w:b/>
      <w:bCs/>
      <w:sz w:val="20"/>
      <w:szCs w:val="20"/>
    </w:rPr>
  </w:style>
  <w:style w:type="paragraph" w:styleId="BalloonText">
    <w:name w:val="Balloon Text"/>
    <w:basedOn w:val="Normal"/>
    <w:link w:val="BalloonTextChar"/>
    <w:semiHidden/>
    <w:rsid w:val="00B26C61"/>
    <w:rPr>
      <w:rFonts w:ascii="Tahoma" w:hAnsi="Tahoma" w:cs="Tahoma"/>
      <w:sz w:val="16"/>
      <w:szCs w:val="16"/>
    </w:rPr>
  </w:style>
  <w:style w:type="character" w:customStyle="1" w:styleId="BalloonTextChar">
    <w:name w:val="Balloon Text Char"/>
    <w:basedOn w:val="DefaultParagraphFont"/>
    <w:link w:val="BalloonText"/>
    <w:semiHidden/>
    <w:rsid w:val="00B26C61"/>
    <w:rPr>
      <w:rFonts w:ascii="Tahoma" w:eastAsia="Times New Roman" w:hAnsi="Tahoma" w:cs="Tahoma"/>
      <w:sz w:val="16"/>
      <w:szCs w:val="16"/>
    </w:rPr>
  </w:style>
  <w:style w:type="paragraph" w:styleId="Revision">
    <w:name w:val="Revision"/>
    <w:uiPriority w:val="99"/>
    <w:semiHidden/>
    <w:rsid w:val="00B26C61"/>
    <w:pPr>
      <w:spacing w:after="0" w:line="240" w:lineRule="auto"/>
    </w:pPr>
    <w:rPr>
      <w:rFonts w:ascii="Calibri" w:eastAsia="Times New Roman" w:hAnsi="Calibri" w:cs="Times New Roman"/>
      <w:sz w:val="18"/>
      <w:szCs w:val="20"/>
    </w:rPr>
  </w:style>
  <w:style w:type="character" w:customStyle="1" w:styleId="StatementNameChar">
    <w:name w:val="Statement Name Char"/>
    <w:basedOn w:val="DefaultParagraphFont"/>
    <w:link w:val="StatementName"/>
    <w:locked/>
    <w:rsid w:val="00B26C61"/>
    <w:rPr>
      <w:rFonts w:ascii="Arial" w:hAnsi="Arial" w:cs="Arial"/>
      <w:b/>
      <w:sz w:val="24"/>
      <w:szCs w:val="24"/>
    </w:rPr>
  </w:style>
  <w:style w:type="paragraph" w:customStyle="1" w:styleId="StatementName">
    <w:name w:val="Statement Name"/>
    <w:basedOn w:val="Normal"/>
    <w:next w:val="Normal"/>
    <w:link w:val="StatementNameChar"/>
    <w:autoRedefine/>
    <w:rsid w:val="00B26C61"/>
    <w:pPr>
      <w:pBdr>
        <w:bottom w:val="single" w:sz="4" w:space="1" w:color="auto"/>
      </w:pBdr>
    </w:pPr>
    <w:rPr>
      <w:rFonts w:ascii="Arial" w:eastAsiaTheme="minorHAnsi" w:hAnsi="Arial" w:cs="Arial"/>
      <w:b/>
      <w:sz w:val="24"/>
      <w:szCs w:val="24"/>
    </w:rPr>
  </w:style>
  <w:style w:type="paragraph" w:customStyle="1" w:styleId="StatementDateHeader">
    <w:name w:val="Statement Date Header"/>
    <w:basedOn w:val="Normal"/>
    <w:next w:val="Normal"/>
    <w:rsid w:val="00B26C61"/>
    <w:pPr>
      <w:pBdr>
        <w:bottom w:val="single" w:sz="4" w:space="1" w:color="auto"/>
      </w:pBdr>
    </w:pPr>
    <w:rPr>
      <w:rFonts w:ascii="Arial" w:hAnsi="Arial"/>
      <w:i/>
      <w:sz w:val="24"/>
    </w:rPr>
  </w:style>
  <w:style w:type="paragraph" w:customStyle="1" w:styleId="StatementTextLevel3">
    <w:name w:val="Statement Text Level 3"/>
    <w:basedOn w:val="Normal"/>
    <w:next w:val="Normal"/>
    <w:rsid w:val="00B26C61"/>
    <w:rPr>
      <w:rFonts w:ascii="Arial" w:hAnsi="Arial"/>
    </w:rPr>
  </w:style>
  <w:style w:type="paragraph" w:customStyle="1" w:styleId="TableHeaderLevel1">
    <w:name w:val="Table Header Level 1"/>
    <w:basedOn w:val="Normal"/>
    <w:semiHidden/>
    <w:rsid w:val="00B26C61"/>
    <w:pPr>
      <w:jc w:val="center"/>
    </w:pPr>
    <w:rPr>
      <w:rFonts w:ascii="Arial" w:hAnsi="Arial"/>
      <w:b/>
      <w:szCs w:val="18"/>
    </w:rPr>
  </w:style>
  <w:style w:type="paragraph" w:customStyle="1" w:styleId="StatementTextLevel1bItalic">
    <w:name w:val="Statement Text Level 1(b) + Italic"/>
    <w:basedOn w:val="Normal"/>
    <w:rsid w:val="00B26C61"/>
    <w:rPr>
      <w:rFonts w:ascii="Arial" w:hAnsi="Arial"/>
      <w:b/>
      <w:bCs/>
      <w:i/>
      <w:iCs/>
      <w:szCs w:val="18"/>
    </w:rPr>
  </w:style>
  <w:style w:type="paragraph" w:customStyle="1" w:styleId="Graphic">
    <w:name w:val="Graphic"/>
    <w:basedOn w:val="Signature"/>
    <w:rsid w:val="00B26C61"/>
    <w:pPr>
      <w:pBdr>
        <w:top w:val="single" w:sz="4" w:space="1" w:color="auto"/>
        <w:left w:val="single" w:sz="4" w:space="1" w:color="auto"/>
        <w:bottom w:val="single" w:sz="4" w:space="1" w:color="auto"/>
        <w:right w:val="single" w:sz="4" w:space="1" w:color="auto"/>
      </w:pBdr>
      <w:jc w:val="center"/>
    </w:pPr>
  </w:style>
  <w:style w:type="paragraph" w:customStyle="1" w:styleId="NotesTotal">
    <w:name w:val="Notes Total"/>
    <w:basedOn w:val="Normal"/>
    <w:autoRedefine/>
    <w:rsid w:val="00B26C61"/>
    <w:pPr>
      <w:ind w:left="139" w:right="57"/>
    </w:pPr>
    <w:rPr>
      <w:b/>
      <w:iCs/>
      <w:sz w:val="20"/>
    </w:rPr>
  </w:style>
  <w:style w:type="paragraph" w:customStyle="1" w:styleId="TitlePage">
    <w:name w:val="Title Page"/>
    <w:basedOn w:val="Normal"/>
    <w:autoRedefine/>
    <w:rsid w:val="00B26C61"/>
    <w:pPr>
      <w:spacing w:before="1200" w:after="1200"/>
      <w:ind w:left="57" w:right="57"/>
      <w:jc w:val="right"/>
    </w:pPr>
    <w:rPr>
      <w:b/>
      <w:bCs/>
      <w:sz w:val="48"/>
    </w:rPr>
  </w:style>
  <w:style w:type="paragraph" w:customStyle="1" w:styleId="zcontents">
    <w:name w:val="zcontents"/>
    <w:basedOn w:val="Normal"/>
    <w:semiHidden/>
    <w:rsid w:val="00B26C61"/>
    <w:pPr>
      <w:spacing w:after="260" w:line="240" w:lineRule="auto"/>
    </w:pPr>
    <w:rPr>
      <w:b/>
      <w:sz w:val="32"/>
    </w:rPr>
  </w:style>
  <w:style w:type="paragraph" w:customStyle="1" w:styleId="Normal10pt">
    <w:name w:val="Normal + 10 pt"/>
    <w:aliases w:val="Line spacing:  single"/>
    <w:basedOn w:val="Normal"/>
    <w:rsid w:val="00B26C61"/>
    <w:pPr>
      <w:spacing w:before="130" w:after="130"/>
    </w:pPr>
    <w:rPr>
      <w:b/>
      <w:sz w:val="20"/>
    </w:rPr>
  </w:style>
  <w:style w:type="paragraph" w:customStyle="1" w:styleId="Normal8pt">
    <w:name w:val="Normal + 8 pt"/>
    <w:basedOn w:val="Normal"/>
    <w:rsid w:val="00B26C61"/>
    <w:pPr>
      <w:widowControl w:val="0"/>
      <w:autoSpaceDE w:val="0"/>
      <w:autoSpaceDN w:val="0"/>
      <w:spacing w:line="240" w:lineRule="auto"/>
    </w:pPr>
    <w:rPr>
      <w:bCs/>
      <w:iCs/>
      <w:spacing w:val="-6"/>
      <w:sz w:val="16"/>
      <w:szCs w:val="16"/>
      <w:lang w:val="en-US"/>
    </w:rPr>
  </w:style>
  <w:style w:type="paragraph" w:customStyle="1" w:styleId="NormalCalistoMT">
    <w:name w:val="Normal + Calisto MT"/>
    <w:aliases w:val="8 pt,Right"/>
    <w:basedOn w:val="Normal"/>
    <w:rsid w:val="00B26C61"/>
    <w:pPr>
      <w:framePr w:hSpace="180" w:wrap="around" w:vAnchor="text" w:hAnchor="margin" w:y="1"/>
      <w:ind w:right="212"/>
      <w:jc w:val="right"/>
    </w:pPr>
    <w:rPr>
      <w:rFonts w:ascii="Calisto MT" w:hAnsi="Calisto MT"/>
      <w:sz w:val="16"/>
    </w:rPr>
  </w:style>
  <w:style w:type="character" w:customStyle="1" w:styleId="ReferenceTextChar">
    <w:name w:val="Reference Text Char"/>
    <w:basedOn w:val="DefaultParagraphFont"/>
    <w:link w:val="ReferenceText"/>
    <w:uiPriority w:val="99"/>
    <w:locked/>
    <w:rsid w:val="00B26C61"/>
    <w:rPr>
      <w:rFonts w:cstheme="minorHAnsi"/>
      <w:sz w:val="18"/>
    </w:rPr>
  </w:style>
  <w:style w:type="paragraph" w:customStyle="1" w:styleId="ReferenceText">
    <w:name w:val="Reference Text"/>
    <w:basedOn w:val="Normal"/>
    <w:link w:val="ReferenceTextChar"/>
    <w:autoRedefine/>
    <w:uiPriority w:val="99"/>
    <w:qFormat/>
    <w:rsid w:val="00B26C61"/>
    <w:rPr>
      <w:rFonts w:asciiTheme="minorHAnsi" w:eastAsiaTheme="minorHAnsi" w:hAnsiTheme="minorHAnsi" w:cstheme="minorHAnsi"/>
      <w:szCs w:val="22"/>
    </w:rPr>
  </w:style>
  <w:style w:type="character" w:customStyle="1" w:styleId="NotesHeading-Level1Char">
    <w:name w:val="Notes Heading - Level 1 Char"/>
    <w:basedOn w:val="DefaultParagraphFont"/>
    <w:link w:val="NotesHeading-Level1"/>
    <w:locked/>
    <w:rsid w:val="00B26C61"/>
    <w:rPr>
      <w:b/>
    </w:rPr>
  </w:style>
  <w:style w:type="paragraph" w:customStyle="1" w:styleId="NotesHeading-Level1">
    <w:name w:val="Notes Heading - Level 1"/>
    <w:basedOn w:val="Normal"/>
    <w:link w:val="NotesHeading-Level1Char"/>
    <w:qFormat/>
    <w:rsid w:val="00B26C61"/>
    <w:pPr>
      <w:numPr>
        <w:numId w:val="13"/>
      </w:numPr>
      <w:ind w:right="607"/>
      <w:outlineLvl w:val="0"/>
    </w:pPr>
    <w:rPr>
      <w:rFonts w:asciiTheme="minorHAnsi" w:eastAsiaTheme="minorHAnsi" w:hAnsiTheme="minorHAnsi" w:cstheme="minorBidi"/>
      <w:b/>
      <w:sz w:val="22"/>
      <w:szCs w:val="22"/>
    </w:rPr>
  </w:style>
  <w:style w:type="paragraph" w:customStyle="1" w:styleId="NotesHeading-Level2">
    <w:name w:val="Notes Heading - Level 2"/>
    <w:basedOn w:val="NotesHeading-Level1"/>
    <w:rsid w:val="00B26C61"/>
    <w:pPr>
      <w:framePr w:hSpace="180" w:wrap="around" w:vAnchor="text" w:hAnchor="margin" w:y="1"/>
      <w:numPr>
        <w:ilvl w:val="1"/>
      </w:numPr>
      <w:tabs>
        <w:tab w:val="clear" w:pos="851"/>
      </w:tabs>
      <w:ind w:left="720" w:hanging="360"/>
    </w:pPr>
    <w:rPr>
      <w:sz w:val="18"/>
    </w:rPr>
  </w:style>
  <w:style w:type="paragraph" w:customStyle="1" w:styleId="StatementHeading">
    <w:name w:val="Statement Heading"/>
    <w:basedOn w:val="Normal"/>
    <w:rsid w:val="00B26C61"/>
    <w:rPr>
      <w:rFonts w:ascii="Arial" w:hAnsi="Arial"/>
      <w:b/>
      <w:sz w:val="24"/>
    </w:rPr>
  </w:style>
  <w:style w:type="paragraph" w:customStyle="1" w:styleId="GreyShadeTableBreak">
    <w:name w:val="Grey Shade Table Break"/>
    <w:basedOn w:val="Normal"/>
    <w:qFormat/>
    <w:rsid w:val="00B26C61"/>
    <w:pPr>
      <w:shd w:val="clear" w:color="auto" w:fill="D9D9D9" w:themeFill="background1" w:themeFillShade="D9"/>
      <w:tabs>
        <w:tab w:val="left" w:pos="9214"/>
      </w:tabs>
      <w:ind w:right="607"/>
    </w:pPr>
  </w:style>
  <w:style w:type="paragraph" w:customStyle="1" w:styleId="GreyShadeTableBreaknon-Standard">
    <w:name w:val="Grey Shade Table Break non-Standard"/>
    <w:qFormat/>
    <w:rsid w:val="00B26C61"/>
    <w:pPr>
      <w:shd w:val="clear" w:color="auto" w:fill="D9D9D9" w:themeFill="background1" w:themeFillShade="D9"/>
      <w:spacing w:after="0" w:line="240" w:lineRule="auto"/>
      <w:ind w:right="57"/>
    </w:pPr>
    <w:rPr>
      <w:rFonts w:ascii="Times New Roman" w:eastAsia="Times New Roman" w:hAnsi="Times New Roman" w:cs="Times New Roman"/>
      <w:szCs w:val="20"/>
    </w:rPr>
  </w:style>
  <w:style w:type="paragraph" w:customStyle="1" w:styleId="ReferenceTextLetter">
    <w:name w:val="Reference Text Letter"/>
    <w:basedOn w:val="ReferenceText"/>
    <w:qFormat/>
    <w:rsid w:val="00B26C61"/>
    <w:pPr>
      <w:spacing w:line="240" w:lineRule="auto"/>
      <w:ind w:left="567" w:right="567"/>
    </w:pPr>
    <w:rPr>
      <w:rFonts w:cs="Arial"/>
      <w:szCs w:val="18"/>
    </w:rPr>
  </w:style>
  <w:style w:type="paragraph" w:customStyle="1" w:styleId="NotesHeader">
    <w:name w:val="Notes Header"/>
    <w:basedOn w:val="Normal"/>
    <w:next w:val="Normal"/>
    <w:rsid w:val="00B26C61"/>
    <w:pPr>
      <w:jc w:val="center"/>
    </w:pPr>
    <w:rPr>
      <w:rFonts w:ascii="Arial" w:hAnsi="Arial"/>
      <w:b/>
    </w:rPr>
  </w:style>
  <w:style w:type="paragraph" w:customStyle="1" w:styleId="NotesReferences">
    <w:name w:val="Notes References"/>
    <w:basedOn w:val="Normal"/>
    <w:next w:val="Normal"/>
    <w:rsid w:val="00B26C61"/>
    <w:pPr>
      <w:jc w:val="center"/>
    </w:pPr>
    <w:rPr>
      <w:rFonts w:ascii="Arial" w:hAnsi="Arial"/>
    </w:rPr>
  </w:style>
  <w:style w:type="paragraph" w:customStyle="1" w:styleId="NotesData">
    <w:name w:val="Notes Data"/>
    <w:basedOn w:val="Normal"/>
    <w:rsid w:val="00B26C61"/>
    <w:pPr>
      <w:framePr w:hSpace="180" w:wrap="around" w:vAnchor="text" w:hAnchor="margin" w:y="1"/>
      <w:jc w:val="center"/>
    </w:pPr>
    <w:rPr>
      <w:sz w:val="20"/>
    </w:rPr>
  </w:style>
  <w:style w:type="paragraph" w:customStyle="1" w:styleId="NotesTextLevel1">
    <w:name w:val="Notes Text Level 1"/>
    <w:basedOn w:val="Normal"/>
    <w:next w:val="Normal"/>
    <w:rsid w:val="00B26C61"/>
    <w:rPr>
      <w:rFonts w:ascii="Arial" w:hAnsi="Arial"/>
      <w:b/>
      <w:i/>
      <w:u w:val="single"/>
    </w:rPr>
  </w:style>
  <w:style w:type="character" w:customStyle="1" w:styleId="NotesTextLevel3aboldItalicChar">
    <w:name w:val="Notes Text Level 3(a) bold + Italic Char"/>
    <w:basedOn w:val="DefaultParagraphFont"/>
    <w:link w:val="NotesTextLevel3aboldItalic"/>
    <w:locked/>
    <w:rsid w:val="00B26C61"/>
    <w:rPr>
      <w:rFonts w:ascii="Arial" w:hAnsi="Arial" w:cs="Arial"/>
      <w:b/>
      <w:bCs/>
      <w:i/>
      <w:iCs/>
      <w:sz w:val="18"/>
    </w:rPr>
  </w:style>
  <w:style w:type="paragraph" w:customStyle="1" w:styleId="NotesTextLevel3aboldItalic">
    <w:name w:val="Notes Text Level 3(a) bold + Italic"/>
    <w:basedOn w:val="Normal"/>
    <w:link w:val="NotesTextLevel3aboldItalicChar"/>
    <w:rsid w:val="00B26C61"/>
    <w:rPr>
      <w:rFonts w:ascii="Arial" w:eastAsiaTheme="minorHAnsi" w:hAnsi="Arial" w:cs="Arial"/>
      <w:b/>
      <w:bCs/>
      <w:i/>
      <w:iCs/>
      <w:szCs w:val="22"/>
    </w:rPr>
  </w:style>
  <w:style w:type="paragraph" w:customStyle="1" w:styleId="NotesHeading3">
    <w:name w:val="Notes Heading 3"/>
    <w:basedOn w:val="Normal"/>
    <w:autoRedefine/>
    <w:rsid w:val="00B26C61"/>
    <w:pPr>
      <w:spacing w:before="80" w:after="40"/>
      <w:ind w:left="113" w:right="113"/>
    </w:pPr>
    <w:rPr>
      <w:u w:val="single"/>
      <w:lang w:val="en-US"/>
    </w:rPr>
  </w:style>
  <w:style w:type="paragraph" w:customStyle="1" w:styleId="NotesHeading3a">
    <w:name w:val="Notes Heading 3a"/>
    <w:basedOn w:val="Normal"/>
    <w:autoRedefine/>
    <w:rsid w:val="00B26C61"/>
    <w:pPr>
      <w:tabs>
        <w:tab w:val="num" w:pos="473"/>
      </w:tabs>
      <w:spacing w:after="120"/>
      <w:ind w:left="113" w:right="113"/>
      <w:jc w:val="both"/>
    </w:pPr>
    <w:rPr>
      <w:u w:val="single"/>
      <w:lang w:val="en-US"/>
    </w:rPr>
  </w:style>
  <w:style w:type="paragraph" w:customStyle="1" w:styleId="Notessub-lineitem">
    <w:name w:val="Notes sub-line item"/>
    <w:basedOn w:val="Normal"/>
    <w:autoRedefine/>
    <w:rsid w:val="00B26C61"/>
    <w:pPr>
      <w:framePr w:hSpace="180" w:wrap="around" w:vAnchor="page" w:hAnchor="margin" w:y="1985"/>
      <w:tabs>
        <w:tab w:val="left" w:pos="593"/>
        <w:tab w:val="left" w:pos="1443"/>
      </w:tabs>
      <w:ind w:left="567" w:right="113"/>
    </w:pPr>
    <w:rPr>
      <w:sz w:val="20"/>
    </w:rPr>
  </w:style>
  <w:style w:type="paragraph" w:customStyle="1" w:styleId="NotesLineItem">
    <w:name w:val="Notes Line Item"/>
    <w:basedOn w:val="Normal"/>
    <w:autoRedefine/>
    <w:rsid w:val="00B26C61"/>
    <w:pPr>
      <w:ind w:left="34"/>
    </w:pPr>
    <w:rPr>
      <w:iCs/>
      <w:sz w:val="16"/>
      <w:szCs w:val="16"/>
      <w:lang w:eastAsia="en-AU"/>
    </w:rPr>
  </w:style>
  <w:style w:type="paragraph" w:customStyle="1" w:styleId="NoteText">
    <w:name w:val="Note Text"/>
    <w:basedOn w:val="Normal"/>
    <w:autoRedefine/>
    <w:rsid w:val="00B26C61"/>
    <w:pPr>
      <w:tabs>
        <w:tab w:val="left" w:pos="284"/>
      </w:tabs>
      <w:spacing w:after="120"/>
      <w:ind w:left="567"/>
    </w:pPr>
    <w:rPr>
      <w:sz w:val="20"/>
    </w:rPr>
  </w:style>
  <w:style w:type="paragraph" w:customStyle="1" w:styleId="NotesHeading">
    <w:name w:val="'Notes' Heading"/>
    <w:basedOn w:val="Normal"/>
    <w:autoRedefine/>
    <w:rsid w:val="00B26C61"/>
    <w:pPr>
      <w:ind w:left="57" w:right="57"/>
      <w:jc w:val="center"/>
    </w:pPr>
    <w:rPr>
      <w:b/>
      <w:sz w:val="20"/>
    </w:rPr>
  </w:style>
  <w:style w:type="paragraph" w:customStyle="1" w:styleId="NotesReference">
    <w:name w:val="'Notes' Reference"/>
    <w:basedOn w:val="Normal"/>
    <w:autoRedefine/>
    <w:rsid w:val="00B26C61"/>
    <w:pPr>
      <w:ind w:left="57" w:right="57"/>
      <w:jc w:val="center"/>
    </w:pPr>
    <w:rPr>
      <w:sz w:val="20"/>
    </w:rPr>
  </w:style>
  <w:style w:type="paragraph" w:customStyle="1" w:styleId="NotesHeading4">
    <w:name w:val="Notes Heading 4"/>
    <w:basedOn w:val="NoteText"/>
    <w:autoRedefine/>
    <w:rsid w:val="00B26C61"/>
    <w:pPr>
      <w:keepNext/>
      <w:spacing w:before="200" w:after="80"/>
      <w:ind w:right="57"/>
    </w:pPr>
  </w:style>
  <w:style w:type="paragraph" w:customStyle="1" w:styleId="NotesHeading3NumberingOff">
    <w:name w:val="Notes Heading 3 Numbering Off"/>
    <w:basedOn w:val="NotesHeading3"/>
    <w:autoRedefine/>
    <w:rsid w:val="00B26C61"/>
    <w:pPr>
      <w:tabs>
        <w:tab w:val="left" w:pos="1132"/>
      </w:tabs>
    </w:pPr>
  </w:style>
  <w:style w:type="paragraph" w:customStyle="1" w:styleId="NotesHeadingPlain">
    <w:name w:val="'Notes' Heading Plain"/>
    <w:basedOn w:val="NotesHeading"/>
    <w:autoRedefine/>
    <w:rsid w:val="00B26C61"/>
    <w:rPr>
      <w:b w:val="0"/>
    </w:rPr>
  </w:style>
  <w:style w:type="paragraph" w:customStyle="1" w:styleId="NotesHeading5">
    <w:name w:val="Notes Heading 5"/>
    <w:basedOn w:val="Normal"/>
    <w:autoRedefine/>
    <w:rsid w:val="00B26C61"/>
    <w:pPr>
      <w:spacing w:before="120" w:after="40"/>
      <w:ind w:left="113" w:right="113"/>
      <w:jc w:val="both"/>
    </w:pPr>
    <w:rPr>
      <w:b/>
      <w:sz w:val="20"/>
    </w:rPr>
  </w:style>
  <w:style w:type="paragraph" w:customStyle="1" w:styleId="NoteTextBEFOREDotPoint">
    <w:name w:val="Note Text BEFORE Dot Point"/>
    <w:basedOn w:val="NoteText"/>
    <w:rsid w:val="00B26C61"/>
    <w:pPr>
      <w:spacing w:after="0"/>
      <w:ind w:left="178" w:right="57"/>
    </w:pPr>
  </w:style>
  <w:style w:type="paragraph" w:customStyle="1" w:styleId="ItalicLineItem">
    <w:name w:val="Italic Line Item"/>
    <w:basedOn w:val="Normal"/>
    <w:rsid w:val="00B26C61"/>
    <w:pPr>
      <w:tabs>
        <w:tab w:val="left" w:pos="566"/>
      </w:tabs>
      <w:ind w:left="284" w:right="113"/>
      <w:jc w:val="both"/>
    </w:pPr>
    <w:rPr>
      <w:i/>
      <w:sz w:val="20"/>
      <w:lang w:val="en-US"/>
    </w:rPr>
  </w:style>
  <w:style w:type="paragraph" w:customStyle="1" w:styleId="ItalicHeading">
    <w:name w:val="Italic Heading"/>
    <w:basedOn w:val="ItalicLineItem"/>
    <w:rsid w:val="00B26C61"/>
    <w:pPr>
      <w:ind w:left="57" w:right="0"/>
    </w:pPr>
  </w:style>
  <w:style w:type="paragraph" w:customStyle="1" w:styleId="Notes">
    <w:name w:val="'Notes'"/>
    <w:basedOn w:val="Normal"/>
    <w:rsid w:val="00B26C61"/>
    <w:pPr>
      <w:jc w:val="center"/>
    </w:pPr>
    <w:rPr>
      <w:b/>
    </w:rPr>
  </w:style>
  <w:style w:type="character" w:customStyle="1" w:styleId="LineitemsChar">
    <w:name w:val="Line items Char"/>
    <w:basedOn w:val="DefaultParagraphFont"/>
    <w:link w:val="Lineitems"/>
    <w:uiPriority w:val="99"/>
    <w:locked/>
    <w:rsid w:val="00B26C61"/>
  </w:style>
  <w:style w:type="paragraph" w:customStyle="1" w:styleId="Lineitems">
    <w:name w:val="Line items"/>
    <w:basedOn w:val="Normal"/>
    <w:link w:val="LineitemsChar"/>
    <w:autoRedefine/>
    <w:uiPriority w:val="99"/>
    <w:rsid w:val="00B26C61"/>
    <w:rPr>
      <w:rFonts w:asciiTheme="minorHAnsi" w:eastAsiaTheme="minorHAnsi" w:hAnsiTheme="minorHAnsi" w:cstheme="minorBidi"/>
      <w:sz w:val="22"/>
      <w:szCs w:val="22"/>
    </w:rPr>
  </w:style>
  <w:style w:type="paragraph" w:customStyle="1" w:styleId="Notestext">
    <w:name w:val="Notes text"/>
    <w:basedOn w:val="Notes"/>
    <w:rsid w:val="00B26C61"/>
    <w:rPr>
      <w:b w:val="0"/>
    </w:rPr>
  </w:style>
  <w:style w:type="paragraph" w:customStyle="1" w:styleId="Lineitemtable">
    <w:name w:val="Line item table"/>
    <w:basedOn w:val="Lineitems"/>
    <w:rsid w:val="00B26C61"/>
  </w:style>
  <w:style w:type="paragraph" w:customStyle="1" w:styleId="12line">
    <w:name w:val="1/2 line"/>
    <w:basedOn w:val="Normal"/>
    <w:rsid w:val="00B26C61"/>
    <w:pPr>
      <w:spacing w:before="10" w:after="10" w:line="240" w:lineRule="auto"/>
    </w:pPr>
    <w:rPr>
      <w:sz w:val="20"/>
    </w:rPr>
  </w:style>
  <w:style w:type="paragraph" w:customStyle="1" w:styleId="lineitemitalic">
    <w:name w:val="line item italic"/>
    <w:basedOn w:val="Normal"/>
    <w:rsid w:val="00B26C61"/>
    <w:rPr>
      <w:i/>
    </w:rPr>
  </w:style>
  <w:style w:type="paragraph" w:customStyle="1" w:styleId="lineitembold">
    <w:name w:val="line item bold"/>
    <w:basedOn w:val="Normal"/>
    <w:rsid w:val="00B26C61"/>
    <w:rPr>
      <w:b/>
      <w:sz w:val="20"/>
    </w:rPr>
  </w:style>
  <w:style w:type="paragraph" w:customStyle="1" w:styleId="Notesheading0">
    <w:name w:val="Notes heading"/>
    <w:basedOn w:val="Normal"/>
    <w:rsid w:val="00B26C61"/>
    <w:pPr>
      <w:spacing w:line="240" w:lineRule="auto"/>
    </w:pPr>
    <w:rPr>
      <w:rFonts w:ascii="Calisto MT" w:hAnsi="Calisto MT"/>
      <w:b/>
      <w:sz w:val="14"/>
      <w:lang w:eastAsia="en-AU"/>
    </w:rPr>
  </w:style>
  <w:style w:type="paragraph" w:customStyle="1" w:styleId="Notestothefinancialstatements">
    <w:name w:val="Notes to the financial statements"/>
    <w:aliases w:val="Heading"/>
    <w:basedOn w:val="Normal"/>
    <w:rsid w:val="00B26C61"/>
    <w:pPr>
      <w:tabs>
        <w:tab w:val="left" w:pos="567"/>
        <w:tab w:val="left" w:pos="1134"/>
        <w:tab w:val="left" w:pos="1701"/>
      </w:tabs>
      <w:spacing w:before="60" w:after="60" w:line="240" w:lineRule="auto"/>
    </w:pPr>
    <w:rPr>
      <w:rFonts w:ascii="Tahoma" w:hAnsi="Tahoma"/>
      <w:b/>
      <w:color w:val="000000"/>
      <w:sz w:val="16"/>
      <w:lang w:eastAsia="en-AU"/>
    </w:rPr>
  </w:style>
  <w:style w:type="paragraph" w:customStyle="1" w:styleId="NotesBulletPoint">
    <w:name w:val="Notes Bullet Point"/>
    <w:basedOn w:val="Normal"/>
    <w:autoRedefine/>
    <w:rsid w:val="00B26C61"/>
    <w:pPr>
      <w:tabs>
        <w:tab w:val="left" w:pos="413"/>
        <w:tab w:val="num" w:pos="927"/>
      </w:tabs>
      <w:snapToGrid w:val="0"/>
      <w:spacing w:line="240" w:lineRule="auto"/>
      <w:ind w:left="414" w:right="113" w:hanging="301"/>
      <w:jc w:val="both"/>
    </w:pPr>
    <w:rPr>
      <w:sz w:val="20"/>
      <w:lang w:val="en-US" w:eastAsia="en-AU"/>
    </w:rPr>
  </w:style>
  <w:style w:type="paragraph" w:customStyle="1" w:styleId="Headinga">
    <w:name w:val="Heading a"/>
    <w:basedOn w:val="Normal"/>
    <w:rsid w:val="00B26C61"/>
    <w:pPr>
      <w:spacing w:line="240" w:lineRule="auto"/>
    </w:pPr>
    <w:rPr>
      <w:b/>
      <w:bCs/>
      <w:szCs w:val="18"/>
    </w:rPr>
  </w:style>
  <w:style w:type="character" w:customStyle="1" w:styleId="LineitemsTotalChar">
    <w:name w:val="Line items Total Char"/>
    <w:basedOn w:val="LineitemsChar"/>
    <w:link w:val="LineitemsTotal"/>
    <w:uiPriority w:val="99"/>
    <w:locked/>
    <w:rsid w:val="00B26C61"/>
    <w:rPr>
      <w:b/>
      <w:i/>
    </w:rPr>
  </w:style>
  <w:style w:type="paragraph" w:customStyle="1" w:styleId="LineitemsTotal">
    <w:name w:val="Line items Total"/>
    <w:basedOn w:val="Lineitems"/>
    <w:link w:val="LineitemsTotalChar"/>
    <w:uiPriority w:val="99"/>
    <w:rsid w:val="00B26C61"/>
    <w:pPr>
      <w:framePr w:hSpace="180" w:wrap="around" w:vAnchor="text" w:hAnchor="margin" w:y="1"/>
    </w:pPr>
    <w:rPr>
      <w:b/>
      <w:i/>
    </w:rPr>
  </w:style>
  <w:style w:type="paragraph" w:customStyle="1" w:styleId="SAPHeading-Level1">
    <w:name w:val="SAP Heading - Level 1"/>
    <w:basedOn w:val="NotesHeading-Level1"/>
    <w:rsid w:val="00B26C61"/>
    <w:pPr>
      <w:numPr>
        <w:numId w:val="0"/>
      </w:numPr>
      <w:tabs>
        <w:tab w:val="num" w:pos="851"/>
      </w:tabs>
      <w:ind w:left="851" w:hanging="851"/>
    </w:pPr>
    <w:rPr>
      <w:rFonts w:cstheme="minorHAnsi"/>
    </w:rPr>
  </w:style>
  <w:style w:type="paragraph" w:customStyle="1" w:styleId="SAPHeading-Level2">
    <w:name w:val="SAP Heading - Level 2"/>
    <w:basedOn w:val="SAPHeading-Level1"/>
    <w:rsid w:val="00B26C61"/>
    <w:pPr>
      <w:spacing w:before="100" w:after="100" w:line="240" w:lineRule="auto"/>
      <w:outlineLvl w:val="9"/>
    </w:pPr>
  </w:style>
  <w:style w:type="paragraph" w:customStyle="1" w:styleId="SAPHeading-Level3">
    <w:name w:val="SAP Heading - Level 3"/>
    <w:basedOn w:val="SAPHeading-Level2"/>
    <w:rsid w:val="00B26C61"/>
  </w:style>
  <w:style w:type="character" w:customStyle="1" w:styleId="NotesTextChar">
    <w:name w:val="Notes Text Char"/>
    <w:basedOn w:val="ReferenceTextChar"/>
    <w:link w:val="NotesText0"/>
    <w:uiPriority w:val="99"/>
    <w:locked/>
    <w:rsid w:val="00B26C61"/>
    <w:rPr>
      <w:rFonts w:cs="Arial"/>
      <w:sz w:val="18"/>
      <w:szCs w:val="18"/>
    </w:rPr>
  </w:style>
  <w:style w:type="paragraph" w:customStyle="1" w:styleId="NotesText0">
    <w:name w:val="Notes Text"/>
    <w:basedOn w:val="ReferenceText"/>
    <w:link w:val="NotesTextChar"/>
    <w:uiPriority w:val="99"/>
    <w:rsid w:val="00B26C61"/>
    <w:pPr>
      <w:spacing w:before="100" w:after="100" w:line="240" w:lineRule="auto"/>
    </w:pPr>
    <w:rPr>
      <w:rFonts w:cs="Arial"/>
      <w:szCs w:val="18"/>
    </w:rPr>
  </w:style>
  <w:style w:type="paragraph" w:customStyle="1" w:styleId="NotesTextHeading">
    <w:name w:val="Notes Text Heading"/>
    <w:basedOn w:val="NotesText0"/>
    <w:uiPriority w:val="99"/>
    <w:rsid w:val="00B26C61"/>
    <w:rPr>
      <w:b/>
      <w:i/>
    </w:rPr>
  </w:style>
  <w:style w:type="paragraph" w:customStyle="1" w:styleId="NoteHeading-Level1">
    <w:name w:val="Note Heading - Level 1"/>
    <w:basedOn w:val="Normal"/>
    <w:rsid w:val="00B26C61"/>
  </w:style>
  <w:style w:type="paragraph" w:customStyle="1" w:styleId="NoteHeading-Level2">
    <w:name w:val="Note Heading - Level 2"/>
    <w:basedOn w:val="Normal"/>
    <w:rsid w:val="00B26C61"/>
  </w:style>
  <w:style w:type="paragraph" w:customStyle="1" w:styleId="Notesreferencetext">
    <w:name w:val="Notes reference text"/>
    <w:basedOn w:val="Normal"/>
    <w:next w:val="Normal"/>
    <w:rsid w:val="00B26C61"/>
    <w:pPr>
      <w:jc w:val="center"/>
    </w:pPr>
  </w:style>
  <w:style w:type="character" w:customStyle="1" w:styleId="StyleReferenceTextItalicChar">
    <w:name w:val="Style Reference Text + Italic Char"/>
    <w:basedOn w:val="ReferenceTextChar"/>
    <w:link w:val="StyleReferenceTextItalic"/>
    <w:uiPriority w:val="99"/>
    <w:locked/>
    <w:rsid w:val="00B26C61"/>
    <w:rPr>
      <w:rFonts w:ascii="Calibri" w:hAnsi="Calibri" w:cs="Arial"/>
      <w:i/>
      <w:iCs/>
      <w:sz w:val="18"/>
    </w:rPr>
  </w:style>
  <w:style w:type="paragraph" w:customStyle="1" w:styleId="StyleReferenceTextItalic">
    <w:name w:val="Style Reference Text + Italic"/>
    <w:basedOn w:val="ReferenceText"/>
    <w:link w:val="StyleReferenceTextItalicChar"/>
    <w:uiPriority w:val="99"/>
    <w:rsid w:val="00B26C61"/>
    <w:pPr>
      <w:spacing w:line="240" w:lineRule="atLeast"/>
    </w:pPr>
    <w:rPr>
      <w:rFonts w:ascii="Calibri" w:hAnsi="Calibri" w:cs="Arial"/>
      <w:i/>
      <w:iCs/>
    </w:rPr>
  </w:style>
  <w:style w:type="character" w:customStyle="1" w:styleId="StyleNotesTextItalicChar">
    <w:name w:val="Style Notes Text + Italic Char"/>
    <w:basedOn w:val="NotesTextChar"/>
    <w:link w:val="StyleNotesTextItalic"/>
    <w:uiPriority w:val="99"/>
    <w:locked/>
    <w:rsid w:val="00B26C61"/>
    <w:rPr>
      <w:rFonts w:cs="Arial"/>
      <w:i/>
      <w:iCs/>
      <w:sz w:val="18"/>
      <w:szCs w:val="18"/>
      <w:u w:val="single"/>
    </w:rPr>
  </w:style>
  <w:style w:type="paragraph" w:customStyle="1" w:styleId="StyleNotesTextItalic">
    <w:name w:val="Style Notes Text + Italic"/>
    <w:basedOn w:val="NotesText0"/>
    <w:link w:val="StyleNotesTextItalicChar"/>
    <w:uiPriority w:val="99"/>
    <w:rsid w:val="00B26C61"/>
    <w:pPr>
      <w:ind w:right="-54"/>
    </w:pPr>
    <w:rPr>
      <w:i/>
      <w:iCs/>
      <w:u w:val="single"/>
    </w:rPr>
  </w:style>
  <w:style w:type="paragraph" w:customStyle="1" w:styleId="StyleNotesTextPatternClearGray-25">
    <w:name w:val="Style Notes Text + Pattern: Clear (Gray-25%)"/>
    <w:basedOn w:val="NotesText0"/>
    <w:autoRedefine/>
    <w:uiPriority w:val="99"/>
    <w:rsid w:val="00B26C61"/>
    <w:pPr>
      <w:shd w:val="clear" w:color="auto" w:fill="CCCCCC"/>
      <w:ind w:right="-54"/>
    </w:pPr>
    <w:rPr>
      <w:rFonts w:ascii="Calibri" w:hAnsi="Calibri"/>
      <w:sz w:val="20"/>
      <w:szCs w:val="20"/>
    </w:rPr>
  </w:style>
  <w:style w:type="paragraph" w:customStyle="1" w:styleId="BulletKPMG">
    <w:name w:val="Bullet KPMG"/>
    <w:basedOn w:val="Normal"/>
    <w:uiPriority w:val="99"/>
    <w:rsid w:val="00B26C61"/>
    <w:pPr>
      <w:tabs>
        <w:tab w:val="num" w:pos="473"/>
      </w:tabs>
      <w:spacing w:before="100" w:after="100" w:line="240" w:lineRule="auto"/>
      <w:ind w:left="357" w:hanging="357"/>
    </w:pPr>
    <w:rPr>
      <w:sz w:val="20"/>
      <w:lang w:val="en-US" w:eastAsia="en-AU"/>
    </w:rPr>
  </w:style>
  <w:style w:type="character" w:customStyle="1" w:styleId="StyleNotesTextBoldChar">
    <w:name w:val="Style Notes Text + Bold Char"/>
    <w:basedOn w:val="NotesTextChar"/>
    <w:link w:val="StyleNotesTextBold"/>
    <w:uiPriority w:val="99"/>
    <w:locked/>
    <w:rsid w:val="00B26C61"/>
    <w:rPr>
      <w:rFonts w:ascii="Calibri" w:hAnsi="Calibri" w:cs="Arial"/>
      <w:bCs/>
      <w:sz w:val="18"/>
      <w:szCs w:val="18"/>
    </w:rPr>
  </w:style>
  <w:style w:type="paragraph" w:customStyle="1" w:styleId="StyleNotesTextBold">
    <w:name w:val="Style Notes Text + Bold"/>
    <w:basedOn w:val="NotesText0"/>
    <w:link w:val="StyleNotesTextBoldChar"/>
    <w:uiPriority w:val="99"/>
    <w:rsid w:val="00B26C61"/>
    <w:pPr>
      <w:ind w:right="-54"/>
    </w:pPr>
    <w:rPr>
      <w:rFonts w:ascii="Calibri" w:hAnsi="Calibri"/>
      <w:bCs/>
    </w:rPr>
  </w:style>
  <w:style w:type="character" w:customStyle="1" w:styleId="StyleNotesTextBold1Char">
    <w:name w:val="Style Notes Text + Bold1 Char"/>
    <w:basedOn w:val="NotesTextChar"/>
    <w:link w:val="StyleNotesTextBold1"/>
    <w:uiPriority w:val="99"/>
    <w:locked/>
    <w:rsid w:val="00B26C61"/>
    <w:rPr>
      <w:rFonts w:ascii="Calibri" w:hAnsi="Calibri" w:cs="Arial"/>
      <w:bCs/>
      <w:sz w:val="18"/>
      <w:szCs w:val="18"/>
    </w:rPr>
  </w:style>
  <w:style w:type="paragraph" w:customStyle="1" w:styleId="StyleNotesTextBold1">
    <w:name w:val="Style Notes Text + Bold1"/>
    <w:basedOn w:val="NotesText0"/>
    <w:link w:val="StyleNotesTextBold1Char"/>
    <w:uiPriority w:val="99"/>
    <w:rsid w:val="00B26C61"/>
    <w:pPr>
      <w:ind w:right="-54"/>
    </w:pPr>
    <w:rPr>
      <w:rFonts w:ascii="Calibri" w:hAnsi="Calibri"/>
      <w:bCs/>
    </w:rPr>
  </w:style>
  <w:style w:type="character" w:customStyle="1" w:styleId="StatementTextLevel1bChar">
    <w:name w:val="Statement Text Level 1(b) Char"/>
    <w:basedOn w:val="DefaultParagraphFont"/>
    <w:link w:val="StatementTextLevel1b"/>
    <w:uiPriority w:val="99"/>
    <w:locked/>
    <w:rsid w:val="00B26C61"/>
    <w:rPr>
      <w:rFonts w:ascii="Arial" w:hAnsi="Arial" w:cs="Arial"/>
      <w:b/>
      <w:sz w:val="18"/>
      <w:szCs w:val="18"/>
    </w:rPr>
  </w:style>
  <w:style w:type="paragraph" w:customStyle="1" w:styleId="StatementTextLevel1b">
    <w:name w:val="Statement Text Level 1(b)"/>
    <w:basedOn w:val="Normal"/>
    <w:link w:val="StatementTextLevel1bChar"/>
    <w:uiPriority w:val="99"/>
    <w:rsid w:val="00B26C61"/>
    <w:rPr>
      <w:rFonts w:ascii="Arial" w:eastAsiaTheme="minorHAnsi" w:hAnsi="Arial" w:cs="Arial"/>
      <w:b/>
      <w:szCs w:val="18"/>
    </w:rPr>
  </w:style>
  <w:style w:type="paragraph" w:customStyle="1" w:styleId="PrimaryStatementsHeading">
    <w:name w:val="Primary Statements Heading"/>
    <w:basedOn w:val="Normal"/>
    <w:autoRedefine/>
    <w:uiPriority w:val="99"/>
    <w:rsid w:val="00B26C61"/>
    <w:pPr>
      <w:spacing w:line="300" w:lineRule="exact"/>
    </w:pPr>
    <w:rPr>
      <w:b/>
      <w:sz w:val="24"/>
      <w:lang w:val="en-US"/>
    </w:rPr>
  </w:style>
  <w:style w:type="paragraph" w:customStyle="1" w:styleId="PeriodHeading">
    <w:name w:val="Period Heading"/>
    <w:basedOn w:val="PrimaryStatementsHeading"/>
    <w:uiPriority w:val="99"/>
    <w:rsid w:val="00B26C61"/>
    <w:rPr>
      <w:i/>
      <w:sz w:val="22"/>
    </w:rPr>
  </w:style>
  <w:style w:type="paragraph" w:customStyle="1" w:styleId="CurrentYearDataTotalLevel1">
    <w:name w:val="Current Year Data Total Level 1"/>
    <w:basedOn w:val="Normal"/>
    <w:next w:val="Normal"/>
    <w:autoRedefine/>
    <w:uiPriority w:val="99"/>
    <w:rsid w:val="00B26C61"/>
    <w:pPr>
      <w:pBdr>
        <w:top w:val="single" w:sz="4" w:space="1" w:color="auto"/>
        <w:bottom w:val="double" w:sz="6" w:space="1" w:color="auto"/>
      </w:pBdr>
      <w:jc w:val="right"/>
    </w:pPr>
    <w:rPr>
      <w:b/>
      <w:szCs w:val="16"/>
    </w:rPr>
  </w:style>
  <w:style w:type="character" w:customStyle="1" w:styleId="LineitemsHeadingChar">
    <w:name w:val="Line items Heading Char"/>
    <w:basedOn w:val="LineitemsChar"/>
    <w:link w:val="LineitemsHeading"/>
    <w:uiPriority w:val="99"/>
    <w:locked/>
    <w:rsid w:val="00B26C61"/>
    <w:rPr>
      <w:rFonts w:ascii="Calibri" w:hAnsi="Calibri" w:cs="Calibri"/>
      <w:b/>
      <w:sz w:val="18"/>
    </w:rPr>
  </w:style>
  <w:style w:type="paragraph" w:customStyle="1" w:styleId="LineitemsHeading">
    <w:name w:val="Line items Heading"/>
    <w:basedOn w:val="Lineitems"/>
    <w:link w:val="LineitemsHeadingChar"/>
    <w:uiPriority w:val="99"/>
    <w:rsid w:val="00B26C61"/>
    <w:pPr>
      <w:framePr w:hSpace="180" w:wrap="around" w:vAnchor="text" w:hAnchor="margin" w:y="1"/>
    </w:pPr>
    <w:rPr>
      <w:rFonts w:ascii="Calibri" w:hAnsi="Calibri" w:cs="Calibri"/>
      <w:b/>
      <w:sz w:val="18"/>
    </w:rPr>
  </w:style>
  <w:style w:type="paragraph" w:customStyle="1" w:styleId="PreviousYearDataTotalLevel3">
    <w:name w:val="Previous Year Data Total Level 3"/>
    <w:basedOn w:val="Normal"/>
    <w:autoRedefine/>
    <w:uiPriority w:val="99"/>
    <w:rsid w:val="00B26C61"/>
    <w:pPr>
      <w:pBdr>
        <w:top w:val="single" w:sz="4" w:space="1" w:color="auto"/>
        <w:bottom w:val="double" w:sz="6" w:space="1" w:color="auto"/>
      </w:pBdr>
      <w:jc w:val="right"/>
    </w:pPr>
  </w:style>
  <w:style w:type="paragraph" w:customStyle="1" w:styleId="StyleNotesTextItalic1">
    <w:name w:val="Style Notes Text + Italic1"/>
    <w:basedOn w:val="NotesText0"/>
    <w:uiPriority w:val="99"/>
    <w:rsid w:val="00B26C61"/>
    <w:pPr>
      <w:ind w:right="-54"/>
    </w:pPr>
    <w:rPr>
      <w:rFonts w:ascii="Calibri" w:hAnsi="Calibri" w:cs="Times New Roman"/>
      <w:i/>
      <w:iCs/>
      <w:sz w:val="20"/>
      <w:szCs w:val="20"/>
    </w:rPr>
  </w:style>
  <w:style w:type="paragraph" w:customStyle="1" w:styleId="StyleNotesTextPatternClearGray-20">
    <w:name w:val="Style Notes Text + Pattern: Clear (Gray-20%)"/>
    <w:basedOn w:val="NotesText0"/>
    <w:uiPriority w:val="99"/>
    <w:rsid w:val="00B26C61"/>
    <w:pPr>
      <w:ind w:right="-54"/>
    </w:pPr>
    <w:rPr>
      <w:rFonts w:ascii="Calibri" w:hAnsi="Calibri" w:cs="Times New Roman"/>
      <w:sz w:val="20"/>
      <w:szCs w:val="20"/>
    </w:rPr>
  </w:style>
  <w:style w:type="character" w:customStyle="1" w:styleId="PreviousYearDataTotalLevel2Char">
    <w:name w:val="Previous Year Data Total Level 2 Char"/>
    <w:basedOn w:val="DefaultParagraphFont"/>
    <w:link w:val="PreviousYearDataTotalLevel2"/>
    <w:uiPriority w:val="99"/>
    <w:locked/>
    <w:rsid w:val="00B26C61"/>
    <w:rPr>
      <w:rFonts w:ascii="Calibri" w:hAnsi="Calibri" w:cs="Calibri"/>
      <w:sz w:val="18"/>
    </w:rPr>
  </w:style>
  <w:style w:type="paragraph" w:customStyle="1" w:styleId="PreviousYearDataTotalLevel2">
    <w:name w:val="Previous Year Data Total Level 2"/>
    <w:basedOn w:val="Normal"/>
    <w:next w:val="Normal"/>
    <w:link w:val="PreviousYearDataTotalLevel2Char"/>
    <w:uiPriority w:val="99"/>
    <w:rsid w:val="00B26C61"/>
    <w:pPr>
      <w:pBdr>
        <w:top w:val="single" w:sz="4" w:space="1" w:color="auto"/>
        <w:bottom w:val="single" w:sz="4" w:space="1" w:color="auto"/>
      </w:pBdr>
      <w:jc w:val="right"/>
    </w:pPr>
    <w:rPr>
      <w:rFonts w:eastAsiaTheme="minorHAnsi" w:cs="Calibri"/>
      <w:szCs w:val="22"/>
    </w:rPr>
  </w:style>
  <w:style w:type="character" w:customStyle="1" w:styleId="CurrentYearDataTotalLevel2Char">
    <w:name w:val="Current Year Data Total Level 2 Char"/>
    <w:basedOn w:val="DefaultParagraphFont"/>
    <w:link w:val="CurrentYearDataTotalLevel2"/>
    <w:uiPriority w:val="99"/>
    <w:locked/>
    <w:rsid w:val="00B26C61"/>
    <w:rPr>
      <w:rFonts w:ascii="Calibri" w:hAnsi="Calibri" w:cs="Calibri"/>
      <w:b/>
      <w:sz w:val="18"/>
    </w:rPr>
  </w:style>
  <w:style w:type="paragraph" w:customStyle="1" w:styleId="CurrentYearDataTotalLevel2">
    <w:name w:val="Current Year Data Total Level 2"/>
    <w:basedOn w:val="Normal"/>
    <w:link w:val="CurrentYearDataTotalLevel2Char"/>
    <w:uiPriority w:val="99"/>
    <w:rsid w:val="00B26C61"/>
    <w:pPr>
      <w:pBdr>
        <w:top w:val="single" w:sz="4" w:space="1" w:color="auto"/>
        <w:bottom w:val="single" w:sz="4" w:space="1" w:color="auto"/>
      </w:pBdr>
      <w:jc w:val="right"/>
    </w:pPr>
    <w:rPr>
      <w:rFonts w:eastAsiaTheme="minorHAnsi" w:cs="Calibri"/>
      <w:b/>
      <w:szCs w:val="22"/>
    </w:rPr>
  </w:style>
  <w:style w:type="paragraph" w:customStyle="1" w:styleId="DeptCurrentYearHeader">
    <w:name w:val="Dept Current Year Header"/>
    <w:basedOn w:val="Normal"/>
    <w:qFormat/>
    <w:rsid w:val="00B26C61"/>
    <w:pPr>
      <w:spacing w:line="240" w:lineRule="auto"/>
      <w:jc w:val="right"/>
    </w:pPr>
    <w:rPr>
      <w:rFonts w:asciiTheme="minorHAnsi" w:hAnsiTheme="minorHAnsi" w:cstheme="minorHAnsi"/>
      <w:b/>
      <w:szCs w:val="18"/>
      <w:lang w:eastAsia="en-AU"/>
    </w:rPr>
  </w:style>
  <w:style w:type="paragraph" w:customStyle="1" w:styleId="DeptPreviousYearHeader">
    <w:name w:val="Dept Previous Year Header"/>
    <w:qFormat/>
    <w:rsid w:val="00B26C61"/>
    <w:pPr>
      <w:spacing w:after="0" w:line="240" w:lineRule="auto"/>
      <w:jc w:val="right"/>
    </w:pPr>
    <w:rPr>
      <w:rFonts w:eastAsia="Times New Roman" w:cstheme="minorHAnsi"/>
      <w:sz w:val="18"/>
      <w:szCs w:val="18"/>
      <w:lang w:eastAsia="en-AU"/>
    </w:rPr>
  </w:style>
  <w:style w:type="paragraph" w:customStyle="1" w:styleId="DeptManualEntryCell">
    <w:name w:val="Dept Manual Entry Cell"/>
    <w:basedOn w:val="Normal"/>
    <w:qFormat/>
    <w:rsid w:val="00B26C61"/>
    <w:pPr>
      <w:spacing w:line="240" w:lineRule="auto"/>
      <w:jc w:val="right"/>
    </w:pPr>
    <w:rPr>
      <w:rFonts w:asciiTheme="minorHAnsi" w:hAnsiTheme="minorHAnsi" w:cstheme="minorHAnsi"/>
      <w:b/>
      <w:szCs w:val="18"/>
      <w:lang w:eastAsia="en-AU"/>
    </w:rPr>
  </w:style>
  <w:style w:type="paragraph" w:customStyle="1" w:styleId="DeptManualEntryCellUnBold">
    <w:name w:val="Dept Manual Entry Cell UnBold"/>
    <w:basedOn w:val="DeptManualEntryCell"/>
    <w:qFormat/>
    <w:rsid w:val="00B26C61"/>
    <w:rPr>
      <w:b w:val="0"/>
    </w:rPr>
  </w:style>
  <w:style w:type="paragraph" w:customStyle="1" w:styleId="DeptCurrentYearTotal">
    <w:name w:val="Dept Current Year Total"/>
    <w:qFormat/>
    <w:rsid w:val="00B26C61"/>
    <w:pPr>
      <w:spacing w:after="0" w:line="240" w:lineRule="auto"/>
      <w:jc w:val="right"/>
    </w:pPr>
    <w:rPr>
      <w:rFonts w:eastAsia="Times New Roman" w:cstheme="minorHAnsi"/>
      <w:b/>
      <w:sz w:val="18"/>
      <w:szCs w:val="18"/>
      <w:lang w:eastAsia="en-AU"/>
    </w:rPr>
  </w:style>
  <w:style w:type="paragraph" w:customStyle="1" w:styleId="DeptPreviousYearTotal">
    <w:name w:val="Dept Previous Year Total"/>
    <w:qFormat/>
    <w:rsid w:val="00B26C61"/>
    <w:pPr>
      <w:spacing w:after="0" w:line="240" w:lineRule="auto"/>
      <w:jc w:val="right"/>
    </w:pPr>
    <w:rPr>
      <w:rFonts w:eastAsia="Times New Roman" w:cstheme="minorHAnsi"/>
      <w:sz w:val="18"/>
      <w:szCs w:val="18"/>
      <w:lang w:eastAsia="en-AU"/>
    </w:rPr>
  </w:style>
  <w:style w:type="paragraph" w:customStyle="1" w:styleId="DeptRowText">
    <w:name w:val="Dept Row Text"/>
    <w:qFormat/>
    <w:rsid w:val="00B26C61"/>
    <w:pPr>
      <w:spacing w:after="0" w:line="240" w:lineRule="auto"/>
    </w:pPr>
    <w:rPr>
      <w:rFonts w:eastAsia="Times New Roman" w:cstheme="minorHAnsi"/>
      <w:sz w:val="18"/>
      <w:szCs w:val="18"/>
      <w:lang w:eastAsia="en-AU"/>
    </w:rPr>
  </w:style>
  <w:style w:type="paragraph" w:customStyle="1" w:styleId="DeptRowTextTotal">
    <w:name w:val="Dept Row Text Total"/>
    <w:qFormat/>
    <w:rsid w:val="00B26C61"/>
    <w:pPr>
      <w:spacing w:after="0" w:line="240" w:lineRule="auto"/>
    </w:pPr>
    <w:rPr>
      <w:rFonts w:eastAsia="Times New Roman" w:cstheme="minorHAnsi"/>
      <w:b/>
      <w:i/>
      <w:sz w:val="18"/>
      <w:szCs w:val="18"/>
    </w:rPr>
  </w:style>
  <w:style w:type="paragraph" w:customStyle="1" w:styleId="DeptBlankBlueShade">
    <w:name w:val="Dept Blank Blue Shade"/>
    <w:basedOn w:val="DeptRowTextTotal"/>
    <w:next w:val="12line"/>
    <w:qFormat/>
    <w:rsid w:val="00B26C61"/>
  </w:style>
  <w:style w:type="paragraph" w:customStyle="1" w:styleId="DeptRowTextIndent">
    <w:name w:val="Dept Row Text Indent"/>
    <w:basedOn w:val="DeptRowText"/>
    <w:qFormat/>
    <w:rsid w:val="00B26C61"/>
    <w:pPr>
      <w:ind w:left="204"/>
    </w:pPr>
  </w:style>
  <w:style w:type="paragraph" w:customStyle="1" w:styleId="AdminRowTextIndent">
    <w:name w:val="Admin Row Text Indent"/>
    <w:basedOn w:val="DeptRowTextIndent"/>
    <w:qFormat/>
    <w:rsid w:val="00B26C61"/>
  </w:style>
  <w:style w:type="paragraph" w:customStyle="1" w:styleId="AdminRowTextIndentGrey">
    <w:name w:val="Admin Row Text Indent Grey"/>
    <w:basedOn w:val="AdminRowTextIndent"/>
    <w:qFormat/>
    <w:rsid w:val="00B26C61"/>
  </w:style>
  <w:style w:type="paragraph" w:customStyle="1" w:styleId="AdminCurrentYearDataGrey">
    <w:name w:val="Admin Current Year Data Grey"/>
    <w:qFormat/>
    <w:rsid w:val="00B26C61"/>
    <w:pPr>
      <w:spacing w:after="0" w:line="240" w:lineRule="auto"/>
      <w:jc w:val="right"/>
    </w:pPr>
    <w:rPr>
      <w:rFonts w:eastAsia="Times New Roman" w:cstheme="minorHAnsi"/>
      <w:b/>
      <w:sz w:val="18"/>
      <w:szCs w:val="18"/>
      <w:lang w:eastAsia="en-AU"/>
    </w:rPr>
  </w:style>
  <w:style w:type="paragraph" w:customStyle="1" w:styleId="AdminCurrentYearDataNormal">
    <w:name w:val="Admin Current Year Data Normal"/>
    <w:qFormat/>
    <w:rsid w:val="00B26C61"/>
    <w:pPr>
      <w:spacing w:after="0" w:line="240" w:lineRule="auto"/>
      <w:jc w:val="right"/>
    </w:pPr>
    <w:rPr>
      <w:rFonts w:eastAsia="Times New Roman" w:cstheme="minorHAnsi"/>
      <w:b/>
      <w:sz w:val="18"/>
      <w:szCs w:val="18"/>
      <w:lang w:eastAsia="en-AU"/>
    </w:rPr>
  </w:style>
  <w:style w:type="paragraph" w:customStyle="1" w:styleId="AdminPreviousYearDataGrey">
    <w:name w:val="Admin Previous Year Data Grey"/>
    <w:qFormat/>
    <w:rsid w:val="00B26C61"/>
    <w:pPr>
      <w:spacing w:after="0" w:line="240" w:lineRule="auto"/>
      <w:jc w:val="right"/>
    </w:pPr>
    <w:rPr>
      <w:rFonts w:eastAsia="Times New Roman" w:cstheme="minorHAnsi"/>
      <w:sz w:val="18"/>
      <w:szCs w:val="18"/>
      <w:lang w:eastAsia="en-AU"/>
    </w:rPr>
  </w:style>
  <w:style w:type="paragraph" w:customStyle="1" w:styleId="AdminPreviousYearDataNormal">
    <w:name w:val="Admin Previous Year Data Normal"/>
    <w:qFormat/>
    <w:rsid w:val="00B26C61"/>
    <w:pPr>
      <w:spacing w:after="0" w:line="240" w:lineRule="auto"/>
      <w:jc w:val="right"/>
    </w:pPr>
    <w:rPr>
      <w:rFonts w:eastAsia="Times New Roman" w:cstheme="minorHAnsi"/>
      <w:sz w:val="18"/>
      <w:szCs w:val="18"/>
      <w:lang w:eastAsia="en-AU"/>
    </w:rPr>
  </w:style>
  <w:style w:type="paragraph" w:customStyle="1" w:styleId="AdminHeaderlineUnderlineGrey">
    <w:name w:val="Admin Headerline Underline Grey"/>
    <w:basedOn w:val="AdminPreviousYearDataNormal"/>
    <w:next w:val="12line"/>
    <w:qFormat/>
    <w:rsid w:val="00B26C61"/>
  </w:style>
  <w:style w:type="paragraph" w:customStyle="1" w:styleId="AdminBlankGreyShade">
    <w:name w:val="Admin Blank Grey Shade"/>
    <w:next w:val="12line"/>
    <w:qFormat/>
    <w:rsid w:val="00B26C61"/>
    <w:pPr>
      <w:spacing w:after="0" w:line="240" w:lineRule="auto"/>
    </w:pPr>
    <w:rPr>
      <w:rFonts w:eastAsia="Times New Roman" w:cstheme="minorHAnsi"/>
      <w:sz w:val="18"/>
      <w:szCs w:val="18"/>
      <w:lang w:eastAsia="en-AU"/>
    </w:rPr>
  </w:style>
  <w:style w:type="paragraph" w:customStyle="1" w:styleId="AdminRowTextGrey">
    <w:name w:val="Admin Row Text Grey"/>
    <w:qFormat/>
    <w:rsid w:val="00B26C61"/>
    <w:pPr>
      <w:spacing w:after="0" w:line="240" w:lineRule="auto"/>
    </w:pPr>
    <w:rPr>
      <w:rFonts w:eastAsia="Times New Roman" w:cstheme="minorHAnsi"/>
      <w:sz w:val="18"/>
      <w:szCs w:val="18"/>
      <w:lang w:eastAsia="en-AU"/>
    </w:rPr>
  </w:style>
  <w:style w:type="paragraph" w:customStyle="1" w:styleId="AdminCurrentYearTotalGrey">
    <w:name w:val="Admin Current Year Total Grey"/>
    <w:qFormat/>
    <w:rsid w:val="00B26C61"/>
    <w:pPr>
      <w:spacing w:after="0" w:line="240" w:lineRule="auto"/>
      <w:jc w:val="right"/>
    </w:pPr>
    <w:rPr>
      <w:rFonts w:eastAsia="Times New Roman" w:cstheme="minorHAnsi"/>
      <w:b/>
      <w:sz w:val="18"/>
      <w:szCs w:val="18"/>
      <w:lang w:eastAsia="en-AU"/>
    </w:rPr>
  </w:style>
  <w:style w:type="paragraph" w:customStyle="1" w:styleId="AdminPreviousYearTotalGrey">
    <w:name w:val="Admin Previous Year Total Grey"/>
    <w:qFormat/>
    <w:rsid w:val="00B26C61"/>
    <w:pPr>
      <w:spacing w:after="0" w:line="240" w:lineRule="auto"/>
      <w:jc w:val="right"/>
    </w:pPr>
    <w:rPr>
      <w:rFonts w:eastAsia="Times New Roman" w:cstheme="minorHAnsi"/>
      <w:sz w:val="18"/>
      <w:szCs w:val="18"/>
      <w:lang w:eastAsia="en-AU"/>
    </w:rPr>
  </w:style>
  <w:style w:type="paragraph" w:customStyle="1" w:styleId="AdminManualEntryCell">
    <w:name w:val="Admin Manual Entry Cell"/>
    <w:qFormat/>
    <w:rsid w:val="00B26C61"/>
    <w:pPr>
      <w:spacing w:after="0" w:line="240" w:lineRule="auto"/>
      <w:jc w:val="right"/>
    </w:pPr>
    <w:rPr>
      <w:rFonts w:eastAsia="Times New Roman" w:cstheme="minorHAnsi"/>
      <w:b/>
      <w:sz w:val="18"/>
      <w:szCs w:val="18"/>
      <w:lang w:eastAsia="en-AU"/>
    </w:rPr>
  </w:style>
  <w:style w:type="paragraph" w:customStyle="1" w:styleId="AdminManualEntryCellUnbold">
    <w:name w:val="Admin Manual Entry Cell Unbold"/>
    <w:qFormat/>
    <w:rsid w:val="00B26C61"/>
    <w:pPr>
      <w:spacing w:after="0" w:line="240" w:lineRule="auto"/>
      <w:jc w:val="right"/>
    </w:pPr>
    <w:rPr>
      <w:rFonts w:eastAsia="Times New Roman" w:cstheme="minorHAnsi"/>
      <w:sz w:val="18"/>
      <w:szCs w:val="18"/>
      <w:lang w:eastAsia="en-AU"/>
    </w:rPr>
  </w:style>
  <w:style w:type="paragraph" w:customStyle="1" w:styleId="AdminRowTextHeaderBoldGrey">
    <w:name w:val="Admin Row Text Header Bold Grey"/>
    <w:qFormat/>
    <w:rsid w:val="00B26C61"/>
    <w:pPr>
      <w:spacing w:after="0" w:line="240" w:lineRule="auto"/>
    </w:pPr>
    <w:rPr>
      <w:rFonts w:eastAsia="Times New Roman" w:cstheme="minorHAnsi"/>
      <w:b/>
      <w:sz w:val="18"/>
      <w:szCs w:val="18"/>
      <w:lang w:eastAsia="en-AU"/>
    </w:rPr>
  </w:style>
  <w:style w:type="paragraph" w:customStyle="1" w:styleId="DeptCurrentYearData">
    <w:name w:val="Dept Current Year Data"/>
    <w:qFormat/>
    <w:rsid w:val="00B26C61"/>
    <w:pPr>
      <w:spacing w:after="0" w:line="240" w:lineRule="auto"/>
      <w:jc w:val="right"/>
    </w:pPr>
    <w:rPr>
      <w:rFonts w:eastAsia="Times New Roman" w:cstheme="minorHAnsi"/>
      <w:b/>
      <w:sz w:val="18"/>
      <w:szCs w:val="18"/>
      <w:lang w:eastAsia="en-AU"/>
    </w:rPr>
  </w:style>
  <w:style w:type="paragraph" w:customStyle="1" w:styleId="DeptPreviousYearData">
    <w:name w:val="Dept Previous Year Data"/>
    <w:qFormat/>
    <w:rsid w:val="00B26C61"/>
    <w:pPr>
      <w:spacing w:after="0" w:line="240" w:lineRule="auto"/>
      <w:jc w:val="right"/>
    </w:pPr>
    <w:rPr>
      <w:rFonts w:eastAsia="Times New Roman" w:cstheme="minorHAnsi"/>
      <w:sz w:val="18"/>
      <w:szCs w:val="18"/>
      <w:lang w:eastAsia="en-AU"/>
    </w:rPr>
  </w:style>
  <w:style w:type="paragraph" w:customStyle="1" w:styleId="DeptNoteHeadingUnderlined">
    <w:name w:val="Dept Note Heading Underlined"/>
    <w:qFormat/>
    <w:rsid w:val="00B26C61"/>
    <w:pPr>
      <w:spacing w:after="0" w:line="240" w:lineRule="auto"/>
    </w:pPr>
    <w:rPr>
      <w:rFonts w:eastAsia="Times New Roman" w:cstheme="minorHAnsi"/>
      <w:b/>
      <w:sz w:val="18"/>
      <w:szCs w:val="18"/>
      <w:u w:val="single"/>
      <w:lang w:eastAsia="en-AU"/>
    </w:rPr>
  </w:style>
  <w:style w:type="paragraph" w:customStyle="1" w:styleId="DeptCurrentYearSubTotal">
    <w:name w:val="Dept Current Year SubTotal"/>
    <w:qFormat/>
    <w:rsid w:val="00B26C61"/>
    <w:pPr>
      <w:spacing w:after="0" w:line="240" w:lineRule="auto"/>
      <w:jc w:val="right"/>
    </w:pPr>
    <w:rPr>
      <w:rFonts w:eastAsia="Times New Roman" w:cstheme="minorHAnsi"/>
      <w:b/>
      <w:sz w:val="18"/>
      <w:szCs w:val="18"/>
      <w:lang w:eastAsia="en-AU"/>
    </w:rPr>
  </w:style>
  <w:style w:type="paragraph" w:customStyle="1" w:styleId="AdminCurrentYearSubTotal">
    <w:name w:val="Admin Current Year SubTotal"/>
    <w:qFormat/>
    <w:rsid w:val="00B26C61"/>
    <w:pPr>
      <w:spacing w:after="0" w:line="240" w:lineRule="auto"/>
      <w:jc w:val="right"/>
    </w:pPr>
    <w:rPr>
      <w:rFonts w:eastAsia="Times New Roman" w:cstheme="minorHAnsi"/>
      <w:b/>
      <w:sz w:val="18"/>
      <w:szCs w:val="18"/>
      <w:lang w:eastAsia="en-AU"/>
    </w:rPr>
  </w:style>
  <w:style w:type="paragraph" w:customStyle="1" w:styleId="DeptNoteReference">
    <w:name w:val="Dept Note Reference"/>
    <w:basedOn w:val="AdminCurrentYearSubTotal"/>
    <w:qFormat/>
    <w:rsid w:val="00B26C61"/>
    <w:pPr>
      <w:jc w:val="center"/>
    </w:pPr>
    <w:rPr>
      <w:b w:val="0"/>
    </w:rPr>
  </w:style>
  <w:style w:type="paragraph" w:customStyle="1" w:styleId="DeptRowTextDoubleIndent">
    <w:name w:val="Dept Row Text Double Indent"/>
    <w:basedOn w:val="DeptNoteReference"/>
    <w:qFormat/>
    <w:rsid w:val="00B26C61"/>
    <w:pPr>
      <w:tabs>
        <w:tab w:val="left" w:pos="204"/>
      </w:tabs>
      <w:ind w:left="487"/>
      <w:jc w:val="left"/>
    </w:pPr>
  </w:style>
  <w:style w:type="paragraph" w:customStyle="1" w:styleId="AdminRowTextSubTotal">
    <w:name w:val="Admin Row Text SubTotal"/>
    <w:qFormat/>
    <w:rsid w:val="00B26C61"/>
    <w:pPr>
      <w:spacing w:after="0" w:line="240" w:lineRule="auto"/>
    </w:pPr>
    <w:rPr>
      <w:rFonts w:eastAsia="Times New Roman" w:cstheme="minorHAnsi"/>
      <w:sz w:val="18"/>
      <w:szCs w:val="18"/>
      <w:lang w:eastAsia="en-AU"/>
    </w:rPr>
  </w:style>
  <w:style w:type="paragraph" w:customStyle="1" w:styleId="DeptRowTextHeader">
    <w:name w:val="Dept Row Text Header"/>
    <w:qFormat/>
    <w:rsid w:val="00B26C61"/>
    <w:pPr>
      <w:spacing w:after="0" w:line="240" w:lineRule="auto"/>
    </w:pPr>
    <w:rPr>
      <w:rFonts w:eastAsia="Times New Roman" w:cstheme="minorHAnsi"/>
      <w:b/>
      <w:sz w:val="18"/>
      <w:szCs w:val="18"/>
      <w:lang w:eastAsia="en-AU"/>
    </w:rPr>
  </w:style>
  <w:style w:type="paragraph" w:customStyle="1" w:styleId="DeptPreviousYearSubTotal">
    <w:name w:val="Dept Previous Year SubTotal"/>
    <w:qFormat/>
    <w:rsid w:val="00B26C61"/>
    <w:pPr>
      <w:spacing w:after="0" w:line="240" w:lineRule="auto"/>
      <w:jc w:val="right"/>
    </w:pPr>
    <w:rPr>
      <w:rFonts w:eastAsia="Times New Roman" w:cstheme="minorHAnsi"/>
      <w:sz w:val="18"/>
      <w:szCs w:val="18"/>
      <w:lang w:eastAsia="en-AU"/>
    </w:rPr>
  </w:style>
  <w:style w:type="paragraph" w:customStyle="1" w:styleId="AdminCurrentYearHeadersGrey">
    <w:name w:val="Admin Current Year Headers Grey"/>
    <w:qFormat/>
    <w:rsid w:val="00B26C61"/>
    <w:pPr>
      <w:spacing w:after="0" w:line="240" w:lineRule="auto"/>
      <w:jc w:val="right"/>
    </w:pPr>
    <w:rPr>
      <w:rFonts w:eastAsia="Times New Roman" w:cstheme="minorHAnsi"/>
      <w:b/>
      <w:sz w:val="18"/>
      <w:szCs w:val="18"/>
      <w:lang w:eastAsia="en-AU"/>
    </w:rPr>
  </w:style>
  <w:style w:type="paragraph" w:customStyle="1" w:styleId="AdminPreviousYearHeadersGrey">
    <w:name w:val="Admin Previous Year Headers Grey"/>
    <w:basedOn w:val="AdminCurrentYearHeadersGrey"/>
    <w:qFormat/>
    <w:rsid w:val="00B26C61"/>
  </w:style>
  <w:style w:type="paragraph" w:customStyle="1" w:styleId="AdminHeaderUnderlineGrey">
    <w:name w:val="Admin Header Underline Grey"/>
    <w:qFormat/>
    <w:rsid w:val="00B26C61"/>
    <w:pPr>
      <w:spacing w:after="0" w:line="240" w:lineRule="auto"/>
    </w:pPr>
    <w:rPr>
      <w:rFonts w:eastAsia="Times New Roman" w:cstheme="minorHAnsi"/>
      <w:b/>
      <w:sz w:val="18"/>
      <w:szCs w:val="18"/>
      <w:u w:val="single"/>
      <w:lang w:eastAsia="en-AU"/>
    </w:rPr>
  </w:style>
  <w:style w:type="paragraph" w:customStyle="1" w:styleId="AdminPreviousYearHeaderGrey">
    <w:name w:val="Admin Previous Year Header Grey"/>
    <w:qFormat/>
    <w:rsid w:val="00B26C61"/>
    <w:pPr>
      <w:spacing w:after="0" w:line="240" w:lineRule="auto"/>
      <w:jc w:val="right"/>
    </w:pPr>
    <w:rPr>
      <w:rFonts w:ascii="Calibri" w:eastAsia="Times New Roman" w:hAnsi="Calibri" w:cs="Calibri"/>
      <w:sz w:val="18"/>
      <w:szCs w:val="18"/>
    </w:rPr>
  </w:style>
  <w:style w:type="paragraph" w:customStyle="1" w:styleId="AdminRowTextNormal">
    <w:name w:val="Admin Row Text Normal"/>
    <w:qFormat/>
    <w:rsid w:val="00B26C61"/>
    <w:pPr>
      <w:spacing w:after="0" w:line="240" w:lineRule="auto"/>
    </w:pPr>
    <w:rPr>
      <w:rFonts w:ascii="Calibri" w:eastAsia="Times New Roman" w:hAnsi="Calibri" w:cs="Calibri"/>
      <w:sz w:val="18"/>
      <w:szCs w:val="18"/>
    </w:rPr>
  </w:style>
  <w:style w:type="paragraph" w:customStyle="1" w:styleId="AdminRowTextTotal">
    <w:name w:val="Admin Row Text Total"/>
    <w:basedOn w:val="Normal"/>
    <w:qFormat/>
    <w:rsid w:val="00B26C61"/>
    <w:rPr>
      <w:rFonts w:cs="Calibri"/>
      <w:b/>
      <w:bCs/>
      <w:i/>
      <w:iCs/>
      <w:szCs w:val="18"/>
    </w:rPr>
  </w:style>
  <w:style w:type="paragraph" w:customStyle="1" w:styleId="DeptRowTextSubTotal">
    <w:name w:val="Dept Row Text SubTotal"/>
    <w:basedOn w:val="Normal"/>
    <w:qFormat/>
    <w:rsid w:val="00B26C61"/>
    <w:rPr>
      <w:rFonts w:cs="Calibri"/>
      <w:b/>
      <w:bCs/>
      <w:szCs w:val="18"/>
    </w:rPr>
  </w:style>
  <w:style w:type="paragraph" w:customStyle="1" w:styleId="DeptManualEntryBoldGreyShade">
    <w:name w:val="Dept Manual Entry Bold Grey Shade"/>
    <w:qFormat/>
    <w:rsid w:val="00B26C61"/>
    <w:pPr>
      <w:spacing w:after="0" w:line="240" w:lineRule="auto"/>
      <w:jc w:val="right"/>
    </w:pPr>
    <w:rPr>
      <w:rFonts w:ascii="Calibri" w:eastAsia="Times New Roman" w:hAnsi="Calibri" w:cs="Calibri"/>
      <w:b/>
      <w:bCs/>
      <w:sz w:val="18"/>
      <w:szCs w:val="18"/>
    </w:rPr>
  </w:style>
  <w:style w:type="paragraph" w:customStyle="1" w:styleId="DeptManualEntryCellUnboldGreyShade">
    <w:name w:val="Dept Manual Entry Cell Unbold Grey Shade"/>
    <w:basedOn w:val="DeptManualEntryBoldGreyShade"/>
    <w:qFormat/>
    <w:rsid w:val="00B26C61"/>
    <w:rPr>
      <w:b w:val="0"/>
    </w:rPr>
  </w:style>
  <w:style w:type="paragraph" w:customStyle="1" w:styleId="AdminHeaderCentered">
    <w:name w:val="Admin Header Centered"/>
    <w:basedOn w:val="AdminRowTextHeaderBoldGrey"/>
    <w:qFormat/>
    <w:rsid w:val="00B26C61"/>
    <w:pPr>
      <w:jc w:val="center"/>
    </w:pPr>
  </w:style>
  <w:style w:type="paragraph" w:customStyle="1" w:styleId="AdminNoteReferenceGrey">
    <w:name w:val="Admin Note Reference Grey"/>
    <w:qFormat/>
    <w:rsid w:val="00B26C61"/>
    <w:pPr>
      <w:spacing w:after="0" w:line="240" w:lineRule="auto"/>
      <w:jc w:val="center"/>
    </w:pPr>
    <w:rPr>
      <w:rFonts w:ascii="Calibri" w:eastAsia="Times New Roman" w:hAnsi="Calibri" w:cs="Calibri"/>
      <w:sz w:val="18"/>
      <w:szCs w:val="18"/>
    </w:rPr>
  </w:style>
  <w:style w:type="paragraph" w:customStyle="1" w:styleId="DeptHeaderCentered">
    <w:name w:val="Dept Header Centered"/>
    <w:qFormat/>
    <w:rsid w:val="00B26C61"/>
    <w:pPr>
      <w:spacing w:after="0" w:line="240" w:lineRule="auto"/>
      <w:jc w:val="center"/>
    </w:pPr>
    <w:rPr>
      <w:rFonts w:eastAsia="Times New Roman" w:cstheme="minorHAnsi"/>
      <w:b/>
      <w:sz w:val="18"/>
      <w:szCs w:val="18"/>
      <w:lang w:eastAsia="en-AU"/>
    </w:rPr>
  </w:style>
  <w:style w:type="paragraph" w:customStyle="1" w:styleId="NotesHeading-Level1GreyShade">
    <w:name w:val="Notes Heading - Level 1 Grey Shade"/>
    <w:basedOn w:val="NotesHeading-Level1"/>
    <w:qFormat/>
    <w:rsid w:val="00B26C61"/>
    <w:pPr>
      <w:numPr>
        <w:numId w:val="14"/>
      </w:numPr>
      <w:shd w:val="clear" w:color="auto" w:fill="D9D9D9" w:themeFill="background1" w:themeFillShade="D9"/>
      <w:tabs>
        <w:tab w:val="clear" w:pos="360"/>
        <w:tab w:val="num" w:pos="643"/>
      </w:tabs>
      <w:ind w:left="643"/>
    </w:pPr>
    <w:rPr>
      <w:rFonts w:cstheme="minorHAnsi"/>
    </w:rPr>
  </w:style>
  <w:style w:type="paragraph" w:customStyle="1" w:styleId="UnderlineItalics">
    <w:name w:val="Underline Italics"/>
    <w:basedOn w:val="Normal"/>
    <w:qFormat/>
    <w:rsid w:val="00B26C61"/>
    <w:rPr>
      <w:i/>
      <w:u w:val="single"/>
    </w:rPr>
  </w:style>
  <w:style w:type="paragraph" w:customStyle="1" w:styleId="Default">
    <w:name w:val="Default"/>
    <w:rsid w:val="00B26C6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otnoteReference">
    <w:name w:val="footnote reference"/>
    <w:basedOn w:val="DefaultParagraphFont"/>
    <w:uiPriority w:val="99"/>
    <w:semiHidden/>
    <w:rsid w:val="00B26C61"/>
    <w:rPr>
      <w:vertAlign w:val="superscript"/>
    </w:rPr>
  </w:style>
  <w:style w:type="character" w:styleId="CommentReference">
    <w:name w:val="annotation reference"/>
    <w:basedOn w:val="DefaultParagraphFont"/>
    <w:semiHidden/>
    <w:rsid w:val="00B26C61"/>
    <w:rPr>
      <w:sz w:val="16"/>
      <w:szCs w:val="16"/>
    </w:rPr>
  </w:style>
  <w:style w:type="character" w:styleId="PageNumber">
    <w:name w:val="page number"/>
    <w:basedOn w:val="DefaultParagraphFont"/>
    <w:uiPriority w:val="99"/>
    <w:rsid w:val="00B26C61"/>
    <w:rPr>
      <w:rFonts w:ascii="Times New Roman" w:hAnsi="Times New Roman" w:cs="Times New Roman" w:hint="default"/>
      <w:sz w:val="22"/>
    </w:rPr>
  </w:style>
  <w:style w:type="character" w:customStyle="1" w:styleId="A18">
    <w:name w:val="A18"/>
    <w:uiPriority w:val="99"/>
    <w:rsid w:val="00B26C61"/>
    <w:rPr>
      <w:i/>
      <w:iCs/>
      <w:color w:val="000000"/>
      <w:sz w:val="14"/>
      <w:szCs w:val="14"/>
      <w:u w:val="single"/>
    </w:rPr>
  </w:style>
  <w:style w:type="table" w:styleId="TableGrid">
    <w:name w:val="Table Grid"/>
    <w:basedOn w:val="TableNormal"/>
    <w:uiPriority w:val="59"/>
    <w:rsid w:val="00B26C61"/>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B26C6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NotesHeading-Level1">
    <w:name w:val="Continued Notes Heading - Level 1"/>
    <w:basedOn w:val="NotesHeading-Level1"/>
    <w:qFormat/>
    <w:rsid w:val="00B26C61"/>
    <w:pPr>
      <w:numPr>
        <w:numId w:val="0"/>
      </w:numPr>
      <w:spacing w:line="240" w:lineRule="auto"/>
      <w:outlineLvl w:val="9"/>
    </w:pPr>
  </w:style>
  <w:style w:type="numbering" w:customStyle="1" w:styleId="CurrentList2">
    <w:name w:val="Current List2"/>
    <w:rsid w:val="00B26C61"/>
    <w:pPr>
      <w:numPr>
        <w:numId w:val="26"/>
      </w:numPr>
    </w:pPr>
  </w:style>
  <w:style w:type="numbering" w:customStyle="1" w:styleId="Style2">
    <w:name w:val="Style2"/>
    <w:rsid w:val="00B26C61"/>
    <w:pPr>
      <w:numPr>
        <w:numId w:val="27"/>
      </w:numPr>
    </w:pPr>
  </w:style>
  <w:style w:type="numbering" w:customStyle="1" w:styleId="CurrentList1">
    <w:name w:val="Current List1"/>
    <w:rsid w:val="00B26C61"/>
    <w:pPr>
      <w:numPr>
        <w:numId w:val="28"/>
      </w:numPr>
    </w:pPr>
  </w:style>
  <w:style w:type="character" w:styleId="Emphasis">
    <w:name w:val="Emphasis"/>
    <w:basedOn w:val="DefaultParagraphFont"/>
    <w:uiPriority w:val="20"/>
    <w:qFormat/>
    <w:rsid w:val="00B26C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annotation reference" w:uiPriority="0"/>
    <w:lsdException w:name="macro" w:uiPriority="0"/>
    <w:lsdException w:name="List Bullet" w:qFormat="1"/>
    <w:lsdException w:name="List Number" w:qFormat="1"/>
    <w:lsdException w:name="Title" w:semiHidden="0" w:uiPriority="10" w:unhideWhenUsed="0" w:qFormat="1"/>
    <w:lsdException w:name="Signature" w:uiPriority="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26C61"/>
    <w:pPr>
      <w:spacing w:after="0" w:line="260" w:lineRule="atLeast"/>
    </w:pPr>
    <w:rPr>
      <w:rFonts w:ascii="Calibri" w:eastAsia="Times New Roman" w:hAnsi="Calibri" w:cs="Times New Roman"/>
      <w:sz w:val="18"/>
      <w:szCs w:val="20"/>
    </w:rPr>
  </w:style>
  <w:style w:type="paragraph" w:styleId="Heading1">
    <w:name w:val="heading 1"/>
    <w:aliases w:val="Heading 1 do not use,Section heading 1,Front Page Title,1.,Para 1,Para 11"/>
    <w:basedOn w:val="Normal"/>
    <w:next w:val="Normal"/>
    <w:link w:val="Heading1Char"/>
    <w:qFormat/>
    <w:rsid w:val="005536B7"/>
    <w:pPr>
      <w:spacing w:before="480" w:after="120"/>
      <w:contextualSpacing/>
      <w:outlineLvl w:val="0"/>
    </w:pPr>
    <w:rPr>
      <w:rFonts w:eastAsiaTheme="majorEastAsia" w:cstheme="majorBidi"/>
      <w:b/>
      <w:bCs/>
      <w:sz w:val="28"/>
      <w:szCs w:val="28"/>
    </w:rPr>
  </w:style>
  <w:style w:type="paragraph" w:styleId="Heading2">
    <w:name w:val="heading 2"/>
    <w:aliases w:val="Heading 2 do not use,Front Page List of Sections"/>
    <w:basedOn w:val="Normal"/>
    <w:next w:val="Normal"/>
    <w:link w:val="Heading2Char"/>
    <w:qFormat/>
    <w:rsid w:val="00B26C61"/>
    <w:pPr>
      <w:keepNext/>
      <w:spacing w:before="240" w:after="60"/>
      <w:outlineLvl w:val="1"/>
    </w:pPr>
    <w:rPr>
      <w:rFonts w:ascii="Arial" w:eastAsiaTheme="minorEastAsia" w:hAnsi="Arial" w:cs="Arial"/>
      <w:i/>
      <w:iCs/>
      <w:sz w:val="28"/>
      <w:szCs w:val="28"/>
    </w:rPr>
  </w:style>
  <w:style w:type="paragraph" w:styleId="Heading3">
    <w:name w:val="heading 3"/>
    <w:aliases w:val="Heading 3 do not use"/>
    <w:basedOn w:val="Normal"/>
    <w:next w:val="Normal"/>
    <w:link w:val="Heading3Char"/>
    <w:qFormat/>
    <w:rsid w:val="00B26C61"/>
    <w:pPr>
      <w:keepNext/>
      <w:spacing w:before="240" w:after="60"/>
      <w:outlineLvl w:val="2"/>
    </w:pPr>
    <w:rPr>
      <w:rFonts w:ascii="Arial" w:eastAsiaTheme="minorEastAsia" w:hAnsi="Arial" w:cs="Arial"/>
      <w:sz w:val="26"/>
      <w:szCs w:val="26"/>
    </w:rPr>
  </w:style>
  <w:style w:type="paragraph" w:styleId="Heading4">
    <w:name w:val="heading 4"/>
    <w:basedOn w:val="Normal"/>
    <w:link w:val="Heading4Char"/>
    <w:qFormat/>
    <w:rsid w:val="00B26C61"/>
    <w:pPr>
      <w:spacing w:before="130" w:after="130"/>
      <w:outlineLvl w:val="3"/>
    </w:pPr>
    <w:rPr>
      <w:rFonts w:eastAsiaTheme="minorEastAsia"/>
    </w:rPr>
  </w:style>
  <w:style w:type="paragraph" w:styleId="Heading5">
    <w:name w:val="heading 5"/>
    <w:basedOn w:val="Normal"/>
    <w:next w:val="Normal"/>
    <w:link w:val="Heading5Char"/>
    <w:qFormat/>
    <w:rsid w:val="00B26C61"/>
    <w:pPr>
      <w:outlineLvl w:val="4"/>
    </w:pPr>
    <w:rPr>
      <w:rFonts w:eastAsiaTheme="minorEastAsia"/>
    </w:rPr>
  </w:style>
  <w:style w:type="paragraph" w:styleId="Heading6">
    <w:name w:val="heading 6"/>
    <w:basedOn w:val="Normal"/>
    <w:next w:val="Normal"/>
    <w:link w:val="Heading6Char"/>
    <w:qFormat/>
    <w:rsid w:val="00B26C61"/>
    <w:pPr>
      <w:outlineLvl w:val="5"/>
    </w:pPr>
    <w:rPr>
      <w:rFonts w:eastAsiaTheme="minorEastAsia"/>
    </w:rPr>
  </w:style>
  <w:style w:type="paragraph" w:styleId="Heading7">
    <w:name w:val="heading 7"/>
    <w:aliases w:val="Section Sub-Heading 4"/>
    <w:basedOn w:val="Normal"/>
    <w:next w:val="Normal"/>
    <w:link w:val="Heading7Char"/>
    <w:qFormat/>
    <w:rsid w:val="00B26C61"/>
    <w:pPr>
      <w:outlineLvl w:val="6"/>
    </w:pPr>
  </w:style>
  <w:style w:type="paragraph" w:styleId="Heading8">
    <w:name w:val="heading 8"/>
    <w:basedOn w:val="Normal"/>
    <w:next w:val="Normal"/>
    <w:link w:val="Heading8Char"/>
    <w:qFormat/>
    <w:rsid w:val="00B26C61"/>
    <w:pPr>
      <w:outlineLvl w:val="7"/>
    </w:pPr>
  </w:style>
  <w:style w:type="paragraph" w:styleId="Heading9">
    <w:name w:val="heading 9"/>
    <w:basedOn w:val="Normal"/>
    <w:next w:val="Normal"/>
    <w:link w:val="Heading9Char"/>
    <w:qFormat/>
    <w:rsid w:val="00B26C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uiPriority w:val="99"/>
    <w:rsid w:val="00F160D2"/>
    <w:pPr>
      <w:numPr>
        <w:numId w:val="1"/>
      </w:numPr>
    </w:pPr>
  </w:style>
  <w:style w:type="numbering" w:customStyle="1" w:styleId="UnorderedList">
    <w:name w:val="Unordered List"/>
    <w:uiPriority w:val="99"/>
    <w:rsid w:val="00F160D2"/>
    <w:pPr>
      <w:numPr>
        <w:numId w:val="2"/>
      </w:numPr>
    </w:pPr>
  </w:style>
  <w:style w:type="paragraph" w:customStyle="1" w:styleId="BlockQuote">
    <w:name w:val="Block Quote"/>
    <w:basedOn w:val="Quote"/>
    <w:rsid w:val="006E3E34"/>
    <w:pPr>
      <w:spacing w:before="120" w:after="120" w:line="240" w:lineRule="auto"/>
      <w:ind w:left="567" w:right="567"/>
      <w:contextualSpacing/>
    </w:pPr>
    <w:rPr>
      <w:i w:val="0"/>
      <w:noProof/>
      <w:color w:val="auto"/>
      <w:sz w:val="20"/>
    </w:rPr>
  </w:style>
  <w:style w:type="paragraph" w:styleId="Quote">
    <w:name w:val="Quote"/>
    <w:basedOn w:val="Normal"/>
    <w:next w:val="Normal"/>
    <w:link w:val="QuoteChar"/>
    <w:uiPriority w:val="29"/>
    <w:qFormat/>
    <w:rsid w:val="006E3E34"/>
    <w:rPr>
      <w:i/>
      <w:iCs/>
      <w:color w:val="000000" w:themeColor="text1"/>
    </w:rPr>
  </w:style>
  <w:style w:type="character" w:customStyle="1" w:styleId="QuoteChar">
    <w:name w:val="Quote Char"/>
    <w:basedOn w:val="DefaultParagraphFont"/>
    <w:link w:val="Quote"/>
    <w:uiPriority w:val="29"/>
    <w:rsid w:val="006E3E34"/>
    <w:rPr>
      <w:i/>
      <w:iCs/>
      <w:color w:val="000000" w:themeColor="text1"/>
    </w:rPr>
  </w:style>
  <w:style w:type="paragraph" w:styleId="ListNumber">
    <w:name w:val="List Number"/>
    <w:basedOn w:val="Normal"/>
    <w:uiPriority w:val="99"/>
    <w:unhideWhenUsed/>
    <w:qFormat/>
    <w:rsid w:val="009A4A46"/>
    <w:pPr>
      <w:numPr>
        <w:numId w:val="8"/>
      </w:numPr>
      <w:contextualSpacing/>
    </w:pPr>
  </w:style>
  <w:style w:type="paragraph" w:styleId="ListBullet">
    <w:name w:val="List Bullet"/>
    <w:basedOn w:val="Normal"/>
    <w:uiPriority w:val="99"/>
    <w:unhideWhenUsed/>
    <w:qFormat/>
    <w:rsid w:val="009A4A46"/>
    <w:pPr>
      <w:numPr>
        <w:numId w:val="3"/>
      </w:numPr>
      <w:contextualSpacing/>
    </w:pPr>
  </w:style>
  <w:style w:type="paragraph" w:styleId="NoSpacing">
    <w:name w:val="No Spacing"/>
    <w:basedOn w:val="Normal"/>
    <w:uiPriority w:val="1"/>
    <w:rsid w:val="006E3E34"/>
    <w:pPr>
      <w:spacing w:line="240" w:lineRule="auto"/>
    </w:pPr>
  </w:style>
  <w:style w:type="paragraph" w:customStyle="1" w:styleId="Security">
    <w:name w:val="Security"/>
    <w:basedOn w:val="Normal"/>
    <w:link w:val="SecurityChar"/>
    <w:rsid w:val="005536B7"/>
    <w:pPr>
      <w:contextualSpacing/>
      <w:jc w:val="center"/>
    </w:pPr>
    <w:rPr>
      <w:rFonts w:eastAsiaTheme="minorHAnsi"/>
      <w:b/>
      <w:noProof/>
      <w:sz w:val="32"/>
      <w:szCs w:val="32"/>
    </w:rPr>
  </w:style>
  <w:style w:type="character" w:customStyle="1" w:styleId="SecurityChar">
    <w:name w:val="Security Char"/>
    <w:basedOn w:val="DefaultParagraphFont"/>
    <w:link w:val="Security"/>
    <w:rsid w:val="005536B7"/>
    <w:rPr>
      <w:b/>
      <w:noProof/>
      <w:sz w:val="32"/>
      <w:szCs w:val="32"/>
    </w:rPr>
  </w:style>
  <w:style w:type="character" w:customStyle="1" w:styleId="Heading1Char">
    <w:name w:val="Heading 1 Char"/>
    <w:aliases w:val="Heading 1 do not use Char,Section heading 1 Char,Front Page Title Char,1. Char,Para 1 Char,Para 11 Char"/>
    <w:basedOn w:val="DefaultParagraphFont"/>
    <w:link w:val="Heading1"/>
    <w:rsid w:val="005536B7"/>
    <w:rPr>
      <w:rFonts w:eastAsiaTheme="majorEastAsia" w:cstheme="majorBidi"/>
      <w:b/>
      <w:bCs/>
      <w:sz w:val="28"/>
      <w:szCs w:val="28"/>
    </w:rPr>
  </w:style>
  <w:style w:type="character" w:customStyle="1" w:styleId="DeleteText">
    <w:name w:val="Delete Text"/>
    <w:basedOn w:val="DefaultParagraphFont"/>
    <w:uiPriority w:val="1"/>
    <w:rsid w:val="005536B7"/>
    <w:rPr>
      <w:rFonts w:eastAsiaTheme="minorHAnsi"/>
      <w:i/>
      <w:color w:val="0070C0"/>
      <w:sz w:val="20"/>
      <w:szCs w:val="20"/>
    </w:rPr>
  </w:style>
  <w:style w:type="paragraph" w:styleId="ListParagraph">
    <w:name w:val="List Paragraph"/>
    <w:basedOn w:val="Normal"/>
    <w:uiPriority w:val="34"/>
    <w:qFormat/>
    <w:rsid w:val="005536B7"/>
    <w:pPr>
      <w:ind w:left="720"/>
      <w:contextualSpacing/>
    </w:pPr>
  </w:style>
  <w:style w:type="paragraph" w:styleId="Title">
    <w:name w:val="Title"/>
    <w:basedOn w:val="Normal"/>
    <w:next w:val="Normal"/>
    <w:link w:val="TitleChar"/>
    <w:uiPriority w:val="10"/>
    <w:rsid w:val="005536B7"/>
    <w:pP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5536B7"/>
    <w:rPr>
      <w:rFonts w:eastAsiaTheme="majorEastAsia" w:cstheme="majorBidi"/>
      <w:spacing w:val="5"/>
      <w:sz w:val="52"/>
      <w:szCs w:val="52"/>
    </w:rPr>
  </w:style>
  <w:style w:type="character" w:styleId="Strong">
    <w:name w:val="Strong"/>
    <w:uiPriority w:val="22"/>
    <w:rsid w:val="005536B7"/>
    <w:rPr>
      <w:b/>
      <w:bCs/>
    </w:rPr>
  </w:style>
  <w:style w:type="character" w:customStyle="1" w:styleId="Heading2Char">
    <w:name w:val="Heading 2 Char"/>
    <w:aliases w:val="Heading 2 do not use Char,Front Page List of Sections Char"/>
    <w:basedOn w:val="DefaultParagraphFont"/>
    <w:link w:val="Heading2"/>
    <w:rsid w:val="00B26C61"/>
    <w:rPr>
      <w:rFonts w:ascii="Arial" w:eastAsiaTheme="minorEastAsia" w:hAnsi="Arial" w:cs="Arial"/>
      <w:i/>
      <w:iCs/>
      <w:sz w:val="28"/>
      <w:szCs w:val="28"/>
    </w:rPr>
  </w:style>
  <w:style w:type="character" w:customStyle="1" w:styleId="Heading3Char">
    <w:name w:val="Heading 3 Char"/>
    <w:aliases w:val="Heading 3 do not use Char"/>
    <w:basedOn w:val="DefaultParagraphFont"/>
    <w:link w:val="Heading3"/>
    <w:rsid w:val="00B26C61"/>
    <w:rPr>
      <w:rFonts w:ascii="Arial" w:eastAsiaTheme="minorEastAsia" w:hAnsi="Arial" w:cs="Arial"/>
      <w:sz w:val="26"/>
      <w:szCs w:val="26"/>
    </w:rPr>
  </w:style>
  <w:style w:type="character" w:customStyle="1" w:styleId="Heading4Char">
    <w:name w:val="Heading 4 Char"/>
    <w:basedOn w:val="DefaultParagraphFont"/>
    <w:link w:val="Heading4"/>
    <w:rsid w:val="00B26C61"/>
    <w:rPr>
      <w:rFonts w:ascii="Calibri" w:eastAsiaTheme="minorEastAsia" w:hAnsi="Calibri" w:cs="Times New Roman"/>
      <w:sz w:val="18"/>
      <w:szCs w:val="20"/>
    </w:rPr>
  </w:style>
  <w:style w:type="character" w:customStyle="1" w:styleId="Heading5Char">
    <w:name w:val="Heading 5 Char"/>
    <w:basedOn w:val="DefaultParagraphFont"/>
    <w:link w:val="Heading5"/>
    <w:rsid w:val="00B26C61"/>
    <w:rPr>
      <w:rFonts w:ascii="Calibri" w:eastAsiaTheme="minorEastAsia" w:hAnsi="Calibri" w:cs="Times New Roman"/>
      <w:sz w:val="18"/>
      <w:szCs w:val="20"/>
    </w:rPr>
  </w:style>
  <w:style w:type="character" w:customStyle="1" w:styleId="Heading6Char">
    <w:name w:val="Heading 6 Char"/>
    <w:basedOn w:val="DefaultParagraphFont"/>
    <w:link w:val="Heading6"/>
    <w:rsid w:val="00B26C61"/>
    <w:rPr>
      <w:rFonts w:ascii="Calibri" w:eastAsiaTheme="minorEastAsia" w:hAnsi="Calibri" w:cs="Times New Roman"/>
      <w:sz w:val="18"/>
      <w:szCs w:val="20"/>
    </w:rPr>
  </w:style>
  <w:style w:type="character" w:customStyle="1" w:styleId="Heading7Char">
    <w:name w:val="Heading 7 Char"/>
    <w:aliases w:val="Section Sub-Heading 4 Char"/>
    <w:basedOn w:val="DefaultParagraphFont"/>
    <w:link w:val="Heading7"/>
    <w:rsid w:val="00B26C61"/>
    <w:rPr>
      <w:rFonts w:ascii="Calibri" w:eastAsia="Times New Roman" w:hAnsi="Calibri" w:cs="Times New Roman"/>
      <w:sz w:val="18"/>
      <w:szCs w:val="20"/>
    </w:rPr>
  </w:style>
  <w:style w:type="character" w:customStyle="1" w:styleId="Heading8Char">
    <w:name w:val="Heading 8 Char"/>
    <w:basedOn w:val="DefaultParagraphFont"/>
    <w:link w:val="Heading8"/>
    <w:rsid w:val="00B26C61"/>
    <w:rPr>
      <w:rFonts w:ascii="Calibri" w:eastAsia="Times New Roman" w:hAnsi="Calibri" w:cs="Times New Roman"/>
      <w:sz w:val="18"/>
      <w:szCs w:val="20"/>
    </w:rPr>
  </w:style>
  <w:style w:type="character" w:customStyle="1" w:styleId="Heading9Char">
    <w:name w:val="Heading 9 Char"/>
    <w:basedOn w:val="DefaultParagraphFont"/>
    <w:link w:val="Heading9"/>
    <w:rsid w:val="00B26C61"/>
    <w:rPr>
      <w:rFonts w:ascii="Calibri" w:eastAsia="Times New Roman" w:hAnsi="Calibri" w:cs="Times New Roman"/>
      <w:sz w:val="18"/>
      <w:szCs w:val="20"/>
    </w:rPr>
  </w:style>
  <w:style w:type="character" w:styleId="Hyperlink">
    <w:name w:val="Hyperlink"/>
    <w:basedOn w:val="DefaultParagraphFont"/>
    <w:uiPriority w:val="99"/>
    <w:rsid w:val="00B26C61"/>
    <w:rPr>
      <w:color w:val="0000FF" w:themeColor="hyperlink"/>
      <w:u w:val="single"/>
    </w:rPr>
  </w:style>
  <w:style w:type="character" w:styleId="FollowedHyperlink">
    <w:name w:val="FollowedHyperlink"/>
    <w:basedOn w:val="DefaultParagraphFont"/>
    <w:uiPriority w:val="99"/>
    <w:rsid w:val="00B26C61"/>
    <w:rPr>
      <w:color w:val="800080" w:themeColor="followedHyperlink"/>
      <w:u w:val="single"/>
    </w:rPr>
  </w:style>
  <w:style w:type="paragraph" w:styleId="TOC1">
    <w:name w:val="toc 1"/>
    <w:basedOn w:val="Normal"/>
    <w:next w:val="Normal"/>
    <w:autoRedefine/>
    <w:uiPriority w:val="39"/>
    <w:rsid w:val="00B26C61"/>
    <w:pPr>
      <w:tabs>
        <w:tab w:val="left" w:pos="1134"/>
        <w:tab w:val="right" w:leader="dot" w:pos="9628"/>
      </w:tabs>
      <w:spacing w:after="100"/>
    </w:pPr>
    <w:rPr>
      <w:rFonts w:ascii="Arial" w:hAnsi="Arial"/>
      <w:sz w:val="20"/>
    </w:rPr>
  </w:style>
  <w:style w:type="paragraph" w:styleId="TOC2">
    <w:name w:val="toc 2"/>
    <w:basedOn w:val="Normal"/>
    <w:next w:val="Normal"/>
    <w:autoRedefine/>
    <w:semiHidden/>
    <w:rsid w:val="00B26C61"/>
    <w:pPr>
      <w:spacing w:before="120"/>
      <w:ind w:left="220"/>
    </w:pPr>
    <w:rPr>
      <w:i/>
      <w:iCs/>
      <w:sz w:val="20"/>
    </w:rPr>
  </w:style>
  <w:style w:type="paragraph" w:styleId="TOC3">
    <w:name w:val="toc 3"/>
    <w:basedOn w:val="Normal"/>
    <w:next w:val="Normal"/>
    <w:autoRedefine/>
    <w:uiPriority w:val="39"/>
    <w:rsid w:val="00B26C61"/>
    <w:pPr>
      <w:ind w:left="440"/>
    </w:pPr>
    <w:rPr>
      <w:sz w:val="20"/>
    </w:rPr>
  </w:style>
  <w:style w:type="paragraph" w:styleId="TOC4">
    <w:name w:val="toc 4"/>
    <w:basedOn w:val="Normal"/>
    <w:next w:val="Normal"/>
    <w:autoRedefine/>
    <w:semiHidden/>
    <w:rsid w:val="00B26C61"/>
    <w:pPr>
      <w:ind w:left="660"/>
    </w:pPr>
    <w:rPr>
      <w:sz w:val="20"/>
    </w:rPr>
  </w:style>
  <w:style w:type="paragraph" w:styleId="TOC5">
    <w:name w:val="toc 5"/>
    <w:basedOn w:val="Normal"/>
    <w:next w:val="Normal"/>
    <w:autoRedefine/>
    <w:semiHidden/>
    <w:rsid w:val="00B26C61"/>
    <w:pPr>
      <w:ind w:left="880"/>
    </w:pPr>
    <w:rPr>
      <w:sz w:val="20"/>
    </w:rPr>
  </w:style>
  <w:style w:type="paragraph" w:styleId="TOC6">
    <w:name w:val="toc 6"/>
    <w:basedOn w:val="Normal"/>
    <w:next w:val="Normal"/>
    <w:autoRedefine/>
    <w:semiHidden/>
    <w:rsid w:val="00B26C61"/>
    <w:pPr>
      <w:ind w:left="1100"/>
    </w:pPr>
    <w:rPr>
      <w:sz w:val="20"/>
    </w:rPr>
  </w:style>
  <w:style w:type="paragraph" w:styleId="TOC7">
    <w:name w:val="toc 7"/>
    <w:basedOn w:val="Normal"/>
    <w:next w:val="Normal"/>
    <w:autoRedefine/>
    <w:semiHidden/>
    <w:rsid w:val="00B26C61"/>
    <w:pPr>
      <w:ind w:left="1320"/>
    </w:pPr>
    <w:rPr>
      <w:sz w:val="20"/>
    </w:rPr>
  </w:style>
  <w:style w:type="paragraph" w:styleId="TOC8">
    <w:name w:val="toc 8"/>
    <w:basedOn w:val="Normal"/>
    <w:next w:val="Normal"/>
    <w:autoRedefine/>
    <w:semiHidden/>
    <w:rsid w:val="00B26C61"/>
    <w:pPr>
      <w:ind w:left="1540"/>
    </w:pPr>
    <w:rPr>
      <w:sz w:val="20"/>
    </w:rPr>
  </w:style>
  <w:style w:type="paragraph" w:styleId="TOC9">
    <w:name w:val="toc 9"/>
    <w:basedOn w:val="Normal"/>
    <w:next w:val="Normal"/>
    <w:autoRedefine/>
    <w:semiHidden/>
    <w:rsid w:val="00B26C61"/>
    <w:pPr>
      <w:ind w:left="1760"/>
    </w:pPr>
    <w:rPr>
      <w:sz w:val="20"/>
    </w:rPr>
  </w:style>
  <w:style w:type="paragraph" w:styleId="FootnoteText">
    <w:name w:val="footnote text"/>
    <w:basedOn w:val="Normal"/>
    <w:link w:val="FootnoteTextChar"/>
    <w:semiHidden/>
    <w:rsid w:val="00B26C61"/>
    <w:rPr>
      <w:sz w:val="20"/>
    </w:rPr>
  </w:style>
  <w:style w:type="character" w:customStyle="1" w:styleId="FootnoteTextChar">
    <w:name w:val="Footnote Text Char"/>
    <w:basedOn w:val="DefaultParagraphFont"/>
    <w:link w:val="FootnoteText"/>
    <w:semiHidden/>
    <w:rsid w:val="00B26C61"/>
    <w:rPr>
      <w:rFonts w:ascii="Calibri" w:eastAsia="Times New Roman" w:hAnsi="Calibri" w:cs="Times New Roman"/>
      <w:sz w:val="20"/>
      <w:szCs w:val="20"/>
    </w:rPr>
  </w:style>
  <w:style w:type="paragraph" w:styleId="CommentText">
    <w:name w:val="annotation text"/>
    <w:basedOn w:val="Normal"/>
    <w:link w:val="CommentTextChar"/>
    <w:semiHidden/>
    <w:rsid w:val="00B26C61"/>
    <w:rPr>
      <w:sz w:val="20"/>
    </w:rPr>
  </w:style>
  <w:style w:type="character" w:customStyle="1" w:styleId="CommentTextChar">
    <w:name w:val="Comment Text Char"/>
    <w:basedOn w:val="DefaultParagraphFont"/>
    <w:link w:val="CommentText"/>
    <w:semiHidden/>
    <w:rsid w:val="00B26C61"/>
    <w:rPr>
      <w:rFonts w:ascii="Calibri" w:eastAsia="Times New Roman" w:hAnsi="Calibri" w:cs="Times New Roman"/>
      <w:sz w:val="20"/>
      <w:szCs w:val="20"/>
    </w:rPr>
  </w:style>
  <w:style w:type="paragraph" w:styleId="Header">
    <w:name w:val="header"/>
    <w:basedOn w:val="Normal"/>
    <w:link w:val="HeaderChar"/>
    <w:uiPriority w:val="99"/>
    <w:rsid w:val="00B26C61"/>
    <w:pPr>
      <w:tabs>
        <w:tab w:val="center" w:pos="4513"/>
        <w:tab w:val="right" w:pos="9026"/>
      </w:tabs>
      <w:spacing w:line="240" w:lineRule="auto"/>
    </w:pPr>
  </w:style>
  <w:style w:type="character" w:customStyle="1" w:styleId="HeaderChar">
    <w:name w:val="Header Char"/>
    <w:basedOn w:val="DefaultParagraphFont"/>
    <w:link w:val="Header"/>
    <w:uiPriority w:val="99"/>
    <w:rsid w:val="00B26C61"/>
    <w:rPr>
      <w:rFonts w:ascii="Calibri" w:eastAsia="Times New Roman" w:hAnsi="Calibri" w:cs="Times New Roman"/>
      <w:sz w:val="18"/>
      <w:szCs w:val="20"/>
    </w:rPr>
  </w:style>
  <w:style w:type="paragraph" w:styleId="Footer">
    <w:name w:val="footer"/>
    <w:basedOn w:val="Normal"/>
    <w:link w:val="FooterChar"/>
    <w:uiPriority w:val="99"/>
    <w:rsid w:val="00B26C61"/>
    <w:pPr>
      <w:tabs>
        <w:tab w:val="center" w:pos="4513"/>
        <w:tab w:val="right" w:pos="9026"/>
      </w:tabs>
      <w:spacing w:line="240" w:lineRule="auto"/>
    </w:pPr>
  </w:style>
  <w:style w:type="character" w:customStyle="1" w:styleId="FooterChar">
    <w:name w:val="Footer Char"/>
    <w:basedOn w:val="DefaultParagraphFont"/>
    <w:link w:val="Footer"/>
    <w:uiPriority w:val="99"/>
    <w:rsid w:val="00B26C61"/>
    <w:rPr>
      <w:rFonts w:ascii="Calibri" w:eastAsia="Times New Roman" w:hAnsi="Calibri" w:cs="Times New Roman"/>
      <w:sz w:val="18"/>
      <w:szCs w:val="20"/>
    </w:rPr>
  </w:style>
  <w:style w:type="paragraph" w:styleId="Caption">
    <w:name w:val="caption"/>
    <w:basedOn w:val="Normal"/>
    <w:next w:val="Normal"/>
    <w:qFormat/>
    <w:rsid w:val="00B26C61"/>
    <w:pPr>
      <w:spacing w:after="200" w:line="240" w:lineRule="auto"/>
    </w:pPr>
    <w:rPr>
      <w:b/>
      <w:bCs/>
      <w:color w:val="4F81BD" w:themeColor="accent1"/>
      <w:szCs w:val="18"/>
    </w:rPr>
  </w:style>
  <w:style w:type="paragraph" w:styleId="TableofFigures">
    <w:name w:val="table of figures"/>
    <w:basedOn w:val="Normal"/>
    <w:next w:val="Normal"/>
    <w:semiHidden/>
    <w:rsid w:val="00B26C61"/>
  </w:style>
  <w:style w:type="paragraph" w:styleId="MacroText">
    <w:name w:val="macro"/>
    <w:link w:val="MacroTextChar"/>
    <w:semiHidden/>
    <w:rsid w:val="00B26C61"/>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18"/>
      <w:szCs w:val="20"/>
      <w:lang w:val="en-GB"/>
    </w:rPr>
  </w:style>
  <w:style w:type="character" w:customStyle="1" w:styleId="MacroTextChar">
    <w:name w:val="Macro Text Char"/>
    <w:basedOn w:val="DefaultParagraphFont"/>
    <w:link w:val="MacroText"/>
    <w:semiHidden/>
    <w:rsid w:val="00B26C61"/>
    <w:rPr>
      <w:rFonts w:ascii="Courier New" w:eastAsia="Times New Roman" w:hAnsi="Courier New" w:cs="Courier New"/>
      <w:sz w:val="18"/>
      <w:szCs w:val="20"/>
      <w:lang w:val="en-GB"/>
    </w:rPr>
  </w:style>
  <w:style w:type="paragraph" w:styleId="Signature">
    <w:name w:val="Signature"/>
    <w:basedOn w:val="Normal"/>
    <w:link w:val="SignatureChar"/>
    <w:rsid w:val="00B26C61"/>
    <w:pPr>
      <w:spacing w:line="240" w:lineRule="auto"/>
    </w:pPr>
  </w:style>
  <w:style w:type="character" w:customStyle="1" w:styleId="SignatureChar">
    <w:name w:val="Signature Char"/>
    <w:basedOn w:val="DefaultParagraphFont"/>
    <w:link w:val="Signature"/>
    <w:rsid w:val="00B26C61"/>
    <w:rPr>
      <w:rFonts w:ascii="Calibri" w:eastAsia="Times New Roman" w:hAnsi="Calibri" w:cs="Times New Roman"/>
      <w:sz w:val="18"/>
      <w:szCs w:val="20"/>
    </w:rPr>
  </w:style>
  <w:style w:type="paragraph" w:styleId="DocumentMap">
    <w:name w:val="Document Map"/>
    <w:basedOn w:val="Normal"/>
    <w:link w:val="DocumentMapChar"/>
    <w:semiHidden/>
    <w:rsid w:val="00B26C61"/>
    <w:pPr>
      <w:shd w:val="clear" w:color="auto" w:fill="000080"/>
      <w:spacing w:line="240" w:lineRule="auto"/>
    </w:pPr>
    <w:rPr>
      <w:rFonts w:ascii="Tahoma" w:hAnsi="Tahoma"/>
      <w:sz w:val="20"/>
      <w:lang w:eastAsia="en-AU"/>
    </w:rPr>
  </w:style>
  <w:style w:type="character" w:customStyle="1" w:styleId="DocumentMapChar">
    <w:name w:val="Document Map Char"/>
    <w:basedOn w:val="DefaultParagraphFont"/>
    <w:link w:val="DocumentMap"/>
    <w:semiHidden/>
    <w:rsid w:val="00B26C61"/>
    <w:rPr>
      <w:rFonts w:ascii="Tahoma" w:eastAsia="Times New Roman" w:hAnsi="Tahoma" w:cs="Times New Roman"/>
      <w:sz w:val="20"/>
      <w:szCs w:val="20"/>
      <w:shd w:val="clear" w:color="auto" w:fill="000080"/>
      <w:lang w:eastAsia="en-AU"/>
    </w:rPr>
  </w:style>
  <w:style w:type="paragraph" w:styleId="CommentSubject">
    <w:name w:val="annotation subject"/>
    <w:basedOn w:val="CommentText"/>
    <w:next w:val="CommentText"/>
    <w:link w:val="CommentSubjectChar"/>
    <w:semiHidden/>
    <w:rsid w:val="00B26C61"/>
    <w:rPr>
      <w:b/>
      <w:bCs/>
    </w:rPr>
  </w:style>
  <w:style w:type="character" w:customStyle="1" w:styleId="CommentSubjectChar">
    <w:name w:val="Comment Subject Char"/>
    <w:basedOn w:val="CommentTextChar"/>
    <w:link w:val="CommentSubject"/>
    <w:semiHidden/>
    <w:rsid w:val="00B26C61"/>
    <w:rPr>
      <w:rFonts w:ascii="Calibri" w:eastAsia="Times New Roman" w:hAnsi="Calibri" w:cs="Times New Roman"/>
      <w:b/>
      <w:bCs/>
      <w:sz w:val="20"/>
      <w:szCs w:val="20"/>
    </w:rPr>
  </w:style>
  <w:style w:type="paragraph" w:styleId="BalloonText">
    <w:name w:val="Balloon Text"/>
    <w:basedOn w:val="Normal"/>
    <w:link w:val="BalloonTextChar"/>
    <w:semiHidden/>
    <w:rsid w:val="00B26C61"/>
    <w:rPr>
      <w:rFonts w:ascii="Tahoma" w:hAnsi="Tahoma" w:cs="Tahoma"/>
      <w:sz w:val="16"/>
      <w:szCs w:val="16"/>
    </w:rPr>
  </w:style>
  <w:style w:type="character" w:customStyle="1" w:styleId="BalloonTextChar">
    <w:name w:val="Balloon Text Char"/>
    <w:basedOn w:val="DefaultParagraphFont"/>
    <w:link w:val="BalloonText"/>
    <w:semiHidden/>
    <w:rsid w:val="00B26C61"/>
    <w:rPr>
      <w:rFonts w:ascii="Tahoma" w:eastAsia="Times New Roman" w:hAnsi="Tahoma" w:cs="Tahoma"/>
      <w:sz w:val="16"/>
      <w:szCs w:val="16"/>
    </w:rPr>
  </w:style>
  <w:style w:type="paragraph" w:styleId="Revision">
    <w:name w:val="Revision"/>
    <w:uiPriority w:val="99"/>
    <w:semiHidden/>
    <w:rsid w:val="00B26C61"/>
    <w:pPr>
      <w:spacing w:after="0" w:line="240" w:lineRule="auto"/>
    </w:pPr>
    <w:rPr>
      <w:rFonts w:ascii="Calibri" w:eastAsia="Times New Roman" w:hAnsi="Calibri" w:cs="Times New Roman"/>
      <w:sz w:val="18"/>
      <w:szCs w:val="20"/>
    </w:rPr>
  </w:style>
  <w:style w:type="character" w:customStyle="1" w:styleId="StatementNameChar">
    <w:name w:val="Statement Name Char"/>
    <w:basedOn w:val="DefaultParagraphFont"/>
    <w:link w:val="StatementName"/>
    <w:locked/>
    <w:rsid w:val="00B26C61"/>
    <w:rPr>
      <w:rFonts w:ascii="Arial" w:hAnsi="Arial" w:cs="Arial"/>
      <w:b/>
      <w:sz w:val="24"/>
      <w:szCs w:val="24"/>
    </w:rPr>
  </w:style>
  <w:style w:type="paragraph" w:customStyle="1" w:styleId="StatementName">
    <w:name w:val="Statement Name"/>
    <w:basedOn w:val="Normal"/>
    <w:next w:val="Normal"/>
    <w:link w:val="StatementNameChar"/>
    <w:autoRedefine/>
    <w:rsid w:val="00B26C61"/>
    <w:pPr>
      <w:pBdr>
        <w:bottom w:val="single" w:sz="4" w:space="1" w:color="auto"/>
      </w:pBdr>
    </w:pPr>
    <w:rPr>
      <w:rFonts w:ascii="Arial" w:eastAsiaTheme="minorHAnsi" w:hAnsi="Arial" w:cs="Arial"/>
      <w:b/>
      <w:sz w:val="24"/>
      <w:szCs w:val="24"/>
    </w:rPr>
  </w:style>
  <w:style w:type="paragraph" w:customStyle="1" w:styleId="StatementDateHeader">
    <w:name w:val="Statement Date Header"/>
    <w:basedOn w:val="Normal"/>
    <w:next w:val="Normal"/>
    <w:rsid w:val="00B26C61"/>
    <w:pPr>
      <w:pBdr>
        <w:bottom w:val="single" w:sz="4" w:space="1" w:color="auto"/>
      </w:pBdr>
    </w:pPr>
    <w:rPr>
      <w:rFonts w:ascii="Arial" w:hAnsi="Arial"/>
      <w:i/>
      <w:sz w:val="24"/>
    </w:rPr>
  </w:style>
  <w:style w:type="paragraph" w:customStyle="1" w:styleId="StatementTextLevel3">
    <w:name w:val="Statement Text Level 3"/>
    <w:basedOn w:val="Normal"/>
    <w:next w:val="Normal"/>
    <w:rsid w:val="00B26C61"/>
    <w:rPr>
      <w:rFonts w:ascii="Arial" w:hAnsi="Arial"/>
    </w:rPr>
  </w:style>
  <w:style w:type="paragraph" w:customStyle="1" w:styleId="TableHeaderLevel1">
    <w:name w:val="Table Header Level 1"/>
    <w:basedOn w:val="Normal"/>
    <w:semiHidden/>
    <w:rsid w:val="00B26C61"/>
    <w:pPr>
      <w:jc w:val="center"/>
    </w:pPr>
    <w:rPr>
      <w:rFonts w:ascii="Arial" w:hAnsi="Arial"/>
      <w:b/>
      <w:szCs w:val="18"/>
    </w:rPr>
  </w:style>
  <w:style w:type="paragraph" w:customStyle="1" w:styleId="StatementTextLevel1bItalic">
    <w:name w:val="Statement Text Level 1(b) + Italic"/>
    <w:basedOn w:val="Normal"/>
    <w:rsid w:val="00B26C61"/>
    <w:rPr>
      <w:rFonts w:ascii="Arial" w:hAnsi="Arial"/>
      <w:b/>
      <w:bCs/>
      <w:i/>
      <w:iCs/>
      <w:szCs w:val="18"/>
    </w:rPr>
  </w:style>
  <w:style w:type="paragraph" w:customStyle="1" w:styleId="Graphic">
    <w:name w:val="Graphic"/>
    <w:basedOn w:val="Signature"/>
    <w:rsid w:val="00B26C61"/>
    <w:pPr>
      <w:pBdr>
        <w:top w:val="single" w:sz="4" w:space="1" w:color="auto"/>
        <w:left w:val="single" w:sz="4" w:space="1" w:color="auto"/>
        <w:bottom w:val="single" w:sz="4" w:space="1" w:color="auto"/>
        <w:right w:val="single" w:sz="4" w:space="1" w:color="auto"/>
      </w:pBdr>
      <w:jc w:val="center"/>
    </w:pPr>
  </w:style>
  <w:style w:type="paragraph" w:customStyle="1" w:styleId="NotesTotal">
    <w:name w:val="Notes Total"/>
    <w:basedOn w:val="Normal"/>
    <w:autoRedefine/>
    <w:rsid w:val="00B26C61"/>
    <w:pPr>
      <w:ind w:left="139" w:right="57"/>
    </w:pPr>
    <w:rPr>
      <w:b/>
      <w:iCs/>
      <w:sz w:val="20"/>
    </w:rPr>
  </w:style>
  <w:style w:type="paragraph" w:customStyle="1" w:styleId="TitlePage">
    <w:name w:val="Title Page"/>
    <w:basedOn w:val="Normal"/>
    <w:autoRedefine/>
    <w:rsid w:val="00B26C61"/>
    <w:pPr>
      <w:spacing w:before="1200" w:after="1200"/>
      <w:ind w:left="57" w:right="57"/>
      <w:jc w:val="right"/>
    </w:pPr>
    <w:rPr>
      <w:b/>
      <w:bCs/>
      <w:sz w:val="48"/>
    </w:rPr>
  </w:style>
  <w:style w:type="paragraph" w:customStyle="1" w:styleId="zcontents">
    <w:name w:val="zcontents"/>
    <w:basedOn w:val="Normal"/>
    <w:semiHidden/>
    <w:rsid w:val="00B26C61"/>
    <w:pPr>
      <w:spacing w:after="260" w:line="240" w:lineRule="auto"/>
    </w:pPr>
    <w:rPr>
      <w:b/>
      <w:sz w:val="32"/>
    </w:rPr>
  </w:style>
  <w:style w:type="paragraph" w:customStyle="1" w:styleId="Normal10pt">
    <w:name w:val="Normal + 10 pt"/>
    <w:aliases w:val="Line spacing:  single"/>
    <w:basedOn w:val="Normal"/>
    <w:rsid w:val="00B26C61"/>
    <w:pPr>
      <w:spacing w:before="130" w:after="130"/>
    </w:pPr>
    <w:rPr>
      <w:b/>
      <w:sz w:val="20"/>
    </w:rPr>
  </w:style>
  <w:style w:type="paragraph" w:customStyle="1" w:styleId="Normal8pt">
    <w:name w:val="Normal + 8 pt"/>
    <w:basedOn w:val="Normal"/>
    <w:rsid w:val="00B26C61"/>
    <w:pPr>
      <w:widowControl w:val="0"/>
      <w:autoSpaceDE w:val="0"/>
      <w:autoSpaceDN w:val="0"/>
      <w:spacing w:line="240" w:lineRule="auto"/>
    </w:pPr>
    <w:rPr>
      <w:bCs/>
      <w:iCs/>
      <w:spacing w:val="-6"/>
      <w:sz w:val="16"/>
      <w:szCs w:val="16"/>
      <w:lang w:val="en-US"/>
    </w:rPr>
  </w:style>
  <w:style w:type="paragraph" w:customStyle="1" w:styleId="NormalCalistoMT">
    <w:name w:val="Normal + Calisto MT"/>
    <w:aliases w:val="8 pt,Right"/>
    <w:basedOn w:val="Normal"/>
    <w:rsid w:val="00B26C61"/>
    <w:pPr>
      <w:framePr w:hSpace="180" w:wrap="around" w:vAnchor="text" w:hAnchor="margin" w:y="1"/>
      <w:ind w:right="212"/>
      <w:jc w:val="right"/>
    </w:pPr>
    <w:rPr>
      <w:rFonts w:ascii="Calisto MT" w:hAnsi="Calisto MT"/>
      <w:sz w:val="16"/>
    </w:rPr>
  </w:style>
  <w:style w:type="character" w:customStyle="1" w:styleId="ReferenceTextChar">
    <w:name w:val="Reference Text Char"/>
    <w:basedOn w:val="DefaultParagraphFont"/>
    <w:link w:val="ReferenceText"/>
    <w:uiPriority w:val="99"/>
    <w:locked/>
    <w:rsid w:val="00B26C61"/>
    <w:rPr>
      <w:rFonts w:cstheme="minorHAnsi"/>
      <w:sz w:val="18"/>
    </w:rPr>
  </w:style>
  <w:style w:type="paragraph" w:customStyle="1" w:styleId="ReferenceText">
    <w:name w:val="Reference Text"/>
    <w:basedOn w:val="Normal"/>
    <w:link w:val="ReferenceTextChar"/>
    <w:autoRedefine/>
    <w:uiPriority w:val="99"/>
    <w:qFormat/>
    <w:rsid w:val="00B26C61"/>
    <w:rPr>
      <w:rFonts w:asciiTheme="minorHAnsi" w:eastAsiaTheme="minorHAnsi" w:hAnsiTheme="minorHAnsi" w:cstheme="minorHAnsi"/>
      <w:szCs w:val="22"/>
    </w:rPr>
  </w:style>
  <w:style w:type="character" w:customStyle="1" w:styleId="NotesHeading-Level1Char">
    <w:name w:val="Notes Heading - Level 1 Char"/>
    <w:basedOn w:val="DefaultParagraphFont"/>
    <w:link w:val="NotesHeading-Level1"/>
    <w:locked/>
    <w:rsid w:val="00B26C61"/>
    <w:rPr>
      <w:b/>
    </w:rPr>
  </w:style>
  <w:style w:type="paragraph" w:customStyle="1" w:styleId="NotesHeading-Level1">
    <w:name w:val="Notes Heading - Level 1"/>
    <w:basedOn w:val="Normal"/>
    <w:link w:val="NotesHeading-Level1Char"/>
    <w:qFormat/>
    <w:rsid w:val="00B26C61"/>
    <w:pPr>
      <w:numPr>
        <w:numId w:val="13"/>
      </w:numPr>
      <w:ind w:right="607"/>
      <w:outlineLvl w:val="0"/>
    </w:pPr>
    <w:rPr>
      <w:rFonts w:asciiTheme="minorHAnsi" w:eastAsiaTheme="minorHAnsi" w:hAnsiTheme="minorHAnsi" w:cstheme="minorBidi"/>
      <w:b/>
      <w:sz w:val="22"/>
      <w:szCs w:val="22"/>
    </w:rPr>
  </w:style>
  <w:style w:type="paragraph" w:customStyle="1" w:styleId="NotesHeading-Level2">
    <w:name w:val="Notes Heading - Level 2"/>
    <w:basedOn w:val="NotesHeading-Level1"/>
    <w:rsid w:val="00B26C61"/>
    <w:pPr>
      <w:framePr w:hSpace="180" w:wrap="around" w:vAnchor="text" w:hAnchor="margin" w:y="1"/>
      <w:numPr>
        <w:ilvl w:val="1"/>
      </w:numPr>
      <w:tabs>
        <w:tab w:val="clear" w:pos="851"/>
      </w:tabs>
      <w:ind w:left="720" w:hanging="360"/>
    </w:pPr>
    <w:rPr>
      <w:sz w:val="18"/>
    </w:rPr>
  </w:style>
  <w:style w:type="paragraph" w:customStyle="1" w:styleId="StatementHeading">
    <w:name w:val="Statement Heading"/>
    <w:basedOn w:val="Normal"/>
    <w:rsid w:val="00B26C61"/>
    <w:rPr>
      <w:rFonts w:ascii="Arial" w:hAnsi="Arial"/>
      <w:b/>
      <w:sz w:val="24"/>
    </w:rPr>
  </w:style>
  <w:style w:type="paragraph" w:customStyle="1" w:styleId="GreyShadeTableBreak">
    <w:name w:val="Grey Shade Table Break"/>
    <w:basedOn w:val="Normal"/>
    <w:qFormat/>
    <w:rsid w:val="00B26C61"/>
    <w:pPr>
      <w:shd w:val="clear" w:color="auto" w:fill="D9D9D9" w:themeFill="background1" w:themeFillShade="D9"/>
      <w:tabs>
        <w:tab w:val="left" w:pos="9214"/>
      </w:tabs>
      <w:ind w:right="607"/>
    </w:pPr>
  </w:style>
  <w:style w:type="paragraph" w:customStyle="1" w:styleId="GreyShadeTableBreaknon-Standard">
    <w:name w:val="Grey Shade Table Break non-Standard"/>
    <w:qFormat/>
    <w:rsid w:val="00B26C61"/>
    <w:pPr>
      <w:shd w:val="clear" w:color="auto" w:fill="D9D9D9" w:themeFill="background1" w:themeFillShade="D9"/>
      <w:spacing w:after="0" w:line="240" w:lineRule="auto"/>
      <w:ind w:right="57"/>
    </w:pPr>
    <w:rPr>
      <w:rFonts w:ascii="Times New Roman" w:eastAsia="Times New Roman" w:hAnsi="Times New Roman" w:cs="Times New Roman"/>
      <w:szCs w:val="20"/>
    </w:rPr>
  </w:style>
  <w:style w:type="paragraph" w:customStyle="1" w:styleId="ReferenceTextLetter">
    <w:name w:val="Reference Text Letter"/>
    <w:basedOn w:val="ReferenceText"/>
    <w:qFormat/>
    <w:rsid w:val="00B26C61"/>
    <w:pPr>
      <w:spacing w:line="240" w:lineRule="auto"/>
      <w:ind w:left="567" w:right="567"/>
    </w:pPr>
    <w:rPr>
      <w:rFonts w:cs="Arial"/>
      <w:szCs w:val="18"/>
    </w:rPr>
  </w:style>
  <w:style w:type="paragraph" w:customStyle="1" w:styleId="NotesHeader">
    <w:name w:val="Notes Header"/>
    <w:basedOn w:val="Normal"/>
    <w:next w:val="Normal"/>
    <w:rsid w:val="00B26C61"/>
    <w:pPr>
      <w:jc w:val="center"/>
    </w:pPr>
    <w:rPr>
      <w:rFonts w:ascii="Arial" w:hAnsi="Arial"/>
      <w:b/>
    </w:rPr>
  </w:style>
  <w:style w:type="paragraph" w:customStyle="1" w:styleId="NotesReferences">
    <w:name w:val="Notes References"/>
    <w:basedOn w:val="Normal"/>
    <w:next w:val="Normal"/>
    <w:rsid w:val="00B26C61"/>
    <w:pPr>
      <w:jc w:val="center"/>
    </w:pPr>
    <w:rPr>
      <w:rFonts w:ascii="Arial" w:hAnsi="Arial"/>
    </w:rPr>
  </w:style>
  <w:style w:type="paragraph" w:customStyle="1" w:styleId="NotesData">
    <w:name w:val="Notes Data"/>
    <w:basedOn w:val="Normal"/>
    <w:rsid w:val="00B26C61"/>
    <w:pPr>
      <w:framePr w:hSpace="180" w:wrap="around" w:vAnchor="text" w:hAnchor="margin" w:y="1"/>
      <w:jc w:val="center"/>
    </w:pPr>
    <w:rPr>
      <w:sz w:val="20"/>
    </w:rPr>
  </w:style>
  <w:style w:type="paragraph" w:customStyle="1" w:styleId="NotesTextLevel1">
    <w:name w:val="Notes Text Level 1"/>
    <w:basedOn w:val="Normal"/>
    <w:next w:val="Normal"/>
    <w:rsid w:val="00B26C61"/>
    <w:rPr>
      <w:rFonts w:ascii="Arial" w:hAnsi="Arial"/>
      <w:b/>
      <w:i/>
      <w:u w:val="single"/>
    </w:rPr>
  </w:style>
  <w:style w:type="character" w:customStyle="1" w:styleId="NotesTextLevel3aboldItalicChar">
    <w:name w:val="Notes Text Level 3(a) bold + Italic Char"/>
    <w:basedOn w:val="DefaultParagraphFont"/>
    <w:link w:val="NotesTextLevel3aboldItalic"/>
    <w:locked/>
    <w:rsid w:val="00B26C61"/>
    <w:rPr>
      <w:rFonts w:ascii="Arial" w:hAnsi="Arial" w:cs="Arial"/>
      <w:b/>
      <w:bCs/>
      <w:i/>
      <w:iCs/>
      <w:sz w:val="18"/>
    </w:rPr>
  </w:style>
  <w:style w:type="paragraph" w:customStyle="1" w:styleId="NotesTextLevel3aboldItalic">
    <w:name w:val="Notes Text Level 3(a) bold + Italic"/>
    <w:basedOn w:val="Normal"/>
    <w:link w:val="NotesTextLevel3aboldItalicChar"/>
    <w:rsid w:val="00B26C61"/>
    <w:rPr>
      <w:rFonts w:ascii="Arial" w:eastAsiaTheme="minorHAnsi" w:hAnsi="Arial" w:cs="Arial"/>
      <w:b/>
      <w:bCs/>
      <w:i/>
      <w:iCs/>
      <w:szCs w:val="22"/>
    </w:rPr>
  </w:style>
  <w:style w:type="paragraph" w:customStyle="1" w:styleId="NotesHeading3">
    <w:name w:val="Notes Heading 3"/>
    <w:basedOn w:val="Normal"/>
    <w:autoRedefine/>
    <w:rsid w:val="00B26C61"/>
    <w:pPr>
      <w:spacing w:before="80" w:after="40"/>
      <w:ind w:left="113" w:right="113"/>
    </w:pPr>
    <w:rPr>
      <w:u w:val="single"/>
      <w:lang w:val="en-US"/>
    </w:rPr>
  </w:style>
  <w:style w:type="paragraph" w:customStyle="1" w:styleId="NotesHeading3a">
    <w:name w:val="Notes Heading 3a"/>
    <w:basedOn w:val="Normal"/>
    <w:autoRedefine/>
    <w:rsid w:val="00B26C61"/>
    <w:pPr>
      <w:tabs>
        <w:tab w:val="num" w:pos="473"/>
      </w:tabs>
      <w:spacing w:after="120"/>
      <w:ind w:left="113" w:right="113"/>
      <w:jc w:val="both"/>
    </w:pPr>
    <w:rPr>
      <w:u w:val="single"/>
      <w:lang w:val="en-US"/>
    </w:rPr>
  </w:style>
  <w:style w:type="paragraph" w:customStyle="1" w:styleId="Notessub-lineitem">
    <w:name w:val="Notes sub-line item"/>
    <w:basedOn w:val="Normal"/>
    <w:autoRedefine/>
    <w:rsid w:val="00B26C61"/>
    <w:pPr>
      <w:framePr w:hSpace="180" w:wrap="around" w:vAnchor="page" w:hAnchor="margin" w:y="1985"/>
      <w:tabs>
        <w:tab w:val="left" w:pos="593"/>
        <w:tab w:val="left" w:pos="1443"/>
      </w:tabs>
      <w:ind w:left="567" w:right="113"/>
    </w:pPr>
    <w:rPr>
      <w:sz w:val="20"/>
    </w:rPr>
  </w:style>
  <w:style w:type="paragraph" w:customStyle="1" w:styleId="NotesLineItem">
    <w:name w:val="Notes Line Item"/>
    <w:basedOn w:val="Normal"/>
    <w:autoRedefine/>
    <w:rsid w:val="00B26C61"/>
    <w:pPr>
      <w:ind w:left="34"/>
    </w:pPr>
    <w:rPr>
      <w:iCs/>
      <w:sz w:val="16"/>
      <w:szCs w:val="16"/>
      <w:lang w:eastAsia="en-AU"/>
    </w:rPr>
  </w:style>
  <w:style w:type="paragraph" w:customStyle="1" w:styleId="NoteText">
    <w:name w:val="Note Text"/>
    <w:basedOn w:val="Normal"/>
    <w:autoRedefine/>
    <w:rsid w:val="00B26C61"/>
    <w:pPr>
      <w:tabs>
        <w:tab w:val="left" w:pos="284"/>
      </w:tabs>
      <w:spacing w:after="120"/>
      <w:ind w:left="567"/>
    </w:pPr>
    <w:rPr>
      <w:sz w:val="20"/>
    </w:rPr>
  </w:style>
  <w:style w:type="paragraph" w:customStyle="1" w:styleId="NotesHeading">
    <w:name w:val="'Notes' Heading"/>
    <w:basedOn w:val="Normal"/>
    <w:autoRedefine/>
    <w:rsid w:val="00B26C61"/>
    <w:pPr>
      <w:ind w:left="57" w:right="57"/>
      <w:jc w:val="center"/>
    </w:pPr>
    <w:rPr>
      <w:b/>
      <w:sz w:val="20"/>
    </w:rPr>
  </w:style>
  <w:style w:type="paragraph" w:customStyle="1" w:styleId="NotesReference">
    <w:name w:val="'Notes' Reference"/>
    <w:basedOn w:val="Normal"/>
    <w:autoRedefine/>
    <w:rsid w:val="00B26C61"/>
    <w:pPr>
      <w:ind w:left="57" w:right="57"/>
      <w:jc w:val="center"/>
    </w:pPr>
    <w:rPr>
      <w:sz w:val="20"/>
    </w:rPr>
  </w:style>
  <w:style w:type="paragraph" w:customStyle="1" w:styleId="NotesHeading4">
    <w:name w:val="Notes Heading 4"/>
    <w:basedOn w:val="NoteText"/>
    <w:autoRedefine/>
    <w:rsid w:val="00B26C61"/>
    <w:pPr>
      <w:keepNext/>
      <w:spacing w:before="200" w:after="80"/>
      <w:ind w:right="57"/>
    </w:pPr>
  </w:style>
  <w:style w:type="paragraph" w:customStyle="1" w:styleId="NotesHeading3NumberingOff">
    <w:name w:val="Notes Heading 3 Numbering Off"/>
    <w:basedOn w:val="NotesHeading3"/>
    <w:autoRedefine/>
    <w:rsid w:val="00B26C61"/>
    <w:pPr>
      <w:tabs>
        <w:tab w:val="left" w:pos="1132"/>
      </w:tabs>
    </w:pPr>
  </w:style>
  <w:style w:type="paragraph" w:customStyle="1" w:styleId="NotesHeadingPlain">
    <w:name w:val="'Notes' Heading Plain"/>
    <w:basedOn w:val="NotesHeading"/>
    <w:autoRedefine/>
    <w:rsid w:val="00B26C61"/>
    <w:rPr>
      <w:b w:val="0"/>
    </w:rPr>
  </w:style>
  <w:style w:type="paragraph" w:customStyle="1" w:styleId="NotesHeading5">
    <w:name w:val="Notes Heading 5"/>
    <w:basedOn w:val="Normal"/>
    <w:autoRedefine/>
    <w:rsid w:val="00B26C61"/>
    <w:pPr>
      <w:spacing w:before="120" w:after="40"/>
      <w:ind w:left="113" w:right="113"/>
      <w:jc w:val="both"/>
    </w:pPr>
    <w:rPr>
      <w:b/>
      <w:sz w:val="20"/>
    </w:rPr>
  </w:style>
  <w:style w:type="paragraph" w:customStyle="1" w:styleId="NoteTextBEFOREDotPoint">
    <w:name w:val="Note Text BEFORE Dot Point"/>
    <w:basedOn w:val="NoteText"/>
    <w:rsid w:val="00B26C61"/>
    <w:pPr>
      <w:spacing w:after="0"/>
      <w:ind w:left="178" w:right="57"/>
    </w:pPr>
  </w:style>
  <w:style w:type="paragraph" w:customStyle="1" w:styleId="ItalicLineItem">
    <w:name w:val="Italic Line Item"/>
    <w:basedOn w:val="Normal"/>
    <w:rsid w:val="00B26C61"/>
    <w:pPr>
      <w:tabs>
        <w:tab w:val="left" w:pos="566"/>
      </w:tabs>
      <w:ind w:left="284" w:right="113"/>
      <w:jc w:val="both"/>
    </w:pPr>
    <w:rPr>
      <w:i/>
      <w:sz w:val="20"/>
      <w:lang w:val="en-US"/>
    </w:rPr>
  </w:style>
  <w:style w:type="paragraph" w:customStyle="1" w:styleId="ItalicHeading">
    <w:name w:val="Italic Heading"/>
    <w:basedOn w:val="ItalicLineItem"/>
    <w:rsid w:val="00B26C61"/>
    <w:pPr>
      <w:ind w:left="57" w:right="0"/>
    </w:pPr>
  </w:style>
  <w:style w:type="paragraph" w:customStyle="1" w:styleId="Notes">
    <w:name w:val="'Notes'"/>
    <w:basedOn w:val="Normal"/>
    <w:rsid w:val="00B26C61"/>
    <w:pPr>
      <w:jc w:val="center"/>
    </w:pPr>
    <w:rPr>
      <w:b/>
    </w:rPr>
  </w:style>
  <w:style w:type="character" w:customStyle="1" w:styleId="LineitemsChar">
    <w:name w:val="Line items Char"/>
    <w:basedOn w:val="DefaultParagraphFont"/>
    <w:link w:val="Lineitems"/>
    <w:uiPriority w:val="99"/>
    <w:locked/>
    <w:rsid w:val="00B26C61"/>
  </w:style>
  <w:style w:type="paragraph" w:customStyle="1" w:styleId="Lineitems">
    <w:name w:val="Line items"/>
    <w:basedOn w:val="Normal"/>
    <w:link w:val="LineitemsChar"/>
    <w:autoRedefine/>
    <w:uiPriority w:val="99"/>
    <w:rsid w:val="00B26C61"/>
    <w:rPr>
      <w:rFonts w:asciiTheme="minorHAnsi" w:eastAsiaTheme="minorHAnsi" w:hAnsiTheme="minorHAnsi" w:cstheme="minorBidi"/>
      <w:sz w:val="22"/>
      <w:szCs w:val="22"/>
    </w:rPr>
  </w:style>
  <w:style w:type="paragraph" w:customStyle="1" w:styleId="Notestext">
    <w:name w:val="Notes text"/>
    <w:basedOn w:val="Notes"/>
    <w:rsid w:val="00B26C61"/>
    <w:rPr>
      <w:b w:val="0"/>
    </w:rPr>
  </w:style>
  <w:style w:type="paragraph" w:customStyle="1" w:styleId="Lineitemtable">
    <w:name w:val="Line item table"/>
    <w:basedOn w:val="Lineitems"/>
    <w:rsid w:val="00B26C61"/>
  </w:style>
  <w:style w:type="paragraph" w:customStyle="1" w:styleId="12line">
    <w:name w:val="1/2 line"/>
    <w:basedOn w:val="Normal"/>
    <w:rsid w:val="00B26C61"/>
    <w:pPr>
      <w:spacing w:before="10" w:after="10" w:line="240" w:lineRule="auto"/>
    </w:pPr>
    <w:rPr>
      <w:sz w:val="20"/>
    </w:rPr>
  </w:style>
  <w:style w:type="paragraph" w:customStyle="1" w:styleId="lineitemitalic">
    <w:name w:val="line item italic"/>
    <w:basedOn w:val="Normal"/>
    <w:rsid w:val="00B26C61"/>
    <w:rPr>
      <w:i/>
    </w:rPr>
  </w:style>
  <w:style w:type="paragraph" w:customStyle="1" w:styleId="lineitembold">
    <w:name w:val="line item bold"/>
    <w:basedOn w:val="Normal"/>
    <w:rsid w:val="00B26C61"/>
    <w:rPr>
      <w:b/>
      <w:sz w:val="20"/>
    </w:rPr>
  </w:style>
  <w:style w:type="paragraph" w:customStyle="1" w:styleId="Notesheading0">
    <w:name w:val="Notes heading"/>
    <w:basedOn w:val="Normal"/>
    <w:rsid w:val="00B26C61"/>
    <w:pPr>
      <w:spacing w:line="240" w:lineRule="auto"/>
    </w:pPr>
    <w:rPr>
      <w:rFonts w:ascii="Calisto MT" w:hAnsi="Calisto MT"/>
      <w:b/>
      <w:sz w:val="14"/>
      <w:lang w:eastAsia="en-AU"/>
    </w:rPr>
  </w:style>
  <w:style w:type="paragraph" w:customStyle="1" w:styleId="Notestothefinancialstatements">
    <w:name w:val="Notes to the financial statements"/>
    <w:aliases w:val="Heading"/>
    <w:basedOn w:val="Normal"/>
    <w:rsid w:val="00B26C61"/>
    <w:pPr>
      <w:tabs>
        <w:tab w:val="left" w:pos="567"/>
        <w:tab w:val="left" w:pos="1134"/>
        <w:tab w:val="left" w:pos="1701"/>
      </w:tabs>
      <w:spacing w:before="60" w:after="60" w:line="240" w:lineRule="auto"/>
    </w:pPr>
    <w:rPr>
      <w:rFonts w:ascii="Tahoma" w:hAnsi="Tahoma"/>
      <w:b/>
      <w:color w:val="000000"/>
      <w:sz w:val="16"/>
      <w:lang w:eastAsia="en-AU"/>
    </w:rPr>
  </w:style>
  <w:style w:type="paragraph" w:customStyle="1" w:styleId="NotesBulletPoint">
    <w:name w:val="Notes Bullet Point"/>
    <w:basedOn w:val="Normal"/>
    <w:autoRedefine/>
    <w:rsid w:val="00B26C61"/>
    <w:pPr>
      <w:tabs>
        <w:tab w:val="left" w:pos="413"/>
        <w:tab w:val="num" w:pos="927"/>
      </w:tabs>
      <w:snapToGrid w:val="0"/>
      <w:spacing w:line="240" w:lineRule="auto"/>
      <w:ind w:left="414" w:right="113" w:hanging="301"/>
      <w:jc w:val="both"/>
    </w:pPr>
    <w:rPr>
      <w:sz w:val="20"/>
      <w:lang w:val="en-US" w:eastAsia="en-AU"/>
    </w:rPr>
  </w:style>
  <w:style w:type="paragraph" w:customStyle="1" w:styleId="Headinga">
    <w:name w:val="Heading a"/>
    <w:basedOn w:val="Normal"/>
    <w:rsid w:val="00B26C61"/>
    <w:pPr>
      <w:spacing w:line="240" w:lineRule="auto"/>
    </w:pPr>
    <w:rPr>
      <w:b/>
      <w:bCs/>
      <w:szCs w:val="18"/>
    </w:rPr>
  </w:style>
  <w:style w:type="character" w:customStyle="1" w:styleId="LineitemsTotalChar">
    <w:name w:val="Line items Total Char"/>
    <w:basedOn w:val="LineitemsChar"/>
    <w:link w:val="LineitemsTotal"/>
    <w:uiPriority w:val="99"/>
    <w:locked/>
    <w:rsid w:val="00B26C61"/>
    <w:rPr>
      <w:b/>
      <w:i/>
    </w:rPr>
  </w:style>
  <w:style w:type="paragraph" w:customStyle="1" w:styleId="LineitemsTotal">
    <w:name w:val="Line items Total"/>
    <w:basedOn w:val="Lineitems"/>
    <w:link w:val="LineitemsTotalChar"/>
    <w:uiPriority w:val="99"/>
    <w:rsid w:val="00B26C61"/>
    <w:pPr>
      <w:framePr w:hSpace="180" w:wrap="around" w:vAnchor="text" w:hAnchor="margin" w:y="1"/>
    </w:pPr>
    <w:rPr>
      <w:b/>
      <w:i/>
    </w:rPr>
  </w:style>
  <w:style w:type="paragraph" w:customStyle="1" w:styleId="SAPHeading-Level1">
    <w:name w:val="SAP Heading - Level 1"/>
    <w:basedOn w:val="NotesHeading-Level1"/>
    <w:rsid w:val="00B26C61"/>
    <w:pPr>
      <w:numPr>
        <w:numId w:val="0"/>
      </w:numPr>
      <w:tabs>
        <w:tab w:val="num" w:pos="851"/>
      </w:tabs>
      <w:ind w:left="851" w:hanging="851"/>
    </w:pPr>
    <w:rPr>
      <w:rFonts w:cstheme="minorHAnsi"/>
    </w:rPr>
  </w:style>
  <w:style w:type="paragraph" w:customStyle="1" w:styleId="SAPHeading-Level2">
    <w:name w:val="SAP Heading - Level 2"/>
    <w:basedOn w:val="SAPHeading-Level1"/>
    <w:rsid w:val="00B26C61"/>
    <w:pPr>
      <w:spacing w:before="100" w:after="100" w:line="240" w:lineRule="auto"/>
      <w:outlineLvl w:val="9"/>
    </w:pPr>
  </w:style>
  <w:style w:type="paragraph" w:customStyle="1" w:styleId="SAPHeading-Level3">
    <w:name w:val="SAP Heading - Level 3"/>
    <w:basedOn w:val="SAPHeading-Level2"/>
    <w:rsid w:val="00B26C61"/>
  </w:style>
  <w:style w:type="character" w:customStyle="1" w:styleId="NotesTextChar">
    <w:name w:val="Notes Text Char"/>
    <w:basedOn w:val="ReferenceTextChar"/>
    <w:link w:val="NotesText0"/>
    <w:uiPriority w:val="99"/>
    <w:locked/>
    <w:rsid w:val="00B26C61"/>
    <w:rPr>
      <w:rFonts w:cs="Arial"/>
      <w:sz w:val="18"/>
      <w:szCs w:val="18"/>
    </w:rPr>
  </w:style>
  <w:style w:type="paragraph" w:customStyle="1" w:styleId="NotesText0">
    <w:name w:val="Notes Text"/>
    <w:basedOn w:val="ReferenceText"/>
    <w:link w:val="NotesTextChar"/>
    <w:uiPriority w:val="99"/>
    <w:rsid w:val="00B26C61"/>
    <w:pPr>
      <w:spacing w:before="100" w:after="100" w:line="240" w:lineRule="auto"/>
    </w:pPr>
    <w:rPr>
      <w:rFonts w:cs="Arial"/>
      <w:szCs w:val="18"/>
    </w:rPr>
  </w:style>
  <w:style w:type="paragraph" w:customStyle="1" w:styleId="NotesTextHeading">
    <w:name w:val="Notes Text Heading"/>
    <w:basedOn w:val="NotesText0"/>
    <w:uiPriority w:val="99"/>
    <w:rsid w:val="00B26C61"/>
    <w:rPr>
      <w:b/>
      <w:i/>
    </w:rPr>
  </w:style>
  <w:style w:type="paragraph" w:customStyle="1" w:styleId="NoteHeading-Level1">
    <w:name w:val="Note Heading - Level 1"/>
    <w:basedOn w:val="Normal"/>
    <w:rsid w:val="00B26C61"/>
  </w:style>
  <w:style w:type="paragraph" w:customStyle="1" w:styleId="NoteHeading-Level2">
    <w:name w:val="Note Heading - Level 2"/>
    <w:basedOn w:val="Normal"/>
    <w:rsid w:val="00B26C61"/>
  </w:style>
  <w:style w:type="paragraph" w:customStyle="1" w:styleId="Notesreferencetext">
    <w:name w:val="Notes reference text"/>
    <w:basedOn w:val="Normal"/>
    <w:next w:val="Normal"/>
    <w:rsid w:val="00B26C61"/>
    <w:pPr>
      <w:jc w:val="center"/>
    </w:pPr>
  </w:style>
  <w:style w:type="character" w:customStyle="1" w:styleId="StyleReferenceTextItalicChar">
    <w:name w:val="Style Reference Text + Italic Char"/>
    <w:basedOn w:val="ReferenceTextChar"/>
    <w:link w:val="StyleReferenceTextItalic"/>
    <w:uiPriority w:val="99"/>
    <w:locked/>
    <w:rsid w:val="00B26C61"/>
    <w:rPr>
      <w:rFonts w:ascii="Calibri" w:hAnsi="Calibri" w:cs="Arial"/>
      <w:i/>
      <w:iCs/>
      <w:sz w:val="18"/>
    </w:rPr>
  </w:style>
  <w:style w:type="paragraph" w:customStyle="1" w:styleId="StyleReferenceTextItalic">
    <w:name w:val="Style Reference Text + Italic"/>
    <w:basedOn w:val="ReferenceText"/>
    <w:link w:val="StyleReferenceTextItalicChar"/>
    <w:uiPriority w:val="99"/>
    <w:rsid w:val="00B26C61"/>
    <w:pPr>
      <w:spacing w:line="240" w:lineRule="atLeast"/>
    </w:pPr>
    <w:rPr>
      <w:rFonts w:ascii="Calibri" w:hAnsi="Calibri" w:cs="Arial"/>
      <w:i/>
      <w:iCs/>
    </w:rPr>
  </w:style>
  <w:style w:type="character" w:customStyle="1" w:styleId="StyleNotesTextItalicChar">
    <w:name w:val="Style Notes Text + Italic Char"/>
    <w:basedOn w:val="NotesTextChar"/>
    <w:link w:val="StyleNotesTextItalic"/>
    <w:uiPriority w:val="99"/>
    <w:locked/>
    <w:rsid w:val="00B26C61"/>
    <w:rPr>
      <w:rFonts w:cs="Arial"/>
      <w:i/>
      <w:iCs/>
      <w:sz w:val="18"/>
      <w:szCs w:val="18"/>
      <w:u w:val="single"/>
    </w:rPr>
  </w:style>
  <w:style w:type="paragraph" w:customStyle="1" w:styleId="StyleNotesTextItalic">
    <w:name w:val="Style Notes Text + Italic"/>
    <w:basedOn w:val="NotesText0"/>
    <w:link w:val="StyleNotesTextItalicChar"/>
    <w:uiPriority w:val="99"/>
    <w:rsid w:val="00B26C61"/>
    <w:pPr>
      <w:ind w:right="-54"/>
    </w:pPr>
    <w:rPr>
      <w:i/>
      <w:iCs/>
      <w:u w:val="single"/>
    </w:rPr>
  </w:style>
  <w:style w:type="paragraph" w:customStyle="1" w:styleId="StyleNotesTextPatternClearGray-25">
    <w:name w:val="Style Notes Text + Pattern: Clear (Gray-25%)"/>
    <w:basedOn w:val="NotesText0"/>
    <w:autoRedefine/>
    <w:uiPriority w:val="99"/>
    <w:rsid w:val="00B26C61"/>
    <w:pPr>
      <w:shd w:val="clear" w:color="auto" w:fill="CCCCCC"/>
      <w:ind w:right="-54"/>
    </w:pPr>
    <w:rPr>
      <w:rFonts w:ascii="Calibri" w:hAnsi="Calibri"/>
      <w:sz w:val="20"/>
      <w:szCs w:val="20"/>
    </w:rPr>
  </w:style>
  <w:style w:type="paragraph" w:customStyle="1" w:styleId="BulletKPMG">
    <w:name w:val="Bullet KPMG"/>
    <w:basedOn w:val="Normal"/>
    <w:uiPriority w:val="99"/>
    <w:rsid w:val="00B26C61"/>
    <w:pPr>
      <w:tabs>
        <w:tab w:val="num" w:pos="473"/>
      </w:tabs>
      <w:spacing w:before="100" w:after="100" w:line="240" w:lineRule="auto"/>
      <w:ind w:left="357" w:hanging="357"/>
    </w:pPr>
    <w:rPr>
      <w:sz w:val="20"/>
      <w:lang w:val="en-US" w:eastAsia="en-AU"/>
    </w:rPr>
  </w:style>
  <w:style w:type="character" w:customStyle="1" w:styleId="StyleNotesTextBoldChar">
    <w:name w:val="Style Notes Text + Bold Char"/>
    <w:basedOn w:val="NotesTextChar"/>
    <w:link w:val="StyleNotesTextBold"/>
    <w:uiPriority w:val="99"/>
    <w:locked/>
    <w:rsid w:val="00B26C61"/>
    <w:rPr>
      <w:rFonts w:ascii="Calibri" w:hAnsi="Calibri" w:cs="Arial"/>
      <w:bCs/>
      <w:sz w:val="18"/>
      <w:szCs w:val="18"/>
    </w:rPr>
  </w:style>
  <w:style w:type="paragraph" w:customStyle="1" w:styleId="StyleNotesTextBold">
    <w:name w:val="Style Notes Text + Bold"/>
    <w:basedOn w:val="NotesText0"/>
    <w:link w:val="StyleNotesTextBoldChar"/>
    <w:uiPriority w:val="99"/>
    <w:rsid w:val="00B26C61"/>
    <w:pPr>
      <w:ind w:right="-54"/>
    </w:pPr>
    <w:rPr>
      <w:rFonts w:ascii="Calibri" w:hAnsi="Calibri"/>
      <w:bCs/>
    </w:rPr>
  </w:style>
  <w:style w:type="character" w:customStyle="1" w:styleId="StyleNotesTextBold1Char">
    <w:name w:val="Style Notes Text + Bold1 Char"/>
    <w:basedOn w:val="NotesTextChar"/>
    <w:link w:val="StyleNotesTextBold1"/>
    <w:uiPriority w:val="99"/>
    <w:locked/>
    <w:rsid w:val="00B26C61"/>
    <w:rPr>
      <w:rFonts w:ascii="Calibri" w:hAnsi="Calibri" w:cs="Arial"/>
      <w:bCs/>
      <w:sz w:val="18"/>
      <w:szCs w:val="18"/>
    </w:rPr>
  </w:style>
  <w:style w:type="paragraph" w:customStyle="1" w:styleId="StyleNotesTextBold1">
    <w:name w:val="Style Notes Text + Bold1"/>
    <w:basedOn w:val="NotesText0"/>
    <w:link w:val="StyleNotesTextBold1Char"/>
    <w:uiPriority w:val="99"/>
    <w:rsid w:val="00B26C61"/>
    <w:pPr>
      <w:ind w:right="-54"/>
    </w:pPr>
    <w:rPr>
      <w:rFonts w:ascii="Calibri" w:hAnsi="Calibri"/>
      <w:bCs/>
    </w:rPr>
  </w:style>
  <w:style w:type="character" w:customStyle="1" w:styleId="StatementTextLevel1bChar">
    <w:name w:val="Statement Text Level 1(b) Char"/>
    <w:basedOn w:val="DefaultParagraphFont"/>
    <w:link w:val="StatementTextLevel1b"/>
    <w:uiPriority w:val="99"/>
    <w:locked/>
    <w:rsid w:val="00B26C61"/>
    <w:rPr>
      <w:rFonts w:ascii="Arial" w:hAnsi="Arial" w:cs="Arial"/>
      <w:b/>
      <w:sz w:val="18"/>
      <w:szCs w:val="18"/>
    </w:rPr>
  </w:style>
  <w:style w:type="paragraph" w:customStyle="1" w:styleId="StatementTextLevel1b">
    <w:name w:val="Statement Text Level 1(b)"/>
    <w:basedOn w:val="Normal"/>
    <w:link w:val="StatementTextLevel1bChar"/>
    <w:uiPriority w:val="99"/>
    <w:rsid w:val="00B26C61"/>
    <w:rPr>
      <w:rFonts w:ascii="Arial" w:eastAsiaTheme="minorHAnsi" w:hAnsi="Arial" w:cs="Arial"/>
      <w:b/>
      <w:szCs w:val="18"/>
    </w:rPr>
  </w:style>
  <w:style w:type="paragraph" w:customStyle="1" w:styleId="PrimaryStatementsHeading">
    <w:name w:val="Primary Statements Heading"/>
    <w:basedOn w:val="Normal"/>
    <w:autoRedefine/>
    <w:uiPriority w:val="99"/>
    <w:rsid w:val="00B26C61"/>
    <w:pPr>
      <w:spacing w:line="300" w:lineRule="exact"/>
    </w:pPr>
    <w:rPr>
      <w:b/>
      <w:sz w:val="24"/>
      <w:lang w:val="en-US"/>
    </w:rPr>
  </w:style>
  <w:style w:type="paragraph" w:customStyle="1" w:styleId="PeriodHeading">
    <w:name w:val="Period Heading"/>
    <w:basedOn w:val="PrimaryStatementsHeading"/>
    <w:uiPriority w:val="99"/>
    <w:rsid w:val="00B26C61"/>
    <w:rPr>
      <w:i/>
      <w:sz w:val="22"/>
    </w:rPr>
  </w:style>
  <w:style w:type="paragraph" w:customStyle="1" w:styleId="CurrentYearDataTotalLevel1">
    <w:name w:val="Current Year Data Total Level 1"/>
    <w:basedOn w:val="Normal"/>
    <w:next w:val="Normal"/>
    <w:autoRedefine/>
    <w:uiPriority w:val="99"/>
    <w:rsid w:val="00B26C61"/>
    <w:pPr>
      <w:pBdr>
        <w:top w:val="single" w:sz="4" w:space="1" w:color="auto"/>
        <w:bottom w:val="double" w:sz="6" w:space="1" w:color="auto"/>
      </w:pBdr>
      <w:jc w:val="right"/>
    </w:pPr>
    <w:rPr>
      <w:b/>
      <w:szCs w:val="16"/>
    </w:rPr>
  </w:style>
  <w:style w:type="character" w:customStyle="1" w:styleId="LineitemsHeadingChar">
    <w:name w:val="Line items Heading Char"/>
    <w:basedOn w:val="LineitemsChar"/>
    <w:link w:val="LineitemsHeading"/>
    <w:uiPriority w:val="99"/>
    <w:locked/>
    <w:rsid w:val="00B26C61"/>
    <w:rPr>
      <w:rFonts w:ascii="Calibri" w:hAnsi="Calibri" w:cs="Calibri"/>
      <w:b/>
      <w:sz w:val="18"/>
    </w:rPr>
  </w:style>
  <w:style w:type="paragraph" w:customStyle="1" w:styleId="LineitemsHeading">
    <w:name w:val="Line items Heading"/>
    <w:basedOn w:val="Lineitems"/>
    <w:link w:val="LineitemsHeadingChar"/>
    <w:uiPriority w:val="99"/>
    <w:rsid w:val="00B26C61"/>
    <w:pPr>
      <w:framePr w:hSpace="180" w:wrap="around" w:vAnchor="text" w:hAnchor="margin" w:y="1"/>
    </w:pPr>
    <w:rPr>
      <w:rFonts w:ascii="Calibri" w:hAnsi="Calibri" w:cs="Calibri"/>
      <w:b/>
      <w:sz w:val="18"/>
    </w:rPr>
  </w:style>
  <w:style w:type="paragraph" w:customStyle="1" w:styleId="PreviousYearDataTotalLevel3">
    <w:name w:val="Previous Year Data Total Level 3"/>
    <w:basedOn w:val="Normal"/>
    <w:autoRedefine/>
    <w:uiPriority w:val="99"/>
    <w:rsid w:val="00B26C61"/>
    <w:pPr>
      <w:pBdr>
        <w:top w:val="single" w:sz="4" w:space="1" w:color="auto"/>
        <w:bottom w:val="double" w:sz="6" w:space="1" w:color="auto"/>
      </w:pBdr>
      <w:jc w:val="right"/>
    </w:pPr>
  </w:style>
  <w:style w:type="paragraph" w:customStyle="1" w:styleId="StyleNotesTextItalic1">
    <w:name w:val="Style Notes Text + Italic1"/>
    <w:basedOn w:val="NotesText0"/>
    <w:uiPriority w:val="99"/>
    <w:rsid w:val="00B26C61"/>
    <w:pPr>
      <w:ind w:right="-54"/>
    </w:pPr>
    <w:rPr>
      <w:rFonts w:ascii="Calibri" w:hAnsi="Calibri" w:cs="Times New Roman"/>
      <w:i/>
      <w:iCs/>
      <w:sz w:val="20"/>
      <w:szCs w:val="20"/>
    </w:rPr>
  </w:style>
  <w:style w:type="paragraph" w:customStyle="1" w:styleId="StyleNotesTextPatternClearGray-20">
    <w:name w:val="Style Notes Text + Pattern: Clear (Gray-20%)"/>
    <w:basedOn w:val="NotesText0"/>
    <w:uiPriority w:val="99"/>
    <w:rsid w:val="00B26C61"/>
    <w:pPr>
      <w:ind w:right="-54"/>
    </w:pPr>
    <w:rPr>
      <w:rFonts w:ascii="Calibri" w:hAnsi="Calibri" w:cs="Times New Roman"/>
      <w:sz w:val="20"/>
      <w:szCs w:val="20"/>
    </w:rPr>
  </w:style>
  <w:style w:type="character" w:customStyle="1" w:styleId="PreviousYearDataTotalLevel2Char">
    <w:name w:val="Previous Year Data Total Level 2 Char"/>
    <w:basedOn w:val="DefaultParagraphFont"/>
    <w:link w:val="PreviousYearDataTotalLevel2"/>
    <w:uiPriority w:val="99"/>
    <w:locked/>
    <w:rsid w:val="00B26C61"/>
    <w:rPr>
      <w:rFonts w:ascii="Calibri" w:hAnsi="Calibri" w:cs="Calibri"/>
      <w:sz w:val="18"/>
    </w:rPr>
  </w:style>
  <w:style w:type="paragraph" w:customStyle="1" w:styleId="PreviousYearDataTotalLevel2">
    <w:name w:val="Previous Year Data Total Level 2"/>
    <w:basedOn w:val="Normal"/>
    <w:next w:val="Normal"/>
    <w:link w:val="PreviousYearDataTotalLevel2Char"/>
    <w:uiPriority w:val="99"/>
    <w:rsid w:val="00B26C61"/>
    <w:pPr>
      <w:pBdr>
        <w:top w:val="single" w:sz="4" w:space="1" w:color="auto"/>
        <w:bottom w:val="single" w:sz="4" w:space="1" w:color="auto"/>
      </w:pBdr>
      <w:jc w:val="right"/>
    </w:pPr>
    <w:rPr>
      <w:rFonts w:eastAsiaTheme="minorHAnsi" w:cs="Calibri"/>
      <w:szCs w:val="22"/>
    </w:rPr>
  </w:style>
  <w:style w:type="character" w:customStyle="1" w:styleId="CurrentYearDataTotalLevel2Char">
    <w:name w:val="Current Year Data Total Level 2 Char"/>
    <w:basedOn w:val="DefaultParagraphFont"/>
    <w:link w:val="CurrentYearDataTotalLevel2"/>
    <w:uiPriority w:val="99"/>
    <w:locked/>
    <w:rsid w:val="00B26C61"/>
    <w:rPr>
      <w:rFonts w:ascii="Calibri" w:hAnsi="Calibri" w:cs="Calibri"/>
      <w:b/>
      <w:sz w:val="18"/>
    </w:rPr>
  </w:style>
  <w:style w:type="paragraph" w:customStyle="1" w:styleId="CurrentYearDataTotalLevel2">
    <w:name w:val="Current Year Data Total Level 2"/>
    <w:basedOn w:val="Normal"/>
    <w:link w:val="CurrentYearDataTotalLevel2Char"/>
    <w:uiPriority w:val="99"/>
    <w:rsid w:val="00B26C61"/>
    <w:pPr>
      <w:pBdr>
        <w:top w:val="single" w:sz="4" w:space="1" w:color="auto"/>
        <w:bottom w:val="single" w:sz="4" w:space="1" w:color="auto"/>
      </w:pBdr>
      <w:jc w:val="right"/>
    </w:pPr>
    <w:rPr>
      <w:rFonts w:eastAsiaTheme="minorHAnsi" w:cs="Calibri"/>
      <w:b/>
      <w:szCs w:val="22"/>
    </w:rPr>
  </w:style>
  <w:style w:type="paragraph" w:customStyle="1" w:styleId="DeptCurrentYearHeader">
    <w:name w:val="Dept Current Year Header"/>
    <w:basedOn w:val="Normal"/>
    <w:qFormat/>
    <w:rsid w:val="00B26C61"/>
    <w:pPr>
      <w:spacing w:line="240" w:lineRule="auto"/>
      <w:jc w:val="right"/>
    </w:pPr>
    <w:rPr>
      <w:rFonts w:asciiTheme="minorHAnsi" w:hAnsiTheme="minorHAnsi" w:cstheme="minorHAnsi"/>
      <w:b/>
      <w:szCs w:val="18"/>
      <w:lang w:eastAsia="en-AU"/>
    </w:rPr>
  </w:style>
  <w:style w:type="paragraph" w:customStyle="1" w:styleId="DeptPreviousYearHeader">
    <w:name w:val="Dept Previous Year Header"/>
    <w:qFormat/>
    <w:rsid w:val="00B26C61"/>
    <w:pPr>
      <w:spacing w:after="0" w:line="240" w:lineRule="auto"/>
      <w:jc w:val="right"/>
    </w:pPr>
    <w:rPr>
      <w:rFonts w:eastAsia="Times New Roman" w:cstheme="minorHAnsi"/>
      <w:sz w:val="18"/>
      <w:szCs w:val="18"/>
      <w:lang w:eastAsia="en-AU"/>
    </w:rPr>
  </w:style>
  <w:style w:type="paragraph" w:customStyle="1" w:styleId="DeptManualEntryCell">
    <w:name w:val="Dept Manual Entry Cell"/>
    <w:basedOn w:val="Normal"/>
    <w:qFormat/>
    <w:rsid w:val="00B26C61"/>
    <w:pPr>
      <w:spacing w:line="240" w:lineRule="auto"/>
      <w:jc w:val="right"/>
    </w:pPr>
    <w:rPr>
      <w:rFonts w:asciiTheme="minorHAnsi" w:hAnsiTheme="minorHAnsi" w:cstheme="minorHAnsi"/>
      <w:b/>
      <w:szCs w:val="18"/>
      <w:lang w:eastAsia="en-AU"/>
    </w:rPr>
  </w:style>
  <w:style w:type="paragraph" w:customStyle="1" w:styleId="DeptManualEntryCellUnBold">
    <w:name w:val="Dept Manual Entry Cell UnBold"/>
    <w:basedOn w:val="DeptManualEntryCell"/>
    <w:qFormat/>
    <w:rsid w:val="00B26C61"/>
    <w:rPr>
      <w:b w:val="0"/>
    </w:rPr>
  </w:style>
  <w:style w:type="paragraph" w:customStyle="1" w:styleId="DeptCurrentYearTotal">
    <w:name w:val="Dept Current Year Total"/>
    <w:qFormat/>
    <w:rsid w:val="00B26C61"/>
    <w:pPr>
      <w:spacing w:after="0" w:line="240" w:lineRule="auto"/>
      <w:jc w:val="right"/>
    </w:pPr>
    <w:rPr>
      <w:rFonts w:eastAsia="Times New Roman" w:cstheme="minorHAnsi"/>
      <w:b/>
      <w:sz w:val="18"/>
      <w:szCs w:val="18"/>
      <w:lang w:eastAsia="en-AU"/>
    </w:rPr>
  </w:style>
  <w:style w:type="paragraph" w:customStyle="1" w:styleId="DeptPreviousYearTotal">
    <w:name w:val="Dept Previous Year Total"/>
    <w:qFormat/>
    <w:rsid w:val="00B26C61"/>
    <w:pPr>
      <w:spacing w:after="0" w:line="240" w:lineRule="auto"/>
      <w:jc w:val="right"/>
    </w:pPr>
    <w:rPr>
      <w:rFonts w:eastAsia="Times New Roman" w:cstheme="minorHAnsi"/>
      <w:sz w:val="18"/>
      <w:szCs w:val="18"/>
      <w:lang w:eastAsia="en-AU"/>
    </w:rPr>
  </w:style>
  <w:style w:type="paragraph" w:customStyle="1" w:styleId="DeptRowText">
    <w:name w:val="Dept Row Text"/>
    <w:qFormat/>
    <w:rsid w:val="00B26C61"/>
    <w:pPr>
      <w:spacing w:after="0" w:line="240" w:lineRule="auto"/>
    </w:pPr>
    <w:rPr>
      <w:rFonts w:eastAsia="Times New Roman" w:cstheme="minorHAnsi"/>
      <w:sz w:val="18"/>
      <w:szCs w:val="18"/>
      <w:lang w:eastAsia="en-AU"/>
    </w:rPr>
  </w:style>
  <w:style w:type="paragraph" w:customStyle="1" w:styleId="DeptRowTextTotal">
    <w:name w:val="Dept Row Text Total"/>
    <w:qFormat/>
    <w:rsid w:val="00B26C61"/>
    <w:pPr>
      <w:spacing w:after="0" w:line="240" w:lineRule="auto"/>
    </w:pPr>
    <w:rPr>
      <w:rFonts w:eastAsia="Times New Roman" w:cstheme="minorHAnsi"/>
      <w:b/>
      <w:i/>
      <w:sz w:val="18"/>
      <w:szCs w:val="18"/>
    </w:rPr>
  </w:style>
  <w:style w:type="paragraph" w:customStyle="1" w:styleId="DeptBlankBlueShade">
    <w:name w:val="Dept Blank Blue Shade"/>
    <w:basedOn w:val="DeptRowTextTotal"/>
    <w:next w:val="12line"/>
    <w:qFormat/>
    <w:rsid w:val="00B26C61"/>
  </w:style>
  <w:style w:type="paragraph" w:customStyle="1" w:styleId="DeptRowTextIndent">
    <w:name w:val="Dept Row Text Indent"/>
    <w:basedOn w:val="DeptRowText"/>
    <w:qFormat/>
    <w:rsid w:val="00B26C61"/>
    <w:pPr>
      <w:ind w:left="204"/>
    </w:pPr>
  </w:style>
  <w:style w:type="paragraph" w:customStyle="1" w:styleId="AdminRowTextIndent">
    <w:name w:val="Admin Row Text Indent"/>
    <w:basedOn w:val="DeptRowTextIndent"/>
    <w:qFormat/>
    <w:rsid w:val="00B26C61"/>
  </w:style>
  <w:style w:type="paragraph" w:customStyle="1" w:styleId="AdminRowTextIndentGrey">
    <w:name w:val="Admin Row Text Indent Grey"/>
    <w:basedOn w:val="AdminRowTextIndent"/>
    <w:qFormat/>
    <w:rsid w:val="00B26C61"/>
  </w:style>
  <w:style w:type="paragraph" w:customStyle="1" w:styleId="AdminCurrentYearDataGrey">
    <w:name w:val="Admin Current Year Data Grey"/>
    <w:qFormat/>
    <w:rsid w:val="00B26C61"/>
    <w:pPr>
      <w:spacing w:after="0" w:line="240" w:lineRule="auto"/>
      <w:jc w:val="right"/>
    </w:pPr>
    <w:rPr>
      <w:rFonts w:eastAsia="Times New Roman" w:cstheme="minorHAnsi"/>
      <w:b/>
      <w:sz w:val="18"/>
      <w:szCs w:val="18"/>
      <w:lang w:eastAsia="en-AU"/>
    </w:rPr>
  </w:style>
  <w:style w:type="paragraph" w:customStyle="1" w:styleId="AdminCurrentYearDataNormal">
    <w:name w:val="Admin Current Year Data Normal"/>
    <w:qFormat/>
    <w:rsid w:val="00B26C61"/>
    <w:pPr>
      <w:spacing w:after="0" w:line="240" w:lineRule="auto"/>
      <w:jc w:val="right"/>
    </w:pPr>
    <w:rPr>
      <w:rFonts w:eastAsia="Times New Roman" w:cstheme="minorHAnsi"/>
      <w:b/>
      <w:sz w:val="18"/>
      <w:szCs w:val="18"/>
      <w:lang w:eastAsia="en-AU"/>
    </w:rPr>
  </w:style>
  <w:style w:type="paragraph" w:customStyle="1" w:styleId="AdminPreviousYearDataGrey">
    <w:name w:val="Admin Previous Year Data Grey"/>
    <w:qFormat/>
    <w:rsid w:val="00B26C61"/>
    <w:pPr>
      <w:spacing w:after="0" w:line="240" w:lineRule="auto"/>
      <w:jc w:val="right"/>
    </w:pPr>
    <w:rPr>
      <w:rFonts w:eastAsia="Times New Roman" w:cstheme="minorHAnsi"/>
      <w:sz w:val="18"/>
      <w:szCs w:val="18"/>
      <w:lang w:eastAsia="en-AU"/>
    </w:rPr>
  </w:style>
  <w:style w:type="paragraph" w:customStyle="1" w:styleId="AdminPreviousYearDataNormal">
    <w:name w:val="Admin Previous Year Data Normal"/>
    <w:qFormat/>
    <w:rsid w:val="00B26C61"/>
    <w:pPr>
      <w:spacing w:after="0" w:line="240" w:lineRule="auto"/>
      <w:jc w:val="right"/>
    </w:pPr>
    <w:rPr>
      <w:rFonts w:eastAsia="Times New Roman" w:cstheme="minorHAnsi"/>
      <w:sz w:val="18"/>
      <w:szCs w:val="18"/>
      <w:lang w:eastAsia="en-AU"/>
    </w:rPr>
  </w:style>
  <w:style w:type="paragraph" w:customStyle="1" w:styleId="AdminHeaderlineUnderlineGrey">
    <w:name w:val="Admin Headerline Underline Grey"/>
    <w:basedOn w:val="AdminPreviousYearDataNormal"/>
    <w:next w:val="12line"/>
    <w:qFormat/>
    <w:rsid w:val="00B26C61"/>
  </w:style>
  <w:style w:type="paragraph" w:customStyle="1" w:styleId="AdminBlankGreyShade">
    <w:name w:val="Admin Blank Grey Shade"/>
    <w:next w:val="12line"/>
    <w:qFormat/>
    <w:rsid w:val="00B26C61"/>
    <w:pPr>
      <w:spacing w:after="0" w:line="240" w:lineRule="auto"/>
    </w:pPr>
    <w:rPr>
      <w:rFonts w:eastAsia="Times New Roman" w:cstheme="minorHAnsi"/>
      <w:sz w:val="18"/>
      <w:szCs w:val="18"/>
      <w:lang w:eastAsia="en-AU"/>
    </w:rPr>
  </w:style>
  <w:style w:type="paragraph" w:customStyle="1" w:styleId="AdminRowTextGrey">
    <w:name w:val="Admin Row Text Grey"/>
    <w:qFormat/>
    <w:rsid w:val="00B26C61"/>
    <w:pPr>
      <w:spacing w:after="0" w:line="240" w:lineRule="auto"/>
    </w:pPr>
    <w:rPr>
      <w:rFonts w:eastAsia="Times New Roman" w:cstheme="minorHAnsi"/>
      <w:sz w:val="18"/>
      <w:szCs w:val="18"/>
      <w:lang w:eastAsia="en-AU"/>
    </w:rPr>
  </w:style>
  <w:style w:type="paragraph" w:customStyle="1" w:styleId="AdminCurrentYearTotalGrey">
    <w:name w:val="Admin Current Year Total Grey"/>
    <w:qFormat/>
    <w:rsid w:val="00B26C61"/>
    <w:pPr>
      <w:spacing w:after="0" w:line="240" w:lineRule="auto"/>
      <w:jc w:val="right"/>
    </w:pPr>
    <w:rPr>
      <w:rFonts w:eastAsia="Times New Roman" w:cstheme="minorHAnsi"/>
      <w:b/>
      <w:sz w:val="18"/>
      <w:szCs w:val="18"/>
      <w:lang w:eastAsia="en-AU"/>
    </w:rPr>
  </w:style>
  <w:style w:type="paragraph" w:customStyle="1" w:styleId="AdminPreviousYearTotalGrey">
    <w:name w:val="Admin Previous Year Total Grey"/>
    <w:qFormat/>
    <w:rsid w:val="00B26C61"/>
    <w:pPr>
      <w:spacing w:after="0" w:line="240" w:lineRule="auto"/>
      <w:jc w:val="right"/>
    </w:pPr>
    <w:rPr>
      <w:rFonts w:eastAsia="Times New Roman" w:cstheme="minorHAnsi"/>
      <w:sz w:val="18"/>
      <w:szCs w:val="18"/>
      <w:lang w:eastAsia="en-AU"/>
    </w:rPr>
  </w:style>
  <w:style w:type="paragraph" w:customStyle="1" w:styleId="AdminManualEntryCell">
    <w:name w:val="Admin Manual Entry Cell"/>
    <w:qFormat/>
    <w:rsid w:val="00B26C61"/>
    <w:pPr>
      <w:spacing w:after="0" w:line="240" w:lineRule="auto"/>
      <w:jc w:val="right"/>
    </w:pPr>
    <w:rPr>
      <w:rFonts w:eastAsia="Times New Roman" w:cstheme="minorHAnsi"/>
      <w:b/>
      <w:sz w:val="18"/>
      <w:szCs w:val="18"/>
      <w:lang w:eastAsia="en-AU"/>
    </w:rPr>
  </w:style>
  <w:style w:type="paragraph" w:customStyle="1" w:styleId="AdminManualEntryCellUnbold">
    <w:name w:val="Admin Manual Entry Cell Unbold"/>
    <w:qFormat/>
    <w:rsid w:val="00B26C61"/>
    <w:pPr>
      <w:spacing w:after="0" w:line="240" w:lineRule="auto"/>
      <w:jc w:val="right"/>
    </w:pPr>
    <w:rPr>
      <w:rFonts w:eastAsia="Times New Roman" w:cstheme="minorHAnsi"/>
      <w:sz w:val="18"/>
      <w:szCs w:val="18"/>
      <w:lang w:eastAsia="en-AU"/>
    </w:rPr>
  </w:style>
  <w:style w:type="paragraph" w:customStyle="1" w:styleId="AdminRowTextHeaderBoldGrey">
    <w:name w:val="Admin Row Text Header Bold Grey"/>
    <w:qFormat/>
    <w:rsid w:val="00B26C61"/>
    <w:pPr>
      <w:spacing w:after="0" w:line="240" w:lineRule="auto"/>
    </w:pPr>
    <w:rPr>
      <w:rFonts w:eastAsia="Times New Roman" w:cstheme="minorHAnsi"/>
      <w:b/>
      <w:sz w:val="18"/>
      <w:szCs w:val="18"/>
      <w:lang w:eastAsia="en-AU"/>
    </w:rPr>
  </w:style>
  <w:style w:type="paragraph" w:customStyle="1" w:styleId="DeptCurrentYearData">
    <w:name w:val="Dept Current Year Data"/>
    <w:qFormat/>
    <w:rsid w:val="00B26C61"/>
    <w:pPr>
      <w:spacing w:after="0" w:line="240" w:lineRule="auto"/>
      <w:jc w:val="right"/>
    </w:pPr>
    <w:rPr>
      <w:rFonts w:eastAsia="Times New Roman" w:cstheme="minorHAnsi"/>
      <w:b/>
      <w:sz w:val="18"/>
      <w:szCs w:val="18"/>
      <w:lang w:eastAsia="en-AU"/>
    </w:rPr>
  </w:style>
  <w:style w:type="paragraph" w:customStyle="1" w:styleId="DeptPreviousYearData">
    <w:name w:val="Dept Previous Year Data"/>
    <w:qFormat/>
    <w:rsid w:val="00B26C61"/>
    <w:pPr>
      <w:spacing w:after="0" w:line="240" w:lineRule="auto"/>
      <w:jc w:val="right"/>
    </w:pPr>
    <w:rPr>
      <w:rFonts w:eastAsia="Times New Roman" w:cstheme="minorHAnsi"/>
      <w:sz w:val="18"/>
      <w:szCs w:val="18"/>
      <w:lang w:eastAsia="en-AU"/>
    </w:rPr>
  </w:style>
  <w:style w:type="paragraph" w:customStyle="1" w:styleId="DeptNoteHeadingUnderlined">
    <w:name w:val="Dept Note Heading Underlined"/>
    <w:qFormat/>
    <w:rsid w:val="00B26C61"/>
    <w:pPr>
      <w:spacing w:after="0" w:line="240" w:lineRule="auto"/>
    </w:pPr>
    <w:rPr>
      <w:rFonts w:eastAsia="Times New Roman" w:cstheme="minorHAnsi"/>
      <w:b/>
      <w:sz w:val="18"/>
      <w:szCs w:val="18"/>
      <w:u w:val="single"/>
      <w:lang w:eastAsia="en-AU"/>
    </w:rPr>
  </w:style>
  <w:style w:type="paragraph" w:customStyle="1" w:styleId="DeptCurrentYearSubTotal">
    <w:name w:val="Dept Current Year SubTotal"/>
    <w:qFormat/>
    <w:rsid w:val="00B26C61"/>
    <w:pPr>
      <w:spacing w:after="0" w:line="240" w:lineRule="auto"/>
      <w:jc w:val="right"/>
    </w:pPr>
    <w:rPr>
      <w:rFonts w:eastAsia="Times New Roman" w:cstheme="minorHAnsi"/>
      <w:b/>
      <w:sz w:val="18"/>
      <w:szCs w:val="18"/>
      <w:lang w:eastAsia="en-AU"/>
    </w:rPr>
  </w:style>
  <w:style w:type="paragraph" w:customStyle="1" w:styleId="AdminCurrentYearSubTotal">
    <w:name w:val="Admin Current Year SubTotal"/>
    <w:qFormat/>
    <w:rsid w:val="00B26C61"/>
    <w:pPr>
      <w:spacing w:after="0" w:line="240" w:lineRule="auto"/>
      <w:jc w:val="right"/>
    </w:pPr>
    <w:rPr>
      <w:rFonts w:eastAsia="Times New Roman" w:cstheme="minorHAnsi"/>
      <w:b/>
      <w:sz w:val="18"/>
      <w:szCs w:val="18"/>
      <w:lang w:eastAsia="en-AU"/>
    </w:rPr>
  </w:style>
  <w:style w:type="paragraph" w:customStyle="1" w:styleId="DeptNoteReference">
    <w:name w:val="Dept Note Reference"/>
    <w:basedOn w:val="AdminCurrentYearSubTotal"/>
    <w:qFormat/>
    <w:rsid w:val="00B26C61"/>
    <w:pPr>
      <w:jc w:val="center"/>
    </w:pPr>
    <w:rPr>
      <w:b w:val="0"/>
    </w:rPr>
  </w:style>
  <w:style w:type="paragraph" w:customStyle="1" w:styleId="DeptRowTextDoubleIndent">
    <w:name w:val="Dept Row Text Double Indent"/>
    <w:basedOn w:val="DeptNoteReference"/>
    <w:qFormat/>
    <w:rsid w:val="00B26C61"/>
    <w:pPr>
      <w:tabs>
        <w:tab w:val="left" w:pos="204"/>
      </w:tabs>
      <w:ind w:left="487"/>
      <w:jc w:val="left"/>
    </w:pPr>
  </w:style>
  <w:style w:type="paragraph" w:customStyle="1" w:styleId="AdminRowTextSubTotal">
    <w:name w:val="Admin Row Text SubTotal"/>
    <w:qFormat/>
    <w:rsid w:val="00B26C61"/>
    <w:pPr>
      <w:spacing w:after="0" w:line="240" w:lineRule="auto"/>
    </w:pPr>
    <w:rPr>
      <w:rFonts w:eastAsia="Times New Roman" w:cstheme="minorHAnsi"/>
      <w:sz w:val="18"/>
      <w:szCs w:val="18"/>
      <w:lang w:eastAsia="en-AU"/>
    </w:rPr>
  </w:style>
  <w:style w:type="paragraph" w:customStyle="1" w:styleId="DeptRowTextHeader">
    <w:name w:val="Dept Row Text Header"/>
    <w:qFormat/>
    <w:rsid w:val="00B26C61"/>
    <w:pPr>
      <w:spacing w:after="0" w:line="240" w:lineRule="auto"/>
    </w:pPr>
    <w:rPr>
      <w:rFonts w:eastAsia="Times New Roman" w:cstheme="minorHAnsi"/>
      <w:b/>
      <w:sz w:val="18"/>
      <w:szCs w:val="18"/>
      <w:lang w:eastAsia="en-AU"/>
    </w:rPr>
  </w:style>
  <w:style w:type="paragraph" w:customStyle="1" w:styleId="DeptPreviousYearSubTotal">
    <w:name w:val="Dept Previous Year SubTotal"/>
    <w:qFormat/>
    <w:rsid w:val="00B26C61"/>
    <w:pPr>
      <w:spacing w:after="0" w:line="240" w:lineRule="auto"/>
      <w:jc w:val="right"/>
    </w:pPr>
    <w:rPr>
      <w:rFonts w:eastAsia="Times New Roman" w:cstheme="minorHAnsi"/>
      <w:sz w:val="18"/>
      <w:szCs w:val="18"/>
      <w:lang w:eastAsia="en-AU"/>
    </w:rPr>
  </w:style>
  <w:style w:type="paragraph" w:customStyle="1" w:styleId="AdminCurrentYearHeadersGrey">
    <w:name w:val="Admin Current Year Headers Grey"/>
    <w:qFormat/>
    <w:rsid w:val="00B26C61"/>
    <w:pPr>
      <w:spacing w:after="0" w:line="240" w:lineRule="auto"/>
      <w:jc w:val="right"/>
    </w:pPr>
    <w:rPr>
      <w:rFonts w:eastAsia="Times New Roman" w:cstheme="minorHAnsi"/>
      <w:b/>
      <w:sz w:val="18"/>
      <w:szCs w:val="18"/>
      <w:lang w:eastAsia="en-AU"/>
    </w:rPr>
  </w:style>
  <w:style w:type="paragraph" w:customStyle="1" w:styleId="AdminPreviousYearHeadersGrey">
    <w:name w:val="Admin Previous Year Headers Grey"/>
    <w:basedOn w:val="AdminCurrentYearHeadersGrey"/>
    <w:qFormat/>
    <w:rsid w:val="00B26C61"/>
  </w:style>
  <w:style w:type="paragraph" w:customStyle="1" w:styleId="AdminHeaderUnderlineGrey">
    <w:name w:val="Admin Header Underline Grey"/>
    <w:qFormat/>
    <w:rsid w:val="00B26C61"/>
    <w:pPr>
      <w:spacing w:after="0" w:line="240" w:lineRule="auto"/>
    </w:pPr>
    <w:rPr>
      <w:rFonts w:eastAsia="Times New Roman" w:cstheme="minorHAnsi"/>
      <w:b/>
      <w:sz w:val="18"/>
      <w:szCs w:val="18"/>
      <w:u w:val="single"/>
      <w:lang w:eastAsia="en-AU"/>
    </w:rPr>
  </w:style>
  <w:style w:type="paragraph" w:customStyle="1" w:styleId="AdminPreviousYearHeaderGrey">
    <w:name w:val="Admin Previous Year Header Grey"/>
    <w:qFormat/>
    <w:rsid w:val="00B26C61"/>
    <w:pPr>
      <w:spacing w:after="0" w:line="240" w:lineRule="auto"/>
      <w:jc w:val="right"/>
    </w:pPr>
    <w:rPr>
      <w:rFonts w:ascii="Calibri" w:eastAsia="Times New Roman" w:hAnsi="Calibri" w:cs="Calibri"/>
      <w:sz w:val="18"/>
      <w:szCs w:val="18"/>
    </w:rPr>
  </w:style>
  <w:style w:type="paragraph" w:customStyle="1" w:styleId="AdminRowTextNormal">
    <w:name w:val="Admin Row Text Normal"/>
    <w:qFormat/>
    <w:rsid w:val="00B26C61"/>
    <w:pPr>
      <w:spacing w:after="0" w:line="240" w:lineRule="auto"/>
    </w:pPr>
    <w:rPr>
      <w:rFonts w:ascii="Calibri" w:eastAsia="Times New Roman" w:hAnsi="Calibri" w:cs="Calibri"/>
      <w:sz w:val="18"/>
      <w:szCs w:val="18"/>
    </w:rPr>
  </w:style>
  <w:style w:type="paragraph" w:customStyle="1" w:styleId="AdminRowTextTotal">
    <w:name w:val="Admin Row Text Total"/>
    <w:basedOn w:val="Normal"/>
    <w:qFormat/>
    <w:rsid w:val="00B26C61"/>
    <w:rPr>
      <w:rFonts w:cs="Calibri"/>
      <w:b/>
      <w:bCs/>
      <w:i/>
      <w:iCs/>
      <w:szCs w:val="18"/>
    </w:rPr>
  </w:style>
  <w:style w:type="paragraph" w:customStyle="1" w:styleId="DeptRowTextSubTotal">
    <w:name w:val="Dept Row Text SubTotal"/>
    <w:basedOn w:val="Normal"/>
    <w:qFormat/>
    <w:rsid w:val="00B26C61"/>
    <w:rPr>
      <w:rFonts w:cs="Calibri"/>
      <w:b/>
      <w:bCs/>
      <w:szCs w:val="18"/>
    </w:rPr>
  </w:style>
  <w:style w:type="paragraph" w:customStyle="1" w:styleId="DeptManualEntryBoldGreyShade">
    <w:name w:val="Dept Manual Entry Bold Grey Shade"/>
    <w:qFormat/>
    <w:rsid w:val="00B26C61"/>
    <w:pPr>
      <w:spacing w:after="0" w:line="240" w:lineRule="auto"/>
      <w:jc w:val="right"/>
    </w:pPr>
    <w:rPr>
      <w:rFonts w:ascii="Calibri" w:eastAsia="Times New Roman" w:hAnsi="Calibri" w:cs="Calibri"/>
      <w:b/>
      <w:bCs/>
      <w:sz w:val="18"/>
      <w:szCs w:val="18"/>
    </w:rPr>
  </w:style>
  <w:style w:type="paragraph" w:customStyle="1" w:styleId="DeptManualEntryCellUnboldGreyShade">
    <w:name w:val="Dept Manual Entry Cell Unbold Grey Shade"/>
    <w:basedOn w:val="DeptManualEntryBoldGreyShade"/>
    <w:qFormat/>
    <w:rsid w:val="00B26C61"/>
    <w:rPr>
      <w:b w:val="0"/>
    </w:rPr>
  </w:style>
  <w:style w:type="paragraph" w:customStyle="1" w:styleId="AdminHeaderCentered">
    <w:name w:val="Admin Header Centered"/>
    <w:basedOn w:val="AdminRowTextHeaderBoldGrey"/>
    <w:qFormat/>
    <w:rsid w:val="00B26C61"/>
    <w:pPr>
      <w:jc w:val="center"/>
    </w:pPr>
  </w:style>
  <w:style w:type="paragraph" w:customStyle="1" w:styleId="AdminNoteReferenceGrey">
    <w:name w:val="Admin Note Reference Grey"/>
    <w:qFormat/>
    <w:rsid w:val="00B26C61"/>
    <w:pPr>
      <w:spacing w:after="0" w:line="240" w:lineRule="auto"/>
      <w:jc w:val="center"/>
    </w:pPr>
    <w:rPr>
      <w:rFonts w:ascii="Calibri" w:eastAsia="Times New Roman" w:hAnsi="Calibri" w:cs="Calibri"/>
      <w:sz w:val="18"/>
      <w:szCs w:val="18"/>
    </w:rPr>
  </w:style>
  <w:style w:type="paragraph" w:customStyle="1" w:styleId="DeptHeaderCentered">
    <w:name w:val="Dept Header Centered"/>
    <w:qFormat/>
    <w:rsid w:val="00B26C61"/>
    <w:pPr>
      <w:spacing w:after="0" w:line="240" w:lineRule="auto"/>
      <w:jc w:val="center"/>
    </w:pPr>
    <w:rPr>
      <w:rFonts w:eastAsia="Times New Roman" w:cstheme="minorHAnsi"/>
      <w:b/>
      <w:sz w:val="18"/>
      <w:szCs w:val="18"/>
      <w:lang w:eastAsia="en-AU"/>
    </w:rPr>
  </w:style>
  <w:style w:type="paragraph" w:customStyle="1" w:styleId="NotesHeading-Level1GreyShade">
    <w:name w:val="Notes Heading - Level 1 Grey Shade"/>
    <w:basedOn w:val="NotesHeading-Level1"/>
    <w:qFormat/>
    <w:rsid w:val="00B26C61"/>
    <w:pPr>
      <w:numPr>
        <w:numId w:val="14"/>
      </w:numPr>
      <w:shd w:val="clear" w:color="auto" w:fill="D9D9D9" w:themeFill="background1" w:themeFillShade="D9"/>
      <w:tabs>
        <w:tab w:val="clear" w:pos="360"/>
        <w:tab w:val="num" w:pos="643"/>
      </w:tabs>
      <w:ind w:left="643"/>
    </w:pPr>
    <w:rPr>
      <w:rFonts w:cstheme="minorHAnsi"/>
    </w:rPr>
  </w:style>
  <w:style w:type="paragraph" w:customStyle="1" w:styleId="UnderlineItalics">
    <w:name w:val="Underline Italics"/>
    <w:basedOn w:val="Normal"/>
    <w:qFormat/>
    <w:rsid w:val="00B26C61"/>
    <w:rPr>
      <w:i/>
      <w:u w:val="single"/>
    </w:rPr>
  </w:style>
  <w:style w:type="paragraph" w:customStyle="1" w:styleId="Default">
    <w:name w:val="Default"/>
    <w:rsid w:val="00B26C6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otnoteReference">
    <w:name w:val="footnote reference"/>
    <w:basedOn w:val="DefaultParagraphFont"/>
    <w:uiPriority w:val="99"/>
    <w:semiHidden/>
    <w:rsid w:val="00B26C61"/>
    <w:rPr>
      <w:vertAlign w:val="superscript"/>
    </w:rPr>
  </w:style>
  <w:style w:type="character" w:styleId="CommentReference">
    <w:name w:val="annotation reference"/>
    <w:basedOn w:val="DefaultParagraphFont"/>
    <w:semiHidden/>
    <w:rsid w:val="00B26C61"/>
    <w:rPr>
      <w:sz w:val="16"/>
      <w:szCs w:val="16"/>
    </w:rPr>
  </w:style>
  <w:style w:type="character" w:styleId="PageNumber">
    <w:name w:val="page number"/>
    <w:basedOn w:val="DefaultParagraphFont"/>
    <w:uiPriority w:val="99"/>
    <w:rsid w:val="00B26C61"/>
    <w:rPr>
      <w:rFonts w:ascii="Times New Roman" w:hAnsi="Times New Roman" w:cs="Times New Roman" w:hint="default"/>
      <w:sz w:val="22"/>
    </w:rPr>
  </w:style>
  <w:style w:type="character" w:customStyle="1" w:styleId="A18">
    <w:name w:val="A18"/>
    <w:uiPriority w:val="99"/>
    <w:rsid w:val="00B26C61"/>
    <w:rPr>
      <w:i/>
      <w:iCs/>
      <w:color w:val="000000"/>
      <w:sz w:val="14"/>
      <w:szCs w:val="14"/>
      <w:u w:val="single"/>
    </w:rPr>
  </w:style>
  <w:style w:type="table" w:styleId="TableGrid">
    <w:name w:val="Table Grid"/>
    <w:basedOn w:val="TableNormal"/>
    <w:uiPriority w:val="59"/>
    <w:rsid w:val="00B26C61"/>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B26C6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NotesHeading-Level1">
    <w:name w:val="Continued Notes Heading - Level 1"/>
    <w:basedOn w:val="NotesHeading-Level1"/>
    <w:qFormat/>
    <w:rsid w:val="00B26C61"/>
    <w:pPr>
      <w:numPr>
        <w:numId w:val="0"/>
      </w:numPr>
      <w:spacing w:line="240" w:lineRule="auto"/>
      <w:outlineLvl w:val="9"/>
    </w:pPr>
  </w:style>
  <w:style w:type="numbering" w:customStyle="1" w:styleId="CurrentList2">
    <w:name w:val="Current List2"/>
    <w:rsid w:val="00B26C61"/>
    <w:pPr>
      <w:numPr>
        <w:numId w:val="26"/>
      </w:numPr>
    </w:pPr>
  </w:style>
  <w:style w:type="numbering" w:customStyle="1" w:styleId="Style2">
    <w:name w:val="Style2"/>
    <w:rsid w:val="00B26C61"/>
    <w:pPr>
      <w:numPr>
        <w:numId w:val="27"/>
      </w:numPr>
    </w:pPr>
  </w:style>
  <w:style w:type="numbering" w:customStyle="1" w:styleId="CurrentList1">
    <w:name w:val="Current List1"/>
    <w:rsid w:val="00B26C61"/>
    <w:pPr>
      <w:numPr>
        <w:numId w:val="28"/>
      </w:numPr>
    </w:pPr>
  </w:style>
  <w:style w:type="character" w:styleId="Emphasis">
    <w:name w:val="Emphasis"/>
    <w:basedOn w:val="DefaultParagraphFont"/>
    <w:uiPriority w:val="20"/>
    <w:qFormat/>
    <w:rsid w:val="00B26C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6B7B87A4.dotm</Template>
  <TotalTime>8</TotalTime>
  <Pages>66</Pages>
  <Words>15125</Words>
  <Characters>86219</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Thomas</dc:creator>
  <cp:lastModifiedBy>Suzanne Cooper</cp:lastModifiedBy>
  <cp:revision>2</cp:revision>
  <dcterms:created xsi:type="dcterms:W3CDTF">2014-10-24T01:05:00Z</dcterms:created>
  <dcterms:modified xsi:type="dcterms:W3CDTF">2014-10-29T04:18:00Z</dcterms:modified>
</cp:coreProperties>
</file>