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3" w:rsidRDefault="00C24BD7" w:rsidP="00A35435">
      <w:pPr>
        <w:ind w:left="-1440"/>
        <w:sectPr w:rsidR="00130923" w:rsidSect="00A35435">
          <w:footerReference w:type="default" r:id="rId9"/>
          <w:pgSz w:w="11906" w:h="16838"/>
          <w:pgMar w:top="0" w:right="1274" w:bottom="1134" w:left="1440" w:header="708" w:footer="708" w:gutter="0"/>
          <w:cols w:space="708"/>
          <w:docGrid w:linePitch="360"/>
        </w:sectPr>
      </w:pPr>
      <w:r>
        <w:rPr>
          <w:noProof/>
          <w:lang w:eastAsia="en-AU"/>
        </w:rPr>
        <w:drawing>
          <wp:inline distT="0" distB="0" distL="0" distR="0" wp14:anchorId="2917574D" wp14:editId="7F7CE1D0">
            <wp:extent cx="7587049" cy="1198605"/>
            <wp:effectExtent l="0" t="0" r="0" b="190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rotWithShape="1">
                    <a:blip r:embed="rId10">
                      <a:extLst>
                        <a:ext uri="{28A0092B-C50C-407E-A947-70E740481C1C}">
                          <a14:useLocalDpi xmlns:a14="http://schemas.microsoft.com/office/drawing/2010/main" val="0"/>
                        </a:ext>
                      </a:extLst>
                    </a:blip>
                    <a:srcRect t="26752" b="6712"/>
                    <a:stretch/>
                  </pic:blipFill>
                  <pic:spPr bwMode="auto">
                    <a:xfrm>
                      <a:off x="0" y="0"/>
                      <a:ext cx="7587049" cy="1198605"/>
                    </a:xfrm>
                    <a:prstGeom prst="rect">
                      <a:avLst/>
                    </a:prstGeom>
                    <a:ln>
                      <a:noFill/>
                    </a:ln>
                    <a:extLst>
                      <a:ext uri="{53640926-AAD7-44D8-BBD7-CCE9431645EC}">
                        <a14:shadowObscured xmlns:a14="http://schemas.microsoft.com/office/drawing/2010/main"/>
                      </a:ext>
                    </a:extLst>
                  </pic:spPr>
                </pic:pic>
              </a:graphicData>
            </a:graphic>
          </wp:inline>
        </w:drawing>
      </w:r>
    </w:p>
    <w:p w:rsidR="00C30BFA" w:rsidRPr="00C30BFA" w:rsidRDefault="00C30BFA" w:rsidP="003329B3">
      <w:pPr>
        <w:pStyle w:val="Title"/>
        <w:spacing w:after="0"/>
        <w:rPr>
          <w:rFonts w:cs="Calibri"/>
          <w:sz w:val="28"/>
        </w:rPr>
      </w:pPr>
      <w:r w:rsidRPr="00C30BFA">
        <w:rPr>
          <w:sz w:val="28"/>
        </w:rPr>
        <w:lastRenderedPageBreak/>
        <w:t>L</w:t>
      </w:r>
      <w:r w:rsidRPr="00C30BFA">
        <w:rPr>
          <w:sz w:val="28"/>
        </w:rPr>
        <w:t>abour Market Conditions</w:t>
      </w:r>
      <w:r w:rsidRPr="00C30BFA">
        <w:rPr>
          <w:sz w:val="28"/>
        </w:rPr>
        <w:t xml:space="preserve"> in the North Eastern Victoria </w:t>
      </w:r>
      <w:r w:rsidRPr="00C30BFA">
        <w:rPr>
          <w:sz w:val="28"/>
        </w:rPr>
        <w:t>Priority Employment Area</w:t>
      </w:r>
    </w:p>
    <w:p w:rsidR="00C30BFA" w:rsidRPr="008F7BD8" w:rsidRDefault="00C30BFA" w:rsidP="00C30BFA">
      <w:pPr>
        <w:spacing w:after="0" w:line="240" w:lineRule="auto"/>
        <w:rPr>
          <w:rFonts w:ascii="Calibri" w:hAnsi="Calibri" w:cs="Calibri"/>
          <w:color w:val="FF0000"/>
        </w:rPr>
      </w:pPr>
      <w:r>
        <w:rPr>
          <w:rFonts w:ascii="Calibri" w:hAnsi="Calibri" w:cs="Calibri"/>
        </w:rPr>
        <w:t>Overall, l</w:t>
      </w:r>
      <w:r w:rsidRPr="008F7BD8">
        <w:rPr>
          <w:rFonts w:ascii="Calibri" w:hAnsi="Calibri" w:cs="Calibri"/>
        </w:rPr>
        <w:t xml:space="preserve">abour market conditions in the North Eastern </w:t>
      </w:r>
      <w:r>
        <w:rPr>
          <w:rFonts w:ascii="Calibri" w:hAnsi="Calibri" w:cs="Calibri"/>
        </w:rPr>
        <w:t>Victoria Priority Employment Area (PEA) are mixed.</w:t>
      </w:r>
    </w:p>
    <w:p w:rsidR="00C30BFA" w:rsidRPr="008F7BD8" w:rsidRDefault="003329B3" w:rsidP="00C30BFA">
      <w:pPr>
        <w:pStyle w:val="ListParagraph"/>
        <w:numPr>
          <w:ilvl w:val="0"/>
          <w:numId w:val="26"/>
        </w:numPr>
        <w:spacing w:after="0" w:line="240" w:lineRule="auto"/>
        <w:ind w:left="284" w:hanging="284"/>
        <w:rPr>
          <w:rFonts w:ascii="Calibri" w:eastAsiaTheme="majorEastAsia" w:hAnsi="Calibri" w:cs="Calibri"/>
          <w:bCs/>
        </w:rPr>
      </w:pPr>
      <w:r>
        <w:rPr>
          <w:rFonts w:ascii="Calibri" w:eastAsiaTheme="majorEastAsia" w:hAnsi="Calibri" w:cs="Calibri"/>
          <w:bCs/>
          <w:noProof/>
          <w:lang w:eastAsia="en-AU"/>
        </w:rPr>
        <w:drawing>
          <wp:anchor distT="0" distB="0" distL="114300" distR="114300" simplePos="0" relativeHeight="251668480" behindDoc="1" locked="0" layoutInCell="1" allowOverlap="1" wp14:anchorId="4459A4AC" wp14:editId="3E0F3DEA">
            <wp:simplePos x="0" y="0"/>
            <wp:positionH relativeFrom="column">
              <wp:posOffset>5659120</wp:posOffset>
            </wp:positionH>
            <wp:positionV relativeFrom="paragraph">
              <wp:posOffset>57785</wp:posOffset>
            </wp:positionV>
            <wp:extent cx="1197610" cy="1083945"/>
            <wp:effectExtent l="0" t="0" r="2540" b="1905"/>
            <wp:wrapThrough wrapText="bothSides">
              <wp:wrapPolygon edited="0">
                <wp:start x="0" y="0"/>
                <wp:lineTo x="0" y="21258"/>
                <wp:lineTo x="21302" y="21258"/>
                <wp:lineTo x="21302" y="0"/>
                <wp:lineTo x="0" y="0"/>
              </wp:wrapPolygon>
            </wp:wrapThrough>
            <wp:docPr id="13" name="Picture 13" descr="Decorative map of North Eastern Victoria Priority Employment Area with Shepparton and Albury/Wodonga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61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BFA">
        <w:rPr>
          <w:rFonts w:ascii="Calibri" w:eastAsiaTheme="majorEastAsia" w:hAnsi="Calibri" w:cs="Calibri"/>
          <w:bCs/>
        </w:rPr>
        <w:t>While t</w:t>
      </w:r>
      <w:r w:rsidR="00C30BFA" w:rsidRPr="008F7BD8">
        <w:rPr>
          <w:rFonts w:ascii="Calibri" w:eastAsiaTheme="majorEastAsia" w:hAnsi="Calibri" w:cs="Calibri"/>
          <w:bCs/>
        </w:rPr>
        <w:t>he unemployment rate</w:t>
      </w:r>
      <w:r w:rsidR="00C30BFA">
        <w:rPr>
          <w:rFonts w:ascii="Calibri" w:eastAsiaTheme="majorEastAsia" w:hAnsi="Calibri" w:cs="Calibri"/>
          <w:bCs/>
        </w:rPr>
        <w:t xml:space="preserve"> across the PEA</w:t>
      </w:r>
      <w:r w:rsidR="00C30BFA" w:rsidRPr="008F7BD8">
        <w:rPr>
          <w:rFonts w:ascii="Calibri" w:eastAsiaTheme="majorEastAsia" w:hAnsi="Calibri" w:cs="Calibri"/>
          <w:bCs/>
        </w:rPr>
        <w:t xml:space="preserve"> </w:t>
      </w:r>
      <w:r w:rsidR="00C30BFA">
        <w:rPr>
          <w:rFonts w:ascii="Calibri" w:eastAsiaTheme="majorEastAsia" w:hAnsi="Calibri" w:cs="Calibri"/>
          <w:bCs/>
        </w:rPr>
        <w:t xml:space="preserve">decreased from 6.4 per cent to 5.7 per cent over the previous year, the unemployment rate in the Greater Shepparton LGA </w:t>
      </w:r>
      <w:r w:rsidR="00D920AD">
        <w:rPr>
          <w:rFonts w:ascii="Calibri" w:eastAsiaTheme="majorEastAsia" w:hAnsi="Calibri" w:cs="Calibri"/>
          <w:bCs/>
        </w:rPr>
        <w:br/>
      </w:r>
      <w:r w:rsidR="00C30BFA">
        <w:rPr>
          <w:rFonts w:ascii="Calibri" w:eastAsiaTheme="majorEastAsia" w:hAnsi="Calibri" w:cs="Calibri"/>
          <w:bCs/>
        </w:rPr>
        <w:t>(6.6 per cent) remains abov</w:t>
      </w:r>
      <w:bookmarkStart w:id="0" w:name="_GoBack"/>
      <w:bookmarkEnd w:id="0"/>
      <w:r w:rsidR="00C30BFA">
        <w:rPr>
          <w:rFonts w:ascii="Calibri" w:eastAsiaTheme="majorEastAsia" w:hAnsi="Calibri" w:cs="Calibri"/>
          <w:bCs/>
        </w:rPr>
        <w:t>e the national and state average.</w:t>
      </w:r>
      <w:r w:rsidR="00C30BFA" w:rsidRPr="008F7BD8">
        <w:rPr>
          <w:rStyle w:val="FootnoteReference"/>
          <w:rFonts w:ascii="Calibri" w:hAnsi="Calibri" w:cs="Calibri"/>
          <w:noProof/>
          <w:lang w:eastAsia="en-AU"/>
        </w:rPr>
        <w:footnoteReference w:id="1"/>
      </w:r>
    </w:p>
    <w:p w:rsidR="00C30BFA" w:rsidRPr="00A439D6" w:rsidRDefault="00C30BFA" w:rsidP="00C30BFA">
      <w:pPr>
        <w:pStyle w:val="ListParagraph"/>
        <w:numPr>
          <w:ilvl w:val="0"/>
          <w:numId w:val="26"/>
        </w:numPr>
        <w:spacing w:after="0" w:line="240" w:lineRule="auto"/>
        <w:ind w:left="284" w:hanging="284"/>
        <w:rPr>
          <w:rFonts w:ascii="Calibri" w:eastAsiaTheme="majorEastAsia" w:hAnsi="Calibri" w:cs="Calibri"/>
          <w:bCs/>
        </w:rPr>
      </w:pPr>
      <w:r w:rsidRPr="00A439D6">
        <w:rPr>
          <w:rFonts w:ascii="Calibri" w:eastAsiaTheme="majorEastAsia" w:hAnsi="Calibri" w:cs="Calibri"/>
          <w:bCs/>
        </w:rPr>
        <w:t>Employment increased by 2 per cent between 2006 and 2011, well below the nati</w:t>
      </w:r>
      <w:r>
        <w:rPr>
          <w:rFonts w:ascii="Calibri" w:eastAsiaTheme="majorEastAsia" w:hAnsi="Calibri" w:cs="Calibri"/>
          <w:bCs/>
        </w:rPr>
        <w:t>onal average of 8 per cent</w:t>
      </w:r>
      <w:r w:rsidRPr="00A439D6">
        <w:rPr>
          <w:rFonts w:ascii="Calibri" w:eastAsiaTheme="majorEastAsia" w:hAnsi="Calibri" w:cs="Calibri"/>
          <w:bCs/>
        </w:rPr>
        <w:t>.</w:t>
      </w:r>
      <w:r w:rsidRPr="008F7BD8">
        <w:rPr>
          <w:rStyle w:val="FootnoteReference"/>
          <w:rFonts w:ascii="Calibri" w:hAnsi="Calibri" w:cs="Calibri"/>
          <w:noProof/>
          <w:lang w:eastAsia="en-AU"/>
        </w:rPr>
        <w:footnoteReference w:id="2"/>
      </w:r>
      <w:r w:rsidRPr="00A439D6">
        <w:rPr>
          <w:rStyle w:val="FootnoteReference"/>
          <w:rFonts w:ascii="Calibri" w:hAnsi="Calibri" w:cs="Calibri"/>
          <w:noProof/>
          <w:lang w:eastAsia="en-AU"/>
        </w:rPr>
        <w:t xml:space="preserve"> </w:t>
      </w:r>
    </w:p>
    <w:p w:rsidR="00C30BFA" w:rsidRPr="00102C8D" w:rsidRDefault="00C30BFA" w:rsidP="00C30BFA">
      <w:pPr>
        <w:pStyle w:val="ListParagraph"/>
        <w:numPr>
          <w:ilvl w:val="1"/>
          <w:numId w:val="26"/>
        </w:numPr>
        <w:spacing w:after="120" w:line="240" w:lineRule="auto"/>
        <w:ind w:left="567" w:hanging="283"/>
        <w:rPr>
          <w:rFonts w:ascii="Calibri" w:hAnsi="Calibri" w:cs="Calibri"/>
          <w:color w:val="000000" w:themeColor="text1"/>
        </w:rPr>
      </w:pPr>
      <w:r>
        <w:rPr>
          <w:rFonts w:ascii="Calibri" w:hAnsi="Calibri" w:cs="Calibri"/>
          <w:color w:val="000000" w:themeColor="text1"/>
        </w:rPr>
        <w:t>Significantly, the increase in employment was due entirely to a rise in part-time employment of 2,450. Over the same period, full-time employment</w:t>
      </w:r>
      <w:r w:rsidR="00D920AD">
        <w:rPr>
          <w:rFonts w:ascii="Calibri" w:hAnsi="Calibri" w:cs="Calibri"/>
          <w:color w:val="000000" w:themeColor="text1"/>
        </w:rPr>
        <w:t xml:space="preserve"> decreased by </w:t>
      </w:r>
      <w:r>
        <w:rPr>
          <w:rFonts w:ascii="Calibri" w:hAnsi="Calibri" w:cs="Calibri"/>
          <w:color w:val="000000" w:themeColor="text1"/>
        </w:rPr>
        <w:t>140.</w:t>
      </w:r>
      <w:r>
        <w:rPr>
          <w:rStyle w:val="FootnoteReference"/>
          <w:rFonts w:ascii="Calibri" w:hAnsi="Calibri" w:cs="Calibri"/>
          <w:color w:val="000000" w:themeColor="text1"/>
        </w:rPr>
        <w:footnoteReference w:id="3"/>
      </w:r>
    </w:p>
    <w:p w:rsidR="00C30BFA" w:rsidRPr="008F7BD8" w:rsidRDefault="00C30BFA" w:rsidP="00C30BFA">
      <w:pPr>
        <w:pStyle w:val="ListParagraph"/>
        <w:numPr>
          <w:ilvl w:val="0"/>
          <w:numId w:val="26"/>
        </w:numPr>
        <w:spacing w:after="0" w:line="240" w:lineRule="auto"/>
        <w:ind w:left="284" w:hanging="284"/>
        <w:rPr>
          <w:rFonts w:ascii="Calibri" w:eastAsiaTheme="majorEastAsia" w:hAnsi="Calibri" w:cs="Calibri"/>
          <w:bCs/>
        </w:rPr>
      </w:pPr>
      <w:r w:rsidRPr="008F7BD8">
        <w:rPr>
          <w:rFonts w:ascii="Calibri" w:hAnsi="Calibri" w:cs="Calibri"/>
          <w:noProof/>
          <w:lang w:eastAsia="en-AU"/>
        </w:rPr>
        <w:t>Manufacturing, Health Care and Social Assistance and Retail Trade are the three largest employing industries.</w:t>
      </w:r>
      <w:r>
        <w:rPr>
          <w:rStyle w:val="FootnoteReference"/>
          <w:rFonts w:ascii="Calibri" w:hAnsi="Calibri" w:cs="Calibri"/>
          <w:noProof/>
          <w:lang w:eastAsia="en-AU"/>
        </w:rPr>
        <w:footnoteReference w:id="4"/>
      </w:r>
    </w:p>
    <w:p w:rsidR="00C30BFA" w:rsidRDefault="00C30BFA" w:rsidP="00C30BFA">
      <w:pPr>
        <w:pStyle w:val="ListParagraph"/>
        <w:numPr>
          <w:ilvl w:val="0"/>
          <w:numId w:val="25"/>
        </w:numPr>
        <w:spacing w:after="120" w:line="240" w:lineRule="auto"/>
        <w:ind w:left="567" w:hanging="283"/>
        <w:rPr>
          <w:rFonts w:ascii="Calibri" w:hAnsi="Calibri" w:cs="Calibri"/>
          <w:color w:val="000000" w:themeColor="text1"/>
        </w:rPr>
      </w:pPr>
      <w:r>
        <w:rPr>
          <w:rFonts w:ascii="Calibri" w:hAnsi="Calibri" w:cs="Calibri"/>
          <w:color w:val="000000" w:themeColor="text1"/>
        </w:rPr>
        <w:t>Employment in Manufacturing decreased by 6 per cent between 2006 and 2011. Agriculture, Forestry and Fishing, another industry with a strong focus on full-time employment, also recorded a large fall in employment over this period (21 per cent).</w:t>
      </w:r>
    </w:p>
    <w:p w:rsidR="00C30BFA" w:rsidRPr="00E11AB0" w:rsidRDefault="00C30BFA" w:rsidP="003329B3">
      <w:pPr>
        <w:pStyle w:val="ListParagraph"/>
        <w:numPr>
          <w:ilvl w:val="0"/>
          <w:numId w:val="25"/>
        </w:numPr>
        <w:spacing w:after="60" w:line="240" w:lineRule="auto"/>
        <w:ind w:left="568" w:hanging="284"/>
        <w:rPr>
          <w:rFonts w:ascii="Calibri" w:hAnsi="Calibri" w:cs="Calibri"/>
          <w:color w:val="000000" w:themeColor="text1"/>
        </w:rPr>
      </w:pPr>
      <w:r>
        <w:rPr>
          <w:rFonts w:ascii="Calibri" w:hAnsi="Calibri" w:cs="Calibri"/>
          <w:color w:val="000000" w:themeColor="text1"/>
        </w:rPr>
        <w:t>On the other hand, employment in Health Care and Social Assistance (an industry which employs many</w:t>
      </w:r>
      <w:r w:rsidR="00D920AD">
        <w:rPr>
          <w:rFonts w:ascii="Calibri" w:hAnsi="Calibri" w:cs="Calibri"/>
          <w:color w:val="000000" w:themeColor="text1"/>
        </w:rPr>
        <w:t xml:space="preserve"> </w:t>
      </w:r>
      <w:r>
        <w:rPr>
          <w:rFonts w:ascii="Calibri" w:hAnsi="Calibri" w:cs="Calibri"/>
          <w:color w:val="000000" w:themeColor="text1"/>
        </w:rPr>
        <w:t>part-time workers) increased by 21 per cent between 2006 and 2011.</w:t>
      </w:r>
    </w:p>
    <w:tbl>
      <w:tblPr>
        <w:tblStyle w:val="DEEWRTable"/>
        <w:tblW w:w="11057" w:type="dxa"/>
        <w:tblInd w:w="-176" w:type="dxa"/>
        <w:tblBorders>
          <w:bottom w:val="none" w:sz="0" w:space="0" w:color="auto"/>
        </w:tblBorders>
        <w:tblLook w:val="04A0" w:firstRow="1" w:lastRow="0" w:firstColumn="1" w:lastColumn="0" w:noHBand="0" w:noVBand="1"/>
      </w:tblPr>
      <w:tblGrid>
        <w:gridCol w:w="1985"/>
        <w:gridCol w:w="2268"/>
        <w:gridCol w:w="1985"/>
        <w:gridCol w:w="2092"/>
        <w:gridCol w:w="2727"/>
      </w:tblGrid>
      <w:tr w:rsidR="003329B3" w:rsidRPr="008F7BD8" w:rsidTr="00D920AD">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985" w:type="dxa"/>
            <w:shd w:val="clear" w:color="auto" w:fill="165788"/>
          </w:tcPr>
          <w:p w:rsidR="00C30BFA" w:rsidRPr="003329B3" w:rsidRDefault="00C30BFA" w:rsidP="003329B3">
            <w:pPr>
              <w:pStyle w:val="Heading1"/>
              <w:spacing w:after="0"/>
              <w:rPr>
                <w:color w:val="FFFFFF" w:themeColor="background2"/>
                <w:sz w:val="20"/>
                <w:szCs w:val="20"/>
              </w:rPr>
            </w:pPr>
            <w:r w:rsidRPr="003329B3">
              <w:rPr>
                <w:color w:val="FFFFFF" w:themeColor="background2"/>
                <w:sz w:val="20"/>
                <w:szCs w:val="20"/>
              </w:rPr>
              <w:t>Region</w:t>
            </w:r>
          </w:p>
        </w:tc>
        <w:tc>
          <w:tcPr>
            <w:tcW w:w="2268" w:type="dxa"/>
            <w:shd w:val="clear" w:color="auto" w:fill="165788"/>
          </w:tcPr>
          <w:p w:rsidR="00C30BFA" w:rsidRPr="003329B3" w:rsidRDefault="00C30BFA" w:rsidP="003329B3">
            <w:pPr>
              <w:pStyle w:val="Heading1"/>
              <w:spacing w:after="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2"/>
                <w:sz w:val="20"/>
                <w:szCs w:val="20"/>
              </w:rPr>
            </w:pPr>
            <w:r w:rsidRPr="003329B3">
              <w:rPr>
                <w:rFonts w:cs="Calibri"/>
                <w:color w:val="FFFFFF" w:themeColor="background2"/>
                <w:sz w:val="20"/>
                <w:szCs w:val="20"/>
              </w:rPr>
              <w:t>Unemployment Rate (</w:t>
            </w:r>
            <w:proofErr w:type="spellStart"/>
            <w:r w:rsidRPr="003329B3">
              <w:rPr>
                <w:rFonts w:cs="Calibri"/>
                <w:color w:val="FFFFFF" w:themeColor="background2"/>
                <w:sz w:val="20"/>
                <w:szCs w:val="20"/>
              </w:rPr>
              <w:t>SALM</w:t>
            </w:r>
            <w:proofErr w:type="spellEnd"/>
            <w:r w:rsidRPr="003329B3">
              <w:rPr>
                <w:rFonts w:cs="Calibri"/>
                <w:color w:val="FFFFFF" w:themeColor="background2"/>
                <w:sz w:val="20"/>
                <w:szCs w:val="20"/>
              </w:rPr>
              <w:t>, December 2013)</w:t>
            </w:r>
          </w:p>
        </w:tc>
        <w:tc>
          <w:tcPr>
            <w:tcW w:w="1985" w:type="dxa"/>
            <w:shd w:val="clear" w:color="auto" w:fill="165788"/>
          </w:tcPr>
          <w:p w:rsidR="00C30BFA" w:rsidRPr="003329B3" w:rsidRDefault="00C30BFA" w:rsidP="003329B3">
            <w:pPr>
              <w:pStyle w:val="Heading1"/>
              <w:spacing w:after="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2"/>
                <w:sz w:val="20"/>
                <w:szCs w:val="20"/>
              </w:rPr>
            </w:pPr>
            <w:r w:rsidRPr="003329B3">
              <w:rPr>
                <w:rFonts w:cs="Calibri"/>
                <w:color w:val="FFFFFF" w:themeColor="background2"/>
                <w:sz w:val="20"/>
                <w:szCs w:val="20"/>
              </w:rPr>
              <w:t>Employment growth (Census, 2011)*</w:t>
            </w:r>
          </w:p>
        </w:tc>
        <w:tc>
          <w:tcPr>
            <w:tcW w:w="2092" w:type="dxa"/>
            <w:shd w:val="clear" w:color="auto" w:fill="165788"/>
          </w:tcPr>
          <w:p w:rsidR="00C30BFA" w:rsidRPr="003329B3" w:rsidRDefault="00C30BFA" w:rsidP="003329B3">
            <w:pPr>
              <w:pStyle w:val="Heading1"/>
              <w:spacing w:after="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2"/>
                <w:sz w:val="20"/>
                <w:szCs w:val="20"/>
              </w:rPr>
            </w:pPr>
            <w:r w:rsidRPr="003329B3">
              <w:rPr>
                <w:rFonts w:cs="Calibri"/>
                <w:color w:val="FFFFFF" w:themeColor="background2"/>
                <w:sz w:val="20"/>
                <w:szCs w:val="20"/>
              </w:rPr>
              <w:t>Population Growth</w:t>
            </w:r>
          </w:p>
          <w:p w:rsidR="00C30BFA" w:rsidRPr="003329B3" w:rsidRDefault="00C30BFA" w:rsidP="003329B3">
            <w:pPr>
              <w:pStyle w:val="Heading1"/>
              <w:spacing w:after="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2"/>
                <w:sz w:val="20"/>
                <w:szCs w:val="20"/>
              </w:rPr>
            </w:pPr>
            <w:r w:rsidRPr="003329B3">
              <w:rPr>
                <w:rFonts w:cs="Calibri"/>
                <w:color w:val="FFFFFF" w:themeColor="background2"/>
                <w:sz w:val="20"/>
                <w:szCs w:val="20"/>
              </w:rPr>
              <w:t>(Census, 2006 - 2011)*</w:t>
            </w:r>
          </w:p>
        </w:tc>
        <w:tc>
          <w:tcPr>
            <w:tcW w:w="2727" w:type="dxa"/>
            <w:shd w:val="clear" w:color="auto" w:fill="165788"/>
          </w:tcPr>
          <w:p w:rsidR="00C30BFA" w:rsidRPr="003329B3" w:rsidRDefault="00C30BFA" w:rsidP="003329B3">
            <w:pPr>
              <w:pStyle w:val="Heading1"/>
              <w:spacing w:after="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2"/>
                <w:sz w:val="20"/>
                <w:szCs w:val="20"/>
              </w:rPr>
            </w:pPr>
            <w:r w:rsidRPr="003329B3">
              <w:rPr>
                <w:rFonts w:eastAsia="Times New Roman" w:cs="Calibri"/>
                <w:color w:val="FFFFFF" w:themeColor="background2"/>
                <w:sz w:val="20"/>
                <w:szCs w:val="20"/>
                <w:lang w:eastAsia="en-AU"/>
              </w:rPr>
              <w:t>Proportion of WAP* receiving income support payments</w:t>
            </w:r>
            <w:r w:rsidRPr="003329B3">
              <w:rPr>
                <w:rStyle w:val="FootnoteReference"/>
                <w:rFonts w:eastAsia="Times New Roman" w:cs="Calibri"/>
                <w:color w:val="FFFFFF" w:themeColor="background2"/>
                <w:sz w:val="20"/>
                <w:szCs w:val="20"/>
                <w:lang w:eastAsia="en-AU"/>
              </w:rPr>
              <w:footnoteReference w:id="5"/>
            </w:r>
          </w:p>
        </w:tc>
      </w:tr>
      <w:tr w:rsidR="003329B3" w:rsidRPr="008F7BD8" w:rsidTr="00D920AD">
        <w:trPr>
          <w:trHeight w:val="242"/>
        </w:trPr>
        <w:tc>
          <w:tcPr>
            <w:cnfStyle w:val="001000000000" w:firstRow="0" w:lastRow="0" w:firstColumn="1" w:lastColumn="0" w:oddVBand="0" w:evenVBand="0" w:oddHBand="0" w:evenHBand="0" w:firstRowFirstColumn="0" w:firstRowLastColumn="0" w:lastRowFirstColumn="0" w:lastRowLastColumn="0"/>
            <w:tcW w:w="1985" w:type="dxa"/>
          </w:tcPr>
          <w:p w:rsidR="00C30BFA" w:rsidRPr="003329B3" w:rsidRDefault="00C30BFA" w:rsidP="004364BA">
            <w:pPr>
              <w:tabs>
                <w:tab w:val="left" w:pos="807"/>
              </w:tabs>
              <w:rPr>
                <w:rFonts w:ascii="Calibri" w:hAnsi="Calibri" w:cs="Calibri"/>
                <w:b w:val="0"/>
                <w:szCs w:val="20"/>
              </w:rPr>
            </w:pPr>
            <w:r w:rsidRPr="003329B3">
              <w:rPr>
                <w:rFonts w:ascii="Calibri" w:hAnsi="Calibri" w:cs="Calibri"/>
                <w:b w:val="0"/>
                <w:szCs w:val="20"/>
              </w:rPr>
              <w:t>NE Victoria PEA</w:t>
            </w:r>
          </w:p>
        </w:tc>
        <w:tc>
          <w:tcPr>
            <w:tcW w:w="2268"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5.7%</w:t>
            </w:r>
          </w:p>
        </w:tc>
        <w:tc>
          <w:tcPr>
            <w:tcW w:w="1985"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2%</w:t>
            </w:r>
          </w:p>
        </w:tc>
        <w:tc>
          <w:tcPr>
            <w:tcW w:w="2092"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2%</w:t>
            </w:r>
          </w:p>
        </w:tc>
        <w:tc>
          <w:tcPr>
            <w:tcW w:w="2727"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21%</w:t>
            </w:r>
          </w:p>
        </w:tc>
      </w:tr>
      <w:tr w:rsidR="003329B3" w:rsidRPr="008F7BD8" w:rsidTr="00D920AD">
        <w:trPr>
          <w:trHeight w:val="259"/>
        </w:trPr>
        <w:tc>
          <w:tcPr>
            <w:cnfStyle w:val="001000000000" w:firstRow="0" w:lastRow="0" w:firstColumn="1" w:lastColumn="0" w:oddVBand="0" w:evenVBand="0" w:oddHBand="0" w:evenHBand="0" w:firstRowFirstColumn="0" w:firstRowLastColumn="0" w:lastRowFirstColumn="0" w:lastRowLastColumn="0"/>
            <w:tcW w:w="1985" w:type="dxa"/>
          </w:tcPr>
          <w:p w:rsidR="00C30BFA" w:rsidRPr="003329B3" w:rsidRDefault="00C30BFA" w:rsidP="004364BA">
            <w:pPr>
              <w:tabs>
                <w:tab w:val="left" w:pos="807"/>
              </w:tabs>
              <w:rPr>
                <w:rFonts w:ascii="Calibri" w:hAnsi="Calibri" w:cs="Calibri"/>
                <w:b w:val="0"/>
                <w:szCs w:val="20"/>
              </w:rPr>
            </w:pPr>
            <w:r w:rsidRPr="003329B3">
              <w:rPr>
                <w:rFonts w:ascii="Calibri" w:hAnsi="Calibri" w:cs="Calibri"/>
                <w:b w:val="0"/>
                <w:szCs w:val="20"/>
              </w:rPr>
              <w:t>Gr. Shepparton LGA</w:t>
            </w:r>
          </w:p>
        </w:tc>
        <w:tc>
          <w:tcPr>
            <w:tcW w:w="2268"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6.6%</w:t>
            </w:r>
          </w:p>
        </w:tc>
        <w:tc>
          <w:tcPr>
            <w:tcW w:w="1985"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4%</w:t>
            </w:r>
          </w:p>
        </w:tc>
        <w:tc>
          <w:tcPr>
            <w:tcW w:w="2092"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5%</w:t>
            </w:r>
          </w:p>
        </w:tc>
        <w:tc>
          <w:tcPr>
            <w:tcW w:w="2727"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25%</w:t>
            </w:r>
          </w:p>
        </w:tc>
      </w:tr>
      <w:tr w:rsidR="003329B3" w:rsidRPr="008F7BD8" w:rsidTr="00D920AD">
        <w:trPr>
          <w:trHeight w:val="135"/>
        </w:trPr>
        <w:tc>
          <w:tcPr>
            <w:cnfStyle w:val="001000000000" w:firstRow="0" w:lastRow="0" w:firstColumn="1" w:lastColumn="0" w:oddVBand="0" w:evenVBand="0" w:oddHBand="0" w:evenHBand="0" w:firstRowFirstColumn="0" w:firstRowLastColumn="0" w:lastRowFirstColumn="0" w:lastRowLastColumn="0"/>
            <w:tcW w:w="1985" w:type="dxa"/>
          </w:tcPr>
          <w:p w:rsidR="00C30BFA" w:rsidRPr="003329B3" w:rsidRDefault="00C30BFA" w:rsidP="004364BA">
            <w:pPr>
              <w:tabs>
                <w:tab w:val="left" w:pos="807"/>
              </w:tabs>
              <w:rPr>
                <w:rFonts w:ascii="Calibri" w:hAnsi="Calibri" w:cs="Calibri"/>
                <w:b w:val="0"/>
                <w:szCs w:val="20"/>
              </w:rPr>
            </w:pPr>
            <w:r w:rsidRPr="003329B3">
              <w:rPr>
                <w:rFonts w:ascii="Calibri" w:hAnsi="Calibri" w:cs="Calibri"/>
                <w:b w:val="0"/>
                <w:szCs w:val="20"/>
              </w:rPr>
              <w:t>Australia</w:t>
            </w:r>
          </w:p>
        </w:tc>
        <w:tc>
          <w:tcPr>
            <w:tcW w:w="2268"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 xml:space="preserve"> 6.0%</w:t>
            </w:r>
            <w:r w:rsidRPr="00BA4BA5">
              <w:rPr>
                <w:rStyle w:val="FootnoteReference"/>
                <w:rFonts w:ascii="Calibri" w:hAnsi="Calibri" w:cs="Calibri"/>
                <w:szCs w:val="20"/>
              </w:rPr>
              <w:footnoteReference w:id="6"/>
            </w:r>
          </w:p>
        </w:tc>
        <w:tc>
          <w:tcPr>
            <w:tcW w:w="1985"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10%</w:t>
            </w:r>
          </w:p>
        </w:tc>
        <w:tc>
          <w:tcPr>
            <w:tcW w:w="2092"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8%</w:t>
            </w:r>
          </w:p>
        </w:tc>
        <w:tc>
          <w:tcPr>
            <w:tcW w:w="2727" w:type="dxa"/>
          </w:tcPr>
          <w:p w:rsidR="00C30BFA" w:rsidRPr="00BA4BA5" w:rsidRDefault="00C30BFA" w:rsidP="004364BA">
            <w:pPr>
              <w:tabs>
                <w:tab w:val="left" w:pos="80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BA4BA5">
              <w:rPr>
                <w:rFonts w:ascii="Calibri" w:hAnsi="Calibri" w:cs="Calibri"/>
                <w:szCs w:val="20"/>
              </w:rPr>
              <w:t>16%</w:t>
            </w:r>
          </w:p>
        </w:tc>
      </w:tr>
    </w:tbl>
    <w:p w:rsidR="00C30BFA" w:rsidRPr="00C55DD6" w:rsidRDefault="00C30BFA" w:rsidP="00C30BFA">
      <w:pPr>
        <w:pStyle w:val="NoSpacing"/>
        <w:rPr>
          <w:sz w:val="14"/>
          <w:szCs w:val="14"/>
        </w:rPr>
      </w:pPr>
      <w:r w:rsidRPr="00C55DD6">
        <w:rPr>
          <w:sz w:val="14"/>
          <w:szCs w:val="14"/>
        </w:rPr>
        <w:t>*working age population</w:t>
      </w:r>
    </w:p>
    <w:p w:rsidR="00C30BFA" w:rsidRPr="004535A6" w:rsidRDefault="00C30BFA" w:rsidP="004535A6">
      <w:pPr>
        <w:pStyle w:val="Heading1"/>
        <w:spacing w:after="0"/>
        <w:rPr>
          <w:b w:val="0"/>
          <w:sz w:val="24"/>
        </w:rPr>
      </w:pPr>
      <w:r w:rsidRPr="004535A6">
        <w:rPr>
          <w:b w:val="0"/>
          <w:sz w:val="28"/>
        </w:rPr>
        <w:t>What employers are telling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3225"/>
      </w:tblGrid>
      <w:tr w:rsidR="00C30BFA" w:rsidTr="00395EA5">
        <w:trPr>
          <w:trHeight w:val="4096"/>
        </w:trPr>
        <w:tc>
          <w:tcPr>
            <w:tcW w:w="7621" w:type="dxa"/>
          </w:tcPr>
          <w:p w:rsidR="00C30BFA" w:rsidRPr="008F7BD8" w:rsidRDefault="00C30BFA" w:rsidP="00C30BFA">
            <w:pPr>
              <w:rPr>
                <w:rFonts w:ascii="Calibri" w:eastAsiaTheme="majorEastAsia" w:hAnsi="Calibri" w:cs="Calibri"/>
                <w:bCs/>
              </w:rPr>
            </w:pPr>
            <w:r>
              <w:rPr>
                <w:rFonts w:ascii="Calibri" w:eastAsiaTheme="majorEastAsia" w:hAnsi="Calibri" w:cs="Calibri"/>
                <w:bCs/>
              </w:rPr>
              <w:t>The survey results suggest</w:t>
            </w:r>
            <w:r w:rsidRPr="008F7BD8">
              <w:rPr>
                <w:rFonts w:ascii="Calibri" w:eastAsiaTheme="majorEastAsia" w:hAnsi="Calibri" w:cs="Calibri"/>
                <w:bCs/>
              </w:rPr>
              <w:t xml:space="preserve"> that</w:t>
            </w:r>
            <w:r>
              <w:rPr>
                <w:rFonts w:ascii="Calibri" w:eastAsiaTheme="majorEastAsia" w:hAnsi="Calibri" w:cs="Calibri"/>
                <w:bCs/>
              </w:rPr>
              <w:t xml:space="preserve"> recruitment</w:t>
            </w:r>
            <w:r w:rsidRPr="008F7BD8">
              <w:rPr>
                <w:rFonts w:ascii="Calibri" w:eastAsiaTheme="majorEastAsia" w:hAnsi="Calibri" w:cs="Calibri"/>
                <w:bCs/>
              </w:rPr>
              <w:t xml:space="preserve"> conditions have improved since</w:t>
            </w:r>
            <w:r>
              <w:rPr>
                <w:rFonts w:ascii="Calibri" w:eastAsiaTheme="majorEastAsia" w:hAnsi="Calibri" w:cs="Calibri"/>
                <w:bCs/>
              </w:rPr>
              <w:t xml:space="preserve"> the region was</w:t>
            </w:r>
            <w:r w:rsidRPr="008F7BD8">
              <w:rPr>
                <w:rFonts w:ascii="Calibri" w:eastAsiaTheme="majorEastAsia" w:hAnsi="Calibri" w:cs="Calibri"/>
                <w:bCs/>
              </w:rPr>
              <w:t xml:space="preserve"> surveyed in 2012</w:t>
            </w:r>
            <w:r>
              <w:rPr>
                <w:rFonts w:ascii="Calibri" w:eastAsiaTheme="majorEastAsia" w:hAnsi="Calibri" w:cs="Calibri"/>
                <w:bCs/>
              </w:rPr>
              <w:t>, although they remain softer than in 2011</w:t>
            </w:r>
            <w:r w:rsidRPr="009D7B28">
              <w:rPr>
                <w:rFonts w:ascii="Calibri" w:eastAsiaTheme="majorEastAsia" w:hAnsi="Calibri" w:cs="Calibri"/>
                <w:bCs/>
                <w:color w:val="000000" w:themeColor="text1"/>
              </w:rPr>
              <w:t>.</w:t>
            </w:r>
            <w:r w:rsidRPr="00EA7B83">
              <w:rPr>
                <w:rFonts w:ascii="Calibri" w:eastAsiaTheme="majorEastAsia" w:hAnsi="Calibri" w:cs="Calibri"/>
                <w:b/>
                <w:bCs/>
                <w:vertAlign w:val="superscript"/>
              </w:rPr>
              <w:t xml:space="preserve"> </w:t>
            </w:r>
            <w:r w:rsidRPr="00EA7B83">
              <w:rPr>
                <w:rFonts w:ascii="Calibri" w:eastAsiaTheme="majorEastAsia" w:hAnsi="Calibri" w:cs="Calibri"/>
                <w:b/>
                <w:bCs/>
                <w:vertAlign w:val="superscript"/>
              </w:rPr>
              <w:footnoteReference w:id="7"/>
            </w:r>
          </w:p>
          <w:p w:rsidR="00C30BFA" w:rsidRPr="00504799" w:rsidRDefault="00C30BFA" w:rsidP="00C30BFA">
            <w:pPr>
              <w:pStyle w:val="ListParagraph"/>
              <w:numPr>
                <w:ilvl w:val="0"/>
                <w:numId w:val="26"/>
              </w:numPr>
              <w:ind w:left="284" w:hanging="284"/>
              <w:rPr>
                <w:rFonts w:ascii="Calibri" w:eastAsiaTheme="majorEastAsia" w:hAnsi="Calibri" w:cs="Calibri"/>
                <w:b/>
                <w:bCs/>
                <w:sz w:val="28"/>
                <w:szCs w:val="30"/>
              </w:rPr>
            </w:pPr>
            <w:r w:rsidRPr="008F7BD8">
              <w:rPr>
                <w:rFonts w:ascii="Calibri" w:eastAsiaTheme="majorEastAsia" w:hAnsi="Calibri" w:cs="Calibri"/>
                <w:bCs/>
              </w:rPr>
              <w:t xml:space="preserve">Recruitment activity </w:t>
            </w:r>
            <w:r>
              <w:rPr>
                <w:rFonts w:ascii="Calibri" w:eastAsiaTheme="majorEastAsia" w:hAnsi="Calibri" w:cs="Calibri"/>
                <w:bCs/>
              </w:rPr>
              <w:t>was</w:t>
            </w:r>
            <w:r w:rsidRPr="008F7BD8">
              <w:rPr>
                <w:rFonts w:ascii="Calibri" w:eastAsiaTheme="majorEastAsia" w:hAnsi="Calibri" w:cs="Calibri"/>
                <w:bCs/>
              </w:rPr>
              <w:t xml:space="preserve"> relatively </w:t>
            </w:r>
            <w:r>
              <w:rPr>
                <w:rFonts w:ascii="Calibri" w:eastAsiaTheme="majorEastAsia" w:hAnsi="Calibri" w:cs="Calibri"/>
                <w:bCs/>
              </w:rPr>
              <w:t>high</w:t>
            </w:r>
            <w:r w:rsidRPr="008F7BD8">
              <w:rPr>
                <w:rFonts w:ascii="Calibri" w:eastAsiaTheme="majorEastAsia" w:hAnsi="Calibri" w:cs="Calibri"/>
                <w:bCs/>
              </w:rPr>
              <w:t xml:space="preserve"> with 62 per cent of </w:t>
            </w:r>
            <w:r>
              <w:rPr>
                <w:rFonts w:ascii="Calibri" w:eastAsiaTheme="majorEastAsia" w:hAnsi="Calibri" w:cs="Calibri"/>
                <w:bCs/>
              </w:rPr>
              <w:t>employers recruiting in the</w:t>
            </w:r>
            <w:r w:rsidRPr="008F7BD8">
              <w:rPr>
                <w:rFonts w:ascii="Calibri" w:eastAsiaTheme="majorEastAsia" w:hAnsi="Calibri" w:cs="Calibri"/>
                <w:bCs/>
              </w:rPr>
              <w:t xml:space="preserve"> year</w:t>
            </w:r>
            <w:r>
              <w:rPr>
                <w:rFonts w:ascii="Calibri" w:eastAsiaTheme="majorEastAsia" w:hAnsi="Calibri" w:cs="Calibri"/>
                <w:bCs/>
              </w:rPr>
              <w:t xml:space="preserve"> prior to the survey, compared with 52 per cent in 2012</w:t>
            </w:r>
            <w:r w:rsidRPr="008F7BD8">
              <w:rPr>
                <w:rFonts w:ascii="Calibri" w:eastAsiaTheme="majorEastAsia" w:hAnsi="Calibri" w:cs="Calibri"/>
                <w:bCs/>
              </w:rPr>
              <w:t>.</w:t>
            </w:r>
            <w:r w:rsidRPr="008F7BD8">
              <w:rPr>
                <w:rFonts w:ascii="Calibri" w:hAnsi="Calibri" w:cs="Calibri"/>
                <w:noProof/>
                <w:lang w:eastAsia="en-AU"/>
              </w:rPr>
              <w:t xml:space="preserve"> </w:t>
            </w:r>
          </w:p>
          <w:p w:rsidR="00C30BFA" w:rsidRPr="008F7BD8" w:rsidRDefault="00C30BFA" w:rsidP="00C30BFA">
            <w:pPr>
              <w:pStyle w:val="ListParagraph"/>
              <w:numPr>
                <w:ilvl w:val="0"/>
                <w:numId w:val="25"/>
              </w:numPr>
              <w:ind w:left="567" w:hanging="283"/>
              <w:rPr>
                <w:rFonts w:ascii="Calibri" w:eastAsiaTheme="majorEastAsia" w:hAnsi="Calibri" w:cs="Calibri"/>
                <w:b/>
                <w:bCs/>
                <w:sz w:val="28"/>
                <w:szCs w:val="30"/>
              </w:rPr>
            </w:pPr>
            <w:r>
              <w:rPr>
                <w:rFonts w:ascii="Calibri" w:hAnsi="Calibri" w:cs="Calibri"/>
                <w:noProof/>
                <w:lang w:eastAsia="en-AU"/>
              </w:rPr>
              <w:t xml:space="preserve">Recruitment activity was only slightly lower </w:t>
            </w:r>
            <w:r w:rsidRPr="005302D9">
              <w:rPr>
                <w:rFonts w:ascii="Calibri" w:hAnsi="Calibri" w:cs="Calibri"/>
                <w:noProof/>
                <w:lang w:eastAsia="en-AU"/>
              </w:rPr>
              <w:t>in the Greater Shepparton LGA</w:t>
            </w:r>
            <w:r>
              <w:rPr>
                <w:rFonts w:ascii="Calibri" w:hAnsi="Calibri" w:cs="Calibri"/>
                <w:noProof/>
                <w:lang w:eastAsia="en-AU"/>
              </w:rPr>
              <w:t xml:space="preserve"> with 57 per cent of employers recruiting.</w:t>
            </w:r>
          </w:p>
          <w:p w:rsidR="00C30BFA" w:rsidRPr="00726FD3" w:rsidRDefault="00C30BFA" w:rsidP="00C30BFA">
            <w:pPr>
              <w:pStyle w:val="ListParagraph"/>
              <w:numPr>
                <w:ilvl w:val="0"/>
                <w:numId w:val="26"/>
              </w:numPr>
              <w:ind w:left="284" w:hanging="284"/>
              <w:rPr>
                <w:rFonts w:ascii="Calibri" w:hAnsi="Calibri" w:cs="Calibri"/>
                <w:color w:val="000000" w:themeColor="text1"/>
              </w:rPr>
            </w:pPr>
            <w:r>
              <w:rPr>
                <w:rFonts w:ascii="Calibri" w:hAnsi="Calibri" w:cs="Calibri"/>
                <w:color w:val="000000" w:themeColor="text1"/>
              </w:rPr>
              <w:t>On average, there were 5.0 applicants per vacancy (compared with 7.7 in 2012 and 6.1 in 2011), of whom</w:t>
            </w:r>
            <w:r w:rsidRPr="008F7BD8">
              <w:rPr>
                <w:rFonts w:ascii="Calibri" w:hAnsi="Calibri" w:cs="Calibri"/>
                <w:color w:val="000000" w:themeColor="text1"/>
              </w:rPr>
              <w:t xml:space="preserve"> 1.3 applicants were considered suitable for the job.</w:t>
            </w:r>
          </w:p>
          <w:p w:rsidR="00C30BFA" w:rsidRPr="005354CA" w:rsidRDefault="00C30BFA" w:rsidP="00C30BFA">
            <w:pPr>
              <w:pStyle w:val="ListParagraph"/>
              <w:numPr>
                <w:ilvl w:val="0"/>
                <w:numId w:val="27"/>
              </w:numPr>
              <w:ind w:left="567" w:hanging="283"/>
              <w:rPr>
                <w:rFonts w:ascii="Calibri" w:hAnsi="Calibri" w:cs="Calibri"/>
                <w:color w:val="000000" w:themeColor="text1"/>
              </w:rPr>
            </w:pPr>
            <w:r w:rsidRPr="005354CA">
              <w:rPr>
                <w:rFonts w:ascii="Calibri" w:hAnsi="Calibri" w:cs="Calibri"/>
                <w:color w:val="000000" w:themeColor="text1"/>
              </w:rPr>
              <w:t>In the Greater Shepparton LGA</w:t>
            </w:r>
            <w:r>
              <w:rPr>
                <w:rFonts w:ascii="Calibri" w:hAnsi="Calibri" w:cs="Calibri"/>
                <w:color w:val="000000" w:themeColor="text1"/>
              </w:rPr>
              <w:t>, c</w:t>
            </w:r>
            <w:r w:rsidRPr="005354CA">
              <w:rPr>
                <w:rFonts w:ascii="Calibri" w:hAnsi="Calibri" w:cs="Calibri"/>
                <w:color w:val="000000" w:themeColor="text1"/>
              </w:rPr>
              <w:t>ompetition for vacancies was low, with an average of only 3.1 applicants per vacancy</w:t>
            </w:r>
            <w:r>
              <w:rPr>
                <w:rFonts w:ascii="Calibri" w:hAnsi="Calibri" w:cs="Calibri"/>
                <w:color w:val="000000" w:themeColor="text1"/>
              </w:rPr>
              <w:t>, with 1.0 applicant</w:t>
            </w:r>
            <w:r w:rsidRPr="005354CA">
              <w:rPr>
                <w:rFonts w:ascii="Calibri" w:hAnsi="Calibri" w:cs="Calibri"/>
                <w:color w:val="000000" w:themeColor="text1"/>
              </w:rPr>
              <w:t xml:space="preserve"> suitable.</w:t>
            </w:r>
          </w:p>
          <w:p w:rsidR="00C30BFA" w:rsidRPr="008F7BD8" w:rsidRDefault="00C30BFA" w:rsidP="00C30BFA">
            <w:pPr>
              <w:pStyle w:val="ListParagraph"/>
              <w:numPr>
                <w:ilvl w:val="0"/>
                <w:numId w:val="26"/>
              </w:numPr>
              <w:ind w:left="284" w:hanging="284"/>
              <w:rPr>
                <w:rFonts w:ascii="Calibri" w:hAnsi="Calibri" w:cs="Calibri"/>
                <w:color w:val="000000" w:themeColor="text1"/>
              </w:rPr>
            </w:pPr>
            <w:r w:rsidRPr="008F7BD8">
              <w:rPr>
                <w:rFonts w:ascii="Calibri" w:hAnsi="Calibri" w:cs="Calibri"/>
                <w:color w:val="000000" w:themeColor="text1"/>
              </w:rPr>
              <w:t xml:space="preserve">Despite </w:t>
            </w:r>
            <w:r>
              <w:rPr>
                <w:rFonts w:ascii="Calibri" w:hAnsi="Calibri" w:cs="Calibri"/>
                <w:color w:val="000000" w:themeColor="text1"/>
              </w:rPr>
              <w:t>the</w:t>
            </w:r>
            <w:r w:rsidRPr="008F7BD8">
              <w:rPr>
                <w:rFonts w:ascii="Calibri" w:hAnsi="Calibri" w:cs="Calibri"/>
                <w:color w:val="000000" w:themeColor="text1"/>
              </w:rPr>
              <w:t xml:space="preserve"> low</w:t>
            </w:r>
            <w:r>
              <w:rPr>
                <w:rFonts w:ascii="Calibri" w:hAnsi="Calibri" w:cs="Calibri"/>
                <w:color w:val="000000" w:themeColor="text1"/>
              </w:rPr>
              <w:t xml:space="preserve"> average number of applicants in the region</w:t>
            </w:r>
            <w:r w:rsidRPr="008F7BD8">
              <w:rPr>
                <w:rFonts w:ascii="Calibri" w:hAnsi="Calibri" w:cs="Calibri"/>
                <w:color w:val="000000" w:themeColor="text1"/>
              </w:rPr>
              <w:t>, only 3.8 per cent of vacancies</w:t>
            </w:r>
            <w:r>
              <w:rPr>
                <w:rFonts w:ascii="Calibri" w:hAnsi="Calibri" w:cs="Calibri"/>
                <w:color w:val="000000" w:themeColor="text1"/>
              </w:rPr>
              <w:t xml:space="preserve"> remained</w:t>
            </w:r>
            <w:r w:rsidRPr="008F7BD8">
              <w:rPr>
                <w:rFonts w:ascii="Calibri" w:hAnsi="Calibri" w:cs="Calibri"/>
                <w:color w:val="000000" w:themeColor="text1"/>
              </w:rPr>
              <w:t xml:space="preserve"> unfilled</w:t>
            </w:r>
            <w:r>
              <w:rPr>
                <w:rFonts w:ascii="Calibri" w:hAnsi="Calibri" w:cs="Calibri"/>
                <w:color w:val="000000" w:themeColor="text1"/>
              </w:rPr>
              <w:t>, although this was higher than in 2012. One third of employers expe</w:t>
            </w:r>
            <w:r w:rsidR="00D920AD">
              <w:rPr>
                <w:rFonts w:ascii="Calibri" w:hAnsi="Calibri" w:cs="Calibri"/>
                <w:color w:val="000000" w:themeColor="text1"/>
              </w:rPr>
              <w:t>rienced recruitment difficulty.</w:t>
            </w:r>
          </w:p>
          <w:p w:rsidR="00C30BFA" w:rsidRPr="00C30BFA" w:rsidRDefault="00C30BFA" w:rsidP="00C30BFA">
            <w:pPr>
              <w:pStyle w:val="ListParagraph"/>
              <w:numPr>
                <w:ilvl w:val="0"/>
                <w:numId w:val="26"/>
              </w:numPr>
              <w:ind w:left="284" w:hanging="284"/>
              <w:jc w:val="both"/>
              <w:rPr>
                <w:rFonts w:ascii="Calibri" w:eastAsiaTheme="majorEastAsia" w:hAnsi="Calibri" w:cs="Calibri"/>
                <w:b/>
                <w:bCs/>
                <w:color w:val="000000" w:themeColor="text1"/>
                <w:sz w:val="10"/>
                <w:szCs w:val="10"/>
              </w:rPr>
            </w:pPr>
            <w:r>
              <w:rPr>
                <w:rFonts w:ascii="Calibri" w:hAnsi="Calibri" w:cs="Calibri"/>
                <w:color w:val="000000" w:themeColor="text1"/>
              </w:rPr>
              <w:t>Employers remain</w:t>
            </w:r>
            <w:r w:rsidRPr="006B63E5">
              <w:rPr>
                <w:rFonts w:ascii="Calibri" w:hAnsi="Calibri" w:cs="Calibri"/>
                <w:color w:val="000000" w:themeColor="text1"/>
              </w:rPr>
              <w:t xml:space="preserve"> </w:t>
            </w:r>
            <w:r w:rsidRPr="00B7255C">
              <w:rPr>
                <w:rFonts w:ascii="Calibri" w:hAnsi="Calibri" w:cs="Calibri"/>
                <w:color w:val="000000" w:themeColor="text1"/>
              </w:rPr>
              <w:t>cautious</w:t>
            </w:r>
            <w:r>
              <w:rPr>
                <w:rFonts w:ascii="Calibri" w:hAnsi="Calibri" w:cs="Calibri"/>
                <w:color w:val="000000" w:themeColor="text1"/>
              </w:rPr>
              <w:t xml:space="preserve"> about the future, with 37 per cent</w:t>
            </w:r>
            <w:r w:rsidRPr="00B7255C">
              <w:rPr>
                <w:rFonts w:ascii="Calibri" w:hAnsi="Calibri" w:cs="Calibri"/>
                <w:color w:val="000000" w:themeColor="text1"/>
              </w:rPr>
              <w:t xml:space="preserve"> </w:t>
            </w:r>
            <w:r>
              <w:rPr>
                <w:rFonts w:ascii="Calibri" w:hAnsi="Calibri" w:cs="Calibri"/>
                <w:color w:val="000000" w:themeColor="text1"/>
              </w:rPr>
              <w:t>e</w:t>
            </w:r>
            <w:r w:rsidRPr="00B7255C">
              <w:rPr>
                <w:rFonts w:ascii="Calibri" w:hAnsi="Calibri" w:cs="Calibri"/>
                <w:color w:val="000000" w:themeColor="text1"/>
              </w:rPr>
              <w:t>xpecting to recruit in the year follow</w:t>
            </w:r>
            <w:r w:rsidRPr="00CF233E">
              <w:rPr>
                <w:rFonts w:ascii="Calibri" w:hAnsi="Calibri" w:cs="Calibri"/>
                <w:color w:val="000000" w:themeColor="text1"/>
              </w:rPr>
              <w:t>ing the sur</w:t>
            </w:r>
            <w:r w:rsidRPr="00B7255C">
              <w:rPr>
                <w:rFonts w:ascii="Calibri" w:hAnsi="Calibri" w:cs="Calibri"/>
                <w:color w:val="000000" w:themeColor="text1"/>
              </w:rPr>
              <w:t>vey</w:t>
            </w:r>
            <w:r>
              <w:rPr>
                <w:rFonts w:ascii="Calibri" w:hAnsi="Calibri" w:cs="Calibri"/>
                <w:color w:val="000000" w:themeColor="text1"/>
              </w:rPr>
              <w:t>.</w:t>
            </w:r>
          </w:p>
        </w:tc>
        <w:tc>
          <w:tcPr>
            <w:tcW w:w="3225" w:type="dxa"/>
          </w:tcPr>
          <w:p w:rsidR="00395EA5" w:rsidRDefault="00395EA5" w:rsidP="00395EA5">
            <w:pPr>
              <w:spacing w:after="60"/>
              <w:rPr>
                <w:rFonts w:ascii="Calibri" w:eastAsiaTheme="majorEastAsia" w:hAnsi="Calibri" w:cs="Calibri"/>
                <w:bCs/>
              </w:rPr>
            </w:pPr>
            <w:r>
              <w:rPr>
                <w:rFonts w:ascii="Calibri" w:eastAsiaTheme="majorEastAsia" w:hAnsi="Calibri" w:cs="Calibri"/>
                <w:bCs/>
                <w:noProof/>
                <w:lang w:eastAsia="en-AU"/>
              </w:rPr>
              <w:drawing>
                <wp:inline distT="0" distB="0" distL="0" distR="0" wp14:anchorId="57B3180F" wp14:editId="0CAEEE84">
                  <wp:extent cx="1975485" cy="1256030"/>
                  <wp:effectExtent l="0" t="0" r="5715" b="1270"/>
                  <wp:docPr id="15" name="Picture 15" descr="Graph that shows the proportion of vacancies that were unfilled from 2011 to 2013. See no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5485" cy="1256030"/>
                          </a:xfrm>
                          <a:prstGeom prst="rect">
                            <a:avLst/>
                          </a:prstGeom>
                          <a:noFill/>
                        </pic:spPr>
                      </pic:pic>
                    </a:graphicData>
                  </a:graphic>
                </wp:inline>
              </w:drawing>
            </w:r>
          </w:p>
          <w:p w:rsidR="00C30BFA" w:rsidRPr="00395EA5" w:rsidRDefault="00395EA5" w:rsidP="00395EA5">
            <w:pPr>
              <w:rPr>
                <w:rFonts w:ascii="Calibri" w:eastAsiaTheme="majorEastAsia" w:hAnsi="Calibri" w:cs="Calibri"/>
              </w:rPr>
            </w:pPr>
            <w:r>
              <w:rPr>
                <w:rFonts w:ascii="Calibri" w:eastAsiaTheme="majorEastAsia" w:hAnsi="Calibri" w:cs="Calibri"/>
                <w:noProof/>
                <w:lang w:eastAsia="en-AU"/>
              </w:rPr>
              <w:drawing>
                <wp:inline distT="0" distB="0" distL="0" distR="0" wp14:anchorId="2E00E31E" wp14:editId="7315D355">
                  <wp:extent cx="1975485" cy="1280160"/>
                  <wp:effectExtent l="0" t="0" r="5715" b="0"/>
                  <wp:docPr id="16" name="Picture 16" descr="Graph that shows the average number of applicants per vacancy and the average suitable number of applicants per vacancy from 2011 to 2013. Se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485" cy="1280160"/>
                          </a:xfrm>
                          <a:prstGeom prst="rect">
                            <a:avLst/>
                          </a:prstGeom>
                          <a:noFill/>
                        </pic:spPr>
                      </pic:pic>
                    </a:graphicData>
                  </a:graphic>
                </wp:inline>
              </w:drawing>
            </w:r>
          </w:p>
        </w:tc>
      </w:tr>
    </w:tbl>
    <w:p w:rsidR="00C30BFA" w:rsidRPr="004535A6" w:rsidRDefault="00C30BFA" w:rsidP="004535A6">
      <w:pPr>
        <w:pStyle w:val="Heading1"/>
        <w:spacing w:after="0"/>
        <w:rPr>
          <w:b w:val="0"/>
          <w:sz w:val="28"/>
        </w:rPr>
      </w:pPr>
      <w:r w:rsidRPr="004535A6">
        <w:rPr>
          <w:b w:val="0"/>
          <w:sz w:val="28"/>
        </w:rPr>
        <w:t>Where are the opportunities?</w:t>
      </w:r>
    </w:p>
    <w:p w:rsidR="00C10C19" w:rsidRDefault="00C30BFA" w:rsidP="00C30BFA">
      <w:pPr>
        <w:spacing w:after="0" w:line="240" w:lineRule="auto"/>
        <w:rPr>
          <w:noProof/>
          <w:lang w:eastAsia="en-AU"/>
        </w:rPr>
      </w:pPr>
      <w:r w:rsidRPr="008F7BD8">
        <w:rPr>
          <w:rFonts w:ascii="Calibri" w:hAnsi="Calibri" w:cs="Calibri"/>
          <w:color w:val="000000" w:themeColor="text1"/>
        </w:rPr>
        <w:t>Opportunities exist in growth industries such as A</w:t>
      </w:r>
      <w:r>
        <w:rPr>
          <w:rFonts w:ascii="Calibri" w:hAnsi="Calibri" w:cs="Calibri"/>
          <w:color w:val="000000" w:themeColor="text1"/>
        </w:rPr>
        <w:t xml:space="preserve">ccommodation and Food Services and </w:t>
      </w:r>
      <w:r w:rsidRPr="004D5A09">
        <w:rPr>
          <w:rFonts w:ascii="Calibri" w:hAnsi="Calibri" w:cs="Calibri"/>
          <w:color w:val="000000" w:themeColor="text1"/>
        </w:rPr>
        <w:t>Health Care and Social Assistance</w:t>
      </w:r>
      <w:r>
        <w:rPr>
          <w:rFonts w:ascii="Calibri" w:hAnsi="Calibri" w:cs="Calibri"/>
          <w:color w:val="000000" w:themeColor="text1"/>
        </w:rPr>
        <w:t>, with employers expecting to recruit for</w:t>
      </w:r>
      <w:r w:rsidRPr="008F7BD8">
        <w:rPr>
          <w:rFonts w:ascii="Calibri" w:hAnsi="Calibri" w:cs="Calibri"/>
          <w:color w:val="000000" w:themeColor="text1"/>
        </w:rPr>
        <w:t xml:space="preserve"> </w:t>
      </w:r>
      <w:r>
        <w:rPr>
          <w:rFonts w:ascii="Calibri" w:hAnsi="Calibri" w:cs="Calibri"/>
          <w:color w:val="000000" w:themeColor="text1"/>
        </w:rPr>
        <w:t>o</w:t>
      </w:r>
      <w:r w:rsidRPr="008F7BD8">
        <w:rPr>
          <w:rFonts w:ascii="Calibri" w:hAnsi="Calibri" w:cs="Calibri"/>
          <w:color w:val="000000" w:themeColor="text1"/>
        </w:rPr>
        <w:t>ccupations</w:t>
      </w:r>
      <w:r>
        <w:rPr>
          <w:rFonts w:ascii="Calibri" w:hAnsi="Calibri" w:cs="Calibri"/>
          <w:color w:val="000000" w:themeColor="text1"/>
        </w:rPr>
        <w:t xml:space="preserve"> such as</w:t>
      </w:r>
      <w:r w:rsidRPr="008F7BD8">
        <w:rPr>
          <w:rFonts w:ascii="Calibri" w:hAnsi="Calibri" w:cs="Calibri"/>
          <w:color w:val="000000" w:themeColor="text1"/>
        </w:rPr>
        <w:t xml:space="preserve"> Waiters, Chefs</w:t>
      </w:r>
      <w:r>
        <w:rPr>
          <w:rFonts w:ascii="Calibri" w:hAnsi="Calibri" w:cs="Calibri"/>
          <w:color w:val="000000" w:themeColor="text1"/>
        </w:rPr>
        <w:t xml:space="preserve"> and Registered Nurses</w:t>
      </w:r>
      <w:r w:rsidRPr="008F7BD8">
        <w:rPr>
          <w:rFonts w:ascii="Calibri" w:hAnsi="Calibri" w:cs="Calibri"/>
          <w:color w:val="000000" w:themeColor="text1"/>
        </w:rPr>
        <w:t>.</w:t>
      </w:r>
      <w:r>
        <w:rPr>
          <w:rFonts w:ascii="Calibri" w:hAnsi="Calibri" w:cs="Calibri"/>
          <w:color w:val="000000" w:themeColor="text1"/>
        </w:rPr>
        <w:t xml:space="preserve"> Employers also</w:t>
      </w:r>
      <w:r w:rsidRPr="008F7BD8">
        <w:rPr>
          <w:rFonts w:ascii="Calibri" w:hAnsi="Calibri" w:cs="Calibri"/>
          <w:color w:val="000000" w:themeColor="text1"/>
        </w:rPr>
        <w:t xml:space="preserve"> reported difficulty filling vacancies for</w:t>
      </w:r>
      <w:r>
        <w:rPr>
          <w:rFonts w:ascii="Calibri" w:hAnsi="Calibri" w:cs="Calibri"/>
          <w:color w:val="000000" w:themeColor="text1"/>
        </w:rPr>
        <w:t xml:space="preserve"> skilled occupations such as</w:t>
      </w:r>
      <w:r w:rsidRPr="008F7BD8">
        <w:rPr>
          <w:rFonts w:ascii="Calibri" w:hAnsi="Calibri" w:cs="Calibri"/>
          <w:color w:val="000000" w:themeColor="text1"/>
        </w:rPr>
        <w:t xml:space="preserve"> Early Childhood (Pre-primary School) Teachers and Motor Mechanics.</w:t>
      </w:r>
    </w:p>
    <w:sectPr w:rsidR="00C10C19" w:rsidSect="004D0D79">
      <w:headerReference w:type="default" r:id="rId14"/>
      <w:footerReference w:type="default" r:id="rId15"/>
      <w:type w:val="continuous"/>
      <w:pgSz w:w="11906" w:h="16838"/>
      <w:pgMar w:top="1843" w:right="567" w:bottom="851" w:left="709"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E0" w:rsidRPr="00EA7B83" w:rsidRDefault="0031119E" w:rsidP="005A3FE0">
    <w:pPr>
      <w:pStyle w:val="Footer"/>
      <w:rPr>
        <w:sz w:val="18"/>
        <w:szCs w:val="18"/>
      </w:rPr>
    </w:pPr>
    <w:r w:rsidRPr="00EA7B83">
      <w:rPr>
        <w:rFonts w:ascii="Calibri" w:hAnsi="Calibri" w:cs="Calibri"/>
        <w:sz w:val="18"/>
        <w:szCs w:val="18"/>
      </w:rPr>
      <w:t xml:space="preserve">This report was produced by the Labour </w:t>
    </w:r>
    <w:r w:rsidRPr="00EA7B83">
      <w:rPr>
        <w:rFonts w:ascii="Calibri" w:hAnsi="Calibri" w:cs="Calibri"/>
        <w:sz w:val="18"/>
        <w:szCs w:val="18"/>
      </w:rPr>
      <w:t xml:space="preserve">Market Research and Analysis Branch. Further results on the </w:t>
    </w:r>
    <w:r w:rsidRPr="00EA7B83">
      <w:rPr>
        <w:rFonts w:ascii="Calibri" w:hAnsi="Calibri" w:cs="Calibri"/>
        <w:i/>
        <w:iCs/>
        <w:sz w:val="18"/>
        <w:szCs w:val="18"/>
      </w:rPr>
      <w:t xml:space="preserve">Survey of Employers’ Recruitment Experiences </w:t>
    </w:r>
    <w:r w:rsidRPr="00EA7B83">
      <w:rPr>
        <w:rFonts w:ascii="Calibri" w:hAnsi="Calibri" w:cs="Calibri"/>
        <w:sz w:val="18"/>
        <w:szCs w:val="18"/>
      </w:rPr>
      <w:t xml:space="preserve">can be found at </w:t>
    </w:r>
    <w:hyperlink r:id="rId1" w:history="1">
      <w:r w:rsidRPr="00EA7B83">
        <w:rPr>
          <w:rStyle w:val="Hyperlink"/>
          <w:rFonts w:ascii="Calibri" w:hAnsi="Calibri" w:cs="Calibri"/>
          <w:sz w:val="18"/>
          <w:szCs w:val="18"/>
        </w:rPr>
        <w:t>www.employment.gov.au/regionalreports</w:t>
      </w:r>
    </w:hyperlink>
    <w:r w:rsidRPr="00EA7B83">
      <w:rPr>
        <w:rFonts w:ascii="Calibri" w:hAnsi="Calibri" w:cs="Calibri"/>
        <w:sz w:val="18"/>
        <w:szCs w:val="18"/>
      </w:rPr>
      <w:t xml:space="preserve"> </w:t>
    </w:r>
    <w:r w:rsidRPr="00EA7B83">
      <w:rPr>
        <w:rFonts w:ascii="Calibri" w:hAnsi="Calibri" w:cs="Calibri"/>
        <w:sz w:val="18"/>
        <w:szCs w:val="18"/>
      </w:rPr>
      <w:t>or by contacting recru</w:t>
    </w:r>
    <w:r w:rsidRPr="00EA7B83">
      <w:rPr>
        <w:rFonts w:ascii="Calibri" w:hAnsi="Calibri" w:cs="Calibri"/>
        <w:sz w:val="18"/>
        <w:szCs w:val="18"/>
      </w:rPr>
      <w:t>itmentsurveys@employment.gov.au</w:t>
    </w:r>
    <w:r w:rsidRPr="00EA7B83">
      <w:rPr>
        <w:rFonts w:ascii="Calibri" w:hAnsi="Calibri" w:cs="Calibr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 w:id="1">
    <w:p w:rsidR="00C30BFA" w:rsidRPr="00F9217D" w:rsidRDefault="00C30BFA" w:rsidP="00C30BFA">
      <w:pPr>
        <w:pStyle w:val="FootnoteText"/>
        <w:rPr>
          <w:rFonts w:asciiTheme="minorHAnsi" w:hAnsiTheme="minorHAnsi" w:cstheme="minorHAnsi"/>
          <w:sz w:val="14"/>
          <w:szCs w:val="14"/>
        </w:rPr>
      </w:pPr>
      <w:r w:rsidRPr="00F9217D">
        <w:rPr>
          <w:rStyle w:val="FootnoteReference"/>
          <w:rFonts w:asciiTheme="minorHAnsi" w:hAnsiTheme="minorHAnsi" w:cstheme="minorHAnsi"/>
          <w:sz w:val="14"/>
          <w:szCs w:val="14"/>
        </w:rPr>
        <w:footnoteRef/>
      </w:r>
      <w:r>
        <w:rPr>
          <w:rFonts w:asciiTheme="minorHAnsi" w:hAnsiTheme="minorHAnsi" w:cstheme="minorHAnsi"/>
          <w:sz w:val="14"/>
          <w:szCs w:val="14"/>
        </w:rPr>
        <w:t xml:space="preserve"> The</w:t>
      </w:r>
      <w:r w:rsidRPr="00F9217D">
        <w:rPr>
          <w:rFonts w:asciiTheme="minorHAnsi" w:hAnsiTheme="minorHAnsi" w:cstheme="minorHAnsi"/>
          <w:sz w:val="14"/>
          <w:szCs w:val="14"/>
        </w:rPr>
        <w:t xml:space="preserve"> </w:t>
      </w:r>
      <w:r>
        <w:rPr>
          <w:rFonts w:asciiTheme="minorHAnsi" w:hAnsiTheme="minorHAnsi" w:cstheme="minorHAnsi"/>
          <w:sz w:val="14"/>
          <w:szCs w:val="14"/>
        </w:rPr>
        <w:t>Department of Employment</w:t>
      </w:r>
      <w:r w:rsidRPr="00F9217D">
        <w:rPr>
          <w:rFonts w:asciiTheme="minorHAnsi" w:hAnsiTheme="minorHAnsi" w:cstheme="minorHAnsi"/>
          <w:sz w:val="14"/>
          <w:szCs w:val="14"/>
        </w:rPr>
        <w:t>, Small Area Labour</w:t>
      </w:r>
      <w:r>
        <w:rPr>
          <w:rFonts w:asciiTheme="minorHAnsi" w:hAnsiTheme="minorHAnsi" w:cstheme="minorHAnsi"/>
          <w:sz w:val="14"/>
          <w:szCs w:val="14"/>
        </w:rPr>
        <w:t xml:space="preserve"> Market data, December quarter 2013</w:t>
      </w:r>
    </w:p>
  </w:footnote>
  <w:footnote w:id="2">
    <w:p w:rsidR="00C30BFA" w:rsidRPr="00A96CD6" w:rsidRDefault="00C30BFA" w:rsidP="00C30BFA">
      <w:pPr>
        <w:pStyle w:val="FootnoteText"/>
        <w:rPr>
          <w:rFonts w:asciiTheme="minorHAnsi" w:hAnsiTheme="minorHAnsi" w:cstheme="minorHAnsi"/>
          <w:color w:val="000000" w:themeColor="text1"/>
          <w:sz w:val="14"/>
          <w:szCs w:val="14"/>
        </w:rPr>
      </w:pPr>
      <w:r w:rsidRPr="00A96CD6">
        <w:rPr>
          <w:rStyle w:val="FootnoteReference"/>
          <w:rFonts w:asciiTheme="minorHAnsi" w:hAnsiTheme="minorHAnsi" w:cstheme="minorHAnsi"/>
          <w:color w:val="000000" w:themeColor="text1"/>
          <w:sz w:val="14"/>
          <w:szCs w:val="14"/>
        </w:rPr>
        <w:footnoteRef/>
      </w:r>
      <w:r w:rsidRPr="00A96CD6">
        <w:rPr>
          <w:rFonts w:asciiTheme="minorHAnsi" w:hAnsiTheme="minorHAnsi" w:cstheme="minorHAnsi"/>
          <w:color w:val="000000" w:themeColor="text1"/>
          <w:sz w:val="14"/>
          <w:szCs w:val="14"/>
        </w:rPr>
        <w:t xml:space="preserve"> </w:t>
      </w:r>
      <w:r w:rsidRPr="00A96CD6">
        <w:rPr>
          <w:rFonts w:asciiTheme="minorHAnsi" w:hAnsiTheme="minorHAnsi" w:cstheme="minorHAnsi"/>
          <w:iCs/>
          <w:color w:val="000000" w:themeColor="text1"/>
          <w:sz w:val="14"/>
          <w:szCs w:val="14"/>
        </w:rPr>
        <w:t>ABS</w:t>
      </w:r>
      <w:r>
        <w:rPr>
          <w:rFonts w:asciiTheme="minorHAnsi" w:hAnsiTheme="minorHAnsi" w:cstheme="minorHAnsi"/>
          <w:iCs/>
          <w:color w:val="000000" w:themeColor="text1"/>
          <w:sz w:val="14"/>
          <w:szCs w:val="14"/>
        </w:rPr>
        <w:t>,</w:t>
      </w:r>
      <w:r w:rsidRPr="00A96CD6">
        <w:rPr>
          <w:rFonts w:asciiTheme="minorHAnsi" w:hAnsiTheme="minorHAnsi" w:cstheme="minorHAnsi"/>
          <w:iCs/>
          <w:color w:val="000000" w:themeColor="text1"/>
          <w:sz w:val="14"/>
          <w:szCs w:val="14"/>
        </w:rPr>
        <w:t xml:space="preserve"> Census of Popula</w:t>
      </w:r>
      <w:r>
        <w:rPr>
          <w:rFonts w:asciiTheme="minorHAnsi" w:hAnsiTheme="minorHAnsi" w:cstheme="minorHAnsi"/>
          <w:iCs/>
          <w:color w:val="000000" w:themeColor="text1"/>
          <w:sz w:val="14"/>
          <w:szCs w:val="14"/>
        </w:rPr>
        <w:t>tion and Housing, 2006 and 2011,</w:t>
      </w:r>
      <w:r w:rsidRPr="008D56D6">
        <w:rPr>
          <w:rFonts w:asciiTheme="minorHAnsi" w:hAnsiTheme="minorHAnsi" w:cstheme="minorHAnsi"/>
          <w:iCs/>
          <w:color w:val="000000" w:themeColor="text1"/>
          <w:sz w:val="14"/>
          <w:szCs w:val="14"/>
        </w:rPr>
        <w:t xml:space="preserve"> </w:t>
      </w:r>
      <w:r w:rsidRPr="00A96CD6">
        <w:rPr>
          <w:rFonts w:asciiTheme="minorHAnsi" w:hAnsiTheme="minorHAnsi" w:cstheme="minorHAnsi"/>
          <w:iCs/>
          <w:color w:val="000000" w:themeColor="text1"/>
          <w:sz w:val="14"/>
          <w:szCs w:val="14"/>
        </w:rPr>
        <w:t>working age population</w:t>
      </w:r>
    </w:p>
  </w:footnote>
  <w:footnote w:id="3">
    <w:p w:rsidR="00C30BFA" w:rsidRDefault="00C30BFA" w:rsidP="00C30BFA">
      <w:pPr>
        <w:pStyle w:val="FootnoteText"/>
      </w:pPr>
      <w:r w:rsidRPr="00CA6B53">
        <w:rPr>
          <w:rStyle w:val="FootnoteReference"/>
          <w:rFonts w:asciiTheme="minorHAnsi" w:hAnsiTheme="minorHAnsi" w:cstheme="minorHAnsi"/>
          <w:color w:val="000000" w:themeColor="text1"/>
          <w:sz w:val="14"/>
          <w:szCs w:val="14"/>
        </w:rPr>
        <w:footnoteRef/>
      </w:r>
      <w:r w:rsidRPr="00CA6B53">
        <w:rPr>
          <w:rStyle w:val="FootnoteReference"/>
          <w:rFonts w:asciiTheme="minorHAnsi" w:hAnsiTheme="minorHAnsi" w:cstheme="minorHAnsi"/>
          <w:color w:val="000000" w:themeColor="text1"/>
          <w:sz w:val="14"/>
          <w:szCs w:val="14"/>
        </w:rPr>
        <w:t xml:space="preserve"> </w:t>
      </w:r>
      <w:r>
        <w:rPr>
          <w:rFonts w:asciiTheme="minorHAnsi" w:hAnsiTheme="minorHAnsi" w:cstheme="minorHAnsi"/>
          <w:color w:val="000000" w:themeColor="text1"/>
          <w:sz w:val="14"/>
          <w:szCs w:val="14"/>
        </w:rPr>
        <w:t>Ibid</w:t>
      </w:r>
    </w:p>
  </w:footnote>
  <w:footnote w:id="4">
    <w:p w:rsidR="00C30BFA" w:rsidRDefault="00C30BFA" w:rsidP="00C30BFA">
      <w:pPr>
        <w:pStyle w:val="FootnoteText"/>
      </w:pPr>
      <w:r w:rsidRPr="00CA6B53">
        <w:rPr>
          <w:rStyle w:val="FootnoteReference"/>
          <w:rFonts w:asciiTheme="minorHAnsi" w:hAnsiTheme="minorHAnsi" w:cstheme="minorHAnsi"/>
          <w:color w:val="000000" w:themeColor="text1"/>
          <w:sz w:val="14"/>
          <w:szCs w:val="14"/>
        </w:rPr>
        <w:footnoteRef/>
      </w:r>
      <w:r w:rsidRPr="00CA6B53">
        <w:rPr>
          <w:rStyle w:val="FootnoteReference"/>
          <w:rFonts w:asciiTheme="minorHAnsi" w:hAnsiTheme="minorHAnsi" w:cstheme="minorHAnsi"/>
          <w:color w:val="000000" w:themeColor="text1"/>
          <w:sz w:val="14"/>
          <w:szCs w:val="14"/>
        </w:rPr>
        <w:t xml:space="preserve"> </w:t>
      </w:r>
      <w:r>
        <w:rPr>
          <w:rFonts w:asciiTheme="minorHAnsi" w:hAnsiTheme="minorHAnsi" w:cstheme="minorHAnsi"/>
          <w:color w:val="000000" w:themeColor="text1"/>
          <w:sz w:val="14"/>
          <w:szCs w:val="14"/>
        </w:rPr>
        <w:t>Ibid</w:t>
      </w:r>
    </w:p>
  </w:footnote>
  <w:footnote w:id="5">
    <w:p w:rsidR="00C30BFA" w:rsidRPr="00705B13" w:rsidRDefault="00C30BFA" w:rsidP="00C30BFA">
      <w:pPr>
        <w:pStyle w:val="FootnoteText"/>
        <w:rPr>
          <w:rFonts w:asciiTheme="minorHAnsi" w:hAnsiTheme="minorHAnsi" w:cstheme="minorHAnsi"/>
          <w:sz w:val="14"/>
          <w:szCs w:val="14"/>
        </w:rPr>
      </w:pPr>
      <w:r w:rsidRPr="00705B13">
        <w:rPr>
          <w:rStyle w:val="FootnoteReference"/>
          <w:rFonts w:asciiTheme="minorHAnsi" w:hAnsiTheme="minorHAnsi" w:cstheme="minorHAnsi"/>
          <w:sz w:val="14"/>
          <w:szCs w:val="14"/>
        </w:rPr>
        <w:footnoteRef/>
      </w:r>
      <w:r w:rsidRPr="00705B13">
        <w:rPr>
          <w:rFonts w:asciiTheme="minorHAnsi" w:hAnsiTheme="minorHAnsi" w:cstheme="minorHAnsi"/>
          <w:sz w:val="14"/>
          <w:szCs w:val="14"/>
        </w:rPr>
        <w:t xml:space="preserve"> </w:t>
      </w:r>
      <w:r>
        <w:rPr>
          <w:rFonts w:asciiTheme="minorHAnsi" w:hAnsiTheme="minorHAnsi" w:cstheme="minorHAnsi"/>
          <w:sz w:val="14"/>
          <w:szCs w:val="14"/>
        </w:rPr>
        <w:t>Department of Employment</w:t>
      </w:r>
      <w:r w:rsidRPr="00705B13">
        <w:rPr>
          <w:rFonts w:asciiTheme="minorHAnsi" w:hAnsiTheme="minorHAnsi" w:cstheme="minorHAnsi"/>
          <w:sz w:val="14"/>
          <w:szCs w:val="14"/>
        </w:rPr>
        <w:t xml:space="preserve">, Administrative data, </w:t>
      </w:r>
      <w:r>
        <w:rPr>
          <w:rFonts w:asciiTheme="minorHAnsi" w:hAnsiTheme="minorHAnsi" w:cstheme="minorHAnsi"/>
          <w:sz w:val="14"/>
          <w:szCs w:val="14"/>
        </w:rPr>
        <w:t>December 2013</w:t>
      </w:r>
      <w:r w:rsidRPr="00705B13">
        <w:rPr>
          <w:rFonts w:asciiTheme="minorHAnsi" w:hAnsiTheme="minorHAnsi" w:cstheme="minorHAnsi"/>
          <w:sz w:val="14"/>
          <w:szCs w:val="14"/>
        </w:rPr>
        <w:t>;</w:t>
      </w:r>
      <w:r>
        <w:rPr>
          <w:rFonts w:asciiTheme="minorHAnsi" w:hAnsiTheme="minorHAnsi" w:cstheme="minorHAnsi"/>
          <w:sz w:val="14"/>
          <w:szCs w:val="14"/>
        </w:rPr>
        <w:t xml:space="preserve"> ABS</w:t>
      </w:r>
      <w:r w:rsidRPr="00705B13">
        <w:rPr>
          <w:rFonts w:asciiTheme="minorHAnsi" w:hAnsiTheme="minorHAnsi" w:cstheme="minorHAnsi"/>
          <w:sz w:val="14"/>
          <w:szCs w:val="14"/>
        </w:rPr>
        <w:t xml:space="preserve"> Est</w:t>
      </w:r>
      <w:r>
        <w:rPr>
          <w:rFonts w:asciiTheme="minorHAnsi" w:hAnsiTheme="minorHAnsi" w:cstheme="minorHAnsi"/>
          <w:sz w:val="14"/>
          <w:szCs w:val="14"/>
        </w:rPr>
        <w:t>imated Resident Population, 2012</w:t>
      </w:r>
    </w:p>
  </w:footnote>
  <w:footnote w:id="6">
    <w:p w:rsidR="00C30BFA" w:rsidRPr="00F9217D" w:rsidRDefault="00C30BFA" w:rsidP="00C30BFA">
      <w:pPr>
        <w:pStyle w:val="FootnoteText"/>
        <w:rPr>
          <w:rFonts w:asciiTheme="minorHAnsi" w:hAnsiTheme="minorHAnsi" w:cstheme="minorHAnsi"/>
          <w:sz w:val="14"/>
          <w:szCs w:val="14"/>
        </w:rPr>
      </w:pPr>
      <w:r w:rsidRPr="00F9217D">
        <w:rPr>
          <w:rStyle w:val="FootnoteReference"/>
          <w:rFonts w:asciiTheme="minorHAnsi" w:hAnsiTheme="minorHAnsi" w:cstheme="minorHAnsi"/>
          <w:sz w:val="14"/>
          <w:szCs w:val="14"/>
        </w:rPr>
        <w:footnoteRef/>
      </w:r>
      <w:r w:rsidRPr="00F9217D">
        <w:rPr>
          <w:rFonts w:asciiTheme="minorHAnsi" w:hAnsiTheme="minorHAnsi" w:cstheme="minorHAnsi"/>
          <w:sz w:val="14"/>
          <w:szCs w:val="14"/>
        </w:rPr>
        <w:t xml:space="preserve"> ABS labour force (Seasonally Adjusted), </w:t>
      </w:r>
      <w:r>
        <w:rPr>
          <w:rFonts w:asciiTheme="minorHAnsi" w:hAnsiTheme="minorHAnsi" w:cstheme="minorHAnsi"/>
          <w:sz w:val="14"/>
          <w:szCs w:val="14"/>
        </w:rPr>
        <w:t>February 2014</w:t>
      </w:r>
    </w:p>
  </w:footnote>
  <w:footnote w:id="7">
    <w:p w:rsidR="00C30BFA" w:rsidRDefault="00C30BFA" w:rsidP="00C30BFA">
      <w:pPr>
        <w:pStyle w:val="FootnoteText"/>
        <w:rPr>
          <w:rFonts w:asciiTheme="minorHAnsi" w:hAnsiTheme="minorHAnsi" w:cstheme="minorHAnsi"/>
          <w:sz w:val="14"/>
          <w:szCs w:val="14"/>
        </w:rPr>
      </w:pPr>
      <w:r w:rsidRPr="00F9217D">
        <w:rPr>
          <w:rStyle w:val="FootnoteReference"/>
          <w:rFonts w:asciiTheme="minorHAnsi" w:hAnsiTheme="minorHAnsi" w:cstheme="minorHAnsi"/>
          <w:sz w:val="14"/>
          <w:szCs w:val="14"/>
        </w:rPr>
        <w:footnoteRef/>
      </w:r>
      <w:r w:rsidRPr="00F9217D">
        <w:rPr>
          <w:rStyle w:val="FootnoteReference"/>
          <w:rFonts w:asciiTheme="minorHAnsi" w:hAnsiTheme="minorHAnsi" w:cstheme="minorHAnsi"/>
          <w:sz w:val="14"/>
          <w:szCs w:val="14"/>
        </w:rPr>
        <w:t xml:space="preserve"> </w:t>
      </w:r>
      <w:r>
        <w:rPr>
          <w:rFonts w:asciiTheme="minorHAnsi" w:hAnsiTheme="minorHAnsi" w:cstheme="minorHAnsi"/>
          <w:sz w:val="14"/>
          <w:szCs w:val="14"/>
        </w:rPr>
        <w:t>This report is based</w:t>
      </w:r>
      <w:r w:rsidRPr="00F9217D">
        <w:rPr>
          <w:rFonts w:asciiTheme="minorHAnsi" w:hAnsiTheme="minorHAnsi" w:cstheme="minorHAnsi"/>
          <w:sz w:val="14"/>
          <w:szCs w:val="14"/>
        </w:rPr>
        <w:t xml:space="preserve"> on a Survey of Employers’ Recruitment Experiences of 435 employers undertaken </w:t>
      </w:r>
      <w:r>
        <w:rPr>
          <w:rFonts w:asciiTheme="minorHAnsi" w:hAnsiTheme="minorHAnsi" w:cstheme="minorHAnsi"/>
          <w:sz w:val="14"/>
          <w:szCs w:val="14"/>
        </w:rPr>
        <w:t xml:space="preserve">in </w:t>
      </w:r>
      <w:r w:rsidRPr="00F9217D">
        <w:rPr>
          <w:rFonts w:asciiTheme="minorHAnsi" w:hAnsiTheme="minorHAnsi" w:cstheme="minorHAnsi"/>
          <w:sz w:val="14"/>
          <w:szCs w:val="14"/>
        </w:rPr>
        <w:t>October</w:t>
      </w:r>
      <w:r>
        <w:rPr>
          <w:rFonts w:asciiTheme="minorHAnsi" w:hAnsiTheme="minorHAnsi" w:cstheme="minorHAnsi"/>
          <w:sz w:val="14"/>
          <w:szCs w:val="14"/>
        </w:rPr>
        <w:t xml:space="preserve"> 2013</w:t>
      </w:r>
    </w:p>
    <w:p w:rsidR="003329B3" w:rsidRPr="003329B3" w:rsidRDefault="003329B3" w:rsidP="003329B3">
      <w:pPr>
        <w:pStyle w:val="Footer"/>
        <w:rPr>
          <w:sz w:val="18"/>
          <w:szCs w:val="18"/>
        </w:rPr>
      </w:pPr>
      <w:r w:rsidRPr="00EA7B83">
        <w:rPr>
          <w:rFonts w:ascii="Calibri" w:hAnsi="Calibri" w:cs="Calibri"/>
          <w:sz w:val="18"/>
          <w:szCs w:val="18"/>
        </w:rPr>
        <w:t xml:space="preserve">This report was produced by the Labour Market Research and Analysis Branch. Further results on the </w:t>
      </w:r>
      <w:r w:rsidRPr="00EA7B83">
        <w:rPr>
          <w:rFonts w:ascii="Calibri" w:hAnsi="Calibri" w:cs="Calibri"/>
          <w:i/>
          <w:iCs/>
          <w:sz w:val="18"/>
          <w:szCs w:val="18"/>
        </w:rPr>
        <w:t xml:space="preserve">Survey of Employers’ Recruitment Experiences </w:t>
      </w:r>
      <w:r w:rsidRPr="00EA7B83">
        <w:rPr>
          <w:rFonts w:ascii="Calibri" w:hAnsi="Calibri" w:cs="Calibri"/>
          <w:sz w:val="18"/>
          <w:szCs w:val="18"/>
        </w:rPr>
        <w:t xml:space="preserve">can be found at </w:t>
      </w:r>
      <w:hyperlink r:id="rId1" w:history="1">
        <w:r w:rsidRPr="00EA7B83">
          <w:rPr>
            <w:rStyle w:val="Hyperlink"/>
            <w:rFonts w:ascii="Calibri" w:hAnsi="Calibri" w:cs="Calibri"/>
            <w:sz w:val="18"/>
            <w:szCs w:val="18"/>
          </w:rPr>
          <w:t>www.employment.gov.au/regionalreports</w:t>
        </w:r>
      </w:hyperlink>
      <w:r w:rsidRPr="00EA7B83">
        <w:rPr>
          <w:rFonts w:ascii="Calibri" w:hAnsi="Calibri" w:cs="Calibri"/>
          <w:sz w:val="18"/>
          <w:szCs w:val="18"/>
        </w:rPr>
        <w:t xml:space="preserve"> or by contacting recruitmentsurveys@employment.gov.au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EE" w:rsidRDefault="0031119E" w:rsidP="00560CA0">
    <w:pPr>
      <w:pStyle w:val="Header"/>
      <w:jc w:val="right"/>
    </w:pPr>
    <w:r>
      <w:t>Title - Subtitle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0561DA6"/>
    <w:multiLevelType w:val="hybridMultilevel"/>
    <w:tmpl w:val="C80618C6"/>
    <w:lvl w:ilvl="0" w:tplc="D8163D9C">
      <w:start w:val="5"/>
      <w:numFmt w:val="bullet"/>
      <w:lvlText w:val="-"/>
      <w:lvlJc w:val="left"/>
      <w:pPr>
        <w:ind w:left="720" w:hanging="360"/>
      </w:pPr>
      <w:rPr>
        <w:rFonts w:ascii="Calibri" w:eastAsiaTheme="minorEastAsia" w:hAnsi="Calibri" w:cs="Calibri"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DF1F70"/>
    <w:multiLevelType w:val="hybridMultilevel"/>
    <w:tmpl w:val="2A567948"/>
    <w:lvl w:ilvl="0" w:tplc="95A8E06A">
      <w:start w:val="1"/>
      <w:numFmt w:val="bullet"/>
      <w:lvlText w:val=""/>
      <w:lvlJc w:val="left"/>
      <w:pPr>
        <w:ind w:left="360" w:hanging="360"/>
      </w:pPr>
      <w:rPr>
        <w:rFonts w:ascii="Symbol" w:hAnsi="Symbol" w:hint="default"/>
        <w:sz w:val="22"/>
        <w:szCs w:val="22"/>
      </w:rPr>
    </w:lvl>
    <w:lvl w:ilvl="1" w:tplc="D8163D9C">
      <w:start w:val="5"/>
      <w:numFmt w:val="bullet"/>
      <w:lvlText w:val="-"/>
      <w:lvlJc w:val="left"/>
      <w:pPr>
        <w:ind w:left="1080" w:hanging="360"/>
      </w:pPr>
      <w:rPr>
        <w:rFonts w:ascii="Calibri" w:eastAsiaTheme="minorEastAsia" w:hAnsi="Calibri" w:cs="Calibri" w:hint="default"/>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B9670B9"/>
    <w:multiLevelType w:val="hybridMultilevel"/>
    <w:tmpl w:val="09E63C76"/>
    <w:lvl w:ilvl="0" w:tplc="D8163D9C">
      <w:start w:val="5"/>
      <w:numFmt w:val="bullet"/>
      <w:lvlText w:val="-"/>
      <w:lvlJc w:val="left"/>
      <w:pPr>
        <w:ind w:left="720" w:hanging="360"/>
      </w:pPr>
      <w:rPr>
        <w:rFonts w:ascii="Calibri" w:eastAsiaTheme="minorEastAsia" w:hAnsi="Calibri" w:cs="Calibri"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2"/>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861A6"/>
    <w:rsid w:val="000E7E7B"/>
    <w:rsid w:val="000F3BA2"/>
    <w:rsid w:val="001175BF"/>
    <w:rsid w:val="00130923"/>
    <w:rsid w:val="001414F3"/>
    <w:rsid w:val="00143FCD"/>
    <w:rsid w:val="001B6467"/>
    <w:rsid w:val="001F1C07"/>
    <w:rsid w:val="00223EB1"/>
    <w:rsid w:val="00236917"/>
    <w:rsid w:val="00243D6B"/>
    <w:rsid w:val="002B06E6"/>
    <w:rsid w:val="002D271F"/>
    <w:rsid w:val="002D6386"/>
    <w:rsid w:val="00305B35"/>
    <w:rsid w:val="0031119E"/>
    <w:rsid w:val="003166C5"/>
    <w:rsid w:val="003242B9"/>
    <w:rsid w:val="003329B3"/>
    <w:rsid w:val="003647BD"/>
    <w:rsid w:val="00395EA5"/>
    <w:rsid w:val="003A6BE7"/>
    <w:rsid w:val="003D67FC"/>
    <w:rsid w:val="003D6EFD"/>
    <w:rsid w:val="00406E5A"/>
    <w:rsid w:val="00435B7B"/>
    <w:rsid w:val="004535A6"/>
    <w:rsid w:val="00455B34"/>
    <w:rsid w:val="0048762C"/>
    <w:rsid w:val="004A760F"/>
    <w:rsid w:val="004B256F"/>
    <w:rsid w:val="005113B6"/>
    <w:rsid w:val="00531817"/>
    <w:rsid w:val="00560CA0"/>
    <w:rsid w:val="005624F3"/>
    <w:rsid w:val="005811EF"/>
    <w:rsid w:val="005B0878"/>
    <w:rsid w:val="005C15C0"/>
    <w:rsid w:val="005E1673"/>
    <w:rsid w:val="00610654"/>
    <w:rsid w:val="006172EB"/>
    <w:rsid w:val="006318B9"/>
    <w:rsid w:val="0067026C"/>
    <w:rsid w:val="00692776"/>
    <w:rsid w:val="006C4962"/>
    <w:rsid w:val="006D27EB"/>
    <w:rsid w:val="006E2D49"/>
    <w:rsid w:val="006F28FA"/>
    <w:rsid w:val="007468FC"/>
    <w:rsid w:val="00756759"/>
    <w:rsid w:val="00792CA3"/>
    <w:rsid w:val="007B2FDD"/>
    <w:rsid w:val="007D58FB"/>
    <w:rsid w:val="00804665"/>
    <w:rsid w:val="0083468A"/>
    <w:rsid w:val="00842D43"/>
    <w:rsid w:val="00856D1C"/>
    <w:rsid w:val="00876AC0"/>
    <w:rsid w:val="00903408"/>
    <w:rsid w:val="009116EA"/>
    <w:rsid w:val="0092269D"/>
    <w:rsid w:val="00933671"/>
    <w:rsid w:val="0096483F"/>
    <w:rsid w:val="00972BF7"/>
    <w:rsid w:val="00972DD5"/>
    <w:rsid w:val="00984879"/>
    <w:rsid w:val="00985632"/>
    <w:rsid w:val="00991B63"/>
    <w:rsid w:val="009B2428"/>
    <w:rsid w:val="009B5CB7"/>
    <w:rsid w:val="009C5738"/>
    <w:rsid w:val="009C61E7"/>
    <w:rsid w:val="009E09F8"/>
    <w:rsid w:val="00A21FB0"/>
    <w:rsid w:val="00A31242"/>
    <w:rsid w:val="00A35435"/>
    <w:rsid w:val="00A52530"/>
    <w:rsid w:val="00A551BF"/>
    <w:rsid w:val="00A70524"/>
    <w:rsid w:val="00A73406"/>
    <w:rsid w:val="00A9672C"/>
    <w:rsid w:val="00AC65DA"/>
    <w:rsid w:val="00B2722A"/>
    <w:rsid w:val="00B618BA"/>
    <w:rsid w:val="00BA282D"/>
    <w:rsid w:val="00BB6260"/>
    <w:rsid w:val="00BE3ED2"/>
    <w:rsid w:val="00BF10F4"/>
    <w:rsid w:val="00C05E74"/>
    <w:rsid w:val="00C10C19"/>
    <w:rsid w:val="00C143B8"/>
    <w:rsid w:val="00C169F7"/>
    <w:rsid w:val="00C17D02"/>
    <w:rsid w:val="00C24BD7"/>
    <w:rsid w:val="00C30BFA"/>
    <w:rsid w:val="00C5649C"/>
    <w:rsid w:val="00C75486"/>
    <w:rsid w:val="00C8202C"/>
    <w:rsid w:val="00C92A5B"/>
    <w:rsid w:val="00CA46EC"/>
    <w:rsid w:val="00D05B29"/>
    <w:rsid w:val="00D1394D"/>
    <w:rsid w:val="00D47740"/>
    <w:rsid w:val="00D812B9"/>
    <w:rsid w:val="00D903FD"/>
    <w:rsid w:val="00D920AD"/>
    <w:rsid w:val="00D94BC5"/>
    <w:rsid w:val="00D96C08"/>
    <w:rsid w:val="00DC3052"/>
    <w:rsid w:val="00DC76D7"/>
    <w:rsid w:val="00DF46C4"/>
    <w:rsid w:val="00E36CB0"/>
    <w:rsid w:val="00EC64C4"/>
    <w:rsid w:val="00EC78E7"/>
    <w:rsid w:val="00ED43D2"/>
    <w:rsid w:val="00EE3B8C"/>
    <w:rsid w:val="00EF4A38"/>
    <w:rsid w:val="00F025F8"/>
    <w:rsid w:val="00F11B8F"/>
    <w:rsid w:val="00F74011"/>
    <w:rsid w:val="00F9235B"/>
    <w:rsid w:val="00F975AB"/>
    <w:rsid w:val="00FB10CB"/>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C30BFA"/>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C30BFA"/>
    <w:rPr>
      <w:rFonts w:ascii="Arial" w:eastAsia="Times New Roman" w:hAnsi="Arial" w:cs="Times New Roman"/>
      <w:sz w:val="20"/>
      <w:szCs w:val="20"/>
    </w:rPr>
  </w:style>
  <w:style w:type="character" w:styleId="FootnoteReference">
    <w:name w:val="footnote reference"/>
    <w:basedOn w:val="DefaultParagraphFont"/>
    <w:uiPriority w:val="99"/>
    <w:unhideWhenUsed/>
    <w:rsid w:val="00C30B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C30BFA"/>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C30BFA"/>
    <w:rPr>
      <w:rFonts w:ascii="Arial" w:eastAsia="Times New Roman" w:hAnsi="Arial" w:cs="Times New Roman"/>
      <w:sz w:val="20"/>
      <w:szCs w:val="20"/>
    </w:rPr>
  </w:style>
  <w:style w:type="character" w:styleId="FootnoteReference">
    <w:name w:val="footnote reference"/>
    <w:basedOn w:val="DefaultParagraphFont"/>
    <w:uiPriority w:val="99"/>
    <w:unhideWhenUsed/>
    <w:rsid w:val="00C30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mployment.gov.au/regionalrepor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mployment.gov.au/regionalreports"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7B8A9-0E58-4703-8448-7E487A116DF5}"/>
</file>

<file path=customXml/itemProps2.xml><?xml version="1.0" encoding="utf-8"?>
<ds:datastoreItem xmlns:ds="http://schemas.openxmlformats.org/officeDocument/2006/customXml" ds:itemID="{FF0F3953-2418-4557-ADD1-1ABA1B5DE605}"/>
</file>

<file path=customXml/itemProps3.xml><?xml version="1.0" encoding="utf-8"?>
<ds:datastoreItem xmlns:ds="http://schemas.openxmlformats.org/officeDocument/2006/customXml" ds:itemID="{C429C044-C25D-493F-AF56-5D5FE4D03FAB}"/>
</file>

<file path=customXml/itemProps4.xml><?xml version="1.0" encoding="utf-8"?>
<ds:datastoreItem xmlns:ds="http://schemas.openxmlformats.org/officeDocument/2006/customXml" ds:itemID="{3B74F70C-0EFE-403D-A085-B4532DE53AD2}"/>
</file>

<file path=docProps/app.xml><?xml version="1.0" encoding="utf-8"?>
<Properties xmlns="http://schemas.openxmlformats.org/officeDocument/2006/extended-properties" xmlns:vt="http://schemas.openxmlformats.org/officeDocument/2006/docPropsVTypes">
  <Template>A64CF4F9.dotm</Template>
  <TotalTime>74</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Title Heading</vt:lpstr>
    </vt:vector>
  </TitlesOfParts>
  <Company>Australian Government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dc:title>
  <dc:creator>Danny Thomas</dc:creator>
  <cp:lastModifiedBy>Preshant Joseph</cp:lastModifiedBy>
  <cp:revision>12</cp:revision>
  <cp:lastPrinted>2013-01-17T00:36:00Z</cp:lastPrinted>
  <dcterms:created xsi:type="dcterms:W3CDTF">2014-12-16T03:13:00Z</dcterms:created>
  <dcterms:modified xsi:type="dcterms:W3CDTF">2014-12-16T04:28:00Z</dcterms:modified>
</cp:coreProperties>
</file>