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D58" w:rsidRDefault="00BE7D58" w:rsidP="00517384">
      <w:pPr>
        <w:pStyle w:val="Heading2"/>
      </w:pPr>
      <w:bookmarkStart w:id="0" w:name="_Toc190682312"/>
      <w:bookmarkStart w:id="1" w:name="_Toc190682530"/>
      <w:r>
        <w:t>Section 2</w:t>
      </w:r>
      <w:bookmarkStart w:id="2" w:name="_GoBack"/>
      <w:bookmarkEnd w:id="2"/>
      <w:r>
        <w:t xml:space="preserve">: Outcomes and </w:t>
      </w:r>
      <w:r w:rsidR="00CD3382">
        <w:t>p</w:t>
      </w:r>
      <w:r w:rsidR="0069466B">
        <w:t>lanned</w:t>
      </w:r>
      <w:r>
        <w:t xml:space="preserve"> performance</w:t>
      </w:r>
    </w:p>
    <w:p w:rsidR="00BE7D58" w:rsidRDefault="00BE7D58" w:rsidP="00BB3AB5">
      <w:pPr>
        <w:pStyle w:val="Heading3"/>
      </w:pPr>
      <w:r>
        <w:t>2.1</w:t>
      </w:r>
      <w:r>
        <w:tab/>
        <w:t>Outcomes and performance information</w:t>
      </w:r>
    </w:p>
    <w:p w:rsidR="00BE7D58" w:rsidRDefault="00BE7D58" w:rsidP="00BE7D58">
      <w:r>
        <w:t xml:space="preserve">Government outcomes are the intended results, impacts or consequences of actions by the </w:t>
      </w:r>
      <w:r w:rsidR="00A200E6">
        <w:t>g</w:t>
      </w:r>
      <w:r>
        <w:t xml:space="preserve">overnment on the Australian community. </w:t>
      </w:r>
      <w:r w:rsidR="004E62E4" w:rsidRPr="00E95DB8">
        <w:t xml:space="preserve">Commonwealth </w:t>
      </w:r>
      <w:r w:rsidR="00C95850">
        <w:t>programmes</w:t>
      </w:r>
      <w:r w:rsidR="004E62E4" w:rsidRPr="00E95DB8">
        <w:t xml:space="preserve"> are </w:t>
      </w:r>
      <w:r w:rsidR="00CC5AB0" w:rsidRPr="00E95DB8">
        <w:t xml:space="preserve">the primary vehicle </w:t>
      </w:r>
      <w:r w:rsidR="004E62E4" w:rsidRPr="00E95DB8">
        <w:t xml:space="preserve">by which </w:t>
      </w:r>
      <w:r w:rsidR="00A239CC">
        <w:t>g</w:t>
      </w:r>
      <w:r w:rsidR="00A239CC" w:rsidRPr="00E95DB8">
        <w:t xml:space="preserve">overnment </w:t>
      </w:r>
      <w:r w:rsidR="007E6BBD">
        <w:t xml:space="preserve">entities </w:t>
      </w:r>
      <w:r w:rsidR="004E62E4" w:rsidRPr="00E95DB8">
        <w:t xml:space="preserve">achieve the intended results of their outcome statements. </w:t>
      </w:r>
      <w:r w:rsidR="007E6BBD">
        <w:t xml:space="preserve">Entities </w:t>
      </w:r>
      <w:r w:rsidRPr="00E95DB8">
        <w:t xml:space="preserve">are required to identify the </w:t>
      </w:r>
      <w:r w:rsidR="00C95850">
        <w:t>programmes</w:t>
      </w:r>
      <w:r>
        <w:t xml:space="preserve"> which contribute to </w:t>
      </w:r>
      <w:r w:rsidR="00A239CC">
        <w:t xml:space="preserve">government </w:t>
      </w:r>
      <w:r>
        <w:t>outcomes over the Budget and forward years.</w:t>
      </w:r>
    </w:p>
    <w:p w:rsidR="00BE7D58" w:rsidRDefault="00BE7D58" w:rsidP="008636B4">
      <w:r>
        <w:t xml:space="preserve">Each outcome is described below together with its related </w:t>
      </w:r>
      <w:r w:rsidR="00C95850">
        <w:t>programmes</w:t>
      </w:r>
      <w:r>
        <w:t xml:space="preserve">, specifying the performance indicators and targets used to assess and monitor the performance </w:t>
      </w:r>
      <w:r w:rsidRPr="008636B4">
        <w:t xml:space="preserve">of </w:t>
      </w:r>
      <w:r w:rsidR="009260C6" w:rsidRPr="008636B4">
        <w:t>the Department of Employment</w:t>
      </w:r>
      <w:r w:rsidR="009260C6">
        <w:rPr>
          <w:color w:val="FF0000"/>
        </w:rPr>
        <w:t xml:space="preserve"> </w:t>
      </w:r>
      <w:r w:rsidR="004831ED">
        <w:t xml:space="preserve">in achieving </w:t>
      </w:r>
      <w:r w:rsidR="00A239CC">
        <w:t xml:space="preserve">government </w:t>
      </w:r>
      <w:r>
        <w:t>outcomes.</w:t>
      </w:r>
    </w:p>
    <w:p w:rsidR="00E82607" w:rsidRDefault="00E82607" w:rsidP="00E82607">
      <w:pPr>
        <w:pStyle w:val="ProgramHeading"/>
      </w:pPr>
      <w:r>
        <w:t xml:space="preserve">Outcome 1: </w:t>
      </w:r>
      <w:r w:rsidRPr="00CA05CE">
        <w:t>Foster a productive and competitive labour market through employment policies and programmes that assist job seekers into work, meet employer needs and increase Australia’s workforce participation.</w:t>
      </w:r>
    </w:p>
    <w:p w:rsidR="00BE7D58" w:rsidRDefault="00BE7D58" w:rsidP="00451501">
      <w:pPr>
        <w:pStyle w:val="Heading4"/>
      </w:pPr>
      <w:r>
        <w:t xml:space="preserve">Outcome 1 </w:t>
      </w:r>
      <w:r w:rsidR="00A239CC">
        <w:t>strategy</w:t>
      </w:r>
    </w:p>
    <w:p w:rsidR="0001500C" w:rsidRPr="002351C5" w:rsidRDefault="0001500C" w:rsidP="008636B4">
      <w:r w:rsidRPr="002351C5">
        <w:t xml:space="preserve">Through this outcome, the department assists the Australian Government to </w:t>
      </w:r>
      <w:r w:rsidR="00826EF2">
        <w:t>help</w:t>
      </w:r>
      <w:r w:rsidRPr="002351C5">
        <w:t xml:space="preserve"> more Australians to gain paid employment, delivering benefits for individuals</w:t>
      </w:r>
      <w:r w:rsidR="00826EF2">
        <w:t>, their families</w:t>
      </w:r>
      <w:r w:rsidRPr="002351C5">
        <w:t xml:space="preserve"> and the community. Strategies for achieving this outcome during 2015</w:t>
      </w:r>
      <w:r>
        <w:t>–</w:t>
      </w:r>
      <w:r w:rsidRPr="002351C5">
        <w:t>16 include:</w:t>
      </w:r>
    </w:p>
    <w:p w:rsidR="0001500C" w:rsidRPr="002351C5" w:rsidRDefault="0001500C" w:rsidP="008636B4">
      <w:pPr>
        <w:pStyle w:val="Bullets"/>
        <w:spacing w:before="20" w:after="20"/>
      </w:pPr>
      <w:proofErr w:type="gramStart"/>
      <w:r w:rsidRPr="002351C5">
        <w:t>implementing</w:t>
      </w:r>
      <w:proofErr w:type="gramEnd"/>
      <w:r w:rsidRPr="002351C5">
        <w:t xml:space="preserve"> a new employment services system</w:t>
      </w:r>
      <w:r w:rsidR="006F3653">
        <w:t xml:space="preserve">, </w:t>
      </w:r>
      <w:r w:rsidRPr="00A004B5">
        <w:t>jobactive</w:t>
      </w:r>
      <w:r w:rsidR="006F3653" w:rsidRPr="00A004B5">
        <w:t>,</w:t>
      </w:r>
      <w:r w:rsidR="006F3653">
        <w:t xml:space="preserve"> </w:t>
      </w:r>
      <w:r w:rsidRPr="002351C5">
        <w:t>from 1</w:t>
      </w:r>
      <w:r w:rsidR="0028309A">
        <w:t> </w:t>
      </w:r>
      <w:r w:rsidRPr="002351C5">
        <w:t>July</w:t>
      </w:r>
      <w:r w:rsidR="0028309A">
        <w:t> </w:t>
      </w:r>
      <w:r w:rsidRPr="002351C5">
        <w:t>2015</w:t>
      </w:r>
      <w:r>
        <w:t xml:space="preserve">. </w:t>
      </w:r>
      <w:r w:rsidR="00826EF2">
        <w:t xml:space="preserve">The new model has a clearer focus on payment for results to ensure </w:t>
      </w:r>
      <w:r w:rsidR="00826EF2" w:rsidRPr="00E23015">
        <w:t>jobactive</w:t>
      </w:r>
      <w:r w:rsidR="00826EF2">
        <w:t xml:space="preserve"> organisations better meet the needs of job seekers and employers</w:t>
      </w:r>
    </w:p>
    <w:p w:rsidR="00826EF2" w:rsidRDefault="00826EF2" w:rsidP="008636B4">
      <w:pPr>
        <w:pStyle w:val="Bullets"/>
        <w:spacing w:before="20" w:after="20"/>
      </w:pPr>
      <w:r>
        <w:t>the national roll-out of a new mutual obligation framework and new Work for the Dole arrangements to ensure that job seekers remain active and engage</w:t>
      </w:r>
      <w:r w:rsidR="001A5E2D">
        <w:t>d</w:t>
      </w:r>
      <w:r>
        <w:t xml:space="preserve"> while looking for work</w:t>
      </w:r>
    </w:p>
    <w:p w:rsidR="00E23015" w:rsidRDefault="00E23015" w:rsidP="00E23015">
      <w:pPr>
        <w:pStyle w:val="Bullets"/>
        <w:spacing w:before="20" w:after="20"/>
      </w:pPr>
      <w:r w:rsidRPr="002351C5">
        <w:t xml:space="preserve">implementing the employment </w:t>
      </w:r>
      <w:r w:rsidR="00A004B5">
        <w:t xml:space="preserve">related </w:t>
      </w:r>
      <w:r w:rsidRPr="002351C5">
        <w:t xml:space="preserve">elements of </w:t>
      </w:r>
      <w:r w:rsidRPr="00427538">
        <w:t xml:space="preserve">the government’s </w:t>
      </w:r>
      <w:r w:rsidR="00427538">
        <w:t>g</w:t>
      </w:r>
      <w:r w:rsidR="001A5E2D">
        <w:t>rowing jobs and small business package</w:t>
      </w:r>
      <w:r w:rsidRPr="00344A56">
        <w:t xml:space="preserve"> </w:t>
      </w:r>
      <w:r w:rsidR="001A5E2D">
        <w:t>to increase employment opportunities for job seekers, especially young job seekers</w:t>
      </w:r>
    </w:p>
    <w:p w:rsidR="0001500C" w:rsidRPr="002351C5" w:rsidRDefault="0001500C" w:rsidP="008636B4">
      <w:pPr>
        <w:pStyle w:val="Bullets"/>
        <w:spacing w:before="20" w:after="20"/>
      </w:pPr>
      <w:r w:rsidRPr="002351C5">
        <w:t>continuing to reduce red tape for employment services</w:t>
      </w:r>
      <w:r>
        <w:t>,</w:t>
      </w:r>
      <w:r w:rsidRPr="002351C5">
        <w:t xml:space="preserve"> including simplifying and streamlining processes, making more efficient use of technology and increasing collaboration and use of data across government agencies</w:t>
      </w:r>
    </w:p>
    <w:p w:rsidR="0001500C" w:rsidRPr="002351C5" w:rsidRDefault="0001500C" w:rsidP="008636B4">
      <w:pPr>
        <w:pStyle w:val="Bullets"/>
        <w:spacing w:before="20" w:after="20"/>
      </w:pPr>
      <w:r w:rsidRPr="002351C5">
        <w:t>monitoring labour market conditions in Australia and providing policy advice to the government to enable employment services to</w:t>
      </w:r>
      <w:r>
        <w:t>:</w:t>
      </w:r>
      <w:r w:rsidRPr="002351C5">
        <w:t xml:space="preserve"> respond to emerging labour market and economic developments</w:t>
      </w:r>
      <w:r>
        <w:t>;</w:t>
      </w:r>
      <w:r w:rsidRPr="002351C5">
        <w:t xml:space="preserve"> work collaboratively </w:t>
      </w:r>
      <w:r w:rsidRPr="002351C5">
        <w:lastRenderedPageBreak/>
        <w:t xml:space="preserve">with other agencies and a range of external </w:t>
      </w:r>
      <w:r w:rsidR="00317F8C">
        <w:t>parties</w:t>
      </w:r>
      <w:r w:rsidRPr="002351C5">
        <w:t xml:space="preserve"> to bolster Australia’s productive capacity</w:t>
      </w:r>
      <w:r>
        <w:t>;</w:t>
      </w:r>
      <w:r w:rsidRPr="002351C5">
        <w:t xml:space="preserve"> and ensure a consistent approach to government delivery of employment services</w:t>
      </w:r>
    </w:p>
    <w:p w:rsidR="0001500C" w:rsidRPr="002351C5" w:rsidRDefault="0001500C" w:rsidP="008636B4">
      <w:pPr>
        <w:pStyle w:val="Bullets"/>
        <w:spacing w:before="20" w:after="20"/>
      </w:pPr>
      <w:proofErr w:type="gramStart"/>
      <w:r w:rsidRPr="002351C5">
        <w:t>maintaining</w:t>
      </w:r>
      <w:proofErr w:type="gramEnd"/>
      <w:r w:rsidRPr="002351C5">
        <w:t xml:space="preserve"> collaborative relationships with relevant international organisations including the OECD, APEC and the </w:t>
      </w:r>
      <w:proofErr w:type="spellStart"/>
      <w:r w:rsidRPr="002351C5">
        <w:t>G20</w:t>
      </w:r>
      <w:proofErr w:type="spellEnd"/>
      <w:r w:rsidRPr="002351C5">
        <w:t xml:space="preserve"> and progressing the outcomes of the 2014 </w:t>
      </w:r>
      <w:proofErr w:type="spellStart"/>
      <w:r w:rsidRPr="002351C5">
        <w:t>G20</w:t>
      </w:r>
      <w:proofErr w:type="spellEnd"/>
      <w:r w:rsidRPr="002351C5">
        <w:t xml:space="preserve"> Leaders Summit.</w:t>
      </w:r>
    </w:p>
    <w:p w:rsidR="00BE7D58" w:rsidRDefault="00BE7D58" w:rsidP="00E2256F">
      <w:pPr>
        <w:pStyle w:val="Heading5"/>
      </w:pPr>
      <w:r>
        <w:t xml:space="preserve">Outcome </w:t>
      </w:r>
      <w:r w:rsidR="001549BE">
        <w:t>expense statement</w:t>
      </w:r>
    </w:p>
    <w:p w:rsidR="00BE7D58" w:rsidRDefault="00BE7D58" w:rsidP="00BE7D58">
      <w:r>
        <w:t xml:space="preserve">Table 2.1 provides an overview of the total expenses for </w:t>
      </w:r>
      <w:r w:rsidR="0028309A">
        <w:t>O</w:t>
      </w:r>
      <w:r>
        <w:t>utcome</w:t>
      </w:r>
      <w:r w:rsidRPr="00193C99">
        <w:t xml:space="preserve"> </w:t>
      </w:r>
      <w:r w:rsidR="00193C99" w:rsidRPr="00193C99">
        <w:t>1</w:t>
      </w:r>
      <w:r>
        <w:t xml:space="preserve"> by </w:t>
      </w:r>
      <w:r w:rsidR="00E121DD">
        <w:t>programme</w:t>
      </w:r>
      <w:r>
        <w:t>.</w:t>
      </w:r>
    </w:p>
    <w:p w:rsidR="00BE7D58" w:rsidRPr="005C4BEE" w:rsidRDefault="00C431A3" w:rsidP="00BE7D58">
      <w:pPr>
        <w:pStyle w:val="TableHeading"/>
      </w:pPr>
      <w:r w:rsidRPr="005C4BEE">
        <w:t xml:space="preserve">Table 2.1: Budgeted </w:t>
      </w:r>
      <w:r w:rsidR="001549BE" w:rsidRPr="005C4BEE">
        <w:t xml:space="preserve">expenses for </w:t>
      </w:r>
      <w:r w:rsidR="00BE7D58" w:rsidRPr="005C4BEE">
        <w:t>Outcome 1</w:t>
      </w:r>
    </w:p>
    <w:p w:rsidR="00EE7C90" w:rsidRDefault="00DF114B" w:rsidP="002762BF">
      <w:pPr>
        <w:pStyle w:val="TableGraphic"/>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58.1pt;height:189.1pt">
            <v:imagedata r:id="rId14" o:title=""/>
          </v:shape>
        </w:pict>
      </w:r>
    </w:p>
    <w:p w:rsidR="001B029D" w:rsidRPr="001B029D" w:rsidRDefault="001B029D" w:rsidP="001B029D">
      <w:pPr>
        <w:pStyle w:val="FootnoteText"/>
      </w:pPr>
    </w:p>
    <w:p w:rsidR="00EE7C90" w:rsidRDefault="00EE7C90" w:rsidP="00EE7C90">
      <w:pPr>
        <w:pStyle w:val="FootnoteText"/>
      </w:pPr>
      <w:r w:rsidRPr="00EE7C90">
        <w:rPr>
          <w:vertAlign w:val="superscript"/>
        </w:rPr>
        <w:t>1</w:t>
      </w:r>
      <w:r>
        <w:t xml:space="preserve"> Departmental appropriation combines 'Ordinary annual services (Appropriation Bill No. 1)' and 'Revenue from independent sources (s 74)'.</w:t>
      </w:r>
    </w:p>
    <w:p w:rsidR="00EE7C90" w:rsidRDefault="00EE7C90" w:rsidP="00EE7C90">
      <w:pPr>
        <w:pStyle w:val="FootnoteText"/>
      </w:pPr>
      <w:r w:rsidRPr="00EE7C90">
        <w:rPr>
          <w:vertAlign w:val="superscript"/>
        </w:rPr>
        <w:t>2</w:t>
      </w:r>
      <w:r>
        <w:t xml:space="preserve"> Expenses not requiring appropriation in the Budget year are made up of depreciation expenses, amortisation expenses, and audit fees.</w:t>
      </w:r>
      <w:r>
        <w:tab/>
      </w:r>
    </w:p>
    <w:p w:rsidR="00FD5958" w:rsidRDefault="00EE7C90" w:rsidP="009F4B3E">
      <w:pPr>
        <w:pStyle w:val="Footnote"/>
      </w:pPr>
      <w:r>
        <w:t>Note: Departmental appropriation splits and totals are indicative estimates and may change in the course of the budget year as government priorities change.</w:t>
      </w:r>
    </w:p>
    <w:p w:rsidR="00BE7D58" w:rsidRDefault="000A24C4" w:rsidP="001C3AC7">
      <w:pPr>
        <w:pStyle w:val="Heading4"/>
        <w:rPr>
          <w:rFonts w:ascii="Book Antiqua" w:hAnsi="Book Antiqua"/>
          <w:i/>
          <w:color w:val="FF0000"/>
        </w:rPr>
      </w:pPr>
      <w:r>
        <w:br w:type="page"/>
      </w:r>
      <w:r w:rsidR="00BE7D58">
        <w:lastRenderedPageBreak/>
        <w:t xml:space="preserve">Contributions to Outcome 1 </w:t>
      </w:r>
    </w:p>
    <w:p w:rsidR="00E82607" w:rsidRDefault="00E82607" w:rsidP="006D7EDC">
      <w:pPr>
        <w:pStyle w:val="ProgramHeading"/>
      </w:pPr>
      <w:r>
        <w:t>Programme 1.1: Employment Services</w:t>
      </w:r>
    </w:p>
    <w:p w:rsidR="0001500C" w:rsidRDefault="0001500C" w:rsidP="00E2256F">
      <w:pPr>
        <w:pStyle w:val="Heading5"/>
      </w:pPr>
      <w:r>
        <w:t>Programme objective</w:t>
      </w:r>
    </w:p>
    <w:p w:rsidR="00826EF2" w:rsidRPr="00D02992" w:rsidRDefault="00826EF2" w:rsidP="0030537F">
      <w:r w:rsidRPr="00D02992">
        <w:t xml:space="preserve">The Australian Government’s new employment services system, known as </w:t>
      </w:r>
      <w:r w:rsidRPr="005F733A">
        <w:t>jobactive</w:t>
      </w:r>
      <w:r w:rsidRPr="00D02992">
        <w:t xml:space="preserve">, commences on 1 July 2015 and replaces the Job Services Australia programme. It contributes to the </w:t>
      </w:r>
      <w:r>
        <w:t>g</w:t>
      </w:r>
      <w:r w:rsidRPr="00D02992">
        <w:t>overnment’s overall commitment to build a strong and prosperous economy that promotes stronger workforce participation by working age Australians and helps more job seekers move from welfare to work.</w:t>
      </w:r>
    </w:p>
    <w:p w:rsidR="00826EF2" w:rsidRPr="00647365" w:rsidRDefault="00826EF2" w:rsidP="0030537F">
      <w:r w:rsidRPr="00647365">
        <w:t>The objectives of the jobactive programme are to help job seekers:</w:t>
      </w:r>
    </w:p>
    <w:p w:rsidR="00826EF2" w:rsidRPr="00647365" w:rsidRDefault="00826EF2" w:rsidP="0030537F">
      <w:pPr>
        <w:pStyle w:val="Bullets"/>
      </w:pPr>
      <w:r w:rsidRPr="00647365">
        <w:t>find and keep a job</w:t>
      </w:r>
    </w:p>
    <w:p w:rsidR="00826EF2" w:rsidRPr="00647365" w:rsidRDefault="00826EF2" w:rsidP="0030537F">
      <w:pPr>
        <w:pStyle w:val="Bullets"/>
      </w:pPr>
      <w:proofErr w:type="gramStart"/>
      <w:r w:rsidRPr="00647365">
        <w:t>move</w:t>
      </w:r>
      <w:proofErr w:type="gramEnd"/>
      <w:r w:rsidRPr="00647365">
        <w:t xml:space="preserve"> from welfare to work.</w:t>
      </w:r>
    </w:p>
    <w:p w:rsidR="001A5E2D" w:rsidRPr="00D02992" w:rsidRDefault="001A5E2D" w:rsidP="00427538">
      <w:pPr>
        <w:rPr>
          <w:lang w:val="en-US"/>
        </w:rPr>
      </w:pPr>
      <w:r>
        <w:rPr>
          <w:lang w:val="en-US"/>
        </w:rPr>
        <w:t>There are five services delivered as part of jobactive:</w:t>
      </w:r>
    </w:p>
    <w:p w:rsidR="00826EF2" w:rsidRPr="002357B2" w:rsidRDefault="00826EF2" w:rsidP="002357B2">
      <w:pPr>
        <w:pStyle w:val="Bullets"/>
      </w:pPr>
      <w:r w:rsidRPr="002357B2">
        <w:t xml:space="preserve">jobactive </w:t>
      </w:r>
      <w:r w:rsidR="001A5E2D">
        <w:t>employment services</w:t>
      </w:r>
      <w:r w:rsidRPr="002357B2">
        <w:t xml:space="preserve"> assist job seekers to find and keep a job and ensure employers are </w:t>
      </w:r>
      <w:r w:rsidR="00317F8C">
        <w:t>provided with</w:t>
      </w:r>
      <w:r w:rsidR="00317F8C" w:rsidRPr="002357B2">
        <w:t xml:space="preserve"> </w:t>
      </w:r>
      <w:r w:rsidRPr="002357B2">
        <w:t>job seekers who meet their business needs</w:t>
      </w:r>
    </w:p>
    <w:p w:rsidR="00826EF2" w:rsidRPr="002357B2" w:rsidRDefault="00826EF2" w:rsidP="002357B2">
      <w:pPr>
        <w:pStyle w:val="Bullets"/>
      </w:pPr>
      <w:r w:rsidRPr="002357B2">
        <w:t xml:space="preserve">Work for the Dole Coordinators, which started on 1 May 2015, </w:t>
      </w:r>
      <w:r w:rsidR="00317F8C">
        <w:t xml:space="preserve">are responsible for </w:t>
      </w:r>
      <w:r w:rsidRPr="002357B2">
        <w:t>sourc</w:t>
      </w:r>
      <w:r w:rsidR="00317F8C">
        <w:t>ing</w:t>
      </w:r>
      <w:r w:rsidRPr="002357B2">
        <w:t xml:space="preserve"> suitable Work for the Dole activities in not-for-profit and government organisations to help prepare job seekers for the work environment</w:t>
      </w:r>
    </w:p>
    <w:p w:rsidR="00826EF2" w:rsidRPr="002357B2" w:rsidRDefault="00826EF2" w:rsidP="002357B2">
      <w:pPr>
        <w:pStyle w:val="Bullets"/>
      </w:pPr>
      <w:r w:rsidRPr="002357B2">
        <w:t xml:space="preserve">New Enterprise Incentive Scheme </w:t>
      </w:r>
      <w:r w:rsidR="00FA64DF">
        <w:t>assis</w:t>
      </w:r>
      <w:r w:rsidR="00FA64DF" w:rsidRPr="002357B2">
        <w:t>ts</w:t>
      </w:r>
      <w:r w:rsidRPr="002357B2">
        <w:t xml:space="preserve"> eligible job seekers to start and run their own small business</w:t>
      </w:r>
    </w:p>
    <w:p w:rsidR="00826EF2" w:rsidRPr="002357B2" w:rsidRDefault="00826EF2" w:rsidP="002357B2">
      <w:pPr>
        <w:pStyle w:val="Bullets"/>
      </w:pPr>
      <w:r w:rsidRPr="002357B2">
        <w:t>Harvest Labour Services and the National Harvest Labour Information Service support the requirements of growers in the horticulture industry for harvest workers</w:t>
      </w:r>
      <w:r w:rsidR="0028309A">
        <w:t>.</w:t>
      </w:r>
      <w:r w:rsidRPr="002357B2">
        <w:t xml:space="preserve">  </w:t>
      </w:r>
    </w:p>
    <w:p w:rsidR="00826EF2" w:rsidRPr="00D02992" w:rsidRDefault="00826EF2" w:rsidP="0030537F">
      <w:r w:rsidRPr="00D02992">
        <w:t xml:space="preserve">Features which will contribute to the </w:t>
      </w:r>
      <w:r w:rsidRPr="005F733A">
        <w:t>jobactive</w:t>
      </w:r>
      <w:r w:rsidRPr="00D02992">
        <w:t xml:space="preserve"> programme achieving its objectives include: </w:t>
      </w:r>
    </w:p>
    <w:p w:rsidR="00826EF2" w:rsidRPr="002357B2" w:rsidRDefault="00826EF2" w:rsidP="002357B2">
      <w:pPr>
        <w:pStyle w:val="Bullets"/>
      </w:pPr>
      <w:r w:rsidRPr="002357B2">
        <w:t>new payment and performance frameworks to ensure jobactive organisations are focused on better meeting the needs of job seekers and employers</w:t>
      </w:r>
    </w:p>
    <w:p w:rsidR="00826EF2" w:rsidRPr="002357B2" w:rsidRDefault="00826EF2" w:rsidP="002357B2">
      <w:pPr>
        <w:pStyle w:val="Bullets"/>
      </w:pPr>
      <w:r w:rsidRPr="002357B2">
        <w:t xml:space="preserve">new outcome payments at 4, 12 and 26 weeks to ensure jobactive organisations help job seekers to take up all available work opportunities including short term and seasonal work. Higher outcome payments </w:t>
      </w:r>
      <w:r w:rsidR="00317F8C">
        <w:t>will be</w:t>
      </w:r>
      <w:r w:rsidR="00317F8C" w:rsidRPr="002357B2">
        <w:t xml:space="preserve"> </w:t>
      </w:r>
      <w:r w:rsidRPr="002357B2">
        <w:t>made for longer term job opportunities</w:t>
      </w:r>
    </w:p>
    <w:p w:rsidR="00826EF2" w:rsidRPr="002357B2" w:rsidRDefault="00826EF2" w:rsidP="002357B2">
      <w:pPr>
        <w:pStyle w:val="Bullets"/>
      </w:pPr>
      <w:r w:rsidRPr="002357B2">
        <w:t>wage subsidies to encourage employers to hire young job seekers under 30 years of age, job seekers over 50 years of age, indigenous job seekers, parents and the long term unemployed</w:t>
      </w:r>
    </w:p>
    <w:p w:rsidR="00826EF2" w:rsidRPr="002357B2" w:rsidRDefault="00826EF2" w:rsidP="002357B2">
      <w:pPr>
        <w:pStyle w:val="Bullets"/>
      </w:pPr>
      <w:r w:rsidRPr="002357B2">
        <w:lastRenderedPageBreak/>
        <w:t>a streamlined Employment Fund for work-related items, professional services, support and targeted training that will help job seekers obtain and stay in work</w:t>
      </w:r>
    </w:p>
    <w:p w:rsidR="00826EF2" w:rsidRPr="002357B2" w:rsidRDefault="00826EF2" w:rsidP="002357B2">
      <w:pPr>
        <w:pStyle w:val="Bullets"/>
      </w:pPr>
      <w:r w:rsidRPr="002357B2">
        <w:t>modern online and self-help facilities for job seekers and employers</w:t>
      </w:r>
    </w:p>
    <w:p w:rsidR="00826EF2" w:rsidRPr="002357B2" w:rsidRDefault="00826EF2" w:rsidP="002357B2">
      <w:pPr>
        <w:pStyle w:val="Bullets"/>
      </w:pPr>
      <w:r w:rsidRPr="002357B2">
        <w:t>a stronger mutual obligation framework to ensure job seekers remain active and engaged while looking for work</w:t>
      </w:r>
      <w:r w:rsidR="00317F8C">
        <w:t>,</w:t>
      </w:r>
      <w:r w:rsidRPr="002357B2">
        <w:t xml:space="preserve"> including the national roll-out of Work for the Dole for most job seekers under 50 years of age</w:t>
      </w:r>
    </w:p>
    <w:p w:rsidR="00826EF2" w:rsidRPr="002357B2" w:rsidRDefault="00826EF2" w:rsidP="002357B2">
      <w:pPr>
        <w:pStyle w:val="Bullets"/>
      </w:pPr>
      <w:r w:rsidRPr="002357B2">
        <w:t>the establishment of new Work for the Dole Coordinators to work with not for profit organisations and government agencies to identify suitable Work for the Dole activities</w:t>
      </w:r>
    </w:p>
    <w:p w:rsidR="00826EF2" w:rsidRPr="002357B2" w:rsidRDefault="00826EF2" w:rsidP="002357B2">
      <w:pPr>
        <w:pStyle w:val="Bullets"/>
      </w:pPr>
      <w:r w:rsidRPr="002357B2">
        <w:t>new indigenous outcome targets to ensure jobactive organisations are helping indigenous job seekers into work at the same rate as other job seekers in their region</w:t>
      </w:r>
    </w:p>
    <w:p w:rsidR="00317F8C" w:rsidRDefault="00826EF2" w:rsidP="002357B2">
      <w:pPr>
        <w:pStyle w:val="Bullets"/>
      </w:pPr>
      <w:r w:rsidRPr="002357B2">
        <w:t>the establishment of 51 new Employment Regions to promote economies of scale</w:t>
      </w:r>
    </w:p>
    <w:p w:rsidR="00826EF2" w:rsidRPr="002357B2" w:rsidRDefault="00826EF2" w:rsidP="002357B2">
      <w:pPr>
        <w:pStyle w:val="Bullets"/>
      </w:pPr>
      <w:r w:rsidRPr="002357B2">
        <w:t>reduced service prescription and red tape in the administration and delivery of employment services</w:t>
      </w:r>
    </w:p>
    <w:p w:rsidR="00826EF2" w:rsidRPr="002357B2" w:rsidRDefault="00826EF2" w:rsidP="002357B2">
      <w:pPr>
        <w:pStyle w:val="Bullets"/>
      </w:pPr>
      <w:r w:rsidRPr="002357B2">
        <w:t xml:space="preserve">the new employment services contract </w:t>
      </w:r>
      <w:r w:rsidR="002357B2">
        <w:t>is</w:t>
      </w:r>
      <w:r w:rsidRPr="002357B2">
        <w:t xml:space="preserve"> for five years instead of three years</w:t>
      </w:r>
      <w:r w:rsidR="00317F8C">
        <w:t>, as was</w:t>
      </w:r>
      <w:r w:rsidRPr="002357B2">
        <w:t xml:space="preserve"> offered in the past</w:t>
      </w:r>
    </w:p>
    <w:p w:rsidR="00826EF2" w:rsidRPr="002357B2" w:rsidRDefault="00826EF2" w:rsidP="002357B2">
      <w:pPr>
        <w:pStyle w:val="Bullets"/>
      </w:pPr>
      <w:r w:rsidRPr="002357B2">
        <w:t>a mid-contract price adjustment paid to ensure employment providers can deliver the service for the life of the contract</w:t>
      </w:r>
    </w:p>
    <w:p w:rsidR="00826EF2" w:rsidRPr="002357B2" w:rsidRDefault="00826EF2" w:rsidP="002357B2">
      <w:pPr>
        <w:pStyle w:val="Bullets"/>
      </w:pPr>
      <w:r w:rsidRPr="002357B2">
        <w:t>a new regional loading for providers in selected regions in recognition that labour market conditions vary across Australia</w:t>
      </w:r>
    </w:p>
    <w:p w:rsidR="00826EF2" w:rsidRPr="0028309A" w:rsidRDefault="00826EF2" w:rsidP="0028309A">
      <w:pPr>
        <w:pStyle w:val="Bullets"/>
      </w:pPr>
      <w:proofErr w:type="gramStart"/>
      <w:r w:rsidRPr="0028309A">
        <w:t>greater</w:t>
      </w:r>
      <w:proofErr w:type="gramEnd"/>
      <w:r w:rsidRPr="0028309A">
        <w:t xml:space="preserve"> emphasis on service quality including compulsory certification under the Quality Assurance Framework for jobactive organisations</w:t>
      </w:r>
      <w:r w:rsidR="00F25C8D" w:rsidRPr="0028309A">
        <w:t>.</w:t>
      </w:r>
    </w:p>
    <w:p w:rsidR="00826EF2" w:rsidRPr="0028309A" w:rsidRDefault="001A5E2D" w:rsidP="0028309A">
      <w:r w:rsidRPr="0028309A">
        <w:t>Other k</w:t>
      </w:r>
      <w:r w:rsidR="00826EF2" w:rsidRPr="0028309A">
        <w:t xml:space="preserve">ey </w:t>
      </w:r>
      <w:r w:rsidRPr="0028309A">
        <w:t xml:space="preserve">features </w:t>
      </w:r>
      <w:r w:rsidR="00826EF2" w:rsidRPr="0028309A">
        <w:t>of jobactive are:</w:t>
      </w:r>
    </w:p>
    <w:p w:rsidR="00826EF2" w:rsidRPr="002357B2" w:rsidRDefault="00826EF2" w:rsidP="002357B2">
      <w:pPr>
        <w:pStyle w:val="Bullets"/>
      </w:pPr>
      <w:proofErr w:type="gramStart"/>
      <w:r w:rsidRPr="002357B2">
        <w:t>the</w:t>
      </w:r>
      <w:proofErr w:type="gramEnd"/>
      <w:r w:rsidRPr="002357B2">
        <w:t xml:space="preserve"> Relocation Assistance to Take up a Job Programme </w:t>
      </w:r>
      <w:r w:rsidR="002357B2">
        <w:t>began</w:t>
      </w:r>
      <w:r w:rsidRPr="002357B2">
        <w:t xml:space="preserve"> on 1</w:t>
      </w:r>
      <w:r w:rsidR="002357B2">
        <w:t> </w:t>
      </w:r>
      <w:r w:rsidRPr="002357B2">
        <w:t>July</w:t>
      </w:r>
      <w:r w:rsidR="002357B2">
        <w:t> </w:t>
      </w:r>
      <w:r w:rsidRPr="002357B2">
        <w:t>2014. The programme encourages labour mobility by assisting long-term unemployed people to relocate to take up ongoing work. The government provides job seekers who have been unemployed for 12 months, and meet other eligibility requirements, up to $6000 if they move to a regional area or up to $3000 if they relocate to a metropolitan area from a regional area to take up a job (or from a capital city with high unemployment to a capital city with lower unemployment). An additional $3000 may also be made available for families with dependent children</w:t>
      </w:r>
      <w:r w:rsidR="00221D97">
        <w:t>.</w:t>
      </w:r>
    </w:p>
    <w:p w:rsidR="00826EF2" w:rsidRPr="002357B2" w:rsidRDefault="00826EF2" w:rsidP="002357B2">
      <w:pPr>
        <w:pStyle w:val="Bullets"/>
      </w:pPr>
      <w:proofErr w:type="gramStart"/>
      <w:r w:rsidRPr="002357B2">
        <w:t>the</w:t>
      </w:r>
      <w:proofErr w:type="gramEnd"/>
      <w:r w:rsidRPr="002357B2">
        <w:t xml:space="preserve"> Job Commitment Bonus encourages long-term unemployed young Australians to find and keep a job by offering a payment for remaining in work and off income support. From 1 July 2014, job seekers aged 18 to 30 who have been receiving </w:t>
      </w:r>
      <w:proofErr w:type="spellStart"/>
      <w:r w:rsidRPr="002357B2">
        <w:t>Newstart</w:t>
      </w:r>
      <w:proofErr w:type="spellEnd"/>
      <w:r w:rsidRPr="002357B2">
        <w:t xml:space="preserve"> Allowance or Youth Allowance (other) for 12 months or more will be eligible for a $2500 payment if they get a job and remain completely off welfare for a continuous period of 12 months. A further $4000 will be available if they remain in a job and completely off </w:t>
      </w:r>
      <w:r w:rsidRPr="002357B2">
        <w:lastRenderedPageBreak/>
        <w:t xml:space="preserve">welfare for a continuous period of 24 months. First payments are expected from July 2015. </w:t>
      </w:r>
    </w:p>
    <w:p w:rsidR="00826EF2" w:rsidRPr="002357B2" w:rsidRDefault="00826EF2" w:rsidP="002357B2">
      <w:pPr>
        <w:pStyle w:val="Bullets"/>
      </w:pPr>
      <w:proofErr w:type="gramStart"/>
      <w:r w:rsidRPr="002357B2">
        <w:t>the</w:t>
      </w:r>
      <w:proofErr w:type="gramEnd"/>
      <w:r w:rsidRPr="002357B2">
        <w:t xml:space="preserve"> Tasmanian Jobs Programme is a two year trial programme which provide</w:t>
      </w:r>
      <w:r w:rsidR="002C44C3">
        <w:t>s</w:t>
      </w:r>
      <w:r w:rsidRPr="002357B2">
        <w:t xml:space="preserve"> a one-off payment of $3250</w:t>
      </w:r>
      <w:r w:rsidR="002357B2">
        <w:t xml:space="preserve">, increasing to </w:t>
      </w:r>
      <w:r w:rsidR="002B15C8">
        <w:t>$</w:t>
      </w:r>
      <w:r w:rsidR="002357B2">
        <w:t>6500 from 13 May 2015,</w:t>
      </w:r>
      <w:r w:rsidRPr="002357B2">
        <w:t xml:space="preserve"> to any Tasmanian business that employs eligible job seekers for a period of at least six months. The programme </w:t>
      </w:r>
      <w:r w:rsidR="002C44C3">
        <w:t>began</w:t>
      </w:r>
      <w:r w:rsidRPr="002357B2">
        <w:t xml:space="preserve"> on 1 January 2014. To be eligible, job seekers must have been a resident in Tasmania for the preceding six months, receiving an eligible income support payment for the same period and have participation requirements.</w:t>
      </w:r>
    </w:p>
    <w:p w:rsidR="00826EF2" w:rsidRPr="002357B2" w:rsidRDefault="00826EF2" w:rsidP="002357B2">
      <w:pPr>
        <w:pStyle w:val="Bullets"/>
      </w:pPr>
      <w:r w:rsidRPr="002357B2">
        <w:t>New Enterprise Incentive Scheme (</w:t>
      </w:r>
      <w:proofErr w:type="spellStart"/>
      <w:r w:rsidRPr="002357B2">
        <w:t>NEIS</w:t>
      </w:r>
      <w:proofErr w:type="spellEnd"/>
      <w:r w:rsidRPr="002357B2">
        <w:t xml:space="preserve">) provides job seekers with accredited small business training (Certificate IV in Small Business Management or Certificate III in Micro-business Operations), which includes the development of business plans. Once their business plan is approved and their business is up and running, participants receive business mentoring and other support for up to 52 weeks, as well as ongoing income support via </w:t>
      </w:r>
      <w:proofErr w:type="spellStart"/>
      <w:r w:rsidRPr="005F3BBD">
        <w:t>NEIS</w:t>
      </w:r>
      <w:proofErr w:type="spellEnd"/>
      <w:r w:rsidRPr="005F3BBD">
        <w:t xml:space="preserve"> Allowance</w:t>
      </w:r>
      <w:r w:rsidRPr="002357B2">
        <w:t xml:space="preserve">, for up to 39 weeks. </w:t>
      </w:r>
      <w:proofErr w:type="spellStart"/>
      <w:r w:rsidRPr="002357B2">
        <w:t>NEIS</w:t>
      </w:r>
      <w:proofErr w:type="spellEnd"/>
      <w:r w:rsidRPr="002357B2">
        <w:t xml:space="preserve"> supports up to 6300 </w:t>
      </w:r>
      <w:proofErr w:type="spellStart"/>
      <w:r w:rsidRPr="002357B2">
        <w:t>NEIS</w:t>
      </w:r>
      <w:proofErr w:type="spellEnd"/>
      <w:r w:rsidRPr="002357B2">
        <w:t xml:space="preserve"> business start-ups per financial year.</w:t>
      </w:r>
    </w:p>
    <w:p w:rsidR="00826EF2" w:rsidRPr="002357B2" w:rsidRDefault="00826EF2" w:rsidP="002357B2">
      <w:pPr>
        <w:pStyle w:val="Bullets"/>
      </w:pPr>
      <w:r w:rsidRPr="002357B2">
        <w:t>Harvest Labour Services (HLS) help</w:t>
      </w:r>
      <w:r w:rsidR="002C44C3">
        <w:t>s</w:t>
      </w:r>
      <w:r w:rsidRPr="002357B2">
        <w:t xml:space="preserve"> growers to supplement local labour with out-of-area workers. Services delivered by HLS providers include: </w:t>
      </w:r>
    </w:p>
    <w:p w:rsidR="00826EF2" w:rsidRPr="00D02992" w:rsidRDefault="00826EF2" w:rsidP="007A5258">
      <w:pPr>
        <w:pStyle w:val="Dash"/>
      </w:pPr>
      <w:r w:rsidRPr="00D02992">
        <w:t>mobilising job seekers from locations outside harvest areas and placing them into harvest jobs</w:t>
      </w:r>
    </w:p>
    <w:p w:rsidR="00826EF2" w:rsidRPr="00D02992" w:rsidRDefault="00826EF2" w:rsidP="007A5258">
      <w:pPr>
        <w:pStyle w:val="Dash"/>
      </w:pPr>
      <w:r w:rsidRPr="00D02992">
        <w:t>liaising with growers and supporting their harvest labour needs</w:t>
      </w:r>
    </w:p>
    <w:p w:rsidR="00826EF2" w:rsidRPr="00D02992" w:rsidRDefault="00826EF2" w:rsidP="007A5258">
      <w:pPr>
        <w:pStyle w:val="Dash"/>
      </w:pPr>
      <w:proofErr w:type="gramStart"/>
      <w:r w:rsidRPr="00D02992">
        <w:t>marketing</w:t>
      </w:r>
      <w:proofErr w:type="gramEnd"/>
      <w:r w:rsidRPr="00D02992">
        <w:t xml:space="preserve"> harvest work opportunities.  </w:t>
      </w:r>
    </w:p>
    <w:p w:rsidR="00826EF2" w:rsidRPr="002357B2" w:rsidRDefault="00826EF2" w:rsidP="002357B2">
      <w:pPr>
        <w:pStyle w:val="Bullets"/>
      </w:pPr>
      <w:proofErr w:type="gramStart"/>
      <w:r w:rsidRPr="002357B2">
        <w:t>the</w:t>
      </w:r>
      <w:proofErr w:type="gramEnd"/>
      <w:r w:rsidRPr="002357B2">
        <w:t xml:space="preserve"> National Harvest Labour Information Service (</w:t>
      </w:r>
      <w:proofErr w:type="spellStart"/>
      <w:r w:rsidRPr="002357B2">
        <w:t>NHLIS</w:t>
      </w:r>
      <w:proofErr w:type="spellEnd"/>
      <w:r w:rsidRPr="002357B2">
        <w:t xml:space="preserve">) provides national coordination and dissemination of information regarding harvest-related work opportunities across Australia, including those areas not serviced by the HLS. </w:t>
      </w:r>
      <w:proofErr w:type="spellStart"/>
      <w:r w:rsidRPr="002357B2">
        <w:t>NHLIS</w:t>
      </w:r>
      <w:proofErr w:type="spellEnd"/>
      <w:r w:rsidRPr="002357B2">
        <w:t xml:space="preserve"> services include:</w:t>
      </w:r>
    </w:p>
    <w:p w:rsidR="00826EF2" w:rsidRPr="00D02992" w:rsidRDefault="00826EF2" w:rsidP="007A5258">
      <w:pPr>
        <w:pStyle w:val="Dash"/>
      </w:pPr>
      <w:r w:rsidRPr="00D02992">
        <w:t>producing and distributing an electronic National Harvest Guide—a comprehensive Harvest Trail information booklet maintaining information on harvest job opportunities around the country on the harvesttrail.gov.au website</w:t>
      </w:r>
    </w:p>
    <w:p w:rsidR="00826EF2" w:rsidRDefault="00826EF2" w:rsidP="007A5258">
      <w:pPr>
        <w:pStyle w:val="Dash"/>
      </w:pPr>
      <w:proofErr w:type="gramStart"/>
      <w:r w:rsidRPr="00D02992">
        <w:t>providing</w:t>
      </w:r>
      <w:proofErr w:type="gramEnd"/>
      <w:r w:rsidRPr="00D02992">
        <w:t xml:space="preserve"> a national free-call telephone information service.</w:t>
      </w:r>
    </w:p>
    <w:p w:rsidR="00826EF2" w:rsidRDefault="00826EF2" w:rsidP="002357B2">
      <w:pPr>
        <w:pStyle w:val="Bullets"/>
      </w:pPr>
      <w:r w:rsidRPr="002357B2">
        <w:t>Structural adjustment programmes</w:t>
      </w:r>
      <w:r w:rsidR="00E2256F">
        <w:t>—support</w:t>
      </w:r>
      <w:r w:rsidRPr="002357B2">
        <w:t xml:space="preserve"> workers who are retrenched from eligible companies in particular industries. Eligible workers receive a higher level of support through jobactive</w:t>
      </w:r>
      <w:r w:rsidR="001A5E2D">
        <w:t>.</w:t>
      </w:r>
    </w:p>
    <w:p w:rsidR="0001500C" w:rsidRDefault="0001500C" w:rsidP="00581D30">
      <w:pPr>
        <w:pStyle w:val="NoSpacing"/>
      </w:pPr>
    </w:p>
    <w:p w:rsidR="0001500C" w:rsidRDefault="00BA0CC9" w:rsidP="008F5AFC">
      <w:pPr>
        <w:pStyle w:val="TableHeading"/>
      </w:pPr>
      <w:r>
        <w:lastRenderedPageBreak/>
        <w:t xml:space="preserve">Table 2.1.1 </w:t>
      </w:r>
      <w:r w:rsidR="00EE7C90">
        <w:t>Budgeted</w:t>
      </w:r>
      <w:r>
        <w:t xml:space="preserve"> expenses for Programme 1.1</w:t>
      </w:r>
    </w:p>
    <w:p w:rsidR="001D4CAA" w:rsidRDefault="00DF114B" w:rsidP="001D4CAA">
      <w:pPr>
        <w:pStyle w:val="TableGraphic"/>
      </w:pPr>
      <w:r>
        <w:pict>
          <v:shape id="_x0000_i1035" type="#_x0000_t75" style="width:385.05pt;height:155.25pt">
            <v:imagedata r:id="rId15" o:title=""/>
          </v:shape>
        </w:pict>
      </w:r>
    </w:p>
    <w:p w:rsidR="002762BF" w:rsidRDefault="002762BF" w:rsidP="002762BF">
      <w:r>
        <w:t xml:space="preserve">Linked to: Department of Human </w:t>
      </w:r>
      <w:proofErr w:type="gramStart"/>
      <w:r>
        <w:t>Services,</w:t>
      </w:r>
      <w:proofErr w:type="gramEnd"/>
      <w:r>
        <w:t xml:space="preserve"> Programme 1.1 Services to the Community – Social Security and Welfare and the Department of Prime Minister and Cabinet, Programme 2.1 Jobs, Land and Economy.</w:t>
      </w:r>
    </w:p>
    <w:p w:rsidR="002762BF" w:rsidRPr="002762BF" w:rsidRDefault="002762BF" w:rsidP="002762BF"/>
    <w:p w:rsidR="0001500C" w:rsidRDefault="0001500C" w:rsidP="00193C99">
      <w:pPr>
        <w:pStyle w:val="Heading4"/>
      </w:pPr>
      <w:r>
        <w:t xml:space="preserve">Programme 1.1 Performance measures  </w:t>
      </w:r>
    </w:p>
    <w:p w:rsidR="00826EF2" w:rsidRDefault="00826EF2" w:rsidP="0001500C">
      <w:pPr>
        <w:rPr>
          <w:rFonts w:cs="Arial"/>
        </w:rPr>
      </w:pPr>
      <w:r>
        <w:rPr>
          <w:rFonts w:cs="Arial"/>
        </w:rPr>
        <w:t xml:space="preserve">The new </w:t>
      </w:r>
      <w:r w:rsidRPr="00DE0C63">
        <w:rPr>
          <w:rFonts w:cs="Arial"/>
        </w:rPr>
        <w:t>jobactive</w:t>
      </w:r>
      <w:r>
        <w:rPr>
          <w:rFonts w:cs="Arial"/>
        </w:rPr>
        <w:t xml:space="preserve"> programme is designed to help more job seekers to find and keep a job and move from welfare to work.</w:t>
      </w:r>
    </w:p>
    <w:p w:rsidR="00826EF2" w:rsidRDefault="00826EF2" w:rsidP="0001500C">
      <w:pPr>
        <w:rPr>
          <w:rFonts w:cs="Arial"/>
        </w:rPr>
      </w:pPr>
      <w:r>
        <w:rPr>
          <w:rFonts w:cs="Arial"/>
        </w:rPr>
        <w:t xml:space="preserve">Performance against the objective of helping people to </w:t>
      </w:r>
      <w:r w:rsidR="009D4D3C">
        <w:rPr>
          <w:rFonts w:cs="Arial"/>
        </w:rPr>
        <w:t>find and keep a job</w:t>
      </w:r>
      <w:r>
        <w:rPr>
          <w:rFonts w:cs="Arial"/>
        </w:rPr>
        <w:t xml:space="preserve"> will be measured in terms of the proportion of job placements that last 4, 12 and 26</w:t>
      </w:r>
      <w:r w:rsidR="00E2256F">
        <w:rPr>
          <w:rFonts w:cs="Arial"/>
        </w:rPr>
        <w:t> </w:t>
      </w:r>
      <w:r>
        <w:rPr>
          <w:rFonts w:cs="Arial"/>
        </w:rPr>
        <w:t>weeks, in keeping with the new outcome payment structure.</w:t>
      </w:r>
    </w:p>
    <w:p w:rsidR="00826EF2" w:rsidRDefault="00826EF2" w:rsidP="0001500C">
      <w:pPr>
        <w:rPr>
          <w:rFonts w:cs="Arial"/>
        </w:rPr>
      </w:pPr>
      <w:r>
        <w:rPr>
          <w:rFonts w:cs="Arial"/>
        </w:rPr>
        <w:t xml:space="preserve">Performance against the objective of helping people move from welfare to work will be measured in terms of the proportion of job seekers who move off income support or reduce their reliance on income support, six months following participation in jobactive. </w:t>
      </w:r>
    </w:p>
    <w:p w:rsidR="00826EF2" w:rsidRPr="00C465AF" w:rsidRDefault="00826EF2" w:rsidP="0030537F">
      <w:pPr>
        <w:rPr>
          <w:rFonts w:cs="Arial"/>
        </w:rPr>
      </w:pPr>
      <w:r w:rsidRPr="00C465AF">
        <w:rPr>
          <w:rFonts w:cs="Arial"/>
        </w:rPr>
        <w:t xml:space="preserve">The programme’s cost efficiency will be measured by the total programme cost per employed job seeker. </w:t>
      </w:r>
    </w:p>
    <w:p w:rsidR="00826EF2" w:rsidRPr="00C465AF" w:rsidRDefault="00826EF2" w:rsidP="0030537F">
      <w:pPr>
        <w:rPr>
          <w:rFonts w:cs="Arial"/>
        </w:rPr>
      </w:pPr>
      <w:r w:rsidRPr="00C465AF">
        <w:rPr>
          <w:rFonts w:cs="Arial"/>
        </w:rPr>
        <w:t xml:space="preserve">Targets </w:t>
      </w:r>
      <w:r w:rsidR="001A5E2D">
        <w:rPr>
          <w:rFonts w:cs="Arial"/>
        </w:rPr>
        <w:t>have been</w:t>
      </w:r>
      <w:r w:rsidR="001A5E2D" w:rsidRPr="00C465AF">
        <w:rPr>
          <w:rFonts w:cs="Arial"/>
        </w:rPr>
        <w:t xml:space="preserve"> </w:t>
      </w:r>
      <w:r w:rsidRPr="00C465AF">
        <w:rPr>
          <w:rFonts w:cs="Arial"/>
        </w:rPr>
        <w:t xml:space="preserve">set for each performance measure based on 2014–15 labour market conditions and caseload composition. Many performance measures are affected by external factors, particularly labour market conditions and the level of disadvantage of the job seekers taking part in the programme. These factors will be </w:t>
      </w:r>
      <w:r w:rsidR="00317F8C">
        <w:rPr>
          <w:rFonts w:cs="Arial"/>
        </w:rPr>
        <w:t xml:space="preserve">considered </w:t>
      </w:r>
      <w:r>
        <w:rPr>
          <w:rFonts w:cs="Arial"/>
        </w:rPr>
        <w:t>in conjunction with reporting on</w:t>
      </w:r>
      <w:r w:rsidRPr="00C465AF">
        <w:rPr>
          <w:rFonts w:cs="Arial"/>
        </w:rPr>
        <w:t xml:space="preserve"> the programme’s performance in the Department of Employment</w:t>
      </w:r>
      <w:r w:rsidR="008D1847">
        <w:rPr>
          <w:rFonts w:cs="Arial"/>
        </w:rPr>
        <w:t>’s</w:t>
      </w:r>
      <w:r w:rsidRPr="00C465AF">
        <w:rPr>
          <w:rFonts w:cs="Arial"/>
        </w:rPr>
        <w:t xml:space="preserve"> Annual Report 2015–16. </w:t>
      </w:r>
    </w:p>
    <w:p w:rsidR="00826EF2" w:rsidRPr="00C465AF" w:rsidRDefault="00826EF2" w:rsidP="0030537F">
      <w:pPr>
        <w:rPr>
          <w:rFonts w:cs="Arial"/>
        </w:rPr>
      </w:pPr>
      <w:r w:rsidRPr="00C465AF">
        <w:rPr>
          <w:rFonts w:cs="Arial"/>
        </w:rPr>
        <w:t xml:space="preserve">Many job seekers will not have participated in jobactive for a sufficient period of time for their outcomes to be measured during 2015–16. Therefore, some performance measures </w:t>
      </w:r>
      <w:r>
        <w:rPr>
          <w:rFonts w:cs="Arial"/>
        </w:rPr>
        <w:t xml:space="preserve">for 2015–16 </w:t>
      </w:r>
      <w:r w:rsidRPr="00C465AF">
        <w:rPr>
          <w:rFonts w:cs="Arial"/>
        </w:rPr>
        <w:t xml:space="preserve">will relate to a smaller proportion of job seekers than in future years. </w:t>
      </w:r>
    </w:p>
    <w:p w:rsidR="00826EF2" w:rsidRPr="00C465AF" w:rsidRDefault="00826EF2" w:rsidP="0030537F">
      <w:pPr>
        <w:rPr>
          <w:rFonts w:cs="Arial"/>
        </w:rPr>
      </w:pPr>
      <w:r w:rsidRPr="00C465AF">
        <w:rPr>
          <w:rFonts w:cs="Arial"/>
        </w:rPr>
        <w:t xml:space="preserve">Performance measures for the jobactive programme are described in tables </w:t>
      </w:r>
      <w:proofErr w:type="spellStart"/>
      <w:r w:rsidR="00316341" w:rsidRPr="00316341">
        <w:rPr>
          <w:rFonts w:cs="Arial"/>
        </w:rPr>
        <w:t>2.1.1A</w:t>
      </w:r>
      <w:proofErr w:type="spellEnd"/>
      <w:r w:rsidR="008D1847" w:rsidRPr="00316341">
        <w:rPr>
          <w:rFonts w:cs="Arial"/>
        </w:rPr>
        <w:t> </w:t>
      </w:r>
      <w:r w:rsidRPr="00316341">
        <w:rPr>
          <w:rFonts w:cs="Arial"/>
        </w:rPr>
        <w:t xml:space="preserve">to </w:t>
      </w:r>
      <w:proofErr w:type="spellStart"/>
      <w:r w:rsidR="00316341" w:rsidRPr="00316341">
        <w:rPr>
          <w:rFonts w:cs="Arial"/>
        </w:rPr>
        <w:t>2.1.1C</w:t>
      </w:r>
      <w:proofErr w:type="spellEnd"/>
      <w:r w:rsidRPr="00C465AF">
        <w:rPr>
          <w:rFonts w:cs="Arial"/>
        </w:rPr>
        <w:t xml:space="preserve">. </w:t>
      </w:r>
    </w:p>
    <w:p w:rsidR="00826EF2" w:rsidRPr="00C465AF" w:rsidRDefault="00826EF2" w:rsidP="0030537F">
      <w:pPr>
        <w:rPr>
          <w:rFonts w:cs="Arial"/>
        </w:rPr>
      </w:pPr>
      <w:r w:rsidRPr="00C465AF">
        <w:rPr>
          <w:rFonts w:cs="Arial"/>
        </w:rPr>
        <w:lastRenderedPageBreak/>
        <w:t xml:space="preserve">Job Services Australia will conclude </w:t>
      </w:r>
      <w:r w:rsidR="006C3185">
        <w:rPr>
          <w:rFonts w:cs="Arial"/>
        </w:rPr>
        <w:t>o</w:t>
      </w:r>
      <w:r w:rsidR="005F3BBD">
        <w:rPr>
          <w:rFonts w:cs="Arial"/>
        </w:rPr>
        <w:t>n</w:t>
      </w:r>
      <w:r w:rsidRPr="00C465AF">
        <w:rPr>
          <w:rFonts w:cs="Arial"/>
        </w:rPr>
        <w:t xml:space="preserve"> 30 June 2015. Performance results for Job Services Australia for 2014–15 are unavailable at </w:t>
      </w:r>
      <w:r w:rsidR="006C3185">
        <w:rPr>
          <w:rFonts w:cs="Arial"/>
        </w:rPr>
        <w:t xml:space="preserve">the </w:t>
      </w:r>
      <w:r w:rsidRPr="00C465AF">
        <w:rPr>
          <w:rFonts w:cs="Arial"/>
        </w:rPr>
        <w:t>time of Budget</w:t>
      </w:r>
      <w:r w:rsidRPr="00C465AF" w:rsidDel="00AE48DC">
        <w:rPr>
          <w:rFonts w:cs="Arial"/>
        </w:rPr>
        <w:t xml:space="preserve"> </w:t>
      </w:r>
      <w:r w:rsidRPr="00C465AF">
        <w:rPr>
          <w:rFonts w:cs="Arial"/>
        </w:rPr>
        <w:t>and will be reported in the Department of Employment</w:t>
      </w:r>
      <w:r w:rsidR="008D1847">
        <w:rPr>
          <w:rFonts w:cs="Arial"/>
        </w:rPr>
        <w:t>’s</w:t>
      </w:r>
      <w:r w:rsidRPr="00C465AF">
        <w:rPr>
          <w:rFonts w:cs="Arial"/>
        </w:rPr>
        <w:t xml:space="preserve"> Annual Report 2014–15.</w:t>
      </w:r>
    </w:p>
    <w:p w:rsidR="00DF4C9E" w:rsidRPr="00C465AF" w:rsidRDefault="002C44C3" w:rsidP="00101440">
      <w:pPr>
        <w:pStyle w:val="TableHeading"/>
      </w:pPr>
      <w:r>
        <w:t>T</w:t>
      </w:r>
      <w:r w:rsidR="00DF4C9E" w:rsidRPr="00C465AF">
        <w:t xml:space="preserve">able </w:t>
      </w:r>
      <w:proofErr w:type="spellStart"/>
      <w:r w:rsidR="00316341">
        <w:t>2.1.1</w:t>
      </w:r>
      <w:r w:rsidR="00101440">
        <w:t>.</w:t>
      </w:r>
      <w:r w:rsidR="00316341">
        <w:t>A</w:t>
      </w:r>
      <w:proofErr w:type="spellEnd"/>
      <w:r w:rsidR="00101440">
        <w:t xml:space="preserve"> </w:t>
      </w:r>
      <w:r w:rsidR="00DF4C9E" w:rsidRPr="00C465AF">
        <w:t>Objective 1: Help job seekers find and keep a job</w:t>
      </w:r>
      <w:r w:rsidR="00DF4C9E" w:rsidRPr="00C465AF">
        <w:tab/>
        <w:t xml:space="preserve"> </w:t>
      </w:r>
    </w:p>
    <w:tbl>
      <w:tblPr>
        <w:tblStyle w:val="TableGrid"/>
        <w:tblW w:w="0" w:type="auto"/>
        <w:tblInd w:w="-34" w:type="dxa"/>
        <w:tblLook w:val="04A0" w:firstRow="1" w:lastRow="0" w:firstColumn="1" w:lastColumn="0" w:noHBand="0" w:noVBand="1"/>
        <w:tblCaption w:val="Table 2.1.1.A Objective 1: Help job seekers find and keep a job"/>
      </w:tblPr>
      <w:tblGrid>
        <w:gridCol w:w="2128"/>
        <w:gridCol w:w="1087"/>
        <w:gridCol w:w="984"/>
        <w:gridCol w:w="983"/>
        <w:gridCol w:w="1119"/>
        <w:gridCol w:w="1092"/>
      </w:tblGrid>
      <w:tr w:rsidR="003B0963" w:rsidRPr="00C465AF" w:rsidTr="005D3254">
        <w:trPr>
          <w:tblHeader/>
        </w:trPr>
        <w:tc>
          <w:tcPr>
            <w:tcW w:w="2128" w:type="dxa"/>
          </w:tcPr>
          <w:p w:rsidR="003B0963" w:rsidRPr="00C465AF" w:rsidRDefault="003B0963" w:rsidP="0030537F">
            <w:pPr>
              <w:pStyle w:val="TableName"/>
              <w:keepLines/>
            </w:pPr>
            <w:r w:rsidRPr="00C465AF">
              <w:t>Performance measure</w:t>
            </w:r>
          </w:p>
        </w:tc>
        <w:tc>
          <w:tcPr>
            <w:tcW w:w="1087" w:type="dxa"/>
          </w:tcPr>
          <w:p w:rsidR="003B0963" w:rsidRPr="00C465AF" w:rsidRDefault="003B0963" w:rsidP="0030537F">
            <w:pPr>
              <w:pStyle w:val="TableTextBoldRight"/>
              <w:keepNext/>
              <w:keepLines/>
            </w:pPr>
            <w:r w:rsidRPr="00C465AF">
              <w:t>2014–15</w:t>
            </w:r>
          </w:p>
          <w:p w:rsidR="003B0963" w:rsidRPr="00C465AF" w:rsidRDefault="003B0963" w:rsidP="0030537F">
            <w:pPr>
              <w:pStyle w:val="TableTextBoldRight"/>
              <w:keepNext/>
              <w:keepLines/>
            </w:pPr>
            <w:r w:rsidRPr="00C465AF">
              <w:t>Revised budget</w:t>
            </w:r>
          </w:p>
        </w:tc>
        <w:tc>
          <w:tcPr>
            <w:tcW w:w="984" w:type="dxa"/>
          </w:tcPr>
          <w:p w:rsidR="003B0963" w:rsidRPr="00C465AF" w:rsidRDefault="003B0963" w:rsidP="0030537F">
            <w:pPr>
              <w:pStyle w:val="TableTextBoldRight"/>
              <w:keepNext/>
              <w:keepLines/>
            </w:pPr>
            <w:r w:rsidRPr="00C465AF">
              <w:t>2015–16 Budget</w:t>
            </w:r>
          </w:p>
        </w:tc>
        <w:tc>
          <w:tcPr>
            <w:tcW w:w="983" w:type="dxa"/>
          </w:tcPr>
          <w:p w:rsidR="003B0963" w:rsidRDefault="003B0963" w:rsidP="0030537F">
            <w:pPr>
              <w:pStyle w:val="TableTextBoldRight"/>
              <w:keepNext/>
              <w:keepLines/>
            </w:pPr>
            <w:r w:rsidRPr="00C465AF">
              <w:t>2016–17</w:t>
            </w:r>
          </w:p>
          <w:p w:rsidR="003B0963" w:rsidRPr="00C465AF" w:rsidRDefault="003B0963" w:rsidP="0030537F">
            <w:pPr>
              <w:pStyle w:val="TableTextBoldRight"/>
              <w:keepNext/>
              <w:keepLines/>
            </w:pPr>
            <w:r>
              <w:t>Forward Estimate</w:t>
            </w:r>
          </w:p>
        </w:tc>
        <w:tc>
          <w:tcPr>
            <w:tcW w:w="1119" w:type="dxa"/>
          </w:tcPr>
          <w:p w:rsidR="003B0963" w:rsidRDefault="003B0963" w:rsidP="0030537F">
            <w:pPr>
              <w:pStyle w:val="TableTextBoldRight"/>
              <w:keepNext/>
              <w:keepLines/>
            </w:pPr>
            <w:r w:rsidRPr="00C465AF">
              <w:t>2017–18</w:t>
            </w:r>
          </w:p>
          <w:p w:rsidR="003B0963" w:rsidRPr="00C465AF" w:rsidRDefault="003B0963" w:rsidP="0030537F">
            <w:pPr>
              <w:pStyle w:val="TableTextBoldRight"/>
              <w:keepNext/>
              <w:keepLines/>
            </w:pPr>
            <w:r>
              <w:t>Forward Estimate</w:t>
            </w:r>
          </w:p>
        </w:tc>
        <w:tc>
          <w:tcPr>
            <w:tcW w:w="1092" w:type="dxa"/>
          </w:tcPr>
          <w:p w:rsidR="003B0963" w:rsidRDefault="003B0963" w:rsidP="0030537F">
            <w:pPr>
              <w:pStyle w:val="TableTextBoldRight"/>
              <w:keepNext/>
              <w:keepLines/>
            </w:pPr>
            <w:r>
              <w:t>2018–19</w:t>
            </w:r>
          </w:p>
          <w:p w:rsidR="003B0963" w:rsidRPr="00C465AF" w:rsidRDefault="003B0963" w:rsidP="0030537F">
            <w:pPr>
              <w:pStyle w:val="TableTextBoldRight"/>
              <w:keepNext/>
              <w:keepLines/>
            </w:pPr>
            <w:r>
              <w:t>Forward Estimate</w:t>
            </w:r>
          </w:p>
        </w:tc>
      </w:tr>
      <w:tr w:rsidR="003B0963" w:rsidRPr="00C465AF" w:rsidTr="003B0963">
        <w:tc>
          <w:tcPr>
            <w:tcW w:w="2128" w:type="dxa"/>
          </w:tcPr>
          <w:p w:rsidR="003B0963" w:rsidRPr="00C465AF" w:rsidRDefault="003B0963" w:rsidP="001A5E2D">
            <w:pPr>
              <w:pStyle w:val="TableText"/>
              <w:keepNext/>
              <w:keepLines/>
              <w:jc w:val="left"/>
              <w:rPr>
                <w:color w:val="auto"/>
              </w:rPr>
            </w:pPr>
            <w:r w:rsidRPr="00C465AF">
              <w:t>Count of job placements</w:t>
            </w:r>
          </w:p>
        </w:tc>
        <w:tc>
          <w:tcPr>
            <w:tcW w:w="1087" w:type="dxa"/>
            <w:shd w:val="clear" w:color="auto" w:fill="D9D9D9" w:themeFill="background1" w:themeFillShade="D9"/>
          </w:tcPr>
          <w:p w:rsidR="003B0963" w:rsidRPr="00C465AF" w:rsidRDefault="003B0963" w:rsidP="0030537F">
            <w:pPr>
              <w:pStyle w:val="TableTextRight0"/>
              <w:keepNext/>
              <w:keepLines/>
            </w:pPr>
            <w:r w:rsidRPr="00C465AF">
              <w:t>-</w:t>
            </w:r>
            <w:r w:rsidRPr="00C465AF">
              <w:rPr>
                <w:vertAlign w:val="superscript"/>
              </w:rPr>
              <w:t>1</w:t>
            </w:r>
          </w:p>
        </w:tc>
        <w:tc>
          <w:tcPr>
            <w:tcW w:w="984" w:type="dxa"/>
          </w:tcPr>
          <w:p w:rsidR="003B0963" w:rsidRPr="00C465AF" w:rsidRDefault="003B0963" w:rsidP="0030537F">
            <w:pPr>
              <w:pStyle w:val="TableTextRight0"/>
              <w:keepNext/>
              <w:keepLines/>
            </w:pPr>
            <w:r w:rsidRPr="00C465AF">
              <w:t>380,000</w:t>
            </w:r>
          </w:p>
        </w:tc>
        <w:tc>
          <w:tcPr>
            <w:tcW w:w="983" w:type="dxa"/>
          </w:tcPr>
          <w:p w:rsidR="003B0963" w:rsidRPr="00C465AF" w:rsidRDefault="003B0963" w:rsidP="0030537F">
            <w:pPr>
              <w:pStyle w:val="TableTextRight0"/>
              <w:keepNext/>
              <w:keepLines/>
            </w:pPr>
            <w:r w:rsidRPr="00C465AF">
              <w:t>380,000</w:t>
            </w:r>
          </w:p>
        </w:tc>
        <w:tc>
          <w:tcPr>
            <w:tcW w:w="1119" w:type="dxa"/>
          </w:tcPr>
          <w:p w:rsidR="003B0963" w:rsidRPr="00C465AF" w:rsidRDefault="003B0963" w:rsidP="0030537F">
            <w:pPr>
              <w:pStyle w:val="TableTextRight0"/>
              <w:keepNext/>
              <w:keepLines/>
            </w:pPr>
            <w:r w:rsidRPr="00C465AF">
              <w:t>380,000</w:t>
            </w:r>
          </w:p>
        </w:tc>
        <w:tc>
          <w:tcPr>
            <w:tcW w:w="1092" w:type="dxa"/>
          </w:tcPr>
          <w:p w:rsidR="003B0963" w:rsidRPr="00C465AF" w:rsidRDefault="003B0963" w:rsidP="00CC5ED2">
            <w:pPr>
              <w:pStyle w:val="TableTextRight0"/>
              <w:keepNext/>
              <w:keepLines/>
            </w:pPr>
            <w:r w:rsidRPr="00C465AF">
              <w:t>380,000</w:t>
            </w:r>
          </w:p>
        </w:tc>
      </w:tr>
      <w:tr w:rsidR="003B0963" w:rsidRPr="00C465AF" w:rsidTr="003B0963">
        <w:tc>
          <w:tcPr>
            <w:tcW w:w="2128" w:type="dxa"/>
          </w:tcPr>
          <w:p w:rsidR="003B0963" w:rsidRPr="00C465AF" w:rsidRDefault="003B0963" w:rsidP="001A5E2D">
            <w:pPr>
              <w:pStyle w:val="TableText"/>
              <w:keepNext/>
              <w:keepLines/>
              <w:jc w:val="left"/>
            </w:pPr>
            <w:r w:rsidRPr="00C465AF">
              <w:t xml:space="preserve">Proportion of job placements sustained to four </w:t>
            </w:r>
            <w:proofErr w:type="spellStart"/>
            <w:r w:rsidRPr="00C465AF">
              <w:t>weeks</w:t>
            </w:r>
            <w:r w:rsidRPr="00C465AF">
              <w:rPr>
                <w:vertAlign w:val="superscript"/>
              </w:rPr>
              <w:t>2</w:t>
            </w:r>
            <w:proofErr w:type="spellEnd"/>
          </w:p>
        </w:tc>
        <w:tc>
          <w:tcPr>
            <w:tcW w:w="1087" w:type="dxa"/>
            <w:shd w:val="clear" w:color="auto" w:fill="D9D9D9" w:themeFill="background1" w:themeFillShade="D9"/>
          </w:tcPr>
          <w:p w:rsidR="003B0963" w:rsidRPr="00C465AF" w:rsidRDefault="003B0963" w:rsidP="0030537F">
            <w:pPr>
              <w:pStyle w:val="TableTextRight0"/>
              <w:keepNext/>
              <w:keepLines/>
            </w:pPr>
            <w:r w:rsidRPr="00C465AF">
              <w:t>-</w:t>
            </w:r>
          </w:p>
        </w:tc>
        <w:tc>
          <w:tcPr>
            <w:tcW w:w="984" w:type="dxa"/>
          </w:tcPr>
          <w:p w:rsidR="003B0963" w:rsidRPr="00C465AF" w:rsidRDefault="003B0963" w:rsidP="0030537F">
            <w:pPr>
              <w:pStyle w:val="TableTextRight0"/>
              <w:keepNext/>
              <w:keepLines/>
            </w:pPr>
            <w:r w:rsidRPr="00C465AF">
              <w:t>68%</w:t>
            </w:r>
          </w:p>
        </w:tc>
        <w:tc>
          <w:tcPr>
            <w:tcW w:w="983" w:type="dxa"/>
          </w:tcPr>
          <w:p w:rsidR="003B0963" w:rsidRPr="00C465AF" w:rsidRDefault="003B0963" w:rsidP="0030537F">
            <w:pPr>
              <w:pStyle w:val="TableTextRight0"/>
              <w:keepNext/>
              <w:keepLines/>
            </w:pPr>
            <w:r w:rsidRPr="00C465AF">
              <w:t>68%</w:t>
            </w:r>
          </w:p>
        </w:tc>
        <w:tc>
          <w:tcPr>
            <w:tcW w:w="1119" w:type="dxa"/>
          </w:tcPr>
          <w:p w:rsidR="003B0963" w:rsidRPr="00C465AF" w:rsidRDefault="003B0963" w:rsidP="0030537F">
            <w:pPr>
              <w:pStyle w:val="TableTextRight0"/>
              <w:keepNext/>
              <w:keepLines/>
            </w:pPr>
            <w:r w:rsidRPr="00C465AF">
              <w:t>68%</w:t>
            </w:r>
          </w:p>
        </w:tc>
        <w:tc>
          <w:tcPr>
            <w:tcW w:w="1092" w:type="dxa"/>
          </w:tcPr>
          <w:p w:rsidR="003B0963" w:rsidRPr="00C465AF" w:rsidRDefault="003B0963" w:rsidP="00CC5ED2">
            <w:pPr>
              <w:pStyle w:val="TableTextRight0"/>
              <w:keepNext/>
              <w:keepLines/>
            </w:pPr>
            <w:r w:rsidRPr="00C465AF">
              <w:t>68%</w:t>
            </w:r>
          </w:p>
        </w:tc>
      </w:tr>
      <w:tr w:rsidR="003B0963" w:rsidRPr="00C465AF" w:rsidTr="003B0963">
        <w:tc>
          <w:tcPr>
            <w:tcW w:w="2128" w:type="dxa"/>
          </w:tcPr>
          <w:p w:rsidR="003B0963" w:rsidRPr="00C465AF" w:rsidRDefault="003B0963" w:rsidP="001A5E2D">
            <w:pPr>
              <w:pStyle w:val="TableText"/>
              <w:keepNext/>
              <w:keepLines/>
              <w:jc w:val="left"/>
            </w:pPr>
            <w:r w:rsidRPr="00C465AF">
              <w:t xml:space="preserve">Proportion of job placements sustained to 12 </w:t>
            </w:r>
            <w:proofErr w:type="spellStart"/>
            <w:r w:rsidRPr="00C465AF">
              <w:t>weeks</w:t>
            </w:r>
            <w:r w:rsidRPr="00C465AF">
              <w:rPr>
                <w:vertAlign w:val="superscript"/>
              </w:rPr>
              <w:t>2</w:t>
            </w:r>
            <w:proofErr w:type="spellEnd"/>
          </w:p>
        </w:tc>
        <w:tc>
          <w:tcPr>
            <w:tcW w:w="1087" w:type="dxa"/>
            <w:shd w:val="clear" w:color="auto" w:fill="D9D9D9" w:themeFill="background1" w:themeFillShade="D9"/>
          </w:tcPr>
          <w:p w:rsidR="003B0963" w:rsidRPr="00C465AF" w:rsidRDefault="003B0963" w:rsidP="0030537F">
            <w:pPr>
              <w:pStyle w:val="TableTextRight0"/>
              <w:keepNext/>
              <w:keepLines/>
            </w:pPr>
            <w:r w:rsidRPr="00C465AF">
              <w:t>-</w:t>
            </w:r>
          </w:p>
        </w:tc>
        <w:tc>
          <w:tcPr>
            <w:tcW w:w="984" w:type="dxa"/>
          </w:tcPr>
          <w:p w:rsidR="003B0963" w:rsidRPr="00C465AF" w:rsidRDefault="003B0963" w:rsidP="0030537F">
            <w:pPr>
              <w:pStyle w:val="TableTextRight0"/>
              <w:keepNext/>
              <w:keepLines/>
            </w:pPr>
            <w:r w:rsidRPr="00C465AF">
              <w:t>44%</w:t>
            </w:r>
          </w:p>
        </w:tc>
        <w:tc>
          <w:tcPr>
            <w:tcW w:w="983" w:type="dxa"/>
          </w:tcPr>
          <w:p w:rsidR="003B0963" w:rsidRPr="00C465AF" w:rsidRDefault="003B0963" w:rsidP="0030537F">
            <w:pPr>
              <w:pStyle w:val="TableTextRight0"/>
              <w:keepNext/>
              <w:keepLines/>
            </w:pPr>
            <w:r w:rsidRPr="00C465AF">
              <w:t>44%</w:t>
            </w:r>
          </w:p>
        </w:tc>
        <w:tc>
          <w:tcPr>
            <w:tcW w:w="1119" w:type="dxa"/>
          </w:tcPr>
          <w:p w:rsidR="003B0963" w:rsidRPr="00C465AF" w:rsidRDefault="003B0963" w:rsidP="0030537F">
            <w:pPr>
              <w:pStyle w:val="TableTextRight0"/>
              <w:keepNext/>
              <w:keepLines/>
            </w:pPr>
            <w:r w:rsidRPr="00C465AF">
              <w:t>44%</w:t>
            </w:r>
          </w:p>
        </w:tc>
        <w:tc>
          <w:tcPr>
            <w:tcW w:w="1092" w:type="dxa"/>
          </w:tcPr>
          <w:p w:rsidR="003B0963" w:rsidRPr="00C465AF" w:rsidRDefault="003B0963" w:rsidP="00CC5ED2">
            <w:pPr>
              <w:pStyle w:val="TableTextRight0"/>
              <w:keepNext/>
              <w:keepLines/>
            </w:pPr>
            <w:r w:rsidRPr="00C465AF">
              <w:t>44%</w:t>
            </w:r>
          </w:p>
        </w:tc>
      </w:tr>
      <w:tr w:rsidR="003B0963" w:rsidRPr="00C465AF" w:rsidTr="003B0963">
        <w:tc>
          <w:tcPr>
            <w:tcW w:w="2128" w:type="dxa"/>
          </w:tcPr>
          <w:p w:rsidR="003B0963" w:rsidRPr="00C465AF" w:rsidRDefault="003B0963" w:rsidP="001A5E2D">
            <w:pPr>
              <w:pStyle w:val="TableText"/>
              <w:keepNext/>
              <w:keepLines/>
              <w:jc w:val="left"/>
            </w:pPr>
            <w:r w:rsidRPr="00C465AF">
              <w:t xml:space="preserve">Proportion of job placements sustained to 26 </w:t>
            </w:r>
            <w:proofErr w:type="spellStart"/>
            <w:r w:rsidRPr="00C465AF">
              <w:t>weeks</w:t>
            </w:r>
            <w:r w:rsidRPr="00C465AF">
              <w:rPr>
                <w:vertAlign w:val="superscript"/>
              </w:rPr>
              <w:t>2</w:t>
            </w:r>
            <w:proofErr w:type="spellEnd"/>
          </w:p>
        </w:tc>
        <w:tc>
          <w:tcPr>
            <w:tcW w:w="1087" w:type="dxa"/>
            <w:shd w:val="clear" w:color="auto" w:fill="D9D9D9" w:themeFill="background1" w:themeFillShade="D9"/>
          </w:tcPr>
          <w:p w:rsidR="003B0963" w:rsidRPr="00C465AF" w:rsidRDefault="003B0963" w:rsidP="0030537F">
            <w:pPr>
              <w:pStyle w:val="TableTextRight0"/>
              <w:keepNext/>
              <w:keepLines/>
            </w:pPr>
            <w:r w:rsidRPr="00C465AF">
              <w:t>-</w:t>
            </w:r>
          </w:p>
        </w:tc>
        <w:tc>
          <w:tcPr>
            <w:tcW w:w="984" w:type="dxa"/>
          </w:tcPr>
          <w:p w:rsidR="003B0963" w:rsidRPr="00C465AF" w:rsidRDefault="003B0963" w:rsidP="0030537F">
            <w:pPr>
              <w:pStyle w:val="TableTextRight0"/>
              <w:keepNext/>
              <w:keepLines/>
            </w:pPr>
            <w:r w:rsidRPr="00C465AF">
              <w:t>24%</w:t>
            </w:r>
          </w:p>
        </w:tc>
        <w:tc>
          <w:tcPr>
            <w:tcW w:w="983" w:type="dxa"/>
          </w:tcPr>
          <w:p w:rsidR="003B0963" w:rsidRPr="00C465AF" w:rsidRDefault="003B0963" w:rsidP="0030537F">
            <w:pPr>
              <w:pStyle w:val="TableTextRight0"/>
              <w:keepNext/>
              <w:keepLines/>
            </w:pPr>
            <w:r w:rsidRPr="00C465AF">
              <w:t>24%</w:t>
            </w:r>
          </w:p>
        </w:tc>
        <w:tc>
          <w:tcPr>
            <w:tcW w:w="1119" w:type="dxa"/>
          </w:tcPr>
          <w:p w:rsidR="003B0963" w:rsidRPr="00C465AF" w:rsidRDefault="003B0963" w:rsidP="0030537F">
            <w:pPr>
              <w:pStyle w:val="TableTextRight0"/>
              <w:keepNext/>
              <w:keepLines/>
            </w:pPr>
            <w:r w:rsidRPr="00C465AF">
              <w:t>24%</w:t>
            </w:r>
          </w:p>
        </w:tc>
        <w:tc>
          <w:tcPr>
            <w:tcW w:w="1092" w:type="dxa"/>
          </w:tcPr>
          <w:p w:rsidR="003B0963" w:rsidRPr="00C465AF" w:rsidRDefault="003B0963" w:rsidP="00CC5ED2">
            <w:pPr>
              <w:pStyle w:val="TableTextRight0"/>
              <w:keepNext/>
              <w:keepLines/>
            </w:pPr>
            <w:r w:rsidRPr="00C465AF">
              <w:t>24%</w:t>
            </w:r>
          </w:p>
        </w:tc>
      </w:tr>
    </w:tbl>
    <w:p w:rsidR="001B029D" w:rsidRDefault="001B029D" w:rsidP="0030537F">
      <w:pPr>
        <w:pStyle w:val="FootnoteText"/>
        <w:rPr>
          <w:vertAlign w:val="superscript"/>
        </w:rPr>
      </w:pPr>
    </w:p>
    <w:p w:rsidR="00DF4C9E" w:rsidRPr="00C465AF" w:rsidRDefault="00DF4C9E" w:rsidP="0030537F">
      <w:pPr>
        <w:pStyle w:val="FootnoteText"/>
      </w:pPr>
      <w:r w:rsidRPr="00DF4C9E">
        <w:rPr>
          <w:vertAlign w:val="superscript"/>
        </w:rPr>
        <w:t>1</w:t>
      </w:r>
      <w:r w:rsidRPr="00C465AF">
        <w:t xml:space="preserve"> Around 350,000 job placements are expected to be recorded in the final 12 months of the Job Services Australia programme in 2014–15.</w:t>
      </w:r>
    </w:p>
    <w:p w:rsidR="00DF4C9E" w:rsidRPr="00C465AF" w:rsidRDefault="00DF4C9E" w:rsidP="0030537F">
      <w:pPr>
        <w:pStyle w:val="FootnoteText"/>
      </w:pPr>
      <w:r w:rsidRPr="00DF4C9E">
        <w:rPr>
          <w:vertAlign w:val="superscript"/>
        </w:rPr>
        <w:t>2</w:t>
      </w:r>
      <w:r w:rsidRPr="00C465AF">
        <w:t xml:space="preserve"> Only job placements which are eligible for a paid 4, 12 and 26 week outcomes will be included in the respective sustainability measures.</w:t>
      </w:r>
    </w:p>
    <w:p w:rsidR="00DF4C9E" w:rsidRPr="00C465AF" w:rsidRDefault="00DF4C9E" w:rsidP="0030537F">
      <w:pPr>
        <w:pStyle w:val="FootnoteText"/>
        <w:tabs>
          <w:tab w:val="clear" w:pos="284"/>
          <w:tab w:val="left" w:pos="142"/>
        </w:tabs>
        <w:ind w:left="142" w:hanging="142"/>
      </w:pPr>
    </w:p>
    <w:p w:rsidR="00DF4C9E" w:rsidRPr="00C465AF" w:rsidRDefault="00DF4C9E" w:rsidP="00101440">
      <w:pPr>
        <w:pStyle w:val="TableHeading"/>
      </w:pPr>
      <w:r w:rsidRPr="00C465AF">
        <w:t xml:space="preserve">Table </w:t>
      </w:r>
      <w:proofErr w:type="spellStart"/>
      <w:r w:rsidR="00316341">
        <w:t>2.1.1</w:t>
      </w:r>
      <w:r w:rsidR="00101440">
        <w:t>.</w:t>
      </w:r>
      <w:r w:rsidR="00316341">
        <w:t>B</w:t>
      </w:r>
      <w:proofErr w:type="spellEnd"/>
      <w:r w:rsidR="00101440">
        <w:t xml:space="preserve"> </w:t>
      </w:r>
      <w:r w:rsidRPr="00C465AF">
        <w:t>Objective 2: Help job seekers move from welfare to work</w:t>
      </w:r>
    </w:p>
    <w:tbl>
      <w:tblPr>
        <w:tblStyle w:val="TableGrid"/>
        <w:tblW w:w="0" w:type="auto"/>
        <w:tblInd w:w="-34" w:type="dxa"/>
        <w:tblLook w:val="04A0" w:firstRow="1" w:lastRow="0" w:firstColumn="1" w:lastColumn="0" w:noHBand="0" w:noVBand="1"/>
        <w:tblCaption w:val="Table 2.1.1.B Objective 2: Help job seekers move from welfare to work"/>
      </w:tblPr>
      <w:tblGrid>
        <w:gridCol w:w="2102"/>
        <w:gridCol w:w="1125"/>
        <w:gridCol w:w="986"/>
        <w:gridCol w:w="926"/>
        <w:gridCol w:w="1127"/>
        <w:gridCol w:w="1127"/>
      </w:tblGrid>
      <w:tr w:rsidR="003B0963" w:rsidRPr="00C465AF" w:rsidTr="005D3254">
        <w:trPr>
          <w:tblHeader/>
        </w:trPr>
        <w:tc>
          <w:tcPr>
            <w:tcW w:w="2128" w:type="dxa"/>
          </w:tcPr>
          <w:p w:rsidR="003B0963" w:rsidRPr="00C465AF" w:rsidRDefault="003B0963" w:rsidP="0030537F">
            <w:pPr>
              <w:pStyle w:val="TableName"/>
            </w:pPr>
            <w:r w:rsidRPr="00C465AF">
              <w:t>Performance measure</w:t>
            </w:r>
          </w:p>
        </w:tc>
        <w:tc>
          <w:tcPr>
            <w:tcW w:w="1134" w:type="dxa"/>
          </w:tcPr>
          <w:p w:rsidR="003B0963" w:rsidRPr="00C465AF" w:rsidRDefault="003B0963" w:rsidP="00CC5ED2">
            <w:pPr>
              <w:pStyle w:val="TableTextBoldRight"/>
              <w:keepNext/>
              <w:keepLines/>
            </w:pPr>
            <w:r w:rsidRPr="00C465AF">
              <w:t>2014–15</w:t>
            </w:r>
          </w:p>
          <w:p w:rsidR="003B0963" w:rsidRPr="00C465AF" w:rsidRDefault="003B0963" w:rsidP="00CC5ED2">
            <w:pPr>
              <w:pStyle w:val="TableTextBoldRight"/>
              <w:keepNext/>
              <w:keepLines/>
            </w:pPr>
            <w:r w:rsidRPr="00C465AF">
              <w:t>Revised budget</w:t>
            </w:r>
          </w:p>
        </w:tc>
        <w:tc>
          <w:tcPr>
            <w:tcW w:w="992" w:type="dxa"/>
          </w:tcPr>
          <w:p w:rsidR="003B0963" w:rsidRPr="00C465AF" w:rsidRDefault="003B0963" w:rsidP="00CC5ED2">
            <w:pPr>
              <w:pStyle w:val="TableTextBoldRight"/>
              <w:keepNext/>
              <w:keepLines/>
            </w:pPr>
            <w:r w:rsidRPr="00C465AF">
              <w:t>2015–16 Budget</w:t>
            </w:r>
          </w:p>
        </w:tc>
        <w:tc>
          <w:tcPr>
            <w:tcW w:w="851" w:type="dxa"/>
          </w:tcPr>
          <w:p w:rsidR="003B0963" w:rsidRDefault="003B0963" w:rsidP="00CC5ED2">
            <w:pPr>
              <w:pStyle w:val="TableTextBoldRight"/>
              <w:keepNext/>
              <w:keepLines/>
            </w:pPr>
            <w:r w:rsidRPr="00C465AF">
              <w:t>2016–17</w:t>
            </w:r>
          </w:p>
          <w:p w:rsidR="003B0963" w:rsidRPr="00C465AF" w:rsidRDefault="003B0963" w:rsidP="00CC5ED2">
            <w:pPr>
              <w:pStyle w:val="TableTextBoldRight"/>
              <w:keepNext/>
              <w:keepLines/>
            </w:pPr>
            <w:r>
              <w:t>Forward Estimate</w:t>
            </w:r>
          </w:p>
        </w:tc>
        <w:tc>
          <w:tcPr>
            <w:tcW w:w="1134" w:type="dxa"/>
          </w:tcPr>
          <w:p w:rsidR="003B0963" w:rsidRDefault="003B0963" w:rsidP="00CC5ED2">
            <w:pPr>
              <w:pStyle w:val="TableTextBoldRight"/>
              <w:keepNext/>
              <w:keepLines/>
            </w:pPr>
            <w:r w:rsidRPr="00C465AF">
              <w:t>2017–18</w:t>
            </w:r>
          </w:p>
          <w:p w:rsidR="003B0963" w:rsidRPr="00C465AF" w:rsidRDefault="003B0963" w:rsidP="00CC5ED2">
            <w:pPr>
              <w:pStyle w:val="TableTextBoldRight"/>
              <w:keepNext/>
              <w:keepLines/>
            </w:pPr>
            <w:r>
              <w:t>Forward Estimate</w:t>
            </w:r>
          </w:p>
        </w:tc>
        <w:tc>
          <w:tcPr>
            <w:tcW w:w="1134" w:type="dxa"/>
          </w:tcPr>
          <w:p w:rsidR="003B0963" w:rsidRDefault="003B0963" w:rsidP="00CC5ED2">
            <w:pPr>
              <w:pStyle w:val="TableTextBoldRight"/>
              <w:keepNext/>
              <w:keepLines/>
            </w:pPr>
            <w:r>
              <w:t>2018–19</w:t>
            </w:r>
          </w:p>
          <w:p w:rsidR="003B0963" w:rsidRPr="00C465AF" w:rsidRDefault="003B0963" w:rsidP="00CC5ED2">
            <w:pPr>
              <w:pStyle w:val="TableTextBoldRight"/>
              <w:keepNext/>
              <w:keepLines/>
            </w:pPr>
            <w:r>
              <w:t>Forward Estimate</w:t>
            </w:r>
          </w:p>
        </w:tc>
      </w:tr>
      <w:tr w:rsidR="003B0963" w:rsidRPr="00C465AF" w:rsidTr="00CC5ED2">
        <w:tc>
          <w:tcPr>
            <w:tcW w:w="2128" w:type="dxa"/>
          </w:tcPr>
          <w:p w:rsidR="003B0963" w:rsidRPr="00C465AF" w:rsidRDefault="003B0963" w:rsidP="001A5E2D">
            <w:pPr>
              <w:pStyle w:val="TableText"/>
              <w:jc w:val="left"/>
            </w:pPr>
            <w:r w:rsidRPr="00C465AF">
              <w:t>Proportion of job seekers moving off income support, or with reduced reliance on income support</w:t>
            </w:r>
            <w:r w:rsidR="00E2256F">
              <w:t>,</w:t>
            </w:r>
            <w:r w:rsidRPr="00C465AF">
              <w:t xml:space="preserve"> six months </w:t>
            </w:r>
            <w:r>
              <w:t xml:space="preserve">after </w:t>
            </w:r>
            <w:r w:rsidRPr="00C465AF">
              <w:t xml:space="preserve">participation in jobactive </w:t>
            </w:r>
          </w:p>
        </w:tc>
        <w:tc>
          <w:tcPr>
            <w:tcW w:w="1134" w:type="dxa"/>
            <w:shd w:val="clear" w:color="auto" w:fill="D9D9D9" w:themeFill="background1" w:themeFillShade="D9"/>
          </w:tcPr>
          <w:p w:rsidR="003B0963" w:rsidRPr="00C465AF" w:rsidRDefault="003B0963" w:rsidP="0030537F">
            <w:pPr>
              <w:pStyle w:val="TableTextRight0"/>
            </w:pPr>
            <w:r w:rsidRPr="00C465AF">
              <w:t>-</w:t>
            </w:r>
          </w:p>
        </w:tc>
        <w:tc>
          <w:tcPr>
            <w:tcW w:w="992" w:type="dxa"/>
          </w:tcPr>
          <w:p w:rsidR="003B0963" w:rsidRPr="00C465AF" w:rsidRDefault="003B0963" w:rsidP="0030537F">
            <w:pPr>
              <w:pStyle w:val="TableTextRight0"/>
            </w:pPr>
            <w:r w:rsidRPr="00C465AF">
              <w:t>40%</w:t>
            </w:r>
          </w:p>
        </w:tc>
        <w:tc>
          <w:tcPr>
            <w:tcW w:w="851" w:type="dxa"/>
          </w:tcPr>
          <w:p w:rsidR="003B0963" w:rsidRPr="00C465AF" w:rsidRDefault="003B0963" w:rsidP="0030537F">
            <w:pPr>
              <w:pStyle w:val="TableTextRight0"/>
            </w:pPr>
            <w:r w:rsidRPr="00C465AF">
              <w:t>40%</w:t>
            </w:r>
          </w:p>
        </w:tc>
        <w:tc>
          <w:tcPr>
            <w:tcW w:w="1134" w:type="dxa"/>
          </w:tcPr>
          <w:p w:rsidR="003B0963" w:rsidRPr="00C465AF" w:rsidRDefault="003B0963" w:rsidP="0030537F">
            <w:pPr>
              <w:pStyle w:val="TableTextRight0"/>
            </w:pPr>
            <w:r w:rsidRPr="00C465AF">
              <w:t>40%</w:t>
            </w:r>
          </w:p>
        </w:tc>
        <w:tc>
          <w:tcPr>
            <w:tcW w:w="1134" w:type="dxa"/>
          </w:tcPr>
          <w:p w:rsidR="003B0963" w:rsidRPr="00C465AF" w:rsidRDefault="003B0963" w:rsidP="0030537F">
            <w:pPr>
              <w:pStyle w:val="TableTextRight0"/>
            </w:pPr>
            <w:r w:rsidRPr="00C465AF">
              <w:t>40%</w:t>
            </w:r>
          </w:p>
        </w:tc>
      </w:tr>
    </w:tbl>
    <w:p w:rsidR="00DF4C9E" w:rsidRPr="00C465AF" w:rsidRDefault="00DF4C9E" w:rsidP="0030537F">
      <w:pPr>
        <w:pStyle w:val="Heading4"/>
      </w:pPr>
    </w:p>
    <w:p w:rsidR="00DF4C9E" w:rsidRPr="00C465AF" w:rsidRDefault="00DF4C9E" w:rsidP="00101440">
      <w:pPr>
        <w:pStyle w:val="TableHeading"/>
      </w:pPr>
      <w:r w:rsidRPr="00C465AF">
        <w:t xml:space="preserve">Table </w:t>
      </w:r>
      <w:proofErr w:type="spellStart"/>
      <w:proofErr w:type="gramStart"/>
      <w:r w:rsidR="00316341">
        <w:t>2.1.1</w:t>
      </w:r>
      <w:r w:rsidR="00101440">
        <w:t>.</w:t>
      </w:r>
      <w:r w:rsidR="00316341">
        <w:t>C</w:t>
      </w:r>
      <w:proofErr w:type="spellEnd"/>
      <w:r w:rsidR="00101440">
        <w:t xml:space="preserve">  </w:t>
      </w:r>
      <w:r w:rsidRPr="00C465AF">
        <w:t>Overall</w:t>
      </w:r>
      <w:proofErr w:type="gramEnd"/>
      <w:r w:rsidRPr="00C465AF">
        <w:t xml:space="preserve"> programme summary</w:t>
      </w:r>
    </w:p>
    <w:tbl>
      <w:tblPr>
        <w:tblStyle w:val="TableGrid"/>
        <w:tblW w:w="0" w:type="auto"/>
        <w:tblLook w:val="04A0" w:firstRow="1" w:lastRow="0" w:firstColumn="1" w:lastColumn="0" w:noHBand="0" w:noVBand="1"/>
        <w:tblCaption w:val="Table 2.1.1.C  Overall programme summary"/>
      </w:tblPr>
      <w:tblGrid>
        <w:gridCol w:w="1372"/>
        <w:gridCol w:w="1195"/>
        <w:gridCol w:w="1189"/>
        <w:gridCol w:w="1201"/>
        <w:gridCol w:w="1201"/>
        <w:gridCol w:w="1201"/>
      </w:tblGrid>
      <w:tr w:rsidR="006C3185" w:rsidTr="009F4B3E">
        <w:trPr>
          <w:tblHeader/>
        </w:trPr>
        <w:tc>
          <w:tcPr>
            <w:tcW w:w="1372" w:type="dxa"/>
            <w:vAlign w:val="center"/>
          </w:tcPr>
          <w:p w:rsidR="006C3185" w:rsidRPr="00C465AF" w:rsidRDefault="006C3185" w:rsidP="00DF70FB">
            <w:pPr>
              <w:pStyle w:val="TableName"/>
            </w:pPr>
            <w:r w:rsidRPr="00C465AF">
              <w:t>Performance measure</w:t>
            </w:r>
          </w:p>
        </w:tc>
        <w:tc>
          <w:tcPr>
            <w:tcW w:w="1195" w:type="dxa"/>
          </w:tcPr>
          <w:p w:rsidR="006C3185" w:rsidRPr="006C3185" w:rsidRDefault="006C3185" w:rsidP="006C3185">
            <w:pPr>
              <w:pStyle w:val="TableTextBoldRight"/>
            </w:pPr>
            <w:r w:rsidRPr="006C3185">
              <w:t>2014–15</w:t>
            </w:r>
          </w:p>
          <w:p w:rsidR="006C3185" w:rsidRPr="006C3185" w:rsidRDefault="006C3185" w:rsidP="006C3185">
            <w:pPr>
              <w:pStyle w:val="TableTextBoldRight"/>
            </w:pPr>
            <w:r w:rsidRPr="006C3185">
              <w:t>Revised budget</w:t>
            </w:r>
          </w:p>
        </w:tc>
        <w:tc>
          <w:tcPr>
            <w:tcW w:w="1189" w:type="dxa"/>
          </w:tcPr>
          <w:p w:rsidR="006C3185" w:rsidRPr="006C3185" w:rsidRDefault="006C3185" w:rsidP="006C3185">
            <w:pPr>
              <w:pStyle w:val="TableTextBoldRight"/>
            </w:pPr>
            <w:r w:rsidRPr="006C3185">
              <w:t>2015–16 Budget</w:t>
            </w:r>
          </w:p>
        </w:tc>
        <w:tc>
          <w:tcPr>
            <w:tcW w:w="1201" w:type="dxa"/>
          </w:tcPr>
          <w:p w:rsidR="006C3185" w:rsidRPr="006C3185" w:rsidRDefault="006C3185" w:rsidP="006C3185">
            <w:pPr>
              <w:pStyle w:val="TableTextBoldRight"/>
            </w:pPr>
            <w:r w:rsidRPr="006C3185">
              <w:t>2016–17</w:t>
            </w:r>
          </w:p>
          <w:p w:rsidR="006C3185" w:rsidRPr="006C3185" w:rsidRDefault="006C3185" w:rsidP="006C3185">
            <w:pPr>
              <w:pStyle w:val="TableTextBoldRight"/>
            </w:pPr>
            <w:r w:rsidRPr="006C3185">
              <w:t>Forward Estimate</w:t>
            </w:r>
          </w:p>
        </w:tc>
        <w:tc>
          <w:tcPr>
            <w:tcW w:w="1201" w:type="dxa"/>
          </w:tcPr>
          <w:p w:rsidR="006C3185" w:rsidRPr="006C3185" w:rsidRDefault="006C3185" w:rsidP="006C3185">
            <w:pPr>
              <w:pStyle w:val="TableTextBoldRight"/>
            </w:pPr>
            <w:r w:rsidRPr="006C3185">
              <w:t>2017–18</w:t>
            </w:r>
          </w:p>
          <w:p w:rsidR="006C3185" w:rsidRPr="006C3185" w:rsidRDefault="006C3185" w:rsidP="006C3185">
            <w:pPr>
              <w:pStyle w:val="TableTextBoldRight"/>
            </w:pPr>
            <w:r w:rsidRPr="006C3185">
              <w:t>Forward Estimate</w:t>
            </w:r>
          </w:p>
        </w:tc>
        <w:tc>
          <w:tcPr>
            <w:tcW w:w="1201" w:type="dxa"/>
          </w:tcPr>
          <w:p w:rsidR="006C3185" w:rsidRPr="006C3185" w:rsidRDefault="006C3185" w:rsidP="006C3185">
            <w:pPr>
              <w:pStyle w:val="TableTextBoldRight"/>
            </w:pPr>
            <w:r w:rsidRPr="006C3185">
              <w:t>2018–19 Forward Estimate</w:t>
            </w:r>
          </w:p>
        </w:tc>
      </w:tr>
      <w:tr w:rsidR="006C3185" w:rsidTr="006C3185">
        <w:tc>
          <w:tcPr>
            <w:tcW w:w="1372" w:type="dxa"/>
          </w:tcPr>
          <w:p w:rsidR="006C3185" w:rsidRPr="006C3185" w:rsidRDefault="006C3185" w:rsidP="006C3185">
            <w:pPr>
              <w:pStyle w:val="TableText"/>
              <w:jc w:val="left"/>
            </w:pPr>
            <w:r>
              <w:t>C</w:t>
            </w:r>
            <w:r w:rsidRPr="006C3185">
              <w:t xml:space="preserve">ost per employment </w:t>
            </w:r>
            <w:proofErr w:type="spellStart"/>
            <w:r w:rsidRPr="006C3185">
              <w:t>outcome</w:t>
            </w:r>
            <w:r w:rsidRPr="006C3185">
              <w:rPr>
                <w:vertAlign w:val="superscript"/>
              </w:rPr>
              <w:t>1</w:t>
            </w:r>
            <w:proofErr w:type="spellEnd"/>
          </w:p>
        </w:tc>
        <w:tc>
          <w:tcPr>
            <w:tcW w:w="1195" w:type="dxa"/>
          </w:tcPr>
          <w:p w:rsidR="006C3185" w:rsidRPr="006C3185" w:rsidRDefault="006C3185" w:rsidP="006C3185">
            <w:pPr>
              <w:pStyle w:val="TableTextRight0"/>
            </w:pPr>
            <w:r>
              <w:t>-</w:t>
            </w:r>
          </w:p>
        </w:tc>
        <w:tc>
          <w:tcPr>
            <w:tcW w:w="1189" w:type="dxa"/>
          </w:tcPr>
          <w:p w:rsidR="006C3185" w:rsidRPr="006C3185" w:rsidRDefault="006C3185" w:rsidP="006C3185">
            <w:pPr>
              <w:pStyle w:val="TableTextRight0"/>
            </w:pPr>
            <w:r w:rsidRPr="006C3185">
              <w:t>$2500</w:t>
            </w:r>
          </w:p>
        </w:tc>
        <w:tc>
          <w:tcPr>
            <w:tcW w:w="1201" w:type="dxa"/>
          </w:tcPr>
          <w:p w:rsidR="006C3185" w:rsidRPr="006C3185" w:rsidRDefault="006C3185" w:rsidP="006C3185">
            <w:pPr>
              <w:pStyle w:val="TableTextRight0"/>
            </w:pPr>
            <w:r w:rsidRPr="006C3185">
              <w:t>$2500</w:t>
            </w:r>
          </w:p>
        </w:tc>
        <w:tc>
          <w:tcPr>
            <w:tcW w:w="1201" w:type="dxa"/>
          </w:tcPr>
          <w:p w:rsidR="006C3185" w:rsidRPr="006C3185" w:rsidRDefault="006C3185" w:rsidP="006C3185">
            <w:pPr>
              <w:pStyle w:val="TableTextRight0"/>
            </w:pPr>
            <w:r w:rsidRPr="006C3185">
              <w:t>$2500</w:t>
            </w:r>
          </w:p>
        </w:tc>
        <w:tc>
          <w:tcPr>
            <w:tcW w:w="1201" w:type="dxa"/>
          </w:tcPr>
          <w:p w:rsidR="006C3185" w:rsidRPr="006C3185" w:rsidRDefault="006C3185" w:rsidP="006C3185">
            <w:pPr>
              <w:pStyle w:val="TableTextRight0"/>
            </w:pPr>
            <w:r w:rsidRPr="006C3185">
              <w:t>$2500</w:t>
            </w:r>
          </w:p>
        </w:tc>
      </w:tr>
    </w:tbl>
    <w:p w:rsidR="001B029D" w:rsidRDefault="001B029D" w:rsidP="0030537F">
      <w:pPr>
        <w:pStyle w:val="FootnoteText"/>
        <w:rPr>
          <w:vertAlign w:val="superscript"/>
        </w:rPr>
      </w:pPr>
    </w:p>
    <w:p w:rsidR="00DF4C9E" w:rsidRDefault="00DF4C9E" w:rsidP="0030537F">
      <w:pPr>
        <w:pStyle w:val="FootnoteText"/>
      </w:pPr>
      <w:r w:rsidRPr="00DF4C9E">
        <w:rPr>
          <w:vertAlign w:val="superscript"/>
        </w:rPr>
        <w:t>1</w:t>
      </w:r>
      <w:r w:rsidRPr="00C465AF">
        <w:t xml:space="preserve"> Programme costs take into account expenditure such as Emplo</w:t>
      </w:r>
      <w:r w:rsidR="00E2256F">
        <w:t>yment Fund expenditure, service</w:t>
      </w:r>
      <w:r w:rsidRPr="00C465AF">
        <w:t xml:space="preserve"> fees and paid outcomes. The number of employment outcomes is taken from the estimated number of job seekers who are employed three months following participation in the programme.</w:t>
      </w:r>
    </w:p>
    <w:p w:rsidR="006D7EDC" w:rsidRDefault="006D7EDC" w:rsidP="006D7EDC">
      <w:pPr>
        <w:pStyle w:val="ProgramHeading"/>
      </w:pPr>
      <w:r>
        <w:t>Outcome 1</w:t>
      </w:r>
      <w:r>
        <w:tab/>
        <w:t>Departmental outputs</w:t>
      </w:r>
    </w:p>
    <w:p w:rsidR="009B3DA6" w:rsidRPr="005D4C26" w:rsidRDefault="009B3DA6" w:rsidP="00C753CE">
      <w:r w:rsidRPr="005D4C26">
        <w:t>The department supports the objectives of this outcome through policy development</w:t>
      </w:r>
      <w:r w:rsidR="00F32C53">
        <w:t>,</w:t>
      </w:r>
      <w:r w:rsidRPr="005D4C26">
        <w:t xml:space="preserve"> programme design and management</w:t>
      </w:r>
      <w:r w:rsidR="00F32C53">
        <w:t>. The department</w:t>
      </w:r>
      <w:r w:rsidRPr="005D4C26">
        <w:t xml:space="preserve"> provides an administrative framework that includes quality and programme assurance, purchasing and contract management, information technology and evaluation.</w:t>
      </w:r>
    </w:p>
    <w:p w:rsidR="009B3DA6" w:rsidRPr="005D4C26" w:rsidRDefault="009B3DA6" w:rsidP="00C753CE">
      <w:pPr>
        <w:rPr>
          <w:color w:val="FF0000"/>
        </w:rPr>
      </w:pPr>
      <w:r w:rsidRPr="005D4C26">
        <w:t>The department undertakes a range of reporting to evaluate the performance of p</w:t>
      </w:r>
      <w:r w:rsidR="00E2256F">
        <w:t>rogrammes administered under O</w:t>
      </w:r>
      <w:r w:rsidRPr="005D4C26">
        <w:t xml:space="preserve">utcome 1. </w:t>
      </w:r>
    </w:p>
    <w:p w:rsidR="009B3DA6" w:rsidRPr="008636B4" w:rsidRDefault="009B3DA6" w:rsidP="008636B4">
      <w:pPr>
        <w:pStyle w:val="Heading5"/>
      </w:pPr>
      <w:r w:rsidRPr="008636B4">
        <w:t xml:space="preserve">Performance information for Outcome 1 departmental outputs </w:t>
      </w:r>
    </w:p>
    <w:p w:rsidR="009B3DA6" w:rsidRDefault="009B3DA6" w:rsidP="008636B4">
      <w:pPr>
        <w:pStyle w:val="TableHeading"/>
      </w:pPr>
      <w:r w:rsidRPr="008636B4">
        <w:t xml:space="preserve">Table </w:t>
      </w:r>
      <w:proofErr w:type="spellStart"/>
      <w:r w:rsidR="00316341">
        <w:t>2.1.1</w:t>
      </w:r>
      <w:r w:rsidR="00101440">
        <w:t>.</w:t>
      </w:r>
      <w:r w:rsidR="00316341">
        <w:t>D</w:t>
      </w:r>
      <w:proofErr w:type="spellEnd"/>
      <w:r w:rsidR="006C3185">
        <w:t xml:space="preserve"> </w:t>
      </w:r>
      <w:r w:rsidRPr="008636B4">
        <w:t>Client satisfaction</w:t>
      </w:r>
    </w:p>
    <w:tbl>
      <w:tblPr>
        <w:tblStyle w:val="TableGrid"/>
        <w:tblW w:w="0" w:type="auto"/>
        <w:tblLook w:val="04A0" w:firstRow="1" w:lastRow="0" w:firstColumn="1" w:lastColumn="0" w:noHBand="0" w:noVBand="1"/>
        <w:tblCaption w:val="Table 2.1.1.D Client satisfaction"/>
      </w:tblPr>
      <w:tblGrid>
        <w:gridCol w:w="3797"/>
        <w:gridCol w:w="3562"/>
      </w:tblGrid>
      <w:tr w:rsidR="009B3DA6" w:rsidTr="005D3254">
        <w:trPr>
          <w:tblHeader/>
        </w:trPr>
        <w:tc>
          <w:tcPr>
            <w:tcW w:w="4133" w:type="dxa"/>
          </w:tcPr>
          <w:p w:rsidR="009B3DA6" w:rsidRPr="007F01EC" w:rsidRDefault="009B3DA6" w:rsidP="002E2D3E">
            <w:pPr>
              <w:pStyle w:val="TableTextBold"/>
            </w:pPr>
            <w:r w:rsidRPr="007F01EC">
              <w:t>Performance measure</w:t>
            </w:r>
          </w:p>
        </w:tc>
        <w:tc>
          <w:tcPr>
            <w:tcW w:w="3913" w:type="dxa"/>
          </w:tcPr>
          <w:p w:rsidR="009B3DA6" w:rsidRPr="00DC6C2A" w:rsidRDefault="009B3DA6" w:rsidP="002E2D3E">
            <w:pPr>
              <w:pStyle w:val="TableTextBoldRight"/>
            </w:pPr>
            <w:r>
              <w:t>2015–16 estimate</w:t>
            </w:r>
          </w:p>
        </w:tc>
      </w:tr>
      <w:tr w:rsidR="009B3DA6" w:rsidTr="00C753CE">
        <w:tc>
          <w:tcPr>
            <w:tcW w:w="4133" w:type="dxa"/>
          </w:tcPr>
          <w:p w:rsidR="009B3DA6" w:rsidRPr="007F01EC" w:rsidRDefault="009B3DA6" w:rsidP="002E2D3E">
            <w:pPr>
              <w:pStyle w:val="TableText"/>
              <w:rPr>
                <w:u w:val="single"/>
              </w:rPr>
            </w:pPr>
            <w:r w:rsidRPr="007F01EC">
              <w:t>Level of satisfaction of service providers with contracted information and support</w:t>
            </w:r>
          </w:p>
        </w:tc>
        <w:tc>
          <w:tcPr>
            <w:tcW w:w="3913" w:type="dxa"/>
          </w:tcPr>
          <w:p w:rsidR="009B3DA6" w:rsidRPr="00DC6C2A" w:rsidRDefault="009B3DA6" w:rsidP="002E2D3E">
            <w:pPr>
              <w:pStyle w:val="TableTextRight0"/>
            </w:pPr>
            <w:r>
              <w:t>80%</w:t>
            </w:r>
          </w:p>
        </w:tc>
      </w:tr>
      <w:bookmarkEnd w:id="0"/>
      <w:bookmarkEnd w:id="1"/>
    </w:tbl>
    <w:p w:rsidR="0061082C" w:rsidRPr="00805EDE" w:rsidRDefault="0061082C" w:rsidP="0088062F"/>
    <w:sectPr w:rsidR="0061082C" w:rsidRPr="00805EDE" w:rsidSect="00DF50F0">
      <w:headerReference w:type="even" r:id="rId16"/>
      <w:headerReference w:type="default" r:id="rId17"/>
      <w:footerReference w:type="even" r:id="rId18"/>
      <w:footerReference w:type="default" r:id="rId19"/>
      <w:headerReference w:type="first" r:id="rId20"/>
      <w:footerReference w:type="first" r:id="rId21"/>
      <w:pgSz w:w="9979" w:h="14175" w:code="259"/>
      <w:pgMar w:top="1418" w:right="1418" w:bottom="1418" w:left="1418" w:header="851" w:footer="1134" w:gutter="0"/>
      <w:pgNumType w:start="2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E4" w:rsidRDefault="00470EE4" w:rsidP="00C07DEC">
      <w:r>
        <w:separator/>
      </w:r>
    </w:p>
    <w:p w:rsidR="00470EE4" w:rsidRDefault="00470EE4"/>
  </w:endnote>
  <w:endnote w:type="continuationSeparator" w:id="0">
    <w:p w:rsidR="00470EE4" w:rsidRDefault="00470EE4" w:rsidP="00C07DEC">
      <w:r>
        <w:continuationSeparator/>
      </w:r>
    </w:p>
    <w:p w:rsidR="00470EE4" w:rsidRDefault="00470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font>
  <w:font w:name="Arial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775863"/>
      <w:docPartObj>
        <w:docPartGallery w:val="Page Numbers (Bottom of Page)"/>
        <w:docPartUnique/>
      </w:docPartObj>
    </w:sdtPr>
    <w:sdtEndPr>
      <w:rPr>
        <w:noProof/>
      </w:rPr>
    </w:sdtEndPr>
    <w:sdtContent>
      <w:p w:rsidR="00DF50F0" w:rsidRDefault="00DF50F0">
        <w:pPr>
          <w:pStyle w:val="Footer"/>
        </w:pPr>
        <w:r>
          <w:fldChar w:fldCharType="begin"/>
        </w:r>
        <w:r>
          <w:instrText xml:space="preserve"> PAGE   \* MERGEFORMAT </w:instrText>
        </w:r>
        <w:r>
          <w:fldChar w:fldCharType="separate"/>
        </w:r>
        <w:r>
          <w:rPr>
            <w:noProof/>
          </w:rPr>
          <w:t>28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121621"/>
      <w:docPartObj>
        <w:docPartGallery w:val="Page Numbers (Bottom of Page)"/>
        <w:docPartUnique/>
      </w:docPartObj>
    </w:sdtPr>
    <w:sdtEndPr>
      <w:rPr>
        <w:noProof/>
      </w:rPr>
    </w:sdtEndPr>
    <w:sdtContent>
      <w:p w:rsidR="00DF50F0" w:rsidRDefault="00DF50F0">
        <w:pPr>
          <w:pStyle w:val="Footer"/>
        </w:pPr>
        <w:r>
          <w:fldChar w:fldCharType="begin"/>
        </w:r>
        <w:r>
          <w:instrText xml:space="preserve"> PAGE   \* MERGEFORMAT </w:instrText>
        </w:r>
        <w:r>
          <w:fldChar w:fldCharType="separate"/>
        </w:r>
        <w:r>
          <w:rPr>
            <w:noProof/>
          </w:rPr>
          <w:t>27</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965678"/>
      <w:docPartObj>
        <w:docPartGallery w:val="Page Numbers (Bottom of Page)"/>
        <w:docPartUnique/>
      </w:docPartObj>
    </w:sdtPr>
    <w:sdtEndPr>
      <w:rPr>
        <w:noProof/>
      </w:rPr>
    </w:sdtEndPr>
    <w:sdtContent>
      <w:p w:rsidR="00DF50F0" w:rsidRDefault="00DF50F0">
        <w:pPr>
          <w:pStyle w:val="Foo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E4" w:rsidRDefault="00470EE4" w:rsidP="00C07DEC">
      <w:r>
        <w:separator/>
      </w:r>
    </w:p>
    <w:p w:rsidR="00470EE4" w:rsidRDefault="00470EE4"/>
  </w:footnote>
  <w:footnote w:type="continuationSeparator" w:id="0">
    <w:p w:rsidR="00470EE4" w:rsidRDefault="00470EE4" w:rsidP="00C07DEC">
      <w:r>
        <w:continuationSeparator/>
      </w:r>
    </w:p>
    <w:p w:rsidR="00470EE4" w:rsidRDefault="00470E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0F0" w:rsidRPr="00F10D71" w:rsidRDefault="00DF50F0" w:rsidP="00DF50F0">
    <w:pPr>
      <w:pStyle w:val="HeaderEven"/>
    </w:pPr>
    <w:r>
      <w:t>Department of Employment Budget Statements 2015–16</w:t>
    </w:r>
  </w:p>
  <w:p w:rsidR="00470EE4" w:rsidRPr="00DF50F0" w:rsidRDefault="00470EE4" w:rsidP="00DF50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0F0" w:rsidRPr="00F10D71" w:rsidRDefault="00DF50F0" w:rsidP="00DF50F0">
    <w:pPr>
      <w:pStyle w:val="HeaderOdd"/>
    </w:pPr>
    <w:r>
      <w:t>Department of Employment Budget Statements 2015–16</w:t>
    </w:r>
  </w:p>
  <w:p w:rsidR="00470EE4" w:rsidRPr="00DF50F0" w:rsidRDefault="00470EE4" w:rsidP="00DF50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EE4" w:rsidRPr="00F10D71" w:rsidRDefault="00DF50F0" w:rsidP="00DF50F0">
    <w:pPr>
      <w:pStyle w:val="HeaderEven"/>
    </w:pPr>
    <w:r>
      <w:t>Department of Employment Budget Statements 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768F83C"/>
    <w:lvl w:ilvl="0">
      <w:start w:val="1"/>
      <w:numFmt w:val="decimal"/>
      <w:pStyle w:val="ListNumber"/>
      <w:lvlText w:val="%1."/>
      <w:lvlJc w:val="left"/>
      <w:pPr>
        <w:tabs>
          <w:tab w:val="num" w:pos="360"/>
        </w:tabs>
        <w:ind w:left="360" w:hanging="360"/>
      </w:pPr>
    </w:lvl>
  </w:abstractNum>
  <w:abstractNum w:abstractNumId="1">
    <w:nsid w:val="00F73062"/>
    <w:multiLevelType w:val="hybridMultilevel"/>
    <w:tmpl w:val="62024918"/>
    <w:lvl w:ilvl="0" w:tplc="F058F4A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775260"/>
    <w:multiLevelType w:val="multilevel"/>
    <w:tmpl w:val="7B0E2326"/>
    <w:lvl w:ilvl="0">
      <w:start w:val="1"/>
      <w:numFmt w:val="bullet"/>
      <w:lvlText w:val=""/>
      <w:lvlJc w:val="left"/>
      <w:pPr>
        <w:ind w:left="360" w:hanging="360"/>
      </w:pPr>
      <w:rPr>
        <w:rFonts w:ascii="Wingdings" w:hAnsi="Wingdings" w:hint="default"/>
        <w:color w:val="165788"/>
        <w:sz w:val="20"/>
        <w:vertAlign w:val="baseline"/>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3">
    <w:nsid w:val="02D607FA"/>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363B0F"/>
    <w:multiLevelType w:val="hybridMultilevel"/>
    <w:tmpl w:val="01764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nsid w:val="16641DF2"/>
    <w:multiLevelType w:val="hybridMultilevel"/>
    <w:tmpl w:val="F42AA848"/>
    <w:lvl w:ilvl="0" w:tplc="7F847DE4">
      <w:start w:val="1"/>
      <w:numFmt w:val="decimal"/>
      <w:pStyle w:val="numberedpara"/>
      <w:lvlText w:val="%1."/>
      <w:lvlJc w:val="right"/>
      <w:pPr>
        <w:tabs>
          <w:tab w:val="num" w:pos="1134"/>
        </w:tabs>
        <w:ind w:left="567" w:hanging="567"/>
      </w:pPr>
      <w:rPr>
        <w:rFonts w:ascii="Calibri" w:hAnsi="Calibri" w:hint="default"/>
        <w:b w:val="0"/>
        <w:i w:val="0"/>
        <w:color w:val="auto"/>
        <w:sz w:val="22"/>
      </w:rPr>
    </w:lvl>
    <w:lvl w:ilvl="1" w:tplc="0C090005">
      <w:start w:val="1"/>
      <w:numFmt w:val="bullet"/>
      <w:lvlText w:val=""/>
      <w:lvlJc w:val="left"/>
      <w:pPr>
        <w:tabs>
          <w:tab w:val="num" w:pos="1440"/>
        </w:tabs>
        <w:ind w:left="1440" w:hanging="360"/>
      </w:pPr>
      <w:rPr>
        <w:rFonts w:ascii="Wingdings" w:hAnsi="Wingdings" w:hint="default"/>
        <w:b w:val="0"/>
        <w:i w:val="0"/>
        <w:color w:val="auto"/>
        <w:sz w:val="22"/>
      </w:r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rPr>
        <w:rFonts w:hint="default"/>
        <w:b w:val="0"/>
        <w:i w:val="0"/>
        <w:color w:val="auto"/>
        <w:sz w:val="22"/>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1B8C0A8D"/>
    <w:multiLevelType w:val="hybridMultilevel"/>
    <w:tmpl w:val="6080A7FC"/>
    <w:lvl w:ilvl="0" w:tplc="F0BAC8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0244AB9"/>
    <w:multiLevelType w:val="hybridMultilevel"/>
    <w:tmpl w:val="B9FEE43E"/>
    <w:lvl w:ilvl="0" w:tplc="ADA05F0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8B56203"/>
    <w:multiLevelType w:val="multilevel"/>
    <w:tmpl w:val="533E0A06"/>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11">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
    <w:nsid w:val="316C2C4D"/>
    <w:multiLevelType w:val="multilevel"/>
    <w:tmpl w:val="53041CAE"/>
    <w:lvl w:ilvl="0">
      <w:start w:val="1"/>
      <w:numFmt w:val="bullet"/>
      <w:lvlText w:val="•"/>
      <w:lvlJc w:val="left"/>
      <w:pPr>
        <w:tabs>
          <w:tab w:val="num" w:pos="472"/>
        </w:tabs>
        <w:ind w:left="472" w:hanging="472"/>
      </w:pPr>
      <w:rPr>
        <w:rFonts w:ascii="Times New Roman" w:hAnsi="Times New Roman" w:cs="Times New Roman"/>
      </w:rPr>
    </w:lvl>
    <w:lvl w:ilvl="1">
      <w:start w:val="1"/>
      <w:numFmt w:val="bullet"/>
      <w:lvlText w:val="–"/>
      <w:lvlJc w:val="left"/>
      <w:pPr>
        <w:tabs>
          <w:tab w:val="num" w:pos="944"/>
        </w:tabs>
        <w:ind w:left="944" w:hanging="472"/>
      </w:pPr>
      <w:rPr>
        <w:rFonts w:ascii="Times New Roman" w:hAnsi="Times New Roman" w:cs="Times New Roman"/>
      </w:rPr>
    </w:lvl>
    <w:lvl w:ilvl="2">
      <w:start w:val="1"/>
      <w:numFmt w:val="bulle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16">
    <w:nsid w:val="434154AB"/>
    <w:multiLevelType w:val="hybridMultilevel"/>
    <w:tmpl w:val="DCF64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8">
    <w:nsid w:val="564608A1"/>
    <w:multiLevelType w:val="hybridMultilevel"/>
    <w:tmpl w:val="61883960"/>
    <w:lvl w:ilvl="0" w:tplc="377E58B0">
      <w:start w:val="1"/>
      <w:numFmt w:val="bullet"/>
      <w:pStyle w:val="Tabletextbullet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0">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777C05"/>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1AC4D20"/>
    <w:multiLevelType w:val="hybridMultilevel"/>
    <w:tmpl w:val="753A8D6A"/>
    <w:lvl w:ilvl="0" w:tplc="0C090001">
      <w:start w:val="1"/>
      <w:numFmt w:val="bullet"/>
      <w:lvlText w:val=""/>
      <w:lvlJc w:val="left"/>
      <w:pPr>
        <w:ind w:left="2160" w:hanging="360"/>
      </w:pPr>
      <w:rPr>
        <w:rFonts w:ascii="Symbol" w:hAnsi="Symbol" w:hint="default"/>
      </w:rPr>
    </w:lvl>
    <w:lvl w:ilvl="1" w:tplc="0C090001">
      <w:start w:val="1"/>
      <w:numFmt w:val="bullet"/>
      <w:lvlText w:val=""/>
      <w:lvlJc w:val="left"/>
      <w:pPr>
        <w:ind w:left="2880" w:hanging="360"/>
      </w:pPr>
      <w:rPr>
        <w:rFonts w:ascii="Symbol" w:hAnsi="Symbol"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3">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4">
    <w:nsid w:val="6B3F2938"/>
    <w:multiLevelType w:val="hybridMultilevel"/>
    <w:tmpl w:val="59AA5A10"/>
    <w:lvl w:ilvl="0" w:tplc="45567906">
      <w:numFmt w:val="bullet"/>
      <w:lvlText w:val="-"/>
      <w:lvlJc w:val="left"/>
      <w:pPr>
        <w:ind w:left="720" w:hanging="360"/>
      </w:pPr>
      <w:rPr>
        <w:rFonts w:ascii="Book Antiqua" w:eastAsia="Times New Roman" w:hAnsi="Book Antiqu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D080F86"/>
    <w:multiLevelType w:val="hybridMultilevel"/>
    <w:tmpl w:val="BDECA758"/>
    <w:lvl w:ilvl="0" w:tplc="75A01A1A">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7">
    <w:nsid w:val="7609771A"/>
    <w:multiLevelType w:val="hybridMultilevel"/>
    <w:tmpl w:val="9C503E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23"/>
  </w:num>
  <w:num w:numId="4">
    <w:abstractNumId w:val="15"/>
    <w:lvlOverride w:ilvl="0">
      <w:startOverride w:val="1"/>
    </w:lvlOverride>
  </w:num>
  <w:num w:numId="5">
    <w:abstractNumId w:val="26"/>
  </w:num>
  <w:num w:numId="6">
    <w:abstractNumId w:val="11"/>
  </w:num>
  <w:num w:numId="7">
    <w:abstractNumId w:val="19"/>
  </w:num>
  <w:num w:numId="8">
    <w:abstractNumId w:val="14"/>
  </w:num>
  <w:num w:numId="9">
    <w:abstractNumId w:val="3"/>
  </w:num>
  <w:num w:numId="10">
    <w:abstractNumId w:val="21"/>
  </w:num>
  <w:num w:numId="11">
    <w:abstractNumId w:val="0"/>
  </w:num>
  <w:num w:numId="12">
    <w:abstractNumId w:val="15"/>
    <w:lvlOverride w:ilvl="0">
      <w:startOverride w:val="1"/>
    </w:lvlOverride>
  </w:num>
  <w:num w:numId="13">
    <w:abstractNumId w:val="13"/>
  </w:num>
  <w:num w:numId="14">
    <w:abstractNumId w:val="7"/>
  </w:num>
  <w:num w:numId="15">
    <w:abstractNumId w:val="16"/>
  </w:num>
  <w:num w:numId="16">
    <w:abstractNumId w:val="20"/>
  </w:num>
  <w:num w:numId="17">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3"/>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8"/>
  </w:num>
  <w:num w:numId="23">
    <w:abstractNumId w:val="12"/>
  </w:num>
  <w:num w:numId="24">
    <w:abstractNumId w:val="22"/>
  </w:num>
  <w:num w:numId="25">
    <w:abstractNumId w:val="10"/>
  </w:num>
  <w:num w:numId="26">
    <w:abstractNumId w:val="2"/>
  </w:num>
  <w:num w:numId="27">
    <w:abstractNumId w:val="8"/>
  </w:num>
  <w:num w:numId="28">
    <w:abstractNumId w:val="25"/>
  </w:num>
  <w:num w:numId="29">
    <w:abstractNumId w:val="24"/>
  </w:num>
  <w:num w:numId="30">
    <w:abstractNumId w:val="13"/>
  </w:num>
  <w:num w:numId="31">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00"/>
  <w:displayHorizontalDrawingGridEvery w:val="2"/>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00C3"/>
    <w:rsid w:val="0000390C"/>
    <w:rsid w:val="00003AC4"/>
    <w:rsid w:val="00006AE4"/>
    <w:rsid w:val="0000711B"/>
    <w:rsid w:val="00012BB0"/>
    <w:rsid w:val="00013D25"/>
    <w:rsid w:val="0001438C"/>
    <w:rsid w:val="0001500C"/>
    <w:rsid w:val="00016D95"/>
    <w:rsid w:val="00017619"/>
    <w:rsid w:val="00020567"/>
    <w:rsid w:val="000216BF"/>
    <w:rsid w:val="00021DA6"/>
    <w:rsid w:val="000220B0"/>
    <w:rsid w:val="000300D7"/>
    <w:rsid w:val="00030FDA"/>
    <w:rsid w:val="00034610"/>
    <w:rsid w:val="00036095"/>
    <w:rsid w:val="000364F3"/>
    <w:rsid w:val="000369AC"/>
    <w:rsid w:val="0003724F"/>
    <w:rsid w:val="000402FE"/>
    <w:rsid w:val="000413D4"/>
    <w:rsid w:val="00042D00"/>
    <w:rsid w:val="00042FDD"/>
    <w:rsid w:val="00045667"/>
    <w:rsid w:val="00054A04"/>
    <w:rsid w:val="00054CC3"/>
    <w:rsid w:val="0005600E"/>
    <w:rsid w:val="00056260"/>
    <w:rsid w:val="0005722F"/>
    <w:rsid w:val="00060890"/>
    <w:rsid w:val="00063C44"/>
    <w:rsid w:val="00063CE1"/>
    <w:rsid w:val="00063E48"/>
    <w:rsid w:val="00065053"/>
    <w:rsid w:val="000655E4"/>
    <w:rsid w:val="000656AD"/>
    <w:rsid w:val="00065C71"/>
    <w:rsid w:val="00066BBA"/>
    <w:rsid w:val="00067B6F"/>
    <w:rsid w:val="00067E1D"/>
    <w:rsid w:val="0007064C"/>
    <w:rsid w:val="00070C05"/>
    <w:rsid w:val="000712EE"/>
    <w:rsid w:val="000725C0"/>
    <w:rsid w:val="00074CE6"/>
    <w:rsid w:val="00076C71"/>
    <w:rsid w:val="00077277"/>
    <w:rsid w:val="0007743A"/>
    <w:rsid w:val="00080069"/>
    <w:rsid w:val="00080F4F"/>
    <w:rsid w:val="00082159"/>
    <w:rsid w:val="0008304E"/>
    <w:rsid w:val="0008449F"/>
    <w:rsid w:val="000924A7"/>
    <w:rsid w:val="00094B28"/>
    <w:rsid w:val="00096DEE"/>
    <w:rsid w:val="00097063"/>
    <w:rsid w:val="000A1A89"/>
    <w:rsid w:val="000A1C91"/>
    <w:rsid w:val="000A24C4"/>
    <w:rsid w:val="000A3288"/>
    <w:rsid w:val="000A345B"/>
    <w:rsid w:val="000A372A"/>
    <w:rsid w:val="000A395D"/>
    <w:rsid w:val="000A56A5"/>
    <w:rsid w:val="000A5C86"/>
    <w:rsid w:val="000A6897"/>
    <w:rsid w:val="000A6DBE"/>
    <w:rsid w:val="000B09C1"/>
    <w:rsid w:val="000B0FE3"/>
    <w:rsid w:val="000B1FC4"/>
    <w:rsid w:val="000B2404"/>
    <w:rsid w:val="000B36D8"/>
    <w:rsid w:val="000B3B7D"/>
    <w:rsid w:val="000C19EF"/>
    <w:rsid w:val="000C2A22"/>
    <w:rsid w:val="000C2D7D"/>
    <w:rsid w:val="000C3B86"/>
    <w:rsid w:val="000C6A39"/>
    <w:rsid w:val="000C6FB8"/>
    <w:rsid w:val="000D13E5"/>
    <w:rsid w:val="000D43DE"/>
    <w:rsid w:val="000D58A1"/>
    <w:rsid w:val="000E0A85"/>
    <w:rsid w:val="000E39B7"/>
    <w:rsid w:val="000E68E3"/>
    <w:rsid w:val="000E6DDB"/>
    <w:rsid w:val="000E74A6"/>
    <w:rsid w:val="000F03B1"/>
    <w:rsid w:val="000F08AE"/>
    <w:rsid w:val="000F2D33"/>
    <w:rsid w:val="000F43F4"/>
    <w:rsid w:val="000F440E"/>
    <w:rsid w:val="000F6647"/>
    <w:rsid w:val="000F73B7"/>
    <w:rsid w:val="000F7E7B"/>
    <w:rsid w:val="001002F8"/>
    <w:rsid w:val="00101440"/>
    <w:rsid w:val="00102654"/>
    <w:rsid w:val="001028CC"/>
    <w:rsid w:val="001045F9"/>
    <w:rsid w:val="0010472B"/>
    <w:rsid w:val="0010657F"/>
    <w:rsid w:val="001114A3"/>
    <w:rsid w:val="00112D0F"/>
    <w:rsid w:val="001133E0"/>
    <w:rsid w:val="00115DE5"/>
    <w:rsid w:val="001163D6"/>
    <w:rsid w:val="0011726A"/>
    <w:rsid w:val="0012022D"/>
    <w:rsid w:val="00120B5E"/>
    <w:rsid w:val="00121EB0"/>
    <w:rsid w:val="0012228D"/>
    <w:rsid w:val="00123218"/>
    <w:rsid w:val="00123925"/>
    <w:rsid w:val="00124758"/>
    <w:rsid w:val="00126641"/>
    <w:rsid w:val="001272CD"/>
    <w:rsid w:val="001305B1"/>
    <w:rsid w:val="00131EA7"/>
    <w:rsid w:val="001322AD"/>
    <w:rsid w:val="00133B4E"/>
    <w:rsid w:val="00133D3A"/>
    <w:rsid w:val="001352EE"/>
    <w:rsid w:val="00135505"/>
    <w:rsid w:val="00135CC8"/>
    <w:rsid w:val="00136827"/>
    <w:rsid w:val="001370C2"/>
    <w:rsid w:val="001375D4"/>
    <w:rsid w:val="00143E88"/>
    <w:rsid w:val="001455D8"/>
    <w:rsid w:val="0014790A"/>
    <w:rsid w:val="00151183"/>
    <w:rsid w:val="00151ABB"/>
    <w:rsid w:val="00152B79"/>
    <w:rsid w:val="0015428F"/>
    <w:rsid w:val="00154447"/>
    <w:rsid w:val="001549BE"/>
    <w:rsid w:val="00154CDE"/>
    <w:rsid w:val="00154F5B"/>
    <w:rsid w:val="001612BE"/>
    <w:rsid w:val="00161DAC"/>
    <w:rsid w:val="00162B55"/>
    <w:rsid w:val="00162D8B"/>
    <w:rsid w:val="001638E9"/>
    <w:rsid w:val="00164B49"/>
    <w:rsid w:val="00165824"/>
    <w:rsid w:val="00166F90"/>
    <w:rsid w:val="00171A85"/>
    <w:rsid w:val="00174565"/>
    <w:rsid w:val="00175BB3"/>
    <w:rsid w:val="00176AAA"/>
    <w:rsid w:val="00176E2D"/>
    <w:rsid w:val="00177A9A"/>
    <w:rsid w:val="001808A4"/>
    <w:rsid w:val="001815A5"/>
    <w:rsid w:val="0018383E"/>
    <w:rsid w:val="00186850"/>
    <w:rsid w:val="001904A5"/>
    <w:rsid w:val="001923C8"/>
    <w:rsid w:val="001939FF"/>
    <w:rsid w:val="00193C99"/>
    <w:rsid w:val="00194DE8"/>
    <w:rsid w:val="00197990"/>
    <w:rsid w:val="001A0106"/>
    <w:rsid w:val="001A02CB"/>
    <w:rsid w:val="001A11DB"/>
    <w:rsid w:val="001A33F4"/>
    <w:rsid w:val="001A5E2D"/>
    <w:rsid w:val="001A6256"/>
    <w:rsid w:val="001A6F29"/>
    <w:rsid w:val="001A72AC"/>
    <w:rsid w:val="001A789B"/>
    <w:rsid w:val="001B029D"/>
    <w:rsid w:val="001B03CC"/>
    <w:rsid w:val="001B0C75"/>
    <w:rsid w:val="001B44C2"/>
    <w:rsid w:val="001B4EC1"/>
    <w:rsid w:val="001B659F"/>
    <w:rsid w:val="001B6BD9"/>
    <w:rsid w:val="001B7399"/>
    <w:rsid w:val="001B7655"/>
    <w:rsid w:val="001B7BAD"/>
    <w:rsid w:val="001B7F09"/>
    <w:rsid w:val="001C1166"/>
    <w:rsid w:val="001C1F6A"/>
    <w:rsid w:val="001C261E"/>
    <w:rsid w:val="001C3AC7"/>
    <w:rsid w:val="001C7B78"/>
    <w:rsid w:val="001D0BA6"/>
    <w:rsid w:val="001D1942"/>
    <w:rsid w:val="001D1DDB"/>
    <w:rsid w:val="001D4CAA"/>
    <w:rsid w:val="001D53EA"/>
    <w:rsid w:val="001D6851"/>
    <w:rsid w:val="001D6F7C"/>
    <w:rsid w:val="001E105C"/>
    <w:rsid w:val="001E12A5"/>
    <w:rsid w:val="001E1EDB"/>
    <w:rsid w:val="001E3A18"/>
    <w:rsid w:val="001E6DBA"/>
    <w:rsid w:val="001E717D"/>
    <w:rsid w:val="001E71F5"/>
    <w:rsid w:val="001E7D86"/>
    <w:rsid w:val="001F377B"/>
    <w:rsid w:val="001F3CF9"/>
    <w:rsid w:val="001F4807"/>
    <w:rsid w:val="001F55E5"/>
    <w:rsid w:val="001F5CB9"/>
    <w:rsid w:val="001F76C4"/>
    <w:rsid w:val="00200DC3"/>
    <w:rsid w:val="0020214A"/>
    <w:rsid w:val="00204A87"/>
    <w:rsid w:val="002050B0"/>
    <w:rsid w:val="00205D80"/>
    <w:rsid w:val="0021093F"/>
    <w:rsid w:val="002133CA"/>
    <w:rsid w:val="0021361F"/>
    <w:rsid w:val="00215783"/>
    <w:rsid w:val="0021644B"/>
    <w:rsid w:val="00216DC9"/>
    <w:rsid w:val="00217CA0"/>
    <w:rsid w:val="002202EB"/>
    <w:rsid w:val="00220FCF"/>
    <w:rsid w:val="00221705"/>
    <w:rsid w:val="00221D97"/>
    <w:rsid w:val="00223C87"/>
    <w:rsid w:val="00224BA9"/>
    <w:rsid w:val="0022552E"/>
    <w:rsid w:val="00227458"/>
    <w:rsid w:val="00232729"/>
    <w:rsid w:val="002329C3"/>
    <w:rsid w:val="002332AE"/>
    <w:rsid w:val="002333C2"/>
    <w:rsid w:val="00234040"/>
    <w:rsid w:val="002357B2"/>
    <w:rsid w:val="00235D67"/>
    <w:rsid w:val="00244D22"/>
    <w:rsid w:val="002454A5"/>
    <w:rsid w:val="00246329"/>
    <w:rsid w:val="00246C09"/>
    <w:rsid w:val="00247262"/>
    <w:rsid w:val="002528B9"/>
    <w:rsid w:val="002539DC"/>
    <w:rsid w:val="0025616B"/>
    <w:rsid w:val="00257133"/>
    <w:rsid w:val="00257FF4"/>
    <w:rsid w:val="002608CE"/>
    <w:rsid w:val="0026279C"/>
    <w:rsid w:val="00262CD3"/>
    <w:rsid w:val="00265289"/>
    <w:rsid w:val="00266613"/>
    <w:rsid w:val="00266CBF"/>
    <w:rsid w:val="00266D1A"/>
    <w:rsid w:val="00266EDF"/>
    <w:rsid w:val="00266FE9"/>
    <w:rsid w:val="00272396"/>
    <w:rsid w:val="00274689"/>
    <w:rsid w:val="0027481A"/>
    <w:rsid w:val="0027614D"/>
    <w:rsid w:val="002762BF"/>
    <w:rsid w:val="0027651A"/>
    <w:rsid w:val="0027654F"/>
    <w:rsid w:val="0028081A"/>
    <w:rsid w:val="00281CF6"/>
    <w:rsid w:val="0028309A"/>
    <w:rsid w:val="0028359B"/>
    <w:rsid w:val="00285757"/>
    <w:rsid w:val="002857FE"/>
    <w:rsid w:val="00292D6A"/>
    <w:rsid w:val="0029312A"/>
    <w:rsid w:val="0029325C"/>
    <w:rsid w:val="00293B2D"/>
    <w:rsid w:val="002960B7"/>
    <w:rsid w:val="00296662"/>
    <w:rsid w:val="00297824"/>
    <w:rsid w:val="002A0877"/>
    <w:rsid w:val="002A153F"/>
    <w:rsid w:val="002A34B0"/>
    <w:rsid w:val="002A3770"/>
    <w:rsid w:val="002A40DC"/>
    <w:rsid w:val="002A4D8B"/>
    <w:rsid w:val="002A5329"/>
    <w:rsid w:val="002A5C2D"/>
    <w:rsid w:val="002A61E5"/>
    <w:rsid w:val="002A6AE8"/>
    <w:rsid w:val="002A7FC8"/>
    <w:rsid w:val="002B0A81"/>
    <w:rsid w:val="002B0C48"/>
    <w:rsid w:val="002B15C8"/>
    <w:rsid w:val="002B1CE7"/>
    <w:rsid w:val="002B2AF9"/>
    <w:rsid w:val="002B2F0F"/>
    <w:rsid w:val="002B595D"/>
    <w:rsid w:val="002B5F6A"/>
    <w:rsid w:val="002B779E"/>
    <w:rsid w:val="002B7D6F"/>
    <w:rsid w:val="002B7D78"/>
    <w:rsid w:val="002C0552"/>
    <w:rsid w:val="002C25D0"/>
    <w:rsid w:val="002C280B"/>
    <w:rsid w:val="002C2DB0"/>
    <w:rsid w:val="002C44C3"/>
    <w:rsid w:val="002C75B0"/>
    <w:rsid w:val="002C7703"/>
    <w:rsid w:val="002C7A63"/>
    <w:rsid w:val="002D0153"/>
    <w:rsid w:val="002D1631"/>
    <w:rsid w:val="002D403A"/>
    <w:rsid w:val="002D4262"/>
    <w:rsid w:val="002D71FB"/>
    <w:rsid w:val="002E1064"/>
    <w:rsid w:val="002E1531"/>
    <w:rsid w:val="002E2D3E"/>
    <w:rsid w:val="002E323F"/>
    <w:rsid w:val="002E7CFB"/>
    <w:rsid w:val="002F1B12"/>
    <w:rsid w:val="002F591B"/>
    <w:rsid w:val="002F7B47"/>
    <w:rsid w:val="00300013"/>
    <w:rsid w:val="003006F8"/>
    <w:rsid w:val="00300BF2"/>
    <w:rsid w:val="003016F7"/>
    <w:rsid w:val="003027C1"/>
    <w:rsid w:val="0030537F"/>
    <w:rsid w:val="00305718"/>
    <w:rsid w:val="00305EC5"/>
    <w:rsid w:val="00306107"/>
    <w:rsid w:val="0030779E"/>
    <w:rsid w:val="003077B8"/>
    <w:rsid w:val="003077EB"/>
    <w:rsid w:val="003111F8"/>
    <w:rsid w:val="0031204A"/>
    <w:rsid w:val="0031272B"/>
    <w:rsid w:val="003127D3"/>
    <w:rsid w:val="003146BF"/>
    <w:rsid w:val="00315435"/>
    <w:rsid w:val="00316341"/>
    <w:rsid w:val="00317E2D"/>
    <w:rsid w:val="00317F8C"/>
    <w:rsid w:val="0032038C"/>
    <w:rsid w:val="00325C5E"/>
    <w:rsid w:val="0032738E"/>
    <w:rsid w:val="00330433"/>
    <w:rsid w:val="00331C5F"/>
    <w:rsid w:val="00333074"/>
    <w:rsid w:val="00333223"/>
    <w:rsid w:val="00333EC6"/>
    <w:rsid w:val="003364C1"/>
    <w:rsid w:val="00337F82"/>
    <w:rsid w:val="00337FAC"/>
    <w:rsid w:val="00340640"/>
    <w:rsid w:val="00340BE5"/>
    <w:rsid w:val="003427DA"/>
    <w:rsid w:val="003435D6"/>
    <w:rsid w:val="003458E0"/>
    <w:rsid w:val="00345CCD"/>
    <w:rsid w:val="00347351"/>
    <w:rsid w:val="003511CE"/>
    <w:rsid w:val="00351909"/>
    <w:rsid w:val="00352BE0"/>
    <w:rsid w:val="0035333E"/>
    <w:rsid w:val="003538F0"/>
    <w:rsid w:val="003555D5"/>
    <w:rsid w:val="00357DAE"/>
    <w:rsid w:val="00361259"/>
    <w:rsid w:val="00361429"/>
    <w:rsid w:val="00362AA7"/>
    <w:rsid w:val="003705BF"/>
    <w:rsid w:val="00370935"/>
    <w:rsid w:val="00375E52"/>
    <w:rsid w:val="00377721"/>
    <w:rsid w:val="00377F81"/>
    <w:rsid w:val="00382234"/>
    <w:rsid w:val="0038672F"/>
    <w:rsid w:val="00386882"/>
    <w:rsid w:val="00386BC9"/>
    <w:rsid w:val="00386F24"/>
    <w:rsid w:val="0039053D"/>
    <w:rsid w:val="003914D7"/>
    <w:rsid w:val="0039449C"/>
    <w:rsid w:val="00397C94"/>
    <w:rsid w:val="003A0290"/>
    <w:rsid w:val="003A25BB"/>
    <w:rsid w:val="003B0963"/>
    <w:rsid w:val="003B0D03"/>
    <w:rsid w:val="003B1F0A"/>
    <w:rsid w:val="003B2C1F"/>
    <w:rsid w:val="003B48BF"/>
    <w:rsid w:val="003B51BB"/>
    <w:rsid w:val="003B5533"/>
    <w:rsid w:val="003B5A85"/>
    <w:rsid w:val="003B71EE"/>
    <w:rsid w:val="003B7621"/>
    <w:rsid w:val="003C13A6"/>
    <w:rsid w:val="003C1EB4"/>
    <w:rsid w:val="003C664E"/>
    <w:rsid w:val="003C7CD7"/>
    <w:rsid w:val="003D00D4"/>
    <w:rsid w:val="003D1E47"/>
    <w:rsid w:val="003D3C14"/>
    <w:rsid w:val="003D4557"/>
    <w:rsid w:val="003D52D2"/>
    <w:rsid w:val="003D543D"/>
    <w:rsid w:val="003D59FD"/>
    <w:rsid w:val="003E10B8"/>
    <w:rsid w:val="003E122D"/>
    <w:rsid w:val="003E13F5"/>
    <w:rsid w:val="003E4E15"/>
    <w:rsid w:val="003E5AE8"/>
    <w:rsid w:val="003F07EE"/>
    <w:rsid w:val="003F0F41"/>
    <w:rsid w:val="003F29F2"/>
    <w:rsid w:val="003F47DF"/>
    <w:rsid w:val="003F604C"/>
    <w:rsid w:val="003F7E20"/>
    <w:rsid w:val="00405E90"/>
    <w:rsid w:val="004065CE"/>
    <w:rsid w:val="0040728F"/>
    <w:rsid w:val="004105DD"/>
    <w:rsid w:val="00410DCE"/>
    <w:rsid w:val="004119C3"/>
    <w:rsid w:val="0041404E"/>
    <w:rsid w:val="0041429D"/>
    <w:rsid w:val="00414E1F"/>
    <w:rsid w:val="004168D4"/>
    <w:rsid w:val="0041765C"/>
    <w:rsid w:val="00420837"/>
    <w:rsid w:val="00421EEC"/>
    <w:rsid w:val="0042255C"/>
    <w:rsid w:val="00422933"/>
    <w:rsid w:val="00422F4B"/>
    <w:rsid w:val="004248B4"/>
    <w:rsid w:val="00424C66"/>
    <w:rsid w:val="0042526D"/>
    <w:rsid w:val="004254A2"/>
    <w:rsid w:val="00426D71"/>
    <w:rsid w:val="00427538"/>
    <w:rsid w:val="00430256"/>
    <w:rsid w:val="00431395"/>
    <w:rsid w:val="00431BF1"/>
    <w:rsid w:val="004342F8"/>
    <w:rsid w:val="00434A2F"/>
    <w:rsid w:val="004373DF"/>
    <w:rsid w:val="0044083A"/>
    <w:rsid w:val="004408FA"/>
    <w:rsid w:val="004418CD"/>
    <w:rsid w:val="0044552A"/>
    <w:rsid w:val="00451501"/>
    <w:rsid w:val="004528D0"/>
    <w:rsid w:val="00452907"/>
    <w:rsid w:val="00454564"/>
    <w:rsid w:val="004562E5"/>
    <w:rsid w:val="00457BC3"/>
    <w:rsid w:val="0046034D"/>
    <w:rsid w:val="004611B1"/>
    <w:rsid w:val="00462272"/>
    <w:rsid w:val="0046390C"/>
    <w:rsid w:val="00465D4E"/>
    <w:rsid w:val="004669BA"/>
    <w:rsid w:val="00467BDD"/>
    <w:rsid w:val="004701B4"/>
    <w:rsid w:val="00470EE4"/>
    <w:rsid w:val="004717F6"/>
    <w:rsid w:val="00474747"/>
    <w:rsid w:val="0047481E"/>
    <w:rsid w:val="00474918"/>
    <w:rsid w:val="00475EAF"/>
    <w:rsid w:val="004811D5"/>
    <w:rsid w:val="004815F8"/>
    <w:rsid w:val="00481E32"/>
    <w:rsid w:val="004831ED"/>
    <w:rsid w:val="004836A7"/>
    <w:rsid w:val="004847B4"/>
    <w:rsid w:val="00484921"/>
    <w:rsid w:val="00486614"/>
    <w:rsid w:val="00487E11"/>
    <w:rsid w:val="00487FB8"/>
    <w:rsid w:val="00490D96"/>
    <w:rsid w:val="004919D4"/>
    <w:rsid w:val="00491FB2"/>
    <w:rsid w:val="0049212C"/>
    <w:rsid w:val="00495C39"/>
    <w:rsid w:val="004A1224"/>
    <w:rsid w:val="004A175C"/>
    <w:rsid w:val="004A1AE3"/>
    <w:rsid w:val="004A247B"/>
    <w:rsid w:val="004A28C5"/>
    <w:rsid w:val="004A660C"/>
    <w:rsid w:val="004A6B44"/>
    <w:rsid w:val="004B0B19"/>
    <w:rsid w:val="004B0DB2"/>
    <w:rsid w:val="004B353D"/>
    <w:rsid w:val="004B37A7"/>
    <w:rsid w:val="004B4426"/>
    <w:rsid w:val="004B5F2A"/>
    <w:rsid w:val="004B74B2"/>
    <w:rsid w:val="004C1399"/>
    <w:rsid w:val="004C1C09"/>
    <w:rsid w:val="004C289A"/>
    <w:rsid w:val="004C2A0C"/>
    <w:rsid w:val="004C2A17"/>
    <w:rsid w:val="004C4CAE"/>
    <w:rsid w:val="004C5507"/>
    <w:rsid w:val="004D1E1A"/>
    <w:rsid w:val="004D23A9"/>
    <w:rsid w:val="004D29F5"/>
    <w:rsid w:val="004D2F90"/>
    <w:rsid w:val="004D7804"/>
    <w:rsid w:val="004D79C9"/>
    <w:rsid w:val="004E2825"/>
    <w:rsid w:val="004E3079"/>
    <w:rsid w:val="004E62E4"/>
    <w:rsid w:val="004F0E90"/>
    <w:rsid w:val="004F0F5B"/>
    <w:rsid w:val="004F22B8"/>
    <w:rsid w:val="004F2437"/>
    <w:rsid w:val="004F45F0"/>
    <w:rsid w:val="004F4624"/>
    <w:rsid w:val="004F5573"/>
    <w:rsid w:val="004F634F"/>
    <w:rsid w:val="0050141B"/>
    <w:rsid w:val="00502638"/>
    <w:rsid w:val="005029BC"/>
    <w:rsid w:val="005048E3"/>
    <w:rsid w:val="00504C3F"/>
    <w:rsid w:val="00505A77"/>
    <w:rsid w:val="00505CB3"/>
    <w:rsid w:val="005067C7"/>
    <w:rsid w:val="00506EB0"/>
    <w:rsid w:val="0050798C"/>
    <w:rsid w:val="0051030F"/>
    <w:rsid w:val="005136CD"/>
    <w:rsid w:val="00514B1A"/>
    <w:rsid w:val="00514B24"/>
    <w:rsid w:val="00517384"/>
    <w:rsid w:val="00521860"/>
    <w:rsid w:val="005222CC"/>
    <w:rsid w:val="00522622"/>
    <w:rsid w:val="005257C4"/>
    <w:rsid w:val="00525AB1"/>
    <w:rsid w:val="005267FB"/>
    <w:rsid w:val="00527492"/>
    <w:rsid w:val="005277F5"/>
    <w:rsid w:val="005307E9"/>
    <w:rsid w:val="005310C1"/>
    <w:rsid w:val="00531224"/>
    <w:rsid w:val="00532994"/>
    <w:rsid w:val="005329BE"/>
    <w:rsid w:val="00532D12"/>
    <w:rsid w:val="00533206"/>
    <w:rsid w:val="00533442"/>
    <w:rsid w:val="00533515"/>
    <w:rsid w:val="00534AC0"/>
    <w:rsid w:val="00535557"/>
    <w:rsid w:val="0053606A"/>
    <w:rsid w:val="005369C0"/>
    <w:rsid w:val="00540D82"/>
    <w:rsid w:val="00541254"/>
    <w:rsid w:val="00542BA5"/>
    <w:rsid w:val="00545573"/>
    <w:rsid w:val="00547EB8"/>
    <w:rsid w:val="00552FC2"/>
    <w:rsid w:val="00553DA2"/>
    <w:rsid w:val="00555623"/>
    <w:rsid w:val="005562DC"/>
    <w:rsid w:val="00556725"/>
    <w:rsid w:val="00557A85"/>
    <w:rsid w:val="00560562"/>
    <w:rsid w:val="005606B5"/>
    <w:rsid w:val="00562BAD"/>
    <w:rsid w:val="00566181"/>
    <w:rsid w:val="005708BD"/>
    <w:rsid w:val="00574906"/>
    <w:rsid w:val="00574E9E"/>
    <w:rsid w:val="005752BC"/>
    <w:rsid w:val="0057622F"/>
    <w:rsid w:val="00577977"/>
    <w:rsid w:val="00581D30"/>
    <w:rsid w:val="00584245"/>
    <w:rsid w:val="00584D80"/>
    <w:rsid w:val="005863FB"/>
    <w:rsid w:val="00586535"/>
    <w:rsid w:val="00586BB5"/>
    <w:rsid w:val="00586DFB"/>
    <w:rsid w:val="005904C2"/>
    <w:rsid w:val="005905BC"/>
    <w:rsid w:val="00590B75"/>
    <w:rsid w:val="00590DAA"/>
    <w:rsid w:val="00591D74"/>
    <w:rsid w:val="005922E6"/>
    <w:rsid w:val="00592349"/>
    <w:rsid w:val="00596F3F"/>
    <w:rsid w:val="00597EEF"/>
    <w:rsid w:val="005A1C4E"/>
    <w:rsid w:val="005A3678"/>
    <w:rsid w:val="005A390C"/>
    <w:rsid w:val="005A426B"/>
    <w:rsid w:val="005A4A1A"/>
    <w:rsid w:val="005A5084"/>
    <w:rsid w:val="005A61D3"/>
    <w:rsid w:val="005A7E70"/>
    <w:rsid w:val="005B40E8"/>
    <w:rsid w:val="005B6DAA"/>
    <w:rsid w:val="005B7314"/>
    <w:rsid w:val="005B7D8B"/>
    <w:rsid w:val="005C03F6"/>
    <w:rsid w:val="005C0475"/>
    <w:rsid w:val="005C1569"/>
    <w:rsid w:val="005C225D"/>
    <w:rsid w:val="005C4604"/>
    <w:rsid w:val="005C4BEE"/>
    <w:rsid w:val="005C6E74"/>
    <w:rsid w:val="005C781C"/>
    <w:rsid w:val="005D3254"/>
    <w:rsid w:val="005D330E"/>
    <w:rsid w:val="005D3528"/>
    <w:rsid w:val="005D49A6"/>
    <w:rsid w:val="005D7A35"/>
    <w:rsid w:val="005E034F"/>
    <w:rsid w:val="005E09A7"/>
    <w:rsid w:val="005E198B"/>
    <w:rsid w:val="005E19D9"/>
    <w:rsid w:val="005E1D35"/>
    <w:rsid w:val="005E2A31"/>
    <w:rsid w:val="005E35E8"/>
    <w:rsid w:val="005E36B9"/>
    <w:rsid w:val="005E442F"/>
    <w:rsid w:val="005E5519"/>
    <w:rsid w:val="005E61D8"/>
    <w:rsid w:val="005E7E2C"/>
    <w:rsid w:val="005F29CD"/>
    <w:rsid w:val="005F3175"/>
    <w:rsid w:val="005F3436"/>
    <w:rsid w:val="005F3BBD"/>
    <w:rsid w:val="005F4739"/>
    <w:rsid w:val="005F642B"/>
    <w:rsid w:val="005F67FC"/>
    <w:rsid w:val="006018F6"/>
    <w:rsid w:val="006026E1"/>
    <w:rsid w:val="00603A90"/>
    <w:rsid w:val="00605163"/>
    <w:rsid w:val="006065BF"/>
    <w:rsid w:val="00606F86"/>
    <w:rsid w:val="006070EA"/>
    <w:rsid w:val="00607ABE"/>
    <w:rsid w:val="00607F53"/>
    <w:rsid w:val="006103D0"/>
    <w:rsid w:val="0061082C"/>
    <w:rsid w:val="00611EAE"/>
    <w:rsid w:val="0061364A"/>
    <w:rsid w:val="00613BEA"/>
    <w:rsid w:val="0061402C"/>
    <w:rsid w:val="00615113"/>
    <w:rsid w:val="0061595F"/>
    <w:rsid w:val="00616179"/>
    <w:rsid w:val="0061675B"/>
    <w:rsid w:val="0062052B"/>
    <w:rsid w:val="00621A86"/>
    <w:rsid w:val="00623401"/>
    <w:rsid w:val="00625C40"/>
    <w:rsid w:val="006274B3"/>
    <w:rsid w:val="00627E7C"/>
    <w:rsid w:val="00631369"/>
    <w:rsid w:val="00632481"/>
    <w:rsid w:val="0063262D"/>
    <w:rsid w:val="00634AD9"/>
    <w:rsid w:val="00637BBD"/>
    <w:rsid w:val="00640D17"/>
    <w:rsid w:val="00642768"/>
    <w:rsid w:val="00646ACE"/>
    <w:rsid w:val="006474C0"/>
    <w:rsid w:val="00647927"/>
    <w:rsid w:val="00652B9B"/>
    <w:rsid w:val="00653743"/>
    <w:rsid w:val="00653DD9"/>
    <w:rsid w:val="00654E6A"/>
    <w:rsid w:val="00657486"/>
    <w:rsid w:val="006575F3"/>
    <w:rsid w:val="006576C3"/>
    <w:rsid w:val="00660871"/>
    <w:rsid w:val="00662809"/>
    <w:rsid w:val="00664E08"/>
    <w:rsid w:val="0066774D"/>
    <w:rsid w:val="00667F42"/>
    <w:rsid w:val="00671284"/>
    <w:rsid w:val="006727FC"/>
    <w:rsid w:val="00673906"/>
    <w:rsid w:val="006765BC"/>
    <w:rsid w:val="00676E5B"/>
    <w:rsid w:val="00677D6B"/>
    <w:rsid w:val="00680795"/>
    <w:rsid w:val="00680D8F"/>
    <w:rsid w:val="00682713"/>
    <w:rsid w:val="00683579"/>
    <w:rsid w:val="006854CE"/>
    <w:rsid w:val="006863EC"/>
    <w:rsid w:val="0068790B"/>
    <w:rsid w:val="006941DD"/>
    <w:rsid w:val="0069466B"/>
    <w:rsid w:val="006952FA"/>
    <w:rsid w:val="006956FF"/>
    <w:rsid w:val="006A009F"/>
    <w:rsid w:val="006A2332"/>
    <w:rsid w:val="006A257C"/>
    <w:rsid w:val="006A2615"/>
    <w:rsid w:val="006A499D"/>
    <w:rsid w:val="006A5866"/>
    <w:rsid w:val="006A7B57"/>
    <w:rsid w:val="006B0F54"/>
    <w:rsid w:val="006B415B"/>
    <w:rsid w:val="006B4C95"/>
    <w:rsid w:val="006B4CBA"/>
    <w:rsid w:val="006B5F82"/>
    <w:rsid w:val="006C2E46"/>
    <w:rsid w:val="006C3185"/>
    <w:rsid w:val="006C3544"/>
    <w:rsid w:val="006C4E45"/>
    <w:rsid w:val="006C5EE1"/>
    <w:rsid w:val="006C61B1"/>
    <w:rsid w:val="006D0669"/>
    <w:rsid w:val="006D3771"/>
    <w:rsid w:val="006D440A"/>
    <w:rsid w:val="006D592F"/>
    <w:rsid w:val="006D62BE"/>
    <w:rsid w:val="006D7B71"/>
    <w:rsid w:val="006D7EDC"/>
    <w:rsid w:val="006E0006"/>
    <w:rsid w:val="006E0DF6"/>
    <w:rsid w:val="006E1BDE"/>
    <w:rsid w:val="006E336C"/>
    <w:rsid w:val="006E3B9E"/>
    <w:rsid w:val="006E4A27"/>
    <w:rsid w:val="006E5828"/>
    <w:rsid w:val="006E6BB9"/>
    <w:rsid w:val="006E784F"/>
    <w:rsid w:val="006F0B4F"/>
    <w:rsid w:val="006F26BA"/>
    <w:rsid w:val="006F2DF3"/>
    <w:rsid w:val="006F2DF9"/>
    <w:rsid w:val="006F3653"/>
    <w:rsid w:val="006F3C6F"/>
    <w:rsid w:val="006F3DB7"/>
    <w:rsid w:val="006F41C6"/>
    <w:rsid w:val="006F5DD9"/>
    <w:rsid w:val="006F6FA2"/>
    <w:rsid w:val="007001D0"/>
    <w:rsid w:val="00700CE3"/>
    <w:rsid w:val="00701498"/>
    <w:rsid w:val="00701E70"/>
    <w:rsid w:val="007036AE"/>
    <w:rsid w:val="00704F47"/>
    <w:rsid w:val="007072C2"/>
    <w:rsid w:val="0070746B"/>
    <w:rsid w:val="007075CA"/>
    <w:rsid w:val="0071151E"/>
    <w:rsid w:val="00711571"/>
    <w:rsid w:val="0071482B"/>
    <w:rsid w:val="00714C8F"/>
    <w:rsid w:val="00715214"/>
    <w:rsid w:val="00715A32"/>
    <w:rsid w:val="00716F57"/>
    <w:rsid w:val="00721409"/>
    <w:rsid w:val="007221A2"/>
    <w:rsid w:val="00722364"/>
    <w:rsid w:val="00722935"/>
    <w:rsid w:val="00727815"/>
    <w:rsid w:val="00730E31"/>
    <w:rsid w:val="00732561"/>
    <w:rsid w:val="00734C7A"/>
    <w:rsid w:val="00734E06"/>
    <w:rsid w:val="00735844"/>
    <w:rsid w:val="00736E9D"/>
    <w:rsid w:val="007373FA"/>
    <w:rsid w:val="0074063F"/>
    <w:rsid w:val="00740EF1"/>
    <w:rsid w:val="00744DBD"/>
    <w:rsid w:val="00745398"/>
    <w:rsid w:val="00750451"/>
    <w:rsid w:val="00753890"/>
    <w:rsid w:val="007561F0"/>
    <w:rsid w:val="00756632"/>
    <w:rsid w:val="0075754A"/>
    <w:rsid w:val="00760554"/>
    <w:rsid w:val="0076083D"/>
    <w:rsid w:val="00761DC2"/>
    <w:rsid w:val="0076273D"/>
    <w:rsid w:val="00762B1E"/>
    <w:rsid w:val="007652E7"/>
    <w:rsid w:val="00766434"/>
    <w:rsid w:val="00770E10"/>
    <w:rsid w:val="00771E5C"/>
    <w:rsid w:val="00772107"/>
    <w:rsid w:val="00774A83"/>
    <w:rsid w:val="00775146"/>
    <w:rsid w:val="0077566D"/>
    <w:rsid w:val="00776097"/>
    <w:rsid w:val="007766A5"/>
    <w:rsid w:val="00776E39"/>
    <w:rsid w:val="00780082"/>
    <w:rsid w:val="0078016D"/>
    <w:rsid w:val="00782098"/>
    <w:rsid w:val="0078228A"/>
    <w:rsid w:val="00786724"/>
    <w:rsid w:val="007900CB"/>
    <w:rsid w:val="00790E9B"/>
    <w:rsid w:val="007917E7"/>
    <w:rsid w:val="007927C6"/>
    <w:rsid w:val="0079348E"/>
    <w:rsid w:val="0079405B"/>
    <w:rsid w:val="0079506B"/>
    <w:rsid w:val="007A05F4"/>
    <w:rsid w:val="007A0BB9"/>
    <w:rsid w:val="007A1D73"/>
    <w:rsid w:val="007A4023"/>
    <w:rsid w:val="007A5258"/>
    <w:rsid w:val="007A5A94"/>
    <w:rsid w:val="007A68C1"/>
    <w:rsid w:val="007A6C47"/>
    <w:rsid w:val="007B2D54"/>
    <w:rsid w:val="007B31F7"/>
    <w:rsid w:val="007B347F"/>
    <w:rsid w:val="007B5A98"/>
    <w:rsid w:val="007B5E30"/>
    <w:rsid w:val="007C2270"/>
    <w:rsid w:val="007C27D4"/>
    <w:rsid w:val="007C4CCE"/>
    <w:rsid w:val="007C570A"/>
    <w:rsid w:val="007C7D49"/>
    <w:rsid w:val="007D1D99"/>
    <w:rsid w:val="007D4D2A"/>
    <w:rsid w:val="007D763D"/>
    <w:rsid w:val="007E00B1"/>
    <w:rsid w:val="007E0749"/>
    <w:rsid w:val="007E2717"/>
    <w:rsid w:val="007E2F87"/>
    <w:rsid w:val="007E334F"/>
    <w:rsid w:val="007E3D27"/>
    <w:rsid w:val="007E5D39"/>
    <w:rsid w:val="007E66C8"/>
    <w:rsid w:val="007E67BD"/>
    <w:rsid w:val="007E6BBD"/>
    <w:rsid w:val="007F06E1"/>
    <w:rsid w:val="007F3983"/>
    <w:rsid w:val="007F3CCF"/>
    <w:rsid w:val="007F517F"/>
    <w:rsid w:val="007F6391"/>
    <w:rsid w:val="007F6FB8"/>
    <w:rsid w:val="007F7481"/>
    <w:rsid w:val="007F76FF"/>
    <w:rsid w:val="007F7970"/>
    <w:rsid w:val="007F7EB7"/>
    <w:rsid w:val="00801491"/>
    <w:rsid w:val="008015A7"/>
    <w:rsid w:val="00803099"/>
    <w:rsid w:val="00804AAA"/>
    <w:rsid w:val="0081066B"/>
    <w:rsid w:val="00810809"/>
    <w:rsid w:val="00810E5B"/>
    <w:rsid w:val="00812350"/>
    <w:rsid w:val="00812741"/>
    <w:rsid w:val="008128E3"/>
    <w:rsid w:val="00815871"/>
    <w:rsid w:val="00820CF4"/>
    <w:rsid w:val="00821789"/>
    <w:rsid w:val="0082180B"/>
    <w:rsid w:val="00825D4F"/>
    <w:rsid w:val="00825E25"/>
    <w:rsid w:val="00826EF2"/>
    <w:rsid w:val="00830017"/>
    <w:rsid w:val="00830DC9"/>
    <w:rsid w:val="00833A6A"/>
    <w:rsid w:val="00833E2F"/>
    <w:rsid w:val="008368F3"/>
    <w:rsid w:val="0083698F"/>
    <w:rsid w:val="00837959"/>
    <w:rsid w:val="008400A8"/>
    <w:rsid w:val="0084156A"/>
    <w:rsid w:val="008427B1"/>
    <w:rsid w:val="008449FF"/>
    <w:rsid w:val="00844BE8"/>
    <w:rsid w:val="0084534D"/>
    <w:rsid w:val="0084601D"/>
    <w:rsid w:val="00846C73"/>
    <w:rsid w:val="0085161D"/>
    <w:rsid w:val="00855597"/>
    <w:rsid w:val="00855780"/>
    <w:rsid w:val="00856178"/>
    <w:rsid w:val="00856C69"/>
    <w:rsid w:val="008570AB"/>
    <w:rsid w:val="00857477"/>
    <w:rsid w:val="00862545"/>
    <w:rsid w:val="00863118"/>
    <w:rsid w:val="00863170"/>
    <w:rsid w:val="008636B4"/>
    <w:rsid w:val="00865A76"/>
    <w:rsid w:val="0086730B"/>
    <w:rsid w:val="008679E6"/>
    <w:rsid w:val="00867A0F"/>
    <w:rsid w:val="00871811"/>
    <w:rsid w:val="0087253E"/>
    <w:rsid w:val="00872E1F"/>
    <w:rsid w:val="00873942"/>
    <w:rsid w:val="00877F83"/>
    <w:rsid w:val="00880558"/>
    <w:rsid w:val="0088062F"/>
    <w:rsid w:val="00881CB8"/>
    <w:rsid w:val="00885DA2"/>
    <w:rsid w:val="00886342"/>
    <w:rsid w:val="008875DE"/>
    <w:rsid w:val="0089092F"/>
    <w:rsid w:val="00896961"/>
    <w:rsid w:val="00896FF4"/>
    <w:rsid w:val="008A0E85"/>
    <w:rsid w:val="008A1DDE"/>
    <w:rsid w:val="008A371D"/>
    <w:rsid w:val="008A41CA"/>
    <w:rsid w:val="008A519D"/>
    <w:rsid w:val="008A5443"/>
    <w:rsid w:val="008A55A8"/>
    <w:rsid w:val="008A5F01"/>
    <w:rsid w:val="008A6B66"/>
    <w:rsid w:val="008B0969"/>
    <w:rsid w:val="008B11D0"/>
    <w:rsid w:val="008B4464"/>
    <w:rsid w:val="008B49F6"/>
    <w:rsid w:val="008B4BF2"/>
    <w:rsid w:val="008B50B8"/>
    <w:rsid w:val="008B56E5"/>
    <w:rsid w:val="008B5AFD"/>
    <w:rsid w:val="008B605C"/>
    <w:rsid w:val="008B6650"/>
    <w:rsid w:val="008B7A4E"/>
    <w:rsid w:val="008C1506"/>
    <w:rsid w:val="008C15EB"/>
    <w:rsid w:val="008C27C5"/>
    <w:rsid w:val="008C2D30"/>
    <w:rsid w:val="008C68EF"/>
    <w:rsid w:val="008C6C92"/>
    <w:rsid w:val="008C77F7"/>
    <w:rsid w:val="008D0AE4"/>
    <w:rsid w:val="008D1847"/>
    <w:rsid w:val="008D1B0D"/>
    <w:rsid w:val="008D2F52"/>
    <w:rsid w:val="008D6B57"/>
    <w:rsid w:val="008D74C3"/>
    <w:rsid w:val="008D7DFC"/>
    <w:rsid w:val="008E00FD"/>
    <w:rsid w:val="008E07C6"/>
    <w:rsid w:val="008E33EA"/>
    <w:rsid w:val="008E4180"/>
    <w:rsid w:val="008E5DFF"/>
    <w:rsid w:val="008E5F84"/>
    <w:rsid w:val="008E6A1B"/>
    <w:rsid w:val="008F0EA9"/>
    <w:rsid w:val="008F1B1E"/>
    <w:rsid w:val="008F2B7E"/>
    <w:rsid w:val="008F411D"/>
    <w:rsid w:val="008F4D31"/>
    <w:rsid w:val="008F53F5"/>
    <w:rsid w:val="008F5AFC"/>
    <w:rsid w:val="008F5FF0"/>
    <w:rsid w:val="008F61F2"/>
    <w:rsid w:val="008F63BC"/>
    <w:rsid w:val="008F7F78"/>
    <w:rsid w:val="00900316"/>
    <w:rsid w:val="0090122A"/>
    <w:rsid w:val="0090394F"/>
    <w:rsid w:val="00904EF2"/>
    <w:rsid w:val="009054D3"/>
    <w:rsid w:val="00907B9D"/>
    <w:rsid w:val="00910CFA"/>
    <w:rsid w:val="009125D2"/>
    <w:rsid w:val="00913F86"/>
    <w:rsid w:val="00915E3F"/>
    <w:rsid w:val="0091757C"/>
    <w:rsid w:val="0092099E"/>
    <w:rsid w:val="0092273F"/>
    <w:rsid w:val="009238F1"/>
    <w:rsid w:val="009249B4"/>
    <w:rsid w:val="009260C6"/>
    <w:rsid w:val="00926716"/>
    <w:rsid w:val="00926ED2"/>
    <w:rsid w:val="009270DB"/>
    <w:rsid w:val="0093491F"/>
    <w:rsid w:val="00935DF7"/>
    <w:rsid w:val="00935E14"/>
    <w:rsid w:val="009361DA"/>
    <w:rsid w:val="00942454"/>
    <w:rsid w:val="00946968"/>
    <w:rsid w:val="00950DB5"/>
    <w:rsid w:val="00951BD3"/>
    <w:rsid w:val="009559F2"/>
    <w:rsid w:val="00957310"/>
    <w:rsid w:val="0095750D"/>
    <w:rsid w:val="0096278C"/>
    <w:rsid w:val="00962B8F"/>
    <w:rsid w:val="00964464"/>
    <w:rsid w:val="00965665"/>
    <w:rsid w:val="0096632E"/>
    <w:rsid w:val="009669E1"/>
    <w:rsid w:val="00966D4F"/>
    <w:rsid w:val="00971F52"/>
    <w:rsid w:val="0097202E"/>
    <w:rsid w:val="00972E0B"/>
    <w:rsid w:val="009732CE"/>
    <w:rsid w:val="009748F0"/>
    <w:rsid w:val="00974A7C"/>
    <w:rsid w:val="0097587B"/>
    <w:rsid w:val="009766FE"/>
    <w:rsid w:val="00977715"/>
    <w:rsid w:val="009778EF"/>
    <w:rsid w:val="00980439"/>
    <w:rsid w:val="00982444"/>
    <w:rsid w:val="00982BA7"/>
    <w:rsid w:val="00982D92"/>
    <w:rsid w:val="00982F10"/>
    <w:rsid w:val="009834A0"/>
    <w:rsid w:val="009843A8"/>
    <w:rsid w:val="00984993"/>
    <w:rsid w:val="0098697A"/>
    <w:rsid w:val="009875EE"/>
    <w:rsid w:val="00987E22"/>
    <w:rsid w:val="00993EA1"/>
    <w:rsid w:val="0099496C"/>
    <w:rsid w:val="00996569"/>
    <w:rsid w:val="009A057B"/>
    <w:rsid w:val="009A06F0"/>
    <w:rsid w:val="009A14DE"/>
    <w:rsid w:val="009A7BC2"/>
    <w:rsid w:val="009B187D"/>
    <w:rsid w:val="009B1897"/>
    <w:rsid w:val="009B1BB7"/>
    <w:rsid w:val="009B3DA6"/>
    <w:rsid w:val="009B48D4"/>
    <w:rsid w:val="009B5B95"/>
    <w:rsid w:val="009B7FD2"/>
    <w:rsid w:val="009C0992"/>
    <w:rsid w:val="009C0C48"/>
    <w:rsid w:val="009C1830"/>
    <w:rsid w:val="009C23DA"/>
    <w:rsid w:val="009C24B3"/>
    <w:rsid w:val="009C2C09"/>
    <w:rsid w:val="009C2E5A"/>
    <w:rsid w:val="009C4583"/>
    <w:rsid w:val="009C6214"/>
    <w:rsid w:val="009C7B18"/>
    <w:rsid w:val="009C7B91"/>
    <w:rsid w:val="009C7C48"/>
    <w:rsid w:val="009C7D55"/>
    <w:rsid w:val="009C7F52"/>
    <w:rsid w:val="009D07F2"/>
    <w:rsid w:val="009D1884"/>
    <w:rsid w:val="009D24A3"/>
    <w:rsid w:val="009D3665"/>
    <w:rsid w:val="009D373E"/>
    <w:rsid w:val="009D3C84"/>
    <w:rsid w:val="009D4D3C"/>
    <w:rsid w:val="009D6969"/>
    <w:rsid w:val="009D7470"/>
    <w:rsid w:val="009D7A58"/>
    <w:rsid w:val="009E0BAE"/>
    <w:rsid w:val="009E0CED"/>
    <w:rsid w:val="009E17A2"/>
    <w:rsid w:val="009E26C0"/>
    <w:rsid w:val="009E2D23"/>
    <w:rsid w:val="009E4043"/>
    <w:rsid w:val="009E43C1"/>
    <w:rsid w:val="009F3BA0"/>
    <w:rsid w:val="009F3F5D"/>
    <w:rsid w:val="009F4B3E"/>
    <w:rsid w:val="009F4CB9"/>
    <w:rsid w:val="009F52B8"/>
    <w:rsid w:val="009F6F42"/>
    <w:rsid w:val="009F7924"/>
    <w:rsid w:val="00A004B5"/>
    <w:rsid w:val="00A01C02"/>
    <w:rsid w:val="00A05113"/>
    <w:rsid w:val="00A054DC"/>
    <w:rsid w:val="00A06502"/>
    <w:rsid w:val="00A069AE"/>
    <w:rsid w:val="00A10389"/>
    <w:rsid w:val="00A103BD"/>
    <w:rsid w:val="00A10AD7"/>
    <w:rsid w:val="00A1133E"/>
    <w:rsid w:val="00A11888"/>
    <w:rsid w:val="00A11E62"/>
    <w:rsid w:val="00A11E8F"/>
    <w:rsid w:val="00A12369"/>
    <w:rsid w:val="00A14357"/>
    <w:rsid w:val="00A1524F"/>
    <w:rsid w:val="00A1525F"/>
    <w:rsid w:val="00A15E63"/>
    <w:rsid w:val="00A167D9"/>
    <w:rsid w:val="00A17672"/>
    <w:rsid w:val="00A176BD"/>
    <w:rsid w:val="00A200E6"/>
    <w:rsid w:val="00A20C5D"/>
    <w:rsid w:val="00A20D02"/>
    <w:rsid w:val="00A239CC"/>
    <w:rsid w:val="00A23BC2"/>
    <w:rsid w:val="00A24BB8"/>
    <w:rsid w:val="00A279AC"/>
    <w:rsid w:val="00A30C5D"/>
    <w:rsid w:val="00A310F1"/>
    <w:rsid w:val="00A34480"/>
    <w:rsid w:val="00A35FAA"/>
    <w:rsid w:val="00A40163"/>
    <w:rsid w:val="00A409BC"/>
    <w:rsid w:val="00A413AD"/>
    <w:rsid w:val="00A41422"/>
    <w:rsid w:val="00A42F6D"/>
    <w:rsid w:val="00A443F8"/>
    <w:rsid w:val="00A44612"/>
    <w:rsid w:val="00A44720"/>
    <w:rsid w:val="00A44A92"/>
    <w:rsid w:val="00A51337"/>
    <w:rsid w:val="00A540A5"/>
    <w:rsid w:val="00A54248"/>
    <w:rsid w:val="00A55B6F"/>
    <w:rsid w:val="00A609D3"/>
    <w:rsid w:val="00A619B5"/>
    <w:rsid w:val="00A6388E"/>
    <w:rsid w:val="00A70398"/>
    <w:rsid w:val="00A709AD"/>
    <w:rsid w:val="00A733CB"/>
    <w:rsid w:val="00A751AD"/>
    <w:rsid w:val="00A775CF"/>
    <w:rsid w:val="00A77853"/>
    <w:rsid w:val="00A77FAF"/>
    <w:rsid w:val="00A80C87"/>
    <w:rsid w:val="00A81D60"/>
    <w:rsid w:val="00A83241"/>
    <w:rsid w:val="00A84503"/>
    <w:rsid w:val="00A8782F"/>
    <w:rsid w:val="00A90C74"/>
    <w:rsid w:val="00A9167D"/>
    <w:rsid w:val="00A919E7"/>
    <w:rsid w:val="00A9293A"/>
    <w:rsid w:val="00A92D25"/>
    <w:rsid w:val="00A943E1"/>
    <w:rsid w:val="00A94689"/>
    <w:rsid w:val="00A94DDB"/>
    <w:rsid w:val="00A96349"/>
    <w:rsid w:val="00A965CD"/>
    <w:rsid w:val="00AA27AA"/>
    <w:rsid w:val="00AA2DF3"/>
    <w:rsid w:val="00AA50BC"/>
    <w:rsid w:val="00AA70B4"/>
    <w:rsid w:val="00AB0B01"/>
    <w:rsid w:val="00AB24E7"/>
    <w:rsid w:val="00AB3237"/>
    <w:rsid w:val="00AB3A2D"/>
    <w:rsid w:val="00AB75AE"/>
    <w:rsid w:val="00AB76EC"/>
    <w:rsid w:val="00AB7933"/>
    <w:rsid w:val="00AB7A09"/>
    <w:rsid w:val="00AB7C05"/>
    <w:rsid w:val="00AC13C9"/>
    <w:rsid w:val="00AC3D18"/>
    <w:rsid w:val="00AD10CF"/>
    <w:rsid w:val="00AD2FC0"/>
    <w:rsid w:val="00AD35EA"/>
    <w:rsid w:val="00AD3BC7"/>
    <w:rsid w:val="00AD4967"/>
    <w:rsid w:val="00AD562E"/>
    <w:rsid w:val="00AD5B1B"/>
    <w:rsid w:val="00AD6DB9"/>
    <w:rsid w:val="00AE2459"/>
    <w:rsid w:val="00AE29C2"/>
    <w:rsid w:val="00AE3D23"/>
    <w:rsid w:val="00AE4EC8"/>
    <w:rsid w:val="00AE5D9F"/>
    <w:rsid w:val="00AE5F15"/>
    <w:rsid w:val="00AE61C0"/>
    <w:rsid w:val="00AE76C9"/>
    <w:rsid w:val="00AF0C7E"/>
    <w:rsid w:val="00AF0EB2"/>
    <w:rsid w:val="00AF1167"/>
    <w:rsid w:val="00AF2221"/>
    <w:rsid w:val="00AF2791"/>
    <w:rsid w:val="00AF32F0"/>
    <w:rsid w:val="00AF3811"/>
    <w:rsid w:val="00AF418D"/>
    <w:rsid w:val="00AF47A1"/>
    <w:rsid w:val="00AF560E"/>
    <w:rsid w:val="00AF6220"/>
    <w:rsid w:val="00AF70EE"/>
    <w:rsid w:val="00AF7618"/>
    <w:rsid w:val="00B00B01"/>
    <w:rsid w:val="00B02162"/>
    <w:rsid w:val="00B04550"/>
    <w:rsid w:val="00B04964"/>
    <w:rsid w:val="00B061AE"/>
    <w:rsid w:val="00B06ACC"/>
    <w:rsid w:val="00B10605"/>
    <w:rsid w:val="00B10F95"/>
    <w:rsid w:val="00B12331"/>
    <w:rsid w:val="00B15B71"/>
    <w:rsid w:val="00B21941"/>
    <w:rsid w:val="00B21E61"/>
    <w:rsid w:val="00B21EB4"/>
    <w:rsid w:val="00B22F29"/>
    <w:rsid w:val="00B233F5"/>
    <w:rsid w:val="00B23F55"/>
    <w:rsid w:val="00B24916"/>
    <w:rsid w:val="00B2691D"/>
    <w:rsid w:val="00B26C44"/>
    <w:rsid w:val="00B273B4"/>
    <w:rsid w:val="00B27820"/>
    <w:rsid w:val="00B30944"/>
    <w:rsid w:val="00B33F4D"/>
    <w:rsid w:val="00B364D0"/>
    <w:rsid w:val="00B36B81"/>
    <w:rsid w:val="00B37148"/>
    <w:rsid w:val="00B42B56"/>
    <w:rsid w:val="00B460B5"/>
    <w:rsid w:val="00B47F4C"/>
    <w:rsid w:val="00B51526"/>
    <w:rsid w:val="00B56B78"/>
    <w:rsid w:val="00B60F6F"/>
    <w:rsid w:val="00B60FAC"/>
    <w:rsid w:val="00B61348"/>
    <w:rsid w:val="00B617F3"/>
    <w:rsid w:val="00B61A52"/>
    <w:rsid w:val="00B6230B"/>
    <w:rsid w:val="00B64DE4"/>
    <w:rsid w:val="00B65221"/>
    <w:rsid w:val="00B676B8"/>
    <w:rsid w:val="00B70C9E"/>
    <w:rsid w:val="00B71222"/>
    <w:rsid w:val="00B7358B"/>
    <w:rsid w:val="00B7388C"/>
    <w:rsid w:val="00B73E0D"/>
    <w:rsid w:val="00B830A1"/>
    <w:rsid w:val="00B83705"/>
    <w:rsid w:val="00B83CA0"/>
    <w:rsid w:val="00B84243"/>
    <w:rsid w:val="00B85C34"/>
    <w:rsid w:val="00B86625"/>
    <w:rsid w:val="00B876C0"/>
    <w:rsid w:val="00B9211B"/>
    <w:rsid w:val="00B93884"/>
    <w:rsid w:val="00B94638"/>
    <w:rsid w:val="00B94A65"/>
    <w:rsid w:val="00B94ADF"/>
    <w:rsid w:val="00B94BF8"/>
    <w:rsid w:val="00B94FB4"/>
    <w:rsid w:val="00B95D2D"/>
    <w:rsid w:val="00B9676C"/>
    <w:rsid w:val="00BA0966"/>
    <w:rsid w:val="00BA0CC9"/>
    <w:rsid w:val="00BA0F2F"/>
    <w:rsid w:val="00BA1DE1"/>
    <w:rsid w:val="00BA1ED1"/>
    <w:rsid w:val="00BA2F8D"/>
    <w:rsid w:val="00BA379F"/>
    <w:rsid w:val="00BA6777"/>
    <w:rsid w:val="00BB2A98"/>
    <w:rsid w:val="00BB2B07"/>
    <w:rsid w:val="00BB3AB5"/>
    <w:rsid w:val="00BB3DA8"/>
    <w:rsid w:val="00BB498B"/>
    <w:rsid w:val="00BB6D23"/>
    <w:rsid w:val="00BB721D"/>
    <w:rsid w:val="00BB7455"/>
    <w:rsid w:val="00BC2C65"/>
    <w:rsid w:val="00BC3CAB"/>
    <w:rsid w:val="00BC42CE"/>
    <w:rsid w:val="00BC6702"/>
    <w:rsid w:val="00BC78AD"/>
    <w:rsid w:val="00BD210E"/>
    <w:rsid w:val="00BE27C7"/>
    <w:rsid w:val="00BE70B3"/>
    <w:rsid w:val="00BE7D58"/>
    <w:rsid w:val="00BF0270"/>
    <w:rsid w:val="00BF0E14"/>
    <w:rsid w:val="00BF164E"/>
    <w:rsid w:val="00BF23C3"/>
    <w:rsid w:val="00BF5548"/>
    <w:rsid w:val="00BF6D42"/>
    <w:rsid w:val="00BF74F7"/>
    <w:rsid w:val="00BF7ED9"/>
    <w:rsid w:val="00C008F0"/>
    <w:rsid w:val="00C00AA5"/>
    <w:rsid w:val="00C03A93"/>
    <w:rsid w:val="00C07DEC"/>
    <w:rsid w:val="00C1005F"/>
    <w:rsid w:val="00C107D2"/>
    <w:rsid w:val="00C10E26"/>
    <w:rsid w:val="00C11F05"/>
    <w:rsid w:val="00C11F2F"/>
    <w:rsid w:val="00C12D0A"/>
    <w:rsid w:val="00C15DEF"/>
    <w:rsid w:val="00C171AB"/>
    <w:rsid w:val="00C20E76"/>
    <w:rsid w:val="00C23647"/>
    <w:rsid w:val="00C2476F"/>
    <w:rsid w:val="00C258F6"/>
    <w:rsid w:val="00C2641F"/>
    <w:rsid w:val="00C3009E"/>
    <w:rsid w:val="00C31E81"/>
    <w:rsid w:val="00C3239B"/>
    <w:rsid w:val="00C326DA"/>
    <w:rsid w:val="00C3324A"/>
    <w:rsid w:val="00C337D5"/>
    <w:rsid w:val="00C342CD"/>
    <w:rsid w:val="00C34390"/>
    <w:rsid w:val="00C34C59"/>
    <w:rsid w:val="00C359BA"/>
    <w:rsid w:val="00C36775"/>
    <w:rsid w:val="00C41D55"/>
    <w:rsid w:val="00C428E6"/>
    <w:rsid w:val="00C42D37"/>
    <w:rsid w:val="00C431A3"/>
    <w:rsid w:val="00C44BE3"/>
    <w:rsid w:val="00C44C1D"/>
    <w:rsid w:val="00C45579"/>
    <w:rsid w:val="00C52077"/>
    <w:rsid w:val="00C53EF2"/>
    <w:rsid w:val="00C55846"/>
    <w:rsid w:val="00C6305B"/>
    <w:rsid w:val="00C63C1F"/>
    <w:rsid w:val="00C63ED7"/>
    <w:rsid w:val="00C64E0C"/>
    <w:rsid w:val="00C66B65"/>
    <w:rsid w:val="00C74126"/>
    <w:rsid w:val="00C7418D"/>
    <w:rsid w:val="00C74C39"/>
    <w:rsid w:val="00C74DA9"/>
    <w:rsid w:val="00C753CE"/>
    <w:rsid w:val="00C7638D"/>
    <w:rsid w:val="00C763EA"/>
    <w:rsid w:val="00C778F7"/>
    <w:rsid w:val="00C8049D"/>
    <w:rsid w:val="00C85E77"/>
    <w:rsid w:val="00C866BE"/>
    <w:rsid w:val="00C8748F"/>
    <w:rsid w:val="00C87FB8"/>
    <w:rsid w:val="00C906D1"/>
    <w:rsid w:val="00C91CF4"/>
    <w:rsid w:val="00C92123"/>
    <w:rsid w:val="00C93B2B"/>
    <w:rsid w:val="00C95374"/>
    <w:rsid w:val="00C95596"/>
    <w:rsid w:val="00C95850"/>
    <w:rsid w:val="00C95B85"/>
    <w:rsid w:val="00C97F24"/>
    <w:rsid w:val="00CA0B5E"/>
    <w:rsid w:val="00CA0F4F"/>
    <w:rsid w:val="00CA2F21"/>
    <w:rsid w:val="00CA3214"/>
    <w:rsid w:val="00CA35EE"/>
    <w:rsid w:val="00CA450E"/>
    <w:rsid w:val="00CA4819"/>
    <w:rsid w:val="00CA49A3"/>
    <w:rsid w:val="00CA600B"/>
    <w:rsid w:val="00CA662C"/>
    <w:rsid w:val="00CA709C"/>
    <w:rsid w:val="00CA7BA1"/>
    <w:rsid w:val="00CB16FA"/>
    <w:rsid w:val="00CB1F59"/>
    <w:rsid w:val="00CB4589"/>
    <w:rsid w:val="00CB54F0"/>
    <w:rsid w:val="00CB62C0"/>
    <w:rsid w:val="00CB795F"/>
    <w:rsid w:val="00CB797D"/>
    <w:rsid w:val="00CC0486"/>
    <w:rsid w:val="00CC0B67"/>
    <w:rsid w:val="00CC1B1A"/>
    <w:rsid w:val="00CC4867"/>
    <w:rsid w:val="00CC5AB0"/>
    <w:rsid w:val="00CC5ED2"/>
    <w:rsid w:val="00CC7ED8"/>
    <w:rsid w:val="00CC7F08"/>
    <w:rsid w:val="00CD1BF3"/>
    <w:rsid w:val="00CD29A5"/>
    <w:rsid w:val="00CD3382"/>
    <w:rsid w:val="00CD4601"/>
    <w:rsid w:val="00CD6ED1"/>
    <w:rsid w:val="00CE0085"/>
    <w:rsid w:val="00CE0472"/>
    <w:rsid w:val="00CE2B6C"/>
    <w:rsid w:val="00CE2C1A"/>
    <w:rsid w:val="00CE3F53"/>
    <w:rsid w:val="00CE4134"/>
    <w:rsid w:val="00CE558E"/>
    <w:rsid w:val="00CE7933"/>
    <w:rsid w:val="00CF2C6F"/>
    <w:rsid w:val="00CF3254"/>
    <w:rsid w:val="00CF4131"/>
    <w:rsid w:val="00CF5085"/>
    <w:rsid w:val="00D00382"/>
    <w:rsid w:val="00D0086A"/>
    <w:rsid w:val="00D02EF1"/>
    <w:rsid w:val="00D05127"/>
    <w:rsid w:val="00D055DE"/>
    <w:rsid w:val="00D05719"/>
    <w:rsid w:val="00D07A8D"/>
    <w:rsid w:val="00D1024D"/>
    <w:rsid w:val="00D120BF"/>
    <w:rsid w:val="00D143EC"/>
    <w:rsid w:val="00D1741D"/>
    <w:rsid w:val="00D174C3"/>
    <w:rsid w:val="00D17D15"/>
    <w:rsid w:val="00D17E55"/>
    <w:rsid w:val="00D2179B"/>
    <w:rsid w:val="00D22699"/>
    <w:rsid w:val="00D2316C"/>
    <w:rsid w:val="00D24FF4"/>
    <w:rsid w:val="00D30A84"/>
    <w:rsid w:val="00D30CBA"/>
    <w:rsid w:val="00D323B5"/>
    <w:rsid w:val="00D327B7"/>
    <w:rsid w:val="00D36333"/>
    <w:rsid w:val="00D37B68"/>
    <w:rsid w:val="00D37C36"/>
    <w:rsid w:val="00D428B3"/>
    <w:rsid w:val="00D43447"/>
    <w:rsid w:val="00D44D21"/>
    <w:rsid w:val="00D459CF"/>
    <w:rsid w:val="00D46A7B"/>
    <w:rsid w:val="00D50C9B"/>
    <w:rsid w:val="00D5165C"/>
    <w:rsid w:val="00D518B3"/>
    <w:rsid w:val="00D549BF"/>
    <w:rsid w:val="00D551E1"/>
    <w:rsid w:val="00D55763"/>
    <w:rsid w:val="00D5708A"/>
    <w:rsid w:val="00D576B5"/>
    <w:rsid w:val="00D57849"/>
    <w:rsid w:val="00D60439"/>
    <w:rsid w:val="00D6199A"/>
    <w:rsid w:val="00D655F5"/>
    <w:rsid w:val="00D6661E"/>
    <w:rsid w:val="00D70BF5"/>
    <w:rsid w:val="00D70EB2"/>
    <w:rsid w:val="00D715EF"/>
    <w:rsid w:val="00D75924"/>
    <w:rsid w:val="00D75DD0"/>
    <w:rsid w:val="00D7602E"/>
    <w:rsid w:val="00D76996"/>
    <w:rsid w:val="00D7743F"/>
    <w:rsid w:val="00D77A83"/>
    <w:rsid w:val="00D81071"/>
    <w:rsid w:val="00D816B5"/>
    <w:rsid w:val="00D82879"/>
    <w:rsid w:val="00D83B82"/>
    <w:rsid w:val="00D84105"/>
    <w:rsid w:val="00D85D3F"/>
    <w:rsid w:val="00D87479"/>
    <w:rsid w:val="00D9150D"/>
    <w:rsid w:val="00D92B42"/>
    <w:rsid w:val="00D961F2"/>
    <w:rsid w:val="00D97687"/>
    <w:rsid w:val="00D9775E"/>
    <w:rsid w:val="00DA1610"/>
    <w:rsid w:val="00DA1A11"/>
    <w:rsid w:val="00DA1BEF"/>
    <w:rsid w:val="00DA28A8"/>
    <w:rsid w:val="00DA3143"/>
    <w:rsid w:val="00DA4EAE"/>
    <w:rsid w:val="00DA6854"/>
    <w:rsid w:val="00DA6D4F"/>
    <w:rsid w:val="00DA6FB4"/>
    <w:rsid w:val="00DA7AC3"/>
    <w:rsid w:val="00DB10A8"/>
    <w:rsid w:val="00DB2D39"/>
    <w:rsid w:val="00DB4C98"/>
    <w:rsid w:val="00DB584E"/>
    <w:rsid w:val="00DB69D9"/>
    <w:rsid w:val="00DB6D87"/>
    <w:rsid w:val="00DC32EC"/>
    <w:rsid w:val="00DC4099"/>
    <w:rsid w:val="00DC4790"/>
    <w:rsid w:val="00DC6737"/>
    <w:rsid w:val="00DD051E"/>
    <w:rsid w:val="00DD0BA0"/>
    <w:rsid w:val="00DD5E1B"/>
    <w:rsid w:val="00DD7B40"/>
    <w:rsid w:val="00DD7CC1"/>
    <w:rsid w:val="00DE117E"/>
    <w:rsid w:val="00DE1987"/>
    <w:rsid w:val="00DE2A71"/>
    <w:rsid w:val="00DE36CF"/>
    <w:rsid w:val="00DE42BA"/>
    <w:rsid w:val="00DE4CD1"/>
    <w:rsid w:val="00DE50C2"/>
    <w:rsid w:val="00DE566F"/>
    <w:rsid w:val="00DE5DF9"/>
    <w:rsid w:val="00DE5E0C"/>
    <w:rsid w:val="00DF0728"/>
    <w:rsid w:val="00DF114B"/>
    <w:rsid w:val="00DF1ADC"/>
    <w:rsid w:val="00DF2249"/>
    <w:rsid w:val="00DF30D5"/>
    <w:rsid w:val="00DF363A"/>
    <w:rsid w:val="00DF4173"/>
    <w:rsid w:val="00DF4C9E"/>
    <w:rsid w:val="00DF50F0"/>
    <w:rsid w:val="00DF61C8"/>
    <w:rsid w:val="00DF6323"/>
    <w:rsid w:val="00DF6B26"/>
    <w:rsid w:val="00DF70FB"/>
    <w:rsid w:val="00DF744E"/>
    <w:rsid w:val="00E00258"/>
    <w:rsid w:val="00E01B7C"/>
    <w:rsid w:val="00E054BA"/>
    <w:rsid w:val="00E05967"/>
    <w:rsid w:val="00E06F9F"/>
    <w:rsid w:val="00E10D3F"/>
    <w:rsid w:val="00E121DD"/>
    <w:rsid w:val="00E14195"/>
    <w:rsid w:val="00E14B6C"/>
    <w:rsid w:val="00E15A7E"/>
    <w:rsid w:val="00E1675C"/>
    <w:rsid w:val="00E16977"/>
    <w:rsid w:val="00E16BE1"/>
    <w:rsid w:val="00E17DAB"/>
    <w:rsid w:val="00E20628"/>
    <w:rsid w:val="00E2103B"/>
    <w:rsid w:val="00E2256F"/>
    <w:rsid w:val="00E22A07"/>
    <w:rsid w:val="00E23015"/>
    <w:rsid w:val="00E26003"/>
    <w:rsid w:val="00E273FF"/>
    <w:rsid w:val="00E27685"/>
    <w:rsid w:val="00E27B91"/>
    <w:rsid w:val="00E30FE2"/>
    <w:rsid w:val="00E37BA9"/>
    <w:rsid w:val="00E42411"/>
    <w:rsid w:val="00E42C8A"/>
    <w:rsid w:val="00E4345C"/>
    <w:rsid w:val="00E43965"/>
    <w:rsid w:val="00E43E3B"/>
    <w:rsid w:val="00E4452C"/>
    <w:rsid w:val="00E4582E"/>
    <w:rsid w:val="00E45DA0"/>
    <w:rsid w:val="00E46611"/>
    <w:rsid w:val="00E46AB8"/>
    <w:rsid w:val="00E473B3"/>
    <w:rsid w:val="00E51F1C"/>
    <w:rsid w:val="00E536F4"/>
    <w:rsid w:val="00E54185"/>
    <w:rsid w:val="00E551F8"/>
    <w:rsid w:val="00E55963"/>
    <w:rsid w:val="00E55ABA"/>
    <w:rsid w:val="00E5604F"/>
    <w:rsid w:val="00E56782"/>
    <w:rsid w:val="00E6158E"/>
    <w:rsid w:val="00E62B36"/>
    <w:rsid w:val="00E62DF5"/>
    <w:rsid w:val="00E647C8"/>
    <w:rsid w:val="00E64C02"/>
    <w:rsid w:val="00E67C82"/>
    <w:rsid w:val="00E702CE"/>
    <w:rsid w:val="00E70F0A"/>
    <w:rsid w:val="00E731D7"/>
    <w:rsid w:val="00E73765"/>
    <w:rsid w:val="00E73D4B"/>
    <w:rsid w:val="00E74ACE"/>
    <w:rsid w:val="00E77ADE"/>
    <w:rsid w:val="00E77C06"/>
    <w:rsid w:val="00E82607"/>
    <w:rsid w:val="00E831F7"/>
    <w:rsid w:val="00E835D7"/>
    <w:rsid w:val="00E84AB4"/>
    <w:rsid w:val="00E855E0"/>
    <w:rsid w:val="00E860B7"/>
    <w:rsid w:val="00E8780D"/>
    <w:rsid w:val="00E9027A"/>
    <w:rsid w:val="00E90AEC"/>
    <w:rsid w:val="00E95527"/>
    <w:rsid w:val="00E95DB8"/>
    <w:rsid w:val="00E95E3B"/>
    <w:rsid w:val="00E97527"/>
    <w:rsid w:val="00EA186C"/>
    <w:rsid w:val="00EA5A9E"/>
    <w:rsid w:val="00EA6556"/>
    <w:rsid w:val="00EA6842"/>
    <w:rsid w:val="00EB04C4"/>
    <w:rsid w:val="00EB1B80"/>
    <w:rsid w:val="00EB4175"/>
    <w:rsid w:val="00EB4C26"/>
    <w:rsid w:val="00EB5127"/>
    <w:rsid w:val="00EB53F2"/>
    <w:rsid w:val="00EB7803"/>
    <w:rsid w:val="00EC0295"/>
    <w:rsid w:val="00EC0454"/>
    <w:rsid w:val="00EC19FA"/>
    <w:rsid w:val="00EC5F86"/>
    <w:rsid w:val="00EC7F52"/>
    <w:rsid w:val="00ED0940"/>
    <w:rsid w:val="00ED25CE"/>
    <w:rsid w:val="00ED3A55"/>
    <w:rsid w:val="00ED402C"/>
    <w:rsid w:val="00ED6081"/>
    <w:rsid w:val="00EE0455"/>
    <w:rsid w:val="00EE0ACF"/>
    <w:rsid w:val="00EE2749"/>
    <w:rsid w:val="00EE37DE"/>
    <w:rsid w:val="00EE67C5"/>
    <w:rsid w:val="00EE79BD"/>
    <w:rsid w:val="00EE7C90"/>
    <w:rsid w:val="00EF1185"/>
    <w:rsid w:val="00EF18EF"/>
    <w:rsid w:val="00EF4031"/>
    <w:rsid w:val="00F01FF7"/>
    <w:rsid w:val="00F05908"/>
    <w:rsid w:val="00F10305"/>
    <w:rsid w:val="00F1076B"/>
    <w:rsid w:val="00F10D71"/>
    <w:rsid w:val="00F11B9B"/>
    <w:rsid w:val="00F11D20"/>
    <w:rsid w:val="00F120D0"/>
    <w:rsid w:val="00F13E0D"/>
    <w:rsid w:val="00F20B6E"/>
    <w:rsid w:val="00F20FF5"/>
    <w:rsid w:val="00F23729"/>
    <w:rsid w:val="00F248EC"/>
    <w:rsid w:val="00F24BCF"/>
    <w:rsid w:val="00F24C64"/>
    <w:rsid w:val="00F25C8D"/>
    <w:rsid w:val="00F25E56"/>
    <w:rsid w:val="00F2639B"/>
    <w:rsid w:val="00F276EE"/>
    <w:rsid w:val="00F3255F"/>
    <w:rsid w:val="00F32576"/>
    <w:rsid w:val="00F32C53"/>
    <w:rsid w:val="00F3510E"/>
    <w:rsid w:val="00F35B8D"/>
    <w:rsid w:val="00F373DC"/>
    <w:rsid w:val="00F37EF3"/>
    <w:rsid w:val="00F403D6"/>
    <w:rsid w:val="00F40782"/>
    <w:rsid w:val="00F41A99"/>
    <w:rsid w:val="00F422EF"/>
    <w:rsid w:val="00F42894"/>
    <w:rsid w:val="00F45CF2"/>
    <w:rsid w:val="00F47B25"/>
    <w:rsid w:val="00F51346"/>
    <w:rsid w:val="00F5235B"/>
    <w:rsid w:val="00F53C43"/>
    <w:rsid w:val="00F54947"/>
    <w:rsid w:val="00F54F7B"/>
    <w:rsid w:val="00F560DC"/>
    <w:rsid w:val="00F56916"/>
    <w:rsid w:val="00F56AD0"/>
    <w:rsid w:val="00F56CB1"/>
    <w:rsid w:val="00F626C2"/>
    <w:rsid w:val="00F63B53"/>
    <w:rsid w:val="00F63F85"/>
    <w:rsid w:val="00F64B73"/>
    <w:rsid w:val="00F65819"/>
    <w:rsid w:val="00F67A6B"/>
    <w:rsid w:val="00F72D23"/>
    <w:rsid w:val="00F7379B"/>
    <w:rsid w:val="00F74CB0"/>
    <w:rsid w:val="00F75495"/>
    <w:rsid w:val="00F765EB"/>
    <w:rsid w:val="00F81CE4"/>
    <w:rsid w:val="00F8404E"/>
    <w:rsid w:val="00F8673B"/>
    <w:rsid w:val="00F87B5B"/>
    <w:rsid w:val="00F908F8"/>
    <w:rsid w:val="00F92442"/>
    <w:rsid w:val="00F926C8"/>
    <w:rsid w:val="00F9308B"/>
    <w:rsid w:val="00F97D2D"/>
    <w:rsid w:val="00FA023B"/>
    <w:rsid w:val="00FA05A4"/>
    <w:rsid w:val="00FA30C2"/>
    <w:rsid w:val="00FA63B6"/>
    <w:rsid w:val="00FA64DF"/>
    <w:rsid w:val="00FA7135"/>
    <w:rsid w:val="00FA71DC"/>
    <w:rsid w:val="00FA784C"/>
    <w:rsid w:val="00FB045A"/>
    <w:rsid w:val="00FB06E1"/>
    <w:rsid w:val="00FB0CA2"/>
    <w:rsid w:val="00FB308D"/>
    <w:rsid w:val="00FB5FF4"/>
    <w:rsid w:val="00FB6216"/>
    <w:rsid w:val="00FB6912"/>
    <w:rsid w:val="00FC00DD"/>
    <w:rsid w:val="00FC0675"/>
    <w:rsid w:val="00FC1239"/>
    <w:rsid w:val="00FC1247"/>
    <w:rsid w:val="00FC157A"/>
    <w:rsid w:val="00FC1C66"/>
    <w:rsid w:val="00FC1F17"/>
    <w:rsid w:val="00FC3CD4"/>
    <w:rsid w:val="00FC46B2"/>
    <w:rsid w:val="00FC4944"/>
    <w:rsid w:val="00FC5E29"/>
    <w:rsid w:val="00FD1B30"/>
    <w:rsid w:val="00FD3D3E"/>
    <w:rsid w:val="00FD4377"/>
    <w:rsid w:val="00FD5051"/>
    <w:rsid w:val="00FD5958"/>
    <w:rsid w:val="00FD5A0F"/>
    <w:rsid w:val="00FD5B76"/>
    <w:rsid w:val="00FD756D"/>
    <w:rsid w:val="00FD7972"/>
    <w:rsid w:val="00FD7A9E"/>
    <w:rsid w:val="00FE059A"/>
    <w:rsid w:val="00FE0781"/>
    <w:rsid w:val="00FE158E"/>
    <w:rsid w:val="00FE29AF"/>
    <w:rsid w:val="00FE4BF0"/>
    <w:rsid w:val="00FE54AE"/>
    <w:rsid w:val="00FF2339"/>
    <w:rsid w:val="00FF2430"/>
    <w:rsid w:val="00FF26B9"/>
    <w:rsid w:val="00FF33AA"/>
    <w:rsid w:val="00FF371D"/>
    <w:rsid w:val="00FF637D"/>
    <w:rsid w:val="00FF64CF"/>
    <w:rsid w:val="00FF6999"/>
    <w:rsid w:val="00FF6B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162"/>
    <w:pPr>
      <w:spacing w:before="80" w:after="80"/>
    </w:pPr>
    <w:rPr>
      <w:rFonts w:ascii="Book Antiqua" w:hAnsi="Book Antiqua"/>
    </w:rPr>
  </w:style>
  <w:style w:type="paragraph" w:styleId="Heading1">
    <w:name w:val="heading 1"/>
    <w:basedOn w:val="HeadingBase"/>
    <w:next w:val="Normal"/>
    <w:link w:val="Heading1Char"/>
    <w:qFormat/>
    <w:rsid w:val="007F3CCF"/>
    <w:pPr>
      <w:spacing w:after="240"/>
      <w:jc w:val="center"/>
      <w:outlineLvl w:val="0"/>
    </w:pPr>
    <w:rPr>
      <w:rFonts w:ascii="Arial Bold" w:hAnsi="Arial Bold"/>
      <w:b/>
      <w:smallCaps/>
      <w:kern w:val="28"/>
      <w:sz w:val="34"/>
    </w:rPr>
  </w:style>
  <w:style w:type="paragraph" w:styleId="Heading2">
    <w:name w:val="heading 2"/>
    <w:basedOn w:val="HeadingBase"/>
    <w:next w:val="Normal"/>
    <w:link w:val="Heading2Char"/>
    <w:qFormat/>
    <w:rsid w:val="00FC157A"/>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2256F"/>
    <w:pPr>
      <w:spacing w:before="240" w:after="60" w:line="360" w:lineRule="auto"/>
      <w:outlineLvl w:val="4"/>
    </w:pPr>
    <w:rPr>
      <w:b/>
      <w:bCs/>
      <w:iCs/>
      <w:sz w:val="21"/>
      <w:szCs w:val="26"/>
    </w:rPr>
  </w:style>
  <w:style w:type="paragraph" w:styleId="Heading6">
    <w:name w:val="heading 6"/>
    <w:basedOn w:val="HeadingBase"/>
    <w:next w:val="Normal"/>
    <w:qFormat/>
    <w:rsid w:val="001D4CAA"/>
    <w:pPr>
      <w:spacing w:after="120"/>
      <w:outlineLvl w:val="5"/>
    </w:pPr>
    <w:rPr>
      <w:b/>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FC157A"/>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link w:val="DashChar"/>
    <w:rsid w:val="008636B4"/>
    <w:pPr>
      <w:numPr>
        <w:ilvl w:val="1"/>
        <w:numId w:val="2"/>
      </w:numPr>
      <w:ind w:left="568"/>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style>
  <w:style w:type="paragraph" w:customStyle="1" w:styleId="TableGraphic">
    <w:name w:val="Table Graphic"/>
    <w:basedOn w:val="Normal"/>
    <w:next w:val="Normal"/>
    <w:rsid w:val="00EC5F86"/>
    <w:pPr>
      <w:spacing w:after="0"/>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pPr>
    <w:rPr>
      <w:rFonts w:ascii="Arial" w:hAnsi="Arial"/>
      <w:sz w:val="16"/>
    </w:rPr>
  </w:style>
  <w:style w:type="paragraph" w:customStyle="1" w:styleId="TableTextBase">
    <w:name w:val="Table Text Base"/>
    <w:basedOn w:val="Normal"/>
    <w:link w:val="TableTextBaseChar"/>
    <w:rsid w:val="00FE158E"/>
    <w:pPr>
      <w:spacing w:before="60" w:after="60"/>
    </w:pPr>
    <w:rPr>
      <w:sz w:val="18"/>
    </w:rPr>
  </w:style>
  <w:style w:type="paragraph" w:customStyle="1" w:styleId="TableColumnHeadingBase">
    <w:name w:val="Table Column Heading Base"/>
    <w:basedOn w:val="Normal"/>
    <w:rsid w:val="00EC5F86"/>
    <w:pPr>
      <w:spacing w:before="60" w:after="60"/>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76273D"/>
    <w:pPr>
      <w:spacing w:before="120" w:after="120"/>
    </w:pPr>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B21E61"/>
    <w:pPr>
      <w:tabs>
        <w:tab w:val="center" w:pos="4153"/>
        <w:tab w:val="right" w:pos="8306"/>
      </w:tabs>
    </w:pPr>
    <w:rPr>
      <w:rFonts w:ascii="Book Antiqua" w:hAnsi="Book Antiqua"/>
      <w:sz w:val="18"/>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uiPriority w:val="99"/>
    <w:rsid w:val="00EC5F86"/>
    <w:rPr>
      <w:sz w:val="16"/>
      <w:szCs w:val="16"/>
    </w:rPr>
  </w:style>
  <w:style w:type="paragraph" w:styleId="CommentText">
    <w:name w:val="annotation text"/>
    <w:basedOn w:val="Normal"/>
    <w:link w:val="CommentTextChar"/>
    <w:uiPriority w:val="99"/>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aliases w:val="Footnote text"/>
    <w:uiPriority w:val="99"/>
    <w:rsid w:val="00EC5F86"/>
    <w:rPr>
      <w:vertAlign w:val="superscript"/>
    </w:rPr>
  </w:style>
  <w:style w:type="paragraph" w:styleId="FootnoteText">
    <w:name w:val="footnote text"/>
    <w:basedOn w:val="Normal"/>
    <w:link w:val="FootnoteTextChar"/>
    <w:rsid w:val="00070C05"/>
    <w:pPr>
      <w:tabs>
        <w:tab w:val="left" w:pos="284"/>
      </w:tabs>
      <w:ind w:left="113" w:hanging="113"/>
    </w:pPr>
    <w:rPr>
      <w:sz w:val="16"/>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after="20"/>
      <w:jc w:val="center"/>
    </w:pPr>
    <w:rPr>
      <w:rFonts w:ascii="Arial" w:hAnsi="Arial"/>
      <w:b/>
    </w:rPr>
  </w:style>
  <w:style w:type="table" w:styleId="TableGrid">
    <w:name w:val="Table Grid"/>
    <w:basedOn w:val="TableNormal"/>
    <w:uiPriority w:val="59"/>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7F3CCF"/>
    <w:pPr>
      <w:spacing w:after="0"/>
      <w:jc w:val="center"/>
    </w:pPr>
    <w:rPr>
      <w:rFonts w:ascii="Arial Bold" w:hAnsi="Arial Bold"/>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jc w:val="center"/>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pPr>
    <w:rPr>
      <w:b/>
      <w:sz w:val="22"/>
    </w:rPr>
  </w:style>
  <w:style w:type="paragraph" w:customStyle="1" w:styleId="TableColumnOutgroupSubheading">
    <w:name w:val="Table Column Outgroup Subheading"/>
    <w:basedOn w:val="Normal"/>
    <w:rsid w:val="00EC5F86"/>
    <w:pPr>
      <w:spacing w:before="60"/>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FC157A"/>
    <w:rPr>
      <w:rFonts w:ascii="Arial" w:hAnsi="Arial"/>
      <w:b/>
    </w:rPr>
  </w:style>
  <w:style w:type="character" w:customStyle="1" w:styleId="TableTextBaseChar">
    <w:name w:val="Table Text Base Char"/>
    <w:link w:val="TableTextBase"/>
    <w:rsid w:val="00FE158E"/>
    <w:rPr>
      <w:rFonts w:ascii="Book Antiqua" w:hAnsi="Book Antiqua"/>
      <w:sz w:val="18"/>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Recommendation,Bullet Point,List Paragraph1,List Paragraph11,L,Bullet points,Content descriptions,Body Bullets 1,Bullet point,Main,CV text,Table text,F5 List Paragraph,Dot pt,List Paragraph111,Medium Grid 1 - Accent 21,Numbered Paragraph"/>
    <w:basedOn w:val="Normal"/>
    <w:link w:val="ListParagraphChar"/>
    <w:uiPriority w:val="34"/>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line="280" w:lineRule="exact"/>
    </w:pPr>
    <w:rPr>
      <w:rFonts w:ascii="Arial" w:hAnsi="Arial" w:cs="Arial"/>
      <w:b/>
    </w:rPr>
  </w:style>
  <w:style w:type="paragraph" w:customStyle="1" w:styleId="ProgramHeading">
    <w:name w:val="Program Heading"/>
    <w:basedOn w:val="HeadingBase"/>
    <w:rsid w:val="00E82607"/>
    <w:pPr>
      <w:pBdr>
        <w:top w:val="single" w:sz="2" w:space="3" w:color="auto"/>
        <w:left w:val="single" w:sz="2" w:space="4" w:color="auto"/>
        <w:bottom w:val="single" w:sz="2" w:space="3" w:color="auto"/>
        <w:right w:val="single" w:sz="2" w:space="4"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B21E61"/>
    <w:rPr>
      <w:rFonts w:ascii="Book Antiqua" w:hAnsi="Book Antiqua"/>
      <w:sz w:val="18"/>
    </w:rPr>
  </w:style>
  <w:style w:type="character" w:styleId="Strong">
    <w:name w:val="Strong"/>
    <w:qFormat/>
    <w:rsid w:val="00B2691D"/>
    <w:rPr>
      <w:b/>
      <w:bCs/>
    </w:rPr>
  </w:style>
  <w:style w:type="paragraph" w:customStyle="1" w:styleId="Tabletextjustified0">
    <w:name w:val="Table text justified"/>
    <w:basedOn w:val="Normal"/>
    <w:semiHidden/>
    <w:rsid w:val="008A41CA"/>
    <w:pPr>
      <w:spacing w:before="100" w:after="100" w:line="250" w:lineRule="exact"/>
    </w:pPr>
    <w:rPr>
      <w:rFonts w:ascii="Arial" w:hAnsi="Arial" w:cs="Arial"/>
      <w:sz w:val="18"/>
    </w:rPr>
  </w:style>
  <w:style w:type="paragraph" w:customStyle="1" w:styleId="Bullets">
    <w:name w:val="Bullets"/>
    <w:basedOn w:val="Normal"/>
    <w:link w:val="BulletsChar"/>
    <w:qFormat/>
    <w:rsid w:val="002357B2"/>
    <w:pPr>
      <w:numPr>
        <w:numId w:val="13"/>
      </w:numPr>
      <w:spacing w:before="60" w:after="60"/>
    </w:pPr>
    <w:rPr>
      <w:rFonts w:cs="Arial"/>
      <w:color w:val="000000"/>
      <w:szCs w:val="16"/>
      <w:lang w:eastAsia="en-US"/>
    </w:rPr>
  </w:style>
  <w:style w:type="character" w:customStyle="1" w:styleId="BulletsChar">
    <w:name w:val="Bullets Char"/>
    <w:link w:val="Bullets"/>
    <w:locked/>
    <w:rsid w:val="002357B2"/>
    <w:rPr>
      <w:rFonts w:ascii="Book Antiqua" w:hAnsi="Book Antiqua" w:cs="Arial"/>
      <w:color w:val="000000"/>
      <w:szCs w:val="16"/>
      <w:lang w:eastAsia="en-US"/>
    </w:rPr>
  </w:style>
  <w:style w:type="character" w:customStyle="1" w:styleId="ListParagraphChar">
    <w:name w:val="List Paragraph Char"/>
    <w:aliases w:val="Recommendation Char,Bullet Point Char,List Paragraph1 Char,List Paragraph11 Char,L Char,Bullet points Char,Content descriptions Char,Body Bullets 1 Char,Bullet point Char,Main Char,CV text Char,Table text Char,F5 List Paragraph Char"/>
    <w:basedOn w:val="DefaultParagraphFont"/>
    <w:link w:val="ListParagraph"/>
    <w:uiPriority w:val="34"/>
    <w:locked/>
    <w:rsid w:val="0001500C"/>
    <w:rPr>
      <w:rFonts w:ascii="Calibri" w:eastAsia="Calibri" w:hAnsi="Calibri"/>
      <w:sz w:val="22"/>
      <w:szCs w:val="22"/>
      <w:lang w:val="en-US" w:eastAsia="en-US"/>
    </w:rPr>
  </w:style>
  <w:style w:type="paragraph" w:customStyle="1" w:styleId="TableName">
    <w:name w:val="TableName"/>
    <w:basedOn w:val="Normal"/>
    <w:link w:val="TableNameChar"/>
    <w:rsid w:val="00C64E0C"/>
    <w:pPr>
      <w:keepNext/>
      <w:spacing w:after="0"/>
    </w:pPr>
    <w:rPr>
      <w:b/>
      <w:lang w:eastAsia="en-US"/>
    </w:rPr>
  </w:style>
  <w:style w:type="character" w:customStyle="1" w:styleId="DashChar">
    <w:name w:val="Dash Char"/>
    <w:link w:val="Dash"/>
    <w:rsid w:val="008636B4"/>
    <w:rPr>
      <w:rFonts w:ascii="Book Antiqua" w:hAnsi="Book Antiqua"/>
    </w:rPr>
  </w:style>
  <w:style w:type="character" w:customStyle="1" w:styleId="Heading4Char">
    <w:name w:val="Heading 4 Char"/>
    <w:basedOn w:val="DefaultParagraphFont"/>
    <w:link w:val="Heading4"/>
    <w:rsid w:val="0001500C"/>
    <w:rPr>
      <w:rFonts w:ascii="Arial" w:hAnsi="Arial"/>
      <w:b/>
      <w:sz w:val="22"/>
    </w:rPr>
  </w:style>
  <w:style w:type="character" w:customStyle="1" w:styleId="FootnoteTextChar">
    <w:name w:val="Footnote Text Char"/>
    <w:basedOn w:val="DefaultParagraphFont"/>
    <w:link w:val="FootnoteText"/>
    <w:rsid w:val="00070C05"/>
    <w:rPr>
      <w:rFonts w:ascii="Book Antiqua" w:hAnsi="Book Antiqua"/>
      <w:sz w:val="16"/>
    </w:rPr>
  </w:style>
  <w:style w:type="paragraph" w:customStyle="1" w:styleId="TableText">
    <w:name w:val="TableText"/>
    <w:next w:val="Normal"/>
    <w:link w:val="TableTextChar"/>
    <w:rsid w:val="00227458"/>
    <w:pPr>
      <w:widowControl w:val="0"/>
      <w:tabs>
        <w:tab w:val="left" w:pos="113"/>
      </w:tabs>
      <w:spacing w:before="10" w:after="10"/>
    </w:pPr>
    <w:rPr>
      <w:rFonts w:ascii="Book Antiqua" w:hAnsi="Book Antiqua" w:cs="Arial"/>
      <w:color w:val="000000"/>
      <w:sz w:val="18"/>
      <w:szCs w:val="16"/>
      <w:lang w:eastAsia="en-US"/>
    </w:rPr>
  </w:style>
  <w:style w:type="character" w:customStyle="1" w:styleId="TableTextChar">
    <w:name w:val="TableText Char"/>
    <w:basedOn w:val="DefaultParagraphFont"/>
    <w:link w:val="TableText"/>
    <w:rsid w:val="00227458"/>
    <w:rPr>
      <w:rFonts w:ascii="Book Antiqua" w:hAnsi="Book Antiqua" w:cs="Arial"/>
      <w:color w:val="000000"/>
      <w:sz w:val="18"/>
      <w:szCs w:val="16"/>
      <w:lang w:eastAsia="en-US"/>
    </w:rPr>
  </w:style>
  <w:style w:type="paragraph" w:customStyle="1" w:styleId="TableTextBold">
    <w:name w:val="TableTextBold"/>
    <w:basedOn w:val="TableText"/>
    <w:link w:val="TableTextBoldChar"/>
    <w:rsid w:val="0001500C"/>
    <w:rPr>
      <w:b/>
      <w:bCs/>
    </w:rPr>
  </w:style>
  <w:style w:type="character" w:customStyle="1" w:styleId="TableTextBoldChar">
    <w:name w:val="TableTextBold Char"/>
    <w:basedOn w:val="TableTextChar"/>
    <w:link w:val="TableTextBold"/>
    <w:rsid w:val="0001500C"/>
    <w:rPr>
      <w:rFonts w:ascii="Book Antiqua" w:hAnsi="Book Antiqua" w:cs="Arial"/>
      <w:b/>
      <w:bCs/>
      <w:color w:val="000000"/>
      <w:sz w:val="18"/>
      <w:szCs w:val="16"/>
      <w:lang w:eastAsia="en-US"/>
    </w:rPr>
  </w:style>
  <w:style w:type="paragraph" w:customStyle="1" w:styleId="TableTextRight0">
    <w:name w:val="TableTextRight"/>
    <w:basedOn w:val="TableText"/>
    <w:link w:val="TableTextRightChar"/>
    <w:rsid w:val="005904C2"/>
    <w:pPr>
      <w:jc w:val="right"/>
    </w:pPr>
  </w:style>
  <w:style w:type="paragraph" w:customStyle="1" w:styleId="numberedpara">
    <w:name w:val="numbered para"/>
    <w:basedOn w:val="Normal"/>
    <w:rsid w:val="0001500C"/>
    <w:pPr>
      <w:keepLines/>
      <w:numPr>
        <w:numId w:val="14"/>
      </w:numPr>
      <w:spacing w:after="0"/>
    </w:pPr>
    <w:rPr>
      <w:rFonts w:ascii="Calibri" w:hAnsi="Calibri"/>
      <w:sz w:val="22"/>
      <w:szCs w:val="16"/>
      <w:lang w:eastAsia="en-US"/>
    </w:rPr>
  </w:style>
  <w:style w:type="paragraph" w:customStyle="1" w:styleId="TableTextBoldRight">
    <w:name w:val="TableTextBoldRight"/>
    <w:basedOn w:val="TableTextBold"/>
    <w:link w:val="TableTextBoldRightChar"/>
    <w:rsid w:val="0001500C"/>
    <w:pPr>
      <w:spacing w:before="20" w:after="20"/>
      <w:jc w:val="right"/>
    </w:pPr>
  </w:style>
  <w:style w:type="character" w:customStyle="1" w:styleId="TableNameChar">
    <w:name w:val="TableName Char"/>
    <w:basedOn w:val="DefaultParagraphFont"/>
    <w:link w:val="TableName"/>
    <w:locked/>
    <w:rsid w:val="00C64E0C"/>
    <w:rPr>
      <w:rFonts w:ascii="Book Antiqua" w:hAnsi="Book Antiqua"/>
      <w:b/>
      <w:lang w:eastAsia="en-US"/>
    </w:rPr>
  </w:style>
  <w:style w:type="character" w:customStyle="1" w:styleId="TableTextBoldRightChar">
    <w:name w:val="TableTextBoldRight Char"/>
    <w:basedOn w:val="TableTextBoldChar"/>
    <w:link w:val="TableTextBoldRight"/>
    <w:locked/>
    <w:rsid w:val="0001500C"/>
    <w:rPr>
      <w:rFonts w:ascii="Book Antiqua" w:hAnsi="Book Antiqua" w:cs="Arial"/>
      <w:b/>
      <w:bCs/>
      <w:color w:val="000000"/>
      <w:sz w:val="18"/>
      <w:szCs w:val="16"/>
      <w:lang w:eastAsia="en-US"/>
    </w:rPr>
  </w:style>
  <w:style w:type="character" w:customStyle="1" w:styleId="TableTextRightChar">
    <w:name w:val="TableTextRight Char"/>
    <w:basedOn w:val="TableTextChar"/>
    <w:link w:val="TableTextRight0"/>
    <w:rsid w:val="005904C2"/>
    <w:rPr>
      <w:rFonts w:ascii="Book Antiqua" w:hAnsi="Book Antiqua" w:cs="Arial"/>
      <w:color w:val="000000"/>
      <w:sz w:val="18"/>
      <w:szCs w:val="16"/>
      <w:lang w:eastAsia="en-US"/>
    </w:rPr>
  </w:style>
  <w:style w:type="paragraph" w:customStyle="1" w:styleId="Footnote">
    <w:name w:val="Footnote"/>
    <w:rsid w:val="0028309A"/>
    <w:pPr>
      <w:tabs>
        <w:tab w:val="left" w:pos="284"/>
      </w:tabs>
    </w:pPr>
    <w:rPr>
      <w:rFonts w:ascii="Book Antiqua" w:hAnsi="Book Antiqua"/>
      <w:color w:val="000000"/>
      <w:sz w:val="16"/>
      <w:lang w:eastAsia="en-US"/>
    </w:rPr>
  </w:style>
  <w:style w:type="paragraph" w:customStyle="1" w:styleId="StyleTableTextItalicBoldNotItalic">
    <w:name w:val="Style TableText Italic + Bold Not Italic"/>
    <w:basedOn w:val="Normal"/>
    <w:rsid w:val="0001500C"/>
    <w:pPr>
      <w:tabs>
        <w:tab w:val="left" w:pos="113"/>
      </w:tabs>
      <w:spacing w:after="20"/>
    </w:pPr>
    <w:rPr>
      <w:rFonts w:cs="Arial"/>
      <w:b/>
      <w:bCs/>
      <w:color w:val="000000"/>
      <w:sz w:val="18"/>
      <w:szCs w:val="16"/>
      <w:lang w:eastAsia="en-US"/>
    </w:rPr>
  </w:style>
  <w:style w:type="paragraph" w:customStyle="1" w:styleId="ProgramHeading0">
    <w:name w:val="ProgramHeading"/>
    <w:rsid w:val="009B3DA6"/>
    <w:pPr>
      <w:spacing w:before="60" w:after="60"/>
    </w:pPr>
    <w:rPr>
      <w:rFonts w:ascii="Book Antiqua" w:hAnsi="Book Antiqua"/>
      <w:b/>
      <w:sz w:val="22"/>
      <w:lang w:eastAsia="en-US"/>
    </w:rPr>
  </w:style>
  <w:style w:type="paragraph" w:customStyle="1" w:styleId="TableChartFootnote">
    <w:name w:val="TableChart Footnote"/>
    <w:basedOn w:val="Normal"/>
    <w:next w:val="Normal"/>
    <w:rsid w:val="002B2AF9"/>
    <w:pPr>
      <w:tabs>
        <w:tab w:val="left" w:pos="567"/>
      </w:tabs>
      <w:spacing w:after="0"/>
      <w:ind w:left="567" w:hanging="567"/>
    </w:pPr>
    <w:rPr>
      <w:rFonts w:cs="Arial"/>
      <w:color w:val="000000"/>
      <w:sz w:val="16"/>
      <w:szCs w:val="24"/>
      <w:lang w:eastAsia="en-US"/>
    </w:rPr>
  </w:style>
  <w:style w:type="character" w:customStyle="1" w:styleId="Heading2Char">
    <w:name w:val="Heading 2 Char"/>
    <w:basedOn w:val="DefaultParagraphFont"/>
    <w:link w:val="Heading2"/>
    <w:rsid w:val="00FC157A"/>
    <w:rPr>
      <w:rFonts w:ascii="Arial" w:hAnsi="Arial"/>
      <w:sz w:val="30"/>
    </w:rPr>
  </w:style>
  <w:style w:type="character" w:customStyle="1" w:styleId="Heading1Char">
    <w:name w:val="Heading 1 Char"/>
    <w:basedOn w:val="DefaultParagraphFont"/>
    <w:link w:val="Heading1"/>
    <w:rsid w:val="007F3CCF"/>
    <w:rPr>
      <w:rFonts w:ascii="Arial Bold" w:hAnsi="Arial Bold"/>
      <w:b/>
      <w:smallCaps/>
      <w:kern w:val="28"/>
      <w:sz w:val="34"/>
    </w:rPr>
  </w:style>
  <w:style w:type="character" w:customStyle="1" w:styleId="Heading5Char">
    <w:name w:val="Heading 5 Char"/>
    <w:basedOn w:val="DefaultParagraphFont"/>
    <w:link w:val="Heading5"/>
    <w:rsid w:val="00E2256F"/>
    <w:rPr>
      <w:rFonts w:ascii="Arial" w:hAnsi="Arial"/>
      <w:b/>
      <w:bCs/>
      <w:iCs/>
      <w:sz w:val="21"/>
      <w:szCs w:val="26"/>
    </w:rPr>
  </w:style>
  <w:style w:type="paragraph" w:customStyle="1" w:styleId="ChartandTableFootnotenumbered">
    <w:name w:val="Chart and Table Footnote numbered"/>
    <w:basedOn w:val="Normal"/>
    <w:next w:val="Normal"/>
    <w:rsid w:val="002E2D3E"/>
    <w:pPr>
      <w:keepNext/>
      <w:spacing w:after="0"/>
      <w:ind w:left="502" w:hanging="360"/>
    </w:pPr>
    <w:rPr>
      <w:rFonts w:ascii="Arial" w:hAnsi="Arial"/>
      <w:sz w:val="16"/>
    </w:rPr>
  </w:style>
  <w:style w:type="paragraph" w:styleId="ListNumber">
    <w:name w:val="List Number"/>
    <w:basedOn w:val="Normal"/>
    <w:rsid w:val="00804AAA"/>
    <w:pPr>
      <w:numPr>
        <w:numId w:val="11"/>
      </w:numPr>
      <w:contextualSpacing/>
    </w:pPr>
  </w:style>
  <w:style w:type="character" w:styleId="Emphasis">
    <w:name w:val="Emphasis"/>
    <w:uiPriority w:val="20"/>
    <w:qFormat/>
    <w:rsid w:val="00560562"/>
    <w:rPr>
      <w:rFonts w:cs="Times New Roman"/>
      <w:i/>
      <w:iCs/>
    </w:rPr>
  </w:style>
  <w:style w:type="paragraph" w:styleId="Revision">
    <w:name w:val="Revision"/>
    <w:hidden/>
    <w:uiPriority w:val="99"/>
    <w:semiHidden/>
    <w:rsid w:val="00D518B3"/>
    <w:rPr>
      <w:rFonts w:ascii="Book Antiqua" w:hAnsi="Book Antiqua"/>
    </w:rPr>
  </w:style>
  <w:style w:type="paragraph" w:customStyle="1" w:styleId="Tabletextbullets">
    <w:name w:val="Tabletext bullets"/>
    <w:basedOn w:val="TableText"/>
    <w:qFormat/>
    <w:rsid w:val="00B23F55"/>
    <w:pPr>
      <w:numPr>
        <w:numId w:val="22"/>
      </w:numPr>
      <w:spacing w:line="260" w:lineRule="exact"/>
      <w:ind w:left="470" w:hanging="357"/>
    </w:pPr>
    <w:rPr>
      <w:rFonts w:eastAsia="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0817">
      <w:bodyDiv w:val="1"/>
      <w:marLeft w:val="0"/>
      <w:marRight w:val="0"/>
      <w:marTop w:val="0"/>
      <w:marBottom w:val="0"/>
      <w:divBdr>
        <w:top w:val="none" w:sz="0" w:space="0" w:color="auto"/>
        <w:left w:val="none" w:sz="0" w:space="0" w:color="auto"/>
        <w:bottom w:val="none" w:sz="0" w:space="0" w:color="auto"/>
        <w:right w:val="none" w:sz="0" w:space="0" w:color="auto"/>
      </w:divBdr>
    </w:div>
    <w:div w:id="7559161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3299543">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7907606">
      <w:bodyDiv w:val="1"/>
      <w:marLeft w:val="0"/>
      <w:marRight w:val="0"/>
      <w:marTop w:val="0"/>
      <w:marBottom w:val="0"/>
      <w:divBdr>
        <w:top w:val="none" w:sz="0" w:space="0" w:color="auto"/>
        <w:left w:val="none" w:sz="0" w:space="0" w:color="auto"/>
        <w:bottom w:val="none" w:sz="0" w:space="0" w:color="auto"/>
        <w:right w:val="none" w:sz="0" w:space="0" w:color="auto"/>
      </w:divBdr>
    </w:div>
    <w:div w:id="244190858">
      <w:bodyDiv w:val="1"/>
      <w:marLeft w:val="0"/>
      <w:marRight w:val="0"/>
      <w:marTop w:val="0"/>
      <w:marBottom w:val="0"/>
      <w:divBdr>
        <w:top w:val="none" w:sz="0" w:space="0" w:color="auto"/>
        <w:left w:val="none" w:sz="0" w:space="0" w:color="auto"/>
        <w:bottom w:val="none" w:sz="0" w:space="0" w:color="auto"/>
        <w:right w:val="none" w:sz="0" w:space="0" w:color="auto"/>
      </w:divBdr>
    </w:div>
    <w:div w:id="264729179">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27901457">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4230627">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8862616">
      <w:bodyDiv w:val="1"/>
      <w:marLeft w:val="0"/>
      <w:marRight w:val="0"/>
      <w:marTop w:val="0"/>
      <w:marBottom w:val="0"/>
      <w:divBdr>
        <w:top w:val="none" w:sz="0" w:space="0" w:color="auto"/>
        <w:left w:val="none" w:sz="0" w:space="0" w:color="auto"/>
        <w:bottom w:val="none" w:sz="0" w:space="0" w:color="auto"/>
        <w:right w:val="none" w:sz="0" w:space="0" w:color="auto"/>
      </w:divBdr>
    </w:div>
    <w:div w:id="484442528">
      <w:bodyDiv w:val="1"/>
      <w:marLeft w:val="0"/>
      <w:marRight w:val="0"/>
      <w:marTop w:val="0"/>
      <w:marBottom w:val="0"/>
      <w:divBdr>
        <w:top w:val="none" w:sz="0" w:space="0" w:color="auto"/>
        <w:left w:val="none" w:sz="0" w:space="0" w:color="auto"/>
        <w:bottom w:val="none" w:sz="0" w:space="0" w:color="auto"/>
        <w:right w:val="none" w:sz="0" w:space="0" w:color="auto"/>
      </w:divBdr>
    </w:div>
    <w:div w:id="488328089">
      <w:bodyDiv w:val="1"/>
      <w:marLeft w:val="0"/>
      <w:marRight w:val="0"/>
      <w:marTop w:val="0"/>
      <w:marBottom w:val="0"/>
      <w:divBdr>
        <w:top w:val="none" w:sz="0" w:space="0" w:color="auto"/>
        <w:left w:val="none" w:sz="0" w:space="0" w:color="auto"/>
        <w:bottom w:val="none" w:sz="0" w:space="0" w:color="auto"/>
        <w:right w:val="none" w:sz="0" w:space="0" w:color="auto"/>
      </w:divBdr>
    </w:div>
    <w:div w:id="490289626">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6699198">
      <w:bodyDiv w:val="1"/>
      <w:marLeft w:val="0"/>
      <w:marRight w:val="0"/>
      <w:marTop w:val="0"/>
      <w:marBottom w:val="0"/>
      <w:divBdr>
        <w:top w:val="none" w:sz="0" w:space="0" w:color="auto"/>
        <w:left w:val="none" w:sz="0" w:space="0" w:color="auto"/>
        <w:bottom w:val="none" w:sz="0" w:space="0" w:color="auto"/>
        <w:right w:val="none" w:sz="0" w:space="0" w:color="auto"/>
      </w:divBdr>
    </w:div>
    <w:div w:id="518473141">
      <w:bodyDiv w:val="1"/>
      <w:marLeft w:val="0"/>
      <w:marRight w:val="0"/>
      <w:marTop w:val="0"/>
      <w:marBottom w:val="0"/>
      <w:divBdr>
        <w:top w:val="none" w:sz="0" w:space="0" w:color="auto"/>
        <w:left w:val="none" w:sz="0" w:space="0" w:color="auto"/>
        <w:bottom w:val="none" w:sz="0" w:space="0" w:color="auto"/>
        <w:right w:val="none" w:sz="0" w:space="0" w:color="auto"/>
      </w:divBdr>
    </w:div>
    <w:div w:id="560290841">
      <w:bodyDiv w:val="1"/>
      <w:marLeft w:val="0"/>
      <w:marRight w:val="0"/>
      <w:marTop w:val="0"/>
      <w:marBottom w:val="0"/>
      <w:divBdr>
        <w:top w:val="none" w:sz="0" w:space="0" w:color="auto"/>
        <w:left w:val="none" w:sz="0" w:space="0" w:color="auto"/>
        <w:bottom w:val="none" w:sz="0" w:space="0" w:color="auto"/>
        <w:right w:val="none" w:sz="0" w:space="0" w:color="auto"/>
      </w:divBdr>
    </w:div>
    <w:div w:id="5621825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62661858">
      <w:bodyDiv w:val="1"/>
      <w:marLeft w:val="0"/>
      <w:marRight w:val="0"/>
      <w:marTop w:val="0"/>
      <w:marBottom w:val="0"/>
      <w:divBdr>
        <w:top w:val="none" w:sz="0" w:space="0" w:color="auto"/>
        <w:left w:val="none" w:sz="0" w:space="0" w:color="auto"/>
        <w:bottom w:val="none" w:sz="0" w:space="0" w:color="auto"/>
        <w:right w:val="none" w:sz="0" w:space="0" w:color="auto"/>
      </w:divBdr>
    </w:div>
    <w:div w:id="672952980">
      <w:bodyDiv w:val="1"/>
      <w:marLeft w:val="0"/>
      <w:marRight w:val="0"/>
      <w:marTop w:val="0"/>
      <w:marBottom w:val="0"/>
      <w:divBdr>
        <w:top w:val="none" w:sz="0" w:space="0" w:color="auto"/>
        <w:left w:val="none" w:sz="0" w:space="0" w:color="auto"/>
        <w:bottom w:val="none" w:sz="0" w:space="0" w:color="auto"/>
        <w:right w:val="none" w:sz="0" w:space="0" w:color="auto"/>
      </w:divBdr>
    </w:div>
    <w:div w:id="770008206">
      <w:bodyDiv w:val="1"/>
      <w:marLeft w:val="0"/>
      <w:marRight w:val="0"/>
      <w:marTop w:val="0"/>
      <w:marBottom w:val="0"/>
      <w:divBdr>
        <w:top w:val="none" w:sz="0" w:space="0" w:color="auto"/>
        <w:left w:val="none" w:sz="0" w:space="0" w:color="auto"/>
        <w:bottom w:val="none" w:sz="0" w:space="0" w:color="auto"/>
        <w:right w:val="none" w:sz="0" w:space="0" w:color="auto"/>
      </w:divBdr>
    </w:div>
    <w:div w:id="777062192">
      <w:bodyDiv w:val="1"/>
      <w:marLeft w:val="0"/>
      <w:marRight w:val="0"/>
      <w:marTop w:val="0"/>
      <w:marBottom w:val="0"/>
      <w:divBdr>
        <w:top w:val="none" w:sz="0" w:space="0" w:color="auto"/>
        <w:left w:val="none" w:sz="0" w:space="0" w:color="auto"/>
        <w:bottom w:val="none" w:sz="0" w:space="0" w:color="auto"/>
        <w:right w:val="none" w:sz="0" w:space="0" w:color="auto"/>
      </w:divBdr>
    </w:div>
    <w:div w:id="806969405">
      <w:bodyDiv w:val="1"/>
      <w:marLeft w:val="0"/>
      <w:marRight w:val="0"/>
      <w:marTop w:val="0"/>
      <w:marBottom w:val="0"/>
      <w:divBdr>
        <w:top w:val="none" w:sz="0" w:space="0" w:color="auto"/>
        <w:left w:val="none" w:sz="0" w:space="0" w:color="auto"/>
        <w:bottom w:val="none" w:sz="0" w:space="0" w:color="auto"/>
        <w:right w:val="none" w:sz="0" w:space="0" w:color="auto"/>
      </w:divBdr>
    </w:div>
    <w:div w:id="83480173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4105140">
      <w:bodyDiv w:val="1"/>
      <w:marLeft w:val="0"/>
      <w:marRight w:val="0"/>
      <w:marTop w:val="0"/>
      <w:marBottom w:val="0"/>
      <w:divBdr>
        <w:top w:val="none" w:sz="0" w:space="0" w:color="auto"/>
        <w:left w:val="none" w:sz="0" w:space="0" w:color="auto"/>
        <w:bottom w:val="none" w:sz="0" w:space="0" w:color="auto"/>
        <w:right w:val="none" w:sz="0" w:space="0" w:color="auto"/>
      </w:divBdr>
    </w:div>
    <w:div w:id="891043121">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6595212">
      <w:bodyDiv w:val="1"/>
      <w:marLeft w:val="0"/>
      <w:marRight w:val="0"/>
      <w:marTop w:val="0"/>
      <w:marBottom w:val="0"/>
      <w:divBdr>
        <w:top w:val="none" w:sz="0" w:space="0" w:color="auto"/>
        <w:left w:val="none" w:sz="0" w:space="0" w:color="auto"/>
        <w:bottom w:val="none" w:sz="0" w:space="0" w:color="auto"/>
        <w:right w:val="none" w:sz="0" w:space="0" w:color="auto"/>
      </w:divBdr>
    </w:div>
    <w:div w:id="951208136">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6059982">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0491000">
      <w:bodyDiv w:val="1"/>
      <w:marLeft w:val="0"/>
      <w:marRight w:val="0"/>
      <w:marTop w:val="0"/>
      <w:marBottom w:val="0"/>
      <w:divBdr>
        <w:top w:val="none" w:sz="0" w:space="0" w:color="auto"/>
        <w:left w:val="none" w:sz="0" w:space="0" w:color="auto"/>
        <w:bottom w:val="none" w:sz="0" w:space="0" w:color="auto"/>
        <w:right w:val="none" w:sz="0" w:space="0" w:color="auto"/>
      </w:divBdr>
    </w:div>
    <w:div w:id="1033264412">
      <w:bodyDiv w:val="1"/>
      <w:marLeft w:val="0"/>
      <w:marRight w:val="0"/>
      <w:marTop w:val="0"/>
      <w:marBottom w:val="0"/>
      <w:divBdr>
        <w:top w:val="none" w:sz="0" w:space="0" w:color="auto"/>
        <w:left w:val="none" w:sz="0" w:space="0" w:color="auto"/>
        <w:bottom w:val="none" w:sz="0" w:space="0" w:color="auto"/>
        <w:right w:val="none" w:sz="0" w:space="0" w:color="auto"/>
      </w:divBdr>
    </w:div>
    <w:div w:id="103438578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77291722">
      <w:bodyDiv w:val="1"/>
      <w:marLeft w:val="0"/>
      <w:marRight w:val="0"/>
      <w:marTop w:val="0"/>
      <w:marBottom w:val="0"/>
      <w:divBdr>
        <w:top w:val="none" w:sz="0" w:space="0" w:color="auto"/>
        <w:left w:val="none" w:sz="0" w:space="0" w:color="auto"/>
        <w:bottom w:val="none" w:sz="0" w:space="0" w:color="auto"/>
        <w:right w:val="none" w:sz="0" w:space="0" w:color="auto"/>
      </w:divBdr>
    </w:div>
    <w:div w:id="108445422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149219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68907234">
      <w:bodyDiv w:val="1"/>
      <w:marLeft w:val="0"/>
      <w:marRight w:val="0"/>
      <w:marTop w:val="0"/>
      <w:marBottom w:val="0"/>
      <w:divBdr>
        <w:top w:val="none" w:sz="0" w:space="0" w:color="auto"/>
        <w:left w:val="none" w:sz="0" w:space="0" w:color="auto"/>
        <w:bottom w:val="none" w:sz="0" w:space="0" w:color="auto"/>
        <w:right w:val="none" w:sz="0" w:space="0" w:color="auto"/>
      </w:divBdr>
    </w:div>
    <w:div w:id="1169829722">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12464609">
      <w:bodyDiv w:val="1"/>
      <w:marLeft w:val="0"/>
      <w:marRight w:val="0"/>
      <w:marTop w:val="0"/>
      <w:marBottom w:val="0"/>
      <w:divBdr>
        <w:top w:val="none" w:sz="0" w:space="0" w:color="auto"/>
        <w:left w:val="none" w:sz="0" w:space="0" w:color="auto"/>
        <w:bottom w:val="none" w:sz="0" w:space="0" w:color="auto"/>
        <w:right w:val="none" w:sz="0" w:space="0" w:color="auto"/>
      </w:divBdr>
    </w:div>
    <w:div w:id="1439712824">
      <w:bodyDiv w:val="1"/>
      <w:marLeft w:val="0"/>
      <w:marRight w:val="0"/>
      <w:marTop w:val="0"/>
      <w:marBottom w:val="0"/>
      <w:divBdr>
        <w:top w:val="none" w:sz="0" w:space="0" w:color="auto"/>
        <w:left w:val="none" w:sz="0" w:space="0" w:color="auto"/>
        <w:bottom w:val="none" w:sz="0" w:space="0" w:color="auto"/>
        <w:right w:val="none" w:sz="0" w:space="0" w:color="auto"/>
      </w:divBdr>
    </w:div>
    <w:div w:id="144088001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70780601">
      <w:bodyDiv w:val="1"/>
      <w:marLeft w:val="0"/>
      <w:marRight w:val="0"/>
      <w:marTop w:val="0"/>
      <w:marBottom w:val="0"/>
      <w:divBdr>
        <w:top w:val="none" w:sz="0" w:space="0" w:color="auto"/>
        <w:left w:val="none" w:sz="0" w:space="0" w:color="auto"/>
        <w:bottom w:val="none" w:sz="0" w:space="0" w:color="auto"/>
        <w:right w:val="none" w:sz="0" w:space="0" w:color="auto"/>
      </w:divBdr>
    </w:div>
    <w:div w:id="1486315374">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40126747">
      <w:bodyDiv w:val="1"/>
      <w:marLeft w:val="0"/>
      <w:marRight w:val="0"/>
      <w:marTop w:val="0"/>
      <w:marBottom w:val="0"/>
      <w:divBdr>
        <w:top w:val="none" w:sz="0" w:space="0" w:color="auto"/>
        <w:left w:val="none" w:sz="0" w:space="0" w:color="auto"/>
        <w:bottom w:val="none" w:sz="0" w:space="0" w:color="auto"/>
        <w:right w:val="none" w:sz="0" w:space="0" w:color="auto"/>
      </w:divBdr>
    </w:div>
    <w:div w:id="155905213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91448729">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5423711">
      <w:bodyDiv w:val="1"/>
      <w:marLeft w:val="0"/>
      <w:marRight w:val="0"/>
      <w:marTop w:val="0"/>
      <w:marBottom w:val="0"/>
      <w:divBdr>
        <w:top w:val="none" w:sz="0" w:space="0" w:color="auto"/>
        <w:left w:val="none" w:sz="0" w:space="0" w:color="auto"/>
        <w:bottom w:val="none" w:sz="0" w:space="0" w:color="auto"/>
        <w:right w:val="none" w:sz="0" w:space="0" w:color="auto"/>
      </w:divBdr>
    </w:div>
    <w:div w:id="1717271516">
      <w:bodyDiv w:val="1"/>
      <w:marLeft w:val="0"/>
      <w:marRight w:val="0"/>
      <w:marTop w:val="0"/>
      <w:marBottom w:val="0"/>
      <w:divBdr>
        <w:top w:val="none" w:sz="0" w:space="0" w:color="auto"/>
        <w:left w:val="none" w:sz="0" w:space="0" w:color="auto"/>
        <w:bottom w:val="none" w:sz="0" w:space="0" w:color="auto"/>
        <w:right w:val="none" w:sz="0" w:space="0" w:color="auto"/>
      </w:divBdr>
    </w:div>
    <w:div w:id="172336650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9057596">
      <w:bodyDiv w:val="1"/>
      <w:marLeft w:val="0"/>
      <w:marRight w:val="0"/>
      <w:marTop w:val="0"/>
      <w:marBottom w:val="0"/>
      <w:divBdr>
        <w:top w:val="none" w:sz="0" w:space="0" w:color="auto"/>
        <w:left w:val="none" w:sz="0" w:space="0" w:color="auto"/>
        <w:bottom w:val="none" w:sz="0" w:space="0" w:color="auto"/>
        <w:right w:val="none" w:sz="0" w:space="0" w:color="auto"/>
      </w:divBdr>
    </w:div>
    <w:div w:id="181942312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29397929">
      <w:bodyDiv w:val="1"/>
      <w:marLeft w:val="0"/>
      <w:marRight w:val="0"/>
      <w:marTop w:val="0"/>
      <w:marBottom w:val="0"/>
      <w:divBdr>
        <w:top w:val="none" w:sz="0" w:space="0" w:color="auto"/>
        <w:left w:val="none" w:sz="0" w:space="0" w:color="auto"/>
        <w:bottom w:val="none" w:sz="0" w:space="0" w:color="auto"/>
        <w:right w:val="none" w:sz="0" w:space="0" w:color="auto"/>
      </w:divBdr>
    </w:div>
    <w:div w:id="1831096857">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50089625">
      <w:bodyDiv w:val="1"/>
      <w:marLeft w:val="0"/>
      <w:marRight w:val="0"/>
      <w:marTop w:val="0"/>
      <w:marBottom w:val="0"/>
      <w:divBdr>
        <w:top w:val="none" w:sz="0" w:space="0" w:color="auto"/>
        <w:left w:val="none" w:sz="0" w:space="0" w:color="auto"/>
        <w:bottom w:val="none" w:sz="0" w:space="0" w:color="auto"/>
        <w:right w:val="none" w:sz="0" w:space="0" w:color="auto"/>
      </w:divBdr>
    </w:div>
    <w:div w:id="1950431733">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77103367">
      <w:bodyDiv w:val="1"/>
      <w:marLeft w:val="0"/>
      <w:marRight w:val="0"/>
      <w:marTop w:val="0"/>
      <w:marBottom w:val="0"/>
      <w:divBdr>
        <w:top w:val="none" w:sz="0" w:space="0" w:color="auto"/>
        <w:left w:val="none" w:sz="0" w:space="0" w:color="auto"/>
        <w:bottom w:val="none" w:sz="0" w:space="0" w:color="auto"/>
        <w:right w:val="none" w:sz="0" w:space="0" w:color="auto"/>
      </w:divBdr>
    </w:div>
    <w:div w:id="1980574342">
      <w:bodyDiv w:val="1"/>
      <w:marLeft w:val="0"/>
      <w:marRight w:val="0"/>
      <w:marTop w:val="0"/>
      <w:marBottom w:val="0"/>
      <w:divBdr>
        <w:top w:val="none" w:sz="0" w:space="0" w:color="auto"/>
        <w:left w:val="none" w:sz="0" w:space="0" w:color="auto"/>
        <w:bottom w:val="none" w:sz="0" w:space="0" w:color="auto"/>
        <w:right w:val="none" w:sz="0" w:space="0" w:color="auto"/>
      </w:divBdr>
    </w:div>
    <w:div w:id="199984314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TaxCatchAll xmlns="eb47d8b7-fefc-4923-b53c-9685ba6b7210">
      <Value>75</Value>
    </TaxCatchAll>
    <_dlc_DocId xmlns="eb47d8b7-fefc-4923-b53c-9685ba6b7210">2014CSSG-727-287</_dlc_DocId>
    <_dlc_DocIdUrl xmlns="eb47d8b7-fefc-4923-b53c-9685ba6b7210">
      <Url>http://tweb/sites/cssg/mcd/pubs/pt/_layouts/15/DocIdRedir.aspx?ID=2014CSSG-727-287</Url>
      <Description>2014CSSG-727-287</Description>
    </_dlc_DocIdUrl>
  </documentManagement>
</p:propertie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B04FC-F1E0-47BD-B08E-FBED5ED909D7}">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eb47d8b7-fefc-4923-b53c-9685ba6b7210"/>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5.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6.xml><?xml version="1.0" encoding="utf-8"?>
<ds:datastoreItem xmlns:ds="http://schemas.openxmlformats.org/officeDocument/2006/customXml" ds:itemID="{45169AE1-A216-4F9B-B482-FF3827F5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4</TotalTime>
  <Pages>8</Pages>
  <Words>2175</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14128</CharactersWithSpaces>
  <SharedDoc>false</SharedDoc>
  <HLinks>
    <vt:vector size="24" baseType="variant">
      <vt:variant>
        <vt:i4>7471148</vt:i4>
      </vt:variant>
      <vt:variant>
        <vt:i4>25</vt:i4>
      </vt:variant>
      <vt:variant>
        <vt:i4>0</vt:i4>
      </vt:variant>
      <vt:variant>
        <vt:i4>5</vt:i4>
      </vt:variant>
      <vt:variant>
        <vt:lpwstr>http://www.itsanhonour.gov.au/</vt:lpwstr>
      </vt:variant>
      <vt:variant>
        <vt:lpwstr/>
      </vt:variant>
      <vt:variant>
        <vt:i4>5111827</vt:i4>
      </vt:variant>
      <vt:variant>
        <vt:i4>10</vt:i4>
      </vt:variant>
      <vt:variant>
        <vt:i4>0</vt:i4>
      </vt:variant>
      <vt:variant>
        <vt:i4>5</vt:i4>
      </vt:variant>
      <vt:variant>
        <vt:lpwstr>http://creativecommons.org/licenses/by/3.0/au/deed.en</vt:lpwstr>
      </vt:variant>
      <vt:variant>
        <vt:lpwstr/>
      </vt:variant>
      <vt:variant>
        <vt:i4>2687028</vt:i4>
      </vt:variant>
      <vt:variant>
        <vt:i4>5</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Publications Team</dc:creator>
  <cp:keywords>[SEC=UNCLASSIFIED:For-Official-Use-Only]</cp:keywords>
  <cp:lastModifiedBy>Danielle Wills</cp:lastModifiedBy>
  <cp:revision>3</cp:revision>
  <cp:lastPrinted>2015-05-10T10:06:00Z</cp:lastPrinted>
  <dcterms:created xsi:type="dcterms:W3CDTF">2015-05-12T02:31:00Z</dcterms:created>
  <dcterms:modified xsi:type="dcterms:W3CDTF">2015-05-12T02:35:00Z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PM_SecurityClassification">
    <vt:lpwstr>UNCLASSIFIED</vt:lpwstr>
  </property>
  <property fmtid="{D5CDD505-2E9C-101B-9397-08002B2CF9AE}" pid="8" name="PM_Qualifier">
    <vt:lpwstr>For-Official-Use-Only</vt:lpwstr>
  </property>
  <property fmtid="{D5CDD505-2E9C-101B-9397-08002B2CF9AE}" pid="9" name="PM_DisplayValueSecClassificationWithQualifier">
    <vt:lpwstr>UNCLASSIFIED For Official Use Only</vt:lpwstr>
  </property>
  <property fmtid="{D5CDD505-2E9C-101B-9397-08002B2CF9AE}" pid="10" name="PM_InsertionValue">
    <vt:lpwstr>UNCLASSIFIED\r\nFor Official Use Only</vt:lpwstr>
  </property>
  <property fmtid="{D5CDD505-2E9C-101B-9397-08002B2CF9AE}" pid="11" name="PM_Originator_Hash_SHA1">
    <vt:lpwstr>87980400D64ED6E33B0A0B3DFC2C760DBF70338E</vt:lpwstr>
  </property>
  <property fmtid="{D5CDD505-2E9C-101B-9397-08002B2CF9AE}" pid="12" name="PM_Hash_Version">
    <vt:lpwstr>2014.1</vt:lpwstr>
  </property>
  <property fmtid="{D5CDD505-2E9C-101B-9397-08002B2CF9AE}" pid="13" name="PM_Hash_Salt">
    <vt:lpwstr>F3BE3457296DFAD237F045E81A5F23E4</vt:lpwstr>
  </property>
  <property fmtid="{D5CDD505-2E9C-101B-9397-08002B2CF9AE}" pid="14" name="PM_Hash_SHA1">
    <vt:lpwstr>0BE7312E49DA4DD3C38D9ED326BD98FF68B50930</vt:lpwstr>
  </property>
</Properties>
</file>