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35" w:rsidRPr="00EE2276" w:rsidRDefault="00A750EE" w:rsidP="000A2CEA">
      <w:pPr>
        <w:pStyle w:val="Heading1"/>
        <w:spacing w:before="100" w:beforeAutospacing="1" w:after="120"/>
        <w:ind w:left="-426"/>
        <w:jc w:val="center"/>
        <w:rPr>
          <w:color w:val="165788" w:themeColor="text2"/>
        </w:rPr>
      </w:pPr>
      <w:r w:rsidRPr="00EE2276">
        <w:rPr>
          <w:noProof/>
          <w:color w:val="165788" w:themeColor="text2"/>
          <w:sz w:val="44"/>
          <w:lang w:eastAsia="en-AU"/>
        </w:rPr>
        <w:drawing>
          <wp:inline distT="0" distB="0" distL="0" distR="0">
            <wp:extent cx="7625248" cy="1076325"/>
            <wp:effectExtent l="0" t="0" r="0" b="0"/>
            <wp:docPr id="1" name="Picture 1" descr="Australian Government Department of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esktop\Tes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5248" cy="1076325"/>
                    </a:xfrm>
                    <a:prstGeom prst="rect">
                      <a:avLst/>
                    </a:prstGeom>
                    <a:noFill/>
                    <a:ln>
                      <a:noFill/>
                    </a:ln>
                  </pic:spPr>
                </pic:pic>
              </a:graphicData>
            </a:graphic>
          </wp:inline>
        </w:drawing>
      </w:r>
      <w:r w:rsidR="00D634FE" w:rsidRPr="00EE2276">
        <w:rPr>
          <w:color w:val="165788" w:themeColor="text2"/>
          <w:sz w:val="44"/>
        </w:rPr>
        <w:t>Labour Market Co</w:t>
      </w:r>
      <w:r w:rsidR="00ED6233">
        <w:rPr>
          <w:color w:val="165788" w:themeColor="text2"/>
          <w:sz w:val="44"/>
        </w:rPr>
        <w:t>nditions in Geelong</w:t>
      </w:r>
    </w:p>
    <w:p w:rsidR="00B828F1" w:rsidRPr="003547B3" w:rsidRDefault="004C44E8" w:rsidP="000F450C">
      <w:pPr>
        <w:spacing w:after="0"/>
        <w:jc w:val="both"/>
      </w:pPr>
      <w:r w:rsidRPr="002E190C">
        <w:rPr>
          <w:noProof/>
          <w:lang w:eastAsia="en-AU"/>
        </w:rPr>
        <w:drawing>
          <wp:anchor distT="0" distB="0" distL="114300" distR="114300" simplePos="0" relativeHeight="251660288" behindDoc="1" locked="0" layoutInCell="1" allowOverlap="1" wp14:anchorId="770E9DDD" wp14:editId="1E8D1B55">
            <wp:simplePos x="0" y="0"/>
            <wp:positionH relativeFrom="column">
              <wp:posOffset>5179060</wp:posOffset>
            </wp:positionH>
            <wp:positionV relativeFrom="paragraph">
              <wp:posOffset>34290</wp:posOffset>
            </wp:positionV>
            <wp:extent cx="1600200" cy="1447165"/>
            <wp:effectExtent l="19050" t="19050" r="19050" b="19685"/>
            <wp:wrapTight wrapText="bothSides">
              <wp:wrapPolygon edited="0">
                <wp:start x="-257" y="-284"/>
                <wp:lineTo x="-257" y="21609"/>
                <wp:lineTo x="21600" y="21609"/>
                <wp:lineTo x="21600" y="-284"/>
                <wp:lineTo x="-257" y="-284"/>
              </wp:wrapPolygon>
            </wp:wrapTight>
            <wp:docPr id="3" name="Picture 3" descr="Decorative map of the region" titl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long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200" cy="1447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81016">
        <w:t xml:space="preserve">Employment levels have been declining in Geelong over the past 12 months </w:t>
      </w:r>
      <w:r w:rsidR="002F7896">
        <w:t xml:space="preserve">and the outlook </w:t>
      </w:r>
      <w:r w:rsidR="00A81016">
        <w:t>remain</w:t>
      </w:r>
      <w:r w:rsidR="002F7896">
        <w:t>s</w:t>
      </w:r>
      <w:r w:rsidR="00A81016">
        <w:t xml:space="preserve"> uncertain with large scale redundancies announced at Alcoa and Ford. </w:t>
      </w:r>
    </w:p>
    <w:p w:rsidR="00A81016" w:rsidRPr="00895626" w:rsidRDefault="00A81016" w:rsidP="00A81016">
      <w:pPr>
        <w:pStyle w:val="ListBullet"/>
        <w:numPr>
          <w:ilvl w:val="0"/>
          <w:numId w:val="27"/>
        </w:numPr>
        <w:spacing w:after="0"/>
        <w:jc w:val="both"/>
      </w:pPr>
      <w:r w:rsidRPr="00895626">
        <w:t xml:space="preserve">Total employment in Geelong </w:t>
      </w:r>
      <w:r w:rsidR="006F2640" w:rsidRPr="00895626">
        <w:t xml:space="preserve">has </w:t>
      </w:r>
      <w:r w:rsidRPr="00895626">
        <w:t xml:space="preserve">decreased by </w:t>
      </w:r>
      <w:r w:rsidR="006411D5" w:rsidRPr="00895626">
        <w:t>3.2</w:t>
      </w:r>
      <w:r w:rsidRPr="00895626">
        <w:t xml:space="preserve"> per cent (</w:t>
      </w:r>
      <w:r w:rsidR="006411D5" w:rsidRPr="00895626">
        <w:t>3,800</w:t>
      </w:r>
      <w:r w:rsidRPr="00895626">
        <w:t>) in the past year.</w:t>
      </w:r>
      <w:r w:rsidRPr="00895626">
        <w:rPr>
          <w:rStyle w:val="FootnoteReference"/>
        </w:rPr>
        <w:footnoteReference w:id="1"/>
      </w:r>
      <w:r w:rsidRPr="00895626">
        <w:t xml:space="preserve"> </w:t>
      </w:r>
    </w:p>
    <w:p w:rsidR="009A1D2C" w:rsidRPr="00895626" w:rsidRDefault="009A1D2C" w:rsidP="009A1D2C">
      <w:pPr>
        <w:pStyle w:val="ListBullet"/>
        <w:numPr>
          <w:ilvl w:val="0"/>
          <w:numId w:val="27"/>
        </w:numPr>
        <w:spacing w:after="0"/>
        <w:jc w:val="both"/>
      </w:pPr>
      <w:r w:rsidRPr="00895626">
        <w:t xml:space="preserve">The unemployment rate </w:t>
      </w:r>
      <w:r w:rsidR="002F7896" w:rsidRPr="00895626">
        <w:t xml:space="preserve">for Geelong </w:t>
      </w:r>
      <w:r w:rsidR="006F2640" w:rsidRPr="00895626">
        <w:t xml:space="preserve">currently stands at </w:t>
      </w:r>
      <w:r w:rsidR="006411D5" w:rsidRPr="00895626">
        <w:t>8.4</w:t>
      </w:r>
      <w:r w:rsidRPr="00895626">
        <w:t xml:space="preserve"> per</w:t>
      </w:r>
      <w:r w:rsidR="006F2640" w:rsidRPr="00895626">
        <w:t xml:space="preserve"> cent</w:t>
      </w:r>
      <w:r w:rsidRPr="00895626">
        <w:rPr>
          <w:rStyle w:val="FootnoteReference"/>
        </w:rPr>
        <w:footnoteReference w:id="2"/>
      </w:r>
      <w:r w:rsidR="000F1594" w:rsidRPr="00895626">
        <w:t xml:space="preserve"> </w:t>
      </w:r>
      <w:r w:rsidR="006F2640" w:rsidRPr="00895626">
        <w:t xml:space="preserve">compared with </w:t>
      </w:r>
      <w:r w:rsidR="006411D5" w:rsidRPr="00895626">
        <w:t>6.4</w:t>
      </w:r>
      <w:r w:rsidR="006F2640" w:rsidRPr="00895626">
        <w:t xml:space="preserve"> per cent for Australia</w:t>
      </w:r>
      <w:r w:rsidR="007D3BBF" w:rsidRPr="00895626">
        <w:t>.</w:t>
      </w:r>
      <w:r w:rsidR="00FA0EA2" w:rsidRPr="00895626">
        <w:rPr>
          <w:rStyle w:val="FootnoteReference"/>
        </w:rPr>
        <w:t xml:space="preserve"> </w:t>
      </w:r>
      <w:r w:rsidR="00FA0EA2" w:rsidRPr="00895626">
        <w:rPr>
          <w:rStyle w:val="FootnoteReference"/>
        </w:rPr>
        <w:footnoteReference w:id="3"/>
      </w:r>
    </w:p>
    <w:p w:rsidR="00EA5F01" w:rsidRDefault="00EA5F01" w:rsidP="00ED6233">
      <w:pPr>
        <w:pStyle w:val="ListBullet"/>
        <w:numPr>
          <w:ilvl w:val="0"/>
          <w:numId w:val="27"/>
        </w:numPr>
        <w:spacing w:after="0"/>
        <w:jc w:val="both"/>
      </w:pPr>
      <w:r w:rsidRPr="00895626">
        <w:t>The part</w:t>
      </w:r>
      <w:r w:rsidR="003B60D1" w:rsidRPr="00895626">
        <w:t xml:space="preserve">icipation rate </w:t>
      </w:r>
      <w:r w:rsidR="007D3BBF" w:rsidRPr="00895626">
        <w:t>has fallen</w:t>
      </w:r>
      <w:r w:rsidR="00FA0EA2" w:rsidRPr="00895626">
        <w:t xml:space="preserve"> from 59.5</w:t>
      </w:r>
      <w:r w:rsidR="003B60D1" w:rsidRPr="00895626">
        <w:t xml:space="preserve"> per cent to </w:t>
      </w:r>
      <w:r w:rsidR="00FA0EA2" w:rsidRPr="00895626">
        <w:t>57.8</w:t>
      </w:r>
      <w:r w:rsidRPr="00895626">
        <w:t xml:space="preserve"> per cent in</w:t>
      </w:r>
      <w:r>
        <w:t xml:space="preserve"> the past year</w:t>
      </w:r>
      <w:r w:rsidR="0078161F">
        <w:t xml:space="preserve"> suggesting tha</w:t>
      </w:r>
      <w:r w:rsidR="002F7896">
        <w:t xml:space="preserve">t some </w:t>
      </w:r>
      <w:r w:rsidR="002A4813">
        <w:t>job seekers</w:t>
      </w:r>
      <w:r w:rsidR="00A81016">
        <w:t xml:space="preserve"> have</w:t>
      </w:r>
      <w:r w:rsidR="002F7896">
        <w:t xml:space="preserve"> become discouraged and</w:t>
      </w:r>
      <w:r w:rsidR="00A81016">
        <w:t xml:space="preserve"> </w:t>
      </w:r>
      <w:r w:rsidR="002A4813">
        <w:t xml:space="preserve">have </w:t>
      </w:r>
      <w:r w:rsidR="00A81016">
        <w:t>given up looking for work</w:t>
      </w:r>
      <w:r w:rsidR="00133F99">
        <w:t>.</w:t>
      </w:r>
      <w:r w:rsidR="00FA0EA2" w:rsidRPr="00FA0EA2">
        <w:rPr>
          <w:rStyle w:val="FootnoteReference"/>
        </w:rPr>
        <w:t xml:space="preserve"> </w:t>
      </w:r>
      <w:r w:rsidR="00FA0EA2" w:rsidRPr="002E190C">
        <w:rPr>
          <w:rStyle w:val="FootnoteReference"/>
        </w:rPr>
        <w:footnoteReference w:id="4"/>
      </w:r>
    </w:p>
    <w:p w:rsidR="00F112E7" w:rsidRPr="00EE2276" w:rsidRDefault="00F112E7" w:rsidP="00EE2276">
      <w:pPr>
        <w:pStyle w:val="Heading1"/>
        <w:pBdr>
          <w:bottom w:val="single" w:sz="4" w:space="1" w:color="auto"/>
        </w:pBdr>
        <w:spacing w:before="120" w:after="120" w:line="20" w:lineRule="atLeast"/>
        <w:rPr>
          <w:color w:val="165788" w:themeColor="text2"/>
          <w:sz w:val="24"/>
          <w:szCs w:val="24"/>
        </w:rPr>
      </w:pPr>
      <w:r w:rsidRPr="00EE2276">
        <w:rPr>
          <w:color w:val="165788" w:themeColor="text2"/>
          <w:sz w:val="24"/>
          <w:szCs w:val="24"/>
        </w:rPr>
        <w:t>What employers are telling us</w:t>
      </w:r>
      <w:r w:rsidRPr="00EE2276">
        <w:rPr>
          <w:color w:val="165788" w:themeColor="text2"/>
          <w:sz w:val="24"/>
          <w:szCs w:val="24"/>
          <w:vertAlign w:val="superscript"/>
        </w:rPr>
        <w:footnoteReference w:id="5"/>
      </w:r>
    </w:p>
    <w:p w:rsidR="008776F3" w:rsidRDefault="007D3BBF" w:rsidP="00581004">
      <w:pPr>
        <w:spacing w:after="0"/>
        <w:jc w:val="both"/>
      </w:pPr>
      <w:r>
        <w:t>The s</w:t>
      </w:r>
      <w:r w:rsidR="00BF6C18">
        <w:t>urvey results reflect the subdued</w:t>
      </w:r>
      <w:r w:rsidR="00C92712">
        <w:t xml:space="preserve"> and uncertain labour </w:t>
      </w:r>
      <w:r w:rsidR="00BF6C18">
        <w:t>market</w:t>
      </w:r>
      <w:r w:rsidR="00A81016">
        <w:t xml:space="preserve"> conditions in Geelong. Nevertheless,</w:t>
      </w:r>
      <w:r w:rsidR="00BF6C18">
        <w:t xml:space="preserve"> the majority of surveyed employers </w:t>
      </w:r>
      <w:r w:rsidR="00B83380">
        <w:t xml:space="preserve">had </w:t>
      </w:r>
      <w:r w:rsidR="00BF6C18">
        <w:t xml:space="preserve">recruited in the 12 months prior to the survey, indicating that </w:t>
      </w:r>
      <w:r>
        <w:t xml:space="preserve">there are still </w:t>
      </w:r>
      <w:r w:rsidR="00BF6C18">
        <w:t xml:space="preserve">opportunities available. </w:t>
      </w:r>
    </w:p>
    <w:p w:rsidR="00F112E7" w:rsidRDefault="00327F86" w:rsidP="001B7D17">
      <w:pPr>
        <w:pStyle w:val="ListParagraph"/>
        <w:numPr>
          <w:ilvl w:val="0"/>
          <w:numId w:val="27"/>
        </w:numPr>
        <w:spacing w:after="40"/>
        <w:ind w:left="357" w:hanging="357"/>
        <w:jc w:val="both"/>
      </w:pPr>
      <w:r>
        <w:t xml:space="preserve">Some 59 per cent of surveyed employers had recruited in the 12 months prior to the survey, which was in line with all regions (60 per cent). The annual vacancy rate </w:t>
      </w:r>
      <w:r w:rsidR="00BF6C18">
        <w:t>(</w:t>
      </w:r>
      <w:r w:rsidR="00905242">
        <w:t>14.6</w:t>
      </w:r>
      <w:r w:rsidR="008E6536">
        <w:t xml:space="preserve"> vaca</w:t>
      </w:r>
      <w:r w:rsidR="000E192E">
        <w:t>ncies per 100 staff) was</w:t>
      </w:r>
      <w:r>
        <w:t xml:space="preserve"> slightly</w:t>
      </w:r>
      <w:r w:rsidR="00510D40">
        <w:t xml:space="preserve"> lo</w:t>
      </w:r>
      <w:bookmarkStart w:id="0" w:name="_GoBack"/>
      <w:bookmarkEnd w:id="0"/>
      <w:r w:rsidR="00510D40">
        <w:t>wer than the average for all regions (16.0</w:t>
      </w:r>
      <w:r w:rsidR="00BF6C18">
        <w:t> </w:t>
      </w:r>
      <w:r w:rsidR="00510D40">
        <w:t xml:space="preserve">vacancies per 100 staff). </w:t>
      </w:r>
    </w:p>
    <w:p w:rsidR="00136C81" w:rsidRDefault="00136C81" w:rsidP="001B7D17">
      <w:pPr>
        <w:pStyle w:val="ListParagraph"/>
        <w:numPr>
          <w:ilvl w:val="0"/>
          <w:numId w:val="27"/>
        </w:numPr>
        <w:spacing w:after="40"/>
        <w:ind w:left="357" w:hanging="357"/>
        <w:jc w:val="both"/>
      </w:pPr>
      <w:r>
        <w:t>Only 2.0 per cent of vacan</w:t>
      </w:r>
      <w:r w:rsidR="00CD2328">
        <w:t xml:space="preserve">cies remained unfilled, and </w:t>
      </w:r>
      <w:r w:rsidR="003C5694">
        <w:t>fewer</w:t>
      </w:r>
      <w:r w:rsidR="00CD2328">
        <w:t xml:space="preserve"> than one in three </w:t>
      </w:r>
      <w:r w:rsidR="00327F86">
        <w:t xml:space="preserve">recruiting </w:t>
      </w:r>
      <w:r w:rsidR="00CD2328">
        <w:t xml:space="preserve">employers reported recruitment difficulty. </w:t>
      </w:r>
    </w:p>
    <w:p w:rsidR="00136C81" w:rsidRDefault="00136C81" w:rsidP="001B7D17">
      <w:pPr>
        <w:pStyle w:val="ListParagraph"/>
        <w:numPr>
          <w:ilvl w:val="0"/>
          <w:numId w:val="27"/>
        </w:numPr>
        <w:spacing w:after="40"/>
        <w:ind w:left="357" w:hanging="357"/>
        <w:jc w:val="both"/>
      </w:pPr>
      <w:r>
        <w:t>Competition for vacancie</w:t>
      </w:r>
      <w:r w:rsidR="00880258">
        <w:t>s advertised on the internet or in a newspaper was high (14.5</w:t>
      </w:r>
      <w:r w:rsidR="00510D40">
        <w:t xml:space="preserve"> applicants per vacancy) and </w:t>
      </w:r>
      <w:r>
        <w:t xml:space="preserve">had increased </w:t>
      </w:r>
      <w:r w:rsidR="00880258">
        <w:t xml:space="preserve">slightly </w:t>
      </w:r>
      <w:r>
        <w:t>since t</w:t>
      </w:r>
      <w:r w:rsidR="00880258">
        <w:t>he region was last surveyed (13.5</w:t>
      </w:r>
      <w:r w:rsidR="005D58AC">
        <w:t> </w:t>
      </w:r>
      <w:r>
        <w:t xml:space="preserve">applicants per vacancy). The majority of applicants (75 per cent) did not get an interview, with employers citing a lack of relevant experience and insufficient qualifications or training as the most common reasons. </w:t>
      </w:r>
    </w:p>
    <w:p w:rsidR="00136C81" w:rsidRDefault="00136C81" w:rsidP="001B7D17">
      <w:pPr>
        <w:pStyle w:val="ListParagraph"/>
        <w:numPr>
          <w:ilvl w:val="0"/>
          <w:numId w:val="27"/>
        </w:numPr>
        <w:spacing w:after="40"/>
        <w:ind w:left="357" w:hanging="357"/>
        <w:jc w:val="both"/>
      </w:pPr>
      <w:r>
        <w:t xml:space="preserve">Many employers reported a degree of uncertainty about their recruitment outlook with </w:t>
      </w:r>
      <w:r w:rsidR="00327F86">
        <w:t>slightly more than h</w:t>
      </w:r>
      <w:r>
        <w:t xml:space="preserve">alf of </w:t>
      </w:r>
      <w:r w:rsidR="00190845">
        <w:t>employers</w:t>
      </w:r>
      <w:r>
        <w:t xml:space="preserve"> (52 per cent) </w:t>
      </w:r>
      <w:r w:rsidR="00327F86">
        <w:t>citing</w:t>
      </w:r>
      <w:r>
        <w:t xml:space="preserve"> the ‘economy’ as </w:t>
      </w:r>
      <w:r w:rsidR="00327F86">
        <w:t>being their</w:t>
      </w:r>
      <w:r>
        <w:t xml:space="preserve"> single greatest future concern. </w:t>
      </w:r>
    </w:p>
    <w:tbl>
      <w:tblPr>
        <w:tblStyle w:val="DEEWRTable"/>
        <w:tblpPr w:leftFromText="180" w:rightFromText="180" w:vertAnchor="text" w:horzAnchor="margin" w:tblpY="187"/>
        <w:tblW w:w="0" w:type="auto"/>
        <w:tblLook w:val="0420" w:firstRow="1" w:lastRow="0" w:firstColumn="0" w:lastColumn="0" w:noHBand="0" w:noVBand="1"/>
        <w:tblCaption w:val="Table"/>
        <w:tblDescription w:val="Numbers in table in order of June 2014, September 2013 and All regions surveyed.                   &#10;Annual vacancies per 100 staff: 14.6, 13.4, 16.0&#10;Unfilled vacancy rate (most recent recruitment round): 2.0%, 2.6%, 3.7%&#10;Recruitment difficulty (most recent recruitment round): 31%, 31%, 35%&#10;Average applicants per formally advertised vacancy: 14.5, 13.5, 17&#10;"/>
      </w:tblPr>
      <w:tblGrid>
        <w:gridCol w:w="5070"/>
        <w:gridCol w:w="1842"/>
        <w:gridCol w:w="1701"/>
        <w:gridCol w:w="2233"/>
      </w:tblGrid>
      <w:tr w:rsidR="00FD072E" w:rsidTr="00C42383">
        <w:trPr>
          <w:cnfStyle w:val="100000000000" w:firstRow="1" w:lastRow="0" w:firstColumn="0" w:lastColumn="0" w:oddVBand="0" w:evenVBand="0" w:oddHBand="0" w:evenHBand="0" w:firstRowFirstColumn="0" w:firstRowLastColumn="0" w:lastRowFirstColumn="0" w:lastRowLastColumn="0"/>
          <w:trHeight w:val="270"/>
        </w:trPr>
        <w:tc>
          <w:tcPr>
            <w:tcW w:w="5070" w:type="dxa"/>
            <w:tcBorders>
              <w:bottom w:val="nil"/>
            </w:tcBorders>
            <w:shd w:val="clear" w:color="auto" w:fill="003D6B"/>
          </w:tcPr>
          <w:p w:rsidR="00FD072E" w:rsidRDefault="00FD072E" w:rsidP="00FD072E"/>
        </w:tc>
        <w:tc>
          <w:tcPr>
            <w:tcW w:w="1842" w:type="dxa"/>
            <w:tcBorders>
              <w:bottom w:val="nil"/>
            </w:tcBorders>
            <w:shd w:val="clear" w:color="auto" w:fill="003D6B"/>
          </w:tcPr>
          <w:p w:rsidR="00FD072E" w:rsidRDefault="00F24EBB" w:rsidP="00E8295A">
            <w:pPr>
              <w:jc w:val="center"/>
            </w:pPr>
            <w:r>
              <w:t>June</w:t>
            </w:r>
            <w:r w:rsidR="00C14574">
              <w:t xml:space="preserve"> 2014</w:t>
            </w:r>
          </w:p>
        </w:tc>
        <w:tc>
          <w:tcPr>
            <w:tcW w:w="1701" w:type="dxa"/>
            <w:tcBorders>
              <w:bottom w:val="nil"/>
            </w:tcBorders>
            <w:shd w:val="clear" w:color="auto" w:fill="003D6B"/>
          </w:tcPr>
          <w:p w:rsidR="00FD072E" w:rsidRDefault="00F24EBB" w:rsidP="00E8295A">
            <w:pPr>
              <w:jc w:val="center"/>
            </w:pPr>
            <w:r>
              <w:t>September 2013</w:t>
            </w:r>
          </w:p>
        </w:tc>
        <w:tc>
          <w:tcPr>
            <w:tcW w:w="2233" w:type="dxa"/>
            <w:tcBorders>
              <w:bottom w:val="nil"/>
            </w:tcBorders>
            <w:shd w:val="clear" w:color="auto" w:fill="003D6B"/>
          </w:tcPr>
          <w:p w:rsidR="00FD072E" w:rsidRDefault="00FD072E" w:rsidP="00E8295A">
            <w:pPr>
              <w:jc w:val="center"/>
            </w:pPr>
            <w:r>
              <w:t>All regions surveyed</w:t>
            </w:r>
            <w:r w:rsidR="005475BE">
              <w:rPr>
                <w:rStyle w:val="FootnoteReference"/>
              </w:rPr>
              <w:footnoteReference w:id="6"/>
            </w:r>
          </w:p>
        </w:tc>
      </w:tr>
      <w:tr w:rsidR="0050640D" w:rsidTr="00C42383">
        <w:trPr>
          <w:trHeight w:val="289"/>
        </w:trPr>
        <w:tc>
          <w:tcPr>
            <w:tcW w:w="5070" w:type="dxa"/>
            <w:tcBorders>
              <w:top w:val="nil"/>
            </w:tcBorders>
          </w:tcPr>
          <w:p w:rsidR="0050640D" w:rsidRDefault="008776F3" w:rsidP="0050640D">
            <w:r>
              <w:rPr>
                <w:rFonts w:ascii="Calibri" w:hAnsi="Calibri" w:cs="Calibri"/>
              </w:rPr>
              <w:t>Annual vacancies per 100 staff</w:t>
            </w:r>
          </w:p>
        </w:tc>
        <w:tc>
          <w:tcPr>
            <w:tcW w:w="1842" w:type="dxa"/>
            <w:tcBorders>
              <w:top w:val="nil"/>
            </w:tcBorders>
          </w:tcPr>
          <w:p w:rsidR="0050640D" w:rsidRDefault="00905242" w:rsidP="003132C6">
            <w:pPr>
              <w:jc w:val="center"/>
            </w:pPr>
            <w:r>
              <w:t>14.6</w:t>
            </w:r>
          </w:p>
        </w:tc>
        <w:tc>
          <w:tcPr>
            <w:tcW w:w="1701" w:type="dxa"/>
            <w:tcBorders>
              <w:top w:val="nil"/>
            </w:tcBorders>
          </w:tcPr>
          <w:p w:rsidR="0050640D" w:rsidRDefault="00136C81" w:rsidP="003132C6">
            <w:pPr>
              <w:jc w:val="center"/>
            </w:pPr>
            <w:r>
              <w:t>13.4</w:t>
            </w:r>
          </w:p>
        </w:tc>
        <w:tc>
          <w:tcPr>
            <w:tcW w:w="2233" w:type="dxa"/>
            <w:tcBorders>
              <w:top w:val="nil"/>
            </w:tcBorders>
          </w:tcPr>
          <w:p w:rsidR="0050640D" w:rsidRDefault="00136C81" w:rsidP="003132C6">
            <w:pPr>
              <w:jc w:val="center"/>
            </w:pPr>
            <w:r>
              <w:t>16.0</w:t>
            </w:r>
          </w:p>
        </w:tc>
      </w:tr>
      <w:tr w:rsidR="0050640D" w:rsidTr="00C42383">
        <w:trPr>
          <w:trHeight w:val="270"/>
        </w:trPr>
        <w:tc>
          <w:tcPr>
            <w:tcW w:w="5070" w:type="dxa"/>
          </w:tcPr>
          <w:p w:rsidR="0050640D" w:rsidRDefault="008776F3" w:rsidP="0050640D">
            <w:r>
              <w:rPr>
                <w:rFonts w:ascii="Calibri" w:hAnsi="Calibri" w:cs="Calibri"/>
              </w:rPr>
              <w:t>Unfilled vacancy rate (most recent recruitment round)</w:t>
            </w:r>
          </w:p>
        </w:tc>
        <w:tc>
          <w:tcPr>
            <w:tcW w:w="1842" w:type="dxa"/>
          </w:tcPr>
          <w:p w:rsidR="0050640D" w:rsidRDefault="00BE7512" w:rsidP="003132C6">
            <w:pPr>
              <w:jc w:val="center"/>
            </w:pPr>
            <w:r>
              <w:t>2.0%</w:t>
            </w:r>
          </w:p>
        </w:tc>
        <w:tc>
          <w:tcPr>
            <w:tcW w:w="1701" w:type="dxa"/>
          </w:tcPr>
          <w:p w:rsidR="0050640D" w:rsidRDefault="00BE7512" w:rsidP="003132C6">
            <w:pPr>
              <w:jc w:val="center"/>
            </w:pPr>
            <w:r>
              <w:t>2.6%</w:t>
            </w:r>
          </w:p>
        </w:tc>
        <w:tc>
          <w:tcPr>
            <w:tcW w:w="2233" w:type="dxa"/>
          </w:tcPr>
          <w:p w:rsidR="0050640D" w:rsidRDefault="00327F86" w:rsidP="00327F86">
            <w:pPr>
              <w:tabs>
                <w:tab w:val="left" w:pos="795"/>
                <w:tab w:val="center" w:pos="1008"/>
              </w:tabs>
            </w:pPr>
            <w:r>
              <w:tab/>
            </w:r>
            <w:r>
              <w:tab/>
            </w:r>
            <w:r w:rsidR="00BE7512">
              <w:t>3.7%</w:t>
            </w:r>
          </w:p>
        </w:tc>
      </w:tr>
      <w:tr w:rsidR="00327F86" w:rsidTr="00C42383">
        <w:trPr>
          <w:trHeight w:val="270"/>
        </w:trPr>
        <w:tc>
          <w:tcPr>
            <w:tcW w:w="5070" w:type="dxa"/>
          </w:tcPr>
          <w:p w:rsidR="00327F86" w:rsidRDefault="00327F86" w:rsidP="0050640D">
            <w:pPr>
              <w:rPr>
                <w:rFonts w:ascii="Calibri" w:hAnsi="Calibri" w:cs="Calibri"/>
              </w:rPr>
            </w:pPr>
            <w:r>
              <w:rPr>
                <w:rFonts w:ascii="Calibri" w:hAnsi="Calibri" w:cs="Calibri"/>
              </w:rPr>
              <w:t>Recruitment difficulty (most recent recruitment round)</w:t>
            </w:r>
          </w:p>
        </w:tc>
        <w:tc>
          <w:tcPr>
            <w:tcW w:w="1842" w:type="dxa"/>
          </w:tcPr>
          <w:p w:rsidR="00327F86" w:rsidRDefault="00327F86" w:rsidP="003132C6">
            <w:pPr>
              <w:jc w:val="center"/>
            </w:pPr>
            <w:r>
              <w:t>31%</w:t>
            </w:r>
          </w:p>
        </w:tc>
        <w:tc>
          <w:tcPr>
            <w:tcW w:w="1701" w:type="dxa"/>
          </w:tcPr>
          <w:p w:rsidR="00327F86" w:rsidRDefault="00327F86" w:rsidP="003132C6">
            <w:pPr>
              <w:jc w:val="center"/>
            </w:pPr>
            <w:r>
              <w:t>31%</w:t>
            </w:r>
          </w:p>
        </w:tc>
        <w:tc>
          <w:tcPr>
            <w:tcW w:w="2233" w:type="dxa"/>
          </w:tcPr>
          <w:p w:rsidR="00327F86" w:rsidRDefault="00327F86" w:rsidP="00327F86">
            <w:pPr>
              <w:tabs>
                <w:tab w:val="left" w:pos="795"/>
                <w:tab w:val="center" w:pos="1008"/>
              </w:tabs>
              <w:jc w:val="center"/>
            </w:pPr>
            <w:r>
              <w:t>35%</w:t>
            </w:r>
          </w:p>
        </w:tc>
      </w:tr>
      <w:tr w:rsidR="0050640D" w:rsidTr="00C42383">
        <w:trPr>
          <w:trHeight w:val="270"/>
        </w:trPr>
        <w:tc>
          <w:tcPr>
            <w:tcW w:w="5070" w:type="dxa"/>
          </w:tcPr>
          <w:p w:rsidR="0050640D" w:rsidRDefault="002F7896" w:rsidP="002F7896">
            <w:r>
              <w:t xml:space="preserve">Average applicants per </w:t>
            </w:r>
            <w:r w:rsidR="007909C1">
              <w:t xml:space="preserve">formally advertised vacancy </w:t>
            </w:r>
            <w:r w:rsidR="007909C1">
              <w:rPr>
                <w:rStyle w:val="FootnoteReference"/>
              </w:rPr>
              <w:footnoteReference w:id="7"/>
            </w:r>
          </w:p>
        </w:tc>
        <w:tc>
          <w:tcPr>
            <w:tcW w:w="1842" w:type="dxa"/>
          </w:tcPr>
          <w:p w:rsidR="0050640D" w:rsidRDefault="002E7455" w:rsidP="003132C6">
            <w:pPr>
              <w:jc w:val="center"/>
            </w:pPr>
            <w:r>
              <w:t>14.5</w:t>
            </w:r>
          </w:p>
        </w:tc>
        <w:tc>
          <w:tcPr>
            <w:tcW w:w="1701" w:type="dxa"/>
          </w:tcPr>
          <w:p w:rsidR="0050640D" w:rsidRDefault="002E7455" w:rsidP="003132C6">
            <w:pPr>
              <w:jc w:val="center"/>
            </w:pPr>
            <w:r>
              <w:t>13.5</w:t>
            </w:r>
          </w:p>
        </w:tc>
        <w:tc>
          <w:tcPr>
            <w:tcW w:w="2233" w:type="dxa"/>
          </w:tcPr>
          <w:p w:rsidR="0050640D" w:rsidRDefault="002E7455" w:rsidP="003132C6">
            <w:pPr>
              <w:jc w:val="center"/>
            </w:pPr>
            <w:r>
              <w:t>17</w:t>
            </w:r>
          </w:p>
        </w:tc>
      </w:tr>
    </w:tbl>
    <w:p w:rsidR="0011464F" w:rsidRPr="00021739" w:rsidRDefault="0011464F" w:rsidP="008776F3">
      <w:pPr>
        <w:pStyle w:val="Heading1"/>
        <w:pBdr>
          <w:bottom w:val="single" w:sz="4" w:space="1" w:color="auto"/>
        </w:pBdr>
        <w:spacing w:before="120" w:after="120" w:line="20" w:lineRule="atLeast"/>
        <w:rPr>
          <w:color w:val="165788" w:themeColor="text2"/>
          <w:sz w:val="24"/>
          <w:szCs w:val="24"/>
        </w:rPr>
      </w:pPr>
      <w:r w:rsidRPr="00021739">
        <w:rPr>
          <w:color w:val="165788" w:themeColor="text2"/>
          <w:sz w:val="24"/>
          <w:szCs w:val="24"/>
        </w:rPr>
        <w:t>Where are the opportunities?</w:t>
      </w:r>
    </w:p>
    <w:p w:rsidR="00DB5576" w:rsidRDefault="0056561D" w:rsidP="00DB5576">
      <w:pPr>
        <w:pStyle w:val="ListBullet2"/>
        <w:numPr>
          <w:ilvl w:val="0"/>
          <w:numId w:val="30"/>
        </w:numPr>
        <w:spacing w:after="0" w:line="264" w:lineRule="auto"/>
        <w:jc w:val="both"/>
      </w:pPr>
      <w:r>
        <w:t>Despite the subdued labour market conditions, o</w:t>
      </w:r>
      <w:r w:rsidR="00DB5576">
        <w:t xml:space="preserve">pportunities </w:t>
      </w:r>
      <w:r w:rsidR="00190845">
        <w:t>are still available</w:t>
      </w:r>
      <w:r w:rsidR="00DB5576">
        <w:t xml:space="preserve"> in industries where recruitment activity is </w:t>
      </w:r>
      <w:r w:rsidR="00E6223A">
        <w:t xml:space="preserve">relatively high, such as </w:t>
      </w:r>
      <w:r w:rsidR="00DB5576">
        <w:t>Health Care and Social Assistance, Accommodation and</w:t>
      </w:r>
      <w:r w:rsidR="00E6223A">
        <w:t xml:space="preserve"> Food Services and Retail Trade</w:t>
      </w:r>
      <w:r w:rsidR="002F7896">
        <w:t>. O</w:t>
      </w:r>
      <w:r w:rsidR="00510D40">
        <w:t>ver the next 12 months</w:t>
      </w:r>
      <w:r w:rsidR="00A90784">
        <w:t xml:space="preserve"> many</w:t>
      </w:r>
      <w:r w:rsidR="00DB5576">
        <w:t xml:space="preserve"> employers expect to </w:t>
      </w:r>
      <w:r w:rsidR="00A90784">
        <w:t xml:space="preserve">continue to </w:t>
      </w:r>
      <w:r w:rsidR="00DB5576">
        <w:t xml:space="preserve">recruit for Waiters, Bar Attendants and Baristas, Chefs, Gaming Workers, General Clerks, Sales Assistants, Truck Drivers, Storepersons, Registered Nurses, Housekeepers, and Nursing Support and Personal Care Workers. </w:t>
      </w:r>
    </w:p>
    <w:sectPr w:rsidR="00DB5576" w:rsidSect="000A2CE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567" w:bottom="142" w:left="709" w:header="3"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22" w:rsidRDefault="00D10222" w:rsidP="00130923">
      <w:pPr>
        <w:spacing w:after="0" w:line="240" w:lineRule="auto"/>
      </w:pPr>
      <w:r>
        <w:separator/>
      </w:r>
    </w:p>
  </w:endnote>
  <w:endnote w:type="continuationSeparator" w:id="0">
    <w:p w:rsidR="00D10222" w:rsidRDefault="00D1022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7" w:rsidRDefault="00B57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EE" w:rsidRDefault="00A750EE" w:rsidP="00A73406">
    <w:pPr>
      <w:pStyle w:val="Footer"/>
      <w:tabs>
        <w:tab w:val="clear" w:pos="9026"/>
        <w:tab w:val="right" w:pos="8647"/>
      </w:tabs>
      <w:ind w:firstLine="72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7" w:rsidRDefault="00B5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22" w:rsidRDefault="00D10222" w:rsidP="00130923">
      <w:pPr>
        <w:spacing w:after="0" w:line="240" w:lineRule="auto"/>
      </w:pPr>
      <w:r>
        <w:separator/>
      </w:r>
    </w:p>
  </w:footnote>
  <w:footnote w:type="continuationSeparator" w:id="0">
    <w:p w:rsidR="00D10222" w:rsidRDefault="00D10222" w:rsidP="00130923">
      <w:pPr>
        <w:spacing w:after="0" w:line="240" w:lineRule="auto"/>
      </w:pPr>
      <w:r>
        <w:continuationSeparator/>
      </w:r>
    </w:p>
  </w:footnote>
  <w:footnote w:id="1">
    <w:p w:rsidR="00A81016" w:rsidRPr="00133F99" w:rsidRDefault="00A81016" w:rsidP="00A81016">
      <w:pPr>
        <w:pStyle w:val="FootnoteText"/>
        <w:rPr>
          <w:rFonts w:asciiTheme="minorHAnsi" w:hAnsiTheme="minorHAnsi" w:cstheme="minorHAnsi"/>
          <w:sz w:val="16"/>
          <w:szCs w:val="16"/>
        </w:rPr>
      </w:pPr>
      <w:r w:rsidRPr="00133F99">
        <w:rPr>
          <w:rStyle w:val="FootnoteReference"/>
          <w:rFonts w:asciiTheme="minorHAnsi" w:hAnsiTheme="minorHAnsi" w:cstheme="minorHAnsi"/>
          <w:sz w:val="16"/>
          <w:szCs w:val="16"/>
        </w:rPr>
        <w:footnoteRef/>
      </w:r>
      <w:r w:rsidR="006411D5">
        <w:rPr>
          <w:rFonts w:asciiTheme="minorHAnsi" w:hAnsiTheme="minorHAnsi" w:cstheme="minorHAnsi"/>
          <w:sz w:val="16"/>
          <w:szCs w:val="16"/>
        </w:rPr>
        <w:t xml:space="preserve"> ABS, Labour Force Survey, July</w:t>
      </w:r>
      <w:r w:rsidRPr="00133F99">
        <w:rPr>
          <w:rFonts w:asciiTheme="minorHAnsi" w:hAnsiTheme="minorHAnsi" w:cstheme="minorHAnsi"/>
          <w:sz w:val="16"/>
          <w:szCs w:val="16"/>
        </w:rPr>
        <w:t xml:space="preserve"> 2014 (</w:t>
      </w:r>
      <w:r>
        <w:rPr>
          <w:rFonts w:asciiTheme="minorHAnsi" w:hAnsiTheme="minorHAnsi" w:cstheme="minorHAnsi"/>
          <w:sz w:val="16"/>
          <w:szCs w:val="16"/>
        </w:rPr>
        <w:t>3</w:t>
      </w:r>
      <w:r w:rsidRPr="00133F99">
        <w:rPr>
          <w:rFonts w:asciiTheme="minorHAnsi" w:hAnsiTheme="minorHAnsi" w:cstheme="minorHAnsi"/>
          <w:sz w:val="16"/>
          <w:szCs w:val="16"/>
        </w:rPr>
        <w:t xml:space="preserve"> month averages of original data)</w:t>
      </w:r>
    </w:p>
  </w:footnote>
  <w:footnote w:id="2">
    <w:p w:rsidR="009A1D2C" w:rsidRPr="00133F99" w:rsidRDefault="009A1D2C" w:rsidP="009A1D2C">
      <w:pPr>
        <w:pStyle w:val="FootnoteText"/>
        <w:rPr>
          <w:rFonts w:asciiTheme="minorHAnsi" w:hAnsiTheme="minorHAnsi" w:cstheme="minorHAnsi"/>
          <w:sz w:val="16"/>
          <w:szCs w:val="16"/>
        </w:rPr>
      </w:pPr>
      <w:r w:rsidRPr="009A1D2C">
        <w:rPr>
          <w:rStyle w:val="FootnoteReference"/>
          <w:rFonts w:asciiTheme="minorHAnsi" w:hAnsiTheme="minorHAnsi" w:cstheme="minorHAnsi"/>
          <w:sz w:val="16"/>
          <w:szCs w:val="16"/>
        </w:rPr>
        <w:footnoteRef/>
      </w:r>
      <w:r w:rsidRPr="009A1D2C">
        <w:rPr>
          <w:rFonts w:asciiTheme="minorHAnsi" w:hAnsiTheme="minorHAnsi" w:cstheme="minorHAnsi"/>
          <w:sz w:val="16"/>
          <w:szCs w:val="16"/>
        </w:rPr>
        <w:t xml:space="preserve"> ABS, La</w:t>
      </w:r>
      <w:r w:rsidR="006411D5">
        <w:rPr>
          <w:rFonts w:asciiTheme="minorHAnsi" w:hAnsiTheme="minorHAnsi" w:cstheme="minorHAnsi"/>
          <w:sz w:val="16"/>
          <w:szCs w:val="16"/>
        </w:rPr>
        <w:t>bour Force Survey, July</w:t>
      </w:r>
      <w:r w:rsidR="001B2866">
        <w:rPr>
          <w:rFonts w:asciiTheme="minorHAnsi" w:hAnsiTheme="minorHAnsi" w:cstheme="minorHAnsi"/>
          <w:sz w:val="16"/>
          <w:szCs w:val="16"/>
        </w:rPr>
        <w:t xml:space="preserve"> 2014 (3</w:t>
      </w:r>
      <w:r w:rsidRPr="009A1D2C">
        <w:rPr>
          <w:rFonts w:asciiTheme="minorHAnsi" w:hAnsiTheme="minorHAnsi" w:cstheme="minorHAnsi"/>
          <w:sz w:val="16"/>
          <w:szCs w:val="16"/>
        </w:rPr>
        <w:t xml:space="preserve"> mon</w:t>
      </w:r>
      <w:r w:rsidR="00946324">
        <w:rPr>
          <w:rFonts w:asciiTheme="minorHAnsi" w:hAnsiTheme="minorHAnsi" w:cstheme="minorHAnsi"/>
          <w:sz w:val="16"/>
          <w:szCs w:val="16"/>
        </w:rPr>
        <w:t xml:space="preserve">th averages of original data), Geelong SA4 </w:t>
      </w:r>
      <w:r w:rsidR="00946324" w:rsidRPr="009A1D2C">
        <w:rPr>
          <w:rFonts w:asciiTheme="minorHAnsi" w:hAnsiTheme="minorHAnsi" w:cstheme="minorHAnsi"/>
          <w:sz w:val="16"/>
          <w:szCs w:val="16"/>
        </w:rPr>
        <w:t>(</w:t>
      </w:r>
      <w:r w:rsidR="00555F5F">
        <w:rPr>
          <w:rFonts w:asciiTheme="minorHAnsi" w:hAnsiTheme="minorHAnsi" w:cstheme="minorHAnsi"/>
          <w:sz w:val="16"/>
          <w:szCs w:val="16"/>
        </w:rPr>
        <w:t xml:space="preserve">The Greater Geelong Local Government Area fits wholly within the </w:t>
      </w:r>
      <w:r w:rsidR="00555F5F" w:rsidRPr="00133F99">
        <w:rPr>
          <w:rFonts w:asciiTheme="minorHAnsi" w:hAnsiTheme="minorHAnsi" w:cstheme="minorHAnsi"/>
          <w:sz w:val="16"/>
          <w:szCs w:val="16"/>
        </w:rPr>
        <w:t>Geelong SA4 and comprises 84 per cent of its Working Age Population)</w:t>
      </w:r>
    </w:p>
  </w:footnote>
  <w:footnote w:id="3">
    <w:p w:rsidR="00FA0EA2" w:rsidRPr="006411D5" w:rsidRDefault="00FA0EA2" w:rsidP="00FA0EA2">
      <w:pPr>
        <w:pStyle w:val="FootnoteText"/>
        <w:rPr>
          <w:rFonts w:asciiTheme="minorHAnsi" w:hAnsiTheme="minorHAnsi" w:cstheme="minorHAnsi"/>
          <w:sz w:val="16"/>
        </w:rPr>
      </w:pPr>
      <w:r w:rsidRPr="006411D5">
        <w:rPr>
          <w:rStyle w:val="FootnoteReference"/>
          <w:rFonts w:asciiTheme="minorHAnsi" w:hAnsiTheme="minorHAnsi" w:cstheme="minorHAnsi"/>
          <w:sz w:val="16"/>
        </w:rPr>
        <w:footnoteRef/>
      </w:r>
      <w:r w:rsidRPr="006411D5">
        <w:rPr>
          <w:rFonts w:asciiTheme="minorHAnsi" w:hAnsiTheme="minorHAnsi" w:cstheme="minorHAnsi"/>
          <w:sz w:val="16"/>
        </w:rPr>
        <w:t xml:space="preserve"> ABS, Labour Force Survey, July 2014 (Seasonally adjusted)</w:t>
      </w:r>
    </w:p>
  </w:footnote>
  <w:footnote w:id="4">
    <w:p w:rsidR="00FA0EA2" w:rsidRPr="00133F99" w:rsidRDefault="00FA0EA2" w:rsidP="00FA0EA2">
      <w:pPr>
        <w:pStyle w:val="FootnoteText"/>
        <w:rPr>
          <w:rFonts w:asciiTheme="minorHAnsi" w:hAnsiTheme="minorHAnsi" w:cstheme="minorHAnsi"/>
          <w:sz w:val="16"/>
          <w:szCs w:val="16"/>
        </w:rPr>
      </w:pPr>
      <w:r w:rsidRPr="009A1D2C">
        <w:rPr>
          <w:rStyle w:val="FootnoteReference"/>
          <w:rFonts w:asciiTheme="minorHAnsi" w:hAnsiTheme="minorHAnsi" w:cstheme="minorHAnsi"/>
          <w:sz w:val="16"/>
          <w:szCs w:val="16"/>
        </w:rPr>
        <w:footnoteRef/>
      </w:r>
      <w:r w:rsidRPr="009A1D2C">
        <w:rPr>
          <w:rFonts w:asciiTheme="minorHAnsi" w:hAnsiTheme="minorHAnsi" w:cstheme="minorHAnsi"/>
          <w:sz w:val="16"/>
          <w:szCs w:val="16"/>
        </w:rPr>
        <w:t xml:space="preserve"> ABS, La</w:t>
      </w:r>
      <w:r>
        <w:rPr>
          <w:rFonts w:asciiTheme="minorHAnsi" w:hAnsiTheme="minorHAnsi" w:cstheme="minorHAnsi"/>
          <w:sz w:val="16"/>
          <w:szCs w:val="16"/>
        </w:rPr>
        <w:t>bour Force Survey, July 2014 (3</w:t>
      </w:r>
      <w:r w:rsidRPr="009A1D2C">
        <w:rPr>
          <w:rFonts w:asciiTheme="minorHAnsi" w:hAnsiTheme="minorHAnsi" w:cstheme="minorHAnsi"/>
          <w:sz w:val="16"/>
          <w:szCs w:val="16"/>
        </w:rPr>
        <w:t xml:space="preserve"> mon</w:t>
      </w:r>
      <w:r>
        <w:rPr>
          <w:rFonts w:asciiTheme="minorHAnsi" w:hAnsiTheme="minorHAnsi" w:cstheme="minorHAnsi"/>
          <w:sz w:val="16"/>
          <w:szCs w:val="16"/>
        </w:rPr>
        <w:t xml:space="preserve">th averages of original data), Geelong </w:t>
      </w:r>
      <w:proofErr w:type="spellStart"/>
      <w:r>
        <w:rPr>
          <w:rFonts w:asciiTheme="minorHAnsi" w:hAnsiTheme="minorHAnsi" w:cstheme="minorHAnsi"/>
          <w:sz w:val="16"/>
          <w:szCs w:val="16"/>
        </w:rPr>
        <w:t>SA4</w:t>
      </w:r>
      <w:proofErr w:type="spellEnd"/>
      <w:r>
        <w:rPr>
          <w:rFonts w:asciiTheme="minorHAnsi" w:hAnsiTheme="minorHAnsi" w:cstheme="minorHAnsi"/>
          <w:sz w:val="16"/>
          <w:szCs w:val="16"/>
        </w:rPr>
        <w:t xml:space="preserve"> </w:t>
      </w:r>
      <w:r w:rsidRPr="009A1D2C">
        <w:rPr>
          <w:rFonts w:asciiTheme="minorHAnsi" w:hAnsiTheme="minorHAnsi" w:cstheme="minorHAnsi"/>
          <w:sz w:val="16"/>
          <w:szCs w:val="16"/>
        </w:rPr>
        <w:t>(</w:t>
      </w:r>
      <w:r>
        <w:rPr>
          <w:rFonts w:asciiTheme="minorHAnsi" w:hAnsiTheme="minorHAnsi" w:cstheme="minorHAnsi"/>
          <w:sz w:val="16"/>
          <w:szCs w:val="16"/>
        </w:rPr>
        <w:t xml:space="preserve">The Greater Geelong Local Government Area fits wholly within the </w:t>
      </w:r>
      <w:r w:rsidRPr="00133F99">
        <w:rPr>
          <w:rFonts w:asciiTheme="minorHAnsi" w:hAnsiTheme="minorHAnsi" w:cstheme="minorHAnsi"/>
          <w:sz w:val="16"/>
          <w:szCs w:val="16"/>
        </w:rPr>
        <w:t xml:space="preserve">Geelong </w:t>
      </w:r>
      <w:proofErr w:type="spellStart"/>
      <w:r w:rsidRPr="00133F99">
        <w:rPr>
          <w:rFonts w:asciiTheme="minorHAnsi" w:hAnsiTheme="minorHAnsi" w:cstheme="minorHAnsi"/>
          <w:sz w:val="16"/>
          <w:szCs w:val="16"/>
        </w:rPr>
        <w:t>SA4</w:t>
      </w:r>
      <w:proofErr w:type="spellEnd"/>
      <w:r w:rsidRPr="00133F99">
        <w:rPr>
          <w:rFonts w:asciiTheme="minorHAnsi" w:hAnsiTheme="minorHAnsi" w:cstheme="minorHAnsi"/>
          <w:sz w:val="16"/>
          <w:szCs w:val="16"/>
        </w:rPr>
        <w:t xml:space="preserve"> and comprises 84 per cent of its Working Age Population)</w:t>
      </w:r>
    </w:p>
  </w:footnote>
  <w:footnote w:id="5">
    <w:p w:rsidR="00F112E7" w:rsidRPr="00C96581" w:rsidRDefault="00F112E7" w:rsidP="00F112E7">
      <w:pPr>
        <w:pStyle w:val="FootnoteText"/>
        <w:rPr>
          <w:rFonts w:asciiTheme="minorHAnsi" w:hAnsiTheme="minorHAnsi" w:cstheme="minorHAnsi"/>
          <w:sz w:val="16"/>
          <w:szCs w:val="16"/>
        </w:rPr>
      </w:pPr>
      <w:r w:rsidRPr="00977B70">
        <w:rPr>
          <w:rStyle w:val="FootnoteReference"/>
          <w:rFonts w:asciiTheme="minorHAnsi" w:hAnsiTheme="minorHAnsi" w:cstheme="minorHAnsi"/>
          <w:sz w:val="16"/>
          <w:szCs w:val="16"/>
        </w:rPr>
        <w:footnoteRef/>
      </w:r>
      <w:r w:rsidR="00E06DC2" w:rsidRPr="00977B70">
        <w:rPr>
          <w:rFonts w:asciiTheme="minorHAnsi" w:hAnsiTheme="minorHAnsi" w:cstheme="minorHAnsi"/>
          <w:sz w:val="16"/>
          <w:szCs w:val="16"/>
        </w:rPr>
        <w:t xml:space="preserve"> B</w:t>
      </w:r>
      <w:r w:rsidR="002F7896">
        <w:rPr>
          <w:rFonts w:asciiTheme="minorHAnsi" w:hAnsiTheme="minorHAnsi" w:cstheme="minorHAnsi"/>
          <w:sz w:val="16"/>
          <w:szCs w:val="16"/>
        </w:rPr>
        <w:t xml:space="preserve">ased on 408 responses from the Geelong </w:t>
      </w:r>
      <w:r w:rsidR="002F7896" w:rsidRPr="002F7896">
        <w:rPr>
          <w:rFonts w:asciiTheme="minorHAnsi" w:hAnsiTheme="minorHAnsi" w:cstheme="minorHAnsi"/>
          <w:i/>
          <w:sz w:val="16"/>
          <w:szCs w:val="16"/>
        </w:rPr>
        <w:t xml:space="preserve">Survey </w:t>
      </w:r>
      <w:r w:rsidRPr="002F7896">
        <w:rPr>
          <w:rFonts w:asciiTheme="minorHAnsi" w:hAnsiTheme="minorHAnsi" w:cstheme="minorHAnsi"/>
          <w:i/>
          <w:sz w:val="16"/>
          <w:szCs w:val="16"/>
        </w:rPr>
        <w:t>of Employers’ Recruitment Experiences</w:t>
      </w:r>
      <w:r w:rsidRPr="00977B70">
        <w:rPr>
          <w:rFonts w:asciiTheme="minorHAnsi" w:hAnsiTheme="minorHAnsi" w:cstheme="minorHAnsi"/>
          <w:sz w:val="16"/>
          <w:szCs w:val="16"/>
        </w:rPr>
        <w:t xml:space="preserve"> undertaken </w:t>
      </w:r>
      <w:r w:rsidR="002F7896">
        <w:rPr>
          <w:rFonts w:asciiTheme="minorHAnsi" w:hAnsiTheme="minorHAnsi" w:cstheme="minorHAnsi"/>
          <w:sz w:val="16"/>
          <w:szCs w:val="16"/>
        </w:rPr>
        <w:t>i</w:t>
      </w:r>
      <w:r w:rsidRPr="00977B70">
        <w:rPr>
          <w:rFonts w:asciiTheme="minorHAnsi" w:hAnsiTheme="minorHAnsi" w:cstheme="minorHAnsi"/>
          <w:sz w:val="16"/>
          <w:szCs w:val="16"/>
        </w:rPr>
        <w:t xml:space="preserve">n </w:t>
      </w:r>
      <w:r w:rsidR="00AB1E84" w:rsidRPr="00977B70">
        <w:rPr>
          <w:rFonts w:asciiTheme="minorHAnsi" w:hAnsiTheme="minorHAnsi" w:cstheme="minorHAnsi"/>
          <w:sz w:val="16"/>
          <w:szCs w:val="16"/>
        </w:rPr>
        <w:t>June 2014</w:t>
      </w:r>
    </w:p>
  </w:footnote>
  <w:footnote w:id="6">
    <w:p w:rsidR="005475BE" w:rsidRPr="005475BE" w:rsidRDefault="005475BE">
      <w:pPr>
        <w:pStyle w:val="FootnoteText"/>
        <w:rPr>
          <w:rFonts w:asciiTheme="minorHAnsi" w:hAnsiTheme="minorHAnsi" w:cstheme="minorHAnsi"/>
          <w:sz w:val="16"/>
          <w:szCs w:val="16"/>
        </w:rPr>
      </w:pPr>
      <w:r w:rsidRPr="005475BE">
        <w:rPr>
          <w:rStyle w:val="FootnoteReference"/>
          <w:rFonts w:asciiTheme="minorHAnsi" w:hAnsiTheme="minorHAnsi" w:cstheme="minorHAnsi"/>
          <w:sz w:val="16"/>
          <w:szCs w:val="16"/>
        </w:rPr>
        <w:footnoteRef/>
      </w:r>
      <w:r w:rsidRPr="005475BE">
        <w:rPr>
          <w:rFonts w:asciiTheme="minorHAnsi" w:hAnsiTheme="minorHAnsi" w:cstheme="minorHAnsi"/>
          <w:sz w:val="16"/>
          <w:szCs w:val="16"/>
        </w:rPr>
        <w:t xml:space="preserve"> Survey of Employers’ Recruitment Experiences, All regions surveyed </w:t>
      </w:r>
      <w:r w:rsidR="00A46570">
        <w:rPr>
          <w:rFonts w:asciiTheme="minorHAnsi" w:hAnsiTheme="minorHAnsi" w:cstheme="minorHAnsi"/>
          <w:sz w:val="16"/>
          <w:szCs w:val="16"/>
        </w:rPr>
        <w:t>in the 12 months to March 2014</w:t>
      </w:r>
    </w:p>
  </w:footnote>
  <w:footnote w:id="7">
    <w:p w:rsidR="007909C1" w:rsidRPr="007909C1" w:rsidRDefault="007909C1">
      <w:pPr>
        <w:pStyle w:val="FootnoteText"/>
        <w:rPr>
          <w:rFonts w:asciiTheme="minorHAnsi" w:hAnsiTheme="minorHAnsi" w:cstheme="minorHAnsi"/>
          <w:sz w:val="16"/>
          <w:szCs w:val="16"/>
        </w:rPr>
      </w:pPr>
      <w:r w:rsidRPr="007909C1">
        <w:rPr>
          <w:rStyle w:val="FootnoteReference"/>
          <w:rFonts w:asciiTheme="minorHAnsi" w:hAnsiTheme="minorHAnsi" w:cstheme="minorHAnsi"/>
          <w:sz w:val="16"/>
          <w:szCs w:val="16"/>
        </w:rPr>
        <w:footnoteRef/>
      </w:r>
      <w:r w:rsidRPr="007909C1">
        <w:rPr>
          <w:rFonts w:asciiTheme="minorHAnsi" w:hAnsiTheme="minorHAnsi" w:cstheme="minorHAnsi"/>
          <w:sz w:val="16"/>
          <w:szCs w:val="16"/>
        </w:rPr>
        <w:t xml:space="preserve"> </w:t>
      </w:r>
      <w:r>
        <w:rPr>
          <w:rFonts w:asciiTheme="minorHAnsi" w:hAnsiTheme="minorHAnsi" w:cstheme="minorHAnsi"/>
          <w:sz w:val="16"/>
          <w:szCs w:val="16"/>
        </w:rPr>
        <w:t xml:space="preserve">For the purpose of this report a formally advertised vacancy is a vacancy advertised in a newspaper or on the internet.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7" w:rsidRDefault="00B57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7" w:rsidRPr="00B57CB7" w:rsidRDefault="00B57CB7" w:rsidP="00B57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CB7" w:rsidRDefault="00B57C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586ED83E"/>
    <w:lvl w:ilvl="0">
      <w:start w:val="1"/>
      <w:numFmt w:val="bullet"/>
      <w:lvlText w:val=""/>
      <w:lvlJc w:val="left"/>
      <w:pPr>
        <w:tabs>
          <w:tab w:val="num" w:pos="360"/>
        </w:tabs>
        <w:ind w:left="360" w:hanging="360"/>
      </w:pPr>
      <w:rPr>
        <w:rFonts w:ascii="Symbol" w:hAnsi="Symbol" w:hint="default"/>
      </w:rPr>
    </w:lvl>
  </w:abstractNum>
  <w:abstractNum w:abstractNumId="10">
    <w:nsid w:val="01A70589"/>
    <w:multiLevelType w:val="hybridMultilevel"/>
    <w:tmpl w:val="0B9EE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784D04"/>
    <w:multiLevelType w:val="hybridMultilevel"/>
    <w:tmpl w:val="147E7638"/>
    <w:lvl w:ilvl="0" w:tplc="DD0008C6">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4D8C44C9"/>
    <w:multiLevelType w:val="hybridMultilevel"/>
    <w:tmpl w:val="4FC2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1B73210"/>
    <w:multiLevelType w:val="multilevel"/>
    <w:tmpl w:val="1A7C826C"/>
    <w:lvl w:ilvl="0">
      <w:start w:val="1"/>
      <w:numFmt w:val="bullet"/>
      <w:lvlText w:val=""/>
      <w:lvlJc w:val="left"/>
      <w:pPr>
        <w:ind w:left="717" w:hanging="360"/>
      </w:pPr>
      <w:rPr>
        <w:rFonts w:ascii="Symbol" w:hAnsi="Symbol" w:hint="default"/>
      </w:rPr>
    </w:lvl>
    <w:lvl w:ilvl="1">
      <w:start w:val="1"/>
      <w:numFmt w:val="bullet"/>
      <w:lvlText w:val=""/>
      <w:lvlJc w:val="left"/>
      <w:pPr>
        <w:ind w:left="1094" w:hanging="340"/>
      </w:pPr>
      <w:rPr>
        <w:rFonts w:ascii="Symbol" w:hAnsi="Symbol" w:hint="default"/>
      </w:rPr>
    </w:lvl>
    <w:lvl w:ilvl="2">
      <w:start w:val="1"/>
      <w:numFmt w:val="bullet"/>
      <w:lvlText w:val=""/>
      <w:lvlJc w:val="left"/>
      <w:pPr>
        <w:ind w:left="1491" w:hanging="340"/>
      </w:pPr>
      <w:rPr>
        <w:rFonts w:ascii="Wingdings" w:hAnsi="Wingdings" w:hint="default"/>
      </w:rPr>
    </w:lvl>
    <w:lvl w:ilvl="3">
      <w:start w:val="1"/>
      <w:numFmt w:val="bullet"/>
      <w:lvlText w:val="o"/>
      <w:lvlJc w:val="left"/>
      <w:pPr>
        <w:ind w:left="1888" w:hanging="397"/>
      </w:pPr>
      <w:rPr>
        <w:rFonts w:ascii="Courier New" w:hAnsi="Courier New"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19">
    <w:nsid w:val="534D0289"/>
    <w:multiLevelType w:val="hybridMultilevel"/>
    <w:tmpl w:val="1040CA96"/>
    <w:lvl w:ilvl="0" w:tplc="0C090001">
      <w:start w:val="1"/>
      <w:numFmt w:val="bullet"/>
      <w:lvlText w:val=""/>
      <w:lvlJc w:val="left"/>
      <w:pPr>
        <w:ind w:left="360" w:hanging="360"/>
      </w:pPr>
      <w:rPr>
        <w:rFonts w:ascii="Symbol" w:hAnsi="Symbol" w:hint="default"/>
      </w:rPr>
    </w:lvl>
    <w:lvl w:ilvl="1" w:tplc="BEC8911C">
      <w:start w:val="5"/>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8483955"/>
    <w:multiLevelType w:val="hybridMultilevel"/>
    <w:tmpl w:val="3DF8B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D7F364A"/>
    <w:multiLevelType w:val="hybridMultilevel"/>
    <w:tmpl w:val="D48C7A0A"/>
    <w:lvl w:ilvl="0" w:tplc="BEC8911C">
      <w:start w:val="5"/>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1"/>
  </w:num>
  <w:num w:numId="15">
    <w:abstractNumId w:val="13"/>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4"/>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2"/>
  </w:num>
  <w:num w:numId="27">
    <w:abstractNumId w:val="19"/>
  </w:num>
  <w:num w:numId="28">
    <w:abstractNumId w:val="12"/>
  </w:num>
  <w:num w:numId="29">
    <w:abstractNumId w:val="24"/>
  </w:num>
  <w:num w:numId="30">
    <w:abstractNumId w:val="10"/>
  </w:num>
  <w:num w:numId="31">
    <w:abstractNumId w:val="23"/>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126FB"/>
    <w:rsid w:val="000204F3"/>
    <w:rsid w:val="00021739"/>
    <w:rsid w:val="00024E24"/>
    <w:rsid w:val="0002766F"/>
    <w:rsid w:val="00034EAA"/>
    <w:rsid w:val="00043C9D"/>
    <w:rsid w:val="00064576"/>
    <w:rsid w:val="000861A6"/>
    <w:rsid w:val="000918FC"/>
    <w:rsid w:val="000A2CEA"/>
    <w:rsid w:val="000D69ED"/>
    <w:rsid w:val="000E192E"/>
    <w:rsid w:val="000E772B"/>
    <w:rsid w:val="000E7E7B"/>
    <w:rsid w:val="000F1594"/>
    <w:rsid w:val="000F3BA2"/>
    <w:rsid w:val="000F450C"/>
    <w:rsid w:val="001055DE"/>
    <w:rsid w:val="001122CA"/>
    <w:rsid w:val="0011464F"/>
    <w:rsid w:val="001175BF"/>
    <w:rsid w:val="00130923"/>
    <w:rsid w:val="00133F99"/>
    <w:rsid w:val="00136C81"/>
    <w:rsid w:val="001414F3"/>
    <w:rsid w:val="00142D79"/>
    <w:rsid w:val="00143FCD"/>
    <w:rsid w:val="001543F3"/>
    <w:rsid w:val="001644A6"/>
    <w:rsid w:val="00190845"/>
    <w:rsid w:val="00195047"/>
    <w:rsid w:val="001B2866"/>
    <w:rsid w:val="001B6467"/>
    <w:rsid w:val="001B6756"/>
    <w:rsid w:val="001B7D17"/>
    <w:rsid w:val="001C4840"/>
    <w:rsid w:val="001C5081"/>
    <w:rsid w:val="001D2333"/>
    <w:rsid w:val="001E7374"/>
    <w:rsid w:val="001F1C07"/>
    <w:rsid w:val="001F5FB5"/>
    <w:rsid w:val="00204BB1"/>
    <w:rsid w:val="00212B9F"/>
    <w:rsid w:val="0021509E"/>
    <w:rsid w:val="00216CCC"/>
    <w:rsid w:val="00223EB1"/>
    <w:rsid w:val="00235FAE"/>
    <w:rsid w:val="00236917"/>
    <w:rsid w:val="00243367"/>
    <w:rsid w:val="00243D6B"/>
    <w:rsid w:val="00246C21"/>
    <w:rsid w:val="00251BFE"/>
    <w:rsid w:val="00266B2F"/>
    <w:rsid w:val="00271B81"/>
    <w:rsid w:val="002A4813"/>
    <w:rsid w:val="002A5077"/>
    <w:rsid w:val="002B06E6"/>
    <w:rsid w:val="002C2F8A"/>
    <w:rsid w:val="002C6F69"/>
    <w:rsid w:val="002D271F"/>
    <w:rsid w:val="002D6386"/>
    <w:rsid w:val="002E007D"/>
    <w:rsid w:val="002E190C"/>
    <w:rsid w:val="002E7455"/>
    <w:rsid w:val="002F6B27"/>
    <w:rsid w:val="002F7896"/>
    <w:rsid w:val="003040E1"/>
    <w:rsid w:val="00305B35"/>
    <w:rsid w:val="003066D6"/>
    <w:rsid w:val="00307885"/>
    <w:rsid w:val="003114EA"/>
    <w:rsid w:val="003132C6"/>
    <w:rsid w:val="00314C65"/>
    <w:rsid w:val="003166C5"/>
    <w:rsid w:val="003242B9"/>
    <w:rsid w:val="0032619A"/>
    <w:rsid w:val="00327F86"/>
    <w:rsid w:val="003547B3"/>
    <w:rsid w:val="003778A8"/>
    <w:rsid w:val="00383FAB"/>
    <w:rsid w:val="00391F7E"/>
    <w:rsid w:val="003B60D1"/>
    <w:rsid w:val="003C5694"/>
    <w:rsid w:val="003C5EB4"/>
    <w:rsid w:val="003D67FC"/>
    <w:rsid w:val="003D76BE"/>
    <w:rsid w:val="003F09B1"/>
    <w:rsid w:val="00406E5A"/>
    <w:rsid w:val="004116A1"/>
    <w:rsid w:val="00413929"/>
    <w:rsid w:val="004204E1"/>
    <w:rsid w:val="00435B7B"/>
    <w:rsid w:val="00442705"/>
    <w:rsid w:val="00455B34"/>
    <w:rsid w:val="00455CBB"/>
    <w:rsid w:val="0045691D"/>
    <w:rsid w:val="00457654"/>
    <w:rsid w:val="004653A1"/>
    <w:rsid w:val="00472C3B"/>
    <w:rsid w:val="0048762C"/>
    <w:rsid w:val="004A2AE7"/>
    <w:rsid w:val="004A760F"/>
    <w:rsid w:val="004B256F"/>
    <w:rsid w:val="004B25AA"/>
    <w:rsid w:val="004B5733"/>
    <w:rsid w:val="004C0B75"/>
    <w:rsid w:val="004C44E8"/>
    <w:rsid w:val="004D56A8"/>
    <w:rsid w:val="004F7F2D"/>
    <w:rsid w:val="0050640D"/>
    <w:rsid w:val="00510D40"/>
    <w:rsid w:val="005113B6"/>
    <w:rsid w:val="00531817"/>
    <w:rsid w:val="005475BE"/>
    <w:rsid w:val="00550CB1"/>
    <w:rsid w:val="005520CD"/>
    <w:rsid w:val="00555F5F"/>
    <w:rsid w:val="00560CA0"/>
    <w:rsid w:val="0056234F"/>
    <w:rsid w:val="005624F3"/>
    <w:rsid w:val="0056561D"/>
    <w:rsid w:val="00581004"/>
    <w:rsid w:val="005811EF"/>
    <w:rsid w:val="005A3244"/>
    <w:rsid w:val="005B0878"/>
    <w:rsid w:val="005B45DF"/>
    <w:rsid w:val="005C15C0"/>
    <w:rsid w:val="005C40D1"/>
    <w:rsid w:val="005D4119"/>
    <w:rsid w:val="005D58AC"/>
    <w:rsid w:val="005E1673"/>
    <w:rsid w:val="005F51AD"/>
    <w:rsid w:val="00610654"/>
    <w:rsid w:val="006172EB"/>
    <w:rsid w:val="006308FE"/>
    <w:rsid w:val="006318B9"/>
    <w:rsid w:val="006411D5"/>
    <w:rsid w:val="00653F17"/>
    <w:rsid w:val="00663EE5"/>
    <w:rsid w:val="00667BD9"/>
    <w:rsid w:val="0067026C"/>
    <w:rsid w:val="00673B3D"/>
    <w:rsid w:val="0067762C"/>
    <w:rsid w:val="006809EF"/>
    <w:rsid w:val="00692776"/>
    <w:rsid w:val="00697BBD"/>
    <w:rsid w:val="006A5067"/>
    <w:rsid w:val="006C4962"/>
    <w:rsid w:val="006D27EB"/>
    <w:rsid w:val="006D6E3C"/>
    <w:rsid w:val="006E0525"/>
    <w:rsid w:val="006E2D49"/>
    <w:rsid w:val="006F2640"/>
    <w:rsid w:val="007064CF"/>
    <w:rsid w:val="0071162B"/>
    <w:rsid w:val="0073387B"/>
    <w:rsid w:val="00735EB5"/>
    <w:rsid w:val="007468FC"/>
    <w:rsid w:val="00751E4B"/>
    <w:rsid w:val="00751E7F"/>
    <w:rsid w:val="00755E37"/>
    <w:rsid w:val="0075619A"/>
    <w:rsid w:val="00756759"/>
    <w:rsid w:val="0078161F"/>
    <w:rsid w:val="007909C1"/>
    <w:rsid w:val="00791BA7"/>
    <w:rsid w:val="00792CA3"/>
    <w:rsid w:val="007A294C"/>
    <w:rsid w:val="007B2FDD"/>
    <w:rsid w:val="007B778A"/>
    <w:rsid w:val="007D3BBF"/>
    <w:rsid w:val="007D58FB"/>
    <w:rsid w:val="007D7C82"/>
    <w:rsid w:val="007F0E8B"/>
    <w:rsid w:val="008025F4"/>
    <w:rsid w:val="00804665"/>
    <w:rsid w:val="00807A36"/>
    <w:rsid w:val="00816F2C"/>
    <w:rsid w:val="00827644"/>
    <w:rsid w:val="00830CE8"/>
    <w:rsid w:val="0083468A"/>
    <w:rsid w:val="0083616B"/>
    <w:rsid w:val="008420BD"/>
    <w:rsid w:val="00842773"/>
    <w:rsid w:val="00842D43"/>
    <w:rsid w:val="00856D1C"/>
    <w:rsid w:val="008577A6"/>
    <w:rsid w:val="00876AC0"/>
    <w:rsid w:val="008776F3"/>
    <w:rsid w:val="00880258"/>
    <w:rsid w:val="0088654D"/>
    <w:rsid w:val="00892017"/>
    <w:rsid w:val="008934F7"/>
    <w:rsid w:val="00894C49"/>
    <w:rsid w:val="00895626"/>
    <w:rsid w:val="008A7268"/>
    <w:rsid w:val="008A78B0"/>
    <w:rsid w:val="008B6D8B"/>
    <w:rsid w:val="008C1A8C"/>
    <w:rsid w:val="008C2339"/>
    <w:rsid w:val="008E0B21"/>
    <w:rsid w:val="008E6536"/>
    <w:rsid w:val="008F1D09"/>
    <w:rsid w:val="008F6737"/>
    <w:rsid w:val="00903408"/>
    <w:rsid w:val="00905242"/>
    <w:rsid w:val="009116EA"/>
    <w:rsid w:val="009138A2"/>
    <w:rsid w:val="00915F92"/>
    <w:rsid w:val="00926DC2"/>
    <w:rsid w:val="00933671"/>
    <w:rsid w:val="00945C03"/>
    <w:rsid w:val="00946324"/>
    <w:rsid w:val="0096483F"/>
    <w:rsid w:val="00972BF7"/>
    <w:rsid w:val="00972DD5"/>
    <w:rsid w:val="00973B3B"/>
    <w:rsid w:val="00977B70"/>
    <w:rsid w:val="00984879"/>
    <w:rsid w:val="00985632"/>
    <w:rsid w:val="00985F4C"/>
    <w:rsid w:val="00991B63"/>
    <w:rsid w:val="009A1D2C"/>
    <w:rsid w:val="009A4EF0"/>
    <w:rsid w:val="009A6157"/>
    <w:rsid w:val="009B2428"/>
    <w:rsid w:val="009B3BD0"/>
    <w:rsid w:val="009B5CB7"/>
    <w:rsid w:val="009C5738"/>
    <w:rsid w:val="009C61E7"/>
    <w:rsid w:val="009E36BD"/>
    <w:rsid w:val="009E3C49"/>
    <w:rsid w:val="009E7D58"/>
    <w:rsid w:val="00A21FB0"/>
    <w:rsid w:val="00A31242"/>
    <w:rsid w:val="00A3350A"/>
    <w:rsid w:val="00A35435"/>
    <w:rsid w:val="00A37955"/>
    <w:rsid w:val="00A46570"/>
    <w:rsid w:val="00A52530"/>
    <w:rsid w:val="00A53E00"/>
    <w:rsid w:val="00A551BF"/>
    <w:rsid w:val="00A70524"/>
    <w:rsid w:val="00A73406"/>
    <w:rsid w:val="00A750EE"/>
    <w:rsid w:val="00A81016"/>
    <w:rsid w:val="00A82452"/>
    <w:rsid w:val="00A90784"/>
    <w:rsid w:val="00A9323B"/>
    <w:rsid w:val="00A9672C"/>
    <w:rsid w:val="00AB1E84"/>
    <w:rsid w:val="00AB38F1"/>
    <w:rsid w:val="00AB577E"/>
    <w:rsid w:val="00AC387E"/>
    <w:rsid w:val="00AC65DA"/>
    <w:rsid w:val="00AE4242"/>
    <w:rsid w:val="00AE62C4"/>
    <w:rsid w:val="00AE73EB"/>
    <w:rsid w:val="00AF598E"/>
    <w:rsid w:val="00AF5E4C"/>
    <w:rsid w:val="00B0172D"/>
    <w:rsid w:val="00B126BB"/>
    <w:rsid w:val="00B15158"/>
    <w:rsid w:val="00B220E0"/>
    <w:rsid w:val="00B2722A"/>
    <w:rsid w:val="00B378D9"/>
    <w:rsid w:val="00B57CB7"/>
    <w:rsid w:val="00B61586"/>
    <w:rsid w:val="00B618BA"/>
    <w:rsid w:val="00B828F1"/>
    <w:rsid w:val="00B83380"/>
    <w:rsid w:val="00B97097"/>
    <w:rsid w:val="00BA09F9"/>
    <w:rsid w:val="00BA282D"/>
    <w:rsid w:val="00BB00A4"/>
    <w:rsid w:val="00BB0E64"/>
    <w:rsid w:val="00BB6260"/>
    <w:rsid w:val="00BE7512"/>
    <w:rsid w:val="00BF10F4"/>
    <w:rsid w:val="00BF6C18"/>
    <w:rsid w:val="00C05E74"/>
    <w:rsid w:val="00C07462"/>
    <w:rsid w:val="00C10C19"/>
    <w:rsid w:val="00C143B8"/>
    <w:rsid w:val="00C14574"/>
    <w:rsid w:val="00C169F7"/>
    <w:rsid w:val="00C17D02"/>
    <w:rsid w:val="00C322E5"/>
    <w:rsid w:val="00C42383"/>
    <w:rsid w:val="00C5649C"/>
    <w:rsid w:val="00C75486"/>
    <w:rsid w:val="00C76A5F"/>
    <w:rsid w:val="00C8202C"/>
    <w:rsid w:val="00C92712"/>
    <w:rsid w:val="00C92A5B"/>
    <w:rsid w:val="00C9668A"/>
    <w:rsid w:val="00CA46EC"/>
    <w:rsid w:val="00CB2DE6"/>
    <w:rsid w:val="00CB48ED"/>
    <w:rsid w:val="00CD2328"/>
    <w:rsid w:val="00CD3A14"/>
    <w:rsid w:val="00CF195F"/>
    <w:rsid w:val="00D032E5"/>
    <w:rsid w:val="00D05B29"/>
    <w:rsid w:val="00D10222"/>
    <w:rsid w:val="00D1394D"/>
    <w:rsid w:val="00D14245"/>
    <w:rsid w:val="00D21844"/>
    <w:rsid w:val="00D33BAA"/>
    <w:rsid w:val="00D35478"/>
    <w:rsid w:val="00D35888"/>
    <w:rsid w:val="00D45C13"/>
    <w:rsid w:val="00D47740"/>
    <w:rsid w:val="00D47EE1"/>
    <w:rsid w:val="00D5228A"/>
    <w:rsid w:val="00D540AF"/>
    <w:rsid w:val="00D55F50"/>
    <w:rsid w:val="00D634FE"/>
    <w:rsid w:val="00D812B9"/>
    <w:rsid w:val="00D81D0C"/>
    <w:rsid w:val="00D86E52"/>
    <w:rsid w:val="00D903FD"/>
    <w:rsid w:val="00D91319"/>
    <w:rsid w:val="00D944C0"/>
    <w:rsid w:val="00D94BC5"/>
    <w:rsid w:val="00D9514B"/>
    <w:rsid w:val="00D96C08"/>
    <w:rsid w:val="00DA34D5"/>
    <w:rsid w:val="00DA7C6C"/>
    <w:rsid w:val="00DB5576"/>
    <w:rsid w:val="00DC3052"/>
    <w:rsid w:val="00DC35CC"/>
    <w:rsid w:val="00DC76D7"/>
    <w:rsid w:val="00DE76DF"/>
    <w:rsid w:val="00DF46C4"/>
    <w:rsid w:val="00E06DC2"/>
    <w:rsid w:val="00E2400B"/>
    <w:rsid w:val="00E26132"/>
    <w:rsid w:val="00E40B6A"/>
    <w:rsid w:val="00E60E3C"/>
    <w:rsid w:val="00E6223A"/>
    <w:rsid w:val="00E8033A"/>
    <w:rsid w:val="00E8295A"/>
    <w:rsid w:val="00E8543C"/>
    <w:rsid w:val="00E97711"/>
    <w:rsid w:val="00EA5F01"/>
    <w:rsid w:val="00EB2427"/>
    <w:rsid w:val="00EC15C2"/>
    <w:rsid w:val="00EC1CAD"/>
    <w:rsid w:val="00EC2014"/>
    <w:rsid w:val="00EC64C4"/>
    <w:rsid w:val="00EC7680"/>
    <w:rsid w:val="00EC78E7"/>
    <w:rsid w:val="00ED2509"/>
    <w:rsid w:val="00ED43D2"/>
    <w:rsid w:val="00ED6233"/>
    <w:rsid w:val="00ED7959"/>
    <w:rsid w:val="00EE2276"/>
    <w:rsid w:val="00EE310D"/>
    <w:rsid w:val="00EE3B8C"/>
    <w:rsid w:val="00EE5CD3"/>
    <w:rsid w:val="00EF41A6"/>
    <w:rsid w:val="00EF4A38"/>
    <w:rsid w:val="00EF4BF8"/>
    <w:rsid w:val="00EF7B9C"/>
    <w:rsid w:val="00F112E7"/>
    <w:rsid w:val="00F11B8F"/>
    <w:rsid w:val="00F148A7"/>
    <w:rsid w:val="00F21D1C"/>
    <w:rsid w:val="00F24EBB"/>
    <w:rsid w:val="00F25B75"/>
    <w:rsid w:val="00F3211F"/>
    <w:rsid w:val="00F46D89"/>
    <w:rsid w:val="00F50E91"/>
    <w:rsid w:val="00F519E0"/>
    <w:rsid w:val="00F618C1"/>
    <w:rsid w:val="00F648C6"/>
    <w:rsid w:val="00F64DAA"/>
    <w:rsid w:val="00F71611"/>
    <w:rsid w:val="00F74011"/>
    <w:rsid w:val="00F80F82"/>
    <w:rsid w:val="00F819B2"/>
    <w:rsid w:val="00F8271B"/>
    <w:rsid w:val="00F975AB"/>
    <w:rsid w:val="00F97D20"/>
    <w:rsid w:val="00FA0EA2"/>
    <w:rsid w:val="00FA3E2A"/>
    <w:rsid w:val="00FA60F7"/>
    <w:rsid w:val="00FB10CB"/>
    <w:rsid w:val="00FB74FB"/>
    <w:rsid w:val="00FC4A07"/>
    <w:rsid w:val="00FD072E"/>
    <w:rsid w:val="00FE546D"/>
    <w:rsid w:val="00FF10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FE5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FE546D"/>
    <w:rPr>
      <w:rFonts w:ascii="Arial" w:eastAsia="Times New Roman" w:hAnsi="Arial" w:cs="Times New Roman"/>
      <w:sz w:val="20"/>
      <w:szCs w:val="20"/>
    </w:rPr>
  </w:style>
  <w:style w:type="character" w:styleId="FootnoteReference">
    <w:name w:val="footnote reference"/>
    <w:basedOn w:val="DefaultParagraphFont"/>
    <w:uiPriority w:val="99"/>
    <w:unhideWhenUsed/>
    <w:rsid w:val="00FE54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804665"/>
    <w:pPr>
      <w:spacing w:after="240" w:line="240" w:lineRule="auto"/>
      <w:contextualSpacing/>
      <w:outlineLvl w:val="0"/>
    </w:pPr>
    <w:rPr>
      <w:rFonts w:ascii="Calibri" w:eastAsiaTheme="majorEastAsia" w:hAnsi="Calibri" w:cstheme="majorBidi"/>
      <w:b/>
      <w:bCs/>
      <w:color w:val="003D6B"/>
      <w:sz w:val="36"/>
      <w:szCs w:val="28"/>
    </w:rPr>
  </w:style>
  <w:style w:type="paragraph" w:styleId="Heading2">
    <w:name w:val="heading 2"/>
    <w:basedOn w:val="Normal"/>
    <w:next w:val="Normal"/>
    <w:link w:val="Heading2Char"/>
    <w:uiPriority w:val="9"/>
    <w:unhideWhenUsed/>
    <w:qFormat/>
    <w:rsid w:val="0096483F"/>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804665"/>
    <w:rPr>
      <w:rFonts w:ascii="Calibri" w:eastAsiaTheme="majorEastAsia" w:hAnsi="Calibri" w:cstheme="majorBidi"/>
      <w:b/>
      <w:bCs/>
      <w:color w:val="003D6B"/>
      <w:sz w:val="36"/>
      <w:szCs w:val="28"/>
    </w:rPr>
  </w:style>
  <w:style w:type="character" w:customStyle="1" w:styleId="Heading2Char">
    <w:name w:val="Heading 2 Char"/>
    <w:basedOn w:val="DefaultParagraphFont"/>
    <w:link w:val="Heading2"/>
    <w:uiPriority w:val="9"/>
    <w:rsid w:val="0096483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Ind w:w="0" w:type="dxa"/>
      <w:tblBorders>
        <w:bottom w:val="single" w:sz="4" w:space="0" w:color="auto"/>
      </w:tblBorders>
      <w:tblCellMar>
        <w:top w:w="0" w:type="dxa"/>
        <w:left w:w="108" w:type="dxa"/>
        <w:bottom w:w="0" w:type="dxa"/>
        <w:right w:w="108" w:type="dxa"/>
      </w:tblCellMar>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FE5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FE546D"/>
    <w:rPr>
      <w:rFonts w:ascii="Arial" w:eastAsia="Times New Roman" w:hAnsi="Arial" w:cs="Times New Roman"/>
      <w:sz w:val="20"/>
      <w:szCs w:val="20"/>
    </w:rPr>
  </w:style>
  <w:style w:type="character" w:styleId="FootnoteReference">
    <w:name w:val="footnote reference"/>
    <w:basedOn w:val="DefaultParagraphFont"/>
    <w:uiPriority w:val="99"/>
    <w:unhideWhenUsed/>
    <w:rsid w:val="00FE5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21229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4796D-5416-4DEB-AEC8-5182FF3E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D45EE8C3.dotm</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2014-08-25T22:03:00Z</dcterms:created>
  <dcterms:modified xsi:type="dcterms:W3CDTF">2014-08-26T01:28:00Z</dcterms:modified>
</cp:coreProperties>
</file>