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435" w:rsidRPr="001A113E" w:rsidRDefault="001A113E" w:rsidP="001A113E">
      <w:pPr>
        <w:pStyle w:val="Heading1"/>
      </w:pPr>
      <w:r w:rsidRPr="001A113E">
        <w:rPr>
          <w:noProof/>
          <w:lang w:eastAsia="en-AU"/>
        </w:rPr>
        <w:drawing>
          <wp:anchor distT="0" distB="0" distL="114300" distR="114300" simplePos="0" relativeHeight="251662336" behindDoc="0" locked="0" layoutInCell="1" allowOverlap="1" wp14:anchorId="1EA933F4" wp14:editId="5C3ACCEA">
            <wp:simplePos x="0" y="0"/>
            <wp:positionH relativeFrom="column">
              <wp:posOffset>-1002030</wp:posOffset>
            </wp:positionH>
            <wp:positionV relativeFrom="paragraph">
              <wp:posOffset>-989965</wp:posOffset>
            </wp:positionV>
            <wp:extent cx="7559675" cy="1280160"/>
            <wp:effectExtent l="0" t="0" r="3175" b="0"/>
            <wp:wrapSquare wrapText="bothSides"/>
            <wp:docPr id="4" name="Picture 4" descr="Australian Government Department of Employ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280160"/>
                    </a:xfrm>
                    <a:prstGeom prst="rect">
                      <a:avLst/>
                    </a:prstGeom>
                    <a:noFill/>
                  </pic:spPr>
                </pic:pic>
              </a:graphicData>
            </a:graphic>
            <wp14:sizeRelH relativeFrom="page">
              <wp14:pctWidth>0</wp14:pctWidth>
            </wp14:sizeRelH>
            <wp14:sizeRelV relativeFrom="page">
              <wp14:pctHeight>0</wp14:pctHeight>
            </wp14:sizeRelV>
          </wp:anchor>
        </w:drawing>
      </w:r>
      <w:r w:rsidR="00D634FE" w:rsidRPr="001A113E">
        <w:t>Labour Market Co</w:t>
      </w:r>
      <w:r w:rsidR="005B6D4A" w:rsidRPr="001A113E">
        <w:t>ndit</w:t>
      </w:r>
      <w:r w:rsidR="00C12DC5" w:rsidRPr="001A113E">
        <w:t xml:space="preserve">ions in </w:t>
      </w:r>
      <w:r w:rsidR="009B65EA" w:rsidRPr="001A113E">
        <w:t xml:space="preserve">the </w:t>
      </w:r>
      <w:r w:rsidR="00C12DC5" w:rsidRPr="001A113E">
        <w:t>Pilbara</w:t>
      </w:r>
    </w:p>
    <w:p w:rsidR="008E5ADB" w:rsidRDefault="00E57471" w:rsidP="000E51F4">
      <w:pPr>
        <w:spacing w:after="120"/>
        <w:jc w:val="both"/>
        <w:rPr>
          <w:rFonts w:ascii="Calibri" w:eastAsia="Times New Roman" w:hAnsi="Calibri" w:cs="Calibri"/>
        </w:rPr>
      </w:pPr>
      <w:r w:rsidRPr="00F34DE2">
        <w:t xml:space="preserve">The Pilbara </w:t>
      </w:r>
      <w:proofErr w:type="gramStart"/>
      <w:r w:rsidRPr="00F34DE2">
        <w:t>region,</w:t>
      </w:r>
      <w:proofErr w:type="gramEnd"/>
      <w:r w:rsidRPr="00F34DE2">
        <w:t xml:space="preserve"> and Western Australia more generally, is transitioning </w:t>
      </w:r>
      <w:r w:rsidR="00A73F79">
        <w:t xml:space="preserve">rapidly from a </w:t>
      </w:r>
      <w:r w:rsidRPr="00F34DE2">
        <w:t>construction</w:t>
      </w:r>
      <w:r w:rsidR="00672D66">
        <w:t xml:space="preserve"> </w:t>
      </w:r>
      <w:r w:rsidR="00A73F79">
        <w:t xml:space="preserve">phase in the Mining industry to a less labour-intensive production and export phase. </w:t>
      </w:r>
      <w:r w:rsidR="00CC68F8">
        <w:t>To gain some insight in</w:t>
      </w:r>
      <w:r w:rsidR="00BF7EF1">
        <w:t>to</w:t>
      </w:r>
      <w:r w:rsidR="00CC68F8">
        <w:t xml:space="preserve"> the impact of this transition</w:t>
      </w:r>
      <w:r w:rsidR="00BF7EF1">
        <w:t xml:space="preserve"> on the labour market in the Pilbara region</w:t>
      </w:r>
      <w:r w:rsidR="00CC68F8">
        <w:t>, t</w:t>
      </w:r>
      <w:r w:rsidR="000C6254">
        <w:rPr>
          <w:rFonts w:ascii="Calibri" w:eastAsia="Times New Roman" w:hAnsi="Calibri" w:cs="Calibri"/>
        </w:rPr>
        <w:t>he Departmen</w:t>
      </w:r>
      <w:r w:rsidR="002E54F6">
        <w:rPr>
          <w:rFonts w:ascii="Calibri" w:eastAsia="Times New Roman" w:hAnsi="Calibri" w:cs="Calibri"/>
        </w:rPr>
        <w:t xml:space="preserve">t of Employment, as part of its </w:t>
      </w:r>
      <w:r w:rsidR="000C6254">
        <w:rPr>
          <w:rFonts w:ascii="Calibri" w:eastAsia="Times New Roman" w:hAnsi="Calibri" w:cs="Calibri"/>
          <w:i/>
        </w:rPr>
        <w:t>Survey</w:t>
      </w:r>
      <w:r w:rsidR="002E54F6">
        <w:rPr>
          <w:rFonts w:ascii="Calibri" w:eastAsia="Times New Roman" w:hAnsi="Calibri" w:cs="Calibri"/>
          <w:i/>
        </w:rPr>
        <w:t>s</w:t>
      </w:r>
      <w:r w:rsidR="000C6254">
        <w:rPr>
          <w:rFonts w:ascii="Calibri" w:eastAsia="Times New Roman" w:hAnsi="Calibri" w:cs="Calibri"/>
          <w:i/>
        </w:rPr>
        <w:t xml:space="preserve"> of Employers’ Recruitment Experiences</w:t>
      </w:r>
      <w:r w:rsidR="002E54F6">
        <w:rPr>
          <w:rFonts w:ascii="Calibri" w:eastAsia="Times New Roman" w:hAnsi="Calibri" w:cs="Calibri"/>
          <w:i/>
        </w:rPr>
        <w:t>,</w:t>
      </w:r>
      <w:r w:rsidR="006075E5">
        <w:rPr>
          <w:rFonts w:ascii="Calibri" w:eastAsia="Times New Roman" w:hAnsi="Calibri" w:cs="Calibri"/>
        </w:rPr>
        <w:t xml:space="preserve"> interviewed </w:t>
      </w:r>
      <w:r w:rsidR="00651C90">
        <w:rPr>
          <w:rFonts w:ascii="Calibri" w:eastAsia="Times New Roman" w:hAnsi="Calibri" w:cs="Calibri"/>
        </w:rPr>
        <w:t>200</w:t>
      </w:r>
      <w:r w:rsidR="0062179D">
        <w:rPr>
          <w:rFonts w:ascii="Calibri" w:eastAsia="Times New Roman" w:hAnsi="Calibri" w:cs="Calibri"/>
        </w:rPr>
        <w:t> </w:t>
      </w:r>
      <w:r w:rsidR="00006A13">
        <w:rPr>
          <w:rFonts w:ascii="Calibri" w:eastAsia="Times New Roman" w:hAnsi="Calibri" w:cs="Calibri"/>
        </w:rPr>
        <w:t>employers i</w:t>
      </w:r>
      <w:r w:rsidR="006075E5">
        <w:rPr>
          <w:rFonts w:ascii="Calibri" w:eastAsia="Times New Roman" w:hAnsi="Calibri" w:cs="Calibri"/>
        </w:rPr>
        <w:t xml:space="preserve">n </w:t>
      </w:r>
      <w:r w:rsidR="002E54F6">
        <w:rPr>
          <w:rFonts w:ascii="Calibri" w:eastAsia="Times New Roman" w:hAnsi="Calibri" w:cs="Calibri"/>
        </w:rPr>
        <w:t>April 2</w:t>
      </w:r>
      <w:r w:rsidR="000C6254">
        <w:rPr>
          <w:rFonts w:ascii="Calibri" w:eastAsia="Times New Roman" w:hAnsi="Calibri" w:cs="Calibri"/>
        </w:rPr>
        <w:t>015</w:t>
      </w:r>
      <w:r w:rsidR="00491968">
        <w:rPr>
          <w:rFonts w:ascii="Calibri" w:eastAsia="Times New Roman" w:hAnsi="Calibri" w:cs="Calibri"/>
        </w:rPr>
        <w:t xml:space="preserve">. </w:t>
      </w:r>
      <w:r w:rsidR="00651C90">
        <w:rPr>
          <w:rFonts w:ascii="Calibri" w:eastAsia="Times New Roman" w:hAnsi="Calibri" w:cs="Calibri"/>
        </w:rPr>
        <w:t>The survey results show</w:t>
      </w:r>
      <w:r w:rsidR="002E54F6">
        <w:rPr>
          <w:rFonts w:ascii="Calibri" w:eastAsia="Times New Roman" w:hAnsi="Calibri" w:cs="Calibri"/>
        </w:rPr>
        <w:t xml:space="preserve"> that </w:t>
      </w:r>
      <w:r w:rsidR="005072E6">
        <w:rPr>
          <w:rFonts w:ascii="Calibri" w:eastAsia="Times New Roman" w:hAnsi="Calibri" w:cs="Calibri"/>
        </w:rPr>
        <w:t>recruitment activity has slowed</w:t>
      </w:r>
      <w:r w:rsidR="00491968">
        <w:rPr>
          <w:rFonts w:ascii="Calibri" w:eastAsia="Times New Roman" w:hAnsi="Calibri" w:cs="Calibri"/>
        </w:rPr>
        <w:t xml:space="preserve"> si</w:t>
      </w:r>
      <w:r w:rsidR="00CD33AB">
        <w:rPr>
          <w:rFonts w:ascii="Calibri" w:eastAsia="Times New Roman" w:hAnsi="Calibri" w:cs="Calibri"/>
        </w:rPr>
        <w:t xml:space="preserve">gnificantly since </w:t>
      </w:r>
      <w:r w:rsidR="00651C90">
        <w:rPr>
          <w:rFonts w:ascii="Calibri" w:eastAsia="Times New Roman" w:hAnsi="Calibri" w:cs="Calibri"/>
        </w:rPr>
        <w:t xml:space="preserve">the region was </w:t>
      </w:r>
      <w:r w:rsidR="005072E6">
        <w:rPr>
          <w:rFonts w:ascii="Calibri" w:eastAsia="Times New Roman" w:hAnsi="Calibri" w:cs="Calibri"/>
        </w:rPr>
        <w:t>surveyed in 2010</w:t>
      </w:r>
      <w:r w:rsidR="00CD33AB">
        <w:rPr>
          <w:rFonts w:ascii="Calibri" w:eastAsia="Times New Roman" w:hAnsi="Calibri" w:cs="Calibri"/>
        </w:rPr>
        <w:t xml:space="preserve">. </w:t>
      </w:r>
    </w:p>
    <w:p w:rsidR="008E5ADB" w:rsidRDefault="00EB002E" w:rsidP="000E51F4">
      <w:pPr>
        <w:spacing w:after="120"/>
        <w:jc w:val="both"/>
        <w:rPr>
          <w:rFonts w:ascii="Calibri" w:eastAsia="Times New Roman" w:hAnsi="Calibri" w:cs="Calibri"/>
        </w:rPr>
      </w:pPr>
      <w:r>
        <w:rPr>
          <w:rFonts w:ascii="Calibri" w:eastAsia="Times New Roman" w:hAnsi="Calibri" w:cs="Calibri"/>
          <w:noProof/>
          <w:lang w:eastAsia="en-AU"/>
        </w:rPr>
        <w:drawing>
          <wp:inline distT="0" distB="0" distL="0" distR="0" wp14:anchorId="16CC6A2F">
            <wp:extent cx="6149975" cy="1074420"/>
            <wp:effectExtent l="0" t="0" r="3175" b="0"/>
            <wp:docPr id="5" name="Picture 5" descr="Key findings&#10;• Recruitment activity in the region has halved since 2010 with all industries affected&#10;• Employers are now having considerably less difficulty filling vacancies&#10;• Recruitment expectations for the year following the survey are subdu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9975" cy="1074420"/>
                    </a:xfrm>
                    <a:prstGeom prst="rect">
                      <a:avLst/>
                    </a:prstGeom>
                    <a:noFill/>
                  </pic:spPr>
                </pic:pic>
              </a:graphicData>
            </a:graphic>
          </wp:inline>
        </w:drawing>
      </w:r>
    </w:p>
    <w:p w:rsidR="004853EA" w:rsidRPr="00805078" w:rsidRDefault="004853EA" w:rsidP="001A113E">
      <w:pPr>
        <w:pStyle w:val="Heading2"/>
      </w:pPr>
      <w:r w:rsidRPr="00805078">
        <w:t xml:space="preserve">Mining investment and employment </w:t>
      </w:r>
      <w:r w:rsidR="00506F3D" w:rsidRPr="00805078">
        <w:t xml:space="preserve">is </w:t>
      </w:r>
      <w:r w:rsidRPr="00805078">
        <w:t>falling</w:t>
      </w:r>
    </w:p>
    <w:p w:rsidR="001E2222" w:rsidRDefault="000C6254" w:rsidP="000C6254">
      <w:pPr>
        <w:spacing w:after="120"/>
        <w:jc w:val="both"/>
      </w:pPr>
      <w:r w:rsidRPr="008F178B">
        <w:rPr>
          <w:rFonts w:ascii="Calibri" w:eastAsia="Times New Roman" w:hAnsi="Calibri" w:cs="Calibri"/>
        </w:rPr>
        <w:t xml:space="preserve">Over the past decade, economic </w:t>
      </w:r>
      <w:r w:rsidR="009F796A" w:rsidRPr="008F178B">
        <w:rPr>
          <w:rFonts w:ascii="Calibri" w:eastAsia="Times New Roman" w:hAnsi="Calibri" w:cs="Calibri"/>
        </w:rPr>
        <w:t xml:space="preserve">and employment </w:t>
      </w:r>
      <w:r w:rsidRPr="008F178B">
        <w:rPr>
          <w:rFonts w:ascii="Calibri" w:eastAsia="Times New Roman" w:hAnsi="Calibri" w:cs="Calibri"/>
        </w:rPr>
        <w:t>growth in the Pilbar</w:t>
      </w:r>
      <w:r w:rsidR="003000BC">
        <w:rPr>
          <w:rFonts w:ascii="Calibri" w:eastAsia="Times New Roman" w:hAnsi="Calibri" w:cs="Calibri"/>
        </w:rPr>
        <w:t>a region has been dominated by M</w:t>
      </w:r>
      <w:r w:rsidRPr="008F178B">
        <w:rPr>
          <w:rFonts w:ascii="Calibri" w:eastAsia="Times New Roman" w:hAnsi="Calibri" w:cs="Calibri"/>
        </w:rPr>
        <w:t>inin</w:t>
      </w:r>
      <w:r w:rsidR="00174505" w:rsidRPr="008F178B">
        <w:rPr>
          <w:rFonts w:ascii="Calibri" w:hAnsi="Calibri" w:cs="Calibri"/>
        </w:rPr>
        <w:t>g investment, with p</w:t>
      </w:r>
      <w:r w:rsidR="00252111" w:rsidRPr="008F178B">
        <w:rPr>
          <w:rFonts w:ascii="Calibri" w:hAnsi="Calibri" w:cs="Calibri"/>
        </w:rPr>
        <w:t>rojects v</w:t>
      </w:r>
      <w:r w:rsidR="00174505" w:rsidRPr="008F178B">
        <w:rPr>
          <w:rFonts w:ascii="Calibri" w:hAnsi="Calibri" w:cs="Calibri"/>
        </w:rPr>
        <w:t xml:space="preserve">alued at more than $100 billion </w:t>
      </w:r>
      <w:r w:rsidR="00252111" w:rsidRPr="008F178B">
        <w:rPr>
          <w:rFonts w:ascii="Calibri" w:hAnsi="Calibri" w:cs="Calibri"/>
        </w:rPr>
        <w:t>completed</w:t>
      </w:r>
      <w:r w:rsidR="00174505" w:rsidRPr="008F178B">
        <w:rPr>
          <w:rFonts w:ascii="Calibri" w:hAnsi="Calibri" w:cs="Calibri"/>
        </w:rPr>
        <w:t>, or</w:t>
      </w:r>
      <w:r w:rsidR="00252111" w:rsidRPr="008F178B">
        <w:rPr>
          <w:rFonts w:ascii="Calibri" w:hAnsi="Calibri" w:cs="Calibri"/>
        </w:rPr>
        <w:t xml:space="preserve"> nearing completion</w:t>
      </w:r>
      <w:r w:rsidR="00174505" w:rsidRPr="008F178B">
        <w:rPr>
          <w:rFonts w:ascii="Calibri" w:hAnsi="Calibri" w:cs="Calibri"/>
        </w:rPr>
        <w:t>.</w:t>
      </w:r>
      <w:r w:rsidR="00174505" w:rsidRPr="008F178B">
        <w:rPr>
          <w:rStyle w:val="FootnoteReference"/>
          <w:rFonts w:ascii="Calibri" w:hAnsi="Calibri" w:cs="Calibri"/>
        </w:rPr>
        <w:footnoteReference w:id="1"/>
      </w:r>
      <w:r w:rsidR="00174505" w:rsidRPr="008F178B">
        <w:rPr>
          <w:rFonts w:ascii="Calibri" w:hAnsi="Calibri" w:cs="Calibri"/>
        </w:rPr>
        <w:t xml:space="preserve"> </w:t>
      </w:r>
      <w:r w:rsidR="001E2222" w:rsidRPr="008F178B">
        <w:t>However, Mining investment across Australia fell by 19.6 per cent between 2012-13 and 2014-15 and is expected to fall a further 28.9 per cent in 2015-16 (see</w:t>
      </w:r>
      <w:r w:rsidR="00A60455" w:rsidRPr="008F178B">
        <w:t> </w:t>
      </w:r>
      <w:r w:rsidR="001E2222" w:rsidRPr="008F178B">
        <w:t>Chart 1).</w:t>
      </w:r>
      <w:r w:rsidR="001E2222" w:rsidRPr="008F178B">
        <w:rPr>
          <w:rStyle w:val="FootnoteReference"/>
          <w:rFonts w:ascii="Calibri" w:eastAsia="Times New Roman" w:hAnsi="Calibri" w:cs="Calibri"/>
          <w:b/>
        </w:rPr>
        <w:footnoteReference w:id="2"/>
      </w:r>
      <w:r w:rsidR="00E955FA" w:rsidRPr="008F178B">
        <w:t xml:space="preserve"> </w:t>
      </w:r>
    </w:p>
    <w:p w:rsidR="001E2222" w:rsidRPr="007D59E3" w:rsidRDefault="001E2222" w:rsidP="000C6254">
      <w:pPr>
        <w:spacing w:after="120"/>
        <w:jc w:val="both"/>
      </w:pPr>
    </w:p>
    <w:p w:rsidR="001E2222" w:rsidRPr="007D59E3" w:rsidRDefault="001E2222" w:rsidP="003166E6">
      <w:pPr>
        <w:spacing w:after="0"/>
        <w:rPr>
          <w:rFonts w:ascii="Calibri" w:eastAsia="Times New Roman" w:hAnsi="Calibri" w:cs="Calibri"/>
        </w:rPr>
      </w:pPr>
      <w:r w:rsidRPr="00A97E27">
        <w:rPr>
          <w:rStyle w:val="Heading3Char"/>
        </w:rPr>
        <w:t>Chart 1: Mining investment in Australia ($billion – current prices)</w:t>
      </w:r>
      <w:r w:rsidR="003166E6">
        <w:rPr>
          <w:rFonts w:ascii="Calibri" w:eastAsia="Times New Roman" w:hAnsi="Calibri" w:cs="Calibri"/>
          <w:noProof/>
          <w:lang w:eastAsia="en-AU"/>
        </w:rPr>
        <w:drawing>
          <wp:inline distT="0" distB="0" distL="0" distR="0" wp14:anchorId="6A27FE6F" wp14:editId="1B58CCE1">
            <wp:extent cx="6047740" cy="1706880"/>
            <wp:effectExtent l="0" t="0" r="0" b="7620"/>
            <wp:docPr id="7" name="Picture 7" descr="Chart illustrates Mining investment in Austral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740" cy="1706880"/>
                    </a:xfrm>
                    <a:prstGeom prst="rect">
                      <a:avLst/>
                    </a:prstGeom>
                    <a:noFill/>
                  </pic:spPr>
                </pic:pic>
              </a:graphicData>
            </a:graphic>
          </wp:inline>
        </w:drawing>
      </w:r>
    </w:p>
    <w:p w:rsidR="000C6254" w:rsidRPr="001E2222" w:rsidRDefault="000C6254" w:rsidP="000C6254">
      <w:pPr>
        <w:spacing w:after="120"/>
        <w:jc w:val="both"/>
      </w:pPr>
      <w:r>
        <w:rPr>
          <w:rFonts w:ascii="Calibri" w:eastAsia="Times New Roman" w:hAnsi="Calibri" w:cs="Calibri"/>
        </w:rPr>
        <w:t xml:space="preserve">At the time of the 2011 Census, </w:t>
      </w:r>
      <w:r w:rsidR="005072E6">
        <w:rPr>
          <w:rFonts w:ascii="Calibri" w:eastAsia="Times New Roman" w:hAnsi="Calibri" w:cs="Calibri"/>
        </w:rPr>
        <w:t xml:space="preserve">half of the </w:t>
      </w:r>
      <w:r w:rsidR="00B93C47">
        <w:rPr>
          <w:rFonts w:ascii="Calibri" w:eastAsia="Times New Roman" w:hAnsi="Calibri" w:cs="Calibri"/>
        </w:rPr>
        <w:t xml:space="preserve">jobs in the Pilbara region </w:t>
      </w:r>
      <w:r w:rsidR="00651C90">
        <w:rPr>
          <w:rFonts w:ascii="Calibri" w:eastAsia="Times New Roman" w:hAnsi="Calibri" w:cs="Calibri"/>
        </w:rPr>
        <w:t>were</w:t>
      </w:r>
      <w:r>
        <w:rPr>
          <w:rFonts w:ascii="Calibri" w:eastAsia="Times New Roman" w:hAnsi="Calibri" w:cs="Calibri"/>
        </w:rPr>
        <w:t xml:space="preserve"> in the Mini</w:t>
      </w:r>
      <w:r w:rsidR="000E20B7">
        <w:rPr>
          <w:rFonts w:ascii="Calibri" w:eastAsia="Times New Roman" w:hAnsi="Calibri" w:cs="Calibri"/>
        </w:rPr>
        <w:t xml:space="preserve">ng and Construction industries, an increase of </w:t>
      </w:r>
      <w:r>
        <w:rPr>
          <w:rFonts w:ascii="Calibri" w:eastAsia="Times New Roman" w:hAnsi="Calibri" w:cs="Calibri"/>
        </w:rPr>
        <w:t>more than</w:t>
      </w:r>
      <w:r w:rsidR="00F63D11">
        <w:rPr>
          <w:rFonts w:ascii="Calibri" w:eastAsia="Times New Roman" w:hAnsi="Calibri" w:cs="Calibri"/>
        </w:rPr>
        <w:t xml:space="preserve"> 15,000 (or 136 per cent) compared with </w:t>
      </w:r>
      <w:r>
        <w:rPr>
          <w:rFonts w:ascii="Calibri" w:eastAsia="Times New Roman" w:hAnsi="Calibri" w:cs="Calibri"/>
        </w:rPr>
        <w:t xml:space="preserve">the </w:t>
      </w:r>
      <w:r w:rsidR="001E2222">
        <w:rPr>
          <w:rFonts w:ascii="Calibri" w:eastAsia="Times New Roman" w:hAnsi="Calibri" w:cs="Calibri"/>
        </w:rPr>
        <w:t>2006 Census (see Chart 2</w:t>
      </w:r>
      <w:r w:rsidRPr="00E61BB5">
        <w:rPr>
          <w:rFonts w:ascii="Calibri" w:eastAsia="Times New Roman" w:hAnsi="Calibri" w:cs="Calibri"/>
        </w:rPr>
        <w:t>).</w:t>
      </w:r>
      <w:r w:rsidRPr="00E61BB5">
        <w:rPr>
          <w:rFonts w:ascii="Calibri" w:hAnsi="Calibri" w:cs="Calibri"/>
        </w:rPr>
        <w:t xml:space="preserve"> </w:t>
      </w:r>
      <w:r w:rsidR="00DE55A3" w:rsidRPr="00E61BB5">
        <w:rPr>
          <w:rFonts w:ascii="Calibri" w:hAnsi="Calibri" w:cs="Calibri"/>
        </w:rPr>
        <w:t xml:space="preserve">Fly in-fly out </w:t>
      </w:r>
      <w:r w:rsidR="00F12944" w:rsidRPr="00E61BB5">
        <w:rPr>
          <w:rFonts w:ascii="Calibri" w:hAnsi="Calibri" w:cs="Calibri"/>
        </w:rPr>
        <w:t xml:space="preserve">(FIFO) </w:t>
      </w:r>
      <w:r w:rsidR="00DE55A3" w:rsidRPr="00E61BB5">
        <w:rPr>
          <w:rFonts w:ascii="Calibri" w:hAnsi="Calibri" w:cs="Calibri"/>
        </w:rPr>
        <w:t>arrangement</w:t>
      </w:r>
      <w:r w:rsidR="00096B4F" w:rsidRPr="00E61BB5">
        <w:rPr>
          <w:rFonts w:ascii="Calibri" w:hAnsi="Calibri" w:cs="Calibri"/>
        </w:rPr>
        <w:t>s</w:t>
      </w:r>
      <w:r w:rsidR="005072E6" w:rsidRPr="00E61BB5">
        <w:rPr>
          <w:rFonts w:ascii="Calibri" w:hAnsi="Calibri" w:cs="Calibri"/>
        </w:rPr>
        <w:t xml:space="preserve"> were also common, </w:t>
      </w:r>
      <w:r w:rsidR="00061CF8" w:rsidRPr="00E61BB5">
        <w:rPr>
          <w:rFonts w:ascii="Calibri" w:hAnsi="Calibri" w:cs="Calibri"/>
        </w:rPr>
        <w:t>with almost half</w:t>
      </w:r>
      <w:r w:rsidR="00DE55A3" w:rsidRPr="00E61BB5">
        <w:rPr>
          <w:rFonts w:ascii="Calibri" w:hAnsi="Calibri" w:cs="Calibri"/>
        </w:rPr>
        <w:t xml:space="preserve"> </w:t>
      </w:r>
      <w:r w:rsidR="00C1422F" w:rsidRPr="00E61BB5">
        <w:rPr>
          <w:rFonts w:ascii="Calibri" w:hAnsi="Calibri" w:cs="Calibri"/>
        </w:rPr>
        <w:t>of all</w:t>
      </w:r>
      <w:r w:rsidR="00634EA5" w:rsidRPr="00E61BB5">
        <w:rPr>
          <w:rFonts w:ascii="Calibri" w:hAnsi="Calibri" w:cs="Calibri"/>
        </w:rPr>
        <w:t xml:space="preserve"> </w:t>
      </w:r>
      <w:r w:rsidR="00163B11" w:rsidRPr="00E61BB5">
        <w:rPr>
          <w:rFonts w:ascii="Calibri" w:hAnsi="Calibri" w:cs="Calibri"/>
        </w:rPr>
        <w:t xml:space="preserve">people </w:t>
      </w:r>
      <w:r w:rsidR="00634EA5" w:rsidRPr="00E61BB5">
        <w:rPr>
          <w:rFonts w:ascii="Calibri" w:hAnsi="Calibri" w:cs="Calibri"/>
        </w:rPr>
        <w:t xml:space="preserve">working in Mining and Construction </w:t>
      </w:r>
      <w:r w:rsidR="00856234">
        <w:rPr>
          <w:rFonts w:ascii="Calibri" w:hAnsi="Calibri" w:cs="Calibri"/>
        </w:rPr>
        <w:t>in the Pilbara</w:t>
      </w:r>
      <w:r w:rsidR="005072E6" w:rsidRPr="00E61BB5">
        <w:rPr>
          <w:rFonts w:ascii="Calibri" w:hAnsi="Calibri" w:cs="Calibri"/>
        </w:rPr>
        <w:t xml:space="preserve"> </w:t>
      </w:r>
      <w:r w:rsidR="00096B4F" w:rsidRPr="00E61BB5">
        <w:rPr>
          <w:rFonts w:ascii="Calibri" w:hAnsi="Calibri" w:cs="Calibri"/>
        </w:rPr>
        <w:t>living outside of the region</w:t>
      </w:r>
      <w:r w:rsidR="00856234">
        <w:rPr>
          <w:rFonts w:ascii="Calibri" w:hAnsi="Calibri" w:cs="Calibri"/>
        </w:rPr>
        <w:t>, and most of those residing</w:t>
      </w:r>
      <w:r w:rsidR="008A54D7">
        <w:rPr>
          <w:rFonts w:ascii="Calibri" w:hAnsi="Calibri" w:cs="Calibri"/>
        </w:rPr>
        <w:t xml:space="preserve"> in </w:t>
      </w:r>
      <w:r w:rsidR="00C1422F" w:rsidRPr="00E61BB5">
        <w:rPr>
          <w:rFonts w:ascii="Calibri" w:hAnsi="Calibri" w:cs="Calibri"/>
        </w:rPr>
        <w:t>Greater Perth.</w:t>
      </w:r>
      <w:r w:rsidRPr="00E61BB5">
        <w:rPr>
          <w:rStyle w:val="FootnoteReference"/>
        </w:rPr>
        <w:footnoteReference w:id="3"/>
      </w:r>
    </w:p>
    <w:p w:rsidR="009B65EA" w:rsidRDefault="009B65EA" w:rsidP="000C6254">
      <w:pPr>
        <w:spacing w:after="0"/>
        <w:jc w:val="both"/>
        <w:rPr>
          <w:rFonts w:ascii="Calibri" w:eastAsia="Times New Roman" w:hAnsi="Calibri" w:cs="Calibri"/>
          <w:b/>
        </w:rPr>
      </w:pPr>
    </w:p>
    <w:p w:rsidR="003166E6" w:rsidRDefault="003166E6">
      <w:pPr>
        <w:rPr>
          <w:rFonts w:ascii="Calibri" w:eastAsia="Times New Roman" w:hAnsi="Calibri" w:cs="Calibri"/>
        </w:rPr>
      </w:pPr>
      <w:r>
        <w:rPr>
          <w:rFonts w:ascii="Calibri" w:eastAsia="Times New Roman" w:hAnsi="Calibri" w:cs="Calibri"/>
        </w:rPr>
        <w:br w:type="page"/>
      </w:r>
    </w:p>
    <w:p w:rsidR="000C6254" w:rsidRPr="003166E6" w:rsidRDefault="001E2222" w:rsidP="00A97E27">
      <w:pPr>
        <w:pStyle w:val="Heading3"/>
        <w:rPr>
          <w:rFonts w:eastAsia="Times New Roman"/>
        </w:rPr>
      </w:pPr>
      <w:r w:rsidRPr="00FE7675">
        <w:rPr>
          <w:rFonts w:eastAsia="Times New Roman"/>
        </w:rPr>
        <w:lastRenderedPageBreak/>
        <w:t>Chart 2</w:t>
      </w:r>
      <w:r w:rsidR="000C6254" w:rsidRPr="00FE7675">
        <w:rPr>
          <w:rFonts w:eastAsia="Times New Roman"/>
        </w:rPr>
        <w:t xml:space="preserve">: Employment by </w:t>
      </w:r>
      <w:r w:rsidR="00114360" w:rsidRPr="00FE7675">
        <w:rPr>
          <w:rFonts w:eastAsia="Times New Roman"/>
        </w:rPr>
        <w:t xml:space="preserve">industry, Pilbara </w:t>
      </w:r>
      <w:r w:rsidR="000C6254" w:rsidRPr="00FE7675">
        <w:rPr>
          <w:rFonts w:eastAsia="Times New Roman"/>
        </w:rPr>
        <w:t>(</w:t>
      </w:r>
      <w:r w:rsidR="00DF7785" w:rsidRPr="00FE7675">
        <w:rPr>
          <w:rFonts w:eastAsia="Times New Roman"/>
        </w:rPr>
        <w:t>p</w:t>
      </w:r>
      <w:r w:rsidR="000C6254" w:rsidRPr="00FE7675">
        <w:rPr>
          <w:rFonts w:eastAsia="Times New Roman"/>
        </w:rPr>
        <w:t xml:space="preserve">lace of </w:t>
      </w:r>
      <w:r w:rsidR="00DF7785" w:rsidRPr="00FE7675">
        <w:rPr>
          <w:rFonts w:eastAsia="Times New Roman"/>
        </w:rPr>
        <w:t>w</w:t>
      </w:r>
      <w:r w:rsidR="000C6254" w:rsidRPr="00FE7675">
        <w:rPr>
          <w:rFonts w:eastAsia="Times New Roman"/>
        </w:rPr>
        <w:t>ork), 2006 and 2011</w:t>
      </w:r>
    </w:p>
    <w:p w:rsidR="000C6254" w:rsidRPr="007D59E3" w:rsidRDefault="003166E6" w:rsidP="000C6254">
      <w:pPr>
        <w:spacing w:after="120"/>
        <w:rPr>
          <w:sz w:val="18"/>
        </w:rPr>
      </w:pPr>
      <w:bookmarkStart w:id="0" w:name="_GoBack"/>
      <w:r>
        <w:rPr>
          <w:noProof/>
          <w:sz w:val="18"/>
          <w:lang w:eastAsia="en-AU"/>
        </w:rPr>
        <w:drawing>
          <wp:inline distT="0" distB="0" distL="0" distR="0" wp14:anchorId="6BE95BE8">
            <wp:extent cx="5651500" cy="3188335"/>
            <wp:effectExtent l="0" t="0" r="6350" b="0"/>
            <wp:docPr id="8" name="Picture 8" descr="Chart demonstrates employment numbers by industry in Pilbara in 2006 and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1500" cy="3188335"/>
                    </a:xfrm>
                    <a:prstGeom prst="rect">
                      <a:avLst/>
                    </a:prstGeom>
                    <a:noFill/>
                  </pic:spPr>
                </pic:pic>
              </a:graphicData>
            </a:graphic>
          </wp:inline>
        </w:drawing>
      </w:r>
      <w:bookmarkEnd w:id="0"/>
    </w:p>
    <w:p w:rsidR="003000BC" w:rsidRDefault="003000BC" w:rsidP="000E51F4">
      <w:pPr>
        <w:spacing w:after="120"/>
        <w:jc w:val="both"/>
      </w:pPr>
      <w:r>
        <w:t>In the past 12 months, e</w:t>
      </w:r>
      <w:r w:rsidRPr="009B65EA">
        <w:t>mployment in the Mining industry has fallen by 4,200 in Western Australia Outback</w:t>
      </w:r>
      <w:r w:rsidRPr="009B65EA">
        <w:rPr>
          <w:rStyle w:val="FootnoteReference"/>
        </w:rPr>
        <w:footnoteReference w:id="4"/>
      </w:r>
      <w:r w:rsidRPr="009B65EA">
        <w:t xml:space="preserve"> and by 7,400 across Western </w:t>
      </w:r>
      <w:r>
        <w:t>Australia</w:t>
      </w:r>
      <w:r w:rsidRPr="009B65EA">
        <w:t>.</w:t>
      </w:r>
      <w:r w:rsidRPr="009B65EA">
        <w:rPr>
          <w:rStyle w:val="FootnoteReference"/>
        </w:rPr>
        <w:footnoteReference w:id="5"/>
      </w:r>
      <w:r w:rsidRPr="009B65EA">
        <w:t xml:space="preserve"> </w:t>
      </w:r>
      <w:r w:rsidRPr="00CC1CEB">
        <w:t xml:space="preserve">Employment in Mining is </w:t>
      </w:r>
      <w:r>
        <w:t xml:space="preserve">also </w:t>
      </w:r>
      <w:r w:rsidRPr="00CC1CEB">
        <w:t xml:space="preserve">projected to decrease by 6,000 in </w:t>
      </w:r>
      <w:r>
        <w:t xml:space="preserve">Western Australia Outback over </w:t>
      </w:r>
      <w:r w:rsidRPr="00CC1CEB">
        <w:t>the five years to November 2019.</w:t>
      </w:r>
      <w:r w:rsidRPr="00CC1CEB">
        <w:rPr>
          <w:rStyle w:val="FootnoteReference"/>
        </w:rPr>
        <w:footnoteReference w:id="6"/>
      </w:r>
    </w:p>
    <w:p w:rsidR="005072E6" w:rsidRPr="009B65EA" w:rsidRDefault="00020496" w:rsidP="000E51F4">
      <w:pPr>
        <w:spacing w:after="120"/>
        <w:jc w:val="both"/>
      </w:pPr>
      <w:r w:rsidRPr="009B65EA">
        <w:t>The decline in Mining investment has already</w:t>
      </w:r>
      <w:r w:rsidR="000E20B7" w:rsidRPr="009B65EA">
        <w:t xml:space="preserve"> impacted on the Pilbara region with t</w:t>
      </w:r>
      <w:r w:rsidR="00D8439D" w:rsidRPr="009B65EA">
        <w:t>he unemployment rate rising from 1.5</w:t>
      </w:r>
      <w:r w:rsidR="000E20B7" w:rsidRPr="009B65EA">
        <w:t xml:space="preserve"> per cent to </w:t>
      </w:r>
      <w:r w:rsidR="00D8439D" w:rsidRPr="009B65EA">
        <w:t xml:space="preserve">3.1 per cent in the </w:t>
      </w:r>
      <w:r w:rsidR="000E20B7" w:rsidRPr="009B65EA">
        <w:t>three years</w:t>
      </w:r>
      <w:r w:rsidR="00D8439D" w:rsidRPr="009B65EA">
        <w:t xml:space="preserve"> to June 2015</w:t>
      </w:r>
      <w:r w:rsidR="000E20B7" w:rsidRPr="009B65EA">
        <w:t>.</w:t>
      </w:r>
      <w:r w:rsidR="000E20B7" w:rsidRPr="009B65EA">
        <w:rPr>
          <w:rStyle w:val="FootnoteReference"/>
        </w:rPr>
        <w:footnoteReference w:id="7"/>
      </w:r>
      <w:r w:rsidR="0024439F" w:rsidRPr="009B65EA">
        <w:t xml:space="preserve"> </w:t>
      </w:r>
      <w:r w:rsidR="00BA351D" w:rsidRPr="009B65EA">
        <w:t>While the unemployment rate in the Pilbara is still relatively low, t</w:t>
      </w:r>
      <w:r w:rsidR="00107DCC" w:rsidRPr="009B65EA">
        <w:t>he unemployment rate for Western Australia ove</w:t>
      </w:r>
      <w:r w:rsidR="009B65EA" w:rsidRPr="009B65EA">
        <w:t>rall</w:t>
      </w:r>
      <w:r w:rsidR="00107DCC" w:rsidRPr="009B65EA">
        <w:t xml:space="preserve"> </w:t>
      </w:r>
      <w:r w:rsidR="009B65EA" w:rsidRPr="009B65EA">
        <w:t xml:space="preserve">has </w:t>
      </w:r>
      <w:r w:rsidR="00107DCC" w:rsidRPr="009B65EA">
        <w:t xml:space="preserve">increased from </w:t>
      </w:r>
      <w:r w:rsidR="00BA351D" w:rsidRPr="009B65EA">
        <w:t>3.5</w:t>
      </w:r>
      <w:r w:rsidR="009B65EA" w:rsidRPr="009B65EA">
        <w:t> </w:t>
      </w:r>
      <w:r w:rsidR="00107DCC" w:rsidRPr="009B65EA">
        <w:t xml:space="preserve">per cent </w:t>
      </w:r>
      <w:r w:rsidR="00BA351D" w:rsidRPr="009B65EA">
        <w:t xml:space="preserve">in June 2012 to 6.6 per cent in </w:t>
      </w:r>
      <w:r w:rsidR="0078571B" w:rsidRPr="009B65EA">
        <w:t xml:space="preserve">November 2015, suggesting that many </w:t>
      </w:r>
      <w:r w:rsidR="009B65EA" w:rsidRPr="009B65EA">
        <w:t>ex-</w:t>
      </w:r>
      <w:r w:rsidR="0078571B" w:rsidRPr="009B65EA">
        <w:t>FIFO</w:t>
      </w:r>
      <w:r w:rsidR="009B65EA" w:rsidRPr="009B65EA">
        <w:t xml:space="preserve"> and Mining</w:t>
      </w:r>
      <w:r w:rsidR="003000BC">
        <w:t xml:space="preserve"> workers may</w:t>
      </w:r>
      <w:r w:rsidR="0078571B" w:rsidRPr="009B65EA">
        <w:t xml:space="preserve"> </w:t>
      </w:r>
      <w:r w:rsidR="005C741E" w:rsidRPr="009B65EA">
        <w:t xml:space="preserve">now </w:t>
      </w:r>
      <w:r w:rsidR="003000BC">
        <w:t xml:space="preserve">be </w:t>
      </w:r>
      <w:r w:rsidR="0078571B" w:rsidRPr="009B65EA">
        <w:t>contributing to higher unemployment in other parts of Western Australia.</w:t>
      </w:r>
      <w:r w:rsidR="00107DCC" w:rsidRPr="009B65EA">
        <w:rPr>
          <w:rStyle w:val="FootnoteReference"/>
        </w:rPr>
        <w:footnoteReference w:id="8"/>
      </w:r>
      <w:r w:rsidR="005E5410">
        <w:t xml:space="preserve"> </w:t>
      </w:r>
    </w:p>
    <w:p w:rsidR="00484B2F" w:rsidRPr="007D59E3" w:rsidRDefault="00484B2F" w:rsidP="002C2015">
      <w:pPr>
        <w:spacing w:after="120" w:line="240" w:lineRule="auto"/>
        <w:jc w:val="both"/>
      </w:pPr>
    </w:p>
    <w:p w:rsidR="00B0716C" w:rsidRPr="00C673AC" w:rsidRDefault="00B0716C" w:rsidP="00C673AC">
      <w:pPr>
        <w:pStyle w:val="Heading2"/>
      </w:pPr>
      <w:r w:rsidRPr="00C673AC">
        <w:t>Mining is a large employer of Indigenous residents</w:t>
      </w:r>
    </w:p>
    <w:p w:rsidR="00B0716C" w:rsidRDefault="00097C2D" w:rsidP="009B4F6A">
      <w:pPr>
        <w:spacing w:after="120"/>
        <w:jc w:val="both"/>
      </w:pPr>
      <w:r>
        <w:t>At the time of the 2011 Census</w:t>
      </w:r>
      <w:r w:rsidR="00615F9A">
        <w:t>,</w:t>
      </w:r>
      <w:r>
        <w:t xml:space="preserve"> </w:t>
      </w:r>
      <w:r w:rsidR="00C674ED">
        <w:t>Mining was</w:t>
      </w:r>
      <w:r>
        <w:t xml:space="preserve"> by far the largest employer of Indigenous residents in the Pilbara (43 per cent of all employed people)</w:t>
      </w:r>
      <w:r w:rsidR="00E74EBF">
        <w:t>. T</w:t>
      </w:r>
      <w:r>
        <w:t xml:space="preserve">he current downturn in Mining investment </w:t>
      </w:r>
      <w:r w:rsidR="00E1299E">
        <w:t xml:space="preserve">and employment </w:t>
      </w:r>
      <w:r w:rsidR="00042645">
        <w:t>may limit the employment opport</w:t>
      </w:r>
      <w:r w:rsidR="000E20B7">
        <w:t>unities for Indigenous people entering the jobs market</w:t>
      </w:r>
      <w:r w:rsidR="00E74EBF">
        <w:t xml:space="preserve"> and</w:t>
      </w:r>
      <w:r w:rsidR="00903861">
        <w:t>,</w:t>
      </w:r>
      <w:r w:rsidR="00E74EBF">
        <w:t xml:space="preserve"> as a result</w:t>
      </w:r>
      <w:r w:rsidR="00903861">
        <w:t>,</w:t>
      </w:r>
      <w:r w:rsidR="00E74EBF">
        <w:t xml:space="preserve"> job seekers may need to look for opportunities in other industries, such as</w:t>
      </w:r>
      <w:r w:rsidR="00903861">
        <w:t xml:space="preserve"> </w:t>
      </w:r>
      <w:r w:rsidR="00E74EBF">
        <w:t>Health Care and Social Assistance</w:t>
      </w:r>
      <w:r w:rsidR="00042645">
        <w:t>.</w:t>
      </w:r>
      <w:r>
        <w:rPr>
          <w:rStyle w:val="FootnoteReference"/>
        </w:rPr>
        <w:footnoteReference w:id="9"/>
      </w:r>
      <w:r>
        <w:t xml:space="preserve"> </w:t>
      </w:r>
    </w:p>
    <w:p w:rsidR="003166E6" w:rsidRDefault="003166E6">
      <w:pPr>
        <w:rPr>
          <w:rFonts w:ascii="Calibri" w:eastAsiaTheme="majorEastAsia" w:hAnsi="Calibri" w:cstheme="majorBidi"/>
          <w:bCs/>
          <w:color w:val="104165" w:themeColor="accent1" w:themeShade="BF"/>
          <w:sz w:val="28"/>
          <w:szCs w:val="26"/>
        </w:rPr>
      </w:pPr>
      <w:r>
        <w:br w:type="page"/>
      </w:r>
    </w:p>
    <w:p w:rsidR="00B0716C" w:rsidRPr="00805078" w:rsidRDefault="00B0716C" w:rsidP="001A113E">
      <w:pPr>
        <w:pStyle w:val="Heading2"/>
      </w:pPr>
      <w:r w:rsidRPr="00805078">
        <w:lastRenderedPageBreak/>
        <w:t>Recruitment activity has halved since 2010</w:t>
      </w:r>
      <w:r w:rsidRPr="00805078">
        <w:rPr>
          <w:rStyle w:val="FootnoteReference"/>
          <w:color w:val="002060"/>
          <w:sz w:val="24"/>
        </w:rPr>
        <w:footnoteReference w:id="10"/>
      </w:r>
    </w:p>
    <w:p w:rsidR="00341F03" w:rsidRDefault="0038302A" w:rsidP="00B0716C">
      <w:pPr>
        <w:spacing w:after="120"/>
        <w:jc w:val="both"/>
      </w:pPr>
      <w:r>
        <w:t>The recruitment rate</w:t>
      </w:r>
      <w:r w:rsidR="007C3906">
        <w:t xml:space="preserve"> in the 12 months prior to the </w:t>
      </w:r>
      <w:r>
        <w:t xml:space="preserve">2010 Pilbara </w:t>
      </w:r>
      <w:r w:rsidR="00886490">
        <w:t>survey was</w:t>
      </w:r>
      <w:r w:rsidR="00FE473D">
        <w:t xml:space="preserve"> </w:t>
      </w:r>
      <w:r w:rsidR="00B0716C" w:rsidRPr="00E13EBC">
        <w:t>79</w:t>
      </w:r>
      <w:r w:rsidR="00B0716C">
        <w:t> </w:t>
      </w:r>
      <w:r w:rsidR="00B0716C" w:rsidRPr="00E13EBC">
        <w:t xml:space="preserve">vacancies </w:t>
      </w:r>
      <w:r w:rsidR="00FE473D">
        <w:t>per 100 staff</w:t>
      </w:r>
      <w:r w:rsidR="00B0716C">
        <w:t xml:space="preserve">. However, </w:t>
      </w:r>
      <w:r w:rsidR="00B0716C" w:rsidRPr="00E13EBC">
        <w:t xml:space="preserve">the recruitment rate </w:t>
      </w:r>
      <w:r w:rsidR="00BC21AB">
        <w:t>has</w:t>
      </w:r>
      <w:r w:rsidR="00B0716C" w:rsidRPr="00E13EBC">
        <w:t xml:space="preserve"> halved </w:t>
      </w:r>
      <w:r w:rsidR="00BC21AB">
        <w:t>and in the 2015 survey stood at 39.</w:t>
      </w:r>
    </w:p>
    <w:p w:rsidR="00B0716C" w:rsidRDefault="00886490" w:rsidP="00B0716C">
      <w:pPr>
        <w:spacing w:after="120"/>
        <w:jc w:val="both"/>
      </w:pPr>
      <w:r>
        <w:t xml:space="preserve">Recruitment activity </w:t>
      </w:r>
      <w:r w:rsidR="00341F03">
        <w:t xml:space="preserve">has slowed across </w:t>
      </w:r>
      <w:r>
        <w:t xml:space="preserve">all industries </w:t>
      </w:r>
      <w:r w:rsidR="00CD35D4">
        <w:t>(see</w:t>
      </w:r>
      <w:r>
        <w:t> </w:t>
      </w:r>
      <w:r w:rsidR="00CD35D4">
        <w:t>Chart</w:t>
      </w:r>
      <w:r>
        <w:t> </w:t>
      </w:r>
      <w:r w:rsidR="00232F1D">
        <w:t>3</w:t>
      </w:r>
      <w:r w:rsidR="00CD35D4">
        <w:t>)</w:t>
      </w:r>
      <w:r w:rsidR="007C3906">
        <w:t>, with the largest</w:t>
      </w:r>
      <w:r w:rsidR="00B0716C">
        <w:t xml:space="preserve"> decrease in demand for labour experienced by employers in the Construction indus</w:t>
      </w:r>
      <w:r w:rsidR="00543ED9">
        <w:t>try (falling from </w:t>
      </w:r>
      <w:r w:rsidR="00B0716C">
        <w:t xml:space="preserve">149 vacancies per 100 staff </w:t>
      </w:r>
      <w:r w:rsidR="00C30F9D">
        <w:t xml:space="preserve">to 10 vacancies per 100 staff). </w:t>
      </w:r>
      <w:r w:rsidR="00341F03">
        <w:t>Large falls in recruitment activity were also recorded for Wholesale Trade and Rental, Hiring and Real Estate Services (separate information is not available for the Mining industry).</w:t>
      </w:r>
    </w:p>
    <w:p w:rsidR="00B0716C" w:rsidRPr="007D59E3" w:rsidRDefault="00B0716C" w:rsidP="002C2015">
      <w:pPr>
        <w:spacing w:after="120" w:line="240" w:lineRule="auto"/>
        <w:jc w:val="both"/>
      </w:pPr>
    </w:p>
    <w:p w:rsidR="002C2015" w:rsidRDefault="00232F1D" w:rsidP="00A97E27">
      <w:pPr>
        <w:pStyle w:val="Heading3"/>
      </w:pPr>
      <w:r w:rsidRPr="00FE7675">
        <w:t>Chart 3</w:t>
      </w:r>
      <w:r w:rsidR="002C2015" w:rsidRPr="00FE7675">
        <w:t>: Annual vacancies per 100 staff (selected industries)</w:t>
      </w:r>
    </w:p>
    <w:p w:rsidR="007977D5" w:rsidRPr="00A41ED1" w:rsidRDefault="003166E6" w:rsidP="002C2015">
      <w:pPr>
        <w:spacing w:after="120"/>
        <w:jc w:val="both"/>
        <w:rPr>
          <w:sz w:val="8"/>
        </w:rPr>
      </w:pPr>
      <w:r>
        <w:rPr>
          <w:noProof/>
          <w:sz w:val="8"/>
          <w:lang w:eastAsia="en-AU"/>
        </w:rPr>
        <w:drawing>
          <wp:inline distT="0" distB="0" distL="0" distR="0" wp14:anchorId="28A85A7B">
            <wp:extent cx="6249035" cy="2249805"/>
            <wp:effectExtent l="0" t="0" r="0" b="0"/>
            <wp:docPr id="10" name="Picture 10" descr="Chart demonstrates annual vacancies per 100 staff in selected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9035" cy="2249805"/>
                    </a:xfrm>
                    <a:prstGeom prst="rect">
                      <a:avLst/>
                    </a:prstGeom>
                    <a:noFill/>
                  </pic:spPr>
                </pic:pic>
              </a:graphicData>
            </a:graphic>
          </wp:inline>
        </w:drawing>
      </w:r>
    </w:p>
    <w:p w:rsidR="002C2015" w:rsidRDefault="002C2015" w:rsidP="002C2015">
      <w:pPr>
        <w:spacing w:after="120"/>
        <w:jc w:val="both"/>
      </w:pPr>
      <w:r w:rsidRPr="00E13EBC">
        <w:t xml:space="preserve">The proportion of employers surveyed in 2015 who had decreased staff </w:t>
      </w:r>
      <w:r w:rsidR="0038302A">
        <w:t xml:space="preserve">in the previous 12 months </w:t>
      </w:r>
      <w:r w:rsidRPr="00E13EBC">
        <w:t>(41</w:t>
      </w:r>
      <w:r w:rsidR="0038302A">
        <w:t> </w:t>
      </w:r>
      <w:r w:rsidRPr="00E13EBC">
        <w:t>per</w:t>
      </w:r>
      <w:r w:rsidR="0038302A">
        <w:t> </w:t>
      </w:r>
      <w:r w:rsidRPr="00E13EBC">
        <w:t xml:space="preserve">cent) was </w:t>
      </w:r>
      <w:r w:rsidR="007C3906">
        <w:t xml:space="preserve">more than </w:t>
      </w:r>
      <w:r w:rsidRPr="00E13EBC">
        <w:t>four times higher than those who had increased staff (9 per cent).</w:t>
      </w:r>
      <w:r>
        <w:t xml:space="preserve"> </w:t>
      </w:r>
    </w:p>
    <w:p w:rsidR="007F594F" w:rsidRPr="001A113E" w:rsidRDefault="00651C90" w:rsidP="001A113E">
      <w:pPr>
        <w:pStyle w:val="ListParagraph"/>
        <w:numPr>
          <w:ilvl w:val="0"/>
          <w:numId w:val="40"/>
        </w:numPr>
        <w:spacing w:after="120"/>
        <w:jc w:val="both"/>
      </w:pPr>
      <w:r>
        <w:t>The M</w:t>
      </w:r>
      <w:r w:rsidR="002C2015">
        <w:t>anufacturing and Construction industries had the highest proportions of employers who had decreased staff numbers in the past 12 months</w:t>
      </w:r>
      <w:r w:rsidR="00CD35D4">
        <w:t xml:space="preserve"> (</w:t>
      </w:r>
      <w:r w:rsidR="00AB66E9">
        <w:t>7</w:t>
      </w:r>
      <w:r w:rsidR="00BC21AB">
        <w:t>0 per cent and 64 per cent respectively).</w:t>
      </w:r>
    </w:p>
    <w:p w:rsidR="00A40638" w:rsidRPr="00FE7675" w:rsidRDefault="00232F1D" w:rsidP="00A97E27">
      <w:pPr>
        <w:pStyle w:val="Heading3"/>
        <w:rPr>
          <w:rFonts w:eastAsia="Times New Roman"/>
        </w:rPr>
      </w:pPr>
      <w:r w:rsidRPr="00FE7675">
        <w:rPr>
          <w:rFonts w:eastAsia="Times New Roman"/>
        </w:rPr>
        <w:t>Chart 4</w:t>
      </w:r>
      <w:r w:rsidR="00A40638" w:rsidRPr="00FE7675">
        <w:rPr>
          <w:rFonts w:eastAsia="Times New Roman"/>
        </w:rPr>
        <w:t>: Proportion of employers who increased and decreased staff in the past 12 months</w:t>
      </w:r>
    </w:p>
    <w:p w:rsidR="00FE7675" w:rsidRDefault="003166E6">
      <w:pPr>
        <w:rPr>
          <w:rFonts w:ascii="Calibri" w:eastAsiaTheme="majorEastAsia" w:hAnsi="Calibri" w:cstheme="majorBidi"/>
          <w:bCs/>
          <w:color w:val="003D6B"/>
          <w:sz w:val="28"/>
          <w:szCs w:val="26"/>
        </w:rPr>
      </w:pPr>
      <w:r>
        <w:rPr>
          <w:noProof/>
          <w:lang w:eastAsia="en-AU"/>
        </w:rPr>
        <w:drawing>
          <wp:inline distT="0" distB="0" distL="0" distR="0" wp14:anchorId="73F0F27C">
            <wp:extent cx="6584315" cy="2578735"/>
            <wp:effectExtent l="0" t="0" r="6985" b="0"/>
            <wp:docPr id="11" name="Picture 11" descr="Chart illustrates the proportion of employers who increased and decreased staff in the past 12 months in selected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84315" cy="2578735"/>
                    </a:xfrm>
                    <a:prstGeom prst="rect">
                      <a:avLst/>
                    </a:prstGeom>
                    <a:noFill/>
                  </pic:spPr>
                </pic:pic>
              </a:graphicData>
            </a:graphic>
          </wp:inline>
        </w:drawing>
      </w:r>
      <w:r w:rsidR="00FE7675">
        <w:br w:type="page"/>
      </w:r>
    </w:p>
    <w:p w:rsidR="004853EA" w:rsidRPr="00805078" w:rsidRDefault="00042645" w:rsidP="001A113E">
      <w:pPr>
        <w:pStyle w:val="Heading2"/>
      </w:pPr>
      <w:r>
        <w:lastRenderedPageBreak/>
        <w:t>Vacancies being filled more easily</w:t>
      </w:r>
    </w:p>
    <w:p w:rsidR="001326F9" w:rsidRPr="00A00F62" w:rsidRDefault="00042645" w:rsidP="00651C90">
      <w:pPr>
        <w:spacing w:after="120"/>
        <w:jc w:val="both"/>
      </w:pPr>
      <w:r>
        <w:t xml:space="preserve">Consistent with </w:t>
      </w:r>
      <w:r w:rsidR="004853EA" w:rsidRPr="00E13EBC">
        <w:t xml:space="preserve">the decline in recruitment, </w:t>
      </w:r>
      <w:r w:rsidR="004853EA">
        <w:t xml:space="preserve">the average number of applicants per vacancy </w:t>
      </w:r>
      <w:r w:rsidR="00651C90">
        <w:t xml:space="preserve">has </w:t>
      </w:r>
      <w:r>
        <w:t>nearly</w:t>
      </w:r>
      <w:r w:rsidR="00F56799">
        <w:t xml:space="preserve"> doubled from 5</w:t>
      </w:r>
      <w:r w:rsidR="004853EA">
        <w:t xml:space="preserve"> applicants per vacancy in 201</w:t>
      </w:r>
      <w:r w:rsidR="00F56799">
        <w:t>0 to 9</w:t>
      </w:r>
      <w:r w:rsidR="00651C90">
        <w:t xml:space="preserve"> applicants </w:t>
      </w:r>
      <w:r>
        <w:t>in 2015, while</w:t>
      </w:r>
      <w:r w:rsidR="004853EA">
        <w:t xml:space="preserve"> </w:t>
      </w:r>
      <w:r w:rsidR="004853EA" w:rsidRPr="00E13EBC">
        <w:t xml:space="preserve">the proportion of employers reporting </w:t>
      </w:r>
      <w:r w:rsidR="004853EA">
        <w:t xml:space="preserve">recruitment difficulty </w:t>
      </w:r>
      <w:r>
        <w:t>has fallen</w:t>
      </w:r>
      <w:r w:rsidR="004853EA">
        <w:t xml:space="preserve"> from 61 per cent to 31 per cent</w:t>
      </w:r>
      <w:r w:rsidR="004853EA" w:rsidRPr="00E13EBC">
        <w:t xml:space="preserve">. </w:t>
      </w:r>
      <w:r w:rsidR="00971FD6">
        <w:t>In addition</w:t>
      </w:r>
      <w:r w:rsidR="00CE05F2">
        <w:t>,</w:t>
      </w:r>
      <w:r w:rsidR="00971FD6">
        <w:t xml:space="preserve"> only 2.4</w:t>
      </w:r>
      <w:r w:rsidR="00AB66E9">
        <w:t> </w:t>
      </w:r>
      <w:r w:rsidR="00971FD6">
        <w:t>per cent of vacancies remained unfilled in 2015 compared with 11.7 per cent in 2010.</w:t>
      </w:r>
    </w:p>
    <w:p w:rsidR="00042645" w:rsidRPr="000E20B7" w:rsidRDefault="000E20B7" w:rsidP="00A00F62">
      <w:pPr>
        <w:pStyle w:val="Heading2"/>
        <w:spacing w:before="0"/>
      </w:pPr>
      <w:r>
        <w:rPr>
          <w:rFonts w:eastAsia="Times New Roman"/>
        </w:rPr>
        <w:t>Table 1: Recruitment experiences in Pilbara</w:t>
      </w:r>
    </w:p>
    <w:tbl>
      <w:tblPr>
        <w:tblStyle w:val="DEEWRTable"/>
        <w:tblpPr w:leftFromText="180" w:rightFromText="180" w:vertAnchor="text" w:horzAnchor="margin" w:tblpXSpec="center" w:tblpY="172"/>
        <w:tblW w:w="0" w:type="auto"/>
        <w:tblLook w:val="0420" w:firstRow="1" w:lastRow="0" w:firstColumn="0" w:lastColumn="0" w:noHBand="0" w:noVBand="1"/>
        <w:tblCaption w:val="Table"/>
        <w:tblDescription w:val="Numbers in table in order of June 2014, September 2013 and All regions surveyed.                   &#10;Annual vacancies per 100 staff: 14.6, 13.4, 16.0&#10;Unfilled vacancy rate (most recent recruitment round): 2.0%, 2.6%, 3.7%&#10;Recruitment difficulty (most recent recruitment round): 31%, 31%, 35%&#10;Average applicants per formally advertised vacancy: 14.5, 13.5, 17&#10;"/>
      </w:tblPr>
      <w:tblGrid>
        <w:gridCol w:w="1668"/>
        <w:gridCol w:w="3118"/>
        <w:gridCol w:w="2268"/>
        <w:gridCol w:w="2800"/>
      </w:tblGrid>
      <w:tr w:rsidR="00CE47BC" w:rsidRPr="009C4CCE" w:rsidTr="00B805DC">
        <w:trPr>
          <w:cnfStyle w:val="100000000000" w:firstRow="1" w:lastRow="0" w:firstColumn="0" w:lastColumn="0" w:oddVBand="0" w:evenVBand="0" w:oddHBand="0" w:evenHBand="0" w:firstRowFirstColumn="0" w:firstRowLastColumn="0" w:lastRowFirstColumn="0" w:lastRowLastColumn="0"/>
          <w:trHeight w:val="428"/>
        </w:trPr>
        <w:tc>
          <w:tcPr>
            <w:tcW w:w="1668" w:type="dxa"/>
            <w:shd w:val="clear" w:color="auto" w:fill="003D6B"/>
          </w:tcPr>
          <w:p w:rsidR="00CE47BC" w:rsidRPr="00DB3284" w:rsidRDefault="00CE47BC" w:rsidP="00947137">
            <w:pPr>
              <w:rPr>
                <w:sz w:val="22"/>
              </w:rPr>
            </w:pPr>
          </w:p>
        </w:tc>
        <w:tc>
          <w:tcPr>
            <w:tcW w:w="3118" w:type="dxa"/>
            <w:shd w:val="clear" w:color="auto" w:fill="003D6B"/>
          </w:tcPr>
          <w:p w:rsidR="00CE47BC" w:rsidRPr="003166E6" w:rsidRDefault="00CE47BC" w:rsidP="00B805DC">
            <w:pPr>
              <w:pStyle w:val="Heading4"/>
              <w:spacing w:before="0"/>
            </w:pPr>
            <w:r w:rsidRPr="003166E6">
              <w:t>Recruitment difficul</w:t>
            </w:r>
            <w:r w:rsidR="00BA3D40" w:rsidRPr="003166E6">
              <w:t>t</w:t>
            </w:r>
            <w:r w:rsidRPr="003166E6">
              <w:t>y</w:t>
            </w:r>
          </w:p>
        </w:tc>
        <w:tc>
          <w:tcPr>
            <w:tcW w:w="2268" w:type="dxa"/>
            <w:shd w:val="clear" w:color="auto" w:fill="003D6B"/>
          </w:tcPr>
          <w:p w:rsidR="00CE47BC" w:rsidRPr="003166E6" w:rsidRDefault="00CE47BC" w:rsidP="00B805DC">
            <w:pPr>
              <w:pStyle w:val="Heading4"/>
              <w:spacing w:before="0"/>
            </w:pPr>
            <w:r w:rsidRPr="003166E6">
              <w:t>Unfilled vacancy rate</w:t>
            </w:r>
          </w:p>
        </w:tc>
        <w:tc>
          <w:tcPr>
            <w:tcW w:w="2800" w:type="dxa"/>
            <w:shd w:val="clear" w:color="auto" w:fill="003D6B"/>
          </w:tcPr>
          <w:p w:rsidR="00BA3D40" w:rsidRPr="003166E6" w:rsidRDefault="00CE47BC" w:rsidP="00B805DC">
            <w:pPr>
              <w:pStyle w:val="Heading4"/>
              <w:spacing w:before="0"/>
            </w:pPr>
            <w:r w:rsidRPr="003166E6">
              <w:t xml:space="preserve">Average </w:t>
            </w:r>
            <w:r w:rsidR="00CE05F2" w:rsidRPr="003166E6">
              <w:t xml:space="preserve">no. of </w:t>
            </w:r>
            <w:r w:rsidRPr="003166E6">
              <w:t xml:space="preserve">applicants </w:t>
            </w:r>
          </w:p>
          <w:p w:rsidR="00CE47BC" w:rsidRPr="003166E6" w:rsidRDefault="00CE47BC" w:rsidP="00B805DC">
            <w:pPr>
              <w:pStyle w:val="Heading4"/>
              <w:spacing w:before="0"/>
            </w:pPr>
            <w:proofErr w:type="gramStart"/>
            <w:r w:rsidRPr="003166E6">
              <w:t>per</w:t>
            </w:r>
            <w:proofErr w:type="gramEnd"/>
            <w:r w:rsidRPr="003166E6">
              <w:t xml:space="preserve"> vacancy</w:t>
            </w:r>
          </w:p>
        </w:tc>
      </w:tr>
      <w:tr w:rsidR="00CE47BC" w:rsidRPr="009C4CCE" w:rsidTr="005C7328">
        <w:trPr>
          <w:trHeight w:val="312"/>
        </w:trPr>
        <w:tc>
          <w:tcPr>
            <w:tcW w:w="1668" w:type="dxa"/>
            <w:vAlign w:val="center"/>
          </w:tcPr>
          <w:p w:rsidR="00CE47BC" w:rsidRPr="00DB3284" w:rsidRDefault="005C7328" w:rsidP="00CE47BC">
            <w:pPr>
              <w:rPr>
                <w:sz w:val="22"/>
              </w:rPr>
            </w:pPr>
            <w:r>
              <w:rPr>
                <w:sz w:val="22"/>
              </w:rPr>
              <w:t xml:space="preserve">  </w:t>
            </w:r>
            <w:r w:rsidR="00CE47BC">
              <w:rPr>
                <w:sz w:val="22"/>
              </w:rPr>
              <w:t>2010</w:t>
            </w:r>
          </w:p>
        </w:tc>
        <w:tc>
          <w:tcPr>
            <w:tcW w:w="3118" w:type="dxa"/>
            <w:vAlign w:val="center"/>
          </w:tcPr>
          <w:p w:rsidR="00CE47BC" w:rsidRPr="00DB3284" w:rsidRDefault="00CE47BC" w:rsidP="00CE47BC">
            <w:pPr>
              <w:jc w:val="center"/>
              <w:rPr>
                <w:sz w:val="22"/>
              </w:rPr>
            </w:pPr>
            <w:r>
              <w:rPr>
                <w:sz w:val="22"/>
              </w:rPr>
              <w:t>61%</w:t>
            </w:r>
          </w:p>
        </w:tc>
        <w:tc>
          <w:tcPr>
            <w:tcW w:w="2268" w:type="dxa"/>
            <w:vAlign w:val="center"/>
          </w:tcPr>
          <w:p w:rsidR="00CE47BC" w:rsidRPr="00DB3284" w:rsidRDefault="00CE47BC" w:rsidP="00CE47BC">
            <w:pPr>
              <w:jc w:val="center"/>
              <w:rPr>
                <w:sz w:val="22"/>
              </w:rPr>
            </w:pPr>
            <w:r>
              <w:rPr>
                <w:sz w:val="22"/>
              </w:rPr>
              <w:t>11.7%</w:t>
            </w:r>
          </w:p>
        </w:tc>
        <w:tc>
          <w:tcPr>
            <w:tcW w:w="2800" w:type="dxa"/>
            <w:vAlign w:val="center"/>
          </w:tcPr>
          <w:p w:rsidR="00CE47BC" w:rsidRPr="00DB3284" w:rsidRDefault="00F56799" w:rsidP="00CE47BC">
            <w:pPr>
              <w:jc w:val="center"/>
              <w:rPr>
                <w:sz w:val="22"/>
              </w:rPr>
            </w:pPr>
            <w:r>
              <w:rPr>
                <w:sz w:val="22"/>
              </w:rPr>
              <w:t>5</w:t>
            </w:r>
          </w:p>
        </w:tc>
      </w:tr>
      <w:tr w:rsidR="00CE47BC" w:rsidRPr="009C4CCE" w:rsidTr="005C7328">
        <w:trPr>
          <w:trHeight w:val="275"/>
        </w:trPr>
        <w:tc>
          <w:tcPr>
            <w:tcW w:w="1668" w:type="dxa"/>
            <w:vAlign w:val="center"/>
          </w:tcPr>
          <w:p w:rsidR="00CE47BC" w:rsidRPr="00DB3284" w:rsidRDefault="005C7328" w:rsidP="00CE47BC">
            <w:pPr>
              <w:rPr>
                <w:rFonts w:ascii="Calibri" w:hAnsi="Calibri" w:cs="Calibri"/>
                <w:sz w:val="22"/>
              </w:rPr>
            </w:pPr>
            <w:r>
              <w:rPr>
                <w:rFonts w:ascii="Calibri" w:hAnsi="Calibri" w:cs="Calibri"/>
                <w:sz w:val="22"/>
              </w:rPr>
              <w:t xml:space="preserve">  </w:t>
            </w:r>
            <w:r w:rsidR="00CE47BC">
              <w:rPr>
                <w:rFonts w:ascii="Calibri" w:hAnsi="Calibri" w:cs="Calibri"/>
                <w:sz w:val="22"/>
              </w:rPr>
              <w:t>2013</w:t>
            </w:r>
          </w:p>
        </w:tc>
        <w:tc>
          <w:tcPr>
            <w:tcW w:w="3118" w:type="dxa"/>
            <w:vAlign w:val="center"/>
          </w:tcPr>
          <w:p w:rsidR="00CE47BC" w:rsidRPr="00DB3284" w:rsidRDefault="00CE47BC" w:rsidP="00CE47BC">
            <w:pPr>
              <w:jc w:val="center"/>
              <w:rPr>
                <w:sz w:val="22"/>
              </w:rPr>
            </w:pPr>
            <w:r>
              <w:rPr>
                <w:sz w:val="22"/>
              </w:rPr>
              <w:t>43%</w:t>
            </w:r>
          </w:p>
        </w:tc>
        <w:tc>
          <w:tcPr>
            <w:tcW w:w="2268" w:type="dxa"/>
            <w:vAlign w:val="center"/>
          </w:tcPr>
          <w:p w:rsidR="00CE47BC" w:rsidRPr="00DB3284" w:rsidRDefault="00CE47BC" w:rsidP="00CE47BC">
            <w:pPr>
              <w:jc w:val="center"/>
              <w:rPr>
                <w:sz w:val="22"/>
              </w:rPr>
            </w:pPr>
            <w:r>
              <w:rPr>
                <w:sz w:val="22"/>
              </w:rPr>
              <w:t>6.4%</w:t>
            </w:r>
          </w:p>
        </w:tc>
        <w:tc>
          <w:tcPr>
            <w:tcW w:w="2800" w:type="dxa"/>
            <w:vAlign w:val="center"/>
          </w:tcPr>
          <w:p w:rsidR="00CE47BC" w:rsidRPr="00DB3284" w:rsidRDefault="00F56799" w:rsidP="00CE47BC">
            <w:pPr>
              <w:jc w:val="center"/>
              <w:rPr>
                <w:sz w:val="22"/>
              </w:rPr>
            </w:pPr>
            <w:r>
              <w:rPr>
                <w:sz w:val="22"/>
              </w:rPr>
              <w:t>6</w:t>
            </w:r>
          </w:p>
        </w:tc>
      </w:tr>
      <w:tr w:rsidR="00CE47BC" w:rsidRPr="0080436D" w:rsidTr="005C7328">
        <w:trPr>
          <w:trHeight w:val="150"/>
        </w:trPr>
        <w:tc>
          <w:tcPr>
            <w:tcW w:w="1668" w:type="dxa"/>
            <w:vAlign w:val="center"/>
          </w:tcPr>
          <w:p w:rsidR="00CE47BC" w:rsidRPr="00DB3284" w:rsidRDefault="005C7328" w:rsidP="00CE47BC">
            <w:pPr>
              <w:rPr>
                <w:sz w:val="22"/>
              </w:rPr>
            </w:pPr>
            <w:r>
              <w:rPr>
                <w:sz w:val="22"/>
              </w:rPr>
              <w:t xml:space="preserve">  </w:t>
            </w:r>
            <w:r w:rsidR="00CE47BC">
              <w:rPr>
                <w:sz w:val="22"/>
              </w:rPr>
              <w:t>2015</w:t>
            </w:r>
          </w:p>
        </w:tc>
        <w:tc>
          <w:tcPr>
            <w:tcW w:w="3118" w:type="dxa"/>
            <w:vAlign w:val="center"/>
          </w:tcPr>
          <w:p w:rsidR="00CE47BC" w:rsidRPr="00DB3284" w:rsidRDefault="00CE47BC" w:rsidP="00CE47BC">
            <w:pPr>
              <w:jc w:val="center"/>
              <w:rPr>
                <w:sz w:val="22"/>
              </w:rPr>
            </w:pPr>
            <w:r>
              <w:rPr>
                <w:sz w:val="22"/>
              </w:rPr>
              <w:t>31%</w:t>
            </w:r>
          </w:p>
        </w:tc>
        <w:tc>
          <w:tcPr>
            <w:tcW w:w="2268" w:type="dxa"/>
            <w:vAlign w:val="center"/>
          </w:tcPr>
          <w:p w:rsidR="00CE47BC" w:rsidRPr="00DB3284" w:rsidRDefault="00CE47BC" w:rsidP="00CE47BC">
            <w:pPr>
              <w:jc w:val="center"/>
              <w:rPr>
                <w:sz w:val="22"/>
              </w:rPr>
            </w:pPr>
            <w:r>
              <w:rPr>
                <w:sz w:val="22"/>
              </w:rPr>
              <w:t>2.4%</w:t>
            </w:r>
          </w:p>
        </w:tc>
        <w:tc>
          <w:tcPr>
            <w:tcW w:w="2800" w:type="dxa"/>
            <w:vAlign w:val="center"/>
          </w:tcPr>
          <w:p w:rsidR="00CE47BC" w:rsidRPr="00DB3284" w:rsidRDefault="00F56799" w:rsidP="00CE47BC">
            <w:pPr>
              <w:jc w:val="center"/>
              <w:rPr>
                <w:sz w:val="22"/>
              </w:rPr>
            </w:pPr>
            <w:r>
              <w:rPr>
                <w:sz w:val="22"/>
              </w:rPr>
              <w:t>9</w:t>
            </w:r>
          </w:p>
        </w:tc>
      </w:tr>
    </w:tbl>
    <w:p w:rsidR="004853EA" w:rsidRPr="00805078" w:rsidRDefault="00BC1396" w:rsidP="001A113E">
      <w:pPr>
        <w:pStyle w:val="Heading2"/>
      </w:pPr>
      <w:r w:rsidRPr="00805078">
        <w:t xml:space="preserve">Future recruitment expectations </w:t>
      </w:r>
      <w:r w:rsidR="00BF0CB8" w:rsidRPr="00805078">
        <w:t xml:space="preserve">are </w:t>
      </w:r>
      <w:r w:rsidRPr="00805078">
        <w:t>subdued</w:t>
      </w:r>
    </w:p>
    <w:p w:rsidR="000E51F4" w:rsidRDefault="00C12DC5" w:rsidP="000E51F4">
      <w:pPr>
        <w:spacing w:after="120"/>
        <w:contextualSpacing/>
        <w:jc w:val="both"/>
      </w:pPr>
      <w:r w:rsidRPr="00E13EBC">
        <w:t>Futu</w:t>
      </w:r>
      <w:r w:rsidR="00042645">
        <w:t>re recruitment expectations have</w:t>
      </w:r>
      <w:r w:rsidR="003F3D02">
        <w:t xml:space="preserve"> </w:t>
      </w:r>
      <w:r w:rsidRPr="00E13EBC">
        <w:t>softened</w:t>
      </w:r>
      <w:r w:rsidR="003F3D02">
        <w:t xml:space="preserve"> considerably</w:t>
      </w:r>
      <w:r w:rsidR="005C7307">
        <w:t xml:space="preserve"> since 2010</w:t>
      </w:r>
      <w:r w:rsidRPr="00E13EBC">
        <w:t>, with the proportion of employers expecting to recruit in the 12</w:t>
      </w:r>
      <w:r w:rsidR="00A17DAB">
        <w:t> </w:t>
      </w:r>
      <w:r w:rsidRPr="00E13EBC">
        <w:t xml:space="preserve">months following the survey decreasing from 69 per cent </w:t>
      </w:r>
      <w:r w:rsidR="00A17DAB">
        <w:t>in 2010 to 36</w:t>
      </w:r>
      <w:r w:rsidR="00BF0CB8">
        <w:t> </w:t>
      </w:r>
      <w:r w:rsidR="00A17DAB">
        <w:t>per</w:t>
      </w:r>
      <w:r w:rsidR="00BF0CB8">
        <w:t> </w:t>
      </w:r>
      <w:r w:rsidR="00A17DAB">
        <w:t xml:space="preserve">cent in 2015. </w:t>
      </w:r>
    </w:p>
    <w:p w:rsidR="000E51F4" w:rsidRDefault="00CE05F2" w:rsidP="000E51F4">
      <w:pPr>
        <w:pStyle w:val="ListParagraph"/>
        <w:numPr>
          <w:ilvl w:val="0"/>
          <w:numId w:val="37"/>
        </w:numPr>
        <w:spacing w:after="120"/>
        <w:jc w:val="both"/>
      </w:pPr>
      <w:r>
        <w:t>Some 20 per cent of</w:t>
      </w:r>
      <w:r w:rsidR="000E51F4">
        <w:t xml:space="preserve"> employers expected to decrease staff numbers in the following 12 months, compared with only 2 per cent in 2010. </w:t>
      </w:r>
    </w:p>
    <w:p w:rsidR="00042645" w:rsidRDefault="00042645" w:rsidP="008E5ADB">
      <w:pPr>
        <w:pStyle w:val="ListParagraph"/>
        <w:numPr>
          <w:ilvl w:val="0"/>
          <w:numId w:val="37"/>
        </w:numPr>
        <w:spacing w:after="120"/>
        <w:jc w:val="both"/>
      </w:pPr>
      <w:r>
        <w:t xml:space="preserve">The proportion of employers </w:t>
      </w:r>
      <w:r w:rsidR="007B0F25">
        <w:t xml:space="preserve">who were concerned about future skill shortages and recruitment difficulties decreased from 38 per cent in 2010 to 8 per cent in 2015. </w:t>
      </w:r>
    </w:p>
    <w:p w:rsidR="008E5ADB" w:rsidRPr="00603002" w:rsidRDefault="007B0F25" w:rsidP="008E5ADB">
      <w:pPr>
        <w:pStyle w:val="ListParagraph"/>
        <w:numPr>
          <w:ilvl w:val="0"/>
          <w:numId w:val="37"/>
        </w:numPr>
        <w:spacing w:after="120"/>
        <w:jc w:val="both"/>
      </w:pPr>
      <w:r>
        <w:t>In the most recent survey, m</w:t>
      </w:r>
      <w:r w:rsidR="00A17DAB">
        <w:t>o</w:t>
      </w:r>
      <w:r>
        <w:t>re than two thirds of employers</w:t>
      </w:r>
      <w:r w:rsidR="00F95A0D">
        <w:t xml:space="preserve"> </w:t>
      </w:r>
      <w:r w:rsidR="007C3906">
        <w:t>reported</w:t>
      </w:r>
      <w:r w:rsidR="00A17DAB">
        <w:t xml:space="preserve"> that their greatest future concern was the economy. </w:t>
      </w:r>
    </w:p>
    <w:p w:rsidR="00834F22" w:rsidRPr="00805078" w:rsidRDefault="00834F22" w:rsidP="001A113E">
      <w:pPr>
        <w:pStyle w:val="Heading2"/>
      </w:pPr>
      <w:r w:rsidRPr="00805078">
        <w:t>What does this mean for the Pilbara region?</w:t>
      </w:r>
    </w:p>
    <w:p w:rsidR="000534EF" w:rsidRPr="00F34DE2" w:rsidRDefault="002B7062" w:rsidP="000E51F4">
      <w:pPr>
        <w:spacing w:after="120"/>
        <w:contextualSpacing/>
        <w:jc w:val="both"/>
      </w:pPr>
      <w:r>
        <w:t xml:space="preserve">While </w:t>
      </w:r>
      <w:r w:rsidR="000534EF" w:rsidRPr="00F34DE2">
        <w:t xml:space="preserve">Mining production </w:t>
      </w:r>
      <w:r w:rsidR="00730F7F" w:rsidRPr="00F34DE2">
        <w:t xml:space="preserve">and export </w:t>
      </w:r>
      <w:r w:rsidR="000534EF" w:rsidRPr="00F34DE2">
        <w:t xml:space="preserve">will remain an important </w:t>
      </w:r>
      <w:r w:rsidR="00F55B55" w:rsidRPr="00F34DE2">
        <w:t xml:space="preserve">part of the </w:t>
      </w:r>
      <w:r w:rsidR="000534EF" w:rsidRPr="00F34DE2">
        <w:t>econom</w:t>
      </w:r>
      <w:r w:rsidR="003F6FE1" w:rsidRPr="00F34DE2">
        <w:t>y</w:t>
      </w:r>
      <w:r>
        <w:t xml:space="preserve"> in the Pilbara and Western Australia</w:t>
      </w:r>
      <w:r w:rsidR="00CE05F2">
        <w:t xml:space="preserve"> more generally</w:t>
      </w:r>
      <w:r w:rsidR="003F6FE1" w:rsidRPr="00F34DE2">
        <w:t xml:space="preserve">, </w:t>
      </w:r>
      <w:r>
        <w:t xml:space="preserve">significantly lower demand for labour in the Mining industry may result in </w:t>
      </w:r>
      <w:r w:rsidR="0038302A">
        <w:t xml:space="preserve">labour market conditions easing further in </w:t>
      </w:r>
      <w:r w:rsidR="008536C2" w:rsidRPr="00F34DE2">
        <w:t>the region</w:t>
      </w:r>
      <w:r w:rsidR="0038302A">
        <w:t>. This may result in</w:t>
      </w:r>
      <w:r w:rsidR="003F6FE1" w:rsidRPr="00F34DE2">
        <w:t>:</w:t>
      </w:r>
    </w:p>
    <w:p w:rsidR="00B21A0C" w:rsidRPr="00F34DE2" w:rsidRDefault="00727585" w:rsidP="000534EF">
      <w:pPr>
        <w:pStyle w:val="ListParagraph"/>
        <w:numPr>
          <w:ilvl w:val="0"/>
          <w:numId w:val="41"/>
        </w:numPr>
        <w:spacing w:after="120"/>
        <w:jc w:val="both"/>
      </w:pPr>
      <w:r w:rsidRPr="00F34DE2">
        <w:t xml:space="preserve">A further reduction in </w:t>
      </w:r>
      <w:r w:rsidR="00111BD5" w:rsidRPr="00F34DE2">
        <w:t xml:space="preserve">job opportunities and </w:t>
      </w:r>
      <w:r w:rsidR="000534EF" w:rsidRPr="00F34DE2">
        <w:t>incre</w:t>
      </w:r>
      <w:r w:rsidR="00111BD5" w:rsidRPr="00F34DE2">
        <w:t>ased</w:t>
      </w:r>
      <w:r w:rsidR="00F55B55" w:rsidRPr="00F34DE2">
        <w:t xml:space="preserve"> competition for</w:t>
      </w:r>
      <w:r w:rsidR="00111BD5" w:rsidRPr="00F34DE2">
        <w:t xml:space="preserve"> vacancies</w:t>
      </w:r>
      <w:r w:rsidRPr="00F34DE2">
        <w:t xml:space="preserve"> in the Pilbara region</w:t>
      </w:r>
      <w:r w:rsidR="00B108AF" w:rsidRPr="00F34DE2">
        <w:t>.</w:t>
      </w:r>
    </w:p>
    <w:p w:rsidR="007F594F" w:rsidRPr="0024439F" w:rsidRDefault="00727585" w:rsidP="007F594F">
      <w:pPr>
        <w:pStyle w:val="ListParagraph"/>
        <w:numPr>
          <w:ilvl w:val="0"/>
          <w:numId w:val="41"/>
        </w:numPr>
        <w:spacing w:after="120"/>
        <w:jc w:val="both"/>
      </w:pPr>
      <w:r w:rsidRPr="00F34DE2">
        <w:t xml:space="preserve">A potential </w:t>
      </w:r>
      <w:r w:rsidRPr="0024439F">
        <w:t xml:space="preserve">reduction in </w:t>
      </w:r>
      <w:r w:rsidR="007B0F25" w:rsidRPr="0024439F">
        <w:t>employment opportunities for Indigenous job seekers</w:t>
      </w:r>
      <w:r w:rsidRPr="0024439F">
        <w:t xml:space="preserve"> in the Pilbara region</w:t>
      </w:r>
      <w:r w:rsidR="00111BD5" w:rsidRPr="0024439F">
        <w:t>, which</w:t>
      </w:r>
      <w:r w:rsidR="007B0F25" w:rsidRPr="0024439F">
        <w:t xml:space="preserve"> could have flow on effects to the communities in which they live. </w:t>
      </w:r>
    </w:p>
    <w:p w:rsidR="00540D48" w:rsidRPr="00B21A0C" w:rsidRDefault="009B65EA" w:rsidP="00540D48">
      <w:pPr>
        <w:pStyle w:val="ListParagraph"/>
        <w:numPr>
          <w:ilvl w:val="0"/>
          <w:numId w:val="41"/>
        </w:numPr>
        <w:spacing w:after="120"/>
        <w:jc w:val="both"/>
      </w:pPr>
      <w:r>
        <w:t>E</w:t>
      </w:r>
      <w:r w:rsidR="00FC2A3E" w:rsidRPr="0024439F">
        <w:t xml:space="preserve">x-FIFO workers </w:t>
      </w:r>
      <w:r w:rsidR="00E95032">
        <w:t>who are unemployed</w:t>
      </w:r>
      <w:r w:rsidR="0038302A">
        <w:t xml:space="preserve"> requiring</w:t>
      </w:r>
      <w:r>
        <w:t xml:space="preserve"> a</w:t>
      </w:r>
      <w:r w:rsidR="00FC2A3E" w:rsidRPr="0024439F">
        <w:t xml:space="preserve">ssistance </w:t>
      </w:r>
      <w:r w:rsidR="00E95032">
        <w:t xml:space="preserve">with </w:t>
      </w:r>
      <w:r w:rsidR="002402E3">
        <w:t>finding employment and</w:t>
      </w:r>
      <w:r w:rsidR="00FC2A3E" w:rsidRPr="00F34DE2">
        <w:t xml:space="preserve"> accessing training opportunities. </w:t>
      </w:r>
      <w:r w:rsidR="007F594F" w:rsidRPr="00F34DE2">
        <w:t xml:space="preserve"> </w:t>
      </w:r>
    </w:p>
    <w:sectPr w:rsidR="00540D48" w:rsidRPr="00B21A0C" w:rsidSect="00B805DC">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559" w:right="1134" w:bottom="249"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222" w:rsidRDefault="00D10222" w:rsidP="00130923">
      <w:pPr>
        <w:spacing w:after="0" w:line="240" w:lineRule="auto"/>
      </w:pPr>
      <w:r>
        <w:separator/>
      </w:r>
    </w:p>
  </w:endnote>
  <w:endnote w:type="continuationSeparator" w:id="0">
    <w:p w:rsidR="00D10222" w:rsidRDefault="00D10222"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F2" w:rsidRDefault="00825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69" w:rsidRPr="00E04219" w:rsidRDefault="00A12269" w:rsidP="00A12269">
    <w:pPr>
      <w:pStyle w:val="Footer"/>
      <w:spacing w:before="60"/>
      <w:ind w:right="567"/>
      <w:rPr>
        <w:sz w:val="16"/>
        <w:szCs w:val="18"/>
      </w:rPr>
    </w:pPr>
    <w:r w:rsidRPr="00E04219">
      <w:rPr>
        <w:sz w:val="16"/>
        <w:szCs w:val="18"/>
      </w:rPr>
      <w:t xml:space="preserve">This report was produced by the Labour Market Research and Analysis Branch. Further results on the </w:t>
    </w:r>
    <w:r w:rsidRPr="00E04219">
      <w:rPr>
        <w:i/>
        <w:iCs/>
        <w:sz w:val="16"/>
        <w:szCs w:val="18"/>
      </w:rPr>
      <w:t xml:space="preserve">Survey of Employers’ Recruitment Experiences </w:t>
    </w:r>
    <w:r w:rsidRPr="00E04219">
      <w:rPr>
        <w:sz w:val="16"/>
        <w:szCs w:val="18"/>
      </w:rPr>
      <w:t xml:space="preserve">can be found at www.employment.gov.au/regionalreports or by contacting </w:t>
    </w:r>
    <w:hyperlink r:id="rId1" w:history="1">
      <w:r w:rsidRPr="00E04219">
        <w:rPr>
          <w:rStyle w:val="Hyperlink"/>
          <w:sz w:val="16"/>
          <w:szCs w:val="18"/>
        </w:rPr>
        <w:t>recruitmentsurveys@employment.gov.au</w:t>
      </w:r>
    </w:hyperlink>
    <w:r w:rsidRPr="00E04219">
      <w:rPr>
        <w:sz w:val="16"/>
        <w:szCs w:val="18"/>
      </w:rPr>
      <w:t>.</w:t>
    </w:r>
  </w:p>
  <w:p w:rsidR="00A750EE" w:rsidRDefault="00A750EE" w:rsidP="00A12269">
    <w:pPr>
      <w:pStyle w:val="Footer"/>
      <w:tabs>
        <w:tab w:val="clear" w:pos="9026"/>
        <w:tab w:val="right" w:pos="8647"/>
      </w:tabs>
      <w:ind w:firstLine="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F2" w:rsidRDefault="008258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222" w:rsidRDefault="00D10222" w:rsidP="00130923">
      <w:pPr>
        <w:spacing w:after="0" w:line="240" w:lineRule="auto"/>
      </w:pPr>
      <w:r>
        <w:separator/>
      </w:r>
    </w:p>
  </w:footnote>
  <w:footnote w:type="continuationSeparator" w:id="0">
    <w:p w:rsidR="00D10222" w:rsidRDefault="00D10222" w:rsidP="00130923">
      <w:pPr>
        <w:spacing w:after="0" w:line="240" w:lineRule="auto"/>
      </w:pPr>
      <w:r>
        <w:continuationSeparator/>
      </w:r>
    </w:p>
  </w:footnote>
  <w:footnote w:id="1">
    <w:p w:rsidR="00174505" w:rsidRPr="00B22480" w:rsidRDefault="00174505" w:rsidP="00174505">
      <w:pPr>
        <w:pStyle w:val="FootnoteText"/>
        <w:rPr>
          <w:rFonts w:asciiTheme="minorHAnsi" w:hAnsiTheme="minorHAnsi" w:cstheme="minorHAnsi"/>
        </w:rPr>
      </w:pPr>
      <w:r w:rsidRPr="00B22480">
        <w:rPr>
          <w:rStyle w:val="FootnoteReference"/>
          <w:rFonts w:asciiTheme="minorHAnsi" w:hAnsiTheme="minorHAnsi" w:cstheme="minorHAnsi"/>
          <w:sz w:val="16"/>
        </w:rPr>
        <w:footnoteRef/>
      </w:r>
      <w:r w:rsidRPr="00B22480">
        <w:rPr>
          <w:rFonts w:asciiTheme="minorHAnsi" w:hAnsiTheme="minorHAnsi" w:cstheme="minorHAnsi"/>
          <w:sz w:val="16"/>
        </w:rPr>
        <w:t xml:space="preserve"> </w:t>
      </w:r>
      <w:r>
        <w:rPr>
          <w:rFonts w:asciiTheme="minorHAnsi" w:hAnsiTheme="minorHAnsi" w:cstheme="minorHAnsi"/>
          <w:sz w:val="16"/>
        </w:rPr>
        <w:t xml:space="preserve">Deloitte Access Economics, </w:t>
      </w:r>
      <w:r>
        <w:rPr>
          <w:rFonts w:asciiTheme="minorHAnsi" w:hAnsiTheme="minorHAnsi" w:cstheme="minorHAnsi"/>
          <w:i/>
          <w:sz w:val="16"/>
        </w:rPr>
        <w:t>Investment Monitor, March 2013</w:t>
      </w:r>
    </w:p>
  </w:footnote>
  <w:footnote w:id="2">
    <w:p w:rsidR="001E2222" w:rsidRPr="00CB1F78" w:rsidRDefault="001E2222" w:rsidP="001E2222">
      <w:pPr>
        <w:pStyle w:val="FootnoteText"/>
        <w:rPr>
          <w:rFonts w:asciiTheme="minorHAnsi" w:hAnsiTheme="minorHAnsi" w:cstheme="minorHAnsi"/>
        </w:rPr>
      </w:pPr>
      <w:r w:rsidRPr="00CB1F78">
        <w:rPr>
          <w:rStyle w:val="FootnoteReference"/>
          <w:rFonts w:asciiTheme="minorHAnsi" w:hAnsiTheme="minorHAnsi" w:cstheme="minorHAnsi"/>
          <w:sz w:val="16"/>
        </w:rPr>
        <w:footnoteRef/>
      </w:r>
      <w:r w:rsidRPr="00CB1F78">
        <w:rPr>
          <w:rFonts w:asciiTheme="minorHAnsi" w:hAnsiTheme="minorHAnsi" w:cstheme="minorHAnsi"/>
          <w:sz w:val="16"/>
        </w:rPr>
        <w:t xml:space="preserve"> ABS, </w:t>
      </w:r>
      <w:r w:rsidRPr="00C34F25">
        <w:rPr>
          <w:rFonts w:asciiTheme="minorHAnsi" w:hAnsiTheme="minorHAnsi" w:cstheme="minorHAnsi"/>
          <w:i/>
          <w:sz w:val="16"/>
        </w:rPr>
        <w:t>Private New Capital Expenditure and Expected Expenditure</w:t>
      </w:r>
      <w:r w:rsidRPr="00CB1F78">
        <w:rPr>
          <w:rFonts w:asciiTheme="minorHAnsi" w:hAnsiTheme="minorHAnsi" w:cstheme="minorHAnsi"/>
          <w:sz w:val="16"/>
        </w:rPr>
        <w:t xml:space="preserve">, June 2015 </w:t>
      </w:r>
    </w:p>
  </w:footnote>
  <w:footnote w:id="3">
    <w:p w:rsidR="000C6254" w:rsidRPr="0068164D" w:rsidRDefault="000C6254" w:rsidP="000C6254">
      <w:pPr>
        <w:pStyle w:val="FootnoteText"/>
        <w:rPr>
          <w:rFonts w:asciiTheme="minorHAnsi" w:hAnsiTheme="minorHAnsi" w:cstheme="minorHAnsi"/>
        </w:rPr>
      </w:pPr>
      <w:r w:rsidRPr="0068164D">
        <w:rPr>
          <w:rStyle w:val="FootnoteReference"/>
          <w:rFonts w:asciiTheme="minorHAnsi" w:hAnsiTheme="minorHAnsi" w:cstheme="minorHAnsi"/>
          <w:sz w:val="16"/>
        </w:rPr>
        <w:footnoteRef/>
      </w:r>
      <w:r w:rsidRPr="0068164D">
        <w:rPr>
          <w:rFonts w:asciiTheme="minorHAnsi" w:hAnsiTheme="minorHAnsi" w:cstheme="minorHAnsi"/>
          <w:sz w:val="16"/>
        </w:rPr>
        <w:t xml:space="preserve"> ABS, </w:t>
      </w:r>
      <w:r w:rsidRPr="00F11E95">
        <w:rPr>
          <w:rFonts w:asciiTheme="minorHAnsi" w:hAnsiTheme="minorHAnsi" w:cstheme="minorHAnsi"/>
          <w:i/>
          <w:sz w:val="16"/>
        </w:rPr>
        <w:t>Census of Population and Housing</w:t>
      </w:r>
      <w:r w:rsidRPr="0068164D">
        <w:rPr>
          <w:rFonts w:asciiTheme="minorHAnsi" w:hAnsiTheme="minorHAnsi" w:cstheme="minorHAnsi"/>
          <w:sz w:val="16"/>
        </w:rPr>
        <w:t xml:space="preserve">, </w:t>
      </w:r>
      <w:r w:rsidR="00C165AE">
        <w:rPr>
          <w:rFonts w:asciiTheme="minorHAnsi" w:hAnsiTheme="minorHAnsi" w:cstheme="minorHAnsi"/>
          <w:sz w:val="16"/>
        </w:rPr>
        <w:t xml:space="preserve">2006 and </w:t>
      </w:r>
      <w:r w:rsidRPr="0068164D">
        <w:rPr>
          <w:rFonts w:asciiTheme="minorHAnsi" w:hAnsiTheme="minorHAnsi" w:cstheme="minorHAnsi"/>
          <w:sz w:val="16"/>
        </w:rPr>
        <w:t>2011</w:t>
      </w:r>
    </w:p>
  </w:footnote>
  <w:footnote w:id="4">
    <w:p w:rsidR="003000BC" w:rsidRPr="00726C22" w:rsidRDefault="003000BC" w:rsidP="003000BC">
      <w:pPr>
        <w:pStyle w:val="FootnoteText"/>
        <w:rPr>
          <w:rFonts w:asciiTheme="minorHAnsi" w:hAnsiTheme="minorHAnsi" w:cstheme="minorHAnsi"/>
        </w:rPr>
      </w:pPr>
      <w:r w:rsidRPr="00726C22">
        <w:rPr>
          <w:rStyle w:val="FootnoteReference"/>
          <w:rFonts w:asciiTheme="minorHAnsi" w:hAnsiTheme="minorHAnsi" w:cstheme="minorHAnsi"/>
          <w:sz w:val="16"/>
        </w:rPr>
        <w:footnoteRef/>
      </w:r>
      <w:r w:rsidRPr="00726C22">
        <w:rPr>
          <w:rFonts w:asciiTheme="minorHAnsi" w:hAnsiTheme="minorHAnsi" w:cstheme="minorHAnsi"/>
          <w:sz w:val="16"/>
        </w:rPr>
        <w:t xml:space="preserve"> </w:t>
      </w:r>
      <w:r w:rsidRPr="00E61BB5">
        <w:rPr>
          <w:rFonts w:asciiTheme="minorHAnsi" w:hAnsiTheme="minorHAnsi" w:cstheme="minorHAnsi"/>
          <w:sz w:val="16"/>
          <w:szCs w:val="16"/>
        </w:rPr>
        <w:t>Western Australia Outback region includes all of Western Australia except Greater Perth, Bunbury and Wheat Belt.</w:t>
      </w:r>
    </w:p>
  </w:footnote>
  <w:footnote w:id="5">
    <w:p w:rsidR="003000BC" w:rsidRPr="008575B4" w:rsidRDefault="003000BC" w:rsidP="003000BC">
      <w:pPr>
        <w:pStyle w:val="FootnoteText"/>
        <w:rPr>
          <w:rFonts w:asciiTheme="minorHAnsi" w:hAnsiTheme="minorHAnsi" w:cstheme="minorHAnsi"/>
        </w:rPr>
      </w:pPr>
      <w:r w:rsidRPr="008575B4">
        <w:rPr>
          <w:rStyle w:val="FootnoteReference"/>
          <w:rFonts w:asciiTheme="minorHAnsi" w:hAnsiTheme="minorHAnsi" w:cstheme="minorHAnsi"/>
          <w:sz w:val="16"/>
        </w:rPr>
        <w:footnoteRef/>
      </w:r>
      <w:r w:rsidRPr="008575B4">
        <w:rPr>
          <w:rFonts w:asciiTheme="minorHAnsi" w:hAnsiTheme="minorHAnsi" w:cstheme="minorHAnsi"/>
          <w:sz w:val="16"/>
        </w:rPr>
        <w:t xml:space="preserve"> </w:t>
      </w:r>
      <w:r>
        <w:rPr>
          <w:rFonts w:asciiTheme="minorHAnsi" w:hAnsiTheme="minorHAnsi" w:cstheme="minorHAnsi"/>
          <w:sz w:val="16"/>
        </w:rPr>
        <w:t xml:space="preserve">ABS, </w:t>
      </w:r>
      <w:r>
        <w:rPr>
          <w:rFonts w:asciiTheme="minorHAnsi" w:hAnsiTheme="minorHAnsi" w:cstheme="minorHAnsi"/>
          <w:i/>
          <w:sz w:val="16"/>
        </w:rPr>
        <w:t xml:space="preserve">Labour Force Survey, </w:t>
      </w:r>
      <w:r>
        <w:rPr>
          <w:rFonts w:asciiTheme="minorHAnsi" w:hAnsiTheme="minorHAnsi" w:cstheme="minorHAnsi"/>
          <w:sz w:val="16"/>
        </w:rPr>
        <w:t>August 2015 (4 quarter average of original data)</w:t>
      </w:r>
    </w:p>
  </w:footnote>
  <w:footnote w:id="6">
    <w:p w:rsidR="003000BC" w:rsidRPr="008575B4" w:rsidRDefault="003000BC" w:rsidP="003000BC">
      <w:pPr>
        <w:pStyle w:val="FootnoteText"/>
        <w:rPr>
          <w:rFonts w:asciiTheme="minorHAnsi" w:hAnsiTheme="minorHAnsi" w:cstheme="minorHAnsi"/>
          <w:i/>
        </w:rPr>
      </w:pPr>
      <w:r w:rsidRPr="008575B4">
        <w:rPr>
          <w:rStyle w:val="FootnoteReference"/>
          <w:rFonts w:asciiTheme="minorHAnsi" w:hAnsiTheme="minorHAnsi" w:cstheme="minorHAnsi"/>
          <w:sz w:val="16"/>
        </w:rPr>
        <w:footnoteRef/>
      </w:r>
      <w:r w:rsidRPr="008575B4">
        <w:rPr>
          <w:rFonts w:asciiTheme="minorHAnsi" w:hAnsiTheme="minorHAnsi" w:cstheme="minorHAnsi"/>
          <w:sz w:val="16"/>
        </w:rPr>
        <w:t xml:space="preserve"> </w:t>
      </w:r>
      <w:r>
        <w:rPr>
          <w:rFonts w:asciiTheme="minorHAnsi" w:hAnsiTheme="minorHAnsi" w:cstheme="minorHAnsi"/>
          <w:sz w:val="16"/>
        </w:rPr>
        <w:t>Department of Employment,</w:t>
      </w:r>
      <w:r>
        <w:rPr>
          <w:rFonts w:asciiTheme="minorHAnsi" w:hAnsiTheme="minorHAnsi" w:cstheme="minorHAnsi"/>
          <w:i/>
          <w:sz w:val="16"/>
        </w:rPr>
        <w:t xml:space="preserve"> Employment projections for five years to November 2019</w:t>
      </w:r>
    </w:p>
  </w:footnote>
  <w:footnote w:id="7">
    <w:p w:rsidR="000E20B7" w:rsidRPr="00D8439D" w:rsidRDefault="000E20B7" w:rsidP="000E20B7">
      <w:pPr>
        <w:pStyle w:val="FootnoteText"/>
        <w:rPr>
          <w:rFonts w:asciiTheme="minorHAnsi" w:hAnsiTheme="minorHAnsi" w:cstheme="minorHAnsi"/>
        </w:rPr>
      </w:pPr>
      <w:r w:rsidRPr="00376A2C">
        <w:rPr>
          <w:rStyle w:val="FootnoteReference"/>
          <w:rFonts w:asciiTheme="minorHAnsi" w:hAnsiTheme="minorHAnsi" w:cstheme="minorHAnsi"/>
          <w:sz w:val="16"/>
        </w:rPr>
        <w:footnoteRef/>
      </w:r>
      <w:r w:rsidRPr="00376A2C">
        <w:rPr>
          <w:rFonts w:asciiTheme="minorHAnsi" w:hAnsiTheme="minorHAnsi" w:cstheme="minorHAnsi"/>
          <w:sz w:val="16"/>
        </w:rPr>
        <w:t xml:space="preserve"> </w:t>
      </w:r>
      <w:r w:rsidR="00D8439D">
        <w:rPr>
          <w:rFonts w:asciiTheme="minorHAnsi" w:hAnsiTheme="minorHAnsi" w:cstheme="minorHAnsi"/>
          <w:sz w:val="16"/>
        </w:rPr>
        <w:t xml:space="preserve">Department of Employment, </w:t>
      </w:r>
      <w:r w:rsidR="00D8439D">
        <w:rPr>
          <w:rFonts w:asciiTheme="minorHAnsi" w:hAnsiTheme="minorHAnsi" w:cstheme="minorHAnsi"/>
          <w:i/>
          <w:sz w:val="16"/>
        </w:rPr>
        <w:t>Small Area Labour Markets,</w:t>
      </w:r>
      <w:r w:rsidR="00D8439D">
        <w:rPr>
          <w:rFonts w:asciiTheme="minorHAnsi" w:hAnsiTheme="minorHAnsi" w:cstheme="minorHAnsi"/>
          <w:sz w:val="16"/>
        </w:rPr>
        <w:t xml:space="preserve"> June 2015</w:t>
      </w:r>
    </w:p>
  </w:footnote>
  <w:footnote w:id="8">
    <w:p w:rsidR="00107DCC" w:rsidRPr="00107DCC" w:rsidRDefault="00107DCC">
      <w:pPr>
        <w:pStyle w:val="FootnoteText"/>
        <w:rPr>
          <w:rFonts w:asciiTheme="minorHAnsi" w:hAnsiTheme="minorHAnsi" w:cstheme="minorHAnsi"/>
        </w:rPr>
      </w:pPr>
      <w:r w:rsidRPr="00107DCC">
        <w:rPr>
          <w:rStyle w:val="FootnoteReference"/>
          <w:rFonts w:asciiTheme="minorHAnsi" w:hAnsiTheme="minorHAnsi" w:cstheme="minorHAnsi"/>
          <w:sz w:val="16"/>
        </w:rPr>
        <w:footnoteRef/>
      </w:r>
      <w:r w:rsidRPr="00107DCC">
        <w:rPr>
          <w:rFonts w:asciiTheme="minorHAnsi" w:hAnsiTheme="minorHAnsi" w:cstheme="minorHAnsi"/>
          <w:sz w:val="16"/>
        </w:rPr>
        <w:t xml:space="preserve"> </w:t>
      </w:r>
      <w:r>
        <w:rPr>
          <w:rFonts w:asciiTheme="minorHAnsi" w:hAnsiTheme="minorHAnsi" w:cstheme="minorHAnsi"/>
          <w:sz w:val="16"/>
        </w:rPr>
        <w:t xml:space="preserve">ABS, </w:t>
      </w:r>
      <w:r>
        <w:rPr>
          <w:rFonts w:asciiTheme="minorHAnsi" w:hAnsiTheme="minorHAnsi" w:cstheme="minorHAnsi"/>
          <w:i/>
          <w:sz w:val="16"/>
        </w:rPr>
        <w:t xml:space="preserve">Labour Force Survey, </w:t>
      </w:r>
      <w:r>
        <w:rPr>
          <w:rFonts w:asciiTheme="minorHAnsi" w:hAnsiTheme="minorHAnsi" w:cstheme="minorHAnsi"/>
          <w:sz w:val="16"/>
        </w:rPr>
        <w:t>November 2015 (Seasonally adjusted)</w:t>
      </w:r>
    </w:p>
  </w:footnote>
  <w:footnote w:id="9">
    <w:p w:rsidR="00097C2D" w:rsidRPr="00097C2D" w:rsidRDefault="00097C2D">
      <w:pPr>
        <w:pStyle w:val="FootnoteText"/>
        <w:rPr>
          <w:rFonts w:asciiTheme="minorHAnsi" w:hAnsiTheme="minorHAnsi" w:cstheme="minorHAnsi"/>
        </w:rPr>
      </w:pPr>
      <w:r w:rsidRPr="00097C2D">
        <w:rPr>
          <w:rStyle w:val="FootnoteReference"/>
          <w:rFonts w:asciiTheme="minorHAnsi" w:hAnsiTheme="minorHAnsi" w:cstheme="minorHAnsi"/>
          <w:sz w:val="16"/>
        </w:rPr>
        <w:footnoteRef/>
      </w:r>
      <w:r w:rsidRPr="00097C2D">
        <w:rPr>
          <w:rFonts w:asciiTheme="minorHAnsi" w:hAnsiTheme="minorHAnsi" w:cstheme="minorHAnsi"/>
          <w:sz w:val="16"/>
        </w:rPr>
        <w:t xml:space="preserve"> </w:t>
      </w:r>
      <w:r w:rsidRPr="0068164D">
        <w:rPr>
          <w:rFonts w:asciiTheme="minorHAnsi" w:hAnsiTheme="minorHAnsi" w:cstheme="minorHAnsi"/>
          <w:sz w:val="16"/>
        </w:rPr>
        <w:t xml:space="preserve">ABS, </w:t>
      </w:r>
      <w:r w:rsidRPr="00F11E95">
        <w:rPr>
          <w:rFonts w:asciiTheme="minorHAnsi" w:hAnsiTheme="minorHAnsi" w:cstheme="minorHAnsi"/>
          <w:i/>
          <w:sz w:val="16"/>
        </w:rPr>
        <w:t>Census of Population and Housing</w:t>
      </w:r>
      <w:r w:rsidRPr="0068164D">
        <w:rPr>
          <w:rFonts w:asciiTheme="minorHAnsi" w:hAnsiTheme="minorHAnsi" w:cstheme="minorHAnsi"/>
          <w:sz w:val="16"/>
        </w:rPr>
        <w:t>, 2011</w:t>
      </w:r>
    </w:p>
  </w:footnote>
  <w:footnote w:id="10">
    <w:p w:rsidR="00B0716C" w:rsidRPr="004E4DF3" w:rsidRDefault="00B0716C" w:rsidP="00B0716C">
      <w:pPr>
        <w:pStyle w:val="FootnoteText"/>
        <w:rPr>
          <w:rFonts w:asciiTheme="minorHAnsi" w:hAnsiTheme="minorHAnsi" w:cstheme="minorHAnsi"/>
          <w:sz w:val="16"/>
          <w:szCs w:val="16"/>
        </w:rPr>
      </w:pPr>
      <w:r w:rsidRPr="004E4DF3">
        <w:rPr>
          <w:rStyle w:val="FootnoteReference"/>
          <w:rFonts w:asciiTheme="minorHAnsi" w:hAnsiTheme="minorHAnsi" w:cstheme="minorHAnsi"/>
          <w:sz w:val="16"/>
        </w:rPr>
        <w:footnoteRef/>
      </w:r>
      <w:r w:rsidR="00AA1B23">
        <w:rPr>
          <w:rFonts w:asciiTheme="minorHAnsi" w:hAnsiTheme="minorHAnsi" w:cstheme="minorHAnsi"/>
          <w:sz w:val="16"/>
          <w:szCs w:val="16"/>
        </w:rPr>
        <w:t xml:space="preserve"> Based on </w:t>
      </w:r>
      <w:r>
        <w:rPr>
          <w:rFonts w:asciiTheme="minorHAnsi" w:hAnsiTheme="minorHAnsi" w:cstheme="minorHAnsi"/>
          <w:sz w:val="16"/>
          <w:szCs w:val="16"/>
        </w:rPr>
        <w:t>responses from the Pilbara</w:t>
      </w:r>
      <w:r w:rsidRPr="004E4DF3">
        <w:rPr>
          <w:rFonts w:asciiTheme="minorHAnsi" w:hAnsiTheme="minorHAnsi" w:cstheme="minorHAnsi"/>
          <w:sz w:val="16"/>
          <w:szCs w:val="16"/>
        </w:rPr>
        <w:t xml:space="preserve"> </w:t>
      </w:r>
      <w:r w:rsidRPr="004E4DF3">
        <w:rPr>
          <w:rFonts w:asciiTheme="minorHAnsi" w:hAnsiTheme="minorHAnsi" w:cstheme="minorHAnsi"/>
          <w:i/>
          <w:sz w:val="16"/>
          <w:szCs w:val="16"/>
        </w:rPr>
        <w:t>Survey of Employers’ Recruitment Experiences</w:t>
      </w:r>
      <w:r>
        <w:rPr>
          <w:rFonts w:asciiTheme="minorHAnsi" w:hAnsiTheme="minorHAnsi" w:cstheme="minorHAnsi"/>
          <w:sz w:val="16"/>
          <w:szCs w:val="16"/>
        </w:rPr>
        <w:t xml:space="preserve"> undertaken in </w:t>
      </w:r>
      <w:r w:rsidR="000E20B7">
        <w:rPr>
          <w:rFonts w:asciiTheme="minorHAnsi" w:hAnsiTheme="minorHAnsi" w:cstheme="minorHAnsi"/>
          <w:sz w:val="16"/>
          <w:szCs w:val="16"/>
        </w:rPr>
        <w:t xml:space="preserve">August 2010, November 2013 and </w:t>
      </w:r>
      <w:r>
        <w:rPr>
          <w:rFonts w:asciiTheme="minorHAnsi" w:hAnsiTheme="minorHAnsi" w:cstheme="minorHAnsi"/>
          <w:sz w:val="16"/>
          <w:szCs w:val="16"/>
        </w:rPr>
        <w:t>April</w:t>
      </w:r>
      <w:r w:rsidRPr="004E4DF3">
        <w:rPr>
          <w:rFonts w:asciiTheme="minorHAnsi" w:hAnsiTheme="minorHAnsi" w:cstheme="minorHAnsi"/>
          <w:sz w:val="16"/>
          <w:szCs w:val="16"/>
        </w:rPr>
        <w:t xml:space="preserve">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F2" w:rsidRDefault="008258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F2" w:rsidRDefault="008258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F2" w:rsidRDefault="008258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CE6FD8"/>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CDBA1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FFFFFF89"/>
    <w:multiLevelType w:val="singleLevel"/>
    <w:tmpl w:val="586ED83E"/>
    <w:lvl w:ilvl="0">
      <w:start w:val="1"/>
      <w:numFmt w:val="bullet"/>
      <w:lvlText w:val=""/>
      <w:lvlJc w:val="left"/>
      <w:pPr>
        <w:tabs>
          <w:tab w:val="num" w:pos="360"/>
        </w:tabs>
        <w:ind w:left="360" w:hanging="360"/>
      </w:pPr>
      <w:rPr>
        <w:rFonts w:ascii="Symbol" w:hAnsi="Symbol" w:hint="default"/>
      </w:rPr>
    </w:lvl>
  </w:abstractNum>
  <w:abstractNum w:abstractNumId="10">
    <w:nsid w:val="01A70589"/>
    <w:multiLevelType w:val="hybridMultilevel"/>
    <w:tmpl w:val="0B9EE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A784D04"/>
    <w:multiLevelType w:val="hybridMultilevel"/>
    <w:tmpl w:val="147E7638"/>
    <w:lvl w:ilvl="0" w:tplc="DD0008C6">
      <w:start w:val="1"/>
      <w:numFmt w:val="lowerLetter"/>
      <w:lvlText w:val="(%1)"/>
      <w:lvlJc w:val="left"/>
      <w:pPr>
        <w:ind w:left="720" w:hanging="360"/>
      </w:pPr>
      <w:rPr>
        <w:rFonts w:ascii="Calibri" w:hAnsi="Calibri" w:cs="Calibri" w:hint="default"/>
        <w:color w:val="auto"/>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BA5C77"/>
    <w:multiLevelType w:val="multilevel"/>
    <w:tmpl w:val="91E0A57C"/>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3546D18"/>
    <w:multiLevelType w:val="hybridMultilevel"/>
    <w:tmpl w:val="014E6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9CE463B"/>
    <w:multiLevelType w:val="hybridMultilevel"/>
    <w:tmpl w:val="2E9EED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B0732AD"/>
    <w:multiLevelType w:val="multilevel"/>
    <w:tmpl w:val="F6DA8B3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4D8C44C9"/>
    <w:multiLevelType w:val="hybridMultilevel"/>
    <w:tmpl w:val="4FC23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DB97C65"/>
    <w:multiLevelType w:val="hybridMultilevel"/>
    <w:tmpl w:val="33C2F49E"/>
    <w:lvl w:ilvl="0" w:tplc="02E208AC">
      <w:start w:val="1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51B73210"/>
    <w:multiLevelType w:val="multilevel"/>
    <w:tmpl w:val="1A7C826C"/>
    <w:lvl w:ilvl="0">
      <w:start w:val="1"/>
      <w:numFmt w:val="bullet"/>
      <w:lvlText w:val=""/>
      <w:lvlJc w:val="left"/>
      <w:pPr>
        <w:ind w:left="717" w:hanging="360"/>
      </w:pPr>
      <w:rPr>
        <w:rFonts w:ascii="Symbol" w:hAnsi="Symbol" w:hint="default"/>
      </w:rPr>
    </w:lvl>
    <w:lvl w:ilvl="1">
      <w:start w:val="1"/>
      <w:numFmt w:val="bullet"/>
      <w:lvlText w:val=""/>
      <w:lvlJc w:val="left"/>
      <w:pPr>
        <w:ind w:left="1094" w:hanging="340"/>
      </w:pPr>
      <w:rPr>
        <w:rFonts w:ascii="Symbol" w:hAnsi="Symbol" w:hint="default"/>
      </w:rPr>
    </w:lvl>
    <w:lvl w:ilvl="2">
      <w:start w:val="1"/>
      <w:numFmt w:val="bullet"/>
      <w:lvlText w:val=""/>
      <w:lvlJc w:val="left"/>
      <w:pPr>
        <w:ind w:left="1491" w:hanging="340"/>
      </w:pPr>
      <w:rPr>
        <w:rFonts w:ascii="Wingdings" w:hAnsi="Wingdings" w:hint="default"/>
      </w:rPr>
    </w:lvl>
    <w:lvl w:ilvl="3">
      <w:start w:val="1"/>
      <w:numFmt w:val="bullet"/>
      <w:lvlText w:val="o"/>
      <w:lvlJc w:val="left"/>
      <w:pPr>
        <w:ind w:left="1888" w:hanging="397"/>
      </w:pPr>
      <w:rPr>
        <w:rFonts w:ascii="Courier New" w:hAnsi="Courier New" w:hint="default"/>
      </w:rPr>
    </w:lvl>
    <w:lvl w:ilvl="4">
      <w:start w:val="1"/>
      <w:numFmt w:val="bullet"/>
      <w:lvlText w:val="o"/>
      <w:lvlJc w:val="left"/>
      <w:pPr>
        <w:ind w:left="3597" w:hanging="360"/>
      </w:pPr>
      <w:rPr>
        <w:rFonts w:ascii="Courier New" w:hAnsi="Courier New" w:cs="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cs="Courier New" w:hint="default"/>
      </w:rPr>
    </w:lvl>
    <w:lvl w:ilvl="8">
      <w:start w:val="1"/>
      <w:numFmt w:val="bullet"/>
      <w:lvlText w:val=""/>
      <w:lvlJc w:val="left"/>
      <w:pPr>
        <w:ind w:left="6477" w:hanging="360"/>
      </w:pPr>
      <w:rPr>
        <w:rFonts w:ascii="Wingdings" w:hAnsi="Wingdings" w:hint="default"/>
      </w:rPr>
    </w:lvl>
  </w:abstractNum>
  <w:abstractNum w:abstractNumId="22">
    <w:nsid w:val="534D0289"/>
    <w:multiLevelType w:val="hybridMultilevel"/>
    <w:tmpl w:val="1040CA96"/>
    <w:lvl w:ilvl="0" w:tplc="0C090001">
      <w:start w:val="1"/>
      <w:numFmt w:val="bullet"/>
      <w:lvlText w:val=""/>
      <w:lvlJc w:val="left"/>
      <w:pPr>
        <w:ind w:left="360" w:hanging="360"/>
      </w:pPr>
      <w:rPr>
        <w:rFonts w:ascii="Symbol" w:hAnsi="Symbol" w:hint="default"/>
      </w:rPr>
    </w:lvl>
    <w:lvl w:ilvl="1" w:tplc="BEC8911C">
      <w:start w:val="5"/>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72C0148"/>
    <w:multiLevelType w:val="hybridMultilevel"/>
    <w:tmpl w:val="76A036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nsid w:val="6BDA4C43"/>
    <w:multiLevelType w:val="hybridMultilevel"/>
    <w:tmpl w:val="DAAEB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6DFC3541"/>
    <w:multiLevelType w:val="hybridMultilevel"/>
    <w:tmpl w:val="AAAE61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EF56C92"/>
    <w:multiLevelType w:val="hybridMultilevel"/>
    <w:tmpl w:val="B67407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5725B73"/>
    <w:multiLevelType w:val="hybridMultilevel"/>
    <w:tmpl w:val="3CDC2F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78483955"/>
    <w:multiLevelType w:val="hybridMultilevel"/>
    <w:tmpl w:val="3DF8B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D0E53D4"/>
    <w:multiLevelType w:val="multilevel"/>
    <w:tmpl w:val="9D9E4B96"/>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7D7F364A"/>
    <w:multiLevelType w:val="hybridMultilevel"/>
    <w:tmpl w:val="D48C7A0A"/>
    <w:lvl w:ilvl="0" w:tplc="BEC8911C">
      <w:start w:val="5"/>
      <w:numFmt w:val="bullet"/>
      <w:lvlText w:val="-"/>
      <w:lvlJc w:val="left"/>
      <w:pPr>
        <w:ind w:left="360" w:hanging="360"/>
      </w:pPr>
      <w:rPr>
        <w:rFonts w:ascii="Calibri" w:eastAsiaTheme="min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9"/>
  </w:num>
  <w:num w:numId="15">
    <w:abstractNumId w:val="13"/>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0"/>
  </w:num>
  <w:num w:numId="27">
    <w:abstractNumId w:val="22"/>
  </w:num>
  <w:num w:numId="28">
    <w:abstractNumId w:val="12"/>
  </w:num>
  <w:num w:numId="29">
    <w:abstractNumId w:val="32"/>
  </w:num>
  <w:num w:numId="30">
    <w:abstractNumId w:val="10"/>
  </w:num>
  <w:num w:numId="31">
    <w:abstractNumId w:val="31"/>
  </w:num>
  <w:num w:numId="32">
    <w:abstractNumId w:val="31"/>
  </w:num>
  <w:num w:numId="33">
    <w:abstractNumId w:val="9"/>
  </w:num>
  <w:num w:numId="34">
    <w:abstractNumId w:val="17"/>
  </w:num>
  <w:num w:numId="35">
    <w:abstractNumId w:val="23"/>
  </w:num>
  <w:num w:numId="36">
    <w:abstractNumId w:val="20"/>
  </w:num>
  <w:num w:numId="37">
    <w:abstractNumId w:val="26"/>
  </w:num>
  <w:num w:numId="38">
    <w:abstractNumId w:val="27"/>
  </w:num>
  <w:num w:numId="39">
    <w:abstractNumId w:val="25"/>
  </w:num>
  <w:num w:numId="40">
    <w:abstractNumId w:val="16"/>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9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604182f-bf4c-4b97-83b6-1c79a84558fa"/>
    <w:docVar w:name="_AMO_XmlVersion" w:val="Empty"/>
  </w:docVars>
  <w:rsids>
    <w:rsidRoot w:val="00C10C19"/>
    <w:rsid w:val="000006FC"/>
    <w:rsid w:val="00001FCB"/>
    <w:rsid w:val="00002721"/>
    <w:rsid w:val="000027E9"/>
    <w:rsid w:val="00003240"/>
    <w:rsid w:val="00006A13"/>
    <w:rsid w:val="000126FB"/>
    <w:rsid w:val="00020496"/>
    <w:rsid w:val="000204F3"/>
    <w:rsid w:val="00021739"/>
    <w:rsid w:val="00024D50"/>
    <w:rsid w:val="00024E24"/>
    <w:rsid w:val="0002766F"/>
    <w:rsid w:val="00032E9C"/>
    <w:rsid w:val="00034EAA"/>
    <w:rsid w:val="000358FE"/>
    <w:rsid w:val="00040070"/>
    <w:rsid w:val="00042645"/>
    <w:rsid w:val="00043922"/>
    <w:rsid w:val="00043C9D"/>
    <w:rsid w:val="00047F8C"/>
    <w:rsid w:val="000534EF"/>
    <w:rsid w:val="000545AD"/>
    <w:rsid w:val="00056704"/>
    <w:rsid w:val="00061CF8"/>
    <w:rsid w:val="00064576"/>
    <w:rsid w:val="0006477D"/>
    <w:rsid w:val="000861A6"/>
    <w:rsid w:val="000918FC"/>
    <w:rsid w:val="00096B4F"/>
    <w:rsid w:val="00097C2D"/>
    <w:rsid w:val="000A3F8B"/>
    <w:rsid w:val="000C03D6"/>
    <w:rsid w:val="000C6254"/>
    <w:rsid w:val="000D69ED"/>
    <w:rsid w:val="000D7E79"/>
    <w:rsid w:val="000E192E"/>
    <w:rsid w:val="000E20B7"/>
    <w:rsid w:val="000E2BFE"/>
    <w:rsid w:val="000E5024"/>
    <w:rsid w:val="000E51F4"/>
    <w:rsid w:val="000E7623"/>
    <w:rsid w:val="000E772B"/>
    <w:rsid w:val="000E7E7B"/>
    <w:rsid w:val="000F1594"/>
    <w:rsid w:val="000F3BA2"/>
    <w:rsid w:val="000F450C"/>
    <w:rsid w:val="001042FA"/>
    <w:rsid w:val="0010470B"/>
    <w:rsid w:val="001055DE"/>
    <w:rsid w:val="00107DCC"/>
    <w:rsid w:val="00111BD5"/>
    <w:rsid w:val="00114078"/>
    <w:rsid w:val="00114360"/>
    <w:rsid w:val="0011464F"/>
    <w:rsid w:val="001175BF"/>
    <w:rsid w:val="001176FF"/>
    <w:rsid w:val="00124239"/>
    <w:rsid w:val="00130923"/>
    <w:rsid w:val="00132529"/>
    <w:rsid w:val="001326F9"/>
    <w:rsid w:val="00133F99"/>
    <w:rsid w:val="001368B4"/>
    <w:rsid w:val="00136C81"/>
    <w:rsid w:val="001414F3"/>
    <w:rsid w:val="00142D79"/>
    <w:rsid w:val="00143DF6"/>
    <w:rsid w:val="00143FCD"/>
    <w:rsid w:val="0014664C"/>
    <w:rsid w:val="00150D80"/>
    <w:rsid w:val="00152883"/>
    <w:rsid w:val="001543F3"/>
    <w:rsid w:val="00154C59"/>
    <w:rsid w:val="00155B9F"/>
    <w:rsid w:val="00163B11"/>
    <w:rsid w:val="001644A6"/>
    <w:rsid w:val="00174505"/>
    <w:rsid w:val="00177513"/>
    <w:rsid w:val="00182C4E"/>
    <w:rsid w:val="00183FBB"/>
    <w:rsid w:val="00186089"/>
    <w:rsid w:val="0018664B"/>
    <w:rsid w:val="00187DC9"/>
    <w:rsid w:val="00190845"/>
    <w:rsid w:val="00195047"/>
    <w:rsid w:val="001965F4"/>
    <w:rsid w:val="001A113E"/>
    <w:rsid w:val="001A238E"/>
    <w:rsid w:val="001A52C7"/>
    <w:rsid w:val="001A6036"/>
    <w:rsid w:val="001B0057"/>
    <w:rsid w:val="001B0B3E"/>
    <w:rsid w:val="001B2866"/>
    <w:rsid w:val="001B6467"/>
    <w:rsid w:val="001B6756"/>
    <w:rsid w:val="001B7D17"/>
    <w:rsid w:val="001B7D36"/>
    <w:rsid w:val="001C035D"/>
    <w:rsid w:val="001C4840"/>
    <w:rsid w:val="001C5081"/>
    <w:rsid w:val="001C6B1A"/>
    <w:rsid w:val="001D142F"/>
    <w:rsid w:val="001D2333"/>
    <w:rsid w:val="001D4E17"/>
    <w:rsid w:val="001E2222"/>
    <w:rsid w:val="001E29FB"/>
    <w:rsid w:val="001E7374"/>
    <w:rsid w:val="001F0BA8"/>
    <w:rsid w:val="001F1C07"/>
    <w:rsid w:val="001F3177"/>
    <w:rsid w:val="001F5FB5"/>
    <w:rsid w:val="00204BB1"/>
    <w:rsid w:val="002050E9"/>
    <w:rsid w:val="00205685"/>
    <w:rsid w:val="00205BED"/>
    <w:rsid w:val="00206EB8"/>
    <w:rsid w:val="00207711"/>
    <w:rsid w:val="00211CCA"/>
    <w:rsid w:val="00212B9F"/>
    <w:rsid w:val="002138F6"/>
    <w:rsid w:val="0021509E"/>
    <w:rsid w:val="00216CCC"/>
    <w:rsid w:val="002216A7"/>
    <w:rsid w:val="00223EB1"/>
    <w:rsid w:val="00232F1D"/>
    <w:rsid w:val="00235FAE"/>
    <w:rsid w:val="00236917"/>
    <w:rsid w:val="002402E3"/>
    <w:rsid w:val="00240DF8"/>
    <w:rsid w:val="002422A0"/>
    <w:rsid w:val="00243367"/>
    <w:rsid w:val="00243D6B"/>
    <w:rsid w:val="0024439F"/>
    <w:rsid w:val="00246C21"/>
    <w:rsid w:val="00251BFE"/>
    <w:rsid w:val="00252111"/>
    <w:rsid w:val="002528C7"/>
    <w:rsid w:val="00261B86"/>
    <w:rsid w:val="00262A0F"/>
    <w:rsid w:val="00264D0C"/>
    <w:rsid w:val="00266B2F"/>
    <w:rsid w:val="00271B81"/>
    <w:rsid w:val="0027304E"/>
    <w:rsid w:val="002776DD"/>
    <w:rsid w:val="0028140A"/>
    <w:rsid w:val="00290EC7"/>
    <w:rsid w:val="00295269"/>
    <w:rsid w:val="002A0AF7"/>
    <w:rsid w:val="002A234F"/>
    <w:rsid w:val="002A4813"/>
    <w:rsid w:val="002A5077"/>
    <w:rsid w:val="002A6232"/>
    <w:rsid w:val="002B06E6"/>
    <w:rsid w:val="002B7062"/>
    <w:rsid w:val="002C2015"/>
    <w:rsid w:val="002C2F8A"/>
    <w:rsid w:val="002C6A33"/>
    <w:rsid w:val="002C6C8F"/>
    <w:rsid w:val="002C6F69"/>
    <w:rsid w:val="002D271F"/>
    <w:rsid w:val="002D2A45"/>
    <w:rsid w:val="002D2C6A"/>
    <w:rsid w:val="002D38F3"/>
    <w:rsid w:val="002D4E0C"/>
    <w:rsid w:val="002D6386"/>
    <w:rsid w:val="002E007D"/>
    <w:rsid w:val="002E190C"/>
    <w:rsid w:val="002E54F6"/>
    <w:rsid w:val="002E670C"/>
    <w:rsid w:val="002E7455"/>
    <w:rsid w:val="002F0573"/>
    <w:rsid w:val="002F5023"/>
    <w:rsid w:val="002F6B27"/>
    <w:rsid w:val="002F7896"/>
    <w:rsid w:val="003000BC"/>
    <w:rsid w:val="003040E1"/>
    <w:rsid w:val="00305B35"/>
    <w:rsid w:val="003066D6"/>
    <w:rsid w:val="00307885"/>
    <w:rsid w:val="003114EA"/>
    <w:rsid w:val="003132C6"/>
    <w:rsid w:val="00314C65"/>
    <w:rsid w:val="003166C5"/>
    <w:rsid w:val="003166E6"/>
    <w:rsid w:val="003242B9"/>
    <w:rsid w:val="0032619A"/>
    <w:rsid w:val="0032698C"/>
    <w:rsid w:val="003270DA"/>
    <w:rsid w:val="00327F86"/>
    <w:rsid w:val="00341F03"/>
    <w:rsid w:val="003547B3"/>
    <w:rsid w:val="003678DC"/>
    <w:rsid w:val="00376A2C"/>
    <w:rsid w:val="00377258"/>
    <w:rsid w:val="003778A8"/>
    <w:rsid w:val="00381919"/>
    <w:rsid w:val="0038302A"/>
    <w:rsid w:val="00383FAB"/>
    <w:rsid w:val="00391F7E"/>
    <w:rsid w:val="003A33E5"/>
    <w:rsid w:val="003B127A"/>
    <w:rsid w:val="003B1CF3"/>
    <w:rsid w:val="003B31CD"/>
    <w:rsid w:val="003B60D1"/>
    <w:rsid w:val="003B7A5C"/>
    <w:rsid w:val="003C04C5"/>
    <w:rsid w:val="003C3665"/>
    <w:rsid w:val="003C5249"/>
    <w:rsid w:val="003C5694"/>
    <w:rsid w:val="003C5EB4"/>
    <w:rsid w:val="003D59DC"/>
    <w:rsid w:val="003D62A1"/>
    <w:rsid w:val="003D67FC"/>
    <w:rsid w:val="003D76BE"/>
    <w:rsid w:val="003E17E6"/>
    <w:rsid w:val="003F09B1"/>
    <w:rsid w:val="003F3D02"/>
    <w:rsid w:val="003F663D"/>
    <w:rsid w:val="003F6EEA"/>
    <w:rsid w:val="003F6FE1"/>
    <w:rsid w:val="00406E5A"/>
    <w:rsid w:val="004116A1"/>
    <w:rsid w:val="00412EF2"/>
    <w:rsid w:val="0041391F"/>
    <w:rsid w:val="00413929"/>
    <w:rsid w:val="00417009"/>
    <w:rsid w:val="004204E1"/>
    <w:rsid w:val="00434B9F"/>
    <w:rsid w:val="00435B7B"/>
    <w:rsid w:val="00442705"/>
    <w:rsid w:val="00452943"/>
    <w:rsid w:val="00455B34"/>
    <w:rsid w:val="00455CBB"/>
    <w:rsid w:val="0045691D"/>
    <w:rsid w:val="00457654"/>
    <w:rsid w:val="00460994"/>
    <w:rsid w:val="004653A1"/>
    <w:rsid w:val="0046799D"/>
    <w:rsid w:val="00467D13"/>
    <w:rsid w:val="004715C5"/>
    <w:rsid w:val="00472C3B"/>
    <w:rsid w:val="00473FA5"/>
    <w:rsid w:val="00484B2F"/>
    <w:rsid w:val="004853EA"/>
    <w:rsid w:val="00485CC5"/>
    <w:rsid w:val="0048762C"/>
    <w:rsid w:val="00491968"/>
    <w:rsid w:val="00495EF0"/>
    <w:rsid w:val="00495F6E"/>
    <w:rsid w:val="004A21EA"/>
    <w:rsid w:val="004A2601"/>
    <w:rsid w:val="004A2AE7"/>
    <w:rsid w:val="004A760F"/>
    <w:rsid w:val="004B1273"/>
    <w:rsid w:val="004B192B"/>
    <w:rsid w:val="004B256F"/>
    <w:rsid w:val="004B25AA"/>
    <w:rsid w:val="004B3D15"/>
    <w:rsid w:val="004B4E7F"/>
    <w:rsid w:val="004B5733"/>
    <w:rsid w:val="004B778E"/>
    <w:rsid w:val="004C0B75"/>
    <w:rsid w:val="004C44E8"/>
    <w:rsid w:val="004C5B49"/>
    <w:rsid w:val="004D56A8"/>
    <w:rsid w:val="004E4DF3"/>
    <w:rsid w:val="004F4D73"/>
    <w:rsid w:val="004F7F2D"/>
    <w:rsid w:val="0050640D"/>
    <w:rsid w:val="00506F3D"/>
    <w:rsid w:val="005072E6"/>
    <w:rsid w:val="00510D40"/>
    <w:rsid w:val="005110CB"/>
    <w:rsid w:val="005113B6"/>
    <w:rsid w:val="005200D5"/>
    <w:rsid w:val="00521E54"/>
    <w:rsid w:val="00531817"/>
    <w:rsid w:val="005346C1"/>
    <w:rsid w:val="00540D48"/>
    <w:rsid w:val="00543ED9"/>
    <w:rsid w:val="005475BE"/>
    <w:rsid w:val="00550CB1"/>
    <w:rsid w:val="005520CD"/>
    <w:rsid w:val="00555F5F"/>
    <w:rsid w:val="005576DB"/>
    <w:rsid w:val="00560CA0"/>
    <w:rsid w:val="0056234F"/>
    <w:rsid w:val="005624F3"/>
    <w:rsid w:val="0056561D"/>
    <w:rsid w:val="00570A46"/>
    <w:rsid w:val="00581004"/>
    <w:rsid w:val="005811EF"/>
    <w:rsid w:val="0058707E"/>
    <w:rsid w:val="00587BC8"/>
    <w:rsid w:val="005974CE"/>
    <w:rsid w:val="005A1944"/>
    <w:rsid w:val="005A3244"/>
    <w:rsid w:val="005A7080"/>
    <w:rsid w:val="005B0878"/>
    <w:rsid w:val="005B45DF"/>
    <w:rsid w:val="005B5373"/>
    <w:rsid w:val="005B6D4A"/>
    <w:rsid w:val="005C0C4F"/>
    <w:rsid w:val="005C15C0"/>
    <w:rsid w:val="005C40D1"/>
    <w:rsid w:val="005C7307"/>
    <w:rsid w:val="005C7328"/>
    <w:rsid w:val="005C741E"/>
    <w:rsid w:val="005D1D81"/>
    <w:rsid w:val="005D3720"/>
    <w:rsid w:val="005D4119"/>
    <w:rsid w:val="005D58AC"/>
    <w:rsid w:val="005E1673"/>
    <w:rsid w:val="005E5410"/>
    <w:rsid w:val="005F51AD"/>
    <w:rsid w:val="005F5F5A"/>
    <w:rsid w:val="00603002"/>
    <w:rsid w:val="006075E5"/>
    <w:rsid w:val="00610654"/>
    <w:rsid w:val="00611A5E"/>
    <w:rsid w:val="00612477"/>
    <w:rsid w:val="00615F9A"/>
    <w:rsid w:val="006172EB"/>
    <w:rsid w:val="0062179D"/>
    <w:rsid w:val="00621B99"/>
    <w:rsid w:val="006308FE"/>
    <w:rsid w:val="006318B9"/>
    <w:rsid w:val="006324D7"/>
    <w:rsid w:val="006347A5"/>
    <w:rsid w:val="00634EA5"/>
    <w:rsid w:val="006411D5"/>
    <w:rsid w:val="00645512"/>
    <w:rsid w:val="00650BC9"/>
    <w:rsid w:val="00651C90"/>
    <w:rsid w:val="00653F17"/>
    <w:rsid w:val="00663EE5"/>
    <w:rsid w:val="00667BD9"/>
    <w:rsid w:val="0067026C"/>
    <w:rsid w:val="00672D66"/>
    <w:rsid w:val="00673B3D"/>
    <w:rsid w:val="0067450D"/>
    <w:rsid w:val="0067762C"/>
    <w:rsid w:val="006809EF"/>
    <w:rsid w:val="0068164D"/>
    <w:rsid w:val="00691D1A"/>
    <w:rsid w:val="00692776"/>
    <w:rsid w:val="00693D24"/>
    <w:rsid w:val="00697BBD"/>
    <w:rsid w:val="006A1A0E"/>
    <w:rsid w:val="006A5067"/>
    <w:rsid w:val="006B3D40"/>
    <w:rsid w:val="006C4962"/>
    <w:rsid w:val="006D0AEB"/>
    <w:rsid w:val="006D27EB"/>
    <w:rsid w:val="006D4295"/>
    <w:rsid w:val="006D5BD5"/>
    <w:rsid w:val="006D6E3C"/>
    <w:rsid w:val="006E0525"/>
    <w:rsid w:val="006E2D49"/>
    <w:rsid w:val="006F2640"/>
    <w:rsid w:val="0070185A"/>
    <w:rsid w:val="007035F0"/>
    <w:rsid w:val="00704EBE"/>
    <w:rsid w:val="007064CF"/>
    <w:rsid w:val="00706D01"/>
    <w:rsid w:val="0071162B"/>
    <w:rsid w:val="00725DCD"/>
    <w:rsid w:val="00725F80"/>
    <w:rsid w:val="00726C22"/>
    <w:rsid w:val="00727585"/>
    <w:rsid w:val="007304FF"/>
    <w:rsid w:val="00730F7F"/>
    <w:rsid w:val="0073387B"/>
    <w:rsid w:val="00734CD0"/>
    <w:rsid w:val="00735EB5"/>
    <w:rsid w:val="00740ADB"/>
    <w:rsid w:val="007468FC"/>
    <w:rsid w:val="00747318"/>
    <w:rsid w:val="00751E4B"/>
    <w:rsid w:val="00751E7F"/>
    <w:rsid w:val="00752108"/>
    <w:rsid w:val="00755E37"/>
    <w:rsid w:val="0075619A"/>
    <w:rsid w:val="00756672"/>
    <w:rsid w:val="00756759"/>
    <w:rsid w:val="007627E1"/>
    <w:rsid w:val="00764135"/>
    <w:rsid w:val="00774916"/>
    <w:rsid w:val="00776927"/>
    <w:rsid w:val="00776A02"/>
    <w:rsid w:val="0078161F"/>
    <w:rsid w:val="0078458A"/>
    <w:rsid w:val="0078566D"/>
    <w:rsid w:val="0078571B"/>
    <w:rsid w:val="00787451"/>
    <w:rsid w:val="00790135"/>
    <w:rsid w:val="007909C1"/>
    <w:rsid w:val="00791BA7"/>
    <w:rsid w:val="007925E3"/>
    <w:rsid w:val="00792CA3"/>
    <w:rsid w:val="007977D5"/>
    <w:rsid w:val="007A294C"/>
    <w:rsid w:val="007B0F25"/>
    <w:rsid w:val="007B2FDD"/>
    <w:rsid w:val="007B4BC4"/>
    <w:rsid w:val="007B778A"/>
    <w:rsid w:val="007C3906"/>
    <w:rsid w:val="007C4BE5"/>
    <w:rsid w:val="007D399C"/>
    <w:rsid w:val="007D3BBF"/>
    <w:rsid w:val="007D5395"/>
    <w:rsid w:val="007D58FB"/>
    <w:rsid w:val="007D59E3"/>
    <w:rsid w:val="007D7C82"/>
    <w:rsid w:val="007E3C89"/>
    <w:rsid w:val="007E532A"/>
    <w:rsid w:val="007E7522"/>
    <w:rsid w:val="007F0E8B"/>
    <w:rsid w:val="007F1E41"/>
    <w:rsid w:val="007F594F"/>
    <w:rsid w:val="008025F4"/>
    <w:rsid w:val="0080436D"/>
    <w:rsid w:val="00804665"/>
    <w:rsid w:val="00805078"/>
    <w:rsid w:val="00807A36"/>
    <w:rsid w:val="00816C6F"/>
    <w:rsid w:val="00816F2C"/>
    <w:rsid w:val="0082071F"/>
    <w:rsid w:val="00822943"/>
    <w:rsid w:val="0082371A"/>
    <w:rsid w:val="008258F2"/>
    <w:rsid w:val="00827644"/>
    <w:rsid w:val="00830CE8"/>
    <w:rsid w:val="00831044"/>
    <w:rsid w:val="008322B0"/>
    <w:rsid w:val="00832398"/>
    <w:rsid w:val="0083468A"/>
    <w:rsid w:val="00834F22"/>
    <w:rsid w:val="008359D1"/>
    <w:rsid w:val="0083616B"/>
    <w:rsid w:val="008420BD"/>
    <w:rsid w:val="00842773"/>
    <w:rsid w:val="00842D43"/>
    <w:rsid w:val="008453D5"/>
    <w:rsid w:val="008454AF"/>
    <w:rsid w:val="008507F4"/>
    <w:rsid w:val="008536C2"/>
    <w:rsid w:val="00853CD6"/>
    <w:rsid w:val="00856234"/>
    <w:rsid w:val="00856D1C"/>
    <w:rsid w:val="008575B4"/>
    <w:rsid w:val="008577A6"/>
    <w:rsid w:val="00872CA6"/>
    <w:rsid w:val="00876AC0"/>
    <w:rsid w:val="008776F3"/>
    <w:rsid w:val="00880258"/>
    <w:rsid w:val="00883BD8"/>
    <w:rsid w:val="00886490"/>
    <w:rsid w:val="0088654D"/>
    <w:rsid w:val="00892017"/>
    <w:rsid w:val="008934F7"/>
    <w:rsid w:val="00894C49"/>
    <w:rsid w:val="00895626"/>
    <w:rsid w:val="008A54D7"/>
    <w:rsid w:val="008A7268"/>
    <w:rsid w:val="008A7840"/>
    <w:rsid w:val="008A78B0"/>
    <w:rsid w:val="008B0FDC"/>
    <w:rsid w:val="008B39DF"/>
    <w:rsid w:val="008B4590"/>
    <w:rsid w:val="008B6D5C"/>
    <w:rsid w:val="008B6D8B"/>
    <w:rsid w:val="008C0050"/>
    <w:rsid w:val="008C1A8C"/>
    <w:rsid w:val="008C2339"/>
    <w:rsid w:val="008D19D6"/>
    <w:rsid w:val="008E0B21"/>
    <w:rsid w:val="008E437D"/>
    <w:rsid w:val="008E5ADB"/>
    <w:rsid w:val="008E6536"/>
    <w:rsid w:val="008E7DC0"/>
    <w:rsid w:val="008F178B"/>
    <w:rsid w:val="008F1D09"/>
    <w:rsid w:val="008F6737"/>
    <w:rsid w:val="008F6C71"/>
    <w:rsid w:val="00903408"/>
    <w:rsid w:val="00903861"/>
    <w:rsid w:val="009050BB"/>
    <w:rsid w:val="00905242"/>
    <w:rsid w:val="00906D39"/>
    <w:rsid w:val="009116EA"/>
    <w:rsid w:val="009138A2"/>
    <w:rsid w:val="00914458"/>
    <w:rsid w:val="00915F92"/>
    <w:rsid w:val="00924DB5"/>
    <w:rsid w:val="00926DC2"/>
    <w:rsid w:val="00933671"/>
    <w:rsid w:val="009437A6"/>
    <w:rsid w:val="00943C41"/>
    <w:rsid w:val="00945C03"/>
    <w:rsid w:val="00946324"/>
    <w:rsid w:val="00952C57"/>
    <w:rsid w:val="0095372E"/>
    <w:rsid w:val="00954114"/>
    <w:rsid w:val="009556C4"/>
    <w:rsid w:val="0096483F"/>
    <w:rsid w:val="00971FD6"/>
    <w:rsid w:val="00972BF7"/>
    <w:rsid w:val="00972DD5"/>
    <w:rsid w:val="00973B3B"/>
    <w:rsid w:val="00977B70"/>
    <w:rsid w:val="00982B39"/>
    <w:rsid w:val="00984879"/>
    <w:rsid w:val="00985632"/>
    <w:rsid w:val="00985F4C"/>
    <w:rsid w:val="00991B63"/>
    <w:rsid w:val="00991D4F"/>
    <w:rsid w:val="00993DEE"/>
    <w:rsid w:val="009A03F8"/>
    <w:rsid w:val="009A1D2C"/>
    <w:rsid w:val="009A4EF0"/>
    <w:rsid w:val="009A5BB9"/>
    <w:rsid w:val="009A6157"/>
    <w:rsid w:val="009B1D76"/>
    <w:rsid w:val="009B2428"/>
    <w:rsid w:val="009B3BD0"/>
    <w:rsid w:val="009B4F6A"/>
    <w:rsid w:val="009B5CB7"/>
    <w:rsid w:val="009B5F4A"/>
    <w:rsid w:val="009B6261"/>
    <w:rsid w:val="009B65EA"/>
    <w:rsid w:val="009C4CCE"/>
    <w:rsid w:val="009C5738"/>
    <w:rsid w:val="009C61E7"/>
    <w:rsid w:val="009D52C2"/>
    <w:rsid w:val="009E36BD"/>
    <w:rsid w:val="009E3C49"/>
    <w:rsid w:val="009E3C7A"/>
    <w:rsid w:val="009F796A"/>
    <w:rsid w:val="00A00F62"/>
    <w:rsid w:val="00A05A5E"/>
    <w:rsid w:val="00A0704D"/>
    <w:rsid w:val="00A109CD"/>
    <w:rsid w:val="00A12269"/>
    <w:rsid w:val="00A17DAB"/>
    <w:rsid w:val="00A21FB0"/>
    <w:rsid w:val="00A21FF4"/>
    <w:rsid w:val="00A27D2C"/>
    <w:rsid w:val="00A31242"/>
    <w:rsid w:val="00A31825"/>
    <w:rsid w:val="00A3350A"/>
    <w:rsid w:val="00A35435"/>
    <w:rsid w:val="00A37955"/>
    <w:rsid w:val="00A40638"/>
    <w:rsid w:val="00A41ED1"/>
    <w:rsid w:val="00A4435F"/>
    <w:rsid w:val="00A46570"/>
    <w:rsid w:val="00A51875"/>
    <w:rsid w:val="00A52530"/>
    <w:rsid w:val="00A53E00"/>
    <w:rsid w:val="00A54023"/>
    <w:rsid w:val="00A551BF"/>
    <w:rsid w:val="00A60455"/>
    <w:rsid w:val="00A61463"/>
    <w:rsid w:val="00A63E3A"/>
    <w:rsid w:val="00A659A0"/>
    <w:rsid w:val="00A70524"/>
    <w:rsid w:val="00A7120D"/>
    <w:rsid w:val="00A73406"/>
    <w:rsid w:val="00A73F79"/>
    <w:rsid w:val="00A750EE"/>
    <w:rsid w:val="00A81016"/>
    <w:rsid w:val="00A82452"/>
    <w:rsid w:val="00A86493"/>
    <w:rsid w:val="00A90784"/>
    <w:rsid w:val="00A92145"/>
    <w:rsid w:val="00A9323B"/>
    <w:rsid w:val="00A9572A"/>
    <w:rsid w:val="00A9672C"/>
    <w:rsid w:val="00A97E27"/>
    <w:rsid w:val="00AA1B23"/>
    <w:rsid w:val="00AB1E84"/>
    <w:rsid w:val="00AB38F1"/>
    <w:rsid w:val="00AB48E8"/>
    <w:rsid w:val="00AB503D"/>
    <w:rsid w:val="00AB577E"/>
    <w:rsid w:val="00AB66E9"/>
    <w:rsid w:val="00AC387E"/>
    <w:rsid w:val="00AC65DA"/>
    <w:rsid w:val="00AD249A"/>
    <w:rsid w:val="00AD3DFB"/>
    <w:rsid w:val="00AE2F1F"/>
    <w:rsid w:val="00AE3DAD"/>
    <w:rsid w:val="00AE4242"/>
    <w:rsid w:val="00AE62C4"/>
    <w:rsid w:val="00AE73EB"/>
    <w:rsid w:val="00AF598E"/>
    <w:rsid w:val="00AF5E4C"/>
    <w:rsid w:val="00B0172D"/>
    <w:rsid w:val="00B0716C"/>
    <w:rsid w:val="00B108AF"/>
    <w:rsid w:val="00B126BB"/>
    <w:rsid w:val="00B15158"/>
    <w:rsid w:val="00B20CCB"/>
    <w:rsid w:val="00B20CDF"/>
    <w:rsid w:val="00B21A0C"/>
    <w:rsid w:val="00B220E0"/>
    <w:rsid w:val="00B2241A"/>
    <w:rsid w:val="00B22480"/>
    <w:rsid w:val="00B2722A"/>
    <w:rsid w:val="00B378D9"/>
    <w:rsid w:val="00B44E03"/>
    <w:rsid w:val="00B61586"/>
    <w:rsid w:val="00B618BA"/>
    <w:rsid w:val="00B66B80"/>
    <w:rsid w:val="00B67C25"/>
    <w:rsid w:val="00B704D0"/>
    <w:rsid w:val="00B805DC"/>
    <w:rsid w:val="00B81072"/>
    <w:rsid w:val="00B828F1"/>
    <w:rsid w:val="00B83380"/>
    <w:rsid w:val="00B85763"/>
    <w:rsid w:val="00B93C47"/>
    <w:rsid w:val="00B96364"/>
    <w:rsid w:val="00B97097"/>
    <w:rsid w:val="00B9780B"/>
    <w:rsid w:val="00BA09F9"/>
    <w:rsid w:val="00BA282D"/>
    <w:rsid w:val="00BA351D"/>
    <w:rsid w:val="00BA3D40"/>
    <w:rsid w:val="00BB00A4"/>
    <w:rsid w:val="00BB0DAC"/>
    <w:rsid w:val="00BB0E64"/>
    <w:rsid w:val="00BB6260"/>
    <w:rsid w:val="00BC0AC2"/>
    <w:rsid w:val="00BC1396"/>
    <w:rsid w:val="00BC21AB"/>
    <w:rsid w:val="00BE4518"/>
    <w:rsid w:val="00BE73B5"/>
    <w:rsid w:val="00BE7512"/>
    <w:rsid w:val="00BF0CB8"/>
    <w:rsid w:val="00BF10F4"/>
    <w:rsid w:val="00BF6C18"/>
    <w:rsid w:val="00BF7EF1"/>
    <w:rsid w:val="00C02781"/>
    <w:rsid w:val="00C03D51"/>
    <w:rsid w:val="00C05E74"/>
    <w:rsid w:val="00C07462"/>
    <w:rsid w:val="00C10C19"/>
    <w:rsid w:val="00C11726"/>
    <w:rsid w:val="00C12DC5"/>
    <w:rsid w:val="00C1422F"/>
    <w:rsid w:val="00C143B8"/>
    <w:rsid w:val="00C14574"/>
    <w:rsid w:val="00C165AE"/>
    <w:rsid w:val="00C169F7"/>
    <w:rsid w:val="00C17D02"/>
    <w:rsid w:val="00C22D17"/>
    <w:rsid w:val="00C30F9D"/>
    <w:rsid w:val="00C322E5"/>
    <w:rsid w:val="00C34F25"/>
    <w:rsid w:val="00C404C6"/>
    <w:rsid w:val="00C42383"/>
    <w:rsid w:val="00C5649C"/>
    <w:rsid w:val="00C6499E"/>
    <w:rsid w:val="00C65892"/>
    <w:rsid w:val="00C673AC"/>
    <w:rsid w:val="00C674ED"/>
    <w:rsid w:val="00C75486"/>
    <w:rsid w:val="00C76A5F"/>
    <w:rsid w:val="00C80635"/>
    <w:rsid w:val="00C8202C"/>
    <w:rsid w:val="00C92712"/>
    <w:rsid w:val="00C92A5B"/>
    <w:rsid w:val="00C9580A"/>
    <w:rsid w:val="00C95C9B"/>
    <w:rsid w:val="00C9668A"/>
    <w:rsid w:val="00CA1414"/>
    <w:rsid w:val="00CA16F7"/>
    <w:rsid w:val="00CA46EC"/>
    <w:rsid w:val="00CB1F78"/>
    <w:rsid w:val="00CB2DE6"/>
    <w:rsid w:val="00CB48ED"/>
    <w:rsid w:val="00CC1CEB"/>
    <w:rsid w:val="00CC201A"/>
    <w:rsid w:val="00CC68F8"/>
    <w:rsid w:val="00CD1891"/>
    <w:rsid w:val="00CD2328"/>
    <w:rsid w:val="00CD33AB"/>
    <w:rsid w:val="00CD35D4"/>
    <w:rsid w:val="00CD3A14"/>
    <w:rsid w:val="00CE05F2"/>
    <w:rsid w:val="00CE3069"/>
    <w:rsid w:val="00CE47BC"/>
    <w:rsid w:val="00CF195F"/>
    <w:rsid w:val="00CF51A5"/>
    <w:rsid w:val="00CF6EB8"/>
    <w:rsid w:val="00D01F1E"/>
    <w:rsid w:val="00D032E5"/>
    <w:rsid w:val="00D05B29"/>
    <w:rsid w:val="00D10222"/>
    <w:rsid w:val="00D1394D"/>
    <w:rsid w:val="00D14245"/>
    <w:rsid w:val="00D15683"/>
    <w:rsid w:val="00D16646"/>
    <w:rsid w:val="00D21844"/>
    <w:rsid w:val="00D33BAA"/>
    <w:rsid w:val="00D35478"/>
    <w:rsid w:val="00D35888"/>
    <w:rsid w:val="00D40D27"/>
    <w:rsid w:val="00D4273F"/>
    <w:rsid w:val="00D4359B"/>
    <w:rsid w:val="00D45C13"/>
    <w:rsid w:val="00D47740"/>
    <w:rsid w:val="00D47EE1"/>
    <w:rsid w:val="00D5228A"/>
    <w:rsid w:val="00D540AF"/>
    <w:rsid w:val="00D55A20"/>
    <w:rsid w:val="00D55F50"/>
    <w:rsid w:val="00D614BE"/>
    <w:rsid w:val="00D634FE"/>
    <w:rsid w:val="00D812B9"/>
    <w:rsid w:val="00D81D0C"/>
    <w:rsid w:val="00D81E96"/>
    <w:rsid w:val="00D8439D"/>
    <w:rsid w:val="00D858F7"/>
    <w:rsid w:val="00D86904"/>
    <w:rsid w:val="00D86E52"/>
    <w:rsid w:val="00D903FD"/>
    <w:rsid w:val="00D91319"/>
    <w:rsid w:val="00D944C0"/>
    <w:rsid w:val="00D947D8"/>
    <w:rsid w:val="00D94BC5"/>
    <w:rsid w:val="00D9514B"/>
    <w:rsid w:val="00D96C08"/>
    <w:rsid w:val="00DA34D5"/>
    <w:rsid w:val="00DA377F"/>
    <w:rsid w:val="00DA3D48"/>
    <w:rsid w:val="00DA45B5"/>
    <w:rsid w:val="00DA7C6C"/>
    <w:rsid w:val="00DB3284"/>
    <w:rsid w:val="00DB32A8"/>
    <w:rsid w:val="00DB5576"/>
    <w:rsid w:val="00DC1D69"/>
    <w:rsid w:val="00DC3052"/>
    <w:rsid w:val="00DC35CC"/>
    <w:rsid w:val="00DC76D7"/>
    <w:rsid w:val="00DD1CA5"/>
    <w:rsid w:val="00DD3510"/>
    <w:rsid w:val="00DD3B09"/>
    <w:rsid w:val="00DD516B"/>
    <w:rsid w:val="00DE55A3"/>
    <w:rsid w:val="00DE76DF"/>
    <w:rsid w:val="00DF31EF"/>
    <w:rsid w:val="00DF33F5"/>
    <w:rsid w:val="00DF46C4"/>
    <w:rsid w:val="00DF7785"/>
    <w:rsid w:val="00E037BB"/>
    <w:rsid w:val="00E06DC2"/>
    <w:rsid w:val="00E11319"/>
    <w:rsid w:val="00E1299E"/>
    <w:rsid w:val="00E15626"/>
    <w:rsid w:val="00E2400B"/>
    <w:rsid w:val="00E242DE"/>
    <w:rsid w:val="00E26132"/>
    <w:rsid w:val="00E261F3"/>
    <w:rsid w:val="00E32987"/>
    <w:rsid w:val="00E3323F"/>
    <w:rsid w:val="00E406B8"/>
    <w:rsid w:val="00E40AA6"/>
    <w:rsid w:val="00E40B6A"/>
    <w:rsid w:val="00E57471"/>
    <w:rsid w:val="00E57AB1"/>
    <w:rsid w:val="00E60E3C"/>
    <w:rsid w:val="00E61BB5"/>
    <w:rsid w:val="00E6223A"/>
    <w:rsid w:val="00E63207"/>
    <w:rsid w:val="00E67F7D"/>
    <w:rsid w:val="00E74EBF"/>
    <w:rsid w:val="00E75373"/>
    <w:rsid w:val="00E8295A"/>
    <w:rsid w:val="00E8543C"/>
    <w:rsid w:val="00E86A0C"/>
    <w:rsid w:val="00E905FE"/>
    <w:rsid w:val="00E93787"/>
    <w:rsid w:val="00E940B6"/>
    <w:rsid w:val="00E95032"/>
    <w:rsid w:val="00E955FA"/>
    <w:rsid w:val="00E97711"/>
    <w:rsid w:val="00EA1A0E"/>
    <w:rsid w:val="00EA2E96"/>
    <w:rsid w:val="00EA5F01"/>
    <w:rsid w:val="00EB002E"/>
    <w:rsid w:val="00EB2427"/>
    <w:rsid w:val="00EB6F2C"/>
    <w:rsid w:val="00EC15C2"/>
    <w:rsid w:val="00EC1CAD"/>
    <w:rsid w:val="00EC2014"/>
    <w:rsid w:val="00EC49EE"/>
    <w:rsid w:val="00EC5AEF"/>
    <w:rsid w:val="00EC64C4"/>
    <w:rsid w:val="00EC7680"/>
    <w:rsid w:val="00EC78E7"/>
    <w:rsid w:val="00ED2509"/>
    <w:rsid w:val="00ED43D2"/>
    <w:rsid w:val="00ED6233"/>
    <w:rsid w:val="00ED75B5"/>
    <w:rsid w:val="00ED7959"/>
    <w:rsid w:val="00EE2276"/>
    <w:rsid w:val="00EE310D"/>
    <w:rsid w:val="00EE3B8C"/>
    <w:rsid w:val="00EE5CD3"/>
    <w:rsid w:val="00EF41A6"/>
    <w:rsid w:val="00EF4A38"/>
    <w:rsid w:val="00EF4BF8"/>
    <w:rsid w:val="00EF7B9C"/>
    <w:rsid w:val="00F05F51"/>
    <w:rsid w:val="00F112E7"/>
    <w:rsid w:val="00F11B8F"/>
    <w:rsid w:val="00F11E95"/>
    <w:rsid w:val="00F12944"/>
    <w:rsid w:val="00F148A7"/>
    <w:rsid w:val="00F20FA2"/>
    <w:rsid w:val="00F21185"/>
    <w:rsid w:val="00F21D1C"/>
    <w:rsid w:val="00F24EBB"/>
    <w:rsid w:val="00F2530C"/>
    <w:rsid w:val="00F25B75"/>
    <w:rsid w:val="00F3211F"/>
    <w:rsid w:val="00F34DE2"/>
    <w:rsid w:val="00F36A6A"/>
    <w:rsid w:val="00F36C99"/>
    <w:rsid w:val="00F43DD2"/>
    <w:rsid w:val="00F4442F"/>
    <w:rsid w:val="00F46D89"/>
    <w:rsid w:val="00F50E91"/>
    <w:rsid w:val="00F519E0"/>
    <w:rsid w:val="00F537B5"/>
    <w:rsid w:val="00F55B55"/>
    <w:rsid w:val="00F56799"/>
    <w:rsid w:val="00F609D5"/>
    <w:rsid w:val="00F618C1"/>
    <w:rsid w:val="00F63D11"/>
    <w:rsid w:val="00F648C6"/>
    <w:rsid w:val="00F64DAA"/>
    <w:rsid w:val="00F66C45"/>
    <w:rsid w:val="00F71611"/>
    <w:rsid w:val="00F74011"/>
    <w:rsid w:val="00F7777F"/>
    <w:rsid w:val="00F80F82"/>
    <w:rsid w:val="00F815A4"/>
    <w:rsid w:val="00F819B2"/>
    <w:rsid w:val="00F8271B"/>
    <w:rsid w:val="00F858D6"/>
    <w:rsid w:val="00F87C8D"/>
    <w:rsid w:val="00F94D1C"/>
    <w:rsid w:val="00F95A0D"/>
    <w:rsid w:val="00F975AB"/>
    <w:rsid w:val="00F97D20"/>
    <w:rsid w:val="00FA0EA2"/>
    <w:rsid w:val="00FA3E2A"/>
    <w:rsid w:val="00FA60F7"/>
    <w:rsid w:val="00FA7813"/>
    <w:rsid w:val="00FB10CB"/>
    <w:rsid w:val="00FB506F"/>
    <w:rsid w:val="00FB74FB"/>
    <w:rsid w:val="00FC2A3E"/>
    <w:rsid w:val="00FC4A07"/>
    <w:rsid w:val="00FD072E"/>
    <w:rsid w:val="00FD6925"/>
    <w:rsid w:val="00FE3739"/>
    <w:rsid w:val="00FE473D"/>
    <w:rsid w:val="00FE546D"/>
    <w:rsid w:val="00FE7675"/>
    <w:rsid w:val="00FF1065"/>
    <w:rsid w:val="00FF417F"/>
    <w:rsid w:val="00FF5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1A113E"/>
    <w:pPr>
      <w:spacing w:after="240" w:line="240" w:lineRule="auto"/>
      <w:contextualSpacing/>
      <w:outlineLvl w:val="0"/>
    </w:pPr>
    <w:rPr>
      <w:rFonts w:ascii="Calibri" w:eastAsiaTheme="majorEastAsia" w:hAnsi="Calibri" w:cstheme="majorBidi"/>
      <w:bCs/>
      <w:color w:val="003D6B"/>
      <w:sz w:val="44"/>
      <w:szCs w:val="28"/>
    </w:rPr>
  </w:style>
  <w:style w:type="paragraph" w:styleId="Heading2">
    <w:name w:val="heading 2"/>
    <w:basedOn w:val="Normal"/>
    <w:next w:val="Normal"/>
    <w:link w:val="Heading2Char"/>
    <w:uiPriority w:val="9"/>
    <w:unhideWhenUsed/>
    <w:qFormat/>
    <w:rsid w:val="00C673AC"/>
    <w:pPr>
      <w:spacing w:before="200" w:after="0"/>
      <w:outlineLvl w:val="1"/>
    </w:pPr>
    <w:rPr>
      <w:rFonts w:ascii="Calibri" w:eastAsiaTheme="majorEastAsia" w:hAnsi="Calibri" w:cstheme="majorBidi"/>
      <w:bCs/>
      <w:color w:val="0B2B43" w:themeColor="accent1" w:themeShade="80"/>
      <w:sz w:val="26"/>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B805DC"/>
    <w:pPr>
      <w:spacing w:before="200" w:after="0"/>
      <w:outlineLvl w:val="3"/>
    </w:pPr>
    <w:rPr>
      <w:rFonts w:ascii="Calibri" w:eastAsiaTheme="majorEastAsia" w:hAnsi="Calibri" w:cstheme="majorBidi"/>
      <w:bCs/>
      <w:iCs/>
      <w:sz w:val="24"/>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1A113E"/>
    <w:rPr>
      <w:rFonts w:ascii="Calibri" w:eastAsiaTheme="majorEastAsia" w:hAnsi="Calibri" w:cstheme="majorBidi"/>
      <w:bCs/>
      <w:color w:val="003D6B"/>
      <w:sz w:val="44"/>
      <w:szCs w:val="28"/>
    </w:rPr>
  </w:style>
  <w:style w:type="character" w:customStyle="1" w:styleId="Heading2Char">
    <w:name w:val="Heading 2 Char"/>
    <w:basedOn w:val="DefaultParagraphFont"/>
    <w:link w:val="Heading2"/>
    <w:uiPriority w:val="9"/>
    <w:rsid w:val="00C673AC"/>
    <w:rPr>
      <w:rFonts w:ascii="Calibri" w:eastAsiaTheme="majorEastAsia" w:hAnsi="Calibri" w:cstheme="majorBidi"/>
      <w:bCs/>
      <w:color w:val="0B2B43" w:themeColor="accent1" w:themeShade="80"/>
      <w:sz w:val="26"/>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B805DC"/>
    <w:rPr>
      <w:rFonts w:ascii="Calibri" w:eastAsiaTheme="majorEastAsia" w:hAnsi="Calibri" w:cstheme="majorBidi"/>
      <w:bCs/>
      <w:iCs/>
      <w:sz w:val="24"/>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FE5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FE546D"/>
    <w:rPr>
      <w:rFonts w:ascii="Arial" w:eastAsia="Times New Roman" w:hAnsi="Arial" w:cs="Times New Roman"/>
      <w:sz w:val="20"/>
      <w:szCs w:val="20"/>
    </w:rPr>
  </w:style>
  <w:style w:type="character" w:styleId="FootnoteReference">
    <w:name w:val="footnote reference"/>
    <w:basedOn w:val="DefaultParagraphFont"/>
    <w:uiPriority w:val="99"/>
    <w:unhideWhenUsed/>
    <w:rsid w:val="00FE546D"/>
    <w:rPr>
      <w:vertAlign w:val="superscript"/>
    </w:rPr>
  </w:style>
  <w:style w:type="paragraph" w:styleId="EndnoteText">
    <w:name w:val="endnote text"/>
    <w:basedOn w:val="Normal"/>
    <w:link w:val="EndnoteTextChar"/>
    <w:uiPriority w:val="99"/>
    <w:semiHidden/>
    <w:unhideWhenUsed/>
    <w:rsid w:val="00725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F80"/>
    <w:rPr>
      <w:sz w:val="20"/>
      <w:szCs w:val="20"/>
    </w:rPr>
  </w:style>
  <w:style w:type="character" w:styleId="EndnoteReference">
    <w:name w:val="endnote reference"/>
    <w:basedOn w:val="DefaultParagraphFont"/>
    <w:uiPriority w:val="99"/>
    <w:semiHidden/>
    <w:unhideWhenUsed/>
    <w:rsid w:val="00725F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1A113E"/>
    <w:pPr>
      <w:spacing w:after="240" w:line="240" w:lineRule="auto"/>
      <w:contextualSpacing/>
      <w:outlineLvl w:val="0"/>
    </w:pPr>
    <w:rPr>
      <w:rFonts w:ascii="Calibri" w:eastAsiaTheme="majorEastAsia" w:hAnsi="Calibri" w:cstheme="majorBidi"/>
      <w:bCs/>
      <w:color w:val="003D6B"/>
      <w:sz w:val="44"/>
      <w:szCs w:val="28"/>
    </w:rPr>
  </w:style>
  <w:style w:type="paragraph" w:styleId="Heading2">
    <w:name w:val="heading 2"/>
    <w:basedOn w:val="Normal"/>
    <w:next w:val="Normal"/>
    <w:link w:val="Heading2Char"/>
    <w:uiPriority w:val="9"/>
    <w:unhideWhenUsed/>
    <w:qFormat/>
    <w:rsid w:val="00C673AC"/>
    <w:pPr>
      <w:spacing w:before="200" w:after="0"/>
      <w:outlineLvl w:val="1"/>
    </w:pPr>
    <w:rPr>
      <w:rFonts w:ascii="Calibri" w:eastAsiaTheme="majorEastAsia" w:hAnsi="Calibri" w:cstheme="majorBidi"/>
      <w:bCs/>
      <w:color w:val="0B2B43" w:themeColor="accent1" w:themeShade="80"/>
      <w:sz w:val="26"/>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B805DC"/>
    <w:pPr>
      <w:spacing w:before="200" w:after="0"/>
      <w:outlineLvl w:val="3"/>
    </w:pPr>
    <w:rPr>
      <w:rFonts w:ascii="Calibri" w:eastAsiaTheme="majorEastAsia" w:hAnsi="Calibri" w:cstheme="majorBidi"/>
      <w:bCs/>
      <w:iCs/>
      <w:sz w:val="24"/>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1A113E"/>
    <w:rPr>
      <w:rFonts w:ascii="Calibri" w:eastAsiaTheme="majorEastAsia" w:hAnsi="Calibri" w:cstheme="majorBidi"/>
      <w:bCs/>
      <w:color w:val="003D6B"/>
      <w:sz w:val="44"/>
      <w:szCs w:val="28"/>
    </w:rPr>
  </w:style>
  <w:style w:type="character" w:customStyle="1" w:styleId="Heading2Char">
    <w:name w:val="Heading 2 Char"/>
    <w:basedOn w:val="DefaultParagraphFont"/>
    <w:link w:val="Heading2"/>
    <w:uiPriority w:val="9"/>
    <w:rsid w:val="00C673AC"/>
    <w:rPr>
      <w:rFonts w:ascii="Calibri" w:eastAsiaTheme="majorEastAsia" w:hAnsi="Calibri" w:cstheme="majorBidi"/>
      <w:bCs/>
      <w:color w:val="0B2B43" w:themeColor="accent1" w:themeShade="80"/>
      <w:sz w:val="26"/>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B805DC"/>
    <w:rPr>
      <w:rFonts w:ascii="Calibri" w:eastAsiaTheme="majorEastAsia" w:hAnsi="Calibri" w:cstheme="majorBidi"/>
      <w:bCs/>
      <w:iCs/>
      <w:sz w:val="24"/>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4665"/>
    <w:pPr>
      <w:spacing w:after="120" w:line="240" w:lineRule="auto"/>
      <w:contextualSpacing/>
    </w:pPr>
    <w:rPr>
      <w:rFonts w:ascii="Calibri" w:eastAsiaTheme="majorEastAsia" w:hAnsi="Calibri" w:cstheme="majorBidi"/>
      <w:color w:val="003D6B"/>
      <w:spacing w:val="5"/>
      <w:sz w:val="60"/>
      <w:szCs w:val="60"/>
    </w:rPr>
  </w:style>
  <w:style w:type="character" w:customStyle="1" w:styleId="TitleChar">
    <w:name w:val="Title Char"/>
    <w:basedOn w:val="DefaultParagraphFont"/>
    <w:link w:val="Title"/>
    <w:uiPriority w:val="10"/>
    <w:rsid w:val="00804665"/>
    <w:rPr>
      <w:rFonts w:ascii="Calibri" w:eastAsiaTheme="majorEastAsia" w:hAnsi="Calibri" w:cstheme="majorBidi"/>
      <w:color w:val="003D6B"/>
      <w:spacing w:val="5"/>
      <w:sz w:val="60"/>
      <w:szCs w:val="60"/>
    </w:rPr>
  </w:style>
  <w:style w:type="paragraph" w:styleId="Subtitle">
    <w:name w:val="Subtitle"/>
    <w:basedOn w:val="Normal"/>
    <w:next w:val="Normal"/>
    <w:link w:val="SubtitleChar"/>
    <w:uiPriority w:val="11"/>
    <w:qFormat/>
    <w:rsid w:val="00804665"/>
    <w:pPr>
      <w:spacing w:after="240"/>
    </w:pPr>
    <w:rPr>
      <w:rFonts w:ascii="Calibri" w:eastAsiaTheme="majorEastAsia" w:hAnsi="Calibri" w:cstheme="majorBidi"/>
      <w:iCs/>
      <w:color w:val="003D6B"/>
      <w:spacing w:val="13"/>
      <w:sz w:val="40"/>
      <w:szCs w:val="40"/>
    </w:rPr>
  </w:style>
  <w:style w:type="character" w:customStyle="1" w:styleId="SubtitleChar">
    <w:name w:val="Subtitle Char"/>
    <w:basedOn w:val="DefaultParagraphFont"/>
    <w:link w:val="Subtitle"/>
    <w:uiPriority w:val="11"/>
    <w:rsid w:val="00804665"/>
    <w:rPr>
      <w:rFonts w:ascii="Calibri" w:eastAsiaTheme="majorEastAsia" w:hAnsi="Calibri" w:cstheme="majorBidi"/>
      <w:iCs/>
      <w:color w:val="003D6B"/>
      <w:spacing w:val="13"/>
      <w:sz w:val="40"/>
      <w:szCs w:val="40"/>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1F1C07"/>
    <w:rPr>
      <w:b/>
      <w:bCs/>
      <w:i/>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DC76D7"/>
    <w:pPr>
      <w:numPr>
        <w:numId w:val="21"/>
      </w:numPr>
      <w:spacing w:after="120"/>
      <w:contextualSpacing/>
    </w:pPr>
  </w:style>
  <w:style w:type="paragraph" w:styleId="ListNumber2">
    <w:name w:val="List Number 2"/>
    <w:basedOn w:val="Normal"/>
    <w:uiPriority w:val="99"/>
    <w:unhideWhenUsed/>
    <w:rsid w:val="00DC76D7"/>
    <w:pPr>
      <w:numPr>
        <w:ilvl w:val="1"/>
        <w:numId w:val="21"/>
      </w:numPr>
      <w:tabs>
        <w:tab w:val="left" w:pos="1134"/>
      </w:tabs>
      <w:spacing w:after="120"/>
      <w:contextualSpacing/>
    </w:pPr>
  </w:style>
  <w:style w:type="paragraph" w:styleId="ListNumber3">
    <w:name w:val="List Number 3"/>
    <w:basedOn w:val="Normal"/>
    <w:uiPriority w:val="99"/>
    <w:unhideWhenUsed/>
    <w:rsid w:val="00DC76D7"/>
    <w:pPr>
      <w:numPr>
        <w:ilvl w:val="2"/>
        <w:numId w:val="21"/>
      </w:numPr>
      <w:spacing w:after="120"/>
      <w:contextualSpacing/>
    </w:pPr>
  </w:style>
  <w:style w:type="paragraph" w:styleId="ListNumber4">
    <w:name w:val="List Number 4"/>
    <w:basedOn w:val="Normal"/>
    <w:uiPriority w:val="99"/>
    <w:unhideWhenUsed/>
    <w:rsid w:val="00DC76D7"/>
    <w:pPr>
      <w:numPr>
        <w:ilvl w:val="3"/>
        <w:numId w:val="21"/>
      </w:numPr>
      <w:spacing w:after="120"/>
      <w:contextualSpacing/>
    </w:pPr>
  </w:style>
  <w:style w:type="paragraph" w:styleId="ListBullet">
    <w:name w:val="List Bullet"/>
    <w:basedOn w:val="Normal"/>
    <w:uiPriority w:val="99"/>
    <w:unhideWhenUsed/>
    <w:rsid w:val="00EC64C4"/>
    <w:pPr>
      <w:numPr>
        <w:numId w:val="23"/>
      </w:numPr>
      <w:spacing w:after="120"/>
      <w:contextualSpacing/>
    </w:pPr>
  </w:style>
  <w:style w:type="paragraph" w:styleId="ListBullet2">
    <w:name w:val="List Bullet 2"/>
    <w:basedOn w:val="Normal"/>
    <w:uiPriority w:val="99"/>
    <w:unhideWhenUsed/>
    <w:rsid w:val="00EC64C4"/>
    <w:pPr>
      <w:numPr>
        <w:ilvl w:val="1"/>
        <w:numId w:val="23"/>
      </w:numPr>
      <w:spacing w:after="120"/>
      <w:contextualSpacing/>
    </w:pPr>
  </w:style>
  <w:style w:type="paragraph" w:styleId="ListBullet3">
    <w:name w:val="List Bullet 3"/>
    <w:basedOn w:val="Normal"/>
    <w:uiPriority w:val="99"/>
    <w:unhideWhenUsed/>
    <w:rsid w:val="00EC64C4"/>
    <w:pPr>
      <w:numPr>
        <w:ilvl w:val="2"/>
        <w:numId w:val="23"/>
      </w:numPr>
      <w:spacing w:after="120"/>
      <w:contextualSpacing/>
    </w:pPr>
  </w:style>
  <w:style w:type="paragraph" w:styleId="ListBullet4">
    <w:name w:val="List Bullet 4"/>
    <w:basedOn w:val="Normal"/>
    <w:uiPriority w:val="99"/>
    <w:unhideWhenUsed/>
    <w:rsid w:val="00EC64C4"/>
    <w:pPr>
      <w:numPr>
        <w:ilvl w:val="3"/>
        <w:numId w:val="2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03408"/>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rPr>
        <w:tblHeader/>
      </w:tr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6C4962"/>
    <w:rPr>
      <w:color w:val="00746B"/>
    </w:rPr>
  </w:style>
  <w:style w:type="numbering" w:customStyle="1" w:styleId="NumberedList">
    <w:name w:val="Numbered List"/>
    <w:uiPriority w:val="99"/>
    <w:rsid w:val="00DC76D7"/>
    <w:pPr>
      <w:numPr>
        <w:numId w:val="21"/>
      </w:numPr>
    </w:pPr>
  </w:style>
  <w:style w:type="numbering" w:customStyle="1" w:styleId="BulletList">
    <w:name w:val="Bullet List"/>
    <w:uiPriority w:val="99"/>
    <w:rsid w:val="00EC64C4"/>
    <w:pPr>
      <w:numPr>
        <w:numId w:val="23"/>
      </w:numPr>
    </w:pPr>
  </w:style>
  <w:style w:type="paragraph" w:styleId="ListNumber5">
    <w:name w:val="List Number 5"/>
    <w:basedOn w:val="Normal"/>
    <w:uiPriority w:val="99"/>
    <w:semiHidden/>
    <w:unhideWhenUsed/>
    <w:rsid w:val="00DC76D7"/>
    <w:pPr>
      <w:numPr>
        <w:ilvl w:val="4"/>
        <w:numId w:val="21"/>
      </w:numPr>
      <w:contextualSpacing/>
    </w:pPr>
  </w:style>
  <w:style w:type="paragraph" w:styleId="ListBullet5">
    <w:name w:val="List Bullet 5"/>
    <w:basedOn w:val="Normal"/>
    <w:uiPriority w:val="99"/>
    <w:semiHidden/>
    <w:unhideWhenUsed/>
    <w:rsid w:val="00EC64C4"/>
    <w:pPr>
      <w:numPr>
        <w:ilvl w:val="4"/>
        <w:numId w:val="23"/>
      </w:numPr>
      <w:contextualSpacing/>
    </w:pPr>
  </w:style>
  <w:style w:type="paragraph" w:styleId="FootnoteText">
    <w:name w:val="footnote text"/>
    <w:aliases w:val="Footnote Text Char1 Char,Footnote Text Char Char Char,Footnote Text Char1 Char Char Char,Footnote Text Char Char Char Char Char,Footnote Text Char1 Char1,Footnote Text Char Char Char1"/>
    <w:basedOn w:val="Normal"/>
    <w:link w:val="FootnoteTextChar"/>
    <w:uiPriority w:val="99"/>
    <w:unhideWhenUsed/>
    <w:rsid w:val="00FE546D"/>
    <w:pPr>
      <w:spacing w:after="0" w:line="240" w:lineRule="auto"/>
    </w:pPr>
    <w:rPr>
      <w:rFonts w:ascii="Arial" w:eastAsia="Times New Roman" w:hAnsi="Arial" w:cs="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Footnote Text Char Char Char1 Char"/>
    <w:basedOn w:val="DefaultParagraphFont"/>
    <w:link w:val="FootnoteText"/>
    <w:uiPriority w:val="99"/>
    <w:rsid w:val="00FE546D"/>
    <w:rPr>
      <w:rFonts w:ascii="Arial" w:eastAsia="Times New Roman" w:hAnsi="Arial" w:cs="Times New Roman"/>
      <w:sz w:val="20"/>
      <w:szCs w:val="20"/>
    </w:rPr>
  </w:style>
  <w:style w:type="character" w:styleId="FootnoteReference">
    <w:name w:val="footnote reference"/>
    <w:basedOn w:val="DefaultParagraphFont"/>
    <w:uiPriority w:val="99"/>
    <w:unhideWhenUsed/>
    <w:rsid w:val="00FE546D"/>
    <w:rPr>
      <w:vertAlign w:val="superscript"/>
    </w:rPr>
  </w:style>
  <w:style w:type="paragraph" w:styleId="EndnoteText">
    <w:name w:val="endnote text"/>
    <w:basedOn w:val="Normal"/>
    <w:link w:val="EndnoteTextChar"/>
    <w:uiPriority w:val="99"/>
    <w:semiHidden/>
    <w:unhideWhenUsed/>
    <w:rsid w:val="00725F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5F80"/>
    <w:rPr>
      <w:sz w:val="20"/>
      <w:szCs w:val="20"/>
    </w:rPr>
  </w:style>
  <w:style w:type="character" w:styleId="EndnoteReference">
    <w:name w:val="endnote reference"/>
    <w:basedOn w:val="DefaultParagraphFont"/>
    <w:uiPriority w:val="99"/>
    <w:semiHidden/>
    <w:unhideWhenUsed/>
    <w:rsid w:val="00725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212291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surveys@employment.gov.au" TargetMode="Externa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8C34FD-0F40-4705-8A37-FE49B4DC378E}"/>
</file>

<file path=customXml/itemProps2.xml><?xml version="1.0" encoding="utf-8"?>
<ds:datastoreItem xmlns:ds="http://schemas.openxmlformats.org/officeDocument/2006/customXml" ds:itemID="{AFEC3E16-C541-4A6E-B15E-9B5D28DEBEED}"/>
</file>

<file path=customXml/itemProps3.xml><?xml version="1.0" encoding="utf-8"?>
<ds:datastoreItem xmlns:ds="http://schemas.openxmlformats.org/officeDocument/2006/customXml" ds:itemID="{93D81BCD-4EDC-4865-8E55-DCCCDF95E234}"/>
</file>

<file path=customXml/itemProps4.xml><?xml version="1.0" encoding="utf-8"?>
<ds:datastoreItem xmlns:ds="http://schemas.openxmlformats.org/officeDocument/2006/customXml" ds:itemID="{B10F5722-E9B1-42EA-B9A5-760E7E0D36AA}"/>
</file>

<file path=docProps/app.xml><?xml version="1.0" encoding="utf-8"?>
<Properties xmlns="http://schemas.openxmlformats.org/officeDocument/2006/extended-properties" xmlns:vt="http://schemas.openxmlformats.org/officeDocument/2006/docPropsVTypes">
  <Template>7554F3DE.dotm</Template>
  <TotalTime>0</TotalTime>
  <Pages>4</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2015-12-02T22:36:00Z</dcterms:created>
  <dcterms:modified xsi:type="dcterms:W3CDTF">2015-12-17T23:23:00Z</dcterms:modified>
</cp:coreProperties>
</file>