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5D" w:rsidRDefault="0062165D" w:rsidP="0062165D">
      <w:pPr>
        <w:pStyle w:val="Department"/>
      </w:pPr>
    </w:p>
    <w:p w:rsidR="0062165D" w:rsidRDefault="0062165D" w:rsidP="0062165D">
      <w:pPr>
        <w:pStyle w:val="Department"/>
        <w:spacing w:before="1320"/>
      </w:pPr>
      <w:bookmarkStart w:id="0" w:name="_Toc448134585"/>
      <w:proofErr w:type="spellStart"/>
      <w:r>
        <w:t>Comcare</w:t>
      </w:r>
      <w:proofErr w:type="spellEnd"/>
      <w:r>
        <w:t>, the Safety, Rehabilitation and Compensation Commission, and the Seafarers Safety, Rehabilitation and Compensation Authority</w:t>
      </w:r>
      <w:bookmarkEnd w:id="0"/>
    </w:p>
    <w:p w:rsidR="0062165D" w:rsidRDefault="0062165D" w:rsidP="0062165D">
      <w:pPr>
        <w:pStyle w:val="DepartmentSubtitle"/>
        <w:spacing w:before="2080"/>
      </w:pPr>
      <w:r>
        <w:t>Entity resources and planned perf</w:t>
      </w:r>
      <w:bookmarkStart w:id="1" w:name="_GoBack"/>
      <w:bookmarkEnd w:id="1"/>
      <w:r>
        <w:t>ormance</w:t>
      </w:r>
    </w:p>
    <w:p w:rsidR="0062165D" w:rsidRDefault="0062165D" w:rsidP="0062165D">
      <w:pPr>
        <w:pStyle w:val="ContentsHeading"/>
        <w:sectPr w:rsidR="0062165D" w:rsidSect="0062165D">
          <w:footerReference w:type="even" r:id="rId8"/>
          <w:footerReference w:type="default" r:id="rId9"/>
          <w:pgSz w:w="11907" w:h="16839" w:code="9"/>
          <w:pgMar w:top="2466" w:right="2098" w:bottom="2466" w:left="2098" w:header="1899" w:footer="1899" w:gutter="0"/>
          <w:pgNumType w:start="67"/>
          <w:cols w:space="708"/>
          <w:titlePg/>
          <w:docGrid w:linePitch="360"/>
        </w:sectPr>
      </w:pPr>
    </w:p>
    <w:p w:rsidR="0062165D" w:rsidRDefault="0062165D" w:rsidP="0062165D">
      <w:pPr>
        <w:pStyle w:val="ContentsHeading"/>
        <w:rPr>
          <w:noProof/>
        </w:rPr>
      </w:pPr>
      <w:proofErr w:type="spellStart"/>
      <w:r>
        <w:lastRenderedPageBreak/>
        <w:t>Comcare</w:t>
      </w:r>
      <w:proofErr w:type="spellEnd"/>
      <w:r>
        <w:t xml:space="preserve">, the Safety, Rehabilitation and Compensation Commission, and the </w:t>
      </w:r>
      <w:r>
        <w:br/>
        <w:t>Seafarers Safety, Rehabilitation and Compensation Authority</w:t>
      </w:r>
      <w:r>
        <w:fldChar w:fldCharType="begin"/>
      </w:r>
      <w:r>
        <w:instrText xml:space="preserve"> TOC \h \z \t "Heading 2,1,Heading 3,2" </w:instrText>
      </w:r>
      <w:r>
        <w:fldChar w:fldCharType="separate"/>
      </w:r>
    </w:p>
    <w:p w:rsidR="0062165D" w:rsidRDefault="0062165D" w:rsidP="0062165D">
      <w:pPr>
        <w:pStyle w:val="TOC1"/>
        <w:rPr>
          <w:rFonts w:asciiTheme="minorHAnsi" w:eastAsiaTheme="minorEastAsia" w:hAnsiTheme="minorHAnsi" w:cstheme="minorBidi"/>
          <w:b w:val="0"/>
          <w:noProof/>
          <w:sz w:val="22"/>
          <w:szCs w:val="22"/>
        </w:rPr>
      </w:pPr>
      <w:hyperlink w:anchor="_Toc449623590" w:history="1">
        <w:r w:rsidRPr="0082770A">
          <w:rPr>
            <w:rStyle w:val="Hyperlink"/>
            <w:noProof/>
          </w:rPr>
          <w:t>Section 1: Entity overview and resources</w:t>
        </w:r>
        <w:r>
          <w:rPr>
            <w:noProof/>
            <w:webHidden/>
          </w:rPr>
          <w:tab/>
        </w:r>
        <w:r>
          <w:rPr>
            <w:noProof/>
            <w:webHidden/>
          </w:rPr>
          <w:fldChar w:fldCharType="begin"/>
        </w:r>
        <w:r>
          <w:rPr>
            <w:noProof/>
            <w:webHidden/>
          </w:rPr>
          <w:instrText xml:space="preserve"> PAGEREF _Toc449623590 \h </w:instrText>
        </w:r>
        <w:r>
          <w:rPr>
            <w:noProof/>
            <w:webHidden/>
          </w:rPr>
        </w:r>
        <w:r>
          <w:rPr>
            <w:noProof/>
            <w:webHidden/>
          </w:rPr>
          <w:fldChar w:fldCharType="separate"/>
        </w:r>
        <w:r>
          <w:rPr>
            <w:noProof/>
            <w:webHidden/>
          </w:rPr>
          <w:t>71</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1" w:history="1">
        <w:r w:rsidRPr="0082770A">
          <w:rPr>
            <w:rStyle w:val="Hyperlink"/>
            <w:noProof/>
          </w:rPr>
          <w:t>1.1</w:t>
        </w:r>
        <w:r>
          <w:rPr>
            <w:rFonts w:asciiTheme="minorHAnsi" w:eastAsiaTheme="minorEastAsia" w:hAnsiTheme="minorHAnsi" w:cstheme="minorBidi"/>
            <w:noProof/>
            <w:sz w:val="22"/>
            <w:szCs w:val="22"/>
          </w:rPr>
          <w:tab/>
        </w:r>
        <w:r w:rsidRPr="0082770A">
          <w:rPr>
            <w:rStyle w:val="Hyperlink"/>
            <w:noProof/>
          </w:rPr>
          <w:t>Strategic direction statement</w:t>
        </w:r>
        <w:r>
          <w:rPr>
            <w:noProof/>
            <w:webHidden/>
          </w:rPr>
          <w:tab/>
        </w:r>
        <w:r>
          <w:rPr>
            <w:noProof/>
            <w:webHidden/>
          </w:rPr>
          <w:fldChar w:fldCharType="begin"/>
        </w:r>
        <w:r>
          <w:rPr>
            <w:noProof/>
            <w:webHidden/>
          </w:rPr>
          <w:instrText xml:space="preserve"> PAGEREF _Toc449623591 \h </w:instrText>
        </w:r>
        <w:r>
          <w:rPr>
            <w:noProof/>
            <w:webHidden/>
          </w:rPr>
        </w:r>
        <w:r>
          <w:rPr>
            <w:noProof/>
            <w:webHidden/>
          </w:rPr>
          <w:fldChar w:fldCharType="separate"/>
        </w:r>
        <w:r>
          <w:rPr>
            <w:noProof/>
            <w:webHidden/>
          </w:rPr>
          <w:t>71</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2" w:history="1">
        <w:r w:rsidRPr="0082770A">
          <w:rPr>
            <w:rStyle w:val="Hyperlink"/>
            <w:noProof/>
          </w:rPr>
          <w:t>1.2</w:t>
        </w:r>
        <w:r>
          <w:rPr>
            <w:rFonts w:asciiTheme="minorHAnsi" w:eastAsiaTheme="minorEastAsia" w:hAnsiTheme="minorHAnsi" w:cstheme="minorBidi"/>
            <w:noProof/>
            <w:sz w:val="22"/>
            <w:szCs w:val="22"/>
          </w:rPr>
          <w:tab/>
        </w:r>
        <w:r w:rsidRPr="0082770A">
          <w:rPr>
            <w:rStyle w:val="Hyperlink"/>
            <w:noProof/>
          </w:rPr>
          <w:t>Entity resource statement</w:t>
        </w:r>
        <w:r>
          <w:rPr>
            <w:noProof/>
            <w:webHidden/>
          </w:rPr>
          <w:tab/>
        </w:r>
        <w:r>
          <w:rPr>
            <w:noProof/>
            <w:webHidden/>
          </w:rPr>
          <w:fldChar w:fldCharType="begin"/>
        </w:r>
        <w:r>
          <w:rPr>
            <w:noProof/>
            <w:webHidden/>
          </w:rPr>
          <w:instrText xml:space="preserve"> PAGEREF _Toc449623592 \h </w:instrText>
        </w:r>
        <w:r>
          <w:rPr>
            <w:noProof/>
            <w:webHidden/>
          </w:rPr>
        </w:r>
        <w:r>
          <w:rPr>
            <w:noProof/>
            <w:webHidden/>
          </w:rPr>
          <w:fldChar w:fldCharType="separate"/>
        </w:r>
        <w:r>
          <w:rPr>
            <w:noProof/>
            <w:webHidden/>
          </w:rPr>
          <w:t>73</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3" w:history="1">
        <w:r w:rsidRPr="0082770A">
          <w:rPr>
            <w:rStyle w:val="Hyperlink"/>
            <w:noProof/>
          </w:rPr>
          <w:t>1.3</w:t>
        </w:r>
        <w:r>
          <w:rPr>
            <w:rFonts w:asciiTheme="minorHAnsi" w:eastAsiaTheme="minorEastAsia" w:hAnsiTheme="minorHAnsi" w:cstheme="minorBidi"/>
            <w:noProof/>
            <w:sz w:val="22"/>
            <w:szCs w:val="22"/>
          </w:rPr>
          <w:tab/>
        </w:r>
        <w:r w:rsidRPr="0082770A">
          <w:rPr>
            <w:rStyle w:val="Hyperlink"/>
            <w:noProof/>
          </w:rPr>
          <w:t>Budget Measures</w:t>
        </w:r>
        <w:r>
          <w:rPr>
            <w:noProof/>
            <w:webHidden/>
          </w:rPr>
          <w:tab/>
        </w:r>
        <w:r>
          <w:rPr>
            <w:noProof/>
            <w:webHidden/>
          </w:rPr>
          <w:fldChar w:fldCharType="begin"/>
        </w:r>
        <w:r>
          <w:rPr>
            <w:noProof/>
            <w:webHidden/>
          </w:rPr>
          <w:instrText xml:space="preserve"> PAGEREF _Toc449623593 \h </w:instrText>
        </w:r>
        <w:r>
          <w:rPr>
            <w:noProof/>
            <w:webHidden/>
          </w:rPr>
        </w:r>
        <w:r>
          <w:rPr>
            <w:noProof/>
            <w:webHidden/>
          </w:rPr>
          <w:fldChar w:fldCharType="separate"/>
        </w:r>
        <w:r>
          <w:rPr>
            <w:noProof/>
            <w:webHidden/>
          </w:rPr>
          <w:t>74</w:t>
        </w:r>
        <w:r>
          <w:rPr>
            <w:noProof/>
            <w:webHidden/>
          </w:rPr>
          <w:fldChar w:fldCharType="end"/>
        </w:r>
      </w:hyperlink>
    </w:p>
    <w:p w:rsidR="0062165D" w:rsidRDefault="0062165D" w:rsidP="0062165D">
      <w:pPr>
        <w:pStyle w:val="TOC1"/>
        <w:rPr>
          <w:rFonts w:asciiTheme="minorHAnsi" w:eastAsiaTheme="minorEastAsia" w:hAnsiTheme="minorHAnsi" w:cstheme="minorBidi"/>
          <w:b w:val="0"/>
          <w:noProof/>
          <w:sz w:val="22"/>
          <w:szCs w:val="22"/>
        </w:rPr>
      </w:pPr>
      <w:hyperlink w:anchor="_Toc449623594" w:history="1">
        <w:r w:rsidRPr="0082770A">
          <w:rPr>
            <w:rStyle w:val="Hyperlink"/>
            <w:noProof/>
          </w:rPr>
          <w:t>Section 2: Outcomes and planned performance</w:t>
        </w:r>
        <w:r>
          <w:rPr>
            <w:noProof/>
            <w:webHidden/>
          </w:rPr>
          <w:tab/>
        </w:r>
        <w:r>
          <w:rPr>
            <w:noProof/>
            <w:webHidden/>
          </w:rPr>
          <w:fldChar w:fldCharType="begin"/>
        </w:r>
        <w:r>
          <w:rPr>
            <w:noProof/>
            <w:webHidden/>
          </w:rPr>
          <w:instrText xml:space="preserve"> PAGEREF _Toc449623594 \h </w:instrText>
        </w:r>
        <w:r>
          <w:rPr>
            <w:noProof/>
            <w:webHidden/>
          </w:rPr>
        </w:r>
        <w:r>
          <w:rPr>
            <w:noProof/>
            <w:webHidden/>
          </w:rPr>
          <w:fldChar w:fldCharType="separate"/>
        </w:r>
        <w:r>
          <w:rPr>
            <w:noProof/>
            <w:webHidden/>
          </w:rPr>
          <w:t>75</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5" w:history="1">
        <w:r w:rsidRPr="0082770A">
          <w:rPr>
            <w:rStyle w:val="Hyperlink"/>
            <w:noProof/>
          </w:rPr>
          <w:t xml:space="preserve">2.1 </w:t>
        </w:r>
        <w:r>
          <w:rPr>
            <w:rFonts w:asciiTheme="minorHAnsi" w:eastAsiaTheme="minorEastAsia" w:hAnsiTheme="minorHAnsi" w:cstheme="minorBidi"/>
            <w:noProof/>
            <w:sz w:val="22"/>
            <w:szCs w:val="22"/>
          </w:rPr>
          <w:tab/>
        </w:r>
        <w:r w:rsidRPr="0082770A">
          <w:rPr>
            <w:rStyle w:val="Hyperlink"/>
            <w:noProof/>
          </w:rPr>
          <w:t>Budgeted expenses and performance for Outcome 1</w:t>
        </w:r>
        <w:r>
          <w:rPr>
            <w:noProof/>
            <w:webHidden/>
          </w:rPr>
          <w:tab/>
        </w:r>
        <w:r>
          <w:rPr>
            <w:noProof/>
            <w:webHidden/>
          </w:rPr>
          <w:fldChar w:fldCharType="begin"/>
        </w:r>
        <w:r>
          <w:rPr>
            <w:noProof/>
            <w:webHidden/>
          </w:rPr>
          <w:instrText xml:space="preserve"> PAGEREF _Toc449623595 \h </w:instrText>
        </w:r>
        <w:r>
          <w:rPr>
            <w:noProof/>
            <w:webHidden/>
          </w:rPr>
        </w:r>
        <w:r>
          <w:rPr>
            <w:noProof/>
            <w:webHidden/>
          </w:rPr>
          <w:fldChar w:fldCharType="separate"/>
        </w:r>
        <w:r>
          <w:rPr>
            <w:noProof/>
            <w:webHidden/>
          </w:rPr>
          <w:t>76</w:t>
        </w:r>
        <w:r>
          <w:rPr>
            <w:noProof/>
            <w:webHidden/>
          </w:rPr>
          <w:fldChar w:fldCharType="end"/>
        </w:r>
      </w:hyperlink>
    </w:p>
    <w:p w:rsidR="0062165D" w:rsidRDefault="0062165D" w:rsidP="0062165D">
      <w:pPr>
        <w:pStyle w:val="TOC1"/>
        <w:rPr>
          <w:rFonts w:asciiTheme="minorHAnsi" w:eastAsiaTheme="minorEastAsia" w:hAnsiTheme="minorHAnsi" w:cstheme="minorBidi"/>
          <w:b w:val="0"/>
          <w:noProof/>
          <w:sz w:val="22"/>
          <w:szCs w:val="22"/>
        </w:rPr>
      </w:pPr>
      <w:hyperlink w:anchor="_Toc449623596" w:history="1">
        <w:r w:rsidRPr="0082770A">
          <w:rPr>
            <w:rStyle w:val="Hyperlink"/>
            <w:noProof/>
          </w:rPr>
          <w:t>Section 3: Budgeted financial statements</w:t>
        </w:r>
        <w:r>
          <w:rPr>
            <w:noProof/>
            <w:webHidden/>
          </w:rPr>
          <w:tab/>
        </w:r>
        <w:r>
          <w:rPr>
            <w:noProof/>
            <w:webHidden/>
          </w:rPr>
          <w:fldChar w:fldCharType="begin"/>
        </w:r>
        <w:r>
          <w:rPr>
            <w:noProof/>
            <w:webHidden/>
          </w:rPr>
          <w:instrText xml:space="preserve"> PAGEREF _Toc449623596 \h </w:instrText>
        </w:r>
        <w:r>
          <w:rPr>
            <w:noProof/>
            <w:webHidden/>
          </w:rPr>
        </w:r>
        <w:r>
          <w:rPr>
            <w:noProof/>
            <w:webHidden/>
          </w:rPr>
          <w:fldChar w:fldCharType="separate"/>
        </w:r>
        <w:r>
          <w:rPr>
            <w:noProof/>
            <w:webHidden/>
          </w:rPr>
          <w:t>84</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7" w:history="1">
        <w:r w:rsidRPr="0082770A">
          <w:rPr>
            <w:rStyle w:val="Hyperlink"/>
            <w:noProof/>
          </w:rPr>
          <w:t>3.1</w:t>
        </w:r>
        <w:r>
          <w:rPr>
            <w:rFonts w:asciiTheme="minorHAnsi" w:eastAsiaTheme="minorEastAsia" w:hAnsiTheme="minorHAnsi" w:cstheme="minorBidi"/>
            <w:noProof/>
            <w:sz w:val="22"/>
            <w:szCs w:val="22"/>
          </w:rPr>
          <w:tab/>
        </w:r>
        <w:r w:rsidRPr="0082770A">
          <w:rPr>
            <w:rStyle w:val="Hyperlink"/>
            <w:noProof/>
          </w:rPr>
          <w:t>Budgeted financial statements</w:t>
        </w:r>
        <w:r>
          <w:rPr>
            <w:noProof/>
            <w:webHidden/>
          </w:rPr>
          <w:tab/>
        </w:r>
        <w:r>
          <w:rPr>
            <w:noProof/>
            <w:webHidden/>
          </w:rPr>
          <w:fldChar w:fldCharType="begin"/>
        </w:r>
        <w:r>
          <w:rPr>
            <w:noProof/>
            <w:webHidden/>
          </w:rPr>
          <w:instrText xml:space="preserve"> PAGEREF _Toc449623597 \h </w:instrText>
        </w:r>
        <w:r>
          <w:rPr>
            <w:noProof/>
            <w:webHidden/>
          </w:rPr>
        </w:r>
        <w:r>
          <w:rPr>
            <w:noProof/>
            <w:webHidden/>
          </w:rPr>
          <w:fldChar w:fldCharType="separate"/>
        </w:r>
        <w:r>
          <w:rPr>
            <w:noProof/>
            <w:webHidden/>
          </w:rPr>
          <w:t>84</w:t>
        </w:r>
        <w:r>
          <w:rPr>
            <w:noProof/>
            <w:webHidden/>
          </w:rPr>
          <w:fldChar w:fldCharType="end"/>
        </w:r>
      </w:hyperlink>
    </w:p>
    <w:p w:rsidR="0062165D" w:rsidRDefault="0062165D" w:rsidP="0062165D">
      <w:pPr>
        <w:pStyle w:val="TOC2"/>
        <w:tabs>
          <w:tab w:val="left" w:pos="800"/>
        </w:tabs>
        <w:rPr>
          <w:rFonts w:asciiTheme="minorHAnsi" w:eastAsiaTheme="minorEastAsia" w:hAnsiTheme="minorHAnsi" w:cstheme="minorBidi"/>
          <w:noProof/>
          <w:sz w:val="22"/>
          <w:szCs w:val="22"/>
        </w:rPr>
      </w:pPr>
      <w:hyperlink w:anchor="_Toc449623598" w:history="1">
        <w:r w:rsidRPr="0082770A">
          <w:rPr>
            <w:rStyle w:val="Hyperlink"/>
            <w:noProof/>
          </w:rPr>
          <w:t>3.2.1</w:t>
        </w:r>
        <w:r>
          <w:rPr>
            <w:rFonts w:asciiTheme="minorHAnsi" w:eastAsiaTheme="minorEastAsia" w:hAnsiTheme="minorHAnsi" w:cstheme="minorBidi"/>
            <w:noProof/>
            <w:sz w:val="22"/>
            <w:szCs w:val="22"/>
          </w:rPr>
          <w:tab/>
        </w:r>
        <w:r w:rsidRPr="0082770A">
          <w:rPr>
            <w:rStyle w:val="Hyperlink"/>
            <w:noProof/>
          </w:rPr>
          <w:t>Budgeted financial statements tables</w:t>
        </w:r>
        <w:r>
          <w:rPr>
            <w:noProof/>
            <w:webHidden/>
          </w:rPr>
          <w:tab/>
        </w:r>
        <w:r>
          <w:rPr>
            <w:noProof/>
            <w:webHidden/>
          </w:rPr>
          <w:fldChar w:fldCharType="begin"/>
        </w:r>
        <w:r>
          <w:rPr>
            <w:noProof/>
            <w:webHidden/>
          </w:rPr>
          <w:instrText xml:space="preserve"> PAGEREF _Toc449623598 \h </w:instrText>
        </w:r>
        <w:r>
          <w:rPr>
            <w:noProof/>
            <w:webHidden/>
          </w:rPr>
        </w:r>
        <w:r>
          <w:rPr>
            <w:noProof/>
            <w:webHidden/>
          </w:rPr>
          <w:fldChar w:fldCharType="separate"/>
        </w:r>
        <w:r>
          <w:rPr>
            <w:noProof/>
            <w:webHidden/>
          </w:rPr>
          <w:t>86</w:t>
        </w:r>
        <w:r>
          <w:rPr>
            <w:noProof/>
            <w:webHidden/>
          </w:rPr>
          <w:fldChar w:fldCharType="end"/>
        </w:r>
      </w:hyperlink>
    </w:p>
    <w:p w:rsidR="0062165D" w:rsidRPr="00EA2EE8" w:rsidRDefault="0062165D" w:rsidP="0062165D">
      <w:pPr>
        <w:pStyle w:val="TOC2"/>
        <w:tabs>
          <w:tab w:val="left" w:pos="800"/>
        </w:tabs>
        <w:rPr>
          <w:rFonts w:asciiTheme="minorHAnsi" w:eastAsiaTheme="minorEastAsia" w:hAnsiTheme="minorHAnsi" w:cstheme="minorBidi"/>
          <w:noProof/>
          <w:sz w:val="22"/>
          <w:szCs w:val="22"/>
        </w:rPr>
      </w:pPr>
      <w:r>
        <w:fldChar w:fldCharType="end"/>
      </w:r>
    </w:p>
    <w:p w:rsidR="0062165D" w:rsidRDefault="0062165D" w:rsidP="0062165D"/>
    <w:p w:rsidR="0062165D" w:rsidRDefault="0062165D" w:rsidP="0062165D">
      <w:pPr>
        <w:pStyle w:val="Heading1"/>
        <w:sectPr w:rsidR="0062165D" w:rsidSect="00503D00">
          <w:headerReference w:type="default" r:id="rId10"/>
          <w:type w:val="oddPage"/>
          <w:pgSz w:w="11907" w:h="16839" w:code="9"/>
          <w:pgMar w:top="2466" w:right="2098" w:bottom="2466" w:left="2098" w:header="1899" w:footer="1899" w:gutter="0"/>
          <w:cols w:space="708"/>
          <w:docGrid w:linePitch="360"/>
        </w:sectPr>
      </w:pPr>
      <w:bookmarkStart w:id="2" w:name="_Toc447611888"/>
    </w:p>
    <w:p w:rsidR="0062165D" w:rsidRDefault="0062165D" w:rsidP="0062165D">
      <w:pPr>
        <w:pStyle w:val="Heading1"/>
      </w:pPr>
      <w:proofErr w:type="spellStart"/>
      <w:r>
        <w:lastRenderedPageBreak/>
        <w:t>Comcare</w:t>
      </w:r>
      <w:proofErr w:type="spellEnd"/>
      <w:r>
        <w:t xml:space="preserve">, the Safety, Rehabilitation and Compensation Commission, and the </w:t>
      </w:r>
      <w:r>
        <w:br/>
        <w:t>Seafarers Safety, Rehabilitation and Compensation Authority</w:t>
      </w:r>
      <w:bookmarkEnd w:id="2"/>
    </w:p>
    <w:p w:rsidR="0062165D" w:rsidRPr="002C4D41" w:rsidRDefault="0062165D" w:rsidP="0062165D">
      <w:pPr>
        <w:pStyle w:val="Heading2"/>
      </w:pPr>
      <w:bookmarkStart w:id="3" w:name="_Toc447006805"/>
      <w:bookmarkStart w:id="4" w:name="_Toc447007143"/>
      <w:bookmarkStart w:id="5" w:name="_Toc447008264"/>
      <w:bookmarkStart w:id="6" w:name="_Toc447008910"/>
      <w:bookmarkStart w:id="7" w:name="_Toc447012767"/>
      <w:bookmarkStart w:id="8" w:name="_Toc447013763"/>
      <w:bookmarkStart w:id="9" w:name="_Toc447016736"/>
      <w:bookmarkStart w:id="10" w:name="_Toc447115163"/>
      <w:bookmarkStart w:id="11" w:name="_Toc447115246"/>
      <w:bookmarkStart w:id="12" w:name="_Toc447116719"/>
      <w:bookmarkStart w:id="13" w:name="_Toc447117950"/>
      <w:bookmarkStart w:id="14" w:name="_Toc447119385"/>
      <w:bookmarkStart w:id="15" w:name="_Toc447709888"/>
      <w:bookmarkStart w:id="16" w:name="_Toc449623590"/>
      <w:r w:rsidRPr="002C4D41">
        <w:t>Section 1: Entity overview and resources</w:t>
      </w:r>
      <w:bookmarkEnd w:id="3"/>
      <w:bookmarkEnd w:id="4"/>
      <w:bookmarkEnd w:id="5"/>
      <w:bookmarkEnd w:id="6"/>
      <w:bookmarkEnd w:id="7"/>
      <w:bookmarkEnd w:id="8"/>
      <w:bookmarkEnd w:id="9"/>
      <w:bookmarkEnd w:id="10"/>
      <w:bookmarkEnd w:id="11"/>
      <w:bookmarkEnd w:id="12"/>
      <w:bookmarkEnd w:id="13"/>
      <w:bookmarkEnd w:id="14"/>
      <w:bookmarkEnd w:id="15"/>
      <w:bookmarkEnd w:id="16"/>
    </w:p>
    <w:p w:rsidR="0062165D" w:rsidRDefault="0062165D" w:rsidP="0062165D">
      <w:pPr>
        <w:pStyle w:val="Heading3"/>
      </w:pPr>
      <w:bookmarkStart w:id="17" w:name="_Toc447006806"/>
      <w:bookmarkStart w:id="18" w:name="_Toc447007144"/>
      <w:bookmarkStart w:id="19" w:name="_Toc447008265"/>
      <w:bookmarkStart w:id="20" w:name="_Toc447008911"/>
      <w:bookmarkStart w:id="21" w:name="_Toc447012768"/>
      <w:bookmarkStart w:id="22" w:name="_Toc447013764"/>
      <w:bookmarkStart w:id="23" w:name="_Toc447016737"/>
      <w:bookmarkStart w:id="24" w:name="_Toc447115164"/>
      <w:bookmarkStart w:id="25" w:name="_Toc447115247"/>
      <w:bookmarkStart w:id="26" w:name="_Toc447116720"/>
      <w:bookmarkStart w:id="27" w:name="_Toc447117951"/>
      <w:bookmarkStart w:id="28" w:name="_Toc447119386"/>
      <w:bookmarkStart w:id="29" w:name="_Toc447709889"/>
      <w:bookmarkStart w:id="30" w:name="_Toc449623591"/>
      <w:r>
        <w:t>1.1</w:t>
      </w:r>
      <w:r>
        <w:tab/>
        <w:t>Strategic direction statement</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2165D" w:rsidRPr="00CE3C11" w:rsidRDefault="0062165D" w:rsidP="0062165D">
      <w:proofErr w:type="spellStart"/>
      <w:r w:rsidRPr="00CE3C11">
        <w:t>Comcare</w:t>
      </w:r>
      <w:proofErr w:type="spellEnd"/>
      <w:r w:rsidRPr="00CE3C11">
        <w:t xml:space="preserve"> supports participation and productivity nationally through healthy and safe workplaces that minimise the impact of harm.</w:t>
      </w:r>
    </w:p>
    <w:p w:rsidR="0062165D" w:rsidRPr="00CE3C11" w:rsidRDefault="0062165D" w:rsidP="0062165D">
      <w:r w:rsidRPr="00CE3C11">
        <w:t xml:space="preserve">In addition to claims management and regulatory responsibilities, </w:t>
      </w:r>
      <w:proofErr w:type="spellStart"/>
      <w:r w:rsidRPr="00CE3C11">
        <w:t>Comcare</w:t>
      </w:r>
      <w:proofErr w:type="spellEnd"/>
      <w:r w:rsidRPr="00CE3C11">
        <w:t xml:space="preserve"> manages Commonwealth common law liabilities for asbestos compensation. The agency also provides secretariat and related functions to support the Safety, Rehabilitation and Compensation Commission (</w:t>
      </w:r>
      <w:proofErr w:type="spellStart"/>
      <w:r w:rsidRPr="00CE3C11">
        <w:t>SRCC</w:t>
      </w:r>
      <w:proofErr w:type="spellEnd"/>
      <w:r w:rsidRPr="00CE3C11">
        <w:t>) and the Seafarers Safety, Rehabilitation and Compensation Authority (</w:t>
      </w:r>
      <w:proofErr w:type="spellStart"/>
      <w:r w:rsidRPr="00CE3C11">
        <w:t>Seacare</w:t>
      </w:r>
      <w:proofErr w:type="spellEnd"/>
      <w:r w:rsidRPr="00CE3C11">
        <w:t xml:space="preserve"> Authority).</w:t>
      </w:r>
    </w:p>
    <w:p w:rsidR="0062165D" w:rsidRPr="00CE3C11" w:rsidRDefault="0062165D" w:rsidP="0062165D">
      <w:proofErr w:type="spellStart"/>
      <w:r w:rsidRPr="00CE3C11">
        <w:t>Comcare</w:t>
      </w:r>
      <w:proofErr w:type="spellEnd"/>
      <w:r w:rsidRPr="00CE3C11">
        <w:t xml:space="preserve"> is ensuring that the delivery of  strategic prioriti</w:t>
      </w:r>
      <w:r>
        <w:t>es are articulated through its c</w:t>
      </w:r>
      <w:r w:rsidRPr="00CE3C11">
        <w:t xml:space="preserve">orporate </w:t>
      </w:r>
      <w:r>
        <w:t>p</w:t>
      </w:r>
      <w:r w:rsidRPr="00CE3C11">
        <w:t xml:space="preserve">lan, and that </w:t>
      </w:r>
      <w:proofErr w:type="spellStart"/>
      <w:r w:rsidRPr="00CE3C11">
        <w:t>Comcare</w:t>
      </w:r>
      <w:proofErr w:type="spellEnd"/>
      <w:r w:rsidRPr="00CE3C11">
        <w:t xml:space="preserve"> continues to be an efficient and effective regulator, a cost effective national insurer, and an adaptable organisation, demonstrating leadership in identifying and delivering strategies to minimise harm in the workplace. </w:t>
      </w:r>
    </w:p>
    <w:p w:rsidR="0062165D" w:rsidRPr="00CE3C11" w:rsidRDefault="0062165D" w:rsidP="0062165D">
      <w:pPr>
        <w:spacing w:line="260" w:lineRule="exact"/>
        <w:jc w:val="both"/>
      </w:pPr>
      <w:proofErr w:type="spellStart"/>
      <w:r w:rsidRPr="00CE3C11">
        <w:t>Comcare’s</w:t>
      </w:r>
      <w:proofErr w:type="spellEnd"/>
      <w:r w:rsidRPr="00CE3C11">
        <w:t xml:space="preserve"> national strategic priorities in 2016</w:t>
      </w:r>
      <w:r>
        <w:t>–</w:t>
      </w:r>
      <w:r w:rsidRPr="00CE3C11">
        <w:t>17 include:</w:t>
      </w:r>
    </w:p>
    <w:p w:rsidR="0062165D" w:rsidRPr="00CE3C11" w:rsidRDefault="0062165D" w:rsidP="0062165D">
      <w:pPr>
        <w:pStyle w:val="Bullets"/>
      </w:pPr>
      <w:r>
        <w:t>w</w:t>
      </w:r>
      <w:r w:rsidRPr="00CE3C11">
        <w:t>ork, health and safety leadership</w:t>
      </w:r>
      <w:r>
        <w:t>—</w:t>
      </w:r>
      <w:r w:rsidRPr="00CE3C11">
        <w:t>developing a policy narrative with a focus on productivity and participation, and influencing the workplace wellbeing dialogue through closer engagement with employers, employees, policy makers and researchers</w:t>
      </w:r>
    </w:p>
    <w:p w:rsidR="0062165D" w:rsidRPr="00CE3C11" w:rsidRDefault="0062165D" w:rsidP="0062165D">
      <w:pPr>
        <w:pStyle w:val="Bullets"/>
      </w:pPr>
      <w:r>
        <w:t>d</w:t>
      </w:r>
      <w:r w:rsidRPr="00CE3C11">
        <w:t>riving innovation and transformation of workplace initiatives through collaboration with stakeholders</w:t>
      </w:r>
    </w:p>
    <w:p w:rsidR="0062165D" w:rsidRPr="00CE3C11" w:rsidRDefault="0062165D" w:rsidP="0062165D">
      <w:pPr>
        <w:pStyle w:val="Bullets"/>
      </w:pPr>
      <w:r>
        <w:t>t</w:t>
      </w:r>
      <w:r w:rsidRPr="00CE3C11">
        <w:t>argeted regulation</w:t>
      </w:r>
      <w:r>
        <w:t>—</w:t>
      </w:r>
      <w:r w:rsidRPr="00CE3C11">
        <w:t>maintaining a focus on harm prevention using a modern model of regulation</w:t>
      </w:r>
    </w:p>
    <w:p w:rsidR="0062165D" w:rsidRPr="00CE3C11" w:rsidRDefault="0062165D" w:rsidP="0062165D">
      <w:pPr>
        <w:pStyle w:val="Bullets"/>
      </w:pPr>
      <w:r>
        <w:t>l</w:t>
      </w:r>
      <w:r w:rsidRPr="00CE3C11">
        <w:t>eading insurer</w:t>
      </w:r>
      <w:r>
        <w:t>—</w:t>
      </w:r>
      <w:r w:rsidRPr="00CE3C11">
        <w:t>delivering robust and transparent premium setting policies and engaging with employers to achieve better outcomes in claims management</w:t>
      </w:r>
    </w:p>
    <w:p w:rsidR="0062165D" w:rsidRPr="00CE3C11" w:rsidRDefault="0062165D" w:rsidP="0062165D">
      <w:pPr>
        <w:pStyle w:val="Bullets"/>
      </w:pPr>
      <w:r>
        <w:t>f</w:t>
      </w:r>
      <w:r w:rsidRPr="00CE3C11">
        <w:t>resh approaches</w:t>
      </w:r>
      <w:r>
        <w:t>—</w:t>
      </w:r>
      <w:r w:rsidRPr="00CE3C11">
        <w:t>generating and understanding business intelligence to guide policy and operations</w:t>
      </w:r>
    </w:p>
    <w:p w:rsidR="0062165D" w:rsidRPr="00CE3C11" w:rsidRDefault="0062165D" w:rsidP="0062165D">
      <w:pPr>
        <w:pStyle w:val="Bullets"/>
        <w:rPr>
          <w:rFonts w:ascii="Calibri" w:eastAsia="Calibri" w:hAnsi="Calibri"/>
          <w:szCs w:val="22"/>
          <w:lang w:val="en-US"/>
        </w:rPr>
      </w:pPr>
      <w:proofErr w:type="gramStart"/>
      <w:r>
        <w:t>s</w:t>
      </w:r>
      <w:r w:rsidRPr="00CE3C11">
        <w:t>uccessful</w:t>
      </w:r>
      <w:proofErr w:type="gramEnd"/>
      <w:r w:rsidRPr="00CE3C11">
        <w:t xml:space="preserve"> business</w:t>
      </w:r>
      <w:r>
        <w:t>—</w:t>
      </w:r>
      <w:r w:rsidRPr="00CE3C11">
        <w:t xml:space="preserve">ensuring </w:t>
      </w:r>
      <w:proofErr w:type="spellStart"/>
      <w:r w:rsidRPr="00CE3C11">
        <w:t>Comcare’s</w:t>
      </w:r>
      <w:proofErr w:type="spellEnd"/>
      <w:r w:rsidRPr="00CE3C11">
        <w:t xml:space="preserve"> capability supports the vision and obligations of the organisation. </w:t>
      </w:r>
    </w:p>
    <w:p w:rsidR="0062165D" w:rsidRPr="00CE3C11" w:rsidRDefault="0062165D" w:rsidP="0062165D">
      <w:pPr>
        <w:keepNext/>
        <w:keepLines/>
        <w:spacing w:line="260" w:lineRule="exact"/>
        <w:jc w:val="both"/>
      </w:pPr>
      <w:proofErr w:type="spellStart"/>
      <w:r w:rsidRPr="00CE3C11">
        <w:lastRenderedPageBreak/>
        <w:t>Comcare</w:t>
      </w:r>
      <w:proofErr w:type="spellEnd"/>
      <w:r w:rsidRPr="00CE3C11">
        <w:t xml:space="preserve"> will continue to:</w:t>
      </w:r>
    </w:p>
    <w:p w:rsidR="0062165D" w:rsidRPr="00CE3C11" w:rsidRDefault="0062165D" w:rsidP="0062165D">
      <w:pPr>
        <w:pStyle w:val="Bullets"/>
      </w:pPr>
      <w:proofErr w:type="gramStart"/>
      <w:r>
        <w:t>w</w:t>
      </w:r>
      <w:r w:rsidRPr="00CE3C11">
        <w:t>ork</w:t>
      </w:r>
      <w:proofErr w:type="gramEnd"/>
      <w:r w:rsidRPr="00CE3C11">
        <w:t xml:space="preserve"> with employers to deliver best practice in rehabilitation and compensation claims management to achieve early and safe return to work for workers covered by the </w:t>
      </w:r>
      <w:proofErr w:type="spellStart"/>
      <w:r w:rsidRPr="00CE3C11">
        <w:t>Comcare</w:t>
      </w:r>
      <w:proofErr w:type="spellEnd"/>
      <w:r w:rsidRPr="00CE3C11">
        <w:t xml:space="preserve"> scheme</w:t>
      </w:r>
      <w:r>
        <w:t xml:space="preserve">. This is achieved using </w:t>
      </w:r>
      <w:proofErr w:type="spellStart"/>
      <w:r>
        <w:t>Comcare’s</w:t>
      </w:r>
      <w:proofErr w:type="spellEnd"/>
      <w:r>
        <w:t xml:space="preserve"> Active Management Model and continuing work on the Health Benefits of Work Initiative.</w:t>
      </w:r>
    </w:p>
    <w:p w:rsidR="0062165D" w:rsidRPr="00CE3C11" w:rsidRDefault="0062165D" w:rsidP="0062165D">
      <w:pPr>
        <w:pStyle w:val="Bullets"/>
      </w:pPr>
      <w:r>
        <w:t>d</w:t>
      </w:r>
      <w:r w:rsidRPr="00CE3C11">
        <w:t>eliver education, assurance and enforcement to protect the health, safety and welfare of workers covered by the scheme</w:t>
      </w:r>
    </w:p>
    <w:p w:rsidR="0062165D" w:rsidRPr="00CE3C11" w:rsidRDefault="0062165D" w:rsidP="0062165D">
      <w:pPr>
        <w:pStyle w:val="Bullets"/>
      </w:pPr>
      <w:proofErr w:type="gramStart"/>
      <w:r>
        <w:t>p</w:t>
      </w:r>
      <w:r w:rsidRPr="00CE3C11">
        <w:t>rovide</w:t>
      </w:r>
      <w:proofErr w:type="gramEnd"/>
      <w:r w:rsidRPr="00CE3C11">
        <w:t xml:space="preserve"> access to compensation for people with asbestos-related diseases where the Commonwealth has a liability through the management of claims.</w:t>
      </w:r>
    </w:p>
    <w:p w:rsidR="0062165D" w:rsidRDefault="0062165D" w:rsidP="0062165D">
      <w:proofErr w:type="spellStart"/>
      <w:r>
        <w:t>Comcare</w:t>
      </w:r>
      <w:proofErr w:type="spellEnd"/>
      <w:r>
        <w:t xml:space="preserve"> is committed to delivering regulation consistent with the Australian Government’s Regulator Performance Framework. </w:t>
      </w:r>
    </w:p>
    <w:p w:rsidR="0062165D" w:rsidRDefault="0062165D" w:rsidP="0062165D">
      <w:proofErr w:type="spellStart"/>
      <w:r w:rsidRPr="00CE3C11">
        <w:t>Comcare’s</w:t>
      </w:r>
      <w:proofErr w:type="spellEnd"/>
      <w:r w:rsidRPr="00CE3C11">
        <w:t xml:space="preserve"> strategic direction and priority actions are clear and in alignment to ensure the coherence, capability and adaptability of an organisation going forward.</w:t>
      </w:r>
    </w:p>
    <w:p w:rsidR="0062165D" w:rsidRDefault="0062165D" w:rsidP="0062165D">
      <w:pPr>
        <w:pStyle w:val="Heading3"/>
      </w:pPr>
      <w:r>
        <w:br w:type="page"/>
      </w:r>
      <w:bookmarkStart w:id="31" w:name="_Toc447006807"/>
      <w:bookmarkStart w:id="32" w:name="_Toc447007145"/>
      <w:bookmarkStart w:id="33" w:name="_Toc447008266"/>
      <w:bookmarkStart w:id="34" w:name="_Toc447008912"/>
      <w:bookmarkStart w:id="35" w:name="_Toc447012769"/>
      <w:bookmarkStart w:id="36" w:name="_Toc447013765"/>
      <w:bookmarkStart w:id="37" w:name="_Toc447016738"/>
      <w:bookmarkStart w:id="38" w:name="_Toc447115165"/>
      <w:bookmarkStart w:id="39" w:name="_Toc447115248"/>
      <w:bookmarkStart w:id="40" w:name="_Toc447116721"/>
      <w:bookmarkStart w:id="41" w:name="_Toc447117952"/>
      <w:bookmarkStart w:id="42" w:name="_Toc447119387"/>
      <w:bookmarkStart w:id="43" w:name="_Toc447709890"/>
      <w:bookmarkStart w:id="44" w:name="_Toc449623592"/>
      <w:r>
        <w:lastRenderedPageBreak/>
        <w:t>1.2</w:t>
      </w:r>
      <w:r>
        <w:tab/>
        <w:t>Entity resource statement</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2165D" w:rsidRDefault="0062165D" w:rsidP="0062165D">
      <w:r>
        <w:t xml:space="preserve">Table 1.1 shows the total funding from all sources available to </w:t>
      </w:r>
      <w:proofErr w:type="spellStart"/>
      <w:r>
        <w:t>Comcare</w:t>
      </w:r>
      <w:proofErr w:type="spellEnd"/>
      <w:r>
        <w:t xml:space="preserve"> for its operations and to deliver programs and services on behalf of the government. </w:t>
      </w:r>
    </w:p>
    <w:p w:rsidR="0062165D" w:rsidRDefault="0062165D" w:rsidP="0062165D">
      <w:r>
        <w:t>The table summarises how resources will be applied by outcome (government strategic policy objectives), and by administered (on behalf of the government or the public) and departmental (for the entity’s operations) classification.</w:t>
      </w:r>
    </w:p>
    <w:p w:rsidR="0062165D" w:rsidRDefault="0062165D" w:rsidP="0062165D">
      <w:r>
        <w:t xml:space="preserve">For more detailed information please refer to </w:t>
      </w:r>
      <w:r w:rsidRPr="00351ACA">
        <w:rPr>
          <w:i/>
        </w:rPr>
        <w:t>Budget Paper No. 4—Agency Resourcing</w:t>
      </w:r>
      <w:r>
        <w:t>.</w:t>
      </w:r>
    </w:p>
    <w:p w:rsidR="0062165D" w:rsidRPr="00CE3C11" w:rsidRDefault="0062165D" w:rsidP="0062165D">
      <w:pPr>
        <w:ind w:right="-86"/>
      </w:pPr>
      <w:r>
        <w:t>Information in this table is presented on a resourcing (i.e. appropriations/cash available) basis, whilst the ‘Budgeted expenses by Outcome 1’ table in Section 2 and the financial statements in Section 3 are presented on an accrual basis.</w:t>
      </w:r>
    </w:p>
    <w:p w:rsidR="0062165D" w:rsidRPr="00CE3C11" w:rsidRDefault="0062165D" w:rsidP="0062165D">
      <w:pPr>
        <w:pStyle w:val="TableHeading"/>
        <w:ind w:right="-86"/>
      </w:pPr>
      <w:r w:rsidRPr="00CE3C11">
        <w:t xml:space="preserve">Table 1.1: </w:t>
      </w:r>
      <w:proofErr w:type="spellStart"/>
      <w:r w:rsidRPr="00CE3C11">
        <w:rPr>
          <w:lang w:val="en-US"/>
        </w:rPr>
        <w:t>Comcare</w:t>
      </w:r>
      <w:proofErr w:type="spellEnd"/>
      <w:r w:rsidRPr="00CE3C11">
        <w:rPr>
          <w:lang w:val="en-US"/>
        </w:rPr>
        <w:t xml:space="preserve"> </w:t>
      </w:r>
      <w:r>
        <w:t>resource statement—Budget estimates for 2016–</w:t>
      </w:r>
      <w:r w:rsidRPr="00CE3C11">
        <w:t>17 as at Budget May 2016</w:t>
      </w:r>
    </w:p>
    <w:p w:rsidR="0062165D" w:rsidRDefault="0062165D" w:rsidP="0062165D">
      <w:pPr>
        <w:pStyle w:val="ChartandTableFootnote"/>
      </w:pPr>
      <w:r w:rsidRPr="00466EBF">
        <w:rPr>
          <w:noProof/>
          <w:lang w:val="en-AU" w:eastAsia="en-AU"/>
        </w:rPr>
        <w:drawing>
          <wp:inline distT="0" distB="0" distL="0" distR="0" wp14:anchorId="0057747D" wp14:editId="361C8E9E">
            <wp:extent cx="4684395" cy="3597275"/>
            <wp:effectExtent l="0" t="0" r="1905" b="317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4395" cy="3597275"/>
                    </a:xfrm>
                    <a:prstGeom prst="rect">
                      <a:avLst/>
                    </a:prstGeom>
                    <a:noFill/>
                    <a:ln>
                      <a:noFill/>
                    </a:ln>
                  </pic:spPr>
                </pic:pic>
              </a:graphicData>
            </a:graphic>
          </wp:inline>
        </w:drawing>
      </w:r>
      <w:r w:rsidRPr="00920420">
        <w:t xml:space="preserve"> </w:t>
      </w:r>
    </w:p>
    <w:p w:rsidR="0062165D" w:rsidRDefault="0062165D" w:rsidP="0062165D">
      <w:pPr>
        <w:pStyle w:val="TableHeading"/>
        <w:spacing w:after="0"/>
        <w:rPr>
          <w:rStyle w:val="ChartandTableFootnoteChar"/>
          <w:b w:val="0"/>
          <w:lang w:val="en-AU"/>
        </w:rPr>
      </w:pPr>
      <w:r w:rsidRPr="007973A8">
        <w:rPr>
          <w:rStyle w:val="ChartandTableFootnoteChar"/>
          <w:b w:val="0"/>
        </w:rPr>
        <w:t>Please note: All figures shown above are GST exclusive—these may not match figures in the cash flow</w:t>
      </w:r>
      <w:r w:rsidRPr="00920420">
        <w:rPr>
          <w:rStyle w:val="ChartandTableFootnoteChar"/>
          <w:b w:val="0"/>
        </w:rPr>
        <w:t xml:space="preserve"> statement</w:t>
      </w:r>
    </w:p>
    <w:p w:rsidR="0062165D" w:rsidRDefault="0062165D" w:rsidP="0062165D">
      <w:pPr>
        <w:pStyle w:val="ChartandTableFootnoteAlpha"/>
        <w:numPr>
          <w:ilvl w:val="0"/>
          <w:numId w:val="5"/>
        </w:numPr>
        <w:spacing w:before="120"/>
      </w:pPr>
      <w:r>
        <w:t>Appropriation Bill (</w:t>
      </w:r>
      <w:proofErr w:type="spellStart"/>
      <w:r>
        <w:t>No.1</w:t>
      </w:r>
      <w:proofErr w:type="spellEnd"/>
      <w:r>
        <w:t>) 2016–17.</w:t>
      </w:r>
    </w:p>
    <w:p w:rsidR="0062165D" w:rsidRDefault="0062165D" w:rsidP="0062165D">
      <w:pPr>
        <w:pStyle w:val="ChartandTableFootnoteAlpha"/>
      </w:pPr>
      <w:proofErr w:type="spellStart"/>
      <w:r>
        <w:t>Comcare</w:t>
      </w:r>
      <w:proofErr w:type="spellEnd"/>
      <w:r>
        <w:t xml:space="preserve"> is not directly appropriated as it is a corporate Commonwealth entity. Grants from its portfolio department include special appropriations under the </w:t>
      </w:r>
      <w:r w:rsidRPr="00920420">
        <w:rPr>
          <w:i/>
        </w:rPr>
        <w:t>Safety, Rehabilitation and Compensation Act 1988</w:t>
      </w:r>
      <w:r>
        <w:t xml:space="preserve"> for the payment of pre-premium claims costs and the </w:t>
      </w:r>
      <w:r w:rsidRPr="00466EBF">
        <w:rPr>
          <w:i/>
        </w:rPr>
        <w:t>Asbestos-related</w:t>
      </w:r>
      <w:r>
        <w:t xml:space="preserve"> </w:t>
      </w:r>
      <w:r w:rsidRPr="00920420">
        <w:rPr>
          <w:i/>
        </w:rPr>
        <w:t>Claims (Management of Commonwealth Liabilities) Act 2005</w:t>
      </w:r>
      <w:r>
        <w:t xml:space="preserve"> for asbestos-related claims settlements.</w:t>
      </w:r>
      <w:r>
        <w:br w:type="page"/>
      </w:r>
    </w:p>
    <w:p w:rsidR="0062165D" w:rsidRDefault="0062165D" w:rsidP="0062165D">
      <w:pPr>
        <w:pStyle w:val="Heading3"/>
      </w:pPr>
      <w:bookmarkStart w:id="45" w:name="_Toc449623593"/>
      <w:r>
        <w:lastRenderedPageBreak/>
        <w:t>1.3</w:t>
      </w:r>
      <w:r>
        <w:tab/>
        <w:t>Budget Measures</w:t>
      </w:r>
      <w:bookmarkEnd w:id="45"/>
    </w:p>
    <w:p w:rsidR="0062165D" w:rsidRPr="008A6E5F" w:rsidRDefault="0062165D" w:rsidP="0062165D">
      <w:pPr>
        <w:pStyle w:val="TableHeading"/>
        <w:rPr>
          <w:lang w:val="en-AU"/>
        </w:rPr>
      </w:pPr>
      <w:bookmarkStart w:id="46" w:name="_Toc447006808"/>
      <w:bookmarkStart w:id="47" w:name="_Toc447007146"/>
      <w:bookmarkStart w:id="48" w:name="_Toc447008267"/>
      <w:bookmarkStart w:id="49" w:name="_Toc447008913"/>
      <w:bookmarkStart w:id="50" w:name="_Toc447012770"/>
      <w:bookmarkStart w:id="51" w:name="_Toc447013766"/>
      <w:bookmarkStart w:id="52" w:name="_Toc447016739"/>
      <w:bookmarkStart w:id="53" w:name="_Toc447115166"/>
      <w:bookmarkStart w:id="54" w:name="_Toc447115249"/>
      <w:bookmarkStart w:id="55" w:name="_Toc447116722"/>
      <w:bookmarkStart w:id="56" w:name="_Toc447117953"/>
      <w:bookmarkStart w:id="57" w:name="_Toc447119388"/>
      <w:bookmarkStart w:id="58" w:name="_Toc447709891"/>
      <w:r>
        <w:rPr>
          <w:lang w:val="en-AU"/>
        </w:rPr>
        <w:t>Part 1</w:t>
      </w:r>
      <w:bookmarkEnd w:id="46"/>
      <w:bookmarkEnd w:id="47"/>
      <w:bookmarkEnd w:id="48"/>
      <w:bookmarkEnd w:id="49"/>
      <w:bookmarkEnd w:id="50"/>
      <w:bookmarkEnd w:id="51"/>
      <w:bookmarkEnd w:id="52"/>
      <w:bookmarkEnd w:id="53"/>
      <w:bookmarkEnd w:id="54"/>
      <w:bookmarkEnd w:id="55"/>
      <w:bookmarkEnd w:id="56"/>
      <w:bookmarkEnd w:id="57"/>
      <w:bookmarkEnd w:id="58"/>
      <w:r>
        <w:rPr>
          <w:lang w:val="en-AU"/>
        </w:rPr>
        <w:t xml:space="preserve">: Measures announced since the 2015–16 </w:t>
      </w:r>
      <w:proofErr w:type="spellStart"/>
      <w:r>
        <w:rPr>
          <w:lang w:val="en-AU"/>
        </w:rPr>
        <w:t>MYEFO</w:t>
      </w:r>
      <w:proofErr w:type="spellEnd"/>
    </w:p>
    <w:p w:rsidR="0062165D" w:rsidRDefault="0062165D" w:rsidP="0062165D">
      <w:r w:rsidRPr="005B47F4">
        <w:rPr>
          <w:noProof/>
        </w:rPr>
        <w:drawing>
          <wp:inline distT="0" distB="0" distL="0" distR="0" wp14:anchorId="2B38FC6A" wp14:editId="4438425A">
            <wp:extent cx="4896485" cy="394788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6485" cy="3947885"/>
                    </a:xfrm>
                    <a:prstGeom prst="rect">
                      <a:avLst/>
                    </a:prstGeom>
                    <a:noFill/>
                    <a:ln>
                      <a:noFill/>
                    </a:ln>
                  </pic:spPr>
                </pic:pic>
              </a:graphicData>
            </a:graphic>
          </wp:inline>
        </w:drawing>
      </w:r>
    </w:p>
    <w:p w:rsidR="0062165D" w:rsidRPr="00B55F40" w:rsidRDefault="0062165D" w:rsidP="0062165D">
      <w:pPr>
        <w:pStyle w:val="ChartandTableFootnote"/>
        <w:rPr>
          <w:lang w:val="en-AU"/>
        </w:rPr>
      </w:pPr>
      <w:r w:rsidRPr="008A6E5F">
        <w:t>Prepared on a Government Finance Statistics (fiscal) basis. Figures displayed as a negative (-) represent a decrease in funds and a positive (+) represent an increase in funds.</w:t>
      </w:r>
    </w:p>
    <w:p w:rsidR="0062165D" w:rsidRDefault="0062165D" w:rsidP="0062165D">
      <w:pPr>
        <w:pStyle w:val="TableHeading"/>
        <w:spacing w:before="240"/>
        <w:rPr>
          <w:lang w:val="en-AU"/>
        </w:rPr>
      </w:pPr>
      <w:r>
        <w:rPr>
          <w:lang w:val="en-AU"/>
        </w:rPr>
        <w:t>Part 2</w:t>
      </w:r>
      <w:r>
        <w:rPr>
          <w:lang w:val="en-AU"/>
        </w:rPr>
        <w:tab/>
        <w:t>Other measures not previously reported in a portfolio statement</w:t>
      </w:r>
    </w:p>
    <w:p w:rsidR="0062165D" w:rsidRPr="005B47F4" w:rsidRDefault="0062165D" w:rsidP="0062165D">
      <w:pPr>
        <w:pStyle w:val="TableGraphic"/>
        <w:rPr>
          <w:b/>
          <w:lang w:eastAsia="x-none"/>
        </w:rPr>
      </w:pPr>
      <w:r w:rsidRPr="00B55F40">
        <w:rPr>
          <w:noProof/>
        </w:rPr>
        <w:drawing>
          <wp:inline distT="0" distB="0" distL="0" distR="0" wp14:anchorId="74BFE0D6" wp14:editId="002162E3">
            <wp:extent cx="4896485" cy="1640549"/>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485" cy="1640549"/>
                    </a:xfrm>
                    <a:prstGeom prst="rect">
                      <a:avLst/>
                    </a:prstGeom>
                    <a:noFill/>
                    <a:ln>
                      <a:noFill/>
                    </a:ln>
                  </pic:spPr>
                </pic:pic>
              </a:graphicData>
            </a:graphic>
          </wp:inline>
        </w:drawing>
      </w:r>
    </w:p>
    <w:p w:rsidR="0062165D" w:rsidRPr="005B47F4" w:rsidRDefault="0062165D" w:rsidP="0062165D">
      <w:pPr>
        <w:pStyle w:val="ChartandTableFootnoteAlpha"/>
        <w:numPr>
          <w:ilvl w:val="0"/>
          <w:numId w:val="4"/>
        </w:numPr>
        <w:spacing w:before="120"/>
      </w:pPr>
      <w:r w:rsidRPr="008A6E5F">
        <w:t xml:space="preserve">This measure </w:t>
      </w:r>
      <w:r>
        <w:t>was first published in the 2014–</w:t>
      </w:r>
      <w:r w:rsidRPr="008A6E5F">
        <w:t>15 Mid-Year Economic and Fiscal Outlook.</w:t>
      </w:r>
    </w:p>
    <w:p w:rsidR="0062165D" w:rsidRPr="008A6E5F" w:rsidRDefault="0062165D" w:rsidP="0062165D">
      <w:pPr>
        <w:pStyle w:val="ChartandTableFootnote"/>
        <w:spacing w:before="120"/>
      </w:pPr>
      <w:r w:rsidRPr="008A6E5F">
        <w:t>Prepared on a Government Finance Statistics (fiscal) basis. Figures displayed as a negative (-) represent a decrease in funds and a positive (+) represent an increase in funds.</w:t>
      </w:r>
    </w:p>
    <w:p w:rsidR="0062165D" w:rsidRPr="00810C6A" w:rsidRDefault="0062165D" w:rsidP="0062165D">
      <w:pPr>
        <w:pStyle w:val="Heading2"/>
      </w:pPr>
      <w:r>
        <w:br w:type="page"/>
      </w:r>
      <w:bookmarkStart w:id="59" w:name="_Toc447006809"/>
      <w:bookmarkStart w:id="60" w:name="_Toc447007147"/>
      <w:bookmarkStart w:id="61" w:name="_Toc447008268"/>
      <w:bookmarkStart w:id="62" w:name="_Toc447008914"/>
      <w:bookmarkStart w:id="63" w:name="_Toc447012771"/>
      <w:bookmarkStart w:id="64" w:name="_Toc447013767"/>
      <w:bookmarkStart w:id="65" w:name="_Toc447016740"/>
      <w:bookmarkStart w:id="66" w:name="_Toc447115167"/>
      <w:bookmarkStart w:id="67" w:name="_Toc447115250"/>
      <w:bookmarkStart w:id="68" w:name="_Toc447116723"/>
      <w:bookmarkStart w:id="69" w:name="_Toc447117954"/>
      <w:bookmarkStart w:id="70" w:name="_Toc447119389"/>
      <w:bookmarkStart w:id="71" w:name="_Toc447709892"/>
      <w:bookmarkStart w:id="72" w:name="_Toc449623594"/>
      <w:r w:rsidRPr="00810C6A">
        <w:lastRenderedPageBreak/>
        <w:t>Section 2: Outcomes and planned performance</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62165D" w:rsidRPr="005E6F2B" w:rsidRDefault="0062165D" w:rsidP="0062165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2165D" w:rsidRPr="005E6F2B" w:rsidRDefault="0062165D" w:rsidP="0062165D">
      <w:proofErr w:type="spellStart"/>
      <w:r>
        <w:t>Comcare’s</w:t>
      </w:r>
      <w:proofErr w:type="spellEnd"/>
      <w:r w:rsidRPr="005E6F2B">
        <w:t xml:space="preserve"> outcome is described below</w:t>
      </w:r>
      <w:r>
        <w:t>,</w:t>
      </w:r>
      <w:r w:rsidRPr="005E6F2B">
        <w:t xml:space="preserve"> together with its </w:t>
      </w:r>
      <w:r>
        <w:t xml:space="preserve">program components, specifying the performance indicators and targets used to assess and monitor the performance of </w:t>
      </w:r>
      <w:proofErr w:type="spellStart"/>
      <w:r>
        <w:t>Comcare</w:t>
      </w:r>
      <w:proofErr w:type="spellEnd"/>
      <w:r>
        <w:t xml:space="preserve"> in achieving government outcomes.</w:t>
      </w:r>
    </w:p>
    <w:p w:rsidR="0062165D" w:rsidRPr="006906E4" w:rsidRDefault="0062165D" w:rsidP="0062165D">
      <w:pPr>
        <w:pBdr>
          <w:top w:val="single" w:sz="2" w:space="6" w:color="auto"/>
          <w:left w:val="single" w:sz="2" w:space="4" w:color="auto"/>
          <w:bottom w:val="single" w:sz="2" w:space="6" w:color="auto"/>
          <w:right w:val="single" w:sz="2" w:space="4" w:color="auto"/>
        </w:pBdr>
        <w:rPr>
          <w:b/>
        </w:rPr>
      </w:pPr>
      <w:r w:rsidRPr="006906E4">
        <w:rPr>
          <w:b/>
        </w:rPr>
        <w:t>Note:</w:t>
      </w:r>
    </w:p>
    <w:p w:rsidR="0062165D" w:rsidRDefault="0062165D" w:rsidP="0062165D">
      <w:pPr>
        <w:pBdr>
          <w:top w:val="single" w:sz="2" w:space="6" w:color="auto"/>
          <w:left w:val="single" w:sz="2" w:space="4" w:color="auto"/>
          <w:bottom w:val="single" w:sz="2" w:space="6" w:color="auto"/>
          <w:right w:val="single" w:sz="2" w:space="4" w:color="auto"/>
        </w:pBd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62165D" w:rsidRDefault="0062165D" w:rsidP="0062165D">
      <w:pPr>
        <w:spacing w:after="0"/>
      </w:pPr>
      <w:r>
        <w:br w:type="page"/>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9"/>
      </w:tblGrid>
      <w:tr w:rsidR="0062165D" w:rsidRPr="00CE3C11" w:rsidTr="00DC4D04">
        <w:tc>
          <w:tcPr>
            <w:tcW w:w="7939" w:type="dxa"/>
            <w:shd w:val="clear" w:color="auto" w:fill="E6E6E6"/>
          </w:tcPr>
          <w:p w:rsidR="0062165D" w:rsidRPr="00CE3C11" w:rsidRDefault="0062165D" w:rsidP="00DC4D04">
            <w:pPr>
              <w:spacing w:before="60" w:after="60"/>
              <w:rPr>
                <w:rFonts w:ascii="Arial" w:hAnsi="Arial"/>
                <w:b/>
              </w:rPr>
            </w:pPr>
            <w:r w:rsidRPr="00CE3C11">
              <w:rPr>
                <w:rFonts w:ascii="Arial" w:hAnsi="Arial"/>
                <w:b/>
              </w:rPr>
              <w:lastRenderedPageBreak/>
              <w:t xml:space="preserve">Outcome 1: Support participation and productivity through healthy and safe workplaces that minimise the impact of harm in workplaces covered by </w:t>
            </w:r>
            <w:proofErr w:type="spellStart"/>
            <w:r w:rsidRPr="00CE3C11">
              <w:rPr>
                <w:rFonts w:ascii="Arial" w:hAnsi="Arial"/>
                <w:b/>
              </w:rPr>
              <w:t>Comcare</w:t>
            </w:r>
            <w:proofErr w:type="spellEnd"/>
            <w:r w:rsidRPr="00CE3C11">
              <w:rPr>
                <w:rFonts w:ascii="Arial" w:hAnsi="Arial"/>
                <w:b/>
              </w:rPr>
              <w:t>.</w:t>
            </w:r>
          </w:p>
        </w:tc>
      </w:tr>
    </w:tbl>
    <w:p w:rsidR="0062165D" w:rsidRPr="00C220F8" w:rsidRDefault="0062165D" w:rsidP="0062165D">
      <w:pPr>
        <w:pStyle w:val="Heading3"/>
      </w:pPr>
      <w:bookmarkStart w:id="73" w:name="_Toc447115168"/>
      <w:bookmarkStart w:id="74" w:name="_Toc447115251"/>
      <w:bookmarkStart w:id="75" w:name="_Toc447116724"/>
      <w:bookmarkStart w:id="76" w:name="_Toc447117955"/>
      <w:bookmarkStart w:id="77" w:name="_Toc447119390"/>
      <w:bookmarkStart w:id="78" w:name="_Toc447006810"/>
      <w:bookmarkStart w:id="79" w:name="_Toc447007148"/>
      <w:bookmarkStart w:id="80" w:name="_Toc447008269"/>
      <w:bookmarkStart w:id="81" w:name="_Toc447008915"/>
      <w:bookmarkStart w:id="82" w:name="_Toc447012772"/>
      <w:bookmarkStart w:id="83" w:name="_Toc447013768"/>
      <w:bookmarkStart w:id="84" w:name="_Toc447016741"/>
      <w:bookmarkStart w:id="85" w:name="_Toc447709893"/>
      <w:bookmarkStart w:id="86" w:name="_Toc449623595"/>
      <w:r w:rsidRPr="00F743D8">
        <w:t>2.</w:t>
      </w:r>
      <w:r>
        <w:t>1</w:t>
      </w:r>
      <w:r w:rsidRPr="00F743D8">
        <w:t xml:space="preserve"> </w:t>
      </w:r>
      <w:r w:rsidRPr="00F743D8">
        <w:tab/>
        <w:t xml:space="preserve">Budgeted expenses and performance for Outcome </w:t>
      </w:r>
      <w:r>
        <w:t>1</w:t>
      </w:r>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E6F2B">
        <w:t xml:space="preserve"> </w:t>
      </w:r>
    </w:p>
    <w:p w:rsidR="0062165D" w:rsidRDefault="0062165D" w:rsidP="0062165D">
      <w:r w:rsidRPr="00950281">
        <w:t xml:space="preserve">This table shows how much the entity intends to spend (on an accrual basis) on achieving the outcome, broken down by program, as well as by Administered and Departmental funding sources. </w:t>
      </w:r>
    </w:p>
    <w:p w:rsidR="0062165D" w:rsidRPr="00023384" w:rsidRDefault="0062165D" w:rsidP="0062165D">
      <w:pPr>
        <w:pStyle w:val="TableHeading"/>
      </w:pPr>
      <w:r w:rsidRPr="00023384">
        <w:t xml:space="preserve">Table 2.1: Budgeted expenses for Outcome </w:t>
      </w:r>
      <w:r w:rsidRPr="00023384">
        <w:rPr>
          <w:lang w:val="en-US"/>
        </w:rPr>
        <w:t>1</w:t>
      </w:r>
    </w:p>
    <w:p w:rsidR="0062165D" w:rsidRDefault="0062165D" w:rsidP="0062165D">
      <w:pPr>
        <w:pStyle w:val="ChartandTableFootnote"/>
        <w:rPr>
          <w:lang w:val="en-AU"/>
        </w:rPr>
      </w:pPr>
      <w:r w:rsidRPr="00466EBF">
        <w:rPr>
          <w:noProof/>
          <w:lang w:val="en-AU" w:eastAsia="en-AU"/>
        </w:rPr>
        <w:drawing>
          <wp:inline distT="0" distB="0" distL="0" distR="0" wp14:anchorId="19440555" wp14:editId="618D5BF4">
            <wp:extent cx="4896485" cy="3599840"/>
            <wp:effectExtent l="0" t="0" r="0" b="63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85" cy="3599840"/>
                    </a:xfrm>
                    <a:prstGeom prst="rect">
                      <a:avLst/>
                    </a:prstGeom>
                    <a:noFill/>
                    <a:ln>
                      <a:noFill/>
                    </a:ln>
                  </pic:spPr>
                </pic:pic>
              </a:graphicData>
            </a:graphic>
          </wp:inline>
        </w:drawing>
      </w:r>
    </w:p>
    <w:p w:rsidR="0062165D" w:rsidRPr="00466EBF" w:rsidRDefault="0062165D" w:rsidP="0062165D">
      <w:pPr>
        <w:pStyle w:val="ChartandTableFootnoteAlpha"/>
        <w:numPr>
          <w:ilvl w:val="0"/>
          <w:numId w:val="6"/>
        </w:numPr>
        <w:tabs>
          <w:tab w:val="left" w:pos="284"/>
        </w:tabs>
        <w:spacing w:before="120"/>
        <w:rPr>
          <w:color w:val="000000"/>
          <w:lang w:eastAsia="x-none"/>
        </w:rPr>
      </w:pPr>
      <w:r w:rsidRPr="00466EBF">
        <w:rPr>
          <w:color w:val="000000"/>
          <w:lang w:eastAsia="x-none"/>
        </w:rPr>
        <w:t>Relating to non-cash movements in workers’ compensation claims liabilities and asbestos-related claims liabilities.</w:t>
      </w:r>
    </w:p>
    <w:p w:rsidR="0062165D" w:rsidRDefault="0062165D" w:rsidP="0062165D">
      <w:pPr>
        <w:pStyle w:val="TableHeading"/>
        <w:rPr>
          <w:lang w:val="en-AU"/>
        </w:rPr>
      </w:pPr>
      <w:r>
        <w:rPr>
          <w:lang w:val="en-AU"/>
        </w:rPr>
        <w:lastRenderedPageBreak/>
        <w:t>Table 2.1.2: Program component expenses</w:t>
      </w:r>
    </w:p>
    <w:p w:rsidR="0062165D" w:rsidRDefault="0062165D" w:rsidP="0062165D">
      <w:pPr>
        <w:pStyle w:val="TableGraphic"/>
        <w:rPr>
          <w:lang w:eastAsia="x-none"/>
        </w:rPr>
      </w:pPr>
      <w:r w:rsidRPr="00FC76FC">
        <w:rPr>
          <w:noProof/>
        </w:rPr>
        <w:drawing>
          <wp:inline distT="0" distB="0" distL="0" distR="0" wp14:anchorId="2BDCEEFC" wp14:editId="55C91209">
            <wp:extent cx="4896485" cy="4808577"/>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6485" cy="4808577"/>
                    </a:xfrm>
                    <a:prstGeom prst="rect">
                      <a:avLst/>
                    </a:prstGeom>
                    <a:noFill/>
                    <a:ln>
                      <a:noFill/>
                    </a:ln>
                  </pic:spPr>
                </pic:pic>
              </a:graphicData>
            </a:graphic>
          </wp:inline>
        </w:drawing>
      </w:r>
    </w:p>
    <w:p w:rsidR="0062165D" w:rsidRDefault="0062165D" w:rsidP="0062165D">
      <w:pPr>
        <w:keepNext/>
        <w:outlineLvl w:val="4"/>
        <w:rPr>
          <w:rFonts w:ascii="Arial" w:hAnsi="Arial"/>
          <w:b/>
          <w:bCs/>
          <w:iCs/>
          <w:szCs w:val="26"/>
        </w:rPr>
      </w:pPr>
      <w:r>
        <w:rPr>
          <w:rFonts w:ascii="Arial" w:hAnsi="Arial"/>
          <w:b/>
          <w:bCs/>
          <w:iCs/>
          <w:szCs w:val="26"/>
        </w:rPr>
        <w:br w:type="page"/>
      </w:r>
    </w:p>
    <w:p w:rsidR="0062165D" w:rsidRPr="00CE3C11" w:rsidRDefault="0062165D" w:rsidP="0062165D">
      <w:pPr>
        <w:keepNext/>
        <w:outlineLvl w:val="4"/>
        <w:rPr>
          <w:rFonts w:ascii="Arial" w:hAnsi="Arial"/>
          <w:b/>
          <w:bCs/>
          <w:iCs/>
          <w:szCs w:val="26"/>
        </w:rPr>
      </w:pPr>
      <w:r w:rsidRPr="00CE3C11">
        <w:rPr>
          <w:rFonts w:ascii="Arial" w:hAnsi="Arial"/>
          <w:b/>
          <w:bCs/>
          <w:iCs/>
          <w:szCs w:val="26"/>
        </w:rPr>
        <w:lastRenderedPageBreak/>
        <w:t xml:space="preserve">Table 2.1.3: Performance criteria for </w:t>
      </w:r>
      <w:proofErr w:type="spellStart"/>
      <w:r w:rsidRPr="00CE3C11">
        <w:rPr>
          <w:rFonts w:ascii="Arial" w:hAnsi="Arial"/>
          <w:b/>
          <w:bCs/>
          <w:iCs/>
          <w:szCs w:val="26"/>
        </w:rPr>
        <w:t>Comcare</w:t>
      </w:r>
      <w:proofErr w:type="spellEnd"/>
      <w:r w:rsidRPr="00CE3C11">
        <w:rPr>
          <w:rFonts w:ascii="Arial" w:hAnsi="Arial"/>
          <w:b/>
          <w:bCs/>
          <w:iCs/>
          <w:szCs w:val="26"/>
        </w:rPr>
        <w:t xml:space="preserve"> Outcome 1</w:t>
      </w:r>
    </w:p>
    <w:p w:rsidR="0062165D" w:rsidRPr="00CE3C11" w:rsidRDefault="0062165D" w:rsidP="0062165D">
      <w:pPr>
        <w:tabs>
          <w:tab w:val="left" w:pos="709"/>
        </w:tabs>
        <w:spacing w:line="260" w:lineRule="exact"/>
        <w:rPr>
          <w:i/>
          <w:color w:val="FF0000"/>
        </w:rPr>
      </w:pPr>
      <w:r w:rsidRPr="00CE3C11">
        <w:t>Table 2.1.3 below details the performance criteria for each program component associated with Outcome 1. It also summarises how each program is delivered.</w:t>
      </w:r>
      <w:r w:rsidRPr="00CE3C11">
        <w:rPr>
          <w:i/>
          <w:color w:val="FF0000"/>
        </w:rPr>
        <w:t xml:space="preserve"> </w:t>
      </w:r>
    </w:p>
    <w:tbl>
      <w:tblPr>
        <w:tblW w:w="7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648"/>
      </w:tblGrid>
      <w:tr w:rsidR="0062165D" w:rsidRPr="00CE3C11" w:rsidTr="00DC4D04">
        <w:trPr>
          <w:cantSplit/>
        </w:trPr>
        <w:tc>
          <w:tcPr>
            <w:tcW w:w="7896" w:type="dxa"/>
            <w:gridSpan w:val="2"/>
            <w:shd w:val="clear" w:color="auto" w:fill="F2F2F2"/>
          </w:tcPr>
          <w:p w:rsidR="0062165D" w:rsidRPr="0088504A" w:rsidRDefault="0062165D" w:rsidP="00DC4D04">
            <w:pPr>
              <w:pStyle w:val="TableTextLeft"/>
              <w:rPr>
                <w:b/>
              </w:rPr>
            </w:pPr>
            <w:r w:rsidRPr="0088504A">
              <w:rPr>
                <w:b/>
              </w:rPr>
              <w:t xml:space="preserve">Outcome 1—Support participation and productivity through healthy and safe workplaces that minimise the impact of harm in workplaces covered by </w:t>
            </w:r>
            <w:proofErr w:type="spellStart"/>
            <w:r w:rsidRPr="0088504A">
              <w:rPr>
                <w:b/>
              </w:rPr>
              <w:t>Comcare</w:t>
            </w:r>
            <w:proofErr w:type="spellEnd"/>
            <w:r w:rsidRPr="0088504A">
              <w:rPr>
                <w:b/>
              </w:rPr>
              <w:t xml:space="preserve">. </w:t>
            </w:r>
          </w:p>
        </w:tc>
      </w:tr>
      <w:tr w:rsidR="0062165D" w:rsidRPr="00CE3C11" w:rsidTr="00DC4D04">
        <w:trPr>
          <w:cantSplit/>
        </w:trPr>
        <w:tc>
          <w:tcPr>
            <w:tcW w:w="7896" w:type="dxa"/>
            <w:gridSpan w:val="2"/>
            <w:shd w:val="clear" w:color="auto" w:fill="F2F2F2"/>
          </w:tcPr>
          <w:p w:rsidR="0062165D" w:rsidRPr="0088504A" w:rsidRDefault="0062165D" w:rsidP="00DC4D04">
            <w:pPr>
              <w:pStyle w:val="TableTextLeft"/>
              <w:rPr>
                <w:b/>
              </w:rPr>
            </w:pPr>
            <w:r w:rsidRPr="0088504A">
              <w:rPr>
                <w:b/>
              </w:rPr>
              <w:t>Program Component 1.1—Work Health, Safety and Rehabilitation Regulation</w:t>
            </w:r>
          </w:p>
          <w:p w:rsidR="0062165D" w:rsidRPr="00247D45" w:rsidRDefault="0062165D" w:rsidP="00DC4D04">
            <w:pPr>
              <w:pStyle w:val="TableTextLeft"/>
            </w:pPr>
            <w:r w:rsidRPr="00247D45">
              <w:t xml:space="preserve">This program component contributes to the outcome by achieving compliance with the </w:t>
            </w:r>
            <w:proofErr w:type="spellStart"/>
            <w:r w:rsidRPr="00247D45">
              <w:t>SRC</w:t>
            </w:r>
            <w:proofErr w:type="spellEnd"/>
            <w:r w:rsidRPr="00247D45">
              <w:t xml:space="preserve"> Act and the </w:t>
            </w:r>
            <w:proofErr w:type="spellStart"/>
            <w:r w:rsidRPr="00247D45">
              <w:t>WHS</w:t>
            </w:r>
            <w:proofErr w:type="spellEnd"/>
            <w:r w:rsidRPr="00247D45">
              <w:t xml:space="preserve"> Act and regulations, in addition to leading continuous improvements in work health and safety and rehabilitation outcomes.</w:t>
            </w:r>
          </w:p>
        </w:tc>
      </w:tr>
      <w:tr w:rsidR="0062165D" w:rsidRPr="00CE3C11" w:rsidTr="00DC4D04">
        <w:tc>
          <w:tcPr>
            <w:tcW w:w="1248" w:type="dxa"/>
            <w:tcBorders>
              <w:bottom w:val="double" w:sz="4" w:space="0" w:color="auto"/>
            </w:tcBorders>
          </w:tcPr>
          <w:p w:rsidR="0062165D" w:rsidRPr="00247D45" w:rsidRDefault="0062165D" w:rsidP="00DC4D04">
            <w:pPr>
              <w:pStyle w:val="TableTextLeft"/>
            </w:pPr>
            <w:r w:rsidRPr="00247D45">
              <w:t>Delivery</w:t>
            </w:r>
          </w:p>
        </w:tc>
        <w:tc>
          <w:tcPr>
            <w:tcW w:w="6648" w:type="dxa"/>
            <w:tcBorders>
              <w:bottom w:val="double" w:sz="4" w:space="0" w:color="auto"/>
            </w:tcBorders>
          </w:tcPr>
          <w:p w:rsidR="0062165D" w:rsidRPr="00247D45" w:rsidRDefault="0062165D" w:rsidP="00DC4D04">
            <w:pPr>
              <w:pStyle w:val="TableTextLeft"/>
            </w:pPr>
            <w:proofErr w:type="spellStart"/>
            <w:r w:rsidRPr="00247D45">
              <w:t>Comcare</w:t>
            </w:r>
            <w:proofErr w:type="spellEnd"/>
            <w:r w:rsidRPr="00247D45">
              <w:t xml:space="preserve"> will undertake high quality compliance activities by creating a regulatory blue print to improve regulatory intelligence and assist in developing risk based regulation whilst providing high quality compliance activities. </w:t>
            </w:r>
          </w:p>
        </w:tc>
      </w:tr>
      <w:tr w:rsidR="0062165D" w:rsidRPr="00CE3C11" w:rsidTr="00DC4D04">
        <w:tc>
          <w:tcPr>
            <w:tcW w:w="1248" w:type="dxa"/>
            <w:tcBorders>
              <w:top w:val="double" w:sz="4" w:space="0" w:color="auto"/>
              <w:bottom w:val="double" w:sz="4" w:space="0" w:color="auto"/>
            </w:tcBorders>
          </w:tcPr>
          <w:p w:rsidR="0062165D" w:rsidRPr="00247D45" w:rsidRDefault="0062165D" w:rsidP="00DC4D04">
            <w:pPr>
              <w:pStyle w:val="TableTextLeft"/>
            </w:pPr>
            <w:r w:rsidRPr="00247D45">
              <w:t>Purpose</w:t>
            </w:r>
          </w:p>
        </w:tc>
        <w:tc>
          <w:tcPr>
            <w:tcW w:w="6648" w:type="dxa"/>
            <w:tcBorders>
              <w:top w:val="double" w:sz="4" w:space="0" w:color="auto"/>
              <w:bottom w:val="double" w:sz="4" w:space="0" w:color="auto"/>
            </w:tcBorders>
          </w:tcPr>
          <w:p w:rsidR="0062165D" w:rsidRPr="00247D45" w:rsidRDefault="0062165D" w:rsidP="00DC4D04">
            <w:pPr>
              <w:pStyle w:val="TableTextLeft"/>
            </w:pPr>
            <w:r w:rsidRPr="00247D45">
              <w:t>Having a positive impact on reducing injury and harm in the workplace.</w:t>
            </w:r>
          </w:p>
        </w:tc>
      </w:tr>
    </w:tbl>
    <w:p w:rsidR="0062165D" w:rsidRDefault="0062165D" w:rsidP="0062165D">
      <w:pPr>
        <w:pStyle w:val="TableTextLeft"/>
        <w:sectPr w:rsidR="0062165D" w:rsidSect="00503D00">
          <w:headerReference w:type="even" r:id="rId16"/>
          <w:headerReference w:type="default" r:id="rId17"/>
          <w:type w:val="oddPage"/>
          <w:pgSz w:w="11907" w:h="16839" w:code="9"/>
          <w:pgMar w:top="2466" w:right="2098" w:bottom="2466" w:left="2098" w:header="1899" w:footer="1899" w:gutter="0"/>
          <w:cols w:space="708"/>
          <w:docGrid w:linePitch="360"/>
        </w:sectPr>
      </w:pPr>
    </w:p>
    <w:tbl>
      <w:tblPr>
        <w:tblW w:w="7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863"/>
        <w:gridCol w:w="284"/>
        <w:gridCol w:w="3501"/>
      </w:tblGrid>
      <w:tr w:rsidR="0062165D" w:rsidRPr="00CE3C11" w:rsidTr="00DC4D04">
        <w:tc>
          <w:tcPr>
            <w:tcW w:w="7896" w:type="dxa"/>
            <w:gridSpan w:val="4"/>
            <w:tcBorders>
              <w:top w:val="nil"/>
              <w:bottom w:val="double" w:sz="4" w:space="0" w:color="auto"/>
            </w:tcBorders>
          </w:tcPr>
          <w:p w:rsidR="0062165D" w:rsidRPr="00247D45" w:rsidRDefault="0062165D" w:rsidP="00DC4D04">
            <w:pPr>
              <w:pStyle w:val="TableTextLeft"/>
            </w:pPr>
            <w:r w:rsidRPr="00247D45">
              <w:lastRenderedPageBreak/>
              <w:t>Performance information</w:t>
            </w:r>
            <w:r>
              <w:rPr>
                <w:rStyle w:val="FootnoteReference"/>
              </w:rPr>
              <w:footnoteReference w:id="1"/>
            </w:r>
          </w:p>
        </w:tc>
      </w:tr>
      <w:tr w:rsidR="0062165D" w:rsidRPr="00CE3C11" w:rsidTr="00DC4D04">
        <w:tc>
          <w:tcPr>
            <w:tcW w:w="1248" w:type="dxa"/>
            <w:tcBorders>
              <w:top w:val="double" w:sz="4" w:space="0" w:color="auto"/>
              <w:bottom w:val="single" w:sz="4" w:space="0" w:color="auto"/>
              <w:right w:val="single" w:sz="4" w:space="0" w:color="auto"/>
            </w:tcBorders>
          </w:tcPr>
          <w:p w:rsidR="0062165D" w:rsidRPr="00247D45" w:rsidRDefault="0062165D" w:rsidP="00DC4D04">
            <w:pPr>
              <w:pStyle w:val="TableTextLeft"/>
            </w:pPr>
            <w:r w:rsidRPr="00247D45">
              <w:t>Year</w:t>
            </w:r>
          </w:p>
        </w:tc>
        <w:tc>
          <w:tcPr>
            <w:tcW w:w="3147" w:type="dxa"/>
            <w:gridSpan w:val="2"/>
            <w:tcBorders>
              <w:top w:val="double" w:sz="4" w:space="0" w:color="auto"/>
              <w:left w:val="single" w:sz="4" w:space="0" w:color="auto"/>
              <w:bottom w:val="single" w:sz="4" w:space="0" w:color="auto"/>
              <w:right w:val="single" w:sz="4" w:space="0" w:color="auto"/>
            </w:tcBorders>
          </w:tcPr>
          <w:p w:rsidR="0062165D" w:rsidRPr="00247D45" w:rsidRDefault="0062165D" w:rsidP="00DC4D04">
            <w:pPr>
              <w:pStyle w:val="TableTextLeft"/>
            </w:pPr>
            <w:r w:rsidRPr="00247D45">
              <w:t>Performance criteria</w:t>
            </w:r>
          </w:p>
        </w:tc>
        <w:tc>
          <w:tcPr>
            <w:tcW w:w="3501" w:type="dxa"/>
            <w:tcBorders>
              <w:top w:val="double" w:sz="4" w:space="0" w:color="auto"/>
              <w:left w:val="single" w:sz="4" w:space="0" w:color="auto"/>
              <w:bottom w:val="single" w:sz="4" w:space="0" w:color="auto"/>
            </w:tcBorders>
          </w:tcPr>
          <w:p w:rsidR="0062165D" w:rsidRPr="00247D45" w:rsidRDefault="0062165D" w:rsidP="00DC4D04">
            <w:pPr>
              <w:pStyle w:val="TableTextLeft"/>
            </w:pPr>
            <w:r w:rsidRPr="00247D45">
              <w:t>Targets</w:t>
            </w:r>
          </w:p>
        </w:tc>
      </w:tr>
      <w:tr w:rsidR="0062165D" w:rsidRPr="00CE3C11" w:rsidTr="00DC4D04">
        <w:trPr>
          <w:trHeight w:val="60"/>
        </w:trPr>
        <w:tc>
          <w:tcPr>
            <w:tcW w:w="1248" w:type="dxa"/>
            <w:tcBorders>
              <w:top w:val="single" w:sz="4" w:space="0" w:color="auto"/>
              <w:bottom w:val="dotted" w:sz="4" w:space="0" w:color="auto"/>
              <w:right w:val="single" w:sz="4" w:space="0" w:color="auto"/>
            </w:tcBorders>
          </w:tcPr>
          <w:p w:rsidR="0062165D" w:rsidRPr="00247D45" w:rsidRDefault="0062165D" w:rsidP="00DC4D04">
            <w:pPr>
              <w:pStyle w:val="TableTextLeft"/>
            </w:pPr>
            <w:r>
              <w:t>2015–</w:t>
            </w:r>
            <w:r w:rsidRPr="00247D45">
              <w:t>16</w:t>
            </w:r>
          </w:p>
        </w:tc>
        <w:tc>
          <w:tcPr>
            <w:tcW w:w="3147" w:type="dxa"/>
            <w:gridSpan w:val="2"/>
            <w:tcBorders>
              <w:top w:val="single" w:sz="4" w:space="0" w:color="auto"/>
              <w:left w:val="single" w:sz="4" w:space="0" w:color="auto"/>
              <w:bottom w:val="dotted" w:sz="4" w:space="0" w:color="auto"/>
              <w:right w:val="single" w:sz="4" w:space="0" w:color="auto"/>
            </w:tcBorders>
          </w:tcPr>
          <w:p w:rsidR="0062165D" w:rsidRPr="00247D45" w:rsidRDefault="0062165D" w:rsidP="00DC4D04">
            <w:pPr>
              <w:pStyle w:val="TableTextLeft"/>
            </w:pPr>
            <w:r w:rsidRPr="00247D45">
              <w:t xml:space="preserve">Achievement of the Australian Work Health and Safety Strategy 2012–2020 </w:t>
            </w:r>
            <w:r>
              <w:t>targets and initiatives</w:t>
            </w:r>
          </w:p>
          <w:p w:rsidR="0062165D" w:rsidRPr="00247D45" w:rsidRDefault="0062165D" w:rsidP="00DC4D04">
            <w:pPr>
              <w:pStyle w:val="TableTextLeft"/>
            </w:pPr>
            <w:r w:rsidRPr="00247D45">
              <w:t>Compliance with the consistent Approval Framework for Workplace Rehabilitation Providers by workplace rehabilitation progra</w:t>
            </w:r>
            <w:r>
              <w:t xml:space="preserve">m providers approved by </w:t>
            </w:r>
            <w:proofErr w:type="spellStart"/>
            <w:r>
              <w:t>Comcare</w:t>
            </w:r>
            <w:proofErr w:type="spellEnd"/>
          </w:p>
          <w:p w:rsidR="0062165D" w:rsidRPr="00247D45" w:rsidRDefault="0062165D" w:rsidP="00DC4D04">
            <w:pPr>
              <w:pStyle w:val="TableTextLeft"/>
            </w:pPr>
            <w:r w:rsidRPr="00247D45">
              <w:t>Achievement of Regulator Perfo</w:t>
            </w:r>
            <w:r>
              <w:t>rmance Framework requirements</w:t>
            </w:r>
          </w:p>
        </w:tc>
        <w:tc>
          <w:tcPr>
            <w:tcW w:w="3501" w:type="dxa"/>
            <w:tcBorders>
              <w:top w:val="single" w:sz="4" w:space="0" w:color="auto"/>
              <w:left w:val="single" w:sz="4" w:space="0" w:color="auto"/>
              <w:bottom w:val="dotted" w:sz="4" w:space="0" w:color="auto"/>
            </w:tcBorders>
          </w:tcPr>
          <w:p w:rsidR="0062165D" w:rsidRPr="00247D45" w:rsidRDefault="0062165D" w:rsidP="00DC4D04">
            <w:pPr>
              <w:pStyle w:val="TableTextLeft"/>
            </w:pPr>
            <w:r w:rsidRPr="00247D45">
              <w:t>Conduct a range of proactive and reactive inspections to ens</w:t>
            </w:r>
            <w:r>
              <w:t xml:space="preserve">ure compliance with the </w:t>
            </w:r>
            <w:proofErr w:type="spellStart"/>
            <w:r>
              <w:t>WHS</w:t>
            </w:r>
            <w:proofErr w:type="spellEnd"/>
            <w:r>
              <w:t xml:space="preserve"> Act</w:t>
            </w:r>
          </w:p>
          <w:p w:rsidR="0062165D" w:rsidRPr="00247D45" w:rsidRDefault="0062165D" w:rsidP="00DC4D04">
            <w:pPr>
              <w:pStyle w:val="TableTextLeft"/>
            </w:pPr>
            <w:r w:rsidRPr="00247D45">
              <w:t xml:space="preserve">A range of campaign programs, audits, national seminars and proactive </w:t>
            </w:r>
            <w:r>
              <w:t>inspections have been delivered</w:t>
            </w:r>
          </w:p>
          <w:p w:rsidR="0062165D" w:rsidRPr="00247D45" w:rsidRDefault="0062165D" w:rsidP="00DC4D04">
            <w:pPr>
              <w:pStyle w:val="TableTextLeft"/>
            </w:pPr>
            <w:r w:rsidRPr="00247D45">
              <w:t xml:space="preserve">Compliance activities/ inspections have been delivered under the regulatory model. Some instances of non-compliance have been detected and </w:t>
            </w:r>
            <w:proofErr w:type="spellStart"/>
            <w:r w:rsidRPr="00247D45">
              <w:t>Comcare</w:t>
            </w:r>
            <w:proofErr w:type="spellEnd"/>
            <w:r w:rsidRPr="00247D45">
              <w:t xml:space="preserve"> is taking action</w:t>
            </w:r>
            <w:r>
              <w:t xml:space="preserve"> against relevant organisations</w:t>
            </w:r>
          </w:p>
          <w:p w:rsidR="0062165D" w:rsidRPr="00247D45" w:rsidRDefault="0062165D" w:rsidP="00DC4D04">
            <w:pPr>
              <w:pStyle w:val="TableTextLeft"/>
            </w:pPr>
            <w:proofErr w:type="spellStart"/>
            <w:r w:rsidRPr="00247D45">
              <w:t>Comcare</w:t>
            </w:r>
            <w:proofErr w:type="spellEnd"/>
            <w:r w:rsidRPr="00247D45">
              <w:t xml:space="preserve"> has developed and implemented its </w:t>
            </w:r>
            <w:r>
              <w:t>Regulator Performance Framework</w:t>
            </w:r>
          </w:p>
        </w:tc>
      </w:tr>
      <w:tr w:rsidR="0062165D" w:rsidRPr="00CE3C11" w:rsidTr="00DC4D04">
        <w:tc>
          <w:tcPr>
            <w:tcW w:w="1248" w:type="dxa"/>
            <w:tcBorders>
              <w:top w:val="dotted" w:sz="4" w:space="0" w:color="auto"/>
              <w:bottom w:val="dotted" w:sz="4" w:space="0" w:color="auto"/>
              <w:right w:val="single" w:sz="4" w:space="0" w:color="auto"/>
            </w:tcBorders>
          </w:tcPr>
          <w:p w:rsidR="0062165D" w:rsidRPr="00247D45" w:rsidRDefault="0062165D" w:rsidP="00DC4D04">
            <w:pPr>
              <w:pStyle w:val="TableTextLeft"/>
            </w:pPr>
            <w:r>
              <w:t>2016–</w:t>
            </w:r>
            <w:r w:rsidRPr="00247D45">
              <w:t>17</w:t>
            </w:r>
          </w:p>
        </w:tc>
        <w:tc>
          <w:tcPr>
            <w:tcW w:w="3147" w:type="dxa"/>
            <w:gridSpan w:val="2"/>
            <w:tcBorders>
              <w:top w:val="dotted" w:sz="4" w:space="0" w:color="auto"/>
              <w:left w:val="single" w:sz="4" w:space="0" w:color="auto"/>
              <w:bottom w:val="dotted" w:sz="4" w:space="0" w:color="auto"/>
              <w:right w:val="single" w:sz="4" w:space="0" w:color="auto"/>
            </w:tcBorders>
          </w:tcPr>
          <w:p w:rsidR="0062165D" w:rsidRPr="00247D45" w:rsidRDefault="0062165D" w:rsidP="00DC4D04">
            <w:pPr>
              <w:pStyle w:val="TableTextLeft"/>
            </w:pPr>
            <w:r>
              <w:rPr>
                <w:rFonts w:eastAsia="Cambria"/>
              </w:rPr>
              <w:t>As per 2015–</w:t>
            </w:r>
            <w:r w:rsidRPr="00247D45">
              <w:rPr>
                <w:rFonts w:eastAsia="Cambria"/>
              </w:rPr>
              <w:t>16</w:t>
            </w:r>
          </w:p>
        </w:tc>
        <w:tc>
          <w:tcPr>
            <w:tcW w:w="3501" w:type="dxa"/>
            <w:tcBorders>
              <w:top w:val="dotted" w:sz="4" w:space="0" w:color="auto"/>
              <w:left w:val="single" w:sz="4" w:space="0" w:color="auto"/>
              <w:bottom w:val="dotted" w:sz="4" w:space="0" w:color="auto"/>
            </w:tcBorders>
          </w:tcPr>
          <w:p w:rsidR="0062165D" w:rsidRPr="00247D45" w:rsidRDefault="0062165D" w:rsidP="00DC4D04">
            <w:pPr>
              <w:pStyle w:val="TableTextLeft"/>
            </w:pPr>
            <w:r w:rsidRPr="00247D45">
              <w:t>Percentage number of assessed workplaces and providers demonstrating compliance at the first time of assessmen</w:t>
            </w:r>
            <w:r>
              <w:t>t and on subsequent assessments</w:t>
            </w:r>
          </w:p>
          <w:p w:rsidR="0062165D" w:rsidRPr="00247D45" w:rsidRDefault="0062165D" w:rsidP="00DC4D04">
            <w:pPr>
              <w:pStyle w:val="TableTextBullet"/>
              <w:numPr>
                <w:ilvl w:val="0"/>
                <w:numId w:val="0"/>
              </w:numPr>
              <w:ind w:left="33"/>
            </w:pPr>
            <w:r w:rsidRPr="00247D45">
              <w:t>Qualitative evaluation of the consi</w:t>
            </w:r>
            <w:r>
              <w:t>stency of compliance activities</w:t>
            </w:r>
          </w:p>
          <w:p w:rsidR="0062165D" w:rsidRPr="00247D45" w:rsidRDefault="0062165D" w:rsidP="00DC4D04">
            <w:pPr>
              <w:pStyle w:val="TableTextBullet"/>
              <w:numPr>
                <w:ilvl w:val="0"/>
                <w:numId w:val="0"/>
              </w:numPr>
              <w:ind w:left="33"/>
            </w:pPr>
            <w:r w:rsidRPr="00247D45">
              <w:t xml:space="preserve">Percentage number of activities that comply with </w:t>
            </w:r>
            <w:proofErr w:type="spellStart"/>
            <w:r w:rsidRPr="00247D45">
              <w:t>Comcare’s</w:t>
            </w:r>
            <w:proofErr w:type="spellEnd"/>
            <w:r w:rsidRPr="00247D45">
              <w:t xml:space="preserve"> internal and statutory requirements of investigations, inspections, authorisations a</w:t>
            </w:r>
            <w:r>
              <w:t>nd assessments of notifications</w:t>
            </w:r>
          </w:p>
        </w:tc>
      </w:tr>
      <w:tr w:rsidR="0062165D" w:rsidRPr="00CE3C11" w:rsidTr="00DC4D04">
        <w:tc>
          <w:tcPr>
            <w:tcW w:w="1248" w:type="dxa"/>
            <w:tcBorders>
              <w:top w:val="dotted" w:sz="4" w:space="0" w:color="auto"/>
              <w:bottom w:val="double" w:sz="4" w:space="0" w:color="auto"/>
              <w:right w:val="single" w:sz="4" w:space="0" w:color="auto"/>
            </w:tcBorders>
          </w:tcPr>
          <w:p w:rsidR="0062165D" w:rsidRPr="00247D45" w:rsidRDefault="0062165D" w:rsidP="00DC4D04">
            <w:pPr>
              <w:pStyle w:val="TableTextLeft"/>
            </w:pPr>
            <w:r>
              <w:t>2017–</w:t>
            </w:r>
            <w:r w:rsidRPr="00247D45">
              <w:t>18 and beyond</w:t>
            </w:r>
          </w:p>
        </w:tc>
        <w:tc>
          <w:tcPr>
            <w:tcW w:w="3147" w:type="dxa"/>
            <w:gridSpan w:val="2"/>
            <w:tcBorders>
              <w:top w:val="dotted" w:sz="4" w:space="0" w:color="auto"/>
              <w:left w:val="single" w:sz="4" w:space="0" w:color="auto"/>
              <w:bottom w:val="double" w:sz="4" w:space="0" w:color="auto"/>
              <w:right w:val="single" w:sz="4" w:space="0" w:color="auto"/>
            </w:tcBorders>
          </w:tcPr>
          <w:p w:rsidR="0062165D" w:rsidRPr="00247D45" w:rsidRDefault="0062165D" w:rsidP="00DC4D04">
            <w:pPr>
              <w:pStyle w:val="TableTextLeft"/>
            </w:pPr>
            <w:r w:rsidRPr="00247D45">
              <w:t>As per 2016</w:t>
            </w:r>
            <w:r>
              <w:t>–</w:t>
            </w:r>
            <w:r w:rsidRPr="00247D45">
              <w:t>17</w:t>
            </w:r>
          </w:p>
        </w:tc>
        <w:tc>
          <w:tcPr>
            <w:tcW w:w="3501" w:type="dxa"/>
            <w:tcBorders>
              <w:top w:val="dotted" w:sz="4" w:space="0" w:color="auto"/>
              <w:left w:val="single" w:sz="4" w:space="0" w:color="auto"/>
              <w:bottom w:val="double" w:sz="4" w:space="0" w:color="auto"/>
            </w:tcBorders>
          </w:tcPr>
          <w:p w:rsidR="0062165D" w:rsidRPr="00247D45" w:rsidRDefault="0062165D" w:rsidP="00DC4D04">
            <w:pPr>
              <w:pStyle w:val="TableTextLeft"/>
            </w:pPr>
            <w:r w:rsidRPr="00247D45">
              <w:t>As per 2016</w:t>
            </w:r>
            <w:r>
              <w:t>–</w:t>
            </w:r>
            <w:r w:rsidRPr="00247D45">
              <w:t>17</w:t>
            </w:r>
          </w:p>
        </w:tc>
      </w:tr>
      <w:tr w:rsidR="0062165D" w:rsidRPr="00CE3C11" w:rsidTr="00DC4D04">
        <w:trPr>
          <w:tblHeader/>
        </w:trPr>
        <w:tc>
          <w:tcPr>
            <w:tcW w:w="7896" w:type="dxa"/>
            <w:gridSpan w:val="4"/>
            <w:tcBorders>
              <w:top w:val="double" w:sz="4" w:space="0" w:color="auto"/>
            </w:tcBorders>
            <w:shd w:val="clear" w:color="auto" w:fill="F2F2F2"/>
          </w:tcPr>
          <w:p w:rsidR="0062165D" w:rsidRPr="0088504A" w:rsidRDefault="0062165D" w:rsidP="00DC4D04">
            <w:pPr>
              <w:pStyle w:val="TableTextLeft"/>
              <w:keepNext/>
              <w:rPr>
                <w:b/>
              </w:rPr>
            </w:pPr>
            <w:r>
              <w:rPr>
                <w:b/>
              </w:rPr>
              <w:lastRenderedPageBreak/>
              <w:t>Program Component 1.2—</w:t>
            </w:r>
            <w:proofErr w:type="spellStart"/>
            <w:r w:rsidRPr="0088504A">
              <w:rPr>
                <w:b/>
              </w:rPr>
              <w:t>Comcare</w:t>
            </w:r>
            <w:proofErr w:type="spellEnd"/>
            <w:r w:rsidRPr="0088504A">
              <w:rPr>
                <w:b/>
              </w:rPr>
              <w:t xml:space="preserve"> Workers’ Compensation Scheme Management</w:t>
            </w:r>
          </w:p>
          <w:p w:rsidR="0062165D" w:rsidRPr="00247D45" w:rsidRDefault="0062165D" w:rsidP="00DC4D04">
            <w:pPr>
              <w:pStyle w:val="TableTextLeft"/>
              <w:keepNext/>
            </w:pPr>
            <w:r w:rsidRPr="00247D45">
              <w:t>National leader in the design, implementation and management of a scheme that improves work health and safety and rehabilitation outcomes.</w:t>
            </w:r>
          </w:p>
        </w:tc>
      </w:tr>
      <w:tr w:rsidR="0062165D" w:rsidRPr="00CE3C11" w:rsidTr="00DC4D04">
        <w:trPr>
          <w:cantSplit/>
        </w:trPr>
        <w:tc>
          <w:tcPr>
            <w:tcW w:w="1248" w:type="dxa"/>
            <w:tcBorders>
              <w:bottom w:val="single" w:sz="4" w:space="0" w:color="auto"/>
            </w:tcBorders>
          </w:tcPr>
          <w:p w:rsidR="0062165D" w:rsidRPr="00247D45" w:rsidRDefault="0062165D" w:rsidP="00DC4D04">
            <w:pPr>
              <w:pStyle w:val="TableTextLeft"/>
            </w:pPr>
            <w:r w:rsidRPr="00247D45">
              <w:t>Delivery</w:t>
            </w:r>
          </w:p>
        </w:tc>
        <w:tc>
          <w:tcPr>
            <w:tcW w:w="6648" w:type="dxa"/>
            <w:gridSpan w:val="3"/>
            <w:tcBorders>
              <w:bottom w:val="single" w:sz="4" w:space="0" w:color="auto"/>
            </w:tcBorders>
          </w:tcPr>
          <w:p w:rsidR="0062165D" w:rsidRPr="00247D45" w:rsidRDefault="0062165D" w:rsidP="00DC4D04">
            <w:pPr>
              <w:pStyle w:val="TableTextLeft"/>
            </w:pPr>
            <w:r w:rsidRPr="00247D45">
              <w:t>Leadership of the scheme, provision of high quality advice and assistance, increase knowledge and understanding of the scheme requirements, provide quality analysis and insights that highlight emerging risks and trends. Transparent pricing of scheme management, regulatory functions and develop innovative policies and programs.</w:t>
            </w:r>
          </w:p>
        </w:tc>
      </w:tr>
      <w:tr w:rsidR="0062165D" w:rsidRPr="00CE3C11" w:rsidTr="00DC4D04">
        <w:tc>
          <w:tcPr>
            <w:tcW w:w="1248" w:type="dxa"/>
            <w:tcBorders>
              <w:bottom w:val="double" w:sz="4" w:space="0" w:color="auto"/>
            </w:tcBorders>
          </w:tcPr>
          <w:p w:rsidR="0062165D" w:rsidRPr="00247D45" w:rsidRDefault="0062165D" w:rsidP="00DC4D04">
            <w:pPr>
              <w:pStyle w:val="TableTextLeft"/>
            </w:pPr>
            <w:r w:rsidRPr="00247D45">
              <w:t>Purpose</w:t>
            </w:r>
          </w:p>
        </w:tc>
        <w:tc>
          <w:tcPr>
            <w:tcW w:w="6648" w:type="dxa"/>
            <w:gridSpan w:val="3"/>
            <w:tcBorders>
              <w:bottom w:val="double" w:sz="4" w:space="0" w:color="auto"/>
            </w:tcBorders>
          </w:tcPr>
          <w:p w:rsidR="0062165D" w:rsidRPr="00247D45" w:rsidRDefault="0062165D" w:rsidP="00DC4D04">
            <w:pPr>
              <w:pStyle w:val="TableTextLeft"/>
            </w:pPr>
            <w:r w:rsidRPr="00247D45">
              <w:t>Provide a national workers’ compensation scheme that is fair, sustainable and better practice.</w:t>
            </w:r>
          </w:p>
        </w:tc>
      </w:tr>
      <w:tr w:rsidR="0062165D" w:rsidRPr="00CE3C11" w:rsidTr="00DC4D04">
        <w:tc>
          <w:tcPr>
            <w:tcW w:w="7896" w:type="dxa"/>
            <w:gridSpan w:val="4"/>
            <w:tcBorders>
              <w:top w:val="double" w:sz="4" w:space="0" w:color="auto"/>
              <w:bottom w:val="double" w:sz="4" w:space="0" w:color="auto"/>
            </w:tcBorders>
          </w:tcPr>
          <w:p w:rsidR="0062165D" w:rsidRPr="00247D45" w:rsidRDefault="0062165D" w:rsidP="00DC4D04">
            <w:pPr>
              <w:pStyle w:val="TableTextLeft"/>
            </w:pPr>
            <w:r w:rsidRPr="00247D45">
              <w:t>Performance information</w:t>
            </w:r>
          </w:p>
        </w:tc>
      </w:tr>
      <w:tr w:rsidR="0062165D" w:rsidRPr="00CE3C11" w:rsidTr="00DC4D04">
        <w:tc>
          <w:tcPr>
            <w:tcW w:w="1248" w:type="dxa"/>
            <w:tcBorders>
              <w:top w:val="double" w:sz="4" w:space="0" w:color="auto"/>
              <w:bottom w:val="single" w:sz="4" w:space="0" w:color="auto"/>
              <w:right w:val="single" w:sz="4" w:space="0" w:color="auto"/>
            </w:tcBorders>
          </w:tcPr>
          <w:p w:rsidR="0062165D" w:rsidRPr="00247D45" w:rsidRDefault="0062165D" w:rsidP="00DC4D04">
            <w:pPr>
              <w:pStyle w:val="TableTextLeft"/>
            </w:pPr>
            <w:r w:rsidRPr="00247D45">
              <w:t>Year</w:t>
            </w:r>
          </w:p>
        </w:tc>
        <w:tc>
          <w:tcPr>
            <w:tcW w:w="2863" w:type="dxa"/>
            <w:tcBorders>
              <w:top w:val="double" w:sz="4" w:space="0" w:color="auto"/>
              <w:left w:val="single" w:sz="4" w:space="0" w:color="auto"/>
              <w:bottom w:val="single" w:sz="4" w:space="0" w:color="auto"/>
              <w:right w:val="single" w:sz="4" w:space="0" w:color="auto"/>
            </w:tcBorders>
          </w:tcPr>
          <w:p w:rsidR="0062165D" w:rsidRPr="00247D45" w:rsidRDefault="0062165D" w:rsidP="00DC4D04">
            <w:pPr>
              <w:pStyle w:val="TableTextLeft"/>
            </w:pPr>
            <w:r>
              <w:t>Performance criteria</w:t>
            </w:r>
          </w:p>
        </w:tc>
        <w:tc>
          <w:tcPr>
            <w:tcW w:w="3785" w:type="dxa"/>
            <w:gridSpan w:val="2"/>
            <w:tcBorders>
              <w:top w:val="double" w:sz="4" w:space="0" w:color="auto"/>
              <w:left w:val="single" w:sz="4" w:space="0" w:color="auto"/>
              <w:bottom w:val="single" w:sz="4" w:space="0" w:color="auto"/>
            </w:tcBorders>
          </w:tcPr>
          <w:p w:rsidR="0062165D" w:rsidRPr="00247D45" w:rsidRDefault="0062165D" w:rsidP="00DC4D04">
            <w:pPr>
              <w:pStyle w:val="TableTextLeft"/>
            </w:pPr>
            <w:r w:rsidRPr="00247D45">
              <w:t>Targets</w:t>
            </w:r>
          </w:p>
        </w:tc>
      </w:tr>
      <w:tr w:rsidR="0062165D" w:rsidRPr="00CE3C11" w:rsidTr="00DC4D04">
        <w:trPr>
          <w:trHeight w:val="1278"/>
        </w:trPr>
        <w:tc>
          <w:tcPr>
            <w:tcW w:w="1248" w:type="dxa"/>
            <w:vMerge w:val="restart"/>
            <w:tcBorders>
              <w:top w:val="single" w:sz="4" w:space="0" w:color="auto"/>
              <w:right w:val="single" w:sz="4" w:space="0" w:color="auto"/>
            </w:tcBorders>
          </w:tcPr>
          <w:p w:rsidR="0062165D" w:rsidRPr="00247D45" w:rsidRDefault="0062165D" w:rsidP="00DC4D04">
            <w:pPr>
              <w:pStyle w:val="TableTextLeft"/>
            </w:pPr>
            <w:r>
              <w:t>2015–</w:t>
            </w:r>
            <w:r w:rsidRPr="00247D45">
              <w:t>16</w:t>
            </w:r>
          </w:p>
        </w:tc>
        <w:tc>
          <w:tcPr>
            <w:tcW w:w="2863" w:type="dxa"/>
            <w:tcBorders>
              <w:top w:val="single" w:sz="4"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Return to Work across scheme participants (i.e. the proportion of injured workers with 10 or more days off work for any period of time at some stage since they had their first day off work).</w:t>
            </w:r>
          </w:p>
        </w:tc>
        <w:tc>
          <w:tcPr>
            <w:tcW w:w="3785" w:type="dxa"/>
            <w:gridSpan w:val="2"/>
            <w:tcBorders>
              <w:top w:val="single" w:sz="4" w:space="0" w:color="auto"/>
              <w:left w:val="single" w:sz="4" w:space="0" w:color="auto"/>
              <w:bottom w:val="dotted" w:sz="2" w:space="0" w:color="auto"/>
            </w:tcBorders>
          </w:tcPr>
          <w:p w:rsidR="0062165D" w:rsidRPr="00247D45" w:rsidRDefault="0062165D" w:rsidP="00DC4D04">
            <w:pPr>
              <w:pStyle w:val="TableTextLeft"/>
            </w:pPr>
            <w:r w:rsidRPr="00247D45">
              <w:t xml:space="preserve">Achieved target of 90% </w:t>
            </w:r>
            <w:r>
              <w:t>in quarter 1</w:t>
            </w:r>
            <w:r w:rsidRPr="00247D45">
              <w:t xml:space="preserve"> and 95%</w:t>
            </w:r>
            <w:r>
              <w:t xml:space="preserve"> in</w:t>
            </w:r>
            <w:r w:rsidRPr="00247D45">
              <w:t xml:space="preserve"> </w:t>
            </w:r>
            <w:r>
              <w:t>quarter 2</w:t>
            </w:r>
          </w:p>
        </w:tc>
      </w:tr>
      <w:tr w:rsidR="0062165D" w:rsidRPr="00CE3C11" w:rsidTr="00DC4D04">
        <w:trPr>
          <w:trHeight w:val="1320"/>
        </w:trPr>
        <w:tc>
          <w:tcPr>
            <w:tcW w:w="1248" w:type="dxa"/>
            <w:vMerge/>
            <w:tcBorders>
              <w:right w:val="single" w:sz="4" w:space="0" w:color="auto"/>
            </w:tcBorders>
          </w:tcPr>
          <w:p w:rsidR="0062165D" w:rsidRDefault="0062165D" w:rsidP="00DC4D04">
            <w:pPr>
              <w:pStyle w:val="TableTextLeft"/>
            </w:pPr>
          </w:p>
        </w:tc>
        <w:tc>
          <w:tcPr>
            <w:tcW w:w="2863" w:type="dxa"/>
            <w:tcBorders>
              <w:top w:val="dotted" w:sz="2"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Current return to work (i.e. the percentage of injured workers with 10 or more days off work, who had submitted a claim 7-9 months prior to the survey, and who are working in a paid job at the time of the survey).</w:t>
            </w:r>
          </w:p>
        </w:tc>
        <w:tc>
          <w:tcPr>
            <w:tcW w:w="3785" w:type="dxa"/>
            <w:gridSpan w:val="2"/>
            <w:tcBorders>
              <w:top w:val="dotted" w:sz="2" w:space="0" w:color="auto"/>
              <w:left w:val="single" w:sz="4" w:space="0" w:color="auto"/>
              <w:bottom w:val="dotted" w:sz="2" w:space="0" w:color="auto"/>
            </w:tcBorders>
          </w:tcPr>
          <w:p w:rsidR="0062165D" w:rsidRPr="00247D45" w:rsidRDefault="0062165D" w:rsidP="00DC4D04">
            <w:pPr>
              <w:pStyle w:val="TableTextLeft"/>
            </w:pPr>
            <w:r w:rsidRPr="00247D45">
              <w:t xml:space="preserve">Achieved target of 90% </w:t>
            </w:r>
            <w:r>
              <w:t>in quarter 1</w:t>
            </w:r>
            <w:r w:rsidRPr="00247D45">
              <w:t xml:space="preserve"> and 95%</w:t>
            </w:r>
            <w:r>
              <w:t xml:space="preserve"> in</w:t>
            </w:r>
            <w:r w:rsidRPr="00247D45">
              <w:t xml:space="preserve"> </w:t>
            </w:r>
            <w:r>
              <w:t>quarter 2</w:t>
            </w:r>
          </w:p>
        </w:tc>
      </w:tr>
      <w:tr w:rsidR="0062165D" w:rsidRPr="00CE3C11" w:rsidTr="00DC4D04">
        <w:trPr>
          <w:trHeight w:val="510"/>
        </w:trPr>
        <w:tc>
          <w:tcPr>
            <w:tcW w:w="1248" w:type="dxa"/>
            <w:vMerge/>
            <w:tcBorders>
              <w:bottom w:val="dotted" w:sz="4" w:space="0" w:color="auto"/>
              <w:right w:val="single" w:sz="4" w:space="0" w:color="auto"/>
            </w:tcBorders>
          </w:tcPr>
          <w:p w:rsidR="0062165D" w:rsidRDefault="0062165D" w:rsidP="00DC4D04">
            <w:pPr>
              <w:pStyle w:val="TableTextLeft"/>
            </w:pPr>
          </w:p>
        </w:tc>
        <w:tc>
          <w:tcPr>
            <w:tcW w:w="2863" w:type="dxa"/>
            <w:tcBorders>
              <w:top w:val="dotted" w:sz="2" w:space="0" w:color="auto"/>
              <w:left w:val="single" w:sz="4" w:space="0" w:color="auto"/>
              <w:bottom w:val="dotted" w:sz="4" w:space="0" w:color="auto"/>
              <w:right w:val="single" w:sz="4" w:space="0" w:color="auto"/>
            </w:tcBorders>
          </w:tcPr>
          <w:p w:rsidR="0062165D" w:rsidRPr="00247D45" w:rsidRDefault="0062165D" w:rsidP="00DC4D04">
            <w:pPr>
              <w:pStyle w:val="TableTextLeft"/>
            </w:pPr>
            <w:r w:rsidRPr="00247D45">
              <w:t>Employer satisfaction with scheme management.</w:t>
            </w:r>
          </w:p>
        </w:tc>
        <w:tc>
          <w:tcPr>
            <w:tcW w:w="3785" w:type="dxa"/>
            <w:gridSpan w:val="2"/>
            <w:tcBorders>
              <w:top w:val="dotted" w:sz="2" w:space="0" w:color="auto"/>
              <w:left w:val="single" w:sz="4" w:space="0" w:color="auto"/>
              <w:bottom w:val="dotted" w:sz="4" w:space="0" w:color="auto"/>
            </w:tcBorders>
          </w:tcPr>
          <w:p w:rsidR="0062165D" w:rsidRPr="00247D45" w:rsidRDefault="0062165D" w:rsidP="00DC4D04">
            <w:pPr>
              <w:pStyle w:val="TableTextLeft"/>
            </w:pPr>
            <w:r>
              <w:t>Survey to be conducted in quarters 3 and 4 of 2015–</w:t>
            </w:r>
            <w:r w:rsidRPr="00247D45">
              <w:t xml:space="preserve">16. </w:t>
            </w:r>
          </w:p>
        </w:tc>
      </w:tr>
      <w:tr w:rsidR="0062165D" w:rsidRPr="00CE3C11" w:rsidTr="00DC4D04">
        <w:tc>
          <w:tcPr>
            <w:tcW w:w="1248" w:type="dxa"/>
            <w:tcBorders>
              <w:top w:val="dotted" w:sz="4" w:space="0" w:color="auto"/>
              <w:bottom w:val="dotted" w:sz="4" w:space="0" w:color="auto"/>
              <w:right w:val="single" w:sz="4" w:space="0" w:color="auto"/>
            </w:tcBorders>
          </w:tcPr>
          <w:p w:rsidR="0062165D" w:rsidRPr="00247D45" w:rsidRDefault="0062165D" w:rsidP="00DC4D04">
            <w:pPr>
              <w:pStyle w:val="TableTextLeft"/>
            </w:pPr>
            <w:r>
              <w:t>2016–</w:t>
            </w:r>
            <w:r w:rsidRPr="00247D45">
              <w:t>17</w:t>
            </w:r>
          </w:p>
        </w:tc>
        <w:tc>
          <w:tcPr>
            <w:tcW w:w="2863" w:type="dxa"/>
            <w:tcBorders>
              <w:top w:val="dotted" w:sz="4" w:space="0" w:color="auto"/>
              <w:left w:val="single" w:sz="4" w:space="0" w:color="auto"/>
              <w:bottom w:val="dotted" w:sz="4" w:space="0" w:color="auto"/>
              <w:right w:val="single" w:sz="4" w:space="0" w:color="auto"/>
            </w:tcBorders>
          </w:tcPr>
          <w:p w:rsidR="0062165D" w:rsidRPr="00247D45" w:rsidRDefault="0062165D" w:rsidP="00DC4D04">
            <w:pPr>
              <w:pStyle w:val="TableTextLeft"/>
            </w:pPr>
            <w:r>
              <w:rPr>
                <w:rFonts w:eastAsia="Cambria"/>
              </w:rPr>
              <w:t>As per 2015–</w:t>
            </w:r>
            <w:r w:rsidRPr="00247D45">
              <w:rPr>
                <w:rFonts w:eastAsia="Cambria"/>
              </w:rPr>
              <w:t>16</w:t>
            </w:r>
          </w:p>
        </w:tc>
        <w:tc>
          <w:tcPr>
            <w:tcW w:w="3785" w:type="dxa"/>
            <w:gridSpan w:val="2"/>
            <w:tcBorders>
              <w:top w:val="dotted" w:sz="4" w:space="0" w:color="auto"/>
              <w:left w:val="single" w:sz="4" w:space="0" w:color="auto"/>
              <w:bottom w:val="dotted" w:sz="4" w:space="0" w:color="auto"/>
            </w:tcBorders>
          </w:tcPr>
          <w:p w:rsidR="0062165D" w:rsidRPr="00247D45" w:rsidRDefault="0062165D" w:rsidP="00DC4D04">
            <w:pPr>
              <w:pStyle w:val="TableTextLeft"/>
            </w:pPr>
            <w:r>
              <w:t>As per 2015–</w:t>
            </w:r>
            <w:r w:rsidRPr="00247D45">
              <w:t>16</w:t>
            </w:r>
          </w:p>
        </w:tc>
      </w:tr>
      <w:tr w:rsidR="0062165D" w:rsidRPr="00CE3C11" w:rsidTr="00DC4D04">
        <w:tc>
          <w:tcPr>
            <w:tcW w:w="1248" w:type="dxa"/>
            <w:tcBorders>
              <w:top w:val="dotted" w:sz="4" w:space="0" w:color="auto"/>
              <w:bottom w:val="single" w:sz="4" w:space="0" w:color="auto"/>
              <w:right w:val="single" w:sz="4" w:space="0" w:color="auto"/>
            </w:tcBorders>
          </w:tcPr>
          <w:p w:rsidR="0062165D" w:rsidRPr="00247D45" w:rsidRDefault="0062165D" w:rsidP="00DC4D04">
            <w:pPr>
              <w:pStyle w:val="TableTextLeft"/>
            </w:pPr>
            <w:r>
              <w:t>2017–</w:t>
            </w:r>
            <w:r w:rsidRPr="00247D45">
              <w:t>18 and beyond</w:t>
            </w:r>
          </w:p>
        </w:tc>
        <w:tc>
          <w:tcPr>
            <w:tcW w:w="2863" w:type="dxa"/>
            <w:tcBorders>
              <w:top w:val="dotted" w:sz="4" w:space="0" w:color="auto"/>
              <w:left w:val="single" w:sz="4" w:space="0" w:color="auto"/>
              <w:bottom w:val="single" w:sz="4" w:space="0" w:color="auto"/>
              <w:right w:val="single" w:sz="4" w:space="0" w:color="auto"/>
            </w:tcBorders>
          </w:tcPr>
          <w:p w:rsidR="0062165D" w:rsidRPr="00247D45" w:rsidRDefault="0062165D" w:rsidP="00DC4D04">
            <w:pPr>
              <w:pStyle w:val="TableTextLeft"/>
            </w:pPr>
            <w:r>
              <w:t>As per 2016–</w:t>
            </w:r>
            <w:r w:rsidRPr="00247D45">
              <w:t>17</w:t>
            </w:r>
          </w:p>
        </w:tc>
        <w:tc>
          <w:tcPr>
            <w:tcW w:w="3785" w:type="dxa"/>
            <w:gridSpan w:val="2"/>
            <w:tcBorders>
              <w:top w:val="dotted" w:sz="4" w:space="0" w:color="auto"/>
              <w:left w:val="single" w:sz="4" w:space="0" w:color="auto"/>
              <w:bottom w:val="single" w:sz="4" w:space="0" w:color="auto"/>
            </w:tcBorders>
          </w:tcPr>
          <w:p w:rsidR="0062165D" w:rsidRPr="00247D45" w:rsidRDefault="0062165D" w:rsidP="00DC4D04">
            <w:pPr>
              <w:pStyle w:val="TableTextLeft"/>
            </w:pPr>
            <w:r>
              <w:t>As per 2016–</w:t>
            </w:r>
            <w:r w:rsidRPr="00247D45">
              <w:t>17</w:t>
            </w:r>
          </w:p>
        </w:tc>
      </w:tr>
    </w:tbl>
    <w:p w:rsidR="0062165D" w:rsidRDefault="0062165D" w:rsidP="0062165D"/>
    <w:p w:rsidR="0062165D" w:rsidRDefault="0062165D" w:rsidP="0062165D">
      <w:pPr>
        <w:spacing w:after="0"/>
      </w:pPr>
      <w:r>
        <w:br w:type="page"/>
      </w:r>
    </w:p>
    <w:tbl>
      <w:tblPr>
        <w:tblW w:w="7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863"/>
        <w:gridCol w:w="3785"/>
      </w:tblGrid>
      <w:tr w:rsidR="0062165D" w:rsidRPr="00CE3C11" w:rsidTr="00DC4D04">
        <w:trPr>
          <w:tblHeader/>
        </w:trPr>
        <w:tc>
          <w:tcPr>
            <w:tcW w:w="7896" w:type="dxa"/>
            <w:gridSpan w:val="3"/>
            <w:tcBorders>
              <w:top w:val="single" w:sz="4" w:space="0" w:color="auto"/>
            </w:tcBorders>
            <w:shd w:val="clear" w:color="auto" w:fill="F2F2F2"/>
          </w:tcPr>
          <w:p w:rsidR="0062165D" w:rsidRPr="00247D45" w:rsidRDefault="0062165D" w:rsidP="00DC4D04">
            <w:pPr>
              <w:pStyle w:val="TableTextLeft"/>
              <w:keepNext/>
              <w:keepLines/>
            </w:pPr>
            <w:r>
              <w:rPr>
                <w:b/>
              </w:rPr>
              <w:lastRenderedPageBreak/>
              <w:t>Program Component 1.3—</w:t>
            </w:r>
            <w:r w:rsidRPr="0088504A">
              <w:rPr>
                <w:b/>
              </w:rPr>
              <w:t>Safety, Rehabilitation and Compensation Commission and Seafarers Safety, Rehabilitation and Compensation Authority Support</w:t>
            </w:r>
            <w:r w:rsidRPr="00247D45">
              <w:t>.</w:t>
            </w:r>
          </w:p>
          <w:p w:rsidR="0062165D" w:rsidRPr="00247D45" w:rsidRDefault="0062165D" w:rsidP="00DC4D04">
            <w:pPr>
              <w:pStyle w:val="TableTextLeft"/>
              <w:keepNext/>
              <w:keepLines/>
            </w:pPr>
            <w:r w:rsidRPr="00247D45">
              <w:t xml:space="preserve">Providing high quality advice and assistance to the </w:t>
            </w:r>
            <w:proofErr w:type="spellStart"/>
            <w:r w:rsidRPr="00247D45">
              <w:t>SRCC</w:t>
            </w:r>
            <w:proofErr w:type="spellEnd"/>
            <w:r w:rsidRPr="00247D45">
              <w:t xml:space="preserve"> and the </w:t>
            </w:r>
            <w:proofErr w:type="spellStart"/>
            <w:r w:rsidRPr="00247D45">
              <w:t>Seacare</w:t>
            </w:r>
            <w:proofErr w:type="spellEnd"/>
            <w:r w:rsidRPr="00247D45">
              <w:t xml:space="preserve"> Authority enabling their responsibilities to be met and deliver the government’s direction.</w:t>
            </w:r>
          </w:p>
        </w:tc>
      </w:tr>
      <w:tr w:rsidR="0062165D" w:rsidRPr="00CE3C11" w:rsidTr="00DC4D04">
        <w:tc>
          <w:tcPr>
            <w:tcW w:w="1248" w:type="dxa"/>
            <w:tcBorders>
              <w:bottom w:val="double" w:sz="4" w:space="0" w:color="auto"/>
            </w:tcBorders>
          </w:tcPr>
          <w:p w:rsidR="0062165D" w:rsidRPr="00247D45" w:rsidRDefault="0062165D" w:rsidP="00DC4D04">
            <w:pPr>
              <w:pStyle w:val="TableTextLeft"/>
              <w:keepNext/>
              <w:keepLines/>
            </w:pPr>
            <w:r w:rsidRPr="00247D45">
              <w:t>Delivery</w:t>
            </w:r>
          </w:p>
        </w:tc>
        <w:tc>
          <w:tcPr>
            <w:tcW w:w="6648" w:type="dxa"/>
            <w:gridSpan w:val="2"/>
            <w:tcBorders>
              <w:bottom w:val="double" w:sz="4" w:space="0" w:color="auto"/>
            </w:tcBorders>
          </w:tcPr>
          <w:p w:rsidR="0062165D" w:rsidRPr="00247D45" w:rsidRDefault="0062165D" w:rsidP="00DC4D04">
            <w:pPr>
              <w:pStyle w:val="TableTextLeft"/>
              <w:keepNext/>
              <w:keepLines/>
            </w:pPr>
            <w:r w:rsidRPr="00247D45">
              <w:t xml:space="preserve">Provide advice to the </w:t>
            </w:r>
            <w:proofErr w:type="spellStart"/>
            <w:r w:rsidRPr="00247D45">
              <w:t>SRCC</w:t>
            </w:r>
            <w:proofErr w:type="spellEnd"/>
            <w:r w:rsidRPr="00247D45">
              <w:t xml:space="preserve"> and the </w:t>
            </w:r>
            <w:proofErr w:type="spellStart"/>
            <w:r w:rsidRPr="00247D45">
              <w:t>Seacare</w:t>
            </w:r>
            <w:proofErr w:type="spellEnd"/>
            <w:r w:rsidRPr="00247D45">
              <w:t xml:space="preserve"> Authority enabling review and improvement of the framework and content of the regulatory model.</w:t>
            </w:r>
          </w:p>
        </w:tc>
      </w:tr>
      <w:tr w:rsidR="0062165D" w:rsidRPr="00CE3C11" w:rsidTr="00DC4D04">
        <w:trPr>
          <w:cantSplit/>
        </w:trPr>
        <w:tc>
          <w:tcPr>
            <w:tcW w:w="1248" w:type="dxa"/>
            <w:tcBorders>
              <w:bottom w:val="double" w:sz="4" w:space="0" w:color="auto"/>
            </w:tcBorders>
          </w:tcPr>
          <w:p w:rsidR="0062165D" w:rsidRPr="00247D45" w:rsidRDefault="0062165D" w:rsidP="00DC4D04">
            <w:pPr>
              <w:pStyle w:val="TableTextLeft"/>
            </w:pPr>
            <w:r w:rsidRPr="00247D45">
              <w:t>Purpose</w:t>
            </w:r>
          </w:p>
        </w:tc>
        <w:tc>
          <w:tcPr>
            <w:tcW w:w="6648" w:type="dxa"/>
            <w:gridSpan w:val="2"/>
            <w:tcBorders>
              <w:bottom w:val="double" w:sz="4" w:space="0" w:color="auto"/>
            </w:tcBorders>
          </w:tcPr>
          <w:p w:rsidR="0062165D" w:rsidRPr="00247D45" w:rsidRDefault="0062165D" w:rsidP="00DC4D04">
            <w:pPr>
              <w:pStyle w:val="TableTextLeft"/>
            </w:pPr>
            <w:r w:rsidRPr="00247D45">
              <w:t xml:space="preserve">Support the </w:t>
            </w:r>
            <w:proofErr w:type="spellStart"/>
            <w:r w:rsidRPr="00247D45">
              <w:t>SRCC</w:t>
            </w:r>
            <w:proofErr w:type="spellEnd"/>
            <w:r w:rsidRPr="00247D45">
              <w:t xml:space="preserve"> and the </w:t>
            </w:r>
            <w:proofErr w:type="spellStart"/>
            <w:r w:rsidRPr="00247D45">
              <w:t>Seacare</w:t>
            </w:r>
            <w:proofErr w:type="spellEnd"/>
            <w:r w:rsidRPr="00247D45">
              <w:t xml:space="preserve"> Authority to achieve the government’s direction and strategic initiatives.</w:t>
            </w:r>
          </w:p>
        </w:tc>
      </w:tr>
      <w:tr w:rsidR="0062165D" w:rsidRPr="00CE3C11" w:rsidTr="00DC4D04">
        <w:tc>
          <w:tcPr>
            <w:tcW w:w="7896" w:type="dxa"/>
            <w:gridSpan w:val="3"/>
            <w:tcBorders>
              <w:top w:val="double" w:sz="4" w:space="0" w:color="auto"/>
              <w:bottom w:val="double" w:sz="4" w:space="0" w:color="auto"/>
            </w:tcBorders>
          </w:tcPr>
          <w:p w:rsidR="0062165D" w:rsidRPr="00247D45" w:rsidRDefault="0062165D" w:rsidP="00DC4D04">
            <w:pPr>
              <w:pStyle w:val="TableTextLeft"/>
            </w:pPr>
            <w:r w:rsidRPr="00247D45">
              <w:t>Performance information</w:t>
            </w:r>
          </w:p>
        </w:tc>
      </w:tr>
      <w:tr w:rsidR="0062165D" w:rsidRPr="00CE3C11" w:rsidTr="00DC4D04">
        <w:tc>
          <w:tcPr>
            <w:tcW w:w="1248" w:type="dxa"/>
            <w:tcBorders>
              <w:top w:val="double" w:sz="4" w:space="0" w:color="auto"/>
              <w:bottom w:val="single" w:sz="4" w:space="0" w:color="auto"/>
              <w:right w:val="single" w:sz="4" w:space="0" w:color="auto"/>
            </w:tcBorders>
          </w:tcPr>
          <w:p w:rsidR="0062165D" w:rsidRPr="00247D45" w:rsidRDefault="0062165D" w:rsidP="00DC4D04">
            <w:pPr>
              <w:pStyle w:val="TableTextLeft"/>
            </w:pPr>
            <w:r w:rsidRPr="00247D45">
              <w:t>Year</w:t>
            </w:r>
          </w:p>
        </w:tc>
        <w:tc>
          <w:tcPr>
            <w:tcW w:w="2863" w:type="dxa"/>
            <w:tcBorders>
              <w:top w:val="double" w:sz="4" w:space="0" w:color="auto"/>
              <w:left w:val="single" w:sz="4" w:space="0" w:color="auto"/>
              <w:bottom w:val="single" w:sz="4" w:space="0" w:color="auto"/>
              <w:right w:val="single" w:sz="4" w:space="0" w:color="auto"/>
            </w:tcBorders>
          </w:tcPr>
          <w:p w:rsidR="0062165D" w:rsidRPr="00247D45" w:rsidRDefault="0062165D" w:rsidP="00DC4D04">
            <w:pPr>
              <w:pStyle w:val="TableTextLeft"/>
            </w:pPr>
            <w:r>
              <w:t>Performance criteria</w:t>
            </w:r>
          </w:p>
        </w:tc>
        <w:tc>
          <w:tcPr>
            <w:tcW w:w="3785" w:type="dxa"/>
            <w:tcBorders>
              <w:top w:val="double" w:sz="4" w:space="0" w:color="auto"/>
              <w:left w:val="single" w:sz="4" w:space="0" w:color="auto"/>
              <w:bottom w:val="single" w:sz="4" w:space="0" w:color="auto"/>
            </w:tcBorders>
          </w:tcPr>
          <w:p w:rsidR="0062165D" w:rsidRPr="00247D45" w:rsidRDefault="0062165D" w:rsidP="00DC4D04">
            <w:pPr>
              <w:pStyle w:val="TableTextLeft"/>
            </w:pPr>
            <w:r w:rsidRPr="00247D45">
              <w:t>Targets</w:t>
            </w:r>
          </w:p>
        </w:tc>
      </w:tr>
      <w:tr w:rsidR="0062165D" w:rsidRPr="00CE3C11" w:rsidTr="00DC4D04">
        <w:trPr>
          <w:trHeight w:val="498"/>
        </w:trPr>
        <w:tc>
          <w:tcPr>
            <w:tcW w:w="1248" w:type="dxa"/>
            <w:vMerge w:val="restart"/>
            <w:tcBorders>
              <w:top w:val="single" w:sz="4" w:space="0" w:color="auto"/>
              <w:right w:val="single" w:sz="4" w:space="0" w:color="auto"/>
            </w:tcBorders>
          </w:tcPr>
          <w:p w:rsidR="0062165D" w:rsidRPr="00247D45" w:rsidRDefault="0062165D" w:rsidP="00DC4D04">
            <w:pPr>
              <w:pStyle w:val="TableTextLeft"/>
            </w:pPr>
            <w:r>
              <w:t>2015–</w:t>
            </w:r>
            <w:r w:rsidRPr="00247D45">
              <w:t>16</w:t>
            </w:r>
          </w:p>
        </w:tc>
        <w:tc>
          <w:tcPr>
            <w:tcW w:w="2863" w:type="dxa"/>
            <w:tcBorders>
              <w:top w:val="single" w:sz="4" w:space="0" w:color="auto"/>
              <w:left w:val="single" w:sz="4" w:space="0" w:color="auto"/>
              <w:bottom w:val="dotted" w:sz="2" w:space="0" w:color="auto"/>
              <w:right w:val="single" w:sz="4" w:space="0" w:color="auto"/>
            </w:tcBorders>
          </w:tcPr>
          <w:p w:rsidR="0062165D" w:rsidRPr="00247D45" w:rsidRDefault="0062165D" w:rsidP="00DC4D04">
            <w:pPr>
              <w:pStyle w:val="TableTextLeft"/>
            </w:pPr>
            <w:proofErr w:type="spellStart"/>
            <w:r w:rsidRPr="00247D45">
              <w:t>SRCC</w:t>
            </w:r>
            <w:proofErr w:type="spellEnd"/>
            <w:r w:rsidRPr="00247D45">
              <w:t xml:space="preserve"> satisfaction of support provided by </w:t>
            </w:r>
            <w:proofErr w:type="spellStart"/>
            <w:r w:rsidRPr="00247D45">
              <w:t>Comcare</w:t>
            </w:r>
            <w:proofErr w:type="spellEnd"/>
            <w:r w:rsidRPr="00247D45">
              <w:t>.</w:t>
            </w:r>
          </w:p>
        </w:tc>
        <w:tc>
          <w:tcPr>
            <w:tcW w:w="3785" w:type="dxa"/>
            <w:tcBorders>
              <w:top w:val="single" w:sz="4" w:space="0" w:color="auto"/>
              <w:left w:val="single" w:sz="4" w:space="0" w:color="auto"/>
              <w:bottom w:val="dotted" w:sz="2" w:space="0" w:color="auto"/>
            </w:tcBorders>
          </w:tcPr>
          <w:p w:rsidR="0062165D" w:rsidRPr="00247D45" w:rsidRDefault="0062165D" w:rsidP="00DC4D04">
            <w:pPr>
              <w:pStyle w:val="TableTextLeft"/>
            </w:pPr>
            <w:r>
              <w:t>Satisfied</w:t>
            </w:r>
          </w:p>
        </w:tc>
      </w:tr>
      <w:tr w:rsidR="0062165D" w:rsidRPr="00CE3C11" w:rsidTr="00DC4D04">
        <w:trPr>
          <w:trHeight w:val="495"/>
        </w:trPr>
        <w:tc>
          <w:tcPr>
            <w:tcW w:w="1248" w:type="dxa"/>
            <w:vMerge/>
            <w:tcBorders>
              <w:bottom w:val="dotted" w:sz="4" w:space="0" w:color="auto"/>
              <w:right w:val="single" w:sz="4" w:space="0" w:color="auto"/>
            </w:tcBorders>
          </w:tcPr>
          <w:p w:rsidR="0062165D" w:rsidRDefault="0062165D" w:rsidP="00DC4D04">
            <w:pPr>
              <w:pStyle w:val="TableTextLeft"/>
            </w:pPr>
          </w:p>
        </w:tc>
        <w:tc>
          <w:tcPr>
            <w:tcW w:w="2863" w:type="dxa"/>
            <w:tcBorders>
              <w:top w:val="dotted" w:sz="2" w:space="0" w:color="auto"/>
              <w:left w:val="single" w:sz="4" w:space="0" w:color="auto"/>
              <w:bottom w:val="dotted" w:sz="4" w:space="0" w:color="auto"/>
              <w:right w:val="single" w:sz="4" w:space="0" w:color="auto"/>
            </w:tcBorders>
          </w:tcPr>
          <w:p w:rsidR="0062165D" w:rsidRPr="00247D45" w:rsidRDefault="0062165D" w:rsidP="00DC4D04">
            <w:pPr>
              <w:pStyle w:val="TableTextLeft"/>
            </w:pPr>
            <w:proofErr w:type="spellStart"/>
            <w:r w:rsidRPr="00247D45">
              <w:t>Seacare</w:t>
            </w:r>
            <w:proofErr w:type="spellEnd"/>
            <w:r w:rsidRPr="00247D45">
              <w:t xml:space="preserve"> Authority satisfaction of support provided by </w:t>
            </w:r>
            <w:proofErr w:type="spellStart"/>
            <w:r w:rsidRPr="00247D45">
              <w:t>Comcare</w:t>
            </w:r>
            <w:proofErr w:type="spellEnd"/>
            <w:r w:rsidRPr="00247D45">
              <w:t>.</w:t>
            </w:r>
          </w:p>
        </w:tc>
        <w:tc>
          <w:tcPr>
            <w:tcW w:w="3785" w:type="dxa"/>
            <w:tcBorders>
              <w:top w:val="dotted" w:sz="2" w:space="0" w:color="auto"/>
              <w:left w:val="single" w:sz="4" w:space="0" w:color="auto"/>
              <w:bottom w:val="dotted" w:sz="4" w:space="0" w:color="auto"/>
            </w:tcBorders>
          </w:tcPr>
          <w:p w:rsidR="0062165D" w:rsidRDefault="0062165D" w:rsidP="00DC4D04">
            <w:pPr>
              <w:pStyle w:val="TableTextLeft"/>
            </w:pPr>
            <w:r>
              <w:t>Satisfied</w:t>
            </w:r>
          </w:p>
        </w:tc>
      </w:tr>
      <w:tr w:rsidR="0062165D" w:rsidRPr="00CE3C11" w:rsidTr="00DC4D04">
        <w:trPr>
          <w:cantSplit/>
          <w:trHeight w:val="720"/>
        </w:trPr>
        <w:tc>
          <w:tcPr>
            <w:tcW w:w="1248" w:type="dxa"/>
            <w:vMerge w:val="restart"/>
            <w:tcBorders>
              <w:top w:val="dotted" w:sz="4" w:space="0" w:color="auto"/>
              <w:right w:val="single" w:sz="4" w:space="0" w:color="auto"/>
            </w:tcBorders>
          </w:tcPr>
          <w:p w:rsidR="0062165D" w:rsidRPr="00247D45" w:rsidRDefault="0062165D" w:rsidP="00DC4D04">
            <w:pPr>
              <w:pStyle w:val="TableTextLeft"/>
            </w:pPr>
            <w:r>
              <w:t>2016–</w:t>
            </w:r>
            <w:r w:rsidRPr="00247D45">
              <w:t>17</w:t>
            </w:r>
          </w:p>
        </w:tc>
        <w:tc>
          <w:tcPr>
            <w:tcW w:w="2863" w:type="dxa"/>
            <w:tcBorders>
              <w:top w:val="dotted" w:sz="4"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rPr>
                <w:rFonts w:eastAsia="Cambria"/>
              </w:rPr>
              <w:t>As per 2015</w:t>
            </w:r>
            <w:r>
              <w:rPr>
                <w:rFonts w:eastAsia="Cambria"/>
              </w:rPr>
              <w:t>–</w:t>
            </w:r>
            <w:r w:rsidRPr="00247D45">
              <w:rPr>
                <w:rFonts w:eastAsia="Cambria"/>
              </w:rPr>
              <w:t>16.</w:t>
            </w:r>
          </w:p>
        </w:tc>
        <w:tc>
          <w:tcPr>
            <w:tcW w:w="3785" w:type="dxa"/>
            <w:tcBorders>
              <w:top w:val="dotted" w:sz="4" w:space="0" w:color="auto"/>
              <w:left w:val="single" w:sz="4" w:space="0" w:color="auto"/>
              <w:bottom w:val="dotted" w:sz="2" w:space="0" w:color="auto"/>
            </w:tcBorders>
          </w:tcPr>
          <w:p w:rsidR="0062165D" w:rsidRPr="00247D45" w:rsidRDefault="0062165D" w:rsidP="00DC4D04">
            <w:pPr>
              <w:pStyle w:val="TableTextLeft"/>
            </w:pPr>
            <w:r w:rsidRPr="00247D45">
              <w:t>Percentage and number of Commissioners and Members satisfied with the quality of support provided.</w:t>
            </w:r>
          </w:p>
        </w:tc>
      </w:tr>
      <w:tr w:rsidR="0062165D" w:rsidRPr="00CE3C11" w:rsidTr="00DC4D04">
        <w:trPr>
          <w:cantSplit/>
          <w:trHeight w:val="705"/>
        </w:trPr>
        <w:tc>
          <w:tcPr>
            <w:tcW w:w="1248" w:type="dxa"/>
            <w:vMerge/>
            <w:tcBorders>
              <w:bottom w:val="dotted" w:sz="4" w:space="0" w:color="auto"/>
              <w:right w:val="single" w:sz="4" w:space="0" w:color="auto"/>
            </w:tcBorders>
          </w:tcPr>
          <w:p w:rsidR="0062165D" w:rsidRDefault="0062165D" w:rsidP="00DC4D04">
            <w:pPr>
              <w:pStyle w:val="TableTextLeft"/>
            </w:pPr>
          </w:p>
        </w:tc>
        <w:tc>
          <w:tcPr>
            <w:tcW w:w="2863" w:type="dxa"/>
            <w:tcBorders>
              <w:top w:val="dotted" w:sz="2" w:space="0" w:color="auto"/>
              <w:left w:val="single" w:sz="4" w:space="0" w:color="auto"/>
              <w:bottom w:val="dotted" w:sz="4" w:space="0" w:color="auto"/>
              <w:right w:val="single" w:sz="4" w:space="0" w:color="auto"/>
            </w:tcBorders>
          </w:tcPr>
          <w:p w:rsidR="0062165D" w:rsidRPr="00247D45" w:rsidRDefault="0062165D" w:rsidP="00DC4D04">
            <w:pPr>
              <w:pStyle w:val="TableTextLeft"/>
              <w:rPr>
                <w:rFonts w:eastAsia="Cambria"/>
              </w:rPr>
            </w:pPr>
          </w:p>
        </w:tc>
        <w:tc>
          <w:tcPr>
            <w:tcW w:w="3785" w:type="dxa"/>
            <w:tcBorders>
              <w:top w:val="dotted" w:sz="2" w:space="0" w:color="auto"/>
              <w:left w:val="single" w:sz="4" w:space="0" w:color="auto"/>
              <w:bottom w:val="dotted" w:sz="4" w:space="0" w:color="auto"/>
            </w:tcBorders>
          </w:tcPr>
          <w:p w:rsidR="0062165D" w:rsidRPr="00247D45" w:rsidRDefault="0062165D" w:rsidP="00DC4D04">
            <w:pPr>
              <w:pStyle w:val="TableTextLeft"/>
            </w:pPr>
            <w:r w:rsidRPr="00247D45">
              <w:t>Qualitative evaluation using structured interviews with Commissioners and Members.</w:t>
            </w:r>
          </w:p>
        </w:tc>
      </w:tr>
      <w:tr w:rsidR="0062165D" w:rsidRPr="00CE3C11" w:rsidTr="00DC4D04">
        <w:tc>
          <w:tcPr>
            <w:tcW w:w="1248" w:type="dxa"/>
            <w:tcBorders>
              <w:top w:val="dotted" w:sz="4" w:space="0" w:color="auto"/>
              <w:right w:val="single" w:sz="4" w:space="0" w:color="auto"/>
            </w:tcBorders>
          </w:tcPr>
          <w:p w:rsidR="0062165D" w:rsidRPr="00247D45" w:rsidRDefault="0062165D" w:rsidP="00DC4D04">
            <w:pPr>
              <w:pStyle w:val="TableTextLeft"/>
            </w:pPr>
            <w:r>
              <w:t>2017–</w:t>
            </w:r>
            <w:r w:rsidRPr="00247D45">
              <w:t>18 and beyond</w:t>
            </w:r>
          </w:p>
        </w:tc>
        <w:tc>
          <w:tcPr>
            <w:tcW w:w="2863" w:type="dxa"/>
            <w:tcBorders>
              <w:top w:val="dotted" w:sz="4" w:space="0" w:color="auto"/>
              <w:left w:val="single" w:sz="4" w:space="0" w:color="auto"/>
              <w:right w:val="single" w:sz="4" w:space="0" w:color="auto"/>
            </w:tcBorders>
          </w:tcPr>
          <w:p w:rsidR="0062165D" w:rsidRPr="00247D45" w:rsidRDefault="0062165D" w:rsidP="00DC4D04">
            <w:pPr>
              <w:pStyle w:val="TableTextLeft"/>
            </w:pPr>
            <w:r>
              <w:t>As per 2016–</w:t>
            </w:r>
            <w:r w:rsidRPr="00247D45">
              <w:t>17</w:t>
            </w:r>
          </w:p>
        </w:tc>
        <w:tc>
          <w:tcPr>
            <w:tcW w:w="3785" w:type="dxa"/>
            <w:tcBorders>
              <w:top w:val="dotted" w:sz="4" w:space="0" w:color="auto"/>
              <w:left w:val="single" w:sz="4" w:space="0" w:color="auto"/>
            </w:tcBorders>
          </w:tcPr>
          <w:p w:rsidR="0062165D" w:rsidRPr="00247D45" w:rsidRDefault="0062165D" w:rsidP="00DC4D04">
            <w:pPr>
              <w:pStyle w:val="TableTextLeft"/>
            </w:pPr>
            <w:r w:rsidRPr="00247D45">
              <w:t>As per 2016</w:t>
            </w:r>
            <w:r>
              <w:t>–</w:t>
            </w:r>
            <w:r w:rsidRPr="00247D45">
              <w:t>17</w:t>
            </w:r>
          </w:p>
        </w:tc>
      </w:tr>
    </w:tbl>
    <w:p w:rsidR="0062165D" w:rsidRDefault="0062165D" w:rsidP="0062165D"/>
    <w:p w:rsidR="0062165D" w:rsidRDefault="0062165D" w:rsidP="0062165D">
      <w:pPr>
        <w:spacing w:after="0"/>
      </w:pPr>
      <w:r>
        <w:br w:type="page"/>
      </w:r>
    </w:p>
    <w:tbl>
      <w:tblPr>
        <w:tblW w:w="7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564"/>
        <w:gridCol w:w="2069"/>
      </w:tblGrid>
      <w:tr w:rsidR="0062165D" w:rsidRPr="00CE3C11" w:rsidTr="00DC4D04">
        <w:trPr>
          <w:trHeight w:val="262"/>
          <w:tblHeader/>
        </w:trPr>
        <w:tc>
          <w:tcPr>
            <w:tcW w:w="7881" w:type="dxa"/>
            <w:gridSpan w:val="3"/>
            <w:tcBorders>
              <w:top w:val="double" w:sz="4" w:space="0" w:color="auto"/>
              <w:bottom w:val="single" w:sz="4" w:space="0" w:color="auto"/>
            </w:tcBorders>
            <w:shd w:val="clear" w:color="auto" w:fill="F2F2F2"/>
          </w:tcPr>
          <w:p w:rsidR="0062165D" w:rsidRPr="0088504A" w:rsidRDefault="0062165D" w:rsidP="00DC4D04">
            <w:pPr>
              <w:pStyle w:val="TableTextLeft"/>
              <w:keepNext/>
              <w:keepLines/>
              <w:rPr>
                <w:b/>
              </w:rPr>
            </w:pPr>
            <w:r>
              <w:rPr>
                <w:b/>
              </w:rPr>
              <w:lastRenderedPageBreak/>
              <w:t>Program Component 1.4—</w:t>
            </w:r>
            <w:r w:rsidRPr="0088504A">
              <w:rPr>
                <w:b/>
              </w:rPr>
              <w:t>Premium Claims</w:t>
            </w:r>
          </w:p>
        </w:tc>
      </w:tr>
      <w:tr w:rsidR="0062165D" w:rsidRPr="00CE3C11" w:rsidTr="00DC4D04">
        <w:trPr>
          <w:trHeight w:val="634"/>
        </w:trPr>
        <w:tc>
          <w:tcPr>
            <w:tcW w:w="1248" w:type="dxa"/>
            <w:tcBorders>
              <w:top w:val="single" w:sz="4" w:space="0" w:color="auto"/>
              <w:bottom w:val="single" w:sz="4" w:space="0" w:color="auto"/>
            </w:tcBorders>
          </w:tcPr>
          <w:p w:rsidR="0062165D" w:rsidRPr="00247D45" w:rsidRDefault="0062165D" w:rsidP="00DC4D04">
            <w:pPr>
              <w:pStyle w:val="TableTextLeft"/>
              <w:keepNext/>
              <w:keepLines/>
            </w:pPr>
            <w:r w:rsidRPr="00247D45">
              <w:t>Delivery</w:t>
            </w:r>
          </w:p>
        </w:tc>
        <w:tc>
          <w:tcPr>
            <w:tcW w:w="6633" w:type="dxa"/>
            <w:gridSpan w:val="2"/>
            <w:tcBorders>
              <w:top w:val="single" w:sz="4" w:space="0" w:color="auto"/>
              <w:bottom w:val="single" w:sz="4" w:space="0" w:color="auto"/>
            </w:tcBorders>
          </w:tcPr>
          <w:p w:rsidR="0062165D" w:rsidRPr="00247D45" w:rsidRDefault="0062165D" w:rsidP="00DC4D04">
            <w:pPr>
              <w:pStyle w:val="TableTextLeft"/>
              <w:keepNext/>
              <w:keepLines/>
            </w:pPr>
            <w:r w:rsidRPr="00247D45">
              <w:t>Responsive, relevant and cost effective services supported by the timely management of workers’ compensation claims.</w:t>
            </w:r>
          </w:p>
        </w:tc>
      </w:tr>
      <w:tr w:rsidR="0062165D" w:rsidRPr="00CE3C11" w:rsidTr="00DC4D04">
        <w:trPr>
          <w:trHeight w:val="519"/>
        </w:trPr>
        <w:tc>
          <w:tcPr>
            <w:tcW w:w="1248" w:type="dxa"/>
            <w:tcBorders>
              <w:bottom w:val="double" w:sz="4" w:space="0" w:color="auto"/>
            </w:tcBorders>
          </w:tcPr>
          <w:p w:rsidR="0062165D" w:rsidRPr="00247D45" w:rsidRDefault="0062165D" w:rsidP="00DC4D04">
            <w:pPr>
              <w:pStyle w:val="TableTextLeft"/>
              <w:keepNext/>
              <w:keepLines/>
            </w:pPr>
            <w:r w:rsidRPr="00247D45">
              <w:t>Purpose</w:t>
            </w:r>
          </w:p>
        </w:tc>
        <w:tc>
          <w:tcPr>
            <w:tcW w:w="6633" w:type="dxa"/>
            <w:gridSpan w:val="2"/>
            <w:tcBorders>
              <w:bottom w:val="double" w:sz="4" w:space="0" w:color="auto"/>
            </w:tcBorders>
          </w:tcPr>
          <w:p w:rsidR="0062165D" w:rsidRPr="00247D45" w:rsidRDefault="0062165D" w:rsidP="00DC4D04">
            <w:pPr>
              <w:pStyle w:val="TableTextLeft"/>
              <w:keepNext/>
              <w:keepLines/>
            </w:pPr>
            <w:r w:rsidRPr="00247D45">
              <w:t>The management of all claims and liabilities for the Commonwealth and the ACT</w:t>
            </w:r>
            <w:r>
              <w:t xml:space="preserve"> </w:t>
            </w:r>
            <w:r w:rsidRPr="00247D45">
              <w:t>Government’s workers’ compensation scheme.</w:t>
            </w:r>
          </w:p>
        </w:tc>
      </w:tr>
      <w:tr w:rsidR="0062165D" w:rsidRPr="00CE3C11" w:rsidTr="00DC4D04">
        <w:trPr>
          <w:trHeight w:val="252"/>
        </w:trPr>
        <w:tc>
          <w:tcPr>
            <w:tcW w:w="7881" w:type="dxa"/>
            <w:gridSpan w:val="3"/>
            <w:tcBorders>
              <w:top w:val="double" w:sz="4" w:space="0" w:color="auto"/>
              <w:bottom w:val="double" w:sz="4" w:space="0" w:color="auto"/>
            </w:tcBorders>
          </w:tcPr>
          <w:p w:rsidR="0062165D" w:rsidRPr="00247D45" w:rsidRDefault="0062165D" w:rsidP="00DC4D04">
            <w:pPr>
              <w:pStyle w:val="TableTextLeft"/>
              <w:keepNext/>
              <w:keepLines/>
            </w:pPr>
            <w:r w:rsidRPr="00247D45">
              <w:t>Performance information</w:t>
            </w:r>
          </w:p>
        </w:tc>
      </w:tr>
      <w:tr w:rsidR="0062165D" w:rsidRPr="00CE3C11" w:rsidTr="00DC4D04">
        <w:trPr>
          <w:trHeight w:val="274"/>
        </w:trPr>
        <w:tc>
          <w:tcPr>
            <w:tcW w:w="1248" w:type="dxa"/>
            <w:tcBorders>
              <w:top w:val="double" w:sz="4" w:space="0" w:color="auto"/>
              <w:bottom w:val="single" w:sz="4" w:space="0" w:color="auto"/>
              <w:right w:val="single" w:sz="4" w:space="0" w:color="auto"/>
            </w:tcBorders>
          </w:tcPr>
          <w:p w:rsidR="0062165D" w:rsidRPr="00247D45" w:rsidRDefault="0062165D" w:rsidP="00DC4D04">
            <w:pPr>
              <w:pStyle w:val="TableTextLeft"/>
              <w:keepNext/>
              <w:keepLines/>
            </w:pPr>
            <w:r w:rsidRPr="00247D45">
              <w:t>Year</w:t>
            </w:r>
          </w:p>
        </w:tc>
        <w:tc>
          <w:tcPr>
            <w:tcW w:w="4564" w:type="dxa"/>
            <w:tcBorders>
              <w:top w:val="double" w:sz="4" w:space="0" w:color="auto"/>
              <w:left w:val="single" w:sz="4" w:space="0" w:color="auto"/>
              <w:bottom w:val="single" w:sz="4" w:space="0" w:color="auto"/>
              <w:right w:val="single" w:sz="4" w:space="0" w:color="auto"/>
            </w:tcBorders>
          </w:tcPr>
          <w:p w:rsidR="0062165D" w:rsidRPr="00247D45" w:rsidRDefault="0062165D" w:rsidP="00DC4D04">
            <w:pPr>
              <w:pStyle w:val="TableTextLeft"/>
              <w:keepNext/>
              <w:keepLines/>
            </w:pPr>
            <w:r>
              <w:t>Performance criteria</w:t>
            </w:r>
            <w:r>
              <w:rPr>
                <w:rStyle w:val="FootnoteReference"/>
              </w:rPr>
              <w:footnoteReference w:id="2"/>
            </w:r>
            <w:r>
              <w:t xml:space="preserve"> (a)</w:t>
            </w:r>
          </w:p>
        </w:tc>
        <w:tc>
          <w:tcPr>
            <w:tcW w:w="2069" w:type="dxa"/>
            <w:tcBorders>
              <w:top w:val="double" w:sz="4" w:space="0" w:color="auto"/>
              <w:left w:val="single" w:sz="4" w:space="0" w:color="auto"/>
              <w:bottom w:val="single" w:sz="4" w:space="0" w:color="auto"/>
            </w:tcBorders>
          </w:tcPr>
          <w:p w:rsidR="0062165D" w:rsidRPr="00247D45" w:rsidRDefault="0062165D" w:rsidP="00DC4D04">
            <w:pPr>
              <w:pStyle w:val="TableTextLeft"/>
              <w:keepNext/>
              <w:keepLines/>
            </w:pPr>
            <w:r w:rsidRPr="00247D45">
              <w:t>Targets</w:t>
            </w:r>
          </w:p>
        </w:tc>
      </w:tr>
      <w:tr w:rsidR="0062165D" w:rsidRPr="00CE3C11" w:rsidTr="00DC4D04">
        <w:trPr>
          <w:cantSplit/>
          <w:trHeight w:val="510"/>
        </w:trPr>
        <w:tc>
          <w:tcPr>
            <w:tcW w:w="1248" w:type="dxa"/>
            <w:vMerge w:val="restart"/>
            <w:tcBorders>
              <w:top w:val="single" w:sz="4" w:space="0" w:color="auto"/>
              <w:right w:val="single" w:sz="4" w:space="0" w:color="auto"/>
            </w:tcBorders>
          </w:tcPr>
          <w:p w:rsidR="0062165D" w:rsidRPr="00247D45" w:rsidRDefault="0062165D" w:rsidP="00DC4D04">
            <w:pPr>
              <w:pStyle w:val="TableTextLeft"/>
            </w:pPr>
            <w:r>
              <w:t>2015–</w:t>
            </w:r>
            <w:r w:rsidRPr="00247D45">
              <w:t>16</w:t>
            </w:r>
          </w:p>
        </w:tc>
        <w:tc>
          <w:tcPr>
            <w:tcW w:w="4564" w:type="dxa"/>
            <w:tcBorders>
              <w:top w:val="single" w:sz="4"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Funding Ratio (i.e. the percentage of premium-related total assets to premium-related liabilities).</w:t>
            </w:r>
          </w:p>
        </w:tc>
        <w:tc>
          <w:tcPr>
            <w:tcW w:w="2069" w:type="dxa"/>
            <w:tcBorders>
              <w:top w:val="single" w:sz="4" w:space="0" w:color="auto"/>
              <w:left w:val="single" w:sz="4" w:space="0" w:color="auto"/>
              <w:bottom w:val="dotted" w:sz="2" w:space="0" w:color="auto"/>
            </w:tcBorders>
          </w:tcPr>
          <w:p w:rsidR="0062165D" w:rsidRPr="00247D45" w:rsidRDefault="0062165D" w:rsidP="00DC4D04">
            <w:pPr>
              <w:pStyle w:val="TableTextBullet"/>
              <w:numPr>
                <w:ilvl w:val="0"/>
                <w:numId w:val="0"/>
              </w:numPr>
            </w:pPr>
            <w:r>
              <w:t>Target 75%</w:t>
            </w:r>
            <w:r>
              <w:br/>
            </w:r>
            <w:r w:rsidRPr="00247D45">
              <w:t xml:space="preserve">Achieved </w:t>
            </w:r>
            <w:r>
              <w:t>81</w:t>
            </w:r>
            <w:r w:rsidRPr="00247D45">
              <w:t>%</w:t>
            </w:r>
          </w:p>
        </w:tc>
      </w:tr>
      <w:tr w:rsidR="0062165D" w:rsidRPr="00CE3C11" w:rsidTr="00DC4D04">
        <w:trPr>
          <w:cantSplit/>
          <w:trHeight w:val="9"/>
        </w:trPr>
        <w:tc>
          <w:tcPr>
            <w:tcW w:w="1248" w:type="dxa"/>
            <w:vMerge/>
            <w:tcBorders>
              <w:top w:val="single" w:sz="4" w:space="0" w:color="auto"/>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nil"/>
              <w:right w:val="single" w:sz="4" w:space="0" w:color="auto"/>
            </w:tcBorders>
          </w:tcPr>
          <w:p w:rsidR="0062165D" w:rsidRPr="00247D45" w:rsidRDefault="0062165D" w:rsidP="00DC4D04">
            <w:pPr>
              <w:pStyle w:val="TableTextLeft"/>
            </w:pPr>
            <w:r w:rsidRPr="00247D45">
              <w:t>Co</w:t>
            </w:r>
            <w:r>
              <w:t>mmonwealth Average premium rate</w:t>
            </w:r>
          </w:p>
        </w:tc>
        <w:tc>
          <w:tcPr>
            <w:tcW w:w="2069" w:type="dxa"/>
            <w:tcBorders>
              <w:top w:val="dotted" w:sz="2" w:space="0" w:color="auto"/>
              <w:left w:val="single" w:sz="4" w:space="0" w:color="auto"/>
              <w:bottom w:val="nil"/>
            </w:tcBorders>
          </w:tcPr>
          <w:p w:rsidR="0062165D" w:rsidRDefault="0062165D" w:rsidP="00DC4D04">
            <w:pPr>
              <w:pStyle w:val="TableTextBullet"/>
              <w:numPr>
                <w:ilvl w:val="0"/>
                <w:numId w:val="0"/>
              </w:numPr>
            </w:pPr>
            <w:r>
              <w:t>Target 2.04%</w:t>
            </w:r>
            <w:r w:rsidRPr="00247D45">
              <w:t xml:space="preserve"> </w:t>
            </w:r>
            <w:r>
              <w:br/>
            </w:r>
            <w:r w:rsidRPr="00247D45">
              <w:t>Achieved to date</w:t>
            </w:r>
          </w:p>
        </w:tc>
      </w:tr>
      <w:tr w:rsidR="0062165D" w:rsidRPr="00CE3C11" w:rsidTr="00DC4D04">
        <w:trPr>
          <w:cantSplit/>
          <w:trHeight w:val="645"/>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Claims continuance rate (i.e. the percentage of claims with four weeks incapacity that continued to 13 weeks or more of incapacity)</w:t>
            </w:r>
          </w:p>
        </w:tc>
        <w:tc>
          <w:tcPr>
            <w:tcW w:w="2069" w:type="dxa"/>
            <w:tcBorders>
              <w:top w:val="dotted" w:sz="2" w:space="0" w:color="auto"/>
              <w:left w:val="single" w:sz="4" w:space="0" w:color="auto"/>
              <w:bottom w:val="dotted" w:sz="2" w:space="0" w:color="auto"/>
            </w:tcBorders>
          </w:tcPr>
          <w:p w:rsidR="0062165D" w:rsidRDefault="0062165D" w:rsidP="00DC4D04">
            <w:pPr>
              <w:pStyle w:val="TableTextBullet"/>
              <w:numPr>
                <w:ilvl w:val="0"/>
                <w:numId w:val="0"/>
              </w:numPr>
            </w:pPr>
            <w:r>
              <w:t xml:space="preserve">Target 57% </w:t>
            </w:r>
            <w:r>
              <w:br/>
              <w:t>Achieved to date</w:t>
            </w:r>
          </w:p>
        </w:tc>
      </w:tr>
      <w:tr w:rsidR="0062165D" w:rsidRPr="00CE3C11" w:rsidTr="00DC4D04">
        <w:trPr>
          <w:cantSplit/>
          <w:trHeight w:val="108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Current return to work (i.e. the percentage of injured workers with 10 or more days off work, who had submitted a claim 7-9 months prior to the survey, and who are working in a paid</w:t>
            </w:r>
            <w:r>
              <w:t xml:space="preserve"> job at the time of the survey)</w:t>
            </w:r>
          </w:p>
        </w:tc>
        <w:tc>
          <w:tcPr>
            <w:tcW w:w="2069" w:type="dxa"/>
            <w:tcBorders>
              <w:top w:val="dotted" w:sz="2" w:space="0" w:color="auto"/>
              <w:left w:val="single" w:sz="4" w:space="0" w:color="auto"/>
              <w:bottom w:val="dotted" w:sz="2" w:space="0" w:color="auto"/>
            </w:tcBorders>
          </w:tcPr>
          <w:p w:rsidR="0062165D" w:rsidRDefault="0062165D" w:rsidP="00DC4D04">
            <w:pPr>
              <w:pStyle w:val="TableTextBullet"/>
              <w:numPr>
                <w:ilvl w:val="0"/>
                <w:numId w:val="0"/>
              </w:numPr>
            </w:pPr>
            <w:r>
              <w:t>Target 90%</w:t>
            </w:r>
            <w:r>
              <w:br/>
              <w:t>Results available quarter four</w:t>
            </w:r>
          </w:p>
        </w:tc>
      </w:tr>
      <w:tr w:rsidR="0062165D" w:rsidRPr="00CE3C11" w:rsidTr="00DC4D04">
        <w:trPr>
          <w:cantSplit/>
          <w:trHeight w:val="66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247D45" w:rsidRDefault="0062165D" w:rsidP="00DC4D04">
            <w:pPr>
              <w:pStyle w:val="TableTextLeft"/>
            </w:pPr>
            <w:r w:rsidRPr="00247D45">
              <w:t>Injured worker satisfaction with servic</w:t>
            </w:r>
            <w:r>
              <w:t xml:space="preserve">es as part of the </w:t>
            </w:r>
            <w:proofErr w:type="spellStart"/>
            <w:r>
              <w:t>Comcare</w:t>
            </w:r>
            <w:proofErr w:type="spellEnd"/>
            <w:r>
              <w:t xml:space="preserve"> index</w:t>
            </w:r>
          </w:p>
        </w:tc>
        <w:tc>
          <w:tcPr>
            <w:tcW w:w="2069" w:type="dxa"/>
            <w:tcBorders>
              <w:top w:val="dotted" w:sz="2" w:space="0" w:color="auto"/>
              <w:left w:val="single" w:sz="4" w:space="0" w:color="auto"/>
              <w:bottom w:val="dotted" w:sz="2" w:space="0" w:color="auto"/>
            </w:tcBorders>
          </w:tcPr>
          <w:p w:rsidR="0062165D" w:rsidRDefault="0062165D" w:rsidP="00DC4D04">
            <w:pPr>
              <w:pStyle w:val="TableTextBullet"/>
              <w:numPr>
                <w:ilvl w:val="0"/>
                <w:numId w:val="0"/>
              </w:numPr>
            </w:pPr>
            <w:r>
              <w:t>Target 85%</w:t>
            </w:r>
            <w:r>
              <w:br/>
              <w:t>Results available in quarter 4</w:t>
            </w:r>
          </w:p>
        </w:tc>
      </w:tr>
      <w:tr w:rsidR="0062165D" w:rsidRPr="00CE3C11" w:rsidTr="00DC4D04">
        <w:trPr>
          <w:cantSplit/>
          <w:trHeight w:val="750"/>
        </w:trPr>
        <w:tc>
          <w:tcPr>
            <w:tcW w:w="1248" w:type="dxa"/>
            <w:vMerge/>
            <w:tcBorders>
              <w:right w:val="single" w:sz="4" w:space="0" w:color="auto"/>
            </w:tcBorders>
          </w:tcPr>
          <w:p w:rsidR="0062165D" w:rsidRDefault="0062165D" w:rsidP="00DC4D04">
            <w:pPr>
              <w:pStyle w:val="TableTextLeft"/>
            </w:pPr>
          </w:p>
        </w:tc>
        <w:tc>
          <w:tcPr>
            <w:tcW w:w="4564" w:type="dxa"/>
            <w:tcBorders>
              <w:top w:val="nil"/>
              <w:left w:val="single" w:sz="4" w:space="0" w:color="auto"/>
              <w:bottom w:val="dotted" w:sz="2" w:space="0" w:color="auto"/>
              <w:right w:val="single" w:sz="4" w:space="0" w:color="auto"/>
            </w:tcBorders>
          </w:tcPr>
          <w:p w:rsidR="0062165D" w:rsidRPr="00247D45" w:rsidRDefault="0062165D" w:rsidP="00DC4D04">
            <w:pPr>
              <w:pStyle w:val="TableTextLeft"/>
            </w:pPr>
            <w:r w:rsidRPr="00247D45">
              <w:t xml:space="preserve">Timeliness of claims determination (i.e. percentage of new claims determined within 20 calendar days for injury claims </w:t>
            </w:r>
            <w:r>
              <w:t>and 60 days for disease claims)</w:t>
            </w:r>
          </w:p>
        </w:tc>
        <w:tc>
          <w:tcPr>
            <w:tcW w:w="2069" w:type="dxa"/>
            <w:tcBorders>
              <w:top w:val="nil"/>
              <w:left w:val="single" w:sz="4" w:space="0" w:color="auto"/>
              <w:bottom w:val="dotted" w:sz="2" w:space="0" w:color="auto"/>
            </w:tcBorders>
          </w:tcPr>
          <w:p w:rsidR="0062165D" w:rsidRDefault="0062165D" w:rsidP="00DC4D04">
            <w:pPr>
              <w:pStyle w:val="TableTextBullet"/>
              <w:numPr>
                <w:ilvl w:val="0"/>
                <w:numId w:val="0"/>
              </w:numPr>
            </w:pPr>
            <w:r>
              <w:t xml:space="preserve">Target 100% </w:t>
            </w:r>
            <w:r>
              <w:br/>
              <w:t>Achieved 88%</w:t>
            </w:r>
          </w:p>
        </w:tc>
      </w:tr>
      <w:tr w:rsidR="0062165D" w:rsidRPr="00CE3C11" w:rsidTr="00DC4D04">
        <w:trPr>
          <w:cantSplit/>
          <w:trHeight w:val="1112"/>
        </w:trPr>
        <w:tc>
          <w:tcPr>
            <w:tcW w:w="1248" w:type="dxa"/>
            <w:vMerge/>
            <w:tcBorders>
              <w:bottom w:val="single" w:sz="4" w:space="0" w:color="auto"/>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single" w:sz="4" w:space="0" w:color="auto"/>
              <w:right w:val="single" w:sz="4" w:space="0" w:color="auto"/>
            </w:tcBorders>
          </w:tcPr>
          <w:p w:rsidR="0062165D" w:rsidRPr="00247D45" w:rsidRDefault="0062165D" w:rsidP="00DC4D04">
            <w:pPr>
              <w:pStyle w:val="TableTextLeft"/>
            </w:pPr>
            <w:r w:rsidRPr="00247D45">
              <w:t>Timeliness of determined claims payment (i.e. percentage of non-incapacity items paid or rejected within seven calendar days for reimbursement to employees or trustees, and 28 ca</w:t>
            </w:r>
            <w:r>
              <w:t>lendar days for other payments)</w:t>
            </w:r>
          </w:p>
        </w:tc>
        <w:tc>
          <w:tcPr>
            <w:tcW w:w="2069" w:type="dxa"/>
            <w:tcBorders>
              <w:top w:val="dotted" w:sz="2" w:space="0" w:color="auto"/>
              <w:left w:val="single" w:sz="4" w:space="0" w:color="auto"/>
              <w:bottom w:val="single" w:sz="4" w:space="0" w:color="auto"/>
            </w:tcBorders>
          </w:tcPr>
          <w:p w:rsidR="0062165D" w:rsidRPr="00247D45" w:rsidRDefault="0062165D" w:rsidP="00DC4D04">
            <w:pPr>
              <w:pStyle w:val="TableTextBullet"/>
              <w:numPr>
                <w:ilvl w:val="0"/>
                <w:numId w:val="0"/>
              </w:numPr>
            </w:pPr>
            <w:r w:rsidRPr="00247D45">
              <w:t>Targe</w:t>
            </w:r>
            <w:r>
              <w:t>t 100%</w:t>
            </w:r>
            <w:r w:rsidRPr="00247D45">
              <w:t xml:space="preserve"> </w:t>
            </w:r>
            <w:r>
              <w:br/>
            </w:r>
            <w:r w:rsidRPr="00247D45">
              <w:t>Achie</w:t>
            </w:r>
            <w:r>
              <w:t>ved 65%</w:t>
            </w:r>
          </w:p>
        </w:tc>
      </w:tr>
      <w:tr w:rsidR="0062165D" w:rsidRPr="00CE3C11" w:rsidTr="00DC4D04">
        <w:trPr>
          <w:cantSplit/>
          <w:trHeight w:val="744"/>
        </w:trPr>
        <w:tc>
          <w:tcPr>
            <w:tcW w:w="1248" w:type="dxa"/>
            <w:vMerge w:val="restart"/>
            <w:tcBorders>
              <w:top w:val="single" w:sz="4" w:space="0" w:color="auto"/>
              <w:right w:val="single" w:sz="4" w:space="0" w:color="auto"/>
            </w:tcBorders>
          </w:tcPr>
          <w:p w:rsidR="0062165D" w:rsidRPr="00247D45" w:rsidRDefault="0062165D" w:rsidP="00DC4D04">
            <w:pPr>
              <w:pStyle w:val="TableTextLeft"/>
            </w:pPr>
            <w:r>
              <w:t>2016–</w:t>
            </w:r>
            <w:r w:rsidRPr="00247D45">
              <w:t>17</w:t>
            </w:r>
          </w:p>
        </w:tc>
        <w:tc>
          <w:tcPr>
            <w:tcW w:w="4564" w:type="dxa"/>
            <w:tcBorders>
              <w:top w:val="single" w:sz="4" w:space="0" w:color="auto"/>
              <w:left w:val="single" w:sz="4" w:space="0" w:color="auto"/>
              <w:bottom w:val="dotted" w:sz="2" w:space="0" w:color="auto"/>
              <w:right w:val="single" w:sz="4" w:space="0" w:color="auto"/>
            </w:tcBorders>
          </w:tcPr>
          <w:p w:rsidR="0062165D" w:rsidRPr="00324BF1" w:rsidRDefault="0062165D" w:rsidP="00DC4D04">
            <w:pPr>
              <w:pStyle w:val="TableTextLeft"/>
              <w:rPr>
                <w:i/>
                <w:color w:val="FF0000"/>
                <w:u w:val="single"/>
              </w:rPr>
            </w:pPr>
            <w:r w:rsidRPr="00324BF1">
              <w:rPr>
                <w:i/>
                <w:u w:val="single"/>
              </w:rPr>
              <w:t>Scheme is fully funded by 1 July 2020 (i.e. the percentage of premium-related assets to premium-related liabilities)</w:t>
            </w:r>
          </w:p>
        </w:tc>
        <w:tc>
          <w:tcPr>
            <w:tcW w:w="2069" w:type="dxa"/>
            <w:tcBorders>
              <w:top w:val="single" w:sz="4" w:space="0" w:color="auto"/>
              <w:left w:val="single" w:sz="4" w:space="0" w:color="auto"/>
              <w:bottom w:val="dotted" w:sz="2" w:space="0" w:color="auto"/>
            </w:tcBorders>
          </w:tcPr>
          <w:p w:rsidR="0062165D" w:rsidRPr="00324BF1" w:rsidRDefault="0062165D" w:rsidP="00DC4D04">
            <w:pPr>
              <w:pStyle w:val="TableTextLeft"/>
              <w:rPr>
                <w:i/>
                <w:color w:val="FF0000"/>
                <w:u w:val="single"/>
              </w:rPr>
            </w:pPr>
            <w:r w:rsidRPr="00324BF1">
              <w:rPr>
                <w:i/>
                <w:u w:val="single"/>
              </w:rPr>
              <w:t>Target 8</w:t>
            </w:r>
            <w:r>
              <w:rPr>
                <w:i/>
                <w:u w:val="single"/>
              </w:rPr>
              <w:t>5</w:t>
            </w:r>
            <w:r w:rsidRPr="00324BF1">
              <w:rPr>
                <w:i/>
                <w:u w:val="single"/>
              </w:rPr>
              <w:t>% or higher by 1 July 2017</w:t>
            </w:r>
          </w:p>
        </w:tc>
      </w:tr>
      <w:tr w:rsidR="0062165D" w:rsidRPr="00CE3C11" w:rsidTr="00DC4D04">
        <w:trPr>
          <w:cantSplit/>
          <w:trHeight w:val="501"/>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Del="001E7357" w:rsidRDefault="0062165D" w:rsidP="00DC4D04">
            <w:pPr>
              <w:pStyle w:val="TableTextLeft"/>
              <w:rPr>
                <w:i/>
                <w:u w:val="single"/>
              </w:rPr>
            </w:pPr>
            <w:r w:rsidRPr="00324BF1">
              <w:rPr>
                <w:i/>
                <w:u w:val="single"/>
              </w:rPr>
              <w:t>Scheme liability is reduced by $1 billion by 1 July 2018</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rsidRPr="00324BF1">
              <w:rPr>
                <w:i/>
                <w:u w:val="single"/>
              </w:rPr>
              <w:t xml:space="preserve">Target $2.3 billion or lower by 1 July 2017 </w:t>
            </w:r>
          </w:p>
        </w:tc>
      </w:tr>
      <w:tr w:rsidR="0062165D" w:rsidRPr="00CE3C11" w:rsidTr="00DC4D04">
        <w:trPr>
          <w:cantSplit/>
          <w:trHeight w:val="63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RDefault="0062165D" w:rsidP="00DC4D04">
            <w:pPr>
              <w:pStyle w:val="TableTextLeft"/>
              <w:rPr>
                <w:i/>
                <w:u w:val="single"/>
              </w:rPr>
            </w:pPr>
            <w:r w:rsidRPr="00324BF1">
              <w:rPr>
                <w:i/>
                <w:u w:val="single"/>
              </w:rPr>
              <w:t>Premiums are at an optimal level (</w:t>
            </w:r>
            <w:proofErr w:type="spellStart"/>
            <w:r w:rsidRPr="00324BF1">
              <w:rPr>
                <w:i/>
                <w:u w:val="single"/>
              </w:rPr>
              <w:t>ie</w:t>
            </w:r>
            <w:proofErr w:type="spellEnd"/>
            <w:r w:rsidRPr="00324BF1">
              <w:rPr>
                <w:i/>
                <w:u w:val="single"/>
              </w:rPr>
              <w:t xml:space="preserve"> average premiums as a percentage of payroll)</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rsidRPr="00324BF1">
              <w:rPr>
                <w:i/>
                <w:u w:val="single"/>
              </w:rPr>
              <w:t>Target 1.3% or lower by 1 July 2017</w:t>
            </w:r>
          </w:p>
        </w:tc>
      </w:tr>
      <w:tr w:rsidR="0062165D" w:rsidRPr="00CE3C11" w:rsidTr="00DC4D04">
        <w:trPr>
          <w:cantSplit/>
          <w:trHeight w:val="60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single" w:sz="4" w:space="0" w:color="auto"/>
              <w:right w:val="single" w:sz="4" w:space="0" w:color="auto"/>
            </w:tcBorders>
          </w:tcPr>
          <w:p w:rsidR="0062165D" w:rsidRPr="00751B99" w:rsidDel="00A83930" w:rsidRDefault="0062165D" w:rsidP="00DC4D04">
            <w:pPr>
              <w:pStyle w:val="TableTextLeft"/>
              <w:rPr>
                <w:i/>
                <w:u w:val="single"/>
              </w:rPr>
            </w:pPr>
            <w:r w:rsidRPr="00324BF1">
              <w:rPr>
                <w:i/>
                <w:u w:val="single"/>
              </w:rPr>
              <w:t>Reduced administration costs</w:t>
            </w:r>
          </w:p>
        </w:tc>
        <w:tc>
          <w:tcPr>
            <w:tcW w:w="2069" w:type="dxa"/>
            <w:tcBorders>
              <w:top w:val="dotted" w:sz="2" w:space="0" w:color="auto"/>
              <w:left w:val="single" w:sz="4" w:space="0" w:color="auto"/>
              <w:bottom w:val="single" w:sz="4" w:space="0" w:color="auto"/>
            </w:tcBorders>
          </w:tcPr>
          <w:p w:rsidR="0062165D" w:rsidRPr="00751B99" w:rsidRDefault="0062165D" w:rsidP="00DC4D04">
            <w:pPr>
              <w:pStyle w:val="TableTextLeft"/>
              <w:rPr>
                <w:i/>
                <w:u w:val="single"/>
              </w:rPr>
            </w:pPr>
            <w:r w:rsidRPr="00324BF1">
              <w:rPr>
                <w:i/>
                <w:u w:val="single"/>
              </w:rPr>
              <w:t>Target 21% or lower by 1 July 2017</w:t>
            </w:r>
          </w:p>
        </w:tc>
      </w:tr>
      <w:tr w:rsidR="0062165D" w:rsidRPr="00CE3C11" w:rsidTr="00DC4D04">
        <w:trPr>
          <w:cantSplit/>
          <w:trHeight w:val="1053"/>
        </w:trPr>
        <w:tc>
          <w:tcPr>
            <w:tcW w:w="1248" w:type="dxa"/>
            <w:vMerge/>
            <w:tcBorders>
              <w:right w:val="single" w:sz="4" w:space="0" w:color="auto"/>
            </w:tcBorders>
          </w:tcPr>
          <w:p w:rsidR="0062165D" w:rsidRDefault="0062165D" w:rsidP="00DC4D04">
            <w:pPr>
              <w:pStyle w:val="TableTextLeft"/>
            </w:pPr>
          </w:p>
        </w:tc>
        <w:tc>
          <w:tcPr>
            <w:tcW w:w="4564" w:type="dxa"/>
            <w:tcBorders>
              <w:top w:val="single" w:sz="4" w:space="0" w:color="auto"/>
              <w:left w:val="single" w:sz="4" w:space="0" w:color="auto"/>
              <w:bottom w:val="dotted" w:sz="2" w:space="0" w:color="auto"/>
              <w:right w:val="single" w:sz="4" w:space="0" w:color="auto"/>
            </w:tcBorders>
          </w:tcPr>
          <w:p w:rsidR="0062165D" w:rsidRPr="00751B99" w:rsidRDefault="0062165D" w:rsidP="00DC4D04">
            <w:pPr>
              <w:pStyle w:val="TableTextLeft"/>
              <w:rPr>
                <w:i/>
                <w:u w:val="single"/>
              </w:rPr>
            </w:pPr>
            <w:r w:rsidRPr="00324BF1">
              <w:rPr>
                <w:i/>
                <w:u w:val="single"/>
              </w:rPr>
              <w:t>Early return to work of employees (</w:t>
            </w:r>
            <w:proofErr w:type="spellStart"/>
            <w:r w:rsidRPr="00324BF1">
              <w:rPr>
                <w:i/>
                <w:u w:val="single"/>
              </w:rPr>
              <w:t>ie</w:t>
            </w:r>
            <w:proofErr w:type="spellEnd"/>
            <w:r w:rsidRPr="00324BF1">
              <w:rPr>
                <w:i/>
                <w:u w:val="single"/>
              </w:rPr>
              <w:t xml:space="preserve"> percent and number of employees on reduced income continuance. Reported by time period: 4, 13, 26 and 52 weeks</w:t>
            </w:r>
          </w:p>
        </w:tc>
        <w:tc>
          <w:tcPr>
            <w:tcW w:w="2069" w:type="dxa"/>
            <w:tcBorders>
              <w:top w:val="single" w:sz="4" w:space="0" w:color="auto"/>
              <w:left w:val="single" w:sz="4" w:space="0" w:color="auto"/>
              <w:bottom w:val="dotted" w:sz="2" w:space="0" w:color="auto"/>
            </w:tcBorders>
          </w:tcPr>
          <w:p w:rsidR="0062165D" w:rsidRPr="00751B99" w:rsidRDefault="0062165D" w:rsidP="00DC4D04">
            <w:pPr>
              <w:pStyle w:val="TableTextLeft"/>
              <w:rPr>
                <w:i/>
                <w:u w:val="single"/>
              </w:rPr>
            </w:pPr>
            <w:r>
              <w:rPr>
                <w:i/>
                <w:u w:val="single"/>
              </w:rPr>
              <w:t>Reduction in t</w:t>
            </w:r>
            <w:r w:rsidRPr="00324BF1">
              <w:rPr>
                <w:i/>
                <w:u w:val="single"/>
              </w:rPr>
              <w:t>rends over time</w:t>
            </w:r>
          </w:p>
        </w:tc>
      </w:tr>
      <w:tr w:rsidR="0062165D" w:rsidRPr="00CE3C11" w:rsidTr="00DC4D04">
        <w:trPr>
          <w:cantSplit/>
          <w:trHeight w:val="811"/>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RDefault="0062165D" w:rsidP="00DC4D04">
            <w:pPr>
              <w:pStyle w:val="TableTextLeft"/>
              <w:rPr>
                <w:i/>
                <w:sz w:val="16"/>
                <w:u w:val="single"/>
              </w:rPr>
            </w:pPr>
            <w:r w:rsidRPr="00324BF1">
              <w:rPr>
                <w:i/>
                <w:u w:val="single"/>
              </w:rPr>
              <w:t>Satisfaction with services (</w:t>
            </w:r>
            <w:proofErr w:type="spellStart"/>
            <w:r w:rsidRPr="00324BF1">
              <w:rPr>
                <w:i/>
                <w:u w:val="single"/>
              </w:rPr>
              <w:t>ie</w:t>
            </w:r>
            <w:proofErr w:type="spellEnd"/>
            <w:r w:rsidRPr="00324BF1">
              <w:rPr>
                <w:i/>
                <w:u w:val="single"/>
              </w:rPr>
              <w:t xml:space="preserve"> percentage and number of employers and employees satisfied with the quality of services provided to case managers in agencies) </w:t>
            </w:r>
          </w:p>
        </w:tc>
        <w:tc>
          <w:tcPr>
            <w:tcW w:w="2069" w:type="dxa"/>
            <w:tcBorders>
              <w:top w:val="dotted" w:sz="2" w:space="0" w:color="auto"/>
              <w:left w:val="single" w:sz="4" w:space="0" w:color="auto"/>
              <w:bottom w:val="dotted" w:sz="2" w:space="0" w:color="auto"/>
            </w:tcBorders>
          </w:tcPr>
          <w:p w:rsidR="0062165D" w:rsidRDefault="0062165D" w:rsidP="00DC4D04">
            <w:pPr>
              <w:pStyle w:val="TableTextLeft"/>
              <w:rPr>
                <w:i/>
                <w:u w:val="single"/>
              </w:rPr>
            </w:pPr>
            <w:r w:rsidRPr="00324BF1">
              <w:rPr>
                <w:i/>
                <w:u w:val="single"/>
              </w:rPr>
              <w:t>Target 85% or higher</w:t>
            </w:r>
          </w:p>
        </w:tc>
      </w:tr>
      <w:tr w:rsidR="0062165D" w:rsidRPr="00CE3C11" w:rsidTr="00DC4D04">
        <w:trPr>
          <w:cantSplit/>
          <w:trHeight w:val="398"/>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Del="00A83930" w:rsidRDefault="0062165D" w:rsidP="00DC4D04">
            <w:pPr>
              <w:pStyle w:val="TableTextLeft"/>
              <w:rPr>
                <w:i/>
                <w:u w:val="single"/>
              </w:rPr>
            </w:pPr>
            <w:r w:rsidRPr="00324BF1">
              <w:rPr>
                <w:i/>
                <w:u w:val="single"/>
              </w:rPr>
              <w:t>Timely processing of claims</w:t>
            </w:r>
          </w:p>
        </w:tc>
        <w:tc>
          <w:tcPr>
            <w:tcW w:w="2069" w:type="dxa"/>
            <w:tcBorders>
              <w:top w:val="dotted" w:sz="2" w:space="0" w:color="auto"/>
              <w:left w:val="single" w:sz="4" w:space="0" w:color="auto"/>
              <w:bottom w:val="dotted" w:sz="2" w:space="0" w:color="auto"/>
            </w:tcBorders>
          </w:tcPr>
          <w:p w:rsidR="0062165D" w:rsidRPr="00751B99" w:rsidDel="00A83930" w:rsidRDefault="0062165D" w:rsidP="00DC4D04">
            <w:pPr>
              <w:pStyle w:val="TableTextLeft"/>
              <w:rPr>
                <w:i/>
                <w:sz w:val="28"/>
                <w:u w:val="single"/>
              </w:rPr>
            </w:pPr>
            <w:r w:rsidRPr="00324BF1">
              <w:rPr>
                <w:i/>
                <w:u w:val="single"/>
              </w:rPr>
              <w:t>Target 100%</w:t>
            </w:r>
          </w:p>
        </w:tc>
      </w:tr>
      <w:tr w:rsidR="0062165D" w:rsidRPr="00CE3C11" w:rsidTr="00DC4D04">
        <w:trPr>
          <w:cantSplit/>
          <w:trHeight w:val="84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Del="00A83930" w:rsidRDefault="0062165D" w:rsidP="00DC4D04">
            <w:pPr>
              <w:pStyle w:val="TableTextLeft"/>
              <w:rPr>
                <w:i/>
                <w:u w:val="single"/>
              </w:rPr>
            </w:pPr>
            <w:r w:rsidRPr="00324BF1">
              <w:rPr>
                <w:i/>
                <w:u w:val="single"/>
              </w:rPr>
              <w:t>Accurate processing of claims (</w:t>
            </w:r>
            <w:proofErr w:type="spellStart"/>
            <w:r w:rsidRPr="00324BF1">
              <w:rPr>
                <w:i/>
                <w:u w:val="single"/>
              </w:rPr>
              <w:t>ie</w:t>
            </w:r>
            <w:proofErr w:type="spellEnd"/>
            <w:r w:rsidRPr="00324BF1">
              <w:rPr>
                <w:i/>
                <w:u w:val="single"/>
              </w:rPr>
              <w:t xml:space="preserve"> percentage and number of sampled payments processed in accordance with agreed standards)</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rsidRPr="00324BF1">
              <w:rPr>
                <w:i/>
                <w:u w:val="single"/>
              </w:rPr>
              <w:t>Target 100%</w:t>
            </w:r>
          </w:p>
        </w:tc>
      </w:tr>
      <w:tr w:rsidR="0062165D" w:rsidRPr="00CE3C11" w:rsidTr="00DC4D04">
        <w:trPr>
          <w:cantSplit/>
          <w:trHeight w:val="571"/>
        </w:trPr>
        <w:tc>
          <w:tcPr>
            <w:tcW w:w="1248" w:type="dxa"/>
            <w:vMerge/>
            <w:tcBorders>
              <w:bottom w:val="dotted" w:sz="4" w:space="0" w:color="auto"/>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4" w:space="0" w:color="auto"/>
              <w:right w:val="single" w:sz="4" w:space="0" w:color="auto"/>
            </w:tcBorders>
          </w:tcPr>
          <w:p w:rsidR="0062165D" w:rsidRPr="00751B99" w:rsidDel="00751B99" w:rsidRDefault="0062165D" w:rsidP="00DC4D04">
            <w:pPr>
              <w:pStyle w:val="TableTextLeft"/>
              <w:rPr>
                <w:i/>
                <w:u w:val="single"/>
              </w:rPr>
            </w:pPr>
            <w:r w:rsidRPr="00324BF1">
              <w:rPr>
                <w:i/>
                <w:u w:val="single"/>
              </w:rPr>
              <w:t xml:space="preserve">Reasonable cost </w:t>
            </w:r>
            <w:proofErr w:type="spellStart"/>
            <w:r w:rsidRPr="00324BF1">
              <w:rPr>
                <w:i/>
                <w:u w:val="single"/>
              </w:rPr>
              <w:t>tp</w:t>
            </w:r>
            <w:proofErr w:type="spellEnd"/>
            <w:r w:rsidRPr="00324BF1">
              <w:rPr>
                <w:i/>
                <w:u w:val="single"/>
              </w:rPr>
              <w:t xml:space="preserve"> process claims (</w:t>
            </w:r>
            <w:proofErr w:type="spellStart"/>
            <w:r w:rsidRPr="00324BF1">
              <w:rPr>
                <w:i/>
                <w:u w:val="single"/>
              </w:rPr>
              <w:t>ie</w:t>
            </w:r>
            <w:proofErr w:type="spellEnd"/>
            <w:r w:rsidRPr="00324BF1">
              <w:rPr>
                <w:i/>
                <w:u w:val="single"/>
              </w:rPr>
              <w:t xml:space="preserve"> average cost per claim processed)</w:t>
            </w:r>
          </w:p>
        </w:tc>
        <w:tc>
          <w:tcPr>
            <w:tcW w:w="2069" w:type="dxa"/>
            <w:tcBorders>
              <w:top w:val="dotted" w:sz="2" w:space="0" w:color="auto"/>
              <w:left w:val="single" w:sz="4" w:space="0" w:color="auto"/>
              <w:bottom w:val="dotted" w:sz="4" w:space="0" w:color="auto"/>
            </w:tcBorders>
          </w:tcPr>
          <w:p w:rsidR="0062165D" w:rsidRPr="00751B99" w:rsidRDefault="0062165D" w:rsidP="00DC4D04">
            <w:pPr>
              <w:pStyle w:val="TableTextLeft"/>
              <w:rPr>
                <w:i/>
                <w:u w:val="single"/>
              </w:rPr>
            </w:pPr>
            <w:r>
              <w:rPr>
                <w:i/>
                <w:u w:val="single"/>
              </w:rPr>
              <w:t>Reduction in t</w:t>
            </w:r>
            <w:r w:rsidRPr="00324BF1">
              <w:rPr>
                <w:i/>
                <w:u w:val="single"/>
              </w:rPr>
              <w:t>rends over time</w:t>
            </w:r>
          </w:p>
        </w:tc>
      </w:tr>
      <w:tr w:rsidR="0062165D" w:rsidRPr="00CE3C11" w:rsidTr="00DC4D04">
        <w:trPr>
          <w:trHeight w:val="690"/>
        </w:trPr>
        <w:tc>
          <w:tcPr>
            <w:tcW w:w="1248" w:type="dxa"/>
            <w:vMerge w:val="restart"/>
            <w:tcBorders>
              <w:top w:val="dotted" w:sz="4" w:space="0" w:color="auto"/>
              <w:right w:val="single" w:sz="4" w:space="0" w:color="auto"/>
            </w:tcBorders>
          </w:tcPr>
          <w:p w:rsidR="0062165D" w:rsidRPr="00247D45" w:rsidRDefault="0062165D" w:rsidP="00DC4D04">
            <w:pPr>
              <w:pStyle w:val="TableTextLeft"/>
            </w:pPr>
            <w:r>
              <w:t>2017–</w:t>
            </w:r>
            <w:r w:rsidRPr="00247D45">
              <w:t>18 and beyond</w:t>
            </w:r>
          </w:p>
        </w:tc>
        <w:tc>
          <w:tcPr>
            <w:tcW w:w="4564" w:type="dxa"/>
            <w:tcBorders>
              <w:top w:val="dotted" w:sz="4" w:space="0" w:color="auto"/>
              <w:left w:val="single" w:sz="4" w:space="0" w:color="auto"/>
              <w:bottom w:val="dotted" w:sz="2" w:space="0" w:color="auto"/>
              <w:right w:val="single" w:sz="4" w:space="0" w:color="auto"/>
            </w:tcBorders>
          </w:tcPr>
          <w:p w:rsidR="0062165D" w:rsidRPr="00324BF1" w:rsidRDefault="0062165D" w:rsidP="00DC4D04">
            <w:pPr>
              <w:pStyle w:val="TableTextLeft"/>
              <w:rPr>
                <w:i/>
                <w:color w:val="FF0000"/>
                <w:u w:val="single"/>
              </w:rPr>
            </w:pPr>
            <w:r w:rsidRPr="004F356C">
              <w:t>Sc</w:t>
            </w:r>
            <w:r w:rsidRPr="00751B99">
              <w:t>heme is fully funded by 1 July 2020 (i.e. the percentage of premium-related assets to premium-related liabilities)</w:t>
            </w:r>
          </w:p>
        </w:tc>
        <w:tc>
          <w:tcPr>
            <w:tcW w:w="2069" w:type="dxa"/>
            <w:tcBorders>
              <w:top w:val="dotted" w:sz="4" w:space="0" w:color="auto"/>
              <w:left w:val="single" w:sz="4" w:space="0" w:color="auto"/>
              <w:bottom w:val="dotted" w:sz="2" w:space="0" w:color="auto"/>
            </w:tcBorders>
          </w:tcPr>
          <w:p w:rsidR="0062165D" w:rsidRPr="00324BF1" w:rsidRDefault="0062165D" w:rsidP="00DC4D04">
            <w:pPr>
              <w:pStyle w:val="TableTextLeft"/>
              <w:rPr>
                <w:i/>
                <w:color w:val="FF0000"/>
                <w:u w:val="single"/>
              </w:rPr>
            </w:pPr>
            <w:r w:rsidRPr="00324BF1">
              <w:rPr>
                <w:i/>
                <w:u w:val="single"/>
              </w:rPr>
              <w:t xml:space="preserve">Target </w:t>
            </w:r>
            <w:r>
              <w:rPr>
                <w:i/>
                <w:u w:val="single"/>
              </w:rPr>
              <w:t>90</w:t>
            </w:r>
            <w:r w:rsidRPr="00324BF1">
              <w:rPr>
                <w:i/>
                <w:u w:val="single"/>
              </w:rPr>
              <w:t>% or higher by 1 July 201</w:t>
            </w:r>
            <w:r>
              <w:rPr>
                <w:i/>
                <w:u w:val="single"/>
              </w:rPr>
              <w:t>8</w:t>
            </w:r>
          </w:p>
        </w:tc>
      </w:tr>
      <w:tr w:rsidR="0062165D" w:rsidRPr="00CE3C11" w:rsidTr="00DC4D04">
        <w:trPr>
          <w:trHeight w:val="555"/>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AE183E" w:rsidDel="001E7357" w:rsidRDefault="0062165D" w:rsidP="00DC4D04">
            <w:pPr>
              <w:pStyle w:val="TableTextLeft"/>
            </w:pPr>
            <w:r w:rsidRPr="00751B99">
              <w:t>Scheme liability is reduced by $1 billion by 1 July 2018</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rsidRPr="00324BF1">
              <w:rPr>
                <w:i/>
                <w:u w:val="single"/>
              </w:rPr>
              <w:t>Target $</w:t>
            </w:r>
            <w:r>
              <w:rPr>
                <w:i/>
                <w:u w:val="single"/>
              </w:rPr>
              <w:t>1.9</w:t>
            </w:r>
            <w:r w:rsidRPr="00324BF1">
              <w:rPr>
                <w:i/>
                <w:u w:val="single"/>
              </w:rPr>
              <w:t xml:space="preserve"> billion or lower by 1 July 201</w:t>
            </w:r>
            <w:r>
              <w:rPr>
                <w:i/>
                <w:u w:val="single"/>
              </w:rPr>
              <w:t>8</w:t>
            </w:r>
            <w:r w:rsidRPr="00324BF1">
              <w:rPr>
                <w:i/>
                <w:u w:val="single"/>
              </w:rPr>
              <w:t xml:space="preserve"> </w:t>
            </w:r>
          </w:p>
        </w:tc>
      </w:tr>
      <w:tr w:rsidR="0062165D" w:rsidRPr="00CE3C11" w:rsidTr="00DC4D04">
        <w:trPr>
          <w:trHeight w:val="654"/>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RDefault="0062165D" w:rsidP="00DC4D04">
            <w:pPr>
              <w:pStyle w:val="TableTextLeft"/>
            </w:pPr>
            <w:r w:rsidRPr="00751B99">
              <w:t>Premiums are at an optimal level (</w:t>
            </w:r>
            <w:proofErr w:type="spellStart"/>
            <w:r w:rsidRPr="00751B99">
              <w:t>ie</w:t>
            </w:r>
            <w:proofErr w:type="spellEnd"/>
            <w:r w:rsidRPr="00751B99">
              <w:t xml:space="preserve"> average premiums as a percentage of payroll)</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rsidRPr="00324BF1">
              <w:rPr>
                <w:i/>
                <w:u w:val="single"/>
              </w:rPr>
              <w:t>Target 1.</w:t>
            </w:r>
            <w:r>
              <w:rPr>
                <w:i/>
                <w:u w:val="single"/>
              </w:rPr>
              <w:t>1</w:t>
            </w:r>
            <w:r w:rsidRPr="00324BF1">
              <w:rPr>
                <w:i/>
                <w:u w:val="single"/>
              </w:rPr>
              <w:t>% or lower by 1 July 201</w:t>
            </w:r>
            <w:r>
              <w:rPr>
                <w:i/>
                <w:u w:val="single"/>
              </w:rPr>
              <w:t>8</w:t>
            </w:r>
          </w:p>
        </w:tc>
      </w:tr>
      <w:tr w:rsidR="0062165D" w:rsidRPr="00CE3C11" w:rsidTr="00DC4D04">
        <w:trPr>
          <w:trHeight w:val="593"/>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RDefault="0062165D" w:rsidP="00DC4D04">
            <w:pPr>
              <w:pStyle w:val="TableTextLeft"/>
            </w:pPr>
            <w:r w:rsidRPr="00AE183E">
              <w:t>Reduced administration costs</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sz w:val="14"/>
                <w:u w:val="single"/>
              </w:rPr>
            </w:pPr>
            <w:r w:rsidRPr="00324BF1">
              <w:rPr>
                <w:i/>
                <w:u w:val="single"/>
              </w:rPr>
              <w:t>Target 2</w:t>
            </w:r>
            <w:r>
              <w:rPr>
                <w:i/>
                <w:u w:val="single"/>
              </w:rPr>
              <w:t>0</w:t>
            </w:r>
            <w:r w:rsidRPr="00AE183E">
              <w:rPr>
                <w:i/>
                <w:u w:val="single"/>
              </w:rPr>
              <w:t>% or lower by 1 July 201</w:t>
            </w:r>
            <w:r>
              <w:rPr>
                <w:i/>
                <w:u w:val="single"/>
              </w:rPr>
              <w:t>8</w:t>
            </w:r>
          </w:p>
        </w:tc>
      </w:tr>
      <w:tr w:rsidR="0062165D" w:rsidRPr="00CE3C11" w:rsidTr="00DC4D04">
        <w:trPr>
          <w:trHeight w:val="942"/>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AE183E" w:rsidRDefault="0062165D" w:rsidP="00DC4D04">
            <w:pPr>
              <w:pStyle w:val="TableTextLeft"/>
            </w:pPr>
            <w:r w:rsidRPr="004F356C">
              <w:t>Early return to work of employees (</w:t>
            </w:r>
            <w:proofErr w:type="spellStart"/>
            <w:r w:rsidRPr="004F356C">
              <w:t>ie</w:t>
            </w:r>
            <w:proofErr w:type="spellEnd"/>
            <w:r w:rsidRPr="004F356C">
              <w:t xml:space="preserve"> percent and number of employees on reduced income continuance. Reported by time period: 4, 13, 26 and 52 weeks</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rPr>
                <w:i/>
                <w:u w:val="single"/>
              </w:rPr>
            </w:pPr>
            <w:r>
              <w:t>Reduction in t</w:t>
            </w:r>
            <w:r w:rsidRPr="00AE183E">
              <w:t>rends over time</w:t>
            </w:r>
          </w:p>
        </w:tc>
      </w:tr>
      <w:tr w:rsidR="0062165D" w:rsidRPr="00CE3C11" w:rsidTr="00DC4D04">
        <w:trPr>
          <w:trHeight w:val="828"/>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4F356C" w:rsidRDefault="0062165D" w:rsidP="00DC4D04">
            <w:pPr>
              <w:pStyle w:val="TableTextLeft"/>
            </w:pPr>
            <w:r w:rsidRPr="00751B99">
              <w:t>Satisfaction with services (</w:t>
            </w:r>
            <w:proofErr w:type="spellStart"/>
            <w:r w:rsidRPr="00751B99">
              <w:t>ie</w:t>
            </w:r>
            <w:proofErr w:type="spellEnd"/>
            <w:r w:rsidRPr="00751B99">
              <w:t xml:space="preserve"> percentage and number of employers and employees satisfied with the quality of services provided to case managers in agencies) </w:t>
            </w:r>
          </w:p>
        </w:tc>
        <w:tc>
          <w:tcPr>
            <w:tcW w:w="2069" w:type="dxa"/>
            <w:tcBorders>
              <w:top w:val="dotted" w:sz="2" w:space="0" w:color="auto"/>
              <w:left w:val="single" w:sz="4" w:space="0" w:color="auto"/>
              <w:bottom w:val="dotted" w:sz="2" w:space="0" w:color="auto"/>
            </w:tcBorders>
          </w:tcPr>
          <w:p w:rsidR="0062165D" w:rsidRPr="00751B99" w:rsidDel="00A83930" w:rsidRDefault="0062165D" w:rsidP="00DC4D04">
            <w:pPr>
              <w:pStyle w:val="TableTextLeft"/>
              <w:rPr>
                <w:i/>
                <w:sz w:val="28"/>
                <w:u w:val="single"/>
              </w:rPr>
            </w:pPr>
            <w:r w:rsidRPr="004F356C">
              <w:t>Target 85%</w:t>
            </w:r>
            <w:r>
              <w:t xml:space="preserve"> or higher</w:t>
            </w:r>
          </w:p>
        </w:tc>
      </w:tr>
      <w:tr w:rsidR="0062165D" w:rsidRPr="00CE3C11" w:rsidTr="00DC4D04">
        <w:trPr>
          <w:trHeight w:val="435"/>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751B99" w:rsidDel="00A83930" w:rsidRDefault="0062165D" w:rsidP="00DC4D04">
            <w:pPr>
              <w:pStyle w:val="TableTextLeft"/>
            </w:pPr>
            <w:r w:rsidRPr="004F356C">
              <w:t>Timely processing of claims</w:t>
            </w:r>
          </w:p>
        </w:tc>
        <w:tc>
          <w:tcPr>
            <w:tcW w:w="2069" w:type="dxa"/>
            <w:tcBorders>
              <w:top w:val="dotted" w:sz="2" w:space="0" w:color="auto"/>
              <w:left w:val="single" w:sz="4" w:space="0" w:color="auto"/>
              <w:bottom w:val="dotted" w:sz="2" w:space="0" w:color="auto"/>
            </w:tcBorders>
          </w:tcPr>
          <w:p w:rsidR="0062165D" w:rsidRPr="00751B99" w:rsidDel="00A83930" w:rsidRDefault="0062165D" w:rsidP="00DC4D04">
            <w:pPr>
              <w:pStyle w:val="TableTextLeft"/>
              <w:rPr>
                <w:i/>
                <w:sz w:val="28"/>
                <w:u w:val="single"/>
              </w:rPr>
            </w:pPr>
            <w:r w:rsidRPr="00AE183E">
              <w:t>Target 100%</w:t>
            </w:r>
          </w:p>
        </w:tc>
      </w:tr>
      <w:tr w:rsidR="0062165D" w:rsidRPr="00CE3C11" w:rsidTr="00DC4D04">
        <w:trPr>
          <w:trHeight w:val="840"/>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AE183E" w:rsidDel="00A83930" w:rsidRDefault="0062165D" w:rsidP="00DC4D04">
            <w:pPr>
              <w:pStyle w:val="TableTextLeft"/>
            </w:pPr>
            <w:r w:rsidRPr="004F356C">
              <w:t>Accurate processing of claims (</w:t>
            </w:r>
            <w:proofErr w:type="spellStart"/>
            <w:r w:rsidRPr="004F356C">
              <w:t>ie</w:t>
            </w:r>
            <w:proofErr w:type="spellEnd"/>
            <w:r w:rsidRPr="004F356C">
              <w:t xml:space="preserve"> percentage and number of sampled payments processed in accordance with agreed standards)</w:t>
            </w:r>
          </w:p>
        </w:tc>
        <w:tc>
          <w:tcPr>
            <w:tcW w:w="2069" w:type="dxa"/>
            <w:tcBorders>
              <w:top w:val="dotted" w:sz="2" w:space="0" w:color="auto"/>
              <w:left w:val="single" w:sz="4" w:space="0" w:color="auto"/>
              <w:bottom w:val="dotted" w:sz="2" w:space="0" w:color="auto"/>
            </w:tcBorders>
          </w:tcPr>
          <w:p w:rsidR="0062165D" w:rsidRPr="00AE183E" w:rsidRDefault="0062165D" w:rsidP="00DC4D04">
            <w:pPr>
              <w:pStyle w:val="TableTextLeft"/>
            </w:pPr>
            <w:r w:rsidRPr="00324BF1">
              <w:t>Target 100%</w:t>
            </w:r>
          </w:p>
        </w:tc>
      </w:tr>
      <w:tr w:rsidR="0062165D" w:rsidRPr="00CE3C11" w:rsidTr="00DC4D04">
        <w:trPr>
          <w:trHeight w:val="547"/>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bottom w:val="dotted" w:sz="2" w:space="0" w:color="auto"/>
              <w:right w:val="single" w:sz="4" w:space="0" w:color="auto"/>
            </w:tcBorders>
          </w:tcPr>
          <w:p w:rsidR="0062165D" w:rsidRPr="00AE183E" w:rsidDel="00751B99" w:rsidRDefault="0062165D" w:rsidP="00DC4D04">
            <w:pPr>
              <w:pStyle w:val="TableTextLeft"/>
            </w:pPr>
            <w:r w:rsidRPr="00324BF1">
              <w:t>Reasonable cost t</w:t>
            </w:r>
            <w:r>
              <w:t>o</w:t>
            </w:r>
            <w:r w:rsidRPr="00324BF1">
              <w:t xml:space="preserve"> process claims (</w:t>
            </w:r>
            <w:proofErr w:type="spellStart"/>
            <w:r w:rsidRPr="00324BF1">
              <w:t>ie</w:t>
            </w:r>
            <w:proofErr w:type="spellEnd"/>
            <w:r w:rsidRPr="00324BF1">
              <w:t xml:space="preserve"> average cost per claim processed)</w:t>
            </w:r>
          </w:p>
        </w:tc>
        <w:tc>
          <w:tcPr>
            <w:tcW w:w="2069" w:type="dxa"/>
            <w:tcBorders>
              <w:top w:val="dotted" w:sz="2" w:space="0" w:color="auto"/>
              <w:left w:val="single" w:sz="4" w:space="0" w:color="auto"/>
              <w:bottom w:val="dotted" w:sz="2" w:space="0" w:color="auto"/>
            </w:tcBorders>
          </w:tcPr>
          <w:p w:rsidR="0062165D" w:rsidRPr="00751B99" w:rsidRDefault="0062165D" w:rsidP="00DC4D04">
            <w:pPr>
              <w:pStyle w:val="TableTextLeft"/>
            </w:pPr>
            <w:r>
              <w:t>Reduction in t</w:t>
            </w:r>
            <w:r w:rsidRPr="00324BF1">
              <w:t>rends over time</w:t>
            </w:r>
          </w:p>
        </w:tc>
      </w:tr>
      <w:tr w:rsidR="0062165D" w:rsidRPr="00CE3C11" w:rsidTr="00DC4D04">
        <w:trPr>
          <w:trHeight w:val="836"/>
        </w:trPr>
        <w:tc>
          <w:tcPr>
            <w:tcW w:w="1248" w:type="dxa"/>
            <w:vMerge/>
            <w:tcBorders>
              <w:right w:val="single" w:sz="4" w:space="0" w:color="auto"/>
            </w:tcBorders>
          </w:tcPr>
          <w:p w:rsidR="0062165D" w:rsidRDefault="0062165D" w:rsidP="00DC4D04">
            <w:pPr>
              <w:pStyle w:val="TableTextLeft"/>
            </w:pPr>
          </w:p>
        </w:tc>
        <w:tc>
          <w:tcPr>
            <w:tcW w:w="4564" w:type="dxa"/>
            <w:tcBorders>
              <w:top w:val="dotted" w:sz="2" w:space="0" w:color="auto"/>
              <w:left w:val="single" w:sz="4" w:space="0" w:color="auto"/>
              <w:right w:val="single" w:sz="4" w:space="0" w:color="auto"/>
            </w:tcBorders>
          </w:tcPr>
          <w:p w:rsidR="0062165D" w:rsidRPr="00751B99" w:rsidRDefault="0062165D" w:rsidP="00DC4D04">
            <w:pPr>
              <w:pStyle w:val="TableTextLeft"/>
            </w:pPr>
            <w:r w:rsidRPr="00324BF1">
              <w:rPr>
                <w:i/>
                <w:u w:val="single"/>
              </w:rPr>
              <w:t>Maximise recoveries from third parties and debtors (</w:t>
            </w:r>
            <w:proofErr w:type="spellStart"/>
            <w:r w:rsidRPr="00324BF1">
              <w:rPr>
                <w:i/>
                <w:u w:val="single"/>
              </w:rPr>
              <w:t>ie</w:t>
            </w:r>
            <w:proofErr w:type="spellEnd"/>
            <w:r w:rsidRPr="00324BF1">
              <w:rPr>
                <w:i/>
                <w:u w:val="single"/>
              </w:rPr>
              <w:t xml:space="preserve"> percentage and dollar value of asbestos claims settlements recovered from third parties)</w:t>
            </w:r>
          </w:p>
        </w:tc>
        <w:tc>
          <w:tcPr>
            <w:tcW w:w="2069" w:type="dxa"/>
            <w:tcBorders>
              <w:top w:val="dotted" w:sz="2" w:space="0" w:color="auto"/>
              <w:left w:val="single" w:sz="4" w:space="0" w:color="auto"/>
            </w:tcBorders>
          </w:tcPr>
          <w:p w:rsidR="0062165D" w:rsidRPr="00751B99" w:rsidRDefault="0062165D" w:rsidP="00DC4D04">
            <w:pPr>
              <w:pStyle w:val="TableTextLeft"/>
            </w:pPr>
            <w:r w:rsidRPr="00324BF1">
              <w:rPr>
                <w:i/>
                <w:u w:val="single"/>
              </w:rPr>
              <w:t>Target 10% or higher</w:t>
            </w:r>
          </w:p>
        </w:tc>
      </w:tr>
    </w:tbl>
    <w:p w:rsidR="0062165D" w:rsidRDefault="0062165D" w:rsidP="0062165D"/>
    <w:p w:rsidR="0062165D" w:rsidRDefault="0062165D" w:rsidP="0062165D">
      <w:pPr>
        <w:spacing w:after="0"/>
      </w:pPr>
      <w:r>
        <w:br w:type="page"/>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298"/>
        <w:gridCol w:w="124"/>
        <w:gridCol w:w="2226"/>
        <w:gridCol w:w="15"/>
      </w:tblGrid>
      <w:tr w:rsidR="0062165D" w:rsidRPr="00F633EA" w:rsidTr="00DC4D04">
        <w:trPr>
          <w:gridAfter w:val="1"/>
          <w:wAfter w:w="15" w:type="dxa"/>
          <w:trHeight w:val="566"/>
          <w:tblHeader/>
        </w:trPr>
        <w:tc>
          <w:tcPr>
            <w:tcW w:w="7896" w:type="dxa"/>
            <w:gridSpan w:val="4"/>
            <w:shd w:val="clear" w:color="auto" w:fill="F2F2F2"/>
          </w:tcPr>
          <w:p w:rsidR="0062165D" w:rsidRPr="0088504A" w:rsidRDefault="0062165D" w:rsidP="00DC4D04">
            <w:pPr>
              <w:pStyle w:val="TableTextLeft"/>
            </w:pPr>
            <w:r w:rsidRPr="00F633EA">
              <w:rPr>
                <w:b/>
              </w:rPr>
              <w:lastRenderedPageBreak/>
              <w:t xml:space="preserve">Program </w:t>
            </w:r>
            <w:r w:rsidRPr="0088504A">
              <w:rPr>
                <w:b/>
              </w:rPr>
              <w:t>Component 1.5</w:t>
            </w:r>
            <w:r>
              <w:rPr>
                <w:b/>
              </w:rPr>
              <w:t>—</w:t>
            </w:r>
            <w:r w:rsidRPr="0088504A">
              <w:rPr>
                <w:b/>
              </w:rPr>
              <w:t>Pre-premium Claims</w:t>
            </w:r>
          </w:p>
          <w:p w:rsidR="0062165D" w:rsidRPr="00F633EA" w:rsidRDefault="0062165D" w:rsidP="00DC4D04">
            <w:pPr>
              <w:pStyle w:val="TableTextLeft"/>
            </w:pPr>
            <w:r w:rsidRPr="00F633EA">
              <w:t>Proactive management of Pre-premium claims before 1</w:t>
            </w:r>
            <w:r>
              <w:t xml:space="preserve"> </w:t>
            </w:r>
            <w:r w:rsidRPr="00F633EA">
              <w:t>July 1989</w:t>
            </w:r>
          </w:p>
        </w:tc>
      </w:tr>
      <w:tr w:rsidR="0062165D" w:rsidRPr="00F633EA" w:rsidTr="00DC4D04">
        <w:trPr>
          <w:gridAfter w:val="1"/>
          <w:wAfter w:w="15" w:type="dxa"/>
          <w:trHeight w:val="306"/>
        </w:trPr>
        <w:tc>
          <w:tcPr>
            <w:tcW w:w="1248" w:type="dxa"/>
            <w:tcBorders>
              <w:bottom w:val="single" w:sz="4" w:space="0" w:color="auto"/>
            </w:tcBorders>
          </w:tcPr>
          <w:p w:rsidR="0062165D" w:rsidRPr="00F633EA" w:rsidRDefault="0062165D" w:rsidP="00DC4D04">
            <w:pPr>
              <w:pStyle w:val="TableTextLeft"/>
              <w:rPr>
                <w:b/>
              </w:rPr>
            </w:pPr>
            <w:r w:rsidRPr="00F633EA">
              <w:rPr>
                <w:b/>
              </w:rPr>
              <w:t>Delivery</w:t>
            </w:r>
          </w:p>
        </w:tc>
        <w:tc>
          <w:tcPr>
            <w:tcW w:w="6648" w:type="dxa"/>
            <w:gridSpan w:val="3"/>
            <w:tcBorders>
              <w:bottom w:val="single" w:sz="4" w:space="0" w:color="auto"/>
            </w:tcBorders>
          </w:tcPr>
          <w:p w:rsidR="0062165D" w:rsidRPr="00F633EA" w:rsidRDefault="0062165D" w:rsidP="00DC4D04">
            <w:pPr>
              <w:pStyle w:val="TableTextLeft"/>
            </w:pPr>
            <w:r w:rsidRPr="00F633EA">
              <w:t>Deliver a better practice compensation model.</w:t>
            </w:r>
          </w:p>
        </w:tc>
      </w:tr>
      <w:tr w:rsidR="0062165D" w:rsidRPr="00F633EA" w:rsidTr="00DC4D04">
        <w:trPr>
          <w:gridAfter w:val="1"/>
          <w:wAfter w:w="15" w:type="dxa"/>
          <w:trHeight w:val="657"/>
        </w:trPr>
        <w:tc>
          <w:tcPr>
            <w:tcW w:w="1248" w:type="dxa"/>
            <w:tcBorders>
              <w:top w:val="single" w:sz="4" w:space="0" w:color="auto"/>
              <w:bottom w:val="double" w:sz="4" w:space="0" w:color="auto"/>
            </w:tcBorders>
          </w:tcPr>
          <w:p w:rsidR="0062165D" w:rsidRPr="00F633EA" w:rsidRDefault="0062165D" w:rsidP="00DC4D04">
            <w:pPr>
              <w:pStyle w:val="TableTextLeft"/>
              <w:rPr>
                <w:b/>
              </w:rPr>
            </w:pPr>
            <w:r w:rsidRPr="00F633EA">
              <w:rPr>
                <w:b/>
              </w:rPr>
              <w:t>Purpose</w:t>
            </w:r>
          </w:p>
        </w:tc>
        <w:tc>
          <w:tcPr>
            <w:tcW w:w="6648" w:type="dxa"/>
            <w:gridSpan w:val="3"/>
            <w:tcBorders>
              <w:top w:val="single" w:sz="4" w:space="0" w:color="auto"/>
              <w:bottom w:val="double" w:sz="4" w:space="0" w:color="auto"/>
            </w:tcBorders>
          </w:tcPr>
          <w:p w:rsidR="0062165D" w:rsidRPr="00F633EA" w:rsidRDefault="0062165D" w:rsidP="00DC4D04">
            <w:pPr>
              <w:pStyle w:val="TableTextLeft"/>
              <w:rPr>
                <w:i/>
                <w:color w:val="FF0000"/>
              </w:rPr>
            </w:pPr>
            <w:r w:rsidRPr="00F633EA">
              <w:t>The management of all claims and liabilities for the Commonwealth and the ACT Government’s workers’ compensation scheme, inclusive of the provision of an effective and sustainable pre-premium claims compensation model.</w:t>
            </w:r>
          </w:p>
        </w:tc>
      </w:tr>
      <w:tr w:rsidR="0062165D" w:rsidRPr="00F633EA" w:rsidTr="00DC4D04">
        <w:trPr>
          <w:gridAfter w:val="1"/>
          <w:wAfter w:w="15" w:type="dxa"/>
          <w:trHeight w:val="306"/>
        </w:trPr>
        <w:tc>
          <w:tcPr>
            <w:tcW w:w="7896" w:type="dxa"/>
            <w:gridSpan w:val="4"/>
            <w:tcBorders>
              <w:top w:val="double" w:sz="4" w:space="0" w:color="auto"/>
              <w:bottom w:val="double" w:sz="4" w:space="0" w:color="auto"/>
            </w:tcBorders>
          </w:tcPr>
          <w:p w:rsidR="0062165D" w:rsidRPr="00F633EA" w:rsidRDefault="0062165D" w:rsidP="00DC4D04">
            <w:pPr>
              <w:pStyle w:val="TableTextLeft"/>
              <w:rPr>
                <w:b/>
              </w:rPr>
            </w:pPr>
            <w:r w:rsidRPr="00F633EA">
              <w:rPr>
                <w:b/>
              </w:rPr>
              <w:t>Performance information</w:t>
            </w:r>
          </w:p>
        </w:tc>
      </w:tr>
      <w:tr w:rsidR="0062165D" w:rsidRPr="00F633EA" w:rsidTr="00DC4D04">
        <w:trPr>
          <w:gridAfter w:val="1"/>
          <w:wAfter w:w="15" w:type="dxa"/>
          <w:trHeight w:val="290"/>
        </w:trPr>
        <w:tc>
          <w:tcPr>
            <w:tcW w:w="1248" w:type="dxa"/>
            <w:tcBorders>
              <w:top w:val="double" w:sz="4" w:space="0" w:color="auto"/>
              <w:bottom w:val="single" w:sz="4" w:space="0" w:color="auto"/>
              <w:right w:val="single" w:sz="4" w:space="0" w:color="auto"/>
            </w:tcBorders>
          </w:tcPr>
          <w:p w:rsidR="0062165D" w:rsidRPr="00F633EA" w:rsidRDefault="0062165D" w:rsidP="00DC4D04">
            <w:pPr>
              <w:pStyle w:val="TableTextLeft"/>
              <w:rPr>
                <w:b/>
              </w:rPr>
            </w:pPr>
            <w:r w:rsidRPr="00F633EA">
              <w:rPr>
                <w:b/>
              </w:rPr>
              <w:t>Year</w:t>
            </w:r>
          </w:p>
        </w:tc>
        <w:tc>
          <w:tcPr>
            <w:tcW w:w="4422" w:type="dxa"/>
            <w:gridSpan w:val="2"/>
            <w:tcBorders>
              <w:top w:val="double" w:sz="4" w:space="0" w:color="auto"/>
              <w:left w:val="single" w:sz="4" w:space="0" w:color="auto"/>
              <w:bottom w:val="single" w:sz="4" w:space="0" w:color="auto"/>
              <w:right w:val="single" w:sz="4" w:space="0" w:color="auto"/>
            </w:tcBorders>
          </w:tcPr>
          <w:p w:rsidR="0062165D" w:rsidRPr="00F633EA" w:rsidRDefault="0062165D" w:rsidP="00DC4D04">
            <w:pPr>
              <w:pStyle w:val="TableTextLeft"/>
              <w:rPr>
                <w:b/>
              </w:rPr>
            </w:pPr>
            <w:r w:rsidRPr="00F633EA">
              <w:rPr>
                <w:b/>
              </w:rPr>
              <w:t>Performance criteria</w:t>
            </w:r>
          </w:p>
        </w:tc>
        <w:tc>
          <w:tcPr>
            <w:tcW w:w="2226" w:type="dxa"/>
            <w:tcBorders>
              <w:top w:val="double" w:sz="4" w:space="0" w:color="auto"/>
              <w:left w:val="single" w:sz="4" w:space="0" w:color="auto"/>
              <w:bottom w:val="single" w:sz="4" w:space="0" w:color="auto"/>
            </w:tcBorders>
          </w:tcPr>
          <w:p w:rsidR="0062165D" w:rsidRPr="00F633EA" w:rsidRDefault="0062165D" w:rsidP="00DC4D04">
            <w:pPr>
              <w:pStyle w:val="TableTextLeft"/>
              <w:rPr>
                <w:b/>
              </w:rPr>
            </w:pPr>
            <w:r w:rsidRPr="00F633EA">
              <w:rPr>
                <w:b/>
              </w:rPr>
              <w:t>Targets</w:t>
            </w:r>
          </w:p>
        </w:tc>
      </w:tr>
      <w:tr w:rsidR="0062165D" w:rsidRPr="00F633EA" w:rsidTr="00DC4D04">
        <w:trPr>
          <w:gridAfter w:val="1"/>
          <w:wAfter w:w="15" w:type="dxa"/>
          <w:trHeight w:val="61"/>
        </w:trPr>
        <w:tc>
          <w:tcPr>
            <w:tcW w:w="1248" w:type="dxa"/>
            <w:tcBorders>
              <w:top w:val="single" w:sz="4" w:space="0" w:color="auto"/>
              <w:bottom w:val="dotted" w:sz="4" w:space="0" w:color="auto"/>
              <w:right w:val="single" w:sz="4" w:space="0" w:color="auto"/>
            </w:tcBorders>
          </w:tcPr>
          <w:p w:rsidR="0062165D" w:rsidRPr="00247D45" w:rsidRDefault="0062165D" w:rsidP="00DC4D04">
            <w:pPr>
              <w:pStyle w:val="TableTextLeft"/>
            </w:pPr>
            <w:r>
              <w:t>2015–</w:t>
            </w:r>
            <w:r w:rsidRPr="00247D45">
              <w:t>16</w:t>
            </w:r>
          </w:p>
        </w:tc>
        <w:tc>
          <w:tcPr>
            <w:tcW w:w="4422" w:type="dxa"/>
            <w:gridSpan w:val="2"/>
            <w:tcBorders>
              <w:top w:val="single" w:sz="4" w:space="0" w:color="auto"/>
              <w:left w:val="single" w:sz="4" w:space="0" w:color="auto"/>
              <w:bottom w:val="dotted" w:sz="4" w:space="0" w:color="auto"/>
              <w:right w:val="single" w:sz="4" w:space="0" w:color="auto"/>
            </w:tcBorders>
          </w:tcPr>
          <w:p w:rsidR="0062165D" w:rsidRPr="00F633EA" w:rsidRDefault="0062165D" w:rsidP="00DC4D04">
            <w:pPr>
              <w:pStyle w:val="TableTextLeft"/>
              <w:rPr>
                <w:i/>
                <w:color w:val="FF0000"/>
              </w:rPr>
            </w:pPr>
            <w:r w:rsidRPr="00F633EA">
              <w:t>Timeliness of determined claims payment (i.e. percentage of non-incapacity items paid or rejected within seven calendar days for reimbursement to employees or trustees, and 28 calendar days for other payments).</w:t>
            </w:r>
          </w:p>
        </w:tc>
        <w:tc>
          <w:tcPr>
            <w:tcW w:w="2226" w:type="dxa"/>
            <w:tcBorders>
              <w:top w:val="single" w:sz="4" w:space="0" w:color="auto"/>
              <w:left w:val="single" w:sz="4" w:space="0" w:color="auto"/>
              <w:bottom w:val="dotted" w:sz="4" w:space="0" w:color="auto"/>
            </w:tcBorders>
          </w:tcPr>
          <w:p w:rsidR="0062165D" w:rsidRPr="00F633EA" w:rsidRDefault="0062165D" w:rsidP="00DC4D04">
            <w:pPr>
              <w:pStyle w:val="TableTextBullet"/>
              <w:numPr>
                <w:ilvl w:val="0"/>
                <w:numId w:val="0"/>
              </w:numPr>
            </w:pPr>
            <w:r>
              <w:t>Target 100%</w:t>
            </w:r>
            <w:r>
              <w:br/>
              <w:t>Achieved 65%</w:t>
            </w:r>
          </w:p>
        </w:tc>
      </w:tr>
      <w:tr w:rsidR="0062165D" w:rsidRPr="00F633EA" w:rsidTr="00DC4D04">
        <w:trPr>
          <w:gridAfter w:val="1"/>
          <w:wAfter w:w="15" w:type="dxa"/>
          <w:trHeight w:val="273"/>
        </w:trPr>
        <w:tc>
          <w:tcPr>
            <w:tcW w:w="1248" w:type="dxa"/>
            <w:vMerge w:val="restart"/>
            <w:tcBorders>
              <w:top w:val="dotted" w:sz="4" w:space="0" w:color="auto"/>
              <w:right w:val="single" w:sz="4" w:space="0" w:color="auto"/>
            </w:tcBorders>
          </w:tcPr>
          <w:p w:rsidR="0062165D" w:rsidRPr="00247D45" w:rsidRDefault="0062165D" w:rsidP="00DC4D04">
            <w:pPr>
              <w:pStyle w:val="TableTextLeft"/>
            </w:pPr>
            <w:r>
              <w:t>2016–</w:t>
            </w:r>
            <w:r w:rsidRPr="00247D45">
              <w:t>17</w:t>
            </w:r>
          </w:p>
        </w:tc>
        <w:tc>
          <w:tcPr>
            <w:tcW w:w="4422" w:type="dxa"/>
            <w:gridSpan w:val="2"/>
            <w:tcBorders>
              <w:top w:val="dotted" w:sz="4" w:space="0" w:color="auto"/>
              <w:left w:val="single" w:sz="4" w:space="0" w:color="auto"/>
              <w:bottom w:val="dotted" w:sz="2" w:space="0" w:color="auto"/>
              <w:right w:val="single" w:sz="4" w:space="0" w:color="auto"/>
            </w:tcBorders>
          </w:tcPr>
          <w:p w:rsidR="0062165D" w:rsidRPr="004F356C" w:rsidRDefault="0062165D" w:rsidP="00DC4D04">
            <w:pPr>
              <w:pStyle w:val="TableTextLeft"/>
            </w:pPr>
            <w:r w:rsidRPr="004F356C">
              <w:rPr>
                <w:rFonts w:eastAsia="Cambria"/>
              </w:rPr>
              <w:t>Timely processing of claims</w:t>
            </w:r>
          </w:p>
        </w:tc>
        <w:tc>
          <w:tcPr>
            <w:tcW w:w="2226" w:type="dxa"/>
            <w:tcBorders>
              <w:top w:val="dotted" w:sz="4" w:space="0" w:color="auto"/>
              <w:left w:val="single" w:sz="4" w:space="0" w:color="auto"/>
              <w:bottom w:val="dotted" w:sz="2" w:space="0" w:color="auto"/>
            </w:tcBorders>
          </w:tcPr>
          <w:p w:rsidR="0062165D" w:rsidRPr="00F633EA" w:rsidRDefault="0062165D" w:rsidP="00DC4D04">
            <w:pPr>
              <w:pStyle w:val="TableTextBullet"/>
              <w:numPr>
                <w:ilvl w:val="0"/>
                <w:numId w:val="0"/>
              </w:numPr>
            </w:pPr>
            <w:r>
              <w:t>Target 100%</w:t>
            </w:r>
          </w:p>
        </w:tc>
      </w:tr>
      <w:tr w:rsidR="0062165D" w:rsidRPr="00F633EA" w:rsidTr="00DC4D04">
        <w:trPr>
          <w:gridAfter w:val="1"/>
          <w:wAfter w:w="15" w:type="dxa"/>
          <w:trHeight w:val="720"/>
        </w:trPr>
        <w:tc>
          <w:tcPr>
            <w:tcW w:w="1248" w:type="dxa"/>
            <w:vMerge/>
            <w:tcBorders>
              <w:bottom w:val="dotted" w:sz="4" w:space="0" w:color="auto"/>
              <w:right w:val="single" w:sz="4" w:space="0" w:color="auto"/>
            </w:tcBorders>
          </w:tcPr>
          <w:p w:rsidR="0062165D" w:rsidRDefault="0062165D" w:rsidP="00DC4D04">
            <w:pPr>
              <w:pStyle w:val="TableTextLeft"/>
            </w:pPr>
          </w:p>
        </w:tc>
        <w:tc>
          <w:tcPr>
            <w:tcW w:w="4422" w:type="dxa"/>
            <w:gridSpan w:val="2"/>
            <w:tcBorders>
              <w:top w:val="dotted" w:sz="2" w:space="0" w:color="auto"/>
              <w:left w:val="single" w:sz="4" w:space="0" w:color="auto"/>
              <w:bottom w:val="dotted" w:sz="4" w:space="0" w:color="auto"/>
              <w:right w:val="single" w:sz="4" w:space="0" w:color="auto"/>
            </w:tcBorders>
          </w:tcPr>
          <w:p w:rsidR="0062165D" w:rsidRPr="004F356C" w:rsidDel="004F356C" w:rsidRDefault="0062165D" w:rsidP="00DC4D04">
            <w:pPr>
              <w:pStyle w:val="TableTextLeft"/>
              <w:rPr>
                <w:rFonts w:eastAsia="Cambria"/>
              </w:rPr>
            </w:pPr>
            <w:r w:rsidRPr="004F356C">
              <w:rPr>
                <w:rFonts w:eastAsia="Cambria"/>
              </w:rPr>
              <w:t>Timeliness of accurate processing of payments (</w:t>
            </w:r>
            <w:proofErr w:type="spellStart"/>
            <w:r w:rsidRPr="004F356C">
              <w:rPr>
                <w:rFonts w:eastAsia="Cambria"/>
              </w:rPr>
              <w:t>ie</w:t>
            </w:r>
            <w:proofErr w:type="spellEnd"/>
            <w:r w:rsidRPr="004F356C">
              <w:rPr>
                <w:rFonts w:eastAsia="Cambria"/>
              </w:rPr>
              <w:t xml:space="preserve"> percentage and number of sampled payments processed in accordance with agreed standards)</w:t>
            </w:r>
          </w:p>
        </w:tc>
        <w:tc>
          <w:tcPr>
            <w:tcW w:w="2226" w:type="dxa"/>
            <w:tcBorders>
              <w:top w:val="dotted" w:sz="2" w:space="0" w:color="auto"/>
              <w:left w:val="single" w:sz="4" w:space="0" w:color="auto"/>
              <w:bottom w:val="dotted" w:sz="4" w:space="0" w:color="auto"/>
            </w:tcBorders>
          </w:tcPr>
          <w:p w:rsidR="0062165D" w:rsidRPr="00F633EA" w:rsidDel="004F356C" w:rsidRDefault="0062165D" w:rsidP="00DC4D04">
            <w:pPr>
              <w:pStyle w:val="TableTextBullet"/>
              <w:numPr>
                <w:ilvl w:val="0"/>
                <w:numId w:val="0"/>
              </w:numPr>
            </w:pPr>
            <w:r>
              <w:t>Target 100%</w:t>
            </w:r>
          </w:p>
        </w:tc>
      </w:tr>
      <w:tr w:rsidR="0062165D" w:rsidRPr="00F633EA" w:rsidTr="00DC4D04">
        <w:trPr>
          <w:gridAfter w:val="1"/>
          <w:wAfter w:w="15" w:type="dxa"/>
          <w:trHeight w:val="306"/>
        </w:trPr>
        <w:tc>
          <w:tcPr>
            <w:tcW w:w="1248" w:type="dxa"/>
            <w:tcBorders>
              <w:top w:val="dotted" w:sz="4" w:space="0" w:color="auto"/>
              <w:bottom w:val="single" w:sz="4" w:space="0" w:color="auto"/>
              <w:right w:val="single" w:sz="4" w:space="0" w:color="auto"/>
            </w:tcBorders>
          </w:tcPr>
          <w:p w:rsidR="0062165D" w:rsidRPr="00247D45" w:rsidRDefault="0062165D" w:rsidP="00DC4D04">
            <w:pPr>
              <w:pStyle w:val="TableTextLeft"/>
            </w:pPr>
            <w:r>
              <w:t>2017–</w:t>
            </w:r>
            <w:r w:rsidRPr="00247D45">
              <w:t>18 and beyond</w:t>
            </w:r>
          </w:p>
        </w:tc>
        <w:tc>
          <w:tcPr>
            <w:tcW w:w="4422" w:type="dxa"/>
            <w:gridSpan w:val="2"/>
            <w:tcBorders>
              <w:top w:val="dotted" w:sz="4" w:space="0" w:color="auto"/>
              <w:left w:val="single" w:sz="4" w:space="0" w:color="auto"/>
              <w:bottom w:val="single" w:sz="4" w:space="0" w:color="auto"/>
              <w:right w:val="single" w:sz="4" w:space="0" w:color="auto"/>
            </w:tcBorders>
          </w:tcPr>
          <w:p w:rsidR="0062165D" w:rsidRPr="00F633EA" w:rsidRDefault="0062165D" w:rsidP="00DC4D04">
            <w:pPr>
              <w:pStyle w:val="TableTextLeft"/>
              <w:rPr>
                <w:i/>
                <w:color w:val="FF0000"/>
              </w:rPr>
            </w:pPr>
            <w:r>
              <w:t>As per 2016–</w:t>
            </w:r>
            <w:r w:rsidRPr="00F633EA">
              <w:t>17</w:t>
            </w:r>
          </w:p>
        </w:tc>
        <w:tc>
          <w:tcPr>
            <w:tcW w:w="2226" w:type="dxa"/>
            <w:tcBorders>
              <w:top w:val="dotted" w:sz="4" w:space="0" w:color="auto"/>
              <w:left w:val="single" w:sz="4" w:space="0" w:color="auto"/>
              <w:bottom w:val="single" w:sz="4" w:space="0" w:color="auto"/>
            </w:tcBorders>
          </w:tcPr>
          <w:p w:rsidR="0062165D" w:rsidRPr="00F633EA" w:rsidRDefault="0062165D" w:rsidP="00DC4D04">
            <w:pPr>
              <w:pStyle w:val="TableTextLeft"/>
            </w:pPr>
            <w:r>
              <w:t>As per 2016–</w:t>
            </w:r>
            <w:r w:rsidRPr="00F633EA">
              <w:t>17.</w:t>
            </w:r>
          </w:p>
        </w:tc>
      </w:tr>
      <w:tr w:rsidR="0062165D" w:rsidRPr="00F633EA" w:rsidTr="00DC4D04">
        <w:trPr>
          <w:gridAfter w:val="1"/>
          <w:wAfter w:w="15" w:type="dxa"/>
          <w:tblHeader/>
        </w:trPr>
        <w:tc>
          <w:tcPr>
            <w:tcW w:w="7896" w:type="dxa"/>
            <w:gridSpan w:val="4"/>
            <w:shd w:val="clear" w:color="auto" w:fill="F2F2F2"/>
          </w:tcPr>
          <w:p w:rsidR="0062165D" w:rsidRPr="00F633EA" w:rsidRDefault="0062165D" w:rsidP="00DC4D04">
            <w:pPr>
              <w:pStyle w:val="TableTextLeft"/>
            </w:pPr>
            <w:r w:rsidRPr="00F633EA">
              <w:rPr>
                <w:b/>
              </w:rPr>
              <w:t>Program Component. 1.6</w:t>
            </w:r>
            <w:r>
              <w:rPr>
                <w:b/>
              </w:rPr>
              <w:t>—</w:t>
            </w:r>
            <w:r w:rsidRPr="0088504A">
              <w:rPr>
                <w:b/>
              </w:rPr>
              <w:t>Asbestos Claims</w:t>
            </w:r>
            <w:r w:rsidRPr="00F633EA">
              <w:t xml:space="preserve"> </w:t>
            </w:r>
          </w:p>
        </w:tc>
      </w:tr>
      <w:tr w:rsidR="0062165D" w:rsidRPr="00F633EA" w:rsidTr="00DC4D04">
        <w:trPr>
          <w:gridAfter w:val="1"/>
          <w:wAfter w:w="15" w:type="dxa"/>
        </w:trPr>
        <w:tc>
          <w:tcPr>
            <w:tcW w:w="1248" w:type="dxa"/>
            <w:tcBorders>
              <w:bottom w:val="single" w:sz="4" w:space="0" w:color="auto"/>
            </w:tcBorders>
          </w:tcPr>
          <w:p w:rsidR="0062165D" w:rsidRPr="00F633EA" w:rsidRDefault="0062165D" w:rsidP="00DC4D04">
            <w:pPr>
              <w:pStyle w:val="TableTextLeft"/>
              <w:rPr>
                <w:b/>
              </w:rPr>
            </w:pPr>
            <w:r w:rsidRPr="00F633EA">
              <w:rPr>
                <w:b/>
              </w:rPr>
              <w:t>Delivery</w:t>
            </w:r>
          </w:p>
        </w:tc>
        <w:tc>
          <w:tcPr>
            <w:tcW w:w="6648" w:type="dxa"/>
            <w:gridSpan w:val="3"/>
            <w:tcBorders>
              <w:bottom w:val="single" w:sz="4" w:space="0" w:color="auto"/>
            </w:tcBorders>
          </w:tcPr>
          <w:p w:rsidR="0062165D" w:rsidRPr="00F633EA" w:rsidRDefault="0062165D" w:rsidP="00DC4D04">
            <w:pPr>
              <w:pStyle w:val="TableTextLeft"/>
            </w:pPr>
            <w:r w:rsidRPr="00F633EA">
              <w:t xml:space="preserve">Proactive management of asbestos claims and recoveries from third parties </w:t>
            </w:r>
          </w:p>
        </w:tc>
      </w:tr>
      <w:tr w:rsidR="0062165D" w:rsidRPr="00F633EA" w:rsidTr="00DC4D04">
        <w:trPr>
          <w:gridAfter w:val="1"/>
          <w:wAfter w:w="15" w:type="dxa"/>
        </w:trPr>
        <w:tc>
          <w:tcPr>
            <w:tcW w:w="1248" w:type="dxa"/>
            <w:tcBorders>
              <w:bottom w:val="double" w:sz="4" w:space="0" w:color="auto"/>
            </w:tcBorders>
          </w:tcPr>
          <w:p w:rsidR="0062165D" w:rsidRPr="00F633EA" w:rsidRDefault="0062165D" w:rsidP="00DC4D04">
            <w:pPr>
              <w:pStyle w:val="TableTextLeft"/>
              <w:rPr>
                <w:b/>
              </w:rPr>
            </w:pPr>
            <w:r w:rsidRPr="00F633EA">
              <w:rPr>
                <w:b/>
              </w:rPr>
              <w:t>Purpose</w:t>
            </w:r>
          </w:p>
        </w:tc>
        <w:tc>
          <w:tcPr>
            <w:tcW w:w="6648" w:type="dxa"/>
            <w:gridSpan w:val="3"/>
            <w:tcBorders>
              <w:bottom w:val="double" w:sz="4" w:space="0" w:color="auto"/>
            </w:tcBorders>
          </w:tcPr>
          <w:p w:rsidR="0062165D" w:rsidRPr="00F633EA" w:rsidRDefault="0062165D" w:rsidP="00DC4D04">
            <w:pPr>
              <w:pStyle w:val="TableTextLeft"/>
              <w:rPr>
                <w:i/>
                <w:color w:val="FF0000"/>
              </w:rPr>
            </w:pPr>
            <w:r w:rsidRPr="00F633EA">
              <w:t>Managing the Commonwealth’s asbestos-related claims and liabilities under the</w:t>
            </w:r>
            <w:r w:rsidRPr="00F633EA">
              <w:rPr>
                <w:i/>
                <w:color w:val="FF0000"/>
              </w:rPr>
              <w:t xml:space="preserve"> </w:t>
            </w:r>
            <w:r w:rsidRPr="00F633EA">
              <w:rPr>
                <w:i/>
              </w:rPr>
              <w:t>Asbestos-related Claims (Management of Commonwealth Liabilities) Act 2005 (ARC Act)</w:t>
            </w:r>
          </w:p>
        </w:tc>
      </w:tr>
      <w:tr w:rsidR="0062165D" w:rsidRPr="00F633EA" w:rsidTr="00DC4D04">
        <w:trPr>
          <w:gridAfter w:val="1"/>
          <w:wAfter w:w="15" w:type="dxa"/>
        </w:trPr>
        <w:tc>
          <w:tcPr>
            <w:tcW w:w="7896" w:type="dxa"/>
            <w:gridSpan w:val="4"/>
            <w:tcBorders>
              <w:top w:val="double" w:sz="4" w:space="0" w:color="auto"/>
              <w:bottom w:val="double" w:sz="4" w:space="0" w:color="auto"/>
            </w:tcBorders>
          </w:tcPr>
          <w:p w:rsidR="0062165D" w:rsidRPr="00F633EA" w:rsidRDefault="0062165D" w:rsidP="00DC4D04">
            <w:pPr>
              <w:pStyle w:val="TableTextLeft"/>
              <w:rPr>
                <w:b/>
              </w:rPr>
            </w:pPr>
            <w:r w:rsidRPr="00F633EA">
              <w:rPr>
                <w:b/>
              </w:rPr>
              <w:t>Performance information</w:t>
            </w:r>
          </w:p>
        </w:tc>
      </w:tr>
      <w:tr w:rsidR="0062165D" w:rsidRPr="00F633EA" w:rsidTr="00DC4D04">
        <w:trPr>
          <w:gridAfter w:val="1"/>
          <w:wAfter w:w="15" w:type="dxa"/>
        </w:trPr>
        <w:tc>
          <w:tcPr>
            <w:tcW w:w="1248" w:type="dxa"/>
            <w:tcBorders>
              <w:top w:val="double" w:sz="4" w:space="0" w:color="auto"/>
              <w:bottom w:val="single" w:sz="4" w:space="0" w:color="auto"/>
              <w:right w:val="single" w:sz="4" w:space="0" w:color="auto"/>
            </w:tcBorders>
          </w:tcPr>
          <w:p w:rsidR="0062165D" w:rsidRPr="00F633EA" w:rsidRDefault="0062165D" w:rsidP="00DC4D04">
            <w:pPr>
              <w:pStyle w:val="TableTextLeft"/>
              <w:rPr>
                <w:b/>
              </w:rPr>
            </w:pPr>
            <w:r w:rsidRPr="00F633EA">
              <w:rPr>
                <w:b/>
              </w:rPr>
              <w:t>Year</w:t>
            </w:r>
          </w:p>
        </w:tc>
        <w:tc>
          <w:tcPr>
            <w:tcW w:w="4298" w:type="dxa"/>
            <w:tcBorders>
              <w:top w:val="double" w:sz="4" w:space="0" w:color="auto"/>
              <w:left w:val="single" w:sz="4" w:space="0" w:color="auto"/>
              <w:bottom w:val="single" w:sz="4" w:space="0" w:color="auto"/>
              <w:right w:val="single" w:sz="4" w:space="0" w:color="auto"/>
            </w:tcBorders>
          </w:tcPr>
          <w:p w:rsidR="0062165D" w:rsidRPr="00F633EA" w:rsidRDefault="0062165D" w:rsidP="00DC4D04">
            <w:pPr>
              <w:pStyle w:val="TableTextLeft"/>
              <w:rPr>
                <w:b/>
              </w:rPr>
            </w:pPr>
            <w:r w:rsidRPr="00F633EA">
              <w:rPr>
                <w:b/>
              </w:rPr>
              <w:t>Performance criteria</w:t>
            </w:r>
          </w:p>
        </w:tc>
        <w:tc>
          <w:tcPr>
            <w:tcW w:w="2350" w:type="dxa"/>
            <w:gridSpan w:val="2"/>
            <w:tcBorders>
              <w:top w:val="double" w:sz="4" w:space="0" w:color="auto"/>
              <w:left w:val="single" w:sz="4" w:space="0" w:color="auto"/>
              <w:bottom w:val="single" w:sz="4" w:space="0" w:color="auto"/>
            </w:tcBorders>
          </w:tcPr>
          <w:p w:rsidR="0062165D" w:rsidRPr="00F633EA" w:rsidRDefault="0062165D" w:rsidP="00DC4D04">
            <w:pPr>
              <w:pStyle w:val="TableTextLeft"/>
              <w:rPr>
                <w:b/>
              </w:rPr>
            </w:pPr>
            <w:r w:rsidRPr="00F633EA">
              <w:rPr>
                <w:b/>
              </w:rPr>
              <w:t>Targets</w:t>
            </w:r>
          </w:p>
        </w:tc>
      </w:tr>
      <w:tr w:rsidR="0062165D" w:rsidRPr="00CE3C11" w:rsidTr="00DC4D04">
        <w:trPr>
          <w:gridAfter w:val="1"/>
          <w:wAfter w:w="15" w:type="dxa"/>
          <w:trHeight w:val="705"/>
        </w:trPr>
        <w:tc>
          <w:tcPr>
            <w:tcW w:w="1248" w:type="dxa"/>
            <w:vMerge w:val="restart"/>
            <w:tcBorders>
              <w:top w:val="single" w:sz="4" w:space="0" w:color="auto"/>
              <w:right w:val="single" w:sz="4" w:space="0" w:color="auto"/>
            </w:tcBorders>
          </w:tcPr>
          <w:p w:rsidR="0062165D" w:rsidRPr="00247D45" w:rsidRDefault="0062165D" w:rsidP="00DC4D04">
            <w:pPr>
              <w:pStyle w:val="TableTextLeft"/>
            </w:pPr>
            <w:r>
              <w:t>2015–</w:t>
            </w:r>
            <w:r w:rsidRPr="00247D45">
              <w:t>16</w:t>
            </w:r>
          </w:p>
        </w:tc>
        <w:tc>
          <w:tcPr>
            <w:tcW w:w="4298" w:type="dxa"/>
            <w:tcBorders>
              <w:top w:val="single" w:sz="4" w:space="0" w:color="auto"/>
              <w:left w:val="single" w:sz="4" w:space="0" w:color="auto"/>
              <w:bottom w:val="dotted" w:sz="2" w:space="0" w:color="auto"/>
              <w:right w:val="single" w:sz="4" w:space="0" w:color="auto"/>
            </w:tcBorders>
          </w:tcPr>
          <w:p w:rsidR="0062165D" w:rsidRPr="00F633EA" w:rsidRDefault="0062165D" w:rsidP="00DC4D04">
            <w:pPr>
              <w:pStyle w:val="TableTextLeft"/>
            </w:pPr>
            <w:r w:rsidRPr="00F633EA">
              <w:t>Timeliness of claims resolution (i.e. percentage of primary asbestos claims resolved within 180 calendar days).</w:t>
            </w:r>
          </w:p>
        </w:tc>
        <w:tc>
          <w:tcPr>
            <w:tcW w:w="2350" w:type="dxa"/>
            <w:gridSpan w:val="2"/>
            <w:tcBorders>
              <w:top w:val="single" w:sz="4" w:space="0" w:color="auto"/>
              <w:left w:val="single" w:sz="4" w:space="0" w:color="auto"/>
              <w:bottom w:val="dotted" w:sz="2" w:space="0" w:color="auto"/>
            </w:tcBorders>
          </w:tcPr>
          <w:p w:rsidR="0062165D" w:rsidRPr="00F633EA" w:rsidRDefault="0062165D" w:rsidP="00DC4D04">
            <w:pPr>
              <w:pStyle w:val="TableTextLeft"/>
              <w:rPr>
                <w:i/>
                <w:color w:val="FF0000"/>
              </w:rPr>
            </w:pPr>
            <w:r>
              <w:t>Target 80%</w:t>
            </w:r>
            <w:r>
              <w:br/>
            </w:r>
            <w:r w:rsidRPr="00F633EA">
              <w:t>Achieved to date</w:t>
            </w:r>
          </w:p>
        </w:tc>
      </w:tr>
      <w:tr w:rsidR="0062165D" w:rsidRPr="00CE3C11" w:rsidTr="00DC4D04">
        <w:trPr>
          <w:gridAfter w:val="1"/>
          <w:wAfter w:w="15" w:type="dxa"/>
          <w:trHeight w:val="702"/>
        </w:trPr>
        <w:tc>
          <w:tcPr>
            <w:tcW w:w="1248" w:type="dxa"/>
            <w:vMerge/>
            <w:tcBorders>
              <w:bottom w:val="dotted" w:sz="4" w:space="0" w:color="auto"/>
              <w:right w:val="single" w:sz="4" w:space="0" w:color="auto"/>
            </w:tcBorders>
          </w:tcPr>
          <w:p w:rsidR="0062165D" w:rsidRDefault="0062165D" w:rsidP="00DC4D04">
            <w:pPr>
              <w:pStyle w:val="TableTextLeft"/>
            </w:pPr>
          </w:p>
        </w:tc>
        <w:tc>
          <w:tcPr>
            <w:tcW w:w="4298" w:type="dxa"/>
            <w:tcBorders>
              <w:top w:val="dotted" w:sz="2" w:space="0" w:color="auto"/>
              <w:left w:val="single" w:sz="4" w:space="0" w:color="auto"/>
              <w:bottom w:val="dotted" w:sz="4" w:space="0" w:color="auto"/>
              <w:right w:val="single" w:sz="4" w:space="0" w:color="auto"/>
            </w:tcBorders>
          </w:tcPr>
          <w:p w:rsidR="0062165D" w:rsidRPr="00F633EA" w:rsidRDefault="0062165D" w:rsidP="00DC4D04">
            <w:pPr>
              <w:pStyle w:val="TableTextLeft"/>
            </w:pPr>
            <w:r w:rsidRPr="00F633EA">
              <w:t>Third party recovery rate (i.e. percentage of the value of asbestos claims settlements recovered from third parties)</w:t>
            </w:r>
          </w:p>
        </w:tc>
        <w:tc>
          <w:tcPr>
            <w:tcW w:w="2350" w:type="dxa"/>
            <w:gridSpan w:val="2"/>
            <w:tcBorders>
              <w:top w:val="dotted" w:sz="2" w:space="0" w:color="auto"/>
              <w:left w:val="single" w:sz="4" w:space="0" w:color="auto"/>
              <w:bottom w:val="dotted" w:sz="4" w:space="0" w:color="auto"/>
            </w:tcBorders>
          </w:tcPr>
          <w:p w:rsidR="0062165D" w:rsidRDefault="0062165D" w:rsidP="00DC4D04">
            <w:pPr>
              <w:pStyle w:val="TableTextLeft"/>
            </w:pPr>
            <w:r>
              <w:t>Target 10%</w:t>
            </w:r>
            <w:r>
              <w:br/>
            </w:r>
            <w:r w:rsidRPr="00F633EA">
              <w:t>Achieved to date</w:t>
            </w:r>
          </w:p>
        </w:tc>
      </w:tr>
      <w:tr w:rsidR="0062165D" w:rsidRPr="00CE3C11" w:rsidTr="00DC4D04">
        <w:trPr>
          <w:gridAfter w:val="1"/>
          <w:wAfter w:w="15" w:type="dxa"/>
        </w:trPr>
        <w:tc>
          <w:tcPr>
            <w:tcW w:w="1248" w:type="dxa"/>
            <w:tcBorders>
              <w:top w:val="dotted" w:sz="4" w:space="0" w:color="auto"/>
              <w:bottom w:val="dotted" w:sz="4" w:space="0" w:color="auto"/>
              <w:right w:val="single" w:sz="4" w:space="0" w:color="auto"/>
            </w:tcBorders>
          </w:tcPr>
          <w:p w:rsidR="0062165D" w:rsidRPr="00247D45" w:rsidRDefault="0062165D" w:rsidP="00DC4D04">
            <w:pPr>
              <w:pStyle w:val="TableTextLeft"/>
            </w:pPr>
            <w:r>
              <w:t>2016–</w:t>
            </w:r>
            <w:r w:rsidRPr="00247D45">
              <w:t>17</w:t>
            </w:r>
          </w:p>
        </w:tc>
        <w:tc>
          <w:tcPr>
            <w:tcW w:w="4298" w:type="dxa"/>
            <w:tcBorders>
              <w:top w:val="dotted" w:sz="4" w:space="0" w:color="auto"/>
              <w:left w:val="single" w:sz="4" w:space="0" w:color="auto"/>
              <w:bottom w:val="dotted" w:sz="4" w:space="0" w:color="auto"/>
              <w:right w:val="single" w:sz="4" w:space="0" w:color="auto"/>
            </w:tcBorders>
          </w:tcPr>
          <w:p w:rsidR="0062165D" w:rsidRPr="00F633EA" w:rsidRDefault="0062165D" w:rsidP="00DC4D04">
            <w:pPr>
              <w:pStyle w:val="TableTextLeft"/>
              <w:rPr>
                <w:i/>
                <w:color w:val="FF0000"/>
              </w:rPr>
            </w:pPr>
            <w:r w:rsidRPr="00F633EA">
              <w:rPr>
                <w:rFonts w:eastAsia="Cambria"/>
                <w:bCs/>
                <w:iCs/>
                <w:spacing w:val="-6"/>
                <w:lang w:eastAsia="en-US"/>
              </w:rPr>
              <w:t>As per 2015</w:t>
            </w:r>
            <w:r>
              <w:rPr>
                <w:rFonts w:eastAsia="Cambria"/>
                <w:bCs/>
                <w:iCs/>
                <w:spacing w:val="-6"/>
                <w:lang w:eastAsia="en-US"/>
              </w:rPr>
              <w:t>–</w:t>
            </w:r>
            <w:r w:rsidRPr="00F633EA">
              <w:rPr>
                <w:rFonts w:eastAsia="Cambria"/>
                <w:bCs/>
                <w:iCs/>
                <w:spacing w:val="-6"/>
                <w:lang w:eastAsia="en-US"/>
              </w:rPr>
              <w:t>16</w:t>
            </w:r>
          </w:p>
        </w:tc>
        <w:tc>
          <w:tcPr>
            <w:tcW w:w="2350" w:type="dxa"/>
            <w:gridSpan w:val="2"/>
            <w:tcBorders>
              <w:top w:val="dotted" w:sz="4" w:space="0" w:color="auto"/>
              <w:left w:val="single" w:sz="4" w:space="0" w:color="auto"/>
              <w:bottom w:val="dotted" w:sz="4" w:space="0" w:color="auto"/>
            </w:tcBorders>
          </w:tcPr>
          <w:p w:rsidR="0062165D" w:rsidRPr="00F633EA" w:rsidRDefault="0062165D" w:rsidP="00DC4D04">
            <w:pPr>
              <w:pStyle w:val="TableTextLeft"/>
              <w:rPr>
                <w:i/>
                <w:color w:val="FF0000"/>
              </w:rPr>
            </w:pPr>
            <w:r w:rsidRPr="00F633EA">
              <w:t>As per 2015</w:t>
            </w:r>
            <w:r>
              <w:t>–</w:t>
            </w:r>
            <w:r w:rsidRPr="00F633EA">
              <w:t>16</w:t>
            </w:r>
          </w:p>
        </w:tc>
      </w:tr>
      <w:tr w:rsidR="0062165D" w:rsidRPr="00CE3C11" w:rsidTr="00DC4D04">
        <w:trPr>
          <w:gridAfter w:val="1"/>
          <w:wAfter w:w="15" w:type="dxa"/>
        </w:trPr>
        <w:tc>
          <w:tcPr>
            <w:tcW w:w="1248" w:type="dxa"/>
            <w:tcBorders>
              <w:top w:val="dotted" w:sz="4" w:space="0" w:color="auto"/>
              <w:right w:val="single" w:sz="4" w:space="0" w:color="auto"/>
            </w:tcBorders>
          </w:tcPr>
          <w:p w:rsidR="0062165D" w:rsidRPr="00247D45" w:rsidRDefault="0062165D" w:rsidP="00DC4D04">
            <w:pPr>
              <w:pStyle w:val="TableTextLeft"/>
            </w:pPr>
            <w:r>
              <w:t>2017–</w:t>
            </w:r>
            <w:r w:rsidRPr="00247D45">
              <w:t>18 and beyond</w:t>
            </w:r>
          </w:p>
        </w:tc>
        <w:tc>
          <w:tcPr>
            <w:tcW w:w="4298" w:type="dxa"/>
            <w:tcBorders>
              <w:top w:val="dotted" w:sz="4" w:space="0" w:color="auto"/>
              <w:left w:val="single" w:sz="4" w:space="0" w:color="auto"/>
              <w:right w:val="single" w:sz="4" w:space="0" w:color="auto"/>
            </w:tcBorders>
          </w:tcPr>
          <w:p w:rsidR="0062165D" w:rsidRPr="00F633EA" w:rsidRDefault="0062165D" w:rsidP="00DC4D04">
            <w:pPr>
              <w:pStyle w:val="TableTextLeft"/>
              <w:rPr>
                <w:i/>
                <w:color w:val="FF0000"/>
              </w:rPr>
            </w:pPr>
            <w:r>
              <w:t>As per 2016–</w:t>
            </w:r>
            <w:r w:rsidRPr="00F633EA">
              <w:t>17</w:t>
            </w:r>
          </w:p>
        </w:tc>
        <w:tc>
          <w:tcPr>
            <w:tcW w:w="2350" w:type="dxa"/>
            <w:gridSpan w:val="2"/>
            <w:tcBorders>
              <w:top w:val="dotted" w:sz="4" w:space="0" w:color="auto"/>
              <w:left w:val="single" w:sz="4" w:space="0" w:color="auto"/>
            </w:tcBorders>
          </w:tcPr>
          <w:p w:rsidR="0062165D" w:rsidRPr="00F633EA" w:rsidRDefault="0062165D" w:rsidP="00DC4D04">
            <w:pPr>
              <w:pStyle w:val="TableTextLeft"/>
            </w:pPr>
            <w:r>
              <w:t>As per 2016–</w:t>
            </w:r>
            <w:r w:rsidRPr="00F633EA">
              <w:t>17</w:t>
            </w:r>
          </w:p>
        </w:tc>
      </w:tr>
      <w:tr w:rsidR="0062165D" w:rsidRPr="00F71634" w:rsidTr="00DC4D04">
        <w:tc>
          <w:tcPr>
            <w:tcW w:w="7911" w:type="dxa"/>
            <w:gridSpan w:val="5"/>
            <w:shd w:val="clear" w:color="auto" w:fill="F2F2F2"/>
          </w:tcPr>
          <w:p w:rsidR="0062165D" w:rsidRPr="000B35CF" w:rsidRDefault="0062165D" w:rsidP="00DC4D04">
            <w:pPr>
              <w:pStyle w:val="TableTextLeft"/>
              <w:rPr>
                <w:rFonts w:eastAsia="Cambria"/>
                <w:b/>
              </w:rPr>
            </w:pPr>
            <w:r w:rsidRPr="000B35CF">
              <w:rPr>
                <w:rFonts w:eastAsia="Cambria"/>
                <w:b/>
              </w:rPr>
              <w:t>Material changes to Program 1.1 resulting from the following measures:</w:t>
            </w:r>
          </w:p>
          <w:p w:rsidR="0062165D" w:rsidRPr="00957AA3" w:rsidRDefault="0062165D" w:rsidP="00DC4D04">
            <w:pPr>
              <w:pStyle w:val="TableTextLeft"/>
              <w:rPr>
                <w:highlight w:val="yellow"/>
              </w:rPr>
            </w:pPr>
            <w:r w:rsidRPr="00AA533B">
              <w:rPr>
                <w:rFonts w:eastAsia="Cambria"/>
              </w:rPr>
              <w:t>Nil</w:t>
            </w:r>
          </w:p>
        </w:tc>
      </w:tr>
    </w:tbl>
    <w:p w:rsidR="0062165D" w:rsidRDefault="0062165D" w:rsidP="0062165D">
      <w:pPr>
        <w:spacing w:after="0"/>
      </w:pPr>
    </w:p>
    <w:p w:rsidR="0062165D" w:rsidRDefault="0062165D" w:rsidP="0062165D">
      <w:pPr>
        <w:spacing w:after="0"/>
        <w:rPr>
          <w:rFonts w:ascii="Arial" w:hAnsi="Arial"/>
          <w:b/>
          <w:bCs/>
          <w:iCs/>
          <w:szCs w:val="26"/>
        </w:rPr>
      </w:pPr>
      <w:r>
        <w:br w:type="page"/>
      </w:r>
    </w:p>
    <w:p w:rsidR="0062165D" w:rsidRPr="00BE6D85" w:rsidRDefault="0062165D" w:rsidP="0062165D">
      <w:pPr>
        <w:pStyle w:val="Heading2"/>
      </w:pPr>
      <w:bookmarkStart w:id="87" w:name="_Toc447006813"/>
      <w:bookmarkStart w:id="88" w:name="_Toc447007151"/>
      <w:bookmarkStart w:id="89" w:name="_Toc447008272"/>
      <w:bookmarkStart w:id="90" w:name="_Toc447008918"/>
      <w:bookmarkStart w:id="91" w:name="_Toc447012775"/>
      <w:bookmarkStart w:id="92" w:name="_Toc447013771"/>
      <w:bookmarkStart w:id="93" w:name="_Toc447016744"/>
      <w:bookmarkStart w:id="94" w:name="_Toc447115169"/>
      <w:bookmarkStart w:id="95" w:name="_Toc447115252"/>
      <w:bookmarkStart w:id="96" w:name="_Toc447116725"/>
      <w:bookmarkStart w:id="97" w:name="_Toc447117956"/>
      <w:bookmarkStart w:id="98" w:name="_Toc447119391"/>
      <w:bookmarkStart w:id="99" w:name="_Toc447709894"/>
      <w:bookmarkStart w:id="100" w:name="_Toc449623596"/>
      <w:r w:rsidRPr="00BE6D85">
        <w:lastRenderedPageBreak/>
        <w:t>Section 3: Budgeted financial statements</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62165D" w:rsidRPr="00C44040" w:rsidRDefault="0062165D" w:rsidP="0062165D">
      <w:r w:rsidRPr="00C44040">
        <w:t xml:space="preserve">Section 3 presents budgeted financial statements which provide a comprehensive snapshot of entity finances for the 2016–17 budget </w:t>
      </w:r>
      <w:proofErr w:type="gramStart"/>
      <w:r w:rsidRPr="00C44040">
        <w:t>year</w:t>
      </w:r>
      <w:proofErr w:type="gramEnd"/>
      <w:r w:rsidRPr="00C44040">
        <w:t>, including the impact of budget measures and resourcing on financial statements.</w:t>
      </w:r>
    </w:p>
    <w:p w:rsidR="0062165D" w:rsidRDefault="0062165D" w:rsidP="0062165D">
      <w:pPr>
        <w:pStyle w:val="Heading3"/>
      </w:pPr>
      <w:bookmarkStart w:id="101" w:name="_Toc447006814"/>
      <w:bookmarkStart w:id="102" w:name="_Toc447007152"/>
      <w:bookmarkStart w:id="103" w:name="_Toc447008273"/>
      <w:bookmarkStart w:id="104" w:name="_Toc447008919"/>
      <w:bookmarkStart w:id="105" w:name="_Toc447012776"/>
      <w:bookmarkStart w:id="106" w:name="_Toc447013772"/>
      <w:bookmarkStart w:id="107" w:name="_Toc447016745"/>
      <w:bookmarkStart w:id="108" w:name="_Toc447115170"/>
      <w:bookmarkStart w:id="109" w:name="_Toc447115253"/>
      <w:bookmarkStart w:id="110" w:name="_Toc447116726"/>
      <w:bookmarkStart w:id="111" w:name="_Toc447117957"/>
      <w:bookmarkStart w:id="112" w:name="_Toc447119392"/>
      <w:bookmarkStart w:id="113" w:name="_Toc447709895"/>
      <w:bookmarkStart w:id="114" w:name="_Toc449623597"/>
      <w:r>
        <w:t>3.1</w:t>
      </w:r>
      <w:r>
        <w:tab/>
        <w:t>Budgeted financial statements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62165D" w:rsidRPr="001758AC" w:rsidRDefault="0062165D" w:rsidP="0062165D">
      <w:pPr>
        <w:keepNext/>
        <w:tabs>
          <w:tab w:val="left" w:pos="709"/>
        </w:tabs>
        <w:spacing w:before="120"/>
        <w:outlineLvl w:val="3"/>
        <w:rPr>
          <w:rFonts w:ascii="Arial" w:hAnsi="Arial"/>
          <w:b/>
        </w:rPr>
      </w:pPr>
      <w:r w:rsidRPr="001758AC">
        <w:rPr>
          <w:rFonts w:ascii="Arial" w:hAnsi="Arial"/>
          <w:b/>
        </w:rPr>
        <w:t>3.1.1</w:t>
      </w:r>
      <w:r w:rsidRPr="001758AC">
        <w:rPr>
          <w:rFonts w:ascii="Arial" w:hAnsi="Arial"/>
          <w:b/>
        </w:rPr>
        <w:tab/>
        <w:t>Differences between entity resourcing and financial statements</w:t>
      </w:r>
    </w:p>
    <w:p w:rsidR="0062165D" w:rsidRDefault="0062165D" w:rsidP="0062165D">
      <w:pPr>
        <w:spacing w:line="260" w:lineRule="exact"/>
      </w:pPr>
      <w:r w:rsidRPr="001758AC">
        <w:t xml:space="preserve">The difference between the available resources shown in Table 1.1: </w:t>
      </w:r>
      <w:proofErr w:type="spellStart"/>
      <w:r w:rsidRPr="001758AC">
        <w:t>Comcare</w:t>
      </w:r>
      <w:proofErr w:type="spellEnd"/>
      <w:r w:rsidRPr="001758AC">
        <w:t xml:space="preserve"> resource statement and Table 3.2.1: Comprehensive Income Statement is due to prior year amounts available in 2016</w:t>
      </w:r>
      <w:r>
        <w:t>–</w:t>
      </w:r>
      <w:r w:rsidRPr="001758AC">
        <w:t xml:space="preserve">17, and non-cash movements in the value of the workers compensation claims liability and notional interest receipts. </w:t>
      </w:r>
    </w:p>
    <w:p w:rsidR="0062165D" w:rsidRPr="001758AC" w:rsidRDefault="0062165D" w:rsidP="0062165D">
      <w:pPr>
        <w:spacing w:line="260" w:lineRule="exact"/>
      </w:pPr>
      <w:r w:rsidRPr="001758AC">
        <w:t>The prior year amounts relate to retained premium funds, which are held to discharge future premium claims liabilities. Table 3.2: Budgeted Departmental Balance Sheet also includes significant financial assets (appropriations receivable) which will fund claim payments over the lifetime of the outstanding claims liabilities.</w:t>
      </w:r>
    </w:p>
    <w:p w:rsidR="0062165D" w:rsidRPr="001758AC" w:rsidRDefault="0062165D" w:rsidP="0062165D">
      <w:pPr>
        <w:keepNext/>
        <w:tabs>
          <w:tab w:val="left" w:pos="709"/>
        </w:tabs>
        <w:spacing w:before="120"/>
        <w:outlineLvl w:val="3"/>
        <w:rPr>
          <w:rFonts w:ascii="Arial" w:hAnsi="Arial"/>
          <w:b/>
        </w:rPr>
      </w:pPr>
      <w:r w:rsidRPr="001758AC">
        <w:rPr>
          <w:rFonts w:ascii="Arial" w:hAnsi="Arial"/>
          <w:b/>
        </w:rPr>
        <w:t>3.1.2</w:t>
      </w:r>
      <w:r w:rsidRPr="001758AC">
        <w:rPr>
          <w:rFonts w:ascii="Arial" w:hAnsi="Arial"/>
          <w:b/>
        </w:rPr>
        <w:tab/>
        <w:t>Explanatory notes and analysis of budgeted financial statements</w:t>
      </w:r>
    </w:p>
    <w:p w:rsidR="0062165D" w:rsidRPr="001758AC" w:rsidRDefault="0062165D" w:rsidP="0062165D">
      <w:pPr>
        <w:spacing w:after="0"/>
        <w:rPr>
          <w:b/>
        </w:rPr>
      </w:pPr>
      <w:r w:rsidRPr="001758AC">
        <w:rPr>
          <w:b/>
        </w:rPr>
        <w:t>Income</w:t>
      </w:r>
    </w:p>
    <w:p w:rsidR="0062165D" w:rsidRPr="001758AC" w:rsidRDefault="0062165D" w:rsidP="0062165D">
      <w:pPr>
        <w:spacing w:line="260" w:lineRule="exact"/>
      </w:pPr>
      <w:proofErr w:type="spellStart"/>
      <w:r>
        <w:t>Comcare’s</w:t>
      </w:r>
      <w:proofErr w:type="spellEnd"/>
      <w:r>
        <w:t xml:space="preserve"> total income in 2016–</w:t>
      </w:r>
      <w:r w:rsidRPr="001758AC">
        <w:t>17 is budgeted at $520.7 million, compared to $529.2 million in 2015</w:t>
      </w:r>
      <w:r>
        <w:t>–</w:t>
      </w:r>
      <w:r w:rsidRPr="001758AC">
        <w:t>16 (a decrease of $8.5 million, Table 3.1).</w:t>
      </w:r>
    </w:p>
    <w:p w:rsidR="0062165D" w:rsidRPr="005D19DF" w:rsidRDefault="0062165D" w:rsidP="0062165D">
      <w:pPr>
        <w:spacing w:line="260" w:lineRule="exact"/>
      </w:pPr>
      <w:r w:rsidRPr="005D19DF">
        <w:t>Revenue from independent sources, which excludes annual appropriations and other cash and non-cash appropriations received from the portfolio department, is budg</w:t>
      </w:r>
      <w:r>
        <w:t>eted at $536.5 million for 2016–</w:t>
      </w:r>
      <w:r w:rsidRPr="005D19DF">
        <w:t>17 (Table 3.1).</w:t>
      </w:r>
    </w:p>
    <w:p w:rsidR="0062165D" w:rsidRPr="001758AC" w:rsidRDefault="0062165D" w:rsidP="0062165D">
      <w:pPr>
        <w:keepNext/>
        <w:tabs>
          <w:tab w:val="left" w:pos="709"/>
        </w:tabs>
        <w:spacing w:before="120"/>
        <w:outlineLvl w:val="3"/>
      </w:pPr>
      <w:r w:rsidRPr="005D19DF">
        <w:t>The decrease in revenue is mainly due to the expected reduction in premium revenue. The key factors contributing to a</w:t>
      </w:r>
      <w:r>
        <w:t xml:space="preserve"> lower level of premium in 2016–</w:t>
      </w:r>
      <w:r w:rsidRPr="005D19DF">
        <w:t>17 include a notable reduction in employee numbers, and a lower additional margin in response to an improved funding ratio of the scheme.</w:t>
      </w:r>
    </w:p>
    <w:p w:rsidR="0062165D" w:rsidRPr="001758AC" w:rsidRDefault="0062165D" w:rsidP="0062165D">
      <w:pPr>
        <w:spacing w:after="0"/>
        <w:jc w:val="both"/>
      </w:pPr>
      <w:r w:rsidRPr="001758AC">
        <w:rPr>
          <w:b/>
        </w:rPr>
        <w:t>Expenses</w:t>
      </w:r>
    </w:p>
    <w:p w:rsidR="0062165D" w:rsidRPr="001758AC" w:rsidRDefault="0062165D" w:rsidP="0062165D">
      <w:pPr>
        <w:spacing w:line="260" w:lineRule="exact"/>
      </w:pPr>
      <w:proofErr w:type="spellStart"/>
      <w:r w:rsidRPr="001758AC">
        <w:t>C</w:t>
      </w:r>
      <w:r>
        <w:t>omcare’s</w:t>
      </w:r>
      <w:proofErr w:type="spellEnd"/>
      <w:r>
        <w:t xml:space="preserve"> total expenses in 2016–</w:t>
      </w:r>
      <w:r w:rsidRPr="001758AC">
        <w:t>17 are budgeted at $469.8 million, compared to $476.3 million in 2015</w:t>
      </w:r>
      <w:r>
        <w:t>–</w:t>
      </w:r>
      <w:r w:rsidRPr="001758AC">
        <w:t>16 (a decrease of $6.5 million) mainly due to the decrease in the movement of claims liabilities.</w:t>
      </w:r>
    </w:p>
    <w:p w:rsidR="0062165D" w:rsidRPr="001758AC" w:rsidRDefault="0062165D" w:rsidP="0062165D">
      <w:pPr>
        <w:spacing w:line="260" w:lineRule="exact"/>
      </w:pPr>
      <w:r w:rsidRPr="001758AC">
        <w:t>Claims expenses are budgeted to increase by $3.8 million based on projections provided by an independent actuarial assessment. The movement in outstanding claims liabilities is estimated t</w:t>
      </w:r>
      <w:r>
        <w:t>o be $12.5 million less in 2016–17 than in 2015–</w:t>
      </w:r>
      <w:r w:rsidRPr="001758AC">
        <w:t>16 ($32.3 million in 201</w:t>
      </w:r>
      <w:r>
        <w:t>6–</w:t>
      </w:r>
      <w:r w:rsidRPr="001758AC">
        <w:t>17 co</w:t>
      </w:r>
      <w:r>
        <w:t>mpared to $44.8 million in 2015–</w:t>
      </w:r>
      <w:r w:rsidRPr="001758AC">
        <w:t xml:space="preserve">16, Table 3.1). </w:t>
      </w:r>
    </w:p>
    <w:p w:rsidR="0062165D" w:rsidRPr="001758AC" w:rsidRDefault="0062165D" w:rsidP="0062165D">
      <w:pPr>
        <w:spacing w:line="260" w:lineRule="exact"/>
        <w:rPr>
          <w:b/>
        </w:rPr>
      </w:pPr>
      <w:proofErr w:type="spellStart"/>
      <w:r w:rsidRPr="001758AC">
        <w:lastRenderedPageBreak/>
        <w:t>Comcare’s</w:t>
      </w:r>
      <w:proofErr w:type="spellEnd"/>
      <w:r w:rsidRPr="001758AC">
        <w:t xml:space="preserve"> administration expenses are budgeted to increase in 2016</w:t>
      </w:r>
      <w:r>
        <w:t>–</w:t>
      </w:r>
      <w:r w:rsidRPr="001758AC">
        <w:t>17 by $2.1</w:t>
      </w:r>
      <w:r>
        <w:t> </w:t>
      </w:r>
      <w:r w:rsidRPr="001758AC">
        <w:t xml:space="preserve">million (from $110.6 million to $112.7 million) reflecting additional project expenditure to improve the efficiency of </w:t>
      </w:r>
      <w:proofErr w:type="spellStart"/>
      <w:r w:rsidRPr="001758AC">
        <w:t>Comcare</w:t>
      </w:r>
      <w:proofErr w:type="spellEnd"/>
      <w:r w:rsidRPr="001758AC">
        <w:t xml:space="preserve"> operations.</w:t>
      </w:r>
    </w:p>
    <w:p w:rsidR="0062165D" w:rsidRPr="001758AC" w:rsidRDefault="0062165D" w:rsidP="0062165D">
      <w:pPr>
        <w:spacing w:after="0"/>
        <w:jc w:val="both"/>
        <w:rPr>
          <w:b/>
        </w:rPr>
      </w:pPr>
      <w:r w:rsidRPr="001758AC">
        <w:rPr>
          <w:b/>
        </w:rPr>
        <w:t>Operating Result</w:t>
      </w:r>
    </w:p>
    <w:p w:rsidR="0062165D" w:rsidRPr="001758AC" w:rsidRDefault="0062165D" w:rsidP="0062165D">
      <w:pPr>
        <w:spacing w:line="260" w:lineRule="exact"/>
      </w:pPr>
      <w:proofErr w:type="spellStart"/>
      <w:r w:rsidRPr="001758AC">
        <w:t>Comc</w:t>
      </w:r>
      <w:r>
        <w:t>are’s</w:t>
      </w:r>
      <w:proofErr w:type="spellEnd"/>
      <w:r>
        <w:t xml:space="preserve"> operating result for 2016–</w:t>
      </w:r>
      <w:r w:rsidRPr="001758AC">
        <w:t>17 is budgeted at a surplus of $57.0</w:t>
      </w:r>
      <w:r>
        <w:t> </w:t>
      </w:r>
      <w:r w:rsidRPr="001758AC">
        <w:t>million. This, along with budgeted surpluses over forward years will continue to contribute to restoring the premium scheme’s financial health.</w:t>
      </w:r>
    </w:p>
    <w:p w:rsidR="0062165D" w:rsidRPr="001758AC" w:rsidRDefault="0062165D" w:rsidP="0062165D">
      <w:pPr>
        <w:spacing w:after="0"/>
        <w:jc w:val="both"/>
        <w:rPr>
          <w:b/>
        </w:rPr>
      </w:pPr>
      <w:r w:rsidRPr="001758AC">
        <w:rPr>
          <w:b/>
        </w:rPr>
        <w:t>Claims Liability</w:t>
      </w:r>
    </w:p>
    <w:p w:rsidR="0062165D" w:rsidRPr="001758AC" w:rsidRDefault="0062165D" w:rsidP="0062165D">
      <w:pPr>
        <w:spacing w:line="260" w:lineRule="exact"/>
        <w:jc w:val="both"/>
      </w:pPr>
      <w:proofErr w:type="spellStart"/>
      <w:r w:rsidRPr="001758AC">
        <w:t>Comcare</w:t>
      </w:r>
      <w:proofErr w:type="spellEnd"/>
      <w:r w:rsidRPr="001758AC">
        <w:t xml:space="preserve"> has three separate claims liabilities:</w:t>
      </w:r>
    </w:p>
    <w:p w:rsidR="0062165D" w:rsidRPr="001758AC" w:rsidRDefault="0062165D" w:rsidP="0062165D">
      <w:pPr>
        <w:pStyle w:val="Bullets"/>
        <w:rPr>
          <w:rFonts w:eastAsia="Calibri"/>
          <w:lang w:val="en-US"/>
        </w:rPr>
      </w:pPr>
      <w:r w:rsidRPr="001758AC">
        <w:rPr>
          <w:rFonts w:eastAsia="Calibri"/>
          <w:lang w:val="en-US"/>
        </w:rPr>
        <w:t>Premium</w:t>
      </w:r>
      <w:r>
        <w:rPr>
          <w:rFonts w:eastAsia="Calibri"/>
          <w:lang w:val="en-US"/>
        </w:rPr>
        <w:t xml:space="preserve"> workers’ compensation claims—t</w:t>
      </w:r>
      <w:r w:rsidRPr="001758AC">
        <w:rPr>
          <w:rFonts w:eastAsia="Calibri"/>
          <w:lang w:val="en-US"/>
        </w:rPr>
        <w:t>hese relate to workers’ compensation claims from premium paying agencies with a date of injury on or after 1 July 1989</w:t>
      </w:r>
    </w:p>
    <w:p w:rsidR="0062165D" w:rsidRPr="001758AC" w:rsidRDefault="0062165D" w:rsidP="0062165D">
      <w:pPr>
        <w:pStyle w:val="Bullets"/>
        <w:rPr>
          <w:rFonts w:eastAsia="Calibri"/>
          <w:lang w:val="en-US"/>
        </w:rPr>
      </w:pPr>
      <w:r w:rsidRPr="001758AC">
        <w:rPr>
          <w:rFonts w:eastAsia="Calibri"/>
          <w:lang w:val="en-US"/>
        </w:rPr>
        <w:t>Pre-premium</w:t>
      </w:r>
      <w:r>
        <w:rPr>
          <w:rFonts w:eastAsia="Calibri"/>
          <w:lang w:val="en-US"/>
        </w:rPr>
        <w:t xml:space="preserve"> workers’ compensation claims—</w:t>
      </w:r>
      <w:r w:rsidRPr="001758AC">
        <w:rPr>
          <w:rFonts w:eastAsia="Calibri"/>
          <w:lang w:val="en-US"/>
        </w:rPr>
        <w:t>these relate to workers’ compensation claims with a date of injury before 1 July 1989. It is expected that pre-premium claims liabilities will decrease over time as claims are settled.</w:t>
      </w:r>
    </w:p>
    <w:p w:rsidR="0062165D" w:rsidRPr="001758AC" w:rsidRDefault="0062165D" w:rsidP="0062165D">
      <w:pPr>
        <w:pStyle w:val="Bullets"/>
        <w:rPr>
          <w:rFonts w:eastAsia="Calibri"/>
          <w:lang w:val="en-US"/>
        </w:rPr>
      </w:pPr>
      <w:r w:rsidRPr="001758AC">
        <w:rPr>
          <w:rFonts w:eastAsia="Calibri"/>
          <w:lang w:val="en-US"/>
        </w:rPr>
        <w:t>Asbestos-r</w:t>
      </w:r>
      <w:r>
        <w:rPr>
          <w:rFonts w:eastAsia="Calibri"/>
          <w:lang w:val="en-US"/>
        </w:rPr>
        <w:t>elated common law liabilities—</w:t>
      </w:r>
      <w:r w:rsidRPr="001758AC">
        <w:rPr>
          <w:rFonts w:eastAsia="Calibri"/>
          <w:lang w:val="en-US"/>
        </w:rPr>
        <w:t>these relate to asbestos related claims where the Commonwealth has a liability.</w:t>
      </w:r>
    </w:p>
    <w:p w:rsidR="0062165D" w:rsidRDefault="0062165D" w:rsidP="0062165D">
      <w:pPr>
        <w:spacing w:line="260" w:lineRule="exact"/>
        <w:jc w:val="both"/>
      </w:pPr>
      <w:r>
        <w:t>In the 2016–</w:t>
      </w:r>
      <w:r w:rsidRPr="001758AC">
        <w:t>17 Portfolio Budget Statements, all claims liability provisions are based on independent actuarial valuations on the basis of the central estimate plus a risk margin that would achieve a 75 per cent probability of sufficiency.</w:t>
      </w:r>
    </w:p>
    <w:p w:rsidR="0062165D" w:rsidRPr="00AD5794" w:rsidRDefault="0062165D" w:rsidP="0062165D">
      <w:pPr>
        <w:pStyle w:val="TableHeading"/>
      </w:pPr>
      <w:r w:rsidRPr="00AD5794">
        <w:t>Program 1 components</w:t>
      </w:r>
    </w:p>
    <w:p w:rsidR="0062165D" w:rsidRPr="0002334D" w:rsidRDefault="0062165D" w:rsidP="0062165D">
      <w:pPr>
        <w:rPr>
          <w:lang w:eastAsia="x-none"/>
        </w:rPr>
      </w:pPr>
      <w:r w:rsidRPr="00B51AA4">
        <w:rPr>
          <w:noProof/>
        </w:rPr>
        <w:drawing>
          <wp:inline distT="0" distB="0" distL="0" distR="0" wp14:anchorId="44882329" wp14:editId="35B9BD27">
            <wp:extent cx="4826235" cy="1345720"/>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6862" cy="1345895"/>
                    </a:xfrm>
                    <a:prstGeom prst="rect">
                      <a:avLst/>
                    </a:prstGeom>
                    <a:noFill/>
                    <a:ln>
                      <a:noFill/>
                    </a:ln>
                  </pic:spPr>
                </pic:pic>
              </a:graphicData>
            </a:graphic>
          </wp:inline>
        </w:drawing>
      </w:r>
    </w:p>
    <w:p w:rsidR="0062165D" w:rsidRPr="001758AC" w:rsidRDefault="0062165D" w:rsidP="0062165D">
      <w:pPr>
        <w:spacing w:line="260" w:lineRule="exact"/>
        <w:jc w:val="both"/>
      </w:pPr>
    </w:p>
    <w:p w:rsidR="0062165D" w:rsidRDefault="0062165D" w:rsidP="0062165D">
      <w:pPr>
        <w:pStyle w:val="Heading3"/>
      </w:pPr>
      <w:r>
        <w:br w:type="page"/>
      </w:r>
      <w:bookmarkStart w:id="115" w:name="_Toc447006815"/>
      <w:bookmarkStart w:id="116" w:name="_Toc447007153"/>
      <w:bookmarkStart w:id="117" w:name="_Toc447008274"/>
      <w:bookmarkStart w:id="118" w:name="_Toc447008920"/>
      <w:bookmarkStart w:id="119" w:name="_Toc447012777"/>
      <w:bookmarkStart w:id="120" w:name="_Toc447013773"/>
      <w:bookmarkStart w:id="121" w:name="_Toc447016746"/>
      <w:bookmarkStart w:id="122" w:name="_Toc447115171"/>
      <w:bookmarkStart w:id="123" w:name="_Toc447115254"/>
      <w:bookmarkStart w:id="124" w:name="_Toc447116727"/>
      <w:bookmarkStart w:id="125" w:name="_Toc447117958"/>
      <w:bookmarkStart w:id="126" w:name="_Toc447119393"/>
      <w:bookmarkStart w:id="127" w:name="_Toc447709896"/>
      <w:bookmarkStart w:id="128" w:name="_Toc449623598"/>
      <w:r>
        <w:lastRenderedPageBreak/>
        <w:t>3.2.1</w:t>
      </w:r>
      <w:r>
        <w:tab/>
        <w:t>Budgeted financial statements tables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62165D" w:rsidRDefault="0062165D" w:rsidP="0062165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62165D" w:rsidRPr="00F626C2" w:rsidRDefault="0062165D" w:rsidP="0062165D">
      <w:pPr>
        <w:pStyle w:val="TableGraphic"/>
      </w:pPr>
      <w:r w:rsidRPr="00581F06">
        <w:rPr>
          <w:noProof/>
        </w:rPr>
        <w:drawing>
          <wp:inline distT="0" distB="0" distL="0" distR="0" wp14:anchorId="3D1323CA" wp14:editId="2250D6F9">
            <wp:extent cx="4896485" cy="489648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4896485"/>
                    </a:xfrm>
                    <a:prstGeom prst="rect">
                      <a:avLst/>
                    </a:prstGeom>
                    <a:noFill/>
                    <a:ln>
                      <a:noFill/>
                    </a:ln>
                  </pic:spPr>
                </pic:pic>
              </a:graphicData>
            </a:graphic>
          </wp:inline>
        </w:drawing>
      </w:r>
    </w:p>
    <w:p w:rsidR="0062165D" w:rsidRDefault="0062165D" w:rsidP="0062165D">
      <w:pPr>
        <w:pStyle w:val="ChartandTableFootnoteAlpha"/>
        <w:numPr>
          <w:ilvl w:val="0"/>
          <w:numId w:val="7"/>
        </w:numPr>
        <w:spacing w:before="120"/>
      </w:pPr>
      <w:r w:rsidRPr="0002334D">
        <w:t>This relates to non-cash movements in workers compensation claims liabilities and asbestos related claims liabilities.</w:t>
      </w:r>
    </w:p>
    <w:p w:rsidR="0062165D" w:rsidRDefault="0062165D" w:rsidP="0062165D">
      <w:pPr>
        <w:pStyle w:val="ChartandTableFootnote"/>
        <w:spacing w:before="120"/>
      </w:pPr>
      <w:r w:rsidRPr="0002334D">
        <w:t>Prepared on an Australian Accounting Standards Basis</w:t>
      </w:r>
      <w:r>
        <w:t>.</w:t>
      </w:r>
      <w:r>
        <w:br w:type="page"/>
      </w:r>
    </w:p>
    <w:p w:rsidR="0062165D" w:rsidRDefault="0062165D" w:rsidP="0062165D">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62165D" w:rsidRDefault="0062165D" w:rsidP="0062165D">
      <w:pPr>
        <w:pStyle w:val="TableGraphic"/>
      </w:pPr>
      <w:r>
        <w:t>Note: Impact of net cash appropriation arrangements</w:t>
      </w:r>
    </w:p>
    <w:p w:rsidR="0062165D" w:rsidRPr="00AA533B" w:rsidRDefault="0062165D" w:rsidP="0062165D">
      <w:pPr>
        <w:rPr>
          <w:sz w:val="4"/>
          <w:szCs w:val="4"/>
        </w:rPr>
      </w:pPr>
    </w:p>
    <w:p w:rsidR="0062165D" w:rsidRPr="00A965CD" w:rsidRDefault="0062165D" w:rsidP="0062165D">
      <w:pPr>
        <w:pStyle w:val="TableGraphic"/>
      </w:pPr>
      <w:r w:rsidRPr="00581F06">
        <w:rPr>
          <w:noProof/>
        </w:rPr>
        <w:drawing>
          <wp:inline distT="0" distB="0" distL="0" distR="0" wp14:anchorId="48CA1850" wp14:editId="0C139041">
            <wp:extent cx="4896485" cy="18360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6485" cy="1836025"/>
                    </a:xfrm>
                    <a:prstGeom prst="rect">
                      <a:avLst/>
                    </a:prstGeom>
                    <a:noFill/>
                    <a:ln>
                      <a:noFill/>
                    </a:ln>
                  </pic:spPr>
                </pic:pic>
              </a:graphicData>
            </a:graphic>
          </wp:inline>
        </w:drawing>
      </w:r>
    </w:p>
    <w:p w:rsidR="0062165D" w:rsidRPr="00096568" w:rsidRDefault="0062165D" w:rsidP="0062165D">
      <w:pPr>
        <w:pStyle w:val="ChartandTableFootnoteAlpha"/>
        <w:numPr>
          <w:ilvl w:val="0"/>
          <w:numId w:val="7"/>
        </w:numPr>
        <w:spacing w:before="120"/>
      </w:pPr>
      <w:r w:rsidRPr="003A3E7B">
        <w:t>From 2010</w:t>
      </w:r>
      <w:r>
        <w:t>–</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xml:space="preserve">, or </w:t>
      </w:r>
      <w:proofErr w:type="spellStart"/>
      <w:r>
        <w:t>DCB</w:t>
      </w:r>
      <w:proofErr w:type="spellEnd"/>
      <w:r>
        <w:t>) provided through Bill </w:t>
      </w:r>
      <w:r w:rsidRPr="003A3E7B">
        <w:t xml:space="preserve">1 equity appropriations. For information regarding </w:t>
      </w:r>
      <w:proofErr w:type="spellStart"/>
      <w:r w:rsidRPr="003A3E7B">
        <w:t>DCBs</w:t>
      </w:r>
      <w:proofErr w:type="spellEnd"/>
      <w:r w:rsidRPr="003A3E7B">
        <w:t>, please refer to Table</w:t>
      </w:r>
      <w:r>
        <w:t xml:space="preserve"> 3.</w:t>
      </w:r>
      <w:r w:rsidRPr="003A3E7B">
        <w:t>5 Departmental Capital Budget Statement.</w:t>
      </w:r>
      <w:r>
        <w:t xml:space="preserve"> </w:t>
      </w:r>
    </w:p>
    <w:p w:rsidR="0062165D" w:rsidRPr="00215A67" w:rsidRDefault="0062165D" w:rsidP="0062165D">
      <w:pPr>
        <w:pStyle w:val="ChartandTableFootnote"/>
        <w:spacing w:before="120"/>
        <w:rPr>
          <w:lang w:val="en-AU"/>
        </w:rPr>
      </w:pPr>
      <w:r w:rsidRPr="00E4582E">
        <w:t>Prepared on Australian Accounting Standards basis</w:t>
      </w:r>
      <w:r>
        <w:t xml:space="preserve">. </w:t>
      </w:r>
    </w:p>
    <w:p w:rsidR="0062165D" w:rsidRPr="00717A5E" w:rsidRDefault="0062165D" w:rsidP="0062165D">
      <w:pPr>
        <w:pStyle w:val="TableHeading"/>
      </w:pPr>
      <w:r>
        <w:br w:type="page"/>
      </w:r>
      <w:r w:rsidRPr="00717A5E">
        <w:lastRenderedPageBreak/>
        <w:t>Table 3.2: Budgeted departmental balance sheet (as at 30 June)</w:t>
      </w:r>
    </w:p>
    <w:p w:rsidR="0062165D" w:rsidRDefault="0062165D" w:rsidP="0062165D">
      <w:pPr>
        <w:pStyle w:val="TableHeading"/>
        <w:rPr>
          <w:b w:val="0"/>
          <w:color w:val="auto"/>
          <w:lang w:val="en-AU" w:eastAsia="en-AU"/>
        </w:rPr>
      </w:pPr>
      <w:r w:rsidRPr="00DF511F">
        <w:rPr>
          <w:noProof/>
          <w:lang w:val="en-AU" w:eastAsia="en-AU"/>
        </w:rPr>
        <w:drawing>
          <wp:inline distT="0" distB="0" distL="0" distR="0" wp14:anchorId="479B992D" wp14:editId="37502F96">
            <wp:extent cx="4896485" cy="4889048"/>
            <wp:effectExtent l="0" t="0" r="0"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485" cy="4889048"/>
                    </a:xfrm>
                    <a:prstGeom prst="rect">
                      <a:avLst/>
                    </a:prstGeom>
                    <a:noFill/>
                    <a:ln>
                      <a:noFill/>
                    </a:ln>
                  </pic:spPr>
                </pic:pic>
              </a:graphicData>
            </a:graphic>
          </wp:inline>
        </w:drawing>
      </w:r>
    </w:p>
    <w:p w:rsidR="0062165D" w:rsidRDefault="0062165D" w:rsidP="0062165D">
      <w:pPr>
        <w:pStyle w:val="ChartandTableFootnote"/>
        <w:spacing w:before="120"/>
      </w:pPr>
      <w:r w:rsidRPr="00CF1047">
        <w:t>*</w:t>
      </w:r>
      <w:r>
        <w:rPr>
          <w:lang w:val="en-AU"/>
        </w:rPr>
        <w:t xml:space="preserve"> </w:t>
      </w:r>
      <w:r w:rsidRPr="00CF1047">
        <w:t>Equity is the residual interest in assets after the deduction of liabilities.</w:t>
      </w:r>
    </w:p>
    <w:p w:rsidR="0062165D" w:rsidRPr="00CF1047" w:rsidRDefault="0062165D" w:rsidP="0062165D">
      <w:pPr>
        <w:pStyle w:val="ChartandTableFootnote"/>
        <w:spacing w:before="120"/>
      </w:pPr>
      <w:r w:rsidRPr="00CF1047">
        <w:t>Prepared on Australian Accounting Standards basis.</w:t>
      </w:r>
    </w:p>
    <w:p w:rsidR="0062165D" w:rsidRDefault="0062165D" w:rsidP="0062165D">
      <w:pPr>
        <w:pStyle w:val="TableHeading"/>
      </w:pPr>
      <w:r w:rsidRPr="001758AC">
        <w:rPr>
          <w:b w:val="0"/>
          <w:color w:val="auto"/>
          <w:lang w:val="en-AU" w:eastAsia="en-AU"/>
        </w:rPr>
        <w:br w:type="page"/>
      </w:r>
    </w:p>
    <w:p w:rsidR="0062165D" w:rsidRDefault="0062165D" w:rsidP="0062165D">
      <w:pPr>
        <w:pStyle w:val="TableHeading"/>
        <w:spacing w:after="120"/>
        <w:rPr>
          <w:lang w:val="en-AU"/>
        </w:rPr>
      </w:pPr>
      <w:r w:rsidRPr="001758AC">
        <w:lastRenderedPageBreak/>
        <w:t>Table 3.3: Departmental s</w:t>
      </w:r>
      <w:r>
        <w:t>tatement of changes in equity</w:t>
      </w:r>
      <w:r>
        <w:rPr>
          <w:lang w:val="en-AU"/>
        </w:rPr>
        <w:t>—</w:t>
      </w:r>
      <w:r w:rsidRPr="001758AC">
        <w:t>summar</w:t>
      </w:r>
      <w:r>
        <w:t>y of movement (Budget year 2016</w:t>
      </w:r>
      <w:r>
        <w:rPr>
          <w:lang w:val="en-AU"/>
        </w:rPr>
        <w:t>–</w:t>
      </w:r>
      <w:r w:rsidRPr="001758AC">
        <w:t>17)</w:t>
      </w:r>
    </w:p>
    <w:p w:rsidR="0062165D" w:rsidRDefault="0062165D" w:rsidP="0062165D">
      <w:pPr>
        <w:pStyle w:val="ChartandTableFootnoteSmall"/>
      </w:pPr>
      <w:r w:rsidRPr="007C154F">
        <w:rPr>
          <w:noProof/>
        </w:rPr>
        <w:drawing>
          <wp:inline distT="0" distB="0" distL="0" distR="0" wp14:anchorId="53E956BF" wp14:editId="39B1B9C6">
            <wp:extent cx="4736467" cy="2803585"/>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6921" cy="2803854"/>
                    </a:xfrm>
                    <a:prstGeom prst="rect">
                      <a:avLst/>
                    </a:prstGeom>
                    <a:noFill/>
                    <a:ln>
                      <a:noFill/>
                    </a:ln>
                  </pic:spPr>
                </pic:pic>
              </a:graphicData>
            </a:graphic>
          </wp:inline>
        </w:drawing>
      </w:r>
    </w:p>
    <w:p w:rsidR="0062165D" w:rsidRDefault="0062165D" w:rsidP="0062165D">
      <w:pPr>
        <w:pStyle w:val="ChartandTableFootnote"/>
        <w:spacing w:before="120"/>
      </w:pPr>
      <w:r w:rsidRPr="00CF1047">
        <w:t>Prepared on Australian Accounting Standards basis.</w:t>
      </w:r>
    </w:p>
    <w:p w:rsidR="0062165D" w:rsidRDefault="0062165D" w:rsidP="0062165D">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62165D" w:rsidRDefault="0062165D" w:rsidP="0062165D">
      <w:pPr>
        <w:pStyle w:val="TableGraphic"/>
        <w:rPr>
          <w:noProof/>
        </w:rPr>
      </w:pPr>
      <w:r w:rsidRPr="009623FE">
        <w:rPr>
          <w:noProof/>
        </w:rPr>
        <w:drawing>
          <wp:inline distT="0" distB="0" distL="0" distR="0" wp14:anchorId="10C2B578" wp14:editId="18B87A6A">
            <wp:extent cx="4896485" cy="44252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6485" cy="4425259"/>
                    </a:xfrm>
                    <a:prstGeom prst="rect">
                      <a:avLst/>
                    </a:prstGeom>
                    <a:noFill/>
                    <a:ln>
                      <a:noFill/>
                    </a:ln>
                  </pic:spPr>
                </pic:pic>
              </a:graphicData>
            </a:graphic>
          </wp:inline>
        </w:drawing>
      </w:r>
    </w:p>
    <w:p w:rsidR="0062165D" w:rsidRPr="00704BE6" w:rsidRDefault="0062165D" w:rsidP="0062165D">
      <w:pPr>
        <w:pStyle w:val="ChartandTableFootnote"/>
        <w:spacing w:before="120"/>
        <w:rPr>
          <w:lang w:val="en-AU"/>
        </w:rPr>
      </w:pPr>
      <w:r w:rsidRPr="00CF1047">
        <w:t>Prepared on Australian Accounting Standards basis.</w:t>
      </w:r>
    </w:p>
    <w:p w:rsidR="0062165D" w:rsidRPr="0041404E" w:rsidRDefault="0062165D" w:rsidP="0062165D">
      <w:pPr>
        <w:pStyle w:val="TableHeading"/>
      </w:pPr>
      <w:r>
        <w:br w:type="page"/>
      </w:r>
      <w:r w:rsidRPr="00D30CBA">
        <w:lastRenderedPageBreak/>
        <w:t>Table</w:t>
      </w:r>
      <w:r>
        <w:t xml:space="preserve"> 3.5</w:t>
      </w:r>
      <w:r w:rsidRPr="00D30CBA">
        <w:t xml:space="preserve">: </w:t>
      </w:r>
      <w:r>
        <w:t xml:space="preserve">Departmental capital budget statement (for the period ended 30 </w:t>
      </w:r>
      <w:r>
        <w:rPr>
          <w:lang w:val="en-AU"/>
        </w:rPr>
        <w:t> </w:t>
      </w:r>
      <w:r>
        <w:t>June)</w:t>
      </w:r>
    </w:p>
    <w:p w:rsidR="0062165D" w:rsidRPr="00F10305" w:rsidRDefault="0062165D" w:rsidP="0062165D">
      <w:pPr>
        <w:pStyle w:val="TableGraphic"/>
      </w:pPr>
      <w:r w:rsidRPr="006D7FB5">
        <w:rPr>
          <w:noProof/>
        </w:rPr>
        <w:drawing>
          <wp:inline distT="0" distB="0" distL="0" distR="0" wp14:anchorId="51F6042F" wp14:editId="660B68A5">
            <wp:extent cx="4896485" cy="20008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6485" cy="2000829"/>
                    </a:xfrm>
                    <a:prstGeom prst="rect">
                      <a:avLst/>
                    </a:prstGeom>
                    <a:noFill/>
                    <a:ln>
                      <a:noFill/>
                    </a:ln>
                  </pic:spPr>
                </pic:pic>
              </a:graphicData>
            </a:graphic>
          </wp:inline>
        </w:drawing>
      </w:r>
    </w:p>
    <w:p w:rsidR="0062165D" w:rsidRPr="009623FE" w:rsidRDefault="0062165D" w:rsidP="0062165D">
      <w:pPr>
        <w:pStyle w:val="ChartandTableFootnote"/>
        <w:spacing w:before="120"/>
        <w:rPr>
          <w:lang w:val="en-AU"/>
        </w:rPr>
      </w:pPr>
      <w:r w:rsidRPr="001758AC">
        <w:t>Prepared on Australian Accounting Standards basis.</w:t>
      </w:r>
    </w:p>
    <w:p w:rsidR="0062165D" w:rsidRPr="00CF1047" w:rsidRDefault="0062165D" w:rsidP="0062165D">
      <w:pPr>
        <w:rPr>
          <w:lang w:eastAsia="x-none"/>
        </w:rPr>
      </w:pPr>
    </w:p>
    <w:p w:rsidR="0062165D" w:rsidRPr="001758AC" w:rsidRDefault="0062165D" w:rsidP="0062165D">
      <w:pPr>
        <w:pStyle w:val="TableHeading"/>
      </w:pPr>
      <w:r w:rsidRPr="001758AC">
        <w:t>Table 3.6: Statement of asset movements (Budget year 2016</w:t>
      </w:r>
      <w:r w:rsidRPr="001758AC">
        <w:noBreakHyphen/>
        <w:t>17)</w:t>
      </w:r>
    </w:p>
    <w:p w:rsidR="0062165D" w:rsidRPr="00704BE6" w:rsidRDefault="0062165D" w:rsidP="0062165D">
      <w:pPr>
        <w:spacing w:after="0"/>
        <w:ind w:right="-113"/>
        <w:jc w:val="both"/>
        <w:rPr>
          <w:lang w:eastAsia="x-none"/>
        </w:rPr>
      </w:pPr>
      <w:r w:rsidRPr="001758AC">
        <w:rPr>
          <w:i/>
          <w:color w:val="FF0000"/>
        </w:rPr>
        <w:t xml:space="preserve"> </w:t>
      </w:r>
      <w:r w:rsidRPr="006D7FB5">
        <w:rPr>
          <w:noProof/>
        </w:rPr>
        <w:drawing>
          <wp:inline distT="0" distB="0" distL="0" distR="0" wp14:anchorId="6817FFFD" wp14:editId="7BC47788">
            <wp:extent cx="4896485" cy="2666087"/>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6485" cy="2666087"/>
                    </a:xfrm>
                    <a:prstGeom prst="rect">
                      <a:avLst/>
                    </a:prstGeom>
                    <a:noFill/>
                    <a:ln>
                      <a:noFill/>
                    </a:ln>
                  </pic:spPr>
                </pic:pic>
              </a:graphicData>
            </a:graphic>
          </wp:inline>
        </w:drawing>
      </w:r>
    </w:p>
    <w:p w:rsidR="0062165D" w:rsidRDefault="0062165D" w:rsidP="0062165D">
      <w:pPr>
        <w:pStyle w:val="ChartandTableFootnote"/>
        <w:spacing w:before="120"/>
        <w:rPr>
          <w:lang w:val="en-AU"/>
        </w:rPr>
      </w:pPr>
      <w:r w:rsidRPr="001758AC">
        <w:t>Prepared on Australian Accounting Standards basis.</w:t>
      </w:r>
    </w:p>
    <w:p w:rsidR="0062165D" w:rsidRPr="00CF1047" w:rsidRDefault="0062165D" w:rsidP="0062165D">
      <w:pPr>
        <w:rPr>
          <w:lang w:eastAsia="x-none"/>
        </w:rPr>
      </w:pPr>
    </w:p>
    <w:p w:rsidR="0062165D" w:rsidRDefault="0062165D" w:rsidP="0062165D">
      <w:pPr>
        <w:pStyle w:val="ChartandTableFootnote"/>
        <w:sectPr w:rsidR="0062165D" w:rsidSect="009B4840">
          <w:headerReference w:type="even" r:id="rId26"/>
          <w:headerReference w:type="default" r:id="rId27"/>
          <w:footnotePr>
            <w:numRestart w:val="eachPage"/>
          </w:footnotePr>
          <w:type w:val="continuous"/>
          <w:pgSz w:w="11907" w:h="16839" w:code="9"/>
          <w:pgMar w:top="2466" w:right="2098" w:bottom="2466" w:left="2098" w:header="1899" w:footer="1899" w:gutter="0"/>
          <w:cols w:space="708"/>
          <w:docGrid w:linePitch="360"/>
        </w:sectPr>
      </w:pPr>
    </w:p>
    <w:p w:rsidR="0062165D" w:rsidRDefault="0062165D" w:rsidP="0062165D">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62165D" w:rsidRPr="00F10305" w:rsidRDefault="0062165D" w:rsidP="0062165D">
      <w:pPr>
        <w:pStyle w:val="TableGraphic"/>
      </w:pPr>
      <w:r w:rsidRPr="006D7FB5">
        <w:rPr>
          <w:noProof/>
        </w:rPr>
        <w:drawing>
          <wp:inline distT="0" distB="0" distL="0" distR="0" wp14:anchorId="1CA790F7" wp14:editId="6371142B">
            <wp:extent cx="4896485" cy="316197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6485" cy="3161974"/>
                    </a:xfrm>
                    <a:prstGeom prst="rect">
                      <a:avLst/>
                    </a:prstGeom>
                    <a:noFill/>
                    <a:ln>
                      <a:noFill/>
                    </a:ln>
                  </pic:spPr>
                </pic:pic>
              </a:graphicData>
            </a:graphic>
          </wp:inline>
        </w:drawing>
      </w:r>
    </w:p>
    <w:p w:rsidR="0062165D" w:rsidRPr="00704BE6" w:rsidRDefault="0062165D" w:rsidP="0062165D">
      <w:pPr>
        <w:pStyle w:val="ChartandTableFootnote"/>
        <w:spacing w:before="120"/>
        <w:rPr>
          <w:lang w:val="en-AU"/>
        </w:rPr>
      </w:pPr>
      <w:r w:rsidRPr="00E4582E">
        <w:t>Prepared on Australian Accounting Standards basis</w:t>
      </w:r>
      <w:r>
        <w:t>.</w:t>
      </w:r>
    </w:p>
    <w:p w:rsidR="0062165D" w:rsidRDefault="0062165D" w:rsidP="0062165D">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62165D" w:rsidRDefault="0062165D" w:rsidP="0062165D">
      <w:pPr>
        <w:pStyle w:val="TableGraphic"/>
      </w:pPr>
      <w:r w:rsidRPr="006D7FB5">
        <w:rPr>
          <w:noProof/>
        </w:rPr>
        <w:drawing>
          <wp:inline distT="0" distB="0" distL="0" distR="0" wp14:anchorId="3D530ECE" wp14:editId="366BC3E3">
            <wp:extent cx="4896485" cy="253471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6485" cy="2534717"/>
                    </a:xfrm>
                    <a:prstGeom prst="rect">
                      <a:avLst/>
                    </a:prstGeom>
                    <a:noFill/>
                    <a:ln>
                      <a:noFill/>
                    </a:ln>
                  </pic:spPr>
                </pic:pic>
              </a:graphicData>
            </a:graphic>
          </wp:inline>
        </w:drawing>
      </w:r>
    </w:p>
    <w:p w:rsidR="0062165D" w:rsidRDefault="0062165D" w:rsidP="0062165D">
      <w:pPr>
        <w:pStyle w:val="ChartandTableFootnote"/>
        <w:spacing w:before="120"/>
      </w:pPr>
      <w:r w:rsidRPr="00E4582E">
        <w:t>Prepared on Australian Accounting Standards basis</w:t>
      </w:r>
      <w:r>
        <w:t>.</w:t>
      </w:r>
    </w:p>
    <w:p w:rsidR="0062165D" w:rsidRDefault="0062165D" w:rsidP="0062165D"/>
    <w:p w:rsidR="0062165D" w:rsidRDefault="0062165D" w:rsidP="0062165D">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rsidR="0062165D" w:rsidRPr="0044552A" w:rsidRDefault="0062165D" w:rsidP="0062165D">
      <w:pPr>
        <w:pStyle w:val="TableGraphic"/>
      </w:pPr>
      <w:r w:rsidRPr="006D7FB5">
        <w:rPr>
          <w:noProof/>
        </w:rPr>
        <w:drawing>
          <wp:inline distT="0" distB="0" distL="0" distR="0" wp14:anchorId="1801B4A4" wp14:editId="147BB0E7">
            <wp:extent cx="4896485" cy="256604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6485" cy="2566049"/>
                    </a:xfrm>
                    <a:prstGeom prst="rect">
                      <a:avLst/>
                    </a:prstGeom>
                    <a:noFill/>
                    <a:ln>
                      <a:noFill/>
                    </a:ln>
                  </pic:spPr>
                </pic:pic>
              </a:graphicData>
            </a:graphic>
          </wp:inline>
        </w:drawing>
      </w:r>
    </w:p>
    <w:p w:rsidR="0062165D" w:rsidRDefault="0062165D" w:rsidP="0062165D">
      <w:pPr>
        <w:pStyle w:val="ChartandTableFootnote"/>
        <w:spacing w:before="120"/>
      </w:pPr>
      <w:r w:rsidRPr="00CF1047">
        <w:t>Prepared on Australian Accounting Standards basis.</w:t>
      </w:r>
    </w:p>
    <w:p w:rsidR="0062165D" w:rsidRDefault="0062165D" w:rsidP="0062165D">
      <w:pPr>
        <w:spacing w:after="0"/>
        <w:rPr>
          <w:rFonts w:ascii="Arial" w:hAnsi="Arial"/>
          <w:color w:val="000000"/>
          <w:sz w:val="16"/>
          <w:lang w:val="x-none" w:eastAsia="x-none"/>
        </w:rPr>
      </w:pPr>
      <w:r>
        <w:br w:type="page"/>
      </w:r>
    </w:p>
    <w:p w:rsidR="0062165D" w:rsidRDefault="0062165D" w:rsidP="0062165D">
      <w:pPr>
        <w:pStyle w:val="TableHeading"/>
      </w:pPr>
      <w:r w:rsidRPr="00D30CBA">
        <w:lastRenderedPageBreak/>
        <w:t>Table</w:t>
      </w:r>
      <w:r>
        <w:t xml:space="preserve"> 3.10</w:t>
      </w:r>
      <w:r w:rsidRPr="00D30CBA">
        <w:t xml:space="preserve">: </w:t>
      </w:r>
      <w:r>
        <w:t>Administered capital budget statement (for the period ended 30</w:t>
      </w:r>
      <w:r>
        <w:rPr>
          <w:lang w:val="en-AU"/>
        </w:rPr>
        <w:t> </w:t>
      </w:r>
      <w:r>
        <w:t>June)</w:t>
      </w:r>
    </w:p>
    <w:p w:rsidR="0062165D" w:rsidRPr="001758AC" w:rsidRDefault="0062165D" w:rsidP="0062165D">
      <w:pPr>
        <w:spacing w:line="260" w:lineRule="exact"/>
        <w:rPr>
          <w:lang w:val="en-US" w:eastAsia="x-none"/>
        </w:rPr>
      </w:pPr>
      <w:proofErr w:type="spellStart"/>
      <w:r w:rsidRPr="001758AC">
        <w:rPr>
          <w:lang w:val="en-US" w:eastAsia="x-none"/>
        </w:rPr>
        <w:t>Comcare</w:t>
      </w:r>
      <w:proofErr w:type="spellEnd"/>
      <w:r w:rsidRPr="001758AC">
        <w:rPr>
          <w:lang w:val="en-US" w:eastAsia="x-none"/>
        </w:rPr>
        <w:t xml:space="preserve"> has no administrated capital purchases. </w:t>
      </w:r>
      <w:r>
        <w:rPr>
          <w:lang w:val="en-US" w:eastAsia="x-none"/>
        </w:rPr>
        <w:t>For this reason Table 3.10 is not presented.</w:t>
      </w:r>
    </w:p>
    <w:p w:rsidR="0062165D" w:rsidRPr="001758AC" w:rsidRDefault="0062165D" w:rsidP="0062165D">
      <w:pPr>
        <w:pStyle w:val="TableHeading"/>
        <w:rPr>
          <w:lang w:val="en-US"/>
        </w:rPr>
      </w:pPr>
      <w:r w:rsidRPr="001758AC">
        <w:t xml:space="preserve">Table 3.11: Statement of administered asset movements (Budget year </w:t>
      </w:r>
      <w:r>
        <w:rPr>
          <w:lang w:val="en-AU"/>
        </w:rPr>
        <w:br/>
      </w:r>
      <w:r w:rsidRPr="001758AC">
        <w:t>2016-17)</w:t>
      </w:r>
    </w:p>
    <w:p w:rsidR="0062165D" w:rsidRPr="001758AC" w:rsidRDefault="0062165D" w:rsidP="0062165D">
      <w:pPr>
        <w:spacing w:line="260" w:lineRule="exact"/>
        <w:rPr>
          <w:lang w:val="en-US" w:eastAsia="x-none"/>
        </w:rPr>
      </w:pPr>
      <w:proofErr w:type="spellStart"/>
      <w:r w:rsidRPr="001758AC">
        <w:rPr>
          <w:lang w:val="en-US" w:eastAsia="x-none"/>
        </w:rPr>
        <w:t>Comcare</w:t>
      </w:r>
      <w:proofErr w:type="spellEnd"/>
      <w:r w:rsidRPr="001758AC">
        <w:rPr>
          <w:lang w:val="en-US" w:eastAsia="x-none"/>
        </w:rPr>
        <w:t xml:space="preserve"> has no administered non-financial assets. </w:t>
      </w:r>
      <w:r>
        <w:rPr>
          <w:lang w:val="en-US" w:eastAsia="x-none"/>
        </w:rPr>
        <w:t>For this reason Table 3.11 is not presented.</w:t>
      </w:r>
    </w:p>
    <w:p w:rsidR="0062165D" w:rsidRPr="005916E8" w:rsidRDefault="0062165D" w:rsidP="0062165D">
      <w:pPr>
        <w:pStyle w:val="Heading3"/>
      </w:pPr>
      <w:r w:rsidRPr="005916E8">
        <w:t>3.</w:t>
      </w:r>
      <w:r>
        <w:t>3</w:t>
      </w:r>
      <w:r w:rsidRPr="005916E8">
        <w:tab/>
        <w:t>Notes to the financial statements</w:t>
      </w:r>
    </w:p>
    <w:p w:rsidR="0062165D" w:rsidRPr="005916E8" w:rsidRDefault="0062165D" w:rsidP="0062165D">
      <w:pPr>
        <w:pStyle w:val="Heading5"/>
        <w:rPr>
          <w:snapToGrid w:val="0"/>
          <w:lang w:eastAsia="en-US"/>
        </w:rPr>
      </w:pPr>
      <w:r w:rsidRPr="005916E8">
        <w:rPr>
          <w:snapToGrid w:val="0"/>
          <w:lang w:eastAsia="en-US"/>
        </w:rPr>
        <w:t>Accounting policy</w:t>
      </w:r>
    </w:p>
    <w:p w:rsidR="0062165D" w:rsidRPr="005916E8" w:rsidRDefault="0062165D" w:rsidP="0062165D">
      <w:pPr>
        <w:spacing w:line="260" w:lineRule="exact"/>
      </w:pPr>
      <w:r w:rsidRPr="005916E8">
        <w:t xml:space="preserve">The budgeted financial statements have been prepared in accordance with the requirements of the </w:t>
      </w:r>
      <w:r w:rsidRPr="005916E8">
        <w:rPr>
          <w:i/>
          <w:iCs/>
          <w:szCs w:val="22"/>
        </w:rPr>
        <w:t>Public Governance, Performance and Accountability (Financial Reporting) Rule 2015</w:t>
      </w:r>
      <w:r w:rsidRPr="005916E8">
        <w:rPr>
          <w:szCs w:val="22"/>
        </w:rPr>
        <w:t xml:space="preserve">, and the </w:t>
      </w:r>
      <w:r w:rsidRPr="005916E8">
        <w:rPr>
          <w:i/>
          <w:iCs/>
          <w:szCs w:val="22"/>
        </w:rPr>
        <w:t>Commonwealth Entities Financial Statement Preparation Guide.</w:t>
      </w:r>
    </w:p>
    <w:p w:rsidR="0062165D" w:rsidRPr="005916E8" w:rsidRDefault="0062165D" w:rsidP="0062165D">
      <w:pPr>
        <w:pStyle w:val="Heading5"/>
        <w:rPr>
          <w:snapToGrid w:val="0"/>
          <w:lang w:eastAsia="en-US"/>
        </w:rPr>
      </w:pPr>
      <w:r w:rsidRPr="005916E8">
        <w:rPr>
          <w:snapToGrid w:val="0"/>
          <w:lang w:eastAsia="en-US"/>
        </w:rPr>
        <w:t>Entity items</w:t>
      </w:r>
    </w:p>
    <w:p w:rsidR="0062165D" w:rsidRPr="005916E8" w:rsidRDefault="0062165D" w:rsidP="0062165D">
      <w:pPr>
        <w:spacing w:after="60" w:line="260" w:lineRule="exact"/>
      </w:pPr>
      <w:r w:rsidRPr="005916E8">
        <w:t xml:space="preserve">Entity assets, liabilities, revenues and expenses are those items that are controlled by </w:t>
      </w:r>
      <w:proofErr w:type="spellStart"/>
      <w:r w:rsidRPr="005916E8">
        <w:t>Comcare</w:t>
      </w:r>
      <w:proofErr w:type="spellEnd"/>
      <w:r w:rsidRPr="005916E8">
        <w:t>.</w:t>
      </w:r>
    </w:p>
    <w:p w:rsidR="0062165D" w:rsidRPr="005916E8" w:rsidRDefault="0062165D" w:rsidP="0062165D">
      <w:pPr>
        <w:spacing w:line="260" w:lineRule="exact"/>
      </w:pPr>
      <w:r w:rsidRPr="005916E8">
        <w:t xml:space="preserve">Administered assets, liabilities, revenues and expenses relate to the Seafarers Safety, Rehabilitation and Compensation Authority (Seafarers Authority) which collects levies under the </w:t>
      </w:r>
      <w:r w:rsidRPr="005916E8">
        <w:rPr>
          <w:i/>
        </w:rPr>
        <w:t>Seafarers Rehabilitation and Compensation Levy Collection Act 1992</w:t>
      </w:r>
      <w:r w:rsidRPr="005916E8">
        <w:t xml:space="preserve">. The Seafarers Authority is controlled by the Government and managed by </w:t>
      </w:r>
      <w:proofErr w:type="spellStart"/>
      <w:r w:rsidRPr="005916E8">
        <w:t>Comcare</w:t>
      </w:r>
      <w:proofErr w:type="spellEnd"/>
      <w:r w:rsidRPr="005916E8">
        <w:t xml:space="preserve">. </w:t>
      </w:r>
    </w:p>
    <w:p w:rsidR="0062165D" w:rsidRPr="005916E8" w:rsidRDefault="0062165D" w:rsidP="0062165D">
      <w:pPr>
        <w:pStyle w:val="Heading5"/>
        <w:rPr>
          <w:snapToGrid w:val="0"/>
          <w:lang w:eastAsia="en-US"/>
        </w:rPr>
      </w:pPr>
      <w:r w:rsidRPr="005916E8">
        <w:rPr>
          <w:snapToGrid w:val="0"/>
          <w:lang w:eastAsia="en-US"/>
        </w:rPr>
        <w:t>Comprehensive Income Statement</w:t>
      </w:r>
    </w:p>
    <w:p w:rsidR="0062165D" w:rsidRPr="005D19DF" w:rsidRDefault="0062165D" w:rsidP="0062165D">
      <w:pPr>
        <w:rPr>
          <w:rStyle w:val="Emphasis"/>
        </w:rPr>
      </w:pPr>
      <w:r w:rsidRPr="005D19DF">
        <w:rPr>
          <w:rStyle w:val="Emphasis"/>
        </w:rPr>
        <w:t>Revenue from government</w:t>
      </w:r>
    </w:p>
    <w:p w:rsidR="0062165D" w:rsidRPr="005916E8" w:rsidRDefault="0062165D" w:rsidP="0062165D">
      <w:pPr>
        <w:spacing w:line="260" w:lineRule="exact"/>
      </w:pPr>
      <w:proofErr w:type="spellStart"/>
      <w:r w:rsidRPr="005916E8">
        <w:t>Comcare</w:t>
      </w:r>
      <w:proofErr w:type="spellEnd"/>
      <w:r w:rsidRPr="005916E8">
        <w:t xml:space="preserve"> receives an annual appropriation for the management of asbestos related claims, the administration of the </w:t>
      </w:r>
      <w:proofErr w:type="spellStart"/>
      <w:r w:rsidRPr="005916E8">
        <w:t>Seacare</w:t>
      </w:r>
      <w:proofErr w:type="spellEnd"/>
      <w:r w:rsidRPr="005916E8">
        <w:t xml:space="preserve"> Authority and some of </w:t>
      </w:r>
      <w:proofErr w:type="spellStart"/>
      <w:r w:rsidRPr="005916E8">
        <w:t>Comcare’s</w:t>
      </w:r>
      <w:proofErr w:type="spellEnd"/>
      <w:r w:rsidRPr="005916E8">
        <w:t xml:space="preserve"> regulatory activities.</w:t>
      </w:r>
    </w:p>
    <w:p w:rsidR="0062165D" w:rsidRPr="005D19DF" w:rsidRDefault="0062165D" w:rsidP="0062165D">
      <w:pPr>
        <w:keepNext/>
        <w:outlineLvl w:val="4"/>
        <w:rPr>
          <w:rStyle w:val="Emphasis"/>
        </w:rPr>
      </w:pPr>
      <w:r w:rsidRPr="005D19DF">
        <w:rPr>
          <w:rStyle w:val="Emphasis"/>
        </w:rPr>
        <w:t>Own source revenue</w:t>
      </w:r>
    </w:p>
    <w:p w:rsidR="0062165D" w:rsidRPr="005916E8" w:rsidRDefault="0062165D" w:rsidP="0062165D">
      <w:pPr>
        <w:spacing w:after="0" w:line="260" w:lineRule="exact"/>
      </w:pPr>
      <w:proofErr w:type="spellStart"/>
      <w:r w:rsidRPr="005916E8">
        <w:t>Comcare</w:t>
      </w:r>
      <w:proofErr w:type="spellEnd"/>
      <w:r w:rsidRPr="005916E8">
        <w:t xml:space="preserve"> receives the following own-source revenue:</w:t>
      </w:r>
    </w:p>
    <w:p w:rsidR="0062165D" w:rsidRPr="005916E8" w:rsidRDefault="0062165D" w:rsidP="0062165D">
      <w:pPr>
        <w:pStyle w:val="Bullets"/>
      </w:pPr>
      <w:r w:rsidRPr="005916E8">
        <w:t>workers’ compensation premiums</w:t>
      </w:r>
    </w:p>
    <w:p w:rsidR="0062165D" w:rsidRPr="005916E8" w:rsidRDefault="0062165D" w:rsidP="0062165D">
      <w:pPr>
        <w:pStyle w:val="Bullets"/>
      </w:pPr>
      <w:r w:rsidRPr="005916E8">
        <w:t>grants received from portfolio department</w:t>
      </w:r>
    </w:p>
    <w:p w:rsidR="0062165D" w:rsidRPr="005916E8" w:rsidRDefault="0062165D" w:rsidP="0062165D">
      <w:pPr>
        <w:pStyle w:val="Bullets"/>
      </w:pPr>
      <w:r w:rsidRPr="005916E8">
        <w:t>other non-tax revenue</w:t>
      </w:r>
    </w:p>
    <w:p w:rsidR="0062165D" w:rsidRPr="005916E8" w:rsidRDefault="0062165D" w:rsidP="0062165D">
      <w:pPr>
        <w:pStyle w:val="Bullets"/>
      </w:pPr>
      <w:r w:rsidRPr="005916E8">
        <w:t>licence fees</w:t>
      </w:r>
    </w:p>
    <w:p w:rsidR="0062165D" w:rsidRPr="005916E8" w:rsidRDefault="0062165D" w:rsidP="0062165D">
      <w:pPr>
        <w:pStyle w:val="Bullets"/>
      </w:pPr>
      <w:r w:rsidRPr="005916E8">
        <w:t>regulatory contributions</w:t>
      </w:r>
    </w:p>
    <w:p w:rsidR="0062165D" w:rsidRPr="005916E8" w:rsidRDefault="0062165D" w:rsidP="0062165D">
      <w:pPr>
        <w:pStyle w:val="Bullets"/>
      </w:pPr>
      <w:r w:rsidRPr="005916E8">
        <w:t>interest</w:t>
      </w:r>
    </w:p>
    <w:p w:rsidR="0062165D" w:rsidRPr="005916E8" w:rsidRDefault="0062165D" w:rsidP="0062165D">
      <w:pPr>
        <w:pStyle w:val="Bullets"/>
      </w:pPr>
      <w:proofErr w:type="gramStart"/>
      <w:r w:rsidRPr="005916E8">
        <w:t>sale</w:t>
      </w:r>
      <w:proofErr w:type="gramEnd"/>
      <w:r w:rsidRPr="005916E8">
        <w:t xml:space="preserve"> of goods and rendering of services.</w:t>
      </w:r>
    </w:p>
    <w:p w:rsidR="0062165D" w:rsidRPr="005916E8" w:rsidRDefault="0062165D" w:rsidP="0062165D">
      <w:pPr>
        <w:pStyle w:val="Heading5"/>
        <w:rPr>
          <w:snapToGrid w:val="0"/>
          <w:lang w:eastAsia="en-US"/>
        </w:rPr>
      </w:pPr>
      <w:r w:rsidRPr="005916E8">
        <w:rPr>
          <w:snapToGrid w:val="0"/>
          <w:lang w:eastAsia="en-US"/>
        </w:rPr>
        <w:lastRenderedPageBreak/>
        <w:t>Workers’ compensation premiums</w:t>
      </w:r>
    </w:p>
    <w:p w:rsidR="0062165D" w:rsidRPr="005916E8" w:rsidRDefault="0062165D" w:rsidP="0062165D">
      <w:pPr>
        <w:keepNext/>
        <w:keepLines/>
        <w:spacing w:line="260" w:lineRule="exact"/>
      </w:pPr>
      <w:r w:rsidRPr="005916E8">
        <w:t xml:space="preserve">The premium scheme covers employees of Commonwealth Government agencies and the ACT Government covered by the </w:t>
      </w:r>
      <w:proofErr w:type="spellStart"/>
      <w:r w:rsidRPr="005916E8">
        <w:t>SRC</w:t>
      </w:r>
      <w:proofErr w:type="spellEnd"/>
      <w:r w:rsidRPr="005916E8">
        <w:t xml:space="preserve"> Act for injuries and illnesses sustained on or after 1 July 1989. Premiums are determined to fully fund the expected scheme liabilities as advised by independent actuaries</w:t>
      </w:r>
      <w:r w:rsidRPr="005916E8">
        <w:rPr>
          <w:i/>
        </w:rPr>
        <w:t>.</w:t>
      </w:r>
    </w:p>
    <w:p w:rsidR="0062165D" w:rsidRPr="005916E8" w:rsidRDefault="0062165D" w:rsidP="0062165D">
      <w:pPr>
        <w:spacing w:line="260" w:lineRule="exact"/>
      </w:pPr>
      <w:r w:rsidRPr="005916E8">
        <w:t>Premiums do not cover liabilities for injuries or illness sustained prior to 1 July 1989. These liabilities are funded by Parliamentary appropriation and are referred to as ‘pre</w:t>
      </w:r>
      <w:r w:rsidRPr="005916E8">
        <w:noBreakHyphen/>
        <w:t>premium’ liabilities.</w:t>
      </w:r>
    </w:p>
    <w:p w:rsidR="0062165D" w:rsidRPr="005916E8" w:rsidRDefault="0062165D" w:rsidP="0062165D">
      <w:pPr>
        <w:pStyle w:val="Heading5"/>
        <w:rPr>
          <w:snapToGrid w:val="0"/>
          <w:lang w:eastAsia="en-US"/>
        </w:rPr>
      </w:pPr>
      <w:r w:rsidRPr="005916E8">
        <w:rPr>
          <w:snapToGrid w:val="0"/>
          <w:lang w:eastAsia="en-US"/>
        </w:rPr>
        <w:t>Grants received from portfolio department</w:t>
      </w:r>
    </w:p>
    <w:p w:rsidR="0062165D" w:rsidRPr="005916E8" w:rsidRDefault="0062165D" w:rsidP="0062165D">
      <w:pPr>
        <w:spacing w:line="260" w:lineRule="exact"/>
      </w:pPr>
      <w:r w:rsidRPr="005916E8">
        <w:t>Grants received from the portfolio department’ represent cash appropriation for the payment of pre-premium claims and administration costs, and asbestos claims costs.</w:t>
      </w:r>
    </w:p>
    <w:p w:rsidR="0062165D" w:rsidRPr="005916E8" w:rsidRDefault="0062165D" w:rsidP="0062165D">
      <w:pPr>
        <w:pStyle w:val="Heading5"/>
        <w:rPr>
          <w:snapToGrid w:val="0"/>
          <w:lang w:eastAsia="en-US"/>
        </w:rPr>
      </w:pPr>
      <w:r w:rsidRPr="005916E8">
        <w:rPr>
          <w:snapToGrid w:val="0"/>
          <w:lang w:eastAsia="en-US"/>
        </w:rPr>
        <w:t>Other non-tax revenue</w:t>
      </w:r>
    </w:p>
    <w:p w:rsidR="0062165D" w:rsidRPr="005916E8" w:rsidRDefault="0062165D" w:rsidP="0062165D">
      <w:pPr>
        <w:spacing w:line="260" w:lineRule="exact"/>
      </w:pPr>
      <w:r w:rsidRPr="005916E8">
        <w:t>‘Other non-tax revenue’ is a non-cash appropriation representing:</w:t>
      </w:r>
    </w:p>
    <w:p w:rsidR="0062165D" w:rsidRPr="005916E8" w:rsidRDefault="0062165D" w:rsidP="0062165D">
      <w:pPr>
        <w:pStyle w:val="Bullets"/>
      </w:pPr>
      <w:r w:rsidRPr="005916E8">
        <w:t>the notional interest on retained premium funds held with the Australian Government; and</w:t>
      </w:r>
    </w:p>
    <w:p w:rsidR="0062165D" w:rsidRPr="005916E8" w:rsidRDefault="0062165D" w:rsidP="0062165D">
      <w:pPr>
        <w:pStyle w:val="Bullets"/>
      </w:pPr>
      <w:proofErr w:type="gramStart"/>
      <w:r w:rsidRPr="005916E8">
        <w:t>the</w:t>
      </w:r>
      <w:proofErr w:type="gramEnd"/>
      <w:r w:rsidRPr="005916E8">
        <w:t xml:space="preserve"> movement in claims liabilities payable in future years based on independent actuarial assessment.</w:t>
      </w:r>
    </w:p>
    <w:p w:rsidR="0062165D" w:rsidRPr="005916E8" w:rsidRDefault="0062165D" w:rsidP="0062165D">
      <w:pPr>
        <w:pStyle w:val="Heading5"/>
        <w:rPr>
          <w:snapToGrid w:val="0"/>
          <w:lang w:eastAsia="en-US"/>
        </w:rPr>
      </w:pPr>
      <w:r w:rsidRPr="005916E8">
        <w:rPr>
          <w:snapToGrid w:val="0"/>
          <w:lang w:eastAsia="en-US"/>
        </w:rPr>
        <w:t>Administration expenses</w:t>
      </w:r>
    </w:p>
    <w:p w:rsidR="0062165D" w:rsidRPr="005916E8" w:rsidRDefault="0062165D" w:rsidP="0062165D">
      <w:pPr>
        <w:spacing w:line="260" w:lineRule="exact"/>
      </w:pPr>
      <w:proofErr w:type="spellStart"/>
      <w:r w:rsidRPr="005916E8">
        <w:t>Comcare</w:t>
      </w:r>
      <w:proofErr w:type="spellEnd"/>
      <w:r w:rsidRPr="005916E8">
        <w:t xml:space="preserve"> administration expenses include:</w:t>
      </w:r>
    </w:p>
    <w:p w:rsidR="0062165D" w:rsidRPr="005916E8" w:rsidRDefault="0062165D" w:rsidP="0062165D">
      <w:pPr>
        <w:pStyle w:val="Bullets"/>
      </w:pPr>
      <w:r w:rsidRPr="005916E8">
        <w:t>employee expenses—includes salaries, superannuation and the net increase in employee entitlements;</w:t>
      </w:r>
    </w:p>
    <w:p w:rsidR="0062165D" w:rsidRPr="005916E8" w:rsidRDefault="0062165D" w:rsidP="0062165D">
      <w:pPr>
        <w:pStyle w:val="Bullets"/>
      </w:pPr>
      <w:r w:rsidRPr="005916E8">
        <w:t>suppliers—includes goods and services procured from suppliers;</w:t>
      </w:r>
    </w:p>
    <w:p w:rsidR="0062165D" w:rsidRPr="005916E8" w:rsidRDefault="0062165D" w:rsidP="0062165D">
      <w:pPr>
        <w:pStyle w:val="Bullets"/>
      </w:pPr>
      <w:proofErr w:type="gramStart"/>
      <w:r w:rsidRPr="005916E8">
        <w:t>depreciation</w:t>
      </w:r>
      <w:proofErr w:type="gramEnd"/>
      <w:r w:rsidRPr="005916E8">
        <w:t xml:space="preserve"> and amortisation—property, plant and equipment and intangible assets are depreciated over their useful lives. Leasehold improvements are amortised over the lesser of the estimated useful life of the improvement or the unexpired period of the lease. In all cases, assets are depreciated using the straight line method.</w:t>
      </w:r>
    </w:p>
    <w:p w:rsidR="0062165D" w:rsidRPr="005916E8" w:rsidRDefault="0062165D" w:rsidP="0062165D">
      <w:pPr>
        <w:pStyle w:val="Heading5"/>
        <w:rPr>
          <w:snapToGrid w:val="0"/>
          <w:lang w:eastAsia="en-US"/>
        </w:rPr>
      </w:pPr>
      <w:r w:rsidRPr="005916E8">
        <w:t>Claims expenses</w:t>
      </w:r>
    </w:p>
    <w:p w:rsidR="0062165D" w:rsidRPr="005916E8" w:rsidRDefault="0062165D" w:rsidP="0062165D">
      <w:pPr>
        <w:keepNext/>
        <w:spacing w:line="260" w:lineRule="exact"/>
      </w:pPr>
      <w:proofErr w:type="spellStart"/>
      <w:r w:rsidRPr="005916E8">
        <w:t>Comcare</w:t>
      </w:r>
      <w:proofErr w:type="spellEnd"/>
      <w:r w:rsidRPr="005916E8">
        <w:t xml:space="preserve"> recognises two types of claims expenses:</w:t>
      </w:r>
    </w:p>
    <w:p w:rsidR="0062165D" w:rsidRPr="005916E8" w:rsidRDefault="0062165D" w:rsidP="0062165D">
      <w:pPr>
        <w:pStyle w:val="Bullets"/>
      </w:pPr>
      <w:proofErr w:type="gramStart"/>
      <w:r w:rsidRPr="005916E8">
        <w:t>Claims payments—includes workers’</w:t>
      </w:r>
      <w:proofErr w:type="gramEnd"/>
      <w:r w:rsidRPr="005916E8">
        <w:t xml:space="preserve"> compensation claims payments (premium and pre-premium) and common law settlements for asbestos-related compensation cases.</w:t>
      </w:r>
    </w:p>
    <w:p w:rsidR="0062165D" w:rsidRPr="005916E8" w:rsidRDefault="0062165D" w:rsidP="0062165D">
      <w:pPr>
        <w:pStyle w:val="Bullets"/>
      </w:pPr>
      <w:r w:rsidRPr="005916E8">
        <w:t>Movement in liabilities—net movements in outstanding workers’ compensation claims liabilities are recognised as expenses.</w:t>
      </w:r>
    </w:p>
    <w:p w:rsidR="0062165D" w:rsidRPr="005916E8" w:rsidRDefault="0062165D" w:rsidP="0062165D">
      <w:pPr>
        <w:pStyle w:val="Heading5"/>
        <w:rPr>
          <w:snapToGrid w:val="0"/>
          <w:lang w:eastAsia="en-US"/>
        </w:rPr>
      </w:pPr>
      <w:r w:rsidRPr="005916E8">
        <w:rPr>
          <w:snapToGrid w:val="0"/>
          <w:lang w:eastAsia="en-US"/>
        </w:rPr>
        <w:lastRenderedPageBreak/>
        <w:t>Departmental Balance Sheet</w:t>
      </w:r>
    </w:p>
    <w:p w:rsidR="0062165D" w:rsidRPr="005D19DF" w:rsidRDefault="0062165D" w:rsidP="0062165D">
      <w:pPr>
        <w:pStyle w:val="Heading5"/>
        <w:rPr>
          <w:rStyle w:val="Emphasis"/>
        </w:rPr>
      </w:pPr>
      <w:r w:rsidRPr="005D19DF">
        <w:rPr>
          <w:rStyle w:val="Emphasis"/>
        </w:rPr>
        <w:t>Cash and cash equivalents</w:t>
      </w:r>
    </w:p>
    <w:p w:rsidR="0062165D" w:rsidRPr="005916E8" w:rsidRDefault="0062165D" w:rsidP="0062165D">
      <w:pPr>
        <w:spacing w:line="260" w:lineRule="exact"/>
      </w:pPr>
      <w:r w:rsidRPr="005916E8">
        <w:t>Cash and cash equivalents include deposits at call and term deposits with a bank or financial institution.</w:t>
      </w:r>
    </w:p>
    <w:p w:rsidR="0062165D" w:rsidRPr="005D19DF" w:rsidRDefault="0062165D" w:rsidP="0062165D">
      <w:pPr>
        <w:pStyle w:val="Heading5"/>
        <w:rPr>
          <w:rStyle w:val="Emphasis"/>
        </w:rPr>
      </w:pPr>
      <w:r w:rsidRPr="005D19DF">
        <w:rPr>
          <w:rStyle w:val="Emphasis"/>
        </w:rPr>
        <w:t>Trade and other receivables</w:t>
      </w:r>
    </w:p>
    <w:p w:rsidR="0062165D" w:rsidRPr="005916E8" w:rsidRDefault="0062165D" w:rsidP="0062165D">
      <w:pPr>
        <w:spacing w:line="260" w:lineRule="exact"/>
      </w:pPr>
      <w:r w:rsidRPr="005916E8">
        <w:t>Other receivables are the combined value of:</w:t>
      </w:r>
    </w:p>
    <w:p w:rsidR="0062165D" w:rsidRPr="005916E8" w:rsidRDefault="0062165D" w:rsidP="0062165D">
      <w:pPr>
        <w:pStyle w:val="Bullets"/>
      </w:pPr>
      <w:r w:rsidRPr="005916E8">
        <w:t>pre-premium and asbestos special appropriation receivable</w:t>
      </w:r>
    </w:p>
    <w:p w:rsidR="0062165D" w:rsidRPr="005916E8" w:rsidRDefault="0062165D" w:rsidP="0062165D">
      <w:pPr>
        <w:pStyle w:val="Bullets"/>
      </w:pPr>
      <w:proofErr w:type="gramStart"/>
      <w:r w:rsidRPr="005916E8">
        <w:t>premiums</w:t>
      </w:r>
      <w:proofErr w:type="gramEnd"/>
      <w:r w:rsidRPr="005916E8">
        <w:t xml:space="preserve"> collected by </w:t>
      </w:r>
      <w:proofErr w:type="spellStart"/>
      <w:r w:rsidRPr="005916E8">
        <w:t>Comcare</w:t>
      </w:r>
      <w:proofErr w:type="spellEnd"/>
      <w:r w:rsidRPr="005916E8">
        <w:t xml:space="preserve"> prior to 1 July 2002 held by the Australian Government plus earned notional interest, in accordance with Section </w:t>
      </w:r>
      <w:proofErr w:type="spellStart"/>
      <w:r w:rsidRPr="005916E8">
        <w:t>90C</w:t>
      </w:r>
      <w:proofErr w:type="spellEnd"/>
      <w:r w:rsidRPr="005916E8">
        <w:t xml:space="preserve"> of the </w:t>
      </w:r>
      <w:proofErr w:type="spellStart"/>
      <w:r w:rsidRPr="005916E8">
        <w:t>SRC</w:t>
      </w:r>
      <w:proofErr w:type="spellEnd"/>
      <w:r w:rsidRPr="005916E8">
        <w:t xml:space="preserve"> Act.</w:t>
      </w:r>
    </w:p>
    <w:p w:rsidR="0062165D" w:rsidRPr="005D19DF" w:rsidRDefault="0062165D" w:rsidP="0062165D">
      <w:pPr>
        <w:pStyle w:val="Heading5"/>
        <w:rPr>
          <w:rStyle w:val="Emphasis"/>
        </w:rPr>
      </w:pPr>
      <w:r w:rsidRPr="005D19DF">
        <w:rPr>
          <w:rStyle w:val="Emphasis"/>
        </w:rPr>
        <w:t>Employee provisions</w:t>
      </w:r>
    </w:p>
    <w:p w:rsidR="0062165D" w:rsidRPr="005916E8" w:rsidRDefault="0062165D" w:rsidP="0062165D">
      <w:pPr>
        <w:spacing w:line="260" w:lineRule="exact"/>
      </w:pPr>
      <w:r w:rsidRPr="005916E8">
        <w:t xml:space="preserve">The provision for employee entitlements encompasses unpaid annual and long service leave. No provision is made for sick leave. </w:t>
      </w:r>
    </w:p>
    <w:p w:rsidR="0062165D" w:rsidRPr="005D19DF" w:rsidRDefault="0062165D" w:rsidP="0062165D">
      <w:pPr>
        <w:pStyle w:val="Heading5"/>
        <w:rPr>
          <w:rStyle w:val="Emphasis"/>
          <w:iCs/>
        </w:rPr>
      </w:pPr>
      <w:r w:rsidRPr="005D19DF">
        <w:rPr>
          <w:rStyle w:val="Emphasis"/>
          <w:iCs/>
        </w:rPr>
        <w:t>Other provisions</w:t>
      </w:r>
    </w:p>
    <w:p w:rsidR="0062165D" w:rsidRPr="005916E8" w:rsidRDefault="0062165D" w:rsidP="0062165D">
      <w:pPr>
        <w:spacing w:line="260" w:lineRule="exact"/>
      </w:pPr>
      <w:r w:rsidRPr="005916E8">
        <w:t>Provision is made for:</w:t>
      </w:r>
    </w:p>
    <w:p w:rsidR="0062165D" w:rsidRPr="005916E8" w:rsidRDefault="0062165D" w:rsidP="0062165D">
      <w:pPr>
        <w:pStyle w:val="Bullets"/>
      </w:pPr>
      <w:r w:rsidRPr="005916E8">
        <w:t>outstanding workers’ compensation claims liabilities</w:t>
      </w:r>
    </w:p>
    <w:p w:rsidR="0062165D" w:rsidRPr="005916E8" w:rsidRDefault="0062165D" w:rsidP="0062165D">
      <w:pPr>
        <w:pStyle w:val="Bullets"/>
      </w:pPr>
      <w:proofErr w:type="gramStart"/>
      <w:r w:rsidRPr="005916E8">
        <w:t>asbestos-related</w:t>
      </w:r>
      <w:proofErr w:type="gramEnd"/>
      <w:r w:rsidRPr="005916E8">
        <w:t xml:space="preserve"> common law liabilities.</w:t>
      </w:r>
    </w:p>
    <w:p w:rsidR="0062165D" w:rsidRPr="005916E8" w:rsidRDefault="0062165D" w:rsidP="0062165D">
      <w:pPr>
        <w:spacing w:line="260" w:lineRule="exact"/>
      </w:pPr>
      <w:r w:rsidRPr="005916E8">
        <w:t xml:space="preserve">These estimates have been prepared by independent actuaries. They are based on analysis of the historical development of the relevant claims experience, with allowances for future claim escalation and administration expenses, and are discounted to a present value to allow for the time value of money. </w:t>
      </w:r>
    </w:p>
    <w:p w:rsidR="00504A6D" w:rsidRDefault="0062165D" w:rsidP="0062165D">
      <w:r w:rsidRPr="005916E8">
        <w:t xml:space="preserve">The estimates of outstanding liabilities have been based on independent actuarial valuations on the basis of the central estimate plus the risk margin that would achieve a 75 per cent </w:t>
      </w:r>
      <w:r>
        <w:t>probability of sufficiency.</w:t>
      </w:r>
    </w:p>
    <w:sectPr w:rsidR="00504A6D" w:rsidSect="0062165D">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5D" w:rsidRDefault="0062165D" w:rsidP="0062165D">
      <w:pPr>
        <w:spacing w:after="0"/>
      </w:pPr>
      <w:r>
        <w:separator/>
      </w:r>
    </w:p>
  </w:endnote>
  <w:endnote w:type="continuationSeparator" w:id="0">
    <w:p w:rsidR="0062165D" w:rsidRDefault="0062165D" w:rsidP="00621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933"/>
      <w:docPartObj>
        <w:docPartGallery w:val="Page Numbers (Bottom of Page)"/>
        <w:docPartUnique/>
      </w:docPartObj>
    </w:sdtPr>
    <w:sdtEndPr>
      <w:rPr>
        <w:noProof/>
      </w:rPr>
    </w:sdtEndPr>
    <w:sdtContent>
      <w:p w:rsidR="0062165D" w:rsidRDefault="0062165D" w:rsidP="0062165D">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8381"/>
      <w:docPartObj>
        <w:docPartGallery w:val="Page Numbers (Bottom of Page)"/>
        <w:docPartUnique/>
      </w:docPartObj>
    </w:sdtPr>
    <w:sdtEndPr>
      <w:rPr>
        <w:noProof/>
      </w:rPr>
    </w:sdtEndPr>
    <w:sdtContent>
      <w:p w:rsidR="0062165D" w:rsidRDefault="0062165D" w:rsidP="0062165D">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5D" w:rsidRDefault="0062165D" w:rsidP="0062165D">
      <w:pPr>
        <w:spacing w:after="0"/>
      </w:pPr>
      <w:r>
        <w:separator/>
      </w:r>
    </w:p>
  </w:footnote>
  <w:footnote w:type="continuationSeparator" w:id="0">
    <w:p w:rsidR="0062165D" w:rsidRDefault="0062165D" w:rsidP="0062165D">
      <w:pPr>
        <w:spacing w:after="0"/>
      </w:pPr>
      <w:r>
        <w:continuationSeparator/>
      </w:r>
    </w:p>
  </w:footnote>
  <w:footnote w:id="1">
    <w:p w:rsidR="0062165D" w:rsidRDefault="0062165D" w:rsidP="0062165D">
      <w:pPr>
        <w:pStyle w:val="ChartandTableFootnote"/>
      </w:pPr>
      <w:r>
        <w:rPr>
          <w:rStyle w:val="FootnoteReference"/>
        </w:rPr>
        <w:footnoteRef/>
      </w:r>
      <w:r>
        <w:t xml:space="preserve"> </w:t>
      </w:r>
      <w:r w:rsidRPr="0095143C">
        <w:t xml:space="preserve">New or modified performance criteria that reflect new or materially changed programs are shown in </w:t>
      </w:r>
      <w:r>
        <w:rPr>
          <w:lang w:val="en-AU"/>
        </w:rPr>
        <w:t xml:space="preserve">underlined </w:t>
      </w:r>
      <w:r w:rsidRPr="0095143C">
        <w:t>italics.</w:t>
      </w:r>
    </w:p>
  </w:footnote>
  <w:footnote w:id="2">
    <w:p w:rsidR="0062165D" w:rsidRDefault="0062165D" w:rsidP="0062165D">
      <w:pPr>
        <w:pStyle w:val="FootnoteText"/>
      </w:pPr>
      <w:r>
        <w:rPr>
          <w:rStyle w:val="FootnoteReference"/>
        </w:rPr>
        <w:footnoteRef/>
      </w:r>
      <w:r>
        <w:t xml:space="preserve"> </w:t>
      </w:r>
      <w:r w:rsidRPr="00581F06">
        <w:rPr>
          <w:rStyle w:val="ChartandTableFootnoteChar"/>
        </w:rPr>
        <w:t>New or modified performance criteria that reflect new or materially changed programs are shown in underlined italics.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5D" w:rsidRPr="00C732C4" w:rsidRDefault="0062165D" w:rsidP="00C732C4">
    <w:pPr>
      <w:pStyle w:val="HeaderOdd"/>
    </w:pPr>
    <w:proofErr w:type="spellStart"/>
    <w:r>
      <w:t>Comcare</w:t>
    </w:r>
    <w:proofErr w:type="spellEnd"/>
    <w:r>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5D" w:rsidRPr="00C732C4" w:rsidRDefault="0062165D" w:rsidP="00C732C4">
    <w:pPr>
      <w:pStyle w:val="Header"/>
    </w:pPr>
    <w:proofErr w:type="spellStart"/>
    <w:r>
      <w:rPr>
        <w:lang w:val="en-AU"/>
      </w:rPr>
      <w:t>Comcare</w:t>
    </w:r>
    <w:proofErr w:type="spellEnd"/>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5D" w:rsidRPr="00C732C4" w:rsidRDefault="0062165D" w:rsidP="00C732C4">
    <w:pPr>
      <w:pStyle w:val="HeaderOdd"/>
    </w:pPr>
    <w:proofErr w:type="spellStart"/>
    <w:r>
      <w:t>Comcare</w:t>
    </w:r>
    <w:proofErr w:type="spellEnd"/>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5D" w:rsidRPr="00C732C4" w:rsidRDefault="0062165D" w:rsidP="00C732C4">
    <w:pPr>
      <w:pStyle w:val="Header"/>
    </w:pPr>
    <w:proofErr w:type="spellStart"/>
    <w:r>
      <w:rPr>
        <w:lang w:val="en-AU"/>
      </w:rPr>
      <w:t>Comcare</w:t>
    </w:r>
    <w:proofErr w:type="spellEnd"/>
    <w:r>
      <w:t xml:space="preserve">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5D" w:rsidRPr="00C732C4" w:rsidRDefault="0062165D" w:rsidP="00C732C4">
    <w:pPr>
      <w:pStyle w:val="HeaderOdd"/>
    </w:pPr>
    <w:proofErr w:type="spellStart"/>
    <w:r>
      <w:t>Comcare</w:t>
    </w:r>
    <w:proofErr w:type="spellEnd"/>
    <w: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num w:numId="1">
    <w:abstractNumId w:val="2"/>
    <w:lvlOverride w:ilvl="0">
      <w:startOverride w:val="1"/>
    </w:lvlOverride>
  </w:num>
  <w:num w:numId="2">
    <w:abstractNumId w:val="0"/>
  </w:num>
  <w:num w:numId="3">
    <w:abstractNumId w:val="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5D"/>
    <w:rsid w:val="004F6C10"/>
    <w:rsid w:val="00504A6D"/>
    <w:rsid w:val="00533004"/>
    <w:rsid w:val="00621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5D"/>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62165D"/>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62165D"/>
    <w:pPr>
      <w:keepNext/>
      <w:spacing w:before="240" w:after="240"/>
      <w:outlineLvl w:val="1"/>
    </w:pPr>
    <w:rPr>
      <w:rFonts w:ascii="Arial" w:hAnsi="Arial"/>
      <w:sz w:val="30"/>
    </w:rPr>
  </w:style>
  <w:style w:type="paragraph" w:styleId="Heading3">
    <w:name w:val="heading 3"/>
    <w:basedOn w:val="Normal"/>
    <w:next w:val="Normal"/>
    <w:link w:val="Heading3Char"/>
    <w:qFormat/>
    <w:rsid w:val="0062165D"/>
    <w:pPr>
      <w:keepNext/>
      <w:tabs>
        <w:tab w:val="left" w:pos="709"/>
      </w:tabs>
      <w:spacing w:before="120"/>
      <w:outlineLvl w:val="2"/>
    </w:pPr>
    <w:rPr>
      <w:rFonts w:ascii="Arial" w:hAnsi="Arial"/>
      <w:b/>
      <w:smallCaps/>
      <w:sz w:val="26"/>
    </w:rPr>
  </w:style>
  <w:style w:type="paragraph" w:styleId="Heading5">
    <w:name w:val="heading 5"/>
    <w:basedOn w:val="Normal"/>
    <w:next w:val="Normal"/>
    <w:link w:val="Heading5Char"/>
    <w:qFormat/>
    <w:rsid w:val="0062165D"/>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65D"/>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62165D"/>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62165D"/>
    <w:rPr>
      <w:rFonts w:ascii="Arial" w:eastAsia="Times New Roman" w:hAnsi="Arial" w:cs="Times New Roman"/>
      <w:b/>
      <w:smallCaps/>
      <w:sz w:val="26"/>
      <w:szCs w:val="20"/>
      <w:lang w:eastAsia="en-AU"/>
    </w:rPr>
  </w:style>
  <w:style w:type="character" w:customStyle="1" w:styleId="Heading5Char">
    <w:name w:val="Heading 5 Char"/>
    <w:basedOn w:val="DefaultParagraphFont"/>
    <w:link w:val="Heading5"/>
    <w:rsid w:val="0062165D"/>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62165D"/>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62165D"/>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62165D"/>
    <w:pPr>
      <w:tabs>
        <w:tab w:val="left" w:pos="284"/>
      </w:tabs>
      <w:spacing w:after="0"/>
    </w:pPr>
    <w:rPr>
      <w:rFonts w:ascii="Arial" w:hAnsi="Arial"/>
      <w:color w:val="000000"/>
      <w:sz w:val="16"/>
      <w:lang w:val="x-none" w:eastAsia="x-none"/>
    </w:rPr>
  </w:style>
  <w:style w:type="paragraph" w:customStyle="1" w:styleId="ChartandTableFootnoteSmall">
    <w:name w:val="Chart and Table Footnote Small"/>
    <w:basedOn w:val="Normal"/>
    <w:next w:val="Normal"/>
    <w:rsid w:val="0062165D"/>
    <w:pPr>
      <w:keepNext/>
      <w:tabs>
        <w:tab w:val="left" w:pos="284"/>
      </w:tabs>
      <w:spacing w:after="0"/>
      <w:jc w:val="both"/>
    </w:pPr>
    <w:rPr>
      <w:rFonts w:ascii="Arial" w:hAnsi="Arial"/>
      <w:sz w:val="15"/>
    </w:rPr>
  </w:style>
  <w:style w:type="paragraph" w:customStyle="1" w:styleId="ContentsHeading">
    <w:name w:val="Contents Heading"/>
    <w:basedOn w:val="Normal"/>
    <w:next w:val="Normal"/>
    <w:rsid w:val="0062165D"/>
    <w:pPr>
      <w:keepNext/>
      <w:spacing w:after="360"/>
      <w:jc w:val="center"/>
    </w:pPr>
    <w:rPr>
      <w:rFonts w:ascii="Arial" w:hAnsi="Arial"/>
      <w:b/>
      <w:smallCaps/>
      <w:sz w:val="34"/>
    </w:rPr>
  </w:style>
  <w:style w:type="paragraph" w:customStyle="1" w:styleId="TableGraphic">
    <w:name w:val="Table Graphic"/>
    <w:basedOn w:val="Normal"/>
    <w:next w:val="Normal"/>
    <w:rsid w:val="0062165D"/>
    <w:pPr>
      <w:spacing w:after="0"/>
      <w:ind w:right="-113"/>
    </w:pPr>
  </w:style>
  <w:style w:type="paragraph" w:customStyle="1" w:styleId="TableTextLeft">
    <w:name w:val="Table Text Left"/>
    <w:basedOn w:val="Normal"/>
    <w:link w:val="TableTextLeftChar"/>
    <w:rsid w:val="0062165D"/>
    <w:pPr>
      <w:spacing w:before="60" w:after="60"/>
    </w:pPr>
    <w:rPr>
      <w:rFonts w:ascii="Arial" w:hAnsi="Arial"/>
      <w:sz w:val="18"/>
    </w:rPr>
  </w:style>
  <w:style w:type="paragraph" w:customStyle="1" w:styleId="TableHeadingcontinued">
    <w:name w:val="Table Heading continued"/>
    <w:basedOn w:val="Normal"/>
    <w:next w:val="TableGraphic"/>
    <w:rsid w:val="0062165D"/>
    <w:pPr>
      <w:keepNext/>
      <w:spacing w:before="120" w:after="20"/>
    </w:pPr>
    <w:rPr>
      <w:b/>
    </w:rPr>
  </w:style>
  <w:style w:type="paragraph" w:customStyle="1" w:styleId="HeaderOdd">
    <w:name w:val="Header Odd"/>
    <w:basedOn w:val="Normal"/>
    <w:rsid w:val="0062165D"/>
    <w:pPr>
      <w:spacing w:after="0"/>
      <w:jc w:val="right"/>
    </w:pPr>
    <w:rPr>
      <w:i/>
      <w:sz w:val="20"/>
    </w:rPr>
  </w:style>
  <w:style w:type="paragraph" w:styleId="Header">
    <w:name w:val="header"/>
    <w:basedOn w:val="Normal"/>
    <w:link w:val="HeaderChar"/>
    <w:uiPriority w:val="99"/>
    <w:rsid w:val="0062165D"/>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62165D"/>
    <w:rPr>
      <w:rFonts w:ascii="Book Antiqua" w:eastAsia="Times New Roman" w:hAnsi="Book Antiqua" w:cs="Times New Roman"/>
      <w:i/>
      <w:sz w:val="20"/>
      <w:szCs w:val="20"/>
      <w:lang w:val="x-none" w:eastAsia="x-none"/>
    </w:rPr>
  </w:style>
  <w:style w:type="character" w:styleId="FootnoteReference">
    <w:name w:val="footnote reference"/>
    <w:uiPriority w:val="99"/>
    <w:rsid w:val="0062165D"/>
    <w:rPr>
      <w:vertAlign w:val="superscript"/>
    </w:rPr>
  </w:style>
  <w:style w:type="paragraph" w:styleId="TOC1">
    <w:name w:val="toc 1"/>
    <w:basedOn w:val="Normal"/>
    <w:next w:val="Normal"/>
    <w:uiPriority w:val="39"/>
    <w:rsid w:val="0062165D"/>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62165D"/>
    <w:pPr>
      <w:keepNext/>
      <w:tabs>
        <w:tab w:val="right" w:leader="dot" w:pos="7700"/>
      </w:tabs>
      <w:spacing w:before="80" w:after="0"/>
      <w:ind w:right="851"/>
    </w:pPr>
    <w:rPr>
      <w:rFonts w:ascii="Arial" w:hAnsi="Arial"/>
      <w:sz w:val="20"/>
    </w:rPr>
  </w:style>
  <w:style w:type="paragraph" w:customStyle="1" w:styleId="Department">
    <w:name w:val="Department"/>
    <w:basedOn w:val="Normal"/>
    <w:rsid w:val="0062165D"/>
    <w:pPr>
      <w:spacing w:after="0"/>
      <w:jc w:val="center"/>
    </w:pPr>
    <w:rPr>
      <w:rFonts w:ascii="Arial" w:hAnsi="Arial"/>
      <w:b/>
      <w:sz w:val="52"/>
    </w:rPr>
  </w:style>
  <w:style w:type="paragraph" w:customStyle="1" w:styleId="DepartmentSubtitle">
    <w:name w:val="Department Subtitle"/>
    <w:basedOn w:val="Department"/>
    <w:rsid w:val="0062165D"/>
    <w:rPr>
      <w:sz w:val="44"/>
    </w:rPr>
  </w:style>
  <w:style w:type="character" w:styleId="Hyperlink">
    <w:name w:val="Hyperlink"/>
    <w:uiPriority w:val="99"/>
    <w:rsid w:val="0062165D"/>
    <w:rPr>
      <w:color w:val="000000"/>
      <w:u w:val="none"/>
    </w:rPr>
  </w:style>
  <w:style w:type="paragraph" w:customStyle="1" w:styleId="TableTextBullet">
    <w:name w:val="Table Text Bullet"/>
    <w:basedOn w:val="Normal"/>
    <w:rsid w:val="0062165D"/>
    <w:pPr>
      <w:numPr>
        <w:numId w:val="2"/>
      </w:numPr>
      <w:spacing w:before="60" w:after="60"/>
    </w:pPr>
    <w:rPr>
      <w:rFonts w:ascii="Arial" w:hAnsi="Arial"/>
      <w:sz w:val="18"/>
    </w:rPr>
  </w:style>
  <w:style w:type="character" w:customStyle="1" w:styleId="TableHeadingChar">
    <w:name w:val="Table Heading Char"/>
    <w:link w:val="TableHeading"/>
    <w:rsid w:val="0062165D"/>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62165D"/>
    <w:rPr>
      <w:rFonts w:ascii="Arial" w:eastAsia="Times New Roman" w:hAnsi="Arial" w:cs="Times New Roman"/>
      <w:sz w:val="18"/>
      <w:szCs w:val="20"/>
      <w:lang w:eastAsia="en-AU"/>
    </w:rPr>
  </w:style>
  <w:style w:type="paragraph" w:customStyle="1" w:styleId="TableTextDash">
    <w:name w:val="Table Text Dash"/>
    <w:basedOn w:val="Normal"/>
    <w:rsid w:val="0062165D"/>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62165D"/>
    <w:rPr>
      <w:rFonts w:ascii="Arial" w:eastAsia="Times New Roman" w:hAnsi="Arial" w:cs="Times New Roman"/>
      <w:color w:val="000000"/>
      <w:sz w:val="16"/>
      <w:szCs w:val="20"/>
      <w:lang w:val="x-none" w:eastAsia="x-none"/>
    </w:rPr>
  </w:style>
  <w:style w:type="character" w:styleId="Emphasis">
    <w:name w:val="Emphasis"/>
    <w:aliases w:val="Italics"/>
    <w:uiPriority w:val="20"/>
    <w:qFormat/>
    <w:rsid w:val="0062165D"/>
    <w:rPr>
      <w:rFonts w:cs="Times New Roman"/>
      <w:i/>
      <w:iCs/>
    </w:rPr>
  </w:style>
  <w:style w:type="paragraph" w:customStyle="1" w:styleId="Bullets">
    <w:name w:val="Bullets"/>
    <w:basedOn w:val="Normal"/>
    <w:link w:val="BulletsChar"/>
    <w:qFormat/>
    <w:rsid w:val="0062165D"/>
    <w:pPr>
      <w:numPr>
        <w:numId w:val="3"/>
      </w:numPr>
      <w:spacing w:before="60" w:after="60"/>
    </w:pPr>
    <w:rPr>
      <w:rFonts w:cs="Arial"/>
      <w:color w:val="000000"/>
      <w:szCs w:val="16"/>
      <w:lang w:eastAsia="en-US"/>
    </w:rPr>
  </w:style>
  <w:style w:type="character" w:customStyle="1" w:styleId="BulletsChar">
    <w:name w:val="Bullets Char"/>
    <w:link w:val="Bullets"/>
    <w:locked/>
    <w:rsid w:val="0062165D"/>
    <w:rPr>
      <w:rFonts w:ascii="Book Antiqua" w:eastAsia="Times New Roman" w:hAnsi="Book Antiqua" w:cs="Arial"/>
      <w:color w:val="000000"/>
      <w:szCs w:val="16"/>
    </w:rPr>
  </w:style>
  <w:style w:type="paragraph" w:styleId="FootnoteText">
    <w:name w:val="footnote text"/>
    <w:basedOn w:val="Normal"/>
    <w:link w:val="FootnoteTextChar"/>
    <w:rsid w:val="0062165D"/>
    <w:pPr>
      <w:spacing w:after="0"/>
    </w:pPr>
    <w:rPr>
      <w:sz w:val="20"/>
    </w:rPr>
  </w:style>
  <w:style w:type="character" w:customStyle="1" w:styleId="FootnoteTextChar">
    <w:name w:val="Footnote Text Char"/>
    <w:basedOn w:val="DefaultParagraphFont"/>
    <w:link w:val="FootnoteText"/>
    <w:rsid w:val="0062165D"/>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6216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5D"/>
    <w:rPr>
      <w:rFonts w:ascii="Tahoma" w:eastAsia="Times New Roman" w:hAnsi="Tahoma" w:cs="Tahoma"/>
      <w:sz w:val="16"/>
      <w:szCs w:val="16"/>
      <w:lang w:eastAsia="en-AU"/>
    </w:rPr>
  </w:style>
  <w:style w:type="paragraph" w:styleId="Footer">
    <w:name w:val="footer"/>
    <w:basedOn w:val="Normal"/>
    <w:link w:val="FooterChar"/>
    <w:uiPriority w:val="99"/>
    <w:unhideWhenUsed/>
    <w:rsid w:val="0062165D"/>
    <w:pPr>
      <w:tabs>
        <w:tab w:val="center" w:pos="4513"/>
        <w:tab w:val="right" w:pos="9026"/>
      </w:tabs>
      <w:spacing w:after="0"/>
    </w:pPr>
  </w:style>
  <w:style w:type="character" w:customStyle="1" w:styleId="FooterChar">
    <w:name w:val="Footer Char"/>
    <w:basedOn w:val="DefaultParagraphFont"/>
    <w:link w:val="Footer"/>
    <w:uiPriority w:val="99"/>
    <w:rsid w:val="0062165D"/>
    <w:rPr>
      <w:rFonts w:ascii="Book Antiqua" w:eastAsia="Times New Roman" w:hAnsi="Book Antiqua"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5D"/>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62165D"/>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62165D"/>
    <w:pPr>
      <w:keepNext/>
      <w:spacing w:before="240" w:after="240"/>
      <w:outlineLvl w:val="1"/>
    </w:pPr>
    <w:rPr>
      <w:rFonts w:ascii="Arial" w:hAnsi="Arial"/>
      <w:sz w:val="30"/>
    </w:rPr>
  </w:style>
  <w:style w:type="paragraph" w:styleId="Heading3">
    <w:name w:val="heading 3"/>
    <w:basedOn w:val="Normal"/>
    <w:next w:val="Normal"/>
    <w:link w:val="Heading3Char"/>
    <w:qFormat/>
    <w:rsid w:val="0062165D"/>
    <w:pPr>
      <w:keepNext/>
      <w:tabs>
        <w:tab w:val="left" w:pos="709"/>
      </w:tabs>
      <w:spacing w:before="120"/>
      <w:outlineLvl w:val="2"/>
    </w:pPr>
    <w:rPr>
      <w:rFonts w:ascii="Arial" w:hAnsi="Arial"/>
      <w:b/>
      <w:smallCaps/>
      <w:sz w:val="26"/>
    </w:rPr>
  </w:style>
  <w:style w:type="paragraph" w:styleId="Heading5">
    <w:name w:val="heading 5"/>
    <w:basedOn w:val="Normal"/>
    <w:next w:val="Normal"/>
    <w:link w:val="Heading5Char"/>
    <w:qFormat/>
    <w:rsid w:val="0062165D"/>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65D"/>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62165D"/>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62165D"/>
    <w:rPr>
      <w:rFonts w:ascii="Arial" w:eastAsia="Times New Roman" w:hAnsi="Arial" w:cs="Times New Roman"/>
      <w:b/>
      <w:smallCaps/>
      <w:sz w:val="26"/>
      <w:szCs w:val="20"/>
      <w:lang w:eastAsia="en-AU"/>
    </w:rPr>
  </w:style>
  <w:style w:type="character" w:customStyle="1" w:styleId="Heading5Char">
    <w:name w:val="Heading 5 Char"/>
    <w:basedOn w:val="DefaultParagraphFont"/>
    <w:link w:val="Heading5"/>
    <w:rsid w:val="0062165D"/>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62165D"/>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62165D"/>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62165D"/>
    <w:pPr>
      <w:tabs>
        <w:tab w:val="left" w:pos="284"/>
      </w:tabs>
      <w:spacing w:after="0"/>
    </w:pPr>
    <w:rPr>
      <w:rFonts w:ascii="Arial" w:hAnsi="Arial"/>
      <w:color w:val="000000"/>
      <w:sz w:val="16"/>
      <w:lang w:val="x-none" w:eastAsia="x-none"/>
    </w:rPr>
  </w:style>
  <w:style w:type="paragraph" w:customStyle="1" w:styleId="ChartandTableFootnoteSmall">
    <w:name w:val="Chart and Table Footnote Small"/>
    <w:basedOn w:val="Normal"/>
    <w:next w:val="Normal"/>
    <w:rsid w:val="0062165D"/>
    <w:pPr>
      <w:keepNext/>
      <w:tabs>
        <w:tab w:val="left" w:pos="284"/>
      </w:tabs>
      <w:spacing w:after="0"/>
      <w:jc w:val="both"/>
    </w:pPr>
    <w:rPr>
      <w:rFonts w:ascii="Arial" w:hAnsi="Arial"/>
      <w:sz w:val="15"/>
    </w:rPr>
  </w:style>
  <w:style w:type="paragraph" w:customStyle="1" w:styleId="ContentsHeading">
    <w:name w:val="Contents Heading"/>
    <w:basedOn w:val="Normal"/>
    <w:next w:val="Normal"/>
    <w:rsid w:val="0062165D"/>
    <w:pPr>
      <w:keepNext/>
      <w:spacing w:after="360"/>
      <w:jc w:val="center"/>
    </w:pPr>
    <w:rPr>
      <w:rFonts w:ascii="Arial" w:hAnsi="Arial"/>
      <w:b/>
      <w:smallCaps/>
      <w:sz w:val="34"/>
    </w:rPr>
  </w:style>
  <w:style w:type="paragraph" w:customStyle="1" w:styleId="TableGraphic">
    <w:name w:val="Table Graphic"/>
    <w:basedOn w:val="Normal"/>
    <w:next w:val="Normal"/>
    <w:rsid w:val="0062165D"/>
    <w:pPr>
      <w:spacing w:after="0"/>
      <w:ind w:right="-113"/>
    </w:pPr>
  </w:style>
  <w:style w:type="paragraph" w:customStyle="1" w:styleId="TableTextLeft">
    <w:name w:val="Table Text Left"/>
    <w:basedOn w:val="Normal"/>
    <w:link w:val="TableTextLeftChar"/>
    <w:rsid w:val="0062165D"/>
    <w:pPr>
      <w:spacing w:before="60" w:after="60"/>
    </w:pPr>
    <w:rPr>
      <w:rFonts w:ascii="Arial" w:hAnsi="Arial"/>
      <w:sz w:val="18"/>
    </w:rPr>
  </w:style>
  <w:style w:type="paragraph" w:customStyle="1" w:styleId="TableHeadingcontinued">
    <w:name w:val="Table Heading continued"/>
    <w:basedOn w:val="Normal"/>
    <w:next w:val="TableGraphic"/>
    <w:rsid w:val="0062165D"/>
    <w:pPr>
      <w:keepNext/>
      <w:spacing w:before="120" w:after="20"/>
    </w:pPr>
    <w:rPr>
      <w:b/>
    </w:rPr>
  </w:style>
  <w:style w:type="paragraph" w:customStyle="1" w:styleId="HeaderOdd">
    <w:name w:val="Header Odd"/>
    <w:basedOn w:val="Normal"/>
    <w:rsid w:val="0062165D"/>
    <w:pPr>
      <w:spacing w:after="0"/>
      <w:jc w:val="right"/>
    </w:pPr>
    <w:rPr>
      <w:i/>
      <w:sz w:val="20"/>
    </w:rPr>
  </w:style>
  <w:style w:type="paragraph" w:styleId="Header">
    <w:name w:val="header"/>
    <w:basedOn w:val="Normal"/>
    <w:link w:val="HeaderChar"/>
    <w:uiPriority w:val="99"/>
    <w:rsid w:val="0062165D"/>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62165D"/>
    <w:rPr>
      <w:rFonts w:ascii="Book Antiqua" w:eastAsia="Times New Roman" w:hAnsi="Book Antiqua" w:cs="Times New Roman"/>
      <w:i/>
      <w:sz w:val="20"/>
      <w:szCs w:val="20"/>
      <w:lang w:val="x-none" w:eastAsia="x-none"/>
    </w:rPr>
  </w:style>
  <w:style w:type="character" w:styleId="FootnoteReference">
    <w:name w:val="footnote reference"/>
    <w:uiPriority w:val="99"/>
    <w:rsid w:val="0062165D"/>
    <w:rPr>
      <w:vertAlign w:val="superscript"/>
    </w:rPr>
  </w:style>
  <w:style w:type="paragraph" w:styleId="TOC1">
    <w:name w:val="toc 1"/>
    <w:basedOn w:val="Normal"/>
    <w:next w:val="Normal"/>
    <w:uiPriority w:val="39"/>
    <w:rsid w:val="0062165D"/>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62165D"/>
    <w:pPr>
      <w:keepNext/>
      <w:tabs>
        <w:tab w:val="right" w:leader="dot" w:pos="7700"/>
      </w:tabs>
      <w:spacing w:before="80" w:after="0"/>
      <w:ind w:right="851"/>
    </w:pPr>
    <w:rPr>
      <w:rFonts w:ascii="Arial" w:hAnsi="Arial"/>
      <w:sz w:val="20"/>
    </w:rPr>
  </w:style>
  <w:style w:type="paragraph" w:customStyle="1" w:styleId="Department">
    <w:name w:val="Department"/>
    <w:basedOn w:val="Normal"/>
    <w:rsid w:val="0062165D"/>
    <w:pPr>
      <w:spacing w:after="0"/>
      <w:jc w:val="center"/>
    </w:pPr>
    <w:rPr>
      <w:rFonts w:ascii="Arial" w:hAnsi="Arial"/>
      <w:b/>
      <w:sz w:val="52"/>
    </w:rPr>
  </w:style>
  <w:style w:type="paragraph" w:customStyle="1" w:styleId="DepartmentSubtitle">
    <w:name w:val="Department Subtitle"/>
    <w:basedOn w:val="Department"/>
    <w:rsid w:val="0062165D"/>
    <w:rPr>
      <w:sz w:val="44"/>
    </w:rPr>
  </w:style>
  <w:style w:type="character" w:styleId="Hyperlink">
    <w:name w:val="Hyperlink"/>
    <w:uiPriority w:val="99"/>
    <w:rsid w:val="0062165D"/>
    <w:rPr>
      <w:color w:val="000000"/>
      <w:u w:val="none"/>
    </w:rPr>
  </w:style>
  <w:style w:type="paragraph" w:customStyle="1" w:styleId="TableTextBullet">
    <w:name w:val="Table Text Bullet"/>
    <w:basedOn w:val="Normal"/>
    <w:rsid w:val="0062165D"/>
    <w:pPr>
      <w:numPr>
        <w:numId w:val="2"/>
      </w:numPr>
      <w:spacing w:before="60" w:after="60"/>
    </w:pPr>
    <w:rPr>
      <w:rFonts w:ascii="Arial" w:hAnsi="Arial"/>
      <w:sz w:val="18"/>
    </w:rPr>
  </w:style>
  <w:style w:type="character" w:customStyle="1" w:styleId="TableHeadingChar">
    <w:name w:val="Table Heading Char"/>
    <w:link w:val="TableHeading"/>
    <w:rsid w:val="0062165D"/>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62165D"/>
    <w:rPr>
      <w:rFonts w:ascii="Arial" w:eastAsia="Times New Roman" w:hAnsi="Arial" w:cs="Times New Roman"/>
      <w:sz w:val="18"/>
      <w:szCs w:val="20"/>
      <w:lang w:eastAsia="en-AU"/>
    </w:rPr>
  </w:style>
  <w:style w:type="paragraph" w:customStyle="1" w:styleId="TableTextDash">
    <w:name w:val="Table Text Dash"/>
    <w:basedOn w:val="Normal"/>
    <w:rsid w:val="0062165D"/>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62165D"/>
    <w:rPr>
      <w:rFonts w:ascii="Arial" w:eastAsia="Times New Roman" w:hAnsi="Arial" w:cs="Times New Roman"/>
      <w:color w:val="000000"/>
      <w:sz w:val="16"/>
      <w:szCs w:val="20"/>
      <w:lang w:val="x-none" w:eastAsia="x-none"/>
    </w:rPr>
  </w:style>
  <w:style w:type="character" w:styleId="Emphasis">
    <w:name w:val="Emphasis"/>
    <w:aliases w:val="Italics"/>
    <w:uiPriority w:val="20"/>
    <w:qFormat/>
    <w:rsid w:val="0062165D"/>
    <w:rPr>
      <w:rFonts w:cs="Times New Roman"/>
      <w:i/>
      <w:iCs/>
    </w:rPr>
  </w:style>
  <w:style w:type="paragraph" w:customStyle="1" w:styleId="Bullets">
    <w:name w:val="Bullets"/>
    <w:basedOn w:val="Normal"/>
    <w:link w:val="BulletsChar"/>
    <w:qFormat/>
    <w:rsid w:val="0062165D"/>
    <w:pPr>
      <w:numPr>
        <w:numId w:val="3"/>
      </w:numPr>
      <w:spacing w:before="60" w:after="60"/>
    </w:pPr>
    <w:rPr>
      <w:rFonts w:cs="Arial"/>
      <w:color w:val="000000"/>
      <w:szCs w:val="16"/>
      <w:lang w:eastAsia="en-US"/>
    </w:rPr>
  </w:style>
  <w:style w:type="character" w:customStyle="1" w:styleId="BulletsChar">
    <w:name w:val="Bullets Char"/>
    <w:link w:val="Bullets"/>
    <w:locked/>
    <w:rsid w:val="0062165D"/>
    <w:rPr>
      <w:rFonts w:ascii="Book Antiqua" w:eastAsia="Times New Roman" w:hAnsi="Book Antiqua" w:cs="Arial"/>
      <w:color w:val="000000"/>
      <w:szCs w:val="16"/>
    </w:rPr>
  </w:style>
  <w:style w:type="paragraph" w:styleId="FootnoteText">
    <w:name w:val="footnote text"/>
    <w:basedOn w:val="Normal"/>
    <w:link w:val="FootnoteTextChar"/>
    <w:rsid w:val="0062165D"/>
    <w:pPr>
      <w:spacing w:after="0"/>
    </w:pPr>
    <w:rPr>
      <w:sz w:val="20"/>
    </w:rPr>
  </w:style>
  <w:style w:type="character" w:customStyle="1" w:styleId="FootnoteTextChar">
    <w:name w:val="Footnote Text Char"/>
    <w:basedOn w:val="DefaultParagraphFont"/>
    <w:link w:val="FootnoteText"/>
    <w:rsid w:val="0062165D"/>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6216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5D"/>
    <w:rPr>
      <w:rFonts w:ascii="Tahoma" w:eastAsia="Times New Roman" w:hAnsi="Tahoma" w:cs="Tahoma"/>
      <w:sz w:val="16"/>
      <w:szCs w:val="16"/>
      <w:lang w:eastAsia="en-AU"/>
    </w:rPr>
  </w:style>
  <w:style w:type="paragraph" w:styleId="Footer">
    <w:name w:val="footer"/>
    <w:basedOn w:val="Normal"/>
    <w:link w:val="FooterChar"/>
    <w:uiPriority w:val="99"/>
    <w:unhideWhenUsed/>
    <w:rsid w:val="0062165D"/>
    <w:pPr>
      <w:tabs>
        <w:tab w:val="center" w:pos="4513"/>
        <w:tab w:val="right" w:pos="9026"/>
      </w:tabs>
      <w:spacing w:after="0"/>
    </w:pPr>
  </w:style>
  <w:style w:type="character" w:customStyle="1" w:styleId="FooterChar">
    <w:name w:val="Footer Char"/>
    <w:basedOn w:val="DefaultParagraphFont"/>
    <w:link w:val="Footer"/>
    <w:uiPriority w:val="99"/>
    <w:rsid w:val="0062165D"/>
    <w:rPr>
      <w:rFonts w:ascii="Book Antiqua" w:eastAsia="Times New Roman" w:hAnsi="Book Antiqua"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4.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header" Target="header5.xml"/><Relationship Id="rId30"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1B68D839.dotm</Template>
  <TotalTime>8</TotalTime>
  <Pages>30</Pages>
  <Words>4278</Words>
  <Characters>24385</Characters>
  <Application>Microsoft Office Word</Application>
  <DocSecurity>0</DocSecurity>
  <Lines>203</Lines>
  <Paragraphs>57</Paragraphs>
  <ScaleCrop>false</ScaleCrop>
  <Company>Australian Government</Company>
  <LinksUpToDate>false</LinksUpToDate>
  <CharactersWithSpaces>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1</cp:revision>
  <dcterms:created xsi:type="dcterms:W3CDTF">2016-05-02T04:37:00Z</dcterms:created>
  <dcterms:modified xsi:type="dcterms:W3CDTF">2016-05-02T04:45:00Z</dcterms:modified>
</cp:coreProperties>
</file>