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19C" w:rsidRPr="0002219C" w:rsidRDefault="0002219C" w:rsidP="0002219C">
      <w:pPr>
        <w:spacing w:after="0" w:line="240" w:lineRule="auto"/>
        <w:jc w:val="center"/>
        <w:rPr>
          <w:rFonts w:ascii="Arial" w:eastAsia="Times New Roman" w:hAnsi="Arial" w:cs="Times New Roman"/>
          <w:b/>
          <w:sz w:val="52"/>
          <w:szCs w:val="20"/>
          <w:lang w:eastAsia="en-AU"/>
        </w:rPr>
      </w:pPr>
    </w:p>
    <w:p w:rsidR="0002219C" w:rsidRPr="0002219C" w:rsidRDefault="0002219C" w:rsidP="0002219C">
      <w:pPr>
        <w:spacing w:before="1320" w:after="0" w:line="240" w:lineRule="auto"/>
        <w:jc w:val="center"/>
        <w:rPr>
          <w:rFonts w:ascii="Arial" w:eastAsia="Times New Roman" w:hAnsi="Arial" w:cs="Times New Roman"/>
          <w:b/>
          <w:sz w:val="52"/>
          <w:szCs w:val="20"/>
          <w:lang w:eastAsia="en-AU"/>
        </w:rPr>
      </w:pPr>
      <w:bookmarkStart w:id="0" w:name="_Toc448134590"/>
      <w:r w:rsidRPr="0002219C">
        <w:rPr>
          <w:rFonts w:ascii="Arial" w:eastAsia="Times New Roman" w:hAnsi="Arial" w:cs="Times New Roman"/>
          <w:b/>
          <w:sz w:val="52"/>
          <w:szCs w:val="20"/>
          <w:lang w:eastAsia="en-AU"/>
        </w:rPr>
        <w:t>Workplace Gender Equality Agency</w:t>
      </w:r>
      <w:bookmarkEnd w:id="0"/>
    </w:p>
    <w:p w:rsidR="0002219C" w:rsidRPr="0002219C" w:rsidRDefault="0002219C" w:rsidP="0002219C">
      <w:pPr>
        <w:spacing w:before="2080" w:after="0" w:line="240" w:lineRule="auto"/>
        <w:jc w:val="center"/>
        <w:rPr>
          <w:rFonts w:ascii="Arial" w:eastAsia="Times New Roman" w:hAnsi="Arial" w:cs="Times New Roman"/>
          <w:b/>
          <w:sz w:val="44"/>
          <w:szCs w:val="20"/>
          <w:lang w:eastAsia="en-AU"/>
        </w:rPr>
      </w:pPr>
      <w:r w:rsidRPr="0002219C">
        <w:rPr>
          <w:rFonts w:ascii="Arial" w:eastAsia="Times New Roman" w:hAnsi="Arial" w:cs="Times New Roman"/>
          <w:b/>
          <w:sz w:val="44"/>
          <w:szCs w:val="20"/>
          <w:lang w:eastAsia="en-AU"/>
        </w:rPr>
        <w:t>Entity resources and planned performance</w:t>
      </w:r>
    </w:p>
    <w:p w:rsidR="0002219C" w:rsidRPr="0002219C" w:rsidRDefault="0002219C" w:rsidP="0002219C">
      <w:pPr>
        <w:keepNext/>
        <w:spacing w:after="360" w:line="240" w:lineRule="auto"/>
        <w:jc w:val="center"/>
        <w:rPr>
          <w:rFonts w:ascii="Arial" w:eastAsia="Times New Roman" w:hAnsi="Arial" w:cs="Times New Roman"/>
          <w:b/>
          <w:smallCaps/>
          <w:sz w:val="34"/>
          <w:szCs w:val="20"/>
          <w:lang w:eastAsia="en-AU"/>
        </w:rPr>
        <w:sectPr w:rsidR="0002219C" w:rsidRPr="0002219C" w:rsidSect="0002219C">
          <w:headerReference w:type="default" r:id="rId9"/>
          <w:footerReference w:type="default" r:id="rId10"/>
          <w:pgSz w:w="11907" w:h="16839" w:code="9"/>
          <w:pgMar w:top="2466" w:right="2098" w:bottom="2466" w:left="2098" w:header="1899" w:footer="1899" w:gutter="0"/>
          <w:pgNumType w:start="183"/>
          <w:cols w:space="708"/>
          <w:docGrid w:linePitch="360"/>
        </w:sectPr>
      </w:pPr>
    </w:p>
    <w:p w:rsidR="0002219C" w:rsidRPr="0002219C" w:rsidRDefault="0002219C" w:rsidP="0002219C">
      <w:pPr>
        <w:keepNext/>
        <w:spacing w:after="360" w:line="240" w:lineRule="auto"/>
        <w:jc w:val="center"/>
        <w:rPr>
          <w:rFonts w:ascii="Arial" w:eastAsia="Times New Roman" w:hAnsi="Arial" w:cs="Times New Roman"/>
          <w:b/>
          <w:smallCaps/>
          <w:sz w:val="34"/>
          <w:szCs w:val="20"/>
          <w:lang w:eastAsia="en-AU"/>
        </w:rPr>
      </w:pPr>
      <w:r w:rsidRPr="0002219C">
        <w:rPr>
          <w:rFonts w:ascii="Arial" w:eastAsia="Times New Roman" w:hAnsi="Arial" w:cs="Times New Roman"/>
          <w:b/>
          <w:smallCaps/>
          <w:sz w:val="34"/>
          <w:szCs w:val="20"/>
          <w:lang w:eastAsia="en-AU"/>
        </w:rPr>
        <w:lastRenderedPageBreak/>
        <w:t>Workplace Gender Equality Agency</w:t>
      </w:r>
    </w:p>
    <w:p w:rsidR="0002219C" w:rsidRPr="0002219C" w:rsidRDefault="0002219C" w:rsidP="0002219C">
      <w:pPr>
        <w:tabs>
          <w:tab w:val="right" w:leader="dot" w:pos="7700"/>
        </w:tabs>
        <w:spacing w:before="240" w:after="0" w:line="240" w:lineRule="auto"/>
        <w:ind w:right="851"/>
        <w:rPr>
          <w:rFonts w:eastAsiaTheme="minorEastAsia"/>
          <w:noProof/>
          <w:lang w:eastAsia="en-AU"/>
        </w:rPr>
      </w:pPr>
      <w:r w:rsidRPr="0002219C">
        <w:rPr>
          <w:rFonts w:ascii="Arial" w:eastAsia="Times New Roman" w:hAnsi="Arial" w:cs="Times New Roman"/>
          <w:b/>
          <w:sz w:val="20"/>
          <w:szCs w:val="20"/>
          <w:lang w:eastAsia="en-AU"/>
        </w:rPr>
        <w:fldChar w:fldCharType="begin"/>
      </w:r>
      <w:r w:rsidRPr="0002219C">
        <w:rPr>
          <w:rFonts w:ascii="Arial" w:eastAsia="Times New Roman" w:hAnsi="Arial" w:cs="Times New Roman"/>
          <w:b/>
          <w:sz w:val="20"/>
          <w:szCs w:val="20"/>
          <w:lang w:eastAsia="en-AU"/>
        </w:rPr>
        <w:instrText xml:space="preserve"> TOC \h \z \t "Heading 2,1,Heading 3,2" </w:instrText>
      </w:r>
      <w:r w:rsidRPr="0002219C">
        <w:rPr>
          <w:rFonts w:ascii="Arial" w:eastAsia="Times New Roman" w:hAnsi="Arial" w:cs="Times New Roman"/>
          <w:b/>
          <w:sz w:val="20"/>
          <w:szCs w:val="20"/>
          <w:lang w:eastAsia="en-AU"/>
        </w:rPr>
        <w:fldChar w:fldCharType="separate"/>
      </w:r>
      <w:hyperlink w:anchor="_Toc447709933" w:history="1">
        <w:r w:rsidRPr="0002219C">
          <w:rPr>
            <w:rFonts w:ascii="Arial" w:eastAsia="Times New Roman" w:hAnsi="Arial" w:cs="Times New Roman"/>
            <w:b/>
            <w:noProof/>
            <w:color w:val="000000"/>
            <w:sz w:val="20"/>
            <w:szCs w:val="20"/>
            <w:lang w:eastAsia="en-AU"/>
          </w:rPr>
          <w:t>Section 1: Entity overview and resources</w:t>
        </w:r>
        <w:r w:rsidRPr="0002219C">
          <w:rPr>
            <w:rFonts w:ascii="Arial" w:eastAsia="Times New Roman" w:hAnsi="Arial" w:cs="Times New Roman"/>
            <w:b/>
            <w:noProof/>
            <w:webHidden/>
            <w:sz w:val="20"/>
            <w:szCs w:val="20"/>
            <w:lang w:eastAsia="en-AU"/>
          </w:rPr>
          <w:tab/>
        </w:r>
        <w:r w:rsidRPr="0002219C">
          <w:rPr>
            <w:rFonts w:ascii="Arial" w:eastAsia="Times New Roman" w:hAnsi="Arial" w:cs="Times New Roman"/>
            <w:b/>
            <w:noProof/>
            <w:webHidden/>
            <w:sz w:val="20"/>
            <w:szCs w:val="20"/>
            <w:lang w:eastAsia="en-AU"/>
          </w:rPr>
          <w:fldChar w:fldCharType="begin"/>
        </w:r>
        <w:r w:rsidRPr="0002219C">
          <w:rPr>
            <w:rFonts w:ascii="Arial" w:eastAsia="Times New Roman" w:hAnsi="Arial" w:cs="Times New Roman"/>
            <w:b/>
            <w:noProof/>
            <w:webHidden/>
            <w:sz w:val="20"/>
            <w:szCs w:val="20"/>
            <w:lang w:eastAsia="en-AU"/>
          </w:rPr>
          <w:instrText xml:space="preserve"> PAGEREF _Toc447709933 \h </w:instrText>
        </w:r>
        <w:r w:rsidRPr="0002219C">
          <w:rPr>
            <w:rFonts w:ascii="Arial" w:eastAsia="Times New Roman" w:hAnsi="Arial" w:cs="Times New Roman"/>
            <w:b/>
            <w:noProof/>
            <w:webHidden/>
            <w:sz w:val="20"/>
            <w:szCs w:val="20"/>
            <w:lang w:eastAsia="en-AU"/>
          </w:rPr>
        </w:r>
        <w:r w:rsidRPr="0002219C">
          <w:rPr>
            <w:rFonts w:ascii="Arial" w:eastAsia="Times New Roman" w:hAnsi="Arial" w:cs="Times New Roman"/>
            <w:b/>
            <w:noProof/>
            <w:webHidden/>
            <w:sz w:val="20"/>
            <w:szCs w:val="20"/>
            <w:lang w:eastAsia="en-AU"/>
          </w:rPr>
          <w:fldChar w:fldCharType="separate"/>
        </w:r>
        <w:r w:rsidRPr="0002219C">
          <w:rPr>
            <w:rFonts w:ascii="Arial" w:eastAsia="Times New Roman" w:hAnsi="Arial" w:cs="Times New Roman"/>
            <w:b/>
            <w:noProof/>
            <w:webHidden/>
            <w:sz w:val="20"/>
            <w:szCs w:val="20"/>
            <w:lang w:eastAsia="en-AU"/>
          </w:rPr>
          <w:t>187</w:t>
        </w:r>
        <w:r w:rsidRPr="0002219C">
          <w:rPr>
            <w:rFonts w:ascii="Arial" w:eastAsia="Times New Roman" w:hAnsi="Arial" w:cs="Times New Roman"/>
            <w:b/>
            <w:noProof/>
            <w:webHidden/>
            <w:sz w:val="20"/>
            <w:szCs w:val="20"/>
            <w:lang w:eastAsia="en-AU"/>
          </w:rPr>
          <w:fldChar w:fldCharType="end"/>
        </w:r>
      </w:hyperlink>
    </w:p>
    <w:p w:rsidR="0002219C" w:rsidRPr="0002219C" w:rsidRDefault="0002219C" w:rsidP="0002219C">
      <w:pPr>
        <w:keepNext/>
        <w:tabs>
          <w:tab w:val="left" w:pos="800"/>
          <w:tab w:val="right" w:leader="dot" w:pos="7700"/>
        </w:tabs>
        <w:spacing w:before="80" w:after="0" w:line="240" w:lineRule="auto"/>
        <w:ind w:right="851"/>
        <w:rPr>
          <w:rFonts w:eastAsiaTheme="minorEastAsia"/>
          <w:noProof/>
          <w:lang w:eastAsia="en-AU"/>
        </w:rPr>
      </w:pPr>
      <w:hyperlink w:anchor="_Toc447709934" w:history="1">
        <w:r w:rsidRPr="0002219C">
          <w:rPr>
            <w:rFonts w:ascii="Arial" w:eastAsia="Times New Roman" w:hAnsi="Arial" w:cs="Times New Roman"/>
            <w:noProof/>
            <w:color w:val="000000"/>
            <w:sz w:val="20"/>
            <w:szCs w:val="20"/>
            <w:lang w:eastAsia="en-AU"/>
          </w:rPr>
          <w:t>1.1</w:t>
        </w:r>
        <w:r w:rsidRPr="0002219C">
          <w:rPr>
            <w:rFonts w:eastAsiaTheme="minorEastAsia"/>
            <w:noProof/>
            <w:lang w:eastAsia="en-AU"/>
          </w:rPr>
          <w:tab/>
        </w:r>
        <w:r w:rsidRPr="0002219C">
          <w:rPr>
            <w:rFonts w:ascii="Arial" w:eastAsia="Times New Roman" w:hAnsi="Arial" w:cs="Times New Roman"/>
            <w:noProof/>
            <w:color w:val="000000"/>
            <w:sz w:val="20"/>
            <w:szCs w:val="20"/>
            <w:lang w:eastAsia="en-AU"/>
          </w:rPr>
          <w:t>Strategic direction statement</w:t>
        </w:r>
        <w:r w:rsidRPr="0002219C">
          <w:rPr>
            <w:rFonts w:ascii="Arial" w:eastAsia="Times New Roman" w:hAnsi="Arial" w:cs="Times New Roman"/>
            <w:noProof/>
            <w:webHidden/>
            <w:sz w:val="20"/>
            <w:szCs w:val="20"/>
            <w:lang w:eastAsia="en-AU"/>
          </w:rPr>
          <w:tab/>
        </w:r>
        <w:r w:rsidRPr="0002219C">
          <w:rPr>
            <w:rFonts w:ascii="Arial" w:eastAsia="Times New Roman" w:hAnsi="Arial" w:cs="Times New Roman"/>
            <w:noProof/>
            <w:webHidden/>
            <w:sz w:val="20"/>
            <w:szCs w:val="20"/>
            <w:lang w:eastAsia="en-AU"/>
          </w:rPr>
          <w:fldChar w:fldCharType="begin"/>
        </w:r>
        <w:r w:rsidRPr="0002219C">
          <w:rPr>
            <w:rFonts w:ascii="Arial" w:eastAsia="Times New Roman" w:hAnsi="Arial" w:cs="Times New Roman"/>
            <w:noProof/>
            <w:webHidden/>
            <w:sz w:val="20"/>
            <w:szCs w:val="20"/>
            <w:lang w:eastAsia="en-AU"/>
          </w:rPr>
          <w:instrText xml:space="preserve"> PAGEREF _Toc447709934 \h </w:instrText>
        </w:r>
        <w:r w:rsidRPr="0002219C">
          <w:rPr>
            <w:rFonts w:ascii="Arial" w:eastAsia="Times New Roman" w:hAnsi="Arial" w:cs="Times New Roman"/>
            <w:noProof/>
            <w:webHidden/>
            <w:sz w:val="20"/>
            <w:szCs w:val="20"/>
            <w:lang w:eastAsia="en-AU"/>
          </w:rPr>
        </w:r>
        <w:r w:rsidRPr="0002219C">
          <w:rPr>
            <w:rFonts w:ascii="Arial" w:eastAsia="Times New Roman" w:hAnsi="Arial" w:cs="Times New Roman"/>
            <w:noProof/>
            <w:webHidden/>
            <w:sz w:val="20"/>
            <w:szCs w:val="20"/>
            <w:lang w:eastAsia="en-AU"/>
          </w:rPr>
          <w:fldChar w:fldCharType="separate"/>
        </w:r>
        <w:r w:rsidRPr="0002219C">
          <w:rPr>
            <w:rFonts w:ascii="Arial" w:eastAsia="Times New Roman" w:hAnsi="Arial" w:cs="Times New Roman"/>
            <w:noProof/>
            <w:webHidden/>
            <w:sz w:val="20"/>
            <w:szCs w:val="20"/>
            <w:lang w:eastAsia="en-AU"/>
          </w:rPr>
          <w:t>187</w:t>
        </w:r>
        <w:r w:rsidRPr="0002219C">
          <w:rPr>
            <w:rFonts w:ascii="Arial" w:eastAsia="Times New Roman" w:hAnsi="Arial" w:cs="Times New Roman"/>
            <w:noProof/>
            <w:webHidden/>
            <w:sz w:val="20"/>
            <w:szCs w:val="20"/>
            <w:lang w:eastAsia="en-AU"/>
          </w:rPr>
          <w:fldChar w:fldCharType="end"/>
        </w:r>
      </w:hyperlink>
    </w:p>
    <w:p w:rsidR="0002219C" w:rsidRPr="0002219C" w:rsidRDefault="0002219C" w:rsidP="0002219C">
      <w:pPr>
        <w:keepNext/>
        <w:tabs>
          <w:tab w:val="left" w:pos="800"/>
          <w:tab w:val="right" w:leader="dot" w:pos="7700"/>
        </w:tabs>
        <w:spacing w:before="80" w:after="0" w:line="240" w:lineRule="auto"/>
        <w:ind w:right="851"/>
        <w:rPr>
          <w:rFonts w:eastAsiaTheme="minorEastAsia"/>
          <w:noProof/>
          <w:lang w:eastAsia="en-AU"/>
        </w:rPr>
      </w:pPr>
      <w:hyperlink w:anchor="_Toc447709935" w:history="1">
        <w:r w:rsidRPr="0002219C">
          <w:rPr>
            <w:rFonts w:ascii="Arial" w:eastAsia="Times New Roman" w:hAnsi="Arial" w:cs="Times New Roman"/>
            <w:noProof/>
            <w:color w:val="000000"/>
            <w:sz w:val="20"/>
            <w:szCs w:val="20"/>
            <w:lang w:eastAsia="en-AU"/>
          </w:rPr>
          <w:t>1.2</w:t>
        </w:r>
        <w:r w:rsidRPr="0002219C">
          <w:rPr>
            <w:rFonts w:eastAsiaTheme="minorEastAsia"/>
            <w:noProof/>
            <w:lang w:eastAsia="en-AU"/>
          </w:rPr>
          <w:tab/>
        </w:r>
        <w:r w:rsidRPr="0002219C">
          <w:rPr>
            <w:rFonts w:ascii="Arial" w:eastAsia="Times New Roman" w:hAnsi="Arial" w:cs="Times New Roman"/>
            <w:noProof/>
            <w:color w:val="000000"/>
            <w:sz w:val="20"/>
            <w:szCs w:val="20"/>
            <w:lang w:eastAsia="en-AU"/>
          </w:rPr>
          <w:t>Entity resource statement</w:t>
        </w:r>
        <w:r w:rsidRPr="0002219C">
          <w:rPr>
            <w:rFonts w:ascii="Arial" w:eastAsia="Times New Roman" w:hAnsi="Arial" w:cs="Times New Roman"/>
            <w:noProof/>
            <w:webHidden/>
            <w:sz w:val="20"/>
            <w:szCs w:val="20"/>
            <w:lang w:eastAsia="en-AU"/>
          </w:rPr>
          <w:tab/>
        </w:r>
        <w:r w:rsidRPr="0002219C">
          <w:rPr>
            <w:rFonts w:ascii="Arial" w:eastAsia="Times New Roman" w:hAnsi="Arial" w:cs="Times New Roman"/>
            <w:noProof/>
            <w:webHidden/>
            <w:sz w:val="20"/>
            <w:szCs w:val="20"/>
            <w:lang w:eastAsia="en-AU"/>
          </w:rPr>
          <w:fldChar w:fldCharType="begin"/>
        </w:r>
        <w:r w:rsidRPr="0002219C">
          <w:rPr>
            <w:rFonts w:ascii="Arial" w:eastAsia="Times New Roman" w:hAnsi="Arial" w:cs="Times New Roman"/>
            <w:noProof/>
            <w:webHidden/>
            <w:sz w:val="20"/>
            <w:szCs w:val="20"/>
            <w:lang w:eastAsia="en-AU"/>
          </w:rPr>
          <w:instrText xml:space="preserve"> PAGEREF _Toc447709935 \h </w:instrText>
        </w:r>
        <w:r w:rsidRPr="0002219C">
          <w:rPr>
            <w:rFonts w:ascii="Arial" w:eastAsia="Times New Roman" w:hAnsi="Arial" w:cs="Times New Roman"/>
            <w:noProof/>
            <w:webHidden/>
            <w:sz w:val="20"/>
            <w:szCs w:val="20"/>
            <w:lang w:eastAsia="en-AU"/>
          </w:rPr>
        </w:r>
        <w:r w:rsidRPr="0002219C">
          <w:rPr>
            <w:rFonts w:ascii="Arial" w:eastAsia="Times New Roman" w:hAnsi="Arial" w:cs="Times New Roman"/>
            <w:noProof/>
            <w:webHidden/>
            <w:sz w:val="20"/>
            <w:szCs w:val="20"/>
            <w:lang w:eastAsia="en-AU"/>
          </w:rPr>
          <w:fldChar w:fldCharType="separate"/>
        </w:r>
        <w:r w:rsidRPr="0002219C">
          <w:rPr>
            <w:rFonts w:ascii="Arial" w:eastAsia="Times New Roman" w:hAnsi="Arial" w:cs="Times New Roman"/>
            <w:noProof/>
            <w:webHidden/>
            <w:sz w:val="20"/>
            <w:szCs w:val="20"/>
            <w:lang w:eastAsia="en-AU"/>
          </w:rPr>
          <w:t>189</w:t>
        </w:r>
        <w:r w:rsidRPr="0002219C">
          <w:rPr>
            <w:rFonts w:ascii="Arial" w:eastAsia="Times New Roman" w:hAnsi="Arial" w:cs="Times New Roman"/>
            <w:noProof/>
            <w:webHidden/>
            <w:sz w:val="20"/>
            <w:szCs w:val="20"/>
            <w:lang w:eastAsia="en-AU"/>
          </w:rPr>
          <w:fldChar w:fldCharType="end"/>
        </w:r>
      </w:hyperlink>
    </w:p>
    <w:p w:rsidR="0002219C" w:rsidRPr="0002219C" w:rsidRDefault="0002219C" w:rsidP="0002219C">
      <w:pPr>
        <w:keepNext/>
        <w:tabs>
          <w:tab w:val="left" w:pos="800"/>
          <w:tab w:val="right" w:leader="dot" w:pos="7700"/>
        </w:tabs>
        <w:spacing w:before="80" w:after="0" w:line="240" w:lineRule="auto"/>
        <w:ind w:right="851"/>
        <w:rPr>
          <w:rFonts w:eastAsiaTheme="minorEastAsia"/>
          <w:noProof/>
          <w:lang w:eastAsia="en-AU"/>
        </w:rPr>
      </w:pPr>
      <w:hyperlink w:anchor="_Toc447709936" w:history="1">
        <w:r w:rsidRPr="0002219C">
          <w:rPr>
            <w:rFonts w:ascii="Arial" w:eastAsia="Times New Roman" w:hAnsi="Arial" w:cs="Times New Roman"/>
            <w:noProof/>
            <w:color w:val="000000"/>
            <w:sz w:val="20"/>
            <w:szCs w:val="20"/>
            <w:lang w:eastAsia="en-AU"/>
          </w:rPr>
          <w:t>1.3</w:t>
        </w:r>
        <w:r w:rsidRPr="0002219C">
          <w:rPr>
            <w:rFonts w:eastAsiaTheme="minorEastAsia"/>
            <w:noProof/>
            <w:lang w:eastAsia="en-AU"/>
          </w:rPr>
          <w:tab/>
        </w:r>
        <w:r w:rsidRPr="0002219C">
          <w:rPr>
            <w:rFonts w:ascii="Arial" w:eastAsia="Times New Roman" w:hAnsi="Arial" w:cs="Times New Roman"/>
            <w:noProof/>
            <w:color w:val="000000"/>
            <w:sz w:val="20"/>
            <w:szCs w:val="20"/>
            <w:lang w:eastAsia="en-AU"/>
          </w:rPr>
          <w:t>Budget measures</w:t>
        </w:r>
        <w:r w:rsidRPr="0002219C">
          <w:rPr>
            <w:rFonts w:ascii="Arial" w:eastAsia="Times New Roman" w:hAnsi="Arial" w:cs="Times New Roman"/>
            <w:noProof/>
            <w:webHidden/>
            <w:sz w:val="20"/>
            <w:szCs w:val="20"/>
            <w:lang w:eastAsia="en-AU"/>
          </w:rPr>
          <w:tab/>
        </w:r>
        <w:r w:rsidRPr="0002219C">
          <w:rPr>
            <w:rFonts w:ascii="Arial" w:eastAsia="Times New Roman" w:hAnsi="Arial" w:cs="Times New Roman"/>
            <w:noProof/>
            <w:webHidden/>
            <w:sz w:val="20"/>
            <w:szCs w:val="20"/>
            <w:lang w:eastAsia="en-AU"/>
          </w:rPr>
          <w:fldChar w:fldCharType="begin"/>
        </w:r>
        <w:r w:rsidRPr="0002219C">
          <w:rPr>
            <w:rFonts w:ascii="Arial" w:eastAsia="Times New Roman" w:hAnsi="Arial" w:cs="Times New Roman"/>
            <w:noProof/>
            <w:webHidden/>
            <w:sz w:val="20"/>
            <w:szCs w:val="20"/>
            <w:lang w:eastAsia="en-AU"/>
          </w:rPr>
          <w:instrText xml:space="preserve"> PAGEREF _Toc447709936 \h </w:instrText>
        </w:r>
        <w:r w:rsidRPr="0002219C">
          <w:rPr>
            <w:rFonts w:ascii="Arial" w:eastAsia="Times New Roman" w:hAnsi="Arial" w:cs="Times New Roman"/>
            <w:noProof/>
            <w:webHidden/>
            <w:sz w:val="20"/>
            <w:szCs w:val="20"/>
            <w:lang w:eastAsia="en-AU"/>
          </w:rPr>
        </w:r>
        <w:r w:rsidRPr="0002219C">
          <w:rPr>
            <w:rFonts w:ascii="Arial" w:eastAsia="Times New Roman" w:hAnsi="Arial" w:cs="Times New Roman"/>
            <w:noProof/>
            <w:webHidden/>
            <w:sz w:val="20"/>
            <w:szCs w:val="20"/>
            <w:lang w:eastAsia="en-AU"/>
          </w:rPr>
          <w:fldChar w:fldCharType="separate"/>
        </w:r>
        <w:r w:rsidRPr="0002219C">
          <w:rPr>
            <w:rFonts w:ascii="Arial" w:eastAsia="Times New Roman" w:hAnsi="Arial" w:cs="Times New Roman"/>
            <w:noProof/>
            <w:webHidden/>
            <w:sz w:val="20"/>
            <w:szCs w:val="20"/>
            <w:lang w:eastAsia="en-AU"/>
          </w:rPr>
          <w:t>190</w:t>
        </w:r>
        <w:r w:rsidRPr="0002219C">
          <w:rPr>
            <w:rFonts w:ascii="Arial" w:eastAsia="Times New Roman" w:hAnsi="Arial" w:cs="Times New Roman"/>
            <w:noProof/>
            <w:webHidden/>
            <w:sz w:val="20"/>
            <w:szCs w:val="20"/>
            <w:lang w:eastAsia="en-AU"/>
          </w:rPr>
          <w:fldChar w:fldCharType="end"/>
        </w:r>
      </w:hyperlink>
    </w:p>
    <w:p w:rsidR="0002219C" w:rsidRPr="0002219C" w:rsidRDefault="0002219C" w:rsidP="0002219C">
      <w:pPr>
        <w:tabs>
          <w:tab w:val="right" w:leader="dot" w:pos="7700"/>
        </w:tabs>
        <w:spacing w:before="240" w:after="0" w:line="240" w:lineRule="auto"/>
        <w:ind w:right="851"/>
        <w:rPr>
          <w:rFonts w:eastAsiaTheme="minorEastAsia"/>
          <w:noProof/>
          <w:lang w:eastAsia="en-AU"/>
        </w:rPr>
      </w:pPr>
      <w:hyperlink w:anchor="_Toc447709937" w:history="1">
        <w:r w:rsidRPr="0002219C">
          <w:rPr>
            <w:rFonts w:ascii="Arial" w:eastAsia="Times New Roman" w:hAnsi="Arial" w:cs="Times New Roman"/>
            <w:b/>
            <w:noProof/>
            <w:color w:val="000000"/>
            <w:sz w:val="20"/>
            <w:szCs w:val="20"/>
            <w:lang w:eastAsia="en-AU"/>
          </w:rPr>
          <w:t>Section 2: Outcomes and planned performance</w:t>
        </w:r>
        <w:r w:rsidRPr="0002219C">
          <w:rPr>
            <w:rFonts w:ascii="Arial" w:eastAsia="Times New Roman" w:hAnsi="Arial" w:cs="Times New Roman"/>
            <w:b/>
            <w:noProof/>
            <w:webHidden/>
            <w:sz w:val="20"/>
            <w:szCs w:val="20"/>
            <w:lang w:eastAsia="en-AU"/>
          </w:rPr>
          <w:tab/>
        </w:r>
        <w:r w:rsidRPr="0002219C">
          <w:rPr>
            <w:rFonts w:ascii="Arial" w:eastAsia="Times New Roman" w:hAnsi="Arial" w:cs="Times New Roman"/>
            <w:b/>
            <w:noProof/>
            <w:webHidden/>
            <w:sz w:val="20"/>
            <w:szCs w:val="20"/>
            <w:lang w:eastAsia="en-AU"/>
          </w:rPr>
          <w:fldChar w:fldCharType="begin"/>
        </w:r>
        <w:r w:rsidRPr="0002219C">
          <w:rPr>
            <w:rFonts w:ascii="Arial" w:eastAsia="Times New Roman" w:hAnsi="Arial" w:cs="Times New Roman"/>
            <w:b/>
            <w:noProof/>
            <w:webHidden/>
            <w:sz w:val="20"/>
            <w:szCs w:val="20"/>
            <w:lang w:eastAsia="en-AU"/>
          </w:rPr>
          <w:instrText xml:space="preserve"> PAGEREF _Toc447709937 \h </w:instrText>
        </w:r>
        <w:r w:rsidRPr="0002219C">
          <w:rPr>
            <w:rFonts w:ascii="Arial" w:eastAsia="Times New Roman" w:hAnsi="Arial" w:cs="Times New Roman"/>
            <w:b/>
            <w:noProof/>
            <w:webHidden/>
            <w:sz w:val="20"/>
            <w:szCs w:val="20"/>
            <w:lang w:eastAsia="en-AU"/>
          </w:rPr>
        </w:r>
        <w:r w:rsidRPr="0002219C">
          <w:rPr>
            <w:rFonts w:ascii="Arial" w:eastAsia="Times New Roman" w:hAnsi="Arial" w:cs="Times New Roman"/>
            <w:b/>
            <w:noProof/>
            <w:webHidden/>
            <w:sz w:val="20"/>
            <w:szCs w:val="20"/>
            <w:lang w:eastAsia="en-AU"/>
          </w:rPr>
          <w:fldChar w:fldCharType="separate"/>
        </w:r>
        <w:r w:rsidRPr="0002219C">
          <w:rPr>
            <w:rFonts w:ascii="Arial" w:eastAsia="Times New Roman" w:hAnsi="Arial" w:cs="Times New Roman"/>
            <w:b/>
            <w:noProof/>
            <w:webHidden/>
            <w:sz w:val="20"/>
            <w:szCs w:val="20"/>
            <w:lang w:eastAsia="en-AU"/>
          </w:rPr>
          <w:t>191</w:t>
        </w:r>
        <w:r w:rsidRPr="0002219C">
          <w:rPr>
            <w:rFonts w:ascii="Arial" w:eastAsia="Times New Roman" w:hAnsi="Arial" w:cs="Times New Roman"/>
            <w:b/>
            <w:noProof/>
            <w:webHidden/>
            <w:sz w:val="20"/>
            <w:szCs w:val="20"/>
            <w:lang w:eastAsia="en-AU"/>
          </w:rPr>
          <w:fldChar w:fldCharType="end"/>
        </w:r>
      </w:hyperlink>
    </w:p>
    <w:p w:rsidR="0002219C" w:rsidRPr="0002219C" w:rsidRDefault="0002219C" w:rsidP="0002219C">
      <w:pPr>
        <w:keepNext/>
        <w:tabs>
          <w:tab w:val="left" w:pos="800"/>
          <w:tab w:val="right" w:leader="dot" w:pos="7700"/>
        </w:tabs>
        <w:spacing w:before="80" w:after="0" w:line="240" w:lineRule="auto"/>
        <w:ind w:right="851"/>
        <w:rPr>
          <w:rFonts w:eastAsiaTheme="minorEastAsia"/>
          <w:noProof/>
          <w:lang w:eastAsia="en-AU"/>
        </w:rPr>
      </w:pPr>
      <w:hyperlink w:anchor="_Toc447709938" w:history="1">
        <w:r w:rsidRPr="0002219C">
          <w:rPr>
            <w:rFonts w:ascii="Arial" w:eastAsia="Times New Roman" w:hAnsi="Arial" w:cs="Times New Roman"/>
            <w:noProof/>
            <w:color w:val="000000"/>
            <w:sz w:val="20"/>
            <w:szCs w:val="20"/>
            <w:lang w:eastAsia="en-AU"/>
          </w:rPr>
          <w:t xml:space="preserve">2.1 </w:t>
        </w:r>
        <w:r w:rsidRPr="0002219C">
          <w:rPr>
            <w:rFonts w:eastAsiaTheme="minorEastAsia"/>
            <w:noProof/>
            <w:lang w:eastAsia="en-AU"/>
          </w:rPr>
          <w:tab/>
        </w:r>
        <w:r w:rsidRPr="0002219C">
          <w:rPr>
            <w:rFonts w:ascii="Arial" w:eastAsia="Times New Roman" w:hAnsi="Arial" w:cs="Times New Roman"/>
            <w:noProof/>
            <w:color w:val="000000"/>
            <w:sz w:val="20"/>
            <w:szCs w:val="20"/>
            <w:lang w:eastAsia="en-AU"/>
          </w:rPr>
          <w:t>Budgeted expenses and performance for Outcome 1</w:t>
        </w:r>
        <w:r w:rsidRPr="0002219C">
          <w:rPr>
            <w:rFonts w:ascii="Arial" w:eastAsia="Times New Roman" w:hAnsi="Arial" w:cs="Times New Roman"/>
            <w:noProof/>
            <w:webHidden/>
            <w:sz w:val="20"/>
            <w:szCs w:val="20"/>
            <w:lang w:eastAsia="en-AU"/>
          </w:rPr>
          <w:tab/>
        </w:r>
        <w:r w:rsidRPr="0002219C">
          <w:rPr>
            <w:rFonts w:ascii="Arial" w:eastAsia="Times New Roman" w:hAnsi="Arial" w:cs="Times New Roman"/>
            <w:noProof/>
            <w:webHidden/>
            <w:sz w:val="20"/>
            <w:szCs w:val="20"/>
            <w:lang w:eastAsia="en-AU"/>
          </w:rPr>
          <w:fldChar w:fldCharType="begin"/>
        </w:r>
        <w:r w:rsidRPr="0002219C">
          <w:rPr>
            <w:rFonts w:ascii="Arial" w:eastAsia="Times New Roman" w:hAnsi="Arial" w:cs="Times New Roman"/>
            <w:noProof/>
            <w:webHidden/>
            <w:sz w:val="20"/>
            <w:szCs w:val="20"/>
            <w:lang w:eastAsia="en-AU"/>
          </w:rPr>
          <w:instrText xml:space="preserve"> PAGEREF _Toc447709938 \h </w:instrText>
        </w:r>
        <w:r w:rsidRPr="0002219C">
          <w:rPr>
            <w:rFonts w:ascii="Arial" w:eastAsia="Times New Roman" w:hAnsi="Arial" w:cs="Times New Roman"/>
            <w:noProof/>
            <w:webHidden/>
            <w:sz w:val="20"/>
            <w:szCs w:val="20"/>
            <w:lang w:eastAsia="en-AU"/>
          </w:rPr>
        </w:r>
        <w:r w:rsidRPr="0002219C">
          <w:rPr>
            <w:rFonts w:ascii="Arial" w:eastAsia="Times New Roman" w:hAnsi="Arial" w:cs="Times New Roman"/>
            <w:noProof/>
            <w:webHidden/>
            <w:sz w:val="20"/>
            <w:szCs w:val="20"/>
            <w:lang w:eastAsia="en-AU"/>
          </w:rPr>
          <w:fldChar w:fldCharType="separate"/>
        </w:r>
        <w:r w:rsidRPr="0002219C">
          <w:rPr>
            <w:rFonts w:ascii="Arial" w:eastAsia="Times New Roman" w:hAnsi="Arial" w:cs="Times New Roman"/>
            <w:noProof/>
            <w:webHidden/>
            <w:sz w:val="20"/>
            <w:szCs w:val="20"/>
            <w:lang w:eastAsia="en-AU"/>
          </w:rPr>
          <w:t>192</w:t>
        </w:r>
        <w:r w:rsidRPr="0002219C">
          <w:rPr>
            <w:rFonts w:ascii="Arial" w:eastAsia="Times New Roman" w:hAnsi="Arial" w:cs="Times New Roman"/>
            <w:noProof/>
            <w:webHidden/>
            <w:sz w:val="20"/>
            <w:szCs w:val="20"/>
            <w:lang w:eastAsia="en-AU"/>
          </w:rPr>
          <w:fldChar w:fldCharType="end"/>
        </w:r>
      </w:hyperlink>
    </w:p>
    <w:p w:rsidR="0002219C" w:rsidRPr="0002219C" w:rsidRDefault="0002219C" w:rsidP="0002219C">
      <w:pPr>
        <w:tabs>
          <w:tab w:val="right" w:leader="dot" w:pos="7700"/>
        </w:tabs>
        <w:spacing w:before="240" w:after="0" w:line="240" w:lineRule="auto"/>
        <w:ind w:right="851"/>
        <w:rPr>
          <w:rFonts w:eastAsiaTheme="minorEastAsia"/>
          <w:noProof/>
          <w:lang w:eastAsia="en-AU"/>
        </w:rPr>
      </w:pPr>
      <w:hyperlink w:anchor="_Toc447709939" w:history="1">
        <w:r w:rsidRPr="0002219C">
          <w:rPr>
            <w:rFonts w:ascii="Arial" w:eastAsia="Times New Roman" w:hAnsi="Arial" w:cs="Times New Roman"/>
            <w:b/>
            <w:noProof/>
            <w:color w:val="000000"/>
            <w:sz w:val="20"/>
            <w:szCs w:val="20"/>
            <w:lang w:eastAsia="en-AU"/>
          </w:rPr>
          <w:t>Section 3: Budgeted financial statements</w:t>
        </w:r>
        <w:r w:rsidRPr="0002219C">
          <w:rPr>
            <w:rFonts w:ascii="Arial" w:eastAsia="Times New Roman" w:hAnsi="Arial" w:cs="Times New Roman"/>
            <w:b/>
            <w:noProof/>
            <w:webHidden/>
            <w:sz w:val="20"/>
            <w:szCs w:val="20"/>
            <w:lang w:eastAsia="en-AU"/>
          </w:rPr>
          <w:tab/>
        </w:r>
        <w:r w:rsidRPr="0002219C">
          <w:rPr>
            <w:rFonts w:ascii="Arial" w:eastAsia="Times New Roman" w:hAnsi="Arial" w:cs="Times New Roman"/>
            <w:b/>
            <w:noProof/>
            <w:webHidden/>
            <w:sz w:val="20"/>
            <w:szCs w:val="20"/>
            <w:lang w:eastAsia="en-AU"/>
          </w:rPr>
          <w:fldChar w:fldCharType="begin"/>
        </w:r>
        <w:r w:rsidRPr="0002219C">
          <w:rPr>
            <w:rFonts w:ascii="Arial" w:eastAsia="Times New Roman" w:hAnsi="Arial" w:cs="Times New Roman"/>
            <w:b/>
            <w:noProof/>
            <w:webHidden/>
            <w:sz w:val="20"/>
            <w:szCs w:val="20"/>
            <w:lang w:eastAsia="en-AU"/>
          </w:rPr>
          <w:instrText xml:space="preserve"> PAGEREF _Toc447709939 \h </w:instrText>
        </w:r>
        <w:r w:rsidRPr="0002219C">
          <w:rPr>
            <w:rFonts w:ascii="Arial" w:eastAsia="Times New Roman" w:hAnsi="Arial" w:cs="Times New Roman"/>
            <w:b/>
            <w:noProof/>
            <w:webHidden/>
            <w:sz w:val="20"/>
            <w:szCs w:val="20"/>
            <w:lang w:eastAsia="en-AU"/>
          </w:rPr>
        </w:r>
        <w:r w:rsidRPr="0002219C">
          <w:rPr>
            <w:rFonts w:ascii="Arial" w:eastAsia="Times New Roman" w:hAnsi="Arial" w:cs="Times New Roman"/>
            <w:b/>
            <w:noProof/>
            <w:webHidden/>
            <w:sz w:val="20"/>
            <w:szCs w:val="20"/>
            <w:lang w:eastAsia="en-AU"/>
          </w:rPr>
          <w:fldChar w:fldCharType="separate"/>
        </w:r>
        <w:r w:rsidRPr="0002219C">
          <w:rPr>
            <w:rFonts w:ascii="Arial" w:eastAsia="Times New Roman" w:hAnsi="Arial" w:cs="Times New Roman"/>
            <w:b/>
            <w:noProof/>
            <w:webHidden/>
            <w:sz w:val="20"/>
            <w:szCs w:val="20"/>
            <w:lang w:eastAsia="en-AU"/>
          </w:rPr>
          <w:t>195</w:t>
        </w:r>
        <w:r w:rsidRPr="0002219C">
          <w:rPr>
            <w:rFonts w:ascii="Arial" w:eastAsia="Times New Roman" w:hAnsi="Arial" w:cs="Times New Roman"/>
            <w:b/>
            <w:noProof/>
            <w:webHidden/>
            <w:sz w:val="20"/>
            <w:szCs w:val="20"/>
            <w:lang w:eastAsia="en-AU"/>
          </w:rPr>
          <w:fldChar w:fldCharType="end"/>
        </w:r>
      </w:hyperlink>
    </w:p>
    <w:p w:rsidR="0002219C" w:rsidRPr="0002219C" w:rsidRDefault="0002219C" w:rsidP="0002219C">
      <w:pPr>
        <w:keepNext/>
        <w:tabs>
          <w:tab w:val="left" w:pos="800"/>
          <w:tab w:val="right" w:leader="dot" w:pos="7700"/>
        </w:tabs>
        <w:spacing w:before="80" w:after="0" w:line="240" w:lineRule="auto"/>
        <w:ind w:right="851"/>
        <w:rPr>
          <w:rFonts w:eastAsiaTheme="minorEastAsia"/>
          <w:noProof/>
          <w:lang w:eastAsia="en-AU"/>
        </w:rPr>
      </w:pPr>
      <w:hyperlink w:anchor="_Toc447709940" w:history="1">
        <w:r w:rsidRPr="0002219C">
          <w:rPr>
            <w:rFonts w:ascii="Arial" w:eastAsia="Times New Roman" w:hAnsi="Arial" w:cs="Times New Roman"/>
            <w:noProof/>
            <w:color w:val="000000"/>
            <w:sz w:val="20"/>
            <w:szCs w:val="20"/>
            <w:lang w:eastAsia="en-AU"/>
          </w:rPr>
          <w:t>3.1</w:t>
        </w:r>
        <w:r w:rsidRPr="0002219C">
          <w:rPr>
            <w:rFonts w:eastAsiaTheme="minorEastAsia"/>
            <w:noProof/>
            <w:lang w:eastAsia="en-AU"/>
          </w:rPr>
          <w:tab/>
        </w:r>
        <w:r w:rsidRPr="0002219C">
          <w:rPr>
            <w:rFonts w:ascii="Arial" w:eastAsia="Times New Roman" w:hAnsi="Arial" w:cs="Times New Roman"/>
            <w:noProof/>
            <w:color w:val="000000"/>
            <w:sz w:val="20"/>
            <w:szCs w:val="20"/>
            <w:lang w:eastAsia="en-AU"/>
          </w:rPr>
          <w:t>Budgeted financial statements</w:t>
        </w:r>
        <w:r w:rsidRPr="0002219C">
          <w:rPr>
            <w:rFonts w:ascii="Arial" w:eastAsia="Times New Roman" w:hAnsi="Arial" w:cs="Times New Roman"/>
            <w:noProof/>
            <w:webHidden/>
            <w:sz w:val="20"/>
            <w:szCs w:val="20"/>
            <w:lang w:eastAsia="en-AU"/>
          </w:rPr>
          <w:tab/>
        </w:r>
        <w:r w:rsidRPr="0002219C">
          <w:rPr>
            <w:rFonts w:ascii="Arial" w:eastAsia="Times New Roman" w:hAnsi="Arial" w:cs="Times New Roman"/>
            <w:noProof/>
            <w:webHidden/>
            <w:sz w:val="20"/>
            <w:szCs w:val="20"/>
            <w:lang w:eastAsia="en-AU"/>
          </w:rPr>
          <w:fldChar w:fldCharType="begin"/>
        </w:r>
        <w:r w:rsidRPr="0002219C">
          <w:rPr>
            <w:rFonts w:ascii="Arial" w:eastAsia="Times New Roman" w:hAnsi="Arial" w:cs="Times New Roman"/>
            <w:noProof/>
            <w:webHidden/>
            <w:sz w:val="20"/>
            <w:szCs w:val="20"/>
            <w:lang w:eastAsia="en-AU"/>
          </w:rPr>
          <w:instrText xml:space="preserve"> PAGEREF _Toc447709940 \h </w:instrText>
        </w:r>
        <w:r w:rsidRPr="0002219C">
          <w:rPr>
            <w:rFonts w:ascii="Arial" w:eastAsia="Times New Roman" w:hAnsi="Arial" w:cs="Times New Roman"/>
            <w:noProof/>
            <w:webHidden/>
            <w:sz w:val="20"/>
            <w:szCs w:val="20"/>
            <w:lang w:eastAsia="en-AU"/>
          </w:rPr>
        </w:r>
        <w:r w:rsidRPr="0002219C">
          <w:rPr>
            <w:rFonts w:ascii="Arial" w:eastAsia="Times New Roman" w:hAnsi="Arial" w:cs="Times New Roman"/>
            <w:noProof/>
            <w:webHidden/>
            <w:sz w:val="20"/>
            <w:szCs w:val="20"/>
            <w:lang w:eastAsia="en-AU"/>
          </w:rPr>
          <w:fldChar w:fldCharType="separate"/>
        </w:r>
        <w:r w:rsidRPr="0002219C">
          <w:rPr>
            <w:rFonts w:ascii="Arial" w:eastAsia="Times New Roman" w:hAnsi="Arial" w:cs="Times New Roman"/>
            <w:noProof/>
            <w:webHidden/>
            <w:sz w:val="20"/>
            <w:szCs w:val="20"/>
            <w:lang w:eastAsia="en-AU"/>
          </w:rPr>
          <w:t>195</w:t>
        </w:r>
        <w:r w:rsidRPr="0002219C">
          <w:rPr>
            <w:rFonts w:ascii="Arial" w:eastAsia="Times New Roman" w:hAnsi="Arial" w:cs="Times New Roman"/>
            <w:noProof/>
            <w:webHidden/>
            <w:sz w:val="20"/>
            <w:szCs w:val="20"/>
            <w:lang w:eastAsia="en-AU"/>
          </w:rPr>
          <w:fldChar w:fldCharType="end"/>
        </w:r>
      </w:hyperlink>
    </w:p>
    <w:p w:rsidR="0002219C" w:rsidRPr="0002219C" w:rsidRDefault="0002219C" w:rsidP="0002219C">
      <w:pPr>
        <w:keepNext/>
        <w:tabs>
          <w:tab w:val="left" w:pos="800"/>
          <w:tab w:val="right" w:leader="dot" w:pos="7700"/>
        </w:tabs>
        <w:spacing w:before="80" w:after="0" w:line="240" w:lineRule="auto"/>
        <w:ind w:right="851"/>
        <w:rPr>
          <w:rFonts w:eastAsiaTheme="minorEastAsia"/>
          <w:noProof/>
          <w:lang w:eastAsia="en-AU"/>
        </w:rPr>
      </w:pPr>
      <w:hyperlink w:anchor="_Toc447709941" w:history="1">
        <w:r w:rsidRPr="0002219C">
          <w:rPr>
            <w:rFonts w:ascii="Arial" w:eastAsia="Times New Roman" w:hAnsi="Arial" w:cs="Times New Roman"/>
            <w:noProof/>
            <w:color w:val="000000"/>
            <w:sz w:val="20"/>
            <w:szCs w:val="20"/>
            <w:lang w:eastAsia="en-AU"/>
          </w:rPr>
          <w:t>3.2.1</w:t>
        </w:r>
        <w:r w:rsidRPr="0002219C">
          <w:rPr>
            <w:rFonts w:eastAsiaTheme="minorEastAsia"/>
            <w:noProof/>
            <w:lang w:eastAsia="en-AU"/>
          </w:rPr>
          <w:tab/>
        </w:r>
        <w:r w:rsidRPr="0002219C">
          <w:rPr>
            <w:rFonts w:ascii="Arial" w:eastAsia="Times New Roman" w:hAnsi="Arial" w:cs="Times New Roman"/>
            <w:noProof/>
            <w:color w:val="000000"/>
            <w:sz w:val="20"/>
            <w:szCs w:val="20"/>
            <w:lang w:eastAsia="en-AU"/>
          </w:rPr>
          <w:t>Budgeted financial statements tables</w:t>
        </w:r>
        <w:r w:rsidRPr="0002219C">
          <w:rPr>
            <w:rFonts w:ascii="Arial" w:eastAsia="Times New Roman" w:hAnsi="Arial" w:cs="Times New Roman"/>
            <w:noProof/>
            <w:webHidden/>
            <w:sz w:val="20"/>
            <w:szCs w:val="20"/>
            <w:lang w:eastAsia="en-AU"/>
          </w:rPr>
          <w:tab/>
        </w:r>
        <w:r w:rsidRPr="0002219C">
          <w:rPr>
            <w:rFonts w:ascii="Arial" w:eastAsia="Times New Roman" w:hAnsi="Arial" w:cs="Times New Roman"/>
            <w:noProof/>
            <w:webHidden/>
            <w:sz w:val="20"/>
            <w:szCs w:val="20"/>
            <w:lang w:eastAsia="en-AU"/>
          </w:rPr>
          <w:fldChar w:fldCharType="begin"/>
        </w:r>
        <w:r w:rsidRPr="0002219C">
          <w:rPr>
            <w:rFonts w:ascii="Arial" w:eastAsia="Times New Roman" w:hAnsi="Arial" w:cs="Times New Roman"/>
            <w:noProof/>
            <w:webHidden/>
            <w:sz w:val="20"/>
            <w:szCs w:val="20"/>
            <w:lang w:eastAsia="en-AU"/>
          </w:rPr>
          <w:instrText xml:space="preserve"> PAGEREF _Toc447709941 \h </w:instrText>
        </w:r>
        <w:r w:rsidRPr="0002219C">
          <w:rPr>
            <w:rFonts w:ascii="Arial" w:eastAsia="Times New Roman" w:hAnsi="Arial" w:cs="Times New Roman"/>
            <w:noProof/>
            <w:webHidden/>
            <w:sz w:val="20"/>
            <w:szCs w:val="20"/>
            <w:lang w:eastAsia="en-AU"/>
          </w:rPr>
        </w:r>
        <w:r w:rsidRPr="0002219C">
          <w:rPr>
            <w:rFonts w:ascii="Arial" w:eastAsia="Times New Roman" w:hAnsi="Arial" w:cs="Times New Roman"/>
            <w:noProof/>
            <w:webHidden/>
            <w:sz w:val="20"/>
            <w:szCs w:val="20"/>
            <w:lang w:eastAsia="en-AU"/>
          </w:rPr>
          <w:fldChar w:fldCharType="separate"/>
        </w:r>
        <w:r w:rsidRPr="0002219C">
          <w:rPr>
            <w:rFonts w:ascii="Arial" w:eastAsia="Times New Roman" w:hAnsi="Arial" w:cs="Times New Roman"/>
            <w:noProof/>
            <w:webHidden/>
            <w:sz w:val="20"/>
            <w:szCs w:val="20"/>
            <w:lang w:eastAsia="en-AU"/>
          </w:rPr>
          <w:t>196</w:t>
        </w:r>
        <w:r w:rsidRPr="0002219C">
          <w:rPr>
            <w:rFonts w:ascii="Arial" w:eastAsia="Times New Roman" w:hAnsi="Arial" w:cs="Times New Roman"/>
            <w:noProof/>
            <w:webHidden/>
            <w:sz w:val="20"/>
            <w:szCs w:val="20"/>
            <w:lang w:eastAsia="en-AU"/>
          </w:rPr>
          <w:fldChar w:fldCharType="end"/>
        </w:r>
      </w:hyperlink>
    </w:p>
    <w:p w:rsidR="0002219C" w:rsidRPr="0002219C" w:rsidRDefault="0002219C" w:rsidP="0002219C">
      <w:pPr>
        <w:tabs>
          <w:tab w:val="right" w:leader="dot" w:pos="7700"/>
        </w:tabs>
        <w:spacing w:before="240" w:after="0" w:line="240" w:lineRule="auto"/>
        <w:ind w:right="851"/>
        <w:rPr>
          <w:rFonts w:ascii="Arial" w:eastAsia="Times New Roman" w:hAnsi="Arial" w:cs="Times New Roman"/>
          <w:b/>
          <w:sz w:val="20"/>
          <w:szCs w:val="20"/>
          <w:lang w:eastAsia="en-AU"/>
        </w:rPr>
      </w:pPr>
      <w:r w:rsidRPr="0002219C">
        <w:rPr>
          <w:rFonts w:ascii="Arial" w:eastAsia="Times New Roman" w:hAnsi="Arial" w:cs="Times New Roman"/>
          <w:b/>
          <w:sz w:val="20"/>
          <w:szCs w:val="20"/>
          <w:lang w:eastAsia="en-AU"/>
        </w:rPr>
        <w:fldChar w:fldCharType="end"/>
      </w:r>
    </w:p>
    <w:p w:rsidR="0002219C" w:rsidRPr="0002219C" w:rsidRDefault="0002219C" w:rsidP="0002219C">
      <w:pPr>
        <w:spacing w:after="120" w:line="240" w:lineRule="auto"/>
        <w:rPr>
          <w:rFonts w:ascii="Book Antiqua" w:eastAsia="Times New Roman" w:hAnsi="Book Antiqua" w:cs="Times New Roman"/>
          <w:szCs w:val="20"/>
          <w:lang w:eastAsia="en-AU"/>
        </w:rPr>
      </w:pPr>
    </w:p>
    <w:p w:rsidR="0002219C" w:rsidRPr="0002219C" w:rsidRDefault="0002219C" w:rsidP="0002219C">
      <w:pPr>
        <w:keepNext/>
        <w:spacing w:after="240" w:line="240" w:lineRule="auto"/>
        <w:jc w:val="center"/>
        <w:outlineLvl w:val="0"/>
        <w:rPr>
          <w:rFonts w:ascii="Arial" w:eastAsia="Times New Roman" w:hAnsi="Arial" w:cs="Times New Roman"/>
          <w:b/>
          <w:smallCaps/>
          <w:kern w:val="28"/>
          <w:sz w:val="34"/>
          <w:szCs w:val="20"/>
          <w:lang w:eastAsia="en-AU"/>
        </w:rPr>
        <w:sectPr w:rsidR="0002219C" w:rsidRPr="0002219C" w:rsidSect="00C46B04">
          <w:headerReference w:type="default" r:id="rId11"/>
          <w:footerReference w:type="default" r:id="rId12"/>
          <w:type w:val="oddPage"/>
          <w:pgSz w:w="11907" w:h="16839" w:code="9"/>
          <w:pgMar w:top="2466" w:right="2098" w:bottom="2466" w:left="2098" w:header="1899" w:footer="1899" w:gutter="0"/>
          <w:cols w:space="708"/>
          <w:docGrid w:linePitch="360"/>
        </w:sectPr>
      </w:pPr>
      <w:bookmarkStart w:id="1" w:name="_Toc447611893"/>
    </w:p>
    <w:p w:rsidR="0002219C" w:rsidRPr="0002219C" w:rsidRDefault="0002219C" w:rsidP="0002219C">
      <w:pPr>
        <w:keepNext/>
        <w:spacing w:after="240" w:line="240" w:lineRule="auto"/>
        <w:jc w:val="center"/>
        <w:outlineLvl w:val="0"/>
        <w:rPr>
          <w:rFonts w:ascii="Arial" w:eastAsia="Times New Roman" w:hAnsi="Arial" w:cs="Times New Roman"/>
          <w:b/>
          <w:smallCaps/>
          <w:kern w:val="28"/>
          <w:sz w:val="34"/>
          <w:szCs w:val="20"/>
          <w:lang w:eastAsia="en-AU"/>
        </w:rPr>
      </w:pPr>
      <w:r w:rsidRPr="0002219C">
        <w:rPr>
          <w:rFonts w:ascii="Arial" w:eastAsia="Times New Roman" w:hAnsi="Arial" w:cs="Times New Roman"/>
          <w:b/>
          <w:smallCaps/>
          <w:kern w:val="28"/>
          <w:sz w:val="34"/>
          <w:szCs w:val="20"/>
          <w:lang w:eastAsia="en-AU"/>
        </w:rPr>
        <w:lastRenderedPageBreak/>
        <w:t>Workplace Gender Equality Agency</w:t>
      </w:r>
      <w:bookmarkEnd w:id="1"/>
    </w:p>
    <w:p w:rsidR="0002219C" w:rsidRPr="0002219C" w:rsidRDefault="0002219C" w:rsidP="0002219C">
      <w:pPr>
        <w:keepNext/>
        <w:spacing w:before="240" w:after="240" w:line="240" w:lineRule="auto"/>
        <w:outlineLvl w:val="1"/>
        <w:rPr>
          <w:rFonts w:ascii="Arial" w:eastAsia="Times New Roman" w:hAnsi="Arial" w:cs="Times New Roman"/>
          <w:sz w:val="30"/>
          <w:szCs w:val="20"/>
          <w:lang w:eastAsia="en-AU"/>
        </w:rPr>
      </w:pPr>
      <w:bookmarkStart w:id="2" w:name="_Toc447013818"/>
      <w:bookmarkStart w:id="3" w:name="_Toc447115216"/>
      <w:bookmarkStart w:id="4" w:name="_Toc447115299"/>
      <w:bookmarkStart w:id="5" w:name="_Toc447115479"/>
      <w:bookmarkStart w:id="6" w:name="_Toc447116770"/>
      <w:bookmarkStart w:id="7" w:name="_Toc447117999"/>
      <w:bookmarkStart w:id="8" w:name="_Toc447119432"/>
      <w:bookmarkStart w:id="9" w:name="_Toc447709933"/>
      <w:bookmarkStart w:id="10" w:name="_Toc449100258"/>
      <w:bookmarkStart w:id="11" w:name="_Toc449623635"/>
      <w:r w:rsidRPr="0002219C">
        <w:rPr>
          <w:rFonts w:ascii="Arial" w:eastAsia="Times New Roman" w:hAnsi="Arial" w:cs="Times New Roman"/>
          <w:sz w:val="30"/>
          <w:szCs w:val="20"/>
          <w:lang w:eastAsia="en-AU"/>
        </w:rPr>
        <w:t>Section 1: Entity overview and resources</w:t>
      </w:r>
      <w:bookmarkEnd w:id="2"/>
      <w:bookmarkEnd w:id="3"/>
      <w:bookmarkEnd w:id="4"/>
      <w:bookmarkEnd w:id="5"/>
      <w:bookmarkEnd w:id="6"/>
      <w:bookmarkEnd w:id="7"/>
      <w:bookmarkEnd w:id="8"/>
      <w:bookmarkEnd w:id="9"/>
      <w:bookmarkEnd w:id="10"/>
      <w:bookmarkEnd w:id="11"/>
    </w:p>
    <w:p w:rsidR="0002219C" w:rsidRPr="0002219C" w:rsidRDefault="0002219C" w:rsidP="0002219C">
      <w:pPr>
        <w:keepNext/>
        <w:tabs>
          <w:tab w:val="left" w:pos="709"/>
        </w:tabs>
        <w:spacing w:before="120" w:after="120" w:line="240" w:lineRule="auto"/>
        <w:outlineLvl w:val="2"/>
        <w:rPr>
          <w:rFonts w:ascii="Arial" w:eastAsia="Times New Roman" w:hAnsi="Arial" w:cs="Times New Roman"/>
          <w:b/>
          <w:smallCaps/>
          <w:sz w:val="26"/>
          <w:szCs w:val="20"/>
          <w:lang w:eastAsia="en-AU"/>
        </w:rPr>
      </w:pPr>
      <w:bookmarkStart w:id="12" w:name="_Toc447013819"/>
      <w:bookmarkStart w:id="13" w:name="_Toc447115217"/>
      <w:bookmarkStart w:id="14" w:name="_Toc447115300"/>
      <w:bookmarkStart w:id="15" w:name="_Toc447115480"/>
      <w:bookmarkStart w:id="16" w:name="_Toc447116771"/>
      <w:bookmarkStart w:id="17" w:name="_Toc447118000"/>
      <w:bookmarkStart w:id="18" w:name="_Toc447119433"/>
      <w:bookmarkStart w:id="19" w:name="_Toc447709934"/>
      <w:bookmarkStart w:id="20" w:name="_Toc449100259"/>
      <w:bookmarkStart w:id="21" w:name="_Toc449623636"/>
      <w:r w:rsidRPr="0002219C">
        <w:rPr>
          <w:rFonts w:ascii="Arial" w:eastAsia="Times New Roman" w:hAnsi="Arial" w:cs="Times New Roman"/>
          <w:b/>
          <w:smallCaps/>
          <w:sz w:val="26"/>
          <w:szCs w:val="20"/>
          <w:lang w:eastAsia="en-AU"/>
        </w:rPr>
        <w:t>1.1</w:t>
      </w:r>
      <w:r w:rsidRPr="0002219C">
        <w:rPr>
          <w:rFonts w:ascii="Arial" w:eastAsia="Times New Roman" w:hAnsi="Arial" w:cs="Times New Roman"/>
          <w:b/>
          <w:smallCaps/>
          <w:sz w:val="26"/>
          <w:szCs w:val="20"/>
          <w:lang w:eastAsia="en-AU"/>
        </w:rPr>
        <w:tab/>
        <w:t>Strategic direction statement</w:t>
      </w:r>
      <w:bookmarkEnd w:id="12"/>
      <w:bookmarkEnd w:id="13"/>
      <w:bookmarkEnd w:id="14"/>
      <w:bookmarkEnd w:id="15"/>
      <w:bookmarkEnd w:id="16"/>
      <w:bookmarkEnd w:id="17"/>
      <w:bookmarkEnd w:id="18"/>
      <w:bookmarkEnd w:id="19"/>
      <w:bookmarkEnd w:id="20"/>
      <w:bookmarkEnd w:id="21"/>
    </w:p>
    <w:p w:rsidR="0002219C" w:rsidRPr="0002219C" w:rsidRDefault="0002219C" w:rsidP="0002219C">
      <w:pPr>
        <w:spacing w:after="120" w:line="240" w:lineRule="auto"/>
        <w:rPr>
          <w:rFonts w:ascii="Book Antiqua" w:eastAsia="Times New Roman" w:hAnsi="Book Antiqua" w:cs="Times New Roman"/>
          <w:szCs w:val="20"/>
          <w:lang w:eastAsia="en-AU"/>
        </w:rPr>
      </w:pPr>
      <w:r w:rsidRPr="0002219C">
        <w:rPr>
          <w:rFonts w:ascii="Book Antiqua" w:eastAsia="Times New Roman" w:hAnsi="Book Antiqua" w:cs="Times New Roman"/>
          <w:szCs w:val="20"/>
          <w:lang w:eastAsia="en-AU"/>
        </w:rPr>
        <w:t>The Workplace Gender Equality Agency (</w:t>
      </w:r>
      <w:proofErr w:type="spellStart"/>
      <w:r w:rsidRPr="0002219C">
        <w:rPr>
          <w:rFonts w:ascii="Book Antiqua" w:eastAsia="Times New Roman" w:hAnsi="Book Antiqua" w:cs="Times New Roman"/>
          <w:szCs w:val="20"/>
          <w:lang w:eastAsia="en-AU"/>
        </w:rPr>
        <w:t>WGEA</w:t>
      </w:r>
      <w:proofErr w:type="spellEnd"/>
      <w:r w:rsidRPr="0002219C">
        <w:rPr>
          <w:rFonts w:ascii="Book Antiqua" w:eastAsia="Times New Roman" w:hAnsi="Book Antiqua" w:cs="Times New Roman"/>
          <w:szCs w:val="20"/>
          <w:lang w:eastAsia="en-AU"/>
        </w:rPr>
        <w:t>), established under the</w:t>
      </w:r>
      <w:r w:rsidRPr="0002219C">
        <w:rPr>
          <w:rFonts w:ascii="Book Antiqua" w:eastAsia="Times New Roman" w:hAnsi="Book Antiqua" w:cs="Times New Roman"/>
          <w:i/>
          <w:szCs w:val="20"/>
          <w:lang w:eastAsia="en-AU"/>
        </w:rPr>
        <w:t xml:space="preserve"> Workplace Gender Equality Act 2012 </w:t>
      </w:r>
      <w:r w:rsidRPr="0002219C">
        <w:rPr>
          <w:rFonts w:ascii="Book Antiqua" w:eastAsia="Times New Roman" w:hAnsi="Book Antiqua" w:cs="Times New Roman"/>
          <w:szCs w:val="20"/>
          <w:lang w:eastAsia="en-AU"/>
        </w:rPr>
        <w:t xml:space="preserve">(the Act), is charged with promoting and improving gender equality in Australian workplaces. </w:t>
      </w:r>
      <w:proofErr w:type="spellStart"/>
      <w:r w:rsidRPr="0002219C">
        <w:rPr>
          <w:rFonts w:ascii="Book Antiqua" w:eastAsia="Times New Roman" w:hAnsi="Book Antiqua" w:cs="Times New Roman"/>
          <w:szCs w:val="20"/>
          <w:lang w:eastAsia="en-AU"/>
        </w:rPr>
        <w:t>WGEA’s</w:t>
      </w:r>
      <w:proofErr w:type="spellEnd"/>
      <w:r w:rsidRPr="0002219C">
        <w:rPr>
          <w:rFonts w:ascii="Book Antiqua" w:eastAsia="Times New Roman" w:hAnsi="Book Antiqua" w:cs="Times New Roman"/>
          <w:szCs w:val="20"/>
          <w:lang w:eastAsia="en-AU"/>
        </w:rPr>
        <w:t xml:space="preserve"> vision is for women and men to be equally represented, valued and rewarded in the workplace.</w:t>
      </w:r>
    </w:p>
    <w:p w:rsidR="0002219C" w:rsidRPr="0002219C" w:rsidRDefault="0002219C" w:rsidP="0002219C">
      <w:pPr>
        <w:spacing w:after="120" w:line="240" w:lineRule="auto"/>
        <w:rPr>
          <w:rFonts w:ascii="Book Antiqua" w:eastAsia="Times New Roman" w:hAnsi="Book Antiqua" w:cs="Times New Roman"/>
          <w:szCs w:val="20"/>
          <w:lang w:eastAsia="en-AU"/>
        </w:rPr>
      </w:pPr>
      <w:r w:rsidRPr="0002219C">
        <w:rPr>
          <w:rFonts w:ascii="Book Antiqua" w:eastAsia="Times New Roman" w:hAnsi="Book Antiqua" w:cs="Times New Roman"/>
          <w:szCs w:val="20"/>
          <w:lang w:eastAsia="en-AU"/>
        </w:rPr>
        <w:t>Under the Act, non-public sector employers with 100 or more employees are required to submit a report annually to the Agency against six gender equality indicators (</w:t>
      </w:r>
      <w:proofErr w:type="spellStart"/>
      <w:r w:rsidRPr="0002219C">
        <w:rPr>
          <w:rFonts w:ascii="Book Antiqua" w:eastAsia="Times New Roman" w:hAnsi="Book Antiqua" w:cs="Times New Roman"/>
          <w:szCs w:val="20"/>
          <w:lang w:eastAsia="en-AU"/>
        </w:rPr>
        <w:t>GEIs</w:t>
      </w:r>
      <w:proofErr w:type="spellEnd"/>
      <w:r w:rsidRPr="0002219C">
        <w:rPr>
          <w:rFonts w:ascii="Book Antiqua" w:eastAsia="Times New Roman" w:hAnsi="Book Antiqua" w:cs="Times New Roman"/>
          <w:szCs w:val="20"/>
          <w:lang w:eastAsia="en-AU"/>
        </w:rPr>
        <w:t>):</w:t>
      </w:r>
    </w:p>
    <w:p w:rsidR="0002219C" w:rsidRPr="0002219C" w:rsidRDefault="0002219C" w:rsidP="0002219C">
      <w:pPr>
        <w:tabs>
          <w:tab w:val="num" w:pos="567"/>
        </w:tabs>
        <w:spacing w:before="60" w:after="60" w:line="240" w:lineRule="auto"/>
        <w:ind w:left="567" w:hanging="284"/>
        <w:rPr>
          <w:rFonts w:ascii="Book Antiqua" w:eastAsia="Times New Roman" w:hAnsi="Book Antiqua" w:cs="Arial"/>
          <w:color w:val="000000"/>
          <w:szCs w:val="16"/>
        </w:rPr>
      </w:pPr>
      <w:proofErr w:type="spellStart"/>
      <w:r w:rsidRPr="0002219C">
        <w:rPr>
          <w:rFonts w:ascii="Book Antiqua" w:eastAsia="Times New Roman" w:hAnsi="Book Antiqua" w:cs="Arial"/>
          <w:color w:val="000000"/>
          <w:szCs w:val="16"/>
        </w:rPr>
        <w:t>GEI</w:t>
      </w:r>
      <w:proofErr w:type="spellEnd"/>
      <w:r w:rsidRPr="0002219C">
        <w:rPr>
          <w:rFonts w:ascii="Book Antiqua" w:eastAsia="Times New Roman" w:hAnsi="Book Antiqua" w:cs="Arial"/>
          <w:color w:val="000000"/>
          <w:szCs w:val="16"/>
        </w:rPr>
        <w:t xml:space="preserve"> 1: gender composition of the workforce</w:t>
      </w:r>
    </w:p>
    <w:p w:rsidR="0002219C" w:rsidRPr="0002219C" w:rsidRDefault="0002219C" w:rsidP="0002219C">
      <w:pPr>
        <w:tabs>
          <w:tab w:val="num" w:pos="567"/>
        </w:tabs>
        <w:spacing w:before="60" w:after="60" w:line="240" w:lineRule="auto"/>
        <w:ind w:left="567" w:hanging="284"/>
        <w:rPr>
          <w:rFonts w:ascii="Book Antiqua" w:eastAsia="Times New Roman" w:hAnsi="Book Antiqua" w:cs="Arial"/>
          <w:color w:val="000000"/>
          <w:szCs w:val="16"/>
        </w:rPr>
      </w:pPr>
      <w:proofErr w:type="spellStart"/>
      <w:r w:rsidRPr="0002219C">
        <w:rPr>
          <w:rFonts w:ascii="Book Antiqua" w:eastAsia="Times New Roman" w:hAnsi="Book Antiqua" w:cs="Arial"/>
          <w:color w:val="000000"/>
          <w:szCs w:val="16"/>
        </w:rPr>
        <w:t>GEI</w:t>
      </w:r>
      <w:proofErr w:type="spellEnd"/>
      <w:r w:rsidRPr="0002219C">
        <w:rPr>
          <w:rFonts w:ascii="Book Antiqua" w:eastAsia="Times New Roman" w:hAnsi="Book Antiqua" w:cs="Arial"/>
          <w:color w:val="000000"/>
          <w:szCs w:val="16"/>
        </w:rPr>
        <w:t xml:space="preserve"> 2: gender composition of governing bodies</w:t>
      </w:r>
    </w:p>
    <w:p w:rsidR="0002219C" w:rsidRPr="0002219C" w:rsidRDefault="0002219C" w:rsidP="0002219C">
      <w:pPr>
        <w:tabs>
          <w:tab w:val="num" w:pos="567"/>
        </w:tabs>
        <w:spacing w:before="60" w:after="60" w:line="240" w:lineRule="auto"/>
        <w:ind w:left="567" w:hanging="284"/>
        <w:rPr>
          <w:rFonts w:ascii="Book Antiqua" w:eastAsia="Times New Roman" w:hAnsi="Book Antiqua" w:cs="Arial"/>
          <w:color w:val="000000"/>
          <w:szCs w:val="16"/>
        </w:rPr>
      </w:pPr>
      <w:proofErr w:type="spellStart"/>
      <w:r w:rsidRPr="0002219C">
        <w:rPr>
          <w:rFonts w:ascii="Book Antiqua" w:eastAsia="Times New Roman" w:hAnsi="Book Antiqua" w:cs="Arial"/>
          <w:color w:val="000000"/>
          <w:szCs w:val="16"/>
        </w:rPr>
        <w:t>GEI</w:t>
      </w:r>
      <w:proofErr w:type="spellEnd"/>
      <w:r w:rsidRPr="0002219C">
        <w:rPr>
          <w:rFonts w:ascii="Book Antiqua" w:eastAsia="Times New Roman" w:hAnsi="Book Antiqua" w:cs="Arial"/>
          <w:color w:val="000000"/>
          <w:szCs w:val="16"/>
        </w:rPr>
        <w:t xml:space="preserve"> 3: equal remuneration between women and men</w:t>
      </w:r>
    </w:p>
    <w:p w:rsidR="0002219C" w:rsidRPr="0002219C" w:rsidRDefault="0002219C" w:rsidP="0002219C">
      <w:pPr>
        <w:tabs>
          <w:tab w:val="num" w:pos="567"/>
        </w:tabs>
        <w:spacing w:before="60" w:after="60" w:line="240" w:lineRule="auto"/>
        <w:ind w:left="567" w:hanging="284"/>
        <w:rPr>
          <w:rFonts w:ascii="Book Antiqua" w:eastAsia="Times New Roman" w:hAnsi="Book Antiqua" w:cs="Arial"/>
          <w:color w:val="000000"/>
          <w:szCs w:val="16"/>
        </w:rPr>
      </w:pPr>
      <w:proofErr w:type="spellStart"/>
      <w:r w:rsidRPr="0002219C">
        <w:rPr>
          <w:rFonts w:ascii="Book Antiqua" w:eastAsia="Times New Roman" w:hAnsi="Book Antiqua" w:cs="Arial"/>
          <w:color w:val="000000"/>
          <w:szCs w:val="16"/>
        </w:rPr>
        <w:t>GEI</w:t>
      </w:r>
      <w:proofErr w:type="spellEnd"/>
      <w:r w:rsidRPr="0002219C">
        <w:rPr>
          <w:rFonts w:ascii="Book Antiqua" w:eastAsia="Times New Roman" w:hAnsi="Book Antiqua" w:cs="Arial"/>
          <w:color w:val="000000"/>
          <w:szCs w:val="16"/>
        </w:rPr>
        <w:t xml:space="preserve"> 4: availability and utility of employment terms, conditions and practices relating to flexible working arrangements for employees and to working arrangements supporting employees with family or caring responsibilities</w:t>
      </w:r>
    </w:p>
    <w:p w:rsidR="0002219C" w:rsidRPr="0002219C" w:rsidRDefault="0002219C" w:rsidP="0002219C">
      <w:pPr>
        <w:tabs>
          <w:tab w:val="num" w:pos="567"/>
        </w:tabs>
        <w:spacing w:before="60" w:after="60" w:line="240" w:lineRule="auto"/>
        <w:ind w:left="567" w:hanging="284"/>
        <w:rPr>
          <w:rFonts w:ascii="Book Antiqua" w:eastAsia="Times New Roman" w:hAnsi="Book Antiqua" w:cs="Arial"/>
          <w:color w:val="000000"/>
          <w:szCs w:val="16"/>
        </w:rPr>
      </w:pPr>
      <w:proofErr w:type="spellStart"/>
      <w:r w:rsidRPr="0002219C">
        <w:rPr>
          <w:rFonts w:ascii="Book Antiqua" w:eastAsia="Times New Roman" w:hAnsi="Book Antiqua" w:cs="Arial"/>
          <w:color w:val="000000"/>
          <w:szCs w:val="16"/>
        </w:rPr>
        <w:t>GEI</w:t>
      </w:r>
      <w:proofErr w:type="spellEnd"/>
      <w:r w:rsidRPr="0002219C">
        <w:rPr>
          <w:rFonts w:ascii="Book Antiqua" w:eastAsia="Times New Roman" w:hAnsi="Book Antiqua" w:cs="Arial"/>
          <w:color w:val="000000"/>
          <w:szCs w:val="16"/>
        </w:rPr>
        <w:t xml:space="preserve"> 5: consultation with employees on issues concerning gender equality in the workplace</w:t>
      </w:r>
    </w:p>
    <w:p w:rsidR="0002219C" w:rsidRPr="0002219C" w:rsidRDefault="0002219C" w:rsidP="0002219C">
      <w:pPr>
        <w:tabs>
          <w:tab w:val="num" w:pos="567"/>
        </w:tabs>
        <w:spacing w:before="60" w:after="60" w:line="240" w:lineRule="auto"/>
        <w:ind w:left="567" w:hanging="284"/>
        <w:rPr>
          <w:rFonts w:ascii="Book Antiqua" w:eastAsia="Times New Roman" w:hAnsi="Book Antiqua" w:cs="Arial"/>
          <w:color w:val="000000"/>
          <w:szCs w:val="16"/>
        </w:rPr>
      </w:pPr>
      <w:proofErr w:type="spellStart"/>
      <w:r w:rsidRPr="0002219C">
        <w:rPr>
          <w:rFonts w:ascii="Book Antiqua" w:eastAsia="Times New Roman" w:hAnsi="Book Antiqua" w:cs="Arial"/>
          <w:color w:val="000000"/>
          <w:szCs w:val="16"/>
        </w:rPr>
        <w:t>GEI</w:t>
      </w:r>
      <w:proofErr w:type="spellEnd"/>
      <w:r w:rsidRPr="0002219C">
        <w:rPr>
          <w:rFonts w:ascii="Book Antiqua" w:eastAsia="Times New Roman" w:hAnsi="Book Antiqua" w:cs="Arial"/>
          <w:color w:val="000000"/>
          <w:szCs w:val="16"/>
        </w:rPr>
        <w:t xml:space="preserve"> 6: sex-based harassment and discrimination.</w:t>
      </w:r>
    </w:p>
    <w:p w:rsidR="0002219C" w:rsidRPr="0002219C" w:rsidRDefault="0002219C" w:rsidP="0002219C">
      <w:pPr>
        <w:spacing w:after="120" w:line="240" w:lineRule="auto"/>
        <w:rPr>
          <w:rFonts w:ascii="Book Antiqua" w:eastAsia="Times New Roman" w:hAnsi="Book Antiqua" w:cs="Times New Roman"/>
          <w:szCs w:val="20"/>
          <w:lang w:eastAsia="en-AU"/>
        </w:rPr>
      </w:pPr>
      <w:r w:rsidRPr="0002219C">
        <w:rPr>
          <w:rFonts w:ascii="Book Antiqua" w:eastAsia="Times New Roman" w:hAnsi="Book Antiqua" w:cs="Times New Roman"/>
          <w:szCs w:val="20"/>
          <w:lang w:eastAsia="en-AU"/>
        </w:rPr>
        <w:t>The Agency’s dataset is based on approximately 5,000 reports submitted on behalf of approximately 12,000 employers and covers almost 40 per cent of all employees in Australia. This dataset underpins initiatives to promote and improve workplace gender equality through:</w:t>
      </w:r>
    </w:p>
    <w:p w:rsidR="0002219C" w:rsidRPr="0002219C" w:rsidRDefault="0002219C" w:rsidP="0002219C">
      <w:pPr>
        <w:tabs>
          <w:tab w:val="num" w:pos="567"/>
        </w:tabs>
        <w:spacing w:before="60" w:after="60" w:line="240" w:lineRule="auto"/>
        <w:ind w:left="567" w:hanging="284"/>
        <w:rPr>
          <w:rFonts w:ascii="Book Antiqua" w:eastAsia="Times New Roman" w:hAnsi="Book Antiqua" w:cs="Arial"/>
          <w:color w:val="000000"/>
          <w:szCs w:val="16"/>
        </w:rPr>
      </w:pPr>
      <w:proofErr w:type="gramStart"/>
      <w:r w:rsidRPr="0002219C">
        <w:rPr>
          <w:rFonts w:ascii="Book Antiqua" w:eastAsia="Times New Roman" w:hAnsi="Book Antiqua" w:cs="Arial"/>
          <w:color w:val="000000"/>
          <w:szCs w:val="16"/>
        </w:rPr>
        <w:t>the</w:t>
      </w:r>
      <w:proofErr w:type="gramEnd"/>
      <w:r w:rsidRPr="0002219C">
        <w:rPr>
          <w:rFonts w:ascii="Book Antiqua" w:eastAsia="Times New Roman" w:hAnsi="Book Antiqua" w:cs="Arial"/>
          <w:color w:val="000000"/>
          <w:szCs w:val="16"/>
        </w:rPr>
        <w:t xml:space="preserve"> annual publication of key findings in </w:t>
      </w:r>
      <w:r w:rsidRPr="0002219C">
        <w:rPr>
          <w:rFonts w:ascii="Book Antiqua" w:eastAsia="Times New Roman" w:hAnsi="Book Antiqua" w:cs="Arial"/>
          <w:i/>
          <w:color w:val="000000"/>
          <w:szCs w:val="16"/>
        </w:rPr>
        <w:t>Australia’s gender equality scorecard</w:t>
      </w:r>
    </w:p>
    <w:p w:rsidR="0002219C" w:rsidRPr="0002219C" w:rsidRDefault="0002219C" w:rsidP="0002219C">
      <w:pPr>
        <w:tabs>
          <w:tab w:val="num" w:pos="567"/>
        </w:tabs>
        <w:spacing w:before="60" w:after="60" w:line="240" w:lineRule="auto"/>
        <w:ind w:left="567" w:hanging="284"/>
        <w:rPr>
          <w:rFonts w:ascii="Book Antiqua" w:eastAsia="Times New Roman" w:hAnsi="Book Antiqua" w:cs="Arial"/>
          <w:i/>
          <w:color w:val="000000"/>
          <w:szCs w:val="16"/>
        </w:rPr>
      </w:pPr>
      <w:proofErr w:type="gramStart"/>
      <w:r w:rsidRPr="0002219C">
        <w:rPr>
          <w:rFonts w:ascii="Book Antiqua" w:eastAsia="Times New Roman" w:hAnsi="Book Antiqua" w:cs="Arial"/>
          <w:color w:val="000000"/>
          <w:szCs w:val="16"/>
        </w:rPr>
        <w:t>the</w:t>
      </w:r>
      <w:proofErr w:type="gramEnd"/>
      <w:r w:rsidRPr="0002219C">
        <w:rPr>
          <w:rFonts w:ascii="Book Antiqua" w:eastAsia="Times New Roman" w:hAnsi="Book Antiqua" w:cs="Arial"/>
          <w:color w:val="000000"/>
          <w:szCs w:val="16"/>
        </w:rPr>
        <w:t xml:space="preserve"> publication of aggregated competitive analyses/benchmark data on an interactive data centre on the Agency’s website</w:t>
      </w:r>
    </w:p>
    <w:p w:rsidR="0002219C" w:rsidRPr="0002219C" w:rsidRDefault="0002219C" w:rsidP="0002219C">
      <w:pPr>
        <w:tabs>
          <w:tab w:val="num" w:pos="567"/>
        </w:tabs>
        <w:spacing w:before="60" w:after="60" w:line="240" w:lineRule="auto"/>
        <w:ind w:left="567" w:hanging="284"/>
        <w:rPr>
          <w:rFonts w:ascii="Book Antiqua" w:eastAsia="Times New Roman" w:hAnsi="Book Antiqua" w:cs="Arial"/>
          <w:i/>
          <w:color w:val="000000"/>
          <w:szCs w:val="16"/>
        </w:rPr>
      </w:pPr>
      <w:proofErr w:type="gramStart"/>
      <w:r w:rsidRPr="0002219C">
        <w:rPr>
          <w:rFonts w:ascii="Book Antiqua" w:eastAsia="Times New Roman" w:hAnsi="Book Antiqua" w:cs="Arial"/>
          <w:color w:val="000000"/>
          <w:szCs w:val="16"/>
        </w:rPr>
        <w:t>the</w:t>
      </w:r>
      <w:proofErr w:type="gramEnd"/>
      <w:r w:rsidRPr="0002219C">
        <w:rPr>
          <w:rFonts w:ascii="Book Antiqua" w:eastAsia="Times New Roman" w:hAnsi="Book Antiqua" w:cs="Arial"/>
          <w:color w:val="000000"/>
          <w:szCs w:val="16"/>
        </w:rPr>
        <w:t xml:space="preserve"> provision to each employer of a confidential customised competitor analysis/benchmark report</w:t>
      </w:r>
    </w:p>
    <w:p w:rsidR="0002219C" w:rsidRPr="0002219C" w:rsidRDefault="0002219C" w:rsidP="0002219C">
      <w:pPr>
        <w:tabs>
          <w:tab w:val="num" w:pos="567"/>
        </w:tabs>
        <w:spacing w:before="60" w:after="60" w:line="240" w:lineRule="auto"/>
        <w:ind w:left="567" w:hanging="284"/>
        <w:rPr>
          <w:rFonts w:ascii="Book Antiqua" w:eastAsia="Times New Roman" w:hAnsi="Book Antiqua" w:cs="Arial"/>
          <w:color w:val="000000"/>
          <w:szCs w:val="16"/>
        </w:rPr>
      </w:pPr>
      <w:proofErr w:type="gramStart"/>
      <w:r w:rsidRPr="0002219C">
        <w:rPr>
          <w:rFonts w:ascii="Book Antiqua" w:eastAsia="Times New Roman" w:hAnsi="Book Antiqua" w:cs="Arial"/>
          <w:color w:val="000000"/>
          <w:szCs w:val="16"/>
        </w:rPr>
        <w:t>the</w:t>
      </w:r>
      <w:proofErr w:type="gramEnd"/>
      <w:r w:rsidRPr="0002219C">
        <w:rPr>
          <w:rFonts w:ascii="Book Antiqua" w:eastAsia="Times New Roman" w:hAnsi="Book Antiqua" w:cs="Arial"/>
          <w:color w:val="000000"/>
          <w:szCs w:val="16"/>
        </w:rPr>
        <w:t xml:space="preserve"> award to the </w:t>
      </w:r>
      <w:proofErr w:type="spellStart"/>
      <w:r w:rsidRPr="0002219C">
        <w:rPr>
          <w:rFonts w:ascii="Book Antiqua" w:eastAsia="Times New Roman" w:hAnsi="Book Antiqua" w:cs="Arial"/>
          <w:color w:val="000000"/>
          <w:szCs w:val="16"/>
        </w:rPr>
        <w:t>WGEA</w:t>
      </w:r>
      <w:proofErr w:type="spellEnd"/>
      <w:r w:rsidRPr="0002219C">
        <w:rPr>
          <w:rFonts w:ascii="Book Antiqua" w:eastAsia="Times New Roman" w:hAnsi="Book Antiqua" w:cs="Arial"/>
          <w:color w:val="000000"/>
          <w:szCs w:val="16"/>
        </w:rPr>
        <w:t xml:space="preserve"> Employer of Choice for Gender Equality citation to employers reflecting leading practice in gender equality</w:t>
      </w:r>
    </w:p>
    <w:p w:rsidR="0002219C" w:rsidRPr="0002219C" w:rsidRDefault="0002219C" w:rsidP="0002219C">
      <w:pPr>
        <w:tabs>
          <w:tab w:val="num" w:pos="567"/>
        </w:tabs>
        <w:spacing w:before="60" w:after="60" w:line="240" w:lineRule="auto"/>
        <w:ind w:left="567" w:hanging="284"/>
        <w:rPr>
          <w:rFonts w:ascii="Book Antiqua" w:eastAsia="Times New Roman" w:hAnsi="Book Antiqua" w:cs="Arial"/>
          <w:color w:val="000000"/>
          <w:szCs w:val="16"/>
        </w:rPr>
      </w:pPr>
      <w:proofErr w:type="gramStart"/>
      <w:r w:rsidRPr="0002219C">
        <w:rPr>
          <w:rFonts w:ascii="Book Antiqua" w:eastAsia="Times New Roman" w:hAnsi="Book Antiqua" w:cs="Arial"/>
          <w:color w:val="000000"/>
          <w:szCs w:val="16"/>
        </w:rPr>
        <w:t>the</w:t>
      </w:r>
      <w:proofErr w:type="gramEnd"/>
      <w:r w:rsidRPr="0002219C">
        <w:rPr>
          <w:rFonts w:ascii="Book Antiqua" w:eastAsia="Times New Roman" w:hAnsi="Book Antiqua" w:cs="Arial"/>
          <w:color w:val="000000"/>
          <w:szCs w:val="16"/>
        </w:rPr>
        <w:t xml:space="preserve"> development of educational tools and resources</w:t>
      </w:r>
    </w:p>
    <w:p w:rsidR="0002219C" w:rsidRPr="0002219C" w:rsidRDefault="0002219C" w:rsidP="0002219C">
      <w:pPr>
        <w:tabs>
          <w:tab w:val="num" w:pos="567"/>
        </w:tabs>
        <w:spacing w:before="60" w:after="60" w:line="240" w:lineRule="auto"/>
        <w:ind w:left="567" w:hanging="284"/>
        <w:rPr>
          <w:rFonts w:ascii="Book Antiqua" w:eastAsia="Times New Roman" w:hAnsi="Book Antiqua" w:cs="Arial"/>
          <w:color w:val="000000"/>
          <w:szCs w:val="16"/>
        </w:rPr>
      </w:pPr>
      <w:proofErr w:type="gramStart"/>
      <w:r w:rsidRPr="0002219C">
        <w:rPr>
          <w:rFonts w:ascii="Book Antiqua" w:eastAsia="Times New Roman" w:hAnsi="Book Antiqua" w:cs="Arial"/>
          <w:color w:val="000000"/>
          <w:szCs w:val="16"/>
        </w:rPr>
        <w:t>partnering</w:t>
      </w:r>
      <w:proofErr w:type="gramEnd"/>
      <w:r w:rsidRPr="0002219C">
        <w:rPr>
          <w:rFonts w:ascii="Book Antiqua" w:eastAsia="Times New Roman" w:hAnsi="Book Antiqua" w:cs="Arial"/>
          <w:color w:val="000000"/>
          <w:szCs w:val="16"/>
        </w:rPr>
        <w:t xml:space="preserve"> in research</w:t>
      </w:r>
    </w:p>
    <w:p w:rsidR="0002219C" w:rsidRPr="0002219C" w:rsidRDefault="0002219C" w:rsidP="0002219C">
      <w:pPr>
        <w:tabs>
          <w:tab w:val="num" w:pos="567"/>
        </w:tabs>
        <w:spacing w:before="60" w:after="60" w:line="240" w:lineRule="auto"/>
        <w:ind w:left="567" w:hanging="284"/>
        <w:rPr>
          <w:rFonts w:ascii="Book Antiqua" w:eastAsia="Times New Roman" w:hAnsi="Book Antiqua" w:cs="Arial"/>
          <w:color w:val="000000"/>
          <w:szCs w:val="16"/>
        </w:rPr>
      </w:pPr>
      <w:proofErr w:type="gramStart"/>
      <w:r w:rsidRPr="0002219C">
        <w:rPr>
          <w:rFonts w:ascii="Book Antiqua" w:eastAsia="Times New Roman" w:hAnsi="Book Antiqua" w:cs="Arial"/>
          <w:color w:val="000000"/>
          <w:szCs w:val="16"/>
        </w:rPr>
        <w:t>engagement</w:t>
      </w:r>
      <w:proofErr w:type="gramEnd"/>
      <w:r w:rsidRPr="0002219C">
        <w:rPr>
          <w:rFonts w:ascii="Book Antiqua" w:eastAsia="Times New Roman" w:hAnsi="Book Antiqua" w:cs="Arial"/>
          <w:color w:val="000000"/>
          <w:szCs w:val="16"/>
        </w:rPr>
        <w:t xml:space="preserve"> with business and the community to drive public awareness of gender equality issues.</w:t>
      </w:r>
    </w:p>
    <w:p w:rsidR="0002219C" w:rsidRPr="0002219C" w:rsidRDefault="0002219C" w:rsidP="0002219C">
      <w:pPr>
        <w:spacing w:after="120" w:line="240" w:lineRule="auto"/>
        <w:rPr>
          <w:rFonts w:ascii="Book Antiqua" w:eastAsia="Times New Roman" w:hAnsi="Book Antiqua" w:cs="Times New Roman"/>
          <w:szCs w:val="20"/>
          <w:lang w:eastAsia="en-AU"/>
        </w:rPr>
      </w:pPr>
      <w:r w:rsidRPr="0002219C">
        <w:rPr>
          <w:rFonts w:ascii="Book Antiqua" w:eastAsia="Times New Roman" w:hAnsi="Book Antiqua" w:cs="Times New Roman"/>
          <w:szCs w:val="20"/>
          <w:lang w:eastAsia="en-AU"/>
        </w:rPr>
        <w:lastRenderedPageBreak/>
        <w:t xml:space="preserve">The strategic priorities for </w:t>
      </w:r>
      <w:proofErr w:type="spellStart"/>
      <w:r w:rsidRPr="0002219C">
        <w:rPr>
          <w:rFonts w:ascii="Book Antiqua" w:eastAsia="Times New Roman" w:hAnsi="Book Antiqua" w:cs="Times New Roman"/>
          <w:szCs w:val="20"/>
          <w:lang w:eastAsia="en-AU"/>
        </w:rPr>
        <w:t>WGEA</w:t>
      </w:r>
      <w:proofErr w:type="spellEnd"/>
      <w:r w:rsidRPr="0002219C">
        <w:rPr>
          <w:rFonts w:ascii="Book Antiqua" w:eastAsia="Times New Roman" w:hAnsi="Book Antiqua" w:cs="Times New Roman"/>
          <w:szCs w:val="20"/>
          <w:lang w:eastAsia="en-AU"/>
        </w:rPr>
        <w:t xml:space="preserve"> in 2016–17 and the forward years are to increase our impact and reach, realise the potential of our data and to develop our team.</w:t>
      </w:r>
    </w:p>
    <w:p w:rsidR="0002219C" w:rsidRPr="0002219C" w:rsidRDefault="0002219C" w:rsidP="0002219C">
      <w:pPr>
        <w:spacing w:after="120" w:line="240" w:lineRule="auto"/>
        <w:rPr>
          <w:rFonts w:ascii="Book Antiqua" w:eastAsia="Times New Roman" w:hAnsi="Book Antiqua" w:cs="Times New Roman"/>
          <w:szCs w:val="20"/>
          <w:lang w:eastAsia="en-AU"/>
        </w:rPr>
      </w:pPr>
      <w:r w:rsidRPr="0002219C">
        <w:rPr>
          <w:rFonts w:ascii="Book Antiqua" w:eastAsia="Times New Roman" w:hAnsi="Book Antiqua" w:cs="Times New Roman"/>
          <w:szCs w:val="20"/>
          <w:lang w:eastAsia="en-AU"/>
        </w:rPr>
        <w:t xml:space="preserve">More information about the </w:t>
      </w:r>
      <w:proofErr w:type="spellStart"/>
      <w:r w:rsidRPr="0002219C">
        <w:rPr>
          <w:rFonts w:ascii="Book Antiqua" w:eastAsia="Times New Roman" w:hAnsi="Book Antiqua" w:cs="Times New Roman"/>
          <w:szCs w:val="20"/>
          <w:lang w:eastAsia="en-AU"/>
        </w:rPr>
        <w:t>WGEA</w:t>
      </w:r>
      <w:proofErr w:type="spellEnd"/>
      <w:r w:rsidRPr="0002219C">
        <w:rPr>
          <w:rFonts w:ascii="Book Antiqua" w:eastAsia="Times New Roman" w:hAnsi="Book Antiqua" w:cs="Times New Roman"/>
          <w:szCs w:val="20"/>
          <w:lang w:eastAsia="en-AU"/>
        </w:rPr>
        <w:t xml:space="preserve"> is available at </w:t>
      </w:r>
      <w:hyperlink r:id="rId13" w:history="1">
        <w:r w:rsidRPr="0002219C">
          <w:rPr>
            <w:rFonts w:ascii="Book Antiqua" w:eastAsia="Times New Roman" w:hAnsi="Book Antiqua" w:cs="Times New Roman"/>
            <w:i/>
            <w:color w:val="000000"/>
            <w:szCs w:val="20"/>
            <w:lang w:eastAsia="en-AU"/>
          </w:rPr>
          <w:t>www.wgea.gov.au</w:t>
        </w:r>
      </w:hyperlink>
      <w:r w:rsidRPr="0002219C">
        <w:rPr>
          <w:rFonts w:ascii="Book Antiqua" w:eastAsia="Times New Roman" w:hAnsi="Book Antiqua" w:cs="Times New Roman"/>
          <w:i/>
          <w:color w:val="000000"/>
          <w:szCs w:val="20"/>
          <w:lang w:eastAsia="en-AU"/>
        </w:rPr>
        <w:t>,</w:t>
      </w:r>
      <w:r w:rsidRPr="0002219C">
        <w:rPr>
          <w:rFonts w:ascii="Book Antiqua" w:eastAsia="Times New Roman" w:hAnsi="Book Antiqua" w:cs="Times New Roman"/>
          <w:szCs w:val="20"/>
          <w:lang w:eastAsia="en-AU"/>
        </w:rPr>
        <w:t xml:space="preserve"> where the </w:t>
      </w:r>
      <w:proofErr w:type="spellStart"/>
      <w:r w:rsidRPr="0002219C">
        <w:rPr>
          <w:rFonts w:ascii="Book Antiqua" w:eastAsia="Times New Roman" w:hAnsi="Book Antiqua" w:cs="Times New Roman"/>
          <w:szCs w:val="20"/>
          <w:lang w:eastAsia="en-AU"/>
        </w:rPr>
        <w:t>WGEA</w:t>
      </w:r>
      <w:proofErr w:type="spellEnd"/>
      <w:r w:rsidRPr="0002219C">
        <w:rPr>
          <w:rFonts w:ascii="Book Antiqua" w:eastAsia="Times New Roman" w:hAnsi="Book Antiqua" w:cs="Times New Roman"/>
          <w:szCs w:val="20"/>
          <w:lang w:eastAsia="en-AU"/>
        </w:rPr>
        <w:t xml:space="preserve"> Corporate Plan is also published.</w:t>
      </w:r>
    </w:p>
    <w:p w:rsidR="0002219C" w:rsidRPr="0002219C" w:rsidRDefault="0002219C" w:rsidP="0002219C">
      <w:pPr>
        <w:spacing w:before="60" w:after="60" w:line="240" w:lineRule="auto"/>
        <w:rPr>
          <w:rFonts w:ascii="Arial" w:eastAsia="Times New Roman" w:hAnsi="Arial" w:cs="Times New Roman"/>
          <w:sz w:val="18"/>
          <w:szCs w:val="20"/>
          <w:lang w:eastAsia="en-AU"/>
        </w:rPr>
      </w:pPr>
      <w:r w:rsidRPr="0002219C">
        <w:rPr>
          <w:rFonts w:ascii="Arial" w:eastAsia="Times New Roman" w:hAnsi="Arial" w:cs="Times New Roman"/>
          <w:sz w:val="18"/>
          <w:szCs w:val="20"/>
          <w:lang w:eastAsia="en-AU"/>
        </w:rPr>
        <w:br w:type="page"/>
      </w:r>
      <w:bookmarkStart w:id="22" w:name="_Toc447013820"/>
      <w:bookmarkStart w:id="23" w:name="_Toc447115218"/>
      <w:bookmarkStart w:id="24" w:name="_Toc447115301"/>
      <w:bookmarkStart w:id="25" w:name="_Toc447115481"/>
      <w:bookmarkStart w:id="26" w:name="_Toc447116772"/>
      <w:bookmarkStart w:id="27" w:name="_Toc447118001"/>
      <w:bookmarkStart w:id="28" w:name="_Toc447119434"/>
    </w:p>
    <w:p w:rsidR="0002219C" w:rsidRPr="0002219C" w:rsidRDefault="0002219C" w:rsidP="0002219C">
      <w:pPr>
        <w:keepNext/>
        <w:tabs>
          <w:tab w:val="left" w:pos="709"/>
        </w:tabs>
        <w:spacing w:before="120" w:after="120" w:line="240" w:lineRule="auto"/>
        <w:outlineLvl w:val="2"/>
        <w:rPr>
          <w:rFonts w:ascii="Arial" w:eastAsia="Times New Roman" w:hAnsi="Arial" w:cs="Times New Roman"/>
          <w:b/>
          <w:smallCaps/>
          <w:sz w:val="26"/>
          <w:szCs w:val="20"/>
          <w:lang w:eastAsia="en-AU"/>
        </w:rPr>
      </w:pPr>
      <w:bookmarkStart w:id="29" w:name="_Toc447709935"/>
      <w:bookmarkStart w:id="30" w:name="_Toc449100260"/>
      <w:bookmarkStart w:id="31" w:name="_Toc449623637"/>
      <w:r w:rsidRPr="0002219C">
        <w:rPr>
          <w:rFonts w:ascii="Arial" w:eastAsia="Times New Roman" w:hAnsi="Arial" w:cs="Times New Roman"/>
          <w:b/>
          <w:smallCaps/>
          <w:sz w:val="26"/>
          <w:szCs w:val="20"/>
          <w:lang w:eastAsia="en-AU"/>
        </w:rPr>
        <w:lastRenderedPageBreak/>
        <w:t>1.2</w:t>
      </w:r>
      <w:r w:rsidRPr="0002219C">
        <w:rPr>
          <w:rFonts w:ascii="Arial" w:eastAsia="Times New Roman" w:hAnsi="Arial" w:cs="Times New Roman"/>
          <w:b/>
          <w:smallCaps/>
          <w:sz w:val="26"/>
          <w:szCs w:val="20"/>
          <w:lang w:eastAsia="en-AU"/>
        </w:rPr>
        <w:tab/>
        <w:t>Entity resource statement</w:t>
      </w:r>
      <w:bookmarkEnd w:id="22"/>
      <w:bookmarkEnd w:id="23"/>
      <w:bookmarkEnd w:id="24"/>
      <w:bookmarkEnd w:id="25"/>
      <w:bookmarkEnd w:id="26"/>
      <w:bookmarkEnd w:id="27"/>
      <w:bookmarkEnd w:id="28"/>
      <w:bookmarkEnd w:id="29"/>
      <w:bookmarkEnd w:id="30"/>
      <w:bookmarkEnd w:id="31"/>
    </w:p>
    <w:p w:rsidR="0002219C" w:rsidRPr="0002219C" w:rsidRDefault="0002219C" w:rsidP="0002219C">
      <w:pPr>
        <w:spacing w:after="120" w:line="240" w:lineRule="auto"/>
        <w:rPr>
          <w:rFonts w:ascii="Book Antiqua" w:eastAsia="Times New Roman" w:hAnsi="Book Antiqua" w:cs="Times New Roman"/>
          <w:szCs w:val="20"/>
          <w:lang w:eastAsia="en-AU"/>
        </w:rPr>
      </w:pPr>
      <w:r w:rsidRPr="0002219C">
        <w:rPr>
          <w:rFonts w:ascii="Book Antiqua" w:eastAsia="Times New Roman" w:hAnsi="Book Antiqua" w:cs="Times New Roman"/>
          <w:szCs w:val="20"/>
          <w:lang w:eastAsia="en-AU"/>
        </w:rPr>
        <w:t xml:space="preserve">Table 1.1 shows the total funding from all sources available to the entity for its operations and to deliver programs and services on behalf of the government. </w:t>
      </w:r>
    </w:p>
    <w:p w:rsidR="0002219C" w:rsidRPr="0002219C" w:rsidRDefault="0002219C" w:rsidP="0002219C">
      <w:pPr>
        <w:spacing w:after="120" w:line="240" w:lineRule="auto"/>
        <w:rPr>
          <w:rFonts w:ascii="Book Antiqua" w:eastAsia="Times New Roman" w:hAnsi="Book Antiqua" w:cs="Times New Roman"/>
          <w:szCs w:val="20"/>
          <w:lang w:eastAsia="en-AU"/>
        </w:rPr>
      </w:pPr>
      <w:r w:rsidRPr="0002219C">
        <w:rPr>
          <w:rFonts w:ascii="Book Antiqua" w:eastAsia="Times New Roman" w:hAnsi="Book Antiqua" w:cs="Times New Roman"/>
          <w:szCs w:val="20"/>
          <w:lang w:eastAsia="en-AU"/>
        </w:rPr>
        <w:t>The table summarises how resources will be applied by outcome (government strategic policy objectives) and by administered (on behalf of the government or the public) and departmental (for the entity’s operations) classification.</w:t>
      </w:r>
    </w:p>
    <w:p w:rsidR="0002219C" w:rsidRPr="0002219C" w:rsidRDefault="0002219C" w:rsidP="0002219C">
      <w:pPr>
        <w:spacing w:after="120" w:line="240" w:lineRule="auto"/>
        <w:rPr>
          <w:rFonts w:ascii="Book Antiqua" w:eastAsia="Times New Roman" w:hAnsi="Book Antiqua" w:cs="Times New Roman"/>
          <w:szCs w:val="20"/>
          <w:lang w:eastAsia="en-AU"/>
        </w:rPr>
      </w:pPr>
      <w:r w:rsidRPr="0002219C">
        <w:rPr>
          <w:rFonts w:ascii="Book Antiqua" w:eastAsia="Times New Roman" w:hAnsi="Book Antiqua" w:cs="Times New Roman"/>
          <w:szCs w:val="20"/>
          <w:lang w:eastAsia="en-AU"/>
        </w:rPr>
        <w:t xml:space="preserve">For more detailed information please refer to </w:t>
      </w:r>
      <w:r w:rsidRPr="0002219C">
        <w:rPr>
          <w:rFonts w:ascii="Book Antiqua" w:eastAsia="Times New Roman" w:hAnsi="Book Antiqua" w:cs="Times New Roman"/>
          <w:i/>
          <w:szCs w:val="20"/>
          <w:lang w:eastAsia="en-AU"/>
        </w:rPr>
        <w:t>Budget Paper No. 4—Agency Resourcing</w:t>
      </w:r>
      <w:r w:rsidRPr="0002219C">
        <w:rPr>
          <w:rFonts w:ascii="Book Antiqua" w:eastAsia="Times New Roman" w:hAnsi="Book Antiqua" w:cs="Times New Roman"/>
          <w:szCs w:val="20"/>
          <w:lang w:eastAsia="en-AU"/>
        </w:rPr>
        <w:t>.</w:t>
      </w:r>
    </w:p>
    <w:p w:rsidR="0002219C" w:rsidRPr="0002219C" w:rsidRDefault="0002219C" w:rsidP="0002219C">
      <w:pPr>
        <w:spacing w:after="120" w:line="240" w:lineRule="auto"/>
        <w:rPr>
          <w:rFonts w:ascii="Book Antiqua" w:eastAsia="Times New Roman" w:hAnsi="Book Antiqua" w:cs="Times New Roman"/>
          <w:szCs w:val="20"/>
          <w:lang w:eastAsia="en-AU"/>
        </w:rPr>
      </w:pPr>
      <w:r w:rsidRPr="0002219C">
        <w:rPr>
          <w:rFonts w:ascii="Book Antiqua" w:eastAsia="Times New Roman" w:hAnsi="Book Antiqua" w:cs="Times New Roman"/>
          <w:szCs w:val="20"/>
          <w:lang w:eastAsia="en-AU"/>
        </w:rPr>
        <w:t xml:space="preserve">Information in this table is presented on a resourcing (i.e. appropriations/cash available) basis, whilst the ‘Budgeted expenses by Outcome 1’ tables in Section 2 and the financial statements in Section 3 are presented on an accrual basis. </w:t>
      </w:r>
    </w:p>
    <w:p w:rsidR="0002219C" w:rsidRPr="0002219C" w:rsidRDefault="0002219C" w:rsidP="0002219C">
      <w:pPr>
        <w:keepNext/>
        <w:spacing w:before="120" w:after="40" w:line="240" w:lineRule="auto"/>
        <w:rPr>
          <w:rFonts w:ascii="Book Antiqua" w:eastAsia="Times New Roman" w:hAnsi="Book Antiqua" w:cs="Times New Roman"/>
          <w:b/>
          <w:color w:val="000000"/>
          <w:szCs w:val="20"/>
          <w:lang w:eastAsia="x-none"/>
        </w:rPr>
      </w:pPr>
      <w:r w:rsidRPr="0002219C">
        <w:rPr>
          <w:rFonts w:ascii="Book Antiqua" w:eastAsia="Times New Roman" w:hAnsi="Book Antiqua" w:cs="Times New Roman"/>
          <w:b/>
          <w:color w:val="000000"/>
          <w:szCs w:val="20"/>
          <w:lang w:val="x-none" w:eastAsia="x-none"/>
        </w:rPr>
        <w:t xml:space="preserve">Table 1.1: </w:t>
      </w:r>
      <w:r w:rsidRPr="0002219C">
        <w:rPr>
          <w:rFonts w:ascii="Book Antiqua" w:eastAsia="Times New Roman" w:hAnsi="Book Antiqua" w:cs="Times New Roman"/>
          <w:b/>
          <w:color w:val="000000"/>
          <w:szCs w:val="20"/>
          <w:lang w:eastAsia="x-none"/>
        </w:rPr>
        <w:t xml:space="preserve">Workplace Gender Equality Agency </w:t>
      </w:r>
      <w:r w:rsidRPr="0002219C">
        <w:rPr>
          <w:rFonts w:ascii="Book Antiqua" w:eastAsia="Times New Roman" w:hAnsi="Book Antiqua" w:cs="Times New Roman"/>
          <w:b/>
          <w:color w:val="000000"/>
          <w:szCs w:val="20"/>
          <w:lang w:val="x-none" w:eastAsia="x-none"/>
        </w:rPr>
        <w:t>resource statement</w:t>
      </w:r>
      <w:r w:rsidRPr="0002219C">
        <w:rPr>
          <w:rFonts w:ascii="Book Antiqua" w:eastAsia="Times New Roman" w:hAnsi="Book Antiqua" w:cs="Times New Roman"/>
          <w:b/>
          <w:color w:val="000000"/>
          <w:szCs w:val="20"/>
          <w:lang w:eastAsia="x-none"/>
        </w:rPr>
        <w:t>—</w:t>
      </w:r>
      <w:r w:rsidRPr="0002219C">
        <w:rPr>
          <w:rFonts w:ascii="Book Antiqua" w:eastAsia="Times New Roman" w:hAnsi="Book Antiqua" w:cs="Times New Roman"/>
          <w:b/>
          <w:color w:val="000000"/>
          <w:szCs w:val="20"/>
          <w:lang w:val="x-none" w:eastAsia="x-none"/>
        </w:rPr>
        <w:t>Budget estimates for 2016</w:t>
      </w:r>
      <w:r w:rsidRPr="0002219C">
        <w:rPr>
          <w:rFonts w:ascii="Book Antiqua" w:eastAsia="Times New Roman" w:hAnsi="Book Antiqua" w:cs="Times New Roman"/>
          <w:b/>
          <w:color w:val="000000"/>
          <w:szCs w:val="20"/>
          <w:lang w:eastAsia="x-none"/>
        </w:rPr>
        <w:t>–</w:t>
      </w:r>
      <w:r w:rsidRPr="0002219C">
        <w:rPr>
          <w:rFonts w:ascii="Book Antiqua" w:eastAsia="Times New Roman" w:hAnsi="Book Antiqua" w:cs="Times New Roman"/>
          <w:b/>
          <w:color w:val="000000"/>
          <w:szCs w:val="20"/>
          <w:lang w:val="x-none" w:eastAsia="x-none"/>
        </w:rPr>
        <w:t>17 as at Budget May 2016</w:t>
      </w:r>
    </w:p>
    <w:p w:rsidR="0002219C" w:rsidRPr="0002219C" w:rsidRDefault="0002219C" w:rsidP="0002219C">
      <w:pPr>
        <w:spacing w:after="0" w:line="240" w:lineRule="auto"/>
        <w:ind w:right="-113"/>
        <w:rPr>
          <w:rFonts w:ascii="Book Antiqua" w:eastAsia="Times New Roman" w:hAnsi="Book Antiqua" w:cs="Times New Roman"/>
          <w:szCs w:val="20"/>
          <w:lang w:eastAsia="x-none"/>
        </w:rPr>
      </w:pPr>
      <w:r w:rsidRPr="0002219C">
        <w:rPr>
          <w:rFonts w:ascii="Book Antiqua" w:eastAsia="Times New Roman" w:hAnsi="Book Antiqua" w:cs="Times New Roman"/>
          <w:noProof/>
          <w:szCs w:val="20"/>
          <w:lang w:eastAsia="en-AU"/>
        </w:rPr>
        <w:drawing>
          <wp:inline distT="0" distB="0" distL="0" distR="0" wp14:anchorId="7E2A0651" wp14:editId="2D415E84">
            <wp:extent cx="4754890" cy="2156604"/>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55194" cy="2156742"/>
                    </a:xfrm>
                    <a:prstGeom prst="rect">
                      <a:avLst/>
                    </a:prstGeom>
                    <a:noFill/>
                    <a:ln>
                      <a:noFill/>
                    </a:ln>
                  </pic:spPr>
                </pic:pic>
              </a:graphicData>
            </a:graphic>
          </wp:inline>
        </w:drawing>
      </w:r>
    </w:p>
    <w:p w:rsidR="0002219C" w:rsidRPr="0002219C" w:rsidRDefault="0002219C" w:rsidP="0002219C">
      <w:pPr>
        <w:tabs>
          <w:tab w:val="left" w:pos="284"/>
        </w:tabs>
        <w:spacing w:before="120" w:after="0" w:line="240" w:lineRule="auto"/>
        <w:rPr>
          <w:rFonts w:ascii="Arial" w:eastAsia="Times New Roman" w:hAnsi="Arial" w:cs="Times New Roman"/>
          <w:color w:val="000000"/>
          <w:sz w:val="16"/>
          <w:szCs w:val="20"/>
          <w:lang w:val="x-none" w:eastAsia="x-none"/>
        </w:rPr>
      </w:pPr>
      <w:r w:rsidRPr="0002219C">
        <w:rPr>
          <w:rFonts w:ascii="Arial" w:eastAsia="Times New Roman" w:hAnsi="Arial" w:cs="Times New Roman"/>
          <w:color w:val="000000"/>
          <w:sz w:val="16"/>
          <w:szCs w:val="20"/>
          <w:lang w:val="x-none" w:eastAsia="x-none"/>
        </w:rPr>
        <w:t>Prepared on a resourcing (i.e. appropriations available) basis.</w:t>
      </w:r>
    </w:p>
    <w:p w:rsidR="0002219C" w:rsidRPr="0002219C" w:rsidRDefault="0002219C" w:rsidP="0002219C">
      <w:pPr>
        <w:tabs>
          <w:tab w:val="left" w:pos="284"/>
        </w:tabs>
        <w:spacing w:after="0" w:line="240" w:lineRule="auto"/>
        <w:rPr>
          <w:rFonts w:ascii="Arial" w:eastAsia="Times New Roman" w:hAnsi="Arial" w:cs="Times New Roman"/>
          <w:color w:val="000000"/>
          <w:sz w:val="16"/>
          <w:szCs w:val="20"/>
          <w:lang w:eastAsia="x-none"/>
        </w:rPr>
      </w:pPr>
      <w:r w:rsidRPr="0002219C">
        <w:rPr>
          <w:rFonts w:ascii="Arial" w:eastAsia="Times New Roman" w:hAnsi="Arial" w:cs="Times New Roman"/>
          <w:color w:val="000000"/>
          <w:sz w:val="16"/>
          <w:szCs w:val="20"/>
          <w:lang w:val="x-none" w:eastAsia="x-none"/>
        </w:rPr>
        <w:t>Please note: All figures shown above are GST exclusive</w:t>
      </w:r>
      <w:r w:rsidRPr="0002219C">
        <w:rPr>
          <w:rFonts w:ascii="Arial" w:eastAsia="Times New Roman" w:hAnsi="Arial" w:cs="Times New Roman"/>
          <w:color w:val="000000"/>
          <w:sz w:val="16"/>
          <w:szCs w:val="20"/>
          <w:lang w:eastAsia="x-none"/>
        </w:rPr>
        <w:t>—</w:t>
      </w:r>
      <w:r w:rsidRPr="0002219C">
        <w:rPr>
          <w:rFonts w:ascii="Arial" w:eastAsia="Times New Roman" w:hAnsi="Arial" w:cs="Times New Roman"/>
          <w:color w:val="000000"/>
          <w:sz w:val="16"/>
          <w:szCs w:val="20"/>
          <w:lang w:val="x-none" w:eastAsia="x-none"/>
        </w:rPr>
        <w:t xml:space="preserve">these may not match figures in the cash flow statement. </w:t>
      </w:r>
    </w:p>
    <w:p w:rsidR="0002219C" w:rsidRPr="0002219C" w:rsidRDefault="0002219C" w:rsidP="0002219C">
      <w:pPr>
        <w:tabs>
          <w:tab w:val="left" w:pos="284"/>
        </w:tabs>
        <w:spacing w:before="120" w:after="0" w:line="240" w:lineRule="auto"/>
        <w:rPr>
          <w:rFonts w:ascii="Arial" w:eastAsia="Times New Roman" w:hAnsi="Arial" w:cs="Times New Roman"/>
          <w:color w:val="000000"/>
          <w:sz w:val="16"/>
          <w:szCs w:val="20"/>
          <w:lang w:val="x-none" w:eastAsia="x-none"/>
        </w:rPr>
      </w:pPr>
      <w:r w:rsidRPr="0002219C">
        <w:rPr>
          <w:rFonts w:ascii="Arial" w:eastAsia="Times New Roman" w:hAnsi="Arial" w:cs="Times New Roman"/>
          <w:color w:val="000000"/>
          <w:sz w:val="16"/>
          <w:szCs w:val="20"/>
          <w:lang w:val="x-none" w:eastAsia="x-none"/>
        </w:rPr>
        <w:t>(a) Appropriation Bill (No. 1) 2016</w:t>
      </w:r>
      <w:r w:rsidRPr="0002219C">
        <w:rPr>
          <w:rFonts w:ascii="Arial" w:eastAsia="Times New Roman" w:hAnsi="Arial" w:cs="Times New Roman"/>
          <w:color w:val="000000"/>
          <w:sz w:val="16"/>
          <w:szCs w:val="20"/>
          <w:lang w:eastAsia="x-none"/>
        </w:rPr>
        <w:t>–</w:t>
      </w:r>
      <w:r w:rsidRPr="0002219C">
        <w:rPr>
          <w:rFonts w:ascii="Arial" w:eastAsia="Times New Roman" w:hAnsi="Arial" w:cs="Times New Roman"/>
          <w:color w:val="000000"/>
          <w:sz w:val="16"/>
          <w:szCs w:val="20"/>
          <w:lang w:val="x-none" w:eastAsia="x-none"/>
        </w:rPr>
        <w:t xml:space="preserve">17. </w:t>
      </w:r>
    </w:p>
    <w:p w:rsidR="0002219C" w:rsidRPr="0002219C" w:rsidRDefault="0002219C" w:rsidP="0002219C">
      <w:pPr>
        <w:tabs>
          <w:tab w:val="left" w:pos="284"/>
        </w:tabs>
        <w:spacing w:after="0" w:line="240" w:lineRule="auto"/>
        <w:rPr>
          <w:rFonts w:ascii="Arial" w:eastAsia="Times New Roman" w:hAnsi="Arial" w:cs="Times New Roman"/>
          <w:color w:val="000000"/>
          <w:sz w:val="16"/>
          <w:szCs w:val="20"/>
          <w:lang w:val="x-none" w:eastAsia="x-none"/>
        </w:rPr>
      </w:pPr>
      <w:r w:rsidRPr="0002219C">
        <w:rPr>
          <w:rFonts w:ascii="Arial" w:eastAsia="Times New Roman" w:hAnsi="Arial" w:cs="Times New Roman"/>
          <w:color w:val="000000"/>
          <w:sz w:val="16"/>
          <w:szCs w:val="20"/>
          <w:lang w:val="x-none" w:eastAsia="x-none"/>
        </w:rPr>
        <w:t>(b) Estimated adjusted balance carried forward from previous year.</w:t>
      </w:r>
    </w:p>
    <w:p w:rsidR="0002219C" w:rsidRPr="0002219C" w:rsidRDefault="0002219C" w:rsidP="0002219C">
      <w:pPr>
        <w:tabs>
          <w:tab w:val="left" w:pos="284"/>
        </w:tabs>
        <w:spacing w:after="0" w:line="240" w:lineRule="auto"/>
        <w:rPr>
          <w:rFonts w:ascii="Arial" w:eastAsia="Times New Roman" w:hAnsi="Arial" w:cs="Times New Roman"/>
          <w:color w:val="000000"/>
          <w:sz w:val="16"/>
          <w:szCs w:val="20"/>
          <w:lang w:val="x-none" w:eastAsia="x-none"/>
        </w:rPr>
      </w:pPr>
      <w:r w:rsidRPr="0002219C">
        <w:rPr>
          <w:rFonts w:ascii="Arial" w:eastAsia="Times New Roman" w:hAnsi="Arial" w:cs="Times New Roman"/>
          <w:color w:val="000000"/>
          <w:sz w:val="16"/>
          <w:szCs w:val="20"/>
          <w:lang w:val="x-none" w:eastAsia="x-none"/>
        </w:rPr>
        <w:t xml:space="preserve">(c) Estimated retained revenue receipts under section 74 of the </w:t>
      </w:r>
      <w:r w:rsidRPr="0002219C">
        <w:rPr>
          <w:rFonts w:ascii="Arial" w:eastAsia="Times New Roman" w:hAnsi="Arial" w:cs="Times New Roman"/>
          <w:i/>
          <w:color w:val="000000"/>
          <w:sz w:val="16"/>
          <w:szCs w:val="20"/>
          <w:lang w:eastAsia="x-none"/>
        </w:rPr>
        <w:t>Public Governance, Performance and Accountability Act 2013</w:t>
      </w:r>
      <w:r w:rsidRPr="0002219C">
        <w:rPr>
          <w:rFonts w:ascii="Arial" w:eastAsia="Times New Roman" w:hAnsi="Arial" w:cs="Times New Roman"/>
          <w:color w:val="000000"/>
          <w:sz w:val="16"/>
          <w:szCs w:val="20"/>
          <w:lang w:val="x-none" w:eastAsia="x-none"/>
        </w:rPr>
        <w:t>.</w:t>
      </w:r>
    </w:p>
    <w:p w:rsidR="0002219C" w:rsidRPr="0002219C" w:rsidRDefault="0002219C" w:rsidP="0002219C">
      <w:pPr>
        <w:tabs>
          <w:tab w:val="left" w:pos="284"/>
        </w:tabs>
        <w:spacing w:after="0" w:line="240" w:lineRule="auto"/>
        <w:rPr>
          <w:rFonts w:ascii="Arial" w:eastAsia="Times New Roman" w:hAnsi="Arial" w:cs="Times New Roman"/>
          <w:color w:val="000000"/>
          <w:sz w:val="16"/>
          <w:szCs w:val="20"/>
          <w:lang w:eastAsia="x-none"/>
        </w:rPr>
      </w:pPr>
      <w:r w:rsidRPr="0002219C">
        <w:rPr>
          <w:rFonts w:ascii="Arial" w:eastAsia="Times New Roman" w:hAnsi="Arial" w:cs="Times New Roman"/>
          <w:color w:val="000000"/>
          <w:sz w:val="16"/>
          <w:szCs w:val="20"/>
          <w:lang w:val="x-none" w:eastAsia="x-none"/>
        </w:rPr>
        <w:t>(d) Departmental capital budgets are not separately identified in Appropriation Bill (</w:t>
      </w:r>
      <w:proofErr w:type="spellStart"/>
      <w:r w:rsidRPr="0002219C">
        <w:rPr>
          <w:rFonts w:ascii="Arial" w:eastAsia="Times New Roman" w:hAnsi="Arial" w:cs="Times New Roman"/>
          <w:color w:val="000000"/>
          <w:sz w:val="16"/>
          <w:szCs w:val="20"/>
          <w:lang w:val="x-none" w:eastAsia="x-none"/>
        </w:rPr>
        <w:t>No.1</w:t>
      </w:r>
      <w:proofErr w:type="spellEnd"/>
      <w:r w:rsidRPr="0002219C">
        <w:rPr>
          <w:rFonts w:ascii="Arial" w:eastAsia="Times New Roman" w:hAnsi="Arial" w:cs="Times New Roman"/>
          <w:color w:val="000000"/>
          <w:sz w:val="16"/>
          <w:szCs w:val="20"/>
          <w:lang w:val="x-none" w:eastAsia="x-none"/>
        </w:rPr>
        <w:t>) and form part of ordinary annual services items. Please refer to Table 3.5 for further details. For accounting purposes, this amount has been designated as a 'contribution by owner'.</w:t>
      </w:r>
    </w:p>
    <w:p w:rsidR="0002219C" w:rsidRPr="0002219C" w:rsidRDefault="0002219C" w:rsidP="0002219C">
      <w:pPr>
        <w:keepNext/>
        <w:spacing w:before="120" w:after="20" w:line="240" w:lineRule="auto"/>
        <w:rPr>
          <w:rFonts w:ascii="Book Antiqua" w:eastAsia="Times New Roman" w:hAnsi="Book Antiqua" w:cs="Times New Roman"/>
          <w:b/>
          <w:szCs w:val="20"/>
          <w:lang w:eastAsia="en-AU"/>
        </w:rPr>
      </w:pPr>
      <w:r w:rsidRPr="0002219C">
        <w:rPr>
          <w:rFonts w:ascii="Book Antiqua" w:eastAsia="Times New Roman" w:hAnsi="Book Antiqua" w:cs="Times New Roman"/>
          <w:b/>
          <w:szCs w:val="20"/>
          <w:lang w:eastAsia="en-AU"/>
        </w:rPr>
        <w:br w:type="page"/>
      </w:r>
      <w:bookmarkStart w:id="32" w:name="_Toc447013821"/>
      <w:bookmarkStart w:id="33" w:name="_Toc447115219"/>
      <w:bookmarkStart w:id="34" w:name="_Toc447115302"/>
      <w:bookmarkStart w:id="35" w:name="_Toc447115482"/>
      <w:bookmarkStart w:id="36" w:name="_Toc447116773"/>
      <w:bookmarkStart w:id="37" w:name="_Toc447118002"/>
      <w:bookmarkStart w:id="38" w:name="_Toc447119435"/>
      <w:bookmarkStart w:id="39" w:name="_Toc447709936"/>
    </w:p>
    <w:p w:rsidR="0002219C" w:rsidRPr="0002219C" w:rsidRDefault="0002219C" w:rsidP="0002219C">
      <w:pPr>
        <w:keepNext/>
        <w:tabs>
          <w:tab w:val="left" w:pos="709"/>
        </w:tabs>
        <w:spacing w:before="120" w:after="120" w:line="240" w:lineRule="auto"/>
        <w:outlineLvl w:val="2"/>
        <w:rPr>
          <w:rFonts w:ascii="Arial" w:eastAsia="Times New Roman" w:hAnsi="Arial" w:cs="Times New Roman"/>
          <w:b/>
          <w:smallCaps/>
          <w:sz w:val="26"/>
          <w:szCs w:val="20"/>
          <w:lang w:eastAsia="en-AU"/>
        </w:rPr>
      </w:pPr>
      <w:bookmarkStart w:id="40" w:name="_Toc449100261"/>
      <w:bookmarkStart w:id="41" w:name="_Toc449623638"/>
      <w:r w:rsidRPr="0002219C">
        <w:rPr>
          <w:rFonts w:ascii="Arial" w:eastAsia="Times New Roman" w:hAnsi="Arial" w:cs="Times New Roman"/>
          <w:b/>
          <w:smallCaps/>
          <w:sz w:val="26"/>
          <w:szCs w:val="20"/>
          <w:lang w:eastAsia="en-AU"/>
        </w:rPr>
        <w:lastRenderedPageBreak/>
        <w:t>1.3</w:t>
      </w:r>
      <w:r w:rsidRPr="0002219C">
        <w:rPr>
          <w:rFonts w:ascii="Arial" w:eastAsia="Times New Roman" w:hAnsi="Arial" w:cs="Times New Roman"/>
          <w:b/>
          <w:smallCaps/>
          <w:sz w:val="26"/>
          <w:szCs w:val="20"/>
          <w:lang w:eastAsia="en-AU"/>
        </w:rPr>
        <w:tab/>
        <w:t>Budget measures</w:t>
      </w:r>
      <w:bookmarkEnd w:id="32"/>
      <w:bookmarkEnd w:id="33"/>
      <w:bookmarkEnd w:id="34"/>
      <w:bookmarkEnd w:id="35"/>
      <w:bookmarkEnd w:id="36"/>
      <w:bookmarkEnd w:id="37"/>
      <w:bookmarkEnd w:id="38"/>
      <w:bookmarkEnd w:id="39"/>
      <w:bookmarkEnd w:id="40"/>
      <w:bookmarkEnd w:id="41"/>
    </w:p>
    <w:p w:rsidR="0002219C" w:rsidRPr="0002219C" w:rsidRDefault="0002219C" w:rsidP="0002219C">
      <w:pPr>
        <w:spacing w:after="120" w:line="240" w:lineRule="auto"/>
        <w:rPr>
          <w:rFonts w:ascii="Book Antiqua" w:eastAsia="Times New Roman" w:hAnsi="Book Antiqua" w:cs="Times New Roman"/>
          <w:szCs w:val="20"/>
          <w:lang w:eastAsia="en-AU"/>
        </w:rPr>
      </w:pPr>
      <w:r w:rsidRPr="0002219C">
        <w:rPr>
          <w:rFonts w:ascii="Book Antiqua" w:eastAsia="Times New Roman" w:hAnsi="Book Antiqua" w:cs="Times New Roman"/>
          <w:szCs w:val="20"/>
          <w:lang w:eastAsia="en-AU"/>
        </w:rPr>
        <w:t xml:space="preserve">Budget measures in Part 1 relating to the Workplace Gender Equality Agency </w:t>
      </w:r>
      <w:proofErr w:type="gramStart"/>
      <w:r w:rsidRPr="0002219C">
        <w:rPr>
          <w:rFonts w:ascii="Book Antiqua" w:eastAsia="Times New Roman" w:hAnsi="Book Antiqua" w:cs="Times New Roman"/>
          <w:szCs w:val="20"/>
          <w:lang w:eastAsia="en-AU"/>
        </w:rPr>
        <w:t>are</w:t>
      </w:r>
      <w:proofErr w:type="gramEnd"/>
      <w:r w:rsidRPr="0002219C">
        <w:rPr>
          <w:rFonts w:ascii="Book Antiqua" w:eastAsia="Times New Roman" w:hAnsi="Book Antiqua" w:cs="Times New Roman"/>
          <w:szCs w:val="20"/>
          <w:lang w:eastAsia="en-AU"/>
        </w:rPr>
        <w:t xml:space="preserve"> detailed in Budget Paper No. 2 and are summarised below. </w:t>
      </w:r>
    </w:p>
    <w:p w:rsidR="0002219C" w:rsidRPr="0002219C" w:rsidRDefault="0002219C" w:rsidP="0002219C">
      <w:pPr>
        <w:keepNext/>
        <w:spacing w:before="120" w:after="40" w:line="240" w:lineRule="auto"/>
        <w:rPr>
          <w:rFonts w:ascii="Book Antiqua" w:eastAsia="Times New Roman" w:hAnsi="Book Antiqua" w:cs="Times New Roman"/>
          <w:b/>
          <w:color w:val="000000"/>
          <w:szCs w:val="20"/>
          <w:lang w:eastAsia="x-none"/>
        </w:rPr>
      </w:pPr>
      <w:r w:rsidRPr="0002219C">
        <w:rPr>
          <w:rFonts w:ascii="Book Antiqua" w:eastAsia="Times New Roman" w:hAnsi="Book Antiqua" w:cs="Times New Roman"/>
          <w:b/>
          <w:color w:val="000000"/>
          <w:szCs w:val="20"/>
          <w:lang w:val="x-none" w:eastAsia="x-none"/>
        </w:rPr>
        <w:t>Part 1: Measures announced since the 2015</w:t>
      </w:r>
      <w:r w:rsidRPr="0002219C">
        <w:rPr>
          <w:rFonts w:ascii="Book Antiqua" w:eastAsia="Times New Roman" w:hAnsi="Book Antiqua" w:cs="Times New Roman"/>
          <w:b/>
          <w:color w:val="000000"/>
          <w:szCs w:val="20"/>
          <w:lang w:eastAsia="x-none"/>
        </w:rPr>
        <w:t>–</w:t>
      </w:r>
      <w:r w:rsidRPr="0002219C">
        <w:rPr>
          <w:rFonts w:ascii="Book Antiqua" w:eastAsia="Times New Roman" w:hAnsi="Book Antiqua" w:cs="Times New Roman"/>
          <w:b/>
          <w:color w:val="000000"/>
          <w:szCs w:val="20"/>
          <w:lang w:val="x-none" w:eastAsia="x-none"/>
        </w:rPr>
        <w:t>16 Mid-Year Economic and Fiscal Outlook (</w:t>
      </w:r>
      <w:proofErr w:type="spellStart"/>
      <w:r w:rsidRPr="0002219C">
        <w:rPr>
          <w:rFonts w:ascii="Book Antiqua" w:eastAsia="Times New Roman" w:hAnsi="Book Antiqua" w:cs="Times New Roman"/>
          <w:b/>
          <w:color w:val="000000"/>
          <w:szCs w:val="20"/>
          <w:lang w:val="x-none" w:eastAsia="x-none"/>
        </w:rPr>
        <w:t>MYEFO</w:t>
      </w:r>
      <w:proofErr w:type="spellEnd"/>
      <w:r w:rsidRPr="0002219C">
        <w:rPr>
          <w:rFonts w:ascii="Book Antiqua" w:eastAsia="Times New Roman" w:hAnsi="Book Antiqua" w:cs="Times New Roman"/>
          <w:b/>
          <w:color w:val="000000"/>
          <w:szCs w:val="20"/>
          <w:lang w:val="x-none" w:eastAsia="x-none"/>
        </w:rPr>
        <w:t>)</w:t>
      </w:r>
    </w:p>
    <w:p w:rsidR="0002219C" w:rsidRPr="0002219C" w:rsidRDefault="0002219C" w:rsidP="0002219C">
      <w:pPr>
        <w:spacing w:after="120" w:line="240" w:lineRule="auto"/>
        <w:rPr>
          <w:rFonts w:ascii="Book Antiqua" w:eastAsia="Times New Roman" w:hAnsi="Book Antiqua" w:cs="Times New Roman"/>
          <w:szCs w:val="20"/>
          <w:lang w:eastAsia="en-AU"/>
        </w:rPr>
      </w:pPr>
      <w:r w:rsidRPr="0002219C">
        <w:rPr>
          <w:rFonts w:ascii="Book Antiqua" w:eastAsia="Times New Roman" w:hAnsi="Book Antiqua" w:cs="Times New Roman"/>
          <w:szCs w:val="20"/>
          <w:lang w:eastAsia="en-AU"/>
        </w:rPr>
        <w:t xml:space="preserve">The Workplace Gender Equality Agency does not have any new measures since the 2015–16 </w:t>
      </w:r>
      <w:proofErr w:type="spellStart"/>
      <w:r w:rsidRPr="0002219C">
        <w:rPr>
          <w:rFonts w:ascii="Book Antiqua" w:eastAsia="Times New Roman" w:hAnsi="Book Antiqua" w:cs="Times New Roman"/>
          <w:szCs w:val="20"/>
          <w:lang w:eastAsia="en-AU"/>
        </w:rPr>
        <w:t>MYEFO</w:t>
      </w:r>
      <w:proofErr w:type="spellEnd"/>
      <w:r w:rsidRPr="0002219C">
        <w:rPr>
          <w:rFonts w:ascii="Book Antiqua" w:eastAsia="Times New Roman" w:hAnsi="Book Antiqua" w:cs="Times New Roman"/>
          <w:szCs w:val="20"/>
          <w:lang w:eastAsia="en-AU"/>
        </w:rPr>
        <w:t>. For this reason Part 1 of Table 1.2 is not presented.</w:t>
      </w:r>
    </w:p>
    <w:p w:rsidR="0002219C" w:rsidRPr="0002219C" w:rsidRDefault="0002219C" w:rsidP="0002219C">
      <w:pPr>
        <w:keepNext/>
        <w:spacing w:before="120" w:after="40" w:line="240" w:lineRule="auto"/>
        <w:rPr>
          <w:rFonts w:ascii="Book Antiqua" w:eastAsia="Times New Roman" w:hAnsi="Book Antiqua" w:cs="Times New Roman"/>
          <w:b/>
          <w:color w:val="000000"/>
          <w:szCs w:val="20"/>
          <w:lang w:eastAsia="x-none"/>
        </w:rPr>
      </w:pPr>
      <w:r w:rsidRPr="0002219C">
        <w:rPr>
          <w:rFonts w:ascii="Book Antiqua" w:eastAsia="Times New Roman" w:hAnsi="Book Antiqua" w:cs="Times New Roman"/>
          <w:b/>
          <w:color w:val="000000"/>
          <w:szCs w:val="20"/>
          <w:lang w:val="x-none" w:eastAsia="x-none"/>
        </w:rPr>
        <w:t xml:space="preserve">Part </w:t>
      </w:r>
      <w:r w:rsidRPr="0002219C">
        <w:rPr>
          <w:rFonts w:ascii="Book Antiqua" w:eastAsia="Times New Roman" w:hAnsi="Book Antiqua" w:cs="Times New Roman"/>
          <w:b/>
          <w:color w:val="000000"/>
          <w:szCs w:val="20"/>
          <w:lang w:eastAsia="x-none"/>
        </w:rPr>
        <w:t>2</w:t>
      </w:r>
      <w:r w:rsidRPr="0002219C">
        <w:rPr>
          <w:rFonts w:ascii="Book Antiqua" w:eastAsia="Times New Roman" w:hAnsi="Book Antiqua" w:cs="Times New Roman"/>
          <w:b/>
          <w:color w:val="000000"/>
          <w:szCs w:val="20"/>
          <w:lang w:val="x-none" w:eastAsia="x-none"/>
        </w:rPr>
        <w:t xml:space="preserve">: </w:t>
      </w:r>
      <w:r w:rsidRPr="0002219C">
        <w:rPr>
          <w:rFonts w:ascii="Book Antiqua" w:eastAsia="Times New Roman" w:hAnsi="Book Antiqua" w:cs="Times New Roman"/>
          <w:b/>
          <w:color w:val="000000"/>
          <w:szCs w:val="20"/>
          <w:lang w:eastAsia="x-none"/>
        </w:rPr>
        <w:t>Other m</w:t>
      </w:r>
      <w:proofErr w:type="spellStart"/>
      <w:r w:rsidRPr="0002219C">
        <w:rPr>
          <w:rFonts w:ascii="Book Antiqua" w:eastAsia="Times New Roman" w:hAnsi="Book Antiqua" w:cs="Times New Roman"/>
          <w:b/>
          <w:color w:val="000000"/>
          <w:szCs w:val="20"/>
          <w:lang w:val="x-none" w:eastAsia="x-none"/>
        </w:rPr>
        <w:t>easures</w:t>
      </w:r>
      <w:proofErr w:type="spellEnd"/>
      <w:r w:rsidRPr="0002219C">
        <w:rPr>
          <w:rFonts w:ascii="Book Antiqua" w:eastAsia="Times New Roman" w:hAnsi="Book Antiqua" w:cs="Times New Roman"/>
          <w:b/>
          <w:color w:val="000000"/>
          <w:szCs w:val="20"/>
          <w:lang w:val="x-none" w:eastAsia="x-none"/>
        </w:rPr>
        <w:t xml:space="preserve"> </w:t>
      </w:r>
      <w:r w:rsidRPr="0002219C">
        <w:rPr>
          <w:rFonts w:ascii="Book Antiqua" w:eastAsia="Times New Roman" w:hAnsi="Book Antiqua" w:cs="Times New Roman"/>
          <w:b/>
          <w:color w:val="000000"/>
          <w:szCs w:val="20"/>
          <w:lang w:eastAsia="x-none"/>
        </w:rPr>
        <w:t>not previously reported in a portfolio statement</w:t>
      </w:r>
    </w:p>
    <w:p w:rsidR="0002219C" w:rsidRPr="0002219C" w:rsidRDefault="0002219C" w:rsidP="0002219C">
      <w:pPr>
        <w:spacing w:after="120" w:line="240" w:lineRule="auto"/>
        <w:rPr>
          <w:rFonts w:ascii="Book Antiqua" w:eastAsia="Times New Roman" w:hAnsi="Book Antiqua" w:cs="Times New Roman"/>
          <w:szCs w:val="20"/>
          <w:lang w:eastAsia="en-AU"/>
        </w:rPr>
      </w:pPr>
      <w:r w:rsidRPr="0002219C">
        <w:rPr>
          <w:rFonts w:ascii="Book Antiqua" w:eastAsia="Times New Roman" w:hAnsi="Book Antiqua" w:cs="Times New Roman"/>
          <w:noProof/>
          <w:szCs w:val="20"/>
          <w:lang w:eastAsia="en-AU"/>
        </w:rPr>
        <w:drawing>
          <wp:inline distT="0" distB="0" distL="0" distR="0" wp14:anchorId="133B9602" wp14:editId="6FF68252">
            <wp:extent cx="4826526" cy="1876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26526" cy="1876425"/>
                    </a:xfrm>
                    <a:prstGeom prst="rect">
                      <a:avLst/>
                    </a:prstGeom>
                    <a:noFill/>
                    <a:ln>
                      <a:noFill/>
                    </a:ln>
                  </pic:spPr>
                </pic:pic>
              </a:graphicData>
            </a:graphic>
          </wp:inline>
        </w:drawing>
      </w:r>
    </w:p>
    <w:p w:rsidR="0002219C" w:rsidRPr="0002219C" w:rsidRDefault="0002219C" w:rsidP="0002219C">
      <w:pPr>
        <w:numPr>
          <w:ilvl w:val="0"/>
          <w:numId w:val="8"/>
        </w:numPr>
        <w:spacing w:after="0" w:line="240" w:lineRule="auto"/>
        <w:rPr>
          <w:rFonts w:ascii="Arial" w:eastAsia="Times New Roman" w:hAnsi="Arial" w:cs="Times New Roman"/>
          <w:sz w:val="16"/>
          <w:szCs w:val="20"/>
          <w:lang w:eastAsia="en-AU"/>
        </w:rPr>
      </w:pPr>
      <w:r w:rsidRPr="0002219C">
        <w:rPr>
          <w:rFonts w:ascii="Arial" w:eastAsia="Times New Roman" w:hAnsi="Arial" w:cs="Times New Roman"/>
          <w:sz w:val="16"/>
          <w:szCs w:val="20"/>
          <w:lang w:eastAsia="en-AU"/>
        </w:rPr>
        <w:t xml:space="preserve">This measure was first published in the 2015–16 Mid-Year Economic and Fiscal Outlook. </w:t>
      </w:r>
    </w:p>
    <w:p w:rsidR="0002219C" w:rsidRPr="0002219C" w:rsidRDefault="0002219C" w:rsidP="0002219C">
      <w:pPr>
        <w:tabs>
          <w:tab w:val="left" w:pos="284"/>
        </w:tabs>
        <w:spacing w:before="120" w:after="0" w:line="240" w:lineRule="auto"/>
        <w:rPr>
          <w:rFonts w:ascii="Arial" w:eastAsia="Times New Roman" w:hAnsi="Arial" w:cs="Times New Roman"/>
          <w:color w:val="000000"/>
          <w:sz w:val="16"/>
          <w:szCs w:val="20"/>
          <w:lang w:val="x-none" w:eastAsia="x-none"/>
        </w:rPr>
      </w:pPr>
      <w:r w:rsidRPr="0002219C">
        <w:rPr>
          <w:rFonts w:ascii="Arial" w:eastAsia="Times New Roman" w:hAnsi="Arial" w:cs="Times New Roman"/>
          <w:color w:val="000000"/>
          <w:sz w:val="16"/>
          <w:szCs w:val="20"/>
          <w:lang w:val="x-none" w:eastAsia="x-none"/>
        </w:rPr>
        <w:t>Prepared on a Government Finance Statistics (fiscal) basis. Figures displayed as a negative (-) represent a decrease in funds and a positive (+) represent an increase in funds.</w:t>
      </w:r>
    </w:p>
    <w:p w:rsidR="0002219C" w:rsidRPr="0002219C" w:rsidRDefault="0002219C" w:rsidP="0002219C">
      <w:pPr>
        <w:keepNext/>
        <w:spacing w:before="120" w:after="20" w:line="240" w:lineRule="auto"/>
        <w:rPr>
          <w:rFonts w:ascii="Book Antiqua" w:eastAsia="Times New Roman" w:hAnsi="Book Antiqua" w:cs="Times New Roman"/>
          <w:b/>
          <w:szCs w:val="20"/>
          <w:lang w:eastAsia="en-AU"/>
        </w:rPr>
      </w:pPr>
      <w:r w:rsidRPr="0002219C">
        <w:rPr>
          <w:rFonts w:ascii="Book Antiqua" w:eastAsia="Times New Roman" w:hAnsi="Book Antiqua" w:cs="Times New Roman"/>
          <w:b/>
          <w:szCs w:val="20"/>
          <w:lang w:eastAsia="en-AU"/>
        </w:rPr>
        <w:br w:type="page"/>
      </w:r>
      <w:bookmarkStart w:id="42" w:name="_Toc447013822"/>
      <w:bookmarkStart w:id="43" w:name="_Toc447115220"/>
      <w:bookmarkStart w:id="44" w:name="_Toc447115303"/>
      <w:bookmarkStart w:id="45" w:name="_Toc447115483"/>
      <w:bookmarkStart w:id="46" w:name="_Toc447116774"/>
      <w:bookmarkStart w:id="47" w:name="_Toc447118003"/>
      <w:bookmarkStart w:id="48" w:name="_Toc447119436"/>
      <w:bookmarkStart w:id="49" w:name="_Toc447709937"/>
    </w:p>
    <w:p w:rsidR="0002219C" w:rsidRPr="0002219C" w:rsidRDefault="0002219C" w:rsidP="0002219C">
      <w:pPr>
        <w:keepNext/>
        <w:spacing w:before="240" w:after="240" w:line="240" w:lineRule="auto"/>
        <w:outlineLvl w:val="1"/>
        <w:rPr>
          <w:rFonts w:ascii="Arial" w:eastAsia="Times New Roman" w:hAnsi="Arial" w:cs="Times New Roman"/>
          <w:sz w:val="30"/>
          <w:szCs w:val="20"/>
          <w:lang w:eastAsia="en-AU"/>
        </w:rPr>
      </w:pPr>
      <w:bookmarkStart w:id="50" w:name="_Toc449100262"/>
      <w:bookmarkStart w:id="51" w:name="_Toc449623639"/>
      <w:r w:rsidRPr="0002219C">
        <w:rPr>
          <w:rFonts w:ascii="Arial" w:eastAsia="Times New Roman" w:hAnsi="Arial" w:cs="Times New Roman"/>
          <w:sz w:val="30"/>
          <w:szCs w:val="20"/>
          <w:lang w:eastAsia="en-AU"/>
        </w:rPr>
        <w:lastRenderedPageBreak/>
        <w:t>Section 2: Outcomes and planned performance</w:t>
      </w:r>
      <w:bookmarkEnd w:id="42"/>
      <w:bookmarkEnd w:id="43"/>
      <w:bookmarkEnd w:id="44"/>
      <w:bookmarkEnd w:id="45"/>
      <w:bookmarkEnd w:id="46"/>
      <w:bookmarkEnd w:id="47"/>
      <w:bookmarkEnd w:id="48"/>
      <w:bookmarkEnd w:id="49"/>
      <w:bookmarkEnd w:id="50"/>
      <w:bookmarkEnd w:id="51"/>
    </w:p>
    <w:p w:rsidR="0002219C" w:rsidRPr="0002219C" w:rsidRDefault="0002219C" w:rsidP="0002219C">
      <w:pPr>
        <w:spacing w:after="120" w:line="240" w:lineRule="auto"/>
        <w:rPr>
          <w:rFonts w:ascii="Book Antiqua" w:eastAsia="Times New Roman" w:hAnsi="Book Antiqua" w:cs="Times New Roman"/>
          <w:szCs w:val="20"/>
          <w:lang w:eastAsia="en-AU"/>
        </w:rPr>
      </w:pPr>
      <w:r w:rsidRPr="0002219C">
        <w:rPr>
          <w:rFonts w:ascii="Book Antiqua" w:eastAsia="Times New Roman" w:hAnsi="Book Antiqua" w:cs="Times New Roman"/>
          <w:szCs w:val="20"/>
          <w:lang w:eastAsia="en-AU"/>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02219C" w:rsidRPr="0002219C" w:rsidRDefault="0002219C" w:rsidP="0002219C">
      <w:pPr>
        <w:spacing w:after="120" w:line="240" w:lineRule="auto"/>
        <w:rPr>
          <w:rFonts w:ascii="Book Antiqua" w:eastAsia="Times New Roman" w:hAnsi="Book Antiqua" w:cs="Times New Roman"/>
          <w:szCs w:val="20"/>
          <w:lang w:eastAsia="en-AU"/>
        </w:rPr>
      </w:pPr>
      <w:r w:rsidRPr="0002219C">
        <w:rPr>
          <w:rFonts w:ascii="Book Antiqua" w:eastAsia="Times New Roman" w:hAnsi="Book Antiqua" w:cs="Times New Roman"/>
          <w:szCs w:val="20"/>
          <w:lang w:eastAsia="en-AU"/>
        </w:rPr>
        <w:t xml:space="preserve">Each outcome is described below together with its related programs. The following provides detailed information on expenses for each outcome and program, further broken down by funding source. </w:t>
      </w:r>
    </w:p>
    <w:p w:rsidR="0002219C" w:rsidRPr="0002219C" w:rsidRDefault="0002219C" w:rsidP="0002219C">
      <w:pPr>
        <w:pBdr>
          <w:top w:val="single" w:sz="2" w:space="6" w:color="auto"/>
          <w:left w:val="single" w:sz="2" w:space="4" w:color="auto"/>
          <w:bottom w:val="single" w:sz="2" w:space="6" w:color="auto"/>
          <w:right w:val="single" w:sz="2" w:space="4" w:color="auto"/>
        </w:pBdr>
        <w:spacing w:after="120" w:line="240" w:lineRule="auto"/>
        <w:rPr>
          <w:rFonts w:ascii="Book Antiqua" w:eastAsia="Times New Roman" w:hAnsi="Book Antiqua" w:cs="Times New Roman"/>
          <w:b/>
          <w:szCs w:val="20"/>
          <w:lang w:eastAsia="en-AU"/>
        </w:rPr>
      </w:pPr>
      <w:r w:rsidRPr="0002219C">
        <w:rPr>
          <w:rFonts w:ascii="Book Antiqua" w:eastAsia="Times New Roman" w:hAnsi="Book Antiqua" w:cs="Times New Roman"/>
          <w:b/>
          <w:szCs w:val="20"/>
          <w:lang w:eastAsia="en-AU"/>
        </w:rPr>
        <w:t>Note:</w:t>
      </w:r>
    </w:p>
    <w:p w:rsidR="0002219C" w:rsidRPr="0002219C" w:rsidRDefault="0002219C" w:rsidP="0002219C">
      <w:pPr>
        <w:pBdr>
          <w:top w:val="single" w:sz="2" w:space="6" w:color="auto"/>
          <w:left w:val="single" w:sz="2" w:space="4" w:color="auto"/>
          <w:bottom w:val="single" w:sz="2" w:space="6" w:color="auto"/>
          <w:right w:val="single" w:sz="2" w:space="4" w:color="auto"/>
        </w:pBdr>
        <w:spacing w:after="120" w:line="240" w:lineRule="auto"/>
        <w:rPr>
          <w:rFonts w:ascii="Book Antiqua" w:eastAsia="Times New Roman" w:hAnsi="Book Antiqua" w:cs="Times New Roman"/>
          <w:szCs w:val="20"/>
          <w:highlight w:val="yellow"/>
          <w:lang w:eastAsia="en-AU"/>
        </w:rPr>
      </w:pPr>
      <w:r w:rsidRPr="0002219C">
        <w:rPr>
          <w:rFonts w:ascii="Book Antiqua" w:eastAsia="Times New Roman" w:hAnsi="Book Antiqua" w:cs="Times New Roman"/>
          <w:szCs w:val="20"/>
          <w:lang w:eastAsia="en-AU"/>
        </w:rPr>
        <w:t>From 1 July 2015, performance reporting requirements in the Portfolio Budget Statements sit alongside those required under the enhanced commonwealth performance framework. It is anticipated that the performance criteria described in Portfolio Budget Statements will be read with broader information provided in an entity’s corporate plans and annual performance statements—included in Annual Reports from October 2016—to provide an entity’s complete performance story.</w:t>
      </w:r>
    </w:p>
    <w:p w:rsidR="0002219C" w:rsidRPr="0002219C" w:rsidRDefault="0002219C" w:rsidP="0002219C">
      <w:pPr>
        <w:keepNext/>
        <w:tabs>
          <w:tab w:val="left" w:pos="709"/>
        </w:tabs>
        <w:spacing w:before="120" w:after="120" w:line="240" w:lineRule="auto"/>
        <w:outlineLvl w:val="2"/>
        <w:rPr>
          <w:rFonts w:ascii="Arial" w:eastAsia="Times New Roman" w:hAnsi="Arial" w:cs="Times New Roman"/>
          <w:b/>
          <w:smallCaps/>
          <w:sz w:val="26"/>
          <w:szCs w:val="20"/>
          <w:lang w:eastAsia="en-AU"/>
        </w:rPr>
        <w:sectPr w:rsidR="0002219C" w:rsidRPr="0002219C" w:rsidSect="00C46B04">
          <w:headerReference w:type="even" r:id="rId16"/>
          <w:headerReference w:type="first" r:id="rId17"/>
          <w:type w:val="oddPage"/>
          <w:pgSz w:w="11907" w:h="16839" w:code="9"/>
          <w:pgMar w:top="2466" w:right="2098" w:bottom="2466" w:left="2098" w:header="1899" w:footer="1899" w:gutter="0"/>
          <w:cols w:space="708"/>
          <w:titlePg/>
          <w:docGrid w:linePitch="360"/>
        </w:sectPr>
      </w:pPr>
      <w:bookmarkStart w:id="52" w:name="_Toc447013823"/>
      <w:bookmarkStart w:id="53" w:name="_Toc447115221"/>
      <w:bookmarkStart w:id="54" w:name="_Toc447115304"/>
      <w:bookmarkStart w:id="55" w:name="_Toc447115484"/>
      <w:bookmarkStart w:id="56" w:name="_Toc447116775"/>
      <w:bookmarkStart w:id="57" w:name="_Toc447118004"/>
      <w:bookmarkStart w:id="58" w:name="_Toc447119437"/>
      <w:bookmarkStart w:id="59" w:name="_Toc447709938"/>
    </w:p>
    <w:p w:rsidR="0002219C" w:rsidRPr="0002219C" w:rsidRDefault="0002219C" w:rsidP="0002219C">
      <w:pPr>
        <w:keepNext/>
        <w:tabs>
          <w:tab w:val="left" w:pos="709"/>
        </w:tabs>
        <w:spacing w:before="120" w:after="120" w:line="240" w:lineRule="auto"/>
        <w:outlineLvl w:val="2"/>
        <w:rPr>
          <w:rFonts w:ascii="Arial" w:eastAsia="Times New Roman" w:hAnsi="Arial" w:cs="Times New Roman"/>
          <w:b/>
          <w:smallCaps/>
          <w:sz w:val="26"/>
          <w:szCs w:val="20"/>
          <w:lang w:eastAsia="en-AU"/>
        </w:rPr>
      </w:pPr>
      <w:bookmarkStart w:id="60" w:name="_Toc449100263"/>
      <w:bookmarkStart w:id="61" w:name="_Toc449623640"/>
      <w:r w:rsidRPr="0002219C">
        <w:rPr>
          <w:rFonts w:ascii="Arial" w:eastAsia="Times New Roman" w:hAnsi="Arial" w:cs="Times New Roman"/>
          <w:b/>
          <w:smallCaps/>
          <w:sz w:val="26"/>
          <w:szCs w:val="20"/>
          <w:lang w:eastAsia="en-AU"/>
        </w:rPr>
        <w:lastRenderedPageBreak/>
        <w:t xml:space="preserve">2.1 </w:t>
      </w:r>
      <w:r w:rsidRPr="0002219C">
        <w:rPr>
          <w:rFonts w:ascii="Arial" w:eastAsia="Times New Roman" w:hAnsi="Arial" w:cs="Times New Roman"/>
          <w:b/>
          <w:smallCaps/>
          <w:sz w:val="26"/>
          <w:szCs w:val="20"/>
          <w:lang w:eastAsia="en-AU"/>
        </w:rPr>
        <w:tab/>
        <w:t xml:space="preserve">Budgeted expenses and performance for Outcome </w:t>
      </w:r>
      <w:bookmarkEnd w:id="52"/>
      <w:bookmarkEnd w:id="53"/>
      <w:bookmarkEnd w:id="54"/>
      <w:bookmarkEnd w:id="55"/>
      <w:bookmarkEnd w:id="56"/>
      <w:bookmarkEnd w:id="57"/>
      <w:bookmarkEnd w:id="58"/>
      <w:r w:rsidRPr="0002219C">
        <w:rPr>
          <w:rFonts w:ascii="Arial" w:eastAsia="Times New Roman" w:hAnsi="Arial" w:cs="Times New Roman"/>
          <w:b/>
          <w:smallCaps/>
          <w:sz w:val="26"/>
          <w:szCs w:val="20"/>
          <w:lang w:eastAsia="en-AU"/>
        </w:rPr>
        <w:t>1</w:t>
      </w:r>
      <w:bookmarkEnd w:id="59"/>
      <w:bookmarkEnd w:id="60"/>
      <w:bookmarkEnd w:id="61"/>
      <w:r w:rsidRPr="0002219C">
        <w:rPr>
          <w:rFonts w:ascii="Arial" w:eastAsia="Times New Roman" w:hAnsi="Arial" w:cs="Times New Roman"/>
          <w:b/>
          <w:smallCaps/>
          <w:sz w:val="26"/>
          <w:szCs w:val="20"/>
          <w:lang w:eastAsia="en-AU"/>
        </w:rPr>
        <w:t xml:space="preserve"> </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13"/>
      </w:tblGrid>
      <w:tr w:rsidR="0002219C" w:rsidRPr="0002219C" w:rsidTr="00DC4D04">
        <w:tc>
          <w:tcPr>
            <w:tcW w:w="7713" w:type="dxa"/>
            <w:shd w:val="clear" w:color="auto" w:fill="E6E6E6"/>
          </w:tcPr>
          <w:p w:rsidR="0002219C" w:rsidRPr="0002219C" w:rsidRDefault="0002219C" w:rsidP="0002219C">
            <w:pPr>
              <w:spacing w:before="60" w:after="60" w:line="240" w:lineRule="auto"/>
              <w:rPr>
                <w:rFonts w:ascii="Arial" w:eastAsia="Times New Roman" w:hAnsi="Arial" w:cs="Times New Roman"/>
                <w:b/>
                <w:sz w:val="20"/>
                <w:szCs w:val="20"/>
                <w:lang w:eastAsia="en-AU"/>
              </w:rPr>
            </w:pPr>
            <w:r w:rsidRPr="0002219C">
              <w:rPr>
                <w:rFonts w:ascii="Arial" w:eastAsia="Times New Roman" w:hAnsi="Arial" w:cs="Times New Roman"/>
                <w:b/>
                <w:sz w:val="20"/>
                <w:szCs w:val="20"/>
                <w:lang w:eastAsia="en-AU"/>
              </w:rPr>
              <w:t>Outcome 1: Promote and improve gender equality in Australian workplaces including through the provision of advice and assistance to employers and the assessment and measurement of workplace gender data.</w:t>
            </w:r>
          </w:p>
        </w:tc>
      </w:tr>
    </w:tbl>
    <w:p w:rsidR="0002219C" w:rsidRPr="0002219C" w:rsidRDefault="0002219C" w:rsidP="0002219C">
      <w:pPr>
        <w:keepNext/>
        <w:spacing w:before="200" w:after="120" w:line="240" w:lineRule="auto"/>
        <w:outlineLvl w:val="4"/>
        <w:rPr>
          <w:rFonts w:ascii="Book Antiqua" w:eastAsia="Times New Roman" w:hAnsi="Book Antiqua" w:cs="Times New Roman"/>
          <w:b/>
          <w:bCs/>
          <w:iCs/>
          <w:szCs w:val="26"/>
          <w:lang w:eastAsia="en-AU"/>
        </w:rPr>
      </w:pPr>
      <w:r w:rsidRPr="0002219C">
        <w:rPr>
          <w:rFonts w:ascii="Book Antiqua" w:eastAsia="Times New Roman" w:hAnsi="Book Antiqua" w:cs="Times New Roman"/>
          <w:b/>
          <w:bCs/>
          <w:iCs/>
          <w:szCs w:val="26"/>
          <w:lang w:eastAsia="en-AU"/>
        </w:rPr>
        <w:t>Budgeted expenses for Outcome 1</w:t>
      </w:r>
    </w:p>
    <w:p w:rsidR="0002219C" w:rsidRPr="0002219C" w:rsidRDefault="0002219C" w:rsidP="0002219C">
      <w:pPr>
        <w:spacing w:after="120" w:line="240" w:lineRule="auto"/>
        <w:rPr>
          <w:rFonts w:ascii="Book Antiqua" w:eastAsia="Times New Roman" w:hAnsi="Book Antiqua" w:cs="Times New Roman"/>
          <w:szCs w:val="20"/>
          <w:lang w:eastAsia="en-AU"/>
        </w:rPr>
      </w:pPr>
      <w:r w:rsidRPr="0002219C">
        <w:rPr>
          <w:rFonts w:ascii="Book Antiqua" w:eastAsia="Times New Roman" w:hAnsi="Book Antiqua" w:cs="Times New Roman"/>
          <w:szCs w:val="20"/>
          <w:lang w:eastAsia="en-AU"/>
        </w:rPr>
        <w:t xml:space="preserve">This table shows how much the entity intends to spend (on an accrual basis) on achieving the outcome, broken down by program, as well as by Administered and Departmental funding sources. </w:t>
      </w:r>
    </w:p>
    <w:p w:rsidR="0002219C" w:rsidRPr="0002219C" w:rsidRDefault="0002219C" w:rsidP="0002219C">
      <w:pPr>
        <w:keepNext/>
        <w:spacing w:before="120" w:after="40" w:line="240" w:lineRule="auto"/>
        <w:rPr>
          <w:rFonts w:ascii="Book Antiqua" w:eastAsia="Times New Roman" w:hAnsi="Book Antiqua" w:cs="Times New Roman"/>
          <w:b/>
          <w:color w:val="000000"/>
          <w:szCs w:val="20"/>
          <w:lang w:eastAsia="x-none"/>
        </w:rPr>
      </w:pPr>
      <w:r w:rsidRPr="0002219C">
        <w:rPr>
          <w:rFonts w:ascii="Book Antiqua" w:eastAsia="Times New Roman" w:hAnsi="Book Antiqua" w:cs="Times New Roman"/>
          <w:b/>
          <w:color w:val="000000"/>
          <w:szCs w:val="20"/>
          <w:lang w:val="x-none" w:eastAsia="x-none"/>
        </w:rPr>
        <w:t>Table 2.</w:t>
      </w:r>
      <w:r w:rsidRPr="0002219C">
        <w:rPr>
          <w:rFonts w:ascii="Book Antiqua" w:eastAsia="Times New Roman" w:hAnsi="Book Antiqua" w:cs="Times New Roman"/>
          <w:b/>
          <w:color w:val="000000"/>
          <w:szCs w:val="20"/>
          <w:lang w:eastAsia="x-none"/>
        </w:rPr>
        <w:t>1</w:t>
      </w:r>
      <w:r w:rsidRPr="0002219C">
        <w:rPr>
          <w:rFonts w:ascii="Book Antiqua" w:eastAsia="Times New Roman" w:hAnsi="Book Antiqua" w:cs="Times New Roman"/>
          <w:b/>
          <w:color w:val="000000"/>
          <w:szCs w:val="20"/>
          <w:lang w:val="x-none" w:eastAsia="x-none"/>
        </w:rPr>
        <w:t xml:space="preserve">.1: Budgeted expenses for Outcome </w:t>
      </w:r>
      <w:r w:rsidRPr="0002219C">
        <w:rPr>
          <w:rFonts w:ascii="Book Antiqua" w:eastAsia="Times New Roman" w:hAnsi="Book Antiqua" w:cs="Times New Roman"/>
          <w:b/>
          <w:color w:val="000000"/>
          <w:szCs w:val="20"/>
          <w:lang w:eastAsia="x-none"/>
        </w:rPr>
        <w:t>1</w:t>
      </w:r>
    </w:p>
    <w:p w:rsidR="0002219C" w:rsidRPr="0002219C" w:rsidRDefault="0002219C" w:rsidP="0002219C">
      <w:pPr>
        <w:spacing w:after="0" w:line="240" w:lineRule="auto"/>
        <w:ind w:right="-113"/>
        <w:rPr>
          <w:rFonts w:ascii="Book Antiqua" w:eastAsia="Times New Roman" w:hAnsi="Book Antiqua" w:cs="Times New Roman"/>
          <w:szCs w:val="20"/>
          <w:lang w:eastAsia="x-none"/>
        </w:rPr>
      </w:pPr>
      <w:r w:rsidRPr="0002219C">
        <w:rPr>
          <w:rFonts w:ascii="Book Antiqua" w:eastAsia="Times New Roman" w:hAnsi="Book Antiqua" w:cs="Times New Roman"/>
          <w:noProof/>
          <w:szCs w:val="20"/>
          <w:lang w:eastAsia="en-AU"/>
        </w:rPr>
        <w:drawing>
          <wp:inline distT="0" distB="0" distL="0" distR="0" wp14:anchorId="3A680BDF" wp14:editId="449C377D">
            <wp:extent cx="4896485" cy="3329936"/>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96485" cy="3329936"/>
                    </a:xfrm>
                    <a:prstGeom prst="rect">
                      <a:avLst/>
                    </a:prstGeom>
                    <a:noFill/>
                    <a:ln>
                      <a:noFill/>
                    </a:ln>
                  </pic:spPr>
                </pic:pic>
              </a:graphicData>
            </a:graphic>
          </wp:inline>
        </w:drawing>
      </w:r>
    </w:p>
    <w:p w:rsidR="0002219C" w:rsidRPr="0002219C" w:rsidRDefault="0002219C" w:rsidP="0002219C">
      <w:pPr>
        <w:numPr>
          <w:ilvl w:val="0"/>
          <w:numId w:val="3"/>
        </w:numPr>
        <w:tabs>
          <w:tab w:val="left" w:pos="284"/>
        </w:tabs>
        <w:spacing w:before="120" w:after="0" w:line="240" w:lineRule="auto"/>
        <w:ind w:left="284" w:hanging="284"/>
        <w:rPr>
          <w:rFonts w:ascii="Arial" w:eastAsia="Times New Roman" w:hAnsi="Arial" w:cs="Times New Roman"/>
          <w:color w:val="000000"/>
          <w:sz w:val="16"/>
          <w:szCs w:val="20"/>
          <w:lang w:val="x-none" w:eastAsia="x-none"/>
        </w:rPr>
      </w:pPr>
      <w:r w:rsidRPr="0002219C">
        <w:rPr>
          <w:rFonts w:ascii="Arial" w:eastAsia="Times New Roman" w:hAnsi="Arial" w:cs="Times New Roman"/>
          <w:color w:val="000000"/>
          <w:sz w:val="16"/>
          <w:szCs w:val="20"/>
          <w:lang w:val="x-none" w:eastAsia="x-none"/>
        </w:rPr>
        <w:t xml:space="preserve">Estimated expenses incurred in relation to receipts retained under section 74 of the </w:t>
      </w:r>
      <w:proofErr w:type="spellStart"/>
      <w:r w:rsidRPr="0002219C">
        <w:rPr>
          <w:rFonts w:ascii="Arial" w:eastAsia="Times New Roman" w:hAnsi="Arial" w:cs="Times New Roman"/>
          <w:color w:val="000000"/>
          <w:sz w:val="16"/>
          <w:szCs w:val="20"/>
          <w:lang w:val="x-none" w:eastAsia="x-none"/>
        </w:rPr>
        <w:t>PGPA</w:t>
      </w:r>
      <w:proofErr w:type="spellEnd"/>
      <w:r w:rsidRPr="0002219C">
        <w:rPr>
          <w:rFonts w:ascii="Arial" w:eastAsia="Times New Roman" w:hAnsi="Arial" w:cs="Times New Roman"/>
          <w:color w:val="000000"/>
          <w:sz w:val="16"/>
          <w:szCs w:val="20"/>
          <w:lang w:val="x-none" w:eastAsia="x-none"/>
        </w:rPr>
        <w:t xml:space="preserve"> Act.</w:t>
      </w:r>
    </w:p>
    <w:p w:rsidR="0002219C" w:rsidRPr="0002219C" w:rsidRDefault="0002219C" w:rsidP="0002219C">
      <w:pPr>
        <w:numPr>
          <w:ilvl w:val="0"/>
          <w:numId w:val="3"/>
        </w:numPr>
        <w:tabs>
          <w:tab w:val="left" w:pos="284"/>
        </w:tabs>
        <w:spacing w:after="0" w:line="240" w:lineRule="auto"/>
        <w:ind w:left="284" w:hanging="284"/>
        <w:rPr>
          <w:rFonts w:ascii="Arial" w:eastAsia="Times New Roman" w:hAnsi="Arial" w:cs="Times New Roman"/>
          <w:color w:val="000000"/>
          <w:sz w:val="16"/>
          <w:szCs w:val="20"/>
          <w:lang w:val="x-none" w:eastAsia="x-none"/>
        </w:rPr>
      </w:pPr>
      <w:r w:rsidRPr="0002219C">
        <w:rPr>
          <w:rFonts w:ascii="Arial" w:eastAsia="Times New Roman" w:hAnsi="Arial" w:cs="Times New Roman"/>
          <w:color w:val="000000"/>
          <w:sz w:val="16"/>
          <w:szCs w:val="20"/>
          <w:lang w:val="x-none" w:eastAsia="x-none"/>
        </w:rPr>
        <w:t>Expenses not requiring appropriation in the Budget year are made up of depreciation expenses, amortisation expenses</w:t>
      </w:r>
      <w:r w:rsidRPr="0002219C">
        <w:rPr>
          <w:rFonts w:ascii="Arial" w:eastAsia="Times New Roman" w:hAnsi="Arial" w:cs="Times New Roman"/>
          <w:color w:val="000000"/>
          <w:sz w:val="16"/>
          <w:szCs w:val="20"/>
          <w:lang w:eastAsia="x-none"/>
        </w:rPr>
        <w:t xml:space="preserve"> and</w:t>
      </w:r>
      <w:r w:rsidRPr="0002219C">
        <w:rPr>
          <w:rFonts w:ascii="Arial" w:eastAsia="Times New Roman" w:hAnsi="Arial" w:cs="Times New Roman"/>
          <w:color w:val="000000"/>
          <w:sz w:val="16"/>
          <w:szCs w:val="20"/>
          <w:lang w:val="x-none" w:eastAsia="x-none"/>
        </w:rPr>
        <w:t xml:space="preserve"> audit fees</w:t>
      </w:r>
      <w:r w:rsidRPr="0002219C">
        <w:rPr>
          <w:rFonts w:ascii="Arial" w:eastAsia="Times New Roman" w:hAnsi="Arial" w:cs="Times New Roman"/>
          <w:color w:val="000000"/>
          <w:sz w:val="16"/>
          <w:szCs w:val="20"/>
          <w:lang w:eastAsia="x-none"/>
        </w:rPr>
        <w:t>.</w:t>
      </w:r>
    </w:p>
    <w:p w:rsidR="0002219C" w:rsidRPr="0002219C" w:rsidRDefault="0002219C" w:rsidP="0002219C">
      <w:pPr>
        <w:tabs>
          <w:tab w:val="left" w:pos="284"/>
        </w:tabs>
        <w:spacing w:before="120" w:after="0" w:line="240" w:lineRule="auto"/>
        <w:rPr>
          <w:rFonts w:ascii="Arial" w:eastAsia="Times New Roman" w:hAnsi="Arial" w:cs="Times New Roman"/>
          <w:color w:val="000000"/>
          <w:sz w:val="16"/>
          <w:szCs w:val="20"/>
          <w:lang w:val="x-none" w:eastAsia="x-none"/>
        </w:rPr>
      </w:pPr>
      <w:r w:rsidRPr="0002219C">
        <w:rPr>
          <w:rFonts w:ascii="Arial" w:eastAsia="Times New Roman" w:hAnsi="Arial" w:cs="Times New Roman"/>
          <w:color w:val="000000"/>
          <w:sz w:val="16"/>
          <w:szCs w:val="20"/>
          <w:lang w:val="x-none" w:eastAsia="x-none"/>
        </w:rPr>
        <w:t>Note: Departmental appropriation splits and totals are indicative estimates and may change in the course of the budget year as government priorities change.</w:t>
      </w:r>
      <w:r w:rsidRPr="0002219C">
        <w:rPr>
          <w:rFonts w:ascii="Arial" w:eastAsia="Times New Roman" w:hAnsi="Arial" w:cs="Times New Roman"/>
          <w:color w:val="000000"/>
          <w:sz w:val="16"/>
          <w:szCs w:val="20"/>
          <w:lang w:val="x-none" w:eastAsia="x-none"/>
        </w:rPr>
        <w:br w:type="page"/>
      </w:r>
    </w:p>
    <w:p w:rsidR="0002219C" w:rsidRPr="0002219C" w:rsidRDefault="0002219C" w:rsidP="0002219C">
      <w:pPr>
        <w:keepNext/>
        <w:spacing w:before="200" w:after="120" w:line="240" w:lineRule="auto"/>
        <w:outlineLvl w:val="4"/>
        <w:rPr>
          <w:rFonts w:ascii="Book Antiqua" w:eastAsia="Times New Roman" w:hAnsi="Book Antiqua" w:cs="Times New Roman"/>
          <w:b/>
          <w:bCs/>
          <w:iCs/>
          <w:szCs w:val="26"/>
          <w:lang w:eastAsia="en-AU"/>
        </w:rPr>
      </w:pPr>
      <w:r w:rsidRPr="0002219C">
        <w:rPr>
          <w:rFonts w:ascii="Book Antiqua" w:eastAsia="Times New Roman" w:hAnsi="Book Antiqua" w:cs="Times New Roman"/>
          <w:b/>
          <w:bCs/>
          <w:iCs/>
          <w:szCs w:val="26"/>
          <w:lang w:eastAsia="en-AU"/>
        </w:rPr>
        <w:lastRenderedPageBreak/>
        <w:t>Table 2.1.2: Performance criteria for Outcome 1</w:t>
      </w:r>
    </w:p>
    <w:p w:rsidR="0002219C" w:rsidRPr="0002219C" w:rsidRDefault="0002219C" w:rsidP="0002219C">
      <w:pPr>
        <w:spacing w:before="60" w:after="60" w:line="240" w:lineRule="auto"/>
        <w:rPr>
          <w:rFonts w:ascii="Arial" w:eastAsia="Times New Roman" w:hAnsi="Arial" w:cs="Times New Roman"/>
          <w:sz w:val="18"/>
          <w:szCs w:val="20"/>
          <w:lang w:eastAsia="en-AU"/>
        </w:rPr>
      </w:pPr>
      <w:r w:rsidRPr="0002219C">
        <w:rPr>
          <w:rFonts w:ascii="Arial" w:eastAsia="Times New Roman" w:hAnsi="Arial" w:cs="Times New Roman"/>
          <w:sz w:val="18"/>
          <w:szCs w:val="20"/>
          <w:lang w:eastAsia="en-AU"/>
        </w:rPr>
        <w:t>Table 2.1.2 below details the performance criteria for each program associated with Outcome 1. It also summarises how each program is delivered and where 2016–17 Budget measures have created new programs or materially changed existing programs.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379"/>
      </w:tblGrid>
      <w:tr w:rsidR="0002219C" w:rsidRPr="0002219C" w:rsidTr="00DC4D04">
        <w:tc>
          <w:tcPr>
            <w:tcW w:w="7797" w:type="dxa"/>
            <w:gridSpan w:val="2"/>
            <w:shd w:val="clear" w:color="auto" w:fill="F2F2F2"/>
          </w:tcPr>
          <w:p w:rsidR="0002219C" w:rsidRPr="0002219C" w:rsidRDefault="0002219C" w:rsidP="0002219C">
            <w:pPr>
              <w:spacing w:before="60" w:after="60" w:line="240" w:lineRule="auto"/>
              <w:rPr>
                <w:rFonts w:ascii="Arial" w:eastAsia="Times New Roman" w:hAnsi="Arial" w:cs="Times New Roman"/>
                <w:b/>
                <w:sz w:val="20"/>
                <w:szCs w:val="20"/>
                <w:lang w:eastAsia="en-AU"/>
              </w:rPr>
            </w:pPr>
            <w:r w:rsidRPr="0002219C">
              <w:rPr>
                <w:rFonts w:ascii="Arial" w:eastAsia="Times New Roman" w:hAnsi="Arial" w:cs="Times New Roman"/>
                <w:b/>
                <w:sz w:val="20"/>
                <w:szCs w:val="20"/>
                <w:lang w:eastAsia="en-AU"/>
              </w:rPr>
              <w:t>Outcome 1—Promote and improve gender equality in Australian workplaces including through the provision of advice and assistance to employers and the assessment and measurement of workplace gender data.</w:t>
            </w:r>
          </w:p>
        </w:tc>
      </w:tr>
      <w:tr w:rsidR="0002219C" w:rsidRPr="0002219C" w:rsidTr="00DC4D04">
        <w:tc>
          <w:tcPr>
            <w:tcW w:w="7797" w:type="dxa"/>
            <w:gridSpan w:val="2"/>
            <w:shd w:val="clear" w:color="auto" w:fill="F2F2F2"/>
          </w:tcPr>
          <w:p w:rsidR="0002219C" w:rsidRPr="0002219C" w:rsidRDefault="0002219C" w:rsidP="0002219C">
            <w:pPr>
              <w:spacing w:before="60" w:after="60" w:line="240" w:lineRule="auto"/>
              <w:rPr>
                <w:rFonts w:ascii="Arial" w:eastAsia="Times New Roman" w:hAnsi="Arial" w:cs="Times New Roman"/>
                <w:b/>
                <w:sz w:val="18"/>
                <w:szCs w:val="20"/>
                <w:lang w:eastAsia="en-AU"/>
              </w:rPr>
            </w:pPr>
            <w:r w:rsidRPr="0002219C">
              <w:rPr>
                <w:rFonts w:ascii="Arial" w:eastAsia="Times New Roman" w:hAnsi="Arial" w:cs="Times New Roman"/>
                <w:b/>
                <w:sz w:val="18"/>
                <w:szCs w:val="20"/>
                <w:lang w:eastAsia="en-AU"/>
              </w:rPr>
              <w:t>Program 1.1—Workplace Gender Equality</w:t>
            </w:r>
          </w:p>
          <w:p w:rsidR="0002219C" w:rsidRPr="0002219C" w:rsidRDefault="0002219C" w:rsidP="0002219C">
            <w:pPr>
              <w:spacing w:before="60" w:after="60" w:line="240" w:lineRule="auto"/>
              <w:rPr>
                <w:rFonts w:ascii="Arial" w:eastAsia="Times New Roman" w:hAnsi="Arial" w:cs="Times New Roman"/>
                <w:sz w:val="18"/>
                <w:szCs w:val="20"/>
                <w:lang w:eastAsia="en-AU"/>
              </w:rPr>
            </w:pPr>
            <w:r w:rsidRPr="0002219C">
              <w:rPr>
                <w:rFonts w:ascii="Arial" w:eastAsia="Times New Roman" w:hAnsi="Arial" w:cs="Times New Roman"/>
                <w:sz w:val="18"/>
                <w:szCs w:val="20"/>
                <w:lang w:eastAsia="en-AU"/>
              </w:rPr>
              <w:t>The Workplace Gender Equality Agency will deliver on Outcome 1 by assisting relevant employees to report to the Agency; educating employers on improving gender equality outcomes; promoting and contributing to understanding, acceptance and public discussion of gender equality in the Australian workplace; using gender equality data to improve workplace gender equality and fostering compliance with the reporting and transparency provisions of the Act.</w:t>
            </w:r>
          </w:p>
        </w:tc>
      </w:tr>
      <w:tr w:rsidR="0002219C" w:rsidRPr="0002219C" w:rsidTr="00DC4D04">
        <w:tc>
          <w:tcPr>
            <w:tcW w:w="1418" w:type="dxa"/>
          </w:tcPr>
          <w:p w:rsidR="0002219C" w:rsidRPr="0002219C" w:rsidRDefault="0002219C" w:rsidP="0002219C">
            <w:pPr>
              <w:spacing w:before="60" w:after="60" w:line="240" w:lineRule="auto"/>
              <w:rPr>
                <w:rFonts w:ascii="Arial" w:eastAsia="Times New Roman" w:hAnsi="Arial" w:cs="Times New Roman"/>
                <w:sz w:val="18"/>
                <w:szCs w:val="20"/>
                <w:lang w:eastAsia="en-AU"/>
              </w:rPr>
            </w:pPr>
            <w:r w:rsidRPr="0002219C">
              <w:rPr>
                <w:rFonts w:ascii="Arial" w:eastAsia="Times New Roman" w:hAnsi="Arial" w:cs="Times New Roman"/>
                <w:sz w:val="18"/>
                <w:szCs w:val="20"/>
                <w:lang w:eastAsia="en-AU"/>
              </w:rPr>
              <w:t>Purpose</w:t>
            </w:r>
          </w:p>
        </w:tc>
        <w:tc>
          <w:tcPr>
            <w:tcW w:w="6379" w:type="dxa"/>
          </w:tcPr>
          <w:p w:rsidR="0002219C" w:rsidRPr="0002219C" w:rsidRDefault="0002219C" w:rsidP="0002219C">
            <w:pPr>
              <w:spacing w:before="60" w:after="60" w:line="240" w:lineRule="auto"/>
              <w:rPr>
                <w:rFonts w:ascii="Arial" w:eastAsia="Times New Roman" w:hAnsi="Arial" w:cs="Times New Roman"/>
                <w:sz w:val="18"/>
                <w:szCs w:val="20"/>
                <w:lang w:eastAsia="en-AU"/>
              </w:rPr>
            </w:pPr>
            <w:r w:rsidRPr="0002219C">
              <w:rPr>
                <w:rFonts w:ascii="Arial" w:eastAsia="Cambria" w:hAnsi="Arial" w:cs="Times New Roman"/>
                <w:sz w:val="18"/>
                <w:szCs w:val="20"/>
                <w:lang w:eastAsia="en-AU"/>
              </w:rPr>
              <w:t>The purpose of the Workplace Gender Equality Agency is to promote amongst employers, the elimination of discrimination on the basis of gender in relation to employment matters, to foster workplace consultation between employers and employees on issues concerning gender equality in employment and in the workplace; to improve the productivity and competitiveness of Australian business through the advancement of gender equality in employment and in the workplace; and to remove barriers to the full and equal participation of women in the workplace.</w:t>
            </w:r>
          </w:p>
        </w:tc>
      </w:tr>
      <w:tr w:rsidR="0002219C" w:rsidRPr="0002219C" w:rsidTr="00DC4D04">
        <w:tc>
          <w:tcPr>
            <w:tcW w:w="1418" w:type="dxa"/>
            <w:tcBorders>
              <w:bottom w:val="single" w:sz="4" w:space="0" w:color="auto"/>
            </w:tcBorders>
          </w:tcPr>
          <w:p w:rsidR="0002219C" w:rsidRPr="0002219C" w:rsidRDefault="0002219C" w:rsidP="0002219C">
            <w:pPr>
              <w:spacing w:before="60" w:after="60" w:line="240" w:lineRule="auto"/>
              <w:rPr>
                <w:rFonts w:ascii="Arial" w:eastAsia="Times New Roman" w:hAnsi="Arial" w:cs="Times New Roman"/>
                <w:sz w:val="18"/>
                <w:szCs w:val="20"/>
                <w:lang w:eastAsia="en-AU"/>
              </w:rPr>
            </w:pPr>
            <w:r w:rsidRPr="0002219C">
              <w:rPr>
                <w:rFonts w:ascii="Arial" w:eastAsia="Times New Roman" w:hAnsi="Arial" w:cs="Times New Roman"/>
                <w:sz w:val="18"/>
                <w:szCs w:val="20"/>
                <w:lang w:eastAsia="en-AU"/>
              </w:rPr>
              <w:t>Delivery</w:t>
            </w:r>
          </w:p>
        </w:tc>
        <w:tc>
          <w:tcPr>
            <w:tcW w:w="6379" w:type="dxa"/>
            <w:tcBorders>
              <w:bottom w:val="single" w:sz="4" w:space="0" w:color="auto"/>
            </w:tcBorders>
          </w:tcPr>
          <w:p w:rsidR="0002219C" w:rsidRPr="0002219C" w:rsidRDefault="0002219C" w:rsidP="0002219C">
            <w:pPr>
              <w:spacing w:before="60" w:after="60" w:line="240" w:lineRule="auto"/>
              <w:rPr>
                <w:rFonts w:ascii="Arial" w:eastAsia="Times New Roman" w:hAnsi="Arial" w:cs="Times New Roman"/>
                <w:sz w:val="18"/>
                <w:szCs w:val="20"/>
                <w:lang w:eastAsia="en-AU"/>
              </w:rPr>
            </w:pPr>
            <w:r w:rsidRPr="0002219C">
              <w:rPr>
                <w:rFonts w:ascii="Arial" w:eastAsia="Times New Roman" w:hAnsi="Arial" w:cs="Times New Roman"/>
                <w:sz w:val="18"/>
                <w:szCs w:val="20"/>
                <w:lang w:eastAsia="en-AU"/>
              </w:rPr>
              <w:t>Key activities to support the purpose of the Agency are:</w:t>
            </w:r>
          </w:p>
          <w:p w:rsidR="0002219C" w:rsidRPr="0002219C" w:rsidRDefault="0002219C" w:rsidP="0002219C">
            <w:pPr>
              <w:numPr>
                <w:ilvl w:val="0"/>
                <w:numId w:val="6"/>
              </w:numPr>
              <w:spacing w:before="60" w:after="60" w:line="240" w:lineRule="auto"/>
              <w:rPr>
                <w:rFonts w:ascii="Arial" w:eastAsia="Times New Roman" w:hAnsi="Arial" w:cs="Times New Roman"/>
                <w:sz w:val="18"/>
                <w:szCs w:val="20"/>
                <w:lang w:eastAsia="en-AU"/>
              </w:rPr>
            </w:pPr>
            <w:r w:rsidRPr="0002219C">
              <w:rPr>
                <w:rFonts w:ascii="Arial" w:eastAsia="Times New Roman" w:hAnsi="Arial" w:cs="Times New Roman"/>
                <w:sz w:val="18"/>
                <w:szCs w:val="20"/>
                <w:lang w:eastAsia="en-AU"/>
              </w:rPr>
              <w:t>advising and assisting employers to promote and improve gender equality in the workplace including providing advice and assistance on the collection and analysis of workplace data</w:t>
            </w:r>
          </w:p>
          <w:p w:rsidR="0002219C" w:rsidRPr="0002219C" w:rsidRDefault="0002219C" w:rsidP="0002219C">
            <w:pPr>
              <w:spacing w:before="60" w:after="60" w:line="240" w:lineRule="auto"/>
              <w:ind w:left="360" w:hanging="360"/>
              <w:rPr>
                <w:rFonts w:ascii="Arial" w:eastAsia="Times New Roman" w:hAnsi="Arial" w:cs="Times New Roman"/>
                <w:sz w:val="18"/>
                <w:szCs w:val="20"/>
                <w:lang w:eastAsia="en-AU"/>
              </w:rPr>
            </w:pPr>
            <w:r w:rsidRPr="0002219C">
              <w:rPr>
                <w:rFonts w:ascii="Arial" w:eastAsia="Times New Roman" w:hAnsi="Arial" w:cs="Times New Roman"/>
                <w:sz w:val="18"/>
                <w:szCs w:val="20"/>
                <w:lang w:eastAsia="en-AU"/>
              </w:rPr>
              <w:t>undertaking research, educational and other programs designed to promote and improve gender equality in the workplace</w:t>
            </w:r>
          </w:p>
          <w:p w:rsidR="0002219C" w:rsidRPr="0002219C" w:rsidRDefault="0002219C" w:rsidP="0002219C">
            <w:pPr>
              <w:spacing w:before="60" w:after="60" w:line="240" w:lineRule="auto"/>
              <w:ind w:left="360" w:hanging="360"/>
              <w:rPr>
                <w:rFonts w:ascii="Arial" w:eastAsia="Times New Roman" w:hAnsi="Arial" w:cs="Times New Roman"/>
                <w:sz w:val="18"/>
                <w:szCs w:val="20"/>
                <w:lang w:eastAsia="en-AU"/>
              </w:rPr>
            </w:pPr>
            <w:r w:rsidRPr="0002219C">
              <w:rPr>
                <w:rFonts w:ascii="Arial" w:eastAsia="Times New Roman" w:hAnsi="Arial" w:cs="Times New Roman"/>
                <w:sz w:val="18"/>
                <w:szCs w:val="20"/>
                <w:lang w:eastAsia="en-AU"/>
              </w:rPr>
              <w:t>promoting and contributing to understanding,  acceptance and public discussion of gender equality in the workplace</w:t>
            </w:r>
          </w:p>
          <w:p w:rsidR="0002219C" w:rsidRPr="0002219C" w:rsidRDefault="0002219C" w:rsidP="0002219C">
            <w:pPr>
              <w:spacing w:before="60" w:after="60" w:line="240" w:lineRule="auto"/>
              <w:ind w:left="360" w:hanging="360"/>
              <w:rPr>
                <w:rFonts w:ascii="Arial" w:eastAsia="Times New Roman" w:hAnsi="Arial" w:cs="Times New Roman"/>
                <w:sz w:val="18"/>
                <w:szCs w:val="20"/>
                <w:lang w:eastAsia="en-AU"/>
              </w:rPr>
            </w:pPr>
            <w:proofErr w:type="gramStart"/>
            <w:r w:rsidRPr="0002219C">
              <w:rPr>
                <w:rFonts w:ascii="Arial" w:eastAsia="Times New Roman" w:hAnsi="Arial" w:cs="Times New Roman"/>
                <w:sz w:val="18"/>
                <w:szCs w:val="20"/>
                <w:lang w:eastAsia="en-AU"/>
              </w:rPr>
              <w:t>reviewing</w:t>
            </w:r>
            <w:proofErr w:type="gramEnd"/>
            <w:r w:rsidRPr="0002219C">
              <w:rPr>
                <w:rFonts w:ascii="Arial" w:eastAsia="Times New Roman" w:hAnsi="Arial" w:cs="Times New Roman"/>
                <w:sz w:val="18"/>
                <w:szCs w:val="20"/>
                <w:lang w:eastAsia="en-AU"/>
              </w:rPr>
              <w:t xml:space="preserve"> compliance with the Act by relevant employers.</w:t>
            </w:r>
          </w:p>
        </w:tc>
      </w:tr>
    </w:tbl>
    <w:p w:rsidR="0002219C" w:rsidRPr="0002219C" w:rsidRDefault="0002219C" w:rsidP="0002219C">
      <w:pPr>
        <w:spacing w:after="120" w:line="240" w:lineRule="auto"/>
        <w:rPr>
          <w:rFonts w:ascii="Book Antiqua" w:eastAsia="Times New Roman" w:hAnsi="Book Antiqua" w:cs="Times New Roman"/>
          <w:szCs w:val="20"/>
          <w:lang w:eastAsia="en-AU"/>
        </w:rPr>
      </w:pPr>
      <w:r w:rsidRPr="0002219C">
        <w:rPr>
          <w:rFonts w:ascii="Book Antiqua" w:eastAsia="Times New Roman" w:hAnsi="Book Antiqua" w:cs="Times New Roman"/>
          <w:szCs w:val="20"/>
          <w:lang w:eastAsia="en-AU"/>
        </w:rPr>
        <w:br w:type="page"/>
      </w: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260"/>
        <w:gridCol w:w="3119"/>
      </w:tblGrid>
      <w:tr w:rsidR="0002219C" w:rsidRPr="0002219C" w:rsidTr="00DC4D04">
        <w:tc>
          <w:tcPr>
            <w:tcW w:w="7797" w:type="dxa"/>
            <w:gridSpan w:val="3"/>
            <w:tcBorders>
              <w:top w:val="double" w:sz="4" w:space="0" w:color="auto"/>
              <w:bottom w:val="double" w:sz="4" w:space="0" w:color="auto"/>
            </w:tcBorders>
          </w:tcPr>
          <w:p w:rsidR="0002219C" w:rsidRPr="0002219C" w:rsidRDefault="0002219C" w:rsidP="0002219C">
            <w:pPr>
              <w:spacing w:before="60" w:after="60" w:line="240" w:lineRule="auto"/>
              <w:rPr>
                <w:rFonts w:ascii="Arial" w:eastAsia="Times New Roman" w:hAnsi="Arial" w:cs="Times New Roman"/>
                <w:b/>
                <w:sz w:val="18"/>
                <w:szCs w:val="20"/>
                <w:lang w:eastAsia="en-AU"/>
              </w:rPr>
            </w:pPr>
            <w:r w:rsidRPr="0002219C">
              <w:rPr>
                <w:rFonts w:ascii="Arial" w:eastAsia="Times New Roman" w:hAnsi="Arial" w:cs="Times New Roman"/>
                <w:b/>
                <w:sz w:val="18"/>
                <w:szCs w:val="20"/>
                <w:lang w:eastAsia="en-AU"/>
              </w:rPr>
              <w:lastRenderedPageBreak/>
              <w:t>Performance information</w:t>
            </w:r>
          </w:p>
        </w:tc>
      </w:tr>
      <w:tr w:rsidR="0002219C" w:rsidRPr="0002219C" w:rsidTr="00DC4D04">
        <w:tc>
          <w:tcPr>
            <w:tcW w:w="1418" w:type="dxa"/>
            <w:tcBorders>
              <w:top w:val="double" w:sz="4" w:space="0" w:color="auto"/>
              <w:bottom w:val="single" w:sz="4" w:space="0" w:color="auto"/>
              <w:right w:val="single" w:sz="4" w:space="0" w:color="auto"/>
            </w:tcBorders>
          </w:tcPr>
          <w:p w:rsidR="0002219C" w:rsidRPr="0002219C" w:rsidRDefault="0002219C" w:rsidP="0002219C">
            <w:pPr>
              <w:spacing w:before="60" w:after="60" w:line="240" w:lineRule="auto"/>
              <w:rPr>
                <w:rFonts w:ascii="Arial" w:eastAsia="Times New Roman" w:hAnsi="Arial" w:cs="Times New Roman"/>
                <w:b/>
                <w:sz w:val="18"/>
                <w:szCs w:val="20"/>
                <w:lang w:eastAsia="en-AU"/>
              </w:rPr>
            </w:pPr>
            <w:r w:rsidRPr="0002219C">
              <w:rPr>
                <w:rFonts w:ascii="Arial" w:eastAsia="Times New Roman" w:hAnsi="Arial" w:cs="Times New Roman"/>
                <w:b/>
                <w:sz w:val="18"/>
                <w:szCs w:val="20"/>
                <w:lang w:eastAsia="en-AU"/>
              </w:rPr>
              <w:t>Year</w:t>
            </w:r>
          </w:p>
        </w:tc>
        <w:tc>
          <w:tcPr>
            <w:tcW w:w="3260" w:type="dxa"/>
            <w:tcBorders>
              <w:top w:val="double" w:sz="4" w:space="0" w:color="auto"/>
              <w:left w:val="single" w:sz="4" w:space="0" w:color="auto"/>
              <w:bottom w:val="single" w:sz="4" w:space="0" w:color="auto"/>
              <w:right w:val="single" w:sz="4" w:space="0" w:color="auto"/>
            </w:tcBorders>
          </w:tcPr>
          <w:p w:rsidR="0002219C" w:rsidRPr="0002219C" w:rsidRDefault="0002219C" w:rsidP="0002219C">
            <w:pPr>
              <w:spacing w:before="60" w:after="60" w:line="240" w:lineRule="auto"/>
              <w:rPr>
                <w:rFonts w:ascii="Arial" w:eastAsia="Times New Roman" w:hAnsi="Arial" w:cs="Times New Roman"/>
                <w:b/>
                <w:sz w:val="18"/>
                <w:szCs w:val="20"/>
                <w:lang w:eastAsia="en-AU"/>
              </w:rPr>
            </w:pPr>
            <w:r w:rsidRPr="0002219C">
              <w:rPr>
                <w:rFonts w:ascii="Arial" w:eastAsia="Times New Roman" w:hAnsi="Arial" w:cs="Times New Roman"/>
                <w:b/>
                <w:sz w:val="18"/>
                <w:szCs w:val="20"/>
                <w:lang w:eastAsia="en-AU"/>
              </w:rPr>
              <w:t>Performance criteria (a)</w:t>
            </w:r>
          </w:p>
        </w:tc>
        <w:tc>
          <w:tcPr>
            <w:tcW w:w="3119" w:type="dxa"/>
            <w:tcBorders>
              <w:top w:val="double" w:sz="4" w:space="0" w:color="auto"/>
              <w:left w:val="single" w:sz="4" w:space="0" w:color="auto"/>
              <w:bottom w:val="single" w:sz="4" w:space="0" w:color="auto"/>
            </w:tcBorders>
          </w:tcPr>
          <w:p w:rsidR="0002219C" w:rsidRPr="0002219C" w:rsidRDefault="0002219C" w:rsidP="0002219C">
            <w:pPr>
              <w:spacing w:before="60" w:after="60" w:line="240" w:lineRule="auto"/>
              <w:rPr>
                <w:rFonts w:ascii="Arial" w:eastAsia="Times New Roman" w:hAnsi="Arial" w:cs="Times New Roman"/>
                <w:b/>
                <w:sz w:val="18"/>
                <w:szCs w:val="20"/>
                <w:lang w:eastAsia="en-AU"/>
              </w:rPr>
            </w:pPr>
            <w:r w:rsidRPr="0002219C">
              <w:rPr>
                <w:rFonts w:ascii="Arial" w:eastAsia="Times New Roman" w:hAnsi="Arial" w:cs="Times New Roman"/>
                <w:b/>
                <w:sz w:val="18"/>
                <w:szCs w:val="20"/>
                <w:lang w:eastAsia="en-AU"/>
              </w:rPr>
              <w:t>Targets</w:t>
            </w:r>
          </w:p>
        </w:tc>
      </w:tr>
      <w:tr w:rsidR="0002219C" w:rsidRPr="0002219C" w:rsidTr="00DC4D04">
        <w:trPr>
          <w:trHeight w:val="60"/>
        </w:trPr>
        <w:tc>
          <w:tcPr>
            <w:tcW w:w="1418" w:type="dxa"/>
            <w:tcBorders>
              <w:top w:val="single" w:sz="4" w:space="0" w:color="auto"/>
              <w:bottom w:val="dotted" w:sz="4" w:space="0" w:color="auto"/>
              <w:right w:val="single" w:sz="4" w:space="0" w:color="auto"/>
            </w:tcBorders>
          </w:tcPr>
          <w:p w:rsidR="0002219C" w:rsidRPr="0002219C" w:rsidRDefault="0002219C" w:rsidP="0002219C">
            <w:pPr>
              <w:spacing w:before="60" w:after="60" w:line="240" w:lineRule="auto"/>
              <w:rPr>
                <w:rFonts w:ascii="Arial" w:eastAsia="Times New Roman" w:hAnsi="Arial" w:cs="Times New Roman"/>
                <w:sz w:val="18"/>
                <w:szCs w:val="20"/>
                <w:lang w:eastAsia="en-AU"/>
              </w:rPr>
            </w:pPr>
            <w:r w:rsidRPr="0002219C">
              <w:rPr>
                <w:rFonts w:ascii="Arial" w:eastAsia="Times New Roman" w:hAnsi="Arial" w:cs="Times New Roman"/>
                <w:sz w:val="18"/>
                <w:szCs w:val="20"/>
                <w:lang w:eastAsia="en-AU"/>
              </w:rPr>
              <w:t>2015–16</w:t>
            </w:r>
          </w:p>
        </w:tc>
        <w:tc>
          <w:tcPr>
            <w:tcW w:w="3260" w:type="dxa"/>
            <w:tcBorders>
              <w:top w:val="single" w:sz="4" w:space="0" w:color="auto"/>
              <w:left w:val="single" w:sz="4" w:space="0" w:color="auto"/>
              <w:bottom w:val="dotted" w:sz="4" w:space="0" w:color="auto"/>
              <w:right w:val="single" w:sz="4" w:space="0" w:color="auto"/>
            </w:tcBorders>
          </w:tcPr>
          <w:p w:rsidR="0002219C" w:rsidRPr="0002219C" w:rsidRDefault="0002219C" w:rsidP="0002219C">
            <w:pPr>
              <w:spacing w:before="60" w:after="60" w:line="240" w:lineRule="auto"/>
              <w:rPr>
                <w:rFonts w:ascii="Arial" w:eastAsia="Times New Roman" w:hAnsi="Arial" w:cs="Times New Roman"/>
                <w:sz w:val="18"/>
                <w:szCs w:val="20"/>
                <w:lang w:eastAsia="en-AU"/>
              </w:rPr>
            </w:pPr>
            <w:r w:rsidRPr="0002219C">
              <w:rPr>
                <w:rFonts w:ascii="Arial" w:eastAsia="Times New Roman" w:hAnsi="Arial" w:cs="Times New Roman"/>
                <w:sz w:val="18"/>
                <w:szCs w:val="20"/>
                <w:lang w:eastAsia="en-AU"/>
              </w:rPr>
              <w:t>Educating employers on improving gender equality outcomes</w:t>
            </w:r>
          </w:p>
        </w:tc>
        <w:tc>
          <w:tcPr>
            <w:tcW w:w="3119" w:type="dxa"/>
            <w:tcBorders>
              <w:top w:val="single" w:sz="4" w:space="0" w:color="auto"/>
              <w:left w:val="single" w:sz="4" w:space="0" w:color="auto"/>
              <w:bottom w:val="dotted" w:sz="4" w:space="0" w:color="auto"/>
            </w:tcBorders>
          </w:tcPr>
          <w:p w:rsidR="0002219C" w:rsidRPr="0002219C" w:rsidRDefault="0002219C" w:rsidP="0002219C">
            <w:pPr>
              <w:spacing w:before="60" w:after="60" w:line="240" w:lineRule="auto"/>
              <w:rPr>
                <w:rFonts w:ascii="Arial" w:eastAsia="Times New Roman" w:hAnsi="Arial" w:cs="Times New Roman"/>
                <w:sz w:val="18"/>
                <w:szCs w:val="20"/>
                <w:lang w:eastAsia="en-AU"/>
              </w:rPr>
            </w:pPr>
            <w:r w:rsidRPr="0002219C">
              <w:rPr>
                <w:rFonts w:ascii="Arial" w:eastAsia="Times New Roman" w:hAnsi="Arial" w:cs="Times New Roman"/>
                <w:sz w:val="18"/>
                <w:szCs w:val="20"/>
                <w:lang w:eastAsia="en-AU"/>
              </w:rPr>
              <w:t xml:space="preserve">Increase in education participants. </w:t>
            </w:r>
          </w:p>
          <w:p w:rsidR="0002219C" w:rsidRPr="0002219C" w:rsidRDefault="0002219C" w:rsidP="0002219C">
            <w:pPr>
              <w:spacing w:before="60" w:after="60" w:line="240" w:lineRule="auto"/>
              <w:rPr>
                <w:rFonts w:ascii="Arial" w:eastAsia="Times New Roman" w:hAnsi="Arial" w:cs="Times New Roman"/>
                <w:sz w:val="18"/>
                <w:szCs w:val="20"/>
                <w:lang w:eastAsia="en-AU"/>
              </w:rPr>
            </w:pPr>
            <w:r w:rsidRPr="0002219C">
              <w:rPr>
                <w:rFonts w:ascii="Arial" w:eastAsia="Times New Roman" w:hAnsi="Arial" w:cs="Times New Roman"/>
                <w:sz w:val="18"/>
                <w:szCs w:val="20"/>
                <w:lang w:eastAsia="en-AU"/>
              </w:rPr>
              <w:t>Assessment: Target of 1419 has been exceeded and forecast is 2316.</w:t>
            </w:r>
          </w:p>
          <w:p w:rsidR="0002219C" w:rsidRPr="0002219C" w:rsidRDefault="0002219C" w:rsidP="0002219C">
            <w:pPr>
              <w:spacing w:before="60" w:after="60" w:line="240" w:lineRule="auto"/>
              <w:rPr>
                <w:rFonts w:ascii="Arial" w:eastAsia="Times New Roman" w:hAnsi="Arial" w:cs="Times New Roman"/>
                <w:sz w:val="18"/>
                <w:szCs w:val="20"/>
                <w:lang w:eastAsia="en-AU"/>
              </w:rPr>
            </w:pPr>
          </w:p>
          <w:p w:rsidR="0002219C" w:rsidRPr="0002219C" w:rsidRDefault="0002219C" w:rsidP="0002219C">
            <w:pPr>
              <w:spacing w:before="60" w:after="60" w:line="240" w:lineRule="auto"/>
              <w:rPr>
                <w:rFonts w:ascii="Arial" w:eastAsia="Times New Roman" w:hAnsi="Arial" w:cs="Times New Roman"/>
                <w:sz w:val="18"/>
                <w:szCs w:val="20"/>
                <w:lang w:eastAsia="en-AU"/>
              </w:rPr>
            </w:pPr>
            <w:r w:rsidRPr="0002219C">
              <w:rPr>
                <w:rFonts w:ascii="Arial" w:eastAsia="Times New Roman" w:hAnsi="Arial" w:cs="Times New Roman"/>
                <w:sz w:val="18"/>
                <w:szCs w:val="20"/>
                <w:lang w:eastAsia="en-AU"/>
              </w:rPr>
              <w:t>Increase in visits to Agency website.</w:t>
            </w:r>
          </w:p>
          <w:p w:rsidR="0002219C" w:rsidRPr="0002219C" w:rsidRDefault="0002219C" w:rsidP="0002219C">
            <w:pPr>
              <w:spacing w:before="60" w:after="60" w:line="240" w:lineRule="auto"/>
              <w:rPr>
                <w:rFonts w:ascii="Arial" w:eastAsia="Times New Roman" w:hAnsi="Arial" w:cs="Times New Roman"/>
                <w:sz w:val="18"/>
                <w:szCs w:val="20"/>
                <w:lang w:eastAsia="en-AU"/>
              </w:rPr>
            </w:pPr>
            <w:r w:rsidRPr="0002219C">
              <w:rPr>
                <w:rFonts w:ascii="Arial" w:eastAsia="Times New Roman" w:hAnsi="Arial" w:cs="Times New Roman"/>
                <w:sz w:val="18"/>
                <w:szCs w:val="20"/>
                <w:lang w:eastAsia="en-AU"/>
              </w:rPr>
              <w:t>Assessment: On track—target of 210,000 has almost been achieved and forecast is 250,000.</w:t>
            </w:r>
          </w:p>
        </w:tc>
      </w:tr>
      <w:tr w:rsidR="0002219C" w:rsidRPr="0002219C" w:rsidTr="00DC4D04">
        <w:trPr>
          <w:cantSplit/>
        </w:trPr>
        <w:tc>
          <w:tcPr>
            <w:tcW w:w="1418" w:type="dxa"/>
            <w:tcBorders>
              <w:top w:val="dotted" w:sz="4" w:space="0" w:color="auto"/>
              <w:bottom w:val="dotted" w:sz="4" w:space="0" w:color="auto"/>
              <w:right w:val="single" w:sz="4" w:space="0" w:color="auto"/>
            </w:tcBorders>
          </w:tcPr>
          <w:p w:rsidR="0002219C" w:rsidRPr="0002219C" w:rsidRDefault="0002219C" w:rsidP="0002219C">
            <w:pPr>
              <w:spacing w:before="60" w:after="60" w:line="240" w:lineRule="auto"/>
              <w:rPr>
                <w:rFonts w:ascii="Arial" w:eastAsia="Times New Roman" w:hAnsi="Arial" w:cs="Times New Roman"/>
                <w:sz w:val="18"/>
                <w:szCs w:val="20"/>
                <w:lang w:eastAsia="en-AU"/>
              </w:rPr>
            </w:pPr>
          </w:p>
        </w:tc>
        <w:tc>
          <w:tcPr>
            <w:tcW w:w="3260" w:type="dxa"/>
            <w:tcBorders>
              <w:top w:val="dotted" w:sz="4" w:space="0" w:color="auto"/>
              <w:left w:val="single" w:sz="4" w:space="0" w:color="auto"/>
              <w:bottom w:val="dotted" w:sz="4" w:space="0" w:color="auto"/>
              <w:right w:val="single" w:sz="4" w:space="0" w:color="auto"/>
            </w:tcBorders>
          </w:tcPr>
          <w:p w:rsidR="0002219C" w:rsidRPr="0002219C" w:rsidRDefault="0002219C" w:rsidP="0002219C">
            <w:pPr>
              <w:spacing w:before="60" w:after="60" w:line="240" w:lineRule="auto"/>
              <w:rPr>
                <w:rFonts w:ascii="Arial" w:eastAsia="Cambria" w:hAnsi="Arial" w:cs="Times New Roman"/>
                <w:sz w:val="18"/>
                <w:szCs w:val="20"/>
                <w:lang w:eastAsia="en-AU"/>
              </w:rPr>
            </w:pPr>
            <w:r w:rsidRPr="0002219C">
              <w:rPr>
                <w:rFonts w:ascii="Arial" w:eastAsia="Cambria" w:hAnsi="Arial" w:cs="Times New Roman"/>
                <w:sz w:val="18"/>
                <w:szCs w:val="20"/>
                <w:lang w:eastAsia="en-AU"/>
              </w:rPr>
              <w:t>Promoting understanding, acceptance and public discussion on gender equality issues</w:t>
            </w:r>
          </w:p>
        </w:tc>
        <w:tc>
          <w:tcPr>
            <w:tcW w:w="3119" w:type="dxa"/>
            <w:tcBorders>
              <w:top w:val="dotted" w:sz="4" w:space="0" w:color="auto"/>
              <w:left w:val="single" w:sz="4" w:space="0" w:color="auto"/>
              <w:bottom w:val="dotted" w:sz="4" w:space="0" w:color="auto"/>
            </w:tcBorders>
          </w:tcPr>
          <w:p w:rsidR="0002219C" w:rsidRPr="0002219C" w:rsidRDefault="0002219C" w:rsidP="0002219C">
            <w:pPr>
              <w:spacing w:before="60" w:after="60" w:line="240" w:lineRule="auto"/>
              <w:rPr>
                <w:rFonts w:ascii="Arial" w:eastAsia="Times New Roman" w:hAnsi="Arial" w:cs="Times New Roman"/>
                <w:sz w:val="18"/>
                <w:szCs w:val="20"/>
                <w:lang w:eastAsia="en-AU"/>
              </w:rPr>
            </w:pPr>
            <w:r w:rsidRPr="0002219C">
              <w:rPr>
                <w:rFonts w:ascii="Arial" w:eastAsia="Times New Roman" w:hAnsi="Arial" w:cs="Times New Roman"/>
                <w:sz w:val="18"/>
                <w:szCs w:val="20"/>
                <w:lang w:eastAsia="en-AU"/>
              </w:rPr>
              <w:t xml:space="preserve">Maintaining the number of speeches and events delivered. </w:t>
            </w:r>
          </w:p>
          <w:p w:rsidR="0002219C" w:rsidRPr="0002219C" w:rsidRDefault="0002219C" w:rsidP="0002219C">
            <w:pPr>
              <w:spacing w:before="60" w:after="60" w:line="240" w:lineRule="auto"/>
              <w:rPr>
                <w:rFonts w:ascii="Arial" w:eastAsia="Times New Roman" w:hAnsi="Arial" w:cs="Times New Roman"/>
                <w:sz w:val="18"/>
                <w:szCs w:val="20"/>
                <w:lang w:eastAsia="en-AU"/>
              </w:rPr>
            </w:pPr>
            <w:r w:rsidRPr="0002219C">
              <w:rPr>
                <w:rFonts w:ascii="Arial" w:eastAsia="Times New Roman" w:hAnsi="Arial" w:cs="Times New Roman"/>
                <w:sz w:val="18"/>
                <w:szCs w:val="20"/>
                <w:lang w:eastAsia="en-AU"/>
              </w:rPr>
              <w:t>Assessment: Target of 52 has been achieved and forecast is 56 based on events already scheduled.</w:t>
            </w:r>
          </w:p>
        </w:tc>
      </w:tr>
      <w:tr w:rsidR="0002219C" w:rsidRPr="0002219C" w:rsidTr="00DC4D04">
        <w:tc>
          <w:tcPr>
            <w:tcW w:w="1418" w:type="dxa"/>
            <w:tcBorders>
              <w:top w:val="dotted" w:sz="4" w:space="0" w:color="auto"/>
              <w:bottom w:val="dotted" w:sz="4" w:space="0" w:color="auto"/>
              <w:right w:val="single" w:sz="4" w:space="0" w:color="auto"/>
            </w:tcBorders>
          </w:tcPr>
          <w:p w:rsidR="0002219C" w:rsidRPr="0002219C" w:rsidRDefault="0002219C" w:rsidP="0002219C">
            <w:pPr>
              <w:spacing w:before="60" w:after="60" w:line="240" w:lineRule="auto"/>
              <w:rPr>
                <w:rFonts w:ascii="Arial" w:eastAsia="Times New Roman" w:hAnsi="Arial" w:cs="Times New Roman"/>
                <w:sz w:val="18"/>
                <w:szCs w:val="20"/>
                <w:lang w:eastAsia="en-AU"/>
              </w:rPr>
            </w:pPr>
          </w:p>
        </w:tc>
        <w:tc>
          <w:tcPr>
            <w:tcW w:w="3260" w:type="dxa"/>
            <w:tcBorders>
              <w:top w:val="dotted" w:sz="4" w:space="0" w:color="auto"/>
              <w:left w:val="single" w:sz="4" w:space="0" w:color="auto"/>
              <w:bottom w:val="dotted" w:sz="4" w:space="0" w:color="auto"/>
              <w:right w:val="single" w:sz="4" w:space="0" w:color="auto"/>
            </w:tcBorders>
          </w:tcPr>
          <w:p w:rsidR="0002219C" w:rsidRPr="0002219C" w:rsidRDefault="0002219C" w:rsidP="0002219C">
            <w:pPr>
              <w:spacing w:before="60" w:after="60" w:line="240" w:lineRule="auto"/>
              <w:rPr>
                <w:rFonts w:ascii="Arial" w:eastAsia="Cambria" w:hAnsi="Arial" w:cs="Times New Roman"/>
                <w:sz w:val="18"/>
                <w:szCs w:val="20"/>
                <w:lang w:eastAsia="en-AU"/>
              </w:rPr>
            </w:pPr>
            <w:r w:rsidRPr="0002219C">
              <w:rPr>
                <w:rFonts w:ascii="Arial" w:eastAsia="Cambria" w:hAnsi="Arial" w:cs="Times New Roman"/>
                <w:sz w:val="18"/>
                <w:szCs w:val="20"/>
                <w:lang w:eastAsia="en-AU"/>
              </w:rPr>
              <w:t>Using gender equality data to improve gender equality in workplaces</w:t>
            </w:r>
          </w:p>
        </w:tc>
        <w:tc>
          <w:tcPr>
            <w:tcW w:w="3119" w:type="dxa"/>
            <w:tcBorders>
              <w:top w:val="dotted" w:sz="4" w:space="0" w:color="auto"/>
              <w:left w:val="single" w:sz="4" w:space="0" w:color="auto"/>
              <w:bottom w:val="dotted" w:sz="4" w:space="0" w:color="auto"/>
            </w:tcBorders>
          </w:tcPr>
          <w:p w:rsidR="0002219C" w:rsidRPr="0002219C" w:rsidRDefault="0002219C" w:rsidP="0002219C">
            <w:pPr>
              <w:spacing w:before="60" w:after="60" w:line="240" w:lineRule="auto"/>
              <w:rPr>
                <w:rFonts w:ascii="Arial" w:eastAsia="Times New Roman" w:hAnsi="Arial" w:cs="Times New Roman"/>
                <w:sz w:val="18"/>
                <w:szCs w:val="20"/>
                <w:lang w:eastAsia="en-AU"/>
              </w:rPr>
            </w:pPr>
            <w:r w:rsidRPr="0002219C">
              <w:rPr>
                <w:rFonts w:ascii="Arial" w:eastAsia="Times New Roman" w:hAnsi="Arial" w:cs="Times New Roman"/>
                <w:sz w:val="18"/>
                <w:szCs w:val="20"/>
                <w:lang w:eastAsia="en-AU"/>
              </w:rPr>
              <w:t>Increasing the number of Employer of Choice for Gender Equality organisations (</w:t>
            </w:r>
            <w:proofErr w:type="spellStart"/>
            <w:r w:rsidRPr="0002219C">
              <w:rPr>
                <w:rFonts w:ascii="Arial" w:eastAsia="Times New Roman" w:hAnsi="Arial" w:cs="Times New Roman"/>
                <w:sz w:val="18"/>
                <w:szCs w:val="20"/>
                <w:lang w:eastAsia="en-AU"/>
              </w:rPr>
              <w:t>EOCGEs</w:t>
            </w:r>
            <w:proofErr w:type="spellEnd"/>
            <w:r w:rsidRPr="0002219C">
              <w:rPr>
                <w:rFonts w:ascii="Arial" w:eastAsia="Times New Roman" w:hAnsi="Arial" w:cs="Times New Roman"/>
                <w:sz w:val="18"/>
                <w:szCs w:val="20"/>
                <w:lang w:eastAsia="en-AU"/>
              </w:rPr>
              <w:t>)</w:t>
            </w:r>
          </w:p>
          <w:p w:rsidR="0002219C" w:rsidRPr="0002219C" w:rsidRDefault="0002219C" w:rsidP="0002219C">
            <w:pPr>
              <w:spacing w:before="60" w:after="60" w:line="240" w:lineRule="auto"/>
              <w:rPr>
                <w:rFonts w:ascii="Arial" w:eastAsia="Times New Roman" w:hAnsi="Arial" w:cs="Times New Roman"/>
                <w:sz w:val="18"/>
                <w:szCs w:val="20"/>
                <w:lang w:eastAsia="en-AU"/>
              </w:rPr>
            </w:pPr>
            <w:r w:rsidRPr="0002219C">
              <w:rPr>
                <w:rFonts w:ascii="Arial" w:eastAsia="Times New Roman" w:hAnsi="Arial" w:cs="Times New Roman"/>
                <w:sz w:val="18"/>
                <w:szCs w:val="20"/>
                <w:lang w:eastAsia="en-AU"/>
              </w:rPr>
              <w:t xml:space="preserve">Assessment: Target of 88 has been exceeded. There are currently 90 </w:t>
            </w:r>
            <w:proofErr w:type="spellStart"/>
            <w:r w:rsidRPr="0002219C">
              <w:rPr>
                <w:rFonts w:ascii="Arial" w:eastAsia="Times New Roman" w:hAnsi="Arial" w:cs="Times New Roman"/>
                <w:sz w:val="18"/>
                <w:szCs w:val="20"/>
                <w:lang w:eastAsia="en-AU"/>
              </w:rPr>
              <w:t>EOCGEs</w:t>
            </w:r>
            <w:proofErr w:type="spellEnd"/>
          </w:p>
        </w:tc>
      </w:tr>
      <w:tr w:rsidR="0002219C" w:rsidRPr="0002219C" w:rsidTr="00DC4D04">
        <w:tc>
          <w:tcPr>
            <w:tcW w:w="1418" w:type="dxa"/>
            <w:tcBorders>
              <w:top w:val="dotted" w:sz="4" w:space="0" w:color="auto"/>
              <w:bottom w:val="dotted" w:sz="4" w:space="0" w:color="auto"/>
              <w:right w:val="single" w:sz="4" w:space="0" w:color="auto"/>
            </w:tcBorders>
          </w:tcPr>
          <w:p w:rsidR="0002219C" w:rsidRPr="0002219C" w:rsidRDefault="0002219C" w:rsidP="0002219C">
            <w:pPr>
              <w:spacing w:before="60" w:after="60" w:line="240" w:lineRule="auto"/>
              <w:rPr>
                <w:rFonts w:ascii="Arial" w:eastAsia="Times New Roman" w:hAnsi="Arial" w:cs="Times New Roman"/>
                <w:sz w:val="18"/>
                <w:szCs w:val="20"/>
                <w:lang w:eastAsia="en-AU"/>
              </w:rPr>
            </w:pPr>
            <w:r w:rsidRPr="0002219C">
              <w:rPr>
                <w:rFonts w:ascii="Arial" w:eastAsia="Times New Roman" w:hAnsi="Arial" w:cs="Times New Roman"/>
                <w:sz w:val="18"/>
                <w:szCs w:val="20"/>
                <w:lang w:eastAsia="en-AU"/>
              </w:rPr>
              <w:t>2016–17</w:t>
            </w:r>
          </w:p>
        </w:tc>
        <w:tc>
          <w:tcPr>
            <w:tcW w:w="3260" w:type="dxa"/>
            <w:tcBorders>
              <w:top w:val="dotted" w:sz="4" w:space="0" w:color="auto"/>
              <w:left w:val="single" w:sz="4" w:space="0" w:color="auto"/>
              <w:bottom w:val="dotted" w:sz="4" w:space="0" w:color="auto"/>
              <w:right w:val="single" w:sz="4" w:space="0" w:color="auto"/>
            </w:tcBorders>
          </w:tcPr>
          <w:p w:rsidR="0002219C" w:rsidRPr="0002219C" w:rsidRDefault="0002219C" w:rsidP="0002219C">
            <w:pPr>
              <w:spacing w:before="60" w:after="60" w:line="240" w:lineRule="auto"/>
              <w:rPr>
                <w:rFonts w:ascii="Arial" w:eastAsia="Times New Roman" w:hAnsi="Arial" w:cs="Times New Roman"/>
                <w:sz w:val="18"/>
                <w:szCs w:val="20"/>
                <w:lang w:eastAsia="en-AU"/>
              </w:rPr>
            </w:pPr>
            <w:r w:rsidRPr="0002219C">
              <w:rPr>
                <w:rFonts w:ascii="Arial" w:eastAsia="Cambria" w:hAnsi="Arial" w:cs="Times New Roman"/>
                <w:sz w:val="18"/>
                <w:szCs w:val="20"/>
                <w:lang w:eastAsia="en-AU"/>
              </w:rPr>
              <w:t>Increasing our impact and reach on gender equality issues through leveraging and development of our networks</w:t>
            </w:r>
          </w:p>
        </w:tc>
        <w:tc>
          <w:tcPr>
            <w:tcW w:w="3119" w:type="dxa"/>
            <w:tcBorders>
              <w:top w:val="dotted" w:sz="4" w:space="0" w:color="auto"/>
              <w:left w:val="single" w:sz="4" w:space="0" w:color="auto"/>
              <w:bottom w:val="dotted" w:sz="4" w:space="0" w:color="auto"/>
            </w:tcBorders>
          </w:tcPr>
          <w:p w:rsidR="0002219C" w:rsidRPr="0002219C" w:rsidRDefault="0002219C" w:rsidP="0002219C">
            <w:pPr>
              <w:spacing w:before="60" w:after="60" w:line="240" w:lineRule="auto"/>
              <w:rPr>
                <w:rFonts w:ascii="Arial" w:eastAsia="Times New Roman" w:hAnsi="Arial" w:cs="Times New Roman"/>
                <w:sz w:val="18"/>
                <w:szCs w:val="20"/>
                <w:lang w:eastAsia="en-AU"/>
              </w:rPr>
            </w:pPr>
            <w:r w:rsidRPr="0002219C">
              <w:rPr>
                <w:rFonts w:ascii="Arial" w:eastAsia="Times New Roman" w:hAnsi="Arial" w:cs="Times New Roman"/>
                <w:sz w:val="18"/>
                <w:szCs w:val="20"/>
                <w:lang w:eastAsia="en-AU"/>
              </w:rPr>
              <w:t>Increase in speaking engagements and event participation</w:t>
            </w:r>
          </w:p>
        </w:tc>
      </w:tr>
      <w:tr w:rsidR="0002219C" w:rsidRPr="0002219C" w:rsidTr="00DC4D04">
        <w:tc>
          <w:tcPr>
            <w:tcW w:w="1418" w:type="dxa"/>
            <w:tcBorders>
              <w:top w:val="dotted" w:sz="4" w:space="0" w:color="auto"/>
              <w:bottom w:val="dotted" w:sz="4" w:space="0" w:color="auto"/>
              <w:right w:val="single" w:sz="4" w:space="0" w:color="auto"/>
            </w:tcBorders>
          </w:tcPr>
          <w:p w:rsidR="0002219C" w:rsidRPr="0002219C" w:rsidRDefault="0002219C" w:rsidP="0002219C">
            <w:pPr>
              <w:spacing w:before="60" w:after="60" w:line="240" w:lineRule="auto"/>
              <w:rPr>
                <w:rFonts w:ascii="Arial" w:eastAsia="Times New Roman" w:hAnsi="Arial" w:cs="Times New Roman"/>
                <w:sz w:val="18"/>
                <w:szCs w:val="20"/>
                <w:lang w:eastAsia="en-AU"/>
              </w:rPr>
            </w:pPr>
          </w:p>
        </w:tc>
        <w:tc>
          <w:tcPr>
            <w:tcW w:w="3260" w:type="dxa"/>
            <w:tcBorders>
              <w:top w:val="dotted" w:sz="4" w:space="0" w:color="auto"/>
              <w:left w:val="single" w:sz="4" w:space="0" w:color="auto"/>
              <w:bottom w:val="dotted" w:sz="4" w:space="0" w:color="auto"/>
              <w:right w:val="single" w:sz="4" w:space="0" w:color="auto"/>
            </w:tcBorders>
          </w:tcPr>
          <w:p w:rsidR="0002219C" w:rsidRPr="0002219C" w:rsidRDefault="0002219C" w:rsidP="0002219C">
            <w:pPr>
              <w:spacing w:before="60" w:after="60" w:line="240" w:lineRule="auto"/>
              <w:rPr>
                <w:rFonts w:ascii="Arial" w:eastAsia="Cambria" w:hAnsi="Arial" w:cs="Times New Roman"/>
                <w:sz w:val="18"/>
                <w:szCs w:val="20"/>
                <w:lang w:eastAsia="en-AU"/>
              </w:rPr>
            </w:pPr>
            <w:r w:rsidRPr="0002219C">
              <w:rPr>
                <w:rFonts w:ascii="Arial" w:eastAsia="Cambria" w:hAnsi="Arial" w:cs="Times New Roman"/>
                <w:sz w:val="18"/>
                <w:szCs w:val="20"/>
                <w:lang w:eastAsia="en-AU"/>
              </w:rPr>
              <w:t>Realising the potential of gender equality data by optimising its collection, analysis and release</w:t>
            </w:r>
          </w:p>
        </w:tc>
        <w:tc>
          <w:tcPr>
            <w:tcW w:w="3119" w:type="dxa"/>
            <w:tcBorders>
              <w:top w:val="dotted" w:sz="4" w:space="0" w:color="auto"/>
              <w:left w:val="single" w:sz="4" w:space="0" w:color="auto"/>
              <w:bottom w:val="dotted" w:sz="4" w:space="0" w:color="auto"/>
            </w:tcBorders>
          </w:tcPr>
          <w:p w:rsidR="0002219C" w:rsidRPr="0002219C" w:rsidRDefault="0002219C" w:rsidP="0002219C">
            <w:pPr>
              <w:spacing w:before="60" w:after="60" w:line="240" w:lineRule="auto"/>
              <w:rPr>
                <w:rFonts w:ascii="Arial" w:eastAsia="Times New Roman" w:hAnsi="Arial" w:cs="Times New Roman"/>
                <w:sz w:val="18"/>
                <w:szCs w:val="20"/>
                <w:lang w:eastAsia="en-AU"/>
              </w:rPr>
            </w:pPr>
            <w:r w:rsidRPr="0002219C">
              <w:rPr>
                <w:rFonts w:ascii="Arial" w:eastAsia="Times New Roman" w:hAnsi="Arial" w:cs="Times New Roman"/>
                <w:sz w:val="18"/>
                <w:szCs w:val="20"/>
                <w:lang w:eastAsia="en-AU"/>
              </w:rPr>
              <w:t>Improve the ease of reporting and increase the means by which the data is communicated</w:t>
            </w:r>
          </w:p>
        </w:tc>
      </w:tr>
      <w:tr w:rsidR="0002219C" w:rsidRPr="0002219C" w:rsidTr="00DC4D04">
        <w:tc>
          <w:tcPr>
            <w:tcW w:w="1418" w:type="dxa"/>
            <w:tcBorders>
              <w:top w:val="dotted" w:sz="4" w:space="0" w:color="auto"/>
              <w:bottom w:val="dotted" w:sz="4" w:space="0" w:color="auto"/>
              <w:right w:val="single" w:sz="4" w:space="0" w:color="auto"/>
            </w:tcBorders>
          </w:tcPr>
          <w:p w:rsidR="0002219C" w:rsidRPr="0002219C" w:rsidRDefault="0002219C" w:rsidP="0002219C">
            <w:pPr>
              <w:spacing w:before="60" w:after="60" w:line="240" w:lineRule="auto"/>
              <w:rPr>
                <w:rFonts w:ascii="Arial" w:eastAsia="Times New Roman" w:hAnsi="Arial" w:cs="Times New Roman"/>
                <w:sz w:val="18"/>
                <w:szCs w:val="20"/>
                <w:lang w:eastAsia="en-AU"/>
              </w:rPr>
            </w:pPr>
          </w:p>
        </w:tc>
        <w:tc>
          <w:tcPr>
            <w:tcW w:w="3260" w:type="dxa"/>
            <w:tcBorders>
              <w:top w:val="dotted" w:sz="4" w:space="0" w:color="auto"/>
              <w:left w:val="single" w:sz="4" w:space="0" w:color="auto"/>
              <w:bottom w:val="dotted" w:sz="4" w:space="0" w:color="auto"/>
              <w:right w:val="single" w:sz="4" w:space="0" w:color="auto"/>
            </w:tcBorders>
          </w:tcPr>
          <w:p w:rsidR="0002219C" w:rsidRPr="0002219C" w:rsidRDefault="0002219C" w:rsidP="0002219C">
            <w:pPr>
              <w:spacing w:before="60" w:after="60" w:line="240" w:lineRule="auto"/>
              <w:rPr>
                <w:rFonts w:ascii="Arial" w:eastAsia="Cambria" w:hAnsi="Arial" w:cs="Times New Roman"/>
                <w:sz w:val="18"/>
                <w:szCs w:val="20"/>
                <w:lang w:eastAsia="en-AU"/>
              </w:rPr>
            </w:pPr>
            <w:r w:rsidRPr="0002219C">
              <w:rPr>
                <w:rFonts w:ascii="Arial" w:eastAsia="Cambria" w:hAnsi="Arial" w:cs="Times New Roman"/>
                <w:sz w:val="18"/>
                <w:szCs w:val="20"/>
                <w:lang w:eastAsia="en-AU"/>
              </w:rPr>
              <w:t>Communicating effectively on gender equality matters by reviewing our channels and audience</w:t>
            </w:r>
          </w:p>
        </w:tc>
        <w:tc>
          <w:tcPr>
            <w:tcW w:w="3119" w:type="dxa"/>
            <w:tcBorders>
              <w:top w:val="dotted" w:sz="4" w:space="0" w:color="auto"/>
              <w:left w:val="single" w:sz="4" w:space="0" w:color="auto"/>
              <w:bottom w:val="dotted" w:sz="4" w:space="0" w:color="auto"/>
            </w:tcBorders>
          </w:tcPr>
          <w:p w:rsidR="0002219C" w:rsidRPr="0002219C" w:rsidRDefault="0002219C" w:rsidP="0002219C">
            <w:pPr>
              <w:spacing w:before="60" w:after="60" w:line="240" w:lineRule="auto"/>
              <w:rPr>
                <w:rFonts w:ascii="Arial" w:eastAsia="Times New Roman" w:hAnsi="Arial" w:cs="Times New Roman"/>
                <w:sz w:val="18"/>
                <w:szCs w:val="20"/>
                <w:lang w:eastAsia="en-AU"/>
              </w:rPr>
            </w:pPr>
            <w:r w:rsidRPr="0002219C">
              <w:rPr>
                <w:rFonts w:ascii="Arial" w:eastAsia="Times New Roman" w:hAnsi="Arial" w:cs="Times New Roman"/>
                <w:sz w:val="18"/>
                <w:szCs w:val="20"/>
                <w:lang w:eastAsia="en-AU"/>
              </w:rPr>
              <w:t>Increase our media presence and third party advocacy and increase industry roundtables</w:t>
            </w:r>
          </w:p>
        </w:tc>
      </w:tr>
      <w:tr w:rsidR="0002219C" w:rsidRPr="0002219C" w:rsidTr="00DC4D04">
        <w:tc>
          <w:tcPr>
            <w:tcW w:w="1418" w:type="dxa"/>
            <w:tcBorders>
              <w:top w:val="dotted" w:sz="4" w:space="0" w:color="auto"/>
              <w:bottom w:val="dotted" w:sz="4" w:space="0" w:color="auto"/>
              <w:right w:val="single" w:sz="4" w:space="0" w:color="auto"/>
            </w:tcBorders>
          </w:tcPr>
          <w:p w:rsidR="0002219C" w:rsidRPr="0002219C" w:rsidRDefault="0002219C" w:rsidP="0002219C">
            <w:pPr>
              <w:spacing w:before="60" w:after="60" w:line="240" w:lineRule="auto"/>
              <w:rPr>
                <w:rFonts w:ascii="Arial" w:eastAsia="Times New Roman" w:hAnsi="Arial" w:cs="Times New Roman"/>
                <w:sz w:val="18"/>
                <w:szCs w:val="20"/>
                <w:lang w:eastAsia="en-AU"/>
              </w:rPr>
            </w:pPr>
            <w:r w:rsidRPr="0002219C">
              <w:rPr>
                <w:rFonts w:ascii="Arial" w:eastAsia="Times New Roman" w:hAnsi="Arial" w:cs="Times New Roman"/>
                <w:sz w:val="18"/>
                <w:szCs w:val="20"/>
                <w:lang w:eastAsia="en-AU"/>
              </w:rPr>
              <w:t>2017–18 and beyond</w:t>
            </w:r>
          </w:p>
        </w:tc>
        <w:tc>
          <w:tcPr>
            <w:tcW w:w="3260" w:type="dxa"/>
            <w:tcBorders>
              <w:top w:val="dotted" w:sz="4" w:space="0" w:color="auto"/>
              <w:left w:val="single" w:sz="4" w:space="0" w:color="auto"/>
              <w:bottom w:val="dotted" w:sz="4" w:space="0" w:color="auto"/>
              <w:right w:val="single" w:sz="4" w:space="0" w:color="auto"/>
            </w:tcBorders>
          </w:tcPr>
          <w:p w:rsidR="0002219C" w:rsidRPr="0002219C" w:rsidRDefault="0002219C" w:rsidP="0002219C">
            <w:pPr>
              <w:spacing w:before="60" w:after="60" w:line="240" w:lineRule="auto"/>
              <w:rPr>
                <w:rFonts w:ascii="Arial" w:eastAsia="Cambria" w:hAnsi="Arial" w:cs="Times New Roman"/>
                <w:sz w:val="18"/>
                <w:szCs w:val="20"/>
                <w:lang w:eastAsia="en-AU"/>
              </w:rPr>
            </w:pPr>
            <w:r w:rsidRPr="0002219C">
              <w:rPr>
                <w:rFonts w:ascii="Arial" w:eastAsia="Cambria" w:hAnsi="Arial" w:cs="Times New Roman"/>
                <w:sz w:val="18"/>
                <w:szCs w:val="20"/>
                <w:lang w:eastAsia="en-AU"/>
              </w:rPr>
              <w:t>Increasing our impact and reach on gender equality issues through development and delivery of educational tools and resources to inform and equip</w:t>
            </w:r>
          </w:p>
        </w:tc>
        <w:tc>
          <w:tcPr>
            <w:tcW w:w="3119" w:type="dxa"/>
            <w:tcBorders>
              <w:top w:val="dotted" w:sz="4" w:space="0" w:color="auto"/>
              <w:left w:val="single" w:sz="4" w:space="0" w:color="auto"/>
              <w:bottom w:val="dotted" w:sz="4" w:space="0" w:color="auto"/>
            </w:tcBorders>
          </w:tcPr>
          <w:p w:rsidR="0002219C" w:rsidRPr="0002219C" w:rsidRDefault="0002219C" w:rsidP="0002219C">
            <w:pPr>
              <w:spacing w:before="60" w:after="60" w:line="240" w:lineRule="auto"/>
              <w:rPr>
                <w:rFonts w:ascii="Arial" w:eastAsia="Times New Roman" w:hAnsi="Arial" w:cs="Times New Roman"/>
                <w:sz w:val="18"/>
                <w:szCs w:val="20"/>
                <w:lang w:eastAsia="en-AU"/>
              </w:rPr>
            </w:pPr>
            <w:r w:rsidRPr="0002219C">
              <w:rPr>
                <w:rFonts w:ascii="Arial" w:eastAsia="Times New Roman" w:hAnsi="Arial" w:cs="Times New Roman"/>
                <w:sz w:val="18"/>
                <w:szCs w:val="20"/>
                <w:lang w:eastAsia="en-AU"/>
              </w:rPr>
              <w:t>Review and refresh of educational resources and toolkits</w:t>
            </w:r>
          </w:p>
        </w:tc>
      </w:tr>
      <w:tr w:rsidR="0002219C" w:rsidRPr="0002219C" w:rsidTr="00DC4D04">
        <w:tc>
          <w:tcPr>
            <w:tcW w:w="1418" w:type="dxa"/>
            <w:tcBorders>
              <w:top w:val="dotted" w:sz="4" w:space="0" w:color="auto"/>
              <w:bottom w:val="dotted" w:sz="4" w:space="0" w:color="auto"/>
              <w:right w:val="single" w:sz="4" w:space="0" w:color="auto"/>
            </w:tcBorders>
          </w:tcPr>
          <w:p w:rsidR="0002219C" w:rsidRPr="0002219C" w:rsidRDefault="0002219C" w:rsidP="0002219C">
            <w:pPr>
              <w:spacing w:before="60" w:after="60" w:line="240" w:lineRule="auto"/>
              <w:rPr>
                <w:rFonts w:ascii="Arial" w:eastAsia="Times New Roman" w:hAnsi="Arial" w:cs="Times New Roman"/>
                <w:sz w:val="18"/>
                <w:szCs w:val="20"/>
                <w:lang w:eastAsia="en-AU"/>
              </w:rPr>
            </w:pPr>
          </w:p>
        </w:tc>
        <w:tc>
          <w:tcPr>
            <w:tcW w:w="3260" w:type="dxa"/>
            <w:tcBorders>
              <w:top w:val="dotted" w:sz="4" w:space="0" w:color="auto"/>
              <w:left w:val="single" w:sz="4" w:space="0" w:color="auto"/>
              <w:bottom w:val="dotted" w:sz="4" w:space="0" w:color="auto"/>
              <w:right w:val="single" w:sz="4" w:space="0" w:color="auto"/>
            </w:tcBorders>
          </w:tcPr>
          <w:p w:rsidR="0002219C" w:rsidRPr="0002219C" w:rsidRDefault="0002219C" w:rsidP="0002219C">
            <w:pPr>
              <w:spacing w:before="60" w:after="60" w:line="240" w:lineRule="auto"/>
              <w:rPr>
                <w:rFonts w:ascii="Arial" w:eastAsia="Cambria" w:hAnsi="Arial" w:cs="Times New Roman"/>
                <w:sz w:val="18"/>
                <w:szCs w:val="20"/>
                <w:lang w:eastAsia="en-AU"/>
              </w:rPr>
            </w:pPr>
            <w:r w:rsidRPr="0002219C">
              <w:rPr>
                <w:rFonts w:ascii="Arial" w:eastAsia="Cambria" w:hAnsi="Arial" w:cs="Times New Roman"/>
                <w:sz w:val="18"/>
                <w:szCs w:val="20"/>
                <w:lang w:eastAsia="en-AU"/>
              </w:rPr>
              <w:t>Realising the potential of gender equality data by mining for evidence to add value and generate insights</w:t>
            </w:r>
          </w:p>
        </w:tc>
        <w:tc>
          <w:tcPr>
            <w:tcW w:w="3119" w:type="dxa"/>
            <w:tcBorders>
              <w:top w:val="dotted" w:sz="4" w:space="0" w:color="auto"/>
              <w:left w:val="single" w:sz="4" w:space="0" w:color="auto"/>
              <w:bottom w:val="dotted" w:sz="4" w:space="0" w:color="auto"/>
            </w:tcBorders>
          </w:tcPr>
          <w:p w:rsidR="0002219C" w:rsidRPr="0002219C" w:rsidRDefault="0002219C" w:rsidP="0002219C">
            <w:pPr>
              <w:spacing w:before="60" w:after="60" w:line="240" w:lineRule="auto"/>
              <w:rPr>
                <w:rFonts w:ascii="Arial" w:eastAsia="Times New Roman" w:hAnsi="Arial" w:cs="Times New Roman"/>
                <w:sz w:val="18"/>
                <w:szCs w:val="20"/>
                <w:lang w:eastAsia="en-AU"/>
              </w:rPr>
            </w:pPr>
            <w:r w:rsidRPr="0002219C">
              <w:rPr>
                <w:rFonts w:ascii="Arial" w:eastAsia="Times New Roman" w:hAnsi="Arial" w:cs="Times New Roman"/>
                <w:sz w:val="18"/>
                <w:szCs w:val="20"/>
                <w:lang w:eastAsia="en-AU"/>
              </w:rPr>
              <w:t>Establish additional research partnerships and influence the research agenda on gender equality</w:t>
            </w:r>
          </w:p>
        </w:tc>
      </w:tr>
      <w:tr w:rsidR="0002219C" w:rsidRPr="0002219C" w:rsidTr="00DC4D04">
        <w:tc>
          <w:tcPr>
            <w:tcW w:w="1418" w:type="dxa"/>
            <w:tcBorders>
              <w:top w:val="dotted" w:sz="4" w:space="0" w:color="auto"/>
              <w:bottom w:val="dotted" w:sz="4" w:space="0" w:color="auto"/>
              <w:right w:val="single" w:sz="4" w:space="0" w:color="auto"/>
            </w:tcBorders>
          </w:tcPr>
          <w:p w:rsidR="0002219C" w:rsidRPr="0002219C" w:rsidRDefault="0002219C" w:rsidP="0002219C">
            <w:pPr>
              <w:spacing w:before="60" w:after="60" w:line="240" w:lineRule="auto"/>
              <w:rPr>
                <w:rFonts w:ascii="Arial" w:eastAsia="Times New Roman" w:hAnsi="Arial" w:cs="Times New Roman"/>
                <w:sz w:val="18"/>
                <w:szCs w:val="20"/>
                <w:lang w:eastAsia="en-AU"/>
              </w:rPr>
            </w:pPr>
          </w:p>
        </w:tc>
        <w:tc>
          <w:tcPr>
            <w:tcW w:w="3260" w:type="dxa"/>
            <w:tcBorders>
              <w:top w:val="dotted" w:sz="4" w:space="0" w:color="auto"/>
              <w:left w:val="single" w:sz="4" w:space="0" w:color="auto"/>
              <w:bottom w:val="dotted" w:sz="4" w:space="0" w:color="auto"/>
              <w:right w:val="single" w:sz="4" w:space="0" w:color="auto"/>
            </w:tcBorders>
          </w:tcPr>
          <w:p w:rsidR="0002219C" w:rsidRPr="0002219C" w:rsidRDefault="0002219C" w:rsidP="0002219C">
            <w:pPr>
              <w:spacing w:before="60" w:after="60" w:line="240" w:lineRule="auto"/>
              <w:rPr>
                <w:rFonts w:ascii="Arial" w:eastAsia="Times New Roman" w:hAnsi="Arial" w:cs="Times New Roman"/>
                <w:sz w:val="18"/>
                <w:szCs w:val="20"/>
                <w:lang w:eastAsia="en-AU"/>
              </w:rPr>
            </w:pPr>
            <w:r w:rsidRPr="0002219C">
              <w:rPr>
                <w:rFonts w:ascii="Arial" w:eastAsia="Times New Roman" w:hAnsi="Arial" w:cs="Times New Roman"/>
                <w:sz w:val="18"/>
                <w:szCs w:val="20"/>
                <w:lang w:eastAsia="en-AU"/>
              </w:rPr>
              <w:t>Communicating widely on gender equality matters in consumable forms which tell the story.</w:t>
            </w:r>
          </w:p>
        </w:tc>
        <w:tc>
          <w:tcPr>
            <w:tcW w:w="3119" w:type="dxa"/>
            <w:tcBorders>
              <w:top w:val="dotted" w:sz="4" w:space="0" w:color="auto"/>
              <w:left w:val="single" w:sz="4" w:space="0" w:color="auto"/>
              <w:bottom w:val="dotted" w:sz="4" w:space="0" w:color="auto"/>
            </w:tcBorders>
          </w:tcPr>
          <w:p w:rsidR="0002219C" w:rsidRPr="0002219C" w:rsidRDefault="0002219C" w:rsidP="0002219C">
            <w:pPr>
              <w:spacing w:before="60" w:after="60" w:line="240" w:lineRule="auto"/>
              <w:rPr>
                <w:rFonts w:ascii="Arial" w:eastAsia="Times New Roman" w:hAnsi="Arial" w:cs="Times New Roman"/>
                <w:sz w:val="18"/>
                <w:szCs w:val="20"/>
                <w:lang w:eastAsia="en-AU"/>
              </w:rPr>
            </w:pPr>
            <w:r w:rsidRPr="0002219C">
              <w:rPr>
                <w:rFonts w:ascii="Arial" w:eastAsia="Times New Roman" w:hAnsi="Arial" w:cs="Times New Roman"/>
                <w:sz w:val="18"/>
                <w:szCs w:val="20"/>
                <w:lang w:eastAsia="en-AU"/>
              </w:rPr>
              <w:t>Refresh of website content to include increase in case studies and result in more visits to the site</w:t>
            </w:r>
          </w:p>
        </w:tc>
      </w:tr>
      <w:tr w:rsidR="0002219C" w:rsidRPr="0002219C" w:rsidTr="00DC4D04">
        <w:tc>
          <w:tcPr>
            <w:tcW w:w="7797" w:type="dxa"/>
            <w:gridSpan w:val="3"/>
            <w:shd w:val="clear" w:color="auto" w:fill="F2F2F2"/>
          </w:tcPr>
          <w:p w:rsidR="0002219C" w:rsidRPr="0002219C" w:rsidRDefault="0002219C" w:rsidP="0002219C">
            <w:pPr>
              <w:spacing w:before="60" w:after="60" w:line="240" w:lineRule="auto"/>
              <w:rPr>
                <w:rFonts w:ascii="Arial" w:eastAsia="Cambria" w:hAnsi="Arial" w:cs="Times New Roman"/>
                <w:b/>
                <w:sz w:val="18"/>
                <w:szCs w:val="20"/>
                <w:lang w:eastAsia="en-AU"/>
              </w:rPr>
            </w:pPr>
            <w:r w:rsidRPr="0002219C">
              <w:rPr>
                <w:rFonts w:ascii="Arial" w:eastAsia="Cambria" w:hAnsi="Arial" w:cs="Times New Roman"/>
                <w:b/>
                <w:sz w:val="18"/>
                <w:szCs w:val="20"/>
                <w:lang w:eastAsia="en-AU"/>
              </w:rPr>
              <w:t>Material changes to Program 1.1 resulting from the following measures:</w:t>
            </w:r>
          </w:p>
          <w:p w:rsidR="0002219C" w:rsidRPr="0002219C" w:rsidRDefault="0002219C" w:rsidP="0002219C">
            <w:pPr>
              <w:spacing w:before="60" w:after="60" w:line="240" w:lineRule="auto"/>
              <w:rPr>
                <w:rFonts w:ascii="Arial" w:eastAsia="Times New Roman" w:hAnsi="Arial" w:cs="Times New Roman"/>
                <w:sz w:val="18"/>
                <w:szCs w:val="20"/>
                <w:lang w:eastAsia="en-AU"/>
              </w:rPr>
            </w:pPr>
            <w:r w:rsidRPr="0002219C">
              <w:rPr>
                <w:rFonts w:ascii="Arial" w:eastAsia="Cambria" w:hAnsi="Arial" w:cs="Times New Roman"/>
                <w:sz w:val="18"/>
                <w:szCs w:val="20"/>
                <w:lang w:eastAsia="en-AU"/>
              </w:rPr>
              <w:t>Nil</w:t>
            </w:r>
          </w:p>
        </w:tc>
      </w:tr>
    </w:tbl>
    <w:p w:rsidR="0002219C" w:rsidRPr="0002219C" w:rsidRDefault="0002219C" w:rsidP="0002219C">
      <w:pPr>
        <w:keepNext/>
        <w:spacing w:before="240" w:after="240" w:line="240" w:lineRule="auto"/>
        <w:outlineLvl w:val="1"/>
        <w:rPr>
          <w:rFonts w:ascii="Arial" w:eastAsia="Times New Roman" w:hAnsi="Arial" w:cs="Times New Roman"/>
          <w:sz w:val="30"/>
          <w:szCs w:val="20"/>
          <w:lang w:eastAsia="en-AU"/>
        </w:rPr>
      </w:pPr>
      <w:r w:rsidRPr="0002219C">
        <w:rPr>
          <w:rFonts w:ascii="Book Antiqua" w:eastAsia="Times New Roman" w:hAnsi="Book Antiqua" w:cs="Times New Roman"/>
          <w:i/>
          <w:color w:val="FF0000"/>
          <w:sz w:val="20"/>
          <w:szCs w:val="20"/>
          <w:lang w:eastAsia="en-AU"/>
        </w:rPr>
        <w:br w:type="page"/>
      </w:r>
      <w:bookmarkStart w:id="62" w:name="_Toc447013826"/>
      <w:bookmarkStart w:id="63" w:name="_Toc447115224"/>
      <w:bookmarkStart w:id="64" w:name="_Toc447115307"/>
      <w:bookmarkStart w:id="65" w:name="_Toc447115487"/>
      <w:bookmarkStart w:id="66" w:name="_Toc447116778"/>
      <w:bookmarkStart w:id="67" w:name="_Toc447118007"/>
      <w:bookmarkStart w:id="68" w:name="_Toc447119440"/>
      <w:bookmarkStart w:id="69" w:name="_Toc447709939"/>
      <w:bookmarkStart w:id="70" w:name="_Toc449100264"/>
      <w:bookmarkStart w:id="71" w:name="_Toc449623641"/>
      <w:r w:rsidRPr="0002219C">
        <w:rPr>
          <w:rFonts w:ascii="Arial" w:eastAsia="Times New Roman" w:hAnsi="Arial" w:cs="Times New Roman"/>
          <w:sz w:val="30"/>
          <w:szCs w:val="20"/>
          <w:lang w:eastAsia="en-AU"/>
        </w:rPr>
        <w:lastRenderedPageBreak/>
        <w:t>Section 3: Budgeted financial statements</w:t>
      </w:r>
      <w:bookmarkEnd w:id="62"/>
      <w:bookmarkEnd w:id="63"/>
      <w:bookmarkEnd w:id="64"/>
      <w:bookmarkEnd w:id="65"/>
      <w:bookmarkEnd w:id="66"/>
      <w:bookmarkEnd w:id="67"/>
      <w:bookmarkEnd w:id="68"/>
      <w:bookmarkEnd w:id="69"/>
      <w:bookmarkEnd w:id="70"/>
      <w:bookmarkEnd w:id="71"/>
    </w:p>
    <w:p w:rsidR="0002219C" w:rsidRPr="0002219C" w:rsidRDefault="0002219C" w:rsidP="0002219C">
      <w:pPr>
        <w:spacing w:after="120" w:line="240" w:lineRule="auto"/>
        <w:rPr>
          <w:rFonts w:ascii="Book Antiqua" w:eastAsia="Times New Roman" w:hAnsi="Book Antiqua" w:cs="Times New Roman"/>
          <w:szCs w:val="20"/>
          <w:lang w:eastAsia="en-AU"/>
        </w:rPr>
      </w:pPr>
      <w:r w:rsidRPr="0002219C">
        <w:rPr>
          <w:rFonts w:ascii="Book Antiqua" w:eastAsia="Times New Roman" w:hAnsi="Book Antiqua" w:cs="Times New Roman"/>
          <w:szCs w:val="20"/>
          <w:lang w:eastAsia="en-AU"/>
        </w:rPr>
        <w:t>Section 3 presents budgeted financial statements which provide a comprehensive snapshot of entity finances for the 2016–17</w:t>
      </w:r>
      <w:r w:rsidRPr="0002219C">
        <w:rPr>
          <w:rFonts w:ascii="Book Antiqua" w:eastAsia="Times New Roman" w:hAnsi="Book Antiqua" w:cs="Times New Roman"/>
          <w:color w:val="00B050"/>
          <w:szCs w:val="20"/>
          <w:lang w:eastAsia="en-AU"/>
        </w:rPr>
        <w:t xml:space="preserve"> </w:t>
      </w:r>
      <w:r w:rsidRPr="0002219C">
        <w:rPr>
          <w:rFonts w:ascii="Book Antiqua" w:eastAsia="Times New Roman" w:hAnsi="Book Antiqua" w:cs="Times New Roman"/>
          <w:szCs w:val="20"/>
          <w:lang w:eastAsia="en-AU"/>
        </w:rPr>
        <w:t xml:space="preserve">budget </w:t>
      </w:r>
      <w:proofErr w:type="gramStart"/>
      <w:r w:rsidRPr="0002219C">
        <w:rPr>
          <w:rFonts w:ascii="Book Antiqua" w:eastAsia="Times New Roman" w:hAnsi="Book Antiqua" w:cs="Times New Roman"/>
          <w:szCs w:val="20"/>
          <w:lang w:eastAsia="en-AU"/>
        </w:rPr>
        <w:t>year</w:t>
      </w:r>
      <w:proofErr w:type="gramEnd"/>
      <w:r w:rsidRPr="0002219C">
        <w:rPr>
          <w:rFonts w:ascii="Book Antiqua" w:eastAsia="Times New Roman" w:hAnsi="Book Antiqua" w:cs="Times New Roman"/>
          <w:szCs w:val="20"/>
          <w:lang w:eastAsia="en-AU"/>
        </w:rPr>
        <w:t>, including the impact of budget measures and resourcing on financial statements.</w:t>
      </w:r>
    </w:p>
    <w:p w:rsidR="0002219C" w:rsidRPr="0002219C" w:rsidRDefault="0002219C" w:rsidP="0002219C">
      <w:pPr>
        <w:keepNext/>
        <w:tabs>
          <w:tab w:val="left" w:pos="709"/>
        </w:tabs>
        <w:spacing w:before="120" w:after="120" w:line="240" w:lineRule="auto"/>
        <w:outlineLvl w:val="2"/>
        <w:rPr>
          <w:rFonts w:ascii="Arial" w:eastAsia="Times New Roman" w:hAnsi="Arial" w:cs="Times New Roman"/>
          <w:b/>
          <w:smallCaps/>
          <w:sz w:val="26"/>
          <w:szCs w:val="20"/>
          <w:lang w:eastAsia="en-AU"/>
        </w:rPr>
      </w:pPr>
      <w:bookmarkStart w:id="72" w:name="_Toc447013827"/>
      <w:bookmarkStart w:id="73" w:name="_Toc447115225"/>
      <w:bookmarkStart w:id="74" w:name="_Toc447115308"/>
      <w:bookmarkStart w:id="75" w:name="_Toc447115488"/>
      <w:bookmarkStart w:id="76" w:name="_Toc447116779"/>
      <w:bookmarkStart w:id="77" w:name="_Toc447118008"/>
      <w:bookmarkStart w:id="78" w:name="_Toc447119441"/>
      <w:bookmarkStart w:id="79" w:name="_Toc447709940"/>
      <w:bookmarkStart w:id="80" w:name="_Toc449100265"/>
      <w:bookmarkStart w:id="81" w:name="_Toc449623642"/>
      <w:r w:rsidRPr="0002219C">
        <w:rPr>
          <w:rFonts w:ascii="Arial" w:eastAsia="Times New Roman" w:hAnsi="Arial" w:cs="Times New Roman"/>
          <w:b/>
          <w:smallCaps/>
          <w:sz w:val="26"/>
          <w:szCs w:val="20"/>
          <w:lang w:eastAsia="en-AU"/>
        </w:rPr>
        <w:t>3.1</w:t>
      </w:r>
      <w:r w:rsidRPr="0002219C">
        <w:rPr>
          <w:rFonts w:ascii="Arial" w:eastAsia="Times New Roman" w:hAnsi="Arial" w:cs="Times New Roman"/>
          <w:b/>
          <w:smallCaps/>
          <w:sz w:val="26"/>
          <w:szCs w:val="20"/>
          <w:lang w:eastAsia="en-AU"/>
        </w:rPr>
        <w:tab/>
        <w:t>Budgeted financial statements</w:t>
      </w:r>
      <w:bookmarkEnd w:id="72"/>
      <w:bookmarkEnd w:id="73"/>
      <w:bookmarkEnd w:id="74"/>
      <w:bookmarkEnd w:id="75"/>
      <w:bookmarkEnd w:id="76"/>
      <w:bookmarkEnd w:id="77"/>
      <w:bookmarkEnd w:id="78"/>
      <w:bookmarkEnd w:id="79"/>
      <w:bookmarkEnd w:id="80"/>
      <w:bookmarkEnd w:id="81"/>
    </w:p>
    <w:p w:rsidR="0002219C" w:rsidRPr="0002219C" w:rsidRDefault="0002219C" w:rsidP="0002219C">
      <w:pPr>
        <w:keepNext/>
        <w:tabs>
          <w:tab w:val="left" w:pos="709"/>
        </w:tabs>
        <w:spacing w:before="120" w:after="120" w:line="240" w:lineRule="auto"/>
        <w:outlineLvl w:val="3"/>
        <w:rPr>
          <w:rFonts w:ascii="Arial" w:eastAsia="Times New Roman" w:hAnsi="Arial" w:cs="Times New Roman"/>
          <w:b/>
          <w:szCs w:val="20"/>
          <w:lang w:eastAsia="en-AU"/>
        </w:rPr>
      </w:pPr>
      <w:r w:rsidRPr="0002219C">
        <w:rPr>
          <w:rFonts w:ascii="Arial" w:eastAsia="Times New Roman" w:hAnsi="Arial" w:cs="Times New Roman"/>
          <w:b/>
          <w:szCs w:val="20"/>
          <w:lang w:eastAsia="en-AU"/>
        </w:rPr>
        <w:t>3.1.1</w:t>
      </w:r>
      <w:r w:rsidRPr="0002219C">
        <w:rPr>
          <w:rFonts w:ascii="Arial" w:eastAsia="Times New Roman" w:hAnsi="Arial" w:cs="Times New Roman"/>
          <w:b/>
          <w:szCs w:val="20"/>
          <w:lang w:eastAsia="en-AU"/>
        </w:rPr>
        <w:tab/>
        <w:t>Differences between entity resourcing and financial statements</w:t>
      </w:r>
    </w:p>
    <w:p w:rsidR="0002219C" w:rsidRPr="0002219C" w:rsidRDefault="0002219C" w:rsidP="0002219C">
      <w:pPr>
        <w:spacing w:after="120" w:line="240" w:lineRule="auto"/>
        <w:rPr>
          <w:rFonts w:ascii="Book Antiqua" w:eastAsia="Times New Roman" w:hAnsi="Book Antiqua" w:cs="Times New Roman"/>
          <w:szCs w:val="20"/>
          <w:lang w:eastAsia="en-AU"/>
        </w:rPr>
      </w:pPr>
      <w:r w:rsidRPr="0002219C">
        <w:rPr>
          <w:rFonts w:ascii="Book Antiqua" w:eastAsia="Times New Roman" w:hAnsi="Book Antiqua" w:cs="Times New Roman"/>
          <w:szCs w:val="20"/>
          <w:lang w:eastAsia="en-AU"/>
        </w:rPr>
        <w:t>The Workplace Gender Equality Agency has nil differences to report.</w:t>
      </w:r>
    </w:p>
    <w:p w:rsidR="0002219C" w:rsidRPr="0002219C" w:rsidRDefault="0002219C" w:rsidP="0002219C">
      <w:pPr>
        <w:keepNext/>
        <w:tabs>
          <w:tab w:val="left" w:pos="709"/>
        </w:tabs>
        <w:spacing w:before="120" w:after="120" w:line="240" w:lineRule="auto"/>
        <w:outlineLvl w:val="3"/>
        <w:rPr>
          <w:rFonts w:ascii="Arial" w:eastAsia="Times New Roman" w:hAnsi="Arial" w:cs="Times New Roman"/>
          <w:b/>
          <w:szCs w:val="20"/>
          <w:lang w:eastAsia="en-AU"/>
        </w:rPr>
      </w:pPr>
      <w:r w:rsidRPr="0002219C">
        <w:rPr>
          <w:rFonts w:ascii="Arial" w:eastAsia="Times New Roman" w:hAnsi="Arial" w:cs="Times New Roman"/>
          <w:b/>
          <w:szCs w:val="20"/>
          <w:lang w:eastAsia="en-AU"/>
        </w:rPr>
        <w:t>3.1.2</w:t>
      </w:r>
      <w:r w:rsidRPr="0002219C">
        <w:rPr>
          <w:rFonts w:ascii="Arial" w:eastAsia="Times New Roman" w:hAnsi="Arial" w:cs="Times New Roman"/>
          <w:b/>
          <w:szCs w:val="20"/>
          <w:lang w:eastAsia="en-AU"/>
        </w:rPr>
        <w:tab/>
        <w:t>Explanatory notes and analysis of budgeted financial statements</w:t>
      </w:r>
    </w:p>
    <w:p w:rsidR="0002219C" w:rsidRPr="0002219C" w:rsidRDefault="0002219C" w:rsidP="0002219C">
      <w:pPr>
        <w:spacing w:after="120" w:line="240" w:lineRule="auto"/>
        <w:rPr>
          <w:rFonts w:ascii="Book Antiqua" w:eastAsia="Times New Roman" w:hAnsi="Book Antiqua" w:cs="Times New Roman"/>
          <w:szCs w:val="20"/>
          <w:lang w:eastAsia="en-AU"/>
        </w:rPr>
      </w:pPr>
      <w:r w:rsidRPr="0002219C">
        <w:rPr>
          <w:rFonts w:ascii="Book Antiqua" w:eastAsia="Times New Roman" w:hAnsi="Book Antiqua" w:cs="Times New Roman"/>
          <w:szCs w:val="20"/>
          <w:lang w:eastAsia="en-AU"/>
        </w:rPr>
        <w:t xml:space="preserve">The Workplace Gender Equality Agency is budgeting for an operating loss equal to the unappropriated depreciation and amortisation expense of $0.57 million for the 2016–17 financial </w:t>
      </w:r>
      <w:proofErr w:type="gramStart"/>
      <w:r w:rsidRPr="0002219C">
        <w:rPr>
          <w:rFonts w:ascii="Book Antiqua" w:eastAsia="Times New Roman" w:hAnsi="Book Antiqua" w:cs="Times New Roman"/>
          <w:szCs w:val="20"/>
          <w:lang w:eastAsia="en-AU"/>
        </w:rPr>
        <w:t>year</w:t>
      </w:r>
      <w:proofErr w:type="gramEnd"/>
      <w:r w:rsidRPr="0002219C">
        <w:rPr>
          <w:rFonts w:ascii="Book Antiqua" w:eastAsia="Times New Roman" w:hAnsi="Book Antiqua" w:cs="Times New Roman"/>
          <w:szCs w:val="20"/>
          <w:lang w:eastAsia="en-AU"/>
        </w:rPr>
        <w:t>.</w:t>
      </w:r>
    </w:p>
    <w:p w:rsidR="0002219C" w:rsidRPr="0002219C" w:rsidRDefault="0002219C" w:rsidP="0002219C">
      <w:pPr>
        <w:spacing w:after="120" w:line="240" w:lineRule="auto"/>
        <w:rPr>
          <w:rFonts w:ascii="Book Antiqua" w:eastAsia="Times New Roman" w:hAnsi="Book Antiqua" w:cs="Times New Roman"/>
          <w:szCs w:val="20"/>
          <w:lang w:eastAsia="en-AU"/>
        </w:rPr>
      </w:pPr>
      <w:r w:rsidRPr="0002219C">
        <w:rPr>
          <w:rFonts w:ascii="Book Antiqua" w:eastAsia="Times New Roman" w:hAnsi="Book Antiqua" w:cs="Times New Roman"/>
          <w:szCs w:val="20"/>
          <w:lang w:eastAsia="en-AU"/>
        </w:rPr>
        <w:t>Total revenues are estimated to be $4.9 million and total expenses $5.6 million.</w:t>
      </w:r>
    </w:p>
    <w:p w:rsidR="0002219C" w:rsidRPr="0002219C" w:rsidRDefault="0002219C" w:rsidP="0002219C">
      <w:pPr>
        <w:spacing w:after="120" w:line="240" w:lineRule="auto"/>
        <w:rPr>
          <w:rFonts w:ascii="Book Antiqua" w:eastAsia="Times New Roman" w:hAnsi="Book Antiqua" w:cs="Times New Roman"/>
          <w:szCs w:val="20"/>
          <w:lang w:eastAsia="en-AU"/>
        </w:rPr>
      </w:pPr>
      <w:r w:rsidRPr="0002219C">
        <w:rPr>
          <w:rFonts w:ascii="Book Antiqua" w:eastAsia="Times New Roman" w:hAnsi="Book Antiqua" w:cs="Times New Roman"/>
          <w:szCs w:val="20"/>
          <w:lang w:eastAsia="en-AU"/>
        </w:rPr>
        <w:t xml:space="preserve">Total assets at the end of the 2016–17 financial </w:t>
      </w:r>
      <w:proofErr w:type="gramStart"/>
      <w:r w:rsidRPr="0002219C">
        <w:rPr>
          <w:rFonts w:ascii="Book Antiqua" w:eastAsia="Times New Roman" w:hAnsi="Book Antiqua" w:cs="Times New Roman"/>
          <w:szCs w:val="20"/>
          <w:lang w:eastAsia="en-AU"/>
        </w:rPr>
        <w:t>year</w:t>
      </w:r>
      <w:proofErr w:type="gramEnd"/>
      <w:r w:rsidRPr="0002219C">
        <w:rPr>
          <w:rFonts w:ascii="Book Antiqua" w:eastAsia="Times New Roman" w:hAnsi="Book Antiqua" w:cs="Times New Roman"/>
          <w:szCs w:val="20"/>
          <w:lang w:eastAsia="en-AU"/>
        </w:rPr>
        <w:t xml:space="preserve"> are estimated to be $2.9 million. The majority of the assets represent receivables (appropriation receivables) and intangible assets.</w:t>
      </w:r>
    </w:p>
    <w:p w:rsidR="0002219C" w:rsidRPr="0002219C" w:rsidRDefault="0002219C" w:rsidP="0002219C">
      <w:pPr>
        <w:spacing w:after="120" w:line="240" w:lineRule="auto"/>
        <w:rPr>
          <w:rFonts w:ascii="Book Antiqua" w:eastAsia="Times New Roman" w:hAnsi="Book Antiqua" w:cs="Times New Roman"/>
          <w:szCs w:val="20"/>
          <w:lang w:eastAsia="en-AU"/>
        </w:rPr>
      </w:pPr>
      <w:r w:rsidRPr="0002219C">
        <w:rPr>
          <w:rFonts w:ascii="Book Antiqua" w:eastAsia="Times New Roman" w:hAnsi="Book Antiqua" w:cs="Times New Roman"/>
          <w:szCs w:val="20"/>
          <w:lang w:eastAsia="en-AU"/>
        </w:rPr>
        <w:t>Total liabilities for 2016–17 are estimated at $1.2 million. The largest liability items are accrued expenses and accrued employee entitlements.</w:t>
      </w:r>
    </w:p>
    <w:p w:rsidR="0002219C" w:rsidRPr="0002219C" w:rsidRDefault="0002219C" w:rsidP="0002219C">
      <w:pPr>
        <w:keepNext/>
        <w:tabs>
          <w:tab w:val="left" w:pos="709"/>
        </w:tabs>
        <w:spacing w:before="120" w:after="120" w:line="240" w:lineRule="auto"/>
        <w:outlineLvl w:val="2"/>
        <w:rPr>
          <w:rFonts w:ascii="Arial" w:eastAsia="Times New Roman" w:hAnsi="Arial" w:cs="Times New Roman"/>
          <w:b/>
          <w:smallCaps/>
          <w:sz w:val="26"/>
          <w:szCs w:val="20"/>
          <w:lang w:eastAsia="en-AU"/>
        </w:rPr>
      </w:pPr>
      <w:r w:rsidRPr="0002219C">
        <w:rPr>
          <w:rFonts w:ascii="Arial" w:eastAsia="Times New Roman" w:hAnsi="Arial" w:cs="Times New Roman"/>
          <w:b/>
          <w:smallCaps/>
          <w:sz w:val="26"/>
          <w:szCs w:val="20"/>
          <w:lang w:eastAsia="en-AU"/>
        </w:rPr>
        <w:br w:type="page"/>
      </w:r>
      <w:bookmarkStart w:id="82" w:name="_Toc447013828"/>
      <w:bookmarkStart w:id="83" w:name="_Toc447115226"/>
      <w:bookmarkStart w:id="84" w:name="_Toc447115309"/>
      <w:bookmarkStart w:id="85" w:name="_Toc447115489"/>
      <w:bookmarkStart w:id="86" w:name="_Toc447116780"/>
      <w:bookmarkStart w:id="87" w:name="_Toc447118009"/>
      <w:bookmarkStart w:id="88" w:name="_Toc447119442"/>
      <w:bookmarkStart w:id="89" w:name="_Toc447709941"/>
      <w:bookmarkStart w:id="90" w:name="_Toc449100266"/>
      <w:bookmarkStart w:id="91" w:name="_Toc449623643"/>
      <w:r w:rsidRPr="0002219C">
        <w:rPr>
          <w:rFonts w:ascii="Arial" w:eastAsia="Times New Roman" w:hAnsi="Arial" w:cs="Times New Roman"/>
          <w:b/>
          <w:smallCaps/>
          <w:sz w:val="26"/>
          <w:szCs w:val="20"/>
          <w:lang w:eastAsia="en-AU"/>
        </w:rPr>
        <w:lastRenderedPageBreak/>
        <w:t>3.2.1</w:t>
      </w:r>
      <w:r w:rsidRPr="0002219C">
        <w:rPr>
          <w:rFonts w:ascii="Arial" w:eastAsia="Times New Roman" w:hAnsi="Arial" w:cs="Times New Roman"/>
          <w:b/>
          <w:smallCaps/>
          <w:sz w:val="26"/>
          <w:szCs w:val="20"/>
          <w:lang w:eastAsia="en-AU"/>
        </w:rPr>
        <w:tab/>
        <w:t>Budgeted financial statements tables</w:t>
      </w:r>
      <w:bookmarkEnd w:id="82"/>
      <w:bookmarkEnd w:id="83"/>
      <w:bookmarkEnd w:id="84"/>
      <w:bookmarkEnd w:id="85"/>
      <w:bookmarkEnd w:id="86"/>
      <w:bookmarkEnd w:id="87"/>
      <w:bookmarkEnd w:id="88"/>
      <w:bookmarkEnd w:id="89"/>
      <w:bookmarkEnd w:id="90"/>
      <w:bookmarkEnd w:id="91"/>
    </w:p>
    <w:p w:rsidR="0002219C" w:rsidRPr="0002219C" w:rsidRDefault="0002219C" w:rsidP="0002219C">
      <w:pPr>
        <w:keepNext/>
        <w:spacing w:before="120" w:after="40" w:line="240" w:lineRule="auto"/>
        <w:rPr>
          <w:rFonts w:ascii="Book Antiqua" w:eastAsia="Times New Roman" w:hAnsi="Book Antiqua" w:cs="Times New Roman"/>
          <w:b/>
          <w:snapToGrid w:val="0"/>
          <w:color w:val="000000"/>
          <w:szCs w:val="20"/>
          <w:lang w:val="x-none" w:eastAsia="x-none"/>
        </w:rPr>
      </w:pPr>
      <w:r w:rsidRPr="0002219C">
        <w:rPr>
          <w:rFonts w:ascii="Book Antiqua" w:eastAsia="Times New Roman" w:hAnsi="Book Antiqua" w:cs="Times New Roman"/>
          <w:b/>
          <w:color w:val="000000"/>
          <w:szCs w:val="20"/>
          <w:lang w:val="x-none" w:eastAsia="x-none"/>
        </w:rPr>
        <w:t xml:space="preserve">Table 3.1: Comprehensive income statement (showing net cost of services) </w:t>
      </w:r>
      <w:r w:rsidRPr="0002219C">
        <w:rPr>
          <w:rFonts w:ascii="Book Antiqua" w:eastAsia="Times New Roman" w:hAnsi="Book Antiqua" w:cs="Times New Roman"/>
          <w:b/>
          <w:snapToGrid w:val="0"/>
          <w:color w:val="000000"/>
          <w:szCs w:val="20"/>
          <w:lang w:val="x-none" w:eastAsia="x-none"/>
        </w:rPr>
        <w:t>for the period ended 30 June</w:t>
      </w:r>
    </w:p>
    <w:p w:rsidR="0002219C" w:rsidRPr="0002219C" w:rsidRDefault="0002219C" w:rsidP="0002219C">
      <w:pPr>
        <w:spacing w:after="0" w:line="240" w:lineRule="auto"/>
        <w:ind w:right="-113"/>
        <w:rPr>
          <w:rFonts w:ascii="Book Antiqua" w:eastAsia="Times New Roman" w:hAnsi="Book Antiqua" w:cs="Times New Roman"/>
          <w:szCs w:val="20"/>
          <w:lang w:eastAsia="en-AU"/>
        </w:rPr>
      </w:pPr>
      <w:r w:rsidRPr="0002219C">
        <w:rPr>
          <w:rFonts w:ascii="Book Antiqua" w:eastAsia="Times New Roman" w:hAnsi="Book Antiqua" w:cs="Times New Roman"/>
          <w:noProof/>
          <w:szCs w:val="20"/>
          <w:lang w:eastAsia="en-AU"/>
        </w:rPr>
        <w:drawing>
          <wp:inline distT="0" distB="0" distL="0" distR="0" wp14:anchorId="4543A286" wp14:editId="4EBED34F">
            <wp:extent cx="4899656" cy="4429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99656" cy="4429125"/>
                    </a:xfrm>
                    <a:prstGeom prst="rect">
                      <a:avLst/>
                    </a:prstGeom>
                    <a:noFill/>
                    <a:ln>
                      <a:noFill/>
                    </a:ln>
                  </pic:spPr>
                </pic:pic>
              </a:graphicData>
            </a:graphic>
          </wp:inline>
        </w:drawing>
      </w:r>
    </w:p>
    <w:p w:rsidR="0002219C" w:rsidRPr="0002219C" w:rsidRDefault="0002219C" w:rsidP="0002219C">
      <w:pPr>
        <w:spacing w:after="0" w:line="240" w:lineRule="auto"/>
        <w:rPr>
          <w:rFonts w:ascii="Book Antiqua" w:eastAsia="Times New Roman" w:hAnsi="Book Antiqua" w:cs="Times New Roman"/>
          <w:b/>
          <w:szCs w:val="20"/>
          <w:lang w:eastAsia="en-AU"/>
        </w:rPr>
      </w:pPr>
      <w:r w:rsidRPr="0002219C">
        <w:rPr>
          <w:rFonts w:ascii="Book Antiqua" w:eastAsia="Times New Roman" w:hAnsi="Book Antiqua" w:cs="Times New Roman"/>
          <w:szCs w:val="20"/>
          <w:lang w:eastAsia="en-AU"/>
        </w:rPr>
        <w:br w:type="page"/>
      </w:r>
    </w:p>
    <w:p w:rsidR="0002219C" w:rsidRPr="0002219C" w:rsidRDefault="0002219C" w:rsidP="0002219C">
      <w:pPr>
        <w:keepNext/>
        <w:spacing w:before="120" w:after="20" w:line="240" w:lineRule="auto"/>
        <w:rPr>
          <w:rFonts w:ascii="Book Antiqua" w:eastAsia="Times New Roman" w:hAnsi="Book Antiqua" w:cs="Times New Roman"/>
          <w:b/>
          <w:snapToGrid w:val="0"/>
          <w:szCs w:val="20"/>
          <w:lang w:eastAsia="en-AU"/>
        </w:rPr>
      </w:pPr>
      <w:r w:rsidRPr="0002219C">
        <w:rPr>
          <w:rFonts w:ascii="Book Antiqua" w:eastAsia="Times New Roman" w:hAnsi="Book Antiqua" w:cs="Times New Roman"/>
          <w:b/>
          <w:szCs w:val="20"/>
          <w:lang w:eastAsia="en-AU"/>
        </w:rPr>
        <w:lastRenderedPageBreak/>
        <w:t xml:space="preserve">Table 3.1: Comprehensive income statement (showing net cost of services) </w:t>
      </w:r>
      <w:r w:rsidRPr="0002219C">
        <w:rPr>
          <w:rFonts w:ascii="Book Antiqua" w:eastAsia="Times New Roman" w:hAnsi="Book Antiqua" w:cs="Times New Roman"/>
          <w:b/>
          <w:snapToGrid w:val="0"/>
          <w:szCs w:val="20"/>
          <w:lang w:eastAsia="en-AU"/>
        </w:rPr>
        <w:t>for the period ended 30 June (continued)</w:t>
      </w:r>
    </w:p>
    <w:p w:rsidR="0002219C" w:rsidRPr="0002219C" w:rsidRDefault="0002219C" w:rsidP="0002219C">
      <w:pPr>
        <w:spacing w:after="0" w:line="240" w:lineRule="auto"/>
        <w:ind w:right="-113"/>
        <w:rPr>
          <w:rFonts w:ascii="Book Antiqua" w:eastAsia="Times New Roman" w:hAnsi="Book Antiqua" w:cs="Times New Roman"/>
          <w:szCs w:val="20"/>
          <w:lang w:eastAsia="en-AU"/>
        </w:rPr>
      </w:pPr>
      <w:r w:rsidRPr="0002219C">
        <w:rPr>
          <w:rFonts w:ascii="Book Antiqua" w:eastAsia="Times New Roman" w:hAnsi="Book Antiqua" w:cs="Times New Roman"/>
          <w:szCs w:val="20"/>
          <w:lang w:eastAsia="en-AU"/>
        </w:rPr>
        <w:t>Note: Impact of net cash appropriation arrangements</w:t>
      </w:r>
    </w:p>
    <w:p w:rsidR="0002219C" w:rsidRPr="0002219C" w:rsidRDefault="0002219C" w:rsidP="0002219C">
      <w:pPr>
        <w:spacing w:after="0" w:line="240" w:lineRule="auto"/>
        <w:ind w:right="-113"/>
        <w:rPr>
          <w:rFonts w:ascii="Book Antiqua" w:eastAsia="Times New Roman" w:hAnsi="Book Antiqua" w:cs="Times New Roman"/>
          <w:szCs w:val="20"/>
          <w:lang w:eastAsia="en-AU"/>
        </w:rPr>
      </w:pPr>
      <w:r w:rsidRPr="0002219C">
        <w:rPr>
          <w:rFonts w:ascii="Book Antiqua" w:eastAsia="Times New Roman" w:hAnsi="Book Antiqua" w:cs="Times New Roman"/>
          <w:noProof/>
          <w:szCs w:val="20"/>
          <w:lang w:eastAsia="en-AU"/>
        </w:rPr>
        <w:drawing>
          <wp:inline distT="0" distB="0" distL="0" distR="0" wp14:anchorId="2828E6AA" wp14:editId="4425C37A">
            <wp:extent cx="4913435" cy="200025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13435" cy="2000250"/>
                    </a:xfrm>
                    <a:prstGeom prst="rect">
                      <a:avLst/>
                    </a:prstGeom>
                    <a:noFill/>
                    <a:ln>
                      <a:noFill/>
                    </a:ln>
                  </pic:spPr>
                </pic:pic>
              </a:graphicData>
            </a:graphic>
          </wp:inline>
        </w:drawing>
      </w:r>
    </w:p>
    <w:p w:rsidR="0002219C" w:rsidRPr="0002219C" w:rsidRDefault="0002219C" w:rsidP="0002219C">
      <w:pPr>
        <w:numPr>
          <w:ilvl w:val="0"/>
          <w:numId w:val="4"/>
        </w:numPr>
        <w:spacing w:before="120" w:after="0" w:line="240" w:lineRule="auto"/>
        <w:rPr>
          <w:rFonts w:ascii="Arial" w:eastAsia="Times New Roman" w:hAnsi="Arial" w:cs="Times New Roman"/>
          <w:sz w:val="16"/>
          <w:szCs w:val="20"/>
          <w:lang w:eastAsia="en-AU"/>
        </w:rPr>
      </w:pPr>
      <w:r w:rsidRPr="0002219C">
        <w:rPr>
          <w:rFonts w:ascii="Arial" w:eastAsia="Times New Roman" w:hAnsi="Arial" w:cs="Times New Roman"/>
          <w:sz w:val="16"/>
          <w:szCs w:val="20"/>
          <w:lang w:eastAsia="en-AU"/>
        </w:rPr>
        <w:t xml:space="preserve">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w:t>
      </w:r>
      <w:proofErr w:type="spellStart"/>
      <w:r w:rsidRPr="0002219C">
        <w:rPr>
          <w:rFonts w:ascii="Arial" w:eastAsia="Times New Roman" w:hAnsi="Arial" w:cs="Times New Roman"/>
          <w:sz w:val="16"/>
          <w:szCs w:val="20"/>
          <w:lang w:eastAsia="en-AU"/>
        </w:rPr>
        <w:t>DCB</w:t>
      </w:r>
      <w:proofErr w:type="spellEnd"/>
      <w:r w:rsidRPr="0002219C">
        <w:rPr>
          <w:rFonts w:ascii="Arial" w:eastAsia="Times New Roman" w:hAnsi="Arial" w:cs="Times New Roman"/>
          <w:sz w:val="16"/>
          <w:szCs w:val="20"/>
          <w:lang w:eastAsia="en-AU"/>
        </w:rPr>
        <w:t xml:space="preserve">) provided through Bill 1 equity appropriations. For information regarding </w:t>
      </w:r>
      <w:proofErr w:type="spellStart"/>
      <w:r w:rsidRPr="0002219C">
        <w:rPr>
          <w:rFonts w:ascii="Arial" w:eastAsia="Times New Roman" w:hAnsi="Arial" w:cs="Times New Roman"/>
          <w:sz w:val="16"/>
          <w:szCs w:val="20"/>
          <w:lang w:eastAsia="en-AU"/>
        </w:rPr>
        <w:t>DCBs</w:t>
      </w:r>
      <w:proofErr w:type="spellEnd"/>
      <w:r w:rsidRPr="0002219C">
        <w:rPr>
          <w:rFonts w:ascii="Arial" w:eastAsia="Times New Roman" w:hAnsi="Arial" w:cs="Times New Roman"/>
          <w:sz w:val="16"/>
          <w:szCs w:val="20"/>
          <w:lang w:eastAsia="en-AU"/>
        </w:rPr>
        <w:t xml:space="preserve">, please refer to Table 3.5 Departmental Capital Budget Statement. </w:t>
      </w:r>
    </w:p>
    <w:p w:rsidR="0002219C" w:rsidRPr="0002219C" w:rsidRDefault="0002219C" w:rsidP="0002219C">
      <w:pPr>
        <w:tabs>
          <w:tab w:val="left" w:pos="284"/>
        </w:tabs>
        <w:spacing w:before="120" w:after="0" w:line="240" w:lineRule="auto"/>
        <w:rPr>
          <w:rFonts w:ascii="Arial" w:eastAsia="Times New Roman" w:hAnsi="Arial" w:cs="Times New Roman"/>
          <w:color w:val="000000"/>
          <w:sz w:val="16"/>
          <w:szCs w:val="20"/>
          <w:lang w:val="x-none" w:eastAsia="x-none"/>
        </w:rPr>
      </w:pPr>
      <w:r w:rsidRPr="0002219C">
        <w:rPr>
          <w:rFonts w:ascii="Arial" w:eastAsia="Times New Roman" w:hAnsi="Arial" w:cs="Times New Roman"/>
          <w:color w:val="000000"/>
          <w:sz w:val="16"/>
          <w:szCs w:val="20"/>
          <w:lang w:val="x-none" w:eastAsia="x-none"/>
        </w:rPr>
        <w:t xml:space="preserve">Prepared on Australian Accounting Standards basis. </w:t>
      </w:r>
    </w:p>
    <w:p w:rsidR="0002219C" w:rsidRPr="0002219C" w:rsidRDefault="0002219C" w:rsidP="0002219C">
      <w:pPr>
        <w:keepNext/>
        <w:spacing w:before="120" w:after="40" w:line="240" w:lineRule="auto"/>
        <w:rPr>
          <w:rFonts w:ascii="Book Antiqua" w:eastAsia="Times New Roman" w:hAnsi="Book Antiqua" w:cs="Times New Roman"/>
          <w:b/>
          <w:color w:val="000000"/>
          <w:szCs w:val="20"/>
          <w:lang w:val="x-none" w:eastAsia="x-none"/>
        </w:rPr>
      </w:pPr>
      <w:r w:rsidRPr="0002219C">
        <w:rPr>
          <w:rFonts w:ascii="Book Antiqua" w:eastAsia="Times New Roman" w:hAnsi="Book Antiqua" w:cs="Times New Roman"/>
          <w:b/>
          <w:color w:val="000000"/>
          <w:szCs w:val="20"/>
          <w:lang w:val="x-none" w:eastAsia="x-none"/>
        </w:rPr>
        <w:br w:type="page"/>
      </w:r>
      <w:r w:rsidRPr="0002219C">
        <w:rPr>
          <w:rFonts w:ascii="Book Antiqua" w:eastAsia="Times New Roman" w:hAnsi="Book Antiqua" w:cs="Times New Roman"/>
          <w:b/>
          <w:color w:val="000000"/>
          <w:szCs w:val="20"/>
          <w:lang w:val="x-none" w:eastAsia="x-none"/>
        </w:rPr>
        <w:lastRenderedPageBreak/>
        <w:t>Table 3.2: Budgeted departmental balance sheet (as at 30 June)</w:t>
      </w:r>
    </w:p>
    <w:p w:rsidR="0002219C" w:rsidRPr="0002219C" w:rsidRDefault="0002219C" w:rsidP="0002219C">
      <w:pPr>
        <w:spacing w:after="0" w:line="240" w:lineRule="auto"/>
        <w:ind w:right="-113"/>
        <w:rPr>
          <w:rFonts w:ascii="Book Antiqua" w:eastAsia="Times New Roman" w:hAnsi="Book Antiqua" w:cs="Times New Roman"/>
          <w:szCs w:val="20"/>
          <w:lang w:eastAsia="en-AU"/>
        </w:rPr>
      </w:pPr>
      <w:r w:rsidRPr="0002219C">
        <w:rPr>
          <w:rFonts w:ascii="Book Antiqua" w:eastAsia="Times New Roman" w:hAnsi="Book Antiqua" w:cs="Times New Roman"/>
          <w:noProof/>
          <w:szCs w:val="20"/>
          <w:lang w:eastAsia="en-AU"/>
        </w:rPr>
        <w:drawing>
          <wp:inline distT="0" distB="0" distL="0" distR="0" wp14:anchorId="32CC6506" wp14:editId="664C5C30">
            <wp:extent cx="4886325" cy="5898346"/>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86325" cy="5898346"/>
                    </a:xfrm>
                    <a:prstGeom prst="rect">
                      <a:avLst/>
                    </a:prstGeom>
                    <a:noFill/>
                    <a:ln>
                      <a:noFill/>
                    </a:ln>
                  </pic:spPr>
                </pic:pic>
              </a:graphicData>
            </a:graphic>
          </wp:inline>
        </w:drawing>
      </w:r>
    </w:p>
    <w:p w:rsidR="0002219C" w:rsidRPr="0002219C" w:rsidRDefault="0002219C" w:rsidP="0002219C">
      <w:pPr>
        <w:tabs>
          <w:tab w:val="left" w:pos="284"/>
        </w:tabs>
        <w:spacing w:before="120" w:after="0" w:line="240" w:lineRule="auto"/>
        <w:rPr>
          <w:rFonts w:ascii="Arial" w:eastAsia="Times New Roman" w:hAnsi="Arial" w:cs="Times New Roman"/>
          <w:color w:val="000000"/>
          <w:sz w:val="16"/>
          <w:szCs w:val="20"/>
          <w:lang w:val="x-none" w:eastAsia="x-none"/>
        </w:rPr>
      </w:pPr>
      <w:r w:rsidRPr="0002219C">
        <w:rPr>
          <w:rFonts w:ascii="Arial" w:eastAsia="Times New Roman" w:hAnsi="Arial" w:cs="Times New Roman"/>
          <w:color w:val="000000"/>
          <w:sz w:val="16"/>
          <w:szCs w:val="20"/>
          <w:lang w:val="x-none" w:eastAsia="x-none"/>
        </w:rPr>
        <w:t>*</w:t>
      </w:r>
      <w:r w:rsidRPr="0002219C">
        <w:rPr>
          <w:rFonts w:ascii="Arial" w:eastAsia="Times New Roman" w:hAnsi="Arial" w:cs="Times New Roman"/>
          <w:color w:val="000000"/>
          <w:sz w:val="16"/>
          <w:szCs w:val="20"/>
          <w:lang w:eastAsia="x-none"/>
        </w:rPr>
        <w:t xml:space="preserve"> </w:t>
      </w:r>
      <w:r w:rsidRPr="0002219C">
        <w:rPr>
          <w:rFonts w:ascii="Arial" w:eastAsia="Times New Roman" w:hAnsi="Arial" w:cs="Times New Roman"/>
          <w:color w:val="000000"/>
          <w:sz w:val="16"/>
          <w:szCs w:val="20"/>
          <w:lang w:val="x-none" w:eastAsia="x-none"/>
        </w:rPr>
        <w:t>Equity is the residual interest in assets after deduction of liabilities.</w:t>
      </w:r>
    </w:p>
    <w:p w:rsidR="0002219C" w:rsidRPr="0002219C" w:rsidRDefault="0002219C" w:rsidP="0002219C">
      <w:pPr>
        <w:tabs>
          <w:tab w:val="left" w:pos="284"/>
        </w:tabs>
        <w:spacing w:before="120" w:after="0" w:line="240" w:lineRule="auto"/>
        <w:rPr>
          <w:rFonts w:ascii="Arial" w:eastAsia="Times New Roman" w:hAnsi="Arial" w:cs="Times New Roman"/>
          <w:color w:val="000000"/>
          <w:sz w:val="16"/>
          <w:szCs w:val="20"/>
          <w:lang w:val="x-none" w:eastAsia="x-none"/>
        </w:rPr>
      </w:pPr>
      <w:r w:rsidRPr="0002219C">
        <w:rPr>
          <w:rFonts w:ascii="Arial" w:eastAsia="Times New Roman" w:hAnsi="Arial" w:cs="Times New Roman"/>
          <w:color w:val="000000"/>
          <w:sz w:val="16"/>
          <w:szCs w:val="20"/>
          <w:lang w:val="x-none" w:eastAsia="x-none"/>
        </w:rPr>
        <w:t>Prepared on Australian Accounting Standards basis.</w:t>
      </w:r>
    </w:p>
    <w:p w:rsidR="0002219C" w:rsidRPr="0002219C" w:rsidRDefault="0002219C" w:rsidP="0002219C">
      <w:pPr>
        <w:keepNext/>
        <w:spacing w:before="120" w:after="40" w:line="240" w:lineRule="auto"/>
        <w:rPr>
          <w:rFonts w:ascii="Book Antiqua" w:eastAsia="Times New Roman" w:hAnsi="Book Antiqua" w:cs="Times New Roman"/>
          <w:b/>
          <w:color w:val="000000"/>
          <w:szCs w:val="20"/>
          <w:lang w:val="x-none" w:eastAsia="x-none"/>
        </w:rPr>
      </w:pPr>
      <w:r w:rsidRPr="0002219C">
        <w:rPr>
          <w:rFonts w:ascii="Book Antiqua" w:eastAsia="Times New Roman" w:hAnsi="Book Antiqua" w:cs="Times New Roman"/>
          <w:b/>
          <w:color w:val="000000"/>
          <w:szCs w:val="20"/>
          <w:lang w:val="x-none" w:eastAsia="x-none"/>
        </w:rPr>
        <w:br w:type="page"/>
      </w:r>
      <w:r w:rsidRPr="0002219C">
        <w:rPr>
          <w:rFonts w:ascii="Book Antiqua" w:eastAsia="Times New Roman" w:hAnsi="Book Antiqua" w:cs="Times New Roman"/>
          <w:b/>
          <w:color w:val="000000"/>
          <w:szCs w:val="20"/>
          <w:lang w:val="x-none" w:eastAsia="x-none"/>
        </w:rPr>
        <w:lastRenderedPageBreak/>
        <w:t>Table 3.3: Departmental statement of changes in equity</w:t>
      </w:r>
      <w:r w:rsidRPr="0002219C">
        <w:rPr>
          <w:rFonts w:ascii="Book Antiqua" w:eastAsia="Times New Roman" w:hAnsi="Book Antiqua" w:cs="Times New Roman"/>
          <w:b/>
          <w:color w:val="000000"/>
          <w:szCs w:val="20"/>
          <w:lang w:eastAsia="x-none"/>
        </w:rPr>
        <w:t>—</w:t>
      </w:r>
      <w:r w:rsidRPr="0002219C">
        <w:rPr>
          <w:rFonts w:ascii="Book Antiqua" w:eastAsia="Times New Roman" w:hAnsi="Book Antiqua" w:cs="Times New Roman"/>
          <w:b/>
          <w:color w:val="000000"/>
          <w:szCs w:val="20"/>
          <w:lang w:val="x-none" w:eastAsia="x-none"/>
        </w:rPr>
        <w:t>summary of movement (Budget year 2016</w:t>
      </w:r>
      <w:r w:rsidRPr="0002219C">
        <w:rPr>
          <w:rFonts w:ascii="Book Antiqua" w:eastAsia="Times New Roman" w:hAnsi="Book Antiqua" w:cs="Times New Roman"/>
          <w:b/>
          <w:color w:val="000000"/>
          <w:szCs w:val="20"/>
          <w:lang w:eastAsia="x-none"/>
        </w:rPr>
        <w:t>–</w:t>
      </w:r>
      <w:r w:rsidRPr="0002219C">
        <w:rPr>
          <w:rFonts w:ascii="Book Antiqua" w:eastAsia="Times New Roman" w:hAnsi="Book Antiqua" w:cs="Times New Roman"/>
          <w:b/>
          <w:color w:val="000000"/>
          <w:szCs w:val="20"/>
          <w:lang w:val="x-none" w:eastAsia="x-none"/>
        </w:rPr>
        <w:t>17)</w:t>
      </w:r>
    </w:p>
    <w:p w:rsidR="0002219C" w:rsidRPr="0002219C" w:rsidRDefault="0002219C" w:rsidP="0002219C">
      <w:pPr>
        <w:spacing w:after="0" w:line="240" w:lineRule="auto"/>
        <w:ind w:right="-113"/>
        <w:rPr>
          <w:rFonts w:ascii="Book Antiqua" w:eastAsia="Times New Roman" w:hAnsi="Book Antiqua" w:cs="Times New Roman"/>
          <w:szCs w:val="20"/>
          <w:lang w:eastAsia="en-AU"/>
        </w:rPr>
      </w:pPr>
      <w:r w:rsidRPr="0002219C">
        <w:rPr>
          <w:rFonts w:ascii="Book Antiqua" w:eastAsia="Times New Roman" w:hAnsi="Book Antiqua" w:cs="Times New Roman"/>
          <w:noProof/>
          <w:szCs w:val="20"/>
          <w:lang w:eastAsia="en-AU"/>
        </w:rPr>
        <w:drawing>
          <wp:inline distT="0" distB="0" distL="0" distR="0" wp14:anchorId="2C799AA5" wp14:editId="502E76CB">
            <wp:extent cx="4735830" cy="267398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5830" cy="2673985"/>
                    </a:xfrm>
                    <a:prstGeom prst="rect">
                      <a:avLst/>
                    </a:prstGeom>
                    <a:noFill/>
                    <a:ln>
                      <a:noFill/>
                    </a:ln>
                  </pic:spPr>
                </pic:pic>
              </a:graphicData>
            </a:graphic>
          </wp:inline>
        </w:drawing>
      </w:r>
    </w:p>
    <w:p w:rsidR="0002219C" w:rsidRPr="0002219C" w:rsidRDefault="0002219C" w:rsidP="0002219C">
      <w:pPr>
        <w:tabs>
          <w:tab w:val="left" w:pos="284"/>
        </w:tabs>
        <w:spacing w:before="120" w:after="0" w:line="240" w:lineRule="auto"/>
        <w:rPr>
          <w:rFonts w:ascii="Arial" w:eastAsia="Times New Roman" w:hAnsi="Arial" w:cs="Times New Roman"/>
          <w:color w:val="000000"/>
          <w:sz w:val="16"/>
          <w:szCs w:val="20"/>
          <w:lang w:eastAsia="x-none"/>
        </w:rPr>
      </w:pPr>
      <w:r w:rsidRPr="0002219C">
        <w:rPr>
          <w:rFonts w:ascii="Arial" w:eastAsia="Times New Roman" w:hAnsi="Arial" w:cs="Times New Roman"/>
          <w:color w:val="000000"/>
          <w:sz w:val="16"/>
          <w:szCs w:val="20"/>
          <w:lang w:val="x-none" w:eastAsia="x-none"/>
        </w:rPr>
        <w:t>Prepared on Australian Accounting Standards basis.</w:t>
      </w:r>
    </w:p>
    <w:p w:rsidR="0002219C" w:rsidRPr="0002219C" w:rsidRDefault="0002219C" w:rsidP="0002219C">
      <w:pPr>
        <w:keepNext/>
        <w:spacing w:before="120" w:after="40" w:line="240" w:lineRule="auto"/>
        <w:rPr>
          <w:rFonts w:ascii="Book Antiqua" w:eastAsia="Times New Roman" w:hAnsi="Book Antiqua" w:cs="Times New Roman"/>
          <w:b/>
          <w:color w:val="000000"/>
          <w:szCs w:val="20"/>
          <w:lang w:val="x-none" w:eastAsia="x-none"/>
        </w:rPr>
      </w:pPr>
      <w:r w:rsidRPr="0002219C">
        <w:rPr>
          <w:rFonts w:ascii="Book Antiqua" w:eastAsia="Times New Roman" w:hAnsi="Book Antiqua" w:cs="Times New Roman"/>
          <w:b/>
          <w:color w:val="000000"/>
          <w:szCs w:val="20"/>
          <w:lang w:val="x-none" w:eastAsia="x-none"/>
        </w:rPr>
        <w:br w:type="page"/>
      </w:r>
      <w:r w:rsidRPr="0002219C">
        <w:rPr>
          <w:rFonts w:ascii="Book Antiqua" w:eastAsia="Times New Roman" w:hAnsi="Book Antiqua" w:cs="Times New Roman"/>
          <w:b/>
          <w:color w:val="000000"/>
          <w:szCs w:val="20"/>
          <w:lang w:val="x-none" w:eastAsia="x-none"/>
        </w:rPr>
        <w:lastRenderedPageBreak/>
        <w:t>Table 3.4: Budgeted departmental statement of cash flows (for the period ended 30 June)</w:t>
      </w:r>
    </w:p>
    <w:p w:rsidR="0002219C" w:rsidRPr="0002219C" w:rsidRDefault="0002219C" w:rsidP="0002219C">
      <w:pPr>
        <w:spacing w:after="0" w:line="240" w:lineRule="auto"/>
        <w:ind w:right="-113"/>
        <w:rPr>
          <w:rFonts w:ascii="Book Antiqua" w:eastAsia="Times New Roman" w:hAnsi="Book Antiqua" w:cs="Times New Roman"/>
          <w:szCs w:val="20"/>
          <w:lang w:eastAsia="en-AU"/>
        </w:rPr>
      </w:pPr>
      <w:r w:rsidRPr="0002219C">
        <w:rPr>
          <w:rFonts w:ascii="Book Antiqua" w:eastAsia="Times New Roman" w:hAnsi="Book Antiqua" w:cs="Times New Roman"/>
          <w:noProof/>
          <w:szCs w:val="20"/>
          <w:lang w:eastAsia="en-AU"/>
        </w:rPr>
        <w:drawing>
          <wp:inline distT="0" distB="0" distL="0" distR="0" wp14:anchorId="7D7ABD2D" wp14:editId="68B869DF">
            <wp:extent cx="4917600" cy="65055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17676" cy="6505675"/>
                    </a:xfrm>
                    <a:prstGeom prst="rect">
                      <a:avLst/>
                    </a:prstGeom>
                    <a:noFill/>
                    <a:ln>
                      <a:noFill/>
                    </a:ln>
                  </pic:spPr>
                </pic:pic>
              </a:graphicData>
            </a:graphic>
          </wp:inline>
        </w:drawing>
      </w:r>
    </w:p>
    <w:p w:rsidR="0002219C" w:rsidRPr="0002219C" w:rsidRDefault="0002219C" w:rsidP="0002219C">
      <w:pPr>
        <w:tabs>
          <w:tab w:val="left" w:pos="284"/>
        </w:tabs>
        <w:spacing w:before="120" w:after="0" w:line="240" w:lineRule="auto"/>
        <w:rPr>
          <w:rFonts w:ascii="Arial" w:eastAsia="Times New Roman" w:hAnsi="Arial" w:cs="Times New Roman"/>
          <w:color w:val="000000"/>
          <w:sz w:val="16"/>
          <w:szCs w:val="20"/>
          <w:lang w:val="x-none" w:eastAsia="x-none"/>
        </w:rPr>
      </w:pPr>
      <w:r w:rsidRPr="0002219C">
        <w:rPr>
          <w:rFonts w:ascii="Arial" w:eastAsia="Times New Roman" w:hAnsi="Arial" w:cs="Times New Roman"/>
          <w:color w:val="000000"/>
          <w:sz w:val="16"/>
          <w:szCs w:val="20"/>
          <w:lang w:val="x-none" w:eastAsia="x-none"/>
        </w:rPr>
        <w:t>Prepared on Australian Accounting Standards basis.</w:t>
      </w:r>
    </w:p>
    <w:p w:rsidR="0002219C" w:rsidRPr="0002219C" w:rsidRDefault="0002219C" w:rsidP="0002219C">
      <w:pPr>
        <w:keepNext/>
        <w:spacing w:before="120" w:after="40" w:line="240" w:lineRule="auto"/>
        <w:rPr>
          <w:rFonts w:ascii="Book Antiqua" w:eastAsia="Times New Roman" w:hAnsi="Book Antiqua" w:cs="Times New Roman"/>
          <w:b/>
          <w:color w:val="000000"/>
          <w:szCs w:val="20"/>
          <w:lang w:val="x-none" w:eastAsia="x-none"/>
        </w:rPr>
      </w:pPr>
      <w:r w:rsidRPr="0002219C">
        <w:rPr>
          <w:rFonts w:ascii="Book Antiqua" w:eastAsia="Times New Roman" w:hAnsi="Book Antiqua" w:cs="Times New Roman"/>
          <w:b/>
          <w:color w:val="000000"/>
          <w:szCs w:val="20"/>
          <w:lang w:val="x-none" w:eastAsia="x-none"/>
        </w:rPr>
        <w:br w:type="page"/>
      </w:r>
      <w:r w:rsidRPr="0002219C">
        <w:rPr>
          <w:rFonts w:ascii="Book Antiqua" w:eastAsia="Times New Roman" w:hAnsi="Book Antiqua" w:cs="Times New Roman"/>
          <w:b/>
          <w:color w:val="000000"/>
          <w:szCs w:val="20"/>
          <w:lang w:val="x-none" w:eastAsia="x-none"/>
        </w:rPr>
        <w:lastRenderedPageBreak/>
        <w:t xml:space="preserve">Table 3.5: Departmental capital budget statement (for the period ended 30 </w:t>
      </w:r>
      <w:r w:rsidRPr="0002219C">
        <w:rPr>
          <w:rFonts w:ascii="Book Antiqua" w:eastAsia="Times New Roman" w:hAnsi="Book Antiqua" w:cs="Times New Roman"/>
          <w:b/>
          <w:color w:val="000000"/>
          <w:szCs w:val="20"/>
          <w:lang w:eastAsia="x-none"/>
        </w:rPr>
        <w:t> </w:t>
      </w:r>
      <w:r w:rsidRPr="0002219C">
        <w:rPr>
          <w:rFonts w:ascii="Book Antiqua" w:eastAsia="Times New Roman" w:hAnsi="Book Antiqua" w:cs="Times New Roman"/>
          <w:b/>
          <w:color w:val="000000"/>
          <w:szCs w:val="20"/>
          <w:lang w:val="x-none" w:eastAsia="x-none"/>
        </w:rPr>
        <w:t>June)</w:t>
      </w:r>
    </w:p>
    <w:p w:rsidR="0002219C" w:rsidRPr="0002219C" w:rsidRDefault="0002219C" w:rsidP="0002219C">
      <w:pPr>
        <w:spacing w:after="0" w:line="240" w:lineRule="auto"/>
        <w:ind w:right="-113"/>
        <w:rPr>
          <w:rFonts w:ascii="Book Antiqua" w:eastAsia="Times New Roman" w:hAnsi="Book Antiqua" w:cs="Times New Roman"/>
          <w:szCs w:val="20"/>
          <w:lang w:eastAsia="en-AU"/>
        </w:rPr>
      </w:pPr>
      <w:r w:rsidRPr="0002219C">
        <w:rPr>
          <w:rFonts w:ascii="Book Antiqua" w:eastAsia="Times New Roman" w:hAnsi="Book Antiqua" w:cs="Times New Roman"/>
          <w:noProof/>
          <w:szCs w:val="20"/>
          <w:lang w:eastAsia="en-AU"/>
        </w:rPr>
        <w:drawing>
          <wp:inline distT="0" distB="0" distL="0" distR="0" wp14:anchorId="0E24A841" wp14:editId="2F5778A4">
            <wp:extent cx="4895989" cy="34956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95989" cy="3495675"/>
                    </a:xfrm>
                    <a:prstGeom prst="rect">
                      <a:avLst/>
                    </a:prstGeom>
                    <a:noFill/>
                    <a:ln>
                      <a:noFill/>
                    </a:ln>
                  </pic:spPr>
                </pic:pic>
              </a:graphicData>
            </a:graphic>
          </wp:inline>
        </w:drawing>
      </w:r>
    </w:p>
    <w:p w:rsidR="0002219C" w:rsidRPr="0002219C" w:rsidRDefault="0002219C" w:rsidP="0002219C">
      <w:pPr>
        <w:numPr>
          <w:ilvl w:val="0"/>
          <w:numId w:val="7"/>
        </w:numPr>
        <w:spacing w:before="120" w:after="0" w:line="240" w:lineRule="auto"/>
        <w:rPr>
          <w:rFonts w:ascii="Arial" w:eastAsia="Times New Roman" w:hAnsi="Arial" w:cs="Times New Roman"/>
          <w:sz w:val="16"/>
          <w:szCs w:val="20"/>
          <w:lang w:eastAsia="en-AU"/>
        </w:rPr>
      </w:pPr>
      <w:r w:rsidRPr="0002219C">
        <w:rPr>
          <w:rFonts w:ascii="Arial" w:eastAsia="Times New Roman" w:hAnsi="Arial" w:cs="Times New Roman"/>
          <w:sz w:val="16"/>
          <w:szCs w:val="20"/>
          <w:lang w:eastAsia="en-AU"/>
        </w:rPr>
        <w:t>Does not include annual finance lease costs. I</w:t>
      </w:r>
      <w:bookmarkStart w:id="92" w:name="_GoBack"/>
      <w:bookmarkEnd w:id="92"/>
      <w:r w:rsidRPr="0002219C">
        <w:rPr>
          <w:rFonts w:ascii="Arial" w:eastAsia="Times New Roman" w:hAnsi="Arial" w:cs="Times New Roman"/>
          <w:sz w:val="16"/>
          <w:szCs w:val="20"/>
          <w:lang w:eastAsia="en-AU"/>
        </w:rPr>
        <w:t>ncludes purchases from current and previous years’ Departmental capital budgets (</w:t>
      </w:r>
      <w:proofErr w:type="spellStart"/>
      <w:r w:rsidRPr="0002219C">
        <w:rPr>
          <w:rFonts w:ascii="Arial" w:eastAsia="Times New Roman" w:hAnsi="Arial" w:cs="Times New Roman"/>
          <w:sz w:val="16"/>
          <w:szCs w:val="20"/>
          <w:lang w:eastAsia="en-AU"/>
        </w:rPr>
        <w:t>DCBs</w:t>
      </w:r>
      <w:proofErr w:type="spellEnd"/>
      <w:r w:rsidRPr="0002219C">
        <w:rPr>
          <w:rFonts w:ascii="Arial" w:eastAsia="Times New Roman" w:hAnsi="Arial" w:cs="Times New Roman"/>
          <w:sz w:val="16"/>
          <w:szCs w:val="20"/>
          <w:lang w:eastAsia="en-AU"/>
        </w:rPr>
        <w:t>).</w:t>
      </w:r>
    </w:p>
    <w:p w:rsidR="0002219C" w:rsidRPr="0002219C" w:rsidRDefault="0002219C" w:rsidP="0002219C">
      <w:pPr>
        <w:tabs>
          <w:tab w:val="left" w:pos="284"/>
        </w:tabs>
        <w:spacing w:before="120" w:after="0" w:line="240" w:lineRule="auto"/>
        <w:rPr>
          <w:rFonts w:ascii="Arial" w:eastAsia="Times New Roman" w:hAnsi="Arial" w:cs="Times New Roman"/>
          <w:color w:val="000000"/>
          <w:sz w:val="16"/>
          <w:szCs w:val="20"/>
          <w:lang w:eastAsia="x-none"/>
        </w:rPr>
      </w:pPr>
      <w:r w:rsidRPr="0002219C">
        <w:rPr>
          <w:rFonts w:ascii="Arial" w:eastAsia="Times New Roman" w:hAnsi="Arial" w:cs="Times New Roman"/>
          <w:color w:val="000000"/>
          <w:sz w:val="16"/>
          <w:szCs w:val="20"/>
          <w:lang w:val="x-none" w:eastAsia="x-none"/>
        </w:rPr>
        <w:t>Prepared on Australian Accounting Standards basis.</w:t>
      </w:r>
    </w:p>
    <w:p w:rsidR="0002219C" w:rsidRPr="0002219C" w:rsidRDefault="0002219C" w:rsidP="0002219C">
      <w:pPr>
        <w:spacing w:after="120" w:line="240" w:lineRule="auto"/>
        <w:rPr>
          <w:rFonts w:ascii="Book Antiqua" w:eastAsia="Times New Roman" w:hAnsi="Book Antiqua" w:cs="Times New Roman"/>
          <w:szCs w:val="20"/>
          <w:lang w:eastAsia="x-none"/>
        </w:rPr>
      </w:pPr>
      <w:r w:rsidRPr="0002219C">
        <w:rPr>
          <w:rFonts w:ascii="Book Antiqua" w:eastAsia="Times New Roman" w:hAnsi="Book Antiqua" w:cs="Times New Roman"/>
          <w:szCs w:val="20"/>
          <w:lang w:eastAsia="x-none"/>
        </w:rPr>
        <w:br w:type="page"/>
      </w:r>
    </w:p>
    <w:p w:rsidR="0002219C" w:rsidRPr="0002219C" w:rsidRDefault="0002219C" w:rsidP="0002219C">
      <w:pPr>
        <w:keepNext/>
        <w:spacing w:before="120" w:after="40" w:line="240" w:lineRule="auto"/>
        <w:rPr>
          <w:rFonts w:ascii="Book Antiqua" w:eastAsia="Times New Roman" w:hAnsi="Book Antiqua" w:cs="Times New Roman"/>
          <w:b/>
          <w:color w:val="000000"/>
          <w:szCs w:val="20"/>
          <w:lang w:val="x-none" w:eastAsia="x-none"/>
        </w:rPr>
      </w:pPr>
      <w:r w:rsidRPr="0002219C">
        <w:rPr>
          <w:rFonts w:ascii="Book Antiqua" w:eastAsia="Times New Roman" w:hAnsi="Book Antiqua" w:cs="Times New Roman"/>
          <w:b/>
          <w:color w:val="000000"/>
          <w:szCs w:val="20"/>
          <w:lang w:val="x-none" w:eastAsia="x-none"/>
        </w:rPr>
        <w:lastRenderedPageBreak/>
        <w:t>Table 3.6: Statement of asset movements (Budget year 2016</w:t>
      </w:r>
      <w:r w:rsidRPr="0002219C">
        <w:rPr>
          <w:rFonts w:ascii="Book Antiqua" w:eastAsia="Times New Roman" w:hAnsi="Book Antiqua" w:cs="Times New Roman"/>
          <w:b/>
          <w:color w:val="000000"/>
          <w:szCs w:val="20"/>
          <w:lang w:eastAsia="x-none"/>
        </w:rPr>
        <w:t>–</w:t>
      </w:r>
      <w:r w:rsidRPr="0002219C">
        <w:rPr>
          <w:rFonts w:ascii="Book Antiqua" w:eastAsia="Times New Roman" w:hAnsi="Book Antiqua" w:cs="Times New Roman"/>
          <w:b/>
          <w:color w:val="000000"/>
          <w:szCs w:val="20"/>
          <w:lang w:val="x-none" w:eastAsia="x-none"/>
        </w:rPr>
        <w:t>17)</w:t>
      </w:r>
    </w:p>
    <w:p w:rsidR="0002219C" w:rsidRPr="0002219C" w:rsidRDefault="0002219C" w:rsidP="0002219C">
      <w:pPr>
        <w:spacing w:after="0" w:line="240" w:lineRule="auto"/>
        <w:ind w:right="-113"/>
        <w:rPr>
          <w:rFonts w:ascii="Book Antiqua" w:eastAsia="Times New Roman" w:hAnsi="Book Antiqua" w:cs="Times New Roman"/>
          <w:szCs w:val="20"/>
          <w:lang w:eastAsia="en-AU"/>
        </w:rPr>
      </w:pPr>
      <w:r w:rsidRPr="0002219C">
        <w:rPr>
          <w:rFonts w:ascii="Book Antiqua" w:eastAsia="Times New Roman" w:hAnsi="Book Antiqua" w:cs="Times New Roman"/>
          <w:noProof/>
          <w:szCs w:val="20"/>
          <w:lang w:eastAsia="en-AU"/>
        </w:rPr>
        <w:drawing>
          <wp:inline distT="0" distB="0" distL="0" distR="0" wp14:anchorId="38370A91" wp14:editId="329D27C1">
            <wp:extent cx="4857750" cy="390317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57750" cy="3903170"/>
                    </a:xfrm>
                    <a:prstGeom prst="rect">
                      <a:avLst/>
                    </a:prstGeom>
                    <a:noFill/>
                    <a:ln>
                      <a:noFill/>
                    </a:ln>
                  </pic:spPr>
                </pic:pic>
              </a:graphicData>
            </a:graphic>
          </wp:inline>
        </w:drawing>
      </w:r>
    </w:p>
    <w:p w:rsidR="0002219C" w:rsidRPr="0002219C" w:rsidRDefault="0002219C" w:rsidP="0002219C">
      <w:pPr>
        <w:numPr>
          <w:ilvl w:val="0"/>
          <w:numId w:val="5"/>
        </w:numPr>
        <w:spacing w:before="120" w:after="0" w:line="240" w:lineRule="auto"/>
        <w:rPr>
          <w:rFonts w:ascii="Arial" w:eastAsia="Times New Roman" w:hAnsi="Arial" w:cs="Times New Roman"/>
          <w:sz w:val="16"/>
          <w:szCs w:val="20"/>
          <w:lang w:eastAsia="en-AU"/>
        </w:rPr>
      </w:pPr>
      <w:r w:rsidRPr="0002219C">
        <w:rPr>
          <w:rFonts w:ascii="Arial" w:eastAsia="Times New Roman" w:hAnsi="Arial" w:cs="Times New Roman"/>
          <w:sz w:val="16"/>
          <w:szCs w:val="20"/>
          <w:lang w:eastAsia="en-AU"/>
        </w:rPr>
        <w:t xml:space="preserve">‘Appropriation ordinary annual services’ refers to funding provided through Appropriation Bill (No. 1) 2016–17 for depreciation/amortisation expenses, </w:t>
      </w:r>
      <w:proofErr w:type="spellStart"/>
      <w:r w:rsidRPr="0002219C">
        <w:rPr>
          <w:rFonts w:ascii="Arial" w:eastAsia="Times New Roman" w:hAnsi="Arial" w:cs="Times New Roman"/>
          <w:sz w:val="16"/>
          <w:szCs w:val="20"/>
          <w:lang w:eastAsia="en-AU"/>
        </w:rPr>
        <w:t>DCBs</w:t>
      </w:r>
      <w:proofErr w:type="spellEnd"/>
      <w:r w:rsidRPr="0002219C">
        <w:rPr>
          <w:rFonts w:ascii="Arial" w:eastAsia="Times New Roman" w:hAnsi="Arial" w:cs="Times New Roman"/>
          <w:sz w:val="16"/>
          <w:szCs w:val="20"/>
          <w:lang w:eastAsia="en-AU"/>
        </w:rPr>
        <w:t xml:space="preserve"> or other operational expenses.</w:t>
      </w:r>
    </w:p>
    <w:p w:rsidR="0002219C" w:rsidRPr="0002219C" w:rsidRDefault="0002219C" w:rsidP="0002219C">
      <w:pPr>
        <w:tabs>
          <w:tab w:val="left" w:pos="284"/>
        </w:tabs>
        <w:spacing w:before="120" w:after="0" w:line="240" w:lineRule="auto"/>
        <w:rPr>
          <w:rFonts w:ascii="Arial" w:eastAsia="Times New Roman" w:hAnsi="Arial" w:cs="Times New Roman"/>
          <w:color w:val="000000"/>
          <w:sz w:val="16"/>
          <w:szCs w:val="20"/>
          <w:lang w:eastAsia="x-none"/>
        </w:rPr>
      </w:pPr>
      <w:r w:rsidRPr="0002219C">
        <w:rPr>
          <w:rFonts w:ascii="Arial" w:eastAsia="Times New Roman" w:hAnsi="Arial" w:cs="Times New Roman"/>
          <w:color w:val="000000"/>
          <w:sz w:val="16"/>
          <w:szCs w:val="20"/>
          <w:lang w:val="x-none" w:eastAsia="x-none"/>
        </w:rPr>
        <w:t>Prepared on Australian Accounting Standards basis.</w:t>
      </w:r>
    </w:p>
    <w:p w:rsidR="0002219C" w:rsidRPr="0002219C" w:rsidRDefault="0002219C" w:rsidP="0002219C">
      <w:pPr>
        <w:keepNext/>
        <w:spacing w:before="120" w:after="40" w:line="240" w:lineRule="auto"/>
        <w:rPr>
          <w:rFonts w:ascii="Book Antiqua" w:eastAsia="Times New Roman" w:hAnsi="Book Antiqua" w:cs="Times New Roman"/>
          <w:b/>
          <w:color w:val="000000"/>
          <w:szCs w:val="20"/>
          <w:lang w:val="x-none" w:eastAsia="x-none"/>
        </w:rPr>
      </w:pPr>
      <w:r w:rsidRPr="0002219C">
        <w:rPr>
          <w:rFonts w:ascii="Book Antiqua" w:eastAsia="Times New Roman" w:hAnsi="Book Antiqua" w:cs="Times New Roman"/>
          <w:b/>
          <w:color w:val="000000"/>
          <w:szCs w:val="20"/>
          <w:lang w:val="x-none" w:eastAsia="x-none"/>
        </w:rPr>
        <w:br w:type="page"/>
      </w:r>
    </w:p>
    <w:p w:rsidR="0002219C" w:rsidRPr="0002219C" w:rsidRDefault="0002219C" w:rsidP="0002219C">
      <w:pPr>
        <w:keepNext/>
        <w:spacing w:before="120" w:after="40" w:line="240" w:lineRule="auto"/>
        <w:rPr>
          <w:rFonts w:ascii="Book Antiqua" w:eastAsia="Times New Roman" w:hAnsi="Book Antiqua" w:cs="Times New Roman"/>
          <w:b/>
          <w:color w:val="000000"/>
          <w:szCs w:val="20"/>
          <w:lang w:val="x-none" w:eastAsia="x-none"/>
        </w:rPr>
      </w:pPr>
      <w:r w:rsidRPr="0002219C">
        <w:rPr>
          <w:rFonts w:ascii="Book Antiqua" w:eastAsia="Times New Roman" w:hAnsi="Book Antiqua" w:cs="Times New Roman"/>
          <w:b/>
          <w:color w:val="000000"/>
          <w:szCs w:val="20"/>
          <w:lang w:val="x-none" w:eastAsia="x-none"/>
        </w:rPr>
        <w:lastRenderedPageBreak/>
        <w:t>Table 3.7: Schedule of budgeted income and expenses administered on behalf of Government (for the period ended 30 June)</w:t>
      </w:r>
    </w:p>
    <w:p w:rsidR="0002219C" w:rsidRPr="0002219C" w:rsidRDefault="0002219C" w:rsidP="0002219C">
      <w:pPr>
        <w:spacing w:after="0" w:line="240" w:lineRule="auto"/>
        <w:ind w:right="-113"/>
        <w:rPr>
          <w:rFonts w:ascii="Book Antiqua" w:eastAsia="Times New Roman" w:hAnsi="Book Antiqua" w:cs="Times New Roman"/>
          <w:szCs w:val="20"/>
          <w:lang w:eastAsia="en-AU"/>
        </w:rPr>
      </w:pPr>
      <w:proofErr w:type="spellStart"/>
      <w:r w:rsidRPr="0002219C">
        <w:rPr>
          <w:rFonts w:ascii="Book Antiqua" w:eastAsia="Times New Roman" w:hAnsi="Book Antiqua" w:cs="Times New Roman"/>
          <w:szCs w:val="20"/>
          <w:lang w:eastAsia="en-AU"/>
        </w:rPr>
        <w:t>WGEA</w:t>
      </w:r>
      <w:proofErr w:type="spellEnd"/>
      <w:r w:rsidRPr="0002219C">
        <w:rPr>
          <w:rFonts w:ascii="Book Antiqua" w:eastAsia="Times New Roman" w:hAnsi="Book Antiqua" w:cs="Times New Roman"/>
          <w:szCs w:val="20"/>
          <w:lang w:eastAsia="en-AU"/>
        </w:rPr>
        <w:t xml:space="preserve"> has no income and expenses administered on behalf of government. For this reason Table 3.7 is not presented. </w:t>
      </w:r>
    </w:p>
    <w:p w:rsidR="0002219C" w:rsidRPr="0002219C" w:rsidRDefault="0002219C" w:rsidP="0002219C">
      <w:pPr>
        <w:keepNext/>
        <w:spacing w:before="120" w:after="40" w:line="240" w:lineRule="auto"/>
        <w:rPr>
          <w:rFonts w:ascii="Book Antiqua" w:eastAsia="Times New Roman" w:hAnsi="Book Antiqua" w:cs="Times New Roman"/>
          <w:b/>
          <w:color w:val="000000"/>
          <w:szCs w:val="20"/>
          <w:lang w:val="x-none" w:eastAsia="x-none"/>
        </w:rPr>
      </w:pPr>
      <w:r w:rsidRPr="0002219C">
        <w:rPr>
          <w:rFonts w:ascii="Book Antiqua" w:eastAsia="Times New Roman" w:hAnsi="Book Antiqua" w:cs="Times New Roman"/>
          <w:b/>
          <w:color w:val="000000"/>
          <w:szCs w:val="20"/>
          <w:lang w:val="x-none" w:eastAsia="x-none"/>
        </w:rPr>
        <w:t>Table 3.8: Schedule of budgeted assets and liabilities administered on behalf of Government (as at 30 June)</w:t>
      </w:r>
    </w:p>
    <w:p w:rsidR="0002219C" w:rsidRPr="0002219C" w:rsidRDefault="0002219C" w:rsidP="0002219C">
      <w:pPr>
        <w:spacing w:after="0" w:line="240" w:lineRule="auto"/>
        <w:ind w:right="-113"/>
        <w:rPr>
          <w:rFonts w:ascii="Book Antiqua" w:eastAsia="Times New Roman" w:hAnsi="Book Antiqua" w:cs="Times New Roman"/>
          <w:szCs w:val="20"/>
          <w:lang w:eastAsia="en-AU"/>
        </w:rPr>
      </w:pPr>
      <w:proofErr w:type="spellStart"/>
      <w:r w:rsidRPr="0002219C">
        <w:rPr>
          <w:rFonts w:ascii="Book Antiqua" w:eastAsia="Times New Roman" w:hAnsi="Book Antiqua" w:cs="Times New Roman"/>
          <w:szCs w:val="20"/>
          <w:lang w:eastAsia="en-AU"/>
        </w:rPr>
        <w:t>WGEA</w:t>
      </w:r>
      <w:proofErr w:type="spellEnd"/>
      <w:r w:rsidRPr="0002219C">
        <w:rPr>
          <w:rFonts w:ascii="Book Antiqua" w:eastAsia="Times New Roman" w:hAnsi="Book Antiqua" w:cs="Times New Roman"/>
          <w:szCs w:val="20"/>
          <w:lang w:eastAsia="en-AU"/>
        </w:rPr>
        <w:t xml:space="preserve"> has no administered assets and liabilities. For this reason Table 3.8 is not presented. </w:t>
      </w:r>
    </w:p>
    <w:p w:rsidR="0002219C" w:rsidRPr="0002219C" w:rsidRDefault="0002219C" w:rsidP="0002219C">
      <w:pPr>
        <w:keepNext/>
        <w:spacing w:before="120" w:after="40" w:line="240" w:lineRule="auto"/>
        <w:rPr>
          <w:rFonts w:ascii="Book Antiqua" w:eastAsia="Times New Roman" w:hAnsi="Book Antiqua" w:cs="Times New Roman"/>
          <w:b/>
          <w:color w:val="000000"/>
          <w:szCs w:val="20"/>
          <w:lang w:val="x-none" w:eastAsia="x-none"/>
        </w:rPr>
      </w:pPr>
      <w:r w:rsidRPr="0002219C">
        <w:rPr>
          <w:rFonts w:ascii="Book Antiqua" w:eastAsia="Times New Roman" w:hAnsi="Book Antiqua" w:cs="Times New Roman"/>
          <w:b/>
          <w:color w:val="000000"/>
          <w:szCs w:val="20"/>
          <w:lang w:val="x-none" w:eastAsia="x-none"/>
        </w:rPr>
        <w:t>Table 3.9: Schedule of budgeted administered cash flows (for the period ended 30 June)</w:t>
      </w:r>
    </w:p>
    <w:p w:rsidR="0002219C" w:rsidRPr="0002219C" w:rsidRDefault="0002219C" w:rsidP="0002219C">
      <w:pPr>
        <w:spacing w:after="120" w:line="240" w:lineRule="auto"/>
        <w:rPr>
          <w:rFonts w:ascii="Book Antiqua" w:eastAsia="Times New Roman" w:hAnsi="Book Antiqua" w:cs="Times New Roman"/>
          <w:szCs w:val="20"/>
          <w:lang w:eastAsia="en-AU"/>
        </w:rPr>
      </w:pPr>
      <w:proofErr w:type="spellStart"/>
      <w:r w:rsidRPr="0002219C">
        <w:rPr>
          <w:rFonts w:ascii="Book Antiqua" w:eastAsia="Times New Roman" w:hAnsi="Book Antiqua" w:cs="Times New Roman"/>
          <w:szCs w:val="20"/>
          <w:lang w:eastAsia="en-AU"/>
        </w:rPr>
        <w:t>WGEA</w:t>
      </w:r>
      <w:proofErr w:type="spellEnd"/>
      <w:r w:rsidRPr="0002219C">
        <w:rPr>
          <w:rFonts w:ascii="Book Antiqua" w:eastAsia="Times New Roman" w:hAnsi="Book Antiqua" w:cs="Times New Roman"/>
          <w:szCs w:val="20"/>
          <w:lang w:eastAsia="en-AU"/>
        </w:rPr>
        <w:t xml:space="preserve"> has no administered cash flows. For this reason Table 3.9 is not presented.</w:t>
      </w:r>
    </w:p>
    <w:p w:rsidR="0002219C" w:rsidRPr="0002219C" w:rsidRDefault="0002219C" w:rsidP="0002219C">
      <w:pPr>
        <w:keepNext/>
        <w:spacing w:before="120" w:after="40" w:line="240" w:lineRule="auto"/>
        <w:rPr>
          <w:rFonts w:ascii="Book Antiqua" w:eastAsia="Times New Roman" w:hAnsi="Book Antiqua" w:cs="Times New Roman"/>
          <w:b/>
          <w:color w:val="000000"/>
          <w:szCs w:val="20"/>
          <w:lang w:val="x-none" w:eastAsia="x-none"/>
        </w:rPr>
      </w:pPr>
      <w:r w:rsidRPr="0002219C">
        <w:rPr>
          <w:rFonts w:ascii="Book Antiqua" w:eastAsia="Times New Roman" w:hAnsi="Book Antiqua" w:cs="Times New Roman"/>
          <w:b/>
          <w:color w:val="000000"/>
          <w:szCs w:val="20"/>
          <w:lang w:val="x-none" w:eastAsia="x-none"/>
        </w:rPr>
        <w:t xml:space="preserve">Table 3.10: Administered capital budget statement (for the period ended 30 </w:t>
      </w:r>
      <w:r w:rsidRPr="0002219C">
        <w:rPr>
          <w:rFonts w:ascii="Book Antiqua" w:eastAsia="Times New Roman" w:hAnsi="Book Antiqua" w:cs="Times New Roman"/>
          <w:b/>
          <w:color w:val="000000"/>
          <w:szCs w:val="20"/>
          <w:lang w:eastAsia="x-none"/>
        </w:rPr>
        <w:t> </w:t>
      </w:r>
      <w:r w:rsidRPr="0002219C">
        <w:rPr>
          <w:rFonts w:ascii="Book Antiqua" w:eastAsia="Times New Roman" w:hAnsi="Book Antiqua" w:cs="Times New Roman"/>
          <w:b/>
          <w:color w:val="000000"/>
          <w:szCs w:val="20"/>
          <w:lang w:val="x-none" w:eastAsia="x-none"/>
        </w:rPr>
        <w:t>June)</w:t>
      </w:r>
    </w:p>
    <w:p w:rsidR="0002219C" w:rsidRPr="0002219C" w:rsidRDefault="0002219C" w:rsidP="0002219C">
      <w:pPr>
        <w:spacing w:after="0" w:line="240" w:lineRule="auto"/>
        <w:ind w:right="-113"/>
        <w:rPr>
          <w:rFonts w:ascii="Book Antiqua" w:eastAsia="Times New Roman" w:hAnsi="Book Antiqua" w:cs="Times New Roman"/>
          <w:szCs w:val="20"/>
          <w:lang w:eastAsia="en-AU"/>
        </w:rPr>
      </w:pPr>
      <w:proofErr w:type="spellStart"/>
      <w:r w:rsidRPr="0002219C">
        <w:rPr>
          <w:rFonts w:ascii="Book Antiqua" w:eastAsia="Times New Roman" w:hAnsi="Book Antiqua" w:cs="Times New Roman"/>
          <w:szCs w:val="20"/>
          <w:lang w:eastAsia="en-AU"/>
        </w:rPr>
        <w:t>WGEA</w:t>
      </w:r>
      <w:proofErr w:type="spellEnd"/>
      <w:r w:rsidRPr="0002219C">
        <w:rPr>
          <w:rFonts w:ascii="Book Antiqua" w:eastAsia="Times New Roman" w:hAnsi="Book Antiqua" w:cs="Times New Roman"/>
          <w:szCs w:val="20"/>
          <w:lang w:eastAsia="en-AU"/>
        </w:rPr>
        <w:t xml:space="preserve"> has no administered capital budget. For this reason </w:t>
      </w:r>
      <w:proofErr w:type="gramStart"/>
      <w:r w:rsidRPr="0002219C">
        <w:rPr>
          <w:rFonts w:ascii="Book Antiqua" w:eastAsia="Times New Roman" w:hAnsi="Book Antiqua" w:cs="Times New Roman"/>
          <w:szCs w:val="20"/>
          <w:lang w:eastAsia="en-AU"/>
        </w:rPr>
        <w:t>Table  3.10</w:t>
      </w:r>
      <w:proofErr w:type="gramEnd"/>
      <w:r w:rsidRPr="0002219C">
        <w:rPr>
          <w:rFonts w:ascii="Book Antiqua" w:eastAsia="Times New Roman" w:hAnsi="Book Antiqua" w:cs="Times New Roman"/>
          <w:szCs w:val="20"/>
          <w:lang w:eastAsia="en-AU"/>
        </w:rPr>
        <w:t xml:space="preserve"> is not presented.</w:t>
      </w:r>
    </w:p>
    <w:p w:rsidR="0002219C" w:rsidRPr="0002219C" w:rsidRDefault="0002219C" w:rsidP="0002219C">
      <w:pPr>
        <w:keepNext/>
        <w:spacing w:before="120" w:after="0" w:line="240" w:lineRule="auto"/>
        <w:rPr>
          <w:rFonts w:ascii="Book Antiqua" w:eastAsia="Times New Roman" w:hAnsi="Book Antiqua" w:cs="Times New Roman"/>
          <w:b/>
          <w:color w:val="000000"/>
          <w:szCs w:val="20"/>
          <w:lang w:val="x-none" w:eastAsia="x-none"/>
        </w:rPr>
      </w:pPr>
      <w:r w:rsidRPr="0002219C">
        <w:rPr>
          <w:rFonts w:ascii="Book Antiqua" w:eastAsia="Times New Roman" w:hAnsi="Book Antiqua" w:cs="Times New Roman"/>
          <w:b/>
          <w:color w:val="000000"/>
          <w:szCs w:val="20"/>
          <w:lang w:val="x-none" w:eastAsia="x-none"/>
        </w:rPr>
        <w:t xml:space="preserve">Table 3.11: Statement of administered asset movements (Budget year </w:t>
      </w:r>
      <w:r w:rsidRPr="0002219C">
        <w:rPr>
          <w:rFonts w:ascii="Book Antiqua" w:eastAsia="Times New Roman" w:hAnsi="Book Antiqua" w:cs="Times New Roman"/>
          <w:b/>
          <w:color w:val="000000"/>
          <w:szCs w:val="20"/>
          <w:lang w:eastAsia="x-none"/>
        </w:rPr>
        <w:br/>
      </w:r>
      <w:r w:rsidRPr="0002219C">
        <w:rPr>
          <w:rFonts w:ascii="Book Antiqua" w:eastAsia="Times New Roman" w:hAnsi="Book Antiqua" w:cs="Times New Roman"/>
          <w:b/>
          <w:color w:val="000000"/>
          <w:szCs w:val="20"/>
          <w:lang w:val="x-none" w:eastAsia="x-none"/>
        </w:rPr>
        <w:t>2016</w:t>
      </w:r>
      <w:r w:rsidRPr="0002219C">
        <w:rPr>
          <w:rFonts w:ascii="Book Antiqua" w:eastAsia="Times New Roman" w:hAnsi="Book Antiqua" w:cs="Times New Roman"/>
          <w:b/>
          <w:color w:val="000000"/>
          <w:szCs w:val="20"/>
          <w:lang w:eastAsia="x-none"/>
        </w:rPr>
        <w:t>–</w:t>
      </w:r>
      <w:r w:rsidRPr="0002219C">
        <w:rPr>
          <w:rFonts w:ascii="Book Antiqua" w:eastAsia="Times New Roman" w:hAnsi="Book Antiqua" w:cs="Times New Roman"/>
          <w:b/>
          <w:color w:val="000000"/>
          <w:szCs w:val="20"/>
          <w:lang w:val="x-none" w:eastAsia="x-none"/>
        </w:rPr>
        <w:t xml:space="preserve">17) </w:t>
      </w:r>
    </w:p>
    <w:p w:rsidR="0002219C" w:rsidRPr="0002219C" w:rsidRDefault="0002219C" w:rsidP="0002219C">
      <w:pPr>
        <w:spacing w:after="0" w:line="240" w:lineRule="auto"/>
        <w:ind w:right="-113"/>
        <w:rPr>
          <w:rFonts w:ascii="Book Antiqua" w:eastAsia="Times New Roman" w:hAnsi="Book Antiqua" w:cs="Times New Roman"/>
          <w:szCs w:val="20"/>
          <w:lang w:eastAsia="en-AU"/>
        </w:rPr>
      </w:pPr>
      <w:proofErr w:type="spellStart"/>
      <w:r w:rsidRPr="0002219C">
        <w:rPr>
          <w:rFonts w:ascii="Book Antiqua" w:eastAsia="Times New Roman" w:hAnsi="Book Antiqua" w:cs="Times New Roman"/>
          <w:szCs w:val="20"/>
          <w:lang w:eastAsia="en-AU"/>
        </w:rPr>
        <w:t>WGEA</w:t>
      </w:r>
      <w:proofErr w:type="spellEnd"/>
      <w:r w:rsidRPr="0002219C">
        <w:rPr>
          <w:rFonts w:ascii="Book Antiqua" w:eastAsia="Times New Roman" w:hAnsi="Book Antiqua" w:cs="Times New Roman"/>
          <w:szCs w:val="20"/>
          <w:lang w:eastAsia="en-AU"/>
        </w:rPr>
        <w:t xml:space="preserve"> has no administered non-financial assets. For this reason Table 3.11 is not presented.</w:t>
      </w:r>
    </w:p>
    <w:p w:rsidR="00504A6D" w:rsidRDefault="00504A6D"/>
    <w:sectPr w:rsidR="00504A6D" w:rsidSect="0002219C">
      <w:pgSz w:w="11906" w:h="16838"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19C" w:rsidRDefault="0002219C" w:rsidP="0002219C">
      <w:pPr>
        <w:spacing w:after="0" w:line="240" w:lineRule="auto"/>
      </w:pPr>
      <w:r>
        <w:separator/>
      </w:r>
    </w:p>
  </w:endnote>
  <w:endnote w:type="continuationSeparator" w:id="0">
    <w:p w:rsidR="0002219C" w:rsidRDefault="0002219C" w:rsidP="00022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19C" w:rsidRPr="00E425E5" w:rsidRDefault="0002219C" w:rsidP="0002219C">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19C" w:rsidRPr="005E2869" w:rsidRDefault="0002219C" w:rsidP="0002219C">
    <w:pPr>
      <w:pStyle w:val="Footer"/>
      <w:jc w:val="center"/>
    </w:pPr>
    <w:r>
      <w:fldChar w:fldCharType="begin"/>
    </w:r>
    <w:r>
      <w:instrText xml:space="preserve"> KEYWORDS  \* MERGEFORMAT </w:instrText>
    </w:r>
    <w:r>
      <w:fldChar w:fldCharType="end"/>
    </w:r>
    <w:r>
      <w:rPr>
        <w:rStyle w:val="PageNumber"/>
      </w:rPr>
      <w:fldChar w:fldCharType="begin"/>
    </w:r>
    <w:r>
      <w:rPr>
        <w:rStyle w:val="PageNumber"/>
      </w:rPr>
      <w:instrText xml:space="preserve">PAGE  </w:instrText>
    </w:r>
    <w:r>
      <w:rPr>
        <w:rStyle w:val="PageNumber"/>
      </w:rPr>
      <w:fldChar w:fldCharType="separate"/>
    </w:r>
    <w:r w:rsidR="00EB25B5">
      <w:rPr>
        <w:rStyle w:val="PageNumber"/>
        <w:noProof/>
      </w:rPr>
      <w:t>201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19C" w:rsidRDefault="0002219C" w:rsidP="0002219C">
      <w:pPr>
        <w:spacing w:after="0" w:line="240" w:lineRule="auto"/>
      </w:pPr>
      <w:r>
        <w:separator/>
      </w:r>
    </w:p>
  </w:footnote>
  <w:footnote w:type="continuationSeparator" w:id="0">
    <w:p w:rsidR="0002219C" w:rsidRDefault="0002219C" w:rsidP="000221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19C" w:rsidRDefault="0002219C" w:rsidP="00017690">
    <w:pPr>
      <w:pStyle w:val="HeaderEven"/>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19C" w:rsidRDefault="0002219C" w:rsidP="00017690">
    <w:pPr>
      <w:pStyle w:val="HeaderEven"/>
      <w:jc w:val="right"/>
    </w:pPr>
    <w:proofErr w:type="spellStart"/>
    <w:r>
      <w:t>WGEA</w:t>
    </w:r>
    <w:proofErr w:type="spellEnd"/>
    <w:r>
      <w:t xml:space="preserve"> Budget Statements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19C" w:rsidRDefault="0002219C" w:rsidP="0026279C">
    <w:pPr>
      <w:pStyle w:val="HeaderEven"/>
    </w:pPr>
    <w:proofErr w:type="spellStart"/>
    <w:r>
      <w:t>WGEA</w:t>
    </w:r>
    <w:proofErr w:type="spellEnd"/>
    <w:r>
      <w:t xml:space="preserve"> Budget Statements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19C" w:rsidRPr="00950281" w:rsidRDefault="0002219C" w:rsidP="00F364C4">
    <w:pPr>
      <w:pStyle w:val="HeaderOdd"/>
    </w:pPr>
    <w:proofErr w:type="spellStart"/>
    <w:r>
      <w:t>WGEA</w:t>
    </w:r>
    <w:proofErr w:type="spellEnd"/>
    <w:r>
      <w:t xml:space="preserve"> Budget Statements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E0756"/>
    <w:multiLevelType w:val="hybridMultilevel"/>
    <w:tmpl w:val="EECCBD2E"/>
    <w:lvl w:ilvl="0" w:tplc="62A6173E">
      <w:start w:val="1"/>
      <w:numFmt w:val="decimal"/>
      <w:pStyle w:val="TableTextNumbered"/>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2">
    <w:nsid w:val="58592882"/>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lvlOverride w:ilvl="0">
      <w:startOverride w:val="1"/>
    </w:lvlOverride>
  </w:num>
  <w:num w:numId="2">
    <w:abstractNumId w:val="0"/>
  </w:num>
  <w:num w:numId="3">
    <w:abstractNumId w:val="2"/>
  </w:num>
  <w:num w:numId="4">
    <w:abstractNumId w:val="1"/>
    <w:lvlOverride w:ilvl="0">
      <w:startOverride w:val="1"/>
    </w:lvlOverride>
  </w:num>
  <w:num w:numId="5">
    <w:abstractNumId w:val="1"/>
    <w:lvlOverride w:ilvl="0">
      <w:startOverride w:val="1"/>
    </w:lvlOverride>
  </w:num>
  <w:num w:numId="6">
    <w:abstractNumId w:val="0"/>
    <w:lvlOverride w:ilvl="0">
      <w:startOverride w:val="1"/>
    </w:lvlOverride>
  </w:num>
  <w:num w:numId="7">
    <w:abstractNumId w:val="1"/>
    <w:lvlOverride w:ilvl="0">
      <w:startOverride w:val="1"/>
    </w:lvlOverride>
  </w:num>
  <w:num w:numId="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19C"/>
    <w:rsid w:val="0002219C"/>
    <w:rsid w:val="004F6C10"/>
    <w:rsid w:val="00504A6D"/>
    <w:rsid w:val="00533004"/>
    <w:rsid w:val="00EB25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221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19C"/>
  </w:style>
  <w:style w:type="paragraph" w:customStyle="1" w:styleId="ChartandTableFootnoteAlpha">
    <w:name w:val="Chart and Table Footnote Alpha"/>
    <w:basedOn w:val="Normal"/>
    <w:next w:val="Normal"/>
    <w:rsid w:val="0002219C"/>
    <w:pPr>
      <w:numPr>
        <w:numId w:val="1"/>
      </w:numPr>
      <w:spacing w:after="0" w:line="240" w:lineRule="auto"/>
    </w:pPr>
    <w:rPr>
      <w:rFonts w:ascii="Arial" w:eastAsia="Times New Roman" w:hAnsi="Arial" w:cs="Times New Roman"/>
      <w:sz w:val="16"/>
      <w:szCs w:val="20"/>
      <w:lang w:eastAsia="en-AU"/>
    </w:rPr>
  </w:style>
  <w:style w:type="paragraph" w:customStyle="1" w:styleId="HeaderEven">
    <w:name w:val="Header Even"/>
    <w:basedOn w:val="Normal"/>
    <w:rsid w:val="0002219C"/>
    <w:pPr>
      <w:spacing w:after="0" w:line="240" w:lineRule="auto"/>
    </w:pPr>
    <w:rPr>
      <w:rFonts w:ascii="Book Antiqua" w:eastAsia="Times New Roman" w:hAnsi="Book Antiqua" w:cs="Times New Roman"/>
      <w:i/>
      <w:sz w:val="20"/>
      <w:szCs w:val="20"/>
      <w:lang w:eastAsia="en-AU"/>
    </w:rPr>
  </w:style>
  <w:style w:type="paragraph" w:customStyle="1" w:styleId="HeaderOdd">
    <w:name w:val="Header Odd"/>
    <w:basedOn w:val="Normal"/>
    <w:rsid w:val="0002219C"/>
    <w:pPr>
      <w:spacing w:after="0" w:line="240" w:lineRule="auto"/>
      <w:jc w:val="right"/>
    </w:pPr>
    <w:rPr>
      <w:rFonts w:ascii="Book Antiqua" w:eastAsia="Times New Roman" w:hAnsi="Book Antiqua" w:cs="Times New Roman"/>
      <w:i/>
      <w:sz w:val="20"/>
      <w:szCs w:val="20"/>
      <w:lang w:eastAsia="en-AU"/>
    </w:rPr>
  </w:style>
  <w:style w:type="character" w:styleId="PageNumber">
    <w:name w:val="page number"/>
    <w:rsid w:val="0002219C"/>
    <w:rPr>
      <w:rFonts w:ascii="Arial" w:hAnsi="Arial" w:cs="Arial"/>
    </w:rPr>
  </w:style>
  <w:style w:type="paragraph" w:customStyle="1" w:styleId="TableTextNumbered">
    <w:name w:val="Table Text Numbered"/>
    <w:basedOn w:val="Normal"/>
    <w:qFormat/>
    <w:rsid w:val="0002219C"/>
    <w:pPr>
      <w:numPr>
        <w:numId w:val="2"/>
      </w:numPr>
      <w:tabs>
        <w:tab w:val="num" w:pos="360"/>
      </w:tabs>
      <w:spacing w:before="60" w:after="60" w:line="240" w:lineRule="auto"/>
      <w:ind w:left="0" w:firstLine="0"/>
    </w:pPr>
    <w:rPr>
      <w:rFonts w:ascii="Arial" w:eastAsia="Times New Roman" w:hAnsi="Arial" w:cs="Times New Roman"/>
      <w:sz w:val="18"/>
      <w:szCs w:val="20"/>
      <w:lang w:eastAsia="en-AU"/>
    </w:rPr>
  </w:style>
  <w:style w:type="paragraph" w:styleId="BalloonText">
    <w:name w:val="Balloon Text"/>
    <w:basedOn w:val="Normal"/>
    <w:link w:val="BalloonTextChar"/>
    <w:uiPriority w:val="99"/>
    <w:semiHidden/>
    <w:unhideWhenUsed/>
    <w:rsid w:val="000221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19C"/>
    <w:rPr>
      <w:rFonts w:ascii="Tahoma" w:hAnsi="Tahoma" w:cs="Tahoma"/>
      <w:sz w:val="16"/>
      <w:szCs w:val="16"/>
    </w:rPr>
  </w:style>
  <w:style w:type="paragraph" w:styleId="Header">
    <w:name w:val="header"/>
    <w:basedOn w:val="Normal"/>
    <w:link w:val="HeaderChar"/>
    <w:uiPriority w:val="99"/>
    <w:unhideWhenUsed/>
    <w:rsid w:val="000221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1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221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19C"/>
  </w:style>
  <w:style w:type="paragraph" w:customStyle="1" w:styleId="ChartandTableFootnoteAlpha">
    <w:name w:val="Chart and Table Footnote Alpha"/>
    <w:basedOn w:val="Normal"/>
    <w:next w:val="Normal"/>
    <w:rsid w:val="0002219C"/>
    <w:pPr>
      <w:numPr>
        <w:numId w:val="1"/>
      </w:numPr>
      <w:spacing w:after="0" w:line="240" w:lineRule="auto"/>
    </w:pPr>
    <w:rPr>
      <w:rFonts w:ascii="Arial" w:eastAsia="Times New Roman" w:hAnsi="Arial" w:cs="Times New Roman"/>
      <w:sz w:val="16"/>
      <w:szCs w:val="20"/>
      <w:lang w:eastAsia="en-AU"/>
    </w:rPr>
  </w:style>
  <w:style w:type="paragraph" w:customStyle="1" w:styleId="HeaderEven">
    <w:name w:val="Header Even"/>
    <w:basedOn w:val="Normal"/>
    <w:rsid w:val="0002219C"/>
    <w:pPr>
      <w:spacing w:after="0" w:line="240" w:lineRule="auto"/>
    </w:pPr>
    <w:rPr>
      <w:rFonts w:ascii="Book Antiqua" w:eastAsia="Times New Roman" w:hAnsi="Book Antiqua" w:cs="Times New Roman"/>
      <w:i/>
      <w:sz w:val="20"/>
      <w:szCs w:val="20"/>
      <w:lang w:eastAsia="en-AU"/>
    </w:rPr>
  </w:style>
  <w:style w:type="paragraph" w:customStyle="1" w:styleId="HeaderOdd">
    <w:name w:val="Header Odd"/>
    <w:basedOn w:val="Normal"/>
    <w:rsid w:val="0002219C"/>
    <w:pPr>
      <w:spacing w:after="0" w:line="240" w:lineRule="auto"/>
      <w:jc w:val="right"/>
    </w:pPr>
    <w:rPr>
      <w:rFonts w:ascii="Book Antiqua" w:eastAsia="Times New Roman" w:hAnsi="Book Antiqua" w:cs="Times New Roman"/>
      <w:i/>
      <w:sz w:val="20"/>
      <w:szCs w:val="20"/>
      <w:lang w:eastAsia="en-AU"/>
    </w:rPr>
  </w:style>
  <w:style w:type="character" w:styleId="PageNumber">
    <w:name w:val="page number"/>
    <w:rsid w:val="0002219C"/>
    <w:rPr>
      <w:rFonts w:ascii="Arial" w:hAnsi="Arial" w:cs="Arial"/>
    </w:rPr>
  </w:style>
  <w:style w:type="paragraph" w:customStyle="1" w:styleId="TableTextNumbered">
    <w:name w:val="Table Text Numbered"/>
    <w:basedOn w:val="Normal"/>
    <w:qFormat/>
    <w:rsid w:val="0002219C"/>
    <w:pPr>
      <w:numPr>
        <w:numId w:val="2"/>
      </w:numPr>
      <w:tabs>
        <w:tab w:val="num" w:pos="360"/>
      </w:tabs>
      <w:spacing w:before="60" w:after="60" w:line="240" w:lineRule="auto"/>
      <w:ind w:left="0" w:firstLine="0"/>
    </w:pPr>
    <w:rPr>
      <w:rFonts w:ascii="Arial" w:eastAsia="Times New Roman" w:hAnsi="Arial" w:cs="Times New Roman"/>
      <w:sz w:val="18"/>
      <w:szCs w:val="20"/>
      <w:lang w:eastAsia="en-AU"/>
    </w:rPr>
  </w:style>
  <w:style w:type="paragraph" w:styleId="BalloonText">
    <w:name w:val="Balloon Text"/>
    <w:basedOn w:val="Normal"/>
    <w:link w:val="BalloonTextChar"/>
    <w:uiPriority w:val="99"/>
    <w:semiHidden/>
    <w:unhideWhenUsed/>
    <w:rsid w:val="000221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19C"/>
    <w:rPr>
      <w:rFonts w:ascii="Tahoma" w:hAnsi="Tahoma" w:cs="Tahoma"/>
      <w:sz w:val="16"/>
      <w:szCs w:val="16"/>
    </w:rPr>
  </w:style>
  <w:style w:type="paragraph" w:styleId="Header">
    <w:name w:val="header"/>
    <w:basedOn w:val="Normal"/>
    <w:link w:val="HeaderChar"/>
    <w:uiPriority w:val="99"/>
    <w:unhideWhenUsed/>
    <w:rsid w:val="000221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gea.gov.au" TargetMode="Externa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9.emf"/><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8.emf"/><Relationship Id="rId10" Type="http://schemas.openxmlformats.org/officeDocument/2006/relationships/footer" Target="footer1.xml"/><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emf"/><Relationship Id="rId22" Type="http://schemas.openxmlformats.org/officeDocument/2006/relationships/image" Target="media/image7.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E8FFE6C-7629-45C4-96ED-CED117094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1B68D839.dotm</Template>
  <TotalTime>3</TotalTime>
  <Pages>21</Pages>
  <Words>2350</Words>
  <Characters>13401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Walter</dc:creator>
  <cp:lastModifiedBy>Natasha Walter</cp:lastModifiedBy>
  <cp:revision>2</cp:revision>
  <dcterms:created xsi:type="dcterms:W3CDTF">2016-05-02T04:16:00Z</dcterms:created>
  <dcterms:modified xsi:type="dcterms:W3CDTF">2016-05-02T04:22:00Z</dcterms:modified>
</cp:coreProperties>
</file>